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2700"/>
        <w:gridCol w:w="810"/>
        <w:gridCol w:w="720"/>
        <w:gridCol w:w="2880"/>
      </w:tblGrid>
      <w:tr w:rsidR="00072C9D" w:rsidRPr="004F79AD" w14:paraId="70193C8A" w14:textId="77777777" w:rsidTr="4AB088E3">
        <w:trPr>
          <w:trHeight w:val="63"/>
        </w:trPr>
        <w:tc>
          <w:tcPr>
            <w:tcW w:w="2448" w:type="dxa"/>
          </w:tcPr>
          <w:p w14:paraId="38F163C7" w14:textId="77777777" w:rsidR="00E427C5" w:rsidRPr="004F79AD" w:rsidRDefault="00E427C5" w:rsidP="009D3AE0">
            <w:pPr>
              <w:pStyle w:val="Header"/>
              <w:tabs>
                <w:tab w:val="clear" w:pos="4320"/>
                <w:tab w:val="clear" w:pos="8640"/>
              </w:tabs>
              <w:rPr>
                <w:color w:val="auto"/>
                <w:szCs w:val="26"/>
              </w:rPr>
            </w:pPr>
          </w:p>
        </w:tc>
        <w:tc>
          <w:tcPr>
            <w:tcW w:w="4230" w:type="dxa"/>
            <w:gridSpan w:val="3"/>
          </w:tcPr>
          <w:p w14:paraId="1F8DAB60" w14:textId="77777777" w:rsidR="00E427C5" w:rsidRPr="009E6AD8" w:rsidRDefault="00E427C5" w:rsidP="00A43882">
            <w:pPr>
              <w:jc w:val="center"/>
              <w:rPr>
                <w:color w:val="auto"/>
                <w:szCs w:val="26"/>
              </w:rPr>
            </w:pPr>
          </w:p>
        </w:tc>
        <w:tc>
          <w:tcPr>
            <w:tcW w:w="2880" w:type="dxa"/>
          </w:tcPr>
          <w:p w14:paraId="18F452CD" w14:textId="77777777" w:rsidR="00E427C5" w:rsidRPr="004F79AD" w:rsidRDefault="00E427C5" w:rsidP="009D3AE0">
            <w:pPr>
              <w:rPr>
                <w:color w:val="auto"/>
                <w:szCs w:val="26"/>
              </w:rPr>
            </w:pPr>
          </w:p>
        </w:tc>
      </w:tr>
      <w:tr w:rsidR="00E12B0D" w:rsidRPr="006171FC" w14:paraId="365B72EF" w14:textId="77777777" w:rsidTr="4AB088E3">
        <w:tc>
          <w:tcPr>
            <w:tcW w:w="5148" w:type="dxa"/>
            <w:gridSpan w:val="2"/>
          </w:tcPr>
          <w:p w14:paraId="13347192" w14:textId="77777777" w:rsidR="00F559F2" w:rsidRPr="006171FC" w:rsidRDefault="00F559F2" w:rsidP="00F559F2">
            <w:pPr>
              <w:rPr>
                <w:color w:val="auto"/>
                <w:szCs w:val="26"/>
              </w:rPr>
            </w:pPr>
          </w:p>
        </w:tc>
        <w:tc>
          <w:tcPr>
            <w:tcW w:w="4410" w:type="dxa"/>
            <w:gridSpan w:val="3"/>
          </w:tcPr>
          <w:p w14:paraId="5DF5B632" w14:textId="424AE5CD" w:rsidR="00F559F2" w:rsidRPr="006171FC" w:rsidRDefault="00F559F2" w:rsidP="4AB088E3">
            <w:pPr>
              <w:ind w:left="-210"/>
              <w:jc w:val="right"/>
              <w:rPr>
                <w:color w:val="auto"/>
                <w:szCs w:val="26"/>
              </w:rPr>
            </w:pPr>
            <w:r w:rsidRPr="006171FC">
              <w:rPr>
                <w:color w:val="auto"/>
                <w:szCs w:val="26"/>
              </w:rPr>
              <w:t>Public Meeting held</w:t>
            </w:r>
            <w:r w:rsidR="002726A4" w:rsidRPr="006171FC">
              <w:rPr>
                <w:color w:val="auto"/>
                <w:szCs w:val="26"/>
              </w:rPr>
              <w:t xml:space="preserve"> </w:t>
            </w:r>
            <w:r w:rsidR="314532ED" w:rsidRPr="006171FC">
              <w:rPr>
                <w:color w:val="auto"/>
                <w:szCs w:val="26"/>
              </w:rPr>
              <w:t>September</w:t>
            </w:r>
            <w:r w:rsidR="3FBB653A" w:rsidRPr="006171FC">
              <w:rPr>
                <w:color w:val="auto"/>
                <w:szCs w:val="26"/>
              </w:rPr>
              <w:t xml:space="preserve"> 1</w:t>
            </w:r>
            <w:r w:rsidR="2F82F6F9" w:rsidRPr="006171FC">
              <w:rPr>
                <w:color w:val="auto"/>
                <w:szCs w:val="26"/>
              </w:rPr>
              <w:t>7</w:t>
            </w:r>
            <w:r w:rsidR="3FBB653A" w:rsidRPr="006171FC">
              <w:rPr>
                <w:color w:val="auto"/>
                <w:szCs w:val="26"/>
              </w:rPr>
              <w:t>,</w:t>
            </w:r>
            <w:r w:rsidR="008230FC" w:rsidRPr="006171FC">
              <w:rPr>
                <w:color w:val="auto"/>
                <w:szCs w:val="26"/>
              </w:rPr>
              <w:t xml:space="preserve"> 2020</w:t>
            </w:r>
          </w:p>
        </w:tc>
      </w:tr>
      <w:tr w:rsidR="00E12B0D" w:rsidRPr="006171FC" w14:paraId="21C1794F" w14:textId="77777777" w:rsidTr="4AB088E3">
        <w:tc>
          <w:tcPr>
            <w:tcW w:w="5148" w:type="dxa"/>
            <w:gridSpan w:val="2"/>
          </w:tcPr>
          <w:p w14:paraId="6D54FB56" w14:textId="77777777" w:rsidR="00F559F2" w:rsidRPr="006171FC" w:rsidRDefault="00F559F2" w:rsidP="00F559F2">
            <w:pPr>
              <w:rPr>
                <w:color w:val="auto"/>
                <w:szCs w:val="26"/>
              </w:rPr>
            </w:pPr>
            <w:r w:rsidRPr="006171FC">
              <w:rPr>
                <w:color w:val="auto"/>
                <w:szCs w:val="26"/>
              </w:rPr>
              <w:t>Commissioners Present:</w:t>
            </w:r>
          </w:p>
        </w:tc>
        <w:tc>
          <w:tcPr>
            <w:tcW w:w="4410" w:type="dxa"/>
            <w:gridSpan w:val="3"/>
          </w:tcPr>
          <w:p w14:paraId="703AFB24" w14:textId="77777777" w:rsidR="00F559F2" w:rsidRPr="006171FC" w:rsidRDefault="00F559F2" w:rsidP="00F559F2">
            <w:pPr>
              <w:rPr>
                <w:color w:val="auto"/>
                <w:szCs w:val="26"/>
              </w:rPr>
            </w:pPr>
          </w:p>
        </w:tc>
      </w:tr>
      <w:tr w:rsidR="00E12B0D" w:rsidRPr="006171FC" w14:paraId="380118A3" w14:textId="77777777" w:rsidTr="4AB088E3">
        <w:tc>
          <w:tcPr>
            <w:tcW w:w="9558" w:type="dxa"/>
            <w:gridSpan w:val="5"/>
          </w:tcPr>
          <w:p w14:paraId="16578E77" w14:textId="77777777" w:rsidR="00F559F2" w:rsidRPr="006171FC" w:rsidRDefault="00F559F2" w:rsidP="00F559F2">
            <w:pPr>
              <w:rPr>
                <w:color w:val="auto"/>
                <w:szCs w:val="26"/>
              </w:rPr>
            </w:pPr>
          </w:p>
        </w:tc>
      </w:tr>
      <w:tr w:rsidR="00E12B0D" w:rsidRPr="006171FC" w14:paraId="4B5A4B69" w14:textId="77777777" w:rsidTr="4AB088E3">
        <w:tc>
          <w:tcPr>
            <w:tcW w:w="9558" w:type="dxa"/>
            <w:gridSpan w:val="5"/>
          </w:tcPr>
          <w:p w14:paraId="1D1B01E7" w14:textId="34E45673" w:rsidR="00F559F2" w:rsidRPr="006171FC" w:rsidRDefault="00F559F2" w:rsidP="004204E1">
            <w:pPr>
              <w:ind w:firstLine="614"/>
              <w:rPr>
                <w:color w:val="auto"/>
                <w:szCs w:val="26"/>
              </w:rPr>
            </w:pPr>
            <w:r w:rsidRPr="006171FC">
              <w:rPr>
                <w:color w:val="auto"/>
                <w:szCs w:val="26"/>
              </w:rPr>
              <w:t xml:space="preserve">Gladys </w:t>
            </w:r>
            <w:r w:rsidR="008B7A34" w:rsidRPr="006171FC">
              <w:rPr>
                <w:color w:val="auto"/>
                <w:szCs w:val="26"/>
              </w:rPr>
              <w:t>Brown Dutrieuille</w:t>
            </w:r>
            <w:r w:rsidRPr="006171FC">
              <w:rPr>
                <w:color w:val="auto"/>
                <w:szCs w:val="26"/>
              </w:rPr>
              <w:t>, Chairman</w:t>
            </w:r>
          </w:p>
          <w:p w14:paraId="4464E911" w14:textId="709471CD" w:rsidR="006A4697" w:rsidRPr="006171FC" w:rsidRDefault="006A4697" w:rsidP="006A4697">
            <w:pPr>
              <w:ind w:firstLine="614"/>
              <w:rPr>
                <w:color w:val="auto"/>
                <w:szCs w:val="26"/>
              </w:rPr>
            </w:pPr>
            <w:r w:rsidRPr="006171FC">
              <w:rPr>
                <w:color w:val="auto"/>
                <w:szCs w:val="26"/>
              </w:rPr>
              <w:t>David W. Sweet, Vice Chairman</w:t>
            </w:r>
          </w:p>
          <w:p w14:paraId="3024C8D8" w14:textId="6BEC8E83" w:rsidR="00F559F2" w:rsidRPr="006171FC" w:rsidRDefault="008230FC" w:rsidP="004204E1">
            <w:pPr>
              <w:ind w:firstLine="614"/>
              <w:rPr>
                <w:color w:val="auto"/>
                <w:szCs w:val="26"/>
              </w:rPr>
            </w:pPr>
            <w:r w:rsidRPr="006171FC">
              <w:rPr>
                <w:color w:val="auto"/>
                <w:szCs w:val="26"/>
              </w:rPr>
              <w:t>John F. Coleman, Jr.</w:t>
            </w:r>
          </w:p>
          <w:p w14:paraId="5CD50E94" w14:textId="11D5E6B1" w:rsidR="00F559F2" w:rsidRPr="006171FC" w:rsidRDefault="008230FC" w:rsidP="004204E1">
            <w:pPr>
              <w:ind w:firstLine="614"/>
              <w:rPr>
                <w:color w:val="auto"/>
                <w:szCs w:val="26"/>
              </w:rPr>
            </w:pPr>
            <w:r w:rsidRPr="006171FC">
              <w:rPr>
                <w:color w:val="auto"/>
                <w:szCs w:val="26"/>
              </w:rPr>
              <w:t>Ralph V. Yanora</w:t>
            </w:r>
          </w:p>
          <w:p w14:paraId="749D2325" w14:textId="77777777" w:rsidR="00F559F2" w:rsidRPr="006171FC" w:rsidRDefault="00F559F2" w:rsidP="00F559F2">
            <w:pPr>
              <w:rPr>
                <w:color w:val="auto"/>
                <w:szCs w:val="26"/>
              </w:rPr>
            </w:pPr>
          </w:p>
        </w:tc>
      </w:tr>
      <w:tr w:rsidR="00E12B0D" w:rsidRPr="006171FC" w14:paraId="7B3016A1" w14:textId="77777777" w:rsidTr="4AB088E3">
        <w:tc>
          <w:tcPr>
            <w:tcW w:w="9558" w:type="dxa"/>
            <w:gridSpan w:val="5"/>
          </w:tcPr>
          <w:p w14:paraId="620BD67B" w14:textId="77777777" w:rsidR="00F559F2" w:rsidRPr="006171FC" w:rsidRDefault="00F559F2" w:rsidP="00F559F2">
            <w:pPr>
              <w:jc w:val="right"/>
              <w:rPr>
                <w:color w:val="auto"/>
                <w:szCs w:val="26"/>
              </w:rPr>
            </w:pPr>
          </w:p>
        </w:tc>
      </w:tr>
      <w:tr w:rsidR="00E12B0D" w:rsidRPr="006171FC" w14:paraId="30C247C2" w14:textId="77777777" w:rsidTr="4AB088E3">
        <w:tc>
          <w:tcPr>
            <w:tcW w:w="5958" w:type="dxa"/>
            <w:gridSpan w:val="3"/>
            <w:vMerge w:val="restart"/>
          </w:tcPr>
          <w:p w14:paraId="7EE1188B" w14:textId="59B9AE1D" w:rsidR="00470963" w:rsidRPr="006171FC" w:rsidRDefault="00F559F2" w:rsidP="00F559F2">
            <w:pPr>
              <w:tabs>
                <w:tab w:val="left" w:pos="720"/>
              </w:tabs>
              <w:rPr>
                <w:color w:val="auto"/>
                <w:szCs w:val="26"/>
              </w:rPr>
            </w:pPr>
            <w:r w:rsidRPr="006171FC">
              <w:rPr>
                <w:color w:val="auto"/>
                <w:szCs w:val="26"/>
              </w:rPr>
              <w:t xml:space="preserve">Application of </w:t>
            </w:r>
            <w:r w:rsidR="008230FC" w:rsidRPr="006171FC">
              <w:rPr>
                <w:color w:val="auto"/>
                <w:szCs w:val="26"/>
              </w:rPr>
              <w:t xml:space="preserve">The York Water Company – Wastewater for </w:t>
            </w:r>
            <w:r w:rsidRPr="006171FC">
              <w:rPr>
                <w:color w:val="auto"/>
                <w:szCs w:val="26"/>
              </w:rPr>
              <w:t>approval of the right to</w:t>
            </w:r>
            <w:r w:rsidR="00F02A6D" w:rsidRPr="006171FC">
              <w:rPr>
                <w:color w:val="auto"/>
                <w:szCs w:val="26"/>
              </w:rPr>
              <w:t>:</w:t>
            </w:r>
            <w:r w:rsidR="0037675C" w:rsidRPr="006171FC">
              <w:rPr>
                <w:color w:val="auto"/>
                <w:szCs w:val="26"/>
              </w:rPr>
              <w:t xml:space="preserve"> </w:t>
            </w:r>
            <w:r w:rsidR="00F02A6D" w:rsidRPr="006171FC">
              <w:rPr>
                <w:color w:val="auto"/>
                <w:szCs w:val="26"/>
              </w:rPr>
              <w:t xml:space="preserve"> (1) acquire certain wastewater facilities from CCD Rock Creek LLC; and (2) begin to</w:t>
            </w:r>
            <w:r w:rsidRPr="006171FC">
              <w:rPr>
                <w:color w:val="auto"/>
                <w:szCs w:val="26"/>
              </w:rPr>
              <w:t xml:space="preserve"> offer, render, furnish or supply </w:t>
            </w:r>
            <w:r w:rsidR="007A3296" w:rsidRPr="006171FC">
              <w:rPr>
                <w:color w:val="auto"/>
                <w:szCs w:val="26"/>
              </w:rPr>
              <w:t>waste</w:t>
            </w:r>
            <w:r w:rsidRPr="006171FC">
              <w:rPr>
                <w:color w:val="auto"/>
                <w:szCs w:val="26"/>
              </w:rPr>
              <w:t xml:space="preserve">water service to the public in </w:t>
            </w:r>
            <w:r w:rsidR="008230FC" w:rsidRPr="006171FC">
              <w:rPr>
                <w:color w:val="auto"/>
                <w:szCs w:val="26"/>
              </w:rPr>
              <w:t>a</w:t>
            </w:r>
            <w:r w:rsidRPr="006171FC">
              <w:rPr>
                <w:color w:val="auto"/>
                <w:szCs w:val="26"/>
              </w:rPr>
              <w:t xml:space="preserve"> portion of </w:t>
            </w:r>
            <w:r w:rsidR="008230FC" w:rsidRPr="006171FC">
              <w:rPr>
                <w:color w:val="auto"/>
                <w:szCs w:val="26"/>
              </w:rPr>
              <w:t>Straban</w:t>
            </w:r>
            <w:r w:rsidR="000F3558" w:rsidRPr="006171FC">
              <w:rPr>
                <w:color w:val="auto"/>
                <w:szCs w:val="26"/>
              </w:rPr>
              <w:t xml:space="preserve"> Township, </w:t>
            </w:r>
            <w:r w:rsidR="008230FC" w:rsidRPr="006171FC">
              <w:rPr>
                <w:color w:val="auto"/>
                <w:szCs w:val="26"/>
              </w:rPr>
              <w:t>Adams</w:t>
            </w:r>
            <w:r w:rsidR="006A4697" w:rsidRPr="006171FC">
              <w:rPr>
                <w:color w:val="auto"/>
                <w:szCs w:val="26"/>
              </w:rPr>
              <w:t xml:space="preserve"> </w:t>
            </w:r>
            <w:r w:rsidR="000F3558" w:rsidRPr="006171FC">
              <w:rPr>
                <w:color w:val="auto"/>
                <w:szCs w:val="26"/>
              </w:rPr>
              <w:t>County</w:t>
            </w:r>
            <w:r w:rsidRPr="006171FC">
              <w:rPr>
                <w:color w:val="auto"/>
                <w:szCs w:val="26"/>
              </w:rPr>
              <w:t>, Pennsylvania</w:t>
            </w:r>
          </w:p>
        </w:tc>
        <w:tc>
          <w:tcPr>
            <w:tcW w:w="3600" w:type="dxa"/>
            <w:gridSpan w:val="2"/>
          </w:tcPr>
          <w:p w14:paraId="1C7788A8" w14:textId="3A6E58B9" w:rsidR="00F559F2" w:rsidRPr="006171FC" w:rsidRDefault="002F4640" w:rsidP="00F559F2">
            <w:pPr>
              <w:jc w:val="right"/>
              <w:rPr>
                <w:color w:val="auto"/>
                <w:szCs w:val="26"/>
              </w:rPr>
            </w:pPr>
            <w:r w:rsidRPr="006171FC">
              <w:rPr>
                <w:color w:val="auto"/>
                <w:szCs w:val="26"/>
              </w:rPr>
              <w:t>A-2019-</w:t>
            </w:r>
            <w:r w:rsidR="008230FC" w:rsidRPr="006171FC">
              <w:rPr>
                <w:color w:val="auto"/>
                <w:szCs w:val="26"/>
              </w:rPr>
              <w:t>3014022</w:t>
            </w:r>
          </w:p>
        </w:tc>
      </w:tr>
      <w:tr w:rsidR="00E12B0D" w:rsidRPr="006171FC" w14:paraId="4CC9141C" w14:textId="77777777" w:rsidTr="4AB088E3">
        <w:tc>
          <w:tcPr>
            <w:tcW w:w="5958" w:type="dxa"/>
            <w:gridSpan w:val="3"/>
            <w:vMerge/>
          </w:tcPr>
          <w:p w14:paraId="2847B632" w14:textId="77777777" w:rsidR="00F559F2" w:rsidRPr="006171FC" w:rsidRDefault="00F559F2" w:rsidP="00F559F2">
            <w:pPr>
              <w:jc w:val="center"/>
              <w:rPr>
                <w:color w:val="auto"/>
                <w:szCs w:val="26"/>
              </w:rPr>
            </w:pPr>
          </w:p>
        </w:tc>
        <w:tc>
          <w:tcPr>
            <w:tcW w:w="3600" w:type="dxa"/>
            <w:gridSpan w:val="2"/>
          </w:tcPr>
          <w:p w14:paraId="62255209" w14:textId="77777777" w:rsidR="00F559F2" w:rsidRPr="006171FC" w:rsidRDefault="00F559F2" w:rsidP="00F559F2">
            <w:pPr>
              <w:jc w:val="right"/>
              <w:rPr>
                <w:color w:val="auto"/>
                <w:szCs w:val="26"/>
              </w:rPr>
            </w:pPr>
          </w:p>
        </w:tc>
      </w:tr>
      <w:tr w:rsidR="00E12B0D" w:rsidRPr="006171FC" w14:paraId="3E703B66" w14:textId="77777777" w:rsidTr="4AB088E3">
        <w:tc>
          <w:tcPr>
            <w:tcW w:w="5958" w:type="dxa"/>
            <w:gridSpan w:val="3"/>
            <w:vMerge/>
          </w:tcPr>
          <w:p w14:paraId="59156524" w14:textId="77777777" w:rsidR="00F559F2" w:rsidRPr="006171FC" w:rsidRDefault="00F559F2" w:rsidP="00F559F2">
            <w:pPr>
              <w:jc w:val="center"/>
              <w:rPr>
                <w:color w:val="auto"/>
                <w:szCs w:val="26"/>
              </w:rPr>
            </w:pPr>
          </w:p>
        </w:tc>
        <w:tc>
          <w:tcPr>
            <w:tcW w:w="3600" w:type="dxa"/>
            <w:gridSpan w:val="2"/>
          </w:tcPr>
          <w:p w14:paraId="24D5F04B" w14:textId="77777777" w:rsidR="00F559F2" w:rsidRPr="006171FC" w:rsidRDefault="00F559F2" w:rsidP="00F559F2">
            <w:pPr>
              <w:jc w:val="right"/>
              <w:rPr>
                <w:color w:val="auto"/>
                <w:szCs w:val="26"/>
              </w:rPr>
            </w:pPr>
          </w:p>
        </w:tc>
      </w:tr>
    </w:tbl>
    <w:p w14:paraId="0EC83D11" w14:textId="77777777" w:rsidR="00DE2363" w:rsidRPr="00981BE5" w:rsidRDefault="00DE2363" w:rsidP="00981BE5">
      <w:pPr>
        <w:spacing w:after="240"/>
        <w:rPr>
          <w:bCs/>
          <w:color w:val="auto"/>
          <w:szCs w:val="26"/>
        </w:rPr>
      </w:pPr>
    </w:p>
    <w:p w14:paraId="04F91435" w14:textId="35BC2AF1" w:rsidR="00E427C5" w:rsidRPr="006171FC" w:rsidRDefault="00E427C5" w:rsidP="008D5C23">
      <w:pPr>
        <w:spacing w:after="240" w:line="360" w:lineRule="auto"/>
        <w:jc w:val="center"/>
        <w:rPr>
          <w:b/>
          <w:color w:val="auto"/>
          <w:szCs w:val="26"/>
        </w:rPr>
      </w:pPr>
      <w:r w:rsidRPr="006171FC">
        <w:rPr>
          <w:b/>
          <w:color w:val="auto"/>
          <w:szCs w:val="26"/>
        </w:rPr>
        <w:t>ORDER</w:t>
      </w:r>
    </w:p>
    <w:p w14:paraId="6288EF79" w14:textId="0A012A9C" w:rsidR="00E427C5" w:rsidRPr="006171FC" w:rsidRDefault="00E427C5" w:rsidP="005D3659">
      <w:pPr>
        <w:spacing w:after="240"/>
        <w:rPr>
          <w:color w:val="auto"/>
          <w:szCs w:val="26"/>
        </w:rPr>
      </w:pPr>
      <w:r w:rsidRPr="006171FC">
        <w:rPr>
          <w:b/>
          <w:color w:val="auto"/>
          <w:szCs w:val="26"/>
        </w:rPr>
        <w:t>BY THE COMMISSION:</w:t>
      </w:r>
    </w:p>
    <w:p w14:paraId="3A57D3F7" w14:textId="43598419" w:rsidR="00C720E5" w:rsidRPr="006171FC" w:rsidRDefault="00E427C5" w:rsidP="22A753FC">
      <w:pPr>
        <w:spacing w:before="240" w:after="240" w:line="360" w:lineRule="auto"/>
        <w:ind w:firstLine="720"/>
        <w:rPr>
          <w:color w:val="auto"/>
          <w:kern w:val="1"/>
          <w:szCs w:val="26"/>
        </w:rPr>
      </w:pPr>
      <w:r w:rsidRPr="006171FC">
        <w:rPr>
          <w:color w:val="auto"/>
          <w:kern w:val="2"/>
          <w:szCs w:val="26"/>
        </w:rPr>
        <w:t xml:space="preserve">By the </w:t>
      </w:r>
      <w:r w:rsidR="006D330E" w:rsidRPr="006171FC">
        <w:rPr>
          <w:color w:val="auto"/>
          <w:kern w:val="2"/>
          <w:szCs w:val="26"/>
        </w:rPr>
        <w:t>application (</w:t>
      </w:r>
      <w:r w:rsidRPr="006171FC">
        <w:rPr>
          <w:color w:val="auto"/>
          <w:kern w:val="2"/>
          <w:szCs w:val="26"/>
        </w:rPr>
        <w:t>Application</w:t>
      </w:r>
      <w:r w:rsidR="006D330E" w:rsidRPr="006171FC">
        <w:rPr>
          <w:color w:val="auto"/>
          <w:kern w:val="2"/>
          <w:szCs w:val="26"/>
        </w:rPr>
        <w:t>)</w:t>
      </w:r>
      <w:r w:rsidRPr="006171FC">
        <w:rPr>
          <w:color w:val="auto"/>
          <w:kern w:val="2"/>
          <w:szCs w:val="26"/>
        </w:rPr>
        <w:t xml:space="preserve"> filed on </w:t>
      </w:r>
      <w:r w:rsidR="008230FC" w:rsidRPr="006171FC">
        <w:rPr>
          <w:color w:val="auto"/>
          <w:kern w:val="2"/>
          <w:szCs w:val="26"/>
        </w:rPr>
        <w:t>November 1</w:t>
      </w:r>
      <w:r w:rsidR="000F3558" w:rsidRPr="006171FC">
        <w:rPr>
          <w:color w:val="auto"/>
          <w:kern w:val="2"/>
          <w:szCs w:val="26"/>
        </w:rPr>
        <w:t>, 20</w:t>
      </w:r>
      <w:r w:rsidR="00282EEE" w:rsidRPr="006171FC">
        <w:rPr>
          <w:color w:val="auto"/>
          <w:kern w:val="2"/>
          <w:szCs w:val="26"/>
        </w:rPr>
        <w:t>19</w:t>
      </w:r>
      <w:r w:rsidR="00455293" w:rsidRPr="006171FC">
        <w:rPr>
          <w:color w:val="auto"/>
          <w:kern w:val="2"/>
          <w:szCs w:val="26"/>
        </w:rPr>
        <w:t xml:space="preserve">, </w:t>
      </w:r>
      <w:r w:rsidR="008230FC" w:rsidRPr="006171FC">
        <w:rPr>
          <w:color w:val="auto"/>
          <w:kern w:val="2"/>
          <w:szCs w:val="26"/>
        </w:rPr>
        <w:t>The York Water Company</w:t>
      </w:r>
      <w:r w:rsidR="00F02A6D" w:rsidRPr="006171FC">
        <w:rPr>
          <w:color w:val="auto"/>
          <w:kern w:val="2"/>
          <w:szCs w:val="26"/>
        </w:rPr>
        <w:t> </w:t>
      </w:r>
      <w:r w:rsidR="4650A915" w:rsidRPr="006171FC">
        <w:rPr>
          <w:color w:val="auto"/>
          <w:kern w:val="2"/>
          <w:szCs w:val="26"/>
        </w:rPr>
        <w:t xml:space="preserve">- Wastewater </w:t>
      </w:r>
      <w:r w:rsidR="4A518E11" w:rsidRPr="006171FC">
        <w:rPr>
          <w:color w:val="auto"/>
          <w:kern w:val="2"/>
          <w:szCs w:val="26"/>
        </w:rPr>
        <w:t>(</w:t>
      </w:r>
      <w:r w:rsidR="6D050EFF" w:rsidRPr="006171FC">
        <w:rPr>
          <w:color w:val="auto"/>
          <w:kern w:val="2"/>
          <w:szCs w:val="26"/>
        </w:rPr>
        <w:t>York-WW</w:t>
      </w:r>
      <w:r w:rsidR="008662CE" w:rsidRPr="006171FC">
        <w:rPr>
          <w:color w:val="auto"/>
          <w:kern w:val="2"/>
          <w:szCs w:val="26"/>
        </w:rPr>
        <w:t>)</w:t>
      </w:r>
      <w:r w:rsidR="000F3558" w:rsidRPr="006171FC">
        <w:rPr>
          <w:color w:val="auto"/>
          <w:kern w:val="2"/>
          <w:szCs w:val="26"/>
        </w:rPr>
        <w:t xml:space="preserve">, </w:t>
      </w:r>
      <w:r w:rsidR="4CE556EA" w:rsidRPr="006171FC">
        <w:rPr>
          <w:color w:val="auto"/>
          <w:kern w:val="2"/>
          <w:szCs w:val="26"/>
        </w:rPr>
        <w:t xml:space="preserve">Utility Code </w:t>
      </w:r>
      <w:r w:rsidR="4A518E11" w:rsidRPr="006171FC">
        <w:rPr>
          <w:color w:val="auto"/>
          <w:kern w:val="2"/>
          <w:szCs w:val="26"/>
        </w:rPr>
        <w:t>2</w:t>
      </w:r>
      <w:r w:rsidR="7C21E0B7" w:rsidRPr="006171FC">
        <w:rPr>
          <w:color w:val="auto"/>
          <w:kern w:val="2"/>
          <w:szCs w:val="26"/>
        </w:rPr>
        <w:t>30087</w:t>
      </w:r>
      <w:r w:rsidR="4CE556EA" w:rsidRPr="006171FC">
        <w:rPr>
          <w:color w:val="auto"/>
          <w:kern w:val="2"/>
          <w:szCs w:val="26"/>
        </w:rPr>
        <w:t xml:space="preserve">, </w:t>
      </w:r>
      <w:r w:rsidRPr="006171FC">
        <w:rPr>
          <w:color w:val="auto"/>
          <w:kern w:val="2"/>
          <w:szCs w:val="26"/>
        </w:rPr>
        <w:t xml:space="preserve">seeks </w:t>
      </w:r>
      <w:r w:rsidR="00F02A6D" w:rsidRPr="006171FC">
        <w:rPr>
          <w:color w:val="auto"/>
          <w:kern w:val="2"/>
          <w:szCs w:val="26"/>
        </w:rPr>
        <w:t>certificates</w:t>
      </w:r>
      <w:r w:rsidRPr="006171FC">
        <w:rPr>
          <w:color w:val="auto"/>
          <w:kern w:val="2"/>
          <w:szCs w:val="26"/>
        </w:rPr>
        <w:t xml:space="preserve"> of public </w:t>
      </w:r>
      <w:r w:rsidR="002F4A18" w:rsidRPr="006171FC">
        <w:rPr>
          <w:color w:val="auto"/>
          <w:kern w:val="2"/>
          <w:szCs w:val="26"/>
        </w:rPr>
        <w:t xml:space="preserve">convenience pursuant to </w:t>
      </w:r>
      <w:r w:rsidR="00F02A6D" w:rsidRPr="006171FC">
        <w:rPr>
          <w:color w:val="auto"/>
          <w:kern w:val="2"/>
          <w:szCs w:val="26"/>
        </w:rPr>
        <w:t>Sections</w:t>
      </w:r>
      <w:r w:rsidR="002F4A18" w:rsidRPr="006171FC">
        <w:rPr>
          <w:color w:val="auto"/>
          <w:kern w:val="2"/>
          <w:szCs w:val="26"/>
        </w:rPr>
        <w:t> </w:t>
      </w:r>
      <w:r w:rsidRPr="006171FC">
        <w:rPr>
          <w:color w:val="auto"/>
          <w:kern w:val="2"/>
          <w:szCs w:val="26"/>
        </w:rPr>
        <w:t>1102(a)</w:t>
      </w:r>
      <w:r w:rsidR="00E07948" w:rsidRPr="006171FC">
        <w:rPr>
          <w:color w:val="auto"/>
          <w:kern w:val="2"/>
          <w:szCs w:val="26"/>
        </w:rPr>
        <w:t>(1)</w:t>
      </w:r>
      <w:r w:rsidR="001C2811" w:rsidRPr="006171FC">
        <w:rPr>
          <w:color w:val="auto"/>
          <w:kern w:val="2"/>
          <w:szCs w:val="26"/>
        </w:rPr>
        <w:t>(i)</w:t>
      </w:r>
      <w:r w:rsidRPr="006171FC">
        <w:rPr>
          <w:color w:val="auto"/>
          <w:kern w:val="2"/>
          <w:szCs w:val="26"/>
        </w:rPr>
        <w:t xml:space="preserve"> </w:t>
      </w:r>
      <w:r w:rsidR="00F02A6D" w:rsidRPr="006171FC">
        <w:rPr>
          <w:color w:val="auto"/>
          <w:kern w:val="2"/>
          <w:szCs w:val="26"/>
        </w:rPr>
        <w:t xml:space="preserve">and 1102(a)(3) </w:t>
      </w:r>
      <w:r w:rsidRPr="006171FC">
        <w:rPr>
          <w:color w:val="auto"/>
          <w:kern w:val="2"/>
          <w:szCs w:val="26"/>
        </w:rPr>
        <w:t>of the Pub</w:t>
      </w:r>
      <w:r w:rsidR="005702EE" w:rsidRPr="006171FC">
        <w:rPr>
          <w:color w:val="auto"/>
          <w:kern w:val="2"/>
          <w:szCs w:val="26"/>
        </w:rPr>
        <w:t>lic Utility Code, 66 Pa.</w:t>
      </w:r>
      <w:r w:rsidR="00F02A6D" w:rsidRPr="006171FC">
        <w:rPr>
          <w:color w:val="auto"/>
          <w:kern w:val="2"/>
          <w:szCs w:val="26"/>
        </w:rPr>
        <w:t xml:space="preserve"> </w:t>
      </w:r>
      <w:r w:rsidR="005702EE" w:rsidRPr="006171FC">
        <w:rPr>
          <w:color w:val="auto"/>
          <w:kern w:val="2"/>
          <w:szCs w:val="26"/>
        </w:rPr>
        <w:t>C.S.</w:t>
      </w:r>
      <w:r w:rsidR="00F02A6D" w:rsidRPr="006171FC">
        <w:rPr>
          <w:color w:val="auto"/>
          <w:kern w:val="2"/>
          <w:szCs w:val="26"/>
        </w:rPr>
        <w:t xml:space="preserve"> §§ </w:t>
      </w:r>
      <w:r w:rsidRPr="006171FC">
        <w:rPr>
          <w:color w:val="auto"/>
          <w:kern w:val="2"/>
          <w:szCs w:val="26"/>
        </w:rPr>
        <w:t>1102(a)</w:t>
      </w:r>
      <w:r w:rsidR="00E07948" w:rsidRPr="006171FC">
        <w:rPr>
          <w:color w:val="auto"/>
          <w:kern w:val="2"/>
          <w:szCs w:val="26"/>
        </w:rPr>
        <w:t>(1)</w:t>
      </w:r>
      <w:r w:rsidR="001C2811" w:rsidRPr="006171FC">
        <w:rPr>
          <w:color w:val="auto"/>
          <w:kern w:val="2"/>
          <w:szCs w:val="26"/>
        </w:rPr>
        <w:t>(i</w:t>
      </w:r>
      <w:r w:rsidR="00F02A6D" w:rsidRPr="006171FC">
        <w:rPr>
          <w:color w:val="auto"/>
          <w:kern w:val="2"/>
          <w:szCs w:val="26"/>
        </w:rPr>
        <w:t>) and 1102(a)(3</w:t>
      </w:r>
      <w:r w:rsidR="001C2811" w:rsidRPr="006171FC">
        <w:rPr>
          <w:color w:val="auto"/>
          <w:kern w:val="2"/>
          <w:szCs w:val="26"/>
        </w:rPr>
        <w:t>)</w:t>
      </w:r>
      <w:r w:rsidRPr="006171FC">
        <w:rPr>
          <w:color w:val="auto"/>
          <w:kern w:val="2"/>
          <w:szCs w:val="26"/>
        </w:rPr>
        <w:t>, evidencing Commission approval of</w:t>
      </w:r>
      <w:r w:rsidR="00C46458" w:rsidRPr="006171FC">
        <w:rPr>
          <w:color w:val="auto"/>
          <w:kern w:val="2"/>
          <w:szCs w:val="26"/>
        </w:rPr>
        <w:t xml:space="preserve"> </w:t>
      </w:r>
      <w:r w:rsidR="00F02A6D" w:rsidRPr="006171FC">
        <w:rPr>
          <w:color w:val="auto"/>
          <w:kern w:val="2"/>
          <w:szCs w:val="26"/>
        </w:rPr>
        <w:t>the right to:</w:t>
      </w:r>
      <w:r w:rsidR="0037675C" w:rsidRPr="006171FC">
        <w:rPr>
          <w:color w:val="auto"/>
          <w:kern w:val="2"/>
          <w:szCs w:val="26"/>
        </w:rPr>
        <w:t xml:space="preserve"> </w:t>
      </w:r>
      <w:r w:rsidR="00291600" w:rsidRPr="006171FC">
        <w:rPr>
          <w:color w:val="auto"/>
          <w:kern w:val="2"/>
          <w:szCs w:val="26"/>
        </w:rPr>
        <w:t xml:space="preserve"> </w:t>
      </w:r>
      <w:r w:rsidR="00F02A6D" w:rsidRPr="006171FC">
        <w:rPr>
          <w:color w:val="auto"/>
          <w:kern w:val="2"/>
          <w:szCs w:val="26"/>
        </w:rPr>
        <w:t>(1) acquire certain wastewater facilities from CCD Rock Creek LLC (Rock Creek); and (2) begin</w:t>
      </w:r>
      <w:r w:rsidRPr="006171FC">
        <w:rPr>
          <w:color w:val="auto"/>
          <w:kern w:val="2"/>
          <w:szCs w:val="26"/>
        </w:rPr>
        <w:t xml:space="preserve"> to offer, render, furnish or supply </w:t>
      </w:r>
      <w:r w:rsidR="005F56D1" w:rsidRPr="006171FC">
        <w:rPr>
          <w:color w:val="auto"/>
          <w:kern w:val="2"/>
          <w:szCs w:val="26"/>
        </w:rPr>
        <w:t>waste</w:t>
      </w:r>
      <w:r w:rsidRPr="006171FC">
        <w:rPr>
          <w:color w:val="auto"/>
          <w:kern w:val="2"/>
          <w:szCs w:val="26"/>
        </w:rPr>
        <w:t xml:space="preserve">water service to the public in </w:t>
      </w:r>
      <w:r w:rsidR="00844E56" w:rsidRPr="006171FC">
        <w:rPr>
          <w:color w:val="auto"/>
          <w:kern w:val="2"/>
          <w:szCs w:val="26"/>
        </w:rPr>
        <w:t>a</w:t>
      </w:r>
      <w:r w:rsidRPr="006171FC">
        <w:rPr>
          <w:color w:val="auto"/>
          <w:kern w:val="2"/>
          <w:szCs w:val="26"/>
        </w:rPr>
        <w:t xml:space="preserve"> portion of </w:t>
      </w:r>
      <w:r w:rsidR="00844E56" w:rsidRPr="006171FC">
        <w:rPr>
          <w:color w:val="auto"/>
          <w:kern w:val="2"/>
          <w:szCs w:val="26"/>
        </w:rPr>
        <w:t>Straban</w:t>
      </w:r>
      <w:r w:rsidRPr="006171FC">
        <w:rPr>
          <w:color w:val="auto"/>
          <w:kern w:val="2"/>
          <w:szCs w:val="26"/>
        </w:rPr>
        <w:t xml:space="preserve"> Township, </w:t>
      </w:r>
      <w:r w:rsidR="00844E56" w:rsidRPr="006171FC">
        <w:rPr>
          <w:color w:val="auto"/>
          <w:kern w:val="2"/>
          <w:szCs w:val="26"/>
        </w:rPr>
        <w:t>Adams</w:t>
      </w:r>
      <w:r w:rsidR="006A4697" w:rsidRPr="006171FC">
        <w:rPr>
          <w:color w:val="auto"/>
          <w:kern w:val="2"/>
          <w:szCs w:val="26"/>
        </w:rPr>
        <w:t xml:space="preserve"> </w:t>
      </w:r>
      <w:r w:rsidRPr="006171FC">
        <w:rPr>
          <w:color w:val="auto"/>
          <w:kern w:val="2"/>
          <w:szCs w:val="26"/>
        </w:rPr>
        <w:t>County, Pennsylvania.</w:t>
      </w:r>
    </w:p>
    <w:p w14:paraId="32771C4A" w14:textId="4D4DCE8A" w:rsidR="2C6B6B3E" w:rsidRPr="006171FC" w:rsidRDefault="2C6B6B3E" w:rsidP="22A753FC">
      <w:pPr>
        <w:pStyle w:val="ListParagraph"/>
        <w:numPr>
          <w:ilvl w:val="0"/>
          <w:numId w:val="5"/>
        </w:numPr>
        <w:spacing w:before="240" w:after="240" w:line="360" w:lineRule="auto"/>
        <w:rPr>
          <w:b/>
          <w:color w:val="auto"/>
          <w:szCs w:val="26"/>
        </w:rPr>
      </w:pPr>
      <w:r w:rsidRPr="006171FC">
        <w:rPr>
          <w:b/>
          <w:bCs/>
          <w:color w:val="auto"/>
          <w:szCs w:val="26"/>
        </w:rPr>
        <w:t>AFFECTED ENTITIES AND BACKGROUND</w:t>
      </w:r>
    </w:p>
    <w:p w14:paraId="08050A15" w14:textId="7FC56D7C" w:rsidR="005F3A02" w:rsidRPr="006171FC" w:rsidRDefault="002726A4" w:rsidP="22A753FC">
      <w:pPr>
        <w:spacing w:after="240" w:line="360" w:lineRule="auto"/>
        <w:ind w:firstLine="720"/>
        <w:rPr>
          <w:color w:val="auto"/>
          <w:szCs w:val="26"/>
        </w:rPr>
      </w:pPr>
      <w:r w:rsidRPr="006171FC">
        <w:rPr>
          <w:color w:val="auto"/>
          <w:szCs w:val="26"/>
        </w:rPr>
        <w:t>York-WW</w:t>
      </w:r>
      <w:r w:rsidR="008B5A62" w:rsidRPr="006171FC">
        <w:rPr>
          <w:color w:val="auto"/>
          <w:szCs w:val="26"/>
        </w:rPr>
        <w:t>, Utility Code 2</w:t>
      </w:r>
      <w:r w:rsidR="00291600" w:rsidRPr="006171FC">
        <w:rPr>
          <w:color w:val="auto"/>
          <w:szCs w:val="26"/>
        </w:rPr>
        <w:t>30087</w:t>
      </w:r>
      <w:r w:rsidR="008B5A62" w:rsidRPr="006171FC">
        <w:rPr>
          <w:color w:val="auto"/>
          <w:szCs w:val="26"/>
        </w:rPr>
        <w:t xml:space="preserve">, </w:t>
      </w:r>
      <w:r w:rsidRPr="006171FC">
        <w:rPr>
          <w:color w:val="auto"/>
          <w:szCs w:val="26"/>
        </w:rPr>
        <w:t>is a regulated public utility company, duly organized and existing under the laws of the Commonwealth of Pennsylvania</w:t>
      </w:r>
      <w:bookmarkStart w:id="0" w:name="_Hlk33510020"/>
      <w:r w:rsidR="008A2F8E" w:rsidRPr="006171FC">
        <w:rPr>
          <w:color w:val="auto"/>
          <w:szCs w:val="26"/>
        </w:rPr>
        <w:t xml:space="preserve"> with offices</w:t>
      </w:r>
      <w:r w:rsidRPr="006171FC">
        <w:rPr>
          <w:color w:val="auto"/>
          <w:szCs w:val="26"/>
        </w:rPr>
        <w:t xml:space="preserve"> located at </w:t>
      </w:r>
      <w:r w:rsidRPr="006171FC">
        <w:rPr>
          <w:color w:val="auto"/>
          <w:kern w:val="2"/>
          <w:szCs w:val="26"/>
        </w:rPr>
        <w:t xml:space="preserve">130 East Market Street, York, Pennsylvania 17401.  </w:t>
      </w:r>
      <w:bookmarkEnd w:id="0"/>
      <w:r w:rsidRPr="006171FC">
        <w:rPr>
          <w:color w:val="auto"/>
          <w:szCs w:val="26"/>
        </w:rPr>
        <w:t>As of June 30, 2019, York-WW furnished wastewater service to 2,989 customers</w:t>
      </w:r>
      <w:r w:rsidR="00FD11FF" w:rsidRPr="006171FC">
        <w:rPr>
          <w:color w:val="auto"/>
          <w:szCs w:val="26"/>
        </w:rPr>
        <w:t xml:space="preserve"> in portions of East Manchester and Lower Windsor Townships and the Boroughs of East Prospect, Jacobus, and West York </w:t>
      </w:r>
      <w:r w:rsidR="00FD11FF" w:rsidRPr="006171FC">
        <w:rPr>
          <w:color w:val="auto"/>
          <w:szCs w:val="26"/>
        </w:rPr>
        <w:lastRenderedPageBreak/>
        <w:t>in York County</w:t>
      </w:r>
      <w:r w:rsidR="40417886" w:rsidRPr="006171FC">
        <w:rPr>
          <w:color w:val="auto"/>
          <w:szCs w:val="26"/>
        </w:rPr>
        <w:t>.</w:t>
      </w:r>
      <w:r w:rsidR="40417886" w:rsidRPr="006171FC" w:rsidDel="00FD11FF">
        <w:rPr>
          <w:color w:val="auto"/>
          <w:szCs w:val="26"/>
        </w:rPr>
        <w:t xml:space="preserve"> </w:t>
      </w:r>
      <w:r w:rsidR="00555A6C" w:rsidRPr="006171FC" w:rsidDel="00FD11FF">
        <w:rPr>
          <w:color w:val="auto"/>
          <w:szCs w:val="26"/>
        </w:rPr>
        <w:t xml:space="preserve"> </w:t>
      </w:r>
      <w:r w:rsidR="00291600" w:rsidRPr="006171FC">
        <w:rPr>
          <w:color w:val="auto"/>
          <w:szCs w:val="26"/>
        </w:rPr>
        <w:t xml:space="preserve">York-WW is also a </w:t>
      </w:r>
      <w:r w:rsidR="00B53DF8" w:rsidRPr="006171FC">
        <w:rPr>
          <w:color w:val="auto"/>
          <w:szCs w:val="26"/>
        </w:rPr>
        <w:t xml:space="preserve">wholly-owned </w:t>
      </w:r>
      <w:r w:rsidR="00291600" w:rsidRPr="006171FC">
        <w:rPr>
          <w:color w:val="auto"/>
          <w:szCs w:val="26"/>
        </w:rPr>
        <w:t xml:space="preserve">division of </w:t>
      </w:r>
      <w:r w:rsidR="00E7714C">
        <w:rPr>
          <w:color w:val="auto"/>
          <w:szCs w:val="26"/>
        </w:rPr>
        <w:t>T</w:t>
      </w:r>
      <w:r w:rsidR="00291600" w:rsidRPr="006171FC">
        <w:rPr>
          <w:color w:val="auto"/>
          <w:szCs w:val="26"/>
        </w:rPr>
        <w:t xml:space="preserve">he York Water Company (York Water), Utility Code 213550.  </w:t>
      </w:r>
      <w:r w:rsidRPr="006171FC">
        <w:rPr>
          <w:color w:val="auto"/>
          <w:szCs w:val="26"/>
        </w:rPr>
        <w:t xml:space="preserve">As of June 30, 2019, </w:t>
      </w:r>
      <w:r w:rsidR="00D94AB9" w:rsidRPr="006171FC">
        <w:rPr>
          <w:color w:val="auto"/>
          <w:szCs w:val="26"/>
        </w:rPr>
        <w:t>York Water</w:t>
      </w:r>
      <w:r w:rsidRPr="006171FC">
        <w:rPr>
          <w:color w:val="auto"/>
          <w:szCs w:val="26"/>
        </w:rPr>
        <w:t xml:space="preserve"> provided water service to 68,249 customers in 48 municipalities throughout portions of York and Adams Counties.</w:t>
      </w:r>
      <w:r w:rsidR="0B7B1B53" w:rsidRPr="006171FC">
        <w:rPr>
          <w:color w:val="auto"/>
          <w:szCs w:val="26"/>
        </w:rPr>
        <w:t xml:space="preserve">  York Water concurrently filed a separate application with the Commission to provide water service to a</w:t>
      </w:r>
      <w:r w:rsidR="00552CB3" w:rsidRPr="006171FC">
        <w:rPr>
          <w:color w:val="auto"/>
          <w:szCs w:val="26"/>
        </w:rPr>
        <w:t xml:space="preserve"> </w:t>
      </w:r>
      <w:r w:rsidR="0B7B1B53" w:rsidRPr="006171FC">
        <w:rPr>
          <w:color w:val="auto"/>
          <w:szCs w:val="26"/>
        </w:rPr>
        <w:t>portion of Straban Township</w:t>
      </w:r>
      <w:r w:rsidR="00FE2349">
        <w:rPr>
          <w:color w:val="auto"/>
          <w:szCs w:val="26"/>
        </w:rPr>
        <w:t xml:space="preserve"> </w:t>
      </w:r>
      <w:r w:rsidR="00552CB3" w:rsidRPr="006171FC">
        <w:rPr>
          <w:color w:val="auto"/>
          <w:szCs w:val="26"/>
        </w:rPr>
        <w:t xml:space="preserve">that </w:t>
      </w:r>
      <w:r w:rsidR="000F4D7C" w:rsidRPr="006171FC">
        <w:rPr>
          <w:color w:val="auto"/>
          <w:szCs w:val="26"/>
        </w:rPr>
        <w:t xml:space="preserve">partially </w:t>
      </w:r>
      <w:r w:rsidR="00552CB3" w:rsidRPr="006171FC">
        <w:rPr>
          <w:color w:val="auto"/>
          <w:szCs w:val="26"/>
        </w:rPr>
        <w:t xml:space="preserve">overlaps the requested wastewater </w:t>
      </w:r>
      <w:r w:rsidR="00A2438E" w:rsidRPr="006171FC">
        <w:rPr>
          <w:color w:val="auto"/>
          <w:szCs w:val="26"/>
        </w:rPr>
        <w:t>territory</w:t>
      </w:r>
      <w:r w:rsidR="21BB4A84" w:rsidRPr="006171FC">
        <w:rPr>
          <w:color w:val="auto"/>
          <w:szCs w:val="26"/>
        </w:rPr>
        <w:t>.</w:t>
      </w:r>
      <w:r w:rsidR="00FE2349">
        <w:rPr>
          <w:rStyle w:val="FootnoteReference"/>
          <w:color w:val="auto"/>
          <w:szCs w:val="26"/>
        </w:rPr>
        <w:footnoteReference w:id="2"/>
      </w:r>
    </w:p>
    <w:p w14:paraId="077BA218" w14:textId="6CA26498" w:rsidR="00CC3BA7" w:rsidRPr="006171FC" w:rsidRDefault="004363B5" w:rsidP="00F559F2">
      <w:pPr>
        <w:spacing w:after="240" w:line="360" w:lineRule="auto"/>
        <w:ind w:firstLine="720"/>
        <w:rPr>
          <w:color w:val="auto"/>
          <w:szCs w:val="26"/>
        </w:rPr>
      </w:pPr>
      <w:r w:rsidRPr="006171FC">
        <w:rPr>
          <w:color w:val="auto"/>
          <w:szCs w:val="26"/>
        </w:rPr>
        <w:t>York-WW</w:t>
      </w:r>
      <w:r w:rsidR="00CC3BA7" w:rsidRPr="006171FC">
        <w:rPr>
          <w:color w:val="auto"/>
          <w:szCs w:val="26"/>
        </w:rPr>
        <w:t xml:space="preserve"> identified </w:t>
      </w:r>
      <w:r w:rsidR="78DFF1F9" w:rsidRPr="006171FC">
        <w:rPr>
          <w:color w:val="auto"/>
          <w:szCs w:val="26"/>
        </w:rPr>
        <w:t xml:space="preserve">Rock Creek as the developer </w:t>
      </w:r>
      <w:r w:rsidR="00CC3BA7" w:rsidRPr="006171FC">
        <w:rPr>
          <w:color w:val="auto"/>
          <w:szCs w:val="26"/>
        </w:rPr>
        <w:t xml:space="preserve">requesting public wastewater service </w:t>
      </w:r>
      <w:bookmarkStart w:id="1" w:name="_Hlk33510209"/>
      <w:r w:rsidR="00CC3BA7" w:rsidRPr="006171FC">
        <w:rPr>
          <w:color w:val="auto"/>
          <w:szCs w:val="26"/>
        </w:rPr>
        <w:t xml:space="preserve">to a proposed </w:t>
      </w:r>
      <w:r w:rsidR="00A139E3" w:rsidRPr="006171FC">
        <w:rPr>
          <w:color w:val="auto"/>
          <w:szCs w:val="26"/>
        </w:rPr>
        <w:t xml:space="preserve">55+ age restricted housing </w:t>
      </w:r>
      <w:r w:rsidR="00CC3BA7" w:rsidRPr="006171FC">
        <w:rPr>
          <w:color w:val="auto"/>
          <w:szCs w:val="26"/>
        </w:rPr>
        <w:t xml:space="preserve">development </w:t>
      </w:r>
      <w:r w:rsidR="00A139E3" w:rsidRPr="006171FC">
        <w:rPr>
          <w:color w:val="auto"/>
          <w:szCs w:val="26"/>
        </w:rPr>
        <w:t xml:space="preserve">and other facilities </w:t>
      </w:r>
      <w:r w:rsidR="78F7218D" w:rsidRPr="006171FC">
        <w:rPr>
          <w:color w:val="auto"/>
          <w:szCs w:val="26"/>
        </w:rPr>
        <w:t>that, when built out, would be</w:t>
      </w:r>
      <w:r w:rsidR="00A139E3" w:rsidRPr="006171FC">
        <w:rPr>
          <w:color w:val="auto"/>
          <w:szCs w:val="26"/>
        </w:rPr>
        <w:t xml:space="preserve"> </w:t>
      </w:r>
      <w:r w:rsidR="00CC3BA7" w:rsidRPr="006171FC">
        <w:rPr>
          <w:color w:val="auto"/>
          <w:szCs w:val="26"/>
        </w:rPr>
        <w:t>comprised of over 2</w:t>
      </w:r>
      <w:r w:rsidR="00A139E3" w:rsidRPr="006171FC">
        <w:rPr>
          <w:color w:val="auto"/>
          <w:szCs w:val="26"/>
        </w:rPr>
        <w:t>,</w:t>
      </w:r>
      <w:r w:rsidR="00CC3BA7" w:rsidRPr="006171FC">
        <w:rPr>
          <w:color w:val="auto"/>
          <w:szCs w:val="26"/>
        </w:rPr>
        <w:t xml:space="preserve">000 residential dwellings </w:t>
      </w:r>
      <w:r w:rsidR="3C3E4864" w:rsidRPr="006171FC">
        <w:rPr>
          <w:color w:val="auto"/>
          <w:szCs w:val="26"/>
        </w:rPr>
        <w:t>and certain amenity facilities known as</w:t>
      </w:r>
      <w:r w:rsidR="00CC3BA7" w:rsidRPr="006171FC">
        <w:rPr>
          <w:color w:val="auto"/>
          <w:szCs w:val="26"/>
        </w:rPr>
        <w:t xml:space="preserve"> Amblebrook Gettysburg (Amblebrook) in Straban Township</w:t>
      </w:r>
      <w:bookmarkEnd w:id="1"/>
      <w:r w:rsidR="00A139E3" w:rsidRPr="006171FC">
        <w:rPr>
          <w:color w:val="auto"/>
          <w:szCs w:val="26"/>
        </w:rPr>
        <w:t xml:space="preserve">.  York-WW provided </w:t>
      </w:r>
      <w:r w:rsidR="00CE0980" w:rsidRPr="006171FC">
        <w:rPr>
          <w:color w:val="auto"/>
          <w:szCs w:val="26"/>
        </w:rPr>
        <w:t>a</w:t>
      </w:r>
      <w:r w:rsidR="00A139E3" w:rsidRPr="006171FC">
        <w:rPr>
          <w:color w:val="auto"/>
          <w:szCs w:val="26"/>
        </w:rPr>
        <w:t xml:space="preserve"> copy of a Water and Wastewater Agreement</w:t>
      </w:r>
      <w:r w:rsidR="00CE0980" w:rsidRPr="006171FC">
        <w:rPr>
          <w:color w:val="auto"/>
          <w:szCs w:val="26"/>
        </w:rPr>
        <w:t xml:space="preserve"> </w:t>
      </w:r>
      <w:r w:rsidR="4B428FB0" w:rsidRPr="006171FC">
        <w:rPr>
          <w:color w:val="auto"/>
          <w:szCs w:val="26"/>
        </w:rPr>
        <w:t>(Developer Agreement)</w:t>
      </w:r>
      <w:r w:rsidR="00CE0980" w:rsidRPr="006171FC">
        <w:rPr>
          <w:color w:val="auto"/>
          <w:szCs w:val="26"/>
        </w:rPr>
        <w:t xml:space="preserve"> executed by</w:t>
      </w:r>
      <w:r w:rsidR="00380C2C" w:rsidRPr="006171FC">
        <w:rPr>
          <w:color w:val="auto"/>
          <w:szCs w:val="26"/>
        </w:rPr>
        <w:t xml:space="preserve"> </w:t>
      </w:r>
      <w:r w:rsidR="34A6E7EE" w:rsidRPr="006171FC">
        <w:rPr>
          <w:color w:val="auto"/>
          <w:szCs w:val="26"/>
        </w:rPr>
        <w:t xml:space="preserve">only </w:t>
      </w:r>
      <w:r w:rsidR="00CE0980" w:rsidRPr="006171FC">
        <w:rPr>
          <w:color w:val="auto"/>
          <w:szCs w:val="26"/>
        </w:rPr>
        <w:t>Rock Creek</w:t>
      </w:r>
      <w:r w:rsidR="00A139E3" w:rsidRPr="006171FC">
        <w:rPr>
          <w:color w:val="auto"/>
          <w:szCs w:val="26"/>
        </w:rPr>
        <w:t xml:space="preserve"> for Amblebrook, dated March 7, 2019, in the Application’s Exhibit H.</w:t>
      </w:r>
      <w:r w:rsidR="00444680" w:rsidRPr="006171FC">
        <w:rPr>
          <w:color w:val="auto"/>
          <w:szCs w:val="26"/>
        </w:rPr>
        <w:t xml:space="preserve">  </w:t>
      </w:r>
      <w:r w:rsidR="2EE56882" w:rsidRPr="006171FC">
        <w:rPr>
          <w:color w:val="auto"/>
          <w:szCs w:val="26"/>
        </w:rPr>
        <w:t>In supplemental information filed with the Commission, York-WW provided evidence that Rock Creek is the successor in interest to the previous owners of Amblebrook, including Greater Gettysburg Investm</w:t>
      </w:r>
      <w:r w:rsidR="6574A40D" w:rsidRPr="006171FC">
        <w:rPr>
          <w:color w:val="auto"/>
          <w:szCs w:val="26"/>
        </w:rPr>
        <w:t>ent Group, L.P. and Greater Gettysburg Development Co., LLC.  York-WW also provided a fully executed copy</w:t>
      </w:r>
      <w:r w:rsidR="454C85BE" w:rsidRPr="006171FC">
        <w:rPr>
          <w:color w:val="auto"/>
          <w:szCs w:val="26"/>
        </w:rPr>
        <w:t xml:space="preserve"> of the Developer Agreement between York-WW and Rock Creek, dated March 7, 2019.</w:t>
      </w:r>
    </w:p>
    <w:p w14:paraId="78BED084" w14:textId="2B867EAC" w:rsidR="00331713" w:rsidRPr="006171FC" w:rsidRDefault="536B99E1" w:rsidP="14ACDE5E">
      <w:pPr>
        <w:tabs>
          <w:tab w:val="left" w:pos="1440"/>
        </w:tabs>
        <w:spacing w:before="260" w:after="260" w:line="360" w:lineRule="auto"/>
        <w:ind w:firstLine="720"/>
        <w:rPr>
          <w:color w:val="auto"/>
          <w:szCs w:val="26"/>
        </w:rPr>
      </w:pPr>
      <w:r w:rsidRPr="006171FC">
        <w:rPr>
          <w:color w:val="auto"/>
          <w:kern w:val="2"/>
          <w:szCs w:val="26"/>
        </w:rPr>
        <w:t xml:space="preserve">In supplemental information filed with the Commission, </w:t>
      </w:r>
      <w:r w:rsidR="68295C80" w:rsidRPr="006171FC">
        <w:rPr>
          <w:color w:val="auto"/>
          <w:szCs w:val="26"/>
        </w:rPr>
        <w:t xml:space="preserve">York-WW indicated </w:t>
      </w:r>
      <w:r w:rsidR="0082228D">
        <w:rPr>
          <w:color w:val="auto"/>
          <w:szCs w:val="26"/>
        </w:rPr>
        <w:t xml:space="preserve">that </w:t>
      </w:r>
      <w:r w:rsidR="68295C80" w:rsidRPr="006171FC">
        <w:rPr>
          <w:color w:val="auto"/>
          <w:szCs w:val="26"/>
        </w:rPr>
        <w:t xml:space="preserve">Greater Gettysburg Development Co., LLC and, correspondingly, Rock Creek, as the successor in interest, received a Pennsylvania Department of Environmental Protection (DEP) Public Water Supply (PWS) Operating Permit No. 0117506 on February 12, 2020, and </w:t>
      </w:r>
      <w:r w:rsidR="00861F9C">
        <w:rPr>
          <w:color w:val="auto"/>
          <w:szCs w:val="26"/>
        </w:rPr>
        <w:t>subsequently began</w:t>
      </w:r>
      <w:r w:rsidR="68295C80" w:rsidRPr="006171FC">
        <w:rPr>
          <w:color w:val="auto"/>
          <w:szCs w:val="26"/>
        </w:rPr>
        <w:t xml:space="preserve"> to provide water service, at no charge, to several completed homes in Amblebrook.  </w:t>
      </w:r>
      <w:r w:rsidR="00DB1309">
        <w:rPr>
          <w:color w:val="auto"/>
          <w:szCs w:val="26"/>
        </w:rPr>
        <w:t>W</w:t>
      </w:r>
      <w:r w:rsidR="00525B30" w:rsidRPr="006171FC">
        <w:rPr>
          <w:color w:val="auto"/>
          <w:szCs w:val="26"/>
        </w:rPr>
        <w:t>ith</w:t>
      </w:r>
      <w:r w:rsidR="574F143C" w:rsidRPr="006171FC">
        <w:rPr>
          <w:color w:val="auto"/>
          <w:szCs w:val="26"/>
        </w:rPr>
        <w:t xml:space="preserve"> the provision of water service, Rock Creek</w:t>
      </w:r>
      <w:r w:rsidR="4957F22F" w:rsidRPr="006171FC">
        <w:rPr>
          <w:color w:val="auto"/>
          <w:szCs w:val="26"/>
        </w:rPr>
        <w:t>, on or after June</w:t>
      </w:r>
      <w:r w:rsidR="00D15891">
        <w:rPr>
          <w:color w:val="auto"/>
          <w:szCs w:val="26"/>
        </w:rPr>
        <w:t> </w:t>
      </w:r>
      <w:r w:rsidR="4957F22F" w:rsidRPr="006171FC">
        <w:rPr>
          <w:color w:val="auto"/>
          <w:szCs w:val="26"/>
        </w:rPr>
        <w:t>1, 2020,</w:t>
      </w:r>
      <w:r w:rsidR="574F143C" w:rsidRPr="006171FC">
        <w:rPr>
          <w:color w:val="auto"/>
          <w:szCs w:val="26"/>
        </w:rPr>
        <w:t xml:space="preserve"> has </w:t>
      </w:r>
      <w:r w:rsidR="45844B39" w:rsidRPr="006171FC">
        <w:rPr>
          <w:color w:val="auto"/>
          <w:szCs w:val="26"/>
        </w:rPr>
        <w:t xml:space="preserve">also started to collect </w:t>
      </w:r>
      <w:r w:rsidR="48A3A820" w:rsidRPr="006171FC">
        <w:rPr>
          <w:color w:val="auto"/>
          <w:szCs w:val="26"/>
        </w:rPr>
        <w:t xml:space="preserve">wastewater from </w:t>
      </w:r>
      <w:r w:rsidR="6AB57637" w:rsidRPr="006171FC">
        <w:rPr>
          <w:color w:val="auto"/>
          <w:szCs w:val="26"/>
        </w:rPr>
        <w:t xml:space="preserve">occupied residential dwellings </w:t>
      </w:r>
      <w:r w:rsidR="6AB57637" w:rsidRPr="006171FC">
        <w:rPr>
          <w:color w:val="auto"/>
          <w:szCs w:val="26"/>
        </w:rPr>
        <w:lastRenderedPageBreak/>
        <w:t>and other facilities within Phase 1 of Amblebrook</w:t>
      </w:r>
      <w:r w:rsidR="001918E3" w:rsidRPr="006171FC">
        <w:rPr>
          <w:color w:val="auto"/>
          <w:szCs w:val="26"/>
        </w:rPr>
        <w:t xml:space="preserve"> </w:t>
      </w:r>
      <w:r w:rsidR="000612B7" w:rsidRPr="006171FC">
        <w:rPr>
          <w:color w:val="auto"/>
          <w:szCs w:val="26"/>
        </w:rPr>
        <w:t>a</w:t>
      </w:r>
      <w:r w:rsidR="008C279E" w:rsidRPr="006171FC">
        <w:rPr>
          <w:color w:val="auto"/>
          <w:szCs w:val="26"/>
        </w:rPr>
        <w:t xml:space="preserve">nd haul </w:t>
      </w:r>
      <w:r w:rsidR="0037675C" w:rsidRPr="006171FC">
        <w:rPr>
          <w:color w:val="auto"/>
          <w:szCs w:val="26"/>
        </w:rPr>
        <w:t xml:space="preserve">the wastewater </w:t>
      </w:r>
      <w:r w:rsidR="001918E3" w:rsidRPr="006171FC">
        <w:rPr>
          <w:color w:val="auto"/>
          <w:szCs w:val="26"/>
        </w:rPr>
        <w:t>offsite for disposal</w:t>
      </w:r>
      <w:r w:rsidR="00AE560D">
        <w:rPr>
          <w:color w:val="auto"/>
          <w:szCs w:val="26"/>
        </w:rPr>
        <w:t xml:space="preserve">, </w:t>
      </w:r>
      <w:r w:rsidR="00194038">
        <w:rPr>
          <w:color w:val="auto"/>
          <w:szCs w:val="26"/>
        </w:rPr>
        <w:t>also at no charge</w:t>
      </w:r>
      <w:r w:rsidR="6AB57637" w:rsidRPr="006171FC">
        <w:rPr>
          <w:color w:val="auto"/>
          <w:szCs w:val="26"/>
        </w:rPr>
        <w:t>.</w:t>
      </w:r>
    </w:p>
    <w:p w14:paraId="40C79D03" w14:textId="3CB834E4" w:rsidR="00331713" w:rsidRPr="006171FC" w:rsidRDefault="00CC3BA7" w:rsidP="00AB645D">
      <w:pPr>
        <w:tabs>
          <w:tab w:val="left" w:pos="1440"/>
        </w:tabs>
        <w:spacing w:before="260" w:after="260" w:line="360" w:lineRule="auto"/>
        <w:ind w:firstLine="720"/>
        <w:rPr>
          <w:color w:val="auto"/>
          <w:kern w:val="2"/>
          <w:szCs w:val="26"/>
        </w:rPr>
      </w:pPr>
      <w:r w:rsidRPr="006171FC">
        <w:rPr>
          <w:color w:val="auto"/>
          <w:kern w:val="2"/>
          <w:szCs w:val="26"/>
        </w:rPr>
        <w:t>York</w:t>
      </w:r>
      <w:r w:rsidR="001D66DD" w:rsidRPr="006171FC">
        <w:rPr>
          <w:color w:val="auto"/>
          <w:kern w:val="2"/>
          <w:szCs w:val="26"/>
        </w:rPr>
        <w:t xml:space="preserve">-WW </w:t>
      </w:r>
      <w:r w:rsidR="0C82FC13" w:rsidRPr="006171FC">
        <w:rPr>
          <w:color w:val="auto"/>
          <w:kern w:val="2"/>
          <w:szCs w:val="26"/>
        </w:rPr>
        <w:t xml:space="preserve">filed </w:t>
      </w:r>
      <w:r w:rsidRPr="006171FC">
        <w:rPr>
          <w:color w:val="auto"/>
          <w:kern w:val="2"/>
          <w:szCs w:val="26"/>
        </w:rPr>
        <w:t xml:space="preserve">proofs of publication and service to the appropriate entities.  Notice of the Application was published in the </w:t>
      </w:r>
      <w:r w:rsidRPr="006171FC">
        <w:rPr>
          <w:i/>
          <w:color w:val="auto"/>
          <w:kern w:val="2"/>
          <w:szCs w:val="26"/>
        </w:rPr>
        <w:t>Pennsylvania Bulletin</w:t>
      </w:r>
      <w:r w:rsidRPr="006171FC">
        <w:rPr>
          <w:color w:val="auto"/>
          <w:kern w:val="2"/>
          <w:szCs w:val="26"/>
        </w:rPr>
        <w:t>, 49 Pa.B. 6927, on Saturday, November 16, 2019.  The protest period ended December 2, 2019.  No protests were filed, and no hearings were held.</w:t>
      </w:r>
    </w:p>
    <w:p w14:paraId="30BCE776" w14:textId="6392EF99" w:rsidR="00B21B4C" w:rsidRPr="006171FC" w:rsidRDefault="00C26A31" w:rsidP="22A753FC">
      <w:pPr>
        <w:pStyle w:val="ListParagraph"/>
        <w:widowControl w:val="0"/>
        <w:numPr>
          <w:ilvl w:val="0"/>
          <w:numId w:val="5"/>
        </w:numPr>
        <w:spacing w:before="240" w:after="240" w:line="360" w:lineRule="auto"/>
        <w:contextualSpacing w:val="0"/>
        <w:rPr>
          <w:color w:val="auto"/>
          <w:szCs w:val="26"/>
        </w:rPr>
      </w:pPr>
      <w:r w:rsidRPr="006171FC">
        <w:rPr>
          <w:b/>
          <w:bCs/>
          <w:color w:val="auto"/>
          <w:szCs w:val="26"/>
        </w:rPr>
        <w:t>LOCATION AND DESCRIPTION OF PROPOSED TERRITORY</w:t>
      </w:r>
    </w:p>
    <w:p w14:paraId="40D5573A" w14:textId="7A033CBC" w:rsidR="00F54746" w:rsidRPr="006171FC" w:rsidRDefault="167E6021" w:rsidP="22A753FC">
      <w:pPr>
        <w:pStyle w:val="ListParagraph"/>
        <w:widowControl w:val="0"/>
        <w:spacing w:after="260" w:line="360" w:lineRule="auto"/>
        <w:ind w:left="0" w:firstLine="720"/>
        <w:contextualSpacing w:val="0"/>
        <w:rPr>
          <w:color w:val="auto"/>
          <w:szCs w:val="26"/>
          <w:highlight w:val="yellow"/>
        </w:rPr>
      </w:pPr>
      <w:bookmarkStart w:id="2" w:name="_Hlk33511834"/>
      <w:r w:rsidRPr="006171FC">
        <w:rPr>
          <w:color w:val="auto"/>
          <w:szCs w:val="26"/>
        </w:rPr>
        <w:t>The Application contained a map depicting York-WW</w:t>
      </w:r>
      <w:r w:rsidR="00AD726C" w:rsidRPr="006171FC">
        <w:rPr>
          <w:color w:val="auto"/>
          <w:szCs w:val="26"/>
        </w:rPr>
        <w:t>’</w:t>
      </w:r>
      <w:r w:rsidRPr="006171FC">
        <w:rPr>
          <w:color w:val="auto"/>
          <w:szCs w:val="26"/>
        </w:rPr>
        <w:t xml:space="preserve">s requested wastewater service territory along with a written description of the territory’s boundaries by bearing angles and distances marked as Exhibits E and F, respectively.  </w:t>
      </w:r>
      <w:r w:rsidR="00F54746" w:rsidRPr="006171FC">
        <w:rPr>
          <w:color w:val="auto"/>
          <w:szCs w:val="26"/>
        </w:rPr>
        <w:t xml:space="preserve">The requested territory is situated in central Straban Township, southeast of the US 15 and PA 394 intersection and </w:t>
      </w:r>
      <w:r w:rsidR="1A565E5C" w:rsidRPr="006171FC">
        <w:rPr>
          <w:color w:val="auto"/>
          <w:szCs w:val="26"/>
        </w:rPr>
        <w:t>encompasses an area of app</w:t>
      </w:r>
      <w:r w:rsidR="4225F877" w:rsidRPr="006171FC">
        <w:rPr>
          <w:color w:val="auto"/>
          <w:szCs w:val="26"/>
        </w:rPr>
        <w:t>r</w:t>
      </w:r>
      <w:r w:rsidR="1A565E5C" w:rsidRPr="006171FC">
        <w:rPr>
          <w:color w:val="auto"/>
          <w:szCs w:val="26"/>
        </w:rPr>
        <w:t>oximately</w:t>
      </w:r>
      <w:r w:rsidR="3A37E3FE" w:rsidRPr="006171FC">
        <w:rPr>
          <w:color w:val="auto"/>
          <w:szCs w:val="26"/>
        </w:rPr>
        <w:t xml:space="preserve"> </w:t>
      </w:r>
      <w:r w:rsidR="00194B51" w:rsidRPr="006171FC">
        <w:rPr>
          <w:color w:val="auto"/>
          <w:szCs w:val="26"/>
        </w:rPr>
        <w:t>2.13</w:t>
      </w:r>
      <w:r w:rsidR="3A37E3FE" w:rsidRPr="006171FC">
        <w:rPr>
          <w:color w:val="auto"/>
          <w:szCs w:val="26"/>
        </w:rPr>
        <w:t xml:space="preserve"> square miles</w:t>
      </w:r>
      <w:r w:rsidR="00194B51" w:rsidRPr="006171FC">
        <w:rPr>
          <w:color w:val="auto"/>
          <w:szCs w:val="26"/>
        </w:rPr>
        <w:t xml:space="preserve">, which is approximately 74% larger than the </w:t>
      </w:r>
      <w:r w:rsidR="008C3550" w:rsidRPr="006171FC">
        <w:rPr>
          <w:color w:val="auto"/>
          <w:szCs w:val="26"/>
        </w:rPr>
        <w:t>requested territory by York Water to provide water service to Amblebrook.</w:t>
      </w:r>
      <w:r w:rsidR="00E84B5D">
        <w:rPr>
          <w:rStyle w:val="FootnoteReference"/>
          <w:color w:val="auto"/>
          <w:szCs w:val="26"/>
        </w:rPr>
        <w:footnoteReference w:id="3"/>
      </w:r>
      <w:r w:rsidR="008C3550" w:rsidRPr="006171FC">
        <w:rPr>
          <w:color w:val="auto"/>
          <w:szCs w:val="26"/>
        </w:rPr>
        <w:t xml:space="preserve">  </w:t>
      </w:r>
      <w:r w:rsidR="00F54746" w:rsidRPr="006171FC">
        <w:rPr>
          <w:color w:val="auto"/>
          <w:szCs w:val="26"/>
        </w:rPr>
        <w:t xml:space="preserve">The requested territory is not contiguous with </w:t>
      </w:r>
      <w:r w:rsidR="004363B5" w:rsidRPr="006171FC">
        <w:rPr>
          <w:color w:val="auto"/>
          <w:szCs w:val="26"/>
        </w:rPr>
        <w:t>York-WW</w:t>
      </w:r>
      <w:r w:rsidR="00F54746" w:rsidRPr="006171FC">
        <w:rPr>
          <w:color w:val="auto"/>
          <w:szCs w:val="26"/>
        </w:rPr>
        <w:t>’s current service territory</w:t>
      </w:r>
      <w:r w:rsidR="00DD577D" w:rsidRPr="006171FC">
        <w:rPr>
          <w:color w:val="auto"/>
          <w:szCs w:val="26"/>
        </w:rPr>
        <w:t xml:space="preserve"> and </w:t>
      </w:r>
      <w:r w:rsidR="3ECA6467" w:rsidRPr="006171FC">
        <w:rPr>
          <w:color w:val="auto"/>
          <w:szCs w:val="26"/>
        </w:rPr>
        <w:t xml:space="preserve">will be </w:t>
      </w:r>
      <w:r w:rsidR="0037675C" w:rsidRPr="006171FC">
        <w:rPr>
          <w:color w:val="auto"/>
          <w:szCs w:val="26"/>
        </w:rPr>
        <w:t>operated</w:t>
      </w:r>
      <w:r w:rsidR="3ECA6467" w:rsidRPr="006171FC">
        <w:rPr>
          <w:color w:val="auto"/>
          <w:szCs w:val="26"/>
        </w:rPr>
        <w:t xml:space="preserve"> as a stand-alone system without any interconnections with York-WW or any other </w:t>
      </w:r>
      <w:r w:rsidR="325E6C90" w:rsidRPr="006171FC">
        <w:rPr>
          <w:color w:val="auto"/>
          <w:szCs w:val="26"/>
        </w:rPr>
        <w:t xml:space="preserve">wastewater conveyance system. </w:t>
      </w:r>
      <w:r w:rsidR="00F54746" w:rsidRPr="006171FC">
        <w:rPr>
          <w:color w:val="auto"/>
          <w:szCs w:val="26"/>
        </w:rPr>
        <w:t xml:space="preserve"> In supplemental information filed with the Commission, </w:t>
      </w:r>
      <w:r w:rsidR="004363B5" w:rsidRPr="006171FC">
        <w:rPr>
          <w:color w:val="auto"/>
          <w:szCs w:val="26"/>
        </w:rPr>
        <w:t>York-WW</w:t>
      </w:r>
      <w:r w:rsidR="00F54746" w:rsidRPr="006171FC">
        <w:rPr>
          <w:color w:val="auto"/>
          <w:szCs w:val="26"/>
        </w:rPr>
        <w:t xml:space="preserve"> indicated its West York Borough Wastewater System is located approximately 2</w:t>
      </w:r>
      <w:r w:rsidR="00E94DF5" w:rsidRPr="006171FC">
        <w:rPr>
          <w:color w:val="auto"/>
          <w:szCs w:val="26"/>
        </w:rPr>
        <w:t>2</w:t>
      </w:r>
      <w:r w:rsidR="00F54746" w:rsidRPr="006171FC">
        <w:rPr>
          <w:color w:val="auto"/>
          <w:szCs w:val="26"/>
        </w:rPr>
        <w:t xml:space="preserve"> miles east of the requested territory.</w:t>
      </w:r>
      <w:bookmarkEnd w:id="2"/>
    </w:p>
    <w:p w14:paraId="53801AA9" w14:textId="1C55B2FA" w:rsidR="007F67BE" w:rsidRPr="006171FC" w:rsidRDefault="00F54746" w:rsidP="22A753FC">
      <w:pPr>
        <w:widowControl w:val="0"/>
        <w:spacing w:after="260" w:line="360" w:lineRule="auto"/>
        <w:ind w:firstLine="720"/>
        <w:rPr>
          <w:color w:val="auto"/>
          <w:szCs w:val="26"/>
        </w:rPr>
      </w:pPr>
      <w:r w:rsidRPr="006171FC">
        <w:rPr>
          <w:color w:val="auto"/>
          <w:szCs w:val="26"/>
        </w:rPr>
        <w:t>Amblebrook will be completed in five phases</w:t>
      </w:r>
      <w:r w:rsidR="00026958" w:rsidRPr="006171FC">
        <w:rPr>
          <w:color w:val="auto"/>
          <w:szCs w:val="26"/>
        </w:rPr>
        <w:t>,</w:t>
      </w:r>
      <w:r w:rsidRPr="006171FC">
        <w:rPr>
          <w:color w:val="auto"/>
          <w:szCs w:val="26"/>
        </w:rPr>
        <w:t xml:space="preserve"> </w:t>
      </w:r>
      <w:r w:rsidR="0B4141CE" w:rsidRPr="006171FC">
        <w:rPr>
          <w:color w:val="auto"/>
          <w:szCs w:val="26"/>
        </w:rPr>
        <w:t xml:space="preserve">with each phase identified by </w:t>
      </w:r>
      <w:r w:rsidR="00EE4209" w:rsidRPr="006171FC">
        <w:rPr>
          <w:color w:val="auto"/>
          <w:szCs w:val="26"/>
        </w:rPr>
        <w:t xml:space="preserve">a non-sequential </w:t>
      </w:r>
      <w:r w:rsidR="0B4141CE" w:rsidRPr="006171FC">
        <w:rPr>
          <w:color w:val="auto"/>
          <w:szCs w:val="26"/>
        </w:rPr>
        <w:t xml:space="preserve">lettered </w:t>
      </w:r>
      <w:r w:rsidR="00EE4209" w:rsidRPr="006171FC">
        <w:rPr>
          <w:color w:val="auto"/>
          <w:szCs w:val="26"/>
        </w:rPr>
        <w:t>s</w:t>
      </w:r>
      <w:r w:rsidR="0B4141CE" w:rsidRPr="006171FC">
        <w:rPr>
          <w:color w:val="auto"/>
          <w:szCs w:val="26"/>
        </w:rPr>
        <w:t xml:space="preserve">ection </w:t>
      </w:r>
      <w:r w:rsidR="00EE4209" w:rsidRPr="006171FC">
        <w:rPr>
          <w:color w:val="auto"/>
          <w:szCs w:val="26"/>
        </w:rPr>
        <w:t>that</w:t>
      </w:r>
      <w:r w:rsidR="0B4141CE" w:rsidRPr="006171FC">
        <w:rPr>
          <w:color w:val="auto"/>
          <w:szCs w:val="26"/>
        </w:rPr>
        <w:t xml:space="preserve"> correspond</w:t>
      </w:r>
      <w:r w:rsidR="00026958" w:rsidRPr="006171FC">
        <w:rPr>
          <w:color w:val="auto"/>
          <w:szCs w:val="26"/>
        </w:rPr>
        <w:t>s</w:t>
      </w:r>
      <w:r w:rsidR="0B4141CE" w:rsidRPr="006171FC">
        <w:rPr>
          <w:color w:val="auto"/>
          <w:szCs w:val="26"/>
        </w:rPr>
        <w:t xml:space="preserve"> to the Overall Building Phase Plan, Sheet PHSE-1, dated May 23, 2018, provided in supplemental information filed with the Commission.  Amblebrook</w:t>
      </w:r>
      <w:r w:rsidRPr="006171FC">
        <w:rPr>
          <w:color w:val="auto"/>
          <w:szCs w:val="26"/>
        </w:rPr>
        <w:t xml:space="preserve"> is projected to be completed by </w:t>
      </w:r>
      <w:r w:rsidR="003F025A" w:rsidRPr="006171FC">
        <w:rPr>
          <w:color w:val="auto"/>
          <w:szCs w:val="26"/>
        </w:rPr>
        <w:t xml:space="preserve">the year </w:t>
      </w:r>
      <w:r w:rsidRPr="006171FC">
        <w:rPr>
          <w:color w:val="auto"/>
          <w:szCs w:val="26"/>
        </w:rPr>
        <w:t>2038.  A breakdown of each phase’s year of completion, projected number of customers</w:t>
      </w:r>
      <w:r w:rsidR="009B0F1E" w:rsidRPr="006171FC">
        <w:rPr>
          <w:color w:val="auto"/>
          <w:szCs w:val="26"/>
        </w:rPr>
        <w:t xml:space="preserve"> by class</w:t>
      </w:r>
      <w:r w:rsidRPr="006171FC">
        <w:rPr>
          <w:color w:val="auto"/>
          <w:szCs w:val="26"/>
        </w:rPr>
        <w:t>, and projected type of residen</w:t>
      </w:r>
      <w:r w:rsidR="003F779B" w:rsidRPr="006171FC">
        <w:rPr>
          <w:color w:val="auto"/>
          <w:szCs w:val="26"/>
        </w:rPr>
        <w:t>ces</w:t>
      </w:r>
      <w:r w:rsidRPr="006171FC">
        <w:rPr>
          <w:color w:val="auto"/>
          <w:szCs w:val="26"/>
        </w:rPr>
        <w:t xml:space="preserve"> is shown</w:t>
      </w:r>
      <w:r w:rsidR="00D616B0" w:rsidRPr="006171FC">
        <w:rPr>
          <w:color w:val="auto"/>
          <w:szCs w:val="26"/>
        </w:rPr>
        <w:t xml:space="preserve"> </w:t>
      </w:r>
      <w:r w:rsidRPr="006171FC">
        <w:rPr>
          <w:color w:val="auto"/>
          <w:szCs w:val="26"/>
        </w:rPr>
        <w:t>in Table 1</w:t>
      </w:r>
      <w:r w:rsidR="004B602B">
        <w:rPr>
          <w:color w:val="auto"/>
          <w:szCs w:val="26"/>
        </w:rPr>
        <w:t>, below</w:t>
      </w:r>
      <w:r w:rsidRPr="006171FC">
        <w:rPr>
          <w:color w:val="auto"/>
          <w:szCs w:val="26"/>
        </w:rPr>
        <w:t>.</w:t>
      </w:r>
    </w:p>
    <w:p w14:paraId="06D9F1DB" w14:textId="1C605D63" w:rsidR="00F54746" w:rsidRPr="006171FC" w:rsidRDefault="007F67BE" w:rsidP="007A557B">
      <w:pPr>
        <w:rPr>
          <w:color w:val="auto"/>
          <w:szCs w:val="26"/>
        </w:rPr>
      </w:pPr>
      <w:r w:rsidRPr="006171FC">
        <w:rPr>
          <w:color w:val="auto"/>
          <w:szCs w:val="26"/>
        </w:rPr>
        <w:br w:type="page"/>
      </w:r>
    </w:p>
    <w:p w14:paraId="6E2CB18A" w14:textId="2FED5815" w:rsidR="00F54746" w:rsidRPr="0000438F" w:rsidRDefault="00F54746" w:rsidP="001C5761">
      <w:pPr>
        <w:widowControl w:val="0"/>
        <w:spacing w:line="360" w:lineRule="auto"/>
        <w:jc w:val="center"/>
        <w:rPr>
          <w:b/>
          <w:bCs/>
          <w:color w:val="auto"/>
          <w:szCs w:val="26"/>
        </w:rPr>
      </w:pPr>
      <w:r w:rsidRPr="0000438F">
        <w:rPr>
          <w:b/>
          <w:bCs/>
          <w:color w:val="auto"/>
          <w:szCs w:val="26"/>
        </w:rPr>
        <w:lastRenderedPageBreak/>
        <w:t>Table 1:</w:t>
      </w:r>
      <w:r w:rsidR="006D6BCC" w:rsidRPr="0000438F">
        <w:rPr>
          <w:b/>
          <w:bCs/>
          <w:color w:val="auto"/>
          <w:szCs w:val="26"/>
        </w:rPr>
        <w:t xml:space="preserve"> </w:t>
      </w:r>
      <w:r w:rsidRPr="0000438F">
        <w:rPr>
          <w:b/>
          <w:bCs/>
          <w:color w:val="auto"/>
          <w:szCs w:val="26"/>
        </w:rPr>
        <w:t xml:space="preserve"> Breakdown of Amblebrook Construction Phases</w:t>
      </w:r>
    </w:p>
    <w:tbl>
      <w:tblPr>
        <w:tblW w:w="9466" w:type="dxa"/>
        <w:tblLook w:val="04A0" w:firstRow="1" w:lastRow="0" w:firstColumn="1" w:lastColumn="0" w:noHBand="0" w:noVBand="1"/>
      </w:tblPr>
      <w:tblGrid>
        <w:gridCol w:w="890"/>
        <w:gridCol w:w="1065"/>
        <w:gridCol w:w="1505"/>
        <w:gridCol w:w="1592"/>
        <w:gridCol w:w="1528"/>
        <w:gridCol w:w="1354"/>
        <w:gridCol w:w="1532"/>
      </w:tblGrid>
      <w:tr w:rsidR="00E12B0D" w:rsidRPr="006171FC" w14:paraId="2A0AACCE" w14:textId="77777777" w:rsidTr="5415ECE4">
        <w:trPr>
          <w:trHeight w:val="315"/>
        </w:trPr>
        <w:tc>
          <w:tcPr>
            <w:tcW w:w="890" w:type="dxa"/>
            <w:tcBorders>
              <w:top w:val="nil"/>
              <w:left w:val="nil"/>
              <w:bottom w:val="nil"/>
              <w:right w:val="nil"/>
            </w:tcBorders>
            <w:shd w:val="clear" w:color="auto" w:fill="auto"/>
            <w:noWrap/>
            <w:vAlign w:val="bottom"/>
            <w:hideMark/>
          </w:tcPr>
          <w:p w14:paraId="791CD894" w14:textId="77777777" w:rsidR="00D027BB" w:rsidRPr="006171FC" w:rsidRDefault="00D027BB" w:rsidP="00D616B0">
            <w:pPr>
              <w:rPr>
                <w:color w:val="auto"/>
                <w:szCs w:val="26"/>
              </w:rPr>
            </w:pPr>
            <w:bookmarkStart w:id="3" w:name="_Hlk33182866"/>
          </w:p>
        </w:tc>
        <w:tc>
          <w:tcPr>
            <w:tcW w:w="1065" w:type="dxa"/>
            <w:tcBorders>
              <w:top w:val="nil"/>
              <w:left w:val="nil"/>
              <w:bottom w:val="nil"/>
              <w:right w:val="nil"/>
            </w:tcBorders>
            <w:shd w:val="clear" w:color="auto" w:fill="auto"/>
            <w:vAlign w:val="bottom"/>
          </w:tcPr>
          <w:p w14:paraId="42AB33D5" w14:textId="76DA93D0" w:rsidR="70EC2968" w:rsidRPr="006171FC" w:rsidRDefault="70EC2968" w:rsidP="70EC2968">
            <w:pPr>
              <w:rPr>
                <w:color w:val="auto"/>
                <w:szCs w:val="26"/>
              </w:rPr>
            </w:pPr>
          </w:p>
        </w:tc>
        <w:tc>
          <w:tcPr>
            <w:tcW w:w="1505" w:type="dxa"/>
            <w:tcBorders>
              <w:top w:val="nil"/>
              <w:left w:val="nil"/>
              <w:bottom w:val="nil"/>
              <w:right w:val="nil"/>
            </w:tcBorders>
            <w:shd w:val="clear" w:color="auto" w:fill="auto"/>
            <w:noWrap/>
            <w:vAlign w:val="bottom"/>
            <w:hideMark/>
          </w:tcPr>
          <w:p w14:paraId="62AD9FE6" w14:textId="77777777" w:rsidR="00D027BB" w:rsidRPr="006171FC" w:rsidRDefault="00D027BB" w:rsidP="00D616B0">
            <w:pPr>
              <w:rPr>
                <w:color w:val="auto"/>
                <w:szCs w:val="26"/>
              </w:rPr>
            </w:pPr>
          </w:p>
        </w:tc>
        <w:tc>
          <w:tcPr>
            <w:tcW w:w="3120" w:type="dxa"/>
            <w:gridSpan w:val="2"/>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39DC1764" w14:textId="77777777" w:rsidR="00D027BB" w:rsidRPr="006171FC" w:rsidRDefault="00D027BB" w:rsidP="00D616B0">
            <w:pPr>
              <w:jc w:val="center"/>
              <w:rPr>
                <w:color w:val="auto"/>
                <w:szCs w:val="26"/>
              </w:rPr>
            </w:pPr>
            <w:r w:rsidRPr="006171FC">
              <w:rPr>
                <w:color w:val="auto"/>
                <w:szCs w:val="26"/>
              </w:rPr>
              <w:t>Projected No. of Customers</w:t>
            </w:r>
          </w:p>
        </w:tc>
        <w:tc>
          <w:tcPr>
            <w:tcW w:w="2886" w:type="dxa"/>
            <w:gridSpan w:val="2"/>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4B7A3331" w14:textId="77777777" w:rsidR="00D027BB" w:rsidRPr="006171FC" w:rsidRDefault="00D027BB" w:rsidP="00D616B0">
            <w:pPr>
              <w:jc w:val="center"/>
              <w:rPr>
                <w:color w:val="auto"/>
                <w:szCs w:val="26"/>
              </w:rPr>
            </w:pPr>
            <w:r w:rsidRPr="006171FC">
              <w:rPr>
                <w:color w:val="auto"/>
                <w:szCs w:val="26"/>
              </w:rPr>
              <w:t>Projected Type of Residences</w:t>
            </w:r>
          </w:p>
        </w:tc>
      </w:tr>
      <w:tr w:rsidR="00E12B0D" w:rsidRPr="006171FC" w14:paraId="64C2EC3F" w14:textId="77777777" w:rsidTr="5415ECE4">
        <w:trPr>
          <w:trHeight w:val="315"/>
        </w:trPr>
        <w:tc>
          <w:tcPr>
            <w:tcW w:w="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69411AE" w14:textId="77777777" w:rsidR="00D027BB" w:rsidRPr="006171FC" w:rsidRDefault="00D027BB" w:rsidP="00D616B0">
            <w:pPr>
              <w:jc w:val="center"/>
              <w:rPr>
                <w:color w:val="auto"/>
                <w:szCs w:val="26"/>
              </w:rPr>
            </w:pPr>
            <w:r w:rsidRPr="006171FC">
              <w:rPr>
                <w:color w:val="auto"/>
                <w:szCs w:val="26"/>
              </w:rPr>
              <w:t>Phase</w:t>
            </w:r>
          </w:p>
        </w:tc>
        <w:tc>
          <w:tcPr>
            <w:tcW w:w="10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62D815" w14:textId="576AE20E" w:rsidR="32CA006E" w:rsidRPr="006171FC" w:rsidRDefault="32CA006E" w:rsidP="70EC2968">
            <w:pPr>
              <w:jc w:val="center"/>
              <w:rPr>
                <w:color w:val="auto"/>
                <w:szCs w:val="26"/>
              </w:rPr>
            </w:pPr>
            <w:r w:rsidRPr="006171FC">
              <w:rPr>
                <w:color w:val="auto"/>
                <w:szCs w:val="26"/>
              </w:rPr>
              <w:t>Section</w:t>
            </w:r>
          </w:p>
        </w:tc>
        <w:tc>
          <w:tcPr>
            <w:tcW w:w="15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9773EEB" w14:textId="77777777" w:rsidR="00D027BB" w:rsidRPr="006171FC" w:rsidRDefault="00D027BB" w:rsidP="00D616B0">
            <w:pPr>
              <w:jc w:val="center"/>
              <w:rPr>
                <w:color w:val="auto"/>
                <w:szCs w:val="26"/>
              </w:rPr>
            </w:pPr>
            <w:r w:rsidRPr="006171FC">
              <w:rPr>
                <w:color w:val="auto"/>
                <w:szCs w:val="26"/>
              </w:rPr>
              <w:t>Completion Year</w:t>
            </w:r>
          </w:p>
        </w:tc>
        <w:tc>
          <w:tcPr>
            <w:tcW w:w="1592" w:type="dxa"/>
            <w:tcBorders>
              <w:top w:val="nil"/>
              <w:left w:val="nil"/>
              <w:bottom w:val="single" w:sz="4" w:space="0" w:color="auto"/>
              <w:right w:val="single" w:sz="4" w:space="0" w:color="auto"/>
            </w:tcBorders>
            <w:shd w:val="clear" w:color="auto" w:fill="D9D9D9" w:themeFill="background1" w:themeFillShade="D9"/>
            <w:noWrap/>
            <w:vAlign w:val="center"/>
            <w:hideMark/>
          </w:tcPr>
          <w:p w14:paraId="5EB576D7" w14:textId="77777777" w:rsidR="00D027BB" w:rsidRPr="006171FC" w:rsidRDefault="00D027BB" w:rsidP="00D616B0">
            <w:pPr>
              <w:jc w:val="center"/>
              <w:rPr>
                <w:color w:val="auto"/>
                <w:szCs w:val="26"/>
              </w:rPr>
            </w:pPr>
            <w:r w:rsidRPr="006171FC">
              <w:rPr>
                <w:color w:val="auto"/>
                <w:szCs w:val="26"/>
              </w:rPr>
              <w:t>Residential</w:t>
            </w:r>
          </w:p>
        </w:tc>
        <w:tc>
          <w:tcPr>
            <w:tcW w:w="1528" w:type="dxa"/>
            <w:tcBorders>
              <w:top w:val="nil"/>
              <w:left w:val="nil"/>
              <w:bottom w:val="single" w:sz="4" w:space="0" w:color="auto"/>
              <w:right w:val="single" w:sz="4" w:space="0" w:color="auto"/>
            </w:tcBorders>
            <w:shd w:val="clear" w:color="auto" w:fill="D9D9D9" w:themeFill="background1" w:themeFillShade="D9"/>
            <w:noWrap/>
            <w:vAlign w:val="center"/>
            <w:hideMark/>
          </w:tcPr>
          <w:p w14:paraId="729CFC28" w14:textId="77777777" w:rsidR="00D027BB" w:rsidRPr="006171FC" w:rsidRDefault="00D027BB" w:rsidP="00D616B0">
            <w:pPr>
              <w:jc w:val="center"/>
              <w:rPr>
                <w:color w:val="auto"/>
                <w:szCs w:val="26"/>
              </w:rPr>
            </w:pPr>
            <w:r w:rsidRPr="006171FC">
              <w:rPr>
                <w:color w:val="auto"/>
                <w:szCs w:val="26"/>
              </w:rPr>
              <w:t>Commercial</w:t>
            </w:r>
          </w:p>
        </w:tc>
        <w:tc>
          <w:tcPr>
            <w:tcW w:w="1354" w:type="dxa"/>
            <w:tcBorders>
              <w:top w:val="nil"/>
              <w:left w:val="nil"/>
              <w:bottom w:val="single" w:sz="4" w:space="0" w:color="auto"/>
              <w:right w:val="single" w:sz="4" w:space="0" w:color="auto"/>
            </w:tcBorders>
            <w:shd w:val="clear" w:color="auto" w:fill="D9D9D9" w:themeFill="background1" w:themeFillShade="D9"/>
            <w:noWrap/>
            <w:vAlign w:val="center"/>
            <w:hideMark/>
          </w:tcPr>
          <w:p w14:paraId="0B827382" w14:textId="77777777" w:rsidR="00D027BB" w:rsidRPr="006171FC" w:rsidRDefault="00D027BB" w:rsidP="00D616B0">
            <w:pPr>
              <w:jc w:val="center"/>
              <w:rPr>
                <w:color w:val="auto"/>
                <w:szCs w:val="26"/>
              </w:rPr>
            </w:pPr>
            <w:r w:rsidRPr="006171FC">
              <w:rPr>
                <w:color w:val="auto"/>
                <w:szCs w:val="26"/>
              </w:rPr>
              <w:t>Single Family</w:t>
            </w:r>
          </w:p>
        </w:tc>
        <w:tc>
          <w:tcPr>
            <w:tcW w:w="1532" w:type="dxa"/>
            <w:tcBorders>
              <w:top w:val="nil"/>
              <w:left w:val="nil"/>
              <w:bottom w:val="single" w:sz="4" w:space="0" w:color="auto"/>
              <w:right w:val="single" w:sz="4" w:space="0" w:color="auto"/>
            </w:tcBorders>
            <w:shd w:val="clear" w:color="auto" w:fill="D9D9D9" w:themeFill="background1" w:themeFillShade="D9"/>
            <w:noWrap/>
            <w:vAlign w:val="center"/>
            <w:hideMark/>
          </w:tcPr>
          <w:p w14:paraId="26960823" w14:textId="77777777" w:rsidR="00D027BB" w:rsidRPr="006171FC" w:rsidRDefault="00D027BB" w:rsidP="00D616B0">
            <w:pPr>
              <w:jc w:val="center"/>
              <w:rPr>
                <w:color w:val="auto"/>
                <w:szCs w:val="26"/>
              </w:rPr>
            </w:pPr>
            <w:r w:rsidRPr="006171FC">
              <w:rPr>
                <w:color w:val="auto"/>
                <w:szCs w:val="26"/>
              </w:rPr>
              <w:t>Townhomes</w:t>
            </w:r>
          </w:p>
        </w:tc>
      </w:tr>
      <w:tr w:rsidR="00E12B0D" w:rsidRPr="006171FC" w14:paraId="5A85DCC3" w14:textId="77777777" w:rsidTr="5415ECE4">
        <w:trPr>
          <w:trHeight w:val="315"/>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24EE1C4F" w14:textId="77777777" w:rsidR="00D027BB" w:rsidRPr="006171FC" w:rsidRDefault="00D027BB" w:rsidP="00D616B0">
            <w:pPr>
              <w:jc w:val="center"/>
              <w:rPr>
                <w:color w:val="auto"/>
                <w:szCs w:val="26"/>
              </w:rPr>
            </w:pPr>
            <w:r w:rsidRPr="006171FC">
              <w:rPr>
                <w:color w:val="auto"/>
                <w:szCs w:val="26"/>
              </w:rPr>
              <w:t>1</w:t>
            </w:r>
          </w:p>
        </w:tc>
        <w:tc>
          <w:tcPr>
            <w:tcW w:w="1065" w:type="dxa"/>
            <w:tcBorders>
              <w:top w:val="nil"/>
              <w:left w:val="nil"/>
              <w:bottom w:val="single" w:sz="4" w:space="0" w:color="auto"/>
              <w:right w:val="single" w:sz="4" w:space="0" w:color="auto"/>
            </w:tcBorders>
            <w:shd w:val="clear" w:color="auto" w:fill="auto"/>
            <w:vAlign w:val="center"/>
          </w:tcPr>
          <w:p w14:paraId="12E8C53E" w14:textId="29093681" w:rsidR="70EC2968" w:rsidRPr="006171FC" w:rsidRDefault="69F88A4F" w:rsidP="70EC2968">
            <w:pPr>
              <w:jc w:val="center"/>
              <w:rPr>
                <w:color w:val="auto"/>
                <w:szCs w:val="26"/>
              </w:rPr>
            </w:pPr>
            <w:r w:rsidRPr="006171FC">
              <w:rPr>
                <w:color w:val="auto"/>
                <w:szCs w:val="26"/>
              </w:rPr>
              <w:t>A</w:t>
            </w:r>
          </w:p>
        </w:tc>
        <w:tc>
          <w:tcPr>
            <w:tcW w:w="1505" w:type="dxa"/>
            <w:tcBorders>
              <w:top w:val="nil"/>
              <w:left w:val="nil"/>
              <w:bottom w:val="single" w:sz="4" w:space="0" w:color="auto"/>
              <w:right w:val="single" w:sz="4" w:space="0" w:color="auto"/>
            </w:tcBorders>
            <w:shd w:val="clear" w:color="auto" w:fill="auto"/>
            <w:noWrap/>
            <w:vAlign w:val="center"/>
            <w:hideMark/>
          </w:tcPr>
          <w:p w14:paraId="5DC0B9FF" w14:textId="77777777" w:rsidR="00D027BB" w:rsidRPr="006171FC" w:rsidRDefault="00D027BB" w:rsidP="00D616B0">
            <w:pPr>
              <w:jc w:val="center"/>
              <w:rPr>
                <w:color w:val="auto"/>
                <w:szCs w:val="26"/>
              </w:rPr>
            </w:pPr>
            <w:r w:rsidRPr="006171FC">
              <w:rPr>
                <w:color w:val="auto"/>
                <w:szCs w:val="26"/>
              </w:rPr>
              <w:t>2020</w:t>
            </w:r>
          </w:p>
        </w:tc>
        <w:tc>
          <w:tcPr>
            <w:tcW w:w="1592" w:type="dxa"/>
            <w:tcBorders>
              <w:top w:val="nil"/>
              <w:left w:val="nil"/>
              <w:bottom w:val="single" w:sz="4" w:space="0" w:color="auto"/>
              <w:right w:val="single" w:sz="4" w:space="0" w:color="auto"/>
            </w:tcBorders>
            <w:shd w:val="clear" w:color="auto" w:fill="auto"/>
            <w:noWrap/>
            <w:vAlign w:val="center"/>
            <w:hideMark/>
          </w:tcPr>
          <w:p w14:paraId="45AC476D" w14:textId="77777777" w:rsidR="00D027BB" w:rsidRPr="006171FC" w:rsidRDefault="00D027BB" w:rsidP="00D616B0">
            <w:pPr>
              <w:jc w:val="center"/>
              <w:rPr>
                <w:color w:val="auto"/>
                <w:szCs w:val="26"/>
              </w:rPr>
            </w:pPr>
            <w:r w:rsidRPr="006171FC">
              <w:rPr>
                <w:color w:val="auto"/>
                <w:szCs w:val="26"/>
              </w:rPr>
              <w:t>434</w:t>
            </w:r>
          </w:p>
        </w:tc>
        <w:tc>
          <w:tcPr>
            <w:tcW w:w="1528" w:type="dxa"/>
            <w:tcBorders>
              <w:top w:val="nil"/>
              <w:left w:val="nil"/>
              <w:bottom w:val="single" w:sz="4" w:space="0" w:color="auto"/>
              <w:right w:val="single" w:sz="4" w:space="0" w:color="auto"/>
            </w:tcBorders>
            <w:shd w:val="clear" w:color="auto" w:fill="auto"/>
            <w:noWrap/>
            <w:vAlign w:val="center"/>
            <w:hideMark/>
          </w:tcPr>
          <w:p w14:paraId="7D3CE7A0" w14:textId="1F13F4C4" w:rsidR="00D027BB" w:rsidRPr="006171FC" w:rsidRDefault="0B63705D" w:rsidP="00D616B0">
            <w:pPr>
              <w:jc w:val="center"/>
              <w:rPr>
                <w:color w:val="auto"/>
                <w:szCs w:val="26"/>
              </w:rPr>
            </w:pPr>
            <w:r w:rsidRPr="006171FC">
              <w:rPr>
                <w:color w:val="auto"/>
                <w:szCs w:val="26"/>
              </w:rPr>
              <w:t>3</w:t>
            </w:r>
          </w:p>
        </w:tc>
        <w:tc>
          <w:tcPr>
            <w:tcW w:w="1354" w:type="dxa"/>
            <w:tcBorders>
              <w:top w:val="nil"/>
              <w:left w:val="nil"/>
              <w:bottom w:val="single" w:sz="4" w:space="0" w:color="auto"/>
              <w:right w:val="single" w:sz="4" w:space="0" w:color="auto"/>
            </w:tcBorders>
            <w:shd w:val="clear" w:color="auto" w:fill="auto"/>
            <w:noWrap/>
            <w:vAlign w:val="center"/>
            <w:hideMark/>
          </w:tcPr>
          <w:p w14:paraId="248EECD2" w14:textId="77777777" w:rsidR="00D027BB" w:rsidRPr="006171FC" w:rsidRDefault="00D027BB" w:rsidP="00D616B0">
            <w:pPr>
              <w:jc w:val="center"/>
              <w:rPr>
                <w:color w:val="auto"/>
                <w:szCs w:val="26"/>
              </w:rPr>
            </w:pPr>
            <w:r w:rsidRPr="006171FC">
              <w:rPr>
                <w:color w:val="auto"/>
                <w:szCs w:val="26"/>
              </w:rPr>
              <w:t>336</w:t>
            </w:r>
          </w:p>
        </w:tc>
        <w:tc>
          <w:tcPr>
            <w:tcW w:w="1532" w:type="dxa"/>
            <w:tcBorders>
              <w:top w:val="nil"/>
              <w:left w:val="nil"/>
              <w:bottom w:val="single" w:sz="4" w:space="0" w:color="auto"/>
              <w:right w:val="single" w:sz="4" w:space="0" w:color="auto"/>
            </w:tcBorders>
            <w:shd w:val="clear" w:color="auto" w:fill="auto"/>
            <w:noWrap/>
            <w:vAlign w:val="center"/>
            <w:hideMark/>
          </w:tcPr>
          <w:p w14:paraId="1A200C55" w14:textId="77777777" w:rsidR="00D027BB" w:rsidRPr="006171FC" w:rsidRDefault="00D027BB" w:rsidP="00D616B0">
            <w:pPr>
              <w:jc w:val="center"/>
              <w:rPr>
                <w:color w:val="auto"/>
                <w:szCs w:val="26"/>
              </w:rPr>
            </w:pPr>
            <w:r w:rsidRPr="006171FC">
              <w:rPr>
                <w:color w:val="auto"/>
                <w:szCs w:val="26"/>
              </w:rPr>
              <w:t>98</w:t>
            </w:r>
          </w:p>
        </w:tc>
      </w:tr>
      <w:tr w:rsidR="00E12B0D" w:rsidRPr="006171FC" w14:paraId="07E2F409" w14:textId="77777777" w:rsidTr="5415ECE4">
        <w:trPr>
          <w:trHeight w:val="315"/>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5C731468" w14:textId="77777777" w:rsidR="00D027BB" w:rsidRPr="006171FC" w:rsidRDefault="00D027BB" w:rsidP="00D616B0">
            <w:pPr>
              <w:jc w:val="center"/>
              <w:rPr>
                <w:color w:val="auto"/>
                <w:szCs w:val="26"/>
              </w:rPr>
            </w:pPr>
            <w:r w:rsidRPr="006171FC">
              <w:rPr>
                <w:color w:val="auto"/>
                <w:szCs w:val="26"/>
              </w:rPr>
              <w:t>2</w:t>
            </w:r>
          </w:p>
        </w:tc>
        <w:tc>
          <w:tcPr>
            <w:tcW w:w="1065" w:type="dxa"/>
            <w:tcBorders>
              <w:top w:val="nil"/>
              <w:left w:val="nil"/>
              <w:bottom w:val="single" w:sz="4" w:space="0" w:color="auto"/>
              <w:right w:val="single" w:sz="4" w:space="0" w:color="auto"/>
            </w:tcBorders>
            <w:shd w:val="clear" w:color="auto" w:fill="auto"/>
            <w:vAlign w:val="center"/>
          </w:tcPr>
          <w:p w14:paraId="7C5CEF68" w14:textId="3E761D72" w:rsidR="70EC2968" w:rsidRPr="006171FC" w:rsidRDefault="3ECC5327" w:rsidP="70EC2968">
            <w:pPr>
              <w:jc w:val="center"/>
              <w:rPr>
                <w:color w:val="auto"/>
                <w:szCs w:val="26"/>
              </w:rPr>
            </w:pPr>
            <w:r w:rsidRPr="006171FC">
              <w:rPr>
                <w:color w:val="auto"/>
                <w:szCs w:val="26"/>
              </w:rPr>
              <w:t>C</w:t>
            </w:r>
          </w:p>
        </w:tc>
        <w:tc>
          <w:tcPr>
            <w:tcW w:w="1505" w:type="dxa"/>
            <w:tcBorders>
              <w:top w:val="nil"/>
              <w:left w:val="nil"/>
              <w:bottom w:val="single" w:sz="4" w:space="0" w:color="auto"/>
              <w:right w:val="single" w:sz="4" w:space="0" w:color="auto"/>
            </w:tcBorders>
            <w:shd w:val="clear" w:color="auto" w:fill="auto"/>
            <w:noWrap/>
            <w:vAlign w:val="center"/>
            <w:hideMark/>
          </w:tcPr>
          <w:p w14:paraId="45E2C561" w14:textId="77777777" w:rsidR="00D027BB" w:rsidRPr="006171FC" w:rsidRDefault="00D027BB" w:rsidP="00D616B0">
            <w:pPr>
              <w:jc w:val="center"/>
              <w:rPr>
                <w:color w:val="auto"/>
                <w:szCs w:val="26"/>
              </w:rPr>
            </w:pPr>
            <w:r w:rsidRPr="006171FC">
              <w:rPr>
                <w:color w:val="auto"/>
                <w:szCs w:val="26"/>
              </w:rPr>
              <w:t>2023</w:t>
            </w:r>
          </w:p>
        </w:tc>
        <w:tc>
          <w:tcPr>
            <w:tcW w:w="1592" w:type="dxa"/>
            <w:tcBorders>
              <w:top w:val="nil"/>
              <w:left w:val="nil"/>
              <w:bottom w:val="single" w:sz="4" w:space="0" w:color="auto"/>
              <w:right w:val="single" w:sz="4" w:space="0" w:color="auto"/>
            </w:tcBorders>
            <w:shd w:val="clear" w:color="auto" w:fill="auto"/>
            <w:noWrap/>
            <w:vAlign w:val="center"/>
            <w:hideMark/>
          </w:tcPr>
          <w:p w14:paraId="27BAEDC9" w14:textId="77777777" w:rsidR="00D027BB" w:rsidRPr="006171FC" w:rsidRDefault="00D027BB" w:rsidP="00D616B0">
            <w:pPr>
              <w:jc w:val="center"/>
              <w:rPr>
                <w:color w:val="auto"/>
                <w:szCs w:val="26"/>
              </w:rPr>
            </w:pPr>
            <w:r w:rsidRPr="006171FC">
              <w:rPr>
                <w:color w:val="auto"/>
                <w:szCs w:val="26"/>
              </w:rPr>
              <w:t>427</w:t>
            </w:r>
          </w:p>
        </w:tc>
        <w:tc>
          <w:tcPr>
            <w:tcW w:w="1528" w:type="dxa"/>
            <w:tcBorders>
              <w:top w:val="nil"/>
              <w:left w:val="nil"/>
              <w:bottom w:val="single" w:sz="4" w:space="0" w:color="auto"/>
              <w:right w:val="single" w:sz="4" w:space="0" w:color="auto"/>
            </w:tcBorders>
            <w:shd w:val="clear" w:color="auto" w:fill="auto"/>
            <w:noWrap/>
            <w:vAlign w:val="center"/>
            <w:hideMark/>
          </w:tcPr>
          <w:p w14:paraId="4940FFCD" w14:textId="77777777" w:rsidR="00D027BB" w:rsidRPr="006171FC" w:rsidRDefault="00D027BB" w:rsidP="00D616B0">
            <w:pPr>
              <w:jc w:val="center"/>
              <w:rPr>
                <w:color w:val="auto"/>
                <w:szCs w:val="26"/>
              </w:rPr>
            </w:pPr>
            <w:r w:rsidRPr="006171FC">
              <w:rPr>
                <w:color w:val="auto"/>
                <w:szCs w:val="26"/>
              </w:rPr>
              <w:t>--</w:t>
            </w:r>
          </w:p>
        </w:tc>
        <w:tc>
          <w:tcPr>
            <w:tcW w:w="1354" w:type="dxa"/>
            <w:tcBorders>
              <w:top w:val="nil"/>
              <w:left w:val="nil"/>
              <w:bottom w:val="single" w:sz="4" w:space="0" w:color="auto"/>
              <w:right w:val="single" w:sz="4" w:space="0" w:color="auto"/>
            </w:tcBorders>
            <w:shd w:val="clear" w:color="auto" w:fill="auto"/>
            <w:noWrap/>
            <w:vAlign w:val="center"/>
            <w:hideMark/>
          </w:tcPr>
          <w:p w14:paraId="5DA235C2" w14:textId="77777777" w:rsidR="00D027BB" w:rsidRPr="006171FC" w:rsidRDefault="00D027BB" w:rsidP="00D616B0">
            <w:pPr>
              <w:jc w:val="center"/>
              <w:rPr>
                <w:color w:val="auto"/>
                <w:szCs w:val="26"/>
              </w:rPr>
            </w:pPr>
            <w:r w:rsidRPr="006171FC">
              <w:rPr>
                <w:color w:val="auto"/>
                <w:szCs w:val="26"/>
              </w:rPr>
              <w:t>368</w:t>
            </w:r>
          </w:p>
        </w:tc>
        <w:tc>
          <w:tcPr>
            <w:tcW w:w="1532" w:type="dxa"/>
            <w:tcBorders>
              <w:top w:val="nil"/>
              <w:left w:val="nil"/>
              <w:bottom w:val="single" w:sz="4" w:space="0" w:color="auto"/>
              <w:right w:val="single" w:sz="4" w:space="0" w:color="auto"/>
            </w:tcBorders>
            <w:shd w:val="clear" w:color="auto" w:fill="auto"/>
            <w:noWrap/>
            <w:vAlign w:val="center"/>
            <w:hideMark/>
          </w:tcPr>
          <w:p w14:paraId="32F54EF6" w14:textId="77777777" w:rsidR="00D027BB" w:rsidRPr="006171FC" w:rsidRDefault="00D027BB" w:rsidP="00D616B0">
            <w:pPr>
              <w:jc w:val="center"/>
              <w:rPr>
                <w:color w:val="auto"/>
                <w:szCs w:val="26"/>
              </w:rPr>
            </w:pPr>
            <w:r w:rsidRPr="006171FC">
              <w:rPr>
                <w:color w:val="auto"/>
                <w:szCs w:val="26"/>
              </w:rPr>
              <w:t>59</w:t>
            </w:r>
          </w:p>
        </w:tc>
      </w:tr>
      <w:tr w:rsidR="00E12B0D" w:rsidRPr="006171FC" w14:paraId="23966756" w14:textId="77777777" w:rsidTr="5415ECE4">
        <w:trPr>
          <w:trHeight w:val="315"/>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28B8A762" w14:textId="77777777" w:rsidR="00D027BB" w:rsidRPr="006171FC" w:rsidRDefault="00D027BB" w:rsidP="00D616B0">
            <w:pPr>
              <w:jc w:val="center"/>
              <w:rPr>
                <w:color w:val="auto"/>
                <w:szCs w:val="26"/>
              </w:rPr>
            </w:pPr>
            <w:r w:rsidRPr="006171FC">
              <w:rPr>
                <w:color w:val="auto"/>
                <w:szCs w:val="26"/>
              </w:rPr>
              <w:t>3</w:t>
            </w:r>
          </w:p>
        </w:tc>
        <w:tc>
          <w:tcPr>
            <w:tcW w:w="1065" w:type="dxa"/>
            <w:tcBorders>
              <w:top w:val="nil"/>
              <w:left w:val="nil"/>
              <w:bottom w:val="single" w:sz="4" w:space="0" w:color="auto"/>
              <w:right w:val="single" w:sz="4" w:space="0" w:color="auto"/>
            </w:tcBorders>
            <w:shd w:val="clear" w:color="auto" w:fill="auto"/>
            <w:vAlign w:val="center"/>
          </w:tcPr>
          <w:p w14:paraId="02D483C9" w14:textId="329FA808" w:rsidR="70EC2968" w:rsidRPr="006171FC" w:rsidRDefault="57E86B9D" w:rsidP="70EC2968">
            <w:pPr>
              <w:jc w:val="center"/>
              <w:rPr>
                <w:color w:val="auto"/>
                <w:szCs w:val="26"/>
              </w:rPr>
            </w:pPr>
            <w:r w:rsidRPr="006171FC">
              <w:rPr>
                <w:color w:val="auto"/>
                <w:szCs w:val="26"/>
              </w:rPr>
              <w:t>D</w:t>
            </w:r>
          </w:p>
        </w:tc>
        <w:tc>
          <w:tcPr>
            <w:tcW w:w="1505" w:type="dxa"/>
            <w:tcBorders>
              <w:top w:val="nil"/>
              <w:left w:val="nil"/>
              <w:bottom w:val="single" w:sz="4" w:space="0" w:color="auto"/>
              <w:right w:val="single" w:sz="4" w:space="0" w:color="auto"/>
            </w:tcBorders>
            <w:shd w:val="clear" w:color="auto" w:fill="auto"/>
            <w:noWrap/>
            <w:vAlign w:val="center"/>
            <w:hideMark/>
          </w:tcPr>
          <w:p w14:paraId="4EFA1139" w14:textId="77777777" w:rsidR="00D027BB" w:rsidRPr="006171FC" w:rsidRDefault="00D027BB" w:rsidP="00D616B0">
            <w:pPr>
              <w:jc w:val="center"/>
              <w:rPr>
                <w:color w:val="auto"/>
                <w:szCs w:val="26"/>
              </w:rPr>
            </w:pPr>
            <w:r w:rsidRPr="006171FC">
              <w:rPr>
                <w:color w:val="auto"/>
                <w:szCs w:val="26"/>
              </w:rPr>
              <w:t>2028</w:t>
            </w:r>
          </w:p>
        </w:tc>
        <w:tc>
          <w:tcPr>
            <w:tcW w:w="1592" w:type="dxa"/>
            <w:tcBorders>
              <w:top w:val="nil"/>
              <w:left w:val="nil"/>
              <w:bottom w:val="single" w:sz="4" w:space="0" w:color="auto"/>
              <w:right w:val="single" w:sz="4" w:space="0" w:color="auto"/>
            </w:tcBorders>
            <w:shd w:val="clear" w:color="auto" w:fill="auto"/>
            <w:noWrap/>
            <w:vAlign w:val="center"/>
            <w:hideMark/>
          </w:tcPr>
          <w:p w14:paraId="6A73A181" w14:textId="77777777" w:rsidR="00D027BB" w:rsidRPr="006171FC" w:rsidRDefault="00D027BB" w:rsidP="00D616B0">
            <w:pPr>
              <w:jc w:val="center"/>
              <w:rPr>
                <w:color w:val="auto"/>
                <w:szCs w:val="26"/>
              </w:rPr>
            </w:pPr>
            <w:r w:rsidRPr="006171FC">
              <w:rPr>
                <w:color w:val="auto"/>
                <w:szCs w:val="26"/>
              </w:rPr>
              <w:t>278</w:t>
            </w:r>
          </w:p>
        </w:tc>
        <w:tc>
          <w:tcPr>
            <w:tcW w:w="1528" w:type="dxa"/>
            <w:tcBorders>
              <w:top w:val="nil"/>
              <w:left w:val="nil"/>
              <w:bottom w:val="single" w:sz="4" w:space="0" w:color="auto"/>
              <w:right w:val="single" w:sz="4" w:space="0" w:color="auto"/>
            </w:tcBorders>
            <w:shd w:val="clear" w:color="auto" w:fill="auto"/>
            <w:noWrap/>
            <w:vAlign w:val="center"/>
            <w:hideMark/>
          </w:tcPr>
          <w:p w14:paraId="7107BDFB" w14:textId="77777777" w:rsidR="00D027BB" w:rsidRPr="006171FC" w:rsidRDefault="00D027BB" w:rsidP="00D616B0">
            <w:pPr>
              <w:jc w:val="center"/>
              <w:rPr>
                <w:color w:val="auto"/>
                <w:szCs w:val="26"/>
              </w:rPr>
            </w:pPr>
            <w:r w:rsidRPr="006171FC">
              <w:rPr>
                <w:color w:val="auto"/>
                <w:szCs w:val="26"/>
              </w:rPr>
              <w:t>--</w:t>
            </w:r>
          </w:p>
        </w:tc>
        <w:tc>
          <w:tcPr>
            <w:tcW w:w="1354" w:type="dxa"/>
            <w:tcBorders>
              <w:top w:val="nil"/>
              <w:left w:val="nil"/>
              <w:bottom w:val="single" w:sz="4" w:space="0" w:color="auto"/>
              <w:right w:val="single" w:sz="4" w:space="0" w:color="auto"/>
            </w:tcBorders>
            <w:shd w:val="clear" w:color="auto" w:fill="auto"/>
            <w:noWrap/>
            <w:vAlign w:val="center"/>
            <w:hideMark/>
          </w:tcPr>
          <w:p w14:paraId="51104A82" w14:textId="77777777" w:rsidR="00D027BB" w:rsidRPr="006171FC" w:rsidRDefault="00D027BB" w:rsidP="00D616B0">
            <w:pPr>
              <w:jc w:val="center"/>
              <w:rPr>
                <w:color w:val="auto"/>
                <w:szCs w:val="26"/>
              </w:rPr>
            </w:pPr>
            <w:r w:rsidRPr="006171FC">
              <w:rPr>
                <w:color w:val="auto"/>
                <w:szCs w:val="26"/>
              </w:rPr>
              <w:t>253</w:t>
            </w:r>
          </w:p>
        </w:tc>
        <w:tc>
          <w:tcPr>
            <w:tcW w:w="1532" w:type="dxa"/>
            <w:tcBorders>
              <w:top w:val="nil"/>
              <w:left w:val="nil"/>
              <w:bottom w:val="single" w:sz="4" w:space="0" w:color="auto"/>
              <w:right w:val="single" w:sz="4" w:space="0" w:color="auto"/>
            </w:tcBorders>
            <w:shd w:val="clear" w:color="auto" w:fill="auto"/>
            <w:noWrap/>
            <w:vAlign w:val="center"/>
            <w:hideMark/>
          </w:tcPr>
          <w:p w14:paraId="79072EAC" w14:textId="77777777" w:rsidR="00D027BB" w:rsidRPr="006171FC" w:rsidRDefault="00D027BB" w:rsidP="00D616B0">
            <w:pPr>
              <w:jc w:val="center"/>
              <w:rPr>
                <w:color w:val="auto"/>
                <w:szCs w:val="26"/>
              </w:rPr>
            </w:pPr>
            <w:r w:rsidRPr="006171FC">
              <w:rPr>
                <w:color w:val="auto"/>
                <w:szCs w:val="26"/>
              </w:rPr>
              <w:t>25</w:t>
            </w:r>
          </w:p>
        </w:tc>
      </w:tr>
      <w:tr w:rsidR="00E12B0D" w:rsidRPr="006171FC" w14:paraId="2378B512" w14:textId="77777777" w:rsidTr="5415ECE4">
        <w:trPr>
          <w:trHeight w:val="315"/>
        </w:trPr>
        <w:tc>
          <w:tcPr>
            <w:tcW w:w="890" w:type="dxa"/>
            <w:tcBorders>
              <w:top w:val="nil"/>
              <w:left w:val="single" w:sz="4" w:space="0" w:color="auto"/>
              <w:bottom w:val="single" w:sz="8" w:space="0" w:color="auto"/>
              <w:right w:val="single" w:sz="4" w:space="0" w:color="auto"/>
            </w:tcBorders>
            <w:shd w:val="clear" w:color="auto" w:fill="auto"/>
            <w:noWrap/>
            <w:vAlign w:val="center"/>
            <w:hideMark/>
          </w:tcPr>
          <w:p w14:paraId="5C07029E" w14:textId="77777777" w:rsidR="00D027BB" w:rsidRPr="006171FC" w:rsidRDefault="00D027BB" w:rsidP="00D616B0">
            <w:pPr>
              <w:jc w:val="center"/>
              <w:rPr>
                <w:color w:val="auto"/>
                <w:szCs w:val="26"/>
              </w:rPr>
            </w:pPr>
            <w:r w:rsidRPr="006171FC">
              <w:rPr>
                <w:color w:val="auto"/>
                <w:szCs w:val="26"/>
              </w:rPr>
              <w:t>4</w:t>
            </w:r>
          </w:p>
        </w:tc>
        <w:tc>
          <w:tcPr>
            <w:tcW w:w="1065" w:type="dxa"/>
            <w:tcBorders>
              <w:top w:val="nil"/>
              <w:left w:val="nil"/>
              <w:bottom w:val="single" w:sz="8" w:space="0" w:color="auto"/>
              <w:right w:val="single" w:sz="4" w:space="0" w:color="auto"/>
            </w:tcBorders>
            <w:shd w:val="clear" w:color="auto" w:fill="auto"/>
            <w:vAlign w:val="center"/>
          </w:tcPr>
          <w:p w14:paraId="1E58339A" w14:textId="58F10225" w:rsidR="70EC2968" w:rsidRPr="006171FC" w:rsidRDefault="70BAD8AA" w:rsidP="70EC2968">
            <w:pPr>
              <w:jc w:val="center"/>
              <w:rPr>
                <w:color w:val="auto"/>
                <w:szCs w:val="26"/>
              </w:rPr>
            </w:pPr>
            <w:r w:rsidRPr="006171FC">
              <w:rPr>
                <w:color w:val="auto"/>
                <w:szCs w:val="26"/>
              </w:rPr>
              <w:t>E</w:t>
            </w:r>
          </w:p>
        </w:tc>
        <w:tc>
          <w:tcPr>
            <w:tcW w:w="1505" w:type="dxa"/>
            <w:tcBorders>
              <w:top w:val="nil"/>
              <w:left w:val="nil"/>
              <w:bottom w:val="single" w:sz="8" w:space="0" w:color="auto"/>
              <w:right w:val="single" w:sz="4" w:space="0" w:color="auto"/>
            </w:tcBorders>
            <w:shd w:val="clear" w:color="auto" w:fill="auto"/>
            <w:noWrap/>
            <w:vAlign w:val="center"/>
            <w:hideMark/>
          </w:tcPr>
          <w:p w14:paraId="13FC3FF7" w14:textId="77777777" w:rsidR="00D027BB" w:rsidRPr="006171FC" w:rsidRDefault="00D027BB" w:rsidP="00D616B0">
            <w:pPr>
              <w:jc w:val="center"/>
              <w:rPr>
                <w:color w:val="auto"/>
                <w:szCs w:val="26"/>
              </w:rPr>
            </w:pPr>
            <w:r w:rsidRPr="006171FC">
              <w:rPr>
                <w:color w:val="auto"/>
                <w:szCs w:val="26"/>
              </w:rPr>
              <w:t>2033</w:t>
            </w:r>
          </w:p>
        </w:tc>
        <w:tc>
          <w:tcPr>
            <w:tcW w:w="1592" w:type="dxa"/>
            <w:tcBorders>
              <w:top w:val="nil"/>
              <w:left w:val="nil"/>
              <w:bottom w:val="single" w:sz="8" w:space="0" w:color="auto"/>
              <w:right w:val="single" w:sz="4" w:space="0" w:color="auto"/>
            </w:tcBorders>
            <w:shd w:val="clear" w:color="auto" w:fill="auto"/>
            <w:noWrap/>
            <w:vAlign w:val="center"/>
            <w:hideMark/>
          </w:tcPr>
          <w:p w14:paraId="4F2EB508" w14:textId="77777777" w:rsidR="00D027BB" w:rsidRPr="006171FC" w:rsidRDefault="00D027BB" w:rsidP="00D616B0">
            <w:pPr>
              <w:jc w:val="center"/>
              <w:rPr>
                <w:color w:val="auto"/>
                <w:szCs w:val="26"/>
              </w:rPr>
            </w:pPr>
            <w:r w:rsidRPr="006171FC">
              <w:rPr>
                <w:color w:val="auto"/>
                <w:szCs w:val="26"/>
              </w:rPr>
              <w:t>560</w:t>
            </w:r>
          </w:p>
        </w:tc>
        <w:tc>
          <w:tcPr>
            <w:tcW w:w="1528" w:type="dxa"/>
            <w:tcBorders>
              <w:top w:val="nil"/>
              <w:left w:val="nil"/>
              <w:bottom w:val="single" w:sz="8" w:space="0" w:color="auto"/>
              <w:right w:val="single" w:sz="4" w:space="0" w:color="auto"/>
            </w:tcBorders>
            <w:shd w:val="clear" w:color="auto" w:fill="auto"/>
            <w:noWrap/>
            <w:vAlign w:val="center"/>
            <w:hideMark/>
          </w:tcPr>
          <w:p w14:paraId="4DE3C6A0" w14:textId="77777777" w:rsidR="00D027BB" w:rsidRPr="006171FC" w:rsidRDefault="00D027BB" w:rsidP="00D616B0">
            <w:pPr>
              <w:jc w:val="center"/>
              <w:rPr>
                <w:color w:val="auto"/>
                <w:szCs w:val="26"/>
              </w:rPr>
            </w:pPr>
            <w:r w:rsidRPr="006171FC">
              <w:rPr>
                <w:color w:val="auto"/>
                <w:szCs w:val="26"/>
              </w:rPr>
              <w:t>--</w:t>
            </w:r>
          </w:p>
        </w:tc>
        <w:tc>
          <w:tcPr>
            <w:tcW w:w="1354" w:type="dxa"/>
            <w:tcBorders>
              <w:top w:val="nil"/>
              <w:left w:val="nil"/>
              <w:bottom w:val="single" w:sz="8" w:space="0" w:color="auto"/>
              <w:right w:val="single" w:sz="4" w:space="0" w:color="auto"/>
            </w:tcBorders>
            <w:shd w:val="clear" w:color="auto" w:fill="auto"/>
            <w:noWrap/>
            <w:vAlign w:val="center"/>
            <w:hideMark/>
          </w:tcPr>
          <w:p w14:paraId="3647D658" w14:textId="77777777" w:rsidR="00D027BB" w:rsidRPr="006171FC" w:rsidRDefault="00D027BB" w:rsidP="00D616B0">
            <w:pPr>
              <w:jc w:val="center"/>
              <w:rPr>
                <w:color w:val="auto"/>
                <w:szCs w:val="26"/>
              </w:rPr>
            </w:pPr>
            <w:r w:rsidRPr="006171FC">
              <w:rPr>
                <w:color w:val="auto"/>
                <w:szCs w:val="26"/>
              </w:rPr>
              <w:t>492</w:t>
            </w:r>
          </w:p>
        </w:tc>
        <w:tc>
          <w:tcPr>
            <w:tcW w:w="1532" w:type="dxa"/>
            <w:tcBorders>
              <w:top w:val="nil"/>
              <w:left w:val="nil"/>
              <w:bottom w:val="single" w:sz="8" w:space="0" w:color="auto"/>
              <w:right w:val="single" w:sz="4" w:space="0" w:color="auto"/>
            </w:tcBorders>
            <w:shd w:val="clear" w:color="auto" w:fill="auto"/>
            <w:noWrap/>
            <w:vAlign w:val="center"/>
            <w:hideMark/>
          </w:tcPr>
          <w:p w14:paraId="7CF6CF39" w14:textId="77777777" w:rsidR="00D027BB" w:rsidRPr="006171FC" w:rsidRDefault="00D027BB" w:rsidP="00D616B0">
            <w:pPr>
              <w:jc w:val="center"/>
              <w:rPr>
                <w:color w:val="auto"/>
                <w:szCs w:val="26"/>
              </w:rPr>
            </w:pPr>
            <w:r w:rsidRPr="006171FC">
              <w:rPr>
                <w:color w:val="auto"/>
                <w:szCs w:val="26"/>
              </w:rPr>
              <w:t>68</w:t>
            </w:r>
          </w:p>
        </w:tc>
      </w:tr>
      <w:tr w:rsidR="00E12B0D" w:rsidRPr="006171FC" w14:paraId="2CCDB3C0" w14:textId="77777777" w:rsidTr="5415ECE4">
        <w:trPr>
          <w:trHeight w:val="315"/>
        </w:trPr>
        <w:tc>
          <w:tcPr>
            <w:tcW w:w="890" w:type="dxa"/>
            <w:tcBorders>
              <w:top w:val="single" w:sz="8" w:space="0" w:color="auto"/>
              <w:left w:val="single" w:sz="8" w:space="0" w:color="auto"/>
              <w:bottom w:val="single" w:sz="12" w:space="0" w:color="auto"/>
              <w:right w:val="single" w:sz="6" w:space="0" w:color="auto"/>
            </w:tcBorders>
            <w:shd w:val="clear" w:color="auto" w:fill="auto"/>
            <w:noWrap/>
            <w:vAlign w:val="center"/>
            <w:hideMark/>
          </w:tcPr>
          <w:p w14:paraId="68C734A6" w14:textId="77777777" w:rsidR="00D027BB" w:rsidRPr="006171FC" w:rsidRDefault="00D027BB" w:rsidP="00D616B0">
            <w:pPr>
              <w:jc w:val="center"/>
              <w:rPr>
                <w:color w:val="auto"/>
                <w:szCs w:val="26"/>
              </w:rPr>
            </w:pPr>
            <w:r w:rsidRPr="006171FC">
              <w:rPr>
                <w:color w:val="auto"/>
                <w:szCs w:val="26"/>
              </w:rPr>
              <w:t>5</w:t>
            </w:r>
          </w:p>
        </w:tc>
        <w:tc>
          <w:tcPr>
            <w:tcW w:w="1065" w:type="dxa"/>
            <w:tcBorders>
              <w:top w:val="single" w:sz="8" w:space="0" w:color="auto"/>
              <w:left w:val="single" w:sz="6" w:space="0" w:color="auto"/>
              <w:bottom w:val="single" w:sz="12" w:space="0" w:color="auto"/>
              <w:right w:val="single" w:sz="6" w:space="0" w:color="auto"/>
            </w:tcBorders>
            <w:shd w:val="clear" w:color="auto" w:fill="auto"/>
            <w:vAlign w:val="center"/>
          </w:tcPr>
          <w:p w14:paraId="1DA682D0" w14:textId="77518FF9" w:rsidR="70EC2968" w:rsidRPr="006171FC" w:rsidRDefault="1EE683BD" w:rsidP="70EC2968">
            <w:pPr>
              <w:jc w:val="center"/>
              <w:rPr>
                <w:color w:val="auto"/>
                <w:szCs w:val="26"/>
              </w:rPr>
            </w:pPr>
            <w:r w:rsidRPr="006171FC">
              <w:rPr>
                <w:color w:val="auto"/>
                <w:szCs w:val="26"/>
              </w:rPr>
              <w:t>B</w:t>
            </w:r>
          </w:p>
        </w:tc>
        <w:tc>
          <w:tcPr>
            <w:tcW w:w="1505" w:type="dxa"/>
            <w:tcBorders>
              <w:top w:val="single" w:sz="8" w:space="0" w:color="auto"/>
              <w:left w:val="single" w:sz="6" w:space="0" w:color="auto"/>
              <w:bottom w:val="single" w:sz="12" w:space="0" w:color="auto"/>
              <w:right w:val="single" w:sz="6" w:space="0" w:color="auto"/>
            </w:tcBorders>
            <w:shd w:val="clear" w:color="auto" w:fill="auto"/>
            <w:noWrap/>
            <w:vAlign w:val="center"/>
            <w:hideMark/>
          </w:tcPr>
          <w:p w14:paraId="3D3BBE97" w14:textId="77777777" w:rsidR="00D027BB" w:rsidRPr="006171FC" w:rsidRDefault="00D027BB" w:rsidP="00D616B0">
            <w:pPr>
              <w:jc w:val="center"/>
              <w:rPr>
                <w:color w:val="auto"/>
                <w:szCs w:val="26"/>
              </w:rPr>
            </w:pPr>
            <w:r w:rsidRPr="006171FC">
              <w:rPr>
                <w:color w:val="auto"/>
                <w:szCs w:val="26"/>
              </w:rPr>
              <w:t>2038</w:t>
            </w:r>
          </w:p>
        </w:tc>
        <w:tc>
          <w:tcPr>
            <w:tcW w:w="1592" w:type="dxa"/>
            <w:tcBorders>
              <w:top w:val="single" w:sz="8" w:space="0" w:color="auto"/>
              <w:left w:val="single" w:sz="6" w:space="0" w:color="auto"/>
              <w:bottom w:val="single" w:sz="12" w:space="0" w:color="auto"/>
              <w:right w:val="single" w:sz="6" w:space="0" w:color="auto"/>
            </w:tcBorders>
            <w:shd w:val="clear" w:color="auto" w:fill="auto"/>
            <w:noWrap/>
            <w:vAlign w:val="center"/>
            <w:hideMark/>
          </w:tcPr>
          <w:p w14:paraId="380B6B1E" w14:textId="77777777" w:rsidR="00D027BB" w:rsidRPr="006171FC" w:rsidRDefault="00D027BB" w:rsidP="00D616B0">
            <w:pPr>
              <w:jc w:val="center"/>
              <w:rPr>
                <w:color w:val="auto"/>
                <w:szCs w:val="26"/>
              </w:rPr>
            </w:pPr>
            <w:r w:rsidRPr="006171FC">
              <w:rPr>
                <w:color w:val="auto"/>
                <w:szCs w:val="26"/>
              </w:rPr>
              <w:t>305</w:t>
            </w:r>
          </w:p>
        </w:tc>
        <w:tc>
          <w:tcPr>
            <w:tcW w:w="1528" w:type="dxa"/>
            <w:tcBorders>
              <w:top w:val="single" w:sz="8" w:space="0" w:color="auto"/>
              <w:left w:val="single" w:sz="6" w:space="0" w:color="auto"/>
              <w:bottom w:val="single" w:sz="12" w:space="0" w:color="auto"/>
              <w:right w:val="single" w:sz="6" w:space="0" w:color="auto"/>
            </w:tcBorders>
            <w:shd w:val="clear" w:color="auto" w:fill="auto"/>
            <w:noWrap/>
            <w:vAlign w:val="center"/>
            <w:hideMark/>
          </w:tcPr>
          <w:p w14:paraId="29192395" w14:textId="77777777" w:rsidR="00D027BB" w:rsidRPr="006171FC" w:rsidRDefault="00D027BB" w:rsidP="00D616B0">
            <w:pPr>
              <w:jc w:val="center"/>
              <w:rPr>
                <w:color w:val="auto"/>
                <w:szCs w:val="26"/>
              </w:rPr>
            </w:pPr>
            <w:r w:rsidRPr="006171FC">
              <w:rPr>
                <w:color w:val="auto"/>
                <w:szCs w:val="26"/>
              </w:rPr>
              <w:t>--</w:t>
            </w:r>
          </w:p>
        </w:tc>
        <w:tc>
          <w:tcPr>
            <w:tcW w:w="1354" w:type="dxa"/>
            <w:tcBorders>
              <w:top w:val="single" w:sz="8" w:space="0" w:color="auto"/>
              <w:left w:val="single" w:sz="6" w:space="0" w:color="auto"/>
              <w:bottom w:val="single" w:sz="12" w:space="0" w:color="auto"/>
              <w:right w:val="single" w:sz="6" w:space="0" w:color="auto"/>
            </w:tcBorders>
            <w:shd w:val="clear" w:color="auto" w:fill="auto"/>
            <w:noWrap/>
            <w:vAlign w:val="center"/>
            <w:hideMark/>
          </w:tcPr>
          <w:p w14:paraId="4476E21F" w14:textId="77777777" w:rsidR="00D027BB" w:rsidRPr="006171FC" w:rsidRDefault="00D027BB" w:rsidP="00D616B0">
            <w:pPr>
              <w:jc w:val="center"/>
              <w:rPr>
                <w:color w:val="auto"/>
                <w:szCs w:val="26"/>
              </w:rPr>
            </w:pPr>
            <w:r w:rsidRPr="006171FC">
              <w:rPr>
                <w:color w:val="auto"/>
                <w:szCs w:val="26"/>
              </w:rPr>
              <w:t>305</w:t>
            </w:r>
          </w:p>
        </w:tc>
        <w:tc>
          <w:tcPr>
            <w:tcW w:w="1532" w:type="dxa"/>
            <w:tcBorders>
              <w:top w:val="single" w:sz="8" w:space="0" w:color="auto"/>
              <w:left w:val="single" w:sz="6" w:space="0" w:color="auto"/>
              <w:bottom w:val="single" w:sz="12" w:space="0" w:color="auto"/>
              <w:right w:val="single" w:sz="8" w:space="0" w:color="auto"/>
            </w:tcBorders>
            <w:shd w:val="clear" w:color="auto" w:fill="auto"/>
            <w:noWrap/>
            <w:vAlign w:val="center"/>
            <w:hideMark/>
          </w:tcPr>
          <w:p w14:paraId="1FCD94AF" w14:textId="77777777" w:rsidR="00D027BB" w:rsidRPr="006171FC" w:rsidRDefault="00D027BB" w:rsidP="00D616B0">
            <w:pPr>
              <w:jc w:val="center"/>
              <w:rPr>
                <w:color w:val="auto"/>
                <w:szCs w:val="26"/>
              </w:rPr>
            </w:pPr>
            <w:r w:rsidRPr="006171FC">
              <w:rPr>
                <w:color w:val="auto"/>
                <w:szCs w:val="26"/>
              </w:rPr>
              <w:t>--</w:t>
            </w:r>
          </w:p>
        </w:tc>
      </w:tr>
      <w:tr w:rsidR="00E12B0D" w:rsidRPr="006171FC" w14:paraId="2A2707B5" w14:textId="77777777" w:rsidTr="5415ECE4">
        <w:trPr>
          <w:trHeight w:val="315"/>
        </w:trPr>
        <w:tc>
          <w:tcPr>
            <w:tcW w:w="890" w:type="dxa"/>
            <w:tcBorders>
              <w:top w:val="single" w:sz="12" w:space="0" w:color="auto"/>
              <w:left w:val="single" w:sz="4" w:space="0" w:color="auto"/>
              <w:bottom w:val="single" w:sz="8" w:space="0" w:color="auto"/>
              <w:right w:val="single" w:sz="4" w:space="0" w:color="auto"/>
            </w:tcBorders>
            <w:shd w:val="clear" w:color="auto" w:fill="auto"/>
            <w:noWrap/>
            <w:vAlign w:val="center"/>
          </w:tcPr>
          <w:p w14:paraId="6A758CBD" w14:textId="77777777" w:rsidR="00D027BB" w:rsidRPr="006171FC" w:rsidRDefault="00D027BB" w:rsidP="00D616B0">
            <w:pPr>
              <w:jc w:val="center"/>
              <w:rPr>
                <w:b/>
                <w:bCs/>
                <w:color w:val="auto"/>
                <w:szCs w:val="26"/>
              </w:rPr>
            </w:pPr>
            <w:r w:rsidRPr="006171FC">
              <w:rPr>
                <w:b/>
                <w:bCs/>
                <w:color w:val="auto"/>
                <w:szCs w:val="26"/>
              </w:rPr>
              <w:t>Total</w:t>
            </w:r>
          </w:p>
        </w:tc>
        <w:tc>
          <w:tcPr>
            <w:tcW w:w="1065" w:type="dxa"/>
            <w:tcBorders>
              <w:top w:val="single" w:sz="12" w:space="0" w:color="auto"/>
              <w:left w:val="nil"/>
              <w:bottom w:val="single" w:sz="8" w:space="0" w:color="auto"/>
              <w:right w:val="single" w:sz="4" w:space="0" w:color="auto"/>
            </w:tcBorders>
            <w:shd w:val="clear" w:color="auto" w:fill="auto"/>
            <w:vAlign w:val="center"/>
          </w:tcPr>
          <w:p w14:paraId="03C0C84C" w14:textId="594CB75D" w:rsidR="70EC2968" w:rsidRPr="006171FC" w:rsidRDefault="70EC2968" w:rsidP="70EC2968">
            <w:pPr>
              <w:jc w:val="center"/>
              <w:rPr>
                <w:color w:val="auto"/>
                <w:szCs w:val="26"/>
              </w:rPr>
            </w:pPr>
          </w:p>
        </w:tc>
        <w:tc>
          <w:tcPr>
            <w:tcW w:w="1505" w:type="dxa"/>
            <w:tcBorders>
              <w:top w:val="single" w:sz="12" w:space="0" w:color="auto"/>
              <w:left w:val="nil"/>
              <w:bottom w:val="single" w:sz="8" w:space="0" w:color="auto"/>
              <w:right w:val="single" w:sz="4" w:space="0" w:color="auto"/>
            </w:tcBorders>
            <w:shd w:val="clear" w:color="auto" w:fill="auto"/>
            <w:noWrap/>
            <w:vAlign w:val="center"/>
          </w:tcPr>
          <w:p w14:paraId="3AA50D25" w14:textId="77777777" w:rsidR="00D027BB" w:rsidRPr="006171FC" w:rsidRDefault="00D027BB" w:rsidP="00D616B0">
            <w:pPr>
              <w:jc w:val="center"/>
              <w:rPr>
                <w:color w:val="auto"/>
                <w:szCs w:val="26"/>
              </w:rPr>
            </w:pPr>
          </w:p>
        </w:tc>
        <w:tc>
          <w:tcPr>
            <w:tcW w:w="1592" w:type="dxa"/>
            <w:tcBorders>
              <w:top w:val="single" w:sz="12" w:space="0" w:color="auto"/>
              <w:left w:val="nil"/>
              <w:bottom w:val="single" w:sz="8" w:space="0" w:color="auto"/>
              <w:right w:val="single" w:sz="4" w:space="0" w:color="auto"/>
            </w:tcBorders>
            <w:shd w:val="clear" w:color="auto" w:fill="auto"/>
            <w:noWrap/>
            <w:vAlign w:val="center"/>
          </w:tcPr>
          <w:p w14:paraId="68F62027" w14:textId="77777777" w:rsidR="00D027BB" w:rsidRPr="006171FC" w:rsidRDefault="00D027BB" w:rsidP="00D616B0">
            <w:pPr>
              <w:jc w:val="center"/>
              <w:rPr>
                <w:color w:val="auto"/>
                <w:szCs w:val="26"/>
              </w:rPr>
            </w:pPr>
            <w:r w:rsidRPr="006171FC">
              <w:rPr>
                <w:color w:val="auto"/>
                <w:szCs w:val="26"/>
              </w:rPr>
              <w:t>2,004</w:t>
            </w:r>
          </w:p>
        </w:tc>
        <w:tc>
          <w:tcPr>
            <w:tcW w:w="1528" w:type="dxa"/>
            <w:tcBorders>
              <w:top w:val="single" w:sz="12" w:space="0" w:color="auto"/>
              <w:left w:val="nil"/>
              <w:bottom w:val="single" w:sz="8" w:space="0" w:color="auto"/>
              <w:right w:val="single" w:sz="4" w:space="0" w:color="auto"/>
            </w:tcBorders>
            <w:shd w:val="clear" w:color="auto" w:fill="auto"/>
            <w:noWrap/>
            <w:vAlign w:val="center"/>
          </w:tcPr>
          <w:p w14:paraId="453C5E98" w14:textId="57712D36" w:rsidR="00D027BB" w:rsidRPr="006171FC" w:rsidRDefault="36D3E95F" w:rsidP="00D616B0">
            <w:pPr>
              <w:jc w:val="center"/>
              <w:rPr>
                <w:color w:val="auto"/>
                <w:szCs w:val="26"/>
              </w:rPr>
            </w:pPr>
            <w:r w:rsidRPr="006171FC">
              <w:rPr>
                <w:color w:val="auto"/>
                <w:szCs w:val="26"/>
              </w:rPr>
              <w:t>3</w:t>
            </w:r>
          </w:p>
        </w:tc>
        <w:tc>
          <w:tcPr>
            <w:tcW w:w="1354" w:type="dxa"/>
            <w:tcBorders>
              <w:top w:val="single" w:sz="12" w:space="0" w:color="auto"/>
              <w:left w:val="nil"/>
              <w:bottom w:val="single" w:sz="8" w:space="0" w:color="auto"/>
              <w:right w:val="single" w:sz="4" w:space="0" w:color="auto"/>
            </w:tcBorders>
            <w:shd w:val="clear" w:color="auto" w:fill="auto"/>
            <w:noWrap/>
            <w:vAlign w:val="center"/>
          </w:tcPr>
          <w:p w14:paraId="3805D2AC" w14:textId="77777777" w:rsidR="00D027BB" w:rsidRPr="006171FC" w:rsidRDefault="00D027BB" w:rsidP="00D616B0">
            <w:pPr>
              <w:jc w:val="center"/>
              <w:rPr>
                <w:color w:val="auto"/>
                <w:szCs w:val="26"/>
              </w:rPr>
            </w:pPr>
            <w:r w:rsidRPr="006171FC">
              <w:rPr>
                <w:color w:val="auto"/>
                <w:szCs w:val="26"/>
              </w:rPr>
              <w:t>1,754</w:t>
            </w:r>
          </w:p>
        </w:tc>
        <w:tc>
          <w:tcPr>
            <w:tcW w:w="1532" w:type="dxa"/>
            <w:tcBorders>
              <w:top w:val="single" w:sz="12" w:space="0" w:color="auto"/>
              <w:left w:val="nil"/>
              <w:bottom w:val="single" w:sz="8" w:space="0" w:color="auto"/>
              <w:right w:val="single" w:sz="4" w:space="0" w:color="auto"/>
            </w:tcBorders>
            <w:shd w:val="clear" w:color="auto" w:fill="auto"/>
            <w:noWrap/>
            <w:vAlign w:val="center"/>
          </w:tcPr>
          <w:p w14:paraId="526FE813" w14:textId="77777777" w:rsidR="00D027BB" w:rsidRPr="006171FC" w:rsidRDefault="00D027BB" w:rsidP="00D616B0">
            <w:pPr>
              <w:jc w:val="center"/>
              <w:rPr>
                <w:color w:val="auto"/>
                <w:szCs w:val="26"/>
              </w:rPr>
            </w:pPr>
            <w:r w:rsidRPr="006171FC">
              <w:rPr>
                <w:color w:val="auto"/>
                <w:szCs w:val="26"/>
              </w:rPr>
              <w:t>250</w:t>
            </w:r>
          </w:p>
        </w:tc>
      </w:tr>
      <w:bookmarkEnd w:id="3"/>
    </w:tbl>
    <w:p w14:paraId="2BCD2BFA" w14:textId="40297BA9" w:rsidR="00D027BB" w:rsidRPr="006171FC" w:rsidRDefault="00D027BB" w:rsidP="00480D4B">
      <w:pPr>
        <w:widowControl w:val="0"/>
        <w:spacing w:after="260" w:line="360" w:lineRule="auto"/>
        <w:rPr>
          <w:color w:val="auto"/>
          <w:szCs w:val="26"/>
          <w:highlight w:val="yellow"/>
        </w:rPr>
      </w:pPr>
    </w:p>
    <w:p w14:paraId="635BCF1F" w14:textId="77777777" w:rsidR="00FF6CDC" w:rsidRDefault="00737E63" w:rsidP="00FF6CDC">
      <w:pPr>
        <w:spacing w:before="240" w:after="240" w:line="360" w:lineRule="auto"/>
        <w:ind w:firstLine="720"/>
        <w:rPr>
          <w:color w:val="auto"/>
          <w:szCs w:val="26"/>
        </w:rPr>
      </w:pPr>
      <w:r>
        <w:rPr>
          <w:color w:val="auto"/>
          <w:szCs w:val="26"/>
        </w:rPr>
        <w:t xml:space="preserve">In supplemental information filed with the Commission, </w:t>
      </w:r>
      <w:r w:rsidR="00CD30FA" w:rsidRPr="006171FC">
        <w:rPr>
          <w:color w:val="auto"/>
          <w:szCs w:val="26"/>
        </w:rPr>
        <w:t>York-WW</w:t>
      </w:r>
      <w:r w:rsidR="00600A23" w:rsidRPr="006171FC">
        <w:rPr>
          <w:color w:val="auto"/>
          <w:szCs w:val="26"/>
        </w:rPr>
        <w:t xml:space="preserve"> provid</w:t>
      </w:r>
      <w:r w:rsidR="00DE522C" w:rsidRPr="006171FC">
        <w:rPr>
          <w:color w:val="auto"/>
          <w:szCs w:val="26"/>
        </w:rPr>
        <w:t xml:space="preserve">ed </w:t>
      </w:r>
      <w:r w:rsidR="003C17B6" w:rsidRPr="006171FC">
        <w:rPr>
          <w:color w:val="auto"/>
          <w:szCs w:val="26"/>
        </w:rPr>
        <w:t>a copy</w:t>
      </w:r>
      <w:r w:rsidR="00EA5129" w:rsidRPr="006171FC">
        <w:rPr>
          <w:color w:val="auto"/>
          <w:szCs w:val="26"/>
        </w:rPr>
        <w:t xml:space="preserve"> of Straban</w:t>
      </w:r>
      <w:r w:rsidR="0079636A" w:rsidRPr="006171FC">
        <w:rPr>
          <w:color w:val="auto"/>
          <w:szCs w:val="26"/>
        </w:rPr>
        <w:t xml:space="preserve"> Township’s 2007</w:t>
      </w:r>
      <w:r w:rsidR="00D75779" w:rsidRPr="006171FC">
        <w:rPr>
          <w:color w:val="auto"/>
          <w:szCs w:val="26"/>
        </w:rPr>
        <w:t xml:space="preserve"> Act 537</w:t>
      </w:r>
      <w:r w:rsidR="00245F89" w:rsidRPr="006171FC">
        <w:rPr>
          <w:color w:val="auto"/>
          <w:szCs w:val="26"/>
        </w:rPr>
        <w:t xml:space="preserve"> Official Sewage Facilities Plan (2007 Act 537 Plan) </w:t>
      </w:r>
      <w:r w:rsidR="00C77D81" w:rsidRPr="006171FC">
        <w:rPr>
          <w:color w:val="auto"/>
          <w:szCs w:val="26"/>
        </w:rPr>
        <w:t>a</w:t>
      </w:r>
      <w:r w:rsidR="00F97FAA" w:rsidRPr="006171FC">
        <w:rPr>
          <w:color w:val="auto"/>
          <w:szCs w:val="26"/>
        </w:rPr>
        <w:t xml:space="preserve">pproved by </w:t>
      </w:r>
      <w:r w:rsidR="00994CCB">
        <w:rPr>
          <w:color w:val="auto"/>
          <w:szCs w:val="26"/>
        </w:rPr>
        <w:t>DEP</w:t>
      </w:r>
      <w:r w:rsidR="00F97FAA" w:rsidRPr="006171FC">
        <w:rPr>
          <w:color w:val="auto"/>
          <w:szCs w:val="26"/>
        </w:rPr>
        <w:t xml:space="preserve"> </w:t>
      </w:r>
      <w:r w:rsidR="005D5BED" w:rsidRPr="006171FC">
        <w:rPr>
          <w:color w:val="auto"/>
          <w:szCs w:val="26"/>
        </w:rPr>
        <w:t>in</w:t>
      </w:r>
      <w:r w:rsidR="001E5335" w:rsidRPr="006171FC">
        <w:rPr>
          <w:color w:val="auto"/>
          <w:szCs w:val="26"/>
        </w:rPr>
        <w:t xml:space="preserve"> 2008</w:t>
      </w:r>
      <w:r w:rsidR="00D62F63" w:rsidRPr="006171FC">
        <w:rPr>
          <w:color w:val="auto"/>
          <w:szCs w:val="26"/>
        </w:rPr>
        <w:t>.</w:t>
      </w:r>
      <w:r w:rsidR="00994041" w:rsidRPr="006171FC">
        <w:rPr>
          <w:color w:val="auto"/>
          <w:szCs w:val="26"/>
        </w:rPr>
        <w:t xml:space="preserve">  </w:t>
      </w:r>
      <w:r w:rsidR="00330DA6" w:rsidRPr="006171FC">
        <w:rPr>
          <w:color w:val="auto"/>
          <w:szCs w:val="26"/>
        </w:rPr>
        <w:t>York</w:t>
      </w:r>
      <w:r w:rsidR="004D0386" w:rsidRPr="006171FC">
        <w:rPr>
          <w:color w:val="auto"/>
          <w:szCs w:val="26"/>
        </w:rPr>
        <w:t xml:space="preserve">-WW’s </w:t>
      </w:r>
      <w:r w:rsidR="001B0B7D" w:rsidRPr="006171FC">
        <w:rPr>
          <w:color w:val="auto"/>
          <w:szCs w:val="26"/>
        </w:rPr>
        <w:t>m</w:t>
      </w:r>
      <w:r w:rsidR="00141B1B" w:rsidRPr="006171FC">
        <w:rPr>
          <w:color w:val="auto"/>
          <w:szCs w:val="26"/>
        </w:rPr>
        <w:t>ap of the request</w:t>
      </w:r>
      <w:r w:rsidR="00563BE9" w:rsidRPr="006171FC">
        <w:rPr>
          <w:color w:val="auto"/>
          <w:szCs w:val="26"/>
        </w:rPr>
        <w:t>e</w:t>
      </w:r>
      <w:r w:rsidR="00A4463A" w:rsidRPr="006171FC">
        <w:rPr>
          <w:color w:val="auto"/>
          <w:szCs w:val="26"/>
        </w:rPr>
        <w:t>d additional</w:t>
      </w:r>
      <w:r w:rsidR="00141B1B" w:rsidRPr="006171FC">
        <w:rPr>
          <w:color w:val="auto"/>
          <w:szCs w:val="26"/>
        </w:rPr>
        <w:t xml:space="preserve"> terr</w:t>
      </w:r>
      <w:r w:rsidR="00091989" w:rsidRPr="006171FC">
        <w:rPr>
          <w:color w:val="auto"/>
          <w:szCs w:val="26"/>
        </w:rPr>
        <w:t>itory and written descri</w:t>
      </w:r>
      <w:r w:rsidR="00B86E4B" w:rsidRPr="006171FC">
        <w:rPr>
          <w:color w:val="auto"/>
          <w:szCs w:val="26"/>
        </w:rPr>
        <w:t xml:space="preserve">ption of the </w:t>
      </w:r>
      <w:r w:rsidR="00DC5276" w:rsidRPr="006171FC">
        <w:rPr>
          <w:color w:val="auto"/>
          <w:kern w:val="2"/>
          <w:szCs w:val="26"/>
        </w:rPr>
        <w:t>t</w:t>
      </w:r>
      <w:r w:rsidR="00533C86" w:rsidRPr="006171FC">
        <w:rPr>
          <w:color w:val="auto"/>
          <w:kern w:val="2"/>
          <w:szCs w:val="26"/>
        </w:rPr>
        <w:t>erritor</w:t>
      </w:r>
      <w:r w:rsidR="009C78F1" w:rsidRPr="006171FC">
        <w:rPr>
          <w:color w:val="auto"/>
          <w:kern w:val="2"/>
          <w:szCs w:val="26"/>
        </w:rPr>
        <w:t>y’s</w:t>
      </w:r>
      <w:r w:rsidR="009C78F1" w:rsidRPr="006171FC">
        <w:rPr>
          <w:color w:val="auto"/>
          <w:szCs w:val="26"/>
        </w:rPr>
        <w:t xml:space="preserve"> boundar</w:t>
      </w:r>
      <w:r w:rsidR="00AB40E7" w:rsidRPr="006171FC">
        <w:rPr>
          <w:color w:val="auto"/>
          <w:szCs w:val="26"/>
        </w:rPr>
        <w:t xml:space="preserve">ies </w:t>
      </w:r>
      <w:r w:rsidR="008D408C" w:rsidRPr="006171FC">
        <w:rPr>
          <w:color w:val="auto"/>
          <w:szCs w:val="26"/>
        </w:rPr>
        <w:t>by bearin</w:t>
      </w:r>
      <w:r w:rsidR="0008445A" w:rsidRPr="006171FC">
        <w:rPr>
          <w:color w:val="auto"/>
          <w:szCs w:val="26"/>
        </w:rPr>
        <w:t>g angles and distances</w:t>
      </w:r>
      <w:r w:rsidR="00DD350C" w:rsidRPr="006171FC">
        <w:rPr>
          <w:color w:val="auto"/>
          <w:szCs w:val="26"/>
        </w:rPr>
        <w:t xml:space="preserve"> do not appear to f</w:t>
      </w:r>
      <w:r w:rsidR="00946725" w:rsidRPr="006171FC">
        <w:rPr>
          <w:color w:val="auto"/>
          <w:szCs w:val="26"/>
        </w:rPr>
        <w:t xml:space="preserve">ollow the </w:t>
      </w:r>
      <w:r w:rsidR="005D7856" w:rsidRPr="006171FC">
        <w:rPr>
          <w:color w:val="auto"/>
          <w:szCs w:val="26"/>
        </w:rPr>
        <w:t>area</w:t>
      </w:r>
      <w:r w:rsidR="00E3765A" w:rsidRPr="006171FC">
        <w:rPr>
          <w:color w:val="auto"/>
          <w:szCs w:val="26"/>
        </w:rPr>
        <w:t xml:space="preserve"> </w:t>
      </w:r>
      <w:r w:rsidR="000857C7" w:rsidRPr="006171FC">
        <w:rPr>
          <w:color w:val="auto"/>
          <w:szCs w:val="26"/>
        </w:rPr>
        <w:t xml:space="preserve">delineated </w:t>
      </w:r>
      <w:r w:rsidR="0001217D" w:rsidRPr="006171FC">
        <w:rPr>
          <w:color w:val="auto"/>
          <w:szCs w:val="26"/>
        </w:rPr>
        <w:t>for</w:t>
      </w:r>
      <w:r w:rsidR="001271CB" w:rsidRPr="006171FC">
        <w:rPr>
          <w:color w:val="auto"/>
          <w:szCs w:val="26"/>
        </w:rPr>
        <w:t xml:space="preserve"> Amblebro</w:t>
      </w:r>
      <w:r w:rsidR="003002D3" w:rsidRPr="006171FC">
        <w:rPr>
          <w:color w:val="auto"/>
          <w:szCs w:val="26"/>
        </w:rPr>
        <w:t xml:space="preserve">ok </w:t>
      </w:r>
      <w:r w:rsidR="00B81381" w:rsidRPr="006171FC">
        <w:rPr>
          <w:color w:val="auto"/>
          <w:szCs w:val="26"/>
        </w:rPr>
        <w:t xml:space="preserve">by </w:t>
      </w:r>
      <w:r w:rsidR="00AA4220" w:rsidRPr="006171FC">
        <w:rPr>
          <w:color w:val="auto"/>
          <w:szCs w:val="26"/>
        </w:rPr>
        <w:t>Straban</w:t>
      </w:r>
      <w:r w:rsidR="00E836C6" w:rsidRPr="006171FC">
        <w:rPr>
          <w:color w:val="auto"/>
          <w:szCs w:val="26"/>
        </w:rPr>
        <w:t xml:space="preserve"> Township’</w:t>
      </w:r>
      <w:r w:rsidR="000427A7" w:rsidRPr="006171FC">
        <w:rPr>
          <w:color w:val="auto"/>
          <w:szCs w:val="26"/>
        </w:rPr>
        <w:t xml:space="preserve">s </w:t>
      </w:r>
      <w:r w:rsidR="000857C7" w:rsidRPr="006171FC">
        <w:rPr>
          <w:color w:val="auto"/>
          <w:szCs w:val="26"/>
        </w:rPr>
        <w:t>2007 Act 537</w:t>
      </w:r>
      <w:r w:rsidR="00DC16DC" w:rsidRPr="006171FC">
        <w:rPr>
          <w:color w:val="auto"/>
          <w:szCs w:val="26"/>
        </w:rPr>
        <w:t xml:space="preserve"> Plan</w:t>
      </w:r>
      <w:r w:rsidR="002B0B4D" w:rsidRPr="006171FC">
        <w:rPr>
          <w:color w:val="auto"/>
          <w:szCs w:val="26"/>
        </w:rPr>
        <w:t>.</w:t>
      </w:r>
      <w:r w:rsidR="003A0390" w:rsidRPr="006171FC">
        <w:rPr>
          <w:color w:val="auto"/>
          <w:szCs w:val="26"/>
        </w:rPr>
        <w:t xml:space="preserve">  Specificall</w:t>
      </w:r>
      <w:r w:rsidR="0081573E" w:rsidRPr="006171FC">
        <w:rPr>
          <w:color w:val="auto"/>
          <w:szCs w:val="26"/>
        </w:rPr>
        <w:t>y, York-WW</w:t>
      </w:r>
      <w:r w:rsidR="004229C5" w:rsidRPr="006171FC">
        <w:rPr>
          <w:color w:val="auto"/>
          <w:szCs w:val="26"/>
        </w:rPr>
        <w:t xml:space="preserve"> has request</w:t>
      </w:r>
      <w:r w:rsidR="006D5FE9" w:rsidRPr="006171FC">
        <w:rPr>
          <w:color w:val="auto"/>
          <w:szCs w:val="26"/>
        </w:rPr>
        <w:t>ed</w:t>
      </w:r>
      <w:r w:rsidR="00DE6C39" w:rsidRPr="006171FC">
        <w:rPr>
          <w:color w:val="auto"/>
          <w:szCs w:val="26"/>
        </w:rPr>
        <w:t xml:space="preserve"> to provide</w:t>
      </w:r>
      <w:r w:rsidR="0083498F" w:rsidRPr="006171FC">
        <w:rPr>
          <w:color w:val="auto"/>
          <w:szCs w:val="26"/>
        </w:rPr>
        <w:t xml:space="preserve"> </w:t>
      </w:r>
      <w:r w:rsidR="009653CC" w:rsidRPr="006171FC">
        <w:rPr>
          <w:color w:val="auto"/>
          <w:szCs w:val="26"/>
        </w:rPr>
        <w:t>was</w:t>
      </w:r>
      <w:r w:rsidR="007E7A51" w:rsidRPr="006171FC">
        <w:rPr>
          <w:color w:val="auto"/>
          <w:szCs w:val="26"/>
        </w:rPr>
        <w:t>tewater service</w:t>
      </w:r>
      <w:r w:rsidR="00274BBB" w:rsidRPr="006171FC">
        <w:rPr>
          <w:color w:val="auto"/>
          <w:szCs w:val="26"/>
        </w:rPr>
        <w:t xml:space="preserve"> to </w:t>
      </w:r>
      <w:r w:rsidR="00DB4E90" w:rsidRPr="006171FC">
        <w:rPr>
          <w:color w:val="auto"/>
          <w:szCs w:val="26"/>
        </w:rPr>
        <w:t xml:space="preserve">certain </w:t>
      </w:r>
      <w:r w:rsidR="00274BBB" w:rsidRPr="006171FC">
        <w:rPr>
          <w:color w:val="auto"/>
          <w:szCs w:val="26"/>
        </w:rPr>
        <w:t>lands that are adja</w:t>
      </w:r>
      <w:r w:rsidR="004F3583" w:rsidRPr="006171FC">
        <w:rPr>
          <w:color w:val="auto"/>
          <w:szCs w:val="26"/>
        </w:rPr>
        <w:t>cent to or wi</w:t>
      </w:r>
      <w:r w:rsidR="00AC3F2F" w:rsidRPr="006171FC">
        <w:rPr>
          <w:color w:val="auto"/>
          <w:szCs w:val="26"/>
        </w:rPr>
        <w:t>thin</w:t>
      </w:r>
      <w:r w:rsidR="00D3636F" w:rsidRPr="006171FC">
        <w:rPr>
          <w:color w:val="auto"/>
          <w:szCs w:val="26"/>
        </w:rPr>
        <w:t xml:space="preserve"> 1,500</w:t>
      </w:r>
      <w:r w:rsidR="002B15C9" w:rsidRPr="006171FC">
        <w:rPr>
          <w:color w:val="auto"/>
          <w:szCs w:val="26"/>
        </w:rPr>
        <w:t xml:space="preserve"> feet of </w:t>
      </w:r>
      <w:r w:rsidR="00DF0A50" w:rsidRPr="006171FC">
        <w:rPr>
          <w:color w:val="auto"/>
          <w:szCs w:val="26"/>
        </w:rPr>
        <w:t>Ambl</w:t>
      </w:r>
      <w:r w:rsidR="00F652D9" w:rsidRPr="006171FC">
        <w:rPr>
          <w:color w:val="auto"/>
          <w:szCs w:val="26"/>
        </w:rPr>
        <w:t>ebrook</w:t>
      </w:r>
      <w:r w:rsidR="008E07D2" w:rsidRPr="006171FC">
        <w:rPr>
          <w:color w:val="auto"/>
          <w:szCs w:val="26"/>
        </w:rPr>
        <w:t xml:space="preserve"> </w:t>
      </w:r>
      <w:r w:rsidR="00877332" w:rsidRPr="006171FC">
        <w:rPr>
          <w:color w:val="auto"/>
          <w:szCs w:val="26"/>
        </w:rPr>
        <w:t>(Nearby</w:t>
      </w:r>
      <w:r w:rsidR="001C28AA" w:rsidRPr="006171FC">
        <w:rPr>
          <w:color w:val="auto"/>
          <w:szCs w:val="26"/>
        </w:rPr>
        <w:t xml:space="preserve"> Lands)</w:t>
      </w:r>
      <w:r w:rsidR="008802A9">
        <w:rPr>
          <w:color w:val="auto"/>
          <w:szCs w:val="26"/>
        </w:rPr>
        <w:t>,</w:t>
      </w:r>
      <w:r w:rsidR="008C3550" w:rsidRPr="006171FC">
        <w:rPr>
          <w:color w:val="auto"/>
          <w:szCs w:val="26"/>
        </w:rPr>
        <w:t xml:space="preserve"> representing approximately 0.91 square miles of territory outside </w:t>
      </w:r>
      <w:r w:rsidR="00A92F43" w:rsidRPr="006171FC">
        <w:rPr>
          <w:color w:val="auto"/>
          <w:szCs w:val="26"/>
        </w:rPr>
        <w:t xml:space="preserve">of </w:t>
      </w:r>
      <w:r w:rsidR="008C3550" w:rsidRPr="006171FC">
        <w:rPr>
          <w:color w:val="auto"/>
          <w:szCs w:val="26"/>
        </w:rPr>
        <w:t>the development</w:t>
      </w:r>
      <w:r w:rsidR="000D2DC7" w:rsidRPr="006171FC">
        <w:rPr>
          <w:color w:val="auto"/>
          <w:szCs w:val="26"/>
        </w:rPr>
        <w:t>.</w:t>
      </w:r>
      <w:r w:rsidR="002C7AAD" w:rsidRPr="006171FC">
        <w:rPr>
          <w:color w:val="auto"/>
          <w:szCs w:val="26"/>
        </w:rPr>
        <w:t xml:space="preserve">  York-WW did not provide</w:t>
      </w:r>
      <w:r w:rsidR="00664BD4" w:rsidRPr="006171FC">
        <w:rPr>
          <w:color w:val="auto"/>
          <w:szCs w:val="26"/>
        </w:rPr>
        <w:t xml:space="preserve"> evidence of DEP’s approval </w:t>
      </w:r>
      <w:r w:rsidR="00B55CD6" w:rsidRPr="006171FC">
        <w:rPr>
          <w:color w:val="auto"/>
          <w:szCs w:val="26"/>
        </w:rPr>
        <w:t>o</w:t>
      </w:r>
      <w:r w:rsidR="00C52767" w:rsidRPr="006171FC">
        <w:rPr>
          <w:color w:val="auto"/>
          <w:szCs w:val="26"/>
        </w:rPr>
        <w:t>f an expansi</w:t>
      </w:r>
      <w:r w:rsidR="002D6C41" w:rsidRPr="006171FC">
        <w:rPr>
          <w:color w:val="auto"/>
          <w:szCs w:val="26"/>
        </w:rPr>
        <w:t xml:space="preserve">on outside of </w:t>
      </w:r>
      <w:r w:rsidR="00066587" w:rsidRPr="006171FC">
        <w:rPr>
          <w:color w:val="auto"/>
          <w:szCs w:val="26"/>
        </w:rPr>
        <w:t>Amble</w:t>
      </w:r>
      <w:r w:rsidR="008C73C7" w:rsidRPr="006171FC">
        <w:rPr>
          <w:color w:val="auto"/>
          <w:szCs w:val="26"/>
        </w:rPr>
        <w:t xml:space="preserve">brook </w:t>
      </w:r>
      <w:r w:rsidR="0098278F" w:rsidRPr="006171FC">
        <w:rPr>
          <w:color w:val="auto"/>
          <w:szCs w:val="26"/>
        </w:rPr>
        <w:t>to include</w:t>
      </w:r>
      <w:r w:rsidR="00023686" w:rsidRPr="006171FC">
        <w:rPr>
          <w:color w:val="auto"/>
          <w:szCs w:val="26"/>
        </w:rPr>
        <w:t xml:space="preserve"> Nearby Lands</w:t>
      </w:r>
      <w:r w:rsidR="00F92FEB" w:rsidRPr="006171FC">
        <w:rPr>
          <w:color w:val="auto"/>
          <w:szCs w:val="26"/>
        </w:rPr>
        <w:t xml:space="preserve"> pur</w:t>
      </w:r>
      <w:r w:rsidR="00B347ED" w:rsidRPr="006171FC">
        <w:rPr>
          <w:color w:val="auto"/>
          <w:szCs w:val="26"/>
        </w:rPr>
        <w:t xml:space="preserve">suant to </w:t>
      </w:r>
      <w:r w:rsidR="00696DA9" w:rsidRPr="006171FC">
        <w:rPr>
          <w:color w:val="auto"/>
          <w:szCs w:val="26"/>
        </w:rPr>
        <w:t xml:space="preserve">35 P.S. § 750.5, </w:t>
      </w:r>
      <w:r w:rsidR="00A572BD" w:rsidRPr="006171FC">
        <w:rPr>
          <w:color w:val="auto"/>
          <w:szCs w:val="26"/>
        </w:rPr>
        <w:t xml:space="preserve">in which </w:t>
      </w:r>
      <w:r w:rsidR="00696DA9" w:rsidRPr="006171FC">
        <w:rPr>
          <w:color w:val="auto"/>
          <w:szCs w:val="26"/>
        </w:rPr>
        <w:t xml:space="preserve">revisions </w:t>
      </w:r>
      <w:r w:rsidR="009C2C95" w:rsidRPr="006171FC">
        <w:rPr>
          <w:color w:val="auto"/>
          <w:szCs w:val="26"/>
        </w:rPr>
        <w:t>to Act 537 Plans</w:t>
      </w:r>
      <w:r w:rsidR="00696DA9" w:rsidRPr="006171FC">
        <w:rPr>
          <w:color w:val="auto"/>
          <w:szCs w:val="26"/>
        </w:rPr>
        <w:t xml:space="preserve"> must be submitted to DEP for </w:t>
      </w:r>
      <w:r w:rsidR="00746F44" w:rsidRPr="006171FC">
        <w:rPr>
          <w:color w:val="auto"/>
          <w:szCs w:val="26"/>
        </w:rPr>
        <w:t xml:space="preserve">review and </w:t>
      </w:r>
      <w:r w:rsidR="00696DA9" w:rsidRPr="006171FC">
        <w:rPr>
          <w:color w:val="auto"/>
          <w:szCs w:val="26"/>
        </w:rPr>
        <w:t>approval.</w:t>
      </w:r>
      <w:r w:rsidR="00D53676" w:rsidRPr="006171FC">
        <w:rPr>
          <w:color w:val="auto"/>
          <w:szCs w:val="26"/>
        </w:rPr>
        <w:t xml:space="preserve">  While </w:t>
      </w:r>
      <w:r w:rsidR="51963953" w:rsidRPr="006171FC">
        <w:rPr>
          <w:color w:val="auto"/>
          <w:szCs w:val="26"/>
        </w:rPr>
        <w:t>a letter from</w:t>
      </w:r>
      <w:r w:rsidR="00D53676" w:rsidRPr="006171FC">
        <w:rPr>
          <w:color w:val="auto"/>
          <w:szCs w:val="26"/>
        </w:rPr>
        <w:t xml:space="preserve"> Strab</w:t>
      </w:r>
      <w:r w:rsidR="00413B90" w:rsidRPr="006171FC">
        <w:rPr>
          <w:color w:val="auto"/>
          <w:szCs w:val="26"/>
        </w:rPr>
        <w:t>an Township</w:t>
      </w:r>
      <w:r w:rsidR="003248F6" w:rsidRPr="006171FC">
        <w:rPr>
          <w:color w:val="auto"/>
          <w:szCs w:val="26"/>
        </w:rPr>
        <w:t xml:space="preserve"> support</w:t>
      </w:r>
      <w:r w:rsidR="3C5F70BA" w:rsidRPr="006171FC">
        <w:rPr>
          <w:color w:val="auto"/>
          <w:szCs w:val="26"/>
        </w:rPr>
        <w:t>ed</w:t>
      </w:r>
      <w:r w:rsidR="00A711BE" w:rsidRPr="006171FC">
        <w:rPr>
          <w:color w:val="auto"/>
          <w:szCs w:val="26"/>
        </w:rPr>
        <w:t xml:space="preserve"> </w:t>
      </w:r>
      <w:r w:rsidR="00E61FC2" w:rsidRPr="006171FC">
        <w:rPr>
          <w:color w:val="auto"/>
          <w:szCs w:val="26"/>
        </w:rPr>
        <w:t>t</w:t>
      </w:r>
      <w:r w:rsidR="005A3810" w:rsidRPr="006171FC">
        <w:rPr>
          <w:color w:val="auto"/>
          <w:szCs w:val="26"/>
        </w:rPr>
        <w:t>he possibil</w:t>
      </w:r>
      <w:r w:rsidR="00714716" w:rsidRPr="006171FC">
        <w:rPr>
          <w:color w:val="auto"/>
          <w:szCs w:val="26"/>
        </w:rPr>
        <w:t>ity of</w:t>
      </w:r>
      <w:r w:rsidR="00A02A3C" w:rsidRPr="006171FC">
        <w:rPr>
          <w:color w:val="auto"/>
          <w:szCs w:val="26"/>
        </w:rPr>
        <w:t xml:space="preserve"> </w:t>
      </w:r>
      <w:r w:rsidR="00A711BE" w:rsidRPr="006171FC">
        <w:rPr>
          <w:color w:val="auto"/>
          <w:szCs w:val="26"/>
        </w:rPr>
        <w:t>York-</w:t>
      </w:r>
      <w:r w:rsidR="00501E3D" w:rsidRPr="006171FC">
        <w:rPr>
          <w:color w:val="auto"/>
          <w:szCs w:val="26"/>
        </w:rPr>
        <w:t>WW</w:t>
      </w:r>
      <w:r w:rsidR="00A02A3C" w:rsidRPr="006171FC">
        <w:rPr>
          <w:color w:val="auto"/>
          <w:szCs w:val="26"/>
        </w:rPr>
        <w:t xml:space="preserve"> providi</w:t>
      </w:r>
      <w:r w:rsidR="00B5176D" w:rsidRPr="006171FC">
        <w:rPr>
          <w:color w:val="auto"/>
          <w:szCs w:val="26"/>
        </w:rPr>
        <w:t>ng wastewate</w:t>
      </w:r>
      <w:r w:rsidR="00B362B3" w:rsidRPr="006171FC">
        <w:rPr>
          <w:color w:val="auto"/>
          <w:szCs w:val="26"/>
        </w:rPr>
        <w:t>r service</w:t>
      </w:r>
      <w:r w:rsidR="00C37E02" w:rsidRPr="006171FC">
        <w:rPr>
          <w:color w:val="auto"/>
          <w:szCs w:val="26"/>
        </w:rPr>
        <w:t xml:space="preserve"> </w:t>
      </w:r>
      <w:r w:rsidR="004F0F27" w:rsidRPr="006171FC">
        <w:rPr>
          <w:color w:val="auto"/>
          <w:szCs w:val="26"/>
        </w:rPr>
        <w:t xml:space="preserve">to </w:t>
      </w:r>
      <w:r w:rsidR="00474561" w:rsidRPr="006171FC">
        <w:rPr>
          <w:color w:val="auto"/>
          <w:szCs w:val="26"/>
        </w:rPr>
        <w:t>Nearby Lands</w:t>
      </w:r>
      <w:r w:rsidR="002D6797" w:rsidRPr="006171FC">
        <w:rPr>
          <w:color w:val="auto"/>
          <w:szCs w:val="26"/>
        </w:rPr>
        <w:t>,</w:t>
      </w:r>
      <w:r w:rsidR="00D12146" w:rsidRPr="006171FC">
        <w:rPr>
          <w:color w:val="auto"/>
          <w:szCs w:val="26"/>
        </w:rPr>
        <w:t xml:space="preserve"> </w:t>
      </w:r>
      <w:r w:rsidR="00691654" w:rsidRPr="006171FC">
        <w:rPr>
          <w:color w:val="auto"/>
          <w:szCs w:val="26"/>
        </w:rPr>
        <w:t>a</w:t>
      </w:r>
      <w:r w:rsidR="008157F6" w:rsidRPr="006171FC">
        <w:rPr>
          <w:color w:val="auto"/>
          <w:szCs w:val="26"/>
        </w:rPr>
        <w:t xml:space="preserve"> le</w:t>
      </w:r>
      <w:r w:rsidR="00491DF2" w:rsidRPr="006171FC">
        <w:rPr>
          <w:color w:val="auto"/>
          <w:szCs w:val="26"/>
        </w:rPr>
        <w:t>tter of support</w:t>
      </w:r>
      <w:r w:rsidR="6DCDB3F5" w:rsidRPr="006171FC">
        <w:rPr>
          <w:color w:val="auto"/>
          <w:szCs w:val="26"/>
        </w:rPr>
        <w:t xml:space="preserve"> </w:t>
      </w:r>
      <w:r w:rsidR="00491DF2" w:rsidRPr="006171FC">
        <w:rPr>
          <w:color w:val="auto"/>
          <w:szCs w:val="26"/>
        </w:rPr>
        <w:t>cann</w:t>
      </w:r>
      <w:r w:rsidR="00623655" w:rsidRPr="006171FC">
        <w:rPr>
          <w:color w:val="auto"/>
          <w:szCs w:val="26"/>
        </w:rPr>
        <w:t>ot supersede</w:t>
      </w:r>
      <w:r w:rsidR="00727273" w:rsidRPr="006171FC">
        <w:rPr>
          <w:color w:val="auto"/>
          <w:szCs w:val="26"/>
        </w:rPr>
        <w:t xml:space="preserve"> Straban Township’s</w:t>
      </w:r>
      <w:r w:rsidR="004E0F9A" w:rsidRPr="006171FC">
        <w:rPr>
          <w:color w:val="auto"/>
          <w:szCs w:val="26"/>
        </w:rPr>
        <w:t xml:space="preserve"> DEP</w:t>
      </w:r>
      <w:r w:rsidR="003E336A" w:rsidRPr="006171FC">
        <w:rPr>
          <w:color w:val="auto"/>
          <w:szCs w:val="26"/>
        </w:rPr>
        <w:t>-</w:t>
      </w:r>
      <w:r w:rsidR="00A75BD3" w:rsidRPr="006171FC">
        <w:rPr>
          <w:color w:val="auto"/>
          <w:szCs w:val="26"/>
        </w:rPr>
        <w:t>approved 2007</w:t>
      </w:r>
      <w:r w:rsidR="001D4CE6" w:rsidRPr="006171FC">
        <w:rPr>
          <w:color w:val="auto"/>
          <w:szCs w:val="26"/>
        </w:rPr>
        <w:t xml:space="preserve"> Act 537 Plan</w:t>
      </w:r>
      <w:r w:rsidR="5DDF17E1" w:rsidRPr="006171FC">
        <w:rPr>
          <w:color w:val="auto"/>
          <w:szCs w:val="26"/>
        </w:rPr>
        <w:t>.</w:t>
      </w:r>
      <w:r w:rsidR="00586D63" w:rsidRPr="006171FC">
        <w:rPr>
          <w:color w:val="auto"/>
          <w:szCs w:val="26"/>
        </w:rPr>
        <w:t xml:space="preserve"> </w:t>
      </w:r>
      <w:r w:rsidR="00AC4645">
        <w:rPr>
          <w:color w:val="auto"/>
          <w:szCs w:val="26"/>
        </w:rPr>
        <w:t xml:space="preserve"> </w:t>
      </w:r>
      <w:r w:rsidR="00C94C6A" w:rsidRPr="006171FC">
        <w:rPr>
          <w:color w:val="auto"/>
          <w:szCs w:val="26"/>
        </w:rPr>
        <w:t>35 P.S. § 750.5.</w:t>
      </w:r>
      <w:r w:rsidR="00501E3D" w:rsidRPr="006171FC">
        <w:rPr>
          <w:color w:val="auto"/>
          <w:szCs w:val="26"/>
        </w:rPr>
        <w:t xml:space="preserve"> </w:t>
      </w:r>
      <w:r w:rsidR="002507C9" w:rsidRPr="006171FC">
        <w:rPr>
          <w:color w:val="auto"/>
          <w:szCs w:val="26"/>
        </w:rPr>
        <w:t xml:space="preserve"> </w:t>
      </w:r>
    </w:p>
    <w:p w14:paraId="2051902D" w14:textId="315D4CE6" w:rsidR="00F771E2" w:rsidRPr="006171FC" w:rsidRDefault="0028585A" w:rsidP="00FF6CDC">
      <w:pPr>
        <w:spacing w:before="240" w:after="240" w:line="360" w:lineRule="auto"/>
        <w:ind w:firstLine="720"/>
        <w:rPr>
          <w:color w:val="auto"/>
          <w:szCs w:val="26"/>
        </w:rPr>
      </w:pPr>
      <w:r w:rsidRPr="006171FC">
        <w:rPr>
          <w:color w:val="auto"/>
          <w:szCs w:val="26"/>
        </w:rPr>
        <w:t>Additionally, the Applicati</w:t>
      </w:r>
      <w:r w:rsidR="00D95A8A" w:rsidRPr="006171FC">
        <w:rPr>
          <w:color w:val="auto"/>
          <w:szCs w:val="26"/>
        </w:rPr>
        <w:t>on does not demonstra</w:t>
      </w:r>
      <w:r w:rsidR="00346AE9" w:rsidRPr="006171FC">
        <w:rPr>
          <w:color w:val="auto"/>
          <w:szCs w:val="26"/>
        </w:rPr>
        <w:t>te the capa</w:t>
      </w:r>
      <w:r w:rsidR="00D4778E" w:rsidRPr="006171FC">
        <w:rPr>
          <w:color w:val="auto"/>
          <w:szCs w:val="26"/>
        </w:rPr>
        <w:t>bility of the</w:t>
      </w:r>
      <w:r w:rsidR="00DD676E" w:rsidRPr="006171FC">
        <w:rPr>
          <w:color w:val="auto"/>
          <w:szCs w:val="26"/>
        </w:rPr>
        <w:t xml:space="preserve"> propose</w:t>
      </w:r>
      <w:r w:rsidR="0077798B" w:rsidRPr="006171FC">
        <w:rPr>
          <w:color w:val="auto"/>
          <w:szCs w:val="26"/>
        </w:rPr>
        <w:t>d</w:t>
      </w:r>
      <w:r w:rsidR="00647FB0" w:rsidRPr="006171FC">
        <w:rPr>
          <w:color w:val="auto"/>
          <w:szCs w:val="26"/>
        </w:rPr>
        <w:t xml:space="preserve"> Amblebrook facili</w:t>
      </w:r>
      <w:r w:rsidR="005B5D38" w:rsidRPr="006171FC">
        <w:rPr>
          <w:color w:val="auto"/>
          <w:szCs w:val="26"/>
        </w:rPr>
        <w:t xml:space="preserve">ties </w:t>
      </w:r>
      <w:r w:rsidR="001A37EF" w:rsidRPr="006171FC">
        <w:rPr>
          <w:color w:val="auto"/>
          <w:szCs w:val="26"/>
        </w:rPr>
        <w:t>to provide</w:t>
      </w:r>
      <w:r w:rsidR="003A5E5D" w:rsidRPr="006171FC">
        <w:rPr>
          <w:color w:val="auto"/>
          <w:szCs w:val="26"/>
        </w:rPr>
        <w:t xml:space="preserve"> adequate</w:t>
      </w:r>
      <w:r w:rsidR="00375B64" w:rsidRPr="006171FC">
        <w:rPr>
          <w:color w:val="auto"/>
          <w:szCs w:val="26"/>
        </w:rPr>
        <w:t xml:space="preserve"> was</w:t>
      </w:r>
      <w:r w:rsidR="00CB064B" w:rsidRPr="006171FC">
        <w:rPr>
          <w:color w:val="auto"/>
          <w:szCs w:val="26"/>
        </w:rPr>
        <w:t>tewater service</w:t>
      </w:r>
      <w:r w:rsidR="00A65F1B" w:rsidRPr="006171FC">
        <w:rPr>
          <w:color w:val="auto"/>
          <w:szCs w:val="26"/>
        </w:rPr>
        <w:t xml:space="preserve"> to Nearby Lands</w:t>
      </w:r>
      <w:r w:rsidR="00AC3525" w:rsidRPr="006171FC">
        <w:rPr>
          <w:color w:val="auto"/>
          <w:szCs w:val="26"/>
        </w:rPr>
        <w:t>, nor does the Application</w:t>
      </w:r>
      <w:r w:rsidR="006C2C56" w:rsidRPr="006171FC">
        <w:rPr>
          <w:color w:val="auto"/>
          <w:szCs w:val="26"/>
        </w:rPr>
        <w:t xml:space="preserve"> quanti</w:t>
      </w:r>
      <w:r w:rsidR="002034CA" w:rsidRPr="006171FC">
        <w:rPr>
          <w:color w:val="auto"/>
          <w:szCs w:val="26"/>
        </w:rPr>
        <w:t>fy the cost, required capacity</w:t>
      </w:r>
      <w:r w:rsidR="00253930" w:rsidRPr="006171FC">
        <w:rPr>
          <w:color w:val="auto"/>
          <w:szCs w:val="26"/>
        </w:rPr>
        <w:t>, or timeframe to comp</w:t>
      </w:r>
      <w:r w:rsidR="00394076" w:rsidRPr="006171FC">
        <w:rPr>
          <w:color w:val="auto"/>
          <w:szCs w:val="26"/>
        </w:rPr>
        <w:t>lete</w:t>
      </w:r>
      <w:r w:rsidR="003E6A00" w:rsidRPr="006171FC">
        <w:rPr>
          <w:color w:val="auto"/>
          <w:szCs w:val="26"/>
        </w:rPr>
        <w:t xml:space="preserve"> plant </w:t>
      </w:r>
      <w:r w:rsidR="000205BD" w:rsidRPr="006171FC">
        <w:rPr>
          <w:color w:val="auto"/>
          <w:szCs w:val="26"/>
        </w:rPr>
        <w:t>upgrades</w:t>
      </w:r>
      <w:r w:rsidR="00F6292E" w:rsidRPr="006171FC">
        <w:rPr>
          <w:color w:val="auto"/>
          <w:szCs w:val="26"/>
        </w:rPr>
        <w:t>, improvement</w:t>
      </w:r>
      <w:r w:rsidR="006327D7" w:rsidRPr="006171FC">
        <w:rPr>
          <w:color w:val="auto"/>
          <w:szCs w:val="26"/>
        </w:rPr>
        <w:t>s, or ext</w:t>
      </w:r>
      <w:r w:rsidR="00FD3ED3" w:rsidRPr="006171FC">
        <w:rPr>
          <w:color w:val="auto"/>
          <w:szCs w:val="26"/>
        </w:rPr>
        <w:t>ensions that would be necess</w:t>
      </w:r>
      <w:r w:rsidR="00CB3E44" w:rsidRPr="006171FC">
        <w:rPr>
          <w:color w:val="auto"/>
          <w:szCs w:val="26"/>
        </w:rPr>
        <w:t>ary to facili</w:t>
      </w:r>
      <w:r w:rsidR="002C1AA5" w:rsidRPr="006171FC">
        <w:rPr>
          <w:color w:val="auto"/>
          <w:szCs w:val="26"/>
        </w:rPr>
        <w:t>tate</w:t>
      </w:r>
      <w:r w:rsidR="003C293B" w:rsidRPr="006171FC">
        <w:rPr>
          <w:color w:val="auto"/>
          <w:szCs w:val="26"/>
        </w:rPr>
        <w:t xml:space="preserve"> public</w:t>
      </w:r>
      <w:r w:rsidR="00A7597E" w:rsidRPr="006171FC">
        <w:rPr>
          <w:color w:val="auto"/>
          <w:szCs w:val="26"/>
        </w:rPr>
        <w:t xml:space="preserve"> </w:t>
      </w:r>
      <w:r w:rsidR="00A7597E" w:rsidRPr="006171FC">
        <w:rPr>
          <w:color w:val="auto"/>
          <w:szCs w:val="26"/>
        </w:rPr>
        <w:lastRenderedPageBreak/>
        <w:t>w</w:t>
      </w:r>
      <w:r w:rsidR="00731B2B" w:rsidRPr="006171FC">
        <w:rPr>
          <w:color w:val="auto"/>
          <w:szCs w:val="26"/>
        </w:rPr>
        <w:t>astewater service</w:t>
      </w:r>
      <w:r w:rsidR="00653033" w:rsidRPr="006171FC">
        <w:rPr>
          <w:color w:val="auto"/>
          <w:szCs w:val="26"/>
        </w:rPr>
        <w:t xml:space="preserve"> to any area outsid</w:t>
      </w:r>
      <w:r w:rsidR="003C775E" w:rsidRPr="006171FC">
        <w:rPr>
          <w:color w:val="auto"/>
          <w:szCs w:val="26"/>
        </w:rPr>
        <w:t>e</w:t>
      </w:r>
      <w:r w:rsidR="00BC4BF1" w:rsidRPr="006171FC">
        <w:rPr>
          <w:color w:val="auto"/>
          <w:szCs w:val="26"/>
        </w:rPr>
        <w:t xml:space="preserve"> of Ambleb</w:t>
      </w:r>
      <w:r w:rsidR="008145EC" w:rsidRPr="006171FC">
        <w:rPr>
          <w:color w:val="auto"/>
          <w:szCs w:val="26"/>
        </w:rPr>
        <w:t>rook.</w:t>
      </w:r>
      <w:r w:rsidR="00E2299B" w:rsidRPr="006171FC">
        <w:rPr>
          <w:color w:val="auto"/>
          <w:szCs w:val="26"/>
        </w:rPr>
        <w:t xml:space="preserve">  The Commission</w:t>
      </w:r>
      <w:r w:rsidR="00E5512D" w:rsidRPr="006171FC">
        <w:rPr>
          <w:color w:val="auto"/>
          <w:szCs w:val="26"/>
        </w:rPr>
        <w:t xml:space="preserve"> notes</w:t>
      </w:r>
      <w:r w:rsidR="00710E19" w:rsidRPr="006171FC">
        <w:rPr>
          <w:color w:val="auto"/>
          <w:szCs w:val="26"/>
        </w:rPr>
        <w:t xml:space="preserve"> that, pursu</w:t>
      </w:r>
      <w:r w:rsidR="002A5F32" w:rsidRPr="006171FC">
        <w:rPr>
          <w:color w:val="auto"/>
          <w:szCs w:val="26"/>
        </w:rPr>
        <w:t xml:space="preserve">ant to </w:t>
      </w:r>
      <w:r w:rsidR="005905F6" w:rsidRPr="006171FC">
        <w:rPr>
          <w:color w:val="auto"/>
          <w:szCs w:val="26"/>
        </w:rPr>
        <w:t>35 P.S. § 750.5(a)</w:t>
      </w:r>
      <w:r w:rsidR="00A37FB3" w:rsidRPr="006171FC">
        <w:rPr>
          <w:color w:val="auto"/>
          <w:szCs w:val="26"/>
        </w:rPr>
        <w:t>,</w:t>
      </w:r>
      <w:r w:rsidR="004279DC" w:rsidRPr="006171FC">
        <w:rPr>
          <w:color w:val="auto"/>
          <w:szCs w:val="26"/>
        </w:rPr>
        <w:t xml:space="preserve"> Straban Town</w:t>
      </w:r>
      <w:r w:rsidR="009051A7" w:rsidRPr="006171FC">
        <w:rPr>
          <w:color w:val="auto"/>
          <w:szCs w:val="26"/>
        </w:rPr>
        <w:t>ship is responsible</w:t>
      </w:r>
      <w:r w:rsidR="00EC40C6" w:rsidRPr="006171FC">
        <w:rPr>
          <w:color w:val="auto"/>
          <w:szCs w:val="26"/>
        </w:rPr>
        <w:t xml:space="preserve"> for any</w:t>
      </w:r>
      <w:r w:rsidR="000A376F" w:rsidRPr="006171FC">
        <w:rPr>
          <w:color w:val="auto"/>
          <w:szCs w:val="26"/>
        </w:rPr>
        <w:t xml:space="preserve"> </w:t>
      </w:r>
      <w:r w:rsidR="00F71010" w:rsidRPr="006171FC">
        <w:rPr>
          <w:color w:val="auto"/>
          <w:szCs w:val="26"/>
        </w:rPr>
        <w:t>revisions</w:t>
      </w:r>
      <w:r w:rsidR="00E37E97" w:rsidRPr="006171FC">
        <w:rPr>
          <w:color w:val="auto"/>
          <w:szCs w:val="26"/>
        </w:rPr>
        <w:t xml:space="preserve"> to its </w:t>
      </w:r>
      <w:r w:rsidR="0075562E" w:rsidRPr="006171FC">
        <w:rPr>
          <w:color w:val="auto"/>
          <w:szCs w:val="26"/>
        </w:rPr>
        <w:t>2</w:t>
      </w:r>
      <w:r w:rsidR="007A232F" w:rsidRPr="006171FC">
        <w:rPr>
          <w:color w:val="auto"/>
          <w:szCs w:val="26"/>
        </w:rPr>
        <w:t>007</w:t>
      </w:r>
      <w:r w:rsidR="001155B7" w:rsidRPr="006171FC">
        <w:rPr>
          <w:color w:val="auto"/>
          <w:szCs w:val="26"/>
        </w:rPr>
        <w:t xml:space="preserve"> Act 537</w:t>
      </w:r>
      <w:r w:rsidR="009E7D64" w:rsidRPr="006171FC">
        <w:rPr>
          <w:color w:val="auto"/>
          <w:szCs w:val="26"/>
        </w:rPr>
        <w:t xml:space="preserve"> Plan</w:t>
      </w:r>
      <w:r w:rsidR="003F6095" w:rsidRPr="006171FC">
        <w:rPr>
          <w:color w:val="auto"/>
          <w:szCs w:val="26"/>
        </w:rPr>
        <w:t>, includin</w:t>
      </w:r>
      <w:r w:rsidR="002D3CF8" w:rsidRPr="006171FC">
        <w:rPr>
          <w:color w:val="auto"/>
          <w:szCs w:val="26"/>
        </w:rPr>
        <w:t>g any changes</w:t>
      </w:r>
      <w:r w:rsidR="00640ED4" w:rsidRPr="006171FC">
        <w:rPr>
          <w:color w:val="auto"/>
          <w:szCs w:val="26"/>
        </w:rPr>
        <w:t xml:space="preserve"> to the area to be serv</w:t>
      </w:r>
      <w:r w:rsidR="00E6284B" w:rsidRPr="006171FC">
        <w:rPr>
          <w:color w:val="auto"/>
          <w:szCs w:val="26"/>
        </w:rPr>
        <w:t>ed by a pub</w:t>
      </w:r>
      <w:r w:rsidR="007B243C" w:rsidRPr="006171FC">
        <w:rPr>
          <w:color w:val="auto"/>
          <w:szCs w:val="26"/>
        </w:rPr>
        <w:t>lic sewer system</w:t>
      </w:r>
      <w:r w:rsidR="0009337B" w:rsidRPr="006171FC">
        <w:rPr>
          <w:color w:val="auto"/>
          <w:szCs w:val="26"/>
        </w:rPr>
        <w:t>, no matter</w:t>
      </w:r>
      <w:r w:rsidR="00783D5D" w:rsidRPr="006171FC">
        <w:rPr>
          <w:color w:val="auto"/>
          <w:szCs w:val="26"/>
        </w:rPr>
        <w:t xml:space="preserve"> the entity providin</w:t>
      </w:r>
      <w:r w:rsidR="00083CA7" w:rsidRPr="006171FC">
        <w:rPr>
          <w:color w:val="auto"/>
          <w:szCs w:val="26"/>
        </w:rPr>
        <w:t>g wastewater service</w:t>
      </w:r>
      <w:r w:rsidR="00156512" w:rsidRPr="006171FC">
        <w:rPr>
          <w:color w:val="auto"/>
          <w:szCs w:val="26"/>
        </w:rPr>
        <w:t>.</w:t>
      </w:r>
    </w:p>
    <w:p w14:paraId="41F36ED2" w14:textId="77777777" w:rsidR="002F07AA" w:rsidRDefault="00C94BC4" w:rsidP="00A01E6C">
      <w:pPr>
        <w:widowControl w:val="0"/>
        <w:spacing w:after="260" w:line="360" w:lineRule="auto"/>
        <w:ind w:firstLine="720"/>
        <w:rPr>
          <w:color w:val="auto"/>
          <w:szCs w:val="26"/>
        </w:rPr>
      </w:pPr>
      <w:r w:rsidRPr="006171FC">
        <w:rPr>
          <w:color w:val="auto"/>
          <w:szCs w:val="26"/>
        </w:rPr>
        <w:t xml:space="preserve">Further, </w:t>
      </w:r>
      <w:r w:rsidR="003F0D5F">
        <w:rPr>
          <w:color w:val="auto"/>
          <w:szCs w:val="26"/>
        </w:rPr>
        <w:t xml:space="preserve">as indicated by </w:t>
      </w:r>
      <w:r w:rsidR="00604C77" w:rsidRPr="006171FC">
        <w:rPr>
          <w:color w:val="auto"/>
          <w:szCs w:val="26"/>
        </w:rPr>
        <w:t>York-WW</w:t>
      </w:r>
      <w:r w:rsidR="00554EA9" w:rsidRPr="006171FC">
        <w:rPr>
          <w:color w:val="auto"/>
          <w:szCs w:val="26"/>
        </w:rPr>
        <w:t xml:space="preserve"> </w:t>
      </w:r>
      <w:r w:rsidR="006D2D5E" w:rsidRPr="006171FC">
        <w:rPr>
          <w:color w:val="auto"/>
          <w:szCs w:val="26"/>
        </w:rPr>
        <w:t>in Section 1(C) of the Developer Agreement,</w:t>
      </w:r>
      <w:r w:rsidR="00130B81" w:rsidRPr="006171FC">
        <w:rPr>
          <w:color w:val="auto"/>
          <w:szCs w:val="26"/>
        </w:rPr>
        <w:t xml:space="preserve"> </w:t>
      </w:r>
      <w:r w:rsidR="00F90BF6">
        <w:rPr>
          <w:color w:val="auto"/>
          <w:szCs w:val="26"/>
        </w:rPr>
        <w:t xml:space="preserve">York-WW </w:t>
      </w:r>
      <w:r w:rsidR="00130B81" w:rsidRPr="006171FC">
        <w:rPr>
          <w:color w:val="auto"/>
          <w:szCs w:val="26"/>
        </w:rPr>
        <w:t>would submi</w:t>
      </w:r>
      <w:r w:rsidR="004D76DC" w:rsidRPr="006171FC">
        <w:rPr>
          <w:color w:val="auto"/>
          <w:szCs w:val="26"/>
        </w:rPr>
        <w:t xml:space="preserve">t, </w:t>
      </w:r>
      <w:r w:rsidR="00C73EFA" w:rsidRPr="006171FC">
        <w:rPr>
          <w:color w:val="auto"/>
          <w:szCs w:val="26"/>
        </w:rPr>
        <w:t>in conjunction</w:t>
      </w:r>
      <w:r w:rsidR="00712D02" w:rsidRPr="006171FC">
        <w:rPr>
          <w:color w:val="auto"/>
          <w:szCs w:val="26"/>
        </w:rPr>
        <w:t xml:space="preserve"> with Rock Cr</w:t>
      </w:r>
      <w:r w:rsidR="0074232F" w:rsidRPr="006171FC">
        <w:rPr>
          <w:color w:val="auto"/>
          <w:szCs w:val="26"/>
        </w:rPr>
        <w:t>e</w:t>
      </w:r>
      <w:r w:rsidR="00C73EFA" w:rsidRPr="006171FC">
        <w:rPr>
          <w:color w:val="auto"/>
          <w:szCs w:val="26"/>
        </w:rPr>
        <w:t>ek’s</w:t>
      </w:r>
      <w:r w:rsidR="0004113E" w:rsidRPr="006171FC">
        <w:rPr>
          <w:color w:val="auto"/>
          <w:szCs w:val="26"/>
        </w:rPr>
        <w:t xml:space="preserve"> submission to Straban Township</w:t>
      </w:r>
      <w:r w:rsidR="00F65541" w:rsidRPr="006171FC">
        <w:rPr>
          <w:color w:val="auto"/>
          <w:szCs w:val="26"/>
        </w:rPr>
        <w:t xml:space="preserve"> of the final plan</w:t>
      </w:r>
      <w:r w:rsidR="00243AA0" w:rsidRPr="006171FC">
        <w:rPr>
          <w:color w:val="auto"/>
          <w:szCs w:val="26"/>
        </w:rPr>
        <w:t xml:space="preserve"> for the final phase</w:t>
      </w:r>
      <w:r w:rsidR="00F32494" w:rsidRPr="006171FC">
        <w:rPr>
          <w:color w:val="auto"/>
          <w:szCs w:val="26"/>
        </w:rPr>
        <w:t xml:space="preserve"> (Phase 5)</w:t>
      </w:r>
      <w:r w:rsidR="00D9311A" w:rsidRPr="006171FC">
        <w:rPr>
          <w:color w:val="auto"/>
          <w:szCs w:val="26"/>
        </w:rPr>
        <w:t xml:space="preserve"> of Amble</w:t>
      </w:r>
      <w:r w:rsidR="00450ECB" w:rsidRPr="006171FC">
        <w:rPr>
          <w:color w:val="auto"/>
          <w:szCs w:val="26"/>
        </w:rPr>
        <w:t>brook</w:t>
      </w:r>
      <w:r w:rsidR="00FE6F34" w:rsidRPr="006171FC">
        <w:rPr>
          <w:color w:val="auto"/>
          <w:szCs w:val="26"/>
        </w:rPr>
        <w:t>,</w:t>
      </w:r>
      <w:r w:rsidR="009B5DA2" w:rsidRPr="006171FC">
        <w:rPr>
          <w:color w:val="auto"/>
          <w:szCs w:val="26"/>
        </w:rPr>
        <w:t xml:space="preserve"> </w:t>
      </w:r>
      <w:r w:rsidR="004F3A76" w:rsidRPr="006171FC">
        <w:rPr>
          <w:color w:val="auto"/>
          <w:szCs w:val="26"/>
        </w:rPr>
        <w:t>a</w:t>
      </w:r>
      <w:r w:rsidR="00D5014D" w:rsidRPr="006171FC">
        <w:rPr>
          <w:color w:val="auto"/>
          <w:szCs w:val="26"/>
        </w:rPr>
        <w:t xml:space="preserve"> </w:t>
      </w:r>
      <w:r w:rsidR="002C5ABE" w:rsidRPr="006171FC">
        <w:rPr>
          <w:color w:val="auto"/>
          <w:szCs w:val="26"/>
        </w:rPr>
        <w:t>Sewer Study</w:t>
      </w:r>
      <w:r w:rsidR="00D5014D" w:rsidRPr="006171FC">
        <w:rPr>
          <w:color w:val="auto"/>
          <w:szCs w:val="26"/>
        </w:rPr>
        <w:t xml:space="preserve"> to </w:t>
      </w:r>
      <w:r w:rsidR="00427FFB" w:rsidRPr="006171FC">
        <w:rPr>
          <w:color w:val="auto"/>
          <w:szCs w:val="26"/>
        </w:rPr>
        <w:t>Straban Township</w:t>
      </w:r>
      <w:r w:rsidR="00747BA1" w:rsidRPr="006171FC">
        <w:rPr>
          <w:color w:val="auto"/>
          <w:szCs w:val="26"/>
        </w:rPr>
        <w:t xml:space="preserve"> that identifi</w:t>
      </w:r>
      <w:r w:rsidR="00476EAD" w:rsidRPr="006171FC">
        <w:rPr>
          <w:color w:val="auto"/>
          <w:szCs w:val="26"/>
        </w:rPr>
        <w:t>es</w:t>
      </w:r>
      <w:r w:rsidR="00584863" w:rsidRPr="006171FC">
        <w:rPr>
          <w:color w:val="auto"/>
          <w:szCs w:val="26"/>
        </w:rPr>
        <w:t xml:space="preserve"> </w:t>
      </w:r>
      <w:r w:rsidR="00D97F22" w:rsidRPr="006171FC">
        <w:rPr>
          <w:color w:val="auto"/>
          <w:szCs w:val="26"/>
        </w:rPr>
        <w:t>the following:</w:t>
      </w:r>
      <w:r w:rsidR="00584863" w:rsidRPr="006171FC">
        <w:rPr>
          <w:color w:val="auto"/>
          <w:szCs w:val="26"/>
        </w:rPr>
        <w:t xml:space="preserve"> </w:t>
      </w:r>
      <w:r w:rsidR="006D6BCC" w:rsidRPr="006171FC">
        <w:rPr>
          <w:color w:val="auto"/>
          <w:szCs w:val="26"/>
        </w:rPr>
        <w:t xml:space="preserve"> </w:t>
      </w:r>
      <w:r w:rsidR="002E0574" w:rsidRPr="006171FC">
        <w:rPr>
          <w:color w:val="auto"/>
          <w:szCs w:val="26"/>
        </w:rPr>
        <w:t>(</w:t>
      </w:r>
      <w:r w:rsidR="00C53DF8">
        <w:rPr>
          <w:color w:val="auto"/>
          <w:szCs w:val="26"/>
        </w:rPr>
        <w:t>1</w:t>
      </w:r>
      <w:r w:rsidR="002E0574" w:rsidRPr="006171FC">
        <w:rPr>
          <w:color w:val="auto"/>
          <w:szCs w:val="26"/>
        </w:rPr>
        <w:t>) average daily and peak</w:t>
      </w:r>
      <w:r w:rsidR="00162B76" w:rsidRPr="006171FC">
        <w:rPr>
          <w:color w:val="auto"/>
          <w:szCs w:val="26"/>
        </w:rPr>
        <w:t xml:space="preserve"> wastewate</w:t>
      </w:r>
      <w:r w:rsidR="00FD6768" w:rsidRPr="006171FC">
        <w:rPr>
          <w:color w:val="auto"/>
          <w:szCs w:val="26"/>
        </w:rPr>
        <w:t>r flows</w:t>
      </w:r>
      <w:r w:rsidR="004E77A5" w:rsidRPr="006171FC">
        <w:rPr>
          <w:color w:val="auto"/>
          <w:szCs w:val="26"/>
        </w:rPr>
        <w:t xml:space="preserve"> of Amble</w:t>
      </w:r>
      <w:r w:rsidR="00226E32" w:rsidRPr="006171FC">
        <w:rPr>
          <w:color w:val="auto"/>
          <w:szCs w:val="26"/>
        </w:rPr>
        <w:t>brook as exis</w:t>
      </w:r>
      <w:r w:rsidR="008B5779" w:rsidRPr="006171FC">
        <w:rPr>
          <w:color w:val="auto"/>
          <w:szCs w:val="26"/>
        </w:rPr>
        <w:t>ting</w:t>
      </w:r>
      <w:r w:rsidR="008262B5" w:rsidRPr="006171FC">
        <w:rPr>
          <w:color w:val="auto"/>
          <w:szCs w:val="26"/>
        </w:rPr>
        <w:t xml:space="preserve"> at such time</w:t>
      </w:r>
      <w:r w:rsidR="00D97F22" w:rsidRPr="006171FC">
        <w:rPr>
          <w:color w:val="auto"/>
          <w:szCs w:val="26"/>
        </w:rPr>
        <w:t>;</w:t>
      </w:r>
      <w:r w:rsidR="00891B43" w:rsidRPr="006171FC">
        <w:rPr>
          <w:color w:val="auto"/>
          <w:szCs w:val="26"/>
        </w:rPr>
        <w:t xml:space="preserve"> </w:t>
      </w:r>
      <w:r w:rsidR="008B1446" w:rsidRPr="006171FC">
        <w:rPr>
          <w:color w:val="auto"/>
          <w:szCs w:val="26"/>
        </w:rPr>
        <w:t>(</w:t>
      </w:r>
      <w:r w:rsidR="00C53DF8">
        <w:rPr>
          <w:color w:val="auto"/>
          <w:szCs w:val="26"/>
        </w:rPr>
        <w:t>2</w:t>
      </w:r>
      <w:r w:rsidR="008B1446" w:rsidRPr="006171FC">
        <w:rPr>
          <w:color w:val="auto"/>
          <w:szCs w:val="26"/>
        </w:rPr>
        <w:t xml:space="preserve">) </w:t>
      </w:r>
      <w:r w:rsidR="00446A9F" w:rsidRPr="006171FC">
        <w:rPr>
          <w:color w:val="auto"/>
          <w:szCs w:val="26"/>
        </w:rPr>
        <w:t>b</w:t>
      </w:r>
      <w:r w:rsidR="00FF5D99" w:rsidRPr="006171FC">
        <w:rPr>
          <w:color w:val="auto"/>
          <w:szCs w:val="26"/>
        </w:rPr>
        <w:t>ased upon such wastewat</w:t>
      </w:r>
      <w:r w:rsidR="00825952" w:rsidRPr="006171FC">
        <w:rPr>
          <w:color w:val="auto"/>
          <w:szCs w:val="26"/>
        </w:rPr>
        <w:t>er flow data</w:t>
      </w:r>
      <w:r w:rsidR="00DB0890" w:rsidRPr="006171FC">
        <w:rPr>
          <w:color w:val="auto"/>
          <w:szCs w:val="26"/>
        </w:rPr>
        <w:t>, the estimated</w:t>
      </w:r>
      <w:r w:rsidR="003437C0" w:rsidRPr="006171FC">
        <w:rPr>
          <w:color w:val="auto"/>
          <w:szCs w:val="26"/>
        </w:rPr>
        <w:t xml:space="preserve"> additional flows required for the compl</w:t>
      </w:r>
      <w:r w:rsidR="008C264F" w:rsidRPr="006171FC">
        <w:rPr>
          <w:color w:val="auto"/>
          <w:szCs w:val="26"/>
        </w:rPr>
        <w:t>etion of the final</w:t>
      </w:r>
      <w:r w:rsidR="006B69FD" w:rsidRPr="006171FC">
        <w:rPr>
          <w:color w:val="auto"/>
          <w:szCs w:val="26"/>
        </w:rPr>
        <w:t xml:space="preserve"> phase </w:t>
      </w:r>
      <w:r w:rsidR="002F0901" w:rsidRPr="006171FC">
        <w:rPr>
          <w:color w:val="auto"/>
          <w:szCs w:val="26"/>
        </w:rPr>
        <w:t>r</w:t>
      </w:r>
      <w:r w:rsidR="00303CAB" w:rsidRPr="006171FC">
        <w:rPr>
          <w:color w:val="auto"/>
          <w:szCs w:val="26"/>
        </w:rPr>
        <w:t>eflecting full bu</w:t>
      </w:r>
      <w:r w:rsidR="001639C7" w:rsidRPr="006171FC">
        <w:rPr>
          <w:color w:val="auto"/>
          <w:szCs w:val="26"/>
        </w:rPr>
        <w:t>ildout of Amblebr</w:t>
      </w:r>
      <w:r w:rsidR="00B82E25" w:rsidRPr="006171FC">
        <w:rPr>
          <w:color w:val="auto"/>
          <w:szCs w:val="26"/>
        </w:rPr>
        <w:t>ook</w:t>
      </w:r>
      <w:r w:rsidR="00CD2309" w:rsidRPr="006171FC">
        <w:rPr>
          <w:color w:val="auto"/>
          <w:szCs w:val="26"/>
        </w:rPr>
        <w:t>;</w:t>
      </w:r>
      <w:r w:rsidR="00B82E25" w:rsidRPr="006171FC">
        <w:rPr>
          <w:color w:val="auto"/>
          <w:szCs w:val="26"/>
        </w:rPr>
        <w:t xml:space="preserve"> and (</w:t>
      </w:r>
      <w:r w:rsidR="00883617">
        <w:rPr>
          <w:color w:val="auto"/>
          <w:szCs w:val="26"/>
        </w:rPr>
        <w:t>3</w:t>
      </w:r>
      <w:r w:rsidR="00B82E25" w:rsidRPr="006171FC">
        <w:rPr>
          <w:color w:val="auto"/>
          <w:szCs w:val="26"/>
        </w:rPr>
        <w:t>) any</w:t>
      </w:r>
      <w:r w:rsidR="008158C9" w:rsidRPr="006171FC">
        <w:rPr>
          <w:color w:val="auto"/>
          <w:szCs w:val="26"/>
        </w:rPr>
        <w:t xml:space="preserve"> additional ex</w:t>
      </w:r>
      <w:r w:rsidR="00351D12" w:rsidRPr="006171FC">
        <w:rPr>
          <w:color w:val="auto"/>
          <w:szCs w:val="26"/>
        </w:rPr>
        <w:t>pansion</w:t>
      </w:r>
      <w:r w:rsidR="009515FC" w:rsidRPr="006171FC">
        <w:rPr>
          <w:color w:val="auto"/>
          <w:szCs w:val="26"/>
        </w:rPr>
        <w:t xml:space="preserve"> of </w:t>
      </w:r>
      <w:r w:rsidR="00111DE0" w:rsidRPr="006171FC">
        <w:rPr>
          <w:color w:val="auto"/>
          <w:szCs w:val="26"/>
        </w:rPr>
        <w:t>or impro</w:t>
      </w:r>
      <w:r w:rsidR="00C366C6" w:rsidRPr="006171FC">
        <w:rPr>
          <w:color w:val="auto"/>
          <w:szCs w:val="26"/>
        </w:rPr>
        <w:t xml:space="preserve">vements to the </w:t>
      </w:r>
      <w:r w:rsidR="004026EC" w:rsidRPr="006171FC">
        <w:rPr>
          <w:color w:val="auto"/>
          <w:szCs w:val="26"/>
        </w:rPr>
        <w:t>wast</w:t>
      </w:r>
      <w:r w:rsidR="002049B5" w:rsidRPr="006171FC">
        <w:rPr>
          <w:color w:val="auto"/>
          <w:szCs w:val="26"/>
        </w:rPr>
        <w:t>ewater treat</w:t>
      </w:r>
      <w:r w:rsidR="00E95464" w:rsidRPr="006171FC">
        <w:rPr>
          <w:color w:val="auto"/>
          <w:szCs w:val="26"/>
        </w:rPr>
        <w:t>ment plant</w:t>
      </w:r>
      <w:r w:rsidR="00CF0F9D" w:rsidRPr="006171FC">
        <w:rPr>
          <w:color w:val="auto"/>
          <w:szCs w:val="26"/>
        </w:rPr>
        <w:t xml:space="preserve"> (WWTP)</w:t>
      </w:r>
      <w:r w:rsidR="00137429" w:rsidRPr="006171FC">
        <w:rPr>
          <w:color w:val="auto"/>
          <w:szCs w:val="26"/>
        </w:rPr>
        <w:t>, if any</w:t>
      </w:r>
      <w:r w:rsidR="00971A69" w:rsidRPr="006171FC">
        <w:rPr>
          <w:color w:val="auto"/>
          <w:szCs w:val="26"/>
        </w:rPr>
        <w:t>, that is nece</w:t>
      </w:r>
      <w:r w:rsidR="00C90477" w:rsidRPr="006171FC">
        <w:rPr>
          <w:color w:val="auto"/>
          <w:szCs w:val="26"/>
        </w:rPr>
        <w:t>ssary to accom</w:t>
      </w:r>
      <w:r w:rsidR="000F6B3D" w:rsidRPr="006171FC">
        <w:rPr>
          <w:color w:val="auto"/>
          <w:szCs w:val="26"/>
        </w:rPr>
        <w:t>modate Nearb</w:t>
      </w:r>
      <w:r w:rsidR="00FD753C" w:rsidRPr="006171FC">
        <w:rPr>
          <w:color w:val="auto"/>
          <w:szCs w:val="26"/>
        </w:rPr>
        <w:t>y Lands</w:t>
      </w:r>
      <w:r w:rsidR="00673CAB" w:rsidRPr="006171FC">
        <w:rPr>
          <w:color w:val="auto"/>
          <w:szCs w:val="26"/>
        </w:rPr>
        <w:t xml:space="preserve">.  </w:t>
      </w:r>
      <w:r w:rsidR="004D0143">
        <w:rPr>
          <w:color w:val="auto"/>
          <w:szCs w:val="26"/>
        </w:rPr>
        <w:t>In</w:t>
      </w:r>
      <w:r w:rsidR="00083355" w:rsidRPr="006171FC">
        <w:rPr>
          <w:color w:val="auto"/>
          <w:szCs w:val="26"/>
        </w:rPr>
        <w:t xml:space="preserve"> Section 1</w:t>
      </w:r>
      <w:r w:rsidR="007C4D7E" w:rsidRPr="006171FC">
        <w:rPr>
          <w:color w:val="auto"/>
          <w:szCs w:val="26"/>
        </w:rPr>
        <w:t>(D)</w:t>
      </w:r>
      <w:r w:rsidR="00E0400E" w:rsidRPr="006171FC">
        <w:rPr>
          <w:color w:val="auto"/>
          <w:szCs w:val="26"/>
        </w:rPr>
        <w:t xml:space="preserve"> of the Developer Agreement</w:t>
      </w:r>
      <w:r w:rsidR="00C5195C" w:rsidRPr="006171FC" w:rsidDel="00E0400E">
        <w:rPr>
          <w:color w:val="auto"/>
          <w:szCs w:val="26"/>
        </w:rPr>
        <w:t>,</w:t>
      </w:r>
      <w:r w:rsidR="00C5195C" w:rsidRPr="006171FC">
        <w:rPr>
          <w:color w:val="auto"/>
          <w:szCs w:val="26"/>
        </w:rPr>
        <w:t xml:space="preserve"> </w:t>
      </w:r>
      <w:r w:rsidR="00F771E2" w:rsidRPr="006171FC">
        <w:rPr>
          <w:color w:val="auto"/>
          <w:szCs w:val="26"/>
        </w:rPr>
        <w:t xml:space="preserve">York-WW </w:t>
      </w:r>
      <w:r w:rsidR="004D0143">
        <w:rPr>
          <w:color w:val="auto"/>
          <w:szCs w:val="26"/>
        </w:rPr>
        <w:t xml:space="preserve">also </w:t>
      </w:r>
      <w:r w:rsidR="00F771E2" w:rsidRPr="006171FC">
        <w:rPr>
          <w:color w:val="auto"/>
          <w:szCs w:val="26"/>
        </w:rPr>
        <w:t xml:space="preserve">indicated that it would submit all applications and documentation necessary to obtain a </w:t>
      </w:r>
      <w:r w:rsidR="002875C0" w:rsidRPr="006171FC">
        <w:rPr>
          <w:color w:val="auto"/>
          <w:szCs w:val="26"/>
        </w:rPr>
        <w:t>C</w:t>
      </w:r>
      <w:r w:rsidR="00F771E2" w:rsidRPr="006171FC">
        <w:rPr>
          <w:color w:val="auto"/>
          <w:szCs w:val="26"/>
        </w:rPr>
        <w:t xml:space="preserve">ertificate of </w:t>
      </w:r>
      <w:r w:rsidR="002875C0" w:rsidRPr="006171FC">
        <w:rPr>
          <w:color w:val="auto"/>
          <w:szCs w:val="26"/>
        </w:rPr>
        <w:t>P</w:t>
      </w:r>
      <w:r w:rsidR="00F771E2" w:rsidRPr="006171FC">
        <w:rPr>
          <w:color w:val="auto"/>
          <w:szCs w:val="26"/>
        </w:rPr>
        <w:t xml:space="preserve">ublic </w:t>
      </w:r>
      <w:r w:rsidR="002875C0" w:rsidRPr="006171FC">
        <w:rPr>
          <w:color w:val="auto"/>
          <w:szCs w:val="26"/>
        </w:rPr>
        <w:t>C</w:t>
      </w:r>
      <w:r w:rsidR="00F771E2" w:rsidRPr="006171FC">
        <w:rPr>
          <w:color w:val="auto"/>
          <w:szCs w:val="26"/>
        </w:rPr>
        <w:t>onvenience to expand York-WW’s service territory beyond Amblebrook to include Nearby Lands</w:t>
      </w:r>
      <w:r w:rsidR="00B5334F" w:rsidRPr="006171FC">
        <w:rPr>
          <w:color w:val="auto"/>
          <w:szCs w:val="26"/>
        </w:rPr>
        <w:t xml:space="preserve"> no later than si</w:t>
      </w:r>
      <w:r w:rsidR="002F463D" w:rsidRPr="006171FC">
        <w:rPr>
          <w:color w:val="auto"/>
          <w:szCs w:val="26"/>
        </w:rPr>
        <w:t>xty</w:t>
      </w:r>
      <w:r w:rsidR="00082E95" w:rsidRPr="006171FC">
        <w:rPr>
          <w:color w:val="auto"/>
          <w:szCs w:val="26"/>
        </w:rPr>
        <w:t xml:space="preserve"> (60) days</w:t>
      </w:r>
      <w:r w:rsidR="00F771E2" w:rsidRPr="006171FC">
        <w:rPr>
          <w:color w:val="auto"/>
          <w:szCs w:val="26"/>
        </w:rPr>
        <w:t xml:space="preserve"> after Rock Creek has submitted to Straban Township a final plan for Phase 5 of Amblebrook.  As </w:t>
      </w:r>
      <w:r w:rsidR="00296745" w:rsidRPr="006171FC">
        <w:rPr>
          <w:color w:val="auto"/>
          <w:szCs w:val="26"/>
        </w:rPr>
        <w:t>indicated</w:t>
      </w:r>
      <w:r w:rsidR="00F771E2" w:rsidRPr="006171FC">
        <w:rPr>
          <w:color w:val="auto"/>
          <w:szCs w:val="26"/>
        </w:rPr>
        <w:t xml:space="preserve"> in Table 1</w:t>
      </w:r>
      <w:r w:rsidR="001D610A" w:rsidRPr="006171FC">
        <w:rPr>
          <w:color w:val="auto"/>
          <w:szCs w:val="26"/>
        </w:rPr>
        <w:t xml:space="preserve"> of this Order</w:t>
      </w:r>
      <w:r w:rsidR="00F771E2" w:rsidRPr="006171FC">
        <w:rPr>
          <w:color w:val="auto"/>
          <w:szCs w:val="26"/>
        </w:rPr>
        <w:t xml:space="preserve">, Rock Creek may not submit a final plan for Phase 5 to Straban Township for a significant number of years.  </w:t>
      </w:r>
      <w:r w:rsidR="00520B0C" w:rsidRPr="006171FC">
        <w:rPr>
          <w:color w:val="auto"/>
          <w:szCs w:val="26"/>
        </w:rPr>
        <w:t xml:space="preserve">Finally, </w:t>
      </w:r>
      <w:r w:rsidR="00642A85" w:rsidRPr="006171FC">
        <w:rPr>
          <w:color w:val="auto"/>
          <w:szCs w:val="26"/>
        </w:rPr>
        <w:t>York-WW</w:t>
      </w:r>
      <w:r w:rsidR="001D0332" w:rsidRPr="006171FC">
        <w:rPr>
          <w:color w:val="auto"/>
          <w:szCs w:val="26"/>
        </w:rPr>
        <w:t>,</w:t>
      </w:r>
      <w:r w:rsidR="00520B0C" w:rsidRPr="006171FC">
        <w:rPr>
          <w:color w:val="auto"/>
          <w:szCs w:val="26"/>
        </w:rPr>
        <w:t xml:space="preserve"> in </w:t>
      </w:r>
      <w:r w:rsidR="00A22DEB" w:rsidRPr="006171FC">
        <w:rPr>
          <w:color w:val="auto"/>
          <w:szCs w:val="26"/>
        </w:rPr>
        <w:t>Section 1 of the Develop</w:t>
      </w:r>
      <w:r w:rsidR="001D0332" w:rsidRPr="006171FC">
        <w:rPr>
          <w:color w:val="auto"/>
          <w:szCs w:val="26"/>
        </w:rPr>
        <w:t xml:space="preserve">er Agreement, </w:t>
      </w:r>
      <w:r w:rsidR="00B61794" w:rsidRPr="006171FC">
        <w:rPr>
          <w:color w:val="auto"/>
          <w:szCs w:val="26"/>
        </w:rPr>
        <w:t>reserved</w:t>
      </w:r>
      <w:r w:rsidR="00035404" w:rsidRPr="006171FC">
        <w:rPr>
          <w:color w:val="auto"/>
          <w:szCs w:val="26"/>
        </w:rPr>
        <w:t xml:space="preserve"> </w:t>
      </w:r>
      <w:r w:rsidR="00D4655C" w:rsidRPr="006171FC">
        <w:rPr>
          <w:color w:val="auto"/>
          <w:szCs w:val="26"/>
        </w:rPr>
        <w:t>“</w:t>
      </w:r>
      <w:r w:rsidR="00035404" w:rsidRPr="006171FC">
        <w:rPr>
          <w:color w:val="auto"/>
          <w:szCs w:val="26"/>
        </w:rPr>
        <w:t>[</w:t>
      </w:r>
      <w:r w:rsidR="007A3593" w:rsidRPr="006171FC">
        <w:rPr>
          <w:color w:val="auto"/>
          <w:szCs w:val="26"/>
        </w:rPr>
        <w:t xml:space="preserve">…] two hundred seventy thousand (270,000) </w:t>
      </w:r>
      <w:r w:rsidR="00880B5A" w:rsidRPr="006171FC">
        <w:rPr>
          <w:color w:val="auto"/>
          <w:szCs w:val="26"/>
        </w:rPr>
        <w:t>gal</w:t>
      </w:r>
      <w:r w:rsidR="00F645F8" w:rsidRPr="006171FC">
        <w:rPr>
          <w:color w:val="auto"/>
          <w:szCs w:val="26"/>
        </w:rPr>
        <w:t xml:space="preserve">lons per day (GPD) to provide </w:t>
      </w:r>
      <w:r w:rsidR="00D4655C" w:rsidRPr="006171FC">
        <w:rPr>
          <w:color w:val="auto"/>
          <w:szCs w:val="26"/>
        </w:rPr>
        <w:t>[</w:t>
      </w:r>
      <w:r w:rsidR="00F645F8" w:rsidRPr="006171FC">
        <w:rPr>
          <w:color w:val="auto"/>
          <w:szCs w:val="26"/>
        </w:rPr>
        <w:t>Rock Creek</w:t>
      </w:r>
      <w:r w:rsidR="00D4655C" w:rsidRPr="006171FC">
        <w:rPr>
          <w:color w:val="auto"/>
          <w:szCs w:val="26"/>
        </w:rPr>
        <w:t>]</w:t>
      </w:r>
      <w:r w:rsidR="00F645F8" w:rsidRPr="006171FC">
        <w:rPr>
          <w:color w:val="auto"/>
          <w:szCs w:val="26"/>
        </w:rPr>
        <w:t xml:space="preserve"> adequate water supply and wastewater service for up</w:t>
      </w:r>
      <w:r w:rsidR="0066283F" w:rsidRPr="006171FC">
        <w:rPr>
          <w:color w:val="auto"/>
          <w:szCs w:val="26"/>
        </w:rPr>
        <w:t xml:space="preserve"> to app</w:t>
      </w:r>
      <w:r w:rsidR="00580FA9" w:rsidRPr="006171FC">
        <w:rPr>
          <w:color w:val="auto"/>
          <w:szCs w:val="26"/>
        </w:rPr>
        <w:t>roximately two thousand (2,00</w:t>
      </w:r>
      <w:r w:rsidR="00D4655C" w:rsidRPr="006171FC">
        <w:rPr>
          <w:color w:val="auto"/>
          <w:szCs w:val="26"/>
        </w:rPr>
        <w:t>7) (</w:t>
      </w:r>
      <w:r w:rsidR="00D4655C" w:rsidRPr="006171FC">
        <w:rPr>
          <w:i/>
          <w:iCs/>
          <w:color w:val="auto"/>
          <w:szCs w:val="26"/>
        </w:rPr>
        <w:t>sic</w:t>
      </w:r>
      <w:r w:rsidR="00D4655C" w:rsidRPr="006171FC">
        <w:rPr>
          <w:color w:val="auto"/>
          <w:szCs w:val="26"/>
        </w:rPr>
        <w:t>)</w:t>
      </w:r>
      <w:r w:rsidR="00520B0C" w:rsidRPr="006171FC">
        <w:rPr>
          <w:color w:val="auto"/>
          <w:szCs w:val="26"/>
        </w:rPr>
        <w:t xml:space="preserve"> </w:t>
      </w:r>
      <w:r w:rsidR="00580FA9" w:rsidRPr="006171FC">
        <w:rPr>
          <w:color w:val="auto"/>
          <w:szCs w:val="26"/>
        </w:rPr>
        <w:t>dwelling units and other faciliti</w:t>
      </w:r>
      <w:r w:rsidR="00642692" w:rsidRPr="006171FC">
        <w:rPr>
          <w:color w:val="auto"/>
          <w:szCs w:val="26"/>
        </w:rPr>
        <w:t>es</w:t>
      </w:r>
      <w:r w:rsidR="00CD4E75">
        <w:rPr>
          <w:color w:val="auto"/>
          <w:szCs w:val="26"/>
        </w:rPr>
        <w:t>…</w:t>
      </w:r>
      <w:r w:rsidR="0020148E" w:rsidRPr="006171FC">
        <w:rPr>
          <w:color w:val="auto"/>
          <w:szCs w:val="26"/>
        </w:rPr>
        <w:t>”</w:t>
      </w:r>
      <w:r w:rsidR="00642692" w:rsidRPr="006171FC">
        <w:rPr>
          <w:color w:val="auto"/>
          <w:szCs w:val="26"/>
        </w:rPr>
        <w:t xml:space="preserve">  </w:t>
      </w:r>
      <w:r w:rsidR="005262F3" w:rsidRPr="006171FC">
        <w:rPr>
          <w:color w:val="auto"/>
          <w:szCs w:val="26"/>
        </w:rPr>
        <w:t>Rock</w:t>
      </w:r>
      <w:r w:rsidR="00F11A13" w:rsidRPr="006171FC">
        <w:rPr>
          <w:color w:val="auto"/>
          <w:szCs w:val="26"/>
        </w:rPr>
        <w:t xml:space="preserve"> Creek’s reserved capacity </w:t>
      </w:r>
      <w:r w:rsidR="00F83F19" w:rsidRPr="006171FC">
        <w:rPr>
          <w:color w:val="auto"/>
          <w:szCs w:val="26"/>
        </w:rPr>
        <w:t>fo</w:t>
      </w:r>
      <w:r w:rsidR="00570D51" w:rsidRPr="006171FC">
        <w:rPr>
          <w:color w:val="auto"/>
          <w:szCs w:val="26"/>
        </w:rPr>
        <w:t xml:space="preserve">r Amblebrook </w:t>
      </w:r>
      <w:r w:rsidR="00F11A13" w:rsidRPr="006171FC">
        <w:rPr>
          <w:color w:val="auto"/>
          <w:szCs w:val="26"/>
        </w:rPr>
        <w:t>repr</w:t>
      </w:r>
      <w:r w:rsidR="00856458" w:rsidRPr="006171FC">
        <w:rPr>
          <w:color w:val="auto"/>
          <w:szCs w:val="26"/>
        </w:rPr>
        <w:t xml:space="preserve">esents the entirety of the </w:t>
      </w:r>
      <w:r w:rsidR="00CF0F9D" w:rsidRPr="006171FC">
        <w:rPr>
          <w:color w:val="auto"/>
          <w:szCs w:val="26"/>
        </w:rPr>
        <w:t>WWTP</w:t>
      </w:r>
      <w:r w:rsidR="00AC452A" w:rsidRPr="006171FC">
        <w:rPr>
          <w:color w:val="auto"/>
          <w:szCs w:val="26"/>
        </w:rPr>
        <w:t xml:space="preserve">’s proposed </w:t>
      </w:r>
      <w:r w:rsidR="00D81AC0" w:rsidRPr="006171FC">
        <w:rPr>
          <w:color w:val="auto"/>
          <w:szCs w:val="26"/>
        </w:rPr>
        <w:t xml:space="preserve">design </w:t>
      </w:r>
      <w:r w:rsidR="00AC452A" w:rsidRPr="006171FC">
        <w:rPr>
          <w:color w:val="auto"/>
          <w:szCs w:val="26"/>
        </w:rPr>
        <w:t>capa</w:t>
      </w:r>
      <w:r w:rsidR="00C840E3" w:rsidRPr="006171FC">
        <w:rPr>
          <w:color w:val="auto"/>
          <w:szCs w:val="26"/>
        </w:rPr>
        <w:t>city of 270,000 GPD</w:t>
      </w:r>
      <w:r w:rsidR="00D81AC0" w:rsidRPr="006171FC">
        <w:rPr>
          <w:color w:val="auto"/>
          <w:szCs w:val="26"/>
        </w:rPr>
        <w:t>,</w:t>
      </w:r>
      <w:r w:rsidR="00C840E3" w:rsidRPr="006171FC">
        <w:rPr>
          <w:color w:val="auto"/>
          <w:szCs w:val="26"/>
        </w:rPr>
        <w:t xml:space="preserve"> </w:t>
      </w:r>
      <w:r w:rsidR="00435222" w:rsidRPr="006171FC">
        <w:rPr>
          <w:color w:val="auto"/>
          <w:szCs w:val="26"/>
        </w:rPr>
        <w:t>as ind</w:t>
      </w:r>
      <w:r w:rsidR="00E7315A" w:rsidRPr="006171FC">
        <w:rPr>
          <w:color w:val="auto"/>
          <w:szCs w:val="26"/>
        </w:rPr>
        <w:t>icated by York-WW in the Application</w:t>
      </w:r>
      <w:r w:rsidR="00C840E3" w:rsidRPr="006171FC">
        <w:rPr>
          <w:color w:val="auto"/>
          <w:szCs w:val="26"/>
        </w:rPr>
        <w:t xml:space="preserve">’s Paragraph 9.  </w:t>
      </w:r>
    </w:p>
    <w:p w14:paraId="50C36F44" w14:textId="7363424D" w:rsidR="000D0351" w:rsidRPr="006171FC" w:rsidRDefault="002F2063" w:rsidP="00A01E6C">
      <w:pPr>
        <w:widowControl w:val="0"/>
        <w:spacing w:after="260" w:line="360" w:lineRule="auto"/>
        <w:ind w:firstLine="720"/>
        <w:rPr>
          <w:color w:val="auto"/>
          <w:szCs w:val="26"/>
        </w:rPr>
      </w:pPr>
      <w:r w:rsidRPr="006171FC">
        <w:rPr>
          <w:color w:val="auto"/>
          <w:szCs w:val="26"/>
        </w:rPr>
        <w:t xml:space="preserve">Considering these facts, </w:t>
      </w:r>
      <w:r w:rsidR="00F771E2" w:rsidRPr="006171FC">
        <w:rPr>
          <w:color w:val="auto"/>
          <w:szCs w:val="26"/>
        </w:rPr>
        <w:t xml:space="preserve">York-WW’s </w:t>
      </w:r>
      <w:r w:rsidR="11431859" w:rsidRPr="006171FC">
        <w:rPr>
          <w:color w:val="auto"/>
          <w:szCs w:val="26"/>
        </w:rPr>
        <w:t>request</w:t>
      </w:r>
      <w:r w:rsidRPr="006171FC">
        <w:rPr>
          <w:color w:val="auto"/>
          <w:szCs w:val="26"/>
        </w:rPr>
        <w:t xml:space="preserve"> to include </w:t>
      </w:r>
      <w:r w:rsidR="00F05718" w:rsidRPr="006171FC">
        <w:rPr>
          <w:color w:val="auto"/>
          <w:szCs w:val="26"/>
        </w:rPr>
        <w:t xml:space="preserve">the Nearby Lands </w:t>
      </w:r>
      <w:r w:rsidR="00A92B13" w:rsidRPr="006171FC">
        <w:rPr>
          <w:color w:val="auto"/>
          <w:szCs w:val="26"/>
        </w:rPr>
        <w:t>in</w:t>
      </w:r>
      <w:r w:rsidR="00F771E2" w:rsidRPr="006171FC">
        <w:rPr>
          <w:color w:val="auto"/>
          <w:szCs w:val="26"/>
        </w:rPr>
        <w:t xml:space="preserve"> the </w:t>
      </w:r>
      <w:r w:rsidR="00A92B13" w:rsidRPr="006171FC">
        <w:rPr>
          <w:color w:val="auto"/>
          <w:szCs w:val="26"/>
        </w:rPr>
        <w:t>proposed</w:t>
      </w:r>
      <w:r w:rsidR="00F771E2" w:rsidRPr="006171FC">
        <w:rPr>
          <w:color w:val="auto"/>
          <w:szCs w:val="26"/>
        </w:rPr>
        <w:t xml:space="preserve"> additional service territory</w:t>
      </w:r>
      <w:r w:rsidR="00BC0C9C" w:rsidRPr="006171FC">
        <w:rPr>
          <w:color w:val="auto"/>
          <w:szCs w:val="26"/>
        </w:rPr>
        <w:t xml:space="preserve"> </w:t>
      </w:r>
      <w:r w:rsidR="00F771E2" w:rsidRPr="006171FC">
        <w:rPr>
          <w:color w:val="auto"/>
          <w:szCs w:val="26"/>
        </w:rPr>
        <w:t>appears</w:t>
      </w:r>
      <w:r w:rsidR="00842155" w:rsidRPr="006171FC">
        <w:rPr>
          <w:color w:val="auto"/>
          <w:szCs w:val="26"/>
        </w:rPr>
        <w:t xml:space="preserve"> </w:t>
      </w:r>
      <w:r w:rsidR="007E6F14" w:rsidRPr="006171FC">
        <w:rPr>
          <w:color w:val="auto"/>
          <w:szCs w:val="26"/>
        </w:rPr>
        <w:t xml:space="preserve">to be </w:t>
      </w:r>
      <w:r w:rsidR="00842155" w:rsidRPr="006171FC">
        <w:rPr>
          <w:color w:val="auto"/>
          <w:szCs w:val="26"/>
        </w:rPr>
        <w:t>premature and</w:t>
      </w:r>
      <w:r w:rsidR="00F771E2" w:rsidRPr="006171FC">
        <w:rPr>
          <w:color w:val="auto"/>
          <w:szCs w:val="26"/>
        </w:rPr>
        <w:t xml:space="preserve"> </w:t>
      </w:r>
      <w:r w:rsidR="00930194" w:rsidRPr="006171FC">
        <w:rPr>
          <w:color w:val="auto"/>
          <w:szCs w:val="26"/>
        </w:rPr>
        <w:t xml:space="preserve">may </w:t>
      </w:r>
      <w:r w:rsidR="00981BE5" w:rsidRPr="006171FC">
        <w:rPr>
          <w:color w:val="auto"/>
          <w:szCs w:val="26"/>
        </w:rPr>
        <w:t>conflict with</w:t>
      </w:r>
      <w:r w:rsidR="00F771E2" w:rsidRPr="006171FC">
        <w:rPr>
          <w:color w:val="auto"/>
          <w:szCs w:val="26"/>
        </w:rPr>
        <w:t xml:space="preserve"> the terms and conditions in the </w:t>
      </w:r>
      <w:r w:rsidR="790C3F07" w:rsidRPr="006171FC">
        <w:rPr>
          <w:color w:val="auto"/>
          <w:szCs w:val="26"/>
        </w:rPr>
        <w:t>Develop</w:t>
      </w:r>
      <w:r w:rsidR="1C741D67" w:rsidRPr="006171FC">
        <w:rPr>
          <w:color w:val="auto"/>
          <w:szCs w:val="26"/>
        </w:rPr>
        <w:t>er</w:t>
      </w:r>
      <w:r w:rsidR="00F771E2" w:rsidRPr="006171FC">
        <w:rPr>
          <w:color w:val="auto"/>
          <w:szCs w:val="26"/>
        </w:rPr>
        <w:t xml:space="preserve"> Agreement.</w:t>
      </w:r>
      <w:r w:rsidR="008C3FAE" w:rsidRPr="008C3FAE">
        <w:t xml:space="preserve"> </w:t>
      </w:r>
      <w:r w:rsidR="008C3FAE" w:rsidRPr="008C3FAE">
        <w:rPr>
          <w:color w:val="auto"/>
          <w:szCs w:val="26"/>
        </w:rPr>
        <w:t xml:space="preserve">Therefore, as described in Section IX, </w:t>
      </w:r>
      <w:r w:rsidR="008C3FAE" w:rsidRPr="008C3FAE">
        <w:rPr>
          <w:color w:val="auto"/>
          <w:szCs w:val="26"/>
        </w:rPr>
        <w:lastRenderedPageBreak/>
        <w:t xml:space="preserve">below, we shall condition the issuance of the Certificate of Public Convenience for York-WW to acquire the wastewater system assets owned and/or operated by Rock Creek upon York-WW limiting its requested </w:t>
      </w:r>
      <w:r w:rsidR="00330153">
        <w:rPr>
          <w:color w:val="auto"/>
          <w:szCs w:val="26"/>
        </w:rPr>
        <w:t xml:space="preserve">additional </w:t>
      </w:r>
      <w:r w:rsidR="008C3FAE" w:rsidRPr="008C3FAE">
        <w:rPr>
          <w:color w:val="auto"/>
          <w:szCs w:val="26"/>
        </w:rPr>
        <w:t>service territory</w:t>
      </w:r>
      <w:r w:rsidR="00A01E6C">
        <w:rPr>
          <w:color w:val="auto"/>
          <w:szCs w:val="26"/>
        </w:rPr>
        <w:t>.</w:t>
      </w:r>
    </w:p>
    <w:p w14:paraId="69A30A57" w14:textId="60791ED9" w:rsidR="000F5B21" w:rsidRPr="006171FC" w:rsidRDefault="004B3DE2" w:rsidP="0072675E">
      <w:pPr>
        <w:pStyle w:val="ListParagraph"/>
        <w:numPr>
          <w:ilvl w:val="0"/>
          <w:numId w:val="5"/>
        </w:numPr>
        <w:spacing w:before="260" w:after="260" w:line="360" w:lineRule="auto"/>
        <w:rPr>
          <w:b/>
          <w:bCs/>
          <w:color w:val="auto"/>
          <w:szCs w:val="26"/>
        </w:rPr>
      </w:pPr>
      <w:r w:rsidRPr="006171FC">
        <w:rPr>
          <w:b/>
          <w:bCs/>
          <w:color w:val="auto"/>
          <w:szCs w:val="26"/>
        </w:rPr>
        <w:t>FACILITIES FOR FURNISHING SERVICE</w:t>
      </w:r>
    </w:p>
    <w:p w14:paraId="6FBE5568" w14:textId="1CCD6526" w:rsidR="007A33B8" w:rsidRPr="006171FC" w:rsidRDefault="00ED5C2C" w:rsidP="00095B85">
      <w:pPr>
        <w:tabs>
          <w:tab w:val="left" w:pos="4320"/>
        </w:tabs>
        <w:spacing w:after="240" w:line="360" w:lineRule="auto"/>
        <w:ind w:firstLine="720"/>
        <w:rPr>
          <w:color w:val="auto"/>
          <w:szCs w:val="26"/>
        </w:rPr>
      </w:pPr>
      <w:r w:rsidRPr="006171FC">
        <w:rPr>
          <w:color w:val="auto"/>
          <w:szCs w:val="26"/>
        </w:rPr>
        <w:t xml:space="preserve">In supplemental information filed with the Commission, </w:t>
      </w:r>
      <w:r w:rsidR="004363B5" w:rsidRPr="006171FC">
        <w:rPr>
          <w:color w:val="auto"/>
          <w:szCs w:val="26"/>
        </w:rPr>
        <w:t>York-WW</w:t>
      </w:r>
      <w:r w:rsidR="00095B85" w:rsidRPr="006171FC">
        <w:rPr>
          <w:color w:val="auto"/>
          <w:szCs w:val="26"/>
        </w:rPr>
        <w:t xml:space="preserve"> described the proposed wastewater system assets for Amblebrook to include a collection and conveyance system and an activated sludge WWTP</w:t>
      </w:r>
      <w:r w:rsidR="001C34C0" w:rsidRPr="006171FC">
        <w:rPr>
          <w:color w:val="auto"/>
          <w:szCs w:val="26"/>
        </w:rPr>
        <w:t xml:space="preserve">.  </w:t>
      </w:r>
      <w:r w:rsidR="00963DF8" w:rsidRPr="006171FC">
        <w:rPr>
          <w:color w:val="auto"/>
          <w:szCs w:val="26"/>
        </w:rPr>
        <w:t>York-WW has proposed to util</w:t>
      </w:r>
      <w:r w:rsidR="00087726" w:rsidRPr="006171FC">
        <w:rPr>
          <w:color w:val="auto"/>
          <w:szCs w:val="26"/>
        </w:rPr>
        <w:t>ize</w:t>
      </w:r>
      <w:r w:rsidR="00095B85" w:rsidRPr="006171FC">
        <w:rPr>
          <w:color w:val="auto"/>
          <w:szCs w:val="26"/>
        </w:rPr>
        <w:t xml:space="preserve"> the Modified Ludzack Ettinger process for </w:t>
      </w:r>
      <w:r w:rsidR="001C34C0" w:rsidRPr="006171FC">
        <w:rPr>
          <w:color w:val="auto"/>
          <w:szCs w:val="26"/>
        </w:rPr>
        <w:t xml:space="preserve">wastewater </w:t>
      </w:r>
      <w:r w:rsidR="00095B85" w:rsidRPr="006171FC">
        <w:rPr>
          <w:color w:val="auto"/>
          <w:szCs w:val="26"/>
        </w:rPr>
        <w:t>treatment and nutrient removal</w:t>
      </w:r>
      <w:r w:rsidR="000655B4" w:rsidRPr="006171FC">
        <w:rPr>
          <w:color w:val="auto"/>
          <w:szCs w:val="26"/>
        </w:rPr>
        <w:t xml:space="preserve"> </w:t>
      </w:r>
      <w:r w:rsidR="00F14C96" w:rsidRPr="006171FC">
        <w:rPr>
          <w:color w:val="auto"/>
          <w:szCs w:val="26"/>
        </w:rPr>
        <w:t>in</w:t>
      </w:r>
      <w:r w:rsidR="00087726" w:rsidRPr="006171FC">
        <w:rPr>
          <w:color w:val="auto"/>
          <w:szCs w:val="26"/>
        </w:rPr>
        <w:t xml:space="preserve"> the WWTP with</w:t>
      </w:r>
      <w:r w:rsidR="00AE0D64" w:rsidRPr="006171FC">
        <w:rPr>
          <w:color w:val="auto"/>
          <w:szCs w:val="26"/>
        </w:rPr>
        <w:t xml:space="preserve"> the</w:t>
      </w:r>
      <w:r w:rsidR="001C34C0" w:rsidRPr="006171FC">
        <w:rPr>
          <w:color w:val="auto"/>
          <w:szCs w:val="26"/>
        </w:rPr>
        <w:t xml:space="preserve"> </w:t>
      </w:r>
      <w:r w:rsidR="000655B4" w:rsidRPr="006171FC">
        <w:rPr>
          <w:color w:val="auto"/>
          <w:szCs w:val="26"/>
        </w:rPr>
        <w:t xml:space="preserve">effluent </w:t>
      </w:r>
      <w:r w:rsidR="00087726" w:rsidRPr="006171FC">
        <w:rPr>
          <w:color w:val="auto"/>
          <w:szCs w:val="26"/>
        </w:rPr>
        <w:t>being</w:t>
      </w:r>
      <w:r w:rsidR="003D765C" w:rsidRPr="006171FC">
        <w:rPr>
          <w:color w:val="auto"/>
          <w:szCs w:val="26"/>
        </w:rPr>
        <w:t xml:space="preserve"> </w:t>
      </w:r>
      <w:r w:rsidR="000655B4" w:rsidRPr="006171FC">
        <w:rPr>
          <w:color w:val="auto"/>
          <w:szCs w:val="26"/>
        </w:rPr>
        <w:t>discharg</w:t>
      </w:r>
      <w:r w:rsidR="003D765C" w:rsidRPr="006171FC">
        <w:rPr>
          <w:color w:val="auto"/>
          <w:szCs w:val="26"/>
        </w:rPr>
        <w:t>ed</w:t>
      </w:r>
      <w:r w:rsidR="000655B4" w:rsidRPr="006171FC">
        <w:rPr>
          <w:color w:val="auto"/>
          <w:szCs w:val="26"/>
        </w:rPr>
        <w:t xml:space="preserve"> to an unnamed tributary of Rock Creek</w:t>
      </w:r>
      <w:r w:rsidR="00095B85" w:rsidRPr="006171FC">
        <w:rPr>
          <w:color w:val="auto"/>
          <w:szCs w:val="26"/>
        </w:rPr>
        <w:t xml:space="preserve">.  </w:t>
      </w:r>
      <w:r w:rsidR="000A1719" w:rsidRPr="006171FC">
        <w:rPr>
          <w:color w:val="auto"/>
          <w:szCs w:val="26"/>
        </w:rPr>
        <w:t xml:space="preserve">The wastewater flow for Amblebrook will be conveyed to the WWTP by </w:t>
      </w:r>
      <w:r w:rsidR="0025189F" w:rsidRPr="006171FC">
        <w:rPr>
          <w:color w:val="auto"/>
          <w:szCs w:val="26"/>
        </w:rPr>
        <w:t>a</w:t>
      </w:r>
      <w:r w:rsidR="001A119A" w:rsidRPr="006171FC">
        <w:rPr>
          <w:color w:val="auto"/>
          <w:szCs w:val="26"/>
        </w:rPr>
        <w:t xml:space="preserve"> combination of a </w:t>
      </w:r>
      <w:r w:rsidR="000A1719" w:rsidRPr="006171FC">
        <w:rPr>
          <w:color w:val="auto"/>
          <w:szCs w:val="26"/>
        </w:rPr>
        <w:t>gravity and force</w:t>
      </w:r>
      <w:r w:rsidR="007A33B8" w:rsidRPr="006171FC">
        <w:rPr>
          <w:color w:val="auto"/>
          <w:szCs w:val="26"/>
        </w:rPr>
        <w:t xml:space="preserve"> main</w:t>
      </w:r>
      <w:r w:rsidR="001A119A" w:rsidRPr="006171FC">
        <w:rPr>
          <w:color w:val="auto"/>
          <w:szCs w:val="26"/>
        </w:rPr>
        <w:t xml:space="preserve"> system and will includ</w:t>
      </w:r>
      <w:r w:rsidR="002411AA" w:rsidRPr="006171FC">
        <w:rPr>
          <w:color w:val="auto"/>
          <w:szCs w:val="26"/>
        </w:rPr>
        <w:t>e the following:</w:t>
      </w:r>
    </w:p>
    <w:p w14:paraId="2F0C23EA" w14:textId="291F46D6" w:rsidR="00CF635C" w:rsidRPr="0000438F" w:rsidRDefault="00CF635C" w:rsidP="00CF635C">
      <w:pPr>
        <w:tabs>
          <w:tab w:val="left" w:pos="4320"/>
        </w:tabs>
        <w:spacing w:line="360" w:lineRule="auto"/>
        <w:jc w:val="center"/>
        <w:rPr>
          <w:b/>
          <w:bCs/>
          <w:color w:val="auto"/>
          <w:szCs w:val="26"/>
        </w:rPr>
      </w:pPr>
      <w:r w:rsidRPr="0000438F">
        <w:rPr>
          <w:b/>
          <w:bCs/>
          <w:color w:val="auto"/>
          <w:szCs w:val="26"/>
        </w:rPr>
        <w:t xml:space="preserve">Table 2: </w:t>
      </w:r>
      <w:r w:rsidR="006D6BCC" w:rsidRPr="0000438F">
        <w:rPr>
          <w:b/>
          <w:bCs/>
          <w:color w:val="auto"/>
          <w:szCs w:val="26"/>
        </w:rPr>
        <w:t xml:space="preserve"> </w:t>
      </w:r>
      <w:r w:rsidR="000F2672" w:rsidRPr="0000438F">
        <w:rPr>
          <w:b/>
          <w:bCs/>
          <w:color w:val="auto"/>
          <w:szCs w:val="26"/>
        </w:rPr>
        <w:t xml:space="preserve">Breakdown of Wastewater Collection and Conveyance </w:t>
      </w:r>
      <w:r w:rsidR="00331D13" w:rsidRPr="0000438F">
        <w:rPr>
          <w:b/>
          <w:bCs/>
          <w:color w:val="auto"/>
          <w:szCs w:val="26"/>
        </w:rPr>
        <w:t>Pipe</w:t>
      </w:r>
    </w:p>
    <w:tbl>
      <w:tblPr>
        <w:tblStyle w:val="TableGrid"/>
        <w:tblW w:w="5000" w:type="pct"/>
        <w:tblLook w:val="04A0" w:firstRow="1" w:lastRow="0" w:firstColumn="1" w:lastColumn="0" w:noHBand="0" w:noVBand="1"/>
      </w:tblPr>
      <w:tblGrid>
        <w:gridCol w:w="1150"/>
        <w:gridCol w:w="1150"/>
        <w:gridCol w:w="1150"/>
        <w:gridCol w:w="1150"/>
        <w:gridCol w:w="1150"/>
        <w:gridCol w:w="1150"/>
        <w:gridCol w:w="1150"/>
        <w:gridCol w:w="1300"/>
      </w:tblGrid>
      <w:tr w:rsidR="00E12B0D" w:rsidRPr="006171FC" w14:paraId="5249F26A" w14:textId="0425005B" w:rsidTr="00770683">
        <w:trPr>
          <w:trHeight w:val="432"/>
        </w:trPr>
        <w:tc>
          <w:tcPr>
            <w:tcW w:w="5000" w:type="pct"/>
            <w:gridSpan w:val="8"/>
            <w:shd w:val="clear" w:color="auto" w:fill="D9D9D9" w:themeFill="background1" w:themeFillShade="D9"/>
            <w:vAlign w:val="center"/>
          </w:tcPr>
          <w:p w14:paraId="1A8B5543" w14:textId="1683F4CF" w:rsidR="0053102B" w:rsidRPr="006171FC" w:rsidRDefault="0053102B" w:rsidP="00D616B0">
            <w:pPr>
              <w:tabs>
                <w:tab w:val="left" w:pos="4320"/>
              </w:tabs>
              <w:jc w:val="center"/>
              <w:rPr>
                <w:color w:val="auto"/>
                <w:szCs w:val="26"/>
                <w:vertAlign w:val="superscript"/>
              </w:rPr>
            </w:pPr>
            <w:r w:rsidRPr="006171FC">
              <w:rPr>
                <w:color w:val="auto"/>
                <w:szCs w:val="26"/>
              </w:rPr>
              <w:t>Projected Linear Feet of Wastewater Main</w:t>
            </w:r>
            <w:r w:rsidR="00981BE5">
              <w:rPr>
                <w:color w:val="auto"/>
                <w:szCs w:val="26"/>
              </w:rPr>
              <w:t>s</w:t>
            </w:r>
            <w:r w:rsidR="00403F2A" w:rsidRPr="006171FC">
              <w:rPr>
                <w:color w:val="auto"/>
                <w:szCs w:val="26"/>
                <w:vertAlign w:val="superscript"/>
              </w:rPr>
              <w:t>*</w:t>
            </w:r>
            <w:r w:rsidRPr="006171FC">
              <w:rPr>
                <w:color w:val="auto"/>
                <w:szCs w:val="26"/>
              </w:rPr>
              <w:t xml:space="preserve"> &amp; Manholes</w:t>
            </w:r>
          </w:p>
        </w:tc>
      </w:tr>
      <w:tr w:rsidR="00E12B0D" w:rsidRPr="006171FC" w14:paraId="31B12EE2" w14:textId="6E52B9A3" w:rsidTr="00770683">
        <w:trPr>
          <w:trHeight w:val="360"/>
        </w:trPr>
        <w:tc>
          <w:tcPr>
            <w:tcW w:w="615" w:type="pct"/>
            <w:vAlign w:val="center"/>
          </w:tcPr>
          <w:p w14:paraId="3C8CC999" w14:textId="5DEEE238" w:rsidR="0053102B" w:rsidRPr="006171FC" w:rsidRDefault="0053102B" w:rsidP="0053102B">
            <w:pPr>
              <w:tabs>
                <w:tab w:val="left" w:pos="4320"/>
              </w:tabs>
              <w:jc w:val="center"/>
              <w:rPr>
                <w:color w:val="auto"/>
                <w:szCs w:val="26"/>
              </w:rPr>
            </w:pPr>
            <w:r w:rsidRPr="006171FC">
              <w:rPr>
                <w:color w:val="auto"/>
                <w:szCs w:val="26"/>
              </w:rPr>
              <w:t>Phase</w:t>
            </w:r>
          </w:p>
        </w:tc>
        <w:tc>
          <w:tcPr>
            <w:tcW w:w="615" w:type="pct"/>
            <w:vAlign w:val="center"/>
          </w:tcPr>
          <w:p w14:paraId="001ED531" w14:textId="15F5C1A0" w:rsidR="0053102B" w:rsidRPr="006171FC" w:rsidRDefault="0053102B" w:rsidP="0053102B">
            <w:pPr>
              <w:tabs>
                <w:tab w:val="left" w:pos="4320"/>
              </w:tabs>
              <w:jc w:val="center"/>
              <w:rPr>
                <w:color w:val="auto"/>
                <w:szCs w:val="26"/>
              </w:rPr>
            </w:pPr>
            <w:r w:rsidRPr="006171FC">
              <w:rPr>
                <w:color w:val="auto"/>
                <w:szCs w:val="26"/>
              </w:rPr>
              <w:t>4”</w:t>
            </w:r>
          </w:p>
        </w:tc>
        <w:tc>
          <w:tcPr>
            <w:tcW w:w="615" w:type="pct"/>
            <w:vAlign w:val="center"/>
          </w:tcPr>
          <w:p w14:paraId="39E56DC7" w14:textId="1972632A" w:rsidR="0053102B" w:rsidRPr="006171FC" w:rsidRDefault="0053102B" w:rsidP="0053102B">
            <w:pPr>
              <w:tabs>
                <w:tab w:val="left" w:pos="4320"/>
              </w:tabs>
              <w:jc w:val="center"/>
              <w:rPr>
                <w:color w:val="auto"/>
                <w:szCs w:val="26"/>
              </w:rPr>
            </w:pPr>
            <w:r w:rsidRPr="006171FC">
              <w:rPr>
                <w:color w:val="auto"/>
                <w:szCs w:val="26"/>
              </w:rPr>
              <w:t>6”</w:t>
            </w:r>
          </w:p>
        </w:tc>
        <w:tc>
          <w:tcPr>
            <w:tcW w:w="615" w:type="pct"/>
            <w:vAlign w:val="center"/>
          </w:tcPr>
          <w:p w14:paraId="476F0450" w14:textId="0F753250" w:rsidR="0053102B" w:rsidRPr="006171FC" w:rsidRDefault="0053102B" w:rsidP="0053102B">
            <w:pPr>
              <w:tabs>
                <w:tab w:val="left" w:pos="4320"/>
              </w:tabs>
              <w:jc w:val="center"/>
              <w:rPr>
                <w:color w:val="auto"/>
                <w:szCs w:val="26"/>
              </w:rPr>
            </w:pPr>
            <w:r w:rsidRPr="006171FC">
              <w:rPr>
                <w:color w:val="auto"/>
                <w:szCs w:val="26"/>
              </w:rPr>
              <w:t>8”</w:t>
            </w:r>
          </w:p>
        </w:tc>
        <w:tc>
          <w:tcPr>
            <w:tcW w:w="615" w:type="pct"/>
            <w:vAlign w:val="center"/>
          </w:tcPr>
          <w:p w14:paraId="09054117" w14:textId="149AACA2" w:rsidR="0053102B" w:rsidRPr="006171FC" w:rsidRDefault="0053102B" w:rsidP="0053102B">
            <w:pPr>
              <w:tabs>
                <w:tab w:val="left" w:pos="4320"/>
              </w:tabs>
              <w:jc w:val="center"/>
              <w:rPr>
                <w:color w:val="auto"/>
                <w:szCs w:val="26"/>
              </w:rPr>
            </w:pPr>
            <w:r w:rsidRPr="006171FC">
              <w:rPr>
                <w:color w:val="auto"/>
                <w:szCs w:val="26"/>
              </w:rPr>
              <w:t>10”</w:t>
            </w:r>
          </w:p>
        </w:tc>
        <w:tc>
          <w:tcPr>
            <w:tcW w:w="615" w:type="pct"/>
            <w:vAlign w:val="center"/>
          </w:tcPr>
          <w:p w14:paraId="299EC288" w14:textId="47C8B5A6" w:rsidR="0053102B" w:rsidRPr="006171FC" w:rsidRDefault="0053102B" w:rsidP="0053102B">
            <w:pPr>
              <w:tabs>
                <w:tab w:val="left" w:pos="4320"/>
              </w:tabs>
              <w:jc w:val="center"/>
              <w:rPr>
                <w:color w:val="auto"/>
                <w:szCs w:val="26"/>
              </w:rPr>
            </w:pPr>
            <w:r w:rsidRPr="006171FC">
              <w:rPr>
                <w:color w:val="auto"/>
                <w:szCs w:val="26"/>
              </w:rPr>
              <w:t>12”</w:t>
            </w:r>
          </w:p>
        </w:tc>
        <w:tc>
          <w:tcPr>
            <w:tcW w:w="615" w:type="pct"/>
            <w:vAlign w:val="center"/>
          </w:tcPr>
          <w:p w14:paraId="765BFF2C" w14:textId="3A38773F" w:rsidR="0053102B" w:rsidRPr="006171FC" w:rsidRDefault="0053102B" w:rsidP="0053102B">
            <w:pPr>
              <w:tabs>
                <w:tab w:val="left" w:pos="4320"/>
              </w:tabs>
              <w:jc w:val="center"/>
              <w:rPr>
                <w:color w:val="auto"/>
                <w:szCs w:val="26"/>
              </w:rPr>
            </w:pPr>
            <w:r w:rsidRPr="006171FC">
              <w:rPr>
                <w:color w:val="auto"/>
                <w:szCs w:val="26"/>
              </w:rPr>
              <w:t>Total</w:t>
            </w:r>
          </w:p>
        </w:tc>
        <w:tc>
          <w:tcPr>
            <w:tcW w:w="692" w:type="pct"/>
            <w:vAlign w:val="center"/>
          </w:tcPr>
          <w:p w14:paraId="76A89B4C" w14:textId="27F8F4A1" w:rsidR="0053102B" w:rsidRPr="006171FC" w:rsidRDefault="0053102B" w:rsidP="0053102B">
            <w:pPr>
              <w:tabs>
                <w:tab w:val="left" w:pos="4320"/>
              </w:tabs>
              <w:jc w:val="center"/>
              <w:rPr>
                <w:color w:val="auto"/>
                <w:szCs w:val="26"/>
              </w:rPr>
            </w:pPr>
            <w:r w:rsidRPr="006171FC">
              <w:rPr>
                <w:color w:val="auto"/>
                <w:szCs w:val="26"/>
              </w:rPr>
              <w:t>Manholes</w:t>
            </w:r>
          </w:p>
        </w:tc>
      </w:tr>
      <w:tr w:rsidR="00E12B0D" w:rsidRPr="006171FC" w14:paraId="32C0B7CC" w14:textId="3D5AA0D4" w:rsidTr="00770683">
        <w:trPr>
          <w:trHeight w:val="360"/>
        </w:trPr>
        <w:tc>
          <w:tcPr>
            <w:tcW w:w="615" w:type="pct"/>
            <w:vAlign w:val="center"/>
          </w:tcPr>
          <w:p w14:paraId="75604FD1" w14:textId="23437C36" w:rsidR="0053102B" w:rsidRPr="006171FC" w:rsidRDefault="0053102B" w:rsidP="0053102B">
            <w:pPr>
              <w:tabs>
                <w:tab w:val="left" w:pos="4320"/>
              </w:tabs>
              <w:jc w:val="center"/>
              <w:rPr>
                <w:color w:val="auto"/>
                <w:szCs w:val="26"/>
              </w:rPr>
            </w:pPr>
            <w:r w:rsidRPr="006171FC">
              <w:rPr>
                <w:color w:val="auto"/>
                <w:szCs w:val="26"/>
              </w:rPr>
              <w:t>1</w:t>
            </w:r>
          </w:p>
        </w:tc>
        <w:tc>
          <w:tcPr>
            <w:tcW w:w="615" w:type="pct"/>
            <w:vAlign w:val="center"/>
          </w:tcPr>
          <w:p w14:paraId="0AE2FC37" w14:textId="6F00F2AA" w:rsidR="0053102B" w:rsidRPr="006171FC" w:rsidRDefault="0053102B" w:rsidP="0053102B">
            <w:pPr>
              <w:tabs>
                <w:tab w:val="left" w:pos="4320"/>
              </w:tabs>
              <w:jc w:val="center"/>
              <w:rPr>
                <w:color w:val="auto"/>
                <w:szCs w:val="26"/>
              </w:rPr>
            </w:pPr>
            <w:r w:rsidRPr="006171FC">
              <w:rPr>
                <w:color w:val="auto"/>
                <w:szCs w:val="26"/>
              </w:rPr>
              <w:t>0</w:t>
            </w:r>
          </w:p>
        </w:tc>
        <w:tc>
          <w:tcPr>
            <w:tcW w:w="615" w:type="pct"/>
            <w:vAlign w:val="center"/>
          </w:tcPr>
          <w:p w14:paraId="40F2840D" w14:textId="126A55CD" w:rsidR="0053102B" w:rsidRPr="006171FC" w:rsidRDefault="0053102B" w:rsidP="0053102B">
            <w:pPr>
              <w:tabs>
                <w:tab w:val="left" w:pos="4320"/>
              </w:tabs>
              <w:jc w:val="center"/>
              <w:rPr>
                <w:color w:val="auto"/>
                <w:szCs w:val="26"/>
              </w:rPr>
            </w:pPr>
            <w:r w:rsidRPr="006171FC">
              <w:rPr>
                <w:color w:val="auto"/>
                <w:szCs w:val="26"/>
              </w:rPr>
              <w:t>0</w:t>
            </w:r>
          </w:p>
        </w:tc>
        <w:tc>
          <w:tcPr>
            <w:tcW w:w="615" w:type="pct"/>
            <w:vAlign w:val="center"/>
          </w:tcPr>
          <w:p w14:paraId="06241F8E" w14:textId="136107D9" w:rsidR="0053102B" w:rsidRPr="006171FC" w:rsidRDefault="009E7021" w:rsidP="0053102B">
            <w:pPr>
              <w:tabs>
                <w:tab w:val="left" w:pos="4320"/>
              </w:tabs>
              <w:jc w:val="center"/>
              <w:rPr>
                <w:color w:val="auto"/>
                <w:szCs w:val="26"/>
              </w:rPr>
            </w:pPr>
            <w:r w:rsidRPr="006171FC">
              <w:rPr>
                <w:color w:val="auto"/>
                <w:szCs w:val="26"/>
              </w:rPr>
              <w:t>1</w:t>
            </w:r>
            <w:r w:rsidR="00DD7E57" w:rsidRPr="006171FC">
              <w:rPr>
                <w:color w:val="auto"/>
                <w:szCs w:val="26"/>
              </w:rPr>
              <w:t>5,110</w:t>
            </w:r>
          </w:p>
        </w:tc>
        <w:tc>
          <w:tcPr>
            <w:tcW w:w="615" w:type="pct"/>
            <w:vAlign w:val="center"/>
          </w:tcPr>
          <w:p w14:paraId="32DB30F3" w14:textId="02698808" w:rsidR="0053102B" w:rsidRPr="006171FC" w:rsidRDefault="0053102B" w:rsidP="0053102B">
            <w:pPr>
              <w:tabs>
                <w:tab w:val="left" w:pos="4320"/>
              </w:tabs>
              <w:jc w:val="center"/>
              <w:rPr>
                <w:color w:val="auto"/>
                <w:szCs w:val="26"/>
              </w:rPr>
            </w:pPr>
            <w:r w:rsidRPr="006171FC">
              <w:rPr>
                <w:color w:val="auto"/>
                <w:szCs w:val="26"/>
              </w:rPr>
              <w:t>2,0</w:t>
            </w:r>
            <w:r w:rsidR="00DD7E57" w:rsidRPr="006171FC">
              <w:rPr>
                <w:color w:val="auto"/>
                <w:szCs w:val="26"/>
              </w:rPr>
              <w:t>15</w:t>
            </w:r>
          </w:p>
        </w:tc>
        <w:tc>
          <w:tcPr>
            <w:tcW w:w="615" w:type="pct"/>
            <w:vAlign w:val="center"/>
          </w:tcPr>
          <w:p w14:paraId="1DF1B41E" w14:textId="680502A9" w:rsidR="0053102B" w:rsidRPr="006171FC" w:rsidRDefault="00DD7E57" w:rsidP="0053102B">
            <w:pPr>
              <w:tabs>
                <w:tab w:val="left" w:pos="4320"/>
              </w:tabs>
              <w:jc w:val="center"/>
              <w:rPr>
                <w:color w:val="auto"/>
                <w:szCs w:val="26"/>
              </w:rPr>
            </w:pPr>
            <w:r w:rsidRPr="006171FC">
              <w:rPr>
                <w:color w:val="auto"/>
                <w:szCs w:val="26"/>
              </w:rPr>
              <w:t>1,</w:t>
            </w:r>
            <w:r w:rsidR="00045601" w:rsidRPr="006171FC">
              <w:rPr>
                <w:color w:val="auto"/>
                <w:szCs w:val="26"/>
              </w:rPr>
              <w:t>803</w:t>
            </w:r>
          </w:p>
        </w:tc>
        <w:tc>
          <w:tcPr>
            <w:tcW w:w="615" w:type="pct"/>
            <w:vAlign w:val="center"/>
          </w:tcPr>
          <w:p w14:paraId="73745B4A" w14:textId="760CE5A7" w:rsidR="0053102B" w:rsidRPr="006171FC" w:rsidRDefault="0053102B" w:rsidP="0053102B">
            <w:pPr>
              <w:tabs>
                <w:tab w:val="left" w:pos="4320"/>
              </w:tabs>
              <w:jc w:val="center"/>
              <w:rPr>
                <w:color w:val="auto"/>
                <w:szCs w:val="26"/>
              </w:rPr>
            </w:pPr>
            <w:r w:rsidRPr="006171FC">
              <w:rPr>
                <w:color w:val="auto"/>
                <w:szCs w:val="26"/>
              </w:rPr>
              <w:t>18,</w:t>
            </w:r>
            <w:r w:rsidR="00F34B12" w:rsidRPr="006171FC">
              <w:rPr>
                <w:color w:val="auto"/>
                <w:szCs w:val="26"/>
              </w:rPr>
              <w:t>928</w:t>
            </w:r>
          </w:p>
        </w:tc>
        <w:tc>
          <w:tcPr>
            <w:tcW w:w="692" w:type="pct"/>
            <w:vAlign w:val="center"/>
          </w:tcPr>
          <w:p w14:paraId="58D8C659" w14:textId="7BAE177C" w:rsidR="0053102B" w:rsidRPr="006171FC" w:rsidRDefault="0053102B" w:rsidP="0053102B">
            <w:pPr>
              <w:tabs>
                <w:tab w:val="left" w:pos="4320"/>
              </w:tabs>
              <w:jc w:val="center"/>
              <w:rPr>
                <w:color w:val="auto"/>
                <w:szCs w:val="26"/>
              </w:rPr>
            </w:pPr>
            <w:r w:rsidRPr="006171FC">
              <w:rPr>
                <w:color w:val="auto"/>
                <w:szCs w:val="26"/>
              </w:rPr>
              <w:t>88</w:t>
            </w:r>
          </w:p>
        </w:tc>
      </w:tr>
      <w:tr w:rsidR="00E12B0D" w:rsidRPr="006171FC" w14:paraId="05CDFB2F" w14:textId="0F3E1C4D" w:rsidTr="00770683">
        <w:trPr>
          <w:trHeight w:val="360"/>
        </w:trPr>
        <w:tc>
          <w:tcPr>
            <w:tcW w:w="615" w:type="pct"/>
            <w:vAlign w:val="center"/>
          </w:tcPr>
          <w:p w14:paraId="31397E7C" w14:textId="4A29E874" w:rsidR="0053102B" w:rsidRPr="006171FC" w:rsidRDefault="0053102B" w:rsidP="0053102B">
            <w:pPr>
              <w:tabs>
                <w:tab w:val="left" w:pos="4320"/>
              </w:tabs>
              <w:jc w:val="center"/>
              <w:rPr>
                <w:color w:val="auto"/>
                <w:szCs w:val="26"/>
              </w:rPr>
            </w:pPr>
            <w:r w:rsidRPr="006171FC">
              <w:rPr>
                <w:color w:val="auto"/>
                <w:szCs w:val="26"/>
              </w:rPr>
              <w:t>2</w:t>
            </w:r>
          </w:p>
        </w:tc>
        <w:tc>
          <w:tcPr>
            <w:tcW w:w="615" w:type="pct"/>
            <w:vAlign w:val="center"/>
          </w:tcPr>
          <w:p w14:paraId="05B63171" w14:textId="44C794B0" w:rsidR="0053102B" w:rsidRPr="006171FC" w:rsidRDefault="0053102B" w:rsidP="0053102B">
            <w:pPr>
              <w:tabs>
                <w:tab w:val="left" w:pos="4320"/>
              </w:tabs>
              <w:jc w:val="center"/>
              <w:rPr>
                <w:color w:val="auto"/>
                <w:szCs w:val="26"/>
              </w:rPr>
            </w:pPr>
            <w:r w:rsidRPr="006171FC">
              <w:rPr>
                <w:color w:val="auto"/>
                <w:szCs w:val="26"/>
              </w:rPr>
              <w:t>0</w:t>
            </w:r>
          </w:p>
        </w:tc>
        <w:tc>
          <w:tcPr>
            <w:tcW w:w="615" w:type="pct"/>
            <w:vAlign w:val="center"/>
          </w:tcPr>
          <w:p w14:paraId="39938016" w14:textId="37A00904" w:rsidR="0053102B" w:rsidRPr="006171FC" w:rsidRDefault="0053102B" w:rsidP="0053102B">
            <w:pPr>
              <w:tabs>
                <w:tab w:val="left" w:pos="4320"/>
              </w:tabs>
              <w:jc w:val="center"/>
              <w:rPr>
                <w:color w:val="auto"/>
                <w:szCs w:val="26"/>
              </w:rPr>
            </w:pPr>
            <w:r w:rsidRPr="006171FC">
              <w:rPr>
                <w:color w:val="auto"/>
                <w:szCs w:val="26"/>
              </w:rPr>
              <w:t>0</w:t>
            </w:r>
          </w:p>
        </w:tc>
        <w:tc>
          <w:tcPr>
            <w:tcW w:w="615" w:type="pct"/>
            <w:vAlign w:val="center"/>
          </w:tcPr>
          <w:p w14:paraId="6AA5A322" w14:textId="063373A3" w:rsidR="0053102B" w:rsidRPr="006171FC" w:rsidRDefault="00DD2B84" w:rsidP="0053102B">
            <w:pPr>
              <w:tabs>
                <w:tab w:val="left" w:pos="4320"/>
              </w:tabs>
              <w:jc w:val="center"/>
              <w:rPr>
                <w:color w:val="auto"/>
                <w:szCs w:val="26"/>
              </w:rPr>
            </w:pPr>
            <w:r w:rsidRPr="006171FC">
              <w:rPr>
                <w:color w:val="auto"/>
                <w:szCs w:val="26"/>
              </w:rPr>
              <w:t>1</w:t>
            </w:r>
            <w:r w:rsidR="00765677" w:rsidRPr="006171FC">
              <w:rPr>
                <w:color w:val="auto"/>
                <w:szCs w:val="26"/>
              </w:rPr>
              <w:t>8,212</w:t>
            </w:r>
          </w:p>
        </w:tc>
        <w:tc>
          <w:tcPr>
            <w:tcW w:w="615" w:type="pct"/>
            <w:vAlign w:val="center"/>
          </w:tcPr>
          <w:p w14:paraId="6F7032B4" w14:textId="4D6292C8" w:rsidR="0053102B" w:rsidRPr="006171FC" w:rsidRDefault="0053102B" w:rsidP="0053102B">
            <w:pPr>
              <w:tabs>
                <w:tab w:val="left" w:pos="4320"/>
              </w:tabs>
              <w:jc w:val="center"/>
              <w:rPr>
                <w:color w:val="auto"/>
                <w:szCs w:val="26"/>
              </w:rPr>
            </w:pPr>
            <w:r w:rsidRPr="006171FC">
              <w:rPr>
                <w:color w:val="auto"/>
                <w:szCs w:val="26"/>
              </w:rPr>
              <w:t>0</w:t>
            </w:r>
          </w:p>
        </w:tc>
        <w:tc>
          <w:tcPr>
            <w:tcW w:w="615" w:type="pct"/>
            <w:vAlign w:val="center"/>
          </w:tcPr>
          <w:p w14:paraId="3E561E0C" w14:textId="285C3A16" w:rsidR="0053102B" w:rsidRPr="006171FC" w:rsidRDefault="0053102B" w:rsidP="0053102B">
            <w:pPr>
              <w:tabs>
                <w:tab w:val="left" w:pos="4320"/>
              </w:tabs>
              <w:jc w:val="center"/>
              <w:rPr>
                <w:color w:val="auto"/>
                <w:szCs w:val="26"/>
              </w:rPr>
            </w:pPr>
            <w:r w:rsidRPr="006171FC">
              <w:rPr>
                <w:color w:val="auto"/>
                <w:szCs w:val="26"/>
              </w:rPr>
              <w:t>220</w:t>
            </w:r>
          </w:p>
        </w:tc>
        <w:tc>
          <w:tcPr>
            <w:tcW w:w="615" w:type="pct"/>
            <w:vAlign w:val="center"/>
          </w:tcPr>
          <w:p w14:paraId="08CB998A" w14:textId="67EC84FC" w:rsidR="0053102B" w:rsidRPr="006171FC" w:rsidRDefault="0053102B" w:rsidP="0053102B">
            <w:pPr>
              <w:tabs>
                <w:tab w:val="left" w:pos="4320"/>
              </w:tabs>
              <w:jc w:val="center"/>
              <w:rPr>
                <w:color w:val="auto"/>
                <w:szCs w:val="26"/>
              </w:rPr>
            </w:pPr>
            <w:r w:rsidRPr="006171FC">
              <w:rPr>
                <w:color w:val="auto"/>
                <w:szCs w:val="26"/>
              </w:rPr>
              <w:t>18,432</w:t>
            </w:r>
          </w:p>
        </w:tc>
        <w:tc>
          <w:tcPr>
            <w:tcW w:w="692" w:type="pct"/>
            <w:vAlign w:val="center"/>
          </w:tcPr>
          <w:p w14:paraId="5CD072E3" w14:textId="66547BCB" w:rsidR="0053102B" w:rsidRPr="006171FC" w:rsidRDefault="00514E54" w:rsidP="0053102B">
            <w:pPr>
              <w:tabs>
                <w:tab w:val="left" w:pos="4320"/>
              </w:tabs>
              <w:jc w:val="center"/>
              <w:rPr>
                <w:color w:val="auto"/>
                <w:szCs w:val="26"/>
              </w:rPr>
            </w:pPr>
            <w:r w:rsidRPr="006171FC">
              <w:rPr>
                <w:color w:val="auto"/>
                <w:szCs w:val="26"/>
              </w:rPr>
              <w:t>90</w:t>
            </w:r>
          </w:p>
        </w:tc>
      </w:tr>
      <w:tr w:rsidR="00E12B0D" w:rsidRPr="006171FC" w14:paraId="53F61C5B" w14:textId="43D46227" w:rsidTr="00770683">
        <w:trPr>
          <w:trHeight w:val="360"/>
        </w:trPr>
        <w:tc>
          <w:tcPr>
            <w:tcW w:w="615" w:type="pct"/>
            <w:vAlign w:val="center"/>
          </w:tcPr>
          <w:p w14:paraId="6BD89C07" w14:textId="77B6ADEE" w:rsidR="0053102B" w:rsidRPr="006171FC" w:rsidRDefault="0053102B" w:rsidP="0053102B">
            <w:pPr>
              <w:tabs>
                <w:tab w:val="left" w:pos="4320"/>
              </w:tabs>
              <w:jc w:val="center"/>
              <w:rPr>
                <w:color w:val="auto"/>
                <w:szCs w:val="26"/>
              </w:rPr>
            </w:pPr>
            <w:r w:rsidRPr="006171FC">
              <w:rPr>
                <w:color w:val="auto"/>
                <w:szCs w:val="26"/>
              </w:rPr>
              <w:t>3</w:t>
            </w:r>
          </w:p>
        </w:tc>
        <w:tc>
          <w:tcPr>
            <w:tcW w:w="615" w:type="pct"/>
            <w:vAlign w:val="center"/>
          </w:tcPr>
          <w:p w14:paraId="6FE6AF14" w14:textId="363B835D" w:rsidR="0053102B" w:rsidRPr="006171FC" w:rsidRDefault="0053102B" w:rsidP="0053102B">
            <w:pPr>
              <w:tabs>
                <w:tab w:val="left" w:pos="4320"/>
              </w:tabs>
              <w:jc w:val="center"/>
              <w:rPr>
                <w:color w:val="auto"/>
                <w:szCs w:val="26"/>
              </w:rPr>
            </w:pPr>
            <w:r w:rsidRPr="006171FC">
              <w:rPr>
                <w:color w:val="auto"/>
                <w:szCs w:val="26"/>
              </w:rPr>
              <w:t>0</w:t>
            </w:r>
          </w:p>
        </w:tc>
        <w:tc>
          <w:tcPr>
            <w:tcW w:w="615" w:type="pct"/>
            <w:vAlign w:val="center"/>
          </w:tcPr>
          <w:p w14:paraId="7FD779E3" w14:textId="242B6306" w:rsidR="0053102B" w:rsidRPr="006171FC" w:rsidRDefault="0053102B" w:rsidP="0053102B">
            <w:pPr>
              <w:tabs>
                <w:tab w:val="left" w:pos="4320"/>
              </w:tabs>
              <w:jc w:val="center"/>
              <w:rPr>
                <w:color w:val="auto"/>
                <w:szCs w:val="26"/>
              </w:rPr>
            </w:pPr>
            <w:r w:rsidRPr="006171FC">
              <w:rPr>
                <w:color w:val="auto"/>
                <w:szCs w:val="26"/>
              </w:rPr>
              <w:t>0</w:t>
            </w:r>
          </w:p>
        </w:tc>
        <w:tc>
          <w:tcPr>
            <w:tcW w:w="615" w:type="pct"/>
            <w:vAlign w:val="center"/>
          </w:tcPr>
          <w:p w14:paraId="086C01C3" w14:textId="4CF72F90" w:rsidR="0053102B" w:rsidRPr="006171FC" w:rsidRDefault="0053102B" w:rsidP="0053102B">
            <w:pPr>
              <w:tabs>
                <w:tab w:val="left" w:pos="4320"/>
              </w:tabs>
              <w:jc w:val="center"/>
              <w:rPr>
                <w:color w:val="auto"/>
                <w:szCs w:val="26"/>
              </w:rPr>
            </w:pPr>
            <w:r w:rsidRPr="006171FC">
              <w:rPr>
                <w:color w:val="auto"/>
                <w:szCs w:val="26"/>
              </w:rPr>
              <w:t>13,045</w:t>
            </w:r>
          </w:p>
        </w:tc>
        <w:tc>
          <w:tcPr>
            <w:tcW w:w="615" w:type="pct"/>
            <w:vAlign w:val="center"/>
          </w:tcPr>
          <w:p w14:paraId="328C58E7" w14:textId="748C81F5" w:rsidR="0053102B" w:rsidRPr="006171FC" w:rsidRDefault="0053102B" w:rsidP="0053102B">
            <w:pPr>
              <w:tabs>
                <w:tab w:val="left" w:pos="4320"/>
              </w:tabs>
              <w:jc w:val="center"/>
              <w:rPr>
                <w:color w:val="auto"/>
                <w:szCs w:val="26"/>
              </w:rPr>
            </w:pPr>
            <w:r w:rsidRPr="006171FC">
              <w:rPr>
                <w:color w:val="auto"/>
                <w:szCs w:val="26"/>
              </w:rPr>
              <w:t>0</w:t>
            </w:r>
          </w:p>
        </w:tc>
        <w:tc>
          <w:tcPr>
            <w:tcW w:w="615" w:type="pct"/>
            <w:vAlign w:val="center"/>
          </w:tcPr>
          <w:p w14:paraId="4D3B5F33" w14:textId="1A5272B7" w:rsidR="0053102B" w:rsidRPr="006171FC" w:rsidRDefault="0053102B" w:rsidP="0053102B">
            <w:pPr>
              <w:tabs>
                <w:tab w:val="left" w:pos="4320"/>
              </w:tabs>
              <w:jc w:val="center"/>
              <w:rPr>
                <w:color w:val="auto"/>
                <w:szCs w:val="26"/>
              </w:rPr>
            </w:pPr>
            <w:r w:rsidRPr="006171FC">
              <w:rPr>
                <w:color w:val="auto"/>
                <w:szCs w:val="26"/>
              </w:rPr>
              <w:t>0</w:t>
            </w:r>
          </w:p>
        </w:tc>
        <w:tc>
          <w:tcPr>
            <w:tcW w:w="615" w:type="pct"/>
            <w:vAlign w:val="center"/>
          </w:tcPr>
          <w:p w14:paraId="79BFF3BA" w14:textId="5EBE044D" w:rsidR="0053102B" w:rsidRPr="006171FC" w:rsidRDefault="0053102B" w:rsidP="0053102B">
            <w:pPr>
              <w:tabs>
                <w:tab w:val="left" w:pos="4320"/>
              </w:tabs>
              <w:jc w:val="center"/>
              <w:rPr>
                <w:color w:val="auto"/>
                <w:szCs w:val="26"/>
              </w:rPr>
            </w:pPr>
            <w:r w:rsidRPr="006171FC">
              <w:rPr>
                <w:color w:val="auto"/>
                <w:szCs w:val="26"/>
              </w:rPr>
              <w:t>13,045</w:t>
            </w:r>
          </w:p>
        </w:tc>
        <w:tc>
          <w:tcPr>
            <w:tcW w:w="692" w:type="pct"/>
            <w:vAlign w:val="center"/>
          </w:tcPr>
          <w:p w14:paraId="45C65D64" w14:textId="62F7C7C2" w:rsidR="0053102B" w:rsidRPr="006171FC" w:rsidRDefault="00514E54" w:rsidP="0053102B">
            <w:pPr>
              <w:tabs>
                <w:tab w:val="left" w:pos="4320"/>
              </w:tabs>
              <w:jc w:val="center"/>
              <w:rPr>
                <w:color w:val="auto"/>
                <w:szCs w:val="26"/>
              </w:rPr>
            </w:pPr>
            <w:r w:rsidRPr="006171FC">
              <w:rPr>
                <w:color w:val="auto"/>
                <w:szCs w:val="26"/>
              </w:rPr>
              <w:t>82</w:t>
            </w:r>
          </w:p>
        </w:tc>
      </w:tr>
      <w:tr w:rsidR="00E12B0D" w:rsidRPr="006171FC" w14:paraId="7002A93D" w14:textId="65F99C65" w:rsidTr="00770683">
        <w:trPr>
          <w:trHeight w:val="360"/>
        </w:trPr>
        <w:tc>
          <w:tcPr>
            <w:tcW w:w="615" w:type="pct"/>
            <w:vAlign w:val="center"/>
          </w:tcPr>
          <w:p w14:paraId="4EEFAC22" w14:textId="31237B6D" w:rsidR="0053102B" w:rsidRPr="006171FC" w:rsidRDefault="0053102B" w:rsidP="0053102B">
            <w:pPr>
              <w:tabs>
                <w:tab w:val="left" w:pos="4320"/>
              </w:tabs>
              <w:jc w:val="center"/>
              <w:rPr>
                <w:color w:val="auto"/>
                <w:szCs w:val="26"/>
              </w:rPr>
            </w:pPr>
            <w:r w:rsidRPr="006171FC">
              <w:rPr>
                <w:color w:val="auto"/>
                <w:szCs w:val="26"/>
              </w:rPr>
              <w:t>4</w:t>
            </w:r>
          </w:p>
        </w:tc>
        <w:tc>
          <w:tcPr>
            <w:tcW w:w="615" w:type="pct"/>
            <w:vAlign w:val="center"/>
          </w:tcPr>
          <w:p w14:paraId="5BAB7515" w14:textId="5887ED46" w:rsidR="0053102B" w:rsidRPr="006171FC" w:rsidRDefault="0053102B" w:rsidP="0053102B">
            <w:pPr>
              <w:tabs>
                <w:tab w:val="left" w:pos="4320"/>
              </w:tabs>
              <w:jc w:val="center"/>
              <w:rPr>
                <w:color w:val="auto"/>
                <w:szCs w:val="26"/>
              </w:rPr>
            </w:pPr>
            <w:r w:rsidRPr="006171FC">
              <w:rPr>
                <w:color w:val="auto"/>
                <w:szCs w:val="26"/>
              </w:rPr>
              <w:t>0</w:t>
            </w:r>
          </w:p>
        </w:tc>
        <w:tc>
          <w:tcPr>
            <w:tcW w:w="615" w:type="pct"/>
            <w:vAlign w:val="center"/>
          </w:tcPr>
          <w:p w14:paraId="5BB79393" w14:textId="71A682A0" w:rsidR="0053102B" w:rsidRPr="006171FC" w:rsidRDefault="0053102B" w:rsidP="0053102B">
            <w:pPr>
              <w:tabs>
                <w:tab w:val="left" w:pos="4320"/>
              </w:tabs>
              <w:jc w:val="center"/>
              <w:rPr>
                <w:color w:val="auto"/>
                <w:szCs w:val="26"/>
              </w:rPr>
            </w:pPr>
            <w:r w:rsidRPr="006171FC">
              <w:rPr>
                <w:color w:val="auto"/>
                <w:szCs w:val="26"/>
              </w:rPr>
              <w:t>0</w:t>
            </w:r>
          </w:p>
        </w:tc>
        <w:tc>
          <w:tcPr>
            <w:tcW w:w="615" w:type="pct"/>
            <w:vAlign w:val="center"/>
          </w:tcPr>
          <w:p w14:paraId="2CA54C4A" w14:textId="37B7EFC2" w:rsidR="0053102B" w:rsidRPr="006171FC" w:rsidRDefault="0053102B" w:rsidP="0053102B">
            <w:pPr>
              <w:tabs>
                <w:tab w:val="left" w:pos="4320"/>
              </w:tabs>
              <w:jc w:val="center"/>
              <w:rPr>
                <w:color w:val="auto"/>
                <w:szCs w:val="26"/>
              </w:rPr>
            </w:pPr>
            <w:r w:rsidRPr="006171FC">
              <w:rPr>
                <w:color w:val="auto"/>
                <w:szCs w:val="26"/>
              </w:rPr>
              <w:t>23,685</w:t>
            </w:r>
          </w:p>
        </w:tc>
        <w:tc>
          <w:tcPr>
            <w:tcW w:w="615" w:type="pct"/>
            <w:vAlign w:val="center"/>
          </w:tcPr>
          <w:p w14:paraId="5C6C7D36" w14:textId="431E68BB" w:rsidR="0053102B" w:rsidRPr="006171FC" w:rsidRDefault="0053102B" w:rsidP="0053102B">
            <w:pPr>
              <w:tabs>
                <w:tab w:val="left" w:pos="4320"/>
              </w:tabs>
              <w:jc w:val="center"/>
              <w:rPr>
                <w:color w:val="auto"/>
                <w:szCs w:val="26"/>
              </w:rPr>
            </w:pPr>
            <w:r w:rsidRPr="006171FC">
              <w:rPr>
                <w:color w:val="auto"/>
                <w:szCs w:val="26"/>
              </w:rPr>
              <w:t>0</w:t>
            </w:r>
          </w:p>
        </w:tc>
        <w:tc>
          <w:tcPr>
            <w:tcW w:w="615" w:type="pct"/>
            <w:vAlign w:val="center"/>
          </w:tcPr>
          <w:p w14:paraId="490C61A6" w14:textId="00A4B603" w:rsidR="0053102B" w:rsidRPr="006171FC" w:rsidRDefault="0053102B" w:rsidP="0053102B">
            <w:pPr>
              <w:tabs>
                <w:tab w:val="left" w:pos="4320"/>
              </w:tabs>
              <w:jc w:val="center"/>
              <w:rPr>
                <w:color w:val="auto"/>
                <w:szCs w:val="26"/>
              </w:rPr>
            </w:pPr>
            <w:r w:rsidRPr="006171FC">
              <w:rPr>
                <w:color w:val="auto"/>
                <w:szCs w:val="26"/>
              </w:rPr>
              <w:t>0</w:t>
            </w:r>
          </w:p>
        </w:tc>
        <w:tc>
          <w:tcPr>
            <w:tcW w:w="615" w:type="pct"/>
            <w:vAlign w:val="center"/>
          </w:tcPr>
          <w:p w14:paraId="7B0AFFC2" w14:textId="2675BFD8" w:rsidR="0053102B" w:rsidRPr="006171FC" w:rsidRDefault="0053102B" w:rsidP="0053102B">
            <w:pPr>
              <w:tabs>
                <w:tab w:val="left" w:pos="4320"/>
              </w:tabs>
              <w:jc w:val="center"/>
              <w:rPr>
                <w:color w:val="auto"/>
                <w:szCs w:val="26"/>
              </w:rPr>
            </w:pPr>
            <w:r w:rsidRPr="006171FC">
              <w:rPr>
                <w:color w:val="auto"/>
                <w:szCs w:val="26"/>
              </w:rPr>
              <w:t>23,685</w:t>
            </w:r>
          </w:p>
        </w:tc>
        <w:tc>
          <w:tcPr>
            <w:tcW w:w="692" w:type="pct"/>
            <w:vAlign w:val="center"/>
          </w:tcPr>
          <w:p w14:paraId="33F1AB14" w14:textId="54C80624" w:rsidR="0053102B" w:rsidRPr="006171FC" w:rsidRDefault="00514E54" w:rsidP="0053102B">
            <w:pPr>
              <w:tabs>
                <w:tab w:val="left" w:pos="4320"/>
              </w:tabs>
              <w:jc w:val="center"/>
              <w:rPr>
                <w:color w:val="auto"/>
                <w:szCs w:val="26"/>
              </w:rPr>
            </w:pPr>
            <w:r w:rsidRPr="006171FC">
              <w:rPr>
                <w:color w:val="auto"/>
                <w:szCs w:val="26"/>
              </w:rPr>
              <w:t>115</w:t>
            </w:r>
          </w:p>
        </w:tc>
      </w:tr>
      <w:tr w:rsidR="00E12B0D" w:rsidRPr="006171FC" w14:paraId="1A4D199D" w14:textId="593CF6AE" w:rsidTr="00770683">
        <w:trPr>
          <w:trHeight w:val="360"/>
        </w:trPr>
        <w:tc>
          <w:tcPr>
            <w:tcW w:w="615" w:type="pct"/>
            <w:vAlign w:val="center"/>
          </w:tcPr>
          <w:p w14:paraId="43E2009E" w14:textId="1ADC65FE" w:rsidR="0053102B" w:rsidRPr="006171FC" w:rsidRDefault="0053102B" w:rsidP="0053102B">
            <w:pPr>
              <w:tabs>
                <w:tab w:val="left" w:pos="4320"/>
              </w:tabs>
              <w:jc w:val="center"/>
              <w:rPr>
                <w:color w:val="auto"/>
                <w:szCs w:val="26"/>
              </w:rPr>
            </w:pPr>
            <w:r w:rsidRPr="006171FC">
              <w:rPr>
                <w:color w:val="auto"/>
                <w:szCs w:val="26"/>
              </w:rPr>
              <w:t>5</w:t>
            </w:r>
          </w:p>
        </w:tc>
        <w:tc>
          <w:tcPr>
            <w:tcW w:w="615" w:type="pct"/>
            <w:vAlign w:val="center"/>
          </w:tcPr>
          <w:p w14:paraId="503E7DCC" w14:textId="14417F78" w:rsidR="0053102B" w:rsidRPr="006171FC" w:rsidRDefault="0053102B" w:rsidP="0053102B">
            <w:pPr>
              <w:tabs>
                <w:tab w:val="left" w:pos="4320"/>
              </w:tabs>
              <w:jc w:val="center"/>
              <w:rPr>
                <w:color w:val="auto"/>
                <w:szCs w:val="26"/>
              </w:rPr>
            </w:pPr>
            <w:r w:rsidRPr="006171FC">
              <w:rPr>
                <w:color w:val="auto"/>
                <w:szCs w:val="26"/>
              </w:rPr>
              <w:t>0</w:t>
            </w:r>
          </w:p>
        </w:tc>
        <w:tc>
          <w:tcPr>
            <w:tcW w:w="615" w:type="pct"/>
            <w:vAlign w:val="center"/>
          </w:tcPr>
          <w:p w14:paraId="086CD121" w14:textId="2FC3C8EE" w:rsidR="0053102B" w:rsidRPr="006171FC" w:rsidRDefault="0053102B" w:rsidP="0053102B">
            <w:pPr>
              <w:tabs>
                <w:tab w:val="left" w:pos="4320"/>
              </w:tabs>
              <w:jc w:val="center"/>
              <w:rPr>
                <w:color w:val="auto"/>
                <w:szCs w:val="26"/>
              </w:rPr>
            </w:pPr>
            <w:r w:rsidRPr="006171FC">
              <w:rPr>
                <w:color w:val="auto"/>
                <w:szCs w:val="26"/>
              </w:rPr>
              <w:t>0</w:t>
            </w:r>
          </w:p>
        </w:tc>
        <w:tc>
          <w:tcPr>
            <w:tcW w:w="615" w:type="pct"/>
            <w:vAlign w:val="center"/>
          </w:tcPr>
          <w:p w14:paraId="519FA68B" w14:textId="2063BDEA" w:rsidR="0053102B" w:rsidRPr="006171FC" w:rsidRDefault="0053102B" w:rsidP="0053102B">
            <w:pPr>
              <w:tabs>
                <w:tab w:val="left" w:pos="4320"/>
              </w:tabs>
              <w:jc w:val="center"/>
              <w:rPr>
                <w:color w:val="auto"/>
                <w:szCs w:val="26"/>
              </w:rPr>
            </w:pPr>
            <w:r w:rsidRPr="006171FC">
              <w:rPr>
                <w:color w:val="auto"/>
                <w:szCs w:val="26"/>
              </w:rPr>
              <w:t>13,563</w:t>
            </w:r>
          </w:p>
        </w:tc>
        <w:tc>
          <w:tcPr>
            <w:tcW w:w="615" w:type="pct"/>
            <w:vAlign w:val="center"/>
          </w:tcPr>
          <w:p w14:paraId="74C50E3D" w14:textId="5EF42EAB" w:rsidR="0053102B" w:rsidRPr="006171FC" w:rsidRDefault="0053102B" w:rsidP="0053102B">
            <w:pPr>
              <w:tabs>
                <w:tab w:val="left" w:pos="4320"/>
              </w:tabs>
              <w:jc w:val="center"/>
              <w:rPr>
                <w:color w:val="auto"/>
                <w:szCs w:val="26"/>
              </w:rPr>
            </w:pPr>
            <w:r w:rsidRPr="006171FC">
              <w:rPr>
                <w:color w:val="auto"/>
                <w:szCs w:val="26"/>
              </w:rPr>
              <w:t>0</w:t>
            </w:r>
          </w:p>
        </w:tc>
        <w:tc>
          <w:tcPr>
            <w:tcW w:w="615" w:type="pct"/>
            <w:vAlign w:val="center"/>
          </w:tcPr>
          <w:p w14:paraId="46C04201" w14:textId="58AF3D25" w:rsidR="0053102B" w:rsidRPr="006171FC" w:rsidRDefault="0053102B" w:rsidP="0053102B">
            <w:pPr>
              <w:tabs>
                <w:tab w:val="left" w:pos="4320"/>
              </w:tabs>
              <w:jc w:val="center"/>
              <w:rPr>
                <w:color w:val="auto"/>
                <w:szCs w:val="26"/>
              </w:rPr>
            </w:pPr>
            <w:r w:rsidRPr="006171FC">
              <w:rPr>
                <w:color w:val="auto"/>
                <w:szCs w:val="26"/>
              </w:rPr>
              <w:t>0</w:t>
            </w:r>
          </w:p>
        </w:tc>
        <w:tc>
          <w:tcPr>
            <w:tcW w:w="615" w:type="pct"/>
            <w:vAlign w:val="center"/>
          </w:tcPr>
          <w:p w14:paraId="58B10657" w14:textId="2D7988AF" w:rsidR="0053102B" w:rsidRPr="006171FC" w:rsidRDefault="0053102B" w:rsidP="0053102B">
            <w:pPr>
              <w:tabs>
                <w:tab w:val="left" w:pos="4320"/>
              </w:tabs>
              <w:jc w:val="center"/>
              <w:rPr>
                <w:color w:val="auto"/>
                <w:szCs w:val="26"/>
              </w:rPr>
            </w:pPr>
            <w:r w:rsidRPr="006171FC">
              <w:rPr>
                <w:color w:val="auto"/>
                <w:szCs w:val="26"/>
              </w:rPr>
              <w:t>13,563</w:t>
            </w:r>
          </w:p>
        </w:tc>
        <w:tc>
          <w:tcPr>
            <w:tcW w:w="692" w:type="pct"/>
            <w:vAlign w:val="center"/>
          </w:tcPr>
          <w:p w14:paraId="12D057F1" w14:textId="61AC94EF" w:rsidR="0053102B" w:rsidRPr="006171FC" w:rsidRDefault="00514E54" w:rsidP="0053102B">
            <w:pPr>
              <w:tabs>
                <w:tab w:val="left" w:pos="4320"/>
              </w:tabs>
              <w:jc w:val="center"/>
              <w:rPr>
                <w:color w:val="auto"/>
                <w:szCs w:val="26"/>
              </w:rPr>
            </w:pPr>
            <w:r w:rsidRPr="006171FC">
              <w:rPr>
                <w:color w:val="auto"/>
                <w:szCs w:val="26"/>
              </w:rPr>
              <w:t>87</w:t>
            </w:r>
          </w:p>
        </w:tc>
      </w:tr>
      <w:tr w:rsidR="00E12B0D" w:rsidRPr="006171FC" w14:paraId="45902AB0" w14:textId="5DCA6D26" w:rsidTr="00770683">
        <w:trPr>
          <w:trHeight w:val="360"/>
        </w:trPr>
        <w:tc>
          <w:tcPr>
            <w:tcW w:w="615" w:type="pct"/>
            <w:vAlign w:val="center"/>
          </w:tcPr>
          <w:p w14:paraId="7997DEC3" w14:textId="0C6F78D1" w:rsidR="0053102B" w:rsidRPr="006171FC" w:rsidRDefault="0053102B" w:rsidP="0053102B">
            <w:pPr>
              <w:tabs>
                <w:tab w:val="left" w:pos="4320"/>
              </w:tabs>
              <w:jc w:val="center"/>
              <w:rPr>
                <w:color w:val="auto"/>
                <w:szCs w:val="26"/>
              </w:rPr>
            </w:pPr>
            <w:r w:rsidRPr="006171FC">
              <w:rPr>
                <w:color w:val="auto"/>
                <w:szCs w:val="26"/>
              </w:rPr>
              <w:t>Force Main</w:t>
            </w:r>
          </w:p>
        </w:tc>
        <w:tc>
          <w:tcPr>
            <w:tcW w:w="615" w:type="pct"/>
            <w:vAlign w:val="center"/>
          </w:tcPr>
          <w:p w14:paraId="5249E2CA" w14:textId="2B7A8EB8" w:rsidR="0053102B" w:rsidRPr="006171FC" w:rsidRDefault="0053102B" w:rsidP="0053102B">
            <w:pPr>
              <w:tabs>
                <w:tab w:val="left" w:pos="4320"/>
              </w:tabs>
              <w:jc w:val="center"/>
              <w:rPr>
                <w:color w:val="auto"/>
                <w:szCs w:val="26"/>
              </w:rPr>
            </w:pPr>
            <w:r w:rsidRPr="006171FC">
              <w:rPr>
                <w:color w:val="auto"/>
                <w:szCs w:val="26"/>
              </w:rPr>
              <w:t>0</w:t>
            </w:r>
          </w:p>
        </w:tc>
        <w:tc>
          <w:tcPr>
            <w:tcW w:w="615" w:type="pct"/>
            <w:vAlign w:val="center"/>
          </w:tcPr>
          <w:p w14:paraId="778E3FD0" w14:textId="5E2E17B2" w:rsidR="0053102B" w:rsidRPr="006171FC" w:rsidRDefault="0053102B" w:rsidP="0053102B">
            <w:pPr>
              <w:tabs>
                <w:tab w:val="left" w:pos="4320"/>
              </w:tabs>
              <w:jc w:val="center"/>
              <w:rPr>
                <w:color w:val="auto"/>
                <w:szCs w:val="26"/>
              </w:rPr>
            </w:pPr>
            <w:r w:rsidRPr="006171FC">
              <w:rPr>
                <w:color w:val="auto"/>
                <w:szCs w:val="26"/>
              </w:rPr>
              <w:t>2,320</w:t>
            </w:r>
          </w:p>
        </w:tc>
        <w:tc>
          <w:tcPr>
            <w:tcW w:w="615" w:type="pct"/>
            <w:vAlign w:val="center"/>
          </w:tcPr>
          <w:p w14:paraId="27330600" w14:textId="294FF908" w:rsidR="0053102B" w:rsidRPr="006171FC" w:rsidRDefault="0053102B" w:rsidP="0053102B">
            <w:pPr>
              <w:tabs>
                <w:tab w:val="left" w:pos="4320"/>
              </w:tabs>
              <w:jc w:val="center"/>
              <w:rPr>
                <w:color w:val="auto"/>
                <w:szCs w:val="26"/>
              </w:rPr>
            </w:pPr>
            <w:r w:rsidRPr="006171FC">
              <w:rPr>
                <w:color w:val="auto"/>
                <w:szCs w:val="26"/>
              </w:rPr>
              <w:t>0</w:t>
            </w:r>
          </w:p>
        </w:tc>
        <w:tc>
          <w:tcPr>
            <w:tcW w:w="615" w:type="pct"/>
            <w:vAlign w:val="center"/>
          </w:tcPr>
          <w:p w14:paraId="6B79F627" w14:textId="7C117AEC" w:rsidR="0053102B" w:rsidRPr="006171FC" w:rsidRDefault="0053102B" w:rsidP="0053102B">
            <w:pPr>
              <w:tabs>
                <w:tab w:val="left" w:pos="4320"/>
              </w:tabs>
              <w:jc w:val="center"/>
              <w:rPr>
                <w:color w:val="auto"/>
                <w:szCs w:val="26"/>
              </w:rPr>
            </w:pPr>
            <w:r w:rsidRPr="006171FC">
              <w:rPr>
                <w:color w:val="auto"/>
                <w:szCs w:val="26"/>
              </w:rPr>
              <w:t>0</w:t>
            </w:r>
          </w:p>
        </w:tc>
        <w:tc>
          <w:tcPr>
            <w:tcW w:w="615" w:type="pct"/>
            <w:vAlign w:val="center"/>
          </w:tcPr>
          <w:p w14:paraId="40E5334C" w14:textId="45A5B9D4" w:rsidR="0053102B" w:rsidRPr="006171FC" w:rsidRDefault="0053102B" w:rsidP="0053102B">
            <w:pPr>
              <w:tabs>
                <w:tab w:val="left" w:pos="4320"/>
              </w:tabs>
              <w:jc w:val="center"/>
              <w:rPr>
                <w:color w:val="auto"/>
                <w:szCs w:val="26"/>
              </w:rPr>
            </w:pPr>
            <w:r w:rsidRPr="006171FC">
              <w:rPr>
                <w:color w:val="auto"/>
                <w:szCs w:val="26"/>
              </w:rPr>
              <w:t>0</w:t>
            </w:r>
          </w:p>
        </w:tc>
        <w:tc>
          <w:tcPr>
            <w:tcW w:w="615" w:type="pct"/>
            <w:vAlign w:val="center"/>
          </w:tcPr>
          <w:p w14:paraId="33EDD1A3" w14:textId="68E1E582" w:rsidR="0053102B" w:rsidRPr="006171FC" w:rsidRDefault="0053102B" w:rsidP="0053102B">
            <w:pPr>
              <w:tabs>
                <w:tab w:val="left" w:pos="4320"/>
              </w:tabs>
              <w:jc w:val="center"/>
              <w:rPr>
                <w:color w:val="auto"/>
                <w:szCs w:val="26"/>
              </w:rPr>
            </w:pPr>
            <w:r w:rsidRPr="006171FC">
              <w:rPr>
                <w:color w:val="auto"/>
                <w:szCs w:val="26"/>
              </w:rPr>
              <w:t>2,320</w:t>
            </w:r>
          </w:p>
        </w:tc>
        <w:tc>
          <w:tcPr>
            <w:tcW w:w="692" w:type="pct"/>
            <w:vAlign w:val="center"/>
          </w:tcPr>
          <w:p w14:paraId="39CA3847" w14:textId="00867904" w:rsidR="0053102B" w:rsidRPr="006171FC" w:rsidRDefault="00514E54" w:rsidP="0053102B">
            <w:pPr>
              <w:tabs>
                <w:tab w:val="left" w:pos="4320"/>
              </w:tabs>
              <w:jc w:val="center"/>
              <w:rPr>
                <w:color w:val="auto"/>
                <w:szCs w:val="26"/>
              </w:rPr>
            </w:pPr>
            <w:r w:rsidRPr="006171FC">
              <w:rPr>
                <w:color w:val="auto"/>
                <w:szCs w:val="26"/>
              </w:rPr>
              <w:t>---</w:t>
            </w:r>
          </w:p>
        </w:tc>
      </w:tr>
      <w:tr w:rsidR="00E12B0D" w:rsidRPr="006171FC" w14:paraId="29EFE845" w14:textId="1DDDBDBB" w:rsidTr="00770683">
        <w:trPr>
          <w:trHeight w:val="360"/>
        </w:trPr>
        <w:tc>
          <w:tcPr>
            <w:tcW w:w="615" w:type="pct"/>
            <w:tcBorders>
              <w:bottom w:val="single" w:sz="12" w:space="0" w:color="auto"/>
            </w:tcBorders>
            <w:vAlign w:val="center"/>
          </w:tcPr>
          <w:p w14:paraId="6B74033B" w14:textId="7F775A7C" w:rsidR="0053102B" w:rsidRPr="006171FC" w:rsidRDefault="0053102B" w:rsidP="0053102B">
            <w:pPr>
              <w:tabs>
                <w:tab w:val="left" w:pos="4320"/>
              </w:tabs>
              <w:jc w:val="center"/>
              <w:rPr>
                <w:color w:val="auto"/>
                <w:szCs w:val="26"/>
              </w:rPr>
            </w:pPr>
            <w:r w:rsidRPr="006171FC">
              <w:rPr>
                <w:color w:val="auto"/>
                <w:szCs w:val="26"/>
              </w:rPr>
              <w:t>Service Laterals</w:t>
            </w:r>
          </w:p>
        </w:tc>
        <w:tc>
          <w:tcPr>
            <w:tcW w:w="615" w:type="pct"/>
            <w:tcBorders>
              <w:bottom w:val="single" w:sz="12" w:space="0" w:color="auto"/>
            </w:tcBorders>
            <w:vAlign w:val="center"/>
          </w:tcPr>
          <w:p w14:paraId="5CACCD97" w14:textId="3777538F" w:rsidR="0053102B" w:rsidRPr="006171FC" w:rsidRDefault="0053102B" w:rsidP="0053102B">
            <w:pPr>
              <w:tabs>
                <w:tab w:val="left" w:pos="4320"/>
              </w:tabs>
              <w:jc w:val="center"/>
              <w:rPr>
                <w:color w:val="auto"/>
                <w:szCs w:val="26"/>
              </w:rPr>
            </w:pPr>
            <w:r w:rsidRPr="006171FC">
              <w:rPr>
                <w:color w:val="auto"/>
                <w:szCs w:val="26"/>
              </w:rPr>
              <w:t>60,000</w:t>
            </w:r>
          </w:p>
        </w:tc>
        <w:tc>
          <w:tcPr>
            <w:tcW w:w="615" w:type="pct"/>
            <w:tcBorders>
              <w:bottom w:val="single" w:sz="12" w:space="0" w:color="auto"/>
            </w:tcBorders>
            <w:vAlign w:val="center"/>
          </w:tcPr>
          <w:p w14:paraId="6C580E11" w14:textId="77CD54C9" w:rsidR="0053102B" w:rsidRPr="006171FC" w:rsidRDefault="0053102B" w:rsidP="0053102B">
            <w:pPr>
              <w:tabs>
                <w:tab w:val="left" w:pos="4320"/>
              </w:tabs>
              <w:jc w:val="center"/>
              <w:rPr>
                <w:color w:val="auto"/>
                <w:szCs w:val="26"/>
              </w:rPr>
            </w:pPr>
            <w:r w:rsidRPr="006171FC">
              <w:rPr>
                <w:color w:val="auto"/>
                <w:szCs w:val="26"/>
              </w:rPr>
              <w:t>0</w:t>
            </w:r>
          </w:p>
        </w:tc>
        <w:tc>
          <w:tcPr>
            <w:tcW w:w="615" w:type="pct"/>
            <w:tcBorders>
              <w:bottom w:val="single" w:sz="12" w:space="0" w:color="auto"/>
            </w:tcBorders>
            <w:vAlign w:val="center"/>
          </w:tcPr>
          <w:p w14:paraId="092097D1" w14:textId="1B3A99EF" w:rsidR="0053102B" w:rsidRPr="006171FC" w:rsidRDefault="0053102B" w:rsidP="0053102B">
            <w:pPr>
              <w:tabs>
                <w:tab w:val="left" w:pos="4320"/>
              </w:tabs>
              <w:jc w:val="center"/>
              <w:rPr>
                <w:color w:val="auto"/>
                <w:szCs w:val="26"/>
              </w:rPr>
            </w:pPr>
            <w:r w:rsidRPr="006171FC">
              <w:rPr>
                <w:color w:val="auto"/>
                <w:szCs w:val="26"/>
              </w:rPr>
              <w:t>0</w:t>
            </w:r>
          </w:p>
        </w:tc>
        <w:tc>
          <w:tcPr>
            <w:tcW w:w="615" w:type="pct"/>
            <w:tcBorders>
              <w:bottom w:val="single" w:sz="12" w:space="0" w:color="auto"/>
            </w:tcBorders>
            <w:vAlign w:val="center"/>
          </w:tcPr>
          <w:p w14:paraId="426CE74C" w14:textId="3230237E" w:rsidR="0053102B" w:rsidRPr="006171FC" w:rsidRDefault="0053102B" w:rsidP="0053102B">
            <w:pPr>
              <w:tabs>
                <w:tab w:val="left" w:pos="4320"/>
              </w:tabs>
              <w:jc w:val="center"/>
              <w:rPr>
                <w:color w:val="auto"/>
                <w:szCs w:val="26"/>
              </w:rPr>
            </w:pPr>
            <w:r w:rsidRPr="006171FC">
              <w:rPr>
                <w:color w:val="auto"/>
                <w:szCs w:val="26"/>
              </w:rPr>
              <w:t>0</w:t>
            </w:r>
          </w:p>
        </w:tc>
        <w:tc>
          <w:tcPr>
            <w:tcW w:w="615" w:type="pct"/>
            <w:tcBorders>
              <w:bottom w:val="single" w:sz="12" w:space="0" w:color="auto"/>
            </w:tcBorders>
            <w:vAlign w:val="center"/>
          </w:tcPr>
          <w:p w14:paraId="66F21531" w14:textId="7BCE5F0E" w:rsidR="0053102B" w:rsidRPr="006171FC" w:rsidRDefault="0053102B" w:rsidP="0053102B">
            <w:pPr>
              <w:tabs>
                <w:tab w:val="left" w:pos="4320"/>
              </w:tabs>
              <w:jc w:val="center"/>
              <w:rPr>
                <w:color w:val="auto"/>
                <w:szCs w:val="26"/>
              </w:rPr>
            </w:pPr>
            <w:r w:rsidRPr="006171FC">
              <w:rPr>
                <w:color w:val="auto"/>
                <w:szCs w:val="26"/>
              </w:rPr>
              <w:t>0</w:t>
            </w:r>
          </w:p>
        </w:tc>
        <w:tc>
          <w:tcPr>
            <w:tcW w:w="615" w:type="pct"/>
            <w:tcBorders>
              <w:bottom w:val="single" w:sz="12" w:space="0" w:color="auto"/>
            </w:tcBorders>
            <w:vAlign w:val="center"/>
          </w:tcPr>
          <w:p w14:paraId="7023D6AF" w14:textId="3225C419" w:rsidR="0053102B" w:rsidRPr="006171FC" w:rsidRDefault="0053102B" w:rsidP="0053102B">
            <w:pPr>
              <w:tabs>
                <w:tab w:val="left" w:pos="4320"/>
              </w:tabs>
              <w:jc w:val="center"/>
              <w:rPr>
                <w:color w:val="auto"/>
                <w:szCs w:val="26"/>
              </w:rPr>
            </w:pPr>
            <w:r w:rsidRPr="006171FC">
              <w:rPr>
                <w:color w:val="auto"/>
                <w:szCs w:val="26"/>
              </w:rPr>
              <w:t>60,000</w:t>
            </w:r>
          </w:p>
        </w:tc>
        <w:tc>
          <w:tcPr>
            <w:tcW w:w="692" w:type="pct"/>
            <w:tcBorders>
              <w:bottom w:val="single" w:sz="12" w:space="0" w:color="auto"/>
            </w:tcBorders>
            <w:vAlign w:val="center"/>
          </w:tcPr>
          <w:p w14:paraId="5EC482C7" w14:textId="3F4E87CE" w:rsidR="0053102B" w:rsidRPr="006171FC" w:rsidRDefault="00514E54" w:rsidP="0053102B">
            <w:pPr>
              <w:tabs>
                <w:tab w:val="left" w:pos="4320"/>
              </w:tabs>
              <w:jc w:val="center"/>
              <w:rPr>
                <w:color w:val="auto"/>
                <w:szCs w:val="26"/>
              </w:rPr>
            </w:pPr>
            <w:r w:rsidRPr="006171FC">
              <w:rPr>
                <w:color w:val="auto"/>
                <w:szCs w:val="26"/>
              </w:rPr>
              <w:t>---</w:t>
            </w:r>
          </w:p>
        </w:tc>
      </w:tr>
      <w:tr w:rsidR="00E12B0D" w:rsidRPr="006171FC" w14:paraId="4F666F2C" w14:textId="33D9EFF3" w:rsidTr="00770683">
        <w:trPr>
          <w:trHeight w:val="360"/>
        </w:trPr>
        <w:tc>
          <w:tcPr>
            <w:tcW w:w="615" w:type="pct"/>
            <w:tcBorders>
              <w:top w:val="single" w:sz="12" w:space="0" w:color="auto"/>
              <w:left w:val="single" w:sz="6" w:space="0" w:color="auto"/>
              <w:bottom w:val="single" w:sz="6" w:space="0" w:color="auto"/>
              <w:right w:val="single" w:sz="6" w:space="0" w:color="auto"/>
            </w:tcBorders>
            <w:vAlign w:val="center"/>
          </w:tcPr>
          <w:p w14:paraId="70132831" w14:textId="0393DFBA" w:rsidR="0053102B" w:rsidRPr="006171FC" w:rsidRDefault="0053102B" w:rsidP="0053102B">
            <w:pPr>
              <w:tabs>
                <w:tab w:val="left" w:pos="4320"/>
              </w:tabs>
              <w:jc w:val="center"/>
              <w:rPr>
                <w:b/>
                <w:bCs/>
                <w:color w:val="auto"/>
                <w:szCs w:val="26"/>
              </w:rPr>
            </w:pPr>
            <w:r w:rsidRPr="006171FC">
              <w:rPr>
                <w:b/>
                <w:bCs/>
                <w:color w:val="auto"/>
                <w:szCs w:val="26"/>
              </w:rPr>
              <w:t>Total</w:t>
            </w:r>
          </w:p>
        </w:tc>
        <w:tc>
          <w:tcPr>
            <w:tcW w:w="615" w:type="pct"/>
            <w:tcBorders>
              <w:top w:val="single" w:sz="12" w:space="0" w:color="auto"/>
              <w:left w:val="single" w:sz="6" w:space="0" w:color="auto"/>
              <w:bottom w:val="single" w:sz="6" w:space="0" w:color="auto"/>
              <w:right w:val="single" w:sz="6" w:space="0" w:color="auto"/>
            </w:tcBorders>
            <w:vAlign w:val="center"/>
          </w:tcPr>
          <w:p w14:paraId="29F9CA6D" w14:textId="7538021B" w:rsidR="0053102B" w:rsidRPr="006171FC" w:rsidRDefault="0053102B" w:rsidP="0053102B">
            <w:pPr>
              <w:tabs>
                <w:tab w:val="left" w:pos="4320"/>
              </w:tabs>
              <w:jc w:val="center"/>
              <w:rPr>
                <w:color w:val="auto"/>
                <w:szCs w:val="26"/>
              </w:rPr>
            </w:pPr>
            <w:r w:rsidRPr="006171FC">
              <w:rPr>
                <w:color w:val="auto"/>
                <w:szCs w:val="26"/>
              </w:rPr>
              <w:t>60,000</w:t>
            </w:r>
          </w:p>
        </w:tc>
        <w:tc>
          <w:tcPr>
            <w:tcW w:w="615" w:type="pct"/>
            <w:tcBorders>
              <w:top w:val="single" w:sz="12" w:space="0" w:color="auto"/>
              <w:left w:val="single" w:sz="6" w:space="0" w:color="auto"/>
              <w:bottom w:val="single" w:sz="6" w:space="0" w:color="auto"/>
              <w:right w:val="single" w:sz="6" w:space="0" w:color="auto"/>
            </w:tcBorders>
            <w:vAlign w:val="center"/>
          </w:tcPr>
          <w:p w14:paraId="6ED77D5A" w14:textId="7F9159F9" w:rsidR="0053102B" w:rsidRPr="006171FC" w:rsidRDefault="0053102B" w:rsidP="0053102B">
            <w:pPr>
              <w:tabs>
                <w:tab w:val="left" w:pos="4320"/>
              </w:tabs>
              <w:jc w:val="center"/>
              <w:rPr>
                <w:color w:val="auto"/>
                <w:szCs w:val="26"/>
              </w:rPr>
            </w:pPr>
            <w:r w:rsidRPr="006171FC">
              <w:rPr>
                <w:color w:val="auto"/>
                <w:szCs w:val="26"/>
              </w:rPr>
              <w:t>2,320</w:t>
            </w:r>
          </w:p>
        </w:tc>
        <w:tc>
          <w:tcPr>
            <w:tcW w:w="615" w:type="pct"/>
            <w:tcBorders>
              <w:top w:val="single" w:sz="12" w:space="0" w:color="auto"/>
              <w:left w:val="single" w:sz="6" w:space="0" w:color="auto"/>
              <w:bottom w:val="single" w:sz="6" w:space="0" w:color="auto"/>
              <w:right w:val="single" w:sz="6" w:space="0" w:color="auto"/>
            </w:tcBorders>
            <w:vAlign w:val="center"/>
          </w:tcPr>
          <w:p w14:paraId="5BF0EA04" w14:textId="6338B83F" w:rsidR="0053102B" w:rsidRPr="006171FC" w:rsidRDefault="0053102B" w:rsidP="0053102B">
            <w:pPr>
              <w:tabs>
                <w:tab w:val="left" w:pos="4320"/>
              </w:tabs>
              <w:jc w:val="center"/>
              <w:rPr>
                <w:color w:val="auto"/>
                <w:szCs w:val="26"/>
              </w:rPr>
            </w:pPr>
            <w:r w:rsidRPr="006171FC">
              <w:rPr>
                <w:color w:val="auto"/>
                <w:szCs w:val="26"/>
              </w:rPr>
              <w:t>83,</w:t>
            </w:r>
            <w:r w:rsidR="001D0D47" w:rsidRPr="006171FC">
              <w:rPr>
                <w:color w:val="auto"/>
                <w:szCs w:val="26"/>
              </w:rPr>
              <w:t>6</w:t>
            </w:r>
            <w:r w:rsidR="00D0505C" w:rsidRPr="006171FC">
              <w:rPr>
                <w:color w:val="auto"/>
                <w:szCs w:val="26"/>
              </w:rPr>
              <w:t>15</w:t>
            </w:r>
          </w:p>
        </w:tc>
        <w:tc>
          <w:tcPr>
            <w:tcW w:w="615" w:type="pct"/>
            <w:tcBorders>
              <w:top w:val="single" w:sz="12" w:space="0" w:color="auto"/>
              <w:left w:val="single" w:sz="6" w:space="0" w:color="auto"/>
              <w:bottom w:val="single" w:sz="6" w:space="0" w:color="auto"/>
              <w:right w:val="single" w:sz="6" w:space="0" w:color="auto"/>
            </w:tcBorders>
            <w:vAlign w:val="center"/>
          </w:tcPr>
          <w:p w14:paraId="444E9343" w14:textId="727B4974" w:rsidR="0053102B" w:rsidRPr="006171FC" w:rsidRDefault="0053102B" w:rsidP="0053102B">
            <w:pPr>
              <w:tabs>
                <w:tab w:val="left" w:pos="4320"/>
              </w:tabs>
              <w:jc w:val="center"/>
              <w:rPr>
                <w:color w:val="auto"/>
                <w:szCs w:val="26"/>
              </w:rPr>
            </w:pPr>
            <w:r w:rsidRPr="006171FC">
              <w:rPr>
                <w:color w:val="auto"/>
                <w:szCs w:val="26"/>
              </w:rPr>
              <w:t>2,0</w:t>
            </w:r>
            <w:r w:rsidR="00D0505C" w:rsidRPr="006171FC">
              <w:rPr>
                <w:color w:val="auto"/>
                <w:szCs w:val="26"/>
              </w:rPr>
              <w:t>15</w:t>
            </w:r>
          </w:p>
        </w:tc>
        <w:tc>
          <w:tcPr>
            <w:tcW w:w="615" w:type="pct"/>
            <w:tcBorders>
              <w:top w:val="single" w:sz="12" w:space="0" w:color="auto"/>
              <w:left w:val="single" w:sz="6" w:space="0" w:color="auto"/>
              <w:bottom w:val="single" w:sz="6" w:space="0" w:color="auto"/>
              <w:right w:val="single" w:sz="6" w:space="0" w:color="auto"/>
            </w:tcBorders>
            <w:vAlign w:val="center"/>
          </w:tcPr>
          <w:p w14:paraId="15745C31" w14:textId="4AD43B67" w:rsidR="0053102B" w:rsidRPr="006171FC" w:rsidRDefault="008B68CE" w:rsidP="0053102B">
            <w:pPr>
              <w:tabs>
                <w:tab w:val="left" w:pos="4320"/>
              </w:tabs>
              <w:jc w:val="center"/>
              <w:rPr>
                <w:color w:val="auto"/>
                <w:szCs w:val="26"/>
              </w:rPr>
            </w:pPr>
            <w:r w:rsidRPr="006171FC">
              <w:rPr>
                <w:color w:val="auto"/>
                <w:szCs w:val="26"/>
              </w:rPr>
              <w:t>2,</w:t>
            </w:r>
            <w:r w:rsidR="00C528B3" w:rsidRPr="006171FC">
              <w:rPr>
                <w:color w:val="auto"/>
                <w:szCs w:val="26"/>
              </w:rPr>
              <w:t>023</w:t>
            </w:r>
          </w:p>
        </w:tc>
        <w:tc>
          <w:tcPr>
            <w:tcW w:w="615" w:type="pct"/>
            <w:tcBorders>
              <w:top w:val="single" w:sz="12" w:space="0" w:color="auto"/>
              <w:left w:val="single" w:sz="6" w:space="0" w:color="auto"/>
              <w:bottom w:val="single" w:sz="6" w:space="0" w:color="auto"/>
              <w:right w:val="single" w:sz="6" w:space="0" w:color="auto"/>
            </w:tcBorders>
            <w:vAlign w:val="center"/>
          </w:tcPr>
          <w:p w14:paraId="2C017807" w14:textId="0674CC7D" w:rsidR="0053102B" w:rsidRPr="006171FC" w:rsidRDefault="0053102B" w:rsidP="0053102B">
            <w:pPr>
              <w:tabs>
                <w:tab w:val="left" w:pos="4320"/>
              </w:tabs>
              <w:jc w:val="center"/>
              <w:rPr>
                <w:color w:val="auto"/>
                <w:szCs w:val="26"/>
              </w:rPr>
            </w:pPr>
            <w:r w:rsidRPr="006171FC">
              <w:rPr>
                <w:color w:val="auto"/>
                <w:szCs w:val="26"/>
              </w:rPr>
              <w:t>149,</w:t>
            </w:r>
            <w:r w:rsidR="00B217D1" w:rsidRPr="006171FC">
              <w:rPr>
                <w:color w:val="auto"/>
                <w:szCs w:val="26"/>
              </w:rPr>
              <w:t>973</w:t>
            </w:r>
          </w:p>
        </w:tc>
        <w:tc>
          <w:tcPr>
            <w:tcW w:w="692" w:type="pct"/>
            <w:tcBorders>
              <w:top w:val="single" w:sz="12" w:space="0" w:color="auto"/>
              <w:left w:val="single" w:sz="6" w:space="0" w:color="auto"/>
              <w:bottom w:val="single" w:sz="6" w:space="0" w:color="auto"/>
              <w:right w:val="single" w:sz="6" w:space="0" w:color="auto"/>
            </w:tcBorders>
            <w:vAlign w:val="center"/>
          </w:tcPr>
          <w:p w14:paraId="4AD70715" w14:textId="4E8B2D67" w:rsidR="0053102B" w:rsidRPr="006171FC" w:rsidRDefault="00514E54" w:rsidP="0053102B">
            <w:pPr>
              <w:tabs>
                <w:tab w:val="left" w:pos="4320"/>
              </w:tabs>
              <w:jc w:val="center"/>
              <w:rPr>
                <w:color w:val="auto"/>
                <w:szCs w:val="26"/>
              </w:rPr>
            </w:pPr>
            <w:r w:rsidRPr="006171FC">
              <w:rPr>
                <w:color w:val="auto"/>
                <w:szCs w:val="26"/>
              </w:rPr>
              <w:t>462</w:t>
            </w:r>
          </w:p>
        </w:tc>
      </w:tr>
    </w:tbl>
    <w:p w14:paraId="5F770CC5" w14:textId="5F536E22" w:rsidR="007A33B8" w:rsidRPr="006171FC" w:rsidRDefault="0054159A" w:rsidP="00981BE5">
      <w:pPr>
        <w:tabs>
          <w:tab w:val="left" w:pos="4320"/>
        </w:tabs>
        <w:spacing w:before="80" w:after="240" w:line="360" w:lineRule="auto"/>
        <w:rPr>
          <w:color w:val="auto"/>
          <w:szCs w:val="26"/>
        </w:rPr>
      </w:pPr>
      <w:r w:rsidRPr="006171FC">
        <w:rPr>
          <w:color w:val="auto"/>
          <w:szCs w:val="26"/>
        </w:rPr>
        <w:t>*  All wastewater main</w:t>
      </w:r>
      <w:r w:rsidR="00981BE5">
        <w:rPr>
          <w:color w:val="auto"/>
          <w:szCs w:val="26"/>
        </w:rPr>
        <w:t>s</w:t>
      </w:r>
      <w:r w:rsidRPr="006171FC">
        <w:rPr>
          <w:color w:val="auto"/>
          <w:szCs w:val="26"/>
        </w:rPr>
        <w:t xml:space="preserve"> </w:t>
      </w:r>
      <w:r w:rsidR="003C5E43" w:rsidRPr="006171FC">
        <w:rPr>
          <w:color w:val="auto"/>
          <w:szCs w:val="26"/>
        </w:rPr>
        <w:t xml:space="preserve">and service lateral </w:t>
      </w:r>
      <w:r w:rsidR="00C87B11" w:rsidRPr="006171FC">
        <w:rPr>
          <w:color w:val="auto"/>
          <w:szCs w:val="26"/>
        </w:rPr>
        <w:t>pipe</w:t>
      </w:r>
      <w:r w:rsidR="00252376" w:rsidRPr="006171FC">
        <w:rPr>
          <w:color w:val="auto"/>
          <w:szCs w:val="26"/>
        </w:rPr>
        <w:t xml:space="preserve"> </w:t>
      </w:r>
      <w:r w:rsidRPr="006171FC">
        <w:rPr>
          <w:color w:val="auto"/>
          <w:szCs w:val="26"/>
        </w:rPr>
        <w:t>material is proposed to be SDR</w:t>
      </w:r>
      <w:r w:rsidR="00773FA0" w:rsidRPr="006171FC">
        <w:rPr>
          <w:color w:val="auto"/>
          <w:szCs w:val="26"/>
        </w:rPr>
        <w:t xml:space="preserve"> </w:t>
      </w:r>
      <w:r w:rsidRPr="006171FC">
        <w:rPr>
          <w:color w:val="auto"/>
          <w:szCs w:val="26"/>
        </w:rPr>
        <w:t>35 PVC</w:t>
      </w:r>
      <w:r w:rsidR="00773FA0" w:rsidRPr="006171FC">
        <w:rPr>
          <w:color w:val="auto"/>
          <w:szCs w:val="26"/>
        </w:rPr>
        <w:t>.</w:t>
      </w:r>
    </w:p>
    <w:p w14:paraId="74795824" w14:textId="2DD68BF2" w:rsidR="00ED5C2C" w:rsidRPr="006171FC" w:rsidRDefault="004363B5" w:rsidP="00E80085">
      <w:pPr>
        <w:spacing w:before="240" w:after="240" w:line="360" w:lineRule="auto"/>
        <w:ind w:firstLine="720"/>
        <w:rPr>
          <w:color w:val="auto"/>
          <w:szCs w:val="26"/>
        </w:rPr>
      </w:pPr>
      <w:r w:rsidRPr="006171FC">
        <w:rPr>
          <w:color w:val="auto"/>
          <w:szCs w:val="26"/>
        </w:rPr>
        <w:t>York-WW</w:t>
      </w:r>
      <w:r w:rsidR="00ED5C2C" w:rsidRPr="006171FC">
        <w:rPr>
          <w:color w:val="auto"/>
          <w:szCs w:val="26"/>
        </w:rPr>
        <w:t xml:space="preserve"> averred the </w:t>
      </w:r>
      <w:r w:rsidR="00224F92" w:rsidRPr="006171FC">
        <w:rPr>
          <w:color w:val="auto"/>
          <w:szCs w:val="26"/>
        </w:rPr>
        <w:t>WWTP</w:t>
      </w:r>
      <w:r w:rsidR="00ED5C2C" w:rsidRPr="006171FC">
        <w:rPr>
          <w:color w:val="auto"/>
          <w:szCs w:val="26"/>
        </w:rPr>
        <w:t xml:space="preserve"> will be constructed during the first two phases of </w:t>
      </w:r>
      <w:r w:rsidR="00C34988" w:rsidRPr="006171FC">
        <w:rPr>
          <w:color w:val="auto"/>
          <w:szCs w:val="26"/>
        </w:rPr>
        <w:t>Amblebrook</w:t>
      </w:r>
      <w:r w:rsidR="004E0BA1" w:rsidRPr="006171FC">
        <w:rPr>
          <w:color w:val="auto"/>
          <w:szCs w:val="26"/>
        </w:rPr>
        <w:t xml:space="preserve">.  </w:t>
      </w:r>
      <w:r w:rsidR="00647953" w:rsidRPr="006171FC">
        <w:rPr>
          <w:color w:val="auto"/>
          <w:szCs w:val="26"/>
        </w:rPr>
        <w:t xml:space="preserve">During </w:t>
      </w:r>
      <w:r w:rsidR="004E0BA1" w:rsidRPr="006171FC">
        <w:rPr>
          <w:color w:val="auto"/>
          <w:szCs w:val="26"/>
        </w:rPr>
        <w:t xml:space="preserve">Phase </w:t>
      </w:r>
      <w:r w:rsidR="00647953" w:rsidRPr="006171FC">
        <w:rPr>
          <w:color w:val="auto"/>
          <w:szCs w:val="26"/>
        </w:rPr>
        <w:t>1</w:t>
      </w:r>
      <w:r w:rsidR="003762AA" w:rsidRPr="006171FC">
        <w:rPr>
          <w:color w:val="auto"/>
          <w:szCs w:val="26"/>
        </w:rPr>
        <w:t xml:space="preserve">, </w:t>
      </w:r>
      <w:r w:rsidR="005C303F" w:rsidRPr="006171FC">
        <w:rPr>
          <w:color w:val="auto"/>
          <w:szCs w:val="26"/>
        </w:rPr>
        <w:t>t</w:t>
      </w:r>
      <w:r w:rsidR="00080964" w:rsidRPr="006171FC">
        <w:rPr>
          <w:color w:val="auto"/>
          <w:szCs w:val="26"/>
        </w:rPr>
        <w:t xml:space="preserve">he WWTP will be erected using </w:t>
      </w:r>
      <w:r w:rsidR="00A54466" w:rsidRPr="006171FC">
        <w:rPr>
          <w:color w:val="auto"/>
          <w:szCs w:val="26"/>
        </w:rPr>
        <w:t>a</w:t>
      </w:r>
      <w:r w:rsidR="00927EAF" w:rsidRPr="006171FC">
        <w:rPr>
          <w:color w:val="auto"/>
          <w:szCs w:val="26"/>
        </w:rPr>
        <w:t xml:space="preserve"> </w:t>
      </w:r>
      <w:r w:rsidR="00A54466" w:rsidRPr="006171FC">
        <w:rPr>
          <w:color w:val="auto"/>
          <w:szCs w:val="26"/>
        </w:rPr>
        <w:t>Dutchland 100,000</w:t>
      </w:r>
      <w:r w:rsidR="00D15891">
        <w:rPr>
          <w:color w:val="auto"/>
          <w:szCs w:val="26"/>
        </w:rPr>
        <w:t> </w:t>
      </w:r>
      <w:r w:rsidR="00485AFF" w:rsidRPr="006171FC">
        <w:rPr>
          <w:color w:val="auto"/>
          <w:szCs w:val="26"/>
        </w:rPr>
        <w:t>gallons per day (</w:t>
      </w:r>
      <w:r w:rsidR="00A54466" w:rsidRPr="006171FC">
        <w:rPr>
          <w:color w:val="auto"/>
          <w:szCs w:val="26"/>
        </w:rPr>
        <w:t>GPD</w:t>
      </w:r>
      <w:r w:rsidR="00485AFF" w:rsidRPr="006171FC">
        <w:rPr>
          <w:color w:val="auto"/>
          <w:szCs w:val="26"/>
        </w:rPr>
        <w:t>)</w:t>
      </w:r>
      <w:r w:rsidR="00A54466" w:rsidRPr="006171FC">
        <w:rPr>
          <w:color w:val="auto"/>
          <w:szCs w:val="26"/>
        </w:rPr>
        <w:t xml:space="preserve"> single train treatment system</w:t>
      </w:r>
      <w:r w:rsidR="004E0BA1" w:rsidRPr="006171FC">
        <w:rPr>
          <w:color w:val="auto"/>
          <w:szCs w:val="26"/>
        </w:rPr>
        <w:t xml:space="preserve">.  </w:t>
      </w:r>
      <w:r w:rsidR="003762AA" w:rsidRPr="006171FC">
        <w:rPr>
          <w:color w:val="auto"/>
          <w:szCs w:val="26"/>
        </w:rPr>
        <w:t>Subsequently</w:t>
      </w:r>
      <w:r w:rsidR="00596CBE" w:rsidRPr="006171FC">
        <w:rPr>
          <w:color w:val="auto"/>
          <w:szCs w:val="26"/>
        </w:rPr>
        <w:t xml:space="preserve">, </w:t>
      </w:r>
      <w:r w:rsidR="004E0BA1" w:rsidRPr="006171FC">
        <w:rPr>
          <w:color w:val="auto"/>
          <w:szCs w:val="26"/>
        </w:rPr>
        <w:t xml:space="preserve">Phase 2 </w:t>
      </w:r>
      <w:r w:rsidR="00596CBE" w:rsidRPr="006171FC">
        <w:rPr>
          <w:color w:val="auto"/>
          <w:szCs w:val="26"/>
        </w:rPr>
        <w:t xml:space="preserve">of </w:t>
      </w:r>
      <w:r w:rsidR="00C34988" w:rsidRPr="006171FC">
        <w:rPr>
          <w:color w:val="auto"/>
          <w:szCs w:val="26"/>
        </w:rPr>
        <w:t>Amblebrook</w:t>
      </w:r>
      <w:r w:rsidR="00596CBE" w:rsidRPr="006171FC">
        <w:rPr>
          <w:color w:val="auto"/>
          <w:szCs w:val="26"/>
        </w:rPr>
        <w:t xml:space="preserve"> </w:t>
      </w:r>
      <w:r w:rsidR="004E0BA1" w:rsidRPr="006171FC">
        <w:rPr>
          <w:color w:val="auto"/>
          <w:szCs w:val="26"/>
        </w:rPr>
        <w:t>will include the addition of a Dutchland 170,000 GPD</w:t>
      </w:r>
      <w:r w:rsidR="00820433" w:rsidRPr="006171FC">
        <w:rPr>
          <w:color w:val="auto"/>
          <w:szCs w:val="26"/>
        </w:rPr>
        <w:t xml:space="preserve"> </w:t>
      </w:r>
      <w:r w:rsidR="00A54466" w:rsidRPr="006171FC">
        <w:rPr>
          <w:color w:val="auto"/>
          <w:szCs w:val="26"/>
        </w:rPr>
        <w:t xml:space="preserve">treatment system </w:t>
      </w:r>
      <w:r w:rsidR="00A54466" w:rsidRPr="006171FC">
        <w:rPr>
          <w:color w:val="auto"/>
          <w:szCs w:val="26"/>
        </w:rPr>
        <w:lastRenderedPageBreak/>
        <w:t>consisting of</w:t>
      </w:r>
      <w:r w:rsidR="00820433" w:rsidRPr="006171FC">
        <w:rPr>
          <w:color w:val="auto"/>
          <w:szCs w:val="26"/>
        </w:rPr>
        <w:t xml:space="preserve"> two additional modules</w:t>
      </w:r>
      <w:r w:rsidR="00A54466" w:rsidRPr="006171FC">
        <w:rPr>
          <w:color w:val="auto"/>
          <w:szCs w:val="26"/>
        </w:rPr>
        <w:t>,</w:t>
      </w:r>
      <w:r w:rsidR="004E0BA1" w:rsidRPr="006171FC">
        <w:rPr>
          <w:color w:val="auto"/>
          <w:szCs w:val="26"/>
        </w:rPr>
        <w:t xml:space="preserve"> </w:t>
      </w:r>
      <w:r w:rsidR="00820433" w:rsidRPr="006171FC">
        <w:rPr>
          <w:color w:val="auto"/>
          <w:szCs w:val="26"/>
        </w:rPr>
        <w:t xml:space="preserve">adjacent to the existing Phase 1 </w:t>
      </w:r>
      <w:r w:rsidR="00A54466" w:rsidRPr="006171FC">
        <w:rPr>
          <w:color w:val="auto"/>
          <w:szCs w:val="26"/>
        </w:rPr>
        <w:t>treatment system,</w:t>
      </w:r>
      <w:r w:rsidR="00820433" w:rsidRPr="006171FC">
        <w:rPr>
          <w:color w:val="auto"/>
          <w:szCs w:val="26"/>
        </w:rPr>
        <w:t xml:space="preserve"> to create three separate treatment trains.</w:t>
      </w:r>
      <w:r w:rsidR="001E30AC" w:rsidRPr="006171FC">
        <w:rPr>
          <w:color w:val="auto"/>
          <w:szCs w:val="26"/>
        </w:rPr>
        <w:t xml:space="preserve">  </w:t>
      </w:r>
      <w:r w:rsidR="00417863" w:rsidRPr="006171FC">
        <w:rPr>
          <w:color w:val="auto"/>
          <w:szCs w:val="26"/>
        </w:rPr>
        <w:t>The Phase 1 inventory is projected to include</w:t>
      </w:r>
      <w:r w:rsidR="00036B70" w:rsidRPr="006171FC">
        <w:rPr>
          <w:color w:val="auto"/>
          <w:szCs w:val="26"/>
        </w:rPr>
        <w:t xml:space="preserve"> one equalization </w:t>
      </w:r>
      <w:r w:rsidR="000A375A" w:rsidRPr="006171FC">
        <w:rPr>
          <w:color w:val="auto"/>
          <w:szCs w:val="26"/>
        </w:rPr>
        <w:t>tank</w:t>
      </w:r>
      <w:r w:rsidR="00036B70" w:rsidRPr="006171FC">
        <w:rPr>
          <w:color w:val="auto"/>
          <w:szCs w:val="26"/>
        </w:rPr>
        <w:t xml:space="preserve">, two </w:t>
      </w:r>
      <w:r w:rsidR="009B49F6" w:rsidRPr="006171FC">
        <w:rPr>
          <w:color w:val="auto"/>
          <w:szCs w:val="26"/>
        </w:rPr>
        <w:t xml:space="preserve">anoxic </w:t>
      </w:r>
      <w:r w:rsidR="000A375A" w:rsidRPr="006171FC">
        <w:rPr>
          <w:color w:val="auto"/>
          <w:szCs w:val="26"/>
        </w:rPr>
        <w:t>tanks</w:t>
      </w:r>
      <w:r w:rsidR="00036B70" w:rsidRPr="006171FC">
        <w:rPr>
          <w:color w:val="auto"/>
          <w:szCs w:val="26"/>
        </w:rPr>
        <w:t xml:space="preserve">, two aeration </w:t>
      </w:r>
      <w:r w:rsidR="000A375A" w:rsidRPr="006171FC">
        <w:rPr>
          <w:color w:val="auto"/>
          <w:szCs w:val="26"/>
        </w:rPr>
        <w:t>tanks</w:t>
      </w:r>
      <w:r w:rsidR="00036B70" w:rsidRPr="006171FC">
        <w:rPr>
          <w:color w:val="auto"/>
          <w:szCs w:val="26"/>
        </w:rPr>
        <w:t>, two clarifie</w:t>
      </w:r>
      <w:r w:rsidR="008B11B8" w:rsidRPr="006171FC">
        <w:rPr>
          <w:color w:val="auto"/>
          <w:szCs w:val="26"/>
        </w:rPr>
        <w:t>rs</w:t>
      </w:r>
      <w:r w:rsidR="00036B70" w:rsidRPr="006171FC">
        <w:rPr>
          <w:color w:val="auto"/>
          <w:szCs w:val="26"/>
        </w:rPr>
        <w:t>, one sludge holding basin, one tertiary filter basin, one clearwell b</w:t>
      </w:r>
      <w:r w:rsidR="0097329E" w:rsidRPr="006171FC">
        <w:rPr>
          <w:color w:val="auto"/>
          <w:szCs w:val="26"/>
        </w:rPr>
        <w:t>asin, one modular ultraviolet weir/post-aeration structure, land, easements and other appurtenances.</w:t>
      </w:r>
      <w:r w:rsidR="001830FE" w:rsidRPr="006171FC">
        <w:rPr>
          <w:color w:val="auto"/>
          <w:szCs w:val="26"/>
        </w:rPr>
        <w:t xml:space="preserve">  Accumulated sludge will be hauled offsite </w:t>
      </w:r>
      <w:r w:rsidR="008B11B8" w:rsidRPr="006171FC">
        <w:rPr>
          <w:color w:val="auto"/>
          <w:szCs w:val="26"/>
        </w:rPr>
        <w:t>by a local hauler to a permitted facility.</w:t>
      </w:r>
    </w:p>
    <w:p w14:paraId="5D94FE61" w14:textId="0797DA03" w:rsidR="00ED5C2C" w:rsidRPr="006171FC" w:rsidRDefault="004363B5" w:rsidP="000655B4">
      <w:pPr>
        <w:tabs>
          <w:tab w:val="left" w:pos="4320"/>
        </w:tabs>
        <w:spacing w:after="240" w:line="360" w:lineRule="auto"/>
        <w:ind w:firstLine="720"/>
        <w:rPr>
          <w:color w:val="auto"/>
          <w:szCs w:val="26"/>
        </w:rPr>
      </w:pPr>
      <w:r w:rsidRPr="006171FC">
        <w:rPr>
          <w:color w:val="auto"/>
          <w:szCs w:val="26"/>
        </w:rPr>
        <w:t>York-WW</w:t>
      </w:r>
      <w:r w:rsidR="00DB7E3F" w:rsidRPr="006171FC">
        <w:rPr>
          <w:color w:val="auto"/>
          <w:szCs w:val="26"/>
        </w:rPr>
        <w:t xml:space="preserve"> provided copies of Rock Creek’s National Pollutant Discharge Elimination System (NPDES) Permit No. PA0247715 and Water Quality Management (W</w:t>
      </w:r>
      <w:r w:rsidR="00D76A5F" w:rsidRPr="006171FC">
        <w:rPr>
          <w:color w:val="auto"/>
          <w:szCs w:val="26"/>
        </w:rPr>
        <w:t>Q</w:t>
      </w:r>
      <w:r w:rsidR="00DB7E3F" w:rsidRPr="006171FC">
        <w:rPr>
          <w:color w:val="auto"/>
          <w:szCs w:val="26"/>
        </w:rPr>
        <w:t xml:space="preserve">M) Permit No. 0117401 </w:t>
      </w:r>
      <w:r w:rsidR="0045631E" w:rsidRPr="006171FC">
        <w:rPr>
          <w:color w:val="auto"/>
          <w:szCs w:val="26"/>
        </w:rPr>
        <w:t>in</w:t>
      </w:r>
      <w:r w:rsidR="00DB7E3F" w:rsidRPr="006171FC">
        <w:rPr>
          <w:color w:val="auto"/>
          <w:szCs w:val="26"/>
        </w:rPr>
        <w:t xml:space="preserve"> supplemental information filed with the Commission.  </w:t>
      </w:r>
      <w:r w:rsidRPr="006171FC">
        <w:rPr>
          <w:color w:val="auto"/>
          <w:szCs w:val="26"/>
        </w:rPr>
        <w:t>York-WW</w:t>
      </w:r>
      <w:r w:rsidR="0097208C" w:rsidRPr="006171FC">
        <w:rPr>
          <w:color w:val="auto"/>
          <w:szCs w:val="26"/>
        </w:rPr>
        <w:t xml:space="preserve"> identified the permitted hydraulic capacity of the Amblebrook WWTP to be 270,000 GPD and the permitted </w:t>
      </w:r>
      <w:r w:rsidR="006A01DD" w:rsidRPr="006171FC">
        <w:rPr>
          <w:color w:val="auto"/>
          <w:szCs w:val="26"/>
        </w:rPr>
        <w:t xml:space="preserve">organic </w:t>
      </w:r>
      <w:r w:rsidR="005C5C21" w:rsidRPr="006171FC">
        <w:rPr>
          <w:color w:val="auto"/>
          <w:szCs w:val="26"/>
        </w:rPr>
        <w:t>c</w:t>
      </w:r>
      <w:r w:rsidR="00B234CD" w:rsidRPr="006171FC">
        <w:rPr>
          <w:color w:val="auto"/>
          <w:szCs w:val="26"/>
        </w:rPr>
        <w:t>apacity</w:t>
      </w:r>
      <w:r w:rsidR="005C5C21" w:rsidRPr="006171FC">
        <w:rPr>
          <w:color w:val="auto"/>
          <w:szCs w:val="26"/>
        </w:rPr>
        <w:t xml:space="preserve"> </w:t>
      </w:r>
      <w:r w:rsidR="006A01DD" w:rsidRPr="006171FC">
        <w:rPr>
          <w:color w:val="auto"/>
          <w:szCs w:val="26"/>
        </w:rPr>
        <w:t>to be 2</w:t>
      </w:r>
      <w:r w:rsidR="00797932" w:rsidRPr="006171FC">
        <w:rPr>
          <w:color w:val="auto"/>
          <w:szCs w:val="26"/>
        </w:rPr>
        <w:t>2.</w:t>
      </w:r>
      <w:r w:rsidR="00A82370" w:rsidRPr="006171FC">
        <w:rPr>
          <w:color w:val="auto"/>
          <w:szCs w:val="26"/>
        </w:rPr>
        <w:t>5</w:t>
      </w:r>
      <w:r w:rsidR="006A01DD" w:rsidRPr="006171FC">
        <w:rPr>
          <w:color w:val="auto"/>
          <w:szCs w:val="26"/>
        </w:rPr>
        <w:t xml:space="preserve"> </w:t>
      </w:r>
      <w:r w:rsidR="00485AFF" w:rsidRPr="006171FC">
        <w:rPr>
          <w:color w:val="auto"/>
          <w:szCs w:val="26"/>
        </w:rPr>
        <w:t>pounds per day (</w:t>
      </w:r>
      <w:r w:rsidR="00B00AD2" w:rsidRPr="006171FC">
        <w:rPr>
          <w:color w:val="auto"/>
          <w:szCs w:val="26"/>
        </w:rPr>
        <w:t>lbs.</w:t>
      </w:r>
      <w:r w:rsidR="006A01DD" w:rsidRPr="006171FC">
        <w:rPr>
          <w:color w:val="auto"/>
          <w:szCs w:val="26"/>
        </w:rPr>
        <w:t>/day</w:t>
      </w:r>
      <w:r w:rsidR="00485AFF" w:rsidRPr="006171FC">
        <w:rPr>
          <w:color w:val="auto"/>
          <w:szCs w:val="26"/>
        </w:rPr>
        <w:t>)</w:t>
      </w:r>
      <w:r w:rsidR="00C37B6B" w:rsidRPr="006171FC">
        <w:rPr>
          <w:color w:val="auto"/>
          <w:szCs w:val="26"/>
        </w:rPr>
        <w:t xml:space="preserve"> average discharge</w:t>
      </w:r>
      <w:r w:rsidR="006A01DD" w:rsidRPr="006171FC">
        <w:rPr>
          <w:color w:val="auto"/>
          <w:szCs w:val="26"/>
        </w:rPr>
        <w:t xml:space="preserve"> at a concentration limit of 10 </w:t>
      </w:r>
      <w:r w:rsidR="00485AFF" w:rsidRPr="006171FC">
        <w:rPr>
          <w:color w:val="auto"/>
          <w:szCs w:val="26"/>
        </w:rPr>
        <w:t>milligrams per liter (</w:t>
      </w:r>
      <w:r w:rsidR="006A01DD" w:rsidRPr="006171FC">
        <w:rPr>
          <w:color w:val="auto"/>
          <w:szCs w:val="26"/>
        </w:rPr>
        <w:t>mg/L</w:t>
      </w:r>
      <w:r w:rsidR="00485AFF" w:rsidRPr="006171FC">
        <w:rPr>
          <w:color w:val="auto"/>
          <w:szCs w:val="26"/>
        </w:rPr>
        <w:t>)</w:t>
      </w:r>
      <w:r w:rsidR="00C37B6B" w:rsidRPr="006171FC">
        <w:rPr>
          <w:color w:val="auto"/>
          <w:szCs w:val="26"/>
        </w:rPr>
        <w:t xml:space="preserve"> for </w:t>
      </w:r>
      <w:r w:rsidR="00900656" w:rsidRPr="006171FC">
        <w:rPr>
          <w:color w:val="auto"/>
          <w:szCs w:val="26"/>
        </w:rPr>
        <w:t>f</w:t>
      </w:r>
      <w:r w:rsidR="00847761" w:rsidRPr="006171FC">
        <w:rPr>
          <w:color w:val="auto"/>
          <w:szCs w:val="26"/>
        </w:rPr>
        <w:t>ive-day b</w:t>
      </w:r>
      <w:r w:rsidR="00C37B6B" w:rsidRPr="006171FC">
        <w:rPr>
          <w:color w:val="auto"/>
          <w:szCs w:val="26"/>
        </w:rPr>
        <w:t xml:space="preserve">iochemical </w:t>
      </w:r>
      <w:r w:rsidR="00847761" w:rsidRPr="006171FC">
        <w:rPr>
          <w:color w:val="auto"/>
          <w:szCs w:val="26"/>
        </w:rPr>
        <w:t>o</w:t>
      </w:r>
      <w:r w:rsidR="00C37B6B" w:rsidRPr="006171FC">
        <w:rPr>
          <w:color w:val="auto"/>
          <w:szCs w:val="26"/>
        </w:rPr>
        <w:t xml:space="preserve">xygen </w:t>
      </w:r>
      <w:r w:rsidR="00C6751E" w:rsidRPr="006171FC">
        <w:rPr>
          <w:color w:val="auto"/>
          <w:szCs w:val="26"/>
        </w:rPr>
        <w:t>d</w:t>
      </w:r>
      <w:r w:rsidR="00C37B6B" w:rsidRPr="006171FC">
        <w:rPr>
          <w:color w:val="auto"/>
          <w:szCs w:val="26"/>
        </w:rPr>
        <w:t>emand (BOD</w:t>
      </w:r>
      <w:r w:rsidR="00C37B6B" w:rsidRPr="006171FC">
        <w:rPr>
          <w:color w:val="auto"/>
          <w:szCs w:val="26"/>
          <w:vertAlign w:val="subscript"/>
        </w:rPr>
        <w:t>5</w:t>
      </w:r>
      <w:r w:rsidR="00C37B6B" w:rsidRPr="006171FC">
        <w:rPr>
          <w:color w:val="auto"/>
          <w:szCs w:val="26"/>
        </w:rPr>
        <w:t xml:space="preserve">).  The projected peak and average daily hydraulic and organic loading, based upon the completion of all five phases of Amblebrook, are 810,000 GPD </w:t>
      </w:r>
      <w:r w:rsidR="0045631E" w:rsidRPr="006171FC">
        <w:rPr>
          <w:color w:val="auto"/>
          <w:szCs w:val="26"/>
        </w:rPr>
        <w:t>with</w:t>
      </w:r>
      <w:r w:rsidR="00C37B6B" w:rsidRPr="006171FC">
        <w:rPr>
          <w:color w:val="auto"/>
          <w:szCs w:val="26"/>
        </w:rPr>
        <w:t xml:space="preserve"> 1,689 </w:t>
      </w:r>
      <w:r w:rsidR="00B00AD2" w:rsidRPr="006171FC">
        <w:rPr>
          <w:color w:val="auto"/>
          <w:szCs w:val="26"/>
        </w:rPr>
        <w:t>lbs.</w:t>
      </w:r>
      <w:r w:rsidR="00C37B6B" w:rsidRPr="006171FC">
        <w:rPr>
          <w:color w:val="auto"/>
          <w:szCs w:val="26"/>
        </w:rPr>
        <w:t>/day BOD</w:t>
      </w:r>
      <w:r w:rsidR="00C37B6B" w:rsidRPr="006171FC">
        <w:rPr>
          <w:color w:val="auto"/>
          <w:szCs w:val="26"/>
          <w:vertAlign w:val="subscript"/>
        </w:rPr>
        <w:t>5</w:t>
      </w:r>
      <w:r w:rsidR="00C37B6B" w:rsidRPr="006171FC">
        <w:rPr>
          <w:color w:val="auto"/>
          <w:szCs w:val="26"/>
        </w:rPr>
        <w:t xml:space="preserve"> and 270,000 GPD </w:t>
      </w:r>
      <w:r w:rsidR="0045631E" w:rsidRPr="006171FC">
        <w:rPr>
          <w:color w:val="auto"/>
          <w:szCs w:val="26"/>
        </w:rPr>
        <w:t>with</w:t>
      </w:r>
      <w:r w:rsidR="00C37B6B" w:rsidRPr="006171FC">
        <w:rPr>
          <w:color w:val="auto"/>
          <w:szCs w:val="26"/>
        </w:rPr>
        <w:t xml:space="preserve"> 565 </w:t>
      </w:r>
      <w:r w:rsidR="00B00AD2" w:rsidRPr="006171FC">
        <w:rPr>
          <w:color w:val="auto"/>
          <w:szCs w:val="26"/>
        </w:rPr>
        <w:t>lbs.</w:t>
      </w:r>
      <w:r w:rsidR="00C37B6B" w:rsidRPr="006171FC">
        <w:rPr>
          <w:color w:val="auto"/>
          <w:szCs w:val="26"/>
        </w:rPr>
        <w:t>/day BOD</w:t>
      </w:r>
      <w:r w:rsidR="00C37B6B" w:rsidRPr="006171FC">
        <w:rPr>
          <w:color w:val="auto"/>
          <w:szCs w:val="26"/>
          <w:vertAlign w:val="subscript"/>
        </w:rPr>
        <w:t>5</w:t>
      </w:r>
      <w:r w:rsidR="00C37B6B" w:rsidRPr="006171FC">
        <w:rPr>
          <w:color w:val="auto"/>
          <w:szCs w:val="26"/>
        </w:rPr>
        <w:t>, respectively</w:t>
      </w:r>
      <w:r w:rsidR="00C37B6B" w:rsidRPr="006171FC">
        <w:rPr>
          <w:color w:val="auto"/>
          <w:szCs w:val="26"/>
          <w:vertAlign w:val="subscript"/>
        </w:rPr>
        <w:t>.</w:t>
      </w:r>
      <w:r w:rsidR="00873166">
        <w:rPr>
          <w:color w:val="auto"/>
          <w:szCs w:val="26"/>
        </w:rPr>
        <w:t xml:space="preserve">  T</w:t>
      </w:r>
      <w:r w:rsidR="00873166" w:rsidRPr="00873166">
        <w:rPr>
          <w:color w:val="auto"/>
          <w:szCs w:val="26"/>
        </w:rPr>
        <w:t>he WWTP’s tanks provide storage and will buffer the projected peak flow</w:t>
      </w:r>
      <w:r w:rsidR="00694506">
        <w:rPr>
          <w:color w:val="auto"/>
          <w:szCs w:val="26"/>
        </w:rPr>
        <w:t xml:space="preserve"> and allow for adequate treatment. </w:t>
      </w:r>
      <w:r w:rsidR="00873166" w:rsidRPr="00873166">
        <w:rPr>
          <w:color w:val="auto"/>
          <w:szCs w:val="26"/>
        </w:rPr>
        <w:t xml:space="preserve"> </w:t>
      </w:r>
      <w:r w:rsidR="00C37B6B" w:rsidRPr="006171FC">
        <w:rPr>
          <w:color w:val="auto"/>
          <w:szCs w:val="26"/>
        </w:rPr>
        <w:t xml:space="preserve">Accordingly, </w:t>
      </w:r>
      <w:r w:rsidRPr="006171FC">
        <w:rPr>
          <w:color w:val="auto"/>
          <w:szCs w:val="26"/>
        </w:rPr>
        <w:t>York-WW</w:t>
      </w:r>
      <w:r w:rsidR="007E437D" w:rsidRPr="006171FC">
        <w:rPr>
          <w:color w:val="auto"/>
          <w:szCs w:val="26"/>
        </w:rPr>
        <w:t xml:space="preserve"> averred in the Application that there will be adequate wastewater treatment capacity for Amblebrook.</w:t>
      </w:r>
    </w:p>
    <w:p w14:paraId="00E66E2E" w14:textId="52CE43C6" w:rsidR="00B126A2" w:rsidRPr="006171FC" w:rsidRDefault="00B126A2" w:rsidP="000655B4">
      <w:pPr>
        <w:tabs>
          <w:tab w:val="left" w:pos="4320"/>
        </w:tabs>
        <w:spacing w:after="240" w:line="360" w:lineRule="auto"/>
        <w:ind w:firstLine="720"/>
        <w:rPr>
          <w:color w:val="auto"/>
          <w:szCs w:val="26"/>
        </w:rPr>
      </w:pPr>
      <w:r w:rsidRPr="006171FC">
        <w:rPr>
          <w:color w:val="auto"/>
          <w:szCs w:val="26"/>
        </w:rPr>
        <w:t>In supplemental information filed with the Commission, York-WW a</w:t>
      </w:r>
      <w:r w:rsidR="000C706D" w:rsidRPr="006171FC">
        <w:rPr>
          <w:color w:val="auto"/>
          <w:szCs w:val="26"/>
        </w:rPr>
        <w:t>verred Rock Creek has completed</w:t>
      </w:r>
      <w:r w:rsidRPr="006171FC">
        <w:rPr>
          <w:color w:val="auto"/>
          <w:szCs w:val="26"/>
        </w:rPr>
        <w:t xml:space="preserve"> approximately 18,02</w:t>
      </w:r>
      <w:r w:rsidR="00866561" w:rsidRPr="006171FC">
        <w:rPr>
          <w:color w:val="auto"/>
          <w:szCs w:val="26"/>
        </w:rPr>
        <w:t>2 linear feet of wastewater collection</w:t>
      </w:r>
      <w:r w:rsidR="0000561D" w:rsidRPr="006171FC">
        <w:rPr>
          <w:color w:val="auto"/>
          <w:szCs w:val="26"/>
        </w:rPr>
        <w:t xml:space="preserve"> mains</w:t>
      </w:r>
      <w:r w:rsidR="00866561" w:rsidRPr="006171FC">
        <w:rPr>
          <w:color w:val="auto"/>
          <w:szCs w:val="26"/>
        </w:rPr>
        <w:t xml:space="preserve"> and appurtenances as well as structural components of the WWTP</w:t>
      </w:r>
      <w:r w:rsidRPr="006171FC">
        <w:rPr>
          <w:color w:val="auto"/>
          <w:szCs w:val="26"/>
        </w:rPr>
        <w:t xml:space="preserve">.  The Commission notes </w:t>
      </w:r>
      <w:r w:rsidR="00896533">
        <w:rPr>
          <w:color w:val="auto"/>
          <w:szCs w:val="26"/>
        </w:rPr>
        <w:t xml:space="preserve">that </w:t>
      </w:r>
      <w:r w:rsidRPr="006171FC">
        <w:rPr>
          <w:color w:val="auto"/>
          <w:szCs w:val="26"/>
        </w:rPr>
        <w:t xml:space="preserve">additional assets have been completed </w:t>
      </w:r>
      <w:r w:rsidR="00896533" w:rsidRPr="00896533">
        <w:rPr>
          <w:color w:val="auto"/>
          <w:szCs w:val="26"/>
        </w:rPr>
        <w:t xml:space="preserve">for Rock Creek to provide wastewater service to the already constructed homes and facilities within Amblebrook </w:t>
      </w:r>
      <w:r w:rsidR="00D46795">
        <w:rPr>
          <w:color w:val="auto"/>
          <w:szCs w:val="26"/>
        </w:rPr>
        <w:t>in the time since the</w:t>
      </w:r>
      <w:r w:rsidRPr="006171FC">
        <w:rPr>
          <w:color w:val="auto"/>
          <w:szCs w:val="26"/>
        </w:rPr>
        <w:t xml:space="preserve"> filing of th</w:t>
      </w:r>
      <w:r w:rsidR="00896533">
        <w:rPr>
          <w:color w:val="auto"/>
          <w:szCs w:val="26"/>
        </w:rPr>
        <w:t>is</w:t>
      </w:r>
      <w:r w:rsidRPr="006171FC">
        <w:rPr>
          <w:color w:val="auto"/>
          <w:szCs w:val="26"/>
        </w:rPr>
        <w:t xml:space="preserve"> supplemental information.</w:t>
      </w:r>
    </w:p>
    <w:p w14:paraId="55E7CF97" w14:textId="4B425B69" w:rsidR="245550D2" w:rsidRPr="006171FC" w:rsidRDefault="245550D2" w:rsidP="37B0A168">
      <w:pPr>
        <w:pStyle w:val="ListParagraph"/>
        <w:numPr>
          <w:ilvl w:val="0"/>
          <w:numId w:val="5"/>
        </w:numPr>
        <w:spacing w:before="240" w:after="240" w:line="360" w:lineRule="auto"/>
        <w:rPr>
          <w:b/>
          <w:bCs/>
          <w:color w:val="auto"/>
          <w:szCs w:val="26"/>
        </w:rPr>
      </w:pPr>
      <w:r w:rsidRPr="006171FC">
        <w:rPr>
          <w:b/>
          <w:bCs/>
          <w:color w:val="auto"/>
          <w:szCs w:val="26"/>
        </w:rPr>
        <w:t>DEVELOPER AGREEMENT</w:t>
      </w:r>
    </w:p>
    <w:p w14:paraId="67D6DBB8" w14:textId="70C60DC1" w:rsidR="5849FA18" w:rsidRPr="006171FC" w:rsidRDefault="3BD37CCC" w:rsidP="5849FA18">
      <w:pPr>
        <w:spacing w:before="240" w:after="240" w:line="360" w:lineRule="auto"/>
        <w:ind w:firstLine="720"/>
        <w:rPr>
          <w:color w:val="auto"/>
          <w:szCs w:val="26"/>
        </w:rPr>
      </w:pPr>
      <w:r w:rsidRPr="006171FC">
        <w:rPr>
          <w:color w:val="auto"/>
          <w:szCs w:val="26"/>
        </w:rPr>
        <w:t xml:space="preserve">On March 7, 2019, York-WW and Rock Creek entered into the Developer Agreement </w:t>
      </w:r>
      <w:r w:rsidR="20050746" w:rsidRPr="006171FC">
        <w:rPr>
          <w:color w:val="auto"/>
          <w:szCs w:val="26"/>
        </w:rPr>
        <w:t xml:space="preserve">by which York-WW would construct necessary Amblebrook wastewater </w:t>
      </w:r>
      <w:r w:rsidR="20050746" w:rsidRPr="006171FC">
        <w:rPr>
          <w:color w:val="auto"/>
          <w:szCs w:val="26"/>
        </w:rPr>
        <w:lastRenderedPageBreak/>
        <w:t>facilities and subsequently extend such facilities within the requested territory.  The Developer Agreement was included in the Application as Exhibit H.  York-WW noted in supplemental information filed with the Commission that the Developer Agreement i</w:t>
      </w:r>
      <w:r w:rsidR="3E337288" w:rsidRPr="006171FC">
        <w:rPr>
          <w:color w:val="auto"/>
          <w:szCs w:val="26"/>
        </w:rPr>
        <w:t xml:space="preserve">s not a traditional main extension agreement. </w:t>
      </w:r>
      <w:r w:rsidR="5ACF1127" w:rsidRPr="006171FC">
        <w:rPr>
          <w:color w:val="auto"/>
          <w:szCs w:val="26"/>
        </w:rPr>
        <w:t xml:space="preserve"> Under Section </w:t>
      </w:r>
      <w:r w:rsidR="53F5A739" w:rsidRPr="006171FC">
        <w:rPr>
          <w:color w:val="auto"/>
          <w:szCs w:val="26"/>
        </w:rPr>
        <w:t>G.2(b)</w:t>
      </w:r>
      <w:r w:rsidR="5ACF1127" w:rsidRPr="006171FC">
        <w:rPr>
          <w:color w:val="auto"/>
          <w:szCs w:val="26"/>
        </w:rPr>
        <w:t xml:space="preserve"> of York-WW</w:t>
      </w:r>
      <w:r w:rsidR="00AD726C" w:rsidRPr="006171FC">
        <w:rPr>
          <w:color w:val="auto"/>
          <w:szCs w:val="26"/>
        </w:rPr>
        <w:t>’</w:t>
      </w:r>
      <w:r w:rsidR="5ACF1127" w:rsidRPr="006171FC">
        <w:rPr>
          <w:color w:val="auto"/>
          <w:szCs w:val="26"/>
        </w:rPr>
        <w:t>s</w:t>
      </w:r>
      <w:r w:rsidR="373DBA17" w:rsidRPr="006171FC">
        <w:rPr>
          <w:color w:val="auto"/>
          <w:szCs w:val="26"/>
        </w:rPr>
        <w:t xml:space="preserve"> </w:t>
      </w:r>
      <w:r w:rsidR="27666161" w:rsidRPr="006171FC">
        <w:rPr>
          <w:color w:val="auto"/>
          <w:szCs w:val="26"/>
        </w:rPr>
        <w:t>currently effective</w:t>
      </w:r>
      <w:r w:rsidR="5ACF1127" w:rsidRPr="006171FC">
        <w:rPr>
          <w:color w:val="auto"/>
          <w:szCs w:val="26"/>
        </w:rPr>
        <w:t xml:space="preserve"> wastewater tariff, </w:t>
      </w:r>
      <w:r w:rsidR="7C9772DE" w:rsidRPr="006171FC">
        <w:rPr>
          <w:color w:val="auto"/>
          <w:szCs w:val="26"/>
        </w:rPr>
        <w:t>Wastewater – PA P.U.C. No. 1</w:t>
      </w:r>
      <w:r w:rsidR="373DBA17" w:rsidRPr="006171FC">
        <w:rPr>
          <w:color w:val="auto"/>
          <w:szCs w:val="26"/>
        </w:rPr>
        <w:t>,</w:t>
      </w:r>
      <w:r w:rsidR="5ACF1127" w:rsidRPr="006171FC">
        <w:rPr>
          <w:color w:val="auto"/>
          <w:szCs w:val="26"/>
        </w:rPr>
        <w:t xml:space="preserve"> York-WW, in its discretion, and with agreement of the applica</w:t>
      </w:r>
      <w:r w:rsidR="3866477B" w:rsidRPr="006171FC">
        <w:rPr>
          <w:color w:val="auto"/>
          <w:szCs w:val="26"/>
        </w:rPr>
        <w:t>nt</w:t>
      </w:r>
      <w:r w:rsidR="5ACF1127" w:rsidRPr="006171FC">
        <w:rPr>
          <w:color w:val="auto"/>
          <w:szCs w:val="26"/>
        </w:rPr>
        <w:t xml:space="preserve">, may enter into a main extension agreement with alternative terms and conditions for funding of extensions if York-WW concludes that the </w:t>
      </w:r>
      <w:r w:rsidR="58E9B042" w:rsidRPr="006171FC">
        <w:rPr>
          <w:color w:val="auto"/>
          <w:szCs w:val="26"/>
        </w:rPr>
        <w:t xml:space="preserve">extension will provide a reasonable return or otherwise is in the long term </w:t>
      </w:r>
      <w:r w:rsidR="2FD6008E" w:rsidRPr="006171FC">
        <w:rPr>
          <w:color w:val="auto"/>
          <w:szCs w:val="26"/>
        </w:rPr>
        <w:t>inter</w:t>
      </w:r>
      <w:r w:rsidR="2AB2FFE2" w:rsidRPr="006171FC">
        <w:rPr>
          <w:color w:val="auto"/>
          <w:szCs w:val="26"/>
        </w:rPr>
        <w:t>e</w:t>
      </w:r>
      <w:r w:rsidR="2FD6008E" w:rsidRPr="006171FC">
        <w:rPr>
          <w:color w:val="auto"/>
          <w:szCs w:val="26"/>
        </w:rPr>
        <w:t>st</w:t>
      </w:r>
      <w:r w:rsidR="58E9B042" w:rsidRPr="006171FC">
        <w:rPr>
          <w:color w:val="auto"/>
          <w:szCs w:val="26"/>
        </w:rPr>
        <w:t xml:space="preserve"> of its customers.</w:t>
      </w:r>
    </w:p>
    <w:p w14:paraId="56B30229" w14:textId="49CFEB84" w:rsidR="698D7ADE" w:rsidRPr="006171FC" w:rsidRDefault="698D7ADE" w:rsidP="19800F8D">
      <w:pPr>
        <w:spacing w:before="240" w:after="240" w:line="360" w:lineRule="auto"/>
        <w:ind w:firstLine="720"/>
        <w:rPr>
          <w:color w:val="auto"/>
          <w:szCs w:val="26"/>
        </w:rPr>
      </w:pPr>
      <w:r w:rsidRPr="006171FC">
        <w:rPr>
          <w:color w:val="auto"/>
          <w:szCs w:val="26"/>
        </w:rPr>
        <w:t>The Developer Agreement obligates York-WW to design, construct and operate certain wastewater facilities to serve Amblebrook.  Rock Creek reserves the right to change the commen</w:t>
      </w:r>
      <w:r w:rsidR="3A8DC431" w:rsidRPr="006171FC">
        <w:rPr>
          <w:color w:val="auto"/>
          <w:szCs w:val="26"/>
        </w:rPr>
        <w:t>cement dates for Phases 2 through 5.  Rock Creek and York-WW must execute a separate Water and Sewer Agreement (Phase Agreement) for each phase and Rock Creek must provide York-WW with a separate irrevocable letter of credit (ILOC) for each phase.</w:t>
      </w:r>
    </w:p>
    <w:p w14:paraId="3B3C46A0" w14:textId="7EE1C71F" w:rsidR="006D6BCC" w:rsidRPr="0000438F" w:rsidRDefault="598F7C97" w:rsidP="002F07AA">
      <w:pPr>
        <w:spacing w:before="240" w:after="240" w:line="360" w:lineRule="auto"/>
        <w:ind w:firstLine="720"/>
        <w:rPr>
          <w:b/>
          <w:bCs/>
          <w:color w:val="auto"/>
          <w:szCs w:val="26"/>
        </w:rPr>
      </w:pPr>
      <w:r w:rsidRPr="006171FC">
        <w:rPr>
          <w:color w:val="auto"/>
          <w:szCs w:val="26"/>
        </w:rPr>
        <w:t xml:space="preserve">Each </w:t>
      </w:r>
      <w:r w:rsidR="00D77787" w:rsidRPr="006171FC">
        <w:rPr>
          <w:color w:val="auto"/>
          <w:szCs w:val="26"/>
        </w:rPr>
        <w:t xml:space="preserve">water and </w:t>
      </w:r>
      <w:r w:rsidRPr="006171FC">
        <w:rPr>
          <w:color w:val="auto"/>
          <w:szCs w:val="26"/>
        </w:rPr>
        <w:t xml:space="preserve">wastewater customer connection </w:t>
      </w:r>
      <w:r w:rsidR="009007FF" w:rsidRPr="006171FC">
        <w:rPr>
          <w:color w:val="auto"/>
          <w:szCs w:val="26"/>
        </w:rPr>
        <w:t xml:space="preserve">in a </w:t>
      </w:r>
      <w:r w:rsidRPr="006171FC">
        <w:rPr>
          <w:color w:val="auto"/>
          <w:szCs w:val="26"/>
        </w:rPr>
        <w:t>phase</w:t>
      </w:r>
      <w:r w:rsidR="009007FF" w:rsidRPr="006171FC">
        <w:rPr>
          <w:color w:val="auto"/>
          <w:szCs w:val="26"/>
        </w:rPr>
        <w:t xml:space="preserve"> </w:t>
      </w:r>
      <w:r w:rsidRPr="006171FC">
        <w:rPr>
          <w:color w:val="auto"/>
          <w:szCs w:val="26"/>
        </w:rPr>
        <w:t>will reduce the amount of the ILOC for that phase.  Reductions occur every six months following completion of construction.  If any residual amount remains in the ILOC by the end of the six years from the commencement of construction for Phase 1, o</w:t>
      </w:r>
      <w:r w:rsidR="1413DDD6" w:rsidRPr="006171FC">
        <w:rPr>
          <w:color w:val="auto"/>
          <w:szCs w:val="26"/>
        </w:rPr>
        <w:t>r four years from the commencement of construction for Phases 2 to 5, York-WW may draw on the ILOC up to the amount remaining on the ILOC for the phase.  If additional customers are connected after York-WW draws the remaining balance of the ILOC for any phase, York-WW shall refund Rock Creek a credit ref</w:t>
      </w:r>
      <w:r w:rsidR="1782863C" w:rsidRPr="006171FC">
        <w:rPr>
          <w:color w:val="auto"/>
          <w:szCs w:val="26"/>
        </w:rPr>
        <w:t>u</w:t>
      </w:r>
      <w:r w:rsidR="1413DDD6" w:rsidRPr="006171FC">
        <w:rPr>
          <w:color w:val="auto"/>
          <w:szCs w:val="26"/>
        </w:rPr>
        <w:t>nd for each additional customer connection up to the total</w:t>
      </w:r>
      <w:r w:rsidR="07BDD77C" w:rsidRPr="006171FC">
        <w:rPr>
          <w:color w:val="auto"/>
          <w:szCs w:val="26"/>
        </w:rPr>
        <w:t xml:space="preserve"> amount of money drawn </w:t>
      </w:r>
      <w:r w:rsidR="53BCE224" w:rsidRPr="006171FC">
        <w:rPr>
          <w:color w:val="auto"/>
          <w:szCs w:val="26"/>
        </w:rPr>
        <w:t>by York-WW.  York-WW</w:t>
      </w:r>
      <w:r w:rsidR="00AD726C" w:rsidRPr="006171FC">
        <w:rPr>
          <w:color w:val="auto"/>
          <w:szCs w:val="26"/>
        </w:rPr>
        <w:t>’</w:t>
      </w:r>
      <w:r w:rsidR="53BCE224" w:rsidRPr="006171FC">
        <w:rPr>
          <w:color w:val="auto"/>
          <w:szCs w:val="26"/>
        </w:rPr>
        <w:t>s repayment obligation for refunds shall survive any termination of the Developer Agreement.  The respective ILOC reduction</w:t>
      </w:r>
      <w:r w:rsidR="00D31320" w:rsidRPr="006171FC">
        <w:rPr>
          <w:color w:val="auto"/>
          <w:szCs w:val="26"/>
        </w:rPr>
        <w:t>s</w:t>
      </w:r>
      <w:r w:rsidR="53BCE224" w:rsidRPr="006171FC">
        <w:rPr>
          <w:color w:val="auto"/>
          <w:szCs w:val="26"/>
        </w:rPr>
        <w:t xml:space="preserve"> and credit amount</w:t>
      </w:r>
      <w:r w:rsidR="00D31320" w:rsidRPr="006171FC">
        <w:rPr>
          <w:color w:val="auto"/>
          <w:szCs w:val="26"/>
        </w:rPr>
        <w:t>s</w:t>
      </w:r>
      <w:r w:rsidR="53BCE224" w:rsidRPr="006171FC">
        <w:rPr>
          <w:color w:val="auto"/>
          <w:szCs w:val="26"/>
        </w:rPr>
        <w:t xml:space="preserve"> for each phase </w:t>
      </w:r>
      <w:r w:rsidR="00EA2B17" w:rsidRPr="006171FC">
        <w:rPr>
          <w:color w:val="auto"/>
          <w:szCs w:val="26"/>
        </w:rPr>
        <w:t xml:space="preserve">are detailed in Attachment D of the Developer Agreement and are </w:t>
      </w:r>
      <w:r w:rsidR="53BCE224" w:rsidRPr="006171FC">
        <w:rPr>
          <w:color w:val="auto"/>
          <w:szCs w:val="26"/>
        </w:rPr>
        <w:t>summarized in Table 3</w:t>
      </w:r>
      <w:r w:rsidR="00F521CC">
        <w:rPr>
          <w:color w:val="auto"/>
          <w:szCs w:val="26"/>
        </w:rPr>
        <w:t>, below</w:t>
      </w:r>
      <w:r w:rsidR="53BCE224" w:rsidRPr="006171FC">
        <w:rPr>
          <w:color w:val="auto"/>
          <w:szCs w:val="26"/>
        </w:rPr>
        <w:t>.</w:t>
      </w:r>
      <w:r w:rsidR="006D6BCC" w:rsidRPr="006171FC">
        <w:rPr>
          <w:color w:val="auto"/>
          <w:szCs w:val="26"/>
        </w:rPr>
        <w:br w:type="page"/>
      </w:r>
    </w:p>
    <w:p w14:paraId="37CA879C" w14:textId="126E3621" w:rsidR="428092D4" w:rsidRPr="0000438F" w:rsidRDefault="428092D4" w:rsidP="0389777F">
      <w:pPr>
        <w:spacing w:line="360" w:lineRule="auto"/>
        <w:jc w:val="center"/>
        <w:rPr>
          <w:b/>
          <w:bCs/>
          <w:color w:val="auto"/>
          <w:szCs w:val="26"/>
        </w:rPr>
      </w:pPr>
      <w:r w:rsidRPr="0000438F">
        <w:rPr>
          <w:b/>
          <w:bCs/>
          <w:color w:val="auto"/>
          <w:szCs w:val="26"/>
        </w:rPr>
        <w:lastRenderedPageBreak/>
        <w:t xml:space="preserve">Table 3: </w:t>
      </w:r>
      <w:r w:rsidR="006D6BCC" w:rsidRPr="0000438F">
        <w:rPr>
          <w:b/>
          <w:bCs/>
          <w:color w:val="auto"/>
          <w:szCs w:val="26"/>
        </w:rPr>
        <w:t xml:space="preserve"> </w:t>
      </w:r>
      <w:r w:rsidRPr="0000438F">
        <w:rPr>
          <w:b/>
          <w:bCs/>
          <w:color w:val="auto"/>
          <w:szCs w:val="26"/>
        </w:rPr>
        <w:t>ILOC Reduction</w:t>
      </w:r>
      <w:r w:rsidR="00955D1E" w:rsidRPr="0000438F">
        <w:rPr>
          <w:b/>
          <w:bCs/>
          <w:color w:val="auto"/>
          <w:szCs w:val="26"/>
        </w:rPr>
        <w:t>s</w:t>
      </w:r>
      <w:r w:rsidRPr="0000438F">
        <w:rPr>
          <w:b/>
          <w:bCs/>
          <w:color w:val="auto"/>
          <w:szCs w:val="26"/>
        </w:rPr>
        <w:t xml:space="preserve"> and Credit Refunds</w:t>
      </w:r>
    </w:p>
    <w:tbl>
      <w:tblPr>
        <w:tblW w:w="4902" w:type="pct"/>
        <w:tblInd w:w="108" w:type="dxa"/>
        <w:tblLook w:val="05E0" w:firstRow="1" w:lastRow="1" w:firstColumn="1" w:lastColumn="1" w:noHBand="0" w:noVBand="1"/>
      </w:tblPr>
      <w:tblGrid>
        <w:gridCol w:w="897"/>
        <w:gridCol w:w="4083"/>
        <w:gridCol w:w="4187"/>
      </w:tblGrid>
      <w:tr w:rsidR="00E12B0D" w:rsidRPr="006171FC" w14:paraId="2A058B39" w14:textId="77777777" w:rsidTr="00EA2B17">
        <w:trPr>
          <w:trHeight w:val="315"/>
        </w:trPr>
        <w:tc>
          <w:tcPr>
            <w:tcW w:w="4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F0897" w14:textId="77777777" w:rsidR="0389777F" w:rsidRPr="006171FC" w:rsidRDefault="0389777F" w:rsidP="0389777F">
            <w:pPr>
              <w:jc w:val="center"/>
              <w:rPr>
                <w:color w:val="auto"/>
                <w:szCs w:val="26"/>
              </w:rPr>
            </w:pPr>
            <w:r w:rsidRPr="006171FC">
              <w:rPr>
                <w:color w:val="auto"/>
                <w:szCs w:val="26"/>
              </w:rPr>
              <w:t>Phase</w:t>
            </w:r>
          </w:p>
        </w:tc>
        <w:tc>
          <w:tcPr>
            <w:tcW w:w="222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4B48971" w14:textId="3A6F89C0" w:rsidR="0389777F" w:rsidRPr="006171FC" w:rsidRDefault="0389777F" w:rsidP="0389777F">
            <w:pPr>
              <w:jc w:val="center"/>
              <w:rPr>
                <w:color w:val="auto"/>
                <w:szCs w:val="26"/>
              </w:rPr>
            </w:pPr>
            <w:r w:rsidRPr="006171FC">
              <w:rPr>
                <w:color w:val="auto"/>
                <w:szCs w:val="26"/>
              </w:rPr>
              <w:t>ILOC Reduction</w:t>
            </w:r>
            <w:r w:rsidR="008D4AAB" w:rsidRPr="006171FC">
              <w:rPr>
                <w:color w:val="auto"/>
                <w:szCs w:val="26"/>
              </w:rPr>
              <w:t>s</w:t>
            </w:r>
          </w:p>
        </w:tc>
        <w:tc>
          <w:tcPr>
            <w:tcW w:w="2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0AB82D" w14:textId="64046244" w:rsidR="0389777F" w:rsidRPr="006171FC" w:rsidRDefault="0389777F" w:rsidP="0389777F">
            <w:pPr>
              <w:jc w:val="center"/>
              <w:rPr>
                <w:color w:val="auto"/>
                <w:szCs w:val="26"/>
              </w:rPr>
            </w:pPr>
            <w:r w:rsidRPr="006171FC">
              <w:rPr>
                <w:color w:val="auto"/>
                <w:szCs w:val="26"/>
              </w:rPr>
              <w:t>Credit Refund</w:t>
            </w:r>
            <w:r w:rsidR="008D4AAB" w:rsidRPr="006171FC">
              <w:rPr>
                <w:color w:val="auto"/>
                <w:szCs w:val="26"/>
              </w:rPr>
              <w:t>s</w:t>
            </w:r>
          </w:p>
        </w:tc>
      </w:tr>
      <w:tr w:rsidR="00E12B0D" w:rsidRPr="006171FC" w14:paraId="335B1EAF" w14:textId="77777777" w:rsidTr="00EA2B17">
        <w:trPr>
          <w:trHeight w:val="144"/>
        </w:trPr>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7EC83723" w14:textId="77777777" w:rsidR="0389777F" w:rsidRPr="006171FC" w:rsidRDefault="0389777F" w:rsidP="0389777F">
            <w:pPr>
              <w:jc w:val="center"/>
              <w:rPr>
                <w:color w:val="auto"/>
                <w:szCs w:val="26"/>
              </w:rPr>
            </w:pPr>
            <w:r w:rsidRPr="006171FC">
              <w:rPr>
                <w:color w:val="auto"/>
                <w:szCs w:val="26"/>
              </w:rPr>
              <w:t>1</w:t>
            </w:r>
          </w:p>
        </w:tc>
        <w:tc>
          <w:tcPr>
            <w:tcW w:w="2227" w:type="pct"/>
            <w:tcBorders>
              <w:top w:val="single" w:sz="4" w:space="0" w:color="auto"/>
              <w:left w:val="nil"/>
              <w:bottom w:val="single" w:sz="4" w:space="0" w:color="auto"/>
              <w:right w:val="single" w:sz="4" w:space="0" w:color="auto"/>
            </w:tcBorders>
          </w:tcPr>
          <w:p w14:paraId="1EF53706" w14:textId="4BE63293" w:rsidR="0389777F" w:rsidRPr="006171FC" w:rsidRDefault="39E18AB7" w:rsidP="00EA2B17">
            <w:pPr>
              <w:pStyle w:val="ListParagraph"/>
              <w:numPr>
                <w:ilvl w:val="0"/>
                <w:numId w:val="16"/>
              </w:numPr>
              <w:ind w:left="389"/>
              <w:rPr>
                <w:color w:val="auto"/>
                <w:szCs w:val="26"/>
              </w:rPr>
            </w:pPr>
            <w:r w:rsidRPr="006171FC">
              <w:rPr>
                <w:color w:val="auto"/>
                <w:szCs w:val="26"/>
              </w:rPr>
              <w:t xml:space="preserve">Starts at $8,000 per customer connection and progressively increases </w:t>
            </w:r>
            <w:r w:rsidR="00EA2B17" w:rsidRPr="006171FC">
              <w:rPr>
                <w:color w:val="auto"/>
                <w:szCs w:val="26"/>
              </w:rPr>
              <w:t xml:space="preserve">at predefined amounts </w:t>
            </w:r>
            <w:r w:rsidRPr="006171FC">
              <w:rPr>
                <w:color w:val="auto"/>
                <w:szCs w:val="26"/>
              </w:rPr>
              <w:t>up to $24,843</w:t>
            </w:r>
            <w:r w:rsidR="0389777F" w:rsidRPr="006171FC">
              <w:rPr>
                <w:color w:val="auto"/>
                <w:szCs w:val="26"/>
              </w:rPr>
              <w:t xml:space="preserve"> per customer connection</w:t>
            </w:r>
            <w:r w:rsidRPr="006171FC">
              <w:rPr>
                <w:color w:val="auto"/>
                <w:szCs w:val="26"/>
              </w:rPr>
              <w:t xml:space="preserve"> after each increment</w:t>
            </w:r>
            <w:r w:rsidR="0389777F" w:rsidRPr="006171FC">
              <w:rPr>
                <w:color w:val="auto"/>
                <w:szCs w:val="26"/>
              </w:rPr>
              <w:t xml:space="preserve"> of 50 connections.</w:t>
            </w:r>
          </w:p>
        </w:tc>
        <w:tc>
          <w:tcPr>
            <w:tcW w:w="2284" w:type="pct"/>
            <w:tcBorders>
              <w:top w:val="single" w:sz="4" w:space="0" w:color="auto"/>
              <w:left w:val="single" w:sz="4" w:space="0" w:color="auto"/>
              <w:bottom w:val="single" w:sz="4" w:space="0" w:color="auto"/>
              <w:right w:val="single" w:sz="4" w:space="0" w:color="auto"/>
            </w:tcBorders>
            <w:shd w:val="clear" w:color="auto" w:fill="auto"/>
          </w:tcPr>
          <w:p w14:paraId="5A855EC3" w14:textId="592F0A45" w:rsidR="0389777F" w:rsidRPr="006171FC" w:rsidRDefault="5B30360F" w:rsidP="00EA2B17">
            <w:pPr>
              <w:pStyle w:val="ListParagraph"/>
              <w:numPr>
                <w:ilvl w:val="0"/>
                <w:numId w:val="16"/>
              </w:numPr>
              <w:ind w:left="389"/>
              <w:rPr>
                <w:color w:val="auto"/>
                <w:szCs w:val="26"/>
              </w:rPr>
            </w:pPr>
            <w:r w:rsidRPr="006171FC">
              <w:rPr>
                <w:color w:val="auto"/>
                <w:szCs w:val="26"/>
              </w:rPr>
              <w:t xml:space="preserve">Starts at $6,000 per customer connection and progressively increases </w:t>
            </w:r>
            <w:r w:rsidR="00EA2B17" w:rsidRPr="006171FC">
              <w:rPr>
                <w:color w:val="auto"/>
                <w:szCs w:val="26"/>
              </w:rPr>
              <w:t xml:space="preserve">at predefined amounts </w:t>
            </w:r>
            <w:r w:rsidRPr="006171FC">
              <w:rPr>
                <w:color w:val="auto"/>
                <w:szCs w:val="26"/>
              </w:rPr>
              <w:t>up to $22,843 per customer connection after each increment</w:t>
            </w:r>
            <w:r w:rsidR="0389777F" w:rsidRPr="006171FC">
              <w:rPr>
                <w:color w:val="auto"/>
                <w:szCs w:val="26"/>
              </w:rPr>
              <w:t xml:space="preserve"> of 50 connections.</w:t>
            </w:r>
          </w:p>
        </w:tc>
      </w:tr>
      <w:tr w:rsidR="00E12B0D" w:rsidRPr="006171FC" w14:paraId="2EC9D46C" w14:textId="77777777" w:rsidTr="00EA2B17">
        <w:trPr>
          <w:trHeight w:val="144"/>
        </w:trPr>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220BDDF5" w14:textId="7E258CAE" w:rsidR="0389777F" w:rsidRPr="006171FC" w:rsidRDefault="0389777F" w:rsidP="0389777F">
            <w:pPr>
              <w:jc w:val="center"/>
              <w:rPr>
                <w:color w:val="auto"/>
                <w:szCs w:val="26"/>
              </w:rPr>
            </w:pPr>
            <w:r w:rsidRPr="006171FC">
              <w:rPr>
                <w:color w:val="auto"/>
                <w:szCs w:val="26"/>
              </w:rPr>
              <w:t>2</w:t>
            </w:r>
          </w:p>
        </w:tc>
        <w:tc>
          <w:tcPr>
            <w:tcW w:w="2227" w:type="pct"/>
            <w:tcBorders>
              <w:top w:val="single" w:sz="4" w:space="0" w:color="auto"/>
              <w:left w:val="nil"/>
              <w:bottom w:val="single" w:sz="4" w:space="0" w:color="auto"/>
              <w:right w:val="single" w:sz="4" w:space="0" w:color="auto"/>
            </w:tcBorders>
          </w:tcPr>
          <w:p w14:paraId="6AF7B0E5" w14:textId="7CA9D3E0" w:rsidR="0389777F" w:rsidRPr="006171FC" w:rsidRDefault="4E05B7D1" w:rsidP="00EA2B17">
            <w:pPr>
              <w:pStyle w:val="ListParagraph"/>
              <w:numPr>
                <w:ilvl w:val="0"/>
                <w:numId w:val="16"/>
              </w:numPr>
              <w:ind w:left="389"/>
              <w:rPr>
                <w:color w:val="auto"/>
                <w:szCs w:val="26"/>
              </w:rPr>
            </w:pPr>
            <w:r w:rsidRPr="006171FC">
              <w:rPr>
                <w:color w:val="auto"/>
                <w:szCs w:val="26"/>
              </w:rPr>
              <w:t>Starts at $8,000 per customer connection and progressively increases</w:t>
            </w:r>
            <w:r w:rsidR="0389777F" w:rsidRPr="006171FC">
              <w:rPr>
                <w:color w:val="auto"/>
                <w:szCs w:val="26"/>
              </w:rPr>
              <w:t xml:space="preserve"> </w:t>
            </w:r>
            <w:r w:rsidR="00EA2B17" w:rsidRPr="006171FC">
              <w:rPr>
                <w:color w:val="auto"/>
                <w:szCs w:val="26"/>
              </w:rPr>
              <w:t xml:space="preserve">at predefined amounts </w:t>
            </w:r>
            <w:r w:rsidR="0389777F" w:rsidRPr="006171FC">
              <w:rPr>
                <w:color w:val="auto"/>
                <w:szCs w:val="26"/>
              </w:rPr>
              <w:t xml:space="preserve">up to </w:t>
            </w:r>
            <w:r w:rsidRPr="006171FC">
              <w:rPr>
                <w:color w:val="auto"/>
                <w:szCs w:val="26"/>
              </w:rPr>
              <w:t>$14,409</w:t>
            </w:r>
            <w:r w:rsidR="0389777F" w:rsidRPr="006171FC">
              <w:rPr>
                <w:color w:val="auto"/>
                <w:szCs w:val="26"/>
              </w:rPr>
              <w:t xml:space="preserve"> per customer connection</w:t>
            </w:r>
            <w:r w:rsidRPr="006171FC">
              <w:rPr>
                <w:color w:val="auto"/>
                <w:szCs w:val="26"/>
              </w:rPr>
              <w:t xml:space="preserve"> after each increment of </w:t>
            </w:r>
            <w:r w:rsidR="0389777F" w:rsidRPr="006171FC">
              <w:rPr>
                <w:color w:val="auto"/>
                <w:szCs w:val="26"/>
              </w:rPr>
              <w:t>50 connections.</w:t>
            </w:r>
          </w:p>
        </w:tc>
        <w:tc>
          <w:tcPr>
            <w:tcW w:w="2284" w:type="pct"/>
            <w:tcBorders>
              <w:top w:val="single" w:sz="4" w:space="0" w:color="auto"/>
              <w:left w:val="single" w:sz="4" w:space="0" w:color="auto"/>
              <w:bottom w:val="single" w:sz="4" w:space="0" w:color="auto"/>
              <w:right w:val="single" w:sz="4" w:space="0" w:color="auto"/>
            </w:tcBorders>
            <w:shd w:val="clear" w:color="auto" w:fill="auto"/>
          </w:tcPr>
          <w:p w14:paraId="7EF555D1" w14:textId="1A323E46" w:rsidR="0389777F" w:rsidRPr="006171FC" w:rsidRDefault="405CB46F" w:rsidP="00EA2B17">
            <w:pPr>
              <w:pStyle w:val="ListParagraph"/>
              <w:numPr>
                <w:ilvl w:val="0"/>
                <w:numId w:val="16"/>
              </w:numPr>
              <w:ind w:left="389"/>
              <w:rPr>
                <w:color w:val="auto"/>
                <w:szCs w:val="26"/>
              </w:rPr>
            </w:pPr>
            <w:r w:rsidRPr="006171FC">
              <w:rPr>
                <w:color w:val="auto"/>
                <w:szCs w:val="26"/>
              </w:rPr>
              <w:t xml:space="preserve">Starts at </w:t>
            </w:r>
            <w:r w:rsidR="0389777F" w:rsidRPr="006171FC">
              <w:rPr>
                <w:color w:val="auto"/>
                <w:szCs w:val="26"/>
              </w:rPr>
              <w:t>$6,000 per customer connection</w:t>
            </w:r>
            <w:r w:rsidRPr="006171FC">
              <w:rPr>
                <w:color w:val="auto"/>
                <w:szCs w:val="26"/>
              </w:rPr>
              <w:t xml:space="preserve"> and</w:t>
            </w:r>
            <w:r w:rsidR="0389777F" w:rsidRPr="006171FC">
              <w:rPr>
                <w:color w:val="auto"/>
                <w:szCs w:val="26"/>
              </w:rPr>
              <w:t xml:space="preserve"> progressively </w:t>
            </w:r>
            <w:r w:rsidRPr="006171FC">
              <w:rPr>
                <w:color w:val="auto"/>
                <w:szCs w:val="26"/>
              </w:rPr>
              <w:t xml:space="preserve">increases </w:t>
            </w:r>
            <w:r w:rsidR="00EA2B17" w:rsidRPr="006171FC">
              <w:rPr>
                <w:color w:val="auto"/>
                <w:szCs w:val="26"/>
              </w:rPr>
              <w:t xml:space="preserve">at predefined amounts </w:t>
            </w:r>
            <w:r w:rsidRPr="006171FC">
              <w:rPr>
                <w:color w:val="auto"/>
                <w:szCs w:val="26"/>
              </w:rPr>
              <w:t>up to $12,409</w:t>
            </w:r>
            <w:r w:rsidR="0389777F" w:rsidRPr="006171FC">
              <w:rPr>
                <w:color w:val="auto"/>
                <w:szCs w:val="26"/>
              </w:rPr>
              <w:t xml:space="preserve"> per </w:t>
            </w:r>
            <w:r w:rsidRPr="006171FC">
              <w:rPr>
                <w:color w:val="auto"/>
                <w:szCs w:val="26"/>
              </w:rPr>
              <w:t xml:space="preserve">customer connection after each increment of </w:t>
            </w:r>
            <w:r w:rsidR="0389777F" w:rsidRPr="006171FC">
              <w:rPr>
                <w:color w:val="auto"/>
                <w:szCs w:val="26"/>
              </w:rPr>
              <w:t>50 connections.</w:t>
            </w:r>
          </w:p>
        </w:tc>
      </w:tr>
      <w:tr w:rsidR="00E12B0D" w:rsidRPr="006171FC" w14:paraId="387D092D" w14:textId="77777777" w:rsidTr="00EA2B17">
        <w:trPr>
          <w:trHeight w:val="144"/>
        </w:trPr>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19AD0525" w14:textId="569F931F" w:rsidR="0389777F" w:rsidRPr="006171FC" w:rsidRDefault="0389777F" w:rsidP="0389777F">
            <w:pPr>
              <w:jc w:val="center"/>
              <w:rPr>
                <w:color w:val="auto"/>
                <w:szCs w:val="26"/>
              </w:rPr>
            </w:pPr>
            <w:r w:rsidRPr="006171FC">
              <w:rPr>
                <w:color w:val="auto"/>
                <w:szCs w:val="26"/>
              </w:rPr>
              <w:t>3-5</w:t>
            </w:r>
          </w:p>
        </w:tc>
        <w:tc>
          <w:tcPr>
            <w:tcW w:w="2227" w:type="pct"/>
            <w:tcBorders>
              <w:top w:val="single" w:sz="4" w:space="0" w:color="auto"/>
              <w:left w:val="nil"/>
              <w:bottom w:val="single" w:sz="4" w:space="0" w:color="auto"/>
              <w:right w:val="single" w:sz="4" w:space="0" w:color="auto"/>
            </w:tcBorders>
          </w:tcPr>
          <w:p w14:paraId="0EAE6DB0" w14:textId="4299593E" w:rsidR="0389777F" w:rsidRPr="006171FC" w:rsidRDefault="0389777F" w:rsidP="00EA2B17">
            <w:pPr>
              <w:pStyle w:val="ListParagraph"/>
              <w:numPr>
                <w:ilvl w:val="0"/>
                <w:numId w:val="16"/>
              </w:numPr>
              <w:ind w:left="389"/>
              <w:rPr>
                <w:color w:val="auto"/>
                <w:szCs w:val="26"/>
              </w:rPr>
            </w:pPr>
            <w:r w:rsidRPr="006171FC">
              <w:rPr>
                <w:color w:val="auto"/>
                <w:szCs w:val="26"/>
              </w:rPr>
              <w:t>$5,749, $5,400, and $5,452 per customer connection</w:t>
            </w:r>
            <w:r w:rsidR="5B3F6E18" w:rsidRPr="006171FC">
              <w:rPr>
                <w:color w:val="auto"/>
                <w:szCs w:val="26"/>
              </w:rPr>
              <w:t xml:space="preserve"> in each phase</w:t>
            </w:r>
            <w:r w:rsidRPr="006171FC">
              <w:rPr>
                <w:color w:val="auto"/>
                <w:szCs w:val="26"/>
              </w:rPr>
              <w:t>, respectively.</w:t>
            </w:r>
          </w:p>
        </w:tc>
        <w:tc>
          <w:tcPr>
            <w:tcW w:w="2284" w:type="pct"/>
            <w:tcBorders>
              <w:top w:val="single" w:sz="4" w:space="0" w:color="auto"/>
              <w:left w:val="single" w:sz="4" w:space="0" w:color="auto"/>
              <w:bottom w:val="single" w:sz="4" w:space="0" w:color="auto"/>
              <w:right w:val="single" w:sz="4" w:space="0" w:color="auto"/>
            </w:tcBorders>
            <w:shd w:val="clear" w:color="auto" w:fill="auto"/>
            <w:vAlign w:val="center"/>
          </w:tcPr>
          <w:p w14:paraId="5C3C1162" w14:textId="211B041D" w:rsidR="0389777F" w:rsidRPr="006171FC" w:rsidRDefault="71EE233C" w:rsidP="00EA2B17">
            <w:pPr>
              <w:pStyle w:val="ListParagraph"/>
              <w:numPr>
                <w:ilvl w:val="0"/>
                <w:numId w:val="16"/>
              </w:numPr>
              <w:ind w:left="389"/>
              <w:rPr>
                <w:color w:val="auto"/>
                <w:szCs w:val="26"/>
              </w:rPr>
            </w:pPr>
            <w:r w:rsidRPr="006171FC">
              <w:rPr>
                <w:color w:val="auto"/>
                <w:szCs w:val="26"/>
              </w:rPr>
              <w:t>$4,749, $4,400, and $4,452</w:t>
            </w:r>
            <w:r w:rsidR="0389777F" w:rsidRPr="006171FC">
              <w:rPr>
                <w:color w:val="auto"/>
                <w:szCs w:val="26"/>
              </w:rPr>
              <w:t xml:space="preserve"> per customer </w:t>
            </w:r>
            <w:r w:rsidR="00B00AD2" w:rsidRPr="006171FC">
              <w:rPr>
                <w:color w:val="auto"/>
                <w:szCs w:val="26"/>
              </w:rPr>
              <w:t>connection</w:t>
            </w:r>
            <w:r w:rsidR="0389777F" w:rsidRPr="006171FC">
              <w:rPr>
                <w:color w:val="auto"/>
                <w:szCs w:val="26"/>
              </w:rPr>
              <w:t xml:space="preserve"> </w:t>
            </w:r>
            <w:r w:rsidR="4FDCA70D" w:rsidRPr="006171FC">
              <w:rPr>
                <w:color w:val="auto"/>
                <w:szCs w:val="26"/>
              </w:rPr>
              <w:t>in each</w:t>
            </w:r>
            <w:r w:rsidR="0389777F" w:rsidRPr="006171FC">
              <w:rPr>
                <w:color w:val="auto"/>
                <w:szCs w:val="26"/>
              </w:rPr>
              <w:t xml:space="preserve"> phase, respectively.</w:t>
            </w:r>
          </w:p>
        </w:tc>
      </w:tr>
    </w:tbl>
    <w:p w14:paraId="4F1C340B" w14:textId="77777777" w:rsidR="0000561D" w:rsidRPr="006171FC" w:rsidRDefault="0000561D" w:rsidP="00981BE5">
      <w:pPr>
        <w:spacing w:after="240"/>
        <w:rPr>
          <w:color w:val="auto"/>
          <w:szCs w:val="26"/>
        </w:rPr>
      </w:pPr>
    </w:p>
    <w:p w14:paraId="7724F0C7" w14:textId="6568C1DA" w:rsidR="0389777F" w:rsidRPr="006171FC" w:rsidRDefault="24BD2461" w:rsidP="000A1A72">
      <w:pPr>
        <w:spacing w:before="240" w:after="240" w:line="360" w:lineRule="auto"/>
        <w:ind w:firstLine="720"/>
        <w:rPr>
          <w:color w:val="auto"/>
          <w:szCs w:val="26"/>
        </w:rPr>
      </w:pPr>
      <w:r w:rsidRPr="006171FC">
        <w:rPr>
          <w:color w:val="auto"/>
          <w:szCs w:val="26"/>
        </w:rPr>
        <w:t xml:space="preserve">York-WW indicated in its Application that under the Developer Agreement any amount that York-WW draws on the ILOC due to insufficient customer connections will be retained as a customer contribution.  In supplemental information filed with the Commission, York-WW clarified that </w:t>
      </w:r>
      <w:r w:rsidR="5C8E83B9" w:rsidRPr="006171FC">
        <w:rPr>
          <w:color w:val="auto"/>
          <w:szCs w:val="26"/>
        </w:rPr>
        <w:t>at the time the Developer Agreement with Rock Creek was signed, the issue of who was responsible for the payment of the taxes on customer advances for construction (CAC) and contributions in aid of construction (CIAC) was unsettled.  York-WW averred that if a draw on the ILOC is required, York-WW will follow Section</w:t>
      </w:r>
      <w:r w:rsidR="40EEEFE8" w:rsidRPr="006171FC">
        <w:rPr>
          <w:color w:val="auto"/>
          <w:szCs w:val="26"/>
        </w:rPr>
        <w:t xml:space="preserve"> 1301.1 of the Public Utility Code and its Commission-approved tariff.  66 Pa. C.S. § 1301.1.  Section 1301.1</w:t>
      </w:r>
      <w:r w:rsidR="00C944AB">
        <w:rPr>
          <w:color w:val="auto"/>
          <w:szCs w:val="26"/>
        </w:rPr>
        <w:t>(b.1)</w:t>
      </w:r>
      <w:r w:rsidR="40EEEFE8" w:rsidRPr="006171FC">
        <w:rPr>
          <w:color w:val="auto"/>
          <w:szCs w:val="26"/>
        </w:rPr>
        <w:t xml:space="preserve"> </w:t>
      </w:r>
      <w:r w:rsidR="00B041A4">
        <w:rPr>
          <w:color w:val="auto"/>
          <w:szCs w:val="26"/>
        </w:rPr>
        <w:t xml:space="preserve">more specifically </w:t>
      </w:r>
      <w:r w:rsidR="40EEEFE8" w:rsidRPr="006171FC">
        <w:rPr>
          <w:color w:val="auto"/>
          <w:szCs w:val="26"/>
        </w:rPr>
        <w:t xml:space="preserve">provides that </w:t>
      </w:r>
      <w:r w:rsidR="007469A5">
        <w:rPr>
          <w:color w:val="auto"/>
          <w:szCs w:val="26"/>
        </w:rPr>
        <w:t xml:space="preserve">water or </w:t>
      </w:r>
      <w:r w:rsidR="40EEEFE8" w:rsidRPr="006171FC">
        <w:rPr>
          <w:color w:val="auto"/>
          <w:szCs w:val="26"/>
        </w:rPr>
        <w:t xml:space="preserve">wastewater public utilities will be </w:t>
      </w:r>
      <w:r w:rsidR="007F6A30">
        <w:rPr>
          <w:color w:val="auto"/>
          <w:szCs w:val="26"/>
        </w:rPr>
        <w:t xml:space="preserve">solely </w:t>
      </w:r>
      <w:r w:rsidR="40EEEFE8" w:rsidRPr="006171FC">
        <w:rPr>
          <w:color w:val="auto"/>
          <w:szCs w:val="26"/>
        </w:rPr>
        <w:t xml:space="preserve">responsible </w:t>
      </w:r>
      <w:r w:rsidR="39AA4651" w:rsidRPr="006171FC">
        <w:rPr>
          <w:color w:val="auto"/>
          <w:szCs w:val="26"/>
        </w:rPr>
        <w:t xml:space="preserve">for funding the income taxes on CAC and CIAC and shall record the income taxes </w:t>
      </w:r>
      <w:r w:rsidR="00D94C4D">
        <w:rPr>
          <w:color w:val="auto"/>
          <w:szCs w:val="26"/>
        </w:rPr>
        <w:t xml:space="preserve">the </w:t>
      </w:r>
      <w:r w:rsidR="007469A5">
        <w:rPr>
          <w:color w:val="auto"/>
          <w:szCs w:val="26"/>
        </w:rPr>
        <w:t xml:space="preserve">water or </w:t>
      </w:r>
      <w:r w:rsidR="00D94C4D">
        <w:rPr>
          <w:color w:val="auto"/>
          <w:szCs w:val="26"/>
        </w:rPr>
        <w:t xml:space="preserve">wastewater </w:t>
      </w:r>
      <w:r w:rsidR="007469A5">
        <w:rPr>
          <w:color w:val="auto"/>
          <w:szCs w:val="26"/>
        </w:rPr>
        <w:t xml:space="preserve">utility </w:t>
      </w:r>
      <w:r w:rsidR="00564FA4">
        <w:rPr>
          <w:color w:val="auto"/>
          <w:szCs w:val="26"/>
        </w:rPr>
        <w:t xml:space="preserve">pays </w:t>
      </w:r>
      <w:r w:rsidR="00040D2A" w:rsidRPr="006171FC">
        <w:rPr>
          <w:color w:val="auto"/>
          <w:szCs w:val="26"/>
        </w:rPr>
        <w:t xml:space="preserve">in accumulated deferred income taxes </w:t>
      </w:r>
      <w:r w:rsidR="39AA4651" w:rsidRPr="006171FC">
        <w:rPr>
          <w:color w:val="auto"/>
          <w:szCs w:val="26"/>
        </w:rPr>
        <w:t xml:space="preserve">for accounting and ratemaking purposes.  </w:t>
      </w:r>
      <w:r w:rsidR="00271F45">
        <w:rPr>
          <w:color w:val="auto"/>
          <w:szCs w:val="26"/>
        </w:rPr>
        <w:t>66 Pa.C.S. 1301.1(b.1)</w:t>
      </w:r>
      <w:r w:rsidR="00463821">
        <w:rPr>
          <w:color w:val="auto"/>
          <w:szCs w:val="26"/>
        </w:rPr>
        <w:t xml:space="preserve"> (related to </w:t>
      </w:r>
      <w:r w:rsidR="006B6696">
        <w:rPr>
          <w:color w:val="auto"/>
          <w:szCs w:val="26"/>
        </w:rPr>
        <w:t>taxable contributions)</w:t>
      </w:r>
      <w:r w:rsidR="00271F45">
        <w:rPr>
          <w:color w:val="auto"/>
          <w:szCs w:val="26"/>
        </w:rPr>
        <w:t xml:space="preserve">. </w:t>
      </w:r>
      <w:r w:rsidR="39AA4651" w:rsidRPr="006171FC">
        <w:rPr>
          <w:color w:val="auto"/>
          <w:szCs w:val="26"/>
        </w:rPr>
        <w:t xml:space="preserve">York-WW averred that it does not anticipate the need to draw on the </w:t>
      </w:r>
      <w:r w:rsidR="00732E22" w:rsidRPr="006171FC">
        <w:rPr>
          <w:color w:val="auto"/>
          <w:szCs w:val="26"/>
        </w:rPr>
        <w:t>ILOC</w:t>
      </w:r>
      <w:r w:rsidR="39AA4651" w:rsidRPr="006171FC">
        <w:rPr>
          <w:color w:val="auto"/>
          <w:szCs w:val="26"/>
        </w:rPr>
        <w:t xml:space="preserve"> and does not anticipate paying any related income taxes.</w:t>
      </w:r>
    </w:p>
    <w:p w14:paraId="6EE58875" w14:textId="76528D26" w:rsidR="2A2B6169" w:rsidRPr="006171FC" w:rsidRDefault="39AA4651" w:rsidP="4C0C82E6">
      <w:pPr>
        <w:spacing w:before="240" w:after="240" w:line="360" w:lineRule="auto"/>
        <w:ind w:firstLine="720"/>
        <w:rPr>
          <w:color w:val="auto"/>
          <w:szCs w:val="26"/>
        </w:rPr>
      </w:pPr>
      <w:r w:rsidRPr="006171FC">
        <w:rPr>
          <w:color w:val="auto"/>
          <w:szCs w:val="26"/>
        </w:rPr>
        <w:lastRenderedPageBreak/>
        <w:t xml:space="preserve">The Developer Agreement also notes that if Rock Creek requires </w:t>
      </w:r>
      <w:r w:rsidR="13F62069" w:rsidRPr="006171FC">
        <w:rPr>
          <w:color w:val="auto"/>
          <w:szCs w:val="26"/>
        </w:rPr>
        <w:t>wa</w:t>
      </w:r>
      <w:r w:rsidR="2F4C6880" w:rsidRPr="006171FC">
        <w:rPr>
          <w:color w:val="auto"/>
          <w:szCs w:val="26"/>
        </w:rPr>
        <w:t>stewa</w:t>
      </w:r>
      <w:r w:rsidR="13F62069" w:rsidRPr="006171FC">
        <w:rPr>
          <w:color w:val="auto"/>
          <w:szCs w:val="26"/>
        </w:rPr>
        <w:t>ter</w:t>
      </w:r>
      <w:r w:rsidRPr="006171FC">
        <w:rPr>
          <w:color w:val="auto"/>
          <w:szCs w:val="26"/>
        </w:rPr>
        <w:t xml:space="preserve"> work to be initiated prior to York-WW receiving all necessary approvals, Rock Creek may utilize a contractor acceptable to York-WW and initiate the wastewater work under the review and approval of York-WW.  O</w:t>
      </w:r>
      <w:r w:rsidR="749675F9" w:rsidRPr="006171FC">
        <w:rPr>
          <w:color w:val="auto"/>
          <w:szCs w:val="26"/>
        </w:rPr>
        <w:t>nce York-WW receives all necessary approvals, York-WW shall reimburse Rock Creek or pay the contractor for the actual cost of work completed.  In supplemental information filed with the Commission, York-WW indicated wastewater work had begun in Amblebrook prior to all necessary approvals, and that York</w:t>
      </w:r>
      <w:r w:rsidR="2DD4C0DB" w:rsidRPr="006171FC">
        <w:rPr>
          <w:color w:val="auto"/>
          <w:szCs w:val="26"/>
        </w:rPr>
        <w:t xml:space="preserve">-WW will purchase all assets at original construction cost, as provided under the Developer Agreement.  Further, York-WW averred Rock Creek will transfer to York-WW the land parcels identified as </w:t>
      </w:r>
      <w:r w:rsidR="5C650DE9" w:rsidRPr="006171FC">
        <w:rPr>
          <w:color w:val="auto"/>
          <w:szCs w:val="26"/>
        </w:rPr>
        <w:t>Utility Lot 1, H-16 and H-32</w:t>
      </w:r>
      <w:r w:rsidR="2DD4C0DB" w:rsidRPr="006171FC">
        <w:rPr>
          <w:color w:val="auto"/>
          <w:szCs w:val="26"/>
        </w:rPr>
        <w:t xml:space="preserve"> </w:t>
      </w:r>
      <w:r w:rsidR="3A7B47E2" w:rsidRPr="006171FC">
        <w:rPr>
          <w:color w:val="auto"/>
          <w:szCs w:val="26"/>
        </w:rPr>
        <w:t>which</w:t>
      </w:r>
      <w:r w:rsidR="5323649A" w:rsidRPr="006171FC">
        <w:rPr>
          <w:color w:val="auto"/>
          <w:szCs w:val="26"/>
        </w:rPr>
        <w:t xml:space="preserve"> have a cumulative cost basis of </w:t>
      </w:r>
      <w:r w:rsidR="1BC19AE3" w:rsidRPr="006171FC">
        <w:rPr>
          <w:color w:val="auto"/>
          <w:szCs w:val="26"/>
        </w:rPr>
        <w:t>$</w:t>
      </w:r>
      <w:r w:rsidR="099A5B82" w:rsidRPr="006171FC">
        <w:rPr>
          <w:color w:val="auto"/>
          <w:szCs w:val="26"/>
        </w:rPr>
        <w:t>202</w:t>
      </w:r>
      <w:r w:rsidR="1BC19AE3" w:rsidRPr="006171FC">
        <w:rPr>
          <w:color w:val="auto"/>
          <w:szCs w:val="26"/>
        </w:rPr>
        <w:t>,</w:t>
      </w:r>
      <w:r w:rsidR="67504C2C" w:rsidRPr="006171FC">
        <w:rPr>
          <w:color w:val="auto"/>
          <w:szCs w:val="26"/>
        </w:rPr>
        <w:t>236</w:t>
      </w:r>
      <w:r w:rsidR="1BC19AE3" w:rsidRPr="006171FC">
        <w:rPr>
          <w:color w:val="auto"/>
          <w:szCs w:val="26"/>
        </w:rPr>
        <w:t>.</w:t>
      </w:r>
    </w:p>
    <w:p w14:paraId="5B0F91F9" w14:textId="3777E7EC" w:rsidR="2A2B6169" w:rsidRPr="006171FC" w:rsidRDefault="2A2B6169" w:rsidP="6BB1B803">
      <w:pPr>
        <w:spacing w:before="240" w:after="240" w:line="360" w:lineRule="auto"/>
        <w:ind w:firstLine="720"/>
        <w:rPr>
          <w:color w:val="auto"/>
          <w:szCs w:val="26"/>
        </w:rPr>
      </w:pPr>
      <w:r w:rsidRPr="006171FC">
        <w:rPr>
          <w:color w:val="auto"/>
          <w:szCs w:val="26"/>
        </w:rPr>
        <w:t xml:space="preserve">As noted in Section I and described in Section III of this Order, certain Amblebrook assets are currently being used to provide wastewater service. </w:t>
      </w:r>
      <w:r w:rsidR="00A30562" w:rsidRPr="006171FC">
        <w:rPr>
          <w:color w:val="auto"/>
          <w:szCs w:val="26"/>
        </w:rPr>
        <w:t xml:space="preserve"> </w:t>
      </w:r>
      <w:r w:rsidR="15DE0336" w:rsidRPr="006171FC">
        <w:rPr>
          <w:color w:val="auto"/>
          <w:szCs w:val="26"/>
        </w:rPr>
        <w:t>A Certificate of Public Convenience is not required where property to be acquired is to be installed new as a part of the used and useful property of a public utility.  However, because certain Amblebrook facilities have been, and may continue for some time to be, used to pr</w:t>
      </w:r>
      <w:r w:rsidR="54736347" w:rsidRPr="006171FC">
        <w:rPr>
          <w:color w:val="auto"/>
          <w:szCs w:val="26"/>
        </w:rPr>
        <w:t xml:space="preserve">ovide wastewater service, such facilities are no longer </w:t>
      </w:r>
      <w:r w:rsidR="5B948E9A" w:rsidRPr="006171FC">
        <w:rPr>
          <w:color w:val="auto"/>
          <w:szCs w:val="26"/>
        </w:rPr>
        <w:t>being installed new as part of the used and useful property of York-WW.  As such, a Certificate of Public Convenience is required to transfer property used or useful in the public service which was previously owned and/or used by Rock Creek.</w:t>
      </w:r>
      <w:r w:rsidRPr="006171FC">
        <w:rPr>
          <w:rStyle w:val="FootnoteReference"/>
          <w:color w:val="auto"/>
          <w:szCs w:val="26"/>
        </w:rPr>
        <w:footnoteReference w:id="4"/>
      </w:r>
    </w:p>
    <w:p w14:paraId="0FFB3C9A" w14:textId="095E4F5E" w:rsidR="00674432" w:rsidRPr="006171FC" w:rsidRDefault="26BE090F" w:rsidP="00DA08E4">
      <w:pPr>
        <w:spacing w:before="240" w:after="240" w:line="360" w:lineRule="auto"/>
        <w:ind w:firstLine="720"/>
        <w:rPr>
          <w:color w:val="auto"/>
          <w:szCs w:val="26"/>
        </w:rPr>
      </w:pPr>
      <w:r w:rsidRPr="006171FC">
        <w:rPr>
          <w:color w:val="auto"/>
          <w:szCs w:val="26"/>
        </w:rPr>
        <w:t xml:space="preserve">York-WW averred it would address any asset related issues, including depreciation on Amblebrook facilities, in a future rate case filing.  Therefore, York-WW is directed to identify this transaction for individual review in the context of York-WW's next base rate case </w:t>
      </w:r>
      <w:r w:rsidR="2C225CF8" w:rsidRPr="006171FC">
        <w:rPr>
          <w:color w:val="auto"/>
          <w:szCs w:val="26"/>
        </w:rPr>
        <w:t xml:space="preserve">if York-WW proposes to include the value of these assets in rate base, </w:t>
      </w:r>
      <w:r w:rsidR="2C225CF8" w:rsidRPr="006171FC">
        <w:rPr>
          <w:color w:val="auto"/>
          <w:szCs w:val="26"/>
        </w:rPr>
        <w:lastRenderedPageBreak/>
        <w:t>in order to evaluate the reasonableness of the original cost, contributions, accumulated depreciation, and any utility plant acquisition adjustment claims.</w:t>
      </w:r>
      <w:r w:rsidRPr="006171FC">
        <w:rPr>
          <w:rStyle w:val="FootnoteReference"/>
          <w:color w:val="auto"/>
          <w:szCs w:val="26"/>
        </w:rPr>
        <w:footnoteReference w:id="5"/>
      </w:r>
    </w:p>
    <w:p w14:paraId="6A6A30B2" w14:textId="6DEEB271" w:rsidR="00C376BB" w:rsidRPr="006171FC" w:rsidRDefault="00C376BB" w:rsidP="22A753FC">
      <w:pPr>
        <w:pStyle w:val="ListParagraph"/>
        <w:numPr>
          <w:ilvl w:val="0"/>
          <w:numId w:val="5"/>
        </w:numPr>
        <w:spacing w:before="240" w:after="240" w:line="360" w:lineRule="auto"/>
        <w:contextualSpacing w:val="0"/>
        <w:rPr>
          <w:b/>
          <w:bCs/>
          <w:color w:val="auto"/>
          <w:szCs w:val="26"/>
        </w:rPr>
      </w:pPr>
      <w:r w:rsidRPr="006171FC">
        <w:rPr>
          <w:b/>
          <w:bCs/>
          <w:color w:val="auto"/>
          <w:szCs w:val="26"/>
        </w:rPr>
        <w:t>ADDITIONAL CAPITAL REQUIREMENTS</w:t>
      </w:r>
    </w:p>
    <w:p w14:paraId="295F87B0" w14:textId="441C123E" w:rsidR="00B91D4A" w:rsidRPr="006171FC" w:rsidRDefault="00BA2EDF" w:rsidP="004B59BE">
      <w:pPr>
        <w:spacing w:after="240" w:line="360" w:lineRule="auto"/>
        <w:ind w:firstLine="720"/>
        <w:rPr>
          <w:color w:val="auto"/>
          <w:szCs w:val="26"/>
        </w:rPr>
      </w:pPr>
      <w:r w:rsidRPr="006171FC">
        <w:rPr>
          <w:color w:val="auto"/>
          <w:szCs w:val="26"/>
        </w:rPr>
        <w:t xml:space="preserve">In supplemental information filed with the Commission, </w:t>
      </w:r>
      <w:r w:rsidR="00B70593" w:rsidRPr="006171FC">
        <w:rPr>
          <w:color w:val="auto"/>
          <w:szCs w:val="26"/>
        </w:rPr>
        <w:t>York-WW</w:t>
      </w:r>
      <w:r w:rsidRPr="006171FC">
        <w:rPr>
          <w:color w:val="auto"/>
          <w:szCs w:val="26"/>
        </w:rPr>
        <w:t xml:space="preserve"> provided an itemized breakdown of the </w:t>
      </w:r>
      <w:r w:rsidR="00E414D0" w:rsidRPr="006171FC">
        <w:rPr>
          <w:color w:val="auto"/>
          <w:szCs w:val="26"/>
        </w:rPr>
        <w:t xml:space="preserve">estimated </w:t>
      </w:r>
      <w:r w:rsidRPr="006171FC">
        <w:rPr>
          <w:color w:val="auto"/>
          <w:szCs w:val="26"/>
        </w:rPr>
        <w:t>$</w:t>
      </w:r>
      <w:r w:rsidR="009F7407" w:rsidRPr="006171FC">
        <w:rPr>
          <w:color w:val="auto"/>
          <w:szCs w:val="26"/>
        </w:rPr>
        <w:t>10,808,495</w:t>
      </w:r>
      <w:r w:rsidRPr="006171FC">
        <w:rPr>
          <w:color w:val="auto"/>
          <w:szCs w:val="26"/>
        </w:rPr>
        <w:t xml:space="preserve"> total construction cost for the </w:t>
      </w:r>
      <w:r w:rsidR="00E414D0" w:rsidRPr="006171FC">
        <w:rPr>
          <w:color w:val="auto"/>
          <w:szCs w:val="26"/>
        </w:rPr>
        <w:t>WWTP</w:t>
      </w:r>
      <w:r w:rsidRPr="006171FC">
        <w:rPr>
          <w:color w:val="auto"/>
          <w:szCs w:val="26"/>
        </w:rPr>
        <w:t>, pump station and wastewater collection system.  The breakdown of the construction cost per phase is shown</w:t>
      </w:r>
      <w:r w:rsidR="00D616B0" w:rsidRPr="006171FC">
        <w:rPr>
          <w:color w:val="auto"/>
          <w:szCs w:val="26"/>
        </w:rPr>
        <w:t xml:space="preserve"> </w:t>
      </w:r>
      <w:r w:rsidR="000F2672" w:rsidRPr="006171FC">
        <w:rPr>
          <w:color w:val="auto"/>
          <w:szCs w:val="26"/>
        </w:rPr>
        <w:t xml:space="preserve">in Table </w:t>
      </w:r>
      <w:r w:rsidR="3A6A239D" w:rsidRPr="006171FC">
        <w:rPr>
          <w:color w:val="auto"/>
          <w:szCs w:val="26"/>
        </w:rPr>
        <w:t>4</w:t>
      </w:r>
      <w:r w:rsidR="00B27B83">
        <w:rPr>
          <w:color w:val="auto"/>
          <w:szCs w:val="26"/>
        </w:rPr>
        <w:t>, below</w:t>
      </w:r>
      <w:r w:rsidRPr="006171FC">
        <w:rPr>
          <w:color w:val="auto"/>
          <w:szCs w:val="26"/>
        </w:rPr>
        <w:t>.</w:t>
      </w:r>
    </w:p>
    <w:p w14:paraId="77FB2467" w14:textId="213F0C8E" w:rsidR="00BA2EDF" w:rsidRPr="00B27B83" w:rsidRDefault="00BA2EDF" w:rsidP="001C5761">
      <w:pPr>
        <w:widowControl w:val="0"/>
        <w:spacing w:line="360" w:lineRule="auto"/>
        <w:jc w:val="center"/>
        <w:rPr>
          <w:b/>
          <w:bCs/>
          <w:color w:val="auto"/>
          <w:szCs w:val="26"/>
        </w:rPr>
      </w:pPr>
      <w:r w:rsidRPr="00B27B83">
        <w:rPr>
          <w:b/>
          <w:bCs/>
          <w:color w:val="auto"/>
          <w:szCs w:val="26"/>
        </w:rPr>
        <w:t xml:space="preserve">Table </w:t>
      </w:r>
      <w:r w:rsidR="4EF76DFD" w:rsidRPr="00B27B83">
        <w:rPr>
          <w:b/>
          <w:bCs/>
          <w:color w:val="auto"/>
          <w:szCs w:val="26"/>
        </w:rPr>
        <w:t>4</w:t>
      </w:r>
      <w:r w:rsidRPr="00B27B83">
        <w:rPr>
          <w:b/>
          <w:bCs/>
          <w:color w:val="auto"/>
          <w:szCs w:val="26"/>
        </w:rPr>
        <w:t xml:space="preserve">: </w:t>
      </w:r>
      <w:r w:rsidR="006171FC" w:rsidRPr="00B27B83">
        <w:rPr>
          <w:b/>
          <w:bCs/>
          <w:color w:val="auto"/>
          <w:szCs w:val="26"/>
        </w:rPr>
        <w:t xml:space="preserve"> </w:t>
      </w:r>
      <w:r w:rsidRPr="00B27B83">
        <w:rPr>
          <w:b/>
          <w:bCs/>
          <w:color w:val="auto"/>
          <w:szCs w:val="26"/>
        </w:rPr>
        <w:t>Breakdown of Amblebrook Development Construction Costs Per Phase</w:t>
      </w:r>
    </w:p>
    <w:tbl>
      <w:tblPr>
        <w:tblW w:w="5000" w:type="pct"/>
        <w:tblLook w:val="05E0" w:firstRow="1" w:lastRow="1" w:firstColumn="1" w:lastColumn="1" w:noHBand="0" w:noVBand="1"/>
      </w:tblPr>
      <w:tblGrid>
        <w:gridCol w:w="1170"/>
        <w:gridCol w:w="2047"/>
        <w:gridCol w:w="2046"/>
        <w:gridCol w:w="2046"/>
        <w:gridCol w:w="2046"/>
      </w:tblGrid>
      <w:tr w:rsidR="00E12B0D" w:rsidRPr="006171FC" w14:paraId="0743A805" w14:textId="6E421862" w:rsidTr="007B5D97">
        <w:trPr>
          <w:trHeight w:val="315"/>
        </w:trPr>
        <w:tc>
          <w:tcPr>
            <w:tcW w:w="1152" w:type="dxa"/>
            <w:tcBorders>
              <w:top w:val="nil"/>
              <w:left w:val="nil"/>
              <w:bottom w:val="single" w:sz="4" w:space="0" w:color="auto"/>
              <w:right w:val="single" w:sz="4" w:space="0" w:color="auto"/>
            </w:tcBorders>
            <w:shd w:val="clear" w:color="auto" w:fill="auto"/>
            <w:noWrap/>
          </w:tcPr>
          <w:p w14:paraId="3AA5C59D" w14:textId="77777777" w:rsidR="00F532D2" w:rsidRPr="006171FC" w:rsidRDefault="00F532D2" w:rsidP="00D616B0">
            <w:pPr>
              <w:jc w:val="center"/>
              <w:rPr>
                <w:color w:val="auto"/>
                <w:szCs w:val="26"/>
              </w:rPr>
            </w:pPr>
          </w:p>
        </w:tc>
        <w:tc>
          <w:tcPr>
            <w:tcW w:w="8064" w:type="dxa"/>
            <w:gridSpan w:val="4"/>
            <w:tcBorders>
              <w:top w:val="single" w:sz="4" w:space="0" w:color="auto"/>
              <w:left w:val="nil"/>
              <w:bottom w:val="single" w:sz="4" w:space="0" w:color="auto"/>
              <w:right w:val="single" w:sz="4" w:space="0" w:color="auto"/>
            </w:tcBorders>
            <w:shd w:val="clear" w:color="auto" w:fill="D9D9D9" w:themeFill="background1" w:themeFillShade="D9"/>
            <w:noWrap/>
          </w:tcPr>
          <w:p w14:paraId="78AE507F" w14:textId="641FE2F0" w:rsidR="00F532D2" w:rsidRPr="006171FC" w:rsidRDefault="00F532D2" w:rsidP="00D616B0">
            <w:pPr>
              <w:jc w:val="center"/>
              <w:rPr>
                <w:color w:val="auto"/>
                <w:szCs w:val="26"/>
              </w:rPr>
            </w:pPr>
            <w:r w:rsidRPr="006171FC">
              <w:rPr>
                <w:color w:val="auto"/>
                <w:szCs w:val="26"/>
              </w:rPr>
              <w:t>Estimated Construction Costs Per Phase</w:t>
            </w:r>
          </w:p>
        </w:tc>
      </w:tr>
      <w:tr w:rsidR="00E12B0D" w:rsidRPr="006171FC" w14:paraId="5AAA3026" w14:textId="525323BA" w:rsidTr="007B5D97">
        <w:trPr>
          <w:trHeight w:val="315"/>
        </w:trPr>
        <w:tc>
          <w:tcPr>
            <w:tcW w:w="1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6F95685" w14:textId="62445E6E" w:rsidR="00F532D2" w:rsidRPr="006171FC" w:rsidRDefault="00B9794B" w:rsidP="00D616B0">
            <w:pPr>
              <w:jc w:val="center"/>
              <w:rPr>
                <w:color w:val="auto"/>
                <w:szCs w:val="26"/>
              </w:rPr>
            </w:pPr>
            <w:r w:rsidRPr="006171FC">
              <w:rPr>
                <w:color w:val="auto"/>
                <w:szCs w:val="26"/>
              </w:rPr>
              <w:t>Phase</w:t>
            </w:r>
          </w:p>
        </w:tc>
        <w:tc>
          <w:tcPr>
            <w:tcW w:w="2016"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2678E4D0" w14:textId="3E71544F" w:rsidR="00F532D2" w:rsidRPr="006171FC" w:rsidRDefault="00E414D0" w:rsidP="00D616B0">
            <w:pPr>
              <w:jc w:val="center"/>
              <w:rPr>
                <w:color w:val="auto"/>
                <w:szCs w:val="26"/>
              </w:rPr>
            </w:pPr>
            <w:r w:rsidRPr="006171FC">
              <w:rPr>
                <w:color w:val="auto"/>
                <w:szCs w:val="26"/>
              </w:rPr>
              <w:t>WWTP</w:t>
            </w:r>
          </w:p>
        </w:tc>
        <w:tc>
          <w:tcPr>
            <w:tcW w:w="2016"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06EED7C2" w14:textId="60CB4302" w:rsidR="00F532D2" w:rsidRPr="006171FC" w:rsidRDefault="00F532D2" w:rsidP="00D616B0">
            <w:pPr>
              <w:jc w:val="center"/>
              <w:rPr>
                <w:color w:val="auto"/>
                <w:szCs w:val="26"/>
              </w:rPr>
            </w:pPr>
            <w:r w:rsidRPr="006171FC">
              <w:rPr>
                <w:color w:val="auto"/>
                <w:szCs w:val="26"/>
              </w:rPr>
              <w:t>Pump Station</w:t>
            </w:r>
          </w:p>
        </w:tc>
        <w:tc>
          <w:tcPr>
            <w:tcW w:w="2016"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13D7D8F0" w14:textId="206E1C78" w:rsidR="00F532D2" w:rsidRPr="006171FC" w:rsidRDefault="00F532D2" w:rsidP="00D616B0">
            <w:pPr>
              <w:jc w:val="center"/>
              <w:rPr>
                <w:color w:val="auto"/>
                <w:szCs w:val="26"/>
              </w:rPr>
            </w:pPr>
            <w:r w:rsidRPr="006171FC">
              <w:rPr>
                <w:color w:val="auto"/>
                <w:szCs w:val="26"/>
              </w:rPr>
              <w:t>Collection</w:t>
            </w:r>
            <w:r w:rsidR="00E414D0" w:rsidRPr="006171FC">
              <w:rPr>
                <w:color w:val="auto"/>
                <w:szCs w:val="26"/>
              </w:rPr>
              <w:t xml:space="preserve"> System</w:t>
            </w:r>
          </w:p>
        </w:tc>
        <w:tc>
          <w:tcPr>
            <w:tcW w:w="2016" w:type="dxa"/>
            <w:tcBorders>
              <w:top w:val="single" w:sz="4" w:space="0" w:color="auto"/>
              <w:left w:val="nil"/>
              <w:bottom w:val="single" w:sz="4" w:space="0" w:color="auto"/>
              <w:right w:val="single" w:sz="4" w:space="0" w:color="auto"/>
            </w:tcBorders>
            <w:shd w:val="clear" w:color="auto" w:fill="D9D9D9" w:themeFill="background1" w:themeFillShade="D9"/>
          </w:tcPr>
          <w:p w14:paraId="5A8E7FB2" w14:textId="33F6D1A7" w:rsidR="00F532D2" w:rsidRPr="006171FC" w:rsidRDefault="00F532D2" w:rsidP="00F532D2">
            <w:pPr>
              <w:jc w:val="center"/>
              <w:rPr>
                <w:color w:val="auto"/>
                <w:szCs w:val="26"/>
              </w:rPr>
            </w:pPr>
            <w:r w:rsidRPr="006171FC">
              <w:rPr>
                <w:color w:val="auto"/>
                <w:szCs w:val="26"/>
              </w:rPr>
              <w:t>Total</w:t>
            </w:r>
          </w:p>
        </w:tc>
      </w:tr>
      <w:tr w:rsidR="00E12B0D" w:rsidRPr="006171FC" w14:paraId="5FC5EF8C" w14:textId="27C5A370" w:rsidTr="007B5D97">
        <w:trPr>
          <w:trHeight w:val="144"/>
        </w:trPr>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14:paraId="4E060E27" w14:textId="73E78311" w:rsidR="00F532D2" w:rsidRPr="006171FC" w:rsidRDefault="00F532D2" w:rsidP="00327B6D">
            <w:pPr>
              <w:jc w:val="center"/>
              <w:rPr>
                <w:color w:val="auto"/>
                <w:szCs w:val="26"/>
              </w:rPr>
            </w:pPr>
            <w:r w:rsidRPr="006171FC">
              <w:rPr>
                <w:color w:val="auto"/>
                <w:szCs w:val="26"/>
              </w:rPr>
              <w:t>1</w:t>
            </w:r>
          </w:p>
        </w:tc>
        <w:tc>
          <w:tcPr>
            <w:tcW w:w="2016" w:type="dxa"/>
            <w:tcBorders>
              <w:top w:val="single" w:sz="4" w:space="0" w:color="auto"/>
              <w:left w:val="nil"/>
              <w:bottom w:val="single" w:sz="4" w:space="0" w:color="auto"/>
              <w:right w:val="single" w:sz="4" w:space="0" w:color="auto"/>
            </w:tcBorders>
            <w:shd w:val="clear" w:color="auto" w:fill="auto"/>
            <w:noWrap/>
            <w:hideMark/>
          </w:tcPr>
          <w:p w14:paraId="5959BAAB" w14:textId="3D05C3CE" w:rsidR="00F532D2" w:rsidRPr="006171FC" w:rsidRDefault="00F532D2" w:rsidP="5D8455AC">
            <w:pPr>
              <w:jc w:val="right"/>
              <w:rPr>
                <w:color w:val="auto"/>
                <w:szCs w:val="26"/>
              </w:rPr>
            </w:pPr>
            <w:r w:rsidRPr="006171FC">
              <w:rPr>
                <w:color w:val="auto"/>
                <w:szCs w:val="26"/>
              </w:rPr>
              <w:t>$</w:t>
            </w:r>
            <w:r w:rsidR="6659BB2A" w:rsidRPr="006171FC">
              <w:rPr>
                <w:color w:val="auto"/>
                <w:szCs w:val="26"/>
              </w:rPr>
              <w:t>1,600</w:t>
            </w:r>
            <w:r w:rsidRPr="006171FC">
              <w:rPr>
                <w:color w:val="auto"/>
                <w:szCs w:val="26"/>
              </w:rPr>
              <w:t>,000</w:t>
            </w:r>
          </w:p>
        </w:tc>
        <w:tc>
          <w:tcPr>
            <w:tcW w:w="2016" w:type="dxa"/>
            <w:tcBorders>
              <w:top w:val="single" w:sz="4" w:space="0" w:color="auto"/>
              <w:left w:val="nil"/>
              <w:bottom w:val="single" w:sz="4" w:space="0" w:color="auto"/>
              <w:right w:val="single" w:sz="4" w:space="0" w:color="auto"/>
            </w:tcBorders>
            <w:shd w:val="clear" w:color="auto" w:fill="auto"/>
            <w:noWrap/>
            <w:hideMark/>
          </w:tcPr>
          <w:p w14:paraId="625B1D6B" w14:textId="77041DD8" w:rsidR="00F532D2" w:rsidRPr="006171FC" w:rsidRDefault="6659BB2A" w:rsidP="5D8455AC">
            <w:pPr>
              <w:spacing w:line="259" w:lineRule="auto"/>
              <w:jc w:val="right"/>
              <w:rPr>
                <w:color w:val="auto"/>
                <w:szCs w:val="26"/>
              </w:rPr>
            </w:pPr>
            <w:r w:rsidRPr="006171FC">
              <w:rPr>
                <w:color w:val="auto"/>
                <w:szCs w:val="26"/>
              </w:rPr>
              <w:t>$242,800</w:t>
            </w:r>
          </w:p>
        </w:tc>
        <w:tc>
          <w:tcPr>
            <w:tcW w:w="2016" w:type="dxa"/>
            <w:tcBorders>
              <w:top w:val="single" w:sz="4" w:space="0" w:color="auto"/>
              <w:left w:val="nil"/>
              <w:bottom w:val="single" w:sz="4" w:space="0" w:color="auto"/>
              <w:right w:val="single" w:sz="4" w:space="0" w:color="auto"/>
            </w:tcBorders>
            <w:shd w:val="clear" w:color="auto" w:fill="auto"/>
            <w:noWrap/>
            <w:hideMark/>
          </w:tcPr>
          <w:p w14:paraId="5C846FE8" w14:textId="3F2D3DAA" w:rsidR="00F532D2" w:rsidRPr="006171FC" w:rsidRDefault="6659BB2A" w:rsidP="5D8455AC">
            <w:pPr>
              <w:spacing w:line="259" w:lineRule="auto"/>
              <w:jc w:val="right"/>
              <w:rPr>
                <w:color w:val="auto"/>
                <w:szCs w:val="26"/>
              </w:rPr>
            </w:pPr>
            <w:r w:rsidRPr="006171FC">
              <w:rPr>
                <w:color w:val="auto"/>
                <w:szCs w:val="26"/>
              </w:rPr>
              <w:t>$2,239,945</w:t>
            </w:r>
          </w:p>
        </w:tc>
        <w:tc>
          <w:tcPr>
            <w:tcW w:w="2016" w:type="dxa"/>
            <w:tcBorders>
              <w:top w:val="single" w:sz="4" w:space="0" w:color="auto"/>
              <w:left w:val="nil"/>
              <w:bottom w:val="single" w:sz="4" w:space="0" w:color="auto"/>
              <w:right w:val="single" w:sz="4" w:space="0" w:color="auto"/>
            </w:tcBorders>
          </w:tcPr>
          <w:p w14:paraId="641BB602" w14:textId="44EC28D6" w:rsidR="00F532D2" w:rsidRPr="006171FC" w:rsidRDefault="3ECE9D1E" w:rsidP="424A3507">
            <w:pPr>
              <w:jc w:val="right"/>
              <w:rPr>
                <w:color w:val="auto"/>
                <w:szCs w:val="26"/>
              </w:rPr>
            </w:pPr>
            <w:r w:rsidRPr="006171FC">
              <w:rPr>
                <w:color w:val="auto"/>
                <w:szCs w:val="26"/>
              </w:rPr>
              <w:t>$</w:t>
            </w:r>
            <w:r w:rsidR="2CA601ED" w:rsidRPr="006171FC">
              <w:rPr>
                <w:color w:val="auto"/>
                <w:szCs w:val="26"/>
              </w:rPr>
              <w:t>4,082,745</w:t>
            </w:r>
          </w:p>
        </w:tc>
      </w:tr>
      <w:tr w:rsidR="00E12B0D" w:rsidRPr="006171FC" w14:paraId="365D75AB" w14:textId="16225F05" w:rsidTr="007B5D97">
        <w:trPr>
          <w:trHeight w:val="144"/>
        </w:trPr>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14:paraId="4783A6A6" w14:textId="139C0C9A" w:rsidR="00F532D2" w:rsidRPr="006171FC" w:rsidRDefault="00F532D2" w:rsidP="00327B6D">
            <w:pPr>
              <w:jc w:val="center"/>
              <w:rPr>
                <w:color w:val="auto"/>
                <w:szCs w:val="26"/>
              </w:rPr>
            </w:pPr>
            <w:r w:rsidRPr="006171FC">
              <w:rPr>
                <w:color w:val="auto"/>
                <w:szCs w:val="26"/>
              </w:rPr>
              <w:t>2</w:t>
            </w:r>
          </w:p>
        </w:tc>
        <w:tc>
          <w:tcPr>
            <w:tcW w:w="2016" w:type="dxa"/>
            <w:tcBorders>
              <w:top w:val="single" w:sz="4" w:space="0" w:color="auto"/>
              <w:left w:val="nil"/>
              <w:bottom w:val="single" w:sz="4" w:space="0" w:color="auto"/>
              <w:right w:val="single" w:sz="4" w:space="0" w:color="auto"/>
            </w:tcBorders>
            <w:shd w:val="clear" w:color="auto" w:fill="auto"/>
            <w:noWrap/>
            <w:hideMark/>
          </w:tcPr>
          <w:p w14:paraId="209D1183" w14:textId="5813C837" w:rsidR="00F532D2" w:rsidRPr="006171FC" w:rsidRDefault="00F532D2" w:rsidP="5D8455AC">
            <w:pPr>
              <w:jc w:val="right"/>
              <w:rPr>
                <w:color w:val="auto"/>
                <w:szCs w:val="26"/>
              </w:rPr>
            </w:pPr>
            <w:r w:rsidRPr="006171FC">
              <w:rPr>
                <w:color w:val="auto"/>
                <w:szCs w:val="26"/>
              </w:rPr>
              <w:t>$1,800,000</w:t>
            </w:r>
          </w:p>
        </w:tc>
        <w:tc>
          <w:tcPr>
            <w:tcW w:w="2016" w:type="dxa"/>
            <w:tcBorders>
              <w:top w:val="single" w:sz="4" w:space="0" w:color="auto"/>
              <w:left w:val="nil"/>
              <w:bottom w:val="single" w:sz="4" w:space="0" w:color="auto"/>
              <w:right w:val="single" w:sz="4" w:space="0" w:color="auto"/>
            </w:tcBorders>
            <w:shd w:val="clear" w:color="auto" w:fill="auto"/>
            <w:noWrap/>
            <w:hideMark/>
          </w:tcPr>
          <w:p w14:paraId="44B594F3" w14:textId="39A0EF24" w:rsidR="00F532D2" w:rsidRPr="006171FC" w:rsidRDefault="00F532D2" w:rsidP="5D8455AC">
            <w:pPr>
              <w:jc w:val="right"/>
              <w:rPr>
                <w:color w:val="auto"/>
                <w:szCs w:val="26"/>
              </w:rPr>
            </w:pPr>
            <w:r w:rsidRPr="006171FC">
              <w:rPr>
                <w:color w:val="auto"/>
                <w:szCs w:val="26"/>
              </w:rPr>
              <w:t>$115,000</w:t>
            </w:r>
          </w:p>
        </w:tc>
        <w:tc>
          <w:tcPr>
            <w:tcW w:w="2016" w:type="dxa"/>
            <w:tcBorders>
              <w:top w:val="single" w:sz="4" w:space="0" w:color="auto"/>
              <w:left w:val="nil"/>
              <w:bottom w:val="single" w:sz="4" w:space="0" w:color="auto"/>
              <w:right w:val="single" w:sz="4" w:space="0" w:color="auto"/>
            </w:tcBorders>
            <w:shd w:val="clear" w:color="auto" w:fill="auto"/>
            <w:noWrap/>
            <w:hideMark/>
          </w:tcPr>
          <w:p w14:paraId="051FF743" w14:textId="03014396" w:rsidR="00F532D2" w:rsidRPr="006171FC" w:rsidRDefault="00F532D2" w:rsidP="5D8455AC">
            <w:pPr>
              <w:jc w:val="right"/>
              <w:rPr>
                <w:color w:val="auto"/>
                <w:szCs w:val="26"/>
              </w:rPr>
            </w:pPr>
            <w:r w:rsidRPr="006171FC">
              <w:rPr>
                <w:color w:val="auto"/>
                <w:szCs w:val="26"/>
              </w:rPr>
              <w:t>$1,290,240</w:t>
            </w:r>
          </w:p>
        </w:tc>
        <w:tc>
          <w:tcPr>
            <w:tcW w:w="2016" w:type="dxa"/>
            <w:tcBorders>
              <w:top w:val="single" w:sz="4" w:space="0" w:color="auto"/>
              <w:left w:val="nil"/>
              <w:bottom w:val="single" w:sz="4" w:space="0" w:color="auto"/>
              <w:right w:val="single" w:sz="4" w:space="0" w:color="auto"/>
            </w:tcBorders>
          </w:tcPr>
          <w:p w14:paraId="3FA3F2B2" w14:textId="28A82370" w:rsidR="00F532D2" w:rsidRPr="006171FC" w:rsidRDefault="00F532D2" w:rsidP="424A3507">
            <w:pPr>
              <w:jc w:val="right"/>
              <w:rPr>
                <w:color w:val="auto"/>
                <w:szCs w:val="26"/>
              </w:rPr>
            </w:pPr>
            <w:r w:rsidRPr="006171FC">
              <w:rPr>
                <w:color w:val="auto"/>
                <w:szCs w:val="26"/>
              </w:rPr>
              <w:t>$3,205,240</w:t>
            </w:r>
          </w:p>
        </w:tc>
      </w:tr>
      <w:tr w:rsidR="00E12B0D" w:rsidRPr="006171FC" w14:paraId="24E5506D" w14:textId="0FA27321" w:rsidTr="007B5D97">
        <w:trPr>
          <w:trHeight w:val="144"/>
        </w:trPr>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14:paraId="3A780108" w14:textId="4DF5C7EB" w:rsidR="00F532D2" w:rsidRPr="006171FC" w:rsidRDefault="00B9794B" w:rsidP="00327B6D">
            <w:pPr>
              <w:jc w:val="center"/>
              <w:rPr>
                <w:color w:val="auto"/>
                <w:szCs w:val="26"/>
              </w:rPr>
            </w:pPr>
            <w:r w:rsidRPr="006171FC">
              <w:rPr>
                <w:color w:val="auto"/>
                <w:szCs w:val="26"/>
              </w:rPr>
              <w:t>3</w:t>
            </w:r>
          </w:p>
        </w:tc>
        <w:tc>
          <w:tcPr>
            <w:tcW w:w="2016" w:type="dxa"/>
            <w:tcBorders>
              <w:top w:val="single" w:sz="4" w:space="0" w:color="auto"/>
              <w:left w:val="nil"/>
              <w:bottom w:val="single" w:sz="4" w:space="0" w:color="auto"/>
              <w:right w:val="single" w:sz="4" w:space="0" w:color="auto"/>
            </w:tcBorders>
            <w:shd w:val="clear" w:color="auto" w:fill="auto"/>
            <w:noWrap/>
            <w:hideMark/>
          </w:tcPr>
          <w:p w14:paraId="28CC5691" w14:textId="0C5E4D87" w:rsidR="00F532D2" w:rsidRPr="006171FC" w:rsidRDefault="00F532D2" w:rsidP="5D8455AC">
            <w:pPr>
              <w:jc w:val="right"/>
              <w:rPr>
                <w:color w:val="auto"/>
                <w:szCs w:val="26"/>
              </w:rPr>
            </w:pPr>
            <w:r w:rsidRPr="006171FC">
              <w:rPr>
                <w:color w:val="auto"/>
                <w:szCs w:val="26"/>
              </w:rPr>
              <w:t>--</w:t>
            </w:r>
          </w:p>
        </w:tc>
        <w:tc>
          <w:tcPr>
            <w:tcW w:w="2016" w:type="dxa"/>
            <w:tcBorders>
              <w:top w:val="single" w:sz="4" w:space="0" w:color="auto"/>
              <w:left w:val="nil"/>
              <w:bottom w:val="single" w:sz="4" w:space="0" w:color="auto"/>
              <w:right w:val="single" w:sz="4" w:space="0" w:color="auto"/>
            </w:tcBorders>
            <w:shd w:val="clear" w:color="auto" w:fill="auto"/>
            <w:noWrap/>
            <w:hideMark/>
          </w:tcPr>
          <w:p w14:paraId="4221B72B" w14:textId="43C77F8C" w:rsidR="00F532D2" w:rsidRPr="006171FC" w:rsidRDefault="00F532D2" w:rsidP="5D8455AC">
            <w:pPr>
              <w:jc w:val="right"/>
              <w:rPr>
                <w:color w:val="auto"/>
                <w:szCs w:val="26"/>
              </w:rPr>
            </w:pPr>
            <w:r w:rsidRPr="006171FC">
              <w:rPr>
                <w:color w:val="auto"/>
                <w:szCs w:val="26"/>
              </w:rPr>
              <w:t>--</w:t>
            </w:r>
          </w:p>
        </w:tc>
        <w:tc>
          <w:tcPr>
            <w:tcW w:w="2016" w:type="dxa"/>
            <w:tcBorders>
              <w:top w:val="single" w:sz="4" w:space="0" w:color="auto"/>
              <w:left w:val="nil"/>
              <w:bottom w:val="single" w:sz="4" w:space="0" w:color="auto"/>
              <w:right w:val="single" w:sz="4" w:space="0" w:color="auto"/>
            </w:tcBorders>
            <w:shd w:val="clear" w:color="auto" w:fill="auto"/>
            <w:noWrap/>
            <w:hideMark/>
          </w:tcPr>
          <w:p w14:paraId="227CB2D5" w14:textId="5E4D6575" w:rsidR="00F532D2" w:rsidRPr="006171FC" w:rsidRDefault="00F532D2" w:rsidP="5D8455AC">
            <w:pPr>
              <w:jc w:val="right"/>
              <w:rPr>
                <w:color w:val="auto"/>
                <w:szCs w:val="26"/>
              </w:rPr>
            </w:pPr>
            <w:r w:rsidRPr="006171FC">
              <w:rPr>
                <w:color w:val="auto"/>
                <w:szCs w:val="26"/>
              </w:rPr>
              <w:t>$913,150</w:t>
            </w:r>
          </w:p>
        </w:tc>
        <w:tc>
          <w:tcPr>
            <w:tcW w:w="2016" w:type="dxa"/>
            <w:tcBorders>
              <w:top w:val="single" w:sz="4" w:space="0" w:color="auto"/>
              <w:left w:val="nil"/>
              <w:bottom w:val="single" w:sz="4" w:space="0" w:color="auto"/>
              <w:right w:val="single" w:sz="4" w:space="0" w:color="auto"/>
            </w:tcBorders>
          </w:tcPr>
          <w:p w14:paraId="66277202" w14:textId="14B2D385" w:rsidR="00F532D2" w:rsidRPr="006171FC" w:rsidRDefault="00F532D2" w:rsidP="424A3507">
            <w:pPr>
              <w:jc w:val="right"/>
              <w:rPr>
                <w:color w:val="auto"/>
                <w:szCs w:val="26"/>
              </w:rPr>
            </w:pPr>
            <w:r w:rsidRPr="006171FC">
              <w:rPr>
                <w:color w:val="auto"/>
                <w:szCs w:val="26"/>
              </w:rPr>
              <w:t>$913</w:t>
            </w:r>
            <w:r w:rsidR="57803FCF" w:rsidRPr="006171FC">
              <w:rPr>
                <w:color w:val="auto"/>
                <w:szCs w:val="26"/>
              </w:rPr>
              <w:t>,</w:t>
            </w:r>
            <w:r w:rsidRPr="006171FC">
              <w:rPr>
                <w:color w:val="auto"/>
                <w:szCs w:val="26"/>
              </w:rPr>
              <w:t>150</w:t>
            </w:r>
          </w:p>
        </w:tc>
      </w:tr>
      <w:tr w:rsidR="00E12B0D" w:rsidRPr="006171FC" w14:paraId="1753A14E" w14:textId="124D9956" w:rsidTr="007B5D97">
        <w:trPr>
          <w:trHeight w:val="144"/>
        </w:trPr>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14:paraId="0C4B1E2C" w14:textId="6903559D" w:rsidR="00F532D2" w:rsidRPr="006171FC" w:rsidRDefault="00B9794B" w:rsidP="00327B6D">
            <w:pPr>
              <w:jc w:val="center"/>
              <w:rPr>
                <w:color w:val="auto"/>
                <w:szCs w:val="26"/>
              </w:rPr>
            </w:pPr>
            <w:r w:rsidRPr="006171FC">
              <w:rPr>
                <w:color w:val="auto"/>
                <w:szCs w:val="26"/>
              </w:rPr>
              <w:t>4</w:t>
            </w:r>
          </w:p>
        </w:tc>
        <w:tc>
          <w:tcPr>
            <w:tcW w:w="2016" w:type="dxa"/>
            <w:tcBorders>
              <w:top w:val="single" w:sz="4" w:space="0" w:color="auto"/>
              <w:left w:val="nil"/>
              <w:bottom w:val="single" w:sz="4" w:space="0" w:color="auto"/>
              <w:right w:val="single" w:sz="4" w:space="0" w:color="auto"/>
            </w:tcBorders>
            <w:shd w:val="clear" w:color="auto" w:fill="auto"/>
            <w:noWrap/>
            <w:hideMark/>
          </w:tcPr>
          <w:p w14:paraId="38D136C8" w14:textId="09BFEE14" w:rsidR="00F532D2" w:rsidRPr="006171FC" w:rsidRDefault="00F532D2" w:rsidP="5D8455AC">
            <w:pPr>
              <w:jc w:val="right"/>
              <w:rPr>
                <w:color w:val="auto"/>
                <w:szCs w:val="26"/>
              </w:rPr>
            </w:pPr>
            <w:r w:rsidRPr="006171FC">
              <w:rPr>
                <w:color w:val="auto"/>
                <w:szCs w:val="26"/>
              </w:rPr>
              <w:t>--</w:t>
            </w:r>
          </w:p>
        </w:tc>
        <w:tc>
          <w:tcPr>
            <w:tcW w:w="2016" w:type="dxa"/>
            <w:tcBorders>
              <w:top w:val="single" w:sz="4" w:space="0" w:color="auto"/>
              <w:left w:val="nil"/>
              <w:bottom w:val="single" w:sz="4" w:space="0" w:color="auto"/>
              <w:right w:val="single" w:sz="4" w:space="0" w:color="auto"/>
            </w:tcBorders>
            <w:shd w:val="clear" w:color="auto" w:fill="auto"/>
            <w:noWrap/>
            <w:hideMark/>
          </w:tcPr>
          <w:p w14:paraId="4D2F645B" w14:textId="274F6876" w:rsidR="00F532D2" w:rsidRPr="006171FC" w:rsidRDefault="00F532D2" w:rsidP="5D8455AC">
            <w:pPr>
              <w:jc w:val="right"/>
              <w:rPr>
                <w:color w:val="auto"/>
                <w:szCs w:val="26"/>
              </w:rPr>
            </w:pPr>
            <w:r w:rsidRPr="006171FC">
              <w:rPr>
                <w:color w:val="auto"/>
                <w:szCs w:val="26"/>
              </w:rPr>
              <w:t>--</w:t>
            </w:r>
          </w:p>
        </w:tc>
        <w:tc>
          <w:tcPr>
            <w:tcW w:w="2016" w:type="dxa"/>
            <w:tcBorders>
              <w:top w:val="single" w:sz="4" w:space="0" w:color="auto"/>
              <w:left w:val="nil"/>
              <w:bottom w:val="single" w:sz="4" w:space="0" w:color="auto"/>
              <w:right w:val="single" w:sz="4" w:space="0" w:color="auto"/>
            </w:tcBorders>
            <w:shd w:val="clear" w:color="auto" w:fill="auto"/>
            <w:noWrap/>
            <w:hideMark/>
          </w:tcPr>
          <w:p w14:paraId="2E29DEC3" w14:textId="1FD020E1" w:rsidR="00F532D2" w:rsidRPr="006171FC" w:rsidRDefault="00F532D2" w:rsidP="5D8455AC">
            <w:pPr>
              <w:jc w:val="right"/>
              <w:rPr>
                <w:color w:val="auto"/>
                <w:szCs w:val="26"/>
              </w:rPr>
            </w:pPr>
            <w:r w:rsidRPr="006171FC">
              <w:rPr>
                <w:color w:val="auto"/>
                <w:szCs w:val="26"/>
              </w:rPr>
              <w:t>$1,657,950</w:t>
            </w:r>
          </w:p>
        </w:tc>
        <w:tc>
          <w:tcPr>
            <w:tcW w:w="2016" w:type="dxa"/>
            <w:tcBorders>
              <w:top w:val="single" w:sz="4" w:space="0" w:color="auto"/>
              <w:left w:val="nil"/>
              <w:bottom w:val="single" w:sz="4" w:space="0" w:color="auto"/>
              <w:right w:val="single" w:sz="4" w:space="0" w:color="auto"/>
            </w:tcBorders>
          </w:tcPr>
          <w:p w14:paraId="46002D37" w14:textId="4100D699" w:rsidR="00F532D2" w:rsidRPr="006171FC" w:rsidRDefault="00F532D2" w:rsidP="424A3507">
            <w:pPr>
              <w:jc w:val="right"/>
              <w:rPr>
                <w:color w:val="auto"/>
                <w:szCs w:val="26"/>
              </w:rPr>
            </w:pPr>
            <w:r w:rsidRPr="006171FC">
              <w:rPr>
                <w:color w:val="auto"/>
                <w:szCs w:val="26"/>
              </w:rPr>
              <w:t>$1,657,950</w:t>
            </w:r>
          </w:p>
        </w:tc>
      </w:tr>
      <w:tr w:rsidR="00E12B0D" w:rsidRPr="006171FC" w14:paraId="2A0E90E9" w14:textId="0FD380EF" w:rsidTr="007B5D97">
        <w:trPr>
          <w:trHeight w:val="144"/>
        </w:trPr>
        <w:tc>
          <w:tcPr>
            <w:tcW w:w="1152" w:type="dxa"/>
            <w:tcBorders>
              <w:top w:val="single" w:sz="4" w:space="0" w:color="auto"/>
              <w:left w:val="single" w:sz="4" w:space="0" w:color="auto"/>
              <w:bottom w:val="single" w:sz="12" w:space="0" w:color="auto"/>
              <w:right w:val="single" w:sz="4" w:space="0" w:color="auto"/>
            </w:tcBorders>
            <w:shd w:val="clear" w:color="auto" w:fill="auto"/>
            <w:noWrap/>
          </w:tcPr>
          <w:p w14:paraId="17D79D8F" w14:textId="3FF860AC" w:rsidR="00F532D2" w:rsidRPr="006171FC" w:rsidRDefault="00B9794B" w:rsidP="00327B6D">
            <w:pPr>
              <w:jc w:val="center"/>
              <w:rPr>
                <w:color w:val="auto"/>
                <w:szCs w:val="26"/>
              </w:rPr>
            </w:pPr>
            <w:r w:rsidRPr="006171FC">
              <w:rPr>
                <w:color w:val="auto"/>
                <w:szCs w:val="26"/>
              </w:rPr>
              <w:t>5</w:t>
            </w:r>
          </w:p>
        </w:tc>
        <w:tc>
          <w:tcPr>
            <w:tcW w:w="2016" w:type="dxa"/>
            <w:tcBorders>
              <w:top w:val="single" w:sz="4" w:space="0" w:color="auto"/>
              <w:left w:val="nil"/>
              <w:bottom w:val="single" w:sz="12" w:space="0" w:color="auto"/>
              <w:right w:val="single" w:sz="4" w:space="0" w:color="auto"/>
            </w:tcBorders>
            <w:shd w:val="clear" w:color="auto" w:fill="auto"/>
            <w:noWrap/>
          </w:tcPr>
          <w:p w14:paraId="45C43F8E" w14:textId="2FC7FD2C" w:rsidR="00F532D2" w:rsidRPr="006171FC" w:rsidRDefault="00F532D2" w:rsidP="5D8455AC">
            <w:pPr>
              <w:jc w:val="right"/>
              <w:rPr>
                <w:color w:val="auto"/>
                <w:szCs w:val="26"/>
              </w:rPr>
            </w:pPr>
            <w:r w:rsidRPr="006171FC">
              <w:rPr>
                <w:color w:val="auto"/>
                <w:szCs w:val="26"/>
              </w:rPr>
              <w:t>--</w:t>
            </w:r>
          </w:p>
        </w:tc>
        <w:tc>
          <w:tcPr>
            <w:tcW w:w="2016" w:type="dxa"/>
            <w:tcBorders>
              <w:top w:val="single" w:sz="4" w:space="0" w:color="auto"/>
              <w:left w:val="nil"/>
              <w:bottom w:val="single" w:sz="12" w:space="0" w:color="auto"/>
              <w:right w:val="single" w:sz="4" w:space="0" w:color="auto"/>
            </w:tcBorders>
            <w:shd w:val="clear" w:color="auto" w:fill="auto"/>
            <w:noWrap/>
          </w:tcPr>
          <w:p w14:paraId="14C704CD" w14:textId="10E69492" w:rsidR="00F532D2" w:rsidRPr="006171FC" w:rsidRDefault="00F532D2" w:rsidP="5D8455AC">
            <w:pPr>
              <w:jc w:val="right"/>
              <w:rPr>
                <w:color w:val="auto"/>
                <w:szCs w:val="26"/>
              </w:rPr>
            </w:pPr>
            <w:r w:rsidRPr="006171FC">
              <w:rPr>
                <w:color w:val="auto"/>
                <w:szCs w:val="26"/>
              </w:rPr>
              <w:t>--</w:t>
            </w:r>
          </w:p>
        </w:tc>
        <w:tc>
          <w:tcPr>
            <w:tcW w:w="2016" w:type="dxa"/>
            <w:tcBorders>
              <w:top w:val="single" w:sz="4" w:space="0" w:color="auto"/>
              <w:left w:val="nil"/>
              <w:bottom w:val="single" w:sz="12" w:space="0" w:color="auto"/>
              <w:right w:val="single" w:sz="4" w:space="0" w:color="auto"/>
            </w:tcBorders>
            <w:shd w:val="clear" w:color="auto" w:fill="auto"/>
            <w:noWrap/>
          </w:tcPr>
          <w:p w14:paraId="320FFAA0" w14:textId="0B0A98F0" w:rsidR="00F532D2" w:rsidRPr="006171FC" w:rsidRDefault="00F532D2" w:rsidP="5D8455AC">
            <w:pPr>
              <w:jc w:val="right"/>
              <w:rPr>
                <w:color w:val="auto"/>
                <w:szCs w:val="26"/>
              </w:rPr>
            </w:pPr>
            <w:r w:rsidRPr="006171FC">
              <w:rPr>
                <w:color w:val="auto"/>
                <w:szCs w:val="26"/>
              </w:rPr>
              <w:t>$949,410</w:t>
            </w:r>
          </w:p>
        </w:tc>
        <w:tc>
          <w:tcPr>
            <w:tcW w:w="2016" w:type="dxa"/>
            <w:tcBorders>
              <w:top w:val="single" w:sz="4" w:space="0" w:color="auto"/>
              <w:left w:val="nil"/>
              <w:bottom w:val="single" w:sz="12" w:space="0" w:color="auto"/>
              <w:right w:val="single" w:sz="4" w:space="0" w:color="auto"/>
            </w:tcBorders>
          </w:tcPr>
          <w:p w14:paraId="4005FE28" w14:textId="43EE7980" w:rsidR="00F532D2" w:rsidRPr="006171FC" w:rsidRDefault="00F532D2" w:rsidP="424A3507">
            <w:pPr>
              <w:jc w:val="right"/>
              <w:rPr>
                <w:color w:val="auto"/>
                <w:szCs w:val="26"/>
              </w:rPr>
            </w:pPr>
            <w:r w:rsidRPr="006171FC">
              <w:rPr>
                <w:color w:val="auto"/>
                <w:szCs w:val="26"/>
              </w:rPr>
              <w:t>$949,410</w:t>
            </w:r>
          </w:p>
        </w:tc>
      </w:tr>
      <w:tr w:rsidR="00E12B0D" w:rsidRPr="006171FC" w14:paraId="6BF98C08" w14:textId="40F41A40" w:rsidTr="007B5D97">
        <w:trPr>
          <w:trHeight w:val="144"/>
        </w:trPr>
        <w:tc>
          <w:tcPr>
            <w:tcW w:w="1152" w:type="dxa"/>
            <w:tcBorders>
              <w:top w:val="single" w:sz="12" w:space="0" w:color="auto"/>
              <w:left w:val="single" w:sz="6" w:space="0" w:color="auto"/>
              <w:bottom w:val="single" w:sz="6" w:space="0" w:color="auto"/>
              <w:right w:val="single" w:sz="6" w:space="0" w:color="auto"/>
            </w:tcBorders>
            <w:shd w:val="clear" w:color="auto" w:fill="auto"/>
            <w:noWrap/>
          </w:tcPr>
          <w:p w14:paraId="40528263" w14:textId="54307DE8" w:rsidR="00F532D2" w:rsidRPr="006171FC" w:rsidRDefault="00F532D2" w:rsidP="00327B6D">
            <w:pPr>
              <w:jc w:val="center"/>
              <w:rPr>
                <w:color w:val="auto"/>
                <w:szCs w:val="26"/>
              </w:rPr>
            </w:pPr>
            <w:r w:rsidRPr="006171FC">
              <w:rPr>
                <w:color w:val="auto"/>
                <w:szCs w:val="26"/>
              </w:rPr>
              <w:t>Total</w:t>
            </w:r>
          </w:p>
        </w:tc>
        <w:tc>
          <w:tcPr>
            <w:tcW w:w="2016" w:type="dxa"/>
            <w:tcBorders>
              <w:top w:val="single" w:sz="12" w:space="0" w:color="auto"/>
              <w:left w:val="single" w:sz="6" w:space="0" w:color="auto"/>
              <w:bottom w:val="single" w:sz="6" w:space="0" w:color="auto"/>
              <w:right w:val="single" w:sz="6" w:space="0" w:color="auto"/>
            </w:tcBorders>
            <w:shd w:val="clear" w:color="auto" w:fill="auto"/>
            <w:noWrap/>
          </w:tcPr>
          <w:p w14:paraId="3860D7D2" w14:textId="60C345D7" w:rsidR="00F532D2" w:rsidRPr="006171FC" w:rsidRDefault="00F532D2" w:rsidP="5D8455AC">
            <w:pPr>
              <w:jc w:val="right"/>
              <w:rPr>
                <w:color w:val="auto"/>
                <w:szCs w:val="26"/>
              </w:rPr>
            </w:pPr>
            <w:r w:rsidRPr="006171FC">
              <w:rPr>
                <w:color w:val="auto"/>
                <w:szCs w:val="26"/>
              </w:rPr>
              <w:t>$3,</w:t>
            </w:r>
            <w:r w:rsidR="78DFCC2D" w:rsidRPr="006171FC">
              <w:rPr>
                <w:color w:val="auto"/>
                <w:szCs w:val="26"/>
              </w:rPr>
              <w:t>400</w:t>
            </w:r>
            <w:r w:rsidRPr="006171FC">
              <w:rPr>
                <w:color w:val="auto"/>
                <w:szCs w:val="26"/>
              </w:rPr>
              <w:t>,000</w:t>
            </w:r>
          </w:p>
        </w:tc>
        <w:tc>
          <w:tcPr>
            <w:tcW w:w="2016" w:type="dxa"/>
            <w:tcBorders>
              <w:top w:val="single" w:sz="12" w:space="0" w:color="auto"/>
              <w:left w:val="single" w:sz="6" w:space="0" w:color="auto"/>
              <w:bottom w:val="single" w:sz="6" w:space="0" w:color="auto"/>
              <w:right w:val="single" w:sz="6" w:space="0" w:color="auto"/>
            </w:tcBorders>
            <w:shd w:val="clear" w:color="auto" w:fill="auto"/>
            <w:noWrap/>
          </w:tcPr>
          <w:p w14:paraId="7644748B" w14:textId="1E677334" w:rsidR="00F532D2" w:rsidRPr="006171FC" w:rsidRDefault="3ECE9D1E" w:rsidP="5D8455AC">
            <w:pPr>
              <w:jc w:val="right"/>
              <w:rPr>
                <w:color w:val="auto"/>
                <w:szCs w:val="26"/>
              </w:rPr>
            </w:pPr>
            <w:r w:rsidRPr="006171FC">
              <w:rPr>
                <w:color w:val="auto"/>
                <w:szCs w:val="26"/>
              </w:rPr>
              <w:t>$</w:t>
            </w:r>
            <w:r w:rsidR="70E1BBC2" w:rsidRPr="006171FC">
              <w:rPr>
                <w:color w:val="auto"/>
                <w:szCs w:val="26"/>
              </w:rPr>
              <w:t>357</w:t>
            </w:r>
            <w:r w:rsidRPr="006171FC">
              <w:rPr>
                <w:color w:val="auto"/>
                <w:szCs w:val="26"/>
              </w:rPr>
              <w:t>,</w:t>
            </w:r>
            <w:r w:rsidR="118E1CFF" w:rsidRPr="006171FC">
              <w:rPr>
                <w:color w:val="auto"/>
                <w:szCs w:val="26"/>
              </w:rPr>
              <w:t>8</w:t>
            </w:r>
            <w:r w:rsidRPr="006171FC">
              <w:rPr>
                <w:color w:val="auto"/>
                <w:szCs w:val="26"/>
              </w:rPr>
              <w:t>00</w:t>
            </w:r>
          </w:p>
        </w:tc>
        <w:tc>
          <w:tcPr>
            <w:tcW w:w="2016" w:type="dxa"/>
            <w:tcBorders>
              <w:top w:val="single" w:sz="12" w:space="0" w:color="auto"/>
              <w:left w:val="single" w:sz="6" w:space="0" w:color="auto"/>
              <w:bottom w:val="single" w:sz="6" w:space="0" w:color="auto"/>
              <w:right w:val="single" w:sz="6" w:space="0" w:color="auto"/>
            </w:tcBorders>
            <w:shd w:val="clear" w:color="auto" w:fill="auto"/>
            <w:noWrap/>
          </w:tcPr>
          <w:p w14:paraId="3B37EFDC" w14:textId="1CBC4194" w:rsidR="00F532D2" w:rsidRPr="006171FC" w:rsidRDefault="00F532D2" w:rsidP="5D8455AC">
            <w:pPr>
              <w:jc w:val="right"/>
              <w:rPr>
                <w:color w:val="auto"/>
                <w:szCs w:val="26"/>
              </w:rPr>
            </w:pPr>
            <w:r w:rsidRPr="006171FC">
              <w:rPr>
                <w:color w:val="auto"/>
                <w:szCs w:val="26"/>
              </w:rPr>
              <w:t>$</w:t>
            </w:r>
            <w:r w:rsidR="0024726D" w:rsidRPr="006171FC">
              <w:rPr>
                <w:color w:val="auto"/>
                <w:szCs w:val="26"/>
              </w:rPr>
              <w:t>7,050,695</w:t>
            </w:r>
          </w:p>
        </w:tc>
        <w:tc>
          <w:tcPr>
            <w:tcW w:w="2016" w:type="dxa"/>
            <w:tcBorders>
              <w:top w:val="single" w:sz="12" w:space="0" w:color="auto"/>
              <w:left w:val="single" w:sz="6" w:space="0" w:color="auto"/>
              <w:bottom w:val="single" w:sz="6" w:space="0" w:color="auto"/>
              <w:right w:val="single" w:sz="6" w:space="0" w:color="auto"/>
            </w:tcBorders>
          </w:tcPr>
          <w:p w14:paraId="6F9FDB4B" w14:textId="5A3D9B84" w:rsidR="00F532D2" w:rsidRPr="006171FC" w:rsidRDefault="00F532D2" w:rsidP="424A3507">
            <w:pPr>
              <w:jc w:val="right"/>
              <w:rPr>
                <w:color w:val="auto"/>
                <w:szCs w:val="26"/>
              </w:rPr>
            </w:pPr>
            <w:r w:rsidRPr="006171FC">
              <w:rPr>
                <w:color w:val="auto"/>
                <w:szCs w:val="26"/>
              </w:rPr>
              <w:t>$10,</w:t>
            </w:r>
            <w:r w:rsidR="731EB65B" w:rsidRPr="006171FC">
              <w:rPr>
                <w:color w:val="auto"/>
                <w:szCs w:val="26"/>
              </w:rPr>
              <w:t>808</w:t>
            </w:r>
            <w:r w:rsidR="3ECE9D1E" w:rsidRPr="006171FC">
              <w:rPr>
                <w:color w:val="auto"/>
                <w:szCs w:val="26"/>
              </w:rPr>
              <w:t>,</w:t>
            </w:r>
            <w:r w:rsidR="7155589D" w:rsidRPr="006171FC">
              <w:rPr>
                <w:color w:val="auto"/>
                <w:szCs w:val="26"/>
              </w:rPr>
              <w:t>495</w:t>
            </w:r>
          </w:p>
        </w:tc>
      </w:tr>
    </w:tbl>
    <w:p w14:paraId="5D91BC65" w14:textId="0E6BDB19" w:rsidR="00327B6D" w:rsidRPr="006171FC" w:rsidRDefault="00327B6D" w:rsidP="00EB7DA9">
      <w:pPr>
        <w:spacing w:after="240" w:line="360" w:lineRule="auto"/>
        <w:rPr>
          <w:color w:val="auto"/>
          <w:szCs w:val="26"/>
        </w:rPr>
      </w:pPr>
    </w:p>
    <w:p w14:paraId="0C43821A" w14:textId="08C63971" w:rsidR="00BA2EDF" w:rsidRPr="006171FC" w:rsidRDefault="00B70593" w:rsidP="002727AB">
      <w:pPr>
        <w:spacing w:before="240" w:after="240" w:line="360" w:lineRule="auto"/>
        <w:ind w:firstLine="720"/>
        <w:rPr>
          <w:color w:val="auto"/>
          <w:szCs w:val="26"/>
        </w:rPr>
      </w:pPr>
      <w:r w:rsidRPr="006171FC">
        <w:rPr>
          <w:color w:val="auto"/>
          <w:szCs w:val="26"/>
        </w:rPr>
        <w:t>York-WW</w:t>
      </w:r>
      <w:r w:rsidR="00327B6D" w:rsidRPr="006171FC">
        <w:rPr>
          <w:color w:val="auto"/>
          <w:szCs w:val="26"/>
        </w:rPr>
        <w:t xml:space="preserve"> indicated that costs associated with the project will be </w:t>
      </w:r>
      <w:r w:rsidR="0091018E" w:rsidRPr="006171FC">
        <w:rPr>
          <w:color w:val="auto"/>
          <w:szCs w:val="26"/>
        </w:rPr>
        <w:t xml:space="preserve">funded </w:t>
      </w:r>
      <w:r w:rsidR="00327B6D" w:rsidRPr="006171FC">
        <w:rPr>
          <w:color w:val="auto"/>
          <w:szCs w:val="26"/>
        </w:rPr>
        <w:t>by</w:t>
      </w:r>
      <w:r w:rsidR="74B9C5DC" w:rsidRPr="006171FC">
        <w:rPr>
          <w:color w:val="auto"/>
          <w:szCs w:val="26"/>
        </w:rPr>
        <w:t>:</w:t>
      </w:r>
      <w:r w:rsidR="00327B6D" w:rsidRPr="006171FC">
        <w:rPr>
          <w:color w:val="auto"/>
          <w:szCs w:val="26"/>
        </w:rPr>
        <w:t xml:space="preserve"> </w:t>
      </w:r>
      <w:r w:rsidRPr="006171FC">
        <w:rPr>
          <w:color w:val="auto"/>
          <w:szCs w:val="26"/>
        </w:rPr>
        <w:t>York-WW</w:t>
      </w:r>
      <w:r w:rsidR="00327B6D" w:rsidRPr="006171FC">
        <w:rPr>
          <w:color w:val="auto"/>
          <w:szCs w:val="26"/>
        </w:rPr>
        <w:t>’s internally generated funds</w:t>
      </w:r>
      <w:r w:rsidR="001A67B9" w:rsidRPr="006171FC">
        <w:rPr>
          <w:color w:val="auto"/>
          <w:szCs w:val="26"/>
        </w:rPr>
        <w:t>;</w:t>
      </w:r>
      <w:r w:rsidR="00327B6D" w:rsidRPr="006171FC">
        <w:rPr>
          <w:color w:val="auto"/>
          <w:szCs w:val="26"/>
        </w:rPr>
        <w:t xml:space="preserve"> proceeds from the issuance of common stock under </w:t>
      </w:r>
      <w:r w:rsidRPr="006171FC">
        <w:rPr>
          <w:color w:val="auto"/>
          <w:szCs w:val="26"/>
        </w:rPr>
        <w:t>York-WW</w:t>
      </w:r>
      <w:r w:rsidR="00327B6D" w:rsidRPr="006171FC">
        <w:rPr>
          <w:color w:val="auto"/>
          <w:szCs w:val="26"/>
        </w:rPr>
        <w:t>’s dividend reinvestment and direct stock purchase and employee stock purchase plans</w:t>
      </w:r>
      <w:r w:rsidR="001A67B9" w:rsidRPr="006171FC">
        <w:rPr>
          <w:color w:val="auto"/>
          <w:szCs w:val="26"/>
        </w:rPr>
        <w:t>;</w:t>
      </w:r>
      <w:r w:rsidR="00327B6D" w:rsidRPr="006171FC">
        <w:rPr>
          <w:color w:val="auto"/>
          <w:szCs w:val="26"/>
        </w:rPr>
        <w:t xml:space="preserve"> and, if necessary, borrowings against </w:t>
      </w:r>
      <w:r w:rsidRPr="006171FC">
        <w:rPr>
          <w:color w:val="auto"/>
          <w:szCs w:val="26"/>
        </w:rPr>
        <w:t>York-WW</w:t>
      </w:r>
      <w:r w:rsidR="00327B6D" w:rsidRPr="006171FC">
        <w:rPr>
          <w:color w:val="auto"/>
          <w:szCs w:val="26"/>
        </w:rPr>
        <w:t>’s lines of credit.</w:t>
      </w:r>
    </w:p>
    <w:p w14:paraId="5425C3E2" w14:textId="2E233CC6" w:rsidR="00981BE5" w:rsidRDefault="362A8814" w:rsidP="34538D93">
      <w:pPr>
        <w:spacing w:after="240" w:line="360" w:lineRule="auto"/>
        <w:ind w:firstLine="720"/>
        <w:rPr>
          <w:color w:val="auto"/>
          <w:szCs w:val="26"/>
        </w:rPr>
      </w:pPr>
      <w:r w:rsidRPr="006171FC">
        <w:rPr>
          <w:color w:val="auto"/>
          <w:szCs w:val="26"/>
        </w:rPr>
        <w:t>York-WW noted in supplemental information filed with Commission the following tentative journal entries to record the acquisition of the Phase I assets placed into service by Rock Creek as shown in Table 5</w:t>
      </w:r>
      <w:r w:rsidR="00A77C02">
        <w:rPr>
          <w:color w:val="auto"/>
          <w:szCs w:val="26"/>
        </w:rPr>
        <w:t>, below</w:t>
      </w:r>
      <w:r w:rsidRPr="006171FC">
        <w:rPr>
          <w:color w:val="auto"/>
          <w:szCs w:val="26"/>
        </w:rPr>
        <w:t>.</w:t>
      </w:r>
    </w:p>
    <w:p w14:paraId="60A43797" w14:textId="77777777" w:rsidR="00981BE5" w:rsidRDefault="00981BE5">
      <w:pPr>
        <w:rPr>
          <w:color w:val="auto"/>
          <w:szCs w:val="26"/>
        </w:rPr>
      </w:pPr>
      <w:r>
        <w:rPr>
          <w:color w:val="auto"/>
          <w:szCs w:val="26"/>
        </w:rPr>
        <w:br w:type="page"/>
      </w:r>
    </w:p>
    <w:p w14:paraId="3A4A3158" w14:textId="0AD1757C" w:rsidR="1344D841" w:rsidRPr="00A77C02" w:rsidRDefault="0A2FB1C9" w:rsidP="00024B1B">
      <w:pPr>
        <w:widowControl w:val="0"/>
        <w:spacing w:line="360" w:lineRule="auto"/>
        <w:jc w:val="center"/>
        <w:rPr>
          <w:b/>
          <w:bCs/>
          <w:color w:val="auto"/>
          <w:szCs w:val="26"/>
        </w:rPr>
      </w:pPr>
      <w:r w:rsidRPr="00A77C02">
        <w:rPr>
          <w:b/>
          <w:bCs/>
          <w:color w:val="auto"/>
          <w:szCs w:val="26"/>
        </w:rPr>
        <w:lastRenderedPageBreak/>
        <w:t xml:space="preserve">Table 5: </w:t>
      </w:r>
      <w:r w:rsidR="006171FC" w:rsidRPr="00A77C02">
        <w:rPr>
          <w:b/>
          <w:bCs/>
          <w:color w:val="auto"/>
          <w:szCs w:val="26"/>
        </w:rPr>
        <w:t xml:space="preserve"> </w:t>
      </w:r>
      <w:r w:rsidRPr="00A77C02">
        <w:rPr>
          <w:b/>
          <w:bCs/>
          <w:color w:val="auto"/>
          <w:szCs w:val="26"/>
        </w:rPr>
        <w:t>Tentative Journal Entries for Amblebrook Phase I</w:t>
      </w:r>
      <w:r w:rsidRPr="00A77C02">
        <w:rPr>
          <w:rStyle w:val="FootnoteReference"/>
          <w:b/>
          <w:bCs/>
          <w:color w:val="auto"/>
          <w:szCs w:val="26"/>
        </w:rPr>
        <w:footnoteReference w:id="6"/>
      </w:r>
    </w:p>
    <w:tbl>
      <w:tblPr>
        <w:tblW w:w="5000" w:type="pct"/>
        <w:tblLook w:val="05E0" w:firstRow="1" w:lastRow="1" w:firstColumn="1" w:lastColumn="1" w:noHBand="0" w:noVBand="1"/>
      </w:tblPr>
      <w:tblGrid>
        <w:gridCol w:w="1862"/>
        <w:gridCol w:w="3405"/>
        <w:gridCol w:w="2078"/>
        <w:gridCol w:w="2005"/>
      </w:tblGrid>
      <w:tr w:rsidR="00E12B0D" w:rsidRPr="006171FC" w14:paraId="64404AD4" w14:textId="77777777" w:rsidTr="00024B1B">
        <w:trPr>
          <w:trHeight w:val="315"/>
        </w:trPr>
        <w:tc>
          <w:tcPr>
            <w:tcW w:w="9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1523A8" w14:textId="6F47C573" w:rsidR="77353E90" w:rsidRPr="006171FC" w:rsidRDefault="77353E90" w:rsidP="452C4093">
            <w:pPr>
              <w:spacing w:line="259" w:lineRule="auto"/>
              <w:jc w:val="center"/>
              <w:rPr>
                <w:color w:val="auto"/>
                <w:szCs w:val="26"/>
              </w:rPr>
            </w:pPr>
            <w:r w:rsidRPr="006171FC">
              <w:rPr>
                <w:color w:val="auto"/>
                <w:szCs w:val="26"/>
              </w:rPr>
              <w:t>Account No.</w:t>
            </w:r>
          </w:p>
        </w:tc>
        <w:tc>
          <w:tcPr>
            <w:tcW w:w="182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E0E854C" w14:textId="2A214C2D" w:rsidR="77353E90" w:rsidRPr="006171FC" w:rsidRDefault="77353E90" w:rsidP="452C4093">
            <w:pPr>
              <w:jc w:val="center"/>
              <w:rPr>
                <w:color w:val="auto"/>
                <w:szCs w:val="26"/>
              </w:rPr>
            </w:pPr>
            <w:r w:rsidRPr="006171FC">
              <w:rPr>
                <w:color w:val="auto"/>
                <w:szCs w:val="26"/>
              </w:rPr>
              <w:t>Account Description</w:t>
            </w:r>
          </w:p>
        </w:tc>
        <w:tc>
          <w:tcPr>
            <w:tcW w:w="111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A6151A1" w14:textId="2093B213" w:rsidR="77353E90" w:rsidRPr="006171FC" w:rsidRDefault="77353E90" w:rsidP="452C4093">
            <w:pPr>
              <w:spacing w:line="259" w:lineRule="auto"/>
              <w:jc w:val="center"/>
              <w:rPr>
                <w:color w:val="auto"/>
                <w:szCs w:val="26"/>
              </w:rPr>
            </w:pPr>
            <w:r w:rsidRPr="006171FC">
              <w:rPr>
                <w:color w:val="auto"/>
                <w:szCs w:val="26"/>
              </w:rPr>
              <w:t>Debit</w:t>
            </w:r>
          </w:p>
        </w:tc>
        <w:tc>
          <w:tcPr>
            <w:tcW w:w="107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90F48FE" w14:textId="636A937A" w:rsidR="452C4093" w:rsidRPr="006171FC" w:rsidRDefault="77353E90" w:rsidP="6B834E44">
            <w:pPr>
              <w:spacing w:line="259" w:lineRule="auto"/>
              <w:jc w:val="center"/>
              <w:rPr>
                <w:color w:val="auto"/>
                <w:szCs w:val="26"/>
              </w:rPr>
            </w:pPr>
            <w:r w:rsidRPr="006171FC">
              <w:rPr>
                <w:color w:val="auto"/>
                <w:szCs w:val="26"/>
              </w:rPr>
              <w:t>Credit</w:t>
            </w:r>
          </w:p>
        </w:tc>
      </w:tr>
      <w:tr w:rsidR="00E12B0D" w:rsidRPr="006171FC" w14:paraId="2CB2917D" w14:textId="77777777" w:rsidTr="00024B1B">
        <w:trPr>
          <w:trHeight w:val="144"/>
        </w:trPr>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14:paraId="16E3F75E" w14:textId="0AB7346E" w:rsidR="452C4093" w:rsidRPr="006171FC" w:rsidRDefault="3637D353" w:rsidP="452C4093">
            <w:pPr>
              <w:jc w:val="center"/>
              <w:rPr>
                <w:color w:val="auto"/>
                <w:szCs w:val="26"/>
              </w:rPr>
            </w:pPr>
            <w:r w:rsidRPr="006171FC">
              <w:rPr>
                <w:color w:val="auto"/>
                <w:szCs w:val="26"/>
              </w:rPr>
              <w:t>361</w:t>
            </w:r>
          </w:p>
        </w:tc>
        <w:tc>
          <w:tcPr>
            <w:tcW w:w="1821" w:type="pct"/>
            <w:tcBorders>
              <w:top w:val="single" w:sz="4" w:space="0" w:color="auto"/>
              <w:left w:val="nil"/>
              <w:bottom w:val="single" w:sz="4" w:space="0" w:color="auto"/>
              <w:right w:val="single" w:sz="4" w:space="0" w:color="auto"/>
            </w:tcBorders>
            <w:shd w:val="clear" w:color="auto" w:fill="auto"/>
            <w:vAlign w:val="center"/>
          </w:tcPr>
          <w:p w14:paraId="7D13DBC0" w14:textId="301CD286" w:rsidR="452C4093" w:rsidRPr="006171FC" w:rsidRDefault="3637D353" w:rsidP="47EB516F">
            <w:pPr>
              <w:rPr>
                <w:color w:val="auto"/>
                <w:szCs w:val="26"/>
              </w:rPr>
            </w:pPr>
            <w:r w:rsidRPr="006171FC">
              <w:rPr>
                <w:color w:val="auto"/>
                <w:szCs w:val="26"/>
              </w:rPr>
              <w:t>Sewer Pipes and Manholes</w:t>
            </w:r>
          </w:p>
        </w:tc>
        <w:tc>
          <w:tcPr>
            <w:tcW w:w="1111" w:type="pct"/>
            <w:tcBorders>
              <w:top w:val="single" w:sz="4" w:space="0" w:color="auto"/>
              <w:left w:val="nil"/>
              <w:bottom w:val="single" w:sz="4" w:space="0" w:color="auto"/>
              <w:right w:val="single" w:sz="4" w:space="0" w:color="auto"/>
            </w:tcBorders>
            <w:shd w:val="clear" w:color="auto" w:fill="auto"/>
            <w:vAlign w:val="center"/>
          </w:tcPr>
          <w:p w14:paraId="00AC6B82" w14:textId="398337E1" w:rsidR="452C4093" w:rsidRPr="006171FC" w:rsidRDefault="3637D353" w:rsidP="4C832755">
            <w:pPr>
              <w:jc w:val="right"/>
              <w:rPr>
                <w:color w:val="auto"/>
                <w:szCs w:val="26"/>
              </w:rPr>
            </w:pPr>
            <w:r w:rsidRPr="006171FC">
              <w:rPr>
                <w:color w:val="auto"/>
                <w:szCs w:val="26"/>
              </w:rPr>
              <w:t>$1,274,490</w:t>
            </w:r>
          </w:p>
        </w:tc>
        <w:tc>
          <w:tcPr>
            <w:tcW w:w="1072" w:type="pct"/>
            <w:tcBorders>
              <w:top w:val="single" w:sz="4" w:space="0" w:color="auto"/>
              <w:left w:val="nil"/>
              <w:bottom w:val="single" w:sz="4" w:space="0" w:color="auto"/>
              <w:right w:val="single" w:sz="4" w:space="0" w:color="auto"/>
            </w:tcBorders>
            <w:shd w:val="clear" w:color="auto" w:fill="auto"/>
            <w:vAlign w:val="center"/>
          </w:tcPr>
          <w:p w14:paraId="6AADCBC9" w14:textId="6FF42C1E" w:rsidR="452C4093" w:rsidRPr="006171FC" w:rsidRDefault="452C4093" w:rsidP="7543DEFE">
            <w:pPr>
              <w:ind w:right="345"/>
              <w:jc w:val="right"/>
              <w:rPr>
                <w:color w:val="auto"/>
                <w:szCs w:val="26"/>
              </w:rPr>
            </w:pPr>
          </w:p>
        </w:tc>
      </w:tr>
      <w:tr w:rsidR="00E12B0D" w:rsidRPr="006171FC" w14:paraId="682E63F9" w14:textId="77777777" w:rsidTr="00024B1B">
        <w:trPr>
          <w:trHeight w:val="144"/>
        </w:trPr>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14:paraId="549EFA68" w14:textId="126C4AE2" w:rsidR="452C4093" w:rsidRPr="006171FC" w:rsidRDefault="3637D353" w:rsidP="452C4093">
            <w:pPr>
              <w:jc w:val="center"/>
              <w:rPr>
                <w:color w:val="auto"/>
                <w:szCs w:val="26"/>
              </w:rPr>
            </w:pPr>
            <w:r w:rsidRPr="006171FC">
              <w:rPr>
                <w:color w:val="auto"/>
                <w:szCs w:val="26"/>
              </w:rPr>
              <w:t>354</w:t>
            </w:r>
          </w:p>
        </w:tc>
        <w:tc>
          <w:tcPr>
            <w:tcW w:w="1821" w:type="pct"/>
            <w:tcBorders>
              <w:top w:val="single" w:sz="4" w:space="0" w:color="auto"/>
              <w:left w:val="nil"/>
              <w:bottom w:val="single" w:sz="4" w:space="0" w:color="auto"/>
              <w:right w:val="single" w:sz="4" w:space="0" w:color="auto"/>
            </w:tcBorders>
            <w:shd w:val="clear" w:color="auto" w:fill="auto"/>
            <w:vAlign w:val="center"/>
          </w:tcPr>
          <w:p w14:paraId="40E3BE8D" w14:textId="60FDC4F4" w:rsidR="452C4093" w:rsidRPr="006171FC" w:rsidRDefault="3637D353" w:rsidP="47EB516F">
            <w:pPr>
              <w:rPr>
                <w:color w:val="auto"/>
                <w:szCs w:val="26"/>
              </w:rPr>
            </w:pPr>
            <w:r w:rsidRPr="006171FC">
              <w:rPr>
                <w:color w:val="auto"/>
                <w:szCs w:val="26"/>
              </w:rPr>
              <w:t>Wastewater Treatment Plant</w:t>
            </w:r>
          </w:p>
        </w:tc>
        <w:tc>
          <w:tcPr>
            <w:tcW w:w="1111" w:type="pct"/>
            <w:tcBorders>
              <w:top w:val="single" w:sz="4" w:space="0" w:color="auto"/>
              <w:left w:val="nil"/>
              <w:bottom w:val="single" w:sz="4" w:space="0" w:color="auto"/>
              <w:right w:val="single" w:sz="4" w:space="0" w:color="auto"/>
            </w:tcBorders>
            <w:shd w:val="clear" w:color="auto" w:fill="auto"/>
            <w:vAlign w:val="center"/>
          </w:tcPr>
          <w:p w14:paraId="7F791080" w14:textId="5FB9D426" w:rsidR="452C4093" w:rsidRPr="006171FC" w:rsidRDefault="3637D353" w:rsidP="4C832755">
            <w:pPr>
              <w:jc w:val="right"/>
              <w:rPr>
                <w:color w:val="auto"/>
                <w:szCs w:val="26"/>
              </w:rPr>
            </w:pPr>
            <w:r w:rsidRPr="006171FC">
              <w:rPr>
                <w:color w:val="auto"/>
                <w:szCs w:val="26"/>
              </w:rPr>
              <w:t>$2,115,000</w:t>
            </w:r>
          </w:p>
        </w:tc>
        <w:tc>
          <w:tcPr>
            <w:tcW w:w="1072" w:type="pct"/>
            <w:tcBorders>
              <w:top w:val="single" w:sz="4" w:space="0" w:color="auto"/>
              <w:left w:val="nil"/>
              <w:bottom w:val="single" w:sz="4" w:space="0" w:color="auto"/>
              <w:right w:val="single" w:sz="4" w:space="0" w:color="auto"/>
            </w:tcBorders>
            <w:shd w:val="clear" w:color="auto" w:fill="auto"/>
            <w:vAlign w:val="center"/>
          </w:tcPr>
          <w:p w14:paraId="5EF7B7DE" w14:textId="4A76D658" w:rsidR="452C4093" w:rsidRPr="006171FC" w:rsidRDefault="452C4093" w:rsidP="7543DEFE">
            <w:pPr>
              <w:ind w:right="345"/>
              <w:jc w:val="right"/>
              <w:rPr>
                <w:color w:val="auto"/>
                <w:szCs w:val="26"/>
              </w:rPr>
            </w:pPr>
          </w:p>
        </w:tc>
      </w:tr>
      <w:tr w:rsidR="00E12B0D" w:rsidRPr="006171FC" w14:paraId="1D9DAFF8" w14:textId="77777777" w:rsidTr="00024B1B">
        <w:trPr>
          <w:trHeight w:val="144"/>
        </w:trPr>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14:paraId="4AB34586" w14:textId="56029C17" w:rsidR="452C4093" w:rsidRPr="006171FC" w:rsidRDefault="3637D353" w:rsidP="452C4093">
            <w:pPr>
              <w:jc w:val="center"/>
              <w:rPr>
                <w:color w:val="auto"/>
                <w:szCs w:val="26"/>
              </w:rPr>
            </w:pPr>
            <w:r w:rsidRPr="006171FC">
              <w:rPr>
                <w:color w:val="auto"/>
                <w:szCs w:val="26"/>
              </w:rPr>
              <w:t>224</w:t>
            </w:r>
          </w:p>
        </w:tc>
        <w:tc>
          <w:tcPr>
            <w:tcW w:w="1821" w:type="pct"/>
            <w:tcBorders>
              <w:top w:val="single" w:sz="4" w:space="0" w:color="auto"/>
              <w:left w:val="nil"/>
              <w:bottom w:val="single" w:sz="4" w:space="0" w:color="auto"/>
              <w:right w:val="single" w:sz="4" w:space="0" w:color="auto"/>
            </w:tcBorders>
            <w:shd w:val="clear" w:color="auto" w:fill="auto"/>
            <w:vAlign w:val="center"/>
          </w:tcPr>
          <w:p w14:paraId="4ED2E1AC" w14:textId="37CF4E14" w:rsidR="452C4093" w:rsidRPr="006171FC" w:rsidRDefault="3637D353" w:rsidP="47EB516F">
            <w:pPr>
              <w:rPr>
                <w:color w:val="auto"/>
                <w:szCs w:val="26"/>
              </w:rPr>
            </w:pPr>
            <w:r w:rsidRPr="006171FC">
              <w:rPr>
                <w:color w:val="auto"/>
                <w:szCs w:val="26"/>
              </w:rPr>
              <w:t>Line of Credit</w:t>
            </w:r>
          </w:p>
        </w:tc>
        <w:tc>
          <w:tcPr>
            <w:tcW w:w="1111" w:type="pct"/>
            <w:tcBorders>
              <w:top w:val="single" w:sz="4" w:space="0" w:color="auto"/>
              <w:left w:val="nil"/>
              <w:bottom w:val="single" w:sz="4" w:space="0" w:color="auto"/>
              <w:right w:val="single" w:sz="4" w:space="0" w:color="auto"/>
            </w:tcBorders>
            <w:shd w:val="clear" w:color="auto" w:fill="auto"/>
            <w:vAlign w:val="center"/>
          </w:tcPr>
          <w:p w14:paraId="743472B5" w14:textId="0E170F5F" w:rsidR="452C4093" w:rsidRPr="006171FC" w:rsidRDefault="452C4093" w:rsidP="452C4093">
            <w:pPr>
              <w:jc w:val="center"/>
              <w:rPr>
                <w:color w:val="auto"/>
                <w:szCs w:val="26"/>
              </w:rPr>
            </w:pPr>
          </w:p>
        </w:tc>
        <w:tc>
          <w:tcPr>
            <w:tcW w:w="1072" w:type="pct"/>
            <w:tcBorders>
              <w:top w:val="single" w:sz="4" w:space="0" w:color="auto"/>
              <w:left w:val="nil"/>
              <w:bottom w:val="single" w:sz="4" w:space="0" w:color="auto"/>
              <w:right w:val="single" w:sz="4" w:space="0" w:color="auto"/>
            </w:tcBorders>
            <w:shd w:val="clear" w:color="auto" w:fill="auto"/>
            <w:vAlign w:val="center"/>
          </w:tcPr>
          <w:p w14:paraId="0CF81C0C" w14:textId="43D42A1D" w:rsidR="452C4093" w:rsidRPr="006171FC" w:rsidRDefault="3637D353" w:rsidP="31587A88">
            <w:pPr>
              <w:jc w:val="right"/>
              <w:rPr>
                <w:color w:val="auto"/>
                <w:szCs w:val="26"/>
              </w:rPr>
            </w:pPr>
            <w:r w:rsidRPr="006171FC">
              <w:rPr>
                <w:color w:val="auto"/>
                <w:szCs w:val="26"/>
              </w:rPr>
              <w:t>$3,389,490</w:t>
            </w:r>
          </w:p>
        </w:tc>
      </w:tr>
    </w:tbl>
    <w:p w14:paraId="3481535B" w14:textId="77777777" w:rsidR="00330153" w:rsidRPr="00330153" w:rsidRDefault="00330153" w:rsidP="00330153">
      <w:pPr>
        <w:pStyle w:val="ListParagraph"/>
        <w:spacing w:before="240" w:after="240" w:line="360" w:lineRule="auto"/>
        <w:contextualSpacing w:val="0"/>
        <w:rPr>
          <w:color w:val="auto"/>
          <w:szCs w:val="26"/>
        </w:rPr>
      </w:pPr>
    </w:p>
    <w:p w14:paraId="3F06526B" w14:textId="068B9936" w:rsidR="003919F7" w:rsidRPr="006171FC" w:rsidRDefault="003919F7" w:rsidP="00981BE5">
      <w:pPr>
        <w:pStyle w:val="ListParagraph"/>
        <w:numPr>
          <w:ilvl w:val="0"/>
          <w:numId w:val="5"/>
        </w:numPr>
        <w:spacing w:before="240" w:after="240" w:line="360" w:lineRule="auto"/>
        <w:contextualSpacing w:val="0"/>
        <w:rPr>
          <w:color w:val="auto"/>
          <w:szCs w:val="26"/>
        </w:rPr>
      </w:pPr>
      <w:r w:rsidRPr="006171FC">
        <w:rPr>
          <w:b/>
          <w:bCs/>
          <w:color w:val="auto"/>
          <w:szCs w:val="26"/>
        </w:rPr>
        <w:t>PROPOSED RATES</w:t>
      </w:r>
    </w:p>
    <w:p w14:paraId="48685FA2" w14:textId="06C682BC" w:rsidR="00D612E0" w:rsidRPr="006171FC" w:rsidRDefault="00610107" w:rsidP="00592BBE">
      <w:pPr>
        <w:tabs>
          <w:tab w:val="left" w:pos="4320"/>
        </w:tabs>
        <w:spacing w:after="240" w:line="360" w:lineRule="auto"/>
        <w:ind w:firstLine="720"/>
        <w:rPr>
          <w:color w:val="auto"/>
          <w:szCs w:val="26"/>
        </w:rPr>
      </w:pPr>
      <w:r w:rsidRPr="006171FC">
        <w:rPr>
          <w:color w:val="auto"/>
          <w:szCs w:val="26"/>
        </w:rPr>
        <w:t xml:space="preserve">York-WW will charge its existing East Prospect and Lower Windsor Area metered rates, based on water consumption, for wastewater service </w:t>
      </w:r>
      <w:r w:rsidR="00660E9E" w:rsidRPr="006171FC">
        <w:rPr>
          <w:color w:val="auto"/>
          <w:szCs w:val="26"/>
        </w:rPr>
        <w:t>within the requested territory</w:t>
      </w:r>
      <w:r w:rsidRPr="006171FC">
        <w:rPr>
          <w:color w:val="auto"/>
          <w:szCs w:val="26"/>
        </w:rPr>
        <w:t xml:space="preserve"> as set forth in its </w:t>
      </w:r>
      <w:r w:rsidR="38680818" w:rsidRPr="006171FC">
        <w:rPr>
          <w:color w:val="auto"/>
          <w:szCs w:val="26"/>
        </w:rPr>
        <w:t xml:space="preserve">current </w:t>
      </w:r>
      <w:r w:rsidRPr="006171FC">
        <w:rPr>
          <w:color w:val="auto"/>
          <w:szCs w:val="26"/>
        </w:rPr>
        <w:t>effective wastewater tariff.</w:t>
      </w:r>
      <w:r w:rsidR="00B0413D" w:rsidRPr="006171FC">
        <w:rPr>
          <w:color w:val="auto"/>
          <w:szCs w:val="26"/>
        </w:rPr>
        <w:t xml:space="preserve">  In supplemental information filed with Commission, </w:t>
      </w:r>
      <w:r w:rsidR="00EF1DB0" w:rsidRPr="006171FC">
        <w:rPr>
          <w:color w:val="auto"/>
          <w:szCs w:val="26"/>
        </w:rPr>
        <w:t xml:space="preserve">York-WW provided estimated annual </w:t>
      </w:r>
      <w:r w:rsidR="555FAA2E" w:rsidRPr="006171FC">
        <w:rPr>
          <w:color w:val="auto"/>
          <w:szCs w:val="26"/>
        </w:rPr>
        <w:t>revenue</w:t>
      </w:r>
      <w:r w:rsidR="28303D9C" w:rsidRPr="006171FC">
        <w:rPr>
          <w:color w:val="auto"/>
          <w:szCs w:val="26"/>
        </w:rPr>
        <w:t>s</w:t>
      </w:r>
      <w:r w:rsidR="00EF1DB0" w:rsidRPr="006171FC">
        <w:rPr>
          <w:color w:val="auto"/>
          <w:szCs w:val="26"/>
        </w:rPr>
        <w:t xml:space="preserve">, operating </w:t>
      </w:r>
      <w:r w:rsidR="00B00AD2" w:rsidRPr="006171FC">
        <w:rPr>
          <w:color w:val="auto"/>
          <w:szCs w:val="26"/>
        </w:rPr>
        <w:t>expenses,</w:t>
      </w:r>
      <w:r w:rsidR="00EF1DB0" w:rsidRPr="006171FC">
        <w:rPr>
          <w:color w:val="auto"/>
          <w:szCs w:val="26"/>
        </w:rPr>
        <w:t xml:space="preserve"> and operating income for Amblebrook in the first, fifth and tenth year after the W</w:t>
      </w:r>
      <w:r w:rsidR="48B641BA" w:rsidRPr="006171FC">
        <w:rPr>
          <w:color w:val="auto"/>
          <w:szCs w:val="26"/>
        </w:rPr>
        <w:t>W</w:t>
      </w:r>
      <w:r w:rsidR="00EF1DB0" w:rsidRPr="006171FC">
        <w:rPr>
          <w:color w:val="auto"/>
          <w:szCs w:val="26"/>
        </w:rPr>
        <w:t>TP is placed into service</w:t>
      </w:r>
      <w:r w:rsidR="00E275E9" w:rsidRPr="006171FC">
        <w:rPr>
          <w:color w:val="auto"/>
          <w:szCs w:val="26"/>
        </w:rPr>
        <w:t>,</w:t>
      </w:r>
      <w:r w:rsidR="00472043" w:rsidRPr="006171FC">
        <w:rPr>
          <w:color w:val="auto"/>
          <w:szCs w:val="26"/>
        </w:rPr>
        <w:t xml:space="preserve"> as indicated in Table </w:t>
      </w:r>
      <w:r w:rsidR="4F4609E4" w:rsidRPr="006171FC">
        <w:rPr>
          <w:color w:val="auto"/>
          <w:szCs w:val="26"/>
        </w:rPr>
        <w:t>6</w:t>
      </w:r>
      <w:r w:rsidR="00673488">
        <w:rPr>
          <w:color w:val="auto"/>
          <w:szCs w:val="26"/>
        </w:rPr>
        <w:t>, below</w:t>
      </w:r>
      <w:r w:rsidR="00EF1DB0" w:rsidRPr="006171FC">
        <w:rPr>
          <w:color w:val="auto"/>
          <w:szCs w:val="26"/>
        </w:rPr>
        <w:t xml:space="preserve">.  </w:t>
      </w:r>
      <w:r w:rsidR="00B0413D" w:rsidRPr="006171FC">
        <w:rPr>
          <w:color w:val="auto"/>
          <w:szCs w:val="26"/>
        </w:rPr>
        <w:t xml:space="preserve">York-WW indicated the estimated expenses are calculated based on </w:t>
      </w:r>
      <w:r w:rsidR="00A87EF9" w:rsidRPr="006171FC">
        <w:rPr>
          <w:color w:val="auto"/>
          <w:szCs w:val="26"/>
        </w:rPr>
        <w:t>York-WW</w:t>
      </w:r>
      <w:r w:rsidR="00B0413D" w:rsidRPr="006171FC">
        <w:rPr>
          <w:color w:val="auto"/>
          <w:szCs w:val="26"/>
        </w:rPr>
        <w:t xml:space="preserve">’s latest cost of service study performed with the latest </w:t>
      </w:r>
      <w:r w:rsidR="00660E9E" w:rsidRPr="006171FC">
        <w:rPr>
          <w:color w:val="auto"/>
          <w:szCs w:val="26"/>
        </w:rPr>
        <w:t>York-WW</w:t>
      </w:r>
      <w:r w:rsidR="00B0413D" w:rsidRPr="006171FC">
        <w:rPr>
          <w:color w:val="auto"/>
          <w:szCs w:val="26"/>
        </w:rPr>
        <w:t xml:space="preserve"> rate filing effective March 1, 2019.  </w:t>
      </w:r>
      <w:r w:rsidR="00A87EF9" w:rsidRPr="006171FC">
        <w:rPr>
          <w:color w:val="auto"/>
          <w:szCs w:val="26"/>
        </w:rPr>
        <w:t xml:space="preserve">The estimated total annual expenses included </w:t>
      </w:r>
      <w:r w:rsidR="00C62140" w:rsidRPr="006171FC">
        <w:rPr>
          <w:color w:val="auto"/>
          <w:szCs w:val="26"/>
        </w:rPr>
        <w:t>operating and maintenance expenses</w:t>
      </w:r>
      <w:r w:rsidR="00A87EF9" w:rsidRPr="006171FC">
        <w:rPr>
          <w:color w:val="auto"/>
          <w:szCs w:val="26"/>
        </w:rPr>
        <w:t xml:space="preserve">, </w:t>
      </w:r>
      <w:r w:rsidR="0030585C" w:rsidRPr="006171FC">
        <w:rPr>
          <w:color w:val="auto"/>
          <w:szCs w:val="26"/>
        </w:rPr>
        <w:t>d</w:t>
      </w:r>
      <w:r w:rsidR="00A87EF9" w:rsidRPr="006171FC">
        <w:rPr>
          <w:color w:val="auto"/>
          <w:szCs w:val="26"/>
        </w:rPr>
        <w:t xml:space="preserve">epreciation, </w:t>
      </w:r>
      <w:r w:rsidR="00A12C87" w:rsidRPr="006171FC">
        <w:rPr>
          <w:color w:val="auto"/>
          <w:szCs w:val="26"/>
        </w:rPr>
        <w:t>g</w:t>
      </w:r>
      <w:r w:rsidR="00A87EF9" w:rsidRPr="006171FC">
        <w:rPr>
          <w:color w:val="auto"/>
          <w:szCs w:val="26"/>
        </w:rPr>
        <w:t xml:space="preserve">eneral </w:t>
      </w:r>
      <w:r w:rsidR="00A12C87" w:rsidRPr="006171FC">
        <w:rPr>
          <w:color w:val="auto"/>
          <w:szCs w:val="26"/>
        </w:rPr>
        <w:t>t</w:t>
      </w:r>
      <w:r w:rsidR="00A87EF9" w:rsidRPr="006171FC">
        <w:rPr>
          <w:color w:val="auto"/>
          <w:szCs w:val="26"/>
        </w:rPr>
        <w:t>axes</w:t>
      </w:r>
      <w:r w:rsidR="00A12C87" w:rsidRPr="006171FC">
        <w:rPr>
          <w:color w:val="auto"/>
          <w:szCs w:val="26"/>
        </w:rPr>
        <w:t xml:space="preserve"> (i.e., taxes other than income)</w:t>
      </w:r>
      <w:r w:rsidR="00A87EF9" w:rsidRPr="006171FC">
        <w:rPr>
          <w:color w:val="auto"/>
          <w:szCs w:val="26"/>
        </w:rPr>
        <w:t xml:space="preserve">, and </w:t>
      </w:r>
      <w:r w:rsidR="00A12C87" w:rsidRPr="006171FC">
        <w:rPr>
          <w:color w:val="auto"/>
          <w:szCs w:val="26"/>
        </w:rPr>
        <w:t>i</w:t>
      </w:r>
      <w:r w:rsidR="00A87EF9" w:rsidRPr="006171FC">
        <w:rPr>
          <w:color w:val="auto"/>
          <w:szCs w:val="26"/>
        </w:rPr>
        <w:t xml:space="preserve">ncome </w:t>
      </w:r>
      <w:r w:rsidR="00A12C87" w:rsidRPr="006171FC">
        <w:rPr>
          <w:color w:val="auto"/>
          <w:szCs w:val="26"/>
        </w:rPr>
        <w:t>t</w:t>
      </w:r>
      <w:r w:rsidR="00A87EF9" w:rsidRPr="006171FC">
        <w:rPr>
          <w:color w:val="auto"/>
          <w:szCs w:val="26"/>
        </w:rPr>
        <w:t>axes at 34.1, 15.2, 2.1, and 6.7 percent of revenue, respectively.</w:t>
      </w:r>
    </w:p>
    <w:p w14:paraId="5AEAEB5F" w14:textId="2DAC08CA" w:rsidR="00B0413D" w:rsidRPr="00673488" w:rsidRDefault="00B0413D" w:rsidP="003F5041">
      <w:pPr>
        <w:widowControl w:val="0"/>
        <w:spacing w:line="360" w:lineRule="auto"/>
        <w:jc w:val="center"/>
        <w:rPr>
          <w:b/>
          <w:bCs/>
          <w:color w:val="auto"/>
          <w:szCs w:val="26"/>
        </w:rPr>
      </w:pPr>
      <w:r w:rsidRPr="00673488">
        <w:rPr>
          <w:b/>
          <w:bCs/>
          <w:color w:val="auto"/>
          <w:szCs w:val="26"/>
        </w:rPr>
        <w:t xml:space="preserve">Table </w:t>
      </w:r>
      <w:r w:rsidR="761412EC" w:rsidRPr="00673488">
        <w:rPr>
          <w:b/>
          <w:bCs/>
          <w:color w:val="auto"/>
          <w:szCs w:val="26"/>
        </w:rPr>
        <w:t>6</w:t>
      </w:r>
      <w:r w:rsidRPr="00673488">
        <w:rPr>
          <w:b/>
          <w:bCs/>
          <w:color w:val="auto"/>
          <w:szCs w:val="26"/>
        </w:rPr>
        <w:t xml:space="preserve">: </w:t>
      </w:r>
      <w:r w:rsidR="006171FC" w:rsidRPr="00673488">
        <w:rPr>
          <w:b/>
          <w:bCs/>
          <w:color w:val="auto"/>
          <w:szCs w:val="26"/>
        </w:rPr>
        <w:t xml:space="preserve"> </w:t>
      </w:r>
      <w:r w:rsidRPr="00673488">
        <w:rPr>
          <w:b/>
          <w:bCs/>
          <w:color w:val="auto"/>
          <w:szCs w:val="26"/>
        </w:rPr>
        <w:t xml:space="preserve">Breakdown of Estimated Annual </w:t>
      </w:r>
      <w:r w:rsidR="00295145" w:rsidRPr="00673488">
        <w:rPr>
          <w:b/>
          <w:bCs/>
          <w:color w:val="auto"/>
          <w:szCs w:val="26"/>
        </w:rPr>
        <w:t xml:space="preserve">Operating </w:t>
      </w:r>
      <w:r w:rsidRPr="00673488">
        <w:rPr>
          <w:b/>
          <w:bCs/>
          <w:color w:val="auto"/>
          <w:szCs w:val="26"/>
        </w:rPr>
        <w:t xml:space="preserve">Revenues, </w:t>
      </w:r>
      <w:r w:rsidR="00B00AD2" w:rsidRPr="00673488">
        <w:rPr>
          <w:b/>
          <w:bCs/>
          <w:color w:val="auto"/>
          <w:szCs w:val="26"/>
        </w:rPr>
        <w:t>Expenses,</w:t>
      </w:r>
      <w:r w:rsidRPr="00673488">
        <w:rPr>
          <w:b/>
          <w:bCs/>
          <w:color w:val="auto"/>
          <w:szCs w:val="26"/>
        </w:rPr>
        <w:t xml:space="preserve"> and Income</w:t>
      </w:r>
    </w:p>
    <w:tbl>
      <w:tblPr>
        <w:tblStyle w:val="TableGrid"/>
        <w:tblW w:w="5000" w:type="pct"/>
        <w:tblLook w:val="04A0" w:firstRow="1" w:lastRow="0" w:firstColumn="1" w:lastColumn="0" w:noHBand="0" w:noVBand="1"/>
      </w:tblPr>
      <w:tblGrid>
        <w:gridCol w:w="1366"/>
        <w:gridCol w:w="1600"/>
        <w:gridCol w:w="1523"/>
        <w:gridCol w:w="1454"/>
        <w:gridCol w:w="1575"/>
        <w:gridCol w:w="1837"/>
      </w:tblGrid>
      <w:tr w:rsidR="00E12B0D" w:rsidRPr="006171FC" w14:paraId="1E7F10FA" w14:textId="3219BC6A" w:rsidTr="003F5041">
        <w:trPr>
          <w:trHeight w:val="360"/>
        </w:trPr>
        <w:tc>
          <w:tcPr>
            <w:tcW w:w="730" w:type="pct"/>
            <w:tcBorders>
              <w:top w:val="nil"/>
              <w:left w:val="nil"/>
              <w:bottom w:val="single" w:sz="4" w:space="0" w:color="auto"/>
              <w:right w:val="single" w:sz="4" w:space="0" w:color="auto"/>
            </w:tcBorders>
            <w:vAlign w:val="center"/>
          </w:tcPr>
          <w:p w14:paraId="4201BEDE" w14:textId="77777777" w:rsidR="00EF1DB0" w:rsidRPr="006171FC" w:rsidRDefault="00EF1DB0" w:rsidP="00D616B0">
            <w:pPr>
              <w:tabs>
                <w:tab w:val="left" w:pos="4320"/>
              </w:tabs>
              <w:jc w:val="center"/>
              <w:rPr>
                <w:color w:val="auto"/>
                <w:szCs w:val="26"/>
              </w:rPr>
            </w:pPr>
          </w:p>
        </w:tc>
        <w:tc>
          <w:tcPr>
            <w:tcW w:w="855" w:type="pct"/>
            <w:tcBorders>
              <w:left w:val="single" w:sz="4" w:space="0" w:color="auto"/>
              <w:right w:val="single" w:sz="4" w:space="0" w:color="auto"/>
            </w:tcBorders>
            <w:shd w:val="clear" w:color="auto" w:fill="D9D9D9" w:themeFill="background1" w:themeFillShade="D9"/>
          </w:tcPr>
          <w:p w14:paraId="2D931FA3" w14:textId="5535E316" w:rsidR="00EF1DB0" w:rsidRPr="006171FC" w:rsidRDefault="555FAA2E" w:rsidP="00D616B0">
            <w:pPr>
              <w:tabs>
                <w:tab w:val="left" w:pos="4320"/>
              </w:tabs>
              <w:jc w:val="center"/>
              <w:rPr>
                <w:color w:val="auto"/>
                <w:szCs w:val="26"/>
              </w:rPr>
            </w:pPr>
            <w:r w:rsidRPr="006171FC">
              <w:rPr>
                <w:color w:val="auto"/>
                <w:szCs w:val="26"/>
              </w:rPr>
              <w:t>N</w:t>
            </w:r>
            <w:r w:rsidR="74DD9605" w:rsidRPr="006171FC">
              <w:rPr>
                <w:color w:val="auto"/>
                <w:szCs w:val="26"/>
              </w:rPr>
              <w:t>o.</w:t>
            </w:r>
            <w:r w:rsidR="00EF1DB0" w:rsidRPr="006171FC">
              <w:rPr>
                <w:color w:val="auto"/>
                <w:szCs w:val="26"/>
              </w:rPr>
              <w:t xml:space="preserve"> of </w:t>
            </w:r>
            <w:r w:rsidR="67930A00" w:rsidRPr="006171FC">
              <w:rPr>
                <w:color w:val="auto"/>
                <w:szCs w:val="26"/>
              </w:rPr>
              <w:t xml:space="preserve">Residential </w:t>
            </w:r>
            <w:r w:rsidR="00EF1DB0" w:rsidRPr="006171FC">
              <w:rPr>
                <w:color w:val="auto"/>
                <w:szCs w:val="26"/>
              </w:rPr>
              <w:t>Customers</w:t>
            </w:r>
          </w:p>
        </w:tc>
        <w:tc>
          <w:tcPr>
            <w:tcW w:w="814" w:type="pct"/>
            <w:tcBorders>
              <w:left w:val="single" w:sz="4" w:space="0" w:color="auto"/>
              <w:right w:val="single" w:sz="4" w:space="0" w:color="auto"/>
            </w:tcBorders>
            <w:shd w:val="clear" w:color="auto" w:fill="D9D9D9" w:themeFill="background1" w:themeFillShade="D9"/>
          </w:tcPr>
          <w:p w14:paraId="1419B42A" w14:textId="09F8EA24" w:rsidR="00894A3D" w:rsidRPr="006171FC" w:rsidRDefault="00894A3D" w:rsidP="0C27C423">
            <w:pPr>
              <w:jc w:val="center"/>
              <w:rPr>
                <w:color w:val="auto"/>
                <w:szCs w:val="26"/>
              </w:rPr>
            </w:pPr>
            <w:r w:rsidRPr="006171FC">
              <w:rPr>
                <w:color w:val="auto"/>
                <w:szCs w:val="26"/>
              </w:rPr>
              <w:t>No. of Commercial Customers</w:t>
            </w:r>
          </w:p>
        </w:tc>
        <w:tc>
          <w:tcPr>
            <w:tcW w:w="777" w:type="pct"/>
            <w:tcBorders>
              <w:left w:val="single" w:sz="4" w:space="0" w:color="auto"/>
            </w:tcBorders>
            <w:shd w:val="clear" w:color="auto" w:fill="D9D9D9" w:themeFill="background1" w:themeFillShade="D9"/>
            <w:vAlign w:val="center"/>
          </w:tcPr>
          <w:p w14:paraId="58041919" w14:textId="02B5BCC4" w:rsidR="00EF1DB0" w:rsidRPr="006171FC" w:rsidRDefault="555FAA2E" w:rsidP="00D616B0">
            <w:pPr>
              <w:tabs>
                <w:tab w:val="left" w:pos="4320"/>
              </w:tabs>
              <w:jc w:val="center"/>
              <w:rPr>
                <w:color w:val="auto"/>
                <w:szCs w:val="26"/>
              </w:rPr>
            </w:pPr>
            <w:r w:rsidRPr="006171FC">
              <w:rPr>
                <w:color w:val="auto"/>
                <w:szCs w:val="26"/>
              </w:rPr>
              <w:t>Revenue</w:t>
            </w:r>
            <w:r w:rsidR="73A8B555" w:rsidRPr="006171FC">
              <w:rPr>
                <w:color w:val="auto"/>
                <w:szCs w:val="26"/>
              </w:rPr>
              <w:t>s</w:t>
            </w:r>
          </w:p>
        </w:tc>
        <w:tc>
          <w:tcPr>
            <w:tcW w:w="842" w:type="pct"/>
            <w:tcBorders>
              <w:right w:val="single" w:sz="12" w:space="0" w:color="auto"/>
            </w:tcBorders>
            <w:shd w:val="clear" w:color="auto" w:fill="D9D9D9" w:themeFill="background1" w:themeFillShade="D9"/>
            <w:vAlign w:val="center"/>
          </w:tcPr>
          <w:p w14:paraId="3043B4BE" w14:textId="11175431" w:rsidR="00EF1DB0" w:rsidRPr="006171FC" w:rsidRDefault="00EF1DB0" w:rsidP="00D616B0">
            <w:pPr>
              <w:tabs>
                <w:tab w:val="left" w:pos="4320"/>
              </w:tabs>
              <w:jc w:val="center"/>
              <w:rPr>
                <w:color w:val="auto"/>
                <w:szCs w:val="26"/>
              </w:rPr>
            </w:pPr>
            <w:r w:rsidRPr="006171FC">
              <w:rPr>
                <w:color w:val="auto"/>
                <w:szCs w:val="26"/>
              </w:rPr>
              <w:t>Expenses</w:t>
            </w:r>
          </w:p>
        </w:tc>
        <w:tc>
          <w:tcPr>
            <w:tcW w:w="982" w:type="pct"/>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0799CA4" w14:textId="006C4AC2" w:rsidR="00EF1DB0" w:rsidRPr="006171FC" w:rsidRDefault="00EF1DB0" w:rsidP="00821B78">
            <w:pPr>
              <w:tabs>
                <w:tab w:val="left" w:pos="4320"/>
              </w:tabs>
              <w:jc w:val="center"/>
              <w:rPr>
                <w:color w:val="auto"/>
                <w:szCs w:val="26"/>
              </w:rPr>
            </w:pPr>
            <w:r w:rsidRPr="006171FC">
              <w:rPr>
                <w:color w:val="auto"/>
                <w:szCs w:val="26"/>
              </w:rPr>
              <w:t>Net Income</w:t>
            </w:r>
          </w:p>
        </w:tc>
      </w:tr>
      <w:tr w:rsidR="00E12B0D" w:rsidRPr="006171FC" w14:paraId="04E9323F" w14:textId="50C9A325" w:rsidTr="003F5041">
        <w:trPr>
          <w:trHeight w:val="360"/>
        </w:trPr>
        <w:tc>
          <w:tcPr>
            <w:tcW w:w="730" w:type="pct"/>
            <w:tcBorders>
              <w:top w:val="single" w:sz="4" w:space="0" w:color="auto"/>
            </w:tcBorders>
            <w:vAlign w:val="center"/>
          </w:tcPr>
          <w:p w14:paraId="15372D61" w14:textId="6C61FEBF" w:rsidR="00EF1DB0" w:rsidRPr="006171FC" w:rsidRDefault="00EF1DB0" w:rsidP="00D616B0">
            <w:pPr>
              <w:tabs>
                <w:tab w:val="left" w:pos="4320"/>
              </w:tabs>
              <w:jc w:val="center"/>
              <w:rPr>
                <w:color w:val="auto"/>
                <w:szCs w:val="26"/>
              </w:rPr>
            </w:pPr>
            <w:r w:rsidRPr="006171FC">
              <w:rPr>
                <w:color w:val="auto"/>
                <w:szCs w:val="26"/>
              </w:rPr>
              <w:t>1</w:t>
            </w:r>
            <w:r w:rsidRPr="006171FC">
              <w:rPr>
                <w:color w:val="auto"/>
                <w:szCs w:val="26"/>
                <w:vertAlign w:val="superscript"/>
              </w:rPr>
              <w:t>st</w:t>
            </w:r>
            <w:r w:rsidRPr="006171FC">
              <w:rPr>
                <w:color w:val="auto"/>
                <w:szCs w:val="26"/>
              </w:rPr>
              <w:t xml:space="preserve"> Year</w:t>
            </w:r>
          </w:p>
        </w:tc>
        <w:tc>
          <w:tcPr>
            <w:tcW w:w="855" w:type="pct"/>
          </w:tcPr>
          <w:p w14:paraId="04AD0DBD" w14:textId="72559349" w:rsidR="00EF1DB0" w:rsidRPr="006171FC" w:rsidRDefault="555FAA2E" w:rsidP="00D616B0">
            <w:pPr>
              <w:tabs>
                <w:tab w:val="left" w:pos="4320"/>
              </w:tabs>
              <w:jc w:val="center"/>
              <w:rPr>
                <w:color w:val="auto"/>
                <w:szCs w:val="26"/>
              </w:rPr>
            </w:pPr>
            <w:r w:rsidRPr="006171FC">
              <w:rPr>
                <w:color w:val="auto"/>
                <w:szCs w:val="26"/>
              </w:rPr>
              <w:t>43</w:t>
            </w:r>
            <w:r w:rsidR="6221AAC6" w:rsidRPr="006171FC">
              <w:rPr>
                <w:color w:val="auto"/>
                <w:szCs w:val="26"/>
              </w:rPr>
              <w:t>4</w:t>
            </w:r>
          </w:p>
        </w:tc>
        <w:tc>
          <w:tcPr>
            <w:tcW w:w="814" w:type="pct"/>
          </w:tcPr>
          <w:p w14:paraId="2D317A93" w14:textId="73BE481B" w:rsidR="0C27C423" w:rsidRPr="006171FC" w:rsidRDefault="6221AAC6" w:rsidP="0C27C423">
            <w:pPr>
              <w:jc w:val="center"/>
              <w:rPr>
                <w:color w:val="auto"/>
                <w:szCs w:val="26"/>
              </w:rPr>
            </w:pPr>
            <w:r w:rsidRPr="006171FC">
              <w:rPr>
                <w:color w:val="auto"/>
                <w:szCs w:val="26"/>
              </w:rPr>
              <w:t>3</w:t>
            </w:r>
          </w:p>
        </w:tc>
        <w:tc>
          <w:tcPr>
            <w:tcW w:w="777" w:type="pct"/>
            <w:vAlign w:val="center"/>
          </w:tcPr>
          <w:p w14:paraId="00D49BB6" w14:textId="5F26474C" w:rsidR="00EF1DB0" w:rsidRPr="006171FC" w:rsidRDefault="555FAA2E" w:rsidP="00D616B0">
            <w:pPr>
              <w:tabs>
                <w:tab w:val="left" w:pos="4320"/>
              </w:tabs>
              <w:jc w:val="center"/>
              <w:rPr>
                <w:color w:val="auto"/>
                <w:szCs w:val="26"/>
              </w:rPr>
            </w:pPr>
            <w:r w:rsidRPr="006171FC">
              <w:rPr>
                <w:color w:val="auto"/>
                <w:szCs w:val="26"/>
              </w:rPr>
              <w:t>$32</w:t>
            </w:r>
            <w:r w:rsidR="37CDE11B" w:rsidRPr="006171FC">
              <w:rPr>
                <w:color w:val="auto"/>
                <w:szCs w:val="26"/>
              </w:rPr>
              <w:t>7</w:t>
            </w:r>
            <w:r w:rsidRPr="006171FC">
              <w:rPr>
                <w:color w:val="auto"/>
                <w:szCs w:val="26"/>
              </w:rPr>
              <w:t>,</w:t>
            </w:r>
            <w:r w:rsidR="567FCE22" w:rsidRPr="006171FC">
              <w:rPr>
                <w:color w:val="auto"/>
                <w:szCs w:val="26"/>
              </w:rPr>
              <w:t>75</w:t>
            </w:r>
            <w:r w:rsidRPr="006171FC">
              <w:rPr>
                <w:color w:val="auto"/>
                <w:szCs w:val="26"/>
              </w:rPr>
              <w:t>0</w:t>
            </w:r>
          </w:p>
        </w:tc>
        <w:tc>
          <w:tcPr>
            <w:tcW w:w="842" w:type="pct"/>
            <w:tcBorders>
              <w:right w:val="single" w:sz="12" w:space="0" w:color="auto"/>
            </w:tcBorders>
            <w:vAlign w:val="center"/>
          </w:tcPr>
          <w:p w14:paraId="776654CE" w14:textId="6CB0B426" w:rsidR="00EF1DB0" w:rsidRPr="006171FC" w:rsidRDefault="555FAA2E" w:rsidP="00D616B0">
            <w:pPr>
              <w:tabs>
                <w:tab w:val="left" w:pos="4320"/>
              </w:tabs>
              <w:jc w:val="center"/>
              <w:rPr>
                <w:color w:val="auto"/>
                <w:szCs w:val="26"/>
              </w:rPr>
            </w:pPr>
            <w:r w:rsidRPr="006171FC">
              <w:rPr>
                <w:color w:val="auto"/>
                <w:szCs w:val="26"/>
              </w:rPr>
              <w:t>$1</w:t>
            </w:r>
            <w:r w:rsidR="05EC41E1" w:rsidRPr="006171FC">
              <w:rPr>
                <w:color w:val="auto"/>
                <w:szCs w:val="26"/>
              </w:rPr>
              <w:t>90</w:t>
            </w:r>
            <w:r w:rsidRPr="006171FC">
              <w:rPr>
                <w:color w:val="auto"/>
                <w:szCs w:val="26"/>
              </w:rPr>
              <w:t>,</w:t>
            </w:r>
            <w:r w:rsidR="66FAA57B" w:rsidRPr="006171FC">
              <w:rPr>
                <w:color w:val="auto"/>
                <w:szCs w:val="26"/>
              </w:rPr>
              <w:t>423</w:t>
            </w:r>
          </w:p>
        </w:tc>
        <w:tc>
          <w:tcPr>
            <w:tcW w:w="982" w:type="pct"/>
            <w:tcBorders>
              <w:top w:val="single" w:sz="4" w:space="0" w:color="auto"/>
              <w:left w:val="single" w:sz="12" w:space="0" w:color="auto"/>
              <w:bottom w:val="single" w:sz="4" w:space="0" w:color="auto"/>
              <w:right w:val="single" w:sz="4" w:space="0" w:color="auto"/>
            </w:tcBorders>
            <w:vAlign w:val="center"/>
          </w:tcPr>
          <w:p w14:paraId="2BD04BD0" w14:textId="029AB755" w:rsidR="00EF1DB0" w:rsidRPr="006171FC" w:rsidRDefault="555FAA2E" w:rsidP="00D616B0">
            <w:pPr>
              <w:tabs>
                <w:tab w:val="left" w:pos="4320"/>
              </w:tabs>
              <w:jc w:val="center"/>
              <w:rPr>
                <w:color w:val="auto"/>
                <w:szCs w:val="26"/>
              </w:rPr>
            </w:pPr>
            <w:r w:rsidRPr="006171FC">
              <w:rPr>
                <w:color w:val="auto"/>
                <w:szCs w:val="26"/>
              </w:rPr>
              <w:t>$13</w:t>
            </w:r>
            <w:r w:rsidR="07F1E8E9" w:rsidRPr="006171FC">
              <w:rPr>
                <w:color w:val="auto"/>
                <w:szCs w:val="26"/>
              </w:rPr>
              <w:t>7</w:t>
            </w:r>
            <w:r w:rsidRPr="006171FC">
              <w:rPr>
                <w:color w:val="auto"/>
                <w:szCs w:val="26"/>
              </w:rPr>
              <w:t>,</w:t>
            </w:r>
            <w:r w:rsidR="3D3983BE" w:rsidRPr="006171FC">
              <w:rPr>
                <w:color w:val="auto"/>
                <w:szCs w:val="26"/>
              </w:rPr>
              <w:t>327</w:t>
            </w:r>
          </w:p>
        </w:tc>
      </w:tr>
      <w:tr w:rsidR="00E12B0D" w:rsidRPr="006171FC" w14:paraId="77519F4F" w14:textId="13C58F55" w:rsidTr="003F5041">
        <w:trPr>
          <w:trHeight w:val="360"/>
        </w:trPr>
        <w:tc>
          <w:tcPr>
            <w:tcW w:w="730" w:type="pct"/>
            <w:vAlign w:val="center"/>
          </w:tcPr>
          <w:p w14:paraId="01394740" w14:textId="438679C5" w:rsidR="00EF1DB0" w:rsidRPr="006171FC" w:rsidRDefault="00EF1DB0" w:rsidP="00821B78">
            <w:pPr>
              <w:tabs>
                <w:tab w:val="left" w:pos="4320"/>
              </w:tabs>
              <w:jc w:val="center"/>
              <w:rPr>
                <w:color w:val="auto"/>
                <w:szCs w:val="26"/>
              </w:rPr>
            </w:pPr>
            <w:r w:rsidRPr="006171FC">
              <w:rPr>
                <w:color w:val="auto"/>
                <w:szCs w:val="26"/>
              </w:rPr>
              <w:t>5</w:t>
            </w:r>
            <w:r w:rsidRPr="006171FC">
              <w:rPr>
                <w:color w:val="auto"/>
                <w:szCs w:val="26"/>
                <w:vertAlign w:val="superscript"/>
              </w:rPr>
              <w:t>th</w:t>
            </w:r>
            <w:r w:rsidRPr="006171FC">
              <w:rPr>
                <w:color w:val="auto"/>
                <w:szCs w:val="26"/>
              </w:rPr>
              <w:t xml:space="preserve"> Year</w:t>
            </w:r>
          </w:p>
        </w:tc>
        <w:tc>
          <w:tcPr>
            <w:tcW w:w="855" w:type="pct"/>
          </w:tcPr>
          <w:p w14:paraId="3386088B" w14:textId="007D3EA5" w:rsidR="00EF1DB0" w:rsidRPr="006171FC" w:rsidRDefault="555FAA2E" w:rsidP="00821B78">
            <w:pPr>
              <w:tabs>
                <w:tab w:val="left" w:pos="4320"/>
              </w:tabs>
              <w:jc w:val="center"/>
              <w:rPr>
                <w:color w:val="auto"/>
                <w:szCs w:val="26"/>
              </w:rPr>
            </w:pPr>
            <w:r w:rsidRPr="006171FC">
              <w:rPr>
                <w:color w:val="auto"/>
                <w:szCs w:val="26"/>
              </w:rPr>
              <w:t>86</w:t>
            </w:r>
            <w:r w:rsidR="012E2B41" w:rsidRPr="006171FC">
              <w:rPr>
                <w:color w:val="auto"/>
                <w:szCs w:val="26"/>
              </w:rPr>
              <w:t>1</w:t>
            </w:r>
          </w:p>
        </w:tc>
        <w:tc>
          <w:tcPr>
            <w:tcW w:w="814" w:type="pct"/>
          </w:tcPr>
          <w:p w14:paraId="1ED3F95D" w14:textId="185F37C3" w:rsidR="0C27C423" w:rsidRPr="006171FC" w:rsidRDefault="2395E6BE" w:rsidP="0C27C423">
            <w:pPr>
              <w:jc w:val="center"/>
              <w:rPr>
                <w:color w:val="auto"/>
                <w:szCs w:val="26"/>
              </w:rPr>
            </w:pPr>
            <w:r w:rsidRPr="006171FC">
              <w:rPr>
                <w:color w:val="auto"/>
                <w:szCs w:val="26"/>
              </w:rPr>
              <w:t>3</w:t>
            </w:r>
          </w:p>
        </w:tc>
        <w:tc>
          <w:tcPr>
            <w:tcW w:w="777" w:type="pct"/>
            <w:vAlign w:val="center"/>
          </w:tcPr>
          <w:p w14:paraId="0D6F03BF" w14:textId="50077A1D" w:rsidR="00EF1DB0" w:rsidRPr="006171FC" w:rsidRDefault="00EF1DB0" w:rsidP="00821B78">
            <w:pPr>
              <w:tabs>
                <w:tab w:val="left" w:pos="4320"/>
              </w:tabs>
              <w:jc w:val="center"/>
              <w:rPr>
                <w:color w:val="auto"/>
                <w:szCs w:val="26"/>
              </w:rPr>
            </w:pPr>
            <w:r w:rsidRPr="006171FC">
              <w:rPr>
                <w:color w:val="auto"/>
                <w:szCs w:val="26"/>
              </w:rPr>
              <w:t>$</w:t>
            </w:r>
            <w:r w:rsidR="555FAA2E" w:rsidRPr="006171FC">
              <w:rPr>
                <w:color w:val="auto"/>
                <w:szCs w:val="26"/>
              </w:rPr>
              <w:t>64</w:t>
            </w:r>
            <w:r w:rsidR="333E9E99" w:rsidRPr="006171FC">
              <w:rPr>
                <w:color w:val="auto"/>
                <w:szCs w:val="26"/>
              </w:rPr>
              <w:t>8</w:t>
            </w:r>
            <w:r w:rsidRPr="006171FC">
              <w:rPr>
                <w:color w:val="auto"/>
                <w:szCs w:val="26"/>
              </w:rPr>
              <w:t>,</w:t>
            </w:r>
            <w:r w:rsidR="0789D7F4" w:rsidRPr="006171FC">
              <w:rPr>
                <w:color w:val="auto"/>
                <w:szCs w:val="26"/>
              </w:rPr>
              <w:t>00</w:t>
            </w:r>
            <w:r w:rsidR="555FAA2E" w:rsidRPr="006171FC">
              <w:rPr>
                <w:color w:val="auto"/>
                <w:szCs w:val="26"/>
              </w:rPr>
              <w:t>0</w:t>
            </w:r>
          </w:p>
        </w:tc>
        <w:tc>
          <w:tcPr>
            <w:tcW w:w="842" w:type="pct"/>
            <w:tcBorders>
              <w:right w:val="single" w:sz="12" w:space="0" w:color="auto"/>
            </w:tcBorders>
            <w:vAlign w:val="center"/>
          </w:tcPr>
          <w:p w14:paraId="76EF7147" w14:textId="47059CFE" w:rsidR="00EF1DB0" w:rsidRPr="006171FC" w:rsidRDefault="555FAA2E" w:rsidP="00821B78">
            <w:pPr>
              <w:tabs>
                <w:tab w:val="left" w:pos="4320"/>
              </w:tabs>
              <w:jc w:val="center"/>
              <w:rPr>
                <w:color w:val="auto"/>
                <w:szCs w:val="26"/>
              </w:rPr>
            </w:pPr>
            <w:r w:rsidRPr="006171FC">
              <w:rPr>
                <w:color w:val="auto"/>
                <w:szCs w:val="26"/>
              </w:rPr>
              <w:t>$37</w:t>
            </w:r>
            <w:r w:rsidR="71B463B9" w:rsidRPr="006171FC">
              <w:rPr>
                <w:color w:val="auto"/>
                <w:szCs w:val="26"/>
              </w:rPr>
              <w:t>6</w:t>
            </w:r>
            <w:r w:rsidRPr="006171FC">
              <w:rPr>
                <w:color w:val="auto"/>
                <w:szCs w:val="26"/>
              </w:rPr>
              <w:t>,</w:t>
            </w:r>
            <w:r w:rsidR="7035F196" w:rsidRPr="006171FC">
              <w:rPr>
                <w:color w:val="auto"/>
                <w:szCs w:val="26"/>
              </w:rPr>
              <w:t>4</w:t>
            </w:r>
            <w:r w:rsidR="00FF3579" w:rsidRPr="006171FC">
              <w:rPr>
                <w:color w:val="auto"/>
                <w:szCs w:val="26"/>
              </w:rPr>
              <w:t>8</w:t>
            </w:r>
            <w:r w:rsidR="7035F196" w:rsidRPr="006171FC">
              <w:rPr>
                <w:color w:val="auto"/>
                <w:szCs w:val="26"/>
              </w:rPr>
              <w:t>8</w:t>
            </w:r>
          </w:p>
        </w:tc>
        <w:tc>
          <w:tcPr>
            <w:tcW w:w="982" w:type="pct"/>
            <w:tcBorders>
              <w:top w:val="single" w:sz="4" w:space="0" w:color="auto"/>
              <w:left w:val="single" w:sz="12" w:space="0" w:color="auto"/>
              <w:bottom w:val="single" w:sz="4" w:space="0" w:color="auto"/>
              <w:right w:val="single" w:sz="4" w:space="0" w:color="auto"/>
            </w:tcBorders>
            <w:vAlign w:val="center"/>
          </w:tcPr>
          <w:p w14:paraId="5AD9B3A7" w14:textId="3E61FB70" w:rsidR="00EF1DB0" w:rsidRPr="006171FC" w:rsidRDefault="555FAA2E" w:rsidP="00821B78">
            <w:pPr>
              <w:tabs>
                <w:tab w:val="left" w:pos="4320"/>
              </w:tabs>
              <w:jc w:val="center"/>
              <w:rPr>
                <w:color w:val="auto"/>
                <w:szCs w:val="26"/>
              </w:rPr>
            </w:pPr>
            <w:r w:rsidRPr="006171FC">
              <w:rPr>
                <w:color w:val="auto"/>
                <w:szCs w:val="26"/>
              </w:rPr>
              <w:t>$27</w:t>
            </w:r>
            <w:r w:rsidR="4EDF4886" w:rsidRPr="006171FC">
              <w:rPr>
                <w:color w:val="auto"/>
                <w:szCs w:val="26"/>
              </w:rPr>
              <w:t>1</w:t>
            </w:r>
            <w:r w:rsidRPr="006171FC">
              <w:rPr>
                <w:color w:val="auto"/>
                <w:szCs w:val="26"/>
              </w:rPr>
              <w:t>,</w:t>
            </w:r>
            <w:r w:rsidR="12DDDDF4" w:rsidRPr="006171FC">
              <w:rPr>
                <w:color w:val="auto"/>
                <w:szCs w:val="26"/>
              </w:rPr>
              <w:t>5</w:t>
            </w:r>
            <w:r w:rsidR="00FF3579" w:rsidRPr="006171FC">
              <w:rPr>
                <w:color w:val="auto"/>
                <w:szCs w:val="26"/>
              </w:rPr>
              <w:t>5</w:t>
            </w:r>
            <w:r w:rsidR="12DDDDF4" w:rsidRPr="006171FC">
              <w:rPr>
                <w:color w:val="auto"/>
                <w:szCs w:val="26"/>
              </w:rPr>
              <w:t>2</w:t>
            </w:r>
          </w:p>
        </w:tc>
      </w:tr>
      <w:tr w:rsidR="00E12B0D" w:rsidRPr="006171FC" w14:paraId="7B57D4EE" w14:textId="4CEA5D3F" w:rsidTr="003F5041">
        <w:trPr>
          <w:trHeight w:val="360"/>
        </w:trPr>
        <w:tc>
          <w:tcPr>
            <w:tcW w:w="730" w:type="pct"/>
            <w:vAlign w:val="center"/>
          </w:tcPr>
          <w:p w14:paraId="11598AFE" w14:textId="40DA90D6" w:rsidR="00EF1DB0" w:rsidRPr="006171FC" w:rsidRDefault="00EF1DB0" w:rsidP="00821B78">
            <w:pPr>
              <w:tabs>
                <w:tab w:val="left" w:pos="4320"/>
              </w:tabs>
              <w:jc w:val="center"/>
              <w:rPr>
                <w:color w:val="auto"/>
                <w:szCs w:val="26"/>
              </w:rPr>
            </w:pPr>
            <w:r w:rsidRPr="006171FC">
              <w:rPr>
                <w:color w:val="auto"/>
                <w:szCs w:val="26"/>
              </w:rPr>
              <w:t>10</w:t>
            </w:r>
            <w:r w:rsidRPr="006171FC">
              <w:rPr>
                <w:color w:val="auto"/>
                <w:szCs w:val="26"/>
                <w:vertAlign w:val="superscript"/>
              </w:rPr>
              <w:t>th</w:t>
            </w:r>
            <w:r w:rsidRPr="006171FC">
              <w:rPr>
                <w:color w:val="auto"/>
                <w:szCs w:val="26"/>
              </w:rPr>
              <w:t xml:space="preserve"> Year</w:t>
            </w:r>
          </w:p>
        </w:tc>
        <w:tc>
          <w:tcPr>
            <w:tcW w:w="855" w:type="pct"/>
          </w:tcPr>
          <w:p w14:paraId="5265DFEB" w14:textId="3506EA17" w:rsidR="00EF1DB0" w:rsidRPr="006171FC" w:rsidRDefault="00EF1DB0" w:rsidP="00821B78">
            <w:pPr>
              <w:tabs>
                <w:tab w:val="left" w:pos="4320"/>
              </w:tabs>
              <w:jc w:val="center"/>
              <w:rPr>
                <w:color w:val="auto"/>
                <w:szCs w:val="26"/>
              </w:rPr>
            </w:pPr>
            <w:r w:rsidRPr="006171FC">
              <w:rPr>
                <w:color w:val="auto"/>
                <w:szCs w:val="26"/>
              </w:rPr>
              <w:t>1,</w:t>
            </w:r>
            <w:r w:rsidR="555FAA2E" w:rsidRPr="006171FC">
              <w:rPr>
                <w:color w:val="auto"/>
                <w:szCs w:val="26"/>
              </w:rPr>
              <w:t>1</w:t>
            </w:r>
            <w:r w:rsidR="4CCE5602" w:rsidRPr="006171FC">
              <w:rPr>
                <w:color w:val="auto"/>
                <w:szCs w:val="26"/>
              </w:rPr>
              <w:t>39</w:t>
            </w:r>
          </w:p>
        </w:tc>
        <w:tc>
          <w:tcPr>
            <w:tcW w:w="814" w:type="pct"/>
          </w:tcPr>
          <w:p w14:paraId="4387FF3C" w14:textId="3E12B854" w:rsidR="0C27C423" w:rsidRPr="006171FC" w:rsidRDefault="2395E6BE" w:rsidP="0C27C423">
            <w:pPr>
              <w:jc w:val="center"/>
              <w:rPr>
                <w:color w:val="auto"/>
                <w:szCs w:val="26"/>
              </w:rPr>
            </w:pPr>
            <w:r w:rsidRPr="006171FC">
              <w:rPr>
                <w:color w:val="auto"/>
                <w:szCs w:val="26"/>
              </w:rPr>
              <w:t>3</w:t>
            </w:r>
          </w:p>
        </w:tc>
        <w:tc>
          <w:tcPr>
            <w:tcW w:w="777" w:type="pct"/>
            <w:vAlign w:val="center"/>
          </w:tcPr>
          <w:p w14:paraId="3335FE54" w14:textId="6D619B61" w:rsidR="00EF1DB0" w:rsidRPr="006171FC" w:rsidRDefault="555FAA2E" w:rsidP="00821B78">
            <w:pPr>
              <w:tabs>
                <w:tab w:val="left" w:pos="4320"/>
              </w:tabs>
              <w:jc w:val="center"/>
              <w:rPr>
                <w:color w:val="auto"/>
                <w:szCs w:val="26"/>
              </w:rPr>
            </w:pPr>
            <w:r w:rsidRPr="006171FC">
              <w:rPr>
                <w:color w:val="auto"/>
                <w:szCs w:val="26"/>
              </w:rPr>
              <w:t>$85</w:t>
            </w:r>
            <w:r w:rsidR="035052E3" w:rsidRPr="006171FC">
              <w:rPr>
                <w:color w:val="auto"/>
                <w:szCs w:val="26"/>
              </w:rPr>
              <w:t>6</w:t>
            </w:r>
            <w:r w:rsidRPr="006171FC">
              <w:rPr>
                <w:color w:val="auto"/>
                <w:szCs w:val="26"/>
              </w:rPr>
              <w:t>,</w:t>
            </w:r>
            <w:r w:rsidR="5FFA9430" w:rsidRPr="006171FC">
              <w:rPr>
                <w:color w:val="auto"/>
                <w:szCs w:val="26"/>
              </w:rPr>
              <w:t>500</w:t>
            </w:r>
          </w:p>
        </w:tc>
        <w:tc>
          <w:tcPr>
            <w:tcW w:w="842" w:type="pct"/>
            <w:tcBorders>
              <w:right w:val="single" w:sz="12" w:space="0" w:color="auto"/>
            </w:tcBorders>
            <w:vAlign w:val="center"/>
          </w:tcPr>
          <w:p w14:paraId="396A9E01" w14:textId="3D3B334E" w:rsidR="00EF1DB0" w:rsidRPr="006171FC" w:rsidRDefault="555FAA2E" w:rsidP="00821B78">
            <w:pPr>
              <w:tabs>
                <w:tab w:val="left" w:pos="4320"/>
              </w:tabs>
              <w:jc w:val="center"/>
              <w:rPr>
                <w:color w:val="auto"/>
                <w:szCs w:val="26"/>
              </w:rPr>
            </w:pPr>
            <w:r w:rsidRPr="006171FC">
              <w:rPr>
                <w:color w:val="auto"/>
                <w:szCs w:val="26"/>
              </w:rPr>
              <w:t>$49</w:t>
            </w:r>
            <w:r w:rsidR="7323B61C" w:rsidRPr="006171FC">
              <w:rPr>
                <w:color w:val="auto"/>
                <w:szCs w:val="26"/>
              </w:rPr>
              <w:t>7,627</w:t>
            </w:r>
          </w:p>
        </w:tc>
        <w:tc>
          <w:tcPr>
            <w:tcW w:w="982" w:type="pct"/>
            <w:tcBorders>
              <w:top w:val="single" w:sz="4" w:space="0" w:color="auto"/>
              <w:left w:val="single" w:sz="12" w:space="0" w:color="auto"/>
              <w:bottom w:val="single" w:sz="4" w:space="0" w:color="auto"/>
              <w:right w:val="single" w:sz="4" w:space="0" w:color="auto"/>
            </w:tcBorders>
            <w:vAlign w:val="center"/>
          </w:tcPr>
          <w:p w14:paraId="4A3C5CC3" w14:textId="357A6D6E" w:rsidR="00EF1DB0" w:rsidRPr="006171FC" w:rsidRDefault="00EF1DB0" w:rsidP="00821B78">
            <w:pPr>
              <w:tabs>
                <w:tab w:val="left" w:pos="4320"/>
              </w:tabs>
              <w:jc w:val="center"/>
              <w:rPr>
                <w:color w:val="auto"/>
                <w:szCs w:val="26"/>
              </w:rPr>
            </w:pPr>
            <w:r w:rsidRPr="006171FC">
              <w:rPr>
                <w:color w:val="auto"/>
                <w:szCs w:val="26"/>
              </w:rPr>
              <w:t>$358,</w:t>
            </w:r>
            <w:r w:rsidR="4DEE4701" w:rsidRPr="006171FC">
              <w:rPr>
                <w:color w:val="auto"/>
                <w:szCs w:val="26"/>
              </w:rPr>
              <w:t>874</w:t>
            </w:r>
          </w:p>
        </w:tc>
      </w:tr>
    </w:tbl>
    <w:p w14:paraId="3B6FFE0D" w14:textId="67D29A20" w:rsidR="00981BE5" w:rsidRDefault="00981BE5" w:rsidP="006171FC">
      <w:pPr>
        <w:tabs>
          <w:tab w:val="left" w:pos="4320"/>
        </w:tabs>
        <w:spacing w:line="360" w:lineRule="auto"/>
        <w:rPr>
          <w:bCs/>
          <w:color w:val="auto"/>
          <w:szCs w:val="26"/>
        </w:rPr>
      </w:pPr>
    </w:p>
    <w:p w14:paraId="156FB297" w14:textId="77777777" w:rsidR="00981BE5" w:rsidRDefault="00981BE5">
      <w:pPr>
        <w:rPr>
          <w:bCs/>
          <w:color w:val="auto"/>
          <w:szCs w:val="26"/>
        </w:rPr>
      </w:pPr>
      <w:r>
        <w:rPr>
          <w:bCs/>
          <w:color w:val="auto"/>
          <w:szCs w:val="26"/>
        </w:rPr>
        <w:br w:type="page"/>
      </w:r>
    </w:p>
    <w:p w14:paraId="71FF6373" w14:textId="3C897040" w:rsidR="00C376BB" w:rsidRPr="006171FC" w:rsidRDefault="4C30912D" w:rsidP="004F23F9">
      <w:pPr>
        <w:pStyle w:val="ListParagraph"/>
        <w:numPr>
          <w:ilvl w:val="0"/>
          <w:numId w:val="5"/>
        </w:numPr>
        <w:spacing w:before="240" w:after="240" w:line="360" w:lineRule="auto"/>
        <w:contextualSpacing w:val="0"/>
        <w:rPr>
          <w:color w:val="auto"/>
          <w:szCs w:val="26"/>
        </w:rPr>
      </w:pPr>
      <w:r w:rsidRPr="006171FC">
        <w:rPr>
          <w:b/>
          <w:bCs/>
          <w:color w:val="auto"/>
          <w:szCs w:val="26"/>
        </w:rPr>
        <w:lastRenderedPageBreak/>
        <w:t>PERMITS REQUIRED</w:t>
      </w:r>
    </w:p>
    <w:p w14:paraId="48599858" w14:textId="5983787F" w:rsidR="00922F07" w:rsidRPr="006171FC" w:rsidRDefault="00922F07" w:rsidP="00922F07">
      <w:pPr>
        <w:pStyle w:val="ListParagraph"/>
        <w:tabs>
          <w:tab w:val="left" w:pos="4320"/>
        </w:tabs>
        <w:spacing w:after="240" w:line="360" w:lineRule="auto"/>
        <w:ind w:left="0" w:firstLine="720"/>
        <w:contextualSpacing w:val="0"/>
        <w:rPr>
          <w:color w:val="auto"/>
          <w:szCs w:val="26"/>
        </w:rPr>
      </w:pPr>
      <w:r w:rsidRPr="006171FC">
        <w:rPr>
          <w:color w:val="auto"/>
          <w:szCs w:val="26"/>
        </w:rPr>
        <w:t>York-WW indicated</w:t>
      </w:r>
      <w:r w:rsidR="007D3AC1" w:rsidRPr="006171FC">
        <w:rPr>
          <w:color w:val="auto"/>
          <w:szCs w:val="26"/>
        </w:rPr>
        <w:t xml:space="preserve"> </w:t>
      </w:r>
      <w:r w:rsidR="00583852" w:rsidRPr="006171FC">
        <w:rPr>
          <w:color w:val="auto"/>
          <w:szCs w:val="26"/>
        </w:rPr>
        <w:t>i</w:t>
      </w:r>
      <w:r w:rsidR="00CE50E2" w:rsidRPr="006171FC">
        <w:rPr>
          <w:color w:val="auto"/>
          <w:szCs w:val="26"/>
        </w:rPr>
        <w:t>n s</w:t>
      </w:r>
      <w:r w:rsidR="008663DC" w:rsidRPr="006171FC">
        <w:rPr>
          <w:color w:val="auto"/>
          <w:szCs w:val="26"/>
        </w:rPr>
        <w:t>upple</w:t>
      </w:r>
      <w:r w:rsidR="00EF1B93" w:rsidRPr="006171FC">
        <w:rPr>
          <w:color w:val="auto"/>
          <w:szCs w:val="26"/>
        </w:rPr>
        <w:t>mental i</w:t>
      </w:r>
      <w:r w:rsidR="0080371F" w:rsidRPr="006171FC">
        <w:rPr>
          <w:color w:val="auto"/>
          <w:szCs w:val="26"/>
        </w:rPr>
        <w:t>nformation</w:t>
      </w:r>
      <w:r w:rsidR="0081285A" w:rsidRPr="006171FC">
        <w:rPr>
          <w:color w:val="auto"/>
          <w:szCs w:val="26"/>
        </w:rPr>
        <w:t xml:space="preserve"> fil</w:t>
      </w:r>
      <w:r w:rsidR="00F2445E" w:rsidRPr="006171FC">
        <w:rPr>
          <w:color w:val="auto"/>
          <w:szCs w:val="26"/>
        </w:rPr>
        <w:t xml:space="preserve">ed with the Commission that </w:t>
      </w:r>
      <w:r w:rsidR="007D3AC1" w:rsidRPr="006171FC">
        <w:rPr>
          <w:color w:val="auto"/>
          <w:szCs w:val="26"/>
        </w:rPr>
        <w:t>Rock Creek is obl</w:t>
      </w:r>
      <w:r w:rsidR="00EB45F2" w:rsidRPr="006171FC">
        <w:rPr>
          <w:color w:val="auto"/>
          <w:szCs w:val="26"/>
        </w:rPr>
        <w:t>igated by the Developer Agreement</w:t>
      </w:r>
      <w:r w:rsidR="00147F2F" w:rsidRPr="006171FC">
        <w:rPr>
          <w:color w:val="auto"/>
          <w:szCs w:val="26"/>
        </w:rPr>
        <w:t xml:space="preserve"> </w:t>
      </w:r>
      <w:r w:rsidR="007A1995" w:rsidRPr="006171FC">
        <w:rPr>
          <w:color w:val="auto"/>
          <w:szCs w:val="26"/>
        </w:rPr>
        <w:t>to</w:t>
      </w:r>
      <w:r w:rsidRPr="006171FC">
        <w:rPr>
          <w:color w:val="auto"/>
          <w:szCs w:val="26"/>
        </w:rPr>
        <w:t xml:space="preserve"> apply to DEP to transfer </w:t>
      </w:r>
      <w:r w:rsidR="005F7646" w:rsidRPr="006171FC">
        <w:rPr>
          <w:color w:val="auto"/>
          <w:szCs w:val="26"/>
        </w:rPr>
        <w:t>Rock Creek</w:t>
      </w:r>
      <w:r w:rsidRPr="006171FC">
        <w:rPr>
          <w:color w:val="auto"/>
          <w:szCs w:val="26"/>
        </w:rPr>
        <w:t xml:space="preserve">’s </w:t>
      </w:r>
      <w:r w:rsidR="00717D14" w:rsidRPr="006171FC">
        <w:rPr>
          <w:color w:val="auto"/>
          <w:szCs w:val="26"/>
        </w:rPr>
        <w:t>NPDES</w:t>
      </w:r>
      <w:r w:rsidR="006743A1" w:rsidRPr="006171FC">
        <w:rPr>
          <w:color w:val="auto"/>
          <w:szCs w:val="26"/>
        </w:rPr>
        <w:t xml:space="preserve"> </w:t>
      </w:r>
      <w:r w:rsidRPr="006171FC">
        <w:rPr>
          <w:color w:val="auto"/>
          <w:szCs w:val="26"/>
        </w:rPr>
        <w:t xml:space="preserve">Permit No. </w:t>
      </w:r>
      <w:r w:rsidR="006C32CB" w:rsidRPr="006171FC">
        <w:rPr>
          <w:color w:val="auto"/>
          <w:szCs w:val="26"/>
        </w:rPr>
        <w:t>0</w:t>
      </w:r>
      <w:r w:rsidR="003C7088" w:rsidRPr="006171FC">
        <w:rPr>
          <w:color w:val="auto"/>
          <w:szCs w:val="26"/>
        </w:rPr>
        <w:t>2477</w:t>
      </w:r>
      <w:r w:rsidR="00055693" w:rsidRPr="006171FC">
        <w:rPr>
          <w:color w:val="auto"/>
          <w:szCs w:val="26"/>
        </w:rPr>
        <w:t>15</w:t>
      </w:r>
      <w:r w:rsidRPr="006171FC">
        <w:rPr>
          <w:color w:val="auto"/>
          <w:szCs w:val="26"/>
        </w:rPr>
        <w:t xml:space="preserve"> </w:t>
      </w:r>
      <w:r w:rsidR="006743A1" w:rsidRPr="006171FC">
        <w:rPr>
          <w:color w:val="auto"/>
          <w:szCs w:val="26"/>
        </w:rPr>
        <w:t>and W</w:t>
      </w:r>
      <w:r w:rsidR="006C32CB" w:rsidRPr="006171FC">
        <w:rPr>
          <w:color w:val="auto"/>
          <w:szCs w:val="26"/>
        </w:rPr>
        <w:t xml:space="preserve">QM </w:t>
      </w:r>
      <w:r w:rsidRPr="006171FC">
        <w:rPr>
          <w:color w:val="auto"/>
          <w:szCs w:val="26"/>
        </w:rPr>
        <w:t xml:space="preserve">Permit No. </w:t>
      </w:r>
      <w:r w:rsidR="00137382" w:rsidRPr="006171FC">
        <w:rPr>
          <w:color w:val="auto"/>
          <w:szCs w:val="26"/>
        </w:rPr>
        <w:t>011</w:t>
      </w:r>
      <w:r w:rsidR="00A5272F" w:rsidRPr="006171FC">
        <w:rPr>
          <w:color w:val="auto"/>
          <w:szCs w:val="26"/>
        </w:rPr>
        <w:t>7401</w:t>
      </w:r>
      <w:r w:rsidRPr="006171FC">
        <w:rPr>
          <w:color w:val="auto"/>
          <w:szCs w:val="26"/>
        </w:rPr>
        <w:t xml:space="preserve"> to York-WW</w:t>
      </w:r>
      <w:r w:rsidR="00A507CD" w:rsidRPr="006171FC">
        <w:rPr>
          <w:color w:val="auto"/>
          <w:szCs w:val="26"/>
        </w:rPr>
        <w:t xml:space="preserve"> upon the approval of the Application by the Comm</w:t>
      </w:r>
      <w:r w:rsidR="006E2385" w:rsidRPr="006171FC">
        <w:rPr>
          <w:color w:val="auto"/>
          <w:szCs w:val="26"/>
        </w:rPr>
        <w:t>ission.</w:t>
      </w:r>
    </w:p>
    <w:p w14:paraId="44CAB16A" w14:textId="3D7744CF" w:rsidR="00DE0783" w:rsidRPr="006171FC" w:rsidRDefault="00DE0783" w:rsidP="22A753FC">
      <w:pPr>
        <w:pStyle w:val="ListParagraph"/>
        <w:numPr>
          <w:ilvl w:val="0"/>
          <w:numId w:val="5"/>
        </w:numPr>
        <w:tabs>
          <w:tab w:val="left" w:pos="4320"/>
        </w:tabs>
        <w:spacing w:after="240" w:line="360" w:lineRule="auto"/>
        <w:contextualSpacing w:val="0"/>
        <w:rPr>
          <w:b/>
          <w:bCs/>
          <w:color w:val="auto"/>
          <w:szCs w:val="26"/>
        </w:rPr>
      </w:pPr>
      <w:r w:rsidRPr="006171FC">
        <w:rPr>
          <w:b/>
          <w:color w:val="auto"/>
          <w:szCs w:val="26"/>
        </w:rPr>
        <w:t>LAND-USE PLANNING COMPLIANCE</w:t>
      </w:r>
    </w:p>
    <w:p w14:paraId="2B7CFD62" w14:textId="1579F21F" w:rsidR="003D31B4" w:rsidRPr="006171FC" w:rsidRDefault="004363B5" w:rsidP="00B82598">
      <w:pPr>
        <w:pStyle w:val="ListParagraph"/>
        <w:tabs>
          <w:tab w:val="left" w:pos="4320"/>
        </w:tabs>
        <w:spacing w:after="240" w:line="360" w:lineRule="auto"/>
        <w:ind w:left="0" w:firstLine="720"/>
        <w:contextualSpacing w:val="0"/>
        <w:rPr>
          <w:color w:val="auto"/>
          <w:szCs w:val="26"/>
        </w:rPr>
      </w:pPr>
      <w:r w:rsidRPr="006171FC">
        <w:rPr>
          <w:color w:val="auto"/>
          <w:szCs w:val="26"/>
        </w:rPr>
        <w:t>York-WW</w:t>
      </w:r>
      <w:r w:rsidR="00B82598" w:rsidRPr="006171FC">
        <w:rPr>
          <w:color w:val="auto"/>
          <w:szCs w:val="26"/>
        </w:rPr>
        <w:t xml:space="preserve"> sent land-use planning compliance verification letters to the Straban Township Board of Supervisors</w:t>
      </w:r>
      <w:r w:rsidR="00343077" w:rsidRPr="006171FC">
        <w:rPr>
          <w:color w:val="auto"/>
          <w:szCs w:val="26"/>
        </w:rPr>
        <w:t xml:space="preserve"> (</w:t>
      </w:r>
      <w:r w:rsidR="00BB0B2C" w:rsidRPr="006171FC">
        <w:rPr>
          <w:color w:val="auto"/>
          <w:szCs w:val="26"/>
        </w:rPr>
        <w:t xml:space="preserve">Straban </w:t>
      </w:r>
      <w:r w:rsidR="00343077" w:rsidRPr="006171FC">
        <w:rPr>
          <w:color w:val="auto"/>
          <w:szCs w:val="26"/>
        </w:rPr>
        <w:t>Board)</w:t>
      </w:r>
      <w:r w:rsidR="00B82598" w:rsidRPr="006171FC">
        <w:rPr>
          <w:color w:val="auto"/>
          <w:szCs w:val="26"/>
        </w:rPr>
        <w:t xml:space="preserve"> and the Adams County Office of Pla</w:t>
      </w:r>
      <w:r w:rsidR="00343077" w:rsidRPr="006171FC">
        <w:rPr>
          <w:color w:val="auto"/>
          <w:szCs w:val="26"/>
        </w:rPr>
        <w:t>nning and Development</w:t>
      </w:r>
      <w:r w:rsidR="00BB0B2C" w:rsidRPr="006171FC">
        <w:rPr>
          <w:color w:val="auto"/>
          <w:szCs w:val="26"/>
        </w:rPr>
        <w:t xml:space="preserve"> (Adams Planning)</w:t>
      </w:r>
      <w:r w:rsidR="00343077" w:rsidRPr="006171FC">
        <w:rPr>
          <w:color w:val="auto"/>
          <w:szCs w:val="26"/>
        </w:rPr>
        <w:t>.  Copies of these letters, dated May 14, 2019 and May 29, 2019</w:t>
      </w:r>
      <w:r w:rsidR="00C367F1" w:rsidRPr="006171FC">
        <w:rPr>
          <w:color w:val="auto"/>
          <w:szCs w:val="26"/>
        </w:rPr>
        <w:t>,</w:t>
      </w:r>
      <w:r w:rsidR="00343077" w:rsidRPr="006171FC">
        <w:rPr>
          <w:color w:val="auto"/>
          <w:szCs w:val="26"/>
        </w:rPr>
        <w:t xml:space="preserve"> respectively, were provided in the Application as Exhibit G.</w:t>
      </w:r>
      <w:r w:rsidR="00BB0B2C" w:rsidRPr="006171FC">
        <w:rPr>
          <w:color w:val="auto"/>
          <w:szCs w:val="26"/>
        </w:rPr>
        <w:t xml:space="preserve">  The Straban Board </w:t>
      </w:r>
      <w:r w:rsidR="003E17A8" w:rsidRPr="006171FC">
        <w:rPr>
          <w:color w:val="auto"/>
          <w:szCs w:val="26"/>
        </w:rPr>
        <w:t xml:space="preserve">identified </w:t>
      </w:r>
      <w:r w:rsidR="00BB0B2C" w:rsidRPr="006171FC">
        <w:rPr>
          <w:color w:val="auto"/>
          <w:szCs w:val="26"/>
        </w:rPr>
        <w:t>that the Ap</w:t>
      </w:r>
      <w:r w:rsidR="002F1F14" w:rsidRPr="006171FC">
        <w:rPr>
          <w:color w:val="auto"/>
          <w:szCs w:val="26"/>
        </w:rPr>
        <w:t>plication is consistent with any adopted municipal comprehensive plans and/or zoning ordinances</w:t>
      </w:r>
      <w:r w:rsidR="00AA6902" w:rsidRPr="006171FC">
        <w:rPr>
          <w:color w:val="auto"/>
          <w:szCs w:val="26"/>
        </w:rPr>
        <w:t xml:space="preserve"> and </w:t>
      </w:r>
      <w:r w:rsidR="00D43AC7" w:rsidRPr="006171FC">
        <w:rPr>
          <w:color w:val="auto"/>
          <w:szCs w:val="26"/>
        </w:rPr>
        <w:t>indicated</w:t>
      </w:r>
      <w:r w:rsidR="003E17A8" w:rsidRPr="006171FC">
        <w:rPr>
          <w:color w:val="auto"/>
          <w:szCs w:val="26"/>
        </w:rPr>
        <w:t xml:space="preserve"> its support of a service territory defined to include the boundaries of Amblebrook and </w:t>
      </w:r>
      <w:r w:rsidR="001B5D75" w:rsidRPr="006171FC">
        <w:rPr>
          <w:color w:val="auto"/>
          <w:szCs w:val="26"/>
        </w:rPr>
        <w:t xml:space="preserve">Nearby Lands </w:t>
      </w:r>
      <w:r w:rsidR="00856D9A" w:rsidRPr="006171FC">
        <w:rPr>
          <w:color w:val="auto"/>
          <w:szCs w:val="26"/>
        </w:rPr>
        <w:t>presented graphically in Exhibit A as an attachment to its letter</w:t>
      </w:r>
      <w:r w:rsidR="002F1F14" w:rsidRPr="006171FC">
        <w:rPr>
          <w:color w:val="auto"/>
          <w:szCs w:val="26"/>
        </w:rPr>
        <w:t xml:space="preserve">.  </w:t>
      </w:r>
      <w:r w:rsidR="003E17A8" w:rsidRPr="006171FC">
        <w:rPr>
          <w:color w:val="auto"/>
          <w:szCs w:val="26"/>
        </w:rPr>
        <w:t xml:space="preserve">Adams Planning </w:t>
      </w:r>
      <w:r w:rsidR="00856D9A" w:rsidRPr="006171FC">
        <w:rPr>
          <w:color w:val="auto"/>
          <w:szCs w:val="26"/>
        </w:rPr>
        <w:t xml:space="preserve">indicated </w:t>
      </w:r>
      <w:r w:rsidR="006D1DE3" w:rsidRPr="006171FC">
        <w:rPr>
          <w:color w:val="auto"/>
          <w:szCs w:val="26"/>
        </w:rPr>
        <w:t xml:space="preserve">its </w:t>
      </w:r>
      <w:r w:rsidR="00856D9A" w:rsidRPr="006171FC">
        <w:rPr>
          <w:color w:val="auto"/>
          <w:szCs w:val="26"/>
        </w:rPr>
        <w:t xml:space="preserve">support of the Amblebrook </w:t>
      </w:r>
      <w:r w:rsidR="001654D9" w:rsidRPr="006171FC">
        <w:rPr>
          <w:color w:val="auto"/>
          <w:szCs w:val="26"/>
        </w:rPr>
        <w:t xml:space="preserve">portion of the requested </w:t>
      </w:r>
      <w:r w:rsidR="00856D9A" w:rsidRPr="006171FC">
        <w:rPr>
          <w:color w:val="auto"/>
          <w:szCs w:val="26"/>
        </w:rPr>
        <w:t>service territory</w:t>
      </w:r>
      <w:r w:rsidR="006D1DE3" w:rsidRPr="006171FC">
        <w:rPr>
          <w:color w:val="auto"/>
          <w:szCs w:val="26"/>
        </w:rPr>
        <w:t xml:space="preserve"> but identified it</w:t>
      </w:r>
      <w:r w:rsidR="00856D9A" w:rsidRPr="006171FC">
        <w:rPr>
          <w:color w:val="auto"/>
          <w:szCs w:val="26"/>
        </w:rPr>
        <w:t xml:space="preserve"> cannot support the </w:t>
      </w:r>
      <w:r w:rsidR="00AF3B01" w:rsidRPr="006171FC">
        <w:rPr>
          <w:color w:val="auto"/>
          <w:szCs w:val="26"/>
        </w:rPr>
        <w:t>inclusion of Nearby Lands</w:t>
      </w:r>
      <w:r w:rsidR="006D1DE3" w:rsidRPr="006171FC">
        <w:rPr>
          <w:color w:val="auto"/>
          <w:szCs w:val="26"/>
        </w:rPr>
        <w:t xml:space="preserve"> in the manner </w:t>
      </w:r>
      <w:r w:rsidR="005125C9" w:rsidRPr="006171FC">
        <w:rPr>
          <w:color w:val="auto"/>
          <w:szCs w:val="26"/>
        </w:rPr>
        <w:t>which it</w:t>
      </w:r>
      <w:r w:rsidR="006D1DE3" w:rsidRPr="006171FC">
        <w:rPr>
          <w:color w:val="auto"/>
          <w:szCs w:val="26"/>
        </w:rPr>
        <w:t xml:space="preserve"> is proposed by </w:t>
      </w:r>
      <w:r w:rsidRPr="006171FC">
        <w:rPr>
          <w:color w:val="auto"/>
          <w:szCs w:val="26"/>
        </w:rPr>
        <w:t>York-WW</w:t>
      </w:r>
      <w:r w:rsidR="006D1DE3" w:rsidRPr="006171FC">
        <w:rPr>
          <w:color w:val="auto"/>
          <w:szCs w:val="26"/>
        </w:rPr>
        <w:t>.  Additionally, Adams Planning</w:t>
      </w:r>
      <w:r w:rsidR="00856D9A" w:rsidRPr="006171FC">
        <w:rPr>
          <w:color w:val="auto"/>
          <w:szCs w:val="26"/>
        </w:rPr>
        <w:t xml:space="preserve"> </w:t>
      </w:r>
      <w:r w:rsidR="006D1DE3" w:rsidRPr="006171FC">
        <w:rPr>
          <w:color w:val="auto"/>
          <w:szCs w:val="26"/>
        </w:rPr>
        <w:t xml:space="preserve">acknowledged that a portion of the </w:t>
      </w:r>
      <w:r w:rsidRPr="006171FC">
        <w:rPr>
          <w:color w:val="auto"/>
          <w:szCs w:val="26"/>
        </w:rPr>
        <w:t>York-WW</w:t>
      </w:r>
      <w:r w:rsidR="006D1DE3" w:rsidRPr="006171FC">
        <w:rPr>
          <w:color w:val="auto"/>
          <w:szCs w:val="26"/>
        </w:rPr>
        <w:t>’s requested service territory is in an area that is part of the Gettysburg Municipal Authority’s (GMA’s) current and</w:t>
      </w:r>
      <w:r w:rsidR="003370E5" w:rsidRPr="006171FC">
        <w:rPr>
          <w:color w:val="auto"/>
          <w:szCs w:val="26"/>
        </w:rPr>
        <w:t>/or</w:t>
      </w:r>
      <w:r w:rsidR="006D1DE3" w:rsidRPr="006171FC">
        <w:rPr>
          <w:color w:val="auto"/>
          <w:szCs w:val="26"/>
        </w:rPr>
        <w:t xml:space="preserve"> future service areas.</w:t>
      </w:r>
    </w:p>
    <w:p w14:paraId="5C1FCFD1" w14:textId="74282088" w:rsidR="00B82598" w:rsidRPr="006171FC" w:rsidRDefault="003D31B4" w:rsidP="00B82598">
      <w:pPr>
        <w:pStyle w:val="ListParagraph"/>
        <w:tabs>
          <w:tab w:val="left" w:pos="4320"/>
        </w:tabs>
        <w:spacing w:after="240" w:line="360" w:lineRule="auto"/>
        <w:ind w:left="0" w:firstLine="720"/>
        <w:contextualSpacing w:val="0"/>
        <w:rPr>
          <w:bCs/>
          <w:color w:val="auto"/>
          <w:szCs w:val="26"/>
        </w:rPr>
      </w:pPr>
      <w:r w:rsidRPr="006171FC">
        <w:rPr>
          <w:bCs/>
          <w:color w:val="auto"/>
          <w:szCs w:val="26"/>
        </w:rPr>
        <w:t xml:space="preserve">In the Application’s Exhibit G, </w:t>
      </w:r>
      <w:r w:rsidR="004363B5" w:rsidRPr="006171FC">
        <w:rPr>
          <w:bCs/>
          <w:color w:val="auto"/>
          <w:szCs w:val="26"/>
        </w:rPr>
        <w:t>York-WW</w:t>
      </w:r>
      <w:r w:rsidRPr="006171FC">
        <w:rPr>
          <w:bCs/>
          <w:color w:val="auto"/>
          <w:szCs w:val="26"/>
        </w:rPr>
        <w:t xml:space="preserve"> provided a copy of </w:t>
      </w:r>
      <w:r w:rsidR="002C6BF0" w:rsidRPr="006171FC">
        <w:rPr>
          <w:bCs/>
          <w:color w:val="auto"/>
          <w:szCs w:val="26"/>
        </w:rPr>
        <w:t xml:space="preserve">a </w:t>
      </w:r>
      <w:r w:rsidRPr="006171FC">
        <w:rPr>
          <w:bCs/>
          <w:color w:val="auto"/>
          <w:szCs w:val="26"/>
        </w:rPr>
        <w:t xml:space="preserve">letter it sent GMA to verify </w:t>
      </w:r>
      <w:r w:rsidR="004363B5" w:rsidRPr="006171FC">
        <w:rPr>
          <w:bCs/>
          <w:color w:val="auto"/>
          <w:szCs w:val="26"/>
        </w:rPr>
        <w:t>York-WW</w:t>
      </w:r>
      <w:r w:rsidRPr="006171FC">
        <w:rPr>
          <w:bCs/>
          <w:color w:val="auto"/>
          <w:szCs w:val="26"/>
        </w:rPr>
        <w:t xml:space="preserve">’s requested territory does not create a conflict of interest with GMA’s existing service area (GMA Letter).  The GMA Letter indicates </w:t>
      </w:r>
      <w:r w:rsidR="004363B5" w:rsidRPr="006171FC">
        <w:rPr>
          <w:bCs/>
          <w:color w:val="auto"/>
          <w:szCs w:val="26"/>
        </w:rPr>
        <w:t>York-WW</w:t>
      </w:r>
      <w:r w:rsidRPr="006171FC">
        <w:rPr>
          <w:bCs/>
          <w:color w:val="auto"/>
          <w:szCs w:val="26"/>
        </w:rPr>
        <w:t>, in reviewing GMA’s concerns, proposed to modify its proposed sewer areas</w:t>
      </w:r>
      <w:r w:rsidR="002C6BF0" w:rsidRPr="006171FC">
        <w:rPr>
          <w:bCs/>
          <w:color w:val="auto"/>
          <w:szCs w:val="26"/>
        </w:rPr>
        <w:t xml:space="preserve"> so that its requested territory would include only Amblebrook as defined in </w:t>
      </w:r>
      <w:r w:rsidR="00E2340C" w:rsidRPr="006171FC">
        <w:rPr>
          <w:bCs/>
          <w:color w:val="auto"/>
          <w:szCs w:val="26"/>
        </w:rPr>
        <w:t>a map</w:t>
      </w:r>
      <w:r w:rsidR="002C6BF0" w:rsidRPr="006171FC">
        <w:rPr>
          <w:bCs/>
          <w:color w:val="auto"/>
          <w:szCs w:val="26"/>
        </w:rPr>
        <w:t xml:space="preserve"> attached </w:t>
      </w:r>
      <w:r w:rsidR="00E2340C" w:rsidRPr="006171FC">
        <w:rPr>
          <w:bCs/>
          <w:color w:val="auto"/>
          <w:szCs w:val="26"/>
        </w:rPr>
        <w:t xml:space="preserve">to the </w:t>
      </w:r>
      <w:r w:rsidR="00AA3CAA" w:rsidRPr="006171FC">
        <w:rPr>
          <w:bCs/>
          <w:color w:val="auto"/>
          <w:szCs w:val="26"/>
        </w:rPr>
        <w:t>GMA Letter</w:t>
      </w:r>
      <w:r w:rsidR="002C6BF0" w:rsidRPr="006171FC">
        <w:rPr>
          <w:bCs/>
          <w:color w:val="auto"/>
          <w:szCs w:val="26"/>
        </w:rPr>
        <w:t>.</w:t>
      </w:r>
      <w:r w:rsidR="00AA3CAA" w:rsidRPr="006171FC">
        <w:rPr>
          <w:bCs/>
          <w:color w:val="auto"/>
          <w:szCs w:val="26"/>
        </w:rPr>
        <w:t xml:space="preserve">  In supplemental information filed with the Commission, </w:t>
      </w:r>
      <w:r w:rsidR="004363B5" w:rsidRPr="006171FC">
        <w:rPr>
          <w:bCs/>
          <w:color w:val="auto"/>
          <w:szCs w:val="26"/>
        </w:rPr>
        <w:t>York-WW</w:t>
      </w:r>
      <w:r w:rsidR="00AA3CAA" w:rsidRPr="006171FC">
        <w:rPr>
          <w:bCs/>
          <w:color w:val="auto"/>
          <w:szCs w:val="26"/>
        </w:rPr>
        <w:t xml:space="preserve"> averred Straban Township’s solicitor had discussions with GMA indicating GMA may no longer have objections to </w:t>
      </w:r>
      <w:r w:rsidR="004363B5" w:rsidRPr="006171FC">
        <w:rPr>
          <w:bCs/>
          <w:color w:val="auto"/>
          <w:szCs w:val="26"/>
        </w:rPr>
        <w:t>York-WW</w:t>
      </w:r>
      <w:r w:rsidR="00AA3CAA" w:rsidRPr="006171FC">
        <w:rPr>
          <w:bCs/>
          <w:color w:val="auto"/>
          <w:szCs w:val="26"/>
        </w:rPr>
        <w:t xml:space="preserve">’s inclusion of Nearby Lands in its requested </w:t>
      </w:r>
      <w:r w:rsidR="00AA3CAA" w:rsidRPr="006171FC">
        <w:rPr>
          <w:bCs/>
          <w:color w:val="auto"/>
          <w:szCs w:val="26"/>
        </w:rPr>
        <w:lastRenderedPageBreak/>
        <w:t xml:space="preserve">territory.  However, </w:t>
      </w:r>
      <w:r w:rsidR="008D53A8" w:rsidRPr="006171FC">
        <w:rPr>
          <w:bCs/>
          <w:color w:val="auto"/>
          <w:szCs w:val="26"/>
        </w:rPr>
        <w:t xml:space="preserve">York-WW </w:t>
      </w:r>
      <w:r w:rsidR="002F31E9" w:rsidRPr="006171FC">
        <w:rPr>
          <w:bCs/>
          <w:color w:val="auto"/>
          <w:szCs w:val="26"/>
        </w:rPr>
        <w:t>did not provide an</w:t>
      </w:r>
      <w:r w:rsidR="00AA3CAA" w:rsidRPr="006171FC">
        <w:rPr>
          <w:bCs/>
          <w:color w:val="auto"/>
          <w:szCs w:val="26"/>
        </w:rPr>
        <w:t xml:space="preserve"> amended statement from GMA to revise the Application’s </w:t>
      </w:r>
      <w:r w:rsidR="002731C3" w:rsidRPr="006171FC">
        <w:rPr>
          <w:bCs/>
          <w:color w:val="auto"/>
          <w:szCs w:val="26"/>
        </w:rPr>
        <w:t>Exh</w:t>
      </w:r>
      <w:r w:rsidR="00D74607" w:rsidRPr="006171FC">
        <w:rPr>
          <w:bCs/>
          <w:color w:val="auto"/>
          <w:szCs w:val="26"/>
        </w:rPr>
        <w:t>ibit</w:t>
      </w:r>
      <w:r w:rsidR="005203CD" w:rsidRPr="006171FC">
        <w:rPr>
          <w:bCs/>
          <w:color w:val="auto"/>
          <w:szCs w:val="26"/>
        </w:rPr>
        <w:t xml:space="preserve"> G</w:t>
      </w:r>
      <w:r w:rsidR="00AA3CAA" w:rsidRPr="006171FC">
        <w:rPr>
          <w:bCs/>
          <w:color w:val="auto"/>
          <w:szCs w:val="26"/>
        </w:rPr>
        <w:t>.</w:t>
      </w:r>
      <w:r w:rsidR="00F3447D" w:rsidRPr="006171FC">
        <w:rPr>
          <w:bCs/>
          <w:color w:val="auto"/>
          <w:szCs w:val="26"/>
        </w:rPr>
        <w:t xml:space="preserve">  Correspondingly, York-WW’s requested additional territory that includes the Nearby Lands </w:t>
      </w:r>
      <w:r w:rsidR="005A53FD" w:rsidRPr="006171FC">
        <w:rPr>
          <w:bCs/>
          <w:color w:val="auto"/>
          <w:szCs w:val="26"/>
        </w:rPr>
        <w:t>a</w:t>
      </w:r>
      <w:r w:rsidR="009E332E" w:rsidRPr="006171FC">
        <w:rPr>
          <w:bCs/>
          <w:color w:val="auto"/>
          <w:szCs w:val="26"/>
        </w:rPr>
        <w:t>ppear</w:t>
      </w:r>
      <w:r w:rsidR="00E57202" w:rsidRPr="006171FC">
        <w:rPr>
          <w:bCs/>
          <w:color w:val="auto"/>
          <w:szCs w:val="26"/>
        </w:rPr>
        <w:t>s</w:t>
      </w:r>
      <w:r w:rsidR="009E332E" w:rsidRPr="006171FC">
        <w:rPr>
          <w:bCs/>
          <w:color w:val="auto"/>
          <w:szCs w:val="26"/>
        </w:rPr>
        <w:t xml:space="preserve"> to</w:t>
      </w:r>
      <w:r w:rsidR="00F3447D" w:rsidRPr="006171FC">
        <w:rPr>
          <w:bCs/>
          <w:color w:val="auto"/>
          <w:szCs w:val="26"/>
        </w:rPr>
        <w:t xml:space="preserve"> conflict with GMA’s current and/or future service areas</w:t>
      </w:r>
      <w:r w:rsidR="002E155D">
        <w:rPr>
          <w:bCs/>
          <w:color w:val="auto"/>
          <w:szCs w:val="26"/>
        </w:rPr>
        <w:t xml:space="preserve">.  Therefore, </w:t>
      </w:r>
      <w:r w:rsidR="00F10240">
        <w:rPr>
          <w:bCs/>
          <w:color w:val="auto"/>
          <w:szCs w:val="26"/>
        </w:rPr>
        <w:t xml:space="preserve">as described in Section IX, below, </w:t>
      </w:r>
      <w:r w:rsidR="00963700">
        <w:rPr>
          <w:bCs/>
          <w:color w:val="auto"/>
          <w:szCs w:val="26"/>
        </w:rPr>
        <w:t xml:space="preserve">we shall condition the issuance of </w:t>
      </w:r>
      <w:r w:rsidR="00CA6C42">
        <w:rPr>
          <w:bCs/>
          <w:color w:val="auto"/>
          <w:szCs w:val="26"/>
        </w:rPr>
        <w:t xml:space="preserve">the </w:t>
      </w:r>
      <w:r w:rsidR="00681699">
        <w:rPr>
          <w:bCs/>
          <w:color w:val="auto"/>
          <w:szCs w:val="26"/>
        </w:rPr>
        <w:t>C</w:t>
      </w:r>
      <w:r w:rsidR="00681699" w:rsidRPr="00681699">
        <w:rPr>
          <w:bCs/>
          <w:color w:val="auto"/>
          <w:szCs w:val="26"/>
        </w:rPr>
        <w:t>ertificate of Public Convenience for York-WW to acquire the wastewater system assets owned and/or operated by Rock Creek</w:t>
      </w:r>
      <w:r w:rsidR="005C0591">
        <w:rPr>
          <w:bCs/>
          <w:color w:val="auto"/>
          <w:szCs w:val="26"/>
        </w:rPr>
        <w:t xml:space="preserve"> </w:t>
      </w:r>
      <w:r w:rsidR="00573172">
        <w:rPr>
          <w:bCs/>
          <w:color w:val="auto"/>
          <w:szCs w:val="26"/>
        </w:rPr>
        <w:t xml:space="preserve">upon York-WW limiting its </w:t>
      </w:r>
      <w:r w:rsidR="00F10240">
        <w:rPr>
          <w:bCs/>
          <w:color w:val="auto"/>
          <w:szCs w:val="26"/>
        </w:rPr>
        <w:t>requested</w:t>
      </w:r>
      <w:r w:rsidR="00CA11E3">
        <w:rPr>
          <w:bCs/>
          <w:color w:val="auto"/>
          <w:szCs w:val="26"/>
        </w:rPr>
        <w:t xml:space="preserve"> additional</w:t>
      </w:r>
      <w:r w:rsidR="00F10240">
        <w:rPr>
          <w:bCs/>
          <w:color w:val="auto"/>
          <w:szCs w:val="26"/>
        </w:rPr>
        <w:t xml:space="preserve"> service territor</w:t>
      </w:r>
      <w:r w:rsidR="005B7F88">
        <w:rPr>
          <w:bCs/>
          <w:color w:val="auto"/>
          <w:szCs w:val="26"/>
        </w:rPr>
        <w:t>y</w:t>
      </w:r>
      <w:r w:rsidR="00F3447D" w:rsidRPr="006171FC">
        <w:rPr>
          <w:bCs/>
          <w:color w:val="auto"/>
          <w:szCs w:val="26"/>
        </w:rPr>
        <w:t>.</w:t>
      </w:r>
    </w:p>
    <w:p w14:paraId="45386E98" w14:textId="73C163D8" w:rsidR="000966CF" w:rsidRPr="006171FC" w:rsidRDefault="00DE0783" w:rsidP="22A753FC">
      <w:pPr>
        <w:pStyle w:val="ListParagraph"/>
        <w:numPr>
          <w:ilvl w:val="0"/>
          <w:numId w:val="5"/>
        </w:numPr>
        <w:tabs>
          <w:tab w:val="left" w:pos="4320"/>
        </w:tabs>
        <w:spacing w:after="240" w:line="360" w:lineRule="auto"/>
        <w:rPr>
          <w:b/>
          <w:bCs/>
          <w:color w:val="auto"/>
          <w:szCs w:val="26"/>
        </w:rPr>
      </w:pPr>
      <w:r w:rsidRPr="006171FC">
        <w:rPr>
          <w:b/>
          <w:color w:val="auto"/>
          <w:szCs w:val="26"/>
        </w:rPr>
        <w:t>ACT 5</w:t>
      </w:r>
      <w:r w:rsidR="00ED2699" w:rsidRPr="006171FC">
        <w:rPr>
          <w:b/>
          <w:color w:val="auto"/>
          <w:szCs w:val="26"/>
        </w:rPr>
        <w:t>3</w:t>
      </w:r>
      <w:r w:rsidRPr="006171FC">
        <w:rPr>
          <w:b/>
          <w:color w:val="auto"/>
          <w:szCs w:val="26"/>
        </w:rPr>
        <w:t>7 SEWAGE FACILITIES PLAN COMPLIANCE</w:t>
      </w:r>
    </w:p>
    <w:p w14:paraId="75DFE338" w14:textId="147768E9" w:rsidR="0062097F" w:rsidRPr="006171FC" w:rsidRDefault="4C30912D" w:rsidP="00C0766F">
      <w:pPr>
        <w:spacing w:after="240" w:line="360" w:lineRule="auto"/>
        <w:ind w:firstLine="720"/>
        <w:rPr>
          <w:color w:val="auto"/>
          <w:szCs w:val="26"/>
        </w:rPr>
      </w:pPr>
      <w:r w:rsidRPr="006171FC">
        <w:rPr>
          <w:color w:val="auto"/>
          <w:szCs w:val="26"/>
        </w:rPr>
        <w:t>In supplemental information filed with the Commission, York-WW provided</w:t>
      </w:r>
      <w:r w:rsidR="00A01ED2" w:rsidRPr="006171FC">
        <w:rPr>
          <w:color w:val="auto"/>
          <w:szCs w:val="26"/>
        </w:rPr>
        <w:t>,</w:t>
      </w:r>
      <w:r w:rsidR="00740E0E" w:rsidRPr="006171FC">
        <w:rPr>
          <w:color w:val="auto"/>
          <w:szCs w:val="26"/>
        </w:rPr>
        <w:t xml:space="preserve"> in addition</w:t>
      </w:r>
      <w:r w:rsidR="00252804" w:rsidRPr="006171FC">
        <w:rPr>
          <w:color w:val="auto"/>
          <w:szCs w:val="26"/>
        </w:rPr>
        <w:t xml:space="preserve"> to the 200</w:t>
      </w:r>
      <w:r w:rsidR="00E27F14" w:rsidRPr="006171FC">
        <w:rPr>
          <w:color w:val="auto"/>
          <w:szCs w:val="26"/>
        </w:rPr>
        <w:t>7</w:t>
      </w:r>
      <w:r w:rsidR="00D024C4" w:rsidRPr="006171FC">
        <w:rPr>
          <w:color w:val="auto"/>
          <w:szCs w:val="26"/>
        </w:rPr>
        <w:t xml:space="preserve"> Act</w:t>
      </w:r>
      <w:r w:rsidR="009E221E" w:rsidRPr="006171FC">
        <w:rPr>
          <w:color w:val="auto"/>
          <w:szCs w:val="26"/>
        </w:rPr>
        <w:t xml:space="preserve"> 537</w:t>
      </w:r>
      <w:r w:rsidR="00A01ED2" w:rsidRPr="006171FC">
        <w:rPr>
          <w:color w:val="auto"/>
          <w:szCs w:val="26"/>
        </w:rPr>
        <w:t xml:space="preserve"> Plan,</w:t>
      </w:r>
      <w:r w:rsidRPr="006171FC">
        <w:rPr>
          <w:color w:val="auto"/>
          <w:szCs w:val="26"/>
        </w:rPr>
        <w:t xml:space="preserve"> a copy of the DEP-approved Sewage Facilities Planning Module</w:t>
      </w:r>
      <w:r w:rsidR="00346054" w:rsidRPr="006171FC">
        <w:rPr>
          <w:color w:val="auto"/>
          <w:szCs w:val="26"/>
        </w:rPr>
        <w:t xml:space="preserve">, </w:t>
      </w:r>
      <w:r w:rsidRPr="006171FC">
        <w:rPr>
          <w:color w:val="auto"/>
          <w:szCs w:val="26"/>
        </w:rPr>
        <w:t>dated March 2005</w:t>
      </w:r>
      <w:r w:rsidR="00346054" w:rsidRPr="006171FC">
        <w:rPr>
          <w:color w:val="auto"/>
          <w:szCs w:val="26"/>
        </w:rPr>
        <w:t xml:space="preserve"> (Planning</w:t>
      </w:r>
      <w:r w:rsidR="00E43564" w:rsidRPr="006171FC">
        <w:rPr>
          <w:color w:val="auto"/>
          <w:szCs w:val="26"/>
        </w:rPr>
        <w:t xml:space="preserve"> Module)</w:t>
      </w:r>
      <w:r w:rsidRPr="006171FC">
        <w:rPr>
          <w:color w:val="auto"/>
          <w:szCs w:val="26"/>
        </w:rPr>
        <w:t xml:space="preserve">.  </w:t>
      </w:r>
      <w:r w:rsidR="00556DFA" w:rsidRPr="006171FC">
        <w:rPr>
          <w:color w:val="auto"/>
          <w:szCs w:val="26"/>
        </w:rPr>
        <w:t>The Planning Module</w:t>
      </w:r>
      <w:r w:rsidR="002C0E31" w:rsidRPr="006171FC">
        <w:rPr>
          <w:color w:val="auto"/>
          <w:szCs w:val="26"/>
        </w:rPr>
        <w:t>,</w:t>
      </w:r>
      <w:r w:rsidR="00556DFA" w:rsidRPr="006171FC">
        <w:rPr>
          <w:color w:val="auto"/>
          <w:szCs w:val="26"/>
        </w:rPr>
        <w:t xml:space="preserve"> </w:t>
      </w:r>
      <w:r w:rsidR="00813968" w:rsidRPr="006171FC">
        <w:rPr>
          <w:color w:val="auto"/>
          <w:szCs w:val="26"/>
        </w:rPr>
        <w:t>i</w:t>
      </w:r>
      <w:r w:rsidR="00481883" w:rsidRPr="006171FC">
        <w:rPr>
          <w:color w:val="auto"/>
          <w:szCs w:val="26"/>
        </w:rPr>
        <w:t>n the</w:t>
      </w:r>
      <w:r w:rsidR="006778FE" w:rsidRPr="006171FC">
        <w:rPr>
          <w:color w:val="auto"/>
          <w:szCs w:val="26"/>
        </w:rPr>
        <w:t xml:space="preserve"> sec</w:t>
      </w:r>
      <w:r w:rsidR="00E215B0" w:rsidRPr="006171FC">
        <w:rPr>
          <w:color w:val="auto"/>
          <w:szCs w:val="26"/>
        </w:rPr>
        <w:t>tion entitled “Project Narra</w:t>
      </w:r>
      <w:r w:rsidR="008642EF" w:rsidRPr="006171FC">
        <w:rPr>
          <w:color w:val="auto"/>
          <w:szCs w:val="26"/>
        </w:rPr>
        <w:t>tive”</w:t>
      </w:r>
      <w:r w:rsidR="002C0E31" w:rsidRPr="006171FC">
        <w:rPr>
          <w:color w:val="auto"/>
          <w:szCs w:val="26"/>
        </w:rPr>
        <w:t>,</w:t>
      </w:r>
      <w:r w:rsidR="00DA4277" w:rsidRPr="006171FC">
        <w:rPr>
          <w:color w:val="auto"/>
          <w:szCs w:val="26"/>
        </w:rPr>
        <w:t xml:space="preserve"> desc</w:t>
      </w:r>
      <w:r w:rsidR="00070A50" w:rsidRPr="006171FC">
        <w:rPr>
          <w:color w:val="auto"/>
          <w:szCs w:val="26"/>
        </w:rPr>
        <w:t>ribe</w:t>
      </w:r>
      <w:r w:rsidR="007F6847" w:rsidRPr="006171FC">
        <w:rPr>
          <w:color w:val="auto"/>
          <w:szCs w:val="26"/>
        </w:rPr>
        <w:t>d</w:t>
      </w:r>
      <w:r w:rsidR="00EF648A" w:rsidRPr="006171FC">
        <w:rPr>
          <w:color w:val="auto"/>
          <w:szCs w:val="26"/>
        </w:rPr>
        <w:t xml:space="preserve"> </w:t>
      </w:r>
      <w:r w:rsidR="00A123F9">
        <w:rPr>
          <w:color w:val="auto"/>
          <w:szCs w:val="26"/>
        </w:rPr>
        <w:t>that t</w:t>
      </w:r>
      <w:r w:rsidR="00EF648A" w:rsidRPr="006171FC">
        <w:rPr>
          <w:color w:val="auto"/>
          <w:szCs w:val="26"/>
        </w:rPr>
        <w:t xml:space="preserve">he </w:t>
      </w:r>
      <w:r w:rsidR="00E67A45" w:rsidRPr="006171FC">
        <w:rPr>
          <w:color w:val="auto"/>
          <w:szCs w:val="26"/>
        </w:rPr>
        <w:t>pro</w:t>
      </w:r>
      <w:r w:rsidR="00C7430C" w:rsidRPr="006171FC">
        <w:rPr>
          <w:color w:val="auto"/>
          <w:szCs w:val="26"/>
        </w:rPr>
        <w:t>posed project</w:t>
      </w:r>
      <w:r w:rsidR="001865CF" w:rsidRPr="006171FC">
        <w:rPr>
          <w:color w:val="auto"/>
          <w:szCs w:val="26"/>
        </w:rPr>
        <w:t xml:space="preserve"> in</w:t>
      </w:r>
      <w:r w:rsidR="00C36254" w:rsidRPr="006171FC">
        <w:rPr>
          <w:color w:val="auto"/>
          <w:szCs w:val="26"/>
        </w:rPr>
        <w:t>c</w:t>
      </w:r>
      <w:r w:rsidR="00360E22" w:rsidRPr="006171FC">
        <w:rPr>
          <w:color w:val="auto"/>
          <w:szCs w:val="26"/>
        </w:rPr>
        <w:t>lude</w:t>
      </w:r>
      <w:r w:rsidR="0069542C" w:rsidRPr="006171FC">
        <w:rPr>
          <w:color w:val="auto"/>
          <w:szCs w:val="26"/>
        </w:rPr>
        <w:t>s</w:t>
      </w:r>
      <w:r w:rsidR="00360E22" w:rsidRPr="006171FC">
        <w:rPr>
          <w:color w:val="auto"/>
          <w:szCs w:val="26"/>
        </w:rPr>
        <w:t xml:space="preserve"> the construction of approxi</w:t>
      </w:r>
      <w:r w:rsidR="00444B73" w:rsidRPr="006171FC">
        <w:rPr>
          <w:color w:val="auto"/>
          <w:szCs w:val="26"/>
        </w:rPr>
        <w:t>mately one thousa</w:t>
      </w:r>
      <w:r w:rsidR="00DD26A7" w:rsidRPr="006171FC">
        <w:rPr>
          <w:color w:val="auto"/>
          <w:szCs w:val="26"/>
        </w:rPr>
        <w:t xml:space="preserve">nd </w:t>
      </w:r>
      <w:r w:rsidR="00C31D60" w:rsidRPr="006171FC">
        <w:rPr>
          <w:color w:val="auto"/>
          <w:szCs w:val="26"/>
        </w:rPr>
        <w:t>ei</w:t>
      </w:r>
      <w:r w:rsidR="00912FA7" w:rsidRPr="006171FC">
        <w:rPr>
          <w:color w:val="auto"/>
          <w:szCs w:val="26"/>
        </w:rPr>
        <w:t>ght</w:t>
      </w:r>
      <w:r w:rsidR="00133635" w:rsidRPr="006171FC">
        <w:rPr>
          <w:color w:val="auto"/>
          <w:szCs w:val="26"/>
        </w:rPr>
        <w:t xml:space="preserve"> hundred</w:t>
      </w:r>
      <w:r w:rsidR="00CB4C3F" w:rsidRPr="006171FC">
        <w:rPr>
          <w:color w:val="auto"/>
          <w:szCs w:val="26"/>
        </w:rPr>
        <w:t xml:space="preserve"> (1,</w:t>
      </w:r>
      <w:r w:rsidR="00F51867" w:rsidRPr="006171FC">
        <w:rPr>
          <w:color w:val="auto"/>
          <w:szCs w:val="26"/>
        </w:rPr>
        <w:t>800) single family deta</w:t>
      </w:r>
      <w:r w:rsidR="00712D0E" w:rsidRPr="006171FC">
        <w:rPr>
          <w:color w:val="auto"/>
          <w:szCs w:val="26"/>
        </w:rPr>
        <w:t>ched re</w:t>
      </w:r>
      <w:r w:rsidR="001C3D36" w:rsidRPr="006171FC">
        <w:rPr>
          <w:color w:val="auto"/>
          <w:szCs w:val="26"/>
        </w:rPr>
        <w:t>s</w:t>
      </w:r>
      <w:r w:rsidR="005A5D63" w:rsidRPr="006171FC">
        <w:rPr>
          <w:color w:val="auto"/>
          <w:szCs w:val="26"/>
        </w:rPr>
        <w:t>idential</w:t>
      </w:r>
      <w:r w:rsidR="00370CAE" w:rsidRPr="006171FC">
        <w:rPr>
          <w:color w:val="auto"/>
          <w:szCs w:val="26"/>
        </w:rPr>
        <w:t xml:space="preserve"> dwelling</w:t>
      </w:r>
      <w:r w:rsidR="00C1418A" w:rsidRPr="006171FC">
        <w:rPr>
          <w:color w:val="auto"/>
          <w:szCs w:val="26"/>
        </w:rPr>
        <w:t>s</w:t>
      </w:r>
      <w:r w:rsidR="00A021C2" w:rsidRPr="006171FC">
        <w:rPr>
          <w:color w:val="auto"/>
          <w:szCs w:val="26"/>
        </w:rPr>
        <w:t xml:space="preserve"> in </w:t>
      </w:r>
      <w:r w:rsidR="007E23A1" w:rsidRPr="006171FC">
        <w:rPr>
          <w:color w:val="auto"/>
          <w:szCs w:val="26"/>
        </w:rPr>
        <w:t>a</w:t>
      </w:r>
      <w:r w:rsidR="009867DC" w:rsidRPr="006171FC">
        <w:rPr>
          <w:color w:val="auto"/>
          <w:szCs w:val="26"/>
        </w:rPr>
        <w:t xml:space="preserve">n </w:t>
      </w:r>
      <w:r w:rsidR="00A021C2" w:rsidRPr="006171FC">
        <w:rPr>
          <w:color w:val="auto"/>
          <w:szCs w:val="26"/>
        </w:rPr>
        <w:t>activ</w:t>
      </w:r>
      <w:r w:rsidR="00AE72D9" w:rsidRPr="006171FC">
        <w:rPr>
          <w:color w:val="auto"/>
          <w:szCs w:val="26"/>
        </w:rPr>
        <w:t>e adult community</w:t>
      </w:r>
      <w:r w:rsidR="00B15A72" w:rsidRPr="006171FC">
        <w:rPr>
          <w:color w:val="auto"/>
          <w:szCs w:val="26"/>
        </w:rPr>
        <w:t xml:space="preserve"> and two community/recreational facilities</w:t>
      </w:r>
      <w:r w:rsidR="00980A79" w:rsidRPr="006171FC">
        <w:rPr>
          <w:color w:val="auto"/>
          <w:szCs w:val="26"/>
        </w:rPr>
        <w:t xml:space="preserve"> for a total of 1,800 equivalent dwelling units (EDUs)</w:t>
      </w:r>
      <w:r w:rsidR="00D83848" w:rsidRPr="006171FC">
        <w:rPr>
          <w:color w:val="auto"/>
          <w:szCs w:val="26"/>
        </w:rPr>
        <w:t>.</w:t>
      </w:r>
      <w:r w:rsidR="00847459" w:rsidRPr="006171FC">
        <w:rPr>
          <w:color w:val="auto"/>
          <w:szCs w:val="26"/>
        </w:rPr>
        <w:t xml:space="preserve">  </w:t>
      </w:r>
      <w:r w:rsidR="00D76EF5" w:rsidRPr="006171FC">
        <w:rPr>
          <w:color w:val="auto"/>
          <w:szCs w:val="26"/>
        </w:rPr>
        <w:t>Addit</w:t>
      </w:r>
      <w:r w:rsidR="005A5AE4" w:rsidRPr="006171FC">
        <w:rPr>
          <w:color w:val="auto"/>
          <w:szCs w:val="26"/>
        </w:rPr>
        <w:t xml:space="preserve">ionally, </w:t>
      </w:r>
      <w:r w:rsidR="00515EB1" w:rsidRPr="006171FC">
        <w:rPr>
          <w:color w:val="auto"/>
          <w:szCs w:val="26"/>
        </w:rPr>
        <w:t>a</w:t>
      </w:r>
      <w:r w:rsidR="00C64AEA" w:rsidRPr="006171FC">
        <w:rPr>
          <w:color w:val="auto"/>
          <w:szCs w:val="26"/>
        </w:rPr>
        <w:t xml:space="preserve">n </w:t>
      </w:r>
      <w:r w:rsidR="00FB2674" w:rsidRPr="006171FC">
        <w:rPr>
          <w:color w:val="auto"/>
          <w:szCs w:val="26"/>
        </w:rPr>
        <w:t>a</w:t>
      </w:r>
      <w:r w:rsidR="0022324B" w:rsidRPr="006171FC">
        <w:rPr>
          <w:color w:val="auto"/>
          <w:szCs w:val="26"/>
        </w:rPr>
        <w:t xml:space="preserve">ppendix </w:t>
      </w:r>
      <w:r w:rsidR="001625B3" w:rsidRPr="006171FC">
        <w:rPr>
          <w:color w:val="auto"/>
          <w:szCs w:val="26"/>
        </w:rPr>
        <w:t>o</w:t>
      </w:r>
      <w:r w:rsidR="00E407CC" w:rsidRPr="006171FC">
        <w:rPr>
          <w:color w:val="auto"/>
          <w:szCs w:val="26"/>
        </w:rPr>
        <w:t>f the Planning Module</w:t>
      </w:r>
      <w:r w:rsidR="007C6946" w:rsidRPr="006171FC">
        <w:rPr>
          <w:color w:val="auto"/>
          <w:szCs w:val="26"/>
        </w:rPr>
        <w:t xml:space="preserve"> include</w:t>
      </w:r>
      <w:r w:rsidR="003E23AC" w:rsidRPr="006171FC">
        <w:rPr>
          <w:color w:val="auto"/>
          <w:szCs w:val="26"/>
        </w:rPr>
        <w:t>d</w:t>
      </w:r>
      <w:r w:rsidR="00CA7D5C" w:rsidRPr="006171FC">
        <w:rPr>
          <w:color w:val="auto"/>
          <w:szCs w:val="26"/>
        </w:rPr>
        <w:t xml:space="preserve"> a study</w:t>
      </w:r>
      <w:r w:rsidR="00433689" w:rsidRPr="006171FC">
        <w:rPr>
          <w:color w:val="auto"/>
          <w:szCs w:val="26"/>
        </w:rPr>
        <w:t xml:space="preserve"> from a s</w:t>
      </w:r>
      <w:r w:rsidR="0087727E" w:rsidRPr="006171FC">
        <w:rPr>
          <w:color w:val="auto"/>
          <w:szCs w:val="26"/>
        </w:rPr>
        <w:t>im</w:t>
      </w:r>
      <w:r w:rsidR="005F2EED" w:rsidRPr="006171FC">
        <w:rPr>
          <w:color w:val="auto"/>
          <w:szCs w:val="26"/>
        </w:rPr>
        <w:t xml:space="preserve">ilar </w:t>
      </w:r>
      <w:r w:rsidR="00094F19" w:rsidRPr="006171FC">
        <w:rPr>
          <w:color w:val="auto"/>
          <w:szCs w:val="26"/>
        </w:rPr>
        <w:t>activ</w:t>
      </w:r>
      <w:r w:rsidR="00DB5B8A" w:rsidRPr="006171FC">
        <w:rPr>
          <w:color w:val="auto"/>
          <w:szCs w:val="26"/>
        </w:rPr>
        <w:t>e adult commu</w:t>
      </w:r>
      <w:r w:rsidR="008041A8" w:rsidRPr="006171FC">
        <w:rPr>
          <w:color w:val="auto"/>
          <w:szCs w:val="26"/>
        </w:rPr>
        <w:t>nity in New Jers</w:t>
      </w:r>
      <w:r w:rsidR="00C2333B" w:rsidRPr="006171FC">
        <w:rPr>
          <w:color w:val="auto"/>
          <w:szCs w:val="26"/>
        </w:rPr>
        <w:t xml:space="preserve">ey as the basis </w:t>
      </w:r>
      <w:r w:rsidR="009B0B1D" w:rsidRPr="006171FC">
        <w:rPr>
          <w:color w:val="auto"/>
          <w:szCs w:val="26"/>
        </w:rPr>
        <w:t>for</w:t>
      </w:r>
      <w:r w:rsidR="008003F5" w:rsidRPr="006171FC">
        <w:rPr>
          <w:color w:val="auto"/>
          <w:szCs w:val="26"/>
        </w:rPr>
        <w:t xml:space="preserve"> selecti</w:t>
      </w:r>
      <w:r w:rsidR="00E77F20" w:rsidRPr="006171FC">
        <w:rPr>
          <w:color w:val="auto"/>
          <w:szCs w:val="26"/>
        </w:rPr>
        <w:t>ng</w:t>
      </w:r>
      <w:r w:rsidR="00C2333B" w:rsidRPr="006171FC">
        <w:rPr>
          <w:color w:val="auto"/>
          <w:szCs w:val="26"/>
        </w:rPr>
        <w:t xml:space="preserve"> </w:t>
      </w:r>
      <w:r w:rsidR="007A3BBE" w:rsidRPr="006171FC">
        <w:rPr>
          <w:color w:val="auto"/>
          <w:szCs w:val="26"/>
        </w:rPr>
        <w:t>a reduced</w:t>
      </w:r>
      <w:r w:rsidR="00467BDE" w:rsidRPr="006171FC">
        <w:rPr>
          <w:color w:val="auto"/>
          <w:szCs w:val="26"/>
        </w:rPr>
        <w:t xml:space="preserve"> f</w:t>
      </w:r>
      <w:r w:rsidR="005A07F2" w:rsidRPr="006171FC">
        <w:rPr>
          <w:color w:val="auto"/>
          <w:szCs w:val="26"/>
        </w:rPr>
        <w:t>low</w:t>
      </w:r>
      <w:r w:rsidR="008E0A15" w:rsidRPr="006171FC">
        <w:rPr>
          <w:color w:val="auto"/>
          <w:szCs w:val="26"/>
        </w:rPr>
        <w:t xml:space="preserve"> of 15</w:t>
      </w:r>
      <w:r w:rsidR="00CB7298" w:rsidRPr="006171FC">
        <w:rPr>
          <w:color w:val="auto"/>
          <w:szCs w:val="26"/>
        </w:rPr>
        <w:t xml:space="preserve">0 GPD </w:t>
      </w:r>
      <w:r w:rsidR="00E34E20" w:rsidRPr="006171FC">
        <w:rPr>
          <w:color w:val="auto"/>
          <w:szCs w:val="26"/>
        </w:rPr>
        <w:t xml:space="preserve">per </w:t>
      </w:r>
      <w:r w:rsidR="00CC0C10" w:rsidRPr="006171FC">
        <w:rPr>
          <w:color w:val="auto"/>
          <w:szCs w:val="26"/>
        </w:rPr>
        <w:t>EDU</w:t>
      </w:r>
      <w:r w:rsidR="00262069" w:rsidRPr="006171FC">
        <w:rPr>
          <w:color w:val="auto"/>
          <w:szCs w:val="26"/>
        </w:rPr>
        <w:t>.</w:t>
      </w:r>
      <w:r w:rsidR="0040159F" w:rsidRPr="006171FC">
        <w:rPr>
          <w:color w:val="auto"/>
          <w:szCs w:val="26"/>
        </w:rPr>
        <w:t xml:space="preserve"> </w:t>
      </w:r>
      <w:r w:rsidR="00A82CBB" w:rsidRPr="006171FC">
        <w:rPr>
          <w:color w:val="auto"/>
          <w:szCs w:val="26"/>
        </w:rPr>
        <w:t xml:space="preserve"> The</w:t>
      </w:r>
      <w:r w:rsidR="00292F48" w:rsidRPr="006171FC">
        <w:rPr>
          <w:color w:val="auto"/>
          <w:szCs w:val="26"/>
        </w:rPr>
        <w:t xml:space="preserve"> Planning Module</w:t>
      </w:r>
      <w:r w:rsidR="00C14241" w:rsidRPr="006171FC">
        <w:rPr>
          <w:color w:val="auto"/>
          <w:szCs w:val="26"/>
        </w:rPr>
        <w:t xml:space="preserve"> </w:t>
      </w:r>
      <w:r w:rsidR="003B0DD4" w:rsidRPr="006171FC">
        <w:rPr>
          <w:color w:val="auto"/>
          <w:szCs w:val="26"/>
        </w:rPr>
        <w:t>determin</w:t>
      </w:r>
      <w:r w:rsidR="008A67BF" w:rsidRPr="006171FC">
        <w:rPr>
          <w:color w:val="auto"/>
          <w:szCs w:val="26"/>
        </w:rPr>
        <w:t>e</w:t>
      </w:r>
      <w:r w:rsidR="00683864" w:rsidRPr="006171FC">
        <w:rPr>
          <w:color w:val="auto"/>
          <w:szCs w:val="26"/>
        </w:rPr>
        <w:t>d</w:t>
      </w:r>
      <w:r w:rsidR="008A67BF" w:rsidRPr="006171FC">
        <w:rPr>
          <w:color w:val="auto"/>
          <w:szCs w:val="26"/>
        </w:rPr>
        <w:t xml:space="preserve"> the total project</w:t>
      </w:r>
      <w:r w:rsidR="000F6198" w:rsidRPr="006171FC">
        <w:rPr>
          <w:color w:val="auto"/>
          <w:szCs w:val="26"/>
        </w:rPr>
        <w:t xml:space="preserve"> flow</w:t>
      </w:r>
      <w:r w:rsidR="003F6D43" w:rsidRPr="006171FC">
        <w:rPr>
          <w:color w:val="auto"/>
          <w:szCs w:val="26"/>
        </w:rPr>
        <w:t xml:space="preserve"> </w:t>
      </w:r>
      <w:r w:rsidR="009E5448" w:rsidRPr="006171FC">
        <w:rPr>
          <w:color w:val="auto"/>
          <w:szCs w:val="26"/>
        </w:rPr>
        <w:t>t</w:t>
      </w:r>
      <w:r w:rsidR="0071533C" w:rsidRPr="006171FC">
        <w:rPr>
          <w:color w:val="auto"/>
          <w:szCs w:val="26"/>
        </w:rPr>
        <w:t>o be</w:t>
      </w:r>
      <w:r w:rsidR="005754DF" w:rsidRPr="006171FC">
        <w:rPr>
          <w:color w:val="auto"/>
          <w:szCs w:val="26"/>
        </w:rPr>
        <w:t xml:space="preserve"> 270,000</w:t>
      </w:r>
      <w:r w:rsidR="006B5098" w:rsidRPr="006171FC">
        <w:rPr>
          <w:color w:val="auto"/>
          <w:szCs w:val="26"/>
        </w:rPr>
        <w:t xml:space="preserve"> GPD</w:t>
      </w:r>
      <w:r w:rsidR="002E4D3A" w:rsidRPr="006171FC">
        <w:rPr>
          <w:color w:val="auto"/>
          <w:szCs w:val="26"/>
        </w:rPr>
        <w:t xml:space="preserve"> </w:t>
      </w:r>
      <w:r w:rsidR="00EA46EF" w:rsidRPr="006171FC">
        <w:rPr>
          <w:color w:val="auto"/>
          <w:szCs w:val="26"/>
        </w:rPr>
        <w:t>utilizing the propose</w:t>
      </w:r>
      <w:r w:rsidR="001A3594" w:rsidRPr="006171FC">
        <w:rPr>
          <w:color w:val="auto"/>
          <w:szCs w:val="26"/>
        </w:rPr>
        <w:t xml:space="preserve">d </w:t>
      </w:r>
      <w:r w:rsidR="00CC0C10" w:rsidRPr="006171FC">
        <w:rPr>
          <w:color w:val="auto"/>
          <w:szCs w:val="26"/>
        </w:rPr>
        <w:t xml:space="preserve">1,800 EDUs </w:t>
      </w:r>
      <w:r w:rsidR="00820644" w:rsidRPr="006171FC">
        <w:rPr>
          <w:color w:val="auto"/>
          <w:szCs w:val="26"/>
        </w:rPr>
        <w:t xml:space="preserve">times the </w:t>
      </w:r>
      <w:r w:rsidR="004C3279" w:rsidRPr="006171FC">
        <w:rPr>
          <w:color w:val="auto"/>
          <w:szCs w:val="26"/>
        </w:rPr>
        <w:t xml:space="preserve">estimated </w:t>
      </w:r>
      <w:r w:rsidR="00956493" w:rsidRPr="006171FC">
        <w:rPr>
          <w:color w:val="auto"/>
          <w:szCs w:val="26"/>
        </w:rPr>
        <w:t>f</w:t>
      </w:r>
      <w:r w:rsidR="008477AB" w:rsidRPr="006171FC">
        <w:rPr>
          <w:color w:val="auto"/>
          <w:szCs w:val="26"/>
        </w:rPr>
        <w:t xml:space="preserve">low </w:t>
      </w:r>
      <w:r w:rsidR="00CC0C10" w:rsidRPr="006171FC">
        <w:rPr>
          <w:color w:val="auto"/>
          <w:szCs w:val="26"/>
        </w:rPr>
        <w:t xml:space="preserve">of 150 GPD </w:t>
      </w:r>
      <w:r w:rsidR="008477AB" w:rsidRPr="006171FC">
        <w:rPr>
          <w:color w:val="auto"/>
          <w:szCs w:val="26"/>
        </w:rPr>
        <w:t xml:space="preserve">per </w:t>
      </w:r>
      <w:r w:rsidR="00CC0C10" w:rsidRPr="006171FC">
        <w:rPr>
          <w:color w:val="auto"/>
          <w:szCs w:val="26"/>
        </w:rPr>
        <w:t>EDU</w:t>
      </w:r>
      <w:r w:rsidR="005A7EC6" w:rsidRPr="006171FC">
        <w:rPr>
          <w:color w:val="auto"/>
          <w:szCs w:val="26"/>
        </w:rPr>
        <w:t>.</w:t>
      </w:r>
      <w:r w:rsidR="006A404D" w:rsidRPr="006171FC">
        <w:rPr>
          <w:color w:val="auto"/>
          <w:szCs w:val="26"/>
        </w:rPr>
        <w:t xml:space="preserve">  </w:t>
      </w:r>
      <w:r w:rsidR="000A0C99" w:rsidRPr="006171FC">
        <w:rPr>
          <w:color w:val="auto"/>
          <w:szCs w:val="26"/>
        </w:rPr>
        <w:t>The 200</w:t>
      </w:r>
      <w:r w:rsidR="008D4E29" w:rsidRPr="006171FC">
        <w:rPr>
          <w:color w:val="auto"/>
          <w:szCs w:val="26"/>
        </w:rPr>
        <w:t xml:space="preserve">7 Act </w:t>
      </w:r>
      <w:r w:rsidR="00875BFD" w:rsidRPr="006171FC">
        <w:rPr>
          <w:color w:val="auto"/>
          <w:szCs w:val="26"/>
        </w:rPr>
        <w:t>537</w:t>
      </w:r>
      <w:r w:rsidR="008724B2" w:rsidRPr="006171FC">
        <w:rPr>
          <w:color w:val="auto"/>
          <w:szCs w:val="26"/>
        </w:rPr>
        <w:t xml:space="preserve"> Plan</w:t>
      </w:r>
      <w:r w:rsidR="00F0773B" w:rsidRPr="006171FC">
        <w:rPr>
          <w:color w:val="auto"/>
          <w:szCs w:val="26"/>
        </w:rPr>
        <w:t>, consistent</w:t>
      </w:r>
      <w:r w:rsidR="0017695F" w:rsidRPr="006171FC">
        <w:rPr>
          <w:color w:val="auto"/>
          <w:szCs w:val="26"/>
        </w:rPr>
        <w:t xml:space="preserve"> with the Planning</w:t>
      </w:r>
      <w:r w:rsidR="00C8744F" w:rsidRPr="006171FC">
        <w:rPr>
          <w:color w:val="auto"/>
          <w:szCs w:val="26"/>
        </w:rPr>
        <w:t xml:space="preserve"> Mod</w:t>
      </w:r>
      <w:r w:rsidR="00206344" w:rsidRPr="006171FC">
        <w:rPr>
          <w:color w:val="auto"/>
          <w:szCs w:val="26"/>
        </w:rPr>
        <w:t>ule,</w:t>
      </w:r>
      <w:r w:rsidR="00C77B62" w:rsidRPr="006171FC">
        <w:rPr>
          <w:color w:val="auto"/>
          <w:szCs w:val="26"/>
        </w:rPr>
        <w:t xml:space="preserve"> </w:t>
      </w:r>
      <w:r w:rsidR="00123A63" w:rsidRPr="006171FC">
        <w:rPr>
          <w:color w:val="auto"/>
          <w:szCs w:val="26"/>
        </w:rPr>
        <w:t>al</w:t>
      </w:r>
      <w:r w:rsidR="00B52521" w:rsidRPr="006171FC">
        <w:rPr>
          <w:color w:val="auto"/>
          <w:szCs w:val="26"/>
        </w:rPr>
        <w:t xml:space="preserve">so </w:t>
      </w:r>
      <w:r w:rsidR="00562367" w:rsidRPr="006171FC">
        <w:rPr>
          <w:color w:val="auto"/>
          <w:szCs w:val="26"/>
        </w:rPr>
        <w:t>detail</w:t>
      </w:r>
      <w:r w:rsidR="001611B7" w:rsidRPr="006171FC">
        <w:rPr>
          <w:color w:val="auto"/>
          <w:szCs w:val="26"/>
        </w:rPr>
        <w:t>s</w:t>
      </w:r>
      <w:r w:rsidR="00667D70" w:rsidRPr="006171FC">
        <w:rPr>
          <w:color w:val="auto"/>
          <w:szCs w:val="26"/>
        </w:rPr>
        <w:t xml:space="preserve"> </w:t>
      </w:r>
      <w:r w:rsidR="001D3F71" w:rsidRPr="006171FC">
        <w:rPr>
          <w:color w:val="auto"/>
          <w:szCs w:val="26"/>
        </w:rPr>
        <w:t>th</w:t>
      </w:r>
      <w:r w:rsidR="00AC2E2E" w:rsidRPr="006171FC">
        <w:rPr>
          <w:color w:val="auto"/>
          <w:szCs w:val="26"/>
        </w:rPr>
        <w:t xml:space="preserve">at </w:t>
      </w:r>
      <w:r w:rsidR="00667D70" w:rsidRPr="006171FC">
        <w:rPr>
          <w:color w:val="auto"/>
          <w:szCs w:val="26"/>
        </w:rPr>
        <w:t>the</w:t>
      </w:r>
      <w:r w:rsidR="006E032E" w:rsidRPr="006171FC">
        <w:rPr>
          <w:color w:val="auto"/>
          <w:szCs w:val="26"/>
        </w:rPr>
        <w:t xml:space="preserve"> Gettys</w:t>
      </w:r>
      <w:r w:rsidR="00214CF0" w:rsidRPr="006171FC">
        <w:rPr>
          <w:color w:val="auto"/>
          <w:szCs w:val="26"/>
        </w:rPr>
        <w:t>burg Commo</w:t>
      </w:r>
      <w:r w:rsidR="00E14D84" w:rsidRPr="006171FC">
        <w:rPr>
          <w:color w:val="auto"/>
          <w:szCs w:val="26"/>
        </w:rPr>
        <w:t>ns development</w:t>
      </w:r>
      <w:r w:rsidR="0098508E" w:rsidRPr="006171FC">
        <w:rPr>
          <w:color w:val="auto"/>
          <w:szCs w:val="26"/>
        </w:rPr>
        <w:t>, now Amble</w:t>
      </w:r>
      <w:r w:rsidR="00CF2FAE" w:rsidRPr="006171FC">
        <w:rPr>
          <w:color w:val="auto"/>
          <w:szCs w:val="26"/>
        </w:rPr>
        <w:t xml:space="preserve">brook, </w:t>
      </w:r>
      <w:r w:rsidR="00723C8D" w:rsidRPr="006171FC">
        <w:rPr>
          <w:color w:val="auto"/>
          <w:szCs w:val="26"/>
        </w:rPr>
        <w:t>propo</w:t>
      </w:r>
      <w:r w:rsidR="00074B4B" w:rsidRPr="006171FC">
        <w:rPr>
          <w:color w:val="auto"/>
          <w:szCs w:val="26"/>
        </w:rPr>
        <w:t>s</w:t>
      </w:r>
      <w:r w:rsidR="00F94F69" w:rsidRPr="006171FC">
        <w:rPr>
          <w:color w:val="auto"/>
          <w:szCs w:val="26"/>
        </w:rPr>
        <w:t>ed</w:t>
      </w:r>
      <w:r w:rsidR="00074B4B" w:rsidRPr="006171FC">
        <w:rPr>
          <w:color w:val="auto"/>
          <w:szCs w:val="26"/>
        </w:rPr>
        <w:t xml:space="preserve"> to construc</w:t>
      </w:r>
      <w:r w:rsidR="00C555B2" w:rsidRPr="006171FC">
        <w:rPr>
          <w:color w:val="auto"/>
          <w:szCs w:val="26"/>
        </w:rPr>
        <w:t>t 1,800 single family detache</w:t>
      </w:r>
      <w:r w:rsidR="001333B6" w:rsidRPr="006171FC">
        <w:rPr>
          <w:color w:val="auto"/>
          <w:szCs w:val="26"/>
        </w:rPr>
        <w:t>d dwell</w:t>
      </w:r>
      <w:r w:rsidR="00FE0A17" w:rsidRPr="006171FC">
        <w:rPr>
          <w:color w:val="auto"/>
          <w:szCs w:val="26"/>
        </w:rPr>
        <w:t>ings</w:t>
      </w:r>
      <w:r w:rsidR="009A3140" w:rsidRPr="006171FC">
        <w:rPr>
          <w:color w:val="auto"/>
          <w:szCs w:val="26"/>
        </w:rPr>
        <w:t xml:space="preserve"> with</w:t>
      </w:r>
      <w:r w:rsidR="00EC2905" w:rsidRPr="006171FC">
        <w:rPr>
          <w:color w:val="auto"/>
          <w:szCs w:val="26"/>
        </w:rPr>
        <w:t xml:space="preserve"> w</w:t>
      </w:r>
      <w:r w:rsidR="00791AC7" w:rsidRPr="006171FC">
        <w:rPr>
          <w:color w:val="auto"/>
          <w:szCs w:val="26"/>
        </w:rPr>
        <w:t>as</w:t>
      </w:r>
      <w:r w:rsidR="004449C0" w:rsidRPr="006171FC">
        <w:rPr>
          <w:color w:val="auto"/>
          <w:szCs w:val="26"/>
        </w:rPr>
        <w:t>tewat</w:t>
      </w:r>
      <w:r w:rsidR="000E08DA" w:rsidRPr="006171FC">
        <w:rPr>
          <w:color w:val="auto"/>
          <w:szCs w:val="26"/>
        </w:rPr>
        <w:t>er dispos</w:t>
      </w:r>
      <w:r w:rsidR="00DB67FA" w:rsidRPr="006171FC">
        <w:rPr>
          <w:color w:val="auto"/>
          <w:szCs w:val="26"/>
        </w:rPr>
        <w:t>al needs</w:t>
      </w:r>
      <w:r w:rsidR="005C3CB0" w:rsidRPr="006171FC">
        <w:rPr>
          <w:color w:val="auto"/>
          <w:szCs w:val="26"/>
        </w:rPr>
        <w:t xml:space="preserve"> of 270</w:t>
      </w:r>
      <w:r w:rsidR="0062097F" w:rsidRPr="006171FC">
        <w:rPr>
          <w:color w:val="auto"/>
          <w:szCs w:val="26"/>
        </w:rPr>
        <w:t>,000 GPD based on 150 GPD</w:t>
      </w:r>
      <w:r w:rsidR="00D86E85" w:rsidRPr="006171FC">
        <w:rPr>
          <w:color w:val="auto"/>
          <w:szCs w:val="26"/>
        </w:rPr>
        <w:t xml:space="preserve"> per EDU</w:t>
      </w:r>
      <w:r w:rsidR="0062097F" w:rsidRPr="006171FC">
        <w:rPr>
          <w:color w:val="auto"/>
          <w:szCs w:val="26"/>
        </w:rPr>
        <w:t>.</w:t>
      </w:r>
    </w:p>
    <w:p w14:paraId="7FB29B1D" w14:textId="749ED23D" w:rsidR="00DE0783" w:rsidRPr="006171FC" w:rsidRDefault="00206344" w:rsidP="00C0766F">
      <w:pPr>
        <w:spacing w:after="240" w:line="360" w:lineRule="auto"/>
        <w:ind w:firstLine="720"/>
        <w:rPr>
          <w:color w:val="auto"/>
          <w:szCs w:val="26"/>
        </w:rPr>
      </w:pPr>
      <w:r w:rsidRPr="006171FC">
        <w:rPr>
          <w:color w:val="auto"/>
          <w:szCs w:val="26"/>
        </w:rPr>
        <w:t xml:space="preserve">However, </w:t>
      </w:r>
      <w:r w:rsidR="008D698E" w:rsidRPr="006171FC">
        <w:rPr>
          <w:color w:val="auto"/>
          <w:szCs w:val="26"/>
        </w:rPr>
        <w:t xml:space="preserve">as detailed in Section II of this Order, </w:t>
      </w:r>
      <w:r w:rsidR="00231D32" w:rsidRPr="006171FC">
        <w:rPr>
          <w:color w:val="auto"/>
          <w:szCs w:val="26"/>
        </w:rPr>
        <w:t>the tot</w:t>
      </w:r>
      <w:r w:rsidR="0052383D" w:rsidRPr="006171FC">
        <w:rPr>
          <w:color w:val="auto"/>
          <w:szCs w:val="26"/>
        </w:rPr>
        <w:t>al number of</w:t>
      </w:r>
      <w:r w:rsidR="00F505E9" w:rsidRPr="006171FC">
        <w:rPr>
          <w:color w:val="auto"/>
          <w:szCs w:val="26"/>
        </w:rPr>
        <w:t xml:space="preserve"> </w:t>
      </w:r>
      <w:r w:rsidR="00FF3133" w:rsidRPr="006171FC">
        <w:rPr>
          <w:color w:val="auto"/>
          <w:szCs w:val="26"/>
        </w:rPr>
        <w:t>proposed Amblebrook</w:t>
      </w:r>
      <w:r w:rsidR="00F505E9" w:rsidRPr="006171FC">
        <w:rPr>
          <w:color w:val="auto"/>
          <w:szCs w:val="26"/>
        </w:rPr>
        <w:t xml:space="preserve"> residen</w:t>
      </w:r>
      <w:r w:rsidR="00574C7B" w:rsidRPr="006171FC">
        <w:rPr>
          <w:color w:val="auto"/>
          <w:szCs w:val="26"/>
        </w:rPr>
        <w:t>tial dwelling</w:t>
      </w:r>
      <w:r w:rsidR="0069198F" w:rsidRPr="006171FC">
        <w:rPr>
          <w:color w:val="auto"/>
          <w:szCs w:val="26"/>
        </w:rPr>
        <w:t>s</w:t>
      </w:r>
      <w:r w:rsidR="00574C7B" w:rsidRPr="006171FC">
        <w:rPr>
          <w:color w:val="auto"/>
          <w:szCs w:val="26"/>
        </w:rPr>
        <w:t xml:space="preserve"> </w:t>
      </w:r>
      <w:r w:rsidR="003B6914" w:rsidRPr="006171FC">
        <w:rPr>
          <w:color w:val="auto"/>
          <w:szCs w:val="26"/>
        </w:rPr>
        <w:t>and</w:t>
      </w:r>
      <w:r w:rsidR="00BC76F6" w:rsidRPr="006171FC">
        <w:rPr>
          <w:color w:val="auto"/>
          <w:szCs w:val="26"/>
        </w:rPr>
        <w:t xml:space="preserve"> commercial </w:t>
      </w:r>
      <w:r w:rsidR="00574C7B" w:rsidRPr="006171FC">
        <w:rPr>
          <w:color w:val="auto"/>
          <w:szCs w:val="26"/>
        </w:rPr>
        <w:t>units</w:t>
      </w:r>
      <w:r w:rsidR="00AF649B" w:rsidRPr="006171FC">
        <w:rPr>
          <w:color w:val="auto"/>
          <w:szCs w:val="26"/>
        </w:rPr>
        <w:t xml:space="preserve"> </w:t>
      </w:r>
      <w:r w:rsidR="008C178C" w:rsidRPr="006171FC">
        <w:rPr>
          <w:color w:val="auto"/>
          <w:szCs w:val="26"/>
        </w:rPr>
        <w:t>has increase</w:t>
      </w:r>
      <w:r w:rsidR="00833743" w:rsidRPr="006171FC">
        <w:rPr>
          <w:color w:val="auto"/>
          <w:szCs w:val="26"/>
        </w:rPr>
        <w:t>d</w:t>
      </w:r>
      <w:r w:rsidR="005A16A3" w:rsidRPr="006171FC">
        <w:rPr>
          <w:color w:val="auto"/>
          <w:szCs w:val="26"/>
        </w:rPr>
        <w:t xml:space="preserve"> from</w:t>
      </w:r>
      <w:r w:rsidR="006407F2" w:rsidRPr="006171FC">
        <w:rPr>
          <w:color w:val="auto"/>
          <w:szCs w:val="26"/>
        </w:rPr>
        <w:t xml:space="preserve"> 1,80</w:t>
      </w:r>
      <w:r w:rsidR="00037CDA" w:rsidRPr="006171FC">
        <w:rPr>
          <w:color w:val="auto"/>
          <w:szCs w:val="26"/>
        </w:rPr>
        <w:t>0</w:t>
      </w:r>
      <w:r w:rsidR="00CB6B9A" w:rsidRPr="006171FC">
        <w:rPr>
          <w:color w:val="auto"/>
          <w:szCs w:val="26"/>
        </w:rPr>
        <w:t xml:space="preserve"> to</w:t>
      </w:r>
      <w:r w:rsidR="008C03D7" w:rsidRPr="006171FC">
        <w:rPr>
          <w:color w:val="auto"/>
          <w:szCs w:val="26"/>
        </w:rPr>
        <w:t xml:space="preserve"> </w:t>
      </w:r>
      <w:r w:rsidR="00B03645" w:rsidRPr="006171FC">
        <w:rPr>
          <w:color w:val="auto"/>
          <w:szCs w:val="26"/>
        </w:rPr>
        <w:t>2,</w:t>
      </w:r>
      <w:r w:rsidR="00D2486C" w:rsidRPr="006171FC">
        <w:rPr>
          <w:color w:val="auto"/>
          <w:szCs w:val="26"/>
        </w:rPr>
        <w:t>00</w:t>
      </w:r>
      <w:r w:rsidR="00782F5D" w:rsidRPr="006171FC">
        <w:rPr>
          <w:color w:val="auto"/>
          <w:szCs w:val="26"/>
        </w:rPr>
        <w:t>7</w:t>
      </w:r>
      <w:r w:rsidR="00A32BEB" w:rsidRPr="006171FC">
        <w:rPr>
          <w:color w:val="auto"/>
          <w:szCs w:val="26"/>
        </w:rPr>
        <w:t>.</w:t>
      </w:r>
      <w:r w:rsidR="00AB3D63" w:rsidRPr="006171FC">
        <w:rPr>
          <w:color w:val="auto"/>
          <w:szCs w:val="26"/>
        </w:rPr>
        <w:t xml:space="preserve">  T</w:t>
      </w:r>
      <w:r w:rsidR="00917000" w:rsidRPr="006171FC">
        <w:rPr>
          <w:color w:val="auto"/>
          <w:szCs w:val="26"/>
        </w:rPr>
        <w:t>his prop</w:t>
      </w:r>
      <w:r w:rsidR="009A535F" w:rsidRPr="006171FC">
        <w:rPr>
          <w:color w:val="auto"/>
          <w:szCs w:val="26"/>
        </w:rPr>
        <w:t>osed increase</w:t>
      </w:r>
      <w:r w:rsidR="00412D9F" w:rsidRPr="006171FC">
        <w:rPr>
          <w:color w:val="auto"/>
          <w:szCs w:val="26"/>
        </w:rPr>
        <w:t xml:space="preserve"> </w:t>
      </w:r>
      <w:r w:rsidR="00E84EC8" w:rsidRPr="006171FC">
        <w:rPr>
          <w:color w:val="auto"/>
          <w:szCs w:val="26"/>
        </w:rPr>
        <w:t xml:space="preserve">of </w:t>
      </w:r>
      <w:r w:rsidR="00DD78C3" w:rsidRPr="006171FC">
        <w:rPr>
          <w:color w:val="auto"/>
          <w:szCs w:val="26"/>
        </w:rPr>
        <w:t xml:space="preserve">approximately </w:t>
      </w:r>
      <w:r w:rsidR="00E84EC8" w:rsidRPr="006171FC">
        <w:rPr>
          <w:color w:val="auto"/>
          <w:szCs w:val="26"/>
        </w:rPr>
        <w:t>20</w:t>
      </w:r>
      <w:r w:rsidR="00782F5D" w:rsidRPr="006171FC">
        <w:rPr>
          <w:color w:val="auto"/>
          <w:szCs w:val="26"/>
        </w:rPr>
        <w:t>7</w:t>
      </w:r>
      <w:r w:rsidR="00791CFA" w:rsidRPr="006171FC">
        <w:rPr>
          <w:color w:val="auto"/>
          <w:szCs w:val="26"/>
        </w:rPr>
        <w:t xml:space="preserve"> </w:t>
      </w:r>
      <w:r w:rsidR="009A5047" w:rsidRPr="006171FC">
        <w:rPr>
          <w:color w:val="auto"/>
          <w:szCs w:val="26"/>
        </w:rPr>
        <w:t>ED</w:t>
      </w:r>
      <w:r w:rsidR="00E73C24" w:rsidRPr="006171FC">
        <w:rPr>
          <w:color w:val="auto"/>
          <w:szCs w:val="26"/>
        </w:rPr>
        <w:t>Us</w:t>
      </w:r>
      <w:r w:rsidR="00CA50EA" w:rsidRPr="006171FC">
        <w:rPr>
          <w:color w:val="auto"/>
          <w:szCs w:val="26"/>
        </w:rPr>
        <w:t xml:space="preserve"> </w:t>
      </w:r>
      <w:r w:rsidR="001F5094" w:rsidRPr="006171FC">
        <w:rPr>
          <w:color w:val="auto"/>
          <w:szCs w:val="26"/>
        </w:rPr>
        <w:t>and the corre</w:t>
      </w:r>
      <w:r w:rsidR="006856ED" w:rsidRPr="006171FC">
        <w:rPr>
          <w:color w:val="auto"/>
          <w:szCs w:val="26"/>
        </w:rPr>
        <w:t>sponding increase</w:t>
      </w:r>
      <w:r w:rsidR="00206749" w:rsidRPr="006171FC">
        <w:rPr>
          <w:color w:val="auto"/>
          <w:szCs w:val="26"/>
        </w:rPr>
        <w:t xml:space="preserve"> in wastewate</w:t>
      </w:r>
      <w:r w:rsidR="004B3E14" w:rsidRPr="006171FC">
        <w:rPr>
          <w:color w:val="auto"/>
          <w:szCs w:val="26"/>
        </w:rPr>
        <w:t>r flow</w:t>
      </w:r>
      <w:r w:rsidR="00736A2C" w:rsidRPr="006171FC">
        <w:rPr>
          <w:color w:val="auto"/>
          <w:szCs w:val="26"/>
        </w:rPr>
        <w:t>s</w:t>
      </w:r>
      <w:r w:rsidR="00C70FEC" w:rsidRPr="006171FC">
        <w:rPr>
          <w:color w:val="auto"/>
          <w:szCs w:val="26"/>
        </w:rPr>
        <w:t xml:space="preserve"> </w:t>
      </w:r>
      <w:r w:rsidR="009B5A4E" w:rsidRPr="006171FC">
        <w:rPr>
          <w:color w:val="auto"/>
          <w:szCs w:val="26"/>
        </w:rPr>
        <w:t>w</w:t>
      </w:r>
      <w:r w:rsidR="00892AD0" w:rsidRPr="006171FC">
        <w:rPr>
          <w:color w:val="auto"/>
          <w:szCs w:val="26"/>
        </w:rPr>
        <w:t xml:space="preserve">ere </w:t>
      </w:r>
      <w:r w:rsidR="005523EA" w:rsidRPr="006171FC">
        <w:rPr>
          <w:color w:val="auto"/>
          <w:szCs w:val="26"/>
        </w:rPr>
        <w:t>n</w:t>
      </w:r>
      <w:r w:rsidR="00F13121" w:rsidRPr="006171FC">
        <w:rPr>
          <w:color w:val="auto"/>
          <w:szCs w:val="26"/>
        </w:rPr>
        <w:t>ot</w:t>
      </w:r>
      <w:r w:rsidR="007E33C1" w:rsidRPr="006171FC">
        <w:rPr>
          <w:color w:val="auto"/>
          <w:szCs w:val="26"/>
        </w:rPr>
        <w:t xml:space="preserve"> d</w:t>
      </w:r>
      <w:r w:rsidR="00DA62EE" w:rsidRPr="006171FC">
        <w:rPr>
          <w:color w:val="auto"/>
          <w:szCs w:val="26"/>
        </w:rPr>
        <w:t>es</w:t>
      </w:r>
      <w:r w:rsidR="00AB6D5A" w:rsidRPr="006171FC">
        <w:rPr>
          <w:color w:val="auto"/>
          <w:szCs w:val="26"/>
        </w:rPr>
        <w:t>cribe</w:t>
      </w:r>
      <w:r w:rsidR="00DB5FF4" w:rsidRPr="006171FC">
        <w:rPr>
          <w:color w:val="auto"/>
          <w:szCs w:val="26"/>
        </w:rPr>
        <w:t xml:space="preserve">d </w:t>
      </w:r>
      <w:r w:rsidR="00C67CAE" w:rsidRPr="006171FC">
        <w:rPr>
          <w:color w:val="auto"/>
          <w:szCs w:val="26"/>
        </w:rPr>
        <w:t>i</w:t>
      </w:r>
      <w:r w:rsidR="00C813F3" w:rsidRPr="006171FC">
        <w:rPr>
          <w:color w:val="auto"/>
          <w:szCs w:val="26"/>
        </w:rPr>
        <w:t xml:space="preserve">n </w:t>
      </w:r>
      <w:r w:rsidR="008A4DEE" w:rsidRPr="006171FC">
        <w:rPr>
          <w:color w:val="auto"/>
          <w:szCs w:val="26"/>
        </w:rPr>
        <w:t>e</w:t>
      </w:r>
      <w:r w:rsidR="0083664A" w:rsidRPr="006171FC">
        <w:rPr>
          <w:color w:val="auto"/>
          <w:szCs w:val="26"/>
        </w:rPr>
        <w:t>ither the Planning</w:t>
      </w:r>
      <w:r w:rsidR="00657EF7" w:rsidRPr="006171FC">
        <w:rPr>
          <w:color w:val="auto"/>
          <w:szCs w:val="26"/>
        </w:rPr>
        <w:t xml:space="preserve"> Module </w:t>
      </w:r>
      <w:r w:rsidR="002B2B90" w:rsidRPr="006171FC">
        <w:rPr>
          <w:color w:val="auto"/>
          <w:szCs w:val="26"/>
        </w:rPr>
        <w:t xml:space="preserve">or </w:t>
      </w:r>
      <w:r w:rsidR="0066749E" w:rsidRPr="006171FC">
        <w:rPr>
          <w:color w:val="auto"/>
          <w:szCs w:val="26"/>
        </w:rPr>
        <w:t xml:space="preserve">the </w:t>
      </w:r>
      <w:r w:rsidR="002B2B90" w:rsidRPr="006171FC">
        <w:rPr>
          <w:color w:val="auto"/>
          <w:szCs w:val="26"/>
        </w:rPr>
        <w:lastRenderedPageBreak/>
        <w:t>200</w:t>
      </w:r>
      <w:r w:rsidR="005B688D" w:rsidRPr="006171FC">
        <w:rPr>
          <w:color w:val="auto"/>
          <w:szCs w:val="26"/>
        </w:rPr>
        <w:t>7</w:t>
      </w:r>
      <w:r w:rsidR="00F46A9B" w:rsidRPr="006171FC">
        <w:rPr>
          <w:color w:val="auto"/>
          <w:szCs w:val="26"/>
        </w:rPr>
        <w:t xml:space="preserve"> Act 537</w:t>
      </w:r>
      <w:r w:rsidR="004E4332" w:rsidRPr="006171FC">
        <w:rPr>
          <w:color w:val="auto"/>
          <w:szCs w:val="26"/>
        </w:rPr>
        <w:t xml:space="preserve"> Plan</w:t>
      </w:r>
      <w:r w:rsidR="00257D35" w:rsidRPr="006171FC">
        <w:rPr>
          <w:color w:val="auto"/>
          <w:szCs w:val="26"/>
        </w:rPr>
        <w:t>.</w:t>
      </w:r>
      <w:r w:rsidR="00705BBA" w:rsidRPr="006171FC">
        <w:rPr>
          <w:rStyle w:val="FootnoteReference"/>
          <w:color w:val="auto"/>
          <w:szCs w:val="26"/>
        </w:rPr>
        <w:footnoteReference w:id="7"/>
      </w:r>
      <w:r w:rsidR="00BA328A" w:rsidRPr="006171FC">
        <w:rPr>
          <w:color w:val="auto"/>
          <w:szCs w:val="26"/>
        </w:rPr>
        <w:t xml:space="preserve"> </w:t>
      </w:r>
      <w:r w:rsidR="00906C7B" w:rsidRPr="006171FC">
        <w:rPr>
          <w:color w:val="auto"/>
          <w:szCs w:val="26"/>
        </w:rPr>
        <w:t xml:space="preserve"> </w:t>
      </w:r>
      <w:r w:rsidR="008041BE" w:rsidRPr="006171FC">
        <w:rPr>
          <w:color w:val="auto"/>
          <w:szCs w:val="26"/>
        </w:rPr>
        <w:t>York-WW av</w:t>
      </w:r>
      <w:r w:rsidR="006E7319" w:rsidRPr="006171FC">
        <w:rPr>
          <w:color w:val="auto"/>
          <w:szCs w:val="26"/>
        </w:rPr>
        <w:t>erred</w:t>
      </w:r>
      <w:r w:rsidR="00A84110" w:rsidRPr="006171FC">
        <w:rPr>
          <w:color w:val="auto"/>
          <w:szCs w:val="26"/>
        </w:rPr>
        <w:t xml:space="preserve"> the docu</w:t>
      </w:r>
      <w:r w:rsidR="00EC5531" w:rsidRPr="006171FC">
        <w:rPr>
          <w:color w:val="auto"/>
          <w:szCs w:val="26"/>
        </w:rPr>
        <w:t>mentation</w:t>
      </w:r>
      <w:r w:rsidR="00B11F75" w:rsidRPr="006171FC">
        <w:rPr>
          <w:color w:val="auto"/>
          <w:szCs w:val="26"/>
        </w:rPr>
        <w:t xml:space="preserve"> Rock Creek </w:t>
      </w:r>
      <w:r w:rsidR="00A15A65" w:rsidRPr="006171FC">
        <w:rPr>
          <w:color w:val="auto"/>
          <w:szCs w:val="26"/>
        </w:rPr>
        <w:t>p</w:t>
      </w:r>
      <w:r w:rsidR="007B2857" w:rsidRPr="006171FC">
        <w:rPr>
          <w:color w:val="auto"/>
          <w:szCs w:val="26"/>
        </w:rPr>
        <w:t>rovi</w:t>
      </w:r>
      <w:r w:rsidR="006E4132" w:rsidRPr="006171FC">
        <w:rPr>
          <w:color w:val="auto"/>
          <w:szCs w:val="26"/>
        </w:rPr>
        <w:t>ded</w:t>
      </w:r>
      <w:r w:rsidR="00B64FCC" w:rsidRPr="006171FC">
        <w:rPr>
          <w:color w:val="auto"/>
          <w:szCs w:val="26"/>
        </w:rPr>
        <w:t xml:space="preserve"> in the Planning</w:t>
      </w:r>
      <w:r w:rsidR="00AC3BF5" w:rsidRPr="006171FC">
        <w:rPr>
          <w:color w:val="auto"/>
          <w:szCs w:val="26"/>
        </w:rPr>
        <w:t xml:space="preserve"> Module</w:t>
      </w:r>
      <w:r w:rsidR="00AE3D4E" w:rsidRPr="006171FC">
        <w:rPr>
          <w:color w:val="auto"/>
          <w:szCs w:val="26"/>
        </w:rPr>
        <w:t xml:space="preserve"> suppo</w:t>
      </w:r>
      <w:r w:rsidR="00BB0EB5" w:rsidRPr="006171FC">
        <w:rPr>
          <w:color w:val="auto"/>
          <w:szCs w:val="26"/>
        </w:rPr>
        <w:t>rts</w:t>
      </w:r>
      <w:r w:rsidR="002B395F" w:rsidRPr="006171FC">
        <w:rPr>
          <w:color w:val="auto"/>
          <w:szCs w:val="26"/>
        </w:rPr>
        <w:t xml:space="preserve"> the use</w:t>
      </w:r>
      <w:r w:rsidR="00760CBB" w:rsidRPr="006171FC">
        <w:rPr>
          <w:color w:val="auto"/>
          <w:szCs w:val="26"/>
        </w:rPr>
        <w:t xml:space="preserve"> of </w:t>
      </w:r>
      <w:r w:rsidR="00BC72CC" w:rsidRPr="006171FC">
        <w:rPr>
          <w:color w:val="auto"/>
          <w:szCs w:val="26"/>
        </w:rPr>
        <w:t>a</w:t>
      </w:r>
      <w:r w:rsidR="00EB0BCD" w:rsidRPr="006171FC">
        <w:rPr>
          <w:color w:val="auto"/>
          <w:szCs w:val="26"/>
        </w:rPr>
        <w:t xml:space="preserve">n </w:t>
      </w:r>
      <w:r w:rsidR="004C108F" w:rsidRPr="006171FC">
        <w:rPr>
          <w:color w:val="auto"/>
          <w:szCs w:val="26"/>
        </w:rPr>
        <w:t>EDU</w:t>
      </w:r>
      <w:r w:rsidR="00D9065F" w:rsidRPr="006171FC">
        <w:rPr>
          <w:color w:val="auto"/>
          <w:szCs w:val="26"/>
        </w:rPr>
        <w:t xml:space="preserve"> </w:t>
      </w:r>
      <w:r w:rsidR="00A427BB" w:rsidRPr="006171FC">
        <w:rPr>
          <w:color w:val="auto"/>
          <w:szCs w:val="26"/>
        </w:rPr>
        <w:t>f</w:t>
      </w:r>
      <w:r w:rsidR="0086643D" w:rsidRPr="006171FC">
        <w:rPr>
          <w:color w:val="auto"/>
          <w:szCs w:val="26"/>
        </w:rPr>
        <w:t>low of 135</w:t>
      </w:r>
      <w:r w:rsidR="001B7380" w:rsidRPr="006171FC">
        <w:rPr>
          <w:color w:val="auto"/>
          <w:szCs w:val="26"/>
        </w:rPr>
        <w:t xml:space="preserve"> G</w:t>
      </w:r>
      <w:r w:rsidR="006B379D" w:rsidRPr="006171FC">
        <w:rPr>
          <w:color w:val="auto"/>
          <w:szCs w:val="26"/>
        </w:rPr>
        <w:t>PD</w:t>
      </w:r>
      <w:r w:rsidR="00C223D1" w:rsidRPr="006171FC">
        <w:rPr>
          <w:color w:val="auto"/>
          <w:szCs w:val="26"/>
        </w:rPr>
        <w:t xml:space="preserve"> for A</w:t>
      </w:r>
      <w:r w:rsidR="007445A9" w:rsidRPr="006171FC">
        <w:rPr>
          <w:color w:val="auto"/>
          <w:szCs w:val="26"/>
        </w:rPr>
        <w:t>m</w:t>
      </w:r>
      <w:r w:rsidR="00931D05" w:rsidRPr="006171FC">
        <w:rPr>
          <w:color w:val="auto"/>
          <w:szCs w:val="26"/>
        </w:rPr>
        <w:t>blebrook</w:t>
      </w:r>
      <w:r w:rsidR="00353266" w:rsidRPr="006171FC">
        <w:rPr>
          <w:color w:val="auto"/>
          <w:szCs w:val="26"/>
        </w:rPr>
        <w:t>.</w:t>
      </w:r>
      <w:r w:rsidR="00B95B19" w:rsidRPr="006171FC">
        <w:rPr>
          <w:color w:val="auto"/>
          <w:szCs w:val="26"/>
        </w:rPr>
        <w:t xml:space="preserve">  </w:t>
      </w:r>
      <w:r w:rsidR="00B96232" w:rsidRPr="006171FC">
        <w:rPr>
          <w:color w:val="auto"/>
          <w:szCs w:val="26"/>
        </w:rPr>
        <w:t>York-WW</w:t>
      </w:r>
      <w:r w:rsidR="00471466" w:rsidRPr="006171FC">
        <w:rPr>
          <w:color w:val="auto"/>
          <w:szCs w:val="26"/>
        </w:rPr>
        <w:t xml:space="preserve">, </w:t>
      </w:r>
      <w:r w:rsidR="00060E6E" w:rsidRPr="006171FC">
        <w:rPr>
          <w:color w:val="auto"/>
          <w:szCs w:val="26"/>
        </w:rPr>
        <w:t>however</w:t>
      </w:r>
      <w:r w:rsidR="003B7E6D" w:rsidRPr="006171FC">
        <w:rPr>
          <w:color w:val="auto"/>
          <w:szCs w:val="26"/>
        </w:rPr>
        <w:t>,</w:t>
      </w:r>
      <w:r w:rsidR="00B96232" w:rsidRPr="006171FC">
        <w:rPr>
          <w:color w:val="auto"/>
          <w:szCs w:val="26"/>
        </w:rPr>
        <w:t xml:space="preserve"> did not provide</w:t>
      </w:r>
      <w:r w:rsidR="00565A2A" w:rsidRPr="006171FC">
        <w:rPr>
          <w:color w:val="auto"/>
          <w:szCs w:val="26"/>
        </w:rPr>
        <w:t xml:space="preserve"> evidenc</w:t>
      </w:r>
      <w:r w:rsidR="00E23DB5" w:rsidRPr="006171FC">
        <w:rPr>
          <w:color w:val="auto"/>
          <w:szCs w:val="26"/>
        </w:rPr>
        <w:t>e of DEP’s approva</w:t>
      </w:r>
      <w:r w:rsidR="00B215AB" w:rsidRPr="006171FC">
        <w:rPr>
          <w:color w:val="auto"/>
          <w:szCs w:val="26"/>
        </w:rPr>
        <w:t xml:space="preserve">l </w:t>
      </w:r>
      <w:r w:rsidR="007F546E" w:rsidRPr="006171FC">
        <w:rPr>
          <w:color w:val="auto"/>
          <w:szCs w:val="26"/>
        </w:rPr>
        <w:t>of</w:t>
      </w:r>
      <w:r w:rsidR="008E42A2" w:rsidRPr="006171FC">
        <w:rPr>
          <w:color w:val="auto"/>
          <w:szCs w:val="26"/>
        </w:rPr>
        <w:t xml:space="preserve"> an </w:t>
      </w:r>
      <w:r w:rsidR="00DF7706" w:rsidRPr="006171FC">
        <w:rPr>
          <w:color w:val="auto"/>
          <w:szCs w:val="26"/>
        </w:rPr>
        <w:t>am</w:t>
      </w:r>
      <w:r w:rsidR="00456227" w:rsidRPr="006171FC">
        <w:rPr>
          <w:color w:val="auto"/>
          <w:szCs w:val="26"/>
        </w:rPr>
        <w:t>endment</w:t>
      </w:r>
      <w:r w:rsidR="00867935" w:rsidRPr="006171FC">
        <w:rPr>
          <w:color w:val="auto"/>
          <w:szCs w:val="26"/>
        </w:rPr>
        <w:t xml:space="preserve"> to the Planning Mo</w:t>
      </w:r>
      <w:r w:rsidR="00353ADA" w:rsidRPr="006171FC">
        <w:rPr>
          <w:color w:val="auto"/>
          <w:szCs w:val="26"/>
        </w:rPr>
        <w:t>dule</w:t>
      </w:r>
      <w:r w:rsidR="00032100" w:rsidRPr="006171FC">
        <w:rPr>
          <w:color w:val="auto"/>
          <w:szCs w:val="26"/>
        </w:rPr>
        <w:t xml:space="preserve"> fu</w:t>
      </w:r>
      <w:r w:rsidR="009B4C22" w:rsidRPr="006171FC">
        <w:rPr>
          <w:color w:val="auto"/>
          <w:szCs w:val="26"/>
        </w:rPr>
        <w:t xml:space="preserve">rther </w:t>
      </w:r>
      <w:r w:rsidR="00BB5C32" w:rsidRPr="006171FC">
        <w:rPr>
          <w:color w:val="auto"/>
          <w:szCs w:val="26"/>
        </w:rPr>
        <w:t>reducing the defined f</w:t>
      </w:r>
      <w:r w:rsidR="004C52DD" w:rsidRPr="006171FC">
        <w:rPr>
          <w:color w:val="auto"/>
          <w:szCs w:val="26"/>
        </w:rPr>
        <w:t>low</w:t>
      </w:r>
      <w:r w:rsidR="00094918" w:rsidRPr="006171FC">
        <w:rPr>
          <w:color w:val="auto"/>
          <w:szCs w:val="26"/>
        </w:rPr>
        <w:t xml:space="preserve"> for e</w:t>
      </w:r>
      <w:r w:rsidR="00CE01CD" w:rsidRPr="006171FC">
        <w:rPr>
          <w:color w:val="auto"/>
          <w:szCs w:val="26"/>
        </w:rPr>
        <w:t xml:space="preserve">ach </w:t>
      </w:r>
      <w:r w:rsidR="00F520A6" w:rsidRPr="006171FC">
        <w:rPr>
          <w:color w:val="auto"/>
          <w:szCs w:val="26"/>
        </w:rPr>
        <w:t>ED</w:t>
      </w:r>
      <w:r w:rsidR="00823C8D" w:rsidRPr="006171FC">
        <w:rPr>
          <w:color w:val="auto"/>
          <w:szCs w:val="26"/>
        </w:rPr>
        <w:t>U</w:t>
      </w:r>
      <w:r w:rsidR="007F546E" w:rsidRPr="006171FC">
        <w:rPr>
          <w:color w:val="auto"/>
          <w:szCs w:val="26"/>
        </w:rPr>
        <w:t xml:space="preserve"> </w:t>
      </w:r>
      <w:r w:rsidR="00E620B6" w:rsidRPr="006171FC">
        <w:rPr>
          <w:color w:val="auto"/>
          <w:szCs w:val="26"/>
        </w:rPr>
        <w:t>fro</w:t>
      </w:r>
      <w:r w:rsidR="00E705D6" w:rsidRPr="006171FC">
        <w:rPr>
          <w:color w:val="auto"/>
          <w:szCs w:val="26"/>
        </w:rPr>
        <w:t>m the approved</w:t>
      </w:r>
      <w:r w:rsidR="00886F26" w:rsidRPr="006171FC">
        <w:rPr>
          <w:color w:val="auto"/>
          <w:szCs w:val="26"/>
        </w:rPr>
        <w:t xml:space="preserve"> flow of</w:t>
      </w:r>
      <w:r w:rsidR="00E705D6" w:rsidRPr="006171FC">
        <w:rPr>
          <w:color w:val="auto"/>
          <w:szCs w:val="26"/>
        </w:rPr>
        <w:t xml:space="preserve"> 150 GPD to</w:t>
      </w:r>
      <w:r w:rsidR="00CC4A0A" w:rsidRPr="006171FC">
        <w:rPr>
          <w:color w:val="auto"/>
          <w:szCs w:val="26"/>
        </w:rPr>
        <w:t xml:space="preserve"> 135</w:t>
      </w:r>
      <w:r w:rsidR="00C84E50" w:rsidRPr="006171FC">
        <w:rPr>
          <w:color w:val="auto"/>
          <w:szCs w:val="26"/>
        </w:rPr>
        <w:t xml:space="preserve"> </w:t>
      </w:r>
      <w:r w:rsidR="00FA79C4" w:rsidRPr="006171FC">
        <w:rPr>
          <w:color w:val="auto"/>
          <w:szCs w:val="26"/>
        </w:rPr>
        <w:t>GPD</w:t>
      </w:r>
      <w:r w:rsidR="00591475" w:rsidRPr="006171FC">
        <w:rPr>
          <w:color w:val="auto"/>
          <w:szCs w:val="26"/>
        </w:rPr>
        <w:t>.</w:t>
      </w:r>
      <w:r w:rsidR="00C10213" w:rsidRPr="006171FC">
        <w:rPr>
          <w:color w:val="auto"/>
          <w:szCs w:val="26"/>
        </w:rPr>
        <w:t xml:space="preserve">  </w:t>
      </w:r>
      <w:r w:rsidR="00467DB9" w:rsidRPr="006171FC">
        <w:rPr>
          <w:color w:val="auto"/>
          <w:szCs w:val="26"/>
        </w:rPr>
        <w:t>Al</w:t>
      </w:r>
      <w:r w:rsidR="00D57BE8" w:rsidRPr="006171FC">
        <w:rPr>
          <w:color w:val="auto"/>
          <w:szCs w:val="26"/>
        </w:rPr>
        <w:t>ternati</w:t>
      </w:r>
      <w:r w:rsidR="008D2331" w:rsidRPr="006171FC">
        <w:rPr>
          <w:color w:val="auto"/>
          <w:szCs w:val="26"/>
        </w:rPr>
        <w:t xml:space="preserve">vely, </w:t>
      </w:r>
      <w:r w:rsidR="00B637E5" w:rsidRPr="006171FC">
        <w:rPr>
          <w:color w:val="auto"/>
          <w:szCs w:val="26"/>
        </w:rPr>
        <w:t>York-WW</w:t>
      </w:r>
      <w:r w:rsidR="00383E1D" w:rsidRPr="006171FC">
        <w:rPr>
          <w:color w:val="auto"/>
          <w:szCs w:val="26"/>
        </w:rPr>
        <w:t xml:space="preserve"> </w:t>
      </w:r>
      <w:r w:rsidR="002C1AA3" w:rsidRPr="006171FC">
        <w:rPr>
          <w:color w:val="auto"/>
          <w:szCs w:val="26"/>
        </w:rPr>
        <w:t>a</w:t>
      </w:r>
      <w:r w:rsidR="00383E1D" w:rsidRPr="006171FC">
        <w:rPr>
          <w:color w:val="auto"/>
          <w:szCs w:val="26"/>
        </w:rPr>
        <w:t xml:space="preserve">lso did not </w:t>
      </w:r>
      <w:r w:rsidR="004B78DF" w:rsidRPr="006171FC">
        <w:rPr>
          <w:color w:val="auto"/>
          <w:szCs w:val="26"/>
        </w:rPr>
        <w:t>p</w:t>
      </w:r>
      <w:r w:rsidR="002B583E" w:rsidRPr="006171FC">
        <w:rPr>
          <w:color w:val="auto"/>
          <w:szCs w:val="26"/>
        </w:rPr>
        <w:t>rovide evid</w:t>
      </w:r>
      <w:r w:rsidR="00616787" w:rsidRPr="006171FC">
        <w:rPr>
          <w:color w:val="auto"/>
          <w:szCs w:val="26"/>
        </w:rPr>
        <w:t>ence of an amend</w:t>
      </w:r>
      <w:r w:rsidR="00F93169" w:rsidRPr="006171FC">
        <w:rPr>
          <w:color w:val="auto"/>
          <w:szCs w:val="26"/>
        </w:rPr>
        <w:t>ment to NPDE</w:t>
      </w:r>
      <w:r w:rsidR="00D56701" w:rsidRPr="006171FC">
        <w:rPr>
          <w:color w:val="auto"/>
          <w:szCs w:val="26"/>
        </w:rPr>
        <w:t>S Permit</w:t>
      </w:r>
      <w:r w:rsidR="003A03A3" w:rsidRPr="006171FC">
        <w:rPr>
          <w:color w:val="auto"/>
          <w:szCs w:val="26"/>
        </w:rPr>
        <w:t xml:space="preserve"> No. PA0</w:t>
      </w:r>
      <w:r w:rsidR="00E77B07" w:rsidRPr="006171FC">
        <w:rPr>
          <w:color w:val="auto"/>
          <w:szCs w:val="26"/>
        </w:rPr>
        <w:t>2</w:t>
      </w:r>
      <w:r w:rsidR="002E07FA" w:rsidRPr="006171FC">
        <w:rPr>
          <w:color w:val="auto"/>
          <w:szCs w:val="26"/>
        </w:rPr>
        <w:t>77</w:t>
      </w:r>
      <w:r w:rsidR="00AC7582" w:rsidRPr="006171FC">
        <w:rPr>
          <w:color w:val="auto"/>
          <w:szCs w:val="26"/>
        </w:rPr>
        <w:t>15</w:t>
      </w:r>
      <w:r w:rsidR="00C95BA2" w:rsidRPr="006171FC">
        <w:rPr>
          <w:color w:val="auto"/>
          <w:szCs w:val="26"/>
        </w:rPr>
        <w:t xml:space="preserve"> </w:t>
      </w:r>
      <w:r w:rsidR="007A1622" w:rsidRPr="006171FC">
        <w:rPr>
          <w:color w:val="auto"/>
          <w:szCs w:val="26"/>
        </w:rPr>
        <w:t>to inc</w:t>
      </w:r>
      <w:r w:rsidR="00225650" w:rsidRPr="006171FC">
        <w:rPr>
          <w:color w:val="auto"/>
          <w:szCs w:val="26"/>
        </w:rPr>
        <w:t>rease the effluent</w:t>
      </w:r>
      <w:r w:rsidR="005B3182" w:rsidRPr="006171FC">
        <w:rPr>
          <w:color w:val="auto"/>
          <w:szCs w:val="26"/>
        </w:rPr>
        <w:t xml:space="preserve"> discharge</w:t>
      </w:r>
      <w:r w:rsidR="00237D9F" w:rsidRPr="006171FC">
        <w:rPr>
          <w:color w:val="auto"/>
          <w:szCs w:val="26"/>
        </w:rPr>
        <w:t xml:space="preserve"> rate of 270</w:t>
      </w:r>
      <w:r w:rsidR="00D74646" w:rsidRPr="006171FC">
        <w:rPr>
          <w:color w:val="auto"/>
          <w:szCs w:val="26"/>
        </w:rPr>
        <w:t xml:space="preserve">,000 GPD </w:t>
      </w:r>
      <w:r w:rsidR="00EB3ED2" w:rsidRPr="006171FC">
        <w:rPr>
          <w:color w:val="auto"/>
          <w:szCs w:val="26"/>
        </w:rPr>
        <w:t>t</w:t>
      </w:r>
      <w:r w:rsidR="00E02DE5" w:rsidRPr="006171FC">
        <w:rPr>
          <w:color w:val="auto"/>
          <w:szCs w:val="26"/>
        </w:rPr>
        <w:t>o reflec</w:t>
      </w:r>
      <w:r w:rsidR="001B4C80" w:rsidRPr="006171FC">
        <w:rPr>
          <w:color w:val="auto"/>
          <w:szCs w:val="26"/>
        </w:rPr>
        <w:t xml:space="preserve">t </w:t>
      </w:r>
      <w:r w:rsidR="00610C31" w:rsidRPr="006171FC">
        <w:rPr>
          <w:color w:val="auto"/>
          <w:szCs w:val="26"/>
        </w:rPr>
        <w:t xml:space="preserve">the </w:t>
      </w:r>
      <w:r w:rsidR="00644117" w:rsidRPr="006171FC">
        <w:rPr>
          <w:color w:val="auto"/>
          <w:szCs w:val="26"/>
        </w:rPr>
        <w:t>i</w:t>
      </w:r>
      <w:r w:rsidR="00C31B8F" w:rsidRPr="006171FC">
        <w:rPr>
          <w:color w:val="auto"/>
          <w:szCs w:val="26"/>
        </w:rPr>
        <w:t xml:space="preserve">ncrease of </w:t>
      </w:r>
      <w:r w:rsidR="008721CE" w:rsidRPr="006171FC">
        <w:rPr>
          <w:color w:val="auto"/>
          <w:szCs w:val="26"/>
        </w:rPr>
        <w:t>EDUs</w:t>
      </w:r>
      <w:r w:rsidR="007875CB" w:rsidRPr="006171FC">
        <w:rPr>
          <w:color w:val="auto"/>
          <w:szCs w:val="26"/>
        </w:rPr>
        <w:t xml:space="preserve"> from</w:t>
      </w:r>
      <w:r w:rsidR="00A458A6" w:rsidRPr="006171FC">
        <w:rPr>
          <w:color w:val="auto"/>
          <w:szCs w:val="26"/>
        </w:rPr>
        <w:t xml:space="preserve"> 1,800 to 2,</w:t>
      </w:r>
      <w:r w:rsidR="0065534F" w:rsidRPr="006171FC">
        <w:rPr>
          <w:color w:val="auto"/>
          <w:szCs w:val="26"/>
        </w:rPr>
        <w:t>00</w:t>
      </w:r>
      <w:r w:rsidR="00445404" w:rsidRPr="006171FC">
        <w:rPr>
          <w:color w:val="auto"/>
          <w:szCs w:val="26"/>
        </w:rPr>
        <w:t>7</w:t>
      </w:r>
      <w:r w:rsidR="0065534F" w:rsidRPr="006171FC">
        <w:rPr>
          <w:color w:val="auto"/>
          <w:szCs w:val="26"/>
        </w:rPr>
        <w:t xml:space="preserve"> or </w:t>
      </w:r>
      <w:r w:rsidR="006D4538" w:rsidRPr="006171FC">
        <w:rPr>
          <w:color w:val="auto"/>
          <w:szCs w:val="26"/>
        </w:rPr>
        <w:t xml:space="preserve">to </w:t>
      </w:r>
      <w:r w:rsidR="001342C2" w:rsidRPr="006171FC">
        <w:rPr>
          <w:color w:val="auto"/>
          <w:szCs w:val="26"/>
        </w:rPr>
        <w:t>3</w:t>
      </w:r>
      <w:r w:rsidR="00525B93" w:rsidRPr="006171FC">
        <w:rPr>
          <w:color w:val="auto"/>
          <w:szCs w:val="26"/>
        </w:rPr>
        <w:t>01,0</w:t>
      </w:r>
      <w:r w:rsidR="00184960" w:rsidRPr="006171FC">
        <w:rPr>
          <w:color w:val="auto"/>
          <w:szCs w:val="26"/>
        </w:rPr>
        <w:t>50 GPD (2</w:t>
      </w:r>
      <w:r w:rsidR="00582B48" w:rsidRPr="006171FC">
        <w:rPr>
          <w:color w:val="auto"/>
          <w:szCs w:val="26"/>
        </w:rPr>
        <w:t>,0</w:t>
      </w:r>
      <w:r w:rsidR="00C9179F" w:rsidRPr="006171FC">
        <w:rPr>
          <w:color w:val="auto"/>
          <w:szCs w:val="26"/>
        </w:rPr>
        <w:t>07 E</w:t>
      </w:r>
      <w:r w:rsidR="00BA7E88" w:rsidRPr="006171FC">
        <w:rPr>
          <w:color w:val="auto"/>
          <w:szCs w:val="26"/>
        </w:rPr>
        <w:t xml:space="preserve">DUs </w:t>
      </w:r>
      <w:r w:rsidR="00954D38">
        <w:rPr>
          <w:color w:val="auto"/>
          <w:szCs w:val="26"/>
        </w:rPr>
        <w:t>x</w:t>
      </w:r>
      <w:r w:rsidR="00372769" w:rsidRPr="006171FC">
        <w:rPr>
          <w:color w:val="auto"/>
          <w:szCs w:val="26"/>
        </w:rPr>
        <w:t xml:space="preserve"> 150 GP</w:t>
      </w:r>
      <w:r w:rsidR="00A25D10" w:rsidRPr="006171FC">
        <w:rPr>
          <w:color w:val="auto"/>
          <w:szCs w:val="26"/>
        </w:rPr>
        <w:t>D per EDU).</w:t>
      </w:r>
    </w:p>
    <w:p w14:paraId="4637A8C3" w14:textId="77777777" w:rsidR="005F2F8C" w:rsidRDefault="00551ABB" w:rsidP="00C0766F">
      <w:pPr>
        <w:spacing w:after="240" w:line="360" w:lineRule="auto"/>
        <w:ind w:firstLine="720"/>
        <w:rPr>
          <w:color w:val="auto"/>
          <w:szCs w:val="26"/>
        </w:rPr>
      </w:pPr>
      <w:r w:rsidRPr="006171FC">
        <w:rPr>
          <w:color w:val="auto"/>
          <w:szCs w:val="26"/>
        </w:rPr>
        <w:t>To maintain consistency</w:t>
      </w:r>
      <w:r w:rsidR="00887D0B" w:rsidRPr="006171FC">
        <w:rPr>
          <w:color w:val="auto"/>
          <w:szCs w:val="26"/>
        </w:rPr>
        <w:t xml:space="preserve"> with the </w:t>
      </w:r>
      <w:r w:rsidR="002A71BD" w:rsidRPr="006171FC">
        <w:rPr>
          <w:color w:val="auto"/>
          <w:szCs w:val="26"/>
        </w:rPr>
        <w:t>sewage facili</w:t>
      </w:r>
      <w:r w:rsidR="009F4C78" w:rsidRPr="006171FC">
        <w:rPr>
          <w:color w:val="auto"/>
          <w:szCs w:val="26"/>
        </w:rPr>
        <w:t>ties planning</w:t>
      </w:r>
      <w:r w:rsidR="00630C87" w:rsidRPr="006171FC">
        <w:rPr>
          <w:color w:val="auto"/>
          <w:szCs w:val="26"/>
        </w:rPr>
        <w:t xml:space="preserve"> </w:t>
      </w:r>
      <w:r w:rsidR="005C0F3B" w:rsidRPr="006171FC">
        <w:rPr>
          <w:color w:val="auto"/>
          <w:szCs w:val="26"/>
        </w:rPr>
        <w:t>c</w:t>
      </w:r>
      <w:r w:rsidR="004D723F" w:rsidRPr="006171FC">
        <w:rPr>
          <w:color w:val="auto"/>
          <w:szCs w:val="26"/>
        </w:rPr>
        <w:t>ontempla</w:t>
      </w:r>
      <w:r w:rsidR="009E768C" w:rsidRPr="006171FC">
        <w:rPr>
          <w:color w:val="auto"/>
          <w:szCs w:val="26"/>
        </w:rPr>
        <w:t xml:space="preserve">ted by </w:t>
      </w:r>
      <w:r w:rsidR="009A0060" w:rsidRPr="006171FC">
        <w:rPr>
          <w:color w:val="auto"/>
          <w:szCs w:val="26"/>
        </w:rPr>
        <w:t>t</w:t>
      </w:r>
      <w:r w:rsidR="00E53DBE" w:rsidRPr="006171FC">
        <w:rPr>
          <w:color w:val="auto"/>
          <w:szCs w:val="26"/>
        </w:rPr>
        <w:t>he Planni</w:t>
      </w:r>
      <w:r w:rsidR="002D70B2" w:rsidRPr="006171FC">
        <w:rPr>
          <w:color w:val="auto"/>
          <w:szCs w:val="26"/>
        </w:rPr>
        <w:t>ng Modu</w:t>
      </w:r>
      <w:r w:rsidR="00F03517" w:rsidRPr="006171FC">
        <w:rPr>
          <w:color w:val="auto"/>
          <w:szCs w:val="26"/>
        </w:rPr>
        <w:t xml:space="preserve">le and </w:t>
      </w:r>
      <w:r w:rsidR="009E768C" w:rsidRPr="006171FC">
        <w:rPr>
          <w:color w:val="auto"/>
          <w:szCs w:val="26"/>
        </w:rPr>
        <w:t>Straban</w:t>
      </w:r>
      <w:r w:rsidR="001A4E12" w:rsidRPr="006171FC">
        <w:rPr>
          <w:color w:val="auto"/>
          <w:szCs w:val="26"/>
        </w:rPr>
        <w:t xml:space="preserve"> Township’</w:t>
      </w:r>
      <w:r w:rsidR="008975BD" w:rsidRPr="006171FC">
        <w:rPr>
          <w:color w:val="auto"/>
          <w:szCs w:val="26"/>
        </w:rPr>
        <w:t>s DEP-ap</w:t>
      </w:r>
      <w:r w:rsidR="007A394B" w:rsidRPr="006171FC">
        <w:rPr>
          <w:color w:val="auto"/>
          <w:szCs w:val="26"/>
        </w:rPr>
        <w:t>proved 2007</w:t>
      </w:r>
      <w:r w:rsidR="0012369C" w:rsidRPr="006171FC">
        <w:rPr>
          <w:color w:val="auto"/>
          <w:szCs w:val="26"/>
        </w:rPr>
        <w:t xml:space="preserve"> Act 537 Plan</w:t>
      </w:r>
      <w:r w:rsidR="009C1F82" w:rsidRPr="006171FC">
        <w:rPr>
          <w:color w:val="auto"/>
          <w:szCs w:val="26"/>
        </w:rPr>
        <w:t xml:space="preserve"> </w:t>
      </w:r>
      <w:r w:rsidR="00743F6B" w:rsidRPr="006171FC">
        <w:rPr>
          <w:color w:val="auto"/>
          <w:szCs w:val="26"/>
        </w:rPr>
        <w:t xml:space="preserve">for </w:t>
      </w:r>
      <w:r w:rsidR="00E10891" w:rsidRPr="006171FC">
        <w:rPr>
          <w:color w:val="auto"/>
          <w:szCs w:val="26"/>
        </w:rPr>
        <w:t>1</w:t>
      </w:r>
      <w:r w:rsidR="0047403D" w:rsidRPr="006171FC">
        <w:rPr>
          <w:color w:val="auto"/>
          <w:szCs w:val="26"/>
        </w:rPr>
        <w:t>,800</w:t>
      </w:r>
      <w:r w:rsidR="00B33752" w:rsidRPr="006171FC">
        <w:rPr>
          <w:color w:val="auto"/>
          <w:szCs w:val="26"/>
        </w:rPr>
        <w:t xml:space="preserve"> ED</w:t>
      </w:r>
      <w:r w:rsidR="008E1746" w:rsidRPr="006171FC">
        <w:rPr>
          <w:color w:val="auto"/>
          <w:szCs w:val="26"/>
        </w:rPr>
        <w:t>Us</w:t>
      </w:r>
      <w:r w:rsidR="003A2772" w:rsidRPr="006171FC">
        <w:rPr>
          <w:color w:val="auto"/>
          <w:szCs w:val="26"/>
        </w:rPr>
        <w:t xml:space="preserve"> at </w:t>
      </w:r>
      <w:r w:rsidR="00D10AF6" w:rsidRPr="006171FC">
        <w:rPr>
          <w:color w:val="auto"/>
          <w:szCs w:val="26"/>
        </w:rPr>
        <w:t xml:space="preserve">a </w:t>
      </w:r>
      <w:r w:rsidR="00B26CF7" w:rsidRPr="006171FC">
        <w:rPr>
          <w:color w:val="auto"/>
          <w:szCs w:val="26"/>
        </w:rPr>
        <w:t xml:space="preserve">flow of </w:t>
      </w:r>
      <w:r w:rsidR="003A2772" w:rsidRPr="006171FC">
        <w:rPr>
          <w:color w:val="auto"/>
          <w:szCs w:val="26"/>
        </w:rPr>
        <w:t>150 GPD</w:t>
      </w:r>
      <w:r w:rsidR="00304792" w:rsidRPr="006171FC">
        <w:rPr>
          <w:color w:val="auto"/>
          <w:szCs w:val="26"/>
        </w:rPr>
        <w:t>,</w:t>
      </w:r>
      <w:r w:rsidR="00B60964" w:rsidRPr="006171FC">
        <w:rPr>
          <w:color w:val="auto"/>
          <w:szCs w:val="26"/>
        </w:rPr>
        <w:t xml:space="preserve"> and in considera</w:t>
      </w:r>
      <w:r w:rsidR="00A5546C" w:rsidRPr="006171FC">
        <w:rPr>
          <w:color w:val="auto"/>
          <w:szCs w:val="26"/>
        </w:rPr>
        <w:t xml:space="preserve">tion of the </w:t>
      </w:r>
      <w:r w:rsidR="00347B5D" w:rsidRPr="006171FC">
        <w:rPr>
          <w:color w:val="auto"/>
          <w:szCs w:val="26"/>
        </w:rPr>
        <w:t>e</w:t>
      </w:r>
      <w:r w:rsidR="006D3ECF" w:rsidRPr="006171FC">
        <w:rPr>
          <w:color w:val="auto"/>
          <w:szCs w:val="26"/>
        </w:rPr>
        <w:t>ff</w:t>
      </w:r>
      <w:r w:rsidR="00B93313" w:rsidRPr="006171FC">
        <w:rPr>
          <w:color w:val="auto"/>
          <w:szCs w:val="26"/>
        </w:rPr>
        <w:t>luent d</w:t>
      </w:r>
      <w:r w:rsidR="00801EFF" w:rsidRPr="006171FC">
        <w:rPr>
          <w:color w:val="auto"/>
          <w:szCs w:val="26"/>
        </w:rPr>
        <w:t>ischarge</w:t>
      </w:r>
      <w:r w:rsidR="007922BC" w:rsidRPr="006171FC">
        <w:rPr>
          <w:color w:val="auto"/>
          <w:szCs w:val="26"/>
        </w:rPr>
        <w:t xml:space="preserve"> rate limi</w:t>
      </w:r>
      <w:r w:rsidR="00494B25" w:rsidRPr="006171FC">
        <w:rPr>
          <w:color w:val="auto"/>
          <w:szCs w:val="26"/>
        </w:rPr>
        <w:t>tations</w:t>
      </w:r>
      <w:r w:rsidR="009C2126" w:rsidRPr="006171FC">
        <w:rPr>
          <w:color w:val="auto"/>
          <w:szCs w:val="26"/>
        </w:rPr>
        <w:t xml:space="preserve"> </w:t>
      </w:r>
      <w:r w:rsidR="005665BB" w:rsidRPr="006171FC">
        <w:rPr>
          <w:color w:val="auto"/>
          <w:szCs w:val="26"/>
        </w:rPr>
        <w:t>o</w:t>
      </w:r>
      <w:r w:rsidR="009B131D" w:rsidRPr="006171FC">
        <w:rPr>
          <w:color w:val="auto"/>
          <w:szCs w:val="26"/>
        </w:rPr>
        <w:t>f 270,00</w:t>
      </w:r>
      <w:r w:rsidR="00891E57" w:rsidRPr="006171FC">
        <w:rPr>
          <w:color w:val="auto"/>
          <w:szCs w:val="26"/>
        </w:rPr>
        <w:t xml:space="preserve">0 GPD </w:t>
      </w:r>
      <w:r w:rsidR="007E1540" w:rsidRPr="006171FC">
        <w:rPr>
          <w:color w:val="auto"/>
          <w:szCs w:val="26"/>
        </w:rPr>
        <w:t>d</w:t>
      </w:r>
      <w:r w:rsidR="00290929" w:rsidRPr="006171FC">
        <w:rPr>
          <w:color w:val="auto"/>
          <w:szCs w:val="26"/>
        </w:rPr>
        <w:t>elineated in</w:t>
      </w:r>
      <w:r w:rsidR="009C2126" w:rsidRPr="006171FC">
        <w:rPr>
          <w:color w:val="auto"/>
          <w:szCs w:val="26"/>
        </w:rPr>
        <w:t xml:space="preserve"> NPDE</w:t>
      </w:r>
      <w:r w:rsidR="007F380B" w:rsidRPr="006171FC">
        <w:rPr>
          <w:color w:val="auto"/>
          <w:szCs w:val="26"/>
        </w:rPr>
        <w:t>S</w:t>
      </w:r>
      <w:r w:rsidR="0073714D" w:rsidRPr="006171FC">
        <w:rPr>
          <w:color w:val="auto"/>
          <w:szCs w:val="26"/>
        </w:rPr>
        <w:t xml:space="preserve"> Permit No. PA02</w:t>
      </w:r>
      <w:r w:rsidR="00F22548" w:rsidRPr="006171FC">
        <w:rPr>
          <w:color w:val="auto"/>
          <w:szCs w:val="26"/>
        </w:rPr>
        <w:t>7715</w:t>
      </w:r>
      <w:r w:rsidR="00382837">
        <w:rPr>
          <w:color w:val="auto"/>
          <w:szCs w:val="26"/>
        </w:rPr>
        <w:t>,</w:t>
      </w:r>
      <w:r w:rsidR="007B13DC" w:rsidRPr="006171FC">
        <w:rPr>
          <w:color w:val="auto"/>
          <w:szCs w:val="26"/>
        </w:rPr>
        <w:t xml:space="preserve"> and the length of time </w:t>
      </w:r>
      <w:r w:rsidR="005E456F" w:rsidRPr="006171FC">
        <w:rPr>
          <w:color w:val="auto"/>
          <w:szCs w:val="26"/>
        </w:rPr>
        <w:t xml:space="preserve">by which </w:t>
      </w:r>
      <w:r w:rsidR="007B13DC" w:rsidRPr="006171FC">
        <w:rPr>
          <w:color w:val="auto"/>
          <w:szCs w:val="26"/>
        </w:rPr>
        <w:t xml:space="preserve">service is anticipated to be extended to </w:t>
      </w:r>
      <w:r w:rsidR="005E456F" w:rsidRPr="006171FC">
        <w:rPr>
          <w:color w:val="auto"/>
          <w:szCs w:val="26"/>
        </w:rPr>
        <w:t>the final phase of Amblebrook</w:t>
      </w:r>
      <w:r w:rsidR="000C706D" w:rsidRPr="006171FC">
        <w:rPr>
          <w:color w:val="auto"/>
          <w:szCs w:val="26"/>
        </w:rPr>
        <w:t>,</w:t>
      </w:r>
      <w:r w:rsidR="007613D6" w:rsidRPr="006171FC">
        <w:rPr>
          <w:color w:val="auto"/>
          <w:szCs w:val="26"/>
        </w:rPr>
        <w:t xml:space="preserve"> th</w:t>
      </w:r>
      <w:r w:rsidR="00C25D74" w:rsidRPr="006171FC">
        <w:rPr>
          <w:color w:val="auto"/>
          <w:szCs w:val="26"/>
        </w:rPr>
        <w:t>e issua</w:t>
      </w:r>
      <w:r w:rsidR="00DE67CF" w:rsidRPr="006171FC">
        <w:rPr>
          <w:color w:val="auto"/>
          <w:szCs w:val="26"/>
        </w:rPr>
        <w:t xml:space="preserve">nce of a </w:t>
      </w:r>
      <w:r w:rsidR="0096416B" w:rsidRPr="006171FC">
        <w:rPr>
          <w:color w:val="auto"/>
          <w:szCs w:val="26"/>
        </w:rPr>
        <w:t>C</w:t>
      </w:r>
      <w:r w:rsidR="00DE67CF" w:rsidRPr="006171FC">
        <w:rPr>
          <w:color w:val="auto"/>
          <w:szCs w:val="26"/>
        </w:rPr>
        <w:t>ert</w:t>
      </w:r>
      <w:r w:rsidR="009F4D2B" w:rsidRPr="006171FC">
        <w:rPr>
          <w:color w:val="auto"/>
          <w:szCs w:val="26"/>
        </w:rPr>
        <w:t xml:space="preserve">ificate of </w:t>
      </w:r>
      <w:r w:rsidR="0096416B" w:rsidRPr="006171FC">
        <w:rPr>
          <w:color w:val="auto"/>
          <w:szCs w:val="26"/>
        </w:rPr>
        <w:t>P</w:t>
      </w:r>
      <w:r w:rsidR="009F4D2B" w:rsidRPr="006171FC">
        <w:rPr>
          <w:color w:val="auto"/>
          <w:szCs w:val="26"/>
        </w:rPr>
        <w:t>ublic</w:t>
      </w:r>
      <w:r w:rsidR="000056A2" w:rsidRPr="006171FC">
        <w:rPr>
          <w:color w:val="auto"/>
          <w:szCs w:val="26"/>
        </w:rPr>
        <w:t xml:space="preserve"> </w:t>
      </w:r>
      <w:r w:rsidR="0096416B" w:rsidRPr="006171FC">
        <w:rPr>
          <w:color w:val="auto"/>
          <w:szCs w:val="26"/>
        </w:rPr>
        <w:t>C</w:t>
      </w:r>
      <w:r w:rsidR="000056A2" w:rsidRPr="006171FC">
        <w:rPr>
          <w:color w:val="auto"/>
          <w:szCs w:val="26"/>
        </w:rPr>
        <w:t>onvenience</w:t>
      </w:r>
      <w:r w:rsidR="00F84CC9" w:rsidRPr="006171FC">
        <w:rPr>
          <w:color w:val="auto"/>
          <w:szCs w:val="26"/>
        </w:rPr>
        <w:t xml:space="preserve"> for Yor</w:t>
      </w:r>
      <w:r w:rsidR="00091102" w:rsidRPr="006171FC">
        <w:rPr>
          <w:color w:val="auto"/>
          <w:szCs w:val="26"/>
        </w:rPr>
        <w:t>k-WW</w:t>
      </w:r>
      <w:r w:rsidR="00D338FC" w:rsidRPr="006171FC">
        <w:rPr>
          <w:color w:val="auto"/>
          <w:szCs w:val="26"/>
        </w:rPr>
        <w:t xml:space="preserve"> to </w:t>
      </w:r>
      <w:r w:rsidR="00F563C7" w:rsidRPr="006171FC">
        <w:rPr>
          <w:color w:val="auto"/>
          <w:szCs w:val="26"/>
        </w:rPr>
        <w:t xml:space="preserve">acquire </w:t>
      </w:r>
      <w:r w:rsidR="007D74F0" w:rsidRPr="006171FC">
        <w:rPr>
          <w:color w:val="auto"/>
          <w:szCs w:val="26"/>
        </w:rPr>
        <w:t>the wastewater system assets owned and/or operated by Rock Creek</w:t>
      </w:r>
      <w:r w:rsidR="008B1FEB" w:rsidRPr="006171FC">
        <w:rPr>
          <w:color w:val="auto"/>
          <w:szCs w:val="26"/>
        </w:rPr>
        <w:t xml:space="preserve"> will be con</w:t>
      </w:r>
      <w:r w:rsidR="009B4D58" w:rsidRPr="006171FC">
        <w:rPr>
          <w:color w:val="auto"/>
          <w:szCs w:val="26"/>
        </w:rPr>
        <w:t>ditione</w:t>
      </w:r>
      <w:r w:rsidR="00BC2F4A" w:rsidRPr="006171FC">
        <w:rPr>
          <w:color w:val="auto"/>
          <w:szCs w:val="26"/>
        </w:rPr>
        <w:t>d upon York-WW filing</w:t>
      </w:r>
      <w:r w:rsidR="0058425A" w:rsidRPr="006171FC">
        <w:rPr>
          <w:color w:val="auto"/>
          <w:szCs w:val="26"/>
        </w:rPr>
        <w:t xml:space="preserve"> </w:t>
      </w:r>
      <w:r w:rsidR="00BC2F4A" w:rsidRPr="006171FC">
        <w:rPr>
          <w:color w:val="auto"/>
          <w:szCs w:val="26"/>
        </w:rPr>
        <w:t>revise</w:t>
      </w:r>
      <w:r w:rsidR="00F37EAD" w:rsidRPr="006171FC">
        <w:rPr>
          <w:color w:val="auto"/>
          <w:szCs w:val="26"/>
        </w:rPr>
        <w:t xml:space="preserve">d </w:t>
      </w:r>
      <w:r w:rsidR="00480A92" w:rsidRPr="006171FC">
        <w:rPr>
          <w:color w:val="auto"/>
          <w:szCs w:val="26"/>
        </w:rPr>
        <w:t xml:space="preserve">versions of </w:t>
      </w:r>
      <w:r w:rsidR="00F37EAD" w:rsidRPr="006171FC">
        <w:rPr>
          <w:color w:val="auto"/>
          <w:szCs w:val="26"/>
        </w:rPr>
        <w:t>Exhib</w:t>
      </w:r>
      <w:r w:rsidR="007C572F" w:rsidRPr="006171FC">
        <w:rPr>
          <w:color w:val="auto"/>
          <w:szCs w:val="26"/>
        </w:rPr>
        <w:t>it</w:t>
      </w:r>
      <w:r w:rsidR="0058425A" w:rsidRPr="006171FC">
        <w:rPr>
          <w:color w:val="auto"/>
          <w:szCs w:val="26"/>
        </w:rPr>
        <w:t>s</w:t>
      </w:r>
      <w:r w:rsidR="007C572F" w:rsidRPr="006171FC">
        <w:rPr>
          <w:color w:val="auto"/>
          <w:szCs w:val="26"/>
        </w:rPr>
        <w:t xml:space="preserve"> E</w:t>
      </w:r>
      <w:r w:rsidR="00747168" w:rsidRPr="006171FC">
        <w:rPr>
          <w:color w:val="auto"/>
          <w:szCs w:val="26"/>
        </w:rPr>
        <w:t xml:space="preserve"> and </w:t>
      </w:r>
      <w:r w:rsidR="00EC64DB" w:rsidRPr="006171FC">
        <w:rPr>
          <w:color w:val="auto"/>
          <w:szCs w:val="26"/>
        </w:rPr>
        <w:t>F</w:t>
      </w:r>
      <w:r w:rsidR="00DA2E03" w:rsidRPr="006171FC">
        <w:rPr>
          <w:color w:val="auto"/>
          <w:szCs w:val="26"/>
        </w:rPr>
        <w:t xml:space="preserve"> depicti</w:t>
      </w:r>
      <w:r w:rsidR="008C4A36" w:rsidRPr="006171FC">
        <w:rPr>
          <w:color w:val="auto"/>
          <w:szCs w:val="26"/>
        </w:rPr>
        <w:t xml:space="preserve">ng </w:t>
      </w:r>
      <w:r w:rsidR="00FC715C" w:rsidRPr="006171FC">
        <w:rPr>
          <w:color w:val="auto"/>
          <w:szCs w:val="26"/>
        </w:rPr>
        <w:t>a</w:t>
      </w:r>
      <w:r w:rsidR="001C1177" w:rsidRPr="006171FC">
        <w:rPr>
          <w:color w:val="auto"/>
          <w:szCs w:val="26"/>
        </w:rPr>
        <w:t xml:space="preserve"> reques</w:t>
      </w:r>
      <w:r w:rsidR="00C37E7E" w:rsidRPr="006171FC">
        <w:rPr>
          <w:color w:val="auto"/>
          <w:szCs w:val="26"/>
        </w:rPr>
        <w:t>ted</w:t>
      </w:r>
      <w:r w:rsidR="00FA070F" w:rsidRPr="006171FC">
        <w:rPr>
          <w:color w:val="auto"/>
          <w:szCs w:val="26"/>
        </w:rPr>
        <w:t xml:space="preserve"> waste</w:t>
      </w:r>
      <w:r w:rsidR="001468F4" w:rsidRPr="006171FC">
        <w:rPr>
          <w:color w:val="auto"/>
          <w:szCs w:val="26"/>
        </w:rPr>
        <w:t>water service terr</w:t>
      </w:r>
      <w:r w:rsidR="00B379EA" w:rsidRPr="006171FC">
        <w:rPr>
          <w:color w:val="auto"/>
          <w:szCs w:val="26"/>
        </w:rPr>
        <w:t xml:space="preserve">itory </w:t>
      </w:r>
      <w:r w:rsidR="002F2ECB" w:rsidRPr="006171FC">
        <w:rPr>
          <w:color w:val="auto"/>
          <w:szCs w:val="26"/>
        </w:rPr>
        <w:t xml:space="preserve">and </w:t>
      </w:r>
      <w:r w:rsidR="00413382" w:rsidRPr="006171FC">
        <w:rPr>
          <w:color w:val="auto"/>
          <w:szCs w:val="26"/>
        </w:rPr>
        <w:t>a w</w:t>
      </w:r>
      <w:r w:rsidR="0025201D" w:rsidRPr="006171FC">
        <w:rPr>
          <w:color w:val="auto"/>
          <w:szCs w:val="26"/>
        </w:rPr>
        <w:t>r</w:t>
      </w:r>
      <w:r w:rsidR="00EC0924" w:rsidRPr="006171FC">
        <w:rPr>
          <w:color w:val="auto"/>
          <w:szCs w:val="26"/>
        </w:rPr>
        <w:t>itten boundar</w:t>
      </w:r>
      <w:r w:rsidR="00D44CF2" w:rsidRPr="006171FC">
        <w:rPr>
          <w:color w:val="auto"/>
          <w:szCs w:val="26"/>
        </w:rPr>
        <w:t>y</w:t>
      </w:r>
      <w:r w:rsidR="00DF38DD" w:rsidRPr="006171FC">
        <w:rPr>
          <w:color w:val="auto"/>
          <w:szCs w:val="26"/>
        </w:rPr>
        <w:t xml:space="preserve"> descrip</w:t>
      </w:r>
      <w:r w:rsidR="008C446C" w:rsidRPr="006171FC">
        <w:rPr>
          <w:color w:val="auto"/>
          <w:szCs w:val="26"/>
        </w:rPr>
        <w:t>tion and q</w:t>
      </w:r>
      <w:r w:rsidR="00DF49B6" w:rsidRPr="006171FC">
        <w:rPr>
          <w:color w:val="auto"/>
          <w:szCs w:val="26"/>
        </w:rPr>
        <w:t>uantified</w:t>
      </w:r>
      <w:r w:rsidR="00506F99" w:rsidRPr="006171FC">
        <w:rPr>
          <w:color w:val="auto"/>
          <w:szCs w:val="26"/>
        </w:rPr>
        <w:t xml:space="preserve"> area that encomp</w:t>
      </w:r>
      <w:r w:rsidR="008F7BBE" w:rsidRPr="006171FC">
        <w:rPr>
          <w:color w:val="auto"/>
          <w:szCs w:val="26"/>
        </w:rPr>
        <w:t>asses only</w:t>
      </w:r>
      <w:r w:rsidR="00041A6C" w:rsidRPr="006171FC">
        <w:rPr>
          <w:color w:val="auto"/>
          <w:szCs w:val="26"/>
        </w:rPr>
        <w:t xml:space="preserve"> </w:t>
      </w:r>
      <w:r w:rsidR="00954D38">
        <w:rPr>
          <w:color w:val="auto"/>
          <w:szCs w:val="26"/>
        </w:rPr>
        <w:t>Phases 1 through 4 (</w:t>
      </w:r>
      <w:r w:rsidR="00041A6C" w:rsidRPr="006171FC">
        <w:rPr>
          <w:color w:val="auto"/>
          <w:szCs w:val="26"/>
        </w:rPr>
        <w:t>Section</w:t>
      </w:r>
      <w:r w:rsidR="00473FC8" w:rsidRPr="006171FC">
        <w:rPr>
          <w:color w:val="auto"/>
          <w:szCs w:val="26"/>
        </w:rPr>
        <w:t>s A, C, D and E</w:t>
      </w:r>
      <w:r w:rsidR="009519AB" w:rsidRPr="006171FC">
        <w:rPr>
          <w:color w:val="auto"/>
          <w:szCs w:val="26"/>
        </w:rPr>
        <w:t>)</w:t>
      </w:r>
      <w:r w:rsidR="009D7117" w:rsidRPr="006171FC">
        <w:rPr>
          <w:color w:val="auto"/>
          <w:szCs w:val="26"/>
        </w:rPr>
        <w:t xml:space="preserve"> </w:t>
      </w:r>
      <w:r w:rsidR="00A7256C" w:rsidRPr="006171FC">
        <w:rPr>
          <w:color w:val="auto"/>
          <w:szCs w:val="26"/>
        </w:rPr>
        <w:t>a</w:t>
      </w:r>
      <w:r w:rsidR="00471720" w:rsidRPr="006171FC">
        <w:rPr>
          <w:color w:val="auto"/>
          <w:szCs w:val="26"/>
        </w:rPr>
        <w:t>s show</w:t>
      </w:r>
      <w:r w:rsidR="00A516B9">
        <w:rPr>
          <w:color w:val="auto"/>
          <w:szCs w:val="26"/>
        </w:rPr>
        <w:t>n</w:t>
      </w:r>
      <w:r w:rsidR="00471720" w:rsidRPr="006171FC">
        <w:rPr>
          <w:color w:val="auto"/>
          <w:szCs w:val="26"/>
        </w:rPr>
        <w:t xml:space="preserve"> on </w:t>
      </w:r>
      <w:r w:rsidR="00A75A73" w:rsidRPr="006171FC">
        <w:rPr>
          <w:color w:val="auto"/>
          <w:szCs w:val="26"/>
        </w:rPr>
        <w:t>t</w:t>
      </w:r>
      <w:r w:rsidR="006D1101" w:rsidRPr="006171FC">
        <w:rPr>
          <w:color w:val="auto"/>
          <w:szCs w:val="26"/>
        </w:rPr>
        <w:t xml:space="preserve">he </w:t>
      </w:r>
      <w:r w:rsidR="00A75A73" w:rsidRPr="006171FC">
        <w:rPr>
          <w:color w:val="auto"/>
          <w:szCs w:val="26"/>
        </w:rPr>
        <w:t>Overall Building Phase Plan, Sheet PHSE-1, dated May 23, 2018</w:t>
      </w:r>
      <w:r w:rsidR="0072216C" w:rsidRPr="006171FC">
        <w:rPr>
          <w:color w:val="auto"/>
          <w:szCs w:val="26"/>
        </w:rPr>
        <w:t>,</w:t>
      </w:r>
      <w:r w:rsidR="00266F29" w:rsidRPr="006171FC">
        <w:rPr>
          <w:color w:val="auto"/>
          <w:szCs w:val="26"/>
        </w:rPr>
        <w:t xml:space="preserve"> for Ambleb</w:t>
      </w:r>
      <w:r w:rsidR="00E9431D" w:rsidRPr="006171FC">
        <w:rPr>
          <w:color w:val="auto"/>
          <w:szCs w:val="26"/>
        </w:rPr>
        <w:t>rook</w:t>
      </w:r>
      <w:r w:rsidR="001D4A47" w:rsidRPr="006171FC">
        <w:rPr>
          <w:color w:val="auto"/>
          <w:szCs w:val="26"/>
        </w:rPr>
        <w:t>.</w:t>
      </w:r>
      <w:r w:rsidR="007261D9" w:rsidRPr="006171FC">
        <w:rPr>
          <w:rStyle w:val="FootnoteReference"/>
          <w:color w:val="auto"/>
          <w:szCs w:val="26"/>
        </w:rPr>
        <w:footnoteReference w:id="8"/>
      </w:r>
      <w:r w:rsidR="005C51A2" w:rsidRPr="006171FC">
        <w:rPr>
          <w:color w:val="auto"/>
          <w:szCs w:val="26"/>
        </w:rPr>
        <w:t xml:space="preserve">  </w:t>
      </w:r>
      <w:r w:rsidR="002D64A9" w:rsidRPr="006171FC">
        <w:rPr>
          <w:color w:val="auto"/>
          <w:szCs w:val="26"/>
        </w:rPr>
        <w:t>Section</w:t>
      </w:r>
      <w:r w:rsidR="00C7486B" w:rsidRPr="006171FC">
        <w:rPr>
          <w:color w:val="auto"/>
          <w:szCs w:val="26"/>
        </w:rPr>
        <w:t>s A, C, D</w:t>
      </w:r>
      <w:r w:rsidR="002538B3" w:rsidRPr="006171FC">
        <w:rPr>
          <w:color w:val="auto"/>
          <w:szCs w:val="26"/>
        </w:rPr>
        <w:t xml:space="preserve"> and E</w:t>
      </w:r>
      <w:r w:rsidR="00556A73" w:rsidRPr="006171FC">
        <w:rPr>
          <w:color w:val="auto"/>
          <w:szCs w:val="26"/>
        </w:rPr>
        <w:t xml:space="preserve"> con</w:t>
      </w:r>
      <w:r w:rsidR="00334E5F" w:rsidRPr="006171FC">
        <w:rPr>
          <w:color w:val="auto"/>
          <w:szCs w:val="26"/>
        </w:rPr>
        <w:t>tain</w:t>
      </w:r>
      <w:r w:rsidR="00254B95" w:rsidRPr="006171FC">
        <w:rPr>
          <w:color w:val="auto"/>
          <w:szCs w:val="26"/>
        </w:rPr>
        <w:t xml:space="preserve"> </w:t>
      </w:r>
      <w:r w:rsidR="00113910" w:rsidRPr="006171FC">
        <w:rPr>
          <w:color w:val="auto"/>
          <w:szCs w:val="26"/>
        </w:rPr>
        <w:t>approximately</w:t>
      </w:r>
      <w:r w:rsidR="00254B95" w:rsidRPr="006171FC">
        <w:rPr>
          <w:color w:val="auto"/>
          <w:szCs w:val="26"/>
        </w:rPr>
        <w:t xml:space="preserve"> </w:t>
      </w:r>
      <w:r w:rsidR="002C3A3B" w:rsidRPr="006171FC">
        <w:rPr>
          <w:color w:val="auto"/>
          <w:szCs w:val="26"/>
        </w:rPr>
        <w:t>4</w:t>
      </w:r>
      <w:r w:rsidR="00E65360" w:rsidRPr="006171FC">
        <w:rPr>
          <w:color w:val="auto"/>
          <w:szCs w:val="26"/>
        </w:rPr>
        <w:t>37</w:t>
      </w:r>
      <w:r w:rsidR="00B56C3E" w:rsidRPr="006171FC">
        <w:rPr>
          <w:color w:val="auto"/>
          <w:szCs w:val="26"/>
        </w:rPr>
        <w:t>, 427</w:t>
      </w:r>
      <w:r w:rsidR="001C2E69" w:rsidRPr="006171FC">
        <w:rPr>
          <w:color w:val="auto"/>
          <w:szCs w:val="26"/>
        </w:rPr>
        <w:t>, 278</w:t>
      </w:r>
      <w:r w:rsidR="000334BA" w:rsidRPr="006171FC">
        <w:rPr>
          <w:color w:val="auto"/>
          <w:szCs w:val="26"/>
        </w:rPr>
        <w:t xml:space="preserve"> and 560 EDUs, re</w:t>
      </w:r>
      <w:r w:rsidR="00234F7A" w:rsidRPr="006171FC">
        <w:rPr>
          <w:color w:val="auto"/>
          <w:szCs w:val="26"/>
        </w:rPr>
        <w:t>spectivel</w:t>
      </w:r>
      <w:r w:rsidR="000868D0" w:rsidRPr="006171FC">
        <w:rPr>
          <w:color w:val="auto"/>
          <w:szCs w:val="26"/>
        </w:rPr>
        <w:t>y, for a total of 1,7</w:t>
      </w:r>
      <w:r w:rsidR="008F598D" w:rsidRPr="006171FC">
        <w:rPr>
          <w:color w:val="auto"/>
          <w:szCs w:val="26"/>
        </w:rPr>
        <w:t>02</w:t>
      </w:r>
      <w:r w:rsidR="00121ACD" w:rsidRPr="006171FC">
        <w:rPr>
          <w:color w:val="auto"/>
          <w:szCs w:val="26"/>
        </w:rPr>
        <w:t xml:space="preserve"> ED</w:t>
      </w:r>
      <w:r w:rsidR="002A17D5" w:rsidRPr="006171FC">
        <w:rPr>
          <w:color w:val="auto"/>
          <w:szCs w:val="26"/>
        </w:rPr>
        <w:t>Us</w:t>
      </w:r>
      <w:r w:rsidR="00E46FE9" w:rsidRPr="006171FC">
        <w:rPr>
          <w:color w:val="auto"/>
          <w:szCs w:val="26"/>
        </w:rPr>
        <w:t xml:space="preserve"> and a</w:t>
      </w:r>
      <w:r w:rsidR="002F2ECB" w:rsidRPr="006171FC">
        <w:rPr>
          <w:color w:val="auto"/>
          <w:szCs w:val="26"/>
        </w:rPr>
        <w:t>n approximate</w:t>
      </w:r>
      <w:r w:rsidR="003D142E" w:rsidRPr="006171FC">
        <w:rPr>
          <w:color w:val="auto"/>
          <w:szCs w:val="26"/>
        </w:rPr>
        <w:t xml:space="preserve"> </w:t>
      </w:r>
      <w:r w:rsidR="00E46FE9" w:rsidRPr="006171FC">
        <w:rPr>
          <w:color w:val="auto"/>
          <w:szCs w:val="26"/>
        </w:rPr>
        <w:t>efflue</w:t>
      </w:r>
      <w:r w:rsidR="00DA1F55" w:rsidRPr="006171FC">
        <w:rPr>
          <w:color w:val="auto"/>
          <w:szCs w:val="26"/>
        </w:rPr>
        <w:t xml:space="preserve">nt discharge rate of </w:t>
      </w:r>
      <w:r w:rsidR="00FA79F2" w:rsidRPr="006171FC">
        <w:rPr>
          <w:color w:val="auto"/>
          <w:szCs w:val="26"/>
        </w:rPr>
        <w:t>2</w:t>
      </w:r>
      <w:r w:rsidR="00217463" w:rsidRPr="006171FC">
        <w:rPr>
          <w:color w:val="auto"/>
          <w:szCs w:val="26"/>
        </w:rPr>
        <w:t>55,300</w:t>
      </w:r>
      <w:r w:rsidR="00A11973" w:rsidRPr="006171FC">
        <w:rPr>
          <w:color w:val="auto"/>
          <w:szCs w:val="26"/>
        </w:rPr>
        <w:t xml:space="preserve"> GPD (1,</w:t>
      </w:r>
      <w:r w:rsidR="00EE5FC9" w:rsidRPr="006171FC">
        <w:rPr>
          <w:color w:val="auto"/>
          <w:szCs w:val="26"/>
        </w:rPr>
        <w:t xml:space="preserve">702 EDUs </w:t>
      </w:r>
      <w:r w:rsidR="00954D38">
        <w:rPr>
          <w:color w:val="auto"/>
          <w:szCs w:val="26"/>
        </w:rPr>
        <w:t>x</w:t>
      </w:r>
      <w:r w:rsidR="00EE5FC9" w:rsidRPr="006171FC">
        <w:rPr>
          <w:color w:val="auto"/>
          <w:szCs w:val="26"/>
        </w:rPr>
        <w:t xml:space="preserve"> 150 GPD per E</w:t>
      </w:r>
      <w:r w:rsidR="00F63589" w:rsidRPr="006171FC">
        <w:rPr>
          <w:color w:val="auto"/>
          <w:szCs w:val="26"/>
        </w:rPr>
        <w:t>DU)</w:t>
      </w:r>
      <w:r w:rsidR="00897D37" w:rsidRPr="006171FC">
        <w:rPr>
          <w:color w:val="auto"/>
          <w:szCs w:val="26"/>
        </w:rPr>
        <w:t>.</w:t>
      </w:r>
      <w:r w:rsidR="00810464" w:rsidRPr="006171FC">
        <w:rPr>
          <w:color w:val="auto"/>
          <w:szCs w:val="26"/>
        </w:rPr>
        <w:t xml:space="preserve">  </w:t>
      </w:r>
    </w:p>
    <w:p w14:paraId="6E9E3986" w14:textId="0B830711" w:rsidR="001B7E73" w:rsidRPr="006171FC" w:rsidRDefault="0098510C" w:rsidP="00C0766F">
      <w:pPr>
        <w:spacing w:after="240" w:line="360" w:lineRule="auto"/>
        <w:ind w:firstLine="720"/>
        <w:rPr>
          <w:color w:val="auto"/>
          <w:szCs w:val="26"/>
        </w:rPr>
      </w:pPr>
      <w:r w:rsidRPr="006171FC">
        <w:rPr>
          <w:color w:val="auto"/>
          <w:szCs w:val="26"/>
        </w:rPr>
        <w:t>Pursuant to the mandate outlined in Section 1501 of the Public Utility Code, 66 Pa. C.S.</w:t>
      </w:r>
      <w:r w:rsidR="009A1C26" w:rsidRPr="006171FC">
        <w:rPr>
          <w:color w:val="auto"/>
          <w:szCs w:val="26"/>
        </w:rPr>
        <w:t xml:space="preserve"> §</w:t>
      </w:r>
      <w:r w:rsidR="00130462" w:rsidRPr="006171FC">
        <w:rPr>
          <w:color w:val="auto"/>
          <w:szCs w:val="26"/>
        </w:rPr>
        <w:t>1501, utilities have a duty to furnish and maintain adequat</w:t>
      </w:r>
      <w:r w:rsidR="0021427B" w:rsidRPr="006171FC">
        <w:rPr>
          <w:color w:val="auto"/>
          <w:szCs w:val="26"/>
        </w:rPr>
        <w:t>e, efficient, safe and reasonable service and facilities.</w:t>
      </w:r>
      <w:r w:rsidR="00D86367" w:rsidRPr="006171FC">
        <w:rPr>
          <w:color w:val="auto"/>
          <w:szCs w:val="26"/>
        </w:rPr>
        <w:t xml:space="preserve">  The </w:t>
      </w:r>
      <w:r w:rsidR="00513CB1" w:rsidRPr="006171FC">
        <w:rPr>
          <w:color w:val="auto"/>
          <w:szCs w:val="26"/>
        </w:rPr>
        <w:t>Commission, in exercising its discretion</w:t>
      </w:r>
      <w:r w:rsidR="00E40E57" w:rsidRPr="006171FC">
        <w:rPr>
          <w:color w:val="auto"/>
          <w:szCs w:val="26"/>
        </w:rPr>
        <w:t xml:space="preserve"> for this </w:t>
      </w:r>
      <w:r w:rsidR="00E40E57" w:rsidRPr="006171FC">
        <w:rPr>
          <w:color w:val="auto"/>
          <w:szCs w:val="26"/>
        </w:rPr>
        <w:lastRenderedPageBreak/>
        <w:t>Application</w:t>
      </w:r>
      <w:r w:rsidR="00513CB1" w:rsidRPr="006171FC">
        <w:rPr>
          <w:color w:val="auto"/>
          <w:szCs w:val="26"/>
        </w:rPr>
        <w:t xml:space="preserve">, </w:t>
      </w:r>
      <w:r w:rsidR="005B1E88" w:rsidRPr="006171FC">
        <w:rPr>
          <w:color w:val="auto"/>
          <w:szCs w:val="26"/>
        </w:rPr>
        <w:t>n</w:t>
      </w:r>
      <w:r w:rsidR="00D82351" w:rsidRPr="006171FC">
        <w:rPr>
          <w:color w:val="auto"/>
          <w:szCs w:val="26"/>
        </w:rPr>
        <w:t xml:space="preserve">otes approval of an </w:t>
      </w:r>
      <w:r w:rsidR="00C02D33" w:rsidRPr="006171FC">
        <w:rPr>
          <w:color w:val="auto"/>
          <w:szCs w:val="26"/>
        </w:rPr>
        <w:t xml:space="preserve">application for an </w:t>
      </w:r>
      <w:r w:rsidR="00D82351" w:rsidRPr="006171FC">
        <w:rPr>
          <w:color w:val="auto"/>
          <w:szCs w:val="26"/>
        </w:rPr>
        <w:t>additional service territory</w:t>
      </w:r>
      <w:r w:rsidR="00BF3C0F" w:rsidRPr="006171FC">
        <w:rPr>
          <w:color w:val="auto"/>
          <w:szCs w:val="26"/>
        </w:rPr>
        <w:t xml:space="preserve"> </w:t>
      </w:r>
      <w:r w:rsidR="0098484C" w:rsidRPr="006171FC">
        <w:rPr>
          <w:color w:val="auto"/>
          <w:szCs w:val="26"/>
        </w:rPr>
        <w:t xml:space="preserve">should have </w:t>
      </w:r>
      <w:r w:rsidR="00DB465B" w:rsidRPr="006171FC">
        <w:rPr>
          <w:color w:val="auto"/>
          <w:szCs w:val="26"/>
        </w:rPr>
        <w:t xml:space="preserve">proposed facilities </w:t>
      </w:r>
      <w:r w:rsidR="00D065C8" w:rsidRPr="006171FC">
        <w:rPr>
          <w:color w:val="auto"/>
          <w:szCs w:val="26"/>
        </w:rPr>
        <w:t xml:space="preserve">to meet the daily treatment demand </w:t>
      </w:r>
      <w:r w:rsidR="00C02D33" w:rsidRPr="006171FC">
        <w:rPr>
          <w:color w:val="auto"/>
          <w:szCs w:val="26"/>
        </w:rPr>
        <w:t>in alignment</w:t>
      </w:r>
      <w:r w:rsidR="00682153" w:rsidRPr="006171FC">
        <w:rPr>
          <w:color w:val="auto"/>
          <w:szCs w:val="26"/>
        </w:rPr>
        <w:t xml:space="preserve"> with the planned</w:t>
      </w:r>
      <w:r w:rsidR="004E6A31" w:rsidRPr="006171FC">
        <w:rPr>
          <w:color w:val="auto"/>
          <w:szCs w:val="26"/>
        </w:rPr>
        <w:t xml:space="preserve"> treatment capacity.  </w:t>
      </w:r>
      <w:r w:rsidR="00C72311" w:rsidRPr="006171FC">
        <w:rPr>
          <w:color w:val="auto"/>
          <w:szCs w:val="26"/>
        </w:rPr>
        <w:t xml:space="preserve">If </w:t>
      </w:r>
      <w:r w:rsidR="00C519F4" w:rsidRPr="006171FC">
        <w:rPr>
          <w:color w:val="auto"/>
          <w:szCs w:val="26"/>
        </w:rPr>
        <w:t>York-WW</w:t>
      </w:r>
      <w:r w:rsidR="00C72311" w:rsidRPr="006171FC">
        <w:rPr>
          <w:color w:val="auto"/>
          <w:szCs w:val="26"/>
        </w:rPr>
        <w:t xml:space="preserve"> desi</w:t>
      </w:r>
      <w:r w:rsidR="00C40D57" w:rsidRPr="006171FC">
        <w:rPr>
          <w:color w:val="auto"/>
          <w:szCs w:val="26"/>
        </w:rPr>
        <w:t xml:space="preserve">res to provide </w:t>
      </w:r>
      <w:r w:rsidR="00326480" w:rsidRPr="006171FC">
        <w:rPr>
          <w:color w:val="auto"/>
          <w:szCs w:val="26"/>
        </w:rPr>
        <w:t>w</w:t>
      </w:r>
      <w:r w:rsidR="003C7F61" w:rsidRPr="006171FC">
        <w:rPr>
          <w:color w:val="auto"/>
          <w:szCs w:val="26"/>
        </w:rPr>
        <w:t>astewater</w:t>
      </w:r>
      <w:r w:rsidR="00F22878" w:rsidRPr="006171FC">
        <w:rPr>
          <w:color w:val="auto"/>
          <w:szCs w:val="26"/>
        </w:rPr>
        <w:t xml:space="preserve"> servic</w:t>
      </w:r>
      <w:r w:rsidR="001961F8" w:rsidRPr="006171FC">
        <w:rPr>
          <w:color w:val="auto"/>
          <w:szCs w:val="26"/>
        </w:rPr>
        <w:t>e</w:t>
      </w:r>
      <w:r w:rsidR="00A20F64" w:rsidRPr="006171FC">
        <w:rPr>
          <w:color w:val="auto"/>
          <w:szCs w:val="26"/>
        </w:rPr>
        <w:t xml:space="preserve"> to </w:t>
      </w:r>
      <w:r w:rsidR="00954D38">
        <w:rPr>
          <w:color w:val="auto"/>
          <w:szCs w:val="26"/>
        </w:rPr>
        <w:t>Phase</w:t>
      </w:r>
      <w:r w:rsidR="009A0C09">
        <w:rPr>
          <w:color w:val="auto"/>
          <w:szCs w:val="26"/>
        </w:rPr>
        <w:t> </w:t>
      </w:r>
      <w:r w:rsidR="00954D38">
        <w:rPr>
          <w:color w:val="auto"/>
          <w:szCs w:val="26"/>
        </w:rPr>
        <w:t>5 (</w:t>
      </w:r>
      <w:r w:rsidR="00A20F64" w:rsidRPr="006171FC">
        <w:rPr>
          <w:color w:val="auto"/>
          <w:szCs w:val="26"/>
        </w:rPr>
        <w:t>Section</w:t>
      </w:r>
      <w:r w:rsidR="00FF59A6" w:rsidRPr="006171FC">
        <w:rPr>
          <w:color w:val="auto"/>
          <w:szCs w:val="26"/>
        </w:rPr>
        <w:t xml:space="preserve"> B</w:t>
      </w:r>
      <w:r w:rsidR="00063630" w:rsidRPr="006171FC">
        <w:rPr>
          <w:color w:val="auto"/>
          <w:szCs w:val="26"/>
        </w:rPr>
        <w:t>) of Amble</w:t>
      </w:r>
      <w:r w:rsidR="00E6710B" w:rsidRPr="006171FC">
        <w:rPr>
          <w:color w:val="auto"/>
          <w:szCs w:val="26"/>
        </w:rPr>
        <w:t>broo</w:t>
      </w:r>
      <w:r w:rsidR="0001030F" w:rsidRPr="006171FC">
        <w:rPr>
          <w:color w:val="auto"/>
          <w:szCs w:val="26"/>
        </w:rPr>
        <w:t xml:space="preserve">k </w:t>
      </w:r>
      <w:r w:rsidR="00CB6C66" w:rsidRPr="006171FC">
        <w:rPr>
          <w:color w:val="auto"/>
          <w:szCs w:val="26"/>
        </w:rPr>
        <w:t>and</w:t>
      </w:r>
      <w:r w:rsidR="00EB0966" w:rsidRPr="006171FC">
        <w:rPr>
          <w:color w:val="auto"/>
          <w:szCs w:val="26"/>
        </w:rPr>
        <w:t>/</w:t>
      </w:r>
      <w:r w:rsidR="0001030F" w:rsidRPr="006171FC">
        <w:rPr>
          <w:color w:val="auto"/>
          <w:szCs w:val="26"/>
        </w:rPr>
        <w:t>or Nearby Lands</w:t>
      </w:r>
      <w:r w:rsidR="0085205F" w:rsidRPr="006171FC">
        <w:rPr>
          <w:color w:val="auto"/>
          <w:szCs w:val="26"/>
        </w:rPr>
        <w:t>,</w:t>
      </w:r>
      <w:r w:rsidR="00C03D45" w:rsidRPr="006171FC">
        <w:rPr>
          <w:color w:val="auto"/>
          <w:szCs w:val="26"/>
        </w:rPr>
        <w:t xml:space="preserve"> </w:t>
      </w:r>
      <w:r w:rsidR="00B16741" w:rsidRPr="006171FC">
        <w:rPr>
          <w:color w:val="auto"/>
          <w:szCs w:val="26"/>
        </w:rPr>
        <w:t>York-</w:t>
      </w:r>
      <w:r w:rsidR="00E03409" w:rsidRPr="006171FC">
        <w:rPr>
          <w:color w:val="auto"/>
          <w:szCs w:val="26"/>
        </w:rPr>
        <w:t>WW may file an application</w:t>
      </w:r>
      <w:r w:rsidR="0003257C" w:rsidRPr="006171FC">
        <w:rPr>
          <w:color w:val="auto"/>
          <w:szCs w:val="26"/>
        </w:rPr>
        <w:t xml:space="preserve"> for an expansion of</w:t>
      </w:r>
      <w:r w:rsidR="008F6E06" w:rsidRPr="006171FC">
        <w:rPr>
          <w:color w:val="auto"/>
          <w:szCs w:val="26"/>
        </w:rPr>
        <w:t xml:space="preserve"> the Amble</w:t>
      </w:r>
      <w:r w:rsidR="00C10867" w:rsidRPr="006171FC">
        <w:rPr>
          <w:color w:val="auto"/>
          <w:szCs w:val="26"/>
        </w:rPr>
        <w:t>brook w</w:t>
      </w:r>
      <w:r w:rsidR="00FE1AC7" w:rsidRPr="006171FC">
        <w:rPr>
          <w:color w:val="auto"/>
          <w:szCs w:val="26"/>
        </w:rPr>
        <w:t>astewater service</w:t>
      </w:r>
      <w:r w:rsidR="00AC40CF" w:rsidRPr="006171FC">
        <w:rPr>
          <w:color w:val="auto"/>
          <w:szCs w:val="26"/>
        </w:rPr>
        <w:t xml:space="preserve"> territ</w:t>
      </w:r>
      <w:r w:rsidR="00D857CB" w:rsidRPr="006171FC">
        <w:rPr>
          <w:color w:val="auto"/>
          <w:szCs w:val="26"/>
        </w:rPr>
        <w:t>ory that provide</w:t>
      </w:r>
      <w:r w:rsidR="001B2789" w:rsidRPr="006171FC">
        <w:rPr>
          <w:color w:val="auto"/>
          <w:szCs w:val="26"/>
        </w:rPr>
        <w:t xml:space="preserve">s </w:t>
      </w:r>
      <w:r w:rsidR="000076C7" w:rsidRPr="006171FC">
        <w:rPr>
          <w:color w:val="auto"/>
          <w:szCs w:val="26"/>
        </w:rPr>
        <w:t xml:space="preserve">additional </w:t>
      </w:r>
      <w:r w:rsidR="001B2789" w:rsidRPr="006171FC">
        <w:rPr>
          <w:color w:val="auto"/>
          <w:szCs w:val="26"/>
        </w:rPr>
        <w:t>evid</w:t>
      </w:r>
      <w:r w:rsidR="005A01FE" w:rsidRPr="006171FC">
        <w:rPr>
          <w:color w:val="auto"/>
          <w:szCs w:val="26"/>
        </w:rPr>
        <w:t xml:space="preserve">ence </w:t>
      </w:r>
      <w:r w:rsidR="00583E53" w:rsidRPr="006171FC">
        <w:rPr>
          <w:color w:val="auto"/>
          <w:szCs w:val="26"/>
        </w:rPr>
        <w:t xml:space="preserve">of </w:t>
      </w:r>
      <w:r w:rsidR="000076C7" w:rsidRPr="006171FC">
        <w:rPr>
          <w:color w:val="auto"/>
          <w:szCs w:val="26"/>
        </w:rPr>
        <w:t>York-WW’s ability to provide adequate wastewater collection, treatment and disposal capacity to meet present and future customer demands, including</w:t>
      </w:r>
      <w:r w:rsidR="008D5C3D" w:rsidRPr="006171FC">
        <w:rPr>
          <w:color w:val="auto"/>
          <w:szCs w:val="26"/>
        </w:rPr>
        <w:t xml:space="preserve"> through</w:t>
      </w:r>
      <w:r w:rsidR="00583E53" w:rsidRPr="006171FC">
        <w:rPr>
          <w:color w:val="auto"/>
          <w:szCs w:val="26"/>
        </w:rPr>
        <w:t xml:space="preserve"> </w:t>
      </w:r>
      <w:r w:rsidR="00CB7991" w:rsidRPr="006171FC">
        <w:rPr>
          <w:color w:val="auto"/>
          <w:szCs w:val="26"/>
        </w:rPr>
        <w:t xml:space="preserve">an </w:t>
      </w:r>
      <w:r w:rsidR="002F529E" w:rsidRPr="006171FC">
        <w:rPr>
          <w:color w:val="auto"/>
          <w:szCs w:val="26"/>
        </w:rPr>
        <w:t>a</w:t>
      </w:r>
      <w:r w:rsidR="00DF10A3" w:rsidRPr="006171FC">
        <w:rPr>
          <w:color w:val="auto"/>
          <w:szCs w:val="26"/>
        </w:rPr>
        <w:t>mendme</w:t>
      </w:r>
      <w:r w:rsidR="00412A68" w:rsidRPr="006171FC">
        <w:rPr>
          <w:color w:val="auto"/>
          <w:szCs w:val="26"/>
        </w:rPr>
        <w:t xml:space="preserve">nt </w:t>
      </w:r>
      <w:r w:rsidR="005B1DB9" w:rsidRPr="006171FC">
        <w:rPr>
          <w:color w:val="auto"/>
          <w:szCs w:val="26"/>
        </w:rPr>
        <w:t>to the Planning Module</w:t>
      </w:r>
      <w:r w:rsidR="00A41F3E" w:rsidRPr="006171FC">
        <w:rPr>
          <w:color w:val="auto"/>
          <w:szCs w:val="26"/>
        </w:rPr>
        <w:t>,</w:t>
      </w:r>
      <w:r w:rsidR="00170543" w:rsidRPr="006171FC">
        <w:rPr>
          <w:color w:val="auto"/>
          <w:szCs w:val="26"/>
        </w:rPr>
        <w:t xml:space="preserve"> an update to</w:t>
      </w:r>
      <w:r w:rsidR="00072238" w:rsidRPr="006171FC">
        <w:rPr>
          <w:color w:val="auto"/>
          <w:szCs w:val="26"/>
        </w:rPr>
        <w:t xml:space="preserve"> 2007</w:t>
      </w:r>
      <w:r w:rsidR="00ED3C5F" w:rsidRPr="006171FC">
        <w:rPr>
          <w:color w:val="auto"/>
          <w:szCs w:val="26"/>
        </w:rPr>
        <w:t xml:space="preserve"> Act</w:t>
      </w:r>
      <w:r w:rsidR="005E3CD3" w:rsidRPr="006171FC">
        <w:rPr>
          <w:color w:val="auto"/>
          <w:szCs w:val="26"/>
        </w:rPr>
        <w:t xml:space="preserve"> 537 Plan</w:t>
      </w:r>
      <w:r w:rsidR="00247943" w:rsidRPr="006171FC">
        <w:rPr>
          <w:color w:val="auto"/>
          <w:szCs w:val="26"/>
        </w:rPr>
        <w:t xml:space="preserve"> and/or</w:t>
      </w:r>
      <w:r w:rsidR="006B7289" w:rsidRPr="006171FC">
        <w:rPr>
          <w:color w:val="auto"/>
          <w:szCs w:val="26"/>
        </w:rPr>
        <w:t xml:space="preserve"> a modification</w:t>
      </w:r>
      <w:r w:rsidR="00F02AD1" w:rsidRPr="006171FC">
        <w:rPr>
          <w:color w:val="auto"/>
          <w:szCs w:val="26"/>
        </w:rPr>
        <w:t xml:space="preserve"> of </w:t>
      </w:r>
      <w:r w:rsidR="00B53133" w:rsidRPr="006171FC">
        <w:rPr>
          <w:color w:val="auto"/>
          <w:szCs w:val="26"/>
        </w:rPr>
        <w:t>NPD</w:t>
      </w:r>
      <w:r w:rsidR="00F2614E" w:rsidRPr="006171FC">
        <w:rPr>
          <w:color w:val="auto"/>
          <w:szCs w:val="26"/>
        </w:rPr>
        <w:t>ES</w:t>
      </w:r>
      <w:r w:rsidR="00034842" w:rsidRPr="006171FC">
        <w:rPr>
          <w:color w:val="auto"/>
          <w:szCs w:val="26"/>
        </w:rPr>
        <w:t xml:space="preserve"> Permit No. </w:t>
      </w:r>
      <w:r w:rsidR="00DB5D58" w:rsidRPr="006171FC">
        <w:rPr>
          <w:color w:val="auto"/>
          <w:szCs w:val="26"/>
        </w:rPr>
        <w:t>PA02</w:t>
      </w:r>
      <w:r w:rsidR="004941E9" w:rsidRPr="006171FC">
        <w:rPr>
          <w:color w:val="auto"/>
          <w:szCs w:val="26"/>
        </w:rPr>
        <w:t>7715</w:t>
      </w:r>
      <w:r w:rsidR="008B7425" w:rsidRPr="006171FC">
        <w:rPr>
          <w:color w:val="auto"/>
          <w:szCs w:val="26"/>
        </w:rPr>
        <w:t xml:space="preserve"> increa</w:t>
      </w:r>
      <w:r w:rsidR="00B74615" w:rsidRPr="006171FC">
        <w:rPr>
          <w:color w:val="auto"/>
          <w:szCs w:val="26"/>
        </w:rPr>
        <w:t>sing</w:t>
      </w:r>
      <w:r w:rsidR="00FD18D9" w:rsidRPr="006171FC">
        <w:rPr>
          <w:color w:val="auto"/>
          <w:szCs w:val="26"/>
        </w:rPr>
        <w:t xml:space="preserve"> the effluent</w:t>
      </w:r>
      <w:r w:rsidR="00E75BD1" w:rsidRPr="006171FC">
        <w:rPr>
          <w:color w:val="auto"/>
          <w:szCs w:val="26"/>
        </w:rPr>
        <w:t xml:space="preserve"> discharge rate</w:t>
      </w:r>
      <w:r w:rsidR="00F06289" w:rsidRPr="006171FC">
        <w:rPr>
          <w:color w:val="auto"/>
          <w:szCs w:val="26"/>
        </w:rPr>
        <w:t xml:space="preserve"> </w:t>
      </w:r>
      <w:r w:rsidR="00B46C97">
        <w:rPr>
          <w:color w:val="auto"/>
          <w:szCs w:val="26"/>
        </w:rPr>
        <w:t xml:space="preserve">that </w:t>
      </w:r>
      <w:r w:rsidR="00F06289" w:rsidRPr="006171FC">
        <w:rPr>
          <w:color w:val="auto"/>
          <w:szCs w:val="26"/>
        </w:rPr>
        <w:t>was approved by DEP.</w:t>
      </w:r>
    </w:p>
    <w:p w14:paraId="4F5AA29D" w14:textId="72FFB915" w:rsidR="00154CA1" w:rsidRPr="006171FC" w:rsidRDefault="4C30912D" w:rsidP="00765E6A">
      <w:pPr>
        <w:pStyle w:val="ListParagraph"/>
        <w:numPr>
          <w:ilvl w:val="0"/>
          <w:numId w:val="5"/>
        </w:numPr>
        <w:spacing w:before="240" w:after="240" w:line="360" w:lineRule="auto"/>
        <w:contextualSpacing w:val="0"/>
        <w:rPr>
          <w:color w:val="auto"/>
          <w:szCs w:val="26"/>
        </w:rPr>
      </w:pPr>
      <w:r w:rsidRPr="006171FC">
        <w:rPr>
          <w:b/>
          <w:color w:val="auto"/>
          <w:szCs w:val="26"/>
        </w:rPr>
        <w:t>OTHER CONSIDERATIONS</w:t>
      </w:r>
    </w:p>
    <w:p w14:paraId="628409A9" w14:textId="5BA21096" w:rsidR="00F91472" w:rsidRPr="006171FC" w:rsidRDefault="00286A5B" w:rsidP="00763733">
      <w:pPr>
        <w:pStyle w:val="ListParagraph"/>
        <w:spacing w:before="240" w:after="240" w:line="360" w:lineRule="auto"/>
        <w:ind w:left="0" w:firstLine="720"/>
        <w:contextualSpacing w:val="0"/>
        <w:rPr>
          <w:color w:val="auto"/>
          <w:szCs w:val="26"/>
        </w:rPr>
      </w:pPr>
      <w:r w:rsidRPr="006171FC">
        <w:rPr>
          <w:color w:val="auto"/>
          <w:szCs w:val="26"/>
        </w:rPr>
        <w:t>In the Application, York-WW in</w:t>
      </w:r>
      <w:r w:rsidR="009A247F" w:rsidRPr="006171FC">
        <w:rPr>
          <w:color w:val="auto"/>
          <w:szCs w:val="26"/>
        </w:rPr>
        <w:t>dicated Rock Creek</w:t>
      </w:r>
      <w:r w:rsidR="006917B7" w:rsidRPr="006171FC">
        <w:rPr>
          <w:color w:val="auto"/>
          <w:szCs w:val="26"/>
        </w:rPr>
        <w:t xml:space="preserve"> has</w:t>
      </w:r>
      <w:r w:rsidR="004A6944" w:rsidRPr="006171FC">
        <w:rPr>
          <w:color w:val="auto"/>
          <w:szCs w:val="26"/>
        </w:rPr>
        <w:t xml:space="preserve"> a need for wastewater service</w:t>
      </w:r>
      <w:r w:rsidR="00503E9E" w:rsidRPr="006171FC">
        <w:rPr>
          <w:color w:val="auto"/>
          <w:szCs w:val="26"/>
        </w:rPr>
        <w:t xml:space="preserve"> and coul</w:t>
      </w:r>
      <w:r w:rsidR="004E5D02" w:rsidRPr="006171FC">
        <w:rPr>
          <w:color w:val="auto"/>
          <w:szCs w:val="26"/>
        </w:rPr>
        <w:t xml:space="preserve">d not reach </w:t>
      </w:r>
      <w:r w:rsidR="00A73F8A" w:rsidRPr="006171FC">
        <w:rPr>
          <w:color w:val="auto"/>
          <w:szCs w:val="26"/>
        </w:rPr>
        <w:t xml:space="preserve">an </w:t>
      </w:r>
      <w:r w:rsidR="004E5D02" w:rsidRPr="006171FC">
        <w:rPr>
          <w:color w:val="auto"/>
          <w:szCs w:val="26"/>
        </w:rPr>
        <w:t>agreement</w:t>
      </w:r>
      <w:r w:rsidR="00F86473" w:rsidRPr="006171FC">
        <w:rPr>
          <w:color w:val="auto"/>
          <w:szCs w:val="26"/>
        </w:rPr>
        <w:t xml:space="preserve"> for</w:t>
      </w:r>
      <w:r w:rsidR="002B6F8D" w:rsidRPr="006171FC">
        <w:rPr>
          <w:color w:val="auto"/>
          <w:szCs w:val="26"/>
        </w:rPr>
        <w:t xml:space="preserve"> the extension</w:t>
      </w:r>
      <w:r w:rsidR="00576537" w:rsidRPr="006171FC">
        <w:rPr>
          <w:color w:val="auto"/>
          <w:szCs w:val="26"/>
        </w:rPr>
        <w:t xml:space="preserve"> of </w:t>
      </w:r>
      <w:r w:rsidR="006D1AE3" w:rsidRPr="006171FC">
        <w:rPr>
          <w:color w:val="auto"/>
          <w:szCs w:val="26"/>
        </w:rPr>
        <w:t xml:space="preserve">wastewater </w:t>
      </w:r>
      <w:r w:rsidR="009021ED" w:rsidRPr="006171FC">
        <w:rPr>
          <w:color w:val="auto"/>
          <w:szCs w:val="26"/>
        </w:rPr>
        <w:t>service by GM</w:t>
      </w:r>
      <w:r w:rsidR="00384996" w:rsidRPr="006171FC">
        <w:rPr>
          <w:color w:val="auto"/>
          <w:szCs w:val="26"/>
        </w:rPr>
        <w:t>A.</w:t>
      </w:r>
      <w:r w:rsidR="00E84A9A" w:rsidRPr="006171FC">
        <w:rPr>
          <w:color w:val="auto"/>
          <w:szCs w:val="26"/>
        </w:rPr>
        <w:t xml:space="preserve">  Rock Cree</w:t>
      </w:r>
      <w:r w:rsidR="00616F67" w:rsidRPr="006171FC">
        <w:rPr>
          <w:color w:val="auto"/>
          <w:szCs w:val="26"/>
        </w:rPr>
        <w:t>k considere</w:t>
      </w:r>
      <w:r w:rsidR="00921B3F" w:rsidRPr="006171FC">
        <w:rPr>
          <w:color w:val="auto"/>
          <w:szCs w:val="26"/>
        </w:rPr>
        <w:t>d con</w:t>
      </w:r>
      <w:r w:rsidR="003C0AAA" w:rsidRPr="006171FC">
        <w:rPr>
          <w:color w:val="auto"/>
          <w:szCs w:val="26"/>
        </w:rPr>
        <w:t>structing the necess</w:t>
      </w:r>
      <w:r w:rsidR="00A41AD5" w:rsidRPr="006171FC">
        <w:rPr>
          <w:color w:val="auto"/>
          <w:szCs w:val="26"/>
        </w:rPr>
        <w:t>ary</w:t>
      </w:r>
      <w:r w:rsidR="001F4795" w:rsidRPr="006171FC">
        <w:rPr>
          <w:color w:val="auto"/>
          <w:szCs w:val="26"/>
        </w:rPr>
        <w:t xml:space="preserve"> wastewater</w:t>
      </w:r>
      <w:r w:rsidR="00CD5F34" w:rsidRPr="006171FC">
        <w:rPr>
          <w:color w:val="auto"/>
          <w:szCs w:val="26"/>
        </w:rPr>
        <w:t xml:space="preserve"> facilit</w:t>
      </w:r>
      <w:r w:rsidR="00273679" w:rsidRPr="006171FC">
        <w:rPr>
          <w:color w:val="auto"/>
          <w:szCs w:val="26"/>
        </w:rPr>
        <w:t>ies and</w:t>
      </w:r>
      <w:r w:rsidR="004C2B96" w:rsidRPr="006171FC">
        <w:rPr>
          <w:color w:val="auto"/>
          <w:szCs w:val="26"/>
        </w:rPr>
        <w:t xml:space="preserve"> applyi</w:t>
      </w:r>
      <w:r w:rsidR="00A600DC" w:rsidRPr="006171FC">
        <w:rPr>
          <w:color w:val="auto"/>
          <w:szCs w:val="26"/>
        </w:rPr>
        <w:t xml:space="preserve">ng </w:t>
      </w:r>
      <w:r w:rsidR="00D934C9" w:rsidRPr="006171FC">
        <w:rPr>
          <w:color w:val="auto"/>
          <w:szCs w:val="26"/>
        </w:rPr>
        <w:t>to the Commissio</w:t>
      </w:r>
      <w:r w:rsidR="00A837D7" w:rsidRPr="006171FC">
        <w:rPr>
          <w:color w:val="auto"/>
          <w:szCs w:val="26"/>
        </w:rPr>
        <w:t>n fo</w:t>
      </w:r>
      <w:r w:rsidR="00482E26" w:rsidRPr="006171FC">
        <w:rPr>
          <w:color w:val="auto"/>
          <w:szCs w:val="26"/>
        </w:rPr>
        <w:t xml:space="preserve">r </w:t>
      </w:r>
      <w:r w:rsidR="003812A2" w:rsidRPr="006171FC">
        <w:rPr>
          <w:color w:val="auto"/>
          <w:szCs w:val="26"/>
        </w:rPr>
        <w:t xml:space="preserve">a </w:t>
      </w:r>
      <w:r w:rsidR="007433F1" w:rsidRPr="006171FC">
        <w:rPr>
          <w:color w:val="auto"/>
          <w:szCs w:val="26"/>
        </w:rPr>
        <w:t>c</w:t>
      </w:r>
      <w:r w:rsidR="006C01B3" w:rsidRPr="006171FC">
        <w:rPr>
          <w:color w:val="auto"/>
          <w:szCs w:val="26"/>
        </w:rPr>
        <w:t>erti</w:t>
      </w:r>
      <w:r w:rsidR="00B963FA" w:rsidRPr="006171FC">
        <w:rPr>
          <w:color w:val="auto"/>
          <w:szCs w:val="26"/>
        </w:rPr>
        <w:t xml:space="preserve">ficate of </w:t>
      </w:r>
      <w:r w:rsidR="00EA4CC7" w:rsidRPr="006171FC">
        <w:rPr>
          <w:color w:val="auto"/>
          <w:szCs w:val="26"/>
        </w:rPr>
        <w:t>p</w:t>
      </w:r>
      <w:r w:rsidR="00B510C4" w:rsidRPr="006171FC">
        <w:rPr>
          <w:color w:val="auto"/>
          <w:szCs w:val="26"/>
        </w:rPr>
        <w:t>ublic conveni</w:t>
      </w:r>
      <w:r w:rsidR="001A58CF" w:rsidRPr="006171FC">
        <w:rPr>
          <w:color w:val="auto"/>
          <w:szCs w:val="26"/>
        </w:rPr>
        <w:t>ence to offe</w:t>
      </w:r>
      <w:r w:rsidR="00C13084" w:rsidRPr="006171FC">
        <w:rPr>
          <w:color w:val="auto"/>
          <w:szCs w:val="26"/>
        </w:rPr>
        <w:t>r wast</w:t>
      </w:r>
      <w:r w:rsidR="002C70B6" w:rsidRPr="006171FC">
        <w:rPr>
          <w:color w:val="auto"/>
          <w:szCs w:val="26"/>
        </w:rPr>
        <w:t>ewater service</w:t>
      </w:r>
      <w:r w:rsidR="00946B0D" w:rsidRPr="006171FC">
        <w:rPr>
          <w:color w:val="auto"/>
          <w:szCs w:val="26"/>
        </w:rPr>
        <w:t xml:space="preserve">s to </w:t>
      </w:r>
      <w:r w:rsidR="00F82A2F" w:rsidRPr="006171FC">
        <w:rPr>
          <w:color w:val="auto"/>
          <w:szCs w:val="26"/>
        </w:rPr>
        <w:t>Amblebro</w:t>
      </w:r>
      <w:r w:rsidR="00297B37" w:rsidRPr="006171FC">
        <w:rPr>
          <w:color w:val="auto"/>
          <w:szCs w:val="26"/>
        </w:rPr>
        <w:t>ok</w:t>
      </w:r>
      <w:r w:rsidR="00AD33BC" w:rsidRPr="006171FC">
        <w:rPr>
          <w:color w:val="auto"/>
          <w:szCs w:val="26"/>
        </w:rPr>
        <w:t>.</w:t>
      </w:r>
      <w:r w:rsidR="00FA6779" w:rsidRPr="006171FC">
        <w:rPr>
          <w:color w:val="auto"/>
          <w:szCs w:val="26"/>
        </w:rPr>
        <w:t xml:space="preserve">  </w:t>
      </w:r>
      <w:r w:rsidR="00654C05" w:rsidRPr="006171FC">
        <w:rPr>
          <w:color w:val="auto"/>
          <w:szCs w:val="26"/>
        </w:rPr>
        <w:t>York-WW averred</w:t>
      </w:r>
      <w:r w:rsidR="00922205" w:rsidRPr="006171FC">
        <w:rPr>
          <w:color w:val="auto"/>
          <w:szCs w:val="26"/>
        </w:rPr>
        <w:t xml:space="preserve"> Rock Creek</w:t>
      </w:r>
      <w:r w:rsidR="00860FB4" w:rsidRPr="006171FC">
        <w:rPr>
          <w:color w:val="auto"/>
          <w:szCs w:val="26"/>
        </w:rPr>
        <w:t>’s applic</w:t>
      </w:r>
      <w:r w:rsidR="004F0B9A" w:rsidRPr="006171FC">
        <w:rPr>
          <w:color w:val="auto"/>
          <w:szCs w:val="26"/>
        </w:rPr>
        <w:t>ation would have created</w:t>
      </w:r>
      <w:r w:rsidR="00B16F0E" w:rsidRPr="006171FC">
        <w:rPr>
          <w:color w:val="auto"/>
          <w:szCs w:val="26"/>
        </w:rPr>
        <w:t xml:space="preserve"> a new Commissio</w:t>
      </w:r>
      <w:r w:rsidR="00951460" w:rsidRPr="006171FC">
        <w:rPr>
          <w:color w:val="auto"/>
          <w:szCs w:val="26"/>
        </w:rPr>
        <w:t>n</w:t>
      </w:r>
      <w:r w:rsidR="00D55F61" w:rsidRPr="006171FC">
        <w:rPr>
          <w:color w:val="auto"/>
          <w:szCs w:val="26"/>
        </w:rPr>
        <w:t>-</w:t>
      </w:r>
      <w:r w:rsidR="00951460" w:rsidRPr="006171FC">
        <w:rPr>
          <w:color w:val="auto"/>
          <w:szCs w:val="26"/>
        </w:rPr>
        <w:t>re</w:t>
      </w:r>
      <w:r w:rsidR="001D34A9" w:rsidRPr="006171FC">
        <w:rPr>
          <w:color w:val="auto"/>
          <w:szCs w:val="26"/>
        </w:rPr>
        <w:t>gulated wast</w:t>
      </w:r>
      <w:r w:rsidR="00DC54CF" w:rsidRPr="006171FC">
        <w:rPr>
          <w:color w:val="auto"/>
          <w:szCs w:val="26"/>
        </w:rPr>
        <w:t>ewater</w:t>
      </w:r>
      <w:r w:rsidR="000A6CF3" w:rsidRPr="006171FC">
        <w:rPr>
          <w:color w:val="auto"/>
          <w:szCs w:val="26"/>
        </w:rPr>
        <w:t xml:space="preserve"> </w:t>
      </w:r>
      <w:r w:rsidR="0083509D" w:rsidRPr="006171FC">
        <w:rPr>
          <w:color w:val="auto"/>
          <w:szCs w:val="26"/>
        </w:rPr>
        <w:t xml:space="preserve">utility, which would have </w:t>
      </w:r>
      <w:r w:rsidR="0030510B" w:rsidRPr="006171FC">
        <w:rPr>
          <w:color w:val="auto"/>
          <w:szCs w:val="26"/>
        </w:rPr>
        <w:t>had no experie</w:t>
      </w:r>
      <w:r w:rsidR="008E5E9E" w:rsidRPr="006171FC">
        <w:rPr>
          <w:color w:val="auto"/>
          <w:szCs w:val="26"/>
        </w:rPr>
        <w:t>nce in owning</w:t>
      </w:r>
      <w:r w:rsidR="006B4B77" w:rsidRPr="006171FC">
        <w:rPr>
          <w:color w:val="auto"/>
          <w:szCs w:val="26"/>
        </w:rPr>
        <w:t xml:space="preserve">, </w:t>
      </w:r>
      <w:r w:rsidR="002F07AA" w:rsidRPr="006171FC">
        <w:rPr>
          <w:color w:val="auto"/>
          <w:szCs w:val="26"/>
        </w:rPr>
        <w:t>operating,</w:t>
      </w:r>
      <w:r w:rsidR="006B4B77" w:rsidRPr="006171FC">
        <w:rPr>
          <w:color w:val="auto"/>
          <w:szCs w:val="26"/>
        </w:rPr>
        <w:t xml:space="preserve"> and ma</w:t>
      </w:r>
      <w:r w:rsidR="00ED121A" w:rsidRPr="006171FC">
        <w:rPr>
          <w:color w:val="auto"/>
          <w:szCs w:val="26"/>
        </w:rPr>
        <w:t>intaining</w:t>
      </w:r>
      <w:r w:rsidR="00F112AA" w:rsidRPr="006171FC">
        <w:rPr>
          <w:color w:val="auto"/>
          <w:szCs w:val="26"/>
        </w:rPr>
        <w:t xml:space="preserve"> a wastewater system in Pennsylvania</w:t>
      </w:r>
      <w:r w:rsidR="00B11284" w:rsidRPr="006171FC">
        <w:rPr>
          <w:color w:val="auto"/>
          <w:szCs w:val="26"/>
        </w:rPr>
        <w:t>.</w:t>
      </w:r>
      <w:r w:rsidR="007C57F1" w:rsidRPr="006171FC">
        <w:rPr>
          <w:color w:val="auto"/>
          <w:szCs w:val="26"/>
        </w:rPr>
        <w:t xml:space="preserve">  Further, York-WW</w:t>
      </w:r>
      <w:r w:rsidR="00E92C67" w:rsidRPr="006171FC">
        <w:rPr>
          <w:color w:val="auto"/>
          <w:szCs w:val="26"/>
        </w:rPr>
        <w:t xml:space="preserve"> averre</w:t>
      </w:r>
      <w:r w:rsidR="006E3F76" w:rsidRPr="006171FC">
        <w:rPr>
          <w:color w:val="auto"/>
          <w:szCs w:val="26"/>
        </w:rPr>
        <w:t xml:space="preserve">d </w:t>
      </w:r>
      <w:r w:rsidR="00401E05" w:rsidRPr="006171FC">
        <w:rPr>
          <w:color w:val="auto"/>
          <w:szCs w:val="26"/>
        </w:rPr>
        <w:t>h</w:t>
      </w:r>
      <w:r w:rsidR="008A0012" w:rsidRPr="006171FC">
        <w:rPr>
          <w:color w:val="auto"/>
          <w:szCs w:val="26"/>
        </w:rPr>
        <w:t>aving</w:t>
      </w:r>
      <w:r w:rsidR="00845576" w:rsidRPr="006171FC">
        <w:rPr>
          <w:color w:val="auto"/>
          <w:szCs w:val="26"/>
        </w:rPr>
        <w:t xml:space="preserve"> York-WW con</w:t>
      </w:r>
      <w:r w:rsidR="002E7DF6" w:rsidRPr="006171FC">
        <w:rPr>
          <w:color w:val="auto"/>
          <w:szCs w:val="26"/>
        </w:rPr>
        <w:t>struct and operate the facilitie</w:t>
      </w:r>
      <w:r w:rsidR="00EA19CF" w:rsidRPr="006171FC">
        <w:rPr>
          <w:color w:val="auto"/>
          <w:szCs w:val="26"/>
        </w:rPr>
        <w:t>s will ensure</w:t>
      </w:r>
      <w:r w:rsidR="00F618AA" w:rsidRPr="006171FC">
        <w:rPr>
          <w:color w:val="auto"/>
          <w:szCs w:val="26"/>
        </w:rPr>
        <w:t xml:space="preserve"> customers</w:t>
      </w:r>
      <w:r w:rsidR="009D2071" w:rsidRPr="006171FC">
        <w:rPr>
          <w:color w:val="auto"/>
          <w:szCs w:val="26"/>
        </w:rPr>
        <w:t xml:space="preserve"> are served by a dedicated</w:t>
      </w:r>
      <w:r w:rsidR="00210073" w:rsidRPr="006171FC">
        <w:rPr>
          <w:color w:val="auto"/>
          <w:szCs w:val="26"/>
        </w:rPr>
        <w:t>, experienc</w:t>
      </w:r>
      <w:r w:rsidR="006A1534" w:rsidRPr="006171FC">
        <w:rPr>
          <w:color w:val="auto"/>
          <w:szCs w:val="26"/>
        </w:rPr>
        <w:t xml:space="preserve">ed, and </w:t>
      </w:r>
      <w:r w:rsidR="003329CD" w:rsidRPr="006171FC">
        <w:rPr>
          <w:color w:val="auto"/>
          <w:szCs w:val="26"/>
        </w:rPr>
        <w:t>locally owned</w:t>
      </w:r>
      <w:r w:rsidR="00BB3935" w:rsidRPr="006171FC">
        <w:rPr>
          <w:color w:val="auto"/>
          <w:szCs w:val="26"/>
        </w:rPr>
        <w:t xml:space="preserve"> </w:t>
      </w:r>
      <w:r w:rsidR="008E56A8" w:rsidRPr="006171FC">
        <w:rPr>
          <w:color w:val="auto"/>
          <w:szCs w:val="26"/>
        </w:rPr>
        <w:t>water and wastewater</w:t>
      </w:r>
      <w:r w:rsidR="00FC5C67" w:rsidRPr="006171FC">
        <w:rPr>
          <w:color w:val="auto"/>
          <w:szCs w:val="26"/>
        </w:rPr>
        <w:t xml:space="preserve"> utility</w:t>
      </w:r>
      <w:r w:rsidR="00DC7ED7" w:rsidRPr="006171FC">
        <w:rPr>
          <w:color w:val="auto"/>
          <w:szCs w:val="26"/>
        </w:rPr>
        <w:t xml:space="preserve"> with over 200 years of experie</w:t>
      </w:r>
      <w:r w:rsidR="00DF1AC4" w:rsidRPr="006171FC">
        <w:rPr>
          <w:color w:val="auto"/>
          <w:szCs w:val="26"/>
        </w:rPr>
        <w:t>nce.</w:t>
      </w:r>
      <w:r w:rsidR="006F216E" w:rsidRPr="006171FC">
        <w:rPr>
          <w:color w:val="auto"/>
          <w:szCs w:val="26"/>
        </w:rPr>
        <w:t xml:space="preserve">  The Commission notes that </w:t>
      </w:r>
      <w:r w:rsidR="004730B5" w:rsidRPr="006171FC">
        <w:rPr>
          <w:color w:val="auto"/>
          <w:szCs w:val="26"/>
        </w:rPr>
        <w:t xml:space="preserve">approval of </w:t>
      </w:r>
      <w:r w:rsidR="00AE760A" w:rsidRPr="006171FC">
        <w:rPr>
          <w:color w:val="auto"/>
          <w:szCs w:val="26"/>
        </w:rPr>
        <w:t>this Application</w:t>
      </w:r>
      <w:r w:rsidR="007B6BE0" w:rsidRPr="006171FC">
        <w:rPr>
          <w:color w:val="auto"/>
          <w:szCs w:val="26"/>
        </w:rPr>
        <w:t xml:space="preserve"> is </w:t>
      </w:r>
      <w:r w:rsidR="004730B5" w:rsidRPr="006171FC">
        <w:rPr>
          <w:color w:val="auto"/>
          <w:szCs w:val="26"/>
        </w:rPr>
        <w:t>consistent</w:t>
      </w:r>
      <w:r w:rsidR="007B6BE0" w:rsidRPr="006171FC">
        <w:rPr>
          <w:color w:val="auto"/>
          <w:szCs w:val="26"/>
        </w:rPr>
        <w:t xml:space="preserve"> with it</w:t>
      </w:r>
      <w:r w:rsidR="00A41A7E" w:rsidRPr="006171FC">
        <w:rPr>
          <w:color w:val="auto"/>
          <w:szCs w:val="26"/>
        </w:rPr>
        <w:t>s policy</w:t>
      </w:r>
      <w:r w:rsidR="00EB2AE9" w:rsidRPr="006171FC">
        <w:rPr>
          <w:color w:val="auto"/>
          <w:szCs w:val="26"/>
        </w:rPr>
        <w:t xml:space="preserve"> </w:t>
      </w:r>
      <w:r w:rsidR="004730B5" w:rsidRPr="006171FC">
        <w:rPr>
          <w:color w:val="auto"/>
          <w:szCs w:val="26"/>
        </w:rPr>
        <w:t>described</w:t>
      </w:r>
      <w:r w:rsidR="00EB2AE9" w:rsidRPr="006171FC">
        <w:rPr>
          <w:color w:val="auto"/>
          <w:szCs w:val="26"/>
        </w:rPr>
        <w:t xml:space="preserve"> in </w:t>
      </w:r>
      <w:r w:rsidR="00EB2F4E" w:rsidRPr="006171FC">
        <w:rPr>
          <w:color w:val="auto"/>
          <w:szCs w:val="26"/>
        </w:rPr>
        <w:t xml:space="preserve">52 Pa Code § </w:t>
      </w:r>
      <w:r w:rsidR="00DD1CB1" w:rsidRPr="006171FC">
        <w:rPr>
          <w:color w:val="auto"/>
          <w:szCs w:val="26"/>
        </w:rPr>
        <w:t>69.72</w:t>
      </w:r>
      <w:r w:rsidR="00F11AA0" w:rsidRPr="006171FC">
        <w:rPr>
          <w:color w:val="auto"/>
          <w:szCs w:val="26"/>
        </w:rPr>
        <w:t>1</w:t>
      </w:r>
      <w:r w:rsidR="00842F18" w:rsidRPr="006171FC">
        <w:rPr>
          <w:color w:val="auto"/>
          <w:szCs w:val="26"/>
        </w:rPr>
        <w:t xml:space="preserve"> </w:t>
      </w:r>
      <w:r w:rsidR="00A669E8" w:rsidRPr="006171FC">
        <w:rPr>
          <w:color w:val="auto"/>
          <w:szCs w:val="26"/>
        </w:rPr>
        <w:t>support</w:t>
      </w:r>
      <w:r w:rsidR="004730B5" w:rsidRPr="006171FC">
        <w:rPr>
          <w:color w:val="auto"/>
          <w:szCs w:val="26"/>
        </w:rPr>
        <w:t>ing</w:t>
      </w:r>
      <w:r w:rsidR="00A669E8" w:rsidRPr="006171FC">
        <w:rPr>
          <w:color w:val="auto"/>
          <w:szCs w:val="26"/>
        </w:rPr>
        <w:t xml:space="preserve"> t</w:t>
      </w:r>
      <w:r w:rsidR="00687BB1" w:rsidRPr="006171FC">
        <w:rPr>
          <w:color w:val="auto"/>
          <w:szCs w:val="26"/>
        </w:rPr>
        <w:t xml:space="preserve">he regionalization of water and wastewater systems </w:t>
      </w:r>
      <w:r w:rsidR="003311BA" w:rsidRPr="006171FC">
        <w:rPr>
          <w:color w:val="auto"/>
          <w:szCs w:val="26"/>
        </w:rPr>
        <w:t xml:space="preserve">and </w:t>
      </w:r>
      <w:r w:rsidR="00687BB1" w:rsidRPr="006171FC">
        <w:rPr>
          <w:color w:val="auto"/>
          <w:szCs w:val="26"/>
        </w:rPr>
        <w:t>allow</w:t>
      </w:r>
      <w:r w:rsidR="000D19B5" w:rsidRPr="006171FC">
        <w:rPr>
          <w:color w:val="auto"/>
          <w:szCs w:val="26"/>
        </w:rPr>
        <w:t>i</w:t>
      </w:r>
      <w:r w:rsidR="00686C84" w:rsidRPr="006171FC">
        <w:rPr>
          <w:color w:val="auto"/>
          <w:szCs w:val="26"/>
        </w:rPr>
        <w:t>ng</w:t>
      </w:r>
      <w:r w:rsidR="00687BB1" w:rsidRPr="006171FC">
        <w:rPr>
          <w:color w:val="auto"/>
          <w:szCs w:val="26"/>
        </w:rPr>
        <w:t xml:space="preserve"> the water industry to institute better management practices and achieve greater economies of scale</w:t>
      </w:r>
      <w:r w:rsidR="00686C84" w:rsidRPr="006171FC">
        <w:rPr>
          <w:color w:val="auto"/>
          <w:szCs w:val="26"/>
        </w:rPr>
        <w:t>.</w:t>
      </w:r>
    </w:p>
    <w:p w14:paraId="662915C2" w14:textId="52D10C6A" w:rsidR="003D0E0E" w:rsidRPr="006171FC" w:rsidRDefault="008F47F0" w:rsidP="00D728C0">
      <w:pPr>
        <w:pStyle w:val="ListParagraph"/>
        <w:spacing w:before="240" w:after="240" w:line="360" w:lineRule="auto"/>
        <w:ind w:left="0" w:firstLine="720"/>
        <w:contextualSpacing w:val="0"/>
        <w:rPr>
          <w:color w:val="auto"/>
          <w:szCs w:val="26"/>
        </w:rPr>
      </w:pPr>
      <w:r w:rsidRPr="006171FC">
        <w:rPr>
          <w:color w:val="auto"/>
          <w:szCs w:val="26"/>
        </w:rPr>
        <w:t>York-WW has no outstand</w:t>
      </w:r>
      <w:r w:rsidR="00F24E79" w:rsidRPr="006171FC">
        <w:rPr>
          <w:color w:val="auto"/>
          <w:szCs w:val="26"/>
        </w:rPr>
        <w:t xml:space="preserve">ing fines or assessments due to the Commission.  Also, York-WW is current with its annual and quarterly earnings reports and the Commission’s </w:t>
      </w:r>
      <w:r w:rsidR="00F24E79" w:rsidRPr="006171FC">
        <w:rPr>
          <w:color w:val="auto"/>
          <w:szCs w:val="26"/>
        </w:rPr>
        <w:lastRenderedPageBreak/>
        <w:t>security planning and readiness report filing requirements.  In an email correspo</w:t>
      </w:r>
      <w:r w:rsidR="0030448E" w:rsidRPr="006171FC">
        <w:rPr>
          <w:color w:val="auto"/>
          <w:szCs w:val="26"/>
        </w:rPr>
        <w:t>n</w:t>
      </w:r>
      <w:r w:rsidR="0041183B" w:rsidRPr="006171FC">
        <w:rPr>
          <w:color w:val="auto"/>
          <w:szCs w:val="26"/>
        </w:rPr>
        <w:t xml:space="preserve">dence from DEP’s Southcentral Regional Office, dated </w:t>
      </w:r>
      <w:r w:rsidR="00BC7110" w:rsidRPr="006171FC">
        <w:rPr>
          <w:color w:val="auto"/>
          <w:szCs w:val="26"/>
        </w:rPr>
        <w:t>November 20, 2019, DEP advised Commission staff that it does not have any pending actions or outstanding complaints against York-WW.</w:t>
      </w:r>
    </w:p>
    <w:p w14:paraId="24AD9559" w14:textId="77777777" w:rsidR="00C376BB" w:rsidRPr="006171FC" w:rsidRDefault="00C376BB" w:rsidP="22A753FC">
      <w:pPr>
        <w:pStyle w:val="ListParagraph"/>
        <w:numPr>
          <w:ilvl w:val="0"/>
          <w:numId w:val="5"/>
        </w:numPr>
        <w:tabs>
          <w:tab w:val="left" w:pos="4320"/>
        </w:tabs>
        <w:spacing w:after="240" w:line="360" w:lineRule="auto"/>
        <w:contextualSpacing w:val="0"/>
        <w:rPr>
          <w:color w:val="auto"/>
          <w:szCs w:val="26"/>
        </w:rPr>
      </w:pPr>
      <w:r w:rsidRPr="006171FC">
        <w:rPr>
          <w:b/>
          <w:bCs/>
          <w:color w:val="auto"/>
          <w:szCs w:val="26"/>
        </w:rPr>
        <w:t>CONCLUSION</w:t>
      </w:r>
    </w:p>
    <w:p w14:paraId="71502134" w14:textId="31DF5E7E" w:rsidR="00C376BB" w:rsidRPr="006171FC" w:rsidRDefault="00C376BB" w:rsidP="00F559F2">
      <w:pPr>
        <w:tabs>
          <w:tab w:val="left" w:pos="4320"/>
        </w:tabs>
        <w:spacing w:after="240" w:line="360" w:lineRule="auto"/>
        <w:ind w:firstLine="720"/>
        <w:rPr>
          <w:b/>
          <w:color w:val="auto"/>
          <w:szCs w:val="26"/>
        </w:rPr>
      </w:pPr>
      <w:r w:rsidRPr="006171FC">
        <w:rPr>
          <w:color w:val="auto"/>
          <w:szCs w:val="26"/>
        </w:rPr>
        <w:t xml:space="preserve">Based upon the </w:t>
      </w:r>
      <w:r w:rsidR="00627A66" w:rsidRPr="006171FC">
        <w:rPr>
          <w:color w:val="auto"/>
          <w:szCs w:val="26"/>
        </w:rPr>
        <w:t>fac</w:t>
      </w:r>
      <w:r w:rsidR="00D94D4D" w:rsidRPr="006171FC">
        <w:rPr>
          <w:color w:val="auto"/>
          <w:szCs w:val="26"/>
        </w:rPr>
        <w:t xml:space="preserve">t that York-WW will expand its service </w:t>
      </w:r>
      <w:r w:rsidR="00DF3966" w:rsidRPr="006171FC">
        <w:rPr>
          <w:color w:val="auto"/>
          <w:szCs w:val="26"/>
        </w:rPr>
        <w:t>territory in compliance</w:t>
      </w:r>
      <w:r w:rsidR="006B23CC" w:rsidRPr="006171FC">
        <w:rPr>
          <w:color w:val="auto"/>
          <w:szCs w:val="26"/>
        </w:rPr>
        <w:t xml:space="preserve"> with Commission regu</w:t>
      </w:r>
      <w:r w:rsidR="00560620" w:rsidRPr="006171FC">
        <w:rPr>
          <w:color w:val="auto"/>
          <w:szCs w:val="26"/>
        </w:rPr>
        <w:t xml:space="preserve">lations; </w:t>
      </w:r>
      <w:r w:rsidR="00641C87" w:rsidRPr="006171FC">
        <w:rPr>
          <w:color w:val="auto"/>
          <w:szCs w:val="26"/>
        </w:rPr>
        <w:t>that York-WW will be able to meet the needs of new customers without apparent detriment to its existing customers; and that York</w:t>
      </w:r>
      <w:r w:rsidR="00041CC5" w:rsidRPr="006171FC">
        <w:rPr>
          <w:color w:val="auto"/>
          <w:szCs w:val="26"/>
        </w:rPr>
        <w:t xml:space="preserve">-WW </w:t>
      </w:r>
      <w:r w:rsidR="00641C87" w:rsidRPr="006171FC">
        <w:rPr>
          <w:color w:val="auto"/>
          <w:szCs w:val="26"/>
        </w:rPr>
        <w:t>has the technical, managerial and financial fitness to operate and maintain the system assets; the Commission finds that granting conditional approval of York</w:t>
      </w:r>
      <w:r w:rsidR="00C7485A" w:rsidRPr="006171FC">
        <w:rPr>
          <w:color w:val="auto"/>
          <w:szCs w:val="26"/>
        </w:rPr>
        <w:t>-WW</w:t>
      </w:r>
      <w:r w:rsidR="00641C87" w:rsidRPr="006171FC">
        <w:rPr>
          <w:color w:val="auto"/>
          <w:szCs w:val="26"/>
        </w:rPr>
        <w:t>’s Application is necessary or proper for the service, accommodation, convenience, or safety of the public and in the public interest</w:t>
      </w:r>
      <w:r w:rsidR="00EA0F20" w:rsidRPr="006171FC">
        <w:rPr>
          <w:color w:val="auto"/>
          <w:szCs w:val="26"/>
        </w:rPr>
        <w:t>;</w:t>
      </w:r>
      <w:r w:rsidR="009B2277" w:rsidRPr="006171FC">
        <w:rPr>
          <w:b/>
          <w:color w:val="auto"/>
          <w:szCs w:val="26"/>
        </w:rPr>
        <w:t xml:space="preserve"> </w:t>
      </w:r>
      <w:r w:rsidRPr="006171FC">
        <w:rPr>
          <w:b/>
          <w:color w:val="auto"/>
          <w:szCs w:val="26"/>
        </w:rPr>
        <w:t>THEREFORE,</w:t>
      </w:r>
    </w:p>
    <w:p w14:paraId="2A16AE65" w14:textId="77777777" w:rsidR="006153FE" w:rsidRPr="006171FC" w:rsidRDefault="4C30912D" w:rsidP="002F4A18">
      <w:pPr>
        <w:tabs>
          <w:tab w:val="left" w:pos="4320"/>
        </w:tabs>
        <w:spacing w:after="240" w:line="360" w:lineRule="auto"/>
        <w:ind w:firstLine="720"/>
        <w:rPr>
          <w:b/>
          <w:bCs/>
          <w:color w:val="auto"/>
          <w:szCs w:val="26"/>
        </w:rPr>
      </w:pPr>
      <w:r w:rsidRPr="006171FC">
        <w:rPr>
          <w:b/>
          <w:bCs/>
          <w:color w:val="auto"/>
          <w:szCs w:val="26"/>
        </w:rPr>
        <w:t>IT IS ORDERED:</w:t>
      </w:r>
    </w:p>
    <w:p w14:paraId="66944C68" w14:textId="342062CE" w:rsidR="00D76D17" w:rsidRPr="006171FC" w:rsidRDefault="00FC0B81" w:rsidP="00D76D17">
      <w:pPr>
        <w:pStyle w:val="BodyTextIndent"/>
        <w:numPr>
          <w:ilvl w:val="0"/>
          <w:numId w:val="17"/>
        </w:numPr>
        <w:tabs>
          <w:tab w:val="left" w:pos="0"/>
        </w:tabs>
        <w:spacing w:after="240"/>
        <w:ind w:left="0" w:firstLine="720"/>
        <w:rPr>
          <w:color w:val="auto"/>
          <w:szCs w:val="26"/>
        </w:rPr>
      </w:pPr>
      <w:r w:rsidRPr="006171FC">
        <w:rPr>
          <w:color w:val="auto"/>
          <w:szCs w:val="26"/>
        </w:rPr>
        <w:t>That the Application of The York Water Company – Wastewater at Docket</w:t>
      </w:r>
      <w:r w:rsidR="009A0C09">
        <w:rPr>
          <w:color w:val="auto"/>
          <w:szCs w:val="26"/>
        </w:rPr>
        <w:t> </w:t>
      </w:r>
      <w:r w:rsidRPr="006171FC">
        <w:rPr>
          <w:color w:val="auto"/>
          <w:szCs w:val="26"/>
        </w:rPr>
        <w:t>No. A</w:t>
      </w:r>
      <w:r w:rsidR="6E147043" w:rsidRPr="006171FC">
        <w:rPr>
          <w:color w:val="auto"/>
          <w:szCs w:val="26"/>
        </w:rPr>
        <w:t>-</w:t>
      </w:r>
      <w:r w:rsidRPr="006171FC">
        <w:rPr>
          <w:color w:val="auto"/>
          <w:szCs w:val="26"/>
        </w:rPr>
        <w:t>2019</w:t>
      </w:r>
      <w:r w:rsidR="72B37C8E" w:rsidRPr="006171FC">
        <w:rPr>
          <w:color w:val="auto"/>
          <w:szCs w:val="26"/>
        </w:rPr>
        <w:noBreakHyphen/>
      </w:r>
      <w:r w:rsidR="00D76D17" w:rsidRPr="006171FC">
        <w:rPr>
          <w:color w:val="auto"/>
          <w:szCs w:val="26"/>
        </w:rPr>
        <w:t>3014022</w:t>
      </w:r>
      <w:r w:rsidRPr="006171FC">
        <w:rPr>
          <w:color w:val="auto"/>
          <w:szCs w:val="26"/>
        </w:rPr>
        <w:t>, is hereby conditionally approved, consistent with this Order.</w:t>
      </w:r>
    </w:p>
    <w:p w14:paraId="4CD933C6" w14:textId="67E3ADC3" w:rsidR="271747F3" w:rsidRPr="006171FC" w:rsidRDefault="271747F3" w:rsidP="7B007032">
      <w:pPr>
        <w:pStyle w:val="BodyTextIndent"/>
        <w:numPr>
          <w:ilvl w:val="0"/>
          <w:numId w:val="17"/>
        </w:numPr>
        <w:spacing w:after="240"/>
        <w:ind w:left="0" w:firstLine="720"/>
        <w:rPr>
          <w:color w:val="auto"/>
          <w:szCs w:val="26"/>
        </w:rPr>
      </w:pPr>
      <w:r w:rsidRPr="006171FC">
        <w:rPr>
          <w:color w:val="auto"/>
          <w:szCs w:val="26"/>
        </w:rPr>
        <w:t>That</w:t>
      </w:r>
      <w:r w:rsidR="00E07787" w:rsidRPr="006171FC">
        <w:rPr>
          <w:color w:val="auto"/>
          <w:szCs w:val="26"/>
        </w:rPr>
        <w:t xml:space="preserve"> upon compli</w:t>
      </w:r>
      <w:r w:rsidR="000F58EA" w:rsidRPr="006171FC">
        <w:rPr>
          <w:color w:val="auto"/>
          <w:szCs w:val="26"/>
        </w:rPr>
        <w:t>ance with the following conditions</w:t>
      </w:r>
      <w:r w:rsidR="000D4CC0" w:rsidRPr="006171FC">
        <w:rPr>
          <w:color w:val="auto"/>
          <w:szCs w:val="26"/>
        </w:rPr>
        <w:t>,</w:t>
      </w:r>
      <w:r w:rsidRPr="006171FC">
        <w:rPr>
          <w:color w:val="auto"/>
          <w:szCs w:val="26"/>
        </w:rPr>
        <w:t xml:space="preserve"> a Certificate of Public Convenience shall be issued pursuant to Section 1102(a)(3) of the Public Utility Code, 66</w:t>
      </w:r>
      <w:r w:rsidR="009A0C09">
        <w:rPr>
          <w:color w:val="auto"/>
          <w:szCs w:val="26"/>
        </w:rPr>
        <w:t> </w:t>
      </w:r>
      <w:r w:rsidRPr="006171FC">
        <w:rPr>
          <w:color w:val="auto"/>
          <w:szCs w:val="26"/>
        </w:rPr>
        <w:t>Pa. C.S. § 1102(a)(3), evidencing Commission approval of the right of T</w:t>
      </w:r>
      <w:r w:rsidR="1619294D" w:rsidRPr="006171FC">
        <w:rPr>
          <w:color w:val="auto"/>
          <w:szCs w:val="26"/>
        </w:rPr>
        <w:t>he York Water Company – Wastewater to acquire the wastewater system assets owned and/or operated by CCD Rock Creek LLC</w:t>
      </w:r>
      <w:r w:rsidR="00702EEC" w:rsidRPr="006171FC">
        <w:rPr>
          <w:color w:val="auto"/>
          <w:szCs w:val="26"/>
        </w:rPr>
        <w:t>:</w:t>
      </w:r>
    </w:p>
    <w:p w14:paraId="68A6BE47" w14:textId="71DC3BBB" w:rsidR="0075362F" w:rsidRPr="006171FC" w:rsidRDefault="0075362F" w:rsidP="00D03634">
      <w:pPr>
        <w:pStyle w:val="BodyTextIndent"/>
        <w:spacing w:after="240"/>
        <w:ind w:left="1980" w:hanging="540"/>
        <w:rPr>
          <w:color w:val="auto"/>
          <w:szCs w:val="26"/>
        </w:rPr>
      </w:pPr>
      <w:r w:rsidRPr="006171FC">
        <w:rPr>
          <w:color w:val="auto"/>
          <w:szCs w:val="26"/>
        </w:rPr>
        <w:t>a.</w:t>
      </w:r>
      <w:r w:rsidRPr="006171FC">
        <w:rPr>
          <w:color w:val="auto"/>
          <w:szCs w:val="26"/>
        </w:rPr>
        <w:tab/>
        <w:t xml:space="preserve">The York Water Company – Wastewater shall file with the Secretary’s Bureau a revised Exhibit E depicting a requested wastewater service territory map which encompasses </w:t>
      </w:r>
      <w:r w:rsidR="00F036A9" w:rsidRPr="006171FC">
        <w:rPr>
          <w:color w:val="auto"/>
          <w:szCs w:val="26"/>
        </w:rPr>
        <w:t xml:space="preserve">only </w:t>
      </w:r>
      <w:r w:rsidR="00954D38">
        <w:rPr>
          <w:color w:val="auto"/>
          <w:szCs w:val="26"/>
        </w:rPr>
        <w:t>Phases 1 through 4 (</w:t>
      </w:r>
      <w:r w:rsidR="00F036A9" w:rsidRPr="006171FC">
        <w:rPr>
          <w:color w:val="auto"/>
          <w:szCs w:val="26"/>
        </w:rPr>
        <w:t>Sections A, C, D and E) as show on the Overall Building Phase Plan, Sheet PHSE-1, dated May 23, 2018, for Amblebrook</w:t>
      </w:r>
      <w:r w:rsidRPr="006171FC">
        <w:rPr>
          <w:color w:val="auto"/>
          <w:szCs w:val="26"/>
        </w:rPr>
        <w:t>; and</w:t>
      </w:r>
    </w:p>
    <w:p w14:paraId="3A0EFF58" w14:textId="0CD7B54D" w:rsidR="000D4CC0" w:rsidRPr="006171FC" w:rsidRDefault="0075362F" w:rsidP="0022737D">
      <w:pPr>
        <w:pStyle w:val="BodyTextIndent"/>
        <w:spacing w:after="240"/>
        <w:ind w:left="1980" w:hanging="540"/>
        <w:rPr>
          <w:color w:val="auto"/>
          <w:szCs w:val="26"/>
        </w:rPr>
      </w:pPr>
      <w:r w:rsidRPr="006171FC">
        <w:rPr>
          <w:color w:val="auto"/>
          <w:szCs w:val="26"/>
        </w:rPr>
        <w:lastRenderedPageBreak/>
        <w:t>b.</w:t>
      </w:r>
      <w:r w:rsidRPr="006171FC">
        <w:rPr>
          <w:color w:val="auto"/>
          <w:szCs w:val="26"/>
        </w:rPr>
        <w:tab/>
        <w:t xml:space="preserve">The York Water Company – Wastewater shall file with the Secretary’s Bureau a revised Exhibit </w:t>
      </w:r>
      <w:r w:rsidR="00803452" w:rsidRPr="006171FC">
        <w:rPr>
          <w:color w:val="auto"/>
          <w:szCs w:val="26"/>
        </w:rPr>
        <w:t>F</w:t>
      </w:r>
      <w:r w:rsidRPr="006171FC">
        <w:rPr>
          <w:color w:val="auto"/>
          <w:szCs w:val="26"/>
        </w:rPr>
        <w:t xml:space="preserve"> that contains a written description with bearing angles and distances for the boundaries of the requested wastewater service territory to be provided in </w:t>
      </w:r>
      <w:r w:rsidR="00420A69" w:rsidRPr="006171FC">
        <w:rPr>
          <w:color w:val="auto"/>
          <w:szCs w:val="26"/>
        </w:rPr>
        <w:t xml:space="preserve">Ordering Paragraph No </w:t>
      </w:r>
      <w:r w:rsidR="009D0B56" w:rsidRPr="006171FC">
        <w:rPr>
          <w:color w:val="auto"/>
          <w:szCs w:val="26"/>
        </w:rPr>
        <w:t>2.</w:t>
      </w:r>
      <w:r w:rsidRPr="006171FC">
        <w:rPr>
          <w:color w:val="auto"/>
          <w:szCs w:val="26"/>
        </w:rPr>
        <w:t>a.</w:t>
      </w:r>
      <w:r w:rsidR="005B7F88">
        <w:rPr>
          <w:color w:val="auto"/>
          <w:szCs w:val="26"/>
        </w:rPr>
        <w:t>,</w:t>
      </w:r>
      <w:r w:rsidRPr="006171FC">
        <w:rPr>
          <w:color w:val="auto"/>
          <w:szCs w:val="26"/>
        </w:rPr>
        <w:t xml:space="preserve"> and shall quantify the area of the revised wastewater service territory in acres.</w:t>
      </w:r>
    </w:p>
    <w:p w14:paraId="515C5675" w14:textId="47DD6F40" w:rsidR="00C463ED" w:rsidRPr="006171FC" w:rsidRDefault="481C22E3" w:rsidP="4C4886AA">
      <w:pPr>
        <w:pStyle w:val="BodyTextIndent"/>
        <w:numPr>
          <w:ilvl w:val="0"/>
          <w:numId w:val="17"/>
        </w:numPr>
        <w:spacing w:after="240"/>
        <w:ind w:left="0" w:firstLine="720"/>
        <w:rPr>
          <w:color w:val="auto"/>
          <w:szCs w:val="26"/>
        </w:rPr>
      </w:pPr>
      <w:r w:rsidRPr="006171FC">
        <w:rPr>
          <w:color w:val="auto"/>
          <w:szCs w:val="26"/>
        </w:rPr>
        <w:t>That The York Water Company – Wastewater shall provide written notification to the Secretary’s Bureau within ten (10) days of receiving all approvals and closing on all transactions necessary to own and operate the wastewater system assets owned and/or operated by CCD Rock Creek LLC.</w:t>
      </w:r>
    </w:p>
    <w:p w14:paraId="0D779755" w14:textId="01FEAC82" w:rsidR="00FC0B81" w:rsidRPr="006171FC" w:rsidRDefault="00D76D17" w:rsidP="00D76D17">
      <w:pPr>
        <w:pStyle w:val="BodyTextIndent"/>
        <w:numPr>
          <w:ilvl w:val="0"/>
          <w:numId w:val="17"/>
        </w:numPr>
        <w:tabs>
          <w:tab w:val="left" w:pos="0"/>
        </w:tabs>
        <w:spacing w:after="240"/>
        <w:ind w:left="0" w:firstLine="720"/>
        <w:rPr>
          <w:color w:val="auto"/>
          <w:szCs w:val="26"/>
        </w:rPr>
      </w:pPr>
      <w:r w:rsidRPr="006171FC">
        <w:rPr>
          <w:color w:val="auto"/>
          <w:szCs w:val="26"/>
        </w:rPr>
        <w:t xml:space="preserve">That </w:t>
      </w:r>
      <w:r w:rsidR="00D71545" w:rsidRPr="006171FC">
        <w:rPr>
          <w:color w:val="auto"/>
          <w:szCs w:val="26"/>
        </w:rPr>
        <w:t xml:space="preserve">following </w:t>
      </w:r>
      <w:r w:rsidR="008F754F">
        <w:rPr>
          <w:color w:val="auto"/>
          <w:szCs w:val="26"/>
        </w:rPr>
        <w:t>Commission receipt of the written notice of closing</w:t>
      </w:r>
      <w:r w:rsidRPr="006171FC">
        <w:rPr>
          <w:color w:val="auto"/>
          <w:szCs w:val="26"/>
        </w:rPr>
        <w:t>, a Certificate of Public Convenience shall be issu</w:t>
      </w:r>
      <w:r w:rsidR="00533859" w:rsidRPr="006171FC">
        <w:rPr>
          <w:color w:val="auto"/>
          <w:szCs w:val="26"/>
        </w:rPr>
        <w:t>ed pursuant to Section 1102(a)(1</w:t>
      </w:r>
      <w:r w:rsidRPr="006171FC">
        <w:rPr>
          <w:color w:val="auto"/>
          <w:szCs w:val="26"/>
        </w:rPr>
        <w:t>)</w:t>
      </w:r>
      <w:r w:rsidR="00533859" w:rsidRPr="006171FC">
        <w:rPr>
          <w:color w:val="auto"/>
          <w:szCs w:val="26"/>
        </w:rPr>
        <w:t>(i)</w:t>
      </w:r>
      <w:r w:rsidRPr="006171FC">
        <w:rPr>
          <w:color w:val="auto"/>
          <w:szCs w:val="26"/>
        </w:rPr>
        <w:t xml:space="preserve"> of the Public Utili</w:t>
      </w:r>
      <w:r w:rsidR="00533859" w:rsidRPr="006171FC">
        <w:rPr>
          <w:color w:val="auto"/>
          <w:szCs w:val="26"/>
        </w:rPr>
        <w:t>ty Code, 66 Pa. C.S. § 1102(a)(1</w:t>
      </w:r>
      <w:r w:rsidRPr="006171FC">
        <w:rPr>
          <w:color w:val="auto"/>
          <w:szCs w:val="26"/>
        </w:rPr>
        <w:t>)</w:t>
      </w:r>
      <w:r w:rsidR="00533859" w:rsidRPr="006171FC">
        <w:rPr>
          <w:color w:val="auto"/>
          <w:szCs w:val="26"/>
        </w:rPr>
        <w:t>(i)</w:t>
      </w:r>
      <w:r w:rsidRPr="006171FC">
        <w:rPr>
          <w:color w:val="auto"/>
          <w:szCs w:val="26"/>
        </w:rPr>
        <w:t xml:space="preserve">, evidencing Commission approval of the right of The York Water Company – Wastewater </w:t>
      </w:r>
      <w:r w:rsidR="00D71545" w:rsidRPr="006171FC">
        <w:rPr>
          <w:color w:val="auto"/>
          <w:szCs w:val="26"/>
        </w:rPr>
        <w:t>to begin to offer</w:t>
      </w:r>
      <w:r w:rsidR="004C7BD7" w:rsidRPr="006171FC">
        <w:rPr>
          <w:color w:val="auto"/>
          <w:szCs w:val="26"/>
        </w:rPr>
        <w:t>, render</w:t>
      </w:r>
      <w:r w:rsidR="00803B52" w:rsidRPr="006171FC">
        <w:rPr>
          <w:color w:val="auto"/>
          <w:szCs w:val="26"/>
        </w:rPr>
        <w:t>,</w:t>
      </w:r>
      <w:r w:rsidR="00D71545" w:rsidRPr="006171FC">
        <w:rPr>
          <w:color w:val="auto"/>
          <w:szCs w:val="26"/>
        </w:rPr>
        <w:t xml:space="preserve"> furnish </w:t>
      </w:r>
      <w:r w:rsidR="00AA68F3" w:rsidRPr="006171FC">
        <w:rPr>
          <w:color w:val="auto"/>
          <w:szCs w:val="26"/>
        </w:rPr>
        <w:t>and</w:t>
      </w:r>
      <w:r w:rsidR="004C7BD7" w:rsidRPr="006171FC">
        <w:rPr>
          <w:color w:val="auto"/>
          <w:szCs w:val="26"/>
        </w:rPr>
        <w:t xml:space="preserve"> supply</w:t>
      </w:r>
      <w:r w:rsidR="00D71545" w:rsidRPr="006171FC">
        <w:rPr>
          <w:color w:val="auto"/>
          <w:szCs w:val="26"/>
        </w:rPr>
        <w:t xml:space="preserve"> wastewater service to the public in a portion of </w:t>
      </w:r>
      <w:r w:rsidR="16324EBB" w:rsidRPr="006171FC">
        <w:rPr>
          <w:color w:val="auto"/>
          <w:szCs w:val="26"/>
        </w:rPr>
        <w:t>Straban</w:t>
      </w:r>
      <w:r w:rsidR="5C79BE9B" w:rsidRPr="006171FC">
        <w:rPr>
          <w:color w:val="auto"/>
          <w:szCs w:val="26"/>
        </w:rPr>
        <w:t xml:space="preserve"> Township</w:t>
      </w:r>
      <w:r w:rsidR="00D71545" w:rsidRPr="006171FC">
        <w:rPr>
          <w:color w:val="auto"/>
          <w:szCs w:val="26"/>
        </w:rPr>
        <w:t>, York County, Pennsylvania</w:t>
      </w:r>
      <w:r w:rsidR="00F17FEB" w:rsidRPr="006171FC">
        <w:rPr>
          <w:color w:val="auto"/>
          <w:szCs w:val="26"/>
        </w:rPr>
        <w:t>,</w:t>
      </w:r>
      <w:r w:rsidR="00D71545" w:rsidRPr="006171FC">
        <w:rPr>
          <w:color w:val="auto"/>
          <w:szCs w:val="26"/>
        </w:rPr>
        <w:t xml:space="preserve"> consistent with </w:t>
      </w:r>
      <w:r w:rsidR="00D33AA9" w:rsidRPr="006171FC">
        <w:rPr>
          <w:color w:val="auto"/>
          <w:szCs w:val="26"/>
        </w:rPr>
        <w:t>the</w:t>
      </w:r>
      <w:r w:rsidR="00D71545" w:rsidRPr="006171FC">
        <w:rPr>
          <w:color w:val="auto"/>
          <w:szCs w:val="26"/>
        </w:rPr>
        <w:t xml:space="preserve"> wastewater service territory map, written description and quantified area to be provided in Ordering Paragraph</w:t>
      </w:r>
      <w:r w:rsidR="00CF6699">
        <w:rPr>
          <w:color w:val="auto"/>
          <w:szCs w:val="26"/>
        </w:rPr>
        <w:t xml:space="preserve"> No.</w:t>
      </w:r>
      <w:r w:rsidR="00C04273" w:rsidRPr="006171FC">
        <w:rPr>
          <w:color w:val="auto"/>
          <w:szCs w:val="26"/>
        </w:rPr>
        <w:t xml:space="preserve"> 2</w:t>
      </w:r>
      <w:r w:rsidR="00E755C9" w:rsidRPr="006171FC">
        <w:rPr>
          <w:color w:val="auto"/>
          <w:szCs w:val="26"/>
        </w:rPr>
        <w:t>.</w:t>
      </w:r>
    </w:p>
    <w:p w14:paraId="7E353B9E" w14:textId="2015D9A2" w:rsidR="009519FB" w:rsidRPr="006171FC" w:rsidRDefault="00D71545" w:rsidP="009519FB">
      <w:pPr>
        <w:pStyle w:val="BodyTextIndent"/>
        <w:numPr>
          <w:ilvl w:val="0"/>
          <w:numId w:val="17"/>
        </w:numPr>
        <w:tabs>
          <w:tab w:val="left" w:pos="0"/>
        </w:tabs>
        <w:spacing w:after="240"/>
        <w:ind w:left="0" w:firstLine="720"/>
        <w:rPr>
          <w:color w:val="auto"/>
          <w:szCs w:val="26"/>
        </w:rPr>
      </w:pPr>
      <w:r w:rsidRPr="006171FC">
        <w:rPr>
          <w:color w:val="auto"/>
          <w:szCs w:val="26"/>
        </w:rPr>
        <w:t xml:space="preserve">That The York Water Company – Wastewater shall file a tariff supplement with the Secretary’s Bureau incorporating a portion of Straban Township in its wastewater service territory, consistent with the </w:t>
      </w:r>
      <w:r w:rsidRPr="006171FC">
        <w:rPr>
          <w:i/>
          <w:color w:val="auto"/>
          <w:szCs w:val="26"/>
        </w:rPr>
        <w:t>pro</w:t>
      </w:r>
      <w:r w:rsidR="77747E66" w:rsidRPr="006171FC">
        <w:rPr>
          <w:i/>
          <w:color w:val="auto"/>
          <w:szCs w:val="26"/>
        </w:rPr>
        <w:t xml:space="preserve"> </w:t>
      </w:r>
      <w:r w:rsidRPr="006171FC">
        <w:rPr>
          <w:i/>
          <w:color w:val="auto"/>
          <w:szCs w:val="26"/>
        </w:rPr>
        <w:t>forma</w:t>
      </w:r>
      <w:r w:rsidRPr="006171FC">
        <w:rPr>
          <w:color w:val="auto"/>
          <w:szCs w:val="26"/>
        </w:rPr>
        <w:t xml:space="preserve"> tariff supplement provided in the Application’s supplemental information, within ten </w:t>
      </w:r>
      <w:r w:rsidR="0006ABB5" w:rsidRPr="006171FC">
        <w:rPr>
          <w:color w:val="auto"/>
          <w:szCs w:val="26"/>
        </w:rPr>
        <w:t xml:space="preserve">(10) </w:t>
      </w:r>
      <w:r w:rsidRPr="006171FC">
        <w:rPr>
          <w:color w:val="auto"/>
          <w:szCs w:val="26"/>
        </w:rPr>
        <w:t xml:space="preserve">days following the date of </w:t>
      </w:r>
      <w:r w:rsidR="11EB36D4" w:rsidRPr="006171FC">
        <w:rPr>
          <w:color w:val="auto"/>
          <w:szCs w:val="26"/>
        </w:rPr>
        <w:t>the notice described in Ordering Paragraph No. 3 of this Order</w:t>
      </w:r>
      <w:r w:rsidRPr="006171FC">
        <w:rPr>
          <w:color w:val="auto"/>
          <w:szCs w:val="26"/>
        </w:rPr>
        <w:t xml:space="preserve">, to become effective on one </w:t>
      </w:r>
      <w:r w:rsidR="01283CBC" w:rsidRPr="006171FC">
        <w:rPr>
          <w:color w:val="auto"/>
          <w:szCs w:val="26"/>
        </w:rPr>
        <w:t xml:space="preserve">(1) </w:t>
      </w:r>
      <w:r w:rsidR="73ED4F75" w:rsidRPr="006171FC">
        <w:rPr>
          <w:color w:val="auto"/>
          <w:szCs w:val="26"/>
        </w:rPr>
        <w:t>day’s</w:t>
      </w:r>
      <w:r w:rsidRPr="006171FC">
        <w:rPr>
          <w:color w:val="auto"/>
          <w:szCs w:val="26"/>
        </w:rPr>
        <w:t xml:space="preserve"> notice.</w:t>
      </w:r>
    </w:p>
    <w:p w14:paraId="3AA27E1F" w14:textId="2B14E9CE" w:rsidR="55FEF68C" w:rsidRPr="006171FC" w:rsidRDefault="55FEF68C" w:rsidP="20D80C5C">
      <w:pPr>
        <w:pStyle w:val="BodyTextIndent"/>
        <w:numPr>
          <w:ilvl w:val="0"/>
          <w:numId w:val="17"/>
        </w:numPr>
        <w:spacing w:after="240"/>
        <w:ind w:left="0" w:firstLine="720"/>
        <w:rPr>
          <w:color w:val="auto"/>
          <w:szCs w:val="26"/>
        </w:rPr>
      </w:pPr>
      <w:r w:rsidRPr="006171FC">
        <w:rPr>
          <w:color w:val="auto"/>
          <w:szCs w:val="26"/>
        </w:rPr>
        <w:t xml:space="preserve">That The York Water Company – Wastewater shall file copies of its original cost study of the wastewater system assets acquired from CCD Rock Creek LLC with the Secretary’s Bureau, the Bureau of Audits, the Bureau of Technical Utility </w:t>
      </w:r>
      <w:r w:rsidRPr="006171FC">
        <w:rPr>
          <w:color w:val="auto"/>
          <w:szCs w:val="26"/>
        </w:rPr>
        <w:lastRenderedPageBreak/>
        <w:t>Services, the B</w:t>
      </w:r>
      <w:r w:rsidR="227351FB" w:rsidRPr="006171FC">
        <w:rPr>
          <w:color w:val="auto"/>
          <w:szCs w:val="26"/>
        </w:rPr>
        <w:t>u</w:t>
      </w:r>
      <w:r w:rsidRPr="006171FC">
        <w:rPr>
          <w:color w:val="auto"/>
          <w:szCs w:val="26"/>
        </w:rPr>
        <w:t>reau of Investigation and Enforcement, the Office of Consumer Advocate and the Office of Small Bu</w:t>
      </w:r>
      <w:r w:rsidR="5D27ADF8" w:rsidRPr="006171FC">
        <w:rPr>
          <w:color w:val="auto"/>
          <w:szCs w:val="26"/>
        </w:rPr>
        <w:t>siness Advocate upon completion of said study at this docket.</w:t>
      </w:r>
    </w:p>
    <w:p w14:paraId="680FA798" w14:textId="6AD43F34" w:rsidR="04AE4D8F" w:rsidRPr="006171FC" w:rsidRDefault="04AE4D8F" w:rsidP="163EA9CD">
      <w:pPr>
        <w:pStyle w:val="BodyTextIndent"/>
        <w:numPr>
          <w:ilvl w:val="0"/>
          <w:numId w:val="17"/>
        </w:numPr>
        <w:spacing w:after="240"/>
        <w:ind w:left="0" w:firstLine="720"/>
        <w:rPr>
          <w:color w:val="auto"/>
          <w:szCs w:val="26"/>
        </w:rPr>
      </w:pPr>
      <w:r w:rsidRPr="006171FC">
        <w:rPr>
          <w:color w:val="auto"/>
          <w:szCs w:val="26"/>
        </w:rPr>
        <w:t>That, at the time of filing its next base rate case, if The York Water Company – Wastewater proposes to include the assets of this acquisition in rate base, The York Water Company – Wastewater shall provide testimony that specifically references Docket No. A-20</w:t>
      </w:r>
      <w:r w:rsidR="00EA0065" w:rsidRPr="006171FC">
        <w:rPr>
          <w:color w:val="auto"/>
          <w:szCs w:val="26"/>
        </w:rPr>
        <w:t>19</w:t>
      </w:r>
      <w:r w:rsidRPr="006171FC">
        <w:rPr>
          <w:color w:val="auto"/>
          <w:szCs w:val="26"/>
        </w:rPr>
        <w:t>-3014022 and that justifies any amount claimed as an addition to rate base, in order to evaluate the reasonableness of the original cost, contributions, accumulated depreciation, and any utility plant acquisition adjustment claims pursuant to Section 1327 of the Public Utility Code, 66 Pa. C.S. § 1327.</w:t>
      </w:r>
    </w:p>
    <w:p w14:paraId="2A6EF1F8" w14:textId="61CC9605" w:rsidR="00DA697E" w:rsidRPr="006171FC" w:rsidRDefault="00DA697E" w:rsidP="163EA9CD">
      <w:pPr>
        <w:pStyle w:val="BodyTextIndent"/>
        <w:numPr>
          <w:ilvl w:val="0"/>
          <w:numId w:val="17"/>
        </w:numPr>
        <w:spacing w:after="240"/>
        <w:ind w:left="0" w:firstLine="720"/>
        <w:rPr>
          <w:color w:val="auto"/>
          <w:szCs w:val="26"/>
        </w:rPr>
      </w:pPr>
      <w:r w:rsidRPr="006171FC">
        <w:rPr>
          <w:color w:val="auto"/>
          <w:szCs w:val="26"/>
        </w:rPr>
        <w:t xml:space="preserve">That if The York Water Company </w:t>
      </w:r>
      <w:r w:rsidR="00E70087" w:rsidRPr="006171FC">
        <w:rPr>
          <w:color w:val="auto"/>
          <w:szCs w:val="26"/>
        </w:rPr>
        <w:t xml:space="preserve">– Wastewater </w:t>
      </w:r>
      <w:r w:rsidRPr="006171FC">
        <w:rPr>
          <w:color w:val="auto"/>
          <w:szCs w:val="26"/>
        </w:rPr>
        <w:t xml:space="preserve">determines that the transaction will not occur, they will promptly file notice of such a determination with the Secretary’s Bureau and return the Certificate of Public Convenience issued in Ordering Paragraph </w:t>
      </w:r>
      <w:r w:rsidR="00CF6699">
        <w:rPr>
          <w:color w:val="auto"/>
          <w:szCs w:val="26"/>
        </w:rPr>
        <w:t xml:space="preserve">No. </w:t>
      </w:r>
      <w:r w:rsidRPr="006171FC">
        <w:rPr>
          <w:color w:val="auto"/>
          <w:szCs w:val="26"/>
        </w:rPr>
        <w:t>2.</w:t>
      </w:r>
    </w:p>
    <w:p w14:paraId="21338DBA" w14:textId="51D0D257" w:rsidR="009519FB" w:rsidRPr="006171FC" w:rsidRDefault="009519FB" w:rsidP="009519FB">
      <w:pPr>
        <w:pStyle w:val="BodyTextIndent"/>
        <w:numPr>
          <w:ilvl w:val="0"/>
          <w:numId w:val="17"/>
        </w:numPr>
        <w:tabs>
          <w:tab w:val="left" w:pos="0"/>
        </w:tabs>
        <w:spacing w:after="240"/>
        <w:ind w:left="0" w:firstLine="720"/>
        <w:rPr>
          <w:color w:val="auto"/>
          <w:szCs w:val="26"/>
        </w:rPr>
      </w:pPr>
      <w:r w:rsidRPr="006171FC">
        <w:rPr>
          <w:color w:val="auto"/>
          <w:szCs w:val="26"/>
        </w:rPr>
        <w:t>That nothing herein shall be construed as an approval or determination of costs or expenses for the purposes of just or reasonable rates or to exempt The York Water Company – Wastewater from obtaining all necessary permits, licenses, and approvals from other federal, state, and local government agencies having jurisdiction.</w:t>
      </w:r>
    </w:p>
    <w:p w14:paraId="67E6C71A" w14:textId="477D4ED9" w:rsidR="00954D38" w:rsidRDefault="009519FB" w:rsidP="00A467FC">
      <w:pPr>
        <w:pStyle w:val="BodyTextIndent"/>
        <w:numPr>
          <w:ilvl w:val="0"/>
          <w:numId w:val="17"/>
        </w:numPr>
        <w:tabs>
          <w:tab w:val="left" w:pos="0"/>
        </w:tabs>
        <w:spacing w:after="240"/>
        <w:ind w:left="0" w:firstLine="720"/>
        <w:rPr>
          <w:color w:val="auto"/>
          <w:szCs w:val="26"/>
        </w:rPr>
      </w:pPr>
      <w:r w:rsidRPr="006171FC">
        <w:rPr>
          <w:color w:val="auto"/>
          <w:szCs w:val="26"/>
        </w:rPr>
        <w:t xml:space="preserve">That a copy of this Order be served upon The York Water Company – Wastewater, the Pennsylvania Public Utility Commission’s Bureau of Investigation and Enforcement, the Office of Consumer Advocate, the Office of Small Business Advocate, the Pennsylvania Department of Revenue, the Straban Township Board of Supervisors, the Straban </w:t>
      </w:r>
      <w:r w:rsidR="008C7ACA" w:rsidRPr="006171FC">
        <w:rPr>
          <w:color w:val="auto"/>
          <w:szCs w:val="26"/>
        </w:rPr>
        <w:t xml:space="preserve">Township </w:t>
      </w:r>
      <w:r w:rsidRPr="006171FC">
        <w:rPr>
          <w:color w:val="auto"/>
          <w:szCs w:val="26"/>
        </w:rPr>
        <w:t xml:space="preserve">Planning Commission, the Adams County Commissioners, the Adams County Planning Commission and the Department of Environmental Protection - </w:t>
      </w:r>
      <w:r w:rsidR="69F8ED35" w:rsidRPr="006171FC">
        <w:rPr>
          <w:color w:val="auto"/>
          <w:szCs w:val="26"/>
        </w:rPr>
        <w:t>Southcentral</w:t>
      </w:r>
      <w:r w:rsidRPr="006171FC">
        <w:rPr>
          <w:color w:val="auto"/>
          <w:szCs w:val="26"/>
        </w:rPr>
        <w:t xml:space="preserve"> Regional Office and its Central Office Bureau of Regulatory Counsel.</w:t>
      </w:r>
    </w:p>
    <w:p w14:paraId="2D46C24F" w14:textId="77777777" w:rsidR="00954D38" w:rsidRDefault="00954D38">
      <w:pPr>
        <w:rPr>
          <w:color w:val="auto"/>
          <w:szCs w:val="26"/>
        </w:rPr>
      </w:pPr>
      <w:r>
        <w:rPr>
          <w:color w:val="auto"/>
          <w:szCs w:val="26"/>
        </w:rPr>
        <w:br w:type="page"/>
      </w:r>
    </w:p>
    <w:p w14:paraId="06E1A44C" w14:textId="51E7086D" w:rsidR="009519FB" w:rsidRPr="006171FC" w:rsidRDefault="009519FB" w:rsidP="009519FB">
      <w:pPr>
        <w:pStyle w:val="BodyTextIndent"/>
        <w:numPr>
          <w:ilvl w:val="0"/>
          <w:numId w:val="17"/>
        </w:numPr>
        <w:tabs>
          <w:tab w:val="left" w:pos="0"/>
        </w:tabs>
        <w:spacing w:after="240"/>
        <w:ind w:left="0" w:firstLine="720"/>
        <w:rPr>
          <w:color w:val="auto"/>
          <w:szCs w:val="26"/>
        </w:rPr>
      </w:pPr>
      <w:r w:rsidRPr="006171FC">
        <w:rPr>
          <w:color w:val="auto"/>
          <w:szCs w:val="26"/>
        </w:rPr>
        <w:lastRenderedPageBreak/>
        <w:t xml:space="preserve">That the proceeding at Docket No. A-2019-3014022 be closed upon the issuance of the Certificate of Public Convenience pursuant to Ordering Paragraph No. </w:t>
      </w:r>
      <w:r w:rsidR="00003981" w:rsidRPr="006171FC">
        <w:rPr>
          <w:color w:val="auto"/>
          <w:szCs w:val="26"/>
        </w:rPr>
        <w:t>4</w:t>
      </w:r>
      <w:r w:rsidRPr="006171FC">
        <w:rPr>
          <w:color w:val="auto"/>
          <w:szCs w:val="26"/>
        </w:rPr>
        <w:t>.</w:t>
      </w:r>
    </w:p>
    <w:p w14:paraId="48F2B21B" w14:textId="6E6038D4" w:rsidR="0014203C" w:rsidRPr="006171FC" w:rsidRDefault="003C1D09" w:rsidP="0014203C">
      <w:pPr>
        <w:tabs>
          <w:tab w:val="left" w:pos="4320"/>
        </w:tabs>
        <w:spacing w:line="360" w:lineRule="auto"/>
        <w:ind w:firstLine="4320"/>
        <w:rPr>
          <w:color w:val="auto"/>
          <w:szCs w:val="26"/>
        </w:rPr>
      </w:pPr>
      <w:bookmarkStart w:id="4" w:name="_GoBack"/>
      <w:r w:rsidRPr="009F01BA">
        <w:rPr>
          <w:b/>
          <w:noProof/>
          <w:sz w:val="20"/>
        </w:rPr>
        <w:drawing>
          <wp:anchor distT="0" distB="0" distL="114300" distR="114300" simplePos="0" relativeHeight="251659264" behindDoc="1" locked="0" layoutInCell="1" allowOverlap="1" wp14:anchorId="6C889765" wp14:editId="3B75889B">
            <wp:simplePos x="0" y="0"/>
            <wp:positionH relativeFrom="column">
              <wp:posOffset>2533650</wp:posOffset>
            </wp:positionH>
            <wp:positionV relativeFrom="paragraph">
              <wp:posOffset>132080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
      <w:r w:rsidR="000F5B21" w:rsidRPr="006171FC">
        <w:rPr>
          <w:b/>
          <w:color w:val="auto"/>
          <w:szCs w:val="26"/>
        </w:rPr>
        <w:t>BY THE COMMISSION,</w:t>
      </w:r>
    </w:p>
    <w:p w14:paraId="653CC4BE" w14:textId="7B831241" w:rsidR="0014203C" w:rsidRPr="006171FC" w:rsidRDefault="003C1D09" w:rsidP="003C1D09">
      <w:pPr>
        <w:tabs>
          <w:tab w:val="left" w:pos="4320"/>
          <w:tab w:val="left" w:pos="5475"/>
        </w:tabs>
        <w:spacing w:line="360" w:lineRule="auto"/>
        <w:ind w:firstLine="4320"/>
        <w:rPr>
          <w:color w:val="auto"/>
          <w:szCs w:val="26"/>
        </w:rPr>
      </w:pPr>
      <w:r>
        <w:rPr>
          <w:color w:val="auto"/>
          <w:szCs w:val="26"/>
        </w:rPr>
        <w:tab/>
      </w:r>
    </w:p>
    <w:p w14:paraId="344A557B" w14:textId="2E636A22" w:rsidR="0014203C" w:rsidRPr="006171FC" w:rsidRDefault="0014203C" w:rsidP="0014203C">
      <w:pPr>
        <w:tabs>
          <w:tab w:val="left" w:pos="4320"/>
        </w:tabs>
        <w:spacing w:line="360" w:lineRule="auto"/>
        <w:ind w:firstLine="4320"/>
        <w:rPr>
          <w:color w:val="auto"/>
          <w:szCs w:val="26"/>
        </w:rPr>
      </w:pPr>
    </w:p>
    <w:p w14:paraId="514DB49E" w14:textId="77777777" w:rsidR="000F5B21" w:rsidRPr="006171FC" w:rsidRDefault="00153236" w:rsidP="0014203C">
      <w:pPr>
        <w:tabs>
          <w:tab w:val="left" w:pos="4320"/>
        </w:tabs>
        <w:spacing w:line="360" w:lineRule="auto"/>
        <w:rPr>
          <w:color w:val="auto"/>
          <w:szCs w:val="26"/>
        </w:rPr>
      </w:pPr>
      <w:r w:rsidRPr="006171FC">
        <w:rPr>
          <w:color w:val="auto"/>
          <w:szCs w:val="26"/>
        </w:rPr>
        <w:tab/>
      </w:r>
      <w:r w:rsidR="000F5B21" w:rsidRPr="006171FC">
        <w:rPr>
          <w:color w:val="auto"/>
          <w:szCs w:val="26"/>
        </w:rPr>
        <w:t>Rosemary Chiavetta</w:t>
      </w:r>
    </w:p>
    <w:p w14:paraId="2D16EA1D" w14:textId="77777777" w:rsidR="000F5B21" w:rsidRPr="006171FC" w:rsidRDefault="000F5B21" w:rsidP="0014203C">
      <w:pPr>
        <w:tabs>
          <w:tab w:val="left" w:pos="4320"/>
        </w:tabs>
        <w:spacing w:after="240" w:line="360" w:lineRule="auto"/>
        <w:ind w:firstLine="4320"/>
        <w:rPr>
          <w:color w:val="auto"/>
          <w:szCs w:val="26"/>
        </w:rPr>
      </w:pPr>
      <w:r w:rsidRPr="006171FC">
        <w:rPr>
          <w:color w:val="auto"/>
          <w:szCs w:val="26"/>
        </w:rPr>
        <w:t>Secretary</w:t>
      </w:r>
    </w:p>
    <w:p w14:paraId="632036C5" w14:textId="77777777" w:rsidR="006D2127" w:rsidRPr="006171FC" w:rsidRDefault="000F5B21" w:rsidP="004A7BEF">
      <w:pPr>
        <w:tabs>
          <w:tab w:val="left" w:pos="4320"/>
        </w:tabs>
        <w:spacing w:after="240" w:line="360" w:lineRule="auto"/>
        <w:rPr>
          <w:color w:val="auto"/>
          <w:szCs w:val="26"/>
        </w:rPr>
      </w:pPr>
      <w:r w:rsidRPr="006171FC">
        <w:rPr>
          <w:color w:val="auto"/>
          <w:szCs w:val="26"/>
        </w:rPr>
        <w:t>(SEAL)</w:t>
      </w:r>
    </w:p>
    <w:p w14:paraId="65E21468" w14:textId="60E2260D" w:rsidR="000F5B21" w:rsidRPr="006171FC" w:rsidRDefault="00560BB4" w:rsidP="006D2127">
      <w:pPr>
        <w:tabs>
          <w:tab w:val="left" w:pos="4320"/>
        </w:tabs>
        <w:spacing w:before="240" w:line="360" w:lineRule="auto"/>
        <w:rPr>
          <w:color w:val="auto"/>
          <w:szCs w:val="26"/>
        </w:rPr>
      </w:pPr>
      <w:r w:rsidRPr="006171FC">
        <w:rPr>
          <w:color w:val="auto"/>
          <w:szCs w:val="26"/>
        </w:rPr>
        <w:t xml:space="preserve">ORDER ADOPTED:  </w:t>
      </w:r>
      <w:r w:rsidR="2D26BA1C" w:rsidRPr="006171FC">
        <w:rPr>
          <w:color w:val="auto"/>
          <w:szCs w:val="26"/>
        </w:rPr>
        <w:t>September 17, 2020</w:t>
      </w:r>
    </w:p>
    <w:p w14:paraId="4C14D26E" w14:textId="21497AE0" w:rsidR="006171FC" w:rsidRPr="006171FC" w:rsidRDefault="00560BB4">
      <w:pPr>
        <w:tabs>
          <w:tab w:val="left" w:pos="4320"/>
        </w:tabs>
        <w:spacing w:line="360" w:lineRule="auto"/>
        <w:rPr>
          <w:color w:val="auto"/>
          <w:szCs w:val="26"/>
        </w:rPr>
      </w:pPr>
      <w:r w:rsidRPr="006171FC">
        <w:rPr>
          <w:color w:val="auto"/>
          <w:szCs w:val="26"/>
        </w:rPr>
        <w:t xml:space="preserve">ORDER ENTERED:  </w:t>
      </w:r>
      <w:r w:rsidR="003C1D09">
        <w:rPr>
          <w:color w:val="auto"/>
          <w:szCs w:val="26"/>
        </w:rPr>
        <w:t>September 17, 2020</w:t>
      </w:r>
    </w:p>
    <w:sectPr w:rsidR="006171FC" w:rsidRPr="006171FC" w:rsidSect="00592BBE">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43E60" w14:textId="77777777" w:rsidR="00993345" w:rsidRDefault="00993345">
      <w:r>
        <w:separator/>
      </w:r>
    </w:p>
  </w:endnote>
  <w:endnote w:type="continuationSeparator" w:id="0">
    <w:p w14:paraId="7C345E06" w14:textId="77777777" w:rsidR="00993345" w:rsidRDefault="00993345">
      <w:r>
        <w:continuationSeparator/>
      </w:r>
    </w:p>
  </w:endnote>
  <w:endnote w:type="continuationNotice" w:id="1">
    <w:p w14:paraId="51794A35" w14:textId="77777777" w:rsidR="00993345" w:rsidRDefault="00993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8F6AC" w14:textId="77777777" w:rsidR="00A92F43" w:rsidRDefault="00A92F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77BE466" w14:textId="77777777" w:rsidR="00A92F43" w:rsidRDefault="00A92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464E0" w14:textId="59183098" w:rsidR="00A92F43" w:rsidRPr="00821138" w:rsidRDefault="00A92F43">
    <w:pPr>
      <w:pStyle w:val="Footer"/>
      <w:framePr w:wrap="around" w:vAnchor="text" w:hAnchor="margin" w:xAlign="center" w:y="1"/>
      <w:rPr>
        <w:rStyle w:val="PageNumber"/>
        <w:b/>
      </w:rPr>
    </w:pPr>
    <w:r>
      <w:rPr>
        <w:rStyle w:val="PageNumber"/>
      </w:rPr>
      <w:fldChar w:fldCharType="begin"/>
    </w:r>
    <w:r>
      <w:rPr>
        <w:rStyle w:val="PageNumber"/>
      </w:rPr>
      <w:instrText xml:space="preserve">PAGE  </w:instrText>
    </w:r>
    <w:r>
      <w:rPr>
        <w:rStyle w:val="PageNumber"/>
      </w:rPr>
      <w:fldChar w:fldCharType="separate"/>
    </w:r>
    <w:r w:rsidR="005304C5">
      <w:rPr>
        <w:rStyle w:val="PageNumber"/>
        <w:noProof/>
      </w:rPr>
      <w:t>2</w:t>
    </w:r>
    <w:r>
      <w:rPr>
        <w:rStyle w:val="PageNumber"/>
      </w:rPr>
      <w:fldChar w:fldCharType="end"/>
    </w:r>
  </w:p>
  <w:p w14:paraId="078EA511" w14:textId="77777777" w:rsidR="00A92F43" w:rsidRPr="007B43F0" w:rsidRDefault="00A92F43" w:rsidP="00B4627A">
    <w:pPr>
      <w:pStyle w:val="Footer"/>
      <w:rPr>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A92F43" w14:paraId="0DF925F5" w14:textId="77777777" w:rsidTr="77C0561E">
      <w:tc>
        <w:tcPr>
          <w:tcW w:w="3120" w:type="dxa"/>
        </w:tcPr>
        <w:p w14:paraId="08287F02" w14:textId="7BD8E004" w:rsidR="00A92F43" w:rsidRDefault="00A92F43" w:rsidP="77C0561E">
          <w:pPr>
            <w:pStyle w:val="Header"/>
            <w:ind w:left="-115"/>
          </w:pPr>
        </w:p>
      </w:tc>
      <w:tc>
        <w:tcPr>
          <w:tcW w:w="3120" w:type="dxa"/>
        </w:tcPr>
        <w:p w14:paraId="0CE32AB9" w14:textId="7826629C" w:rsidR="00A92F43" w:rsidRDefault="00A92F43" w:rsidP="77C0561E">
          <w:pPr>
            <w:pStyle w:val="Header"/>
            <w:jc w:val="center"/>
          </w:pPr>
        </w:p>
      </w:tc>
      <w:tc>
        <w:tcPr>
          <w:tcW w:w="3120" w:type="dxa"/>
        </w:tcPr>
        <w:p w14:paraId="15864525" w14:textId="47545F86" w:rsidR="00A92F43" w:rsidRDefault="00A92F43" w:rsidP="77C0561E">
          <w:pPr>
            <w:pStyle w:val="Header"/>
            <w:ind w:right="-115"/>
            <w:jc w:val="right"/>
          </w:pPr>
        </w:p>
      </w:tc>
    </w:tr>
  </w:tbl>
  <w:p w14:paraId="2E78DD13" w14:textId="20319CE0" w:rsidR="00A92F43" w:rsidRDefault="00A92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C525D" w14:textId="77777777" w:rsidR="00993345" w:rsidRDefault="00993345">
      <w:r>
        <w:separator/>
      </w:r>
    </w:p>
  </w:footnote>
  <w:footnote w:type="continuationSeparator" w:id="0">
    <w:p w14:paraId="144A1186" w14:textId="77777777" w:rsidR="00993345" w:rsidRDefault="00993345">
      <w:r>
        <w:continuationSeparator/>
      </w:r>
    </w:p>
  </w:footnote>
  <w:footnote w:type="continuationNotice" w:id="1">
    <w:p w14:paraId="1FE12B63" w14:textId="77777777" w:rsidR="00993345" w:rsidRDefault="00993345"/>
  </w:footnote>
  <w:footnote w:id="2">
    <w:p w14:paraId="54062003" w14:textId="23853E52" w:rsidR="00FE2349" w:rsidRDefault="00FE2349">
      <w:pPr>
        <w:pStyle w:val="FootnoteText"/>
      </w:pPr>
      <w:r>
        <w:rPr>
          <w:rStyle w:val="FootnoteReference"/>
        </w:rPr>
        <w:footnoteRef/>
      </w:r>
      <w:r>
        <w:t xml:space="preserve"> </w:t>
      </w:r>
      <w:r w:rsidRPr="00FE2349">
        <w:rPr>
          <w:i/>
          <w:iCs/>
        </w:rPr>
        <w:t>See</w:t>
      </w:r>
      <w:r>
        <w:t xml:space="preserve"> </w:t>
      </w:r>
      <w:r w:rsidRPr="00FE2349">
        <w:t>Docket No. A-2019-3014024</w:t>
      </w:r>
      <w:r>
        <w:t>.</w:t>
      </w:r>
    </w:p>
  </w:footnote>
  <w:footnote w:id="3">
    <w:p w14:paraId="693E00D0" w14:textId="62205796" w:rsidR="00E84B5D" w:rsidRDefault="00E84B5D">
      <w:pPr>
        <w:pStyle w:val="FootnoteText"/>
      </w:pPr>
      <w:r>
        <w:rPr>
          <w:rStyle w:val="FootnoteReference"/>
        </w:rPr>
        <w:footnoteRef/>
      </w:r>
      <w:r>
        <w:t xml:space="preserve"> </w:t>
      </w:r>
      <w:r w:rsidRPr="008574EB">
        <w:rPr>
          <w:i/>
          <w:iCs/>
        </w:rPr>
        <w:t>Id.</w:t>
      </w:r>
      <w:r w:rsidR="008574EB">
        <w:t xml:space="preserve">, order entered </w:t>
      </w:r>
      <w:r w:rsidR="00757C39">
        <w:t>August 27, 2020.</w:t>
      </w:r>
    </w:p>
  </w:footnote>
  <w:footnote w:id="4">
    <w:p w14:paraId="264FADD5" w14:textId="2CEEEE56" w:rsidR="00A92F43" w:rsidRDefault="00A92F43" w:rsidP="00D9385D">
      <w:pPr>
        <w:pStyle w:val="FootnoteText"/>
      </w:pPr>
      <w:r w:rsidRPr="48B3FF2E">
        <w:rPr>
          <w:rStyle w:val="FootnoteReference"/>
        </w:rPr>
        <w:footnoteRef/>
      </w:r>
      <w:r>
        <w:t xml:space="preserve"> </w:t>
      </w:r>
      <w:r w:rsidRPr="133300DF">
        <w:rPr>
          <w:i/>
          <w:iCs/>
        </w:rPr>
        <w:t>See</w:t>
      </w:r>
      <w:r w:rsidRPr="133300DF">
        <w:t xml:space="preserve"> Ordering Paragraph 2.  This Certificate is intended to permit York-WW to acquire, among other things, necessary lands and land rights from Rock Creek.  </w:t>
      </w:r>
      <w:r w:rsidRPr="4B3BC6B7">
        <w:rPr>
          <w:i/>
          <w:iCs/>
        </w:rPr>
        <w:t>See also</w:t>
      </w:r>
      <w:r w:rsidRPr="4B3BC6B7">
        <w:t xml:space="preserve"> Ordering Paragraph 3, which requires notification upon closing of all transactions necessary to own and operate the wastewater system assets owned and/or operated by Rock Creek.</w:t>
      </w:r>
    </w:p>
  </w:footnote>
  <w:footnote w:id="5">
    <w:p w14:paraId="14E2309A" w14:textId="60CB4489" w:rsidR="00A92F43" w:rsidRDefault="00A92F43" w:rsidP="11FA46FD">
      <w:pPr>
        <w:pStyle w:val="FootnoteText"/>
        <w:rPr>
          <w:i/>
          <w:iCs/>
        </w:rPr>
      </w:pPr>
      <w:r w:rsidRPr="11FA46FD">
        <w:rPr>
          <w:rStyle w:val="FootnoteReference"/>
        </w:rPr>
        <w:footnoteRef/>
      </w:r>
      <w:r>
        <w:t xml:space="preserve"> </w:t>
      </w:r>
      <w:r w:rsidRPr="11FA46FD">
        <w:rPr>
          <w:i/>
          <w:iCs/>
        </w:rPr>
        <w:t xml:space="preserve">See </w:t>
      </w:r>
      <w:r w:rsidRPr="11FA46FD">
        <w:t xml:space="preserve">Ordering Paragraph </w:t>
      </w:r>
      <w:r>
        <w:t>7</w:t>
      </w:r>
      <w:r w:rsidRPr="11FA46FD">
        <w:t>.</w:t>
      </w:r>
    </w:p>
  </w:footnote>
  <w:footnote w:id="6">
    <w:p w14:paraId="74CDAA40" w14:textId="736BEFB5" w:rsidR="00A92F43" w:rsidRDefault="00A92F43" w:rsidP="536B48E9">
      <w:pPr>
        <w:pStyle w:val="FootnoteText"/>
      </w:pPr>
      <w:r w:rsidRPr="536B48E9">
        <w:rPr>
          <w:rStyle w:val="FootnoteReference"/>
        </w:rPr>
        <w:footnoteRef/>
      </w:r>
      <w:r>
        <w:t xml:space="preserve"> Note: </w:t>
      </w:r>
      <w:r w:rsidR="00981BE5">
        <w:t xml:space="preserve"> </w:t>
      </w:r>
      <w:r>
        <w:t>York-WW provided updated wastewater system construction costs for Phase 1 in supplemental information filed with the Commission of $4,082,745, as shown in Table 4 of this Order.</w:t>
      </w:r>
    </w:p>
  </w:footnote>
  <w:footnote w:id="7">
    <w:p w14:paraId="1A4C60D9" w14:textId="0701FDED" w:rsidR="00A92F43" w:rsidRDefault="00A92F43">
      <w:pPr>
        <w:pStyle w:val="FootnoteText"/>
      </w:pPr>
      <w:r>
        <w:rPr>
          <w:rStyle w:val="FootnoteReference"/>
        </w:rPr>
        <w:footnoteRef/>
      </w:r>
      <w:r>
        <w:t xml:space="preserve">  In supplemental information filed with the Commission, York-WW averred that for the purpose of this Application, York-WW assigned one EDU for each of the three proposed amenity buildings.  As noted above, the Planning Module referenced two community/recreational facilities.</w:t>
      </w:r>
    </w:p>
  </w:footnote>
  <w:footnote w:id="8">
    <w:p w14:paraId="19C9C64B" w14:textId="2B91D3D9" w:rsidR="00A92F43" w:rsidRPr="00B73475" w:rsidRDefault="00A92F43">
      <w:pPr>
        <w:pStyle w:val="FootnoteText"/>
      </w:pPr>
      <w:r>
        <w:rPr>
          <w:rStyle w:val="FootnoteReference"/>
        </w:rPr>
        <w:footnoteRef/>
      </w:r>
      <w:r>
        <w:t xml:space="preserve"> </w:t>
      </w:r>
      <w:r>
        <w:rPr>
          <w:i/>
          <w:iCs/>
        </w:rPr>
        <w:t>See</w:t>
      </w:r>
      <w:r>
        <w:t xml:space="preserve"> Ordering Paragraph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BBC29" w14:textId="719D0E0D" w:rsidR="00A92F43" w:rsidRDefault="00A92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EEE38" w14:textId="1EA55196" w:rsidR="00A92F43" w:rsidRPr="00385067" w:rsidRDefault="00A92F43" w:rsidP="00A43882">
    <w:pPr>
      <w:jc w:val="center"/>
      <w:rPr>
        <w:b/>
        <w:color w:val="auto"/>
        <w:szCs w:val="26"/>
      </w:rPr>
    </w:pPr>
    <w:r w:rsidRPr="00385067">
      <w:rPr>
        <w:b/>
        <w:color w:val="auto"/>
        <w:szCs w:val="26"/>
      </w:rPr>
      <w:t>PENNSYLVANIA</w:t>
    </w:r>
  </w:p>
  <w:p w14:paraId="30A598E9" w14:textId="77777777" w:rsidR="00A92F43" w:rsidRPr="00385067" w:rsidRDefault="00A92F43" w:rsidP="00A43882">
    <w:pPr>
      <w:jc w:val="center"/>
      <w:rPr>
        <w:b/>
        <w:color w:val="auto"/>
        <w:szCs w:val="26"/>
      </w:rPr>
    </w:pPr>
    <w:r w:rsidRPr="00385067">
      <w:rPr>
        <w:b/>
        <w:color w:val="auto"/>
        <w:szCs w:val="26"/>
      </w:rPr>
      <w:t>PUBLIC UTILITY COMMISSION</w:t>
    </w:r>
  </w:p>
  <w:p w14:paraId="6BE82893" w14:textId="2FCF4B3F" w:rsidR="00A92F43" w:rsidRDefault="00A92F43" w:rsidP="00385067">
    <w:pPr>
      <w:jc w:val="center"/>
    </w:pPr>
    <w:r w:rsidRPr="00385067">
      <w:rPr>
        <w:b/>
        <w:color w:val="auto"/>
        <w:szCs w:val="26"/>
      </w:rPr>
      <w:t>HARRISBURG, PA 17120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F1E70"/>
    <w:multiLevelType w:val="hybridMultilevel"/>
    <w:tmpl w:val="CA827C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71C54"/>
    <w:multiLevelType w:val="hybridMultilevel"/>
    <w:tmpl w:val="ED8EE340"/>
    <w:lvl w:ilvl="0" w:tplc="65FE43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EA17FD"/>
    <w:multiLevelType w:val="hybridMultilevel"/>
    <w:tmpl w:val="E5B6F5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3E70F80"/>
    <w:multiLevelType w:val="hybridMultilevel"/>
    <w:tmpl w:val="89D099F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E65E6D"/>
    <w:multiLevelType w:val="hybridMultilevel"/>
    <w:tmpl w:val="0BA038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7C67F4A">
      <w:start w:val="1"/>
      <w:numFmt w:val="decimal"/>
      <w:lvlText w:val="%3."/>
      <w:lvlJc w:val="left"/>
      <w:pPr>
        <w:ind w:left="187" w:hanging="187"/>
      </w:pPr>
      <w:rPr>
        <w:rFonts w:hint="default"/>
      </w:rPr>
    </w:lvl>
    <w:lvl w:ilvl="3" w:tplc="7A9C3A8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85D66"/>
    <w:multiLevelType w:val="hybridMultilevel"/>
    <w:tmpl w:val="014AD830"/>
    <w:lvl w:ilvl="0" w:tplc="0409000F">
      <w:start w:val="1"/>
      <w:numFmt w:val="decimal"/>
      <w:lvlText w:val="%1."/>
      <w:lvlJc w:val="left"/>
      <w:pPr>
        <w:ind w:left="567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405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32B034B2"/>
    <w:multiLevelType w:val="hybridMultilevel"/>
    <w:tmpl w:val="F904D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8198D"/>
    <w:multiLevelType w:val="hybridMultilevel"/>
    <w:tmpl w:val="9F0E7A74"/>
    <w:lvl w:ilvl="0" w:tplc="EA147E88">
      <w:start w:val="1"/>
      <w:numFmt w:val="upperRoman"/>
      <w:lvlText w:val="%1."/>
      <w:lvlJc w:val="left"/>
      <w:pPr>
        <w:ind w:left="720" w:hanging="720"/>
      </w:pPr>
      <w:rPr>
        <w:rFonts w:hint="default"/>
        <w:b/>
        <w:color w:val="auto"/>
      </w:rPr>
    </w:lvl>
    <w:lvl w:ilvl="1" w:tplc="04090019">
      <w:start w:val="1"/>
      <w:numFmt w:val="lowerLetter"/>
      <w:lvlText w:val="%2."/>
      <w:lvlJc w:val="left"/>
      <w:pPr>
        <w:ind w:left="1440" w:hanging="360"/>
      </w:pPr>
    </w:lvl>
    <w:lvl w:ilvl="2" w:tplc="579A18C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F6EE3"/>
    <w:multiLevelType w:val="hybridMultilevel"/>
    <w:tmpl w:val="109EC39C"/>
    <w:lvl w:ilvl="0" w:tplc="AA82AC6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982782"/>
    <w:multiLevelType w:val="hybridMultilevel"/>
    <w:tmpl w:val="26166460"/>
    <w:lvl w:ilvl="0" w:tplc="51CC7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CAF19E1"/>
    <w:multiLevelType w:val="singleLevel"/>
    <w:tmpl w:val="0622917A"/>
    <w:lvl w:ilvl="0">
      <w:start w:val="1"/>
      <w:numFmt w:val="decimal"/>
      <w:lvlText w:val="%1."/>
      <w:lvlJc w:val="left"/>
      <w:pPr>
        <w:tabs>
          <w:tab w:val="num" w:pos="1800"/>
        </w:tabs>
        <w:ind w:left="1800" w:hanging="360"/>
      </w:pPr>
      <w:rPr>
        <w:rFonts w:hint="default"/>
      </w:rPr>
    </w:lvl>
  </w:abstractNum>
  <w:abstractNum w:abstractNumId="11" w15:restartNumberingAfterBreak="0">
    <w:nsid w:val="54156157"/>
    <w:multiLevelType w:val="hybridMultilevel"/>
    <w:tmpl w:val="4D947EEA"/>
    <w:lvl w:ilvl="0" w:tplc="EA147E88">
      <w:start w:val="1"/>
      <w:numFmt w:val="upperRoman"/>
      <w:lvlText w:val="%1."/>
      <w:lvlJc w:val="left"/>
      <w:pPr>
        <w:ind w:left="720" w:hanging="720"/>
      </w:pPr>
      <w:rPr>
        <w:rFonts w:hint="default"/>
        <w:b/>
        <w:color w:val="auto"/>
      </w:rPr>
    </w:lvl>
    <w:lvl w:ilvl="1" w:tplc="04090019">
      <w:start w:val="1"/>
      <w:numFmt w:val="lowerLetter"/>
      <w:lvlText w:val="%2."/>
      <w:lvlJc w:val="left"/>
      <w:pPr>
        <w:ind w:left="1440" w:hanging="360"/>
      </w:pPr>
    </w:lvl>
    <w:lvl w:ilvl="2" w:tplc="579A18C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767787"/>
    <w:multiLevelType w:val="hybridMultilevel"/>
    <w:tmpl w:val="B622C38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10B3427"/>
    <w:multiLevelType w:val="hybridMultilevel"/>
    <w:tmpl w:val="DBD067CA"/>
    <w:lvl w:ilvl="0" w:tplc="A48E6172">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F782C8C"/>
    <w:multiLevelType w:val="hybridMultilevel"/>
    <w:tmpl w:val="DB4A643A"/>
    <w:lvl w:ilvl="0" w:tplc="EA147E88">
      <w:start w:val="1"/>
      <w:numFmt w:val="upperRoman"/>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023C7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2377C87"/>
    <w:multiLevelType w:val="hybridMultilevel"/>
    <w:tmpl w:val="160045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AE7EB8"/>
    <w:multiLevelType w:val="hybridMultilevel"/>
    <w:tmpl w:val="6A4C716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9E465B7"/>
    <w:multiLevelType w:val="hybridMultilevel"/>
    <w:tmpl w:val="FFFFFFFF"/>
    <w:lvl w:ilvl="0" w:tplc="BF802DF0">
      <w:start w:val="1"/>
      <w:numFmt w:val="decimal"/>
      <w:lvlText w:val="%1."/>
      <w:lvlJc w:val="left"/>
      <w:pPr>
        <w:ind w:left="720" w:hanging="360"/>
      </w:pPr>
    </w:lvl>
    <w:lvl w:ilvl="1" w:tplc="B1D816EA">
      <w:start w:val="1"/>
      <w:numFmt w:val="lowerLetter"/>
      <w:lvlText w:val="%2."/>
      <w:lvlJc w:val="left"/>
      <w:pPr>
        <w:ind w:left="1440" w:hanging="360"/>
      </w:pPr>
    </w:lvl>
    <w:lvl w:ilvl="2" w:tplc="90F81E4E">
      <w:start w:val="1"/>
      <w:numFmt w:val="lowerRoman"/>
      <w:lvlText w:val="%3."/>
      <w:lvlJc w:val="right"/>
      <w:pPr>
        <w:ind w:left="2160" w:hanging="180"/>
      </w:pPr>
    </w:lvl>
    <w:lvl w:ilvl="3" w:tplc="F09879C4">
      <w:start w:val="1"/>
      <w:numFmt w:val="decimal"/>
      <w:lvlText w:val="%4."/>
      <w:lvlJc w:val="left"/>
      <w:pPr>
        <w:ind w:left="2880" w:hanging="360"/>
      </w:pPr>
    </w:lvl>
    <w:lvl w:ilvl="4" w:tplc="AFA6F8BC">
      <w:start w:val="1"/>
      <w:numFmt w:val="lowerLetter"/>
      <w:lvlText w:val="%5."/>
      <w:lvlJc w:val="left"/>
      <w:pPr>
        <w:ind w:left="3600" w:hanging="360"/>
      </w:pPr>
    </w:lvl>
    <w:lvl w:ilvl="5" w:tplc="F2E28610">
      <w:start w:val="1"/>
      <w:numFmt w:val="lowerRoman"/>
      <w:lvlText w:val="%6."/>
      <w:lvlJc w:val="right"/>
      <w:pPr>
        <w:ind w:left="4320" w:hanging="180"/>
      </w:pPr>
    </w:lvl>
    <w:lvl w:ilvl="6" w:tplc="972CFAE8">
      <w:start w:val="1"/>
      <w:numFmt w:val="decimal"/>
      <w:lvlText w:val="%7."/>
      <w:lvlJc w:val="left"/>
      <w:pPr>
        <w:ind w:left="5040" w:hanging="360"/>
      </w:pPr>
    </w:lvl>
    <w:lvl w:ilvl="7" w:tplc="24F40C56">
      <w:start w:val="1"/>
      <w:numFmt w:val="lowerLetter"/>
      <w:lvlText w:val="%8."/>
      <w:lvlJc w:val="left"/>
      <w:pPr>
        <w:ind w:left="5760" w:hanging="360"/>
      </w:pPr>
    </w:lvl>
    <w:lvl w:ilvl="8" w:tplc="9326B47A">
      <w:start w:val="1"/>
      <w:numFmt w:val="lowerRoman"/>
      <w:lvlText w:val="%9."/>
      <w:lvlJc w:val="right"/>
      <w:pPr>
        <w:ind w:left="6480" w:hanging="180"/>
      </w:pPr>
    </w:lvl>
  </w:abstractNum>
  <w:num w:numId="1">
    <w:abstractNumId w:val="10"/>
  </w:num>
  <w:num w:numId="2">
    <w:abstractNumId w:val="9"/>
  </w:num>
  <w:num w:numId="3">
    <w:abstractNumId w:val="1"/>
  </w:num>
  <w:num w:numId="4">
    <w:abstractNumId w:val="13"/>
  </w:num>
  <w:num w:numId="5">
    <w:abstractNumId w:val="7"/>
  </w:num>
  <w:num w:numId="6">
    <w:abstractNumId w:val="2"/>
  </w:num>
  <w:num w:numId="7">
    <w:abstractNumId w:val="6"/>
  </w:num>
  <w:num w:numId="8">
    <w:abstractNumId w:val="0"/>
  </w:num>
  <w:num w:numId="9">
    <w:abstractNumId w:val="16"/>
  </w:num>
  <w:num w:numId="10">
    <w:abstractNumId w:val="3"/>
  </w:num>
  <w:num w:numId="11">
    <w:abstractNumId w:val="12"/>
  </w:num>
  <w:num w:numId="12">
    <w:abstractNumId w:val="17"/>
  </w:num>
  <w:num w:numId="13">
    <w:abstractNumId w:val="4"/>
  </w:num>
  <w:num w:numId="14">
    <w:abstractNumId w:val="11"/>
  </w:num>
  <w:num w:numId="15">
    <w:abstractNumId w:val="14"/>
  </w:num>
  <w:num w:numId="16">
    <w:abstractNumId w:val="8"/>
  </w:num>
  <w:num w:numId="17">
    <w:abstractNumId w:val="5"/>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29"/>
    <w:rsid w:val="00000196"/>
    <w:rsid w:val="000003FE"/>
    <w:rsid w:val="0000051D"/>
    <w:rsid w:val="00000C9D"/>
    <w:rsid w:val="00000CA0"/>
    <w:rsid w:val="00000F64"/>
    <w:rsid w:val="00001021"/>
    <w:rsid w:val="00002599"/>
    <w:rsid w:val="00002E53"/>
    <w:rsid w:val="00002F0A"/>
    <w:rsid w:val="0000331D"/>
    <w:rsid w:val="00003981"/>
    <w:rsid w:val="00003E44"/>
    <w:rsid w:val="0000438F"/>
    <w:rsid w:val="00004639"/>
    <w:rsid w:val="00004891"/>
    <w:rsid w:val="0000561D"/>
    <w:rsid w:val="000056A2"/>
    <w:rsid w:val="00005ECE"/>
    <w:rsid w:val="00006A90"/>
    <w:rsid w:val="000076C7"/>
    <w:rsid w:val="000077DB"/>
    <w:rsid w:val="00007A41"/>
    <w:rsid w:val="00007E4B"/>
    <w:rsid w:val="0001030F"/>
    <w:rsid w:val="000103C4"/>
    <w:rsid w:val="000104C3"/>
    <w:rsid w:val="00010790"/>
    <w:rsid w:val="0001136E"/>
    <w:rsid w:val="00011823"/>
    <w:rsid w:val="00011AB0"/>
    <w:rsid w:val="00011CF6"/>
    <w:rsid w:val="0001217D"/>
    <w:rsid w:val="000121B2"/>
    <w:rsid w:val="00012A7D"/>
    <w:rsid w:val="00012D08"/>
    <w:rsid w:val="00012EF1"/>
    <w:rsid w:val="00013E93"/>
    <w:rsid w:val="000145AD"/>
    <w:rsid w:val="00014A9D"/>
    <w:rsid w:val="00015064"/>
    <w:rsid w:val="00015138"/>
    <w:rsid w:val="00015B18"/>
    <w:rsid w:val="00015B99"/>
    <w:rsid w:val="0001617C"/>
    <w:rsid w:val="00016A16"/>
    <w:rsid w:val="00017E5E"/>
    <w:rsid w:val="00017FAF"/>
    <w:rsid w:val="000205BD"/>
    <w:rsid w:val="00020C57"/>
    <w:rsid w:val="00021117"/>
    <w:rsid w:val="00021175"/>
    <w:rsid w:val="000218DB"/>
    <w:rsid w:val="00021D33"/>
    <w:rsid w:val="00022765"/>
    <w:rsid w:val="00022A70"/>
    <w:rsid w:val="00023686"/>
    <w:rsid w:val="00023727"/>
    <w:rsid w:val="00023B7E"/>
    <w:rsid w:val="00023B8A"/>
    <w:rsid w:val="00023BBB"/>
    <w:rsid w:val="000243A9"/>
    <w:rsid w:val="00024707"/>
    <w:rsid w:val="00024928"/>
    <w:rsid w:val="00024B1B"/>
    <w:rsid w:val="00024B1E"/>
    <w:rsid w:val="00024BA8"/>
    <w:rsid w:val="000255A7"/>
    <w:rsid w:val="000255DB"/>
    <w:rsid w:val="00025D35"/>
    <w:rsid w:val="00026958"/>
    <w:rsid w:val="00026FC3"/>
    <w:rsid w:val="00027325"/>
    <w:rsid w:val="00027B45"/>
    <w:rsid w:val="00027B9A"/>
    <w:rsid w:val="00027C24"/>
    <w:rsid w:val="000305A0"/>
    <w:rsid w:val="00030D5D"/>
    <w:rsid w:val="00030DD9"/>
    <w:rsid w:val="00030E27"/>
    <w:rsid w:val="00032100"/>
    <w:rsid w:val="0003212E"/>
    <w:rsid w:val="00032341"/>
    <w:rsid w:val="0003257C"/>
    <w:rsid w:val="00033406"/>
    <w:rsid w:val="000334BA"/>
    <w:rsid w:val="000336B0"/>
    <w:rsid w:val="00033B2B"/>
    <w:rsid w:val="00033FA9"/>
    <w:rsid w:val="0003407E"/>
    <w:rsid w:val="0003455B"/>
    <w:rsid w:val="00034842"/>
    <w:rsid w:val="00035404"/>
    <w:rsid w:val="0003574F"/>
    <w:rsid w:val="00035A64"/>
    <w:rsid w:val="00035DE7"/>
    <w:rsid w:val="000364FC"/>
    <w:rsid w:val="00036866"/>
    <w:rsid w:val="00036B70"/>
    <w:rsid w:val="00036DF6"/>
    <w:rsid w:val="00036E6B"/>
    <w:rsid w:val="00037CDA"/>
    <w:rsid w:val="0004014A"/>
    <w:rsid w:val="000403CE"/>
    <w:rsid w:val="00040469"/>
    <w:rsid w:val="00040D2A"/>
    <w:rsid w:val="000410BB"/>
    <w:rsid w:val="0004113E"/>
    <w:rsid w:val="00041A6C"/>
    <w:rsid w:val="00041CC5"/>
    <w:rsid w:val="000427A7"/>
    <w:rsid w:val="000431A3"/>
    <w:rsid w:val="00043BDE"/>
    <w:rsid w:val="00043D3D"/>
    <w:rsid w:val="000444E5"/>
    <w:rsid w:val="0004466C"/>
    <w:rsid w:val="00044C53"/>
    <w:rsid w:val="00044D08"/>
    <w:rsid w:val="00044EB8"/>
    <w:rsid w:val="00045358"/>
    <w:rsid w:val="000453D3"/>
    <w:rsid w:val="00045601"/>
    <w:rsid w:val="0004595D"/>
    <w:rsid w:val="00045BE9"/>
    <w:rsid w:val="00045F47"/>
    <w:rsid w:val="0004661A"/>
    <w:rsid w:val="0004677B"/>
    <w:rsid w:val="000468DC"/>
    <w:rsid w:val="00046AE7"/>
    <w:rsid w:val="00046D22"/>
    <w:rsid w:val="00046F83"/>
    <w:rsid w:val="000479F1"/>
    <w:rsid w:val="000500D5"/>
    <w:rsid w:val="00050280"/>
    <w:rsid w:val="00050FD5"/>
    <w:rsid w:val="00051407"/>
    <w:rsid w:val="000518C7"/>
    <w:rsid w:val="0005281B"/>
    <w:rsid w:val="00052D27"/>
    <w:rsid w:val="00053B01"/>
    <w:rsid w:val="00055693"/>
    <w:rsid w:val="000557C4"/>
    <w:rsid w:val="00055B26"/>
    <w:rsid w:val="00055B66"/>
    <w:rsid w:val="00055DDD"/>
    <w:rsid w:val="00056723"/>
    <w:rsid w:val="0005733B"/>
    <w:rsid w:val="000574F6"/>
    <w:rsid w:val="00060270"/>
    <w:rsid w:val="0006091D"/>
    <w:rsid w:val="00060E6E"/>
    <w:rsid w:val="000612B7"/>
    <w:rsid w:val="000616AE"/>
    <w:rsid w:val="000617D9"/>
    <w:rsid w:val="00061C06"/>
    <w:rsid w:val="00062125"/>
    <w:rsid w:val="00062C3D"/>
    <w:rsid w:val="00062EC8"/>
    <w:rsid w:val="000630E7"/>
    <w:rsid w:val="00063173"/>
    <w:rsid w:val="00063630"/>
    <w:rsid w:val="00064EFA"/>
    <w:rsid w:val="000655B4"/>
    <w:rsid w:val="00065C01"/>
    <w:rsid w:val="00066587"/>
    <w:rsid w:val="00066842"/>
    <w:rsid w:val="0006690A"/>
    <w:rsid w:val="00066FFF"/>
    <w:rsid w:val="000672BE"/>
    <w:rsid w:val="00067638"/>
    <w:rsid w:val="000679A8"/>
    <w:rsid w:val="00067B88"/>
    <w:rsid w:val="00067F84"/>
    <w:rsid w:val="0006ABB5"/>
    <w:rsid w:val="000701A3"/>
    <w:rsid w:val="000705A0"/>
    <w:rsid w:val="0007062A"/>
    <w:rsid w:val="00070A50"/>
    <w:rsid w:val="00070B95"/>
    <w:rsid w:val="00070F1F"/>
    <w:rsid w:val="00071131"/>
    <w:rsid w:val="0007156E"/>
    <w:rsid w:val="000716AF"/>
    <w:rsid w:val="00071C89"/>
    <w:rsid w:val="00071F3F"/>
    <w:rsid w:val="00072238"/>
    <w:rsid w:val="00072267"/>
    <w:rsid w:val="00072752"/>
    <w:rsid w:val="00072C9D"/>
    <w:rsid w:val="000732E1"/>
    <w:rsid w:val="00074139"/>
    <w:rsid w:val="000746B6"/>
    <w:rsid w:val="00074B4B"/>
    <w:rsid w:val="00074F17"/>
    <w:rsid w:val="00075631"/>
    <w:rsid w:val="00075E3E"/>
    <w:rsid w:val="00076928"/>
    <w:rsid w:val="00076AE6"/>
    <w:rsid w:val="00076E77"/>
    <w:rsid w:val="00077248"/>
    <w:rsid w:val="00077E55"/>
    <w:rsid w:val="00080167"/>
    <w:rsid w:val="000801A9"/>
    <w:rsid w:val="00080507"/>
    <w:rsid w:val="00080913"/>
    <w:rsid w:val="00080964"/>
    <w:rsid w:val="00080A19"/>
    <w:rsid w:val="00080AEB"/>
    <w:rsid w:val="00081522"/>
    <w:rsid w:val="000819CE"/>
    <w:rsid w:val="00081CB4"/>
    <w:rsid w:val="000823A6"/>
    <w:rsid w:val="000823EC"/>
    <w:rsid w:val="000823FA"/>
    <w:rsid w:val="00082455"/>
    <w:rsid w:val="00082E95"/>
    <w:rsid w:val="00083355"/>
    <w:rsid w:val="00083CA7"/>
    <w:rsid w:val="0008445A"/>
    <w:rsid w:val="000846D3"/>
    <w:rsid w:val="000856BA"/>
    <w:rsid w:val="000857C7"/>
    <w:rsid w:val="00085AEC"/>
    <w:rsid w:val="00085BA6"/>
    <w:rsid w:val="00085E2C"/>
    <w:rsid w:val="0008658B"/>
    <w:rsid w:val="000868D0"/>
    <w:rsid w:val="00086A97"/>
    <w:rsid w:val="00086AE1"/>
    <w:rsid w:val="00086B87"/>
    <w:rsid w:val="000874AF"/>
    <w:rsid w:val="00087726"/>
    <w:rsid w:val="00087E43"/>
    <w:rsid w:val="00090222"/>
    <w:rsid w:val="000902EB"/>
    <w:rsid w:val="00090F8E"/>
    <w:rsid w:val="0009101B"/>
    <w:rsid w:val="00091102"/>
    <w:rsid w:val="00091989"/>
    <w:rsid w:val="00091EA9"/>
    <w:rsid w:val="00091FFA"/>
    <w:rsid w:val="00092B94"/>
    <w:rsid w:val="0009337B"/>
    <w:rsid w:val="00093DBB"/>
    <w:rsid w:val="000943A0"/>
    <w:rsid w:val="0009464C"/>
    <w:rsid w:val="000946CD"/>
    <w:rsid w:val="00094918"/>
    <w:rsid w:val="00094951"/>
    <w:rsid w:val="00094F19"/>
    <w:rsid w:val="0009503C"/>
    <w:rsid w:val="00095416"/>
    <w:rsid w:val="00095B85"/>
    <w:rsid w:val="000966CF"/>
    <w:rsid w:val="000967E8"/>
    <w:rsid w:val="00096B83"/>
    <w:rsid w:val="0009705F"/>
    <w:rsid w:val="00097169"/>
    <w:rsid w:val="0009745B"/>
    <w:rsid w:val="00097A12"/>
    <w:rsid w:val="00097A54"/>
    <w:rsid w:val="000A06C4"/>
    <w:rsid w:val="000A0C99"/>
    <w:rsid w:val="000A0E47"/>
    <w:rsid w:val="000A1142"/>
    <w:rsid w:val="000A14BF"/>
    <w:rsid w:val="000A1719"/>
    <w:rsid w:val="000A1A72"/>
    <w:rsid w:val="000A1E6F"/>
    <w:rsid w:val="000A2100"/>
    <w:rsid w:val="000A33E0"/>
    <w:rsid w:val="000A375A"/>
    <w:rsid w:val="000A376F"/>
    <w:rsid w:val="000A3E02"/>
    <w:rsid w:val="000A41B3"/>
    <w:rsid w:val="000A424E"/>
    <w:rsid w:val="000A541D"/>
    <w:rsid w:val="000A5756"/>
    <w:rsid w:val="000A6C67"/>
    <w:rsid w:val="000A6CF3"/>
    <w:rsid w:val="000A721B"/>
    <w:rsid w:val="000A73C3"/>
    <w:rsid w:val="000A7A1B"/>
    <w:rsid w:val="000A7F2E"/>
    <w:rsid w:val="000B00B7"/>
    <w:rsid w:val="000B01CA"/>
    <w:rsid w:val="000B072C"/>
    <w:rsid w:val="000B09E8"/>
    <w:rsid w:val="000B0BA4"/>
    <w:rsid w:val="000B0D45"/>
    <w:rsid w:val="000B10D4"/>
    <w:rsid w:val="000B19DD"/>
    <w:rsid w:val="000B1B60"/>
    <w:rsid w:val="000B250C"/>
    <w:rsid w:val="000B262F"/>
    <w:rsid w:val="000B2643"/>
    <w:rsid w:val="000B277B"/>
    <w:rsid w:val="000B2948"/>
    <w:rsid w:val="000B2E7E"/>
    <w:rsid w:val="000B3342"/>
    <w:rsid w:val="000B44E0"/>
    <w:rsid w:val="000B4A91"/>
    <w:rsid w:val="000B539B"/>
    <w:rsid w:val="000B53F9"/>
    <w:rsid w:val="000B5526"/>
    <w:rsid w:val="000B5AFB"/>
    <w:rsid w:val="000B5CDB"/>
    <w:rsid w:val="000B5E9F"/>
    <w:rsid w:val="000B5F30"/>
    <w:rsid w:val="000B62C9"/>
    <w:rsid w:val="000B63A0"/>
    <w:rsid w:val="000B6B5F"/>
    <w:rsid w:val="000B70E6"/>
    <w:rsid w:val="000B76B8"/>
    <w:rsid w:val="000B7A8F"/>
    <w:rsid w:val="000C01AF"/>
    <w:rsid w:val="000C0276"/>
    <w:rsid w:val="000C0705"/>
    <w:rsid w:val="000C17FE"/>
    <w:rsid w:val="000C187D"/>
    <w:rsid w:val="000C2233"/>
    <w:rsid w:val="000C2564"/>
    <w:rsid w:val="000C2EF4"/>
    <w:rsid w:val="000C32E4"/>
    <w:rsid w:val="000C32F4"/>
    <w:rsid w:val="000C35DC"/>
    <w:rsid w:val="000C3B74"/>
    <w:rsid w:val="000C3F74"/>
    <w:rsid w:val="000C46BB"/>
    <w:rsid w:val="000C4D21"/>
    <w:rsid w:val="000C4F13"/>
    <w:rsid w:val="000C5086"/>
    <w:rsid w:val="000C563E"/>
    <w:rsid w:val="000C576F"/>
    <w:rsid w:val="000C62F5"/>
    <w:rsid w:val="000C6623"/>
    <w:rsid w:val="000C6A60"/>
    <w:rsid w:val="000C6B73"/>
    <w:rsid w:val="000C6CF1"/>
    <w:rsid w:val="000C6DFC"/>
    <w:rsid w:val="000C706D"/>
    <w:rsid w:val="000C774F"/>
    <w:rsid w:val="000C7CC1"/>
    <w:rsid w:val="000D0351"/>
    <w:rsid w:val="000D088D"/>
    <w:rsid w:val="000D0A82"/>
    <w:rsid w:val="000D0EA8"/>
    <w:rsid w:val="000D1472"/>
    <w:rsid w:val="000D19B5"/>
    <w:rsid w:val="000D2648"/>
    <w:rsid w:val="000D2DC7"/>
    <w:rsid w:val="000D45B7"/>
    <w:rsid w:val="000D4AFF"/>
    <w:rsid w:val="000D4CC0"/>
    <w:rsid w:val="000D4F19"/>
    <w:rsid w:val="000D50CB"/>
    <w:rsid w:val="000D5144"/>
    <w:rsid w:val="000D7753"/>
    <w:rsid w:val="000E08DA"/>
    <w:rsid w:val="000E091D"/>
    <w:rsid w:val="000E1742"/>
    <w:rsid w:val="000E1EF9"/>
    <w:rsid w:val="000E1F5A"/>
    <w:rsid w:val="000E265A"/>
    <w:rsid w:val="000E3152"/>
    <w:rsid w:val="000E3A50"/>
    <w:rsid w:val="000E3EBF"/>
    <w:rsid w:val="000E45B9"/>
    <w:rsid w:val="000E49FA"/>
    <w:rsid w:val="000E4A19"/>
    <w:rsid w:val="000E4E22"/>
    <w:rsid w:val="000E5FDD"/>
    <w:rsid w:val="000E732F"/>
    <w:rsid w:val="000E7563"/>
    <w:rsid w:val="000E7E43"/>
    <w:rsid w:val="000F0316"/>
    <w:rsid w:val="000F03DD"/>
    <w:rsid w:val="000F19C8"/>
    <w:rsid w:val="000F1CC5"/>
    <w:rsid w:val="000F210E"/>
    <w:rsid w:val="000F22A5"/>
    <w:rsid w:val="000F2672"/>
    <w:rsid w:val="000F3558"/>
    <w:rsid w:val="000F38A9"/>
    <w:rsid w:val="000F3BF0"/>
    <w:rsid w:val="000F46EC"/>
    <w:rsid w:val="000F4720"/>
    <w:rsid w:val="000F4733"/>
    <w:rsid w:val="000F4AC4"/>
    <w:rsid w:val="000F4C3B"/>
    <w:rsid w:val="000F4D7C"/>
    <w:rsid w:val="000F5577"/>
    <w:rsid w:val="000F58EA"/>
    <w:rsid w:val="000F598D"/>
    <w:rsid w:val="000F5B21"/>
    <w:rsid w:val="000F5E10"/>
    <w:rsid w:val="000F5F77"/>
    <w:rsid w:val="000F5F92"/>
    <w:rsid w:val="000F6198"/>
    <w:rsid w:val="000F6400"/>
    <w:rsid w:val="000F6A14"/>
    <w:rsid w:val="000F6B3D"/>
    <w:rsid w:val="00100674"/>
    <w:rsid w:val="00100C26"/>
    <w:rsid w:val="00100C39"/>
    <w:rsid w:val="00102191"/>
    <w:rsid w:val="0010272B"/>
    <w:rsid w:val="00103395"/>
    <w:rsid w:val="00103502"/>
    <w:rsid w:val="00103A1B"/>
    <w:rsid w:val="00103CBA"/>
    <w:rsid w:val="001044AA"/>
    <w:rsid w:val="00104703"/>
    <w:rsid w:val="00104911"/>
    <w:rsid w:val="0010604C"/>
    <w:rsid w:val="00106288"/>
    <w:rsid w:val="00106A9E"/>
    <w:rsid w:val="00106E9A"/>
    <w:rsid w:val="001074D4"/>
    <w:rsid w:val="001075CC"/>
    <w:rsid w:val="0011016E"/>
    <w:rsid w:val="0011025F"/>
    <w:rsid w:val="0011072D"/>
    <w:rsid w:val="001113DA"/>
    <w:rsid w:val="001117FF"/>
    <w:rsid w:val="0011183D"/>
    <w:rsid w:val="00111DE0"/>
    <w:rsid w:val="001128C4"/>
    <w:rsid w:val="00112C25"/>
    <w:rsid w:val="001131B5"/>
    <w:rsid w:val="0011379E"/>
    <w:rsid w:val="00113910"/>
    <w:rsid w:val="00113E31"/>
    <w:rsid w:val="0011426E"/>
    <w:rsid w:val="001145C6"/>
    <w:rsid w:val="00114745"/>
    <w:rsid w:val="001147A5"/>
    <w:rsid w:val="001149B7"/>
    <w:rsid w:val="00115333"/>
    <w:rsid w:val="001155A1"/>
    <w:rsid w:val="001155B7"/>
    <w:rsid w:val="001163AC"/>
    <w:rsid w:val="0011645B"/>
    <w:rsid w:val="00116C64"/>
    <w:rsid w:val="00116E70"/>
    <w:rsid w:val="0011702A"/>
    <w:rsid w:val="0011766B"/>
    <w:rsid w:val="001179EF"/>
    <w:rsid w:val="00120088"/>
    <w:rsid w:val="00120702"/>
    <w:rsid w:val="00120C9A"/>
    <w:rsid w:val="00120FAF"/>
    <w:rsid w:val="00121012"/>
    <w:rsid w:val="001210C4"/>
    <w:rsid w:val="00121ACD"/>
    <w:rsid w:val="00121C93"/>
    <w:rsid w:val="001220C0"/>
    <w:rsid w:val="001227CE"/>
    <w:rsid w:val="00123124"/>
    <w:rsid w:val="001234B8"/>
    <w:rsid w:val="0012369C"/>
    <w:rsid w:val="00123A63"/>
    <w:rsid w:val="00124265"/>
    <w:rsid w:val="00125A4E"/>
    <w:rsid w:val="001268F8"/>
    <w:rsid w:val="00126AA5"/>
    <w:rsid w:val="00127185"/>
    <w:rsid w:val="001271CB"/>
    <w:rsid w:val="00127DFC"/>
    <w:rsid w:val="001303A3"/>
    <w:rsid w:val="00130462"/>
    <w:rsid w:val="00130B81"/>
    <w:rsid w:val="00130D27"/>
    <w:rsid w:val="00131102"/>
    <w:rsid w:val="001311AA"/>
    <w:rsid w:val="001314C4"/>
    <w:rsid w:val="0013158C"/>
    <w:rsid w:val="001324DF"/>
    <w:rsid w:val="00132718"/>
    <w:rsid w:val="00132E39"/>
    <w:rsid w:val="001333B6"/>
    <w:rsid w:val="001335EA"/>
    <w:rsid w:val="00133635"/>
    <w:rsid w:val="0013411D"/>
    <w:rsid w:val="001342C2"/>
    <w:rsid w:val="00134538"/>
    <w:rsid w:val="00134645"/>
    <w:rsid w:val="00134C0E"/>
    <w:rsid w:val="00135B08"/>
    <w:rsid w:val="00135B90"/>
    <w:rsid w:val="00135BD8"/>
    <w:rsid w:val="00135C12"/>
    <w:rsid w:val="00135C13"/>
    <w:rsid w:val="00135EF9"/>
    <w:rsid w:val="00135FC5"/>
    <w:rsid w:val="00136932"/>
    <w:rsid w:val="00137382"/>
    <w:rsid w:val="00137429"/>
    <w:rsid w:val="00140837"/>
    <w:rsid w:val="00140B6D"/>
    <w:rsid w:val="00140F6E"/>
    <w:rsid w:val="001417DC"/>
    <w:rsid w:val="00141AA7"/>
    <w:rsid w:val="00141AE9"/>
    <w:rsid w:val="00141B1B"/>
    <w:rsid w:val="00141C9E"/>
    <w:rsid w:val="00141CC5"/>
    <w:rsid w:val="0014203C"/>
    <w:rsid w:val="001431D1"/>
    <w:rsid w:val="001437A1"/>
    <w:rsid w:val="00143EBB"/>
    <w:rsid w:val="0014412C"/>
    <w:rsid w:val="00144D8F"/>
    <w:rsid w:val="00144FA0"/>
    <w:rsid w:val="001454B4"/>
    <w:rsid w:val="00145679"/>
    <w:rsid w:val="001459F3"/>
    <w:rsid w:val="00145B30"/>
    <w:rsid w:val="00145E11"/>
    <w:rsid w:val="0014676C"/>
    <w:rsid w:val="001467BB"/>
    <w:rsid w:val="001468F4"/>
    <w:rsid w:val="00146BF5"/>
    <w:rsid w:val="0014748A"/>
    <w:rsid w:val="00147ABF"/>
    <w:rsid w:val="00147C82"/>
    <w:rsid w:val="00147F2F"/>
    <w:rsid w:val="001502DB"/>
    <w:rsid w:val="0015041E"/>
    <w:rsid w:val="001504E0"/>
    <w:rsid w:val="001509DB"/>
    <w:rsid w:val="0015120C"/>
    <w:rsid w:val="00151F6A"/>
    <w:rsid w:val="00151F83"/>
    <w:rsid w:val="0015207A"/>
    <w:rsid w:val="00152289"/>
    <w:rsid w:val="001522C0"/>
    <w:rsid w:val="00152E54"/>
    <w:rsid w:val="00153236"/>
    <w:rsid w:val="00153507"/>
    <w:rsid w:val="0015364F"/>
    <w:rsid w:val="00153803"/>
    <w:rsid w:val="00154007"/>
    <w:rsid w:val="001541BD"/>
    <w:rsid w:val="00154797"/>
    <w:rsid w:val="00154A1B"/>
    <w:rsid w:val="00154CA1"/>
    <w:rsid w:val="0015504E"/>
    <w:rsid w:val="00155300"/>
    <w:rsid w:val="00155980"/>
    <w:rsid w:val="0015635C"/>
    <w:rsid w:val="0015643E"/>
    <w:rsid w:val="00156512"/>
    <w:rsid w:val="001566C1"/>
    <w:rsid w:val="00157CCF"/>
    <w:rsid w:val="00160303"/>
    <w:rsid w:val="00160563"/>
    <w:rsid w:val="00160669"/>
    <w:rsid w:val="001606E0"/>
    <w:rsid w:val="00160C68"/>
    <w:rsid w:val="001610B3"/>
    <w:rsid w:val="001611B7"/>
    <w:rsid w:val="00161571"/>
    <w:rsid w:val="0016206E"/>
    <w:rsid w:val="001624A6"/>
    <w:rsid w:val="001625B3"/>
    <w:rsid w:val="00162985"/>
    <w:rsid w:val="00162B76"/>
    <w:rsid w:val="00163034"/>
    <w:rsid w:val="00163040"/>
    <w:rsid w:val="001634FA"/>
    <w:rsid w:val="001639C7"/>
    <w:rsid w:val="00163B7C"/>
    <w:rsid w:val="00163CBE"/>
    <w:rsid w:val="001643C1"/>
    <w:rsid w:val="001643FF"/>
    <w:rsid w:val="00164F57"/>
    <w:rsid w:val="001654D9"/>
    <w:rsid w:val="00165829"/>
    <w:rsid w:val="001666B9"/>
    <w:rsid w:val="0016693B"/>
    <w:rsid w:val="00166AFD"/>
    <w:rsid w:val="0017041B"/>
    <w:rsid w:val="00170543"/>
    <w:rsid w:val="0017088E"/>
    <w:rsid w:val="0017136A"/>
    <w:rsid w:val="001722C4"/>
    <w:rsid w:val="001737AC"/>
    <w:rsid w:val="00174553"/>
    <w:rsid w:val="00174864"/>
    <w:rsid w:val="00175228"/>
    <w:rsid w:val="0017564A"/>
    <w:rsid w:val="00176341"/>
    <w:rsid w:val="0017685E"/>
    <w:rsid w:val="00176864"/>
    <w:rsid w:val="0017695F"/>
    <w:rsid w:val="00176B81"/>
    <w:rsid w:val="00176E2C"/>
    <w:rsid w:val="00177055"/>
    <w:rsid w:val="00177BEA"/>
    <w:rsid w:val="00180214"/>
    <w:rsid w:val="00180303"/>
    <w:rsid w:val="00180D61"/>
    <w:rsid w:val="00180FA5"/>
    <w:rsid w:val="00181605"/>
    <w:rsid w:val="00181CBB"/>
    <w:rsid w:val="00181EB2"/>
    <w:rsid w:val="001830FE"/>
    <w:rsid w:val="0018369C"/>
    <w:rsid w:val="00183FD0"/>
    <w:rsid w:val="00184064"/>
    <w:rsid w:val="001843DF"/>
    <w:rsid w:val="00184960"/>
    <w:rsid w:val="00184D45"/>
    <w:rsid w:val="001851C2"/>
    <w:rsid w:val="00185273"/>
    <w:rsid w:val="0018531A"/>
    <w:rsid w:val="00185F29"/>
    <w:rsid w:val="001861CB"/>
    <w:rsid w:val="00186579"/>
    <w:rsid w:val="001865CF"/>
    <w:rsid w:val="00186B29"/>
    <w:rsid w:val="00186CB7"/>
    <w:rsid w:val="0018714C"/>
    <w:rsid w:val="001871F8"/>
    <w:rsid w:val="001910CB"/>
    <w:rsid w:val="00191835"/>
    <w:rsid w:val="001918E3"/>
    <w:rsid w:val="00191CA4"/>
    <w:rsid w:val="00191F7C"/>
    <w:rsid w:val="00192310"/>
    <w:rsid w:val="00192473"/>
    <w:rsid w:val="00192487"/>
    <w:rsid w:val="00192871"/>
    <w:rsid w:val="00192E3E"/>
    <w:rsid w:val="00193138"/>
    <w:rsid w:val="00193611"/>
    <w:rsid w:val="00194038"/>
    <w:rsid w:val="00194B51"/>
    <w:rsid w:val="00194F33"/>
    <w:rsid w:val="0019599F"/>
    <w:rsid w:val="001961F8"/>
    <w:rsid w:val="00196600"/>
    <w:rsid w:val="0019696D"/>
    <w:rsid w:val="00196E16"/>
    <w:rsid w:val="0019781E"/>
    <w:rsid w:val="00197FE8"/>
    <w:rsid w:val="001A03F8"/>
    <w:rsid w:val="001A06A3"/>
    <w:rsid w:val="001A10A3"/>
    <w:rsid w:val="001A119A"/>
    <w:rsid w:val="001A2E31"/>
    <w:rsid w:val="001A2FEE"/>
    <w:rsid w:val="001A3594"/>
    <w:rsid w:val="001A37EF"/>
    <w:rsid w:val="001A39C4"/>
    <w:rsid w:val="001A3CDB"/>
    <w:rsid w:val="001A3DBB"/>
    <w:rsid w:val="001A403A"/>
    <w:rsid w:val="001A4E12"/>
    <w:rsid w:val="001A52C1"/>
    <w:rsid w:val="001A58CF"/>
    <w:rsid w:val="001A58F1"/>
    <w:rsid w:val="001A5F32"/>
    <w:rsid w:val="001A5F5B"/>
    <w:rsid w:val="001A6664"/>
    <w:rsid w:val="001A67B9"/>
    <w:rsid w:val="001A6B79"/>
    <w:rsid w:val="001A76FE"/>
    <w:rsid w:val="001B000D"/>
    <w:rsid w:val="001B0464"/>
    <w:rsid w:val="001B064A"/>
    <w:rsid w:val="001B065B"/>
    <w:rsid w:val="001B0B7D"/>
    <w:rsid w:val="001B0FC2"/>
    <w:rsid w:val="001B109F"/>
    <w:rsid w:val="001B1807"/>
    <w:rsid w:val="001B1B99"/>
    <w:rsid w:val="001B2327"/>
    <w:rsid w:val="001B2701"/>
    <w:rsid w:val="001B2789"/>
    <w:rsid w:val="001B3218"/>
    <w:rsid w:val="001B3222"/>
    <w:rsid w:val="001B3476"/>
    <w:rsid w:val="001B34B9"/>
    <w:rsid w:val="001B36BF"/>
    <w:rsid w:val="001B382A"/>
    <w:rsid w:val="001B389D"/>
    <w:rsid w:val="001B448D"/>
    <w:rsid w:val="001B46AF"/>
    <w:rsid w:val="001B4B81"/>
    <w:rsid w:val="001B4C80"/>
    <w:rsid w:val="001B4D7E"/>
    <w:rsid w:val="001B50C3"/>
    <w:rsid w:val="001B536A"/>
    <w:rsid w:val="001B5CAB"/>
    <w:rsid w:val="001B5D75"/>
    <w:rsid w:val="001B5EEC"/>
    <w:rsid w:val="001B6083"/>
    <w:rsid w:val="001B6976"/>
    <w:rsid w:val="001B6D58"/>
    <w:rsid w:val="001B7380"/>
    <w:rsid w:val="001B7AA3"/>
    <w:rsid w:val="001B7E73"/>
    <w:rsid w:val="001C0075"/>
    <w:rsid w:val="001C09FE"/>
    <w:rsid w:val="001C0AF0"/>
    <w:rsid w:val="001C1177"/>
    <w:rsid w:val="001C182B"/>
    <w:rsid w:val="001C1889"/>
    <w:rsid w:val="001C1B3B"/>
    <w:rsid w:val="001C1DBA"/>
    <w:rsid w:val="001C20C4"/>
    <w:rsid w:val="001C25C0"/>
    <w:rsid w:val="001C2783"/>
    <w:rsid w:val="001C2811"/>
    <w:rsid w:val="001C28AA"/>
    <w:rsid w:val="001C2E69"/>
    <w:rsid w:val="001C2F92"/>
    <w:rsid w:val="001C34C0"/>
    <w:rsid w:val="001C3CF7"/>
    <w:rsid w:val="001C3D36"/>
    <w:rsid w:val="001C4B01"/>
    <w:rsid w:val="001C5761"/>
    <w:rsid w:val="001C5BCB"/>
    <w:rsid w:val="001C5C14"/>
    <w:rsid w:val="001C679D"/>
    <w:rsid w:val="001C68A3"/>
    <w:rsid w:val="001C6932"/>
    <w:rsid w:val="001C6B53"/>
    <w:rsid w:val="001C72FF"/>
    <w:rsid w:val="001C7640"/>
    <w:rsid w:val="001C7A6A"/>
    <w:rsid w:val="001C7D43"/>
    <w:rsid w:val="001C7D7D"/>
    <w:rsid w:val="001C7E49"/>
    <w:rsid w:val="001D017E"/>
    <w:rsid w:val="001D0332"/>
    <w:rsid w:val="001D0442"/>
    <w:rsid w:val="001D08C2"/>
    <w:rsid w:val="001D0D47"/>
    <w:rsid w:val="001D22EB"/>
    <w:rsid w:val="001D2AFD"/>
    <w:rsid w:val="001D303B"/>
    <w:rsid w:val="001D30AA"/>
    <w:rsid w:val="001D34A9"/>
    <w:rsid w:val="001D399A"/>
    <w:rsid w:val="001D3C53"/>
    <w:rsid w:val="001D3F71"/>
    <w:rsid w:val="001D4565"/>
    <w:rsid w:val="001D4A47"/>
    <w:rsid w:val="001D4CE6"/>
    <w:rsid w:val="001D5032"/>
    <w:rsid w:val="001D50D5"/>
    <w:rsid w:val="001D5E20"/>
    <w:rsid w:val="001D610A"/>
    <w:rsid w:val="001D64BA"/>
    <w:rsid w:val="001D66DD"/>
    <w:rsid w:val="001D682B"/>
    <w:rsid w:val="001D7D29"/>
    <w:rsid w:val="001E006D"/>
    <w:rsid w:val="001E0648"/>
    <w:rsid w:val="001E0664"/>
    <w:rsid w:val="001E084F"/>
    <w:rsid w:val="001E0D80"/>
    <w:rsid w:val="001E15A2"/>
    <w:rsid w:val="001E1B67"/>
    <w:rsid w:val="001E1E85"/>
    <w:rsid w:val="001E27D2"/>
    <w:rsid w:val="001E2B8F"/>
    <w:rsid w:val="001E2CC6"/>
    <w:rsid w:val="001E30AC"/>
    <w:rsid w:val="001E327B"/>
    <w:rsid w:val="001E3444"/>
    <w:rsid w:val="001E359B"/>
    <w:rsid w:val="001E372A"/>
    <w:rsid w:val="001E3DAC"/>
    <w:rsid w:val="001E3EEF"/>
    <w:rsid w:val="001E413A"/>
    <w:rsid w:val="001E43AE"/>
    <w:rsid w:val="001E4A10"/>
    <w:rsid w:val="001E4B09"/>
    <w:rsid w:val="001E4C1C"/>
    <w:rsid w:val="001E5335"/>
    <w:rsid w:val="001E5360"/>
    <w:rsid w:val="001E54DB"/>
    <w:rsid w:val="001E56F7"/>
    <w:rsid w:val="001E5DCD"/>
    <w:rsid w:val="001E76B9"/>
    <w:rsid w:val="001E7F65"/>
    <w:rsid w:val="001F02EA"/>
    <w:rsid w:val="001F12AD"/>
    <w:rsid w:val="001F15F4"/>
    <w:rsid w:val="001F1AC1"/>
    <w:rsid w:val="001F1F6D"/>
    <w:rsid w:val="001F2188"/>
    <w:rsid w:val="001F2425"/>
    <w:rsid w:val="001F254C"/>
    <w:rsid w:val="001F2B6C"/>
    <w:rsid w:val="001F3E8F"/>
    <w:rsid w:val="001F3EE0"/>
    <w:rsid w:val="001F45D5"/>
    <w:rsid w:val="001F4795"/>
    <w:rsid w:val="001F4AE2"/>
    <w:rsid w:val="001F507F"/>
    <w:rsid w:val="001F5094"/>
    <w:rsid w:val="001F51A6"/>
    <w:rsid w:val="001F5299"/>
    <w:rsid w:val="001F5405"/>
    <w:rsid w:val="001F5AED"/>
    <w:rsid w:val="001F5D35"/>
    <w:rsid w:val="001F6080"/>
    <w:rsid w:val="001F639D"/>
    <w:rsid w:val="001F64C7"/>
    <w:rsid w:val="001F6683"/>
    <w:rsid w:val="001F6B0F"/>
    <w:rsid w:val="001F74C5"/>
    <w:rsid w:val="001F7CD8"/>
    <w:rsid w:val="001F7DAA"/>
    <w:rsid w:val="002007F1"/>
    <w:rsid w:val="00200897"/>
    <w:rsid w:val="0020148E"/>
    <w:rsid w:val="002015C3"/>
    <w:rsid w:val="0020188F"/>
    <w:rsid w:val="002019C9"/>
    <w:rsid w:val="00201ABD"/>
    <w:rsid w:val="00201AD5"/>
    <w:rsid w:val="00201D47"/>
    <w:rsid w:val="002028E7"/>
    <w:rsid w:val="002034CA"/>
    <w:rsid w:val="00203C25"/>
    <w:rsid w:val="00203CE7"/>
    <w:rsid w:val="00203DA2"/>
    <w:rsid w:val="00203EA6"/>
    <w:rsid w:val="002049B5"/>
    <w:rsid w:val="00204AF8"/>
    <w:rsid w:val="0020578A"/>
    <w:rsid w:val="002058EE"/>
    <w:rsid w:val="00206344"/>
    <w:rsid w:val="00206749"/>
    <w:rsid w:val="0020753A"/>
    <w:rsid w:val="002079B3"/>
    <w:rsid w:val="002079E6"/>
    <w:rsid w:val="00210073"/>
    <w:rsid w:val="00210A8A"/>
    <w:rsid w:val="00210EE3"/>
    <w:rsid w:val="00211214"/>
    <w:rsid w:val="002112B8"/>
    <w:rsid w:val="002114B9"/>
    <w:rsid w:val="00212455"/>
    <w:rsid w:val="00212620"/>
    <w:rsid w:val="002126FF"/>
    <w:rsid w:val="002139A5"/>
    <w:rsid w:val="0021427B"/>
    <w:rsid w:val="0021456E"/>
    <w:rsid w:val="002147A9"/>
    <w:rsid w:val="00214CF0"/>
    <w:rsid w:val="00214DC2"/>
    <w:rsid w:val="00215222"/>
    <w:rsid w:val="00215F07"/>
    <w:rsid w:val="002160EA"/>
    <w:rsid w:val="002161AF"/>
    <w:rsid w:val="00216767"/>
    <w:rsid w:val="002168FD"/>
    <w:rsid w:val="00217033"/>
    <w:rsid w:val="00217163"/>
    <w:rsid w:val="002173ED"/>
    <w:rsid w:val="00217463"/>
    <w:rsid w:val="002200F2"/>
    <w:rsid w:val="002203CD"/>
    <w:rsid w:val="00220733"/>
    <w:rsid w:val="00220993"/>
    <w:rsid w:val="00220BB6"/>
    <w:rsid w:val="00220E83"/>
    <w:rsid w:val="00221600"/>
    <w:rsid w:val="002218C8"/>
    <w:rsid w:val="00221C56"/>
    <w:rsid w:val="002225C1"/>
    <w:rsid w:val="0022324B"/>
    <w:rsid w:val="00223D7D"/>
    <w:rsid w:val="00223D9C"/>
    <w:rsid w:val="00224411"/>
    <w:rsid w:val="00224479"/>
    <w:rsid w:val="002246EE"/>
    <w:rsid w:val="00224A43"/>
    <w:rsid w:val="00224D03"/>
    <w:rsid w:val="00224F92"/>
    <w:rsid w:val="0022533C"/>
    <w:rsid w:val="00225650"/>
    <w:rsid w:val="002257B4"/>
    <w:rsid w:val="002259A1"/>
    <w:rsid w:val="00225D0C"/>
    <w:rsid w:val="00225FD4"/>
    <w:rsid w:val="00226307"/>
    <w:rsid w:val="00226ADC"/>
    <w:rsid w:val="00226C19"/>
    <w:rsid w:val="00226C80"/>
    <w:rsid w:val="00226E32"/>
    <w:rsid w:val="0022737D"/>
    <w:rsid w:val="002276DA"/>
    <w:rsid w:val="00227746"/>
    <w:rsid w:val="00227A62"/>
    <w:rsid w:val="00227CB5"/>
    <w:rsid w:val="0023002D"/>
    <w:rsid w:val="00230451"/>
    <w:rsid w:val="00230B48"/>
    <w:rsid w:val="00230D26"/>
    <w:rsid w:val="002315E1"/>
    <w:rsid w:val="002315EE"/>
    <w:rsid w:val="002315F6"/>
    <w:rsid w:val="002317C2"/>
    <w:rsid w:val="00231B21"/>
    <w:rsid w:val="00231D32"/>
    <w:rsid w:val="002320EB"/>
    <w:rsid w:val="00232982"/>
    <w:rsid w:val="00232BD7"/>
    <w:rsid w:val="00232E50"/>
    <w:rsid w:val="00232EAD"/>
    <w:rsid w:val="00233C73"/>
    <w:rsid w:val="00233DAF"/>
    <w:rsid w:val="00234462"/>
    <w:rsid w:val="00234F7A"/>
    <w:rsid w:val="00234FC2"/>
    <w:rsid w:val="002355B3"/>
    <w:rsid w:val="00235B4E"/>
    <w:rsid w:val="0023614F"/>
    <w:rsid w:val="0023625B"/>
    <w:rsid w:val="00236B46"/>
    <w:rsid w:val="0023716F"/>
    <w:rsid w:val="00237703"/>
    <w:rsid w:val="00237D9F"/>
    <w:rsid w:val="0024030E"/>
    <w:rsid w:val="002411AA"/>
    <w:rsid w:val="0024120B"/>
    <w:rsid w:val="0024123B"/>
    <w:rsid w:val="00241295"/>
    <w:rsid w:val="00242115"/>
    <w:rsid w:val="0024260E"/>
    <w:rsid w:val="0024294E"/>
    <w:rsid w:val="00242E6B"/>
    <w:rsid w:val="00243403"/>
    <w:rsid w:val="002436E9"/>
    <w:rsid w:val="00243862"/>
    <w:rsid w:val="00243AA0"/>
    <w:rsid w:val="00243ABB"/>
    <w:rsid w:val="00243B5D"/>
    <w:rsid w:val="00243CEA"/>
    <w:rsid w:val="00243D84"/>
    <w:rsid w:val="00244064"/>
    <w:rsid w:val="002449C2"/>
    <w:rsid w:val="00244D73"/>
    <w:rsid w:val="0024511D"/>
    <w:rsid w:val="002451E5"/>
    <w:rsid w:val="0024530A"/>
    <w:rsid w:val="002453C5"/>
    <w:rsid w:val="0024553E"/>
    <w:rsid w:val="00245581"/>
    <w:rsid w:val="00245E36"/>
    <w:rsid w:val="00245F89"/>
    <w:rsid w:val="0024642B"/>
    <w:rsid w:val="00246666"/>
    <w:rsid w:val="00247254"/>
    <w:rsid w:val="0024726D"/>
    <w:rsid w:val="002472C8"/>
    <w:rsid w:val="00247943"/>
    <w:rsid w:val="00247BE1"/>
    <w:rsid w:val="002507C9"/>
    <w:rsid w:val="00250919"/>
    <w:rsid w:val="002515D6"/>
    <w:rsid w:val="0025189F"/>
    <w:rsid w:val="002519B1"/>
    <w:rsid w:val="00251AD0"/>
    <w:rsid w:val="00251DD2"/>
    <w:rsid w:val="0025201D"/>
    <w:rsid w:val="00252376"/>
    <w:rsid w:val="00252539"/>
    <w:rsid w:val="00252804"/>
    <w:rsid w:val="002528B3"/>
    <w:rsid w:val="00252BF1"/>
    <w:rsid w:val="00252BF5"/>
    <w:rsid w:val="00252F41"/>
    <w:rsid w:val="0025359B"/>
    <w:rsid w:val="002538B3"/>
    <w:rsid w:val="00253930"/>
    <w:rsid w:val="00254130"/>
    <w:rsid w:val="00254B95"/>
    <w:rsid w:val="00254FDD"/>
    <w:rsid w:val="00255103"/>
    <w:rsid w:val="002563CE"/>
    <w:rsid w:val="00256EA0"/>
    <w:rsid w:val="0025727A"/>
    <w:rsid w:val="002572D0"/>
    <w:rsid w:val="002578EE"/>
    <w:rsid w:val="00257D35"/>
    <w:rsid w:val="002606D8"/>
    <w:rsid w:val="0026166B"/>
    <w:rsid w:val="00262069"/>
    <w:rsid w:val="002621B7"/>
    <w:rsid w:val="002631AA"/>
    <w:rsid w:val="002635B4"/>
    <w:rsid w:val="00263B63"/>
    <w:rsid w:val="00264EF7"/>
    <w:rsid w:val="0026522E"/>
    <w:rsid w:val="00265652"/>
    <w:rsid w:val="0026567C"/>
    <w:rsid w:val="00265B4A"/>
    <w:rsid w:val="00266155"/>
    <w:rsid w:val="002661F9"/>
    <w:rsid w:val="002663F3"/>
    <w:rsid w:val="00266B67"/>
    <w:rsid w:val="00266C24"/>
    <w:rsid w:val="00266F29"/>
    <w:rsid w:val="00267B5D"/>
    <w:rsid w:val="00267D9F"/>
    <w:rsid w:val="00270555"/>
    <w:rsid w:val="0027083C"/>
    <w:rsid w:val="00270977"/>
    <w:rsid w:val="00270EBF"/>
    <w:rsid w:val="00270F11"/>
    <w:rsid w:val="0027117A"/>
    <w:rsid w:val="00271A86"/>
    <w:rsid w:val="00271F45"/>
    <w:rsid w:val="0027205C"/>
    <w:rsid w:val="002721FE"/>
    <w:rsid w:val="002726A4"/>
    <w:rsid w:val="002727AB"/>
    <w:rsid w:val="00272A5E"/>
    <w:rsid w:val="00272B86"/>
    <w:rsid w:val="0027303D"/>
    <w:rsid w:val="002731C3"/>
    <w:rsid w:val="002735C1"/>
    <w:rsid w:val="00273679"/>
    <w:rsid w:val="00273796"/>
    <w:rsid w:val="00273C63"/>
    <w:rsid w:val="00273E92"/>
    <w:rsid w:val="0027440C"/>
    <w:rsid w:val="00274968"/>
    <w:rsid w:val="00274BBB"/>
    <w:rsid w:val="0027507D"/>
    <w:rsid w:val="00275444"/>
    <w:rsid w:val="002758D8"/>
    <w:rsid w:val="00275A2C"/>
    <w:rsid w:val="00275E64"/>
    <w:rsid w:val="002770B2"/>
    <w:rsid w:val="002772EE"/>
    <w:rsid w:val="00277B19"/>
    <w:rsid w:val="00277B1D"/>
    <w:rsid w:val="00277DA3"/>
    <w:rsid w:val="00280457"/>
    <w:rsid w:val="002817B5"/>
    <w:rsid w:val="00281894"/>
    <w:rsid w:val="0028192F"/>
    <w:rsid w:val="002820F2"/>
    <w:rsid w:val="0028225A"/>
    <w:rsid w:val="00282EEE"/>
    <w:rsid w:val="0028308C"/>
    <w:rsid w:val="002834FE"/>
    <w:rsid w:val="00283529"/>
    <w:rsid w:val="002835DF"/>
    <w:rsid w:val="00283EA0"/>
    <w:rsid w:val="00284407"/>
    <w:rsid w:val="00284E59"/>
    <w:rsid w:val="00285475"/>
    <w:rsid w:val="0028585A"/>
    <w:rsid w:val="00285BBD"/>
    <w:rsid w:val="00285E6E"/>
    <w:rsid w:val="002862D3"/>
    <w:rsid w:val="002863E7"/>
    <w:rsid w:val="00286A5B"/>
    <w:rsid w:val="00286FE3"/>
    <w:rsid w:val="002875C0"/>
    <w:rsid w:val="002875E7"/>
    <w:rsid w:val="00290056"/>
    <w:rsid w:val="00290309"/>
    <w:rsid w:val="00290929"/>
    <w:rsid w:val="00290BE8"/>
    <w:rsid w:val="0029150B"/>
    <w:rsid w:val="00291600"/>
    <w:rsid w:val="00291CC5"/>
    <w:rsid w:val="00291E12"/>
    <w:rsid w:val="0029236A"/>
    <w:rsid w:val="00292E5F"/>
    <w:rsid w:val="00292EC6"/>
    <w:rsid w:val="00292F48"/>
    <w:rsid w:val="0029312E"/>
    <w:rsid w:val="00293240"/>
    <w:rsid w:val="002932CF"/>
    <w:rsid w:val="002939BF"/>
    <w:rsid w:val="00294285"/>
    <w:rsid w:val="002948EB"/>
    <w:rsid w:val="00294CC2"/>
    <w:rsid w:val="00294D01"/>
    <w:rsid w:val="00294F98"/>
    <w:rsid w:val="00295145"/>
    <w:rsid w:val="00295534"/>
    <w:rsid w:val="00295EA8"/>
    <w:rsid w:val="00295F8B"/>
    <w:rsid w:val="00296351"/>
    <w:rsid w:val="00296745"/>
    <w:rsid w:val="00296DFE"/>
    <w:rsid w:val="002973ED"/>
    <w:rsid w:val="00297A7A"/>
    <w:rsid w:val="00297B29"/>
    <w:rsid w:val="00297B37"/>
    <w:rsid w:val="00297F2C"/>
    <w:rsid w:val="002A010E"/>
    <w:rsid w:val="002A021D"/>
    <w:rsid w:val="002A0411"/>
    <w:rsid w:val="002A11B0"/>
    <w:rsid w:val="002A1294"/>
    <w:rsid w:val="002A1406"/>
    <w:rsid w:val="002A17D5"/>
    <w:rsid w:val="002A1B9A"/>
    <w:rsid w:val="002A1CC5"/>
    <w:rsid w:val="002A1ED7"/>
    <w:rsid w:val="002A2BFF"/>
    <w:rsid w:val="002A3627"/>
    <w:rsid w:val="002A3C5A"/>
    <w:rsid w:val="002A3FB4"/>
    <w:rsid w:val="002A4413"/>
    <w:rsid w:val="002A4B78"/>
    <w:rsid w:val="002A4BE7"/>
    <w:rsid w:val="002A51B3"/>
    <w:rsid w:val="002A548F"/>
    <w:rsid w:val="002A5D98"/>
    <w:rsid w:val="002A5F32"/>
    <w:rsid w:val="002A61F3"/>
    <w:rsid w:val="002A62B7"/>
    <w:rsid w:val="002A648E"/>
    <w:rsid w:val="002A6715"/>
    <w:rsid w:val="002A6935"/>
    <w:rsid w:val="002A6DE5"/>
    <w:rsid w:val="002A71BD"/>
    <w:rsid w:val="002A7274"/>
    <w:rsid w:val="002A72F7"/>
    <w:rsid w:val="002A7793"/>
    <w:rsid w:val="002A7A29"/>
    <w:rsid w:val="002A7F55"/>
    <w:rsid w:val="002B01D0"/>
    <w:rsid w:val="002B06B3"/>
    <w:rsid w:val="002B08EE"/>
    <w:rsid w:val="002B0A58"/>
    <w:rsid w:val="002B0B4D"/>
    <w:rsid w:val="002B1460"/>
    <w:rsid w:val="002B15C9"/>
    <w:rsid w:val="002B2530"/>
    <w:rsid w:val="002B29B4"/>
    <w:rsid w:val="002B2B90"/>
    <w:rsid w:val="002B30F2"/>
    <w:rsid w:val="002B31FE"/>
    <w:rsid w:val="002B32CC"/>
    <w:rsid w:val="002B3452"/>
    <w:rsid w:val="002B395F"/>
    <w:rsid w:val="002B408E"/>
    <w:rsid w:val="002B44FE"/>
    <w:rsid w:val="002B4BC7"/>
    <w:rsid w:val="002B4D9B"/>
    <w:rsid w:val="002B4FF8"/>
    <w:rsid w:val="002B580D"/>
    <w:rsid w:val="002B583E"/>
    <w:rsid w:val="002B5970"/>
    <w:rsid w:val="002B6815"/>
    <w:rsid w:val="002B6AB3"/>
    <w:rsid w:val="002B6F8D"/>
    <w:rsid w:val="002B77DE"/>
    <w:rsid w:val="002B790F"/>
    <w:rsid w:val="002C00B1"/>
    <w:rsid w:val="002C0132"/>
    <w:rsid w:val="002C08E5"/>
    <w:rsid w:val="002C08ED"/>
    <w:rsid w:val="002C0A8E"/>
    <w:rsid w:val="002C0B66"/>
    <w:rsid w:val="002C0E31"/>
    <w:rsid w:val="002C1AA3"/>
    <w:rsid w:val="002C1AA5"/>
    <w:rsid w:val="002C1F44"/>
    <w:rsid w:val="002C246D"/>
    <w:rsid w:val="002C2540"/>
    <w:rsid w:val="002C2795"/>
    <w:rsid w:val="002C2C79"/>
    <w:rsid w:val="002C2DEB"/>
    <w:rsid w:val="002C2EEF"/>
    <w:rsid w:val="002C313E"/>
    <w:rsid w:val="002C348D"/>
    <w:rsid w:val="002C3601"/>
    <w:rsid w:val="002C3960"/>
    <w:rsid w:val="002C3A3B"/>
    <w:rsid w:val="002C4D26"/>
    <w:rsid w:val="002C51E2"/>
    <w:rsid w:val="002C532B"/>
    <w:rsid w:val="002C54CE"/>
    <w:rsid w:val="002C55DE"/>
    <w:rsid w:val="002C5ABE"/>
    <w:rsid w:val="002C5CEF"/>
    <w:rsid w:val="002C606C"/>
    <w:rsid w:val="002C6195"/>
    <w:rsid w:val="002C6BF0"/>
    <w:rsid w:val="002C70B6"/>
    <w:rsid w:val="002C728D"/>
    <w:rsid w:val="002C7608"/>
    <w:rsid w:val="002C7AAD"/>
    <w:rsid w:val="002D0547"/>
    <w:rsid w:val="002D07B6"/>
    <w:rsid w:val="002D19AE"/>
    <w:rsid w:val="002D2053"/>
    <w:rsid w:val="002D20DC"/>
    <w:rsid w:val="002D22EA"/>
    <w:rsid w:val="002D2398"/>
    <w:rsid w:val="002D26E0"/>
    <w:rsid w:val="002D2C2E"/>
    <w:rsid w:val="002D31D0"/>
    <w:rsid w:val="002D35ED"/>
    <w:rsid w:val="002D3CF8"/>
    <w:rsid w:val="002D3DD0"/>
    <w:rsid w:val="002D53A1"/>
    <w:rsid w:val="002D5A5D"/>
    <w:rsid w:val="002D5D81"/>
    <w:rsid w:val="002D64A9"/>
    <w:rsid w:val="002D6797"/>
    <w:rsid w:val="002D6A47"/>
    <w:rsid w:val="002D6C41"/>
    <w:rsid w:val="002D70B2"/>
    <w:rsid w:val="002D75CB"/>
    <w:rsid w:val="002D7698"/>
    <w:rsid w:val="002D7F8C"/>
    <w:rsid w:val="002E04D3"/>
    <w:rsid w:val="002E0574"/>
    <w:rsid w:val="002E07FA"/>
    <w:rsid w:val="002E091A"/>
    <w:rsid w:val="002E155D"/>
    <w:rsid w:val="002E1D01"/>
    <w:rsid w:val="002E1E5C"/>
    <w:rsid w:val="002E287E"/>
    <w:rsid w:val="002E2894"/>
    <w:rsid w:val="002E28E9"/>
    <w:rsid w:val="002E2936"/>
    <w:rsid w:val="002E358B"/>
    <w:rsid w:val="002E35D4"/>
    <w:rsid w:val="002E3FA6"/>
    <w:rsid w:val="002E4903"/>
    <w:rsid w:val="002E4D3A"/>
    <w:rsid w:val="002E4E37"/>
    <w:rsid w:val="002E4EA5"/>
    <w:rsid w:val="002E5313"/>
    <w:rsid w:val="002E565D"/>
    <w:rsid w:val="002E5882"/>
    <w:rsid w:val="002E597F"/>
    <w:rsid w:val="002E5CB8"/>
    <w:rsid w:val="002E5D0E"/>
    <w:rsid w:val="002E64DB"/>
    <w:rsid w:val="002E694A"/>
    <w:rsid w:val="002E69D0"/>
    <w:rsid w:val="002E69F2"/>
    <w:rsid w:val="002E6D0F"/>
    <w:rsid w:val="002E7042"/>
    <w:rsid w:val="002E7490"/>
    <w:rsid w:val="002E76B1"/>
    <w:rsid w:val="002E7DF6"/>
    <w:rsid w:val="002F062E"/>
    <w:rsid w:val="002F07AA"/>
    <w:rsid w:val="002F0901"/>
    <w:rsid w:val="002F0A2E"/>
    <w:rsid w:val="002F0E84"/>
    <w:rsid w:val="002F1505"/>
    <w:rsid w:val="002F1C17"/>
    <w:rsid w:val="002F1F14"/>
    <w:rsid w:val="002F2063"/>
    <w:rsid w:val="002F20D4"/>
    <w:rsid w:val="002F2296"/>
    <w:rsid w:val="002F25CA"/>
    <w:rsid w:val="002F2A8D"/>
    <w:rsid w:val="002F2EA8"/>
    <w:rsid w:val="002F2ECB"/>
    <w:rsid w:val="002F2EDE"/>
    <w:rsid w:val="002F31E9"/>
    <w:rsid w:val="002F3765"/>
    <w:rsid w:val="002F3B7A"/>
    <w:rsid w:val="002F450F"/>
    <w:rsid w:val="002F463D"/>
    <w:rsid w:val="002F4640"/>
    <w:rsid w:val="002F474C"/>
    <w:rsid w:val="002F48E2"/>
    <w:rsid w:val="002F4A18"/>
    <w:rsid w:val="002F4F1B"/>
    <w:rsid w:val="002F523B"/>
    <w:rsid w:val="002F529E"/>
    <w:rsid w:val="002F5A36"/>
    <w:rsid w:val="002F5CB2"/>
    <w:rsid w:val="002F5E69"/>
    <w:rsid w:val="002F5F37"/>
    <w:rsid w:val="002F6696"/>
    <w:rsid w:val="002F6B4C"/>
    <w:rsid w:val="002F6F20"/>
    <w:rsid w:val="002F79C0"/>
    <w:rsid w:val="003002D3"/>
    <w:rsid w:val="003003D8"/>
    <w:rsid w:val="00300875"/>
    <w:rsid w:val="0030101B"/>
    <w:rsid w:val="00301232"/>
    <w:rsid w:val="00301294"/>
    <w:rsid w:val="00301575"/>
    <w:rsid w:val="0030194C"/>
    <w:rsid w:val="003019EA"/>
    <w:rsid w:val="00302172"/>
    <w:rsid w:val="00302676"/>
    <w:rsid w:val="003032B9"/>
    <w:rsid w:val="003032D4"/>
    <w:rsid w:val="00303337"/>
    <w:rsid w:val="0030359F"/>
    <w:rsid w:val="003035CF"/>
    <w:rsid w:val="003037FA"/>
    <w:rsid w:val="00303CAB"/>
    <w:rsid w:val="00303F2A"/>
    <w:rsid w:val="0030448E"/>
    <w:rsid w:val="00304792"/>
    <w:rsid w:val="00304DEE"/>
    <w:rsid w:val="0030510B"/>
    <w:rsid w:val="0030566E"/>
    <w:rsid w:val="0030585C"/>
    <w:rsid w:val="00305942"/>
    <w:rsid w:val="0030699D"/>
    <w:rsid w:val="00307361"/>
    <w:rsid w:val="003073C4"/>
    <w:rsid w:val="00307544"/>
    <w:rsid w:val="00307B5E"/>
    <w:rsid w:val="0031003A"/>
    <w:rsid w:val="0031096D"/>
    <w:rsid w:val="00311FB1"/>
    <w:rsid w:val="003125F7"/>
    <w:rsid w:val="00312D95"/>
    <w:rsid w:val="00313950"/>
    <w:rsid w:val="00314709"/>
    <w:rsid w:val="003151FB"/>
    <w:rsid w:val="00315B19"/>
    <w:rsid w:val="00315C12"/>
    <w:rsid w:val="00315F0F"/>
    <w:rsid w:val="00316D06"/>
    <w:rsid w:val="00316EAD"/>
    <w:rsid w:val="00316F21"/>
    <w:rsid w:val="00316FC0"/>
    <w:rsid w:val="00317489"/>
    <w:rsid w:val="0031797E"/>
    <w:rsid w:val="00320551"/>
    <w:rsid w:val="003206DF"/>
    <w:rsid w:val="00320897"/>
    <w:rsid w:val="00320997"/>
    <w:rsid w:val="00321365"/>
    <w:rsid w:val="00321392"/>
    <w:rsid w:val="00321C0E"/>
    <w:rsid w:val="00321CE1"/>
    <w:rsid w:val="00321FE1"/>
    <w:rsid w:val="003230DF"/>
    <w:rsid w:val="003233C0"/>
    <w:rsid w:val="0032368F"/>
    <w:rsid w:val="00323B30"/>
    <w:rsid w:val="00323E1F"/>
    <w:rsid w:val="00323F7D"/>
    <w:rsid w:val="00324204"/>
    <w:rsid w:val="003248F6"/>
    <w:rsid w:val="00324D10"/>
    <w:rsid w:val="00325062"/>
    <w:rsid w:val="0032644B"/>
    <w:rsid w:val="00326480"/>
    <w:rsid w:val="003267EF"/>
    <w:rsid w:val="00327399"/>
    <w:rsid w:val="0032760C"/>
    <w:rsid w:val="00327B6D"/>
    <w:rsid w:val="00330153"/>
    <w:rsid w:val="003304A0"/>
    <w:rsid w:val="00330B91"/>
    <w:rsid w:val="00330DA6"/>
    <w:rsid w:val="003311BA"/>
    <w:rsid w:val="00331713"/>
    <w:rsid w:val="003319F6"/>
    <w:rsid w:val="003319F9"/>
    <w:rsid w:val="00331D13"/>
    <w:rsid w:val="0033241E"/>
    <w:rsid w:val="003329CD"/>
    <w:rsid w:val="00332CB6"/>
    <w:rsid w:val="003330E3"/>
    <w:rsid w:val="0033363E"/>
    <w:rsid w:val="003341D5"/>
    <w:rsid w:val="003343C8"/>
    <w:rsid w:val="0033480D"/>
    <w:rsid w:val="00334A41"/>
    <w:rsid w:val="00334E5F"/>
    <w:rsid w:val="00334F71"/>
    <w:rsid w:val="00335464"/>
    <w:rsid w:val="003356BA"/>
    <w:rsid w:val="003366D0"/>
    <w:rsid w:val="00336A74"/>
    <w:rsid w:val="003370E5"/>
    <w:rsid w:val="0033760C"/>
    <w:rsid w:val="00337A0C"/>
    <w:rsid w:val="003404BA"/>
    <w:rsid w:val="003408AD"/>
    <w:rsid w:val="00340C64"/>
    <w:rsid w:val="00341A5B"/>
    <w:rsid w:val="00342CF4"/>
    <w:rsid w:val="00343077"/>
    <w:rsid w:val="003436A1"/>
    <w:rsid w:val="003437C0"/>
    <w:rsid w:val="00343B66"/>
    <w:rsid w:val="00343C4E"/>
    <w:rsid w:val="00344455"/>
    <w:rsid w:val="003445F0"/>
    <w:rsid w:val="00344744"/>
    <w:rsid w:val="00344963"/>
    <w:rsid w:val="00344C70"/>
    <w:rsid w:val="00346054"/>
    <w:rsid w:val="00346323"/>
    <w:rsid w:val="003463B6"/>
    <w:rsid w:val="0034655B"/>
    <w:rsid w:val="00346ABE"/>
    <w:rsid w:val="00346AE9"/>
    <w:rsid w:val="00346B3E"/>
    <w:rsid w:val="00346C8D"/>
    <w:rsid w:val="00346DE3"/>
    <w:rsid w:val="0034743A"/>
    <w:rsid w:val="003474B9"/>
    <w:rsid w:val="0034770D"/>
    <w:rsid w:val="00347B5D"/>
    <w:rsid w:val="00350227"/>
    <w:rsid w:val="0035121D"/>
    <w:rsid w:val="0035126E"/>
    <w:rsid w:val="00351477"/>
    <w:rsid w:val="00351589"/>
    <w:rsid w:val="00351A76"/>
    <w:rsid w:val="00351D12"/>
    <w:rsid w:val="003522D8"/>
    <w:rsid w:val="003528FA"/>
    <w:rsid w:val="00352919"/>
    <w:rsid w:val="00352A04"/>
    <w:rsid w:val="00352BF9"/>
    <w:rsid w:val="00352D37"/>
    <w:rsid w:val="00352F02"/>
    <w:rsid w:val="00352F96"/>
    <w:rsid w:val="00353266"/>
    <w:rsid w:val="0035344D"/>
    <w:rsid w:val="0035363B"/>
    <w:rsid w:val="003539C3"/>
    <w:rsid w:val="00353ADA"/>
    <w:rsid w:val="00353B58"/>
    <w:rsid w:val="003540BC"/>
    <w:rsid w:val="00354128"/>
    <w:rsid w:val="00354853"/>
    <w:rsid w:val="00354AB3"/>
    <w:rsid w:val="00355138"/>
    <w:rsid w:val="00355821"/>
    <w:rsid w:val="00355DDF"/>
    <w:rsid w:val="00356299"/>
    <w:rsid w:val="00356EFD"/>
    <w:rsid w:val="0035741A"/>
    <w:rsid w:val="00357FF1"/>
    <w:rsid w:val="003602C6"/>
    <w:rsid w:val="003603AB"/>
    <w:rsid w:val="00360E22"/>
    <w:rsid w:val="00361385"/>
    <w:rsid w:val="0036205E"/>
    <w:rsid w:val="00362B05"/>
    <w:rsid w:val="00362C9B"/>
    <w:rsid w:val="003638BD"/>
    <w:rsid w:val="00363B97"/>
    <w:rsid w:val="003641C4"/>
    <w:rsid w:val="00364E65"/>
    <w:rsid w:val="0036527B"/>
    <w:rsid w:val="00365727"/>
    <w:rsid w:val="00365765"/>
    <w:rsid w:val="00366219"/>
    <w:rsid w:val="00366380"/>
    <w:rsid w:val="00366430"/>
    <w:rsid w:val="00366602"/>
    <w:rsid w:val="0036677B"/>
    <w:rsid w:val="00367BDF"/>
    <w:rsid w:val="00367C81"/>
    <w:rsid w:val="00370B7B"/>
    <w:rsid w:val="00370CAE"/>
    <w:rsid w:val="00370E70"/>
    <w:rsid w:val="00371369"/>
    <w:rsid w:val="003713E2"/>
    <w:rsid w:val="00371B95"/>
    <w:rsid w:val="00372769"/>
    <w:rsid w:val="003737C7"/>
    <w:rsid w:val="00373D8E"/>
    <w:rsid w:val="00374959"/>
    <w:rsid w:val="00375279"/>
    <w:rsid w:val="00375986"/>
    <w:rsid w:val="00375A7F"/>
    <w:rsid w:val="00375B64"/>
    <w:rsid w:val="00375C0B"/>
    <w:rsid w:val="003762AA"/>
    <w:rsid w:val="003765D6"/>
    <w:rsid w:val="0037675C"/>
    <w:rsid w:val="003804AE"/>
    <w:rsid w:val="00380C2C"/>
    <w:rsid w:val="0038112A"/>
    <w:rsid w:val="0038122D"/>
    <w:rsid w:val="003812A2"/>
    <w:rsid w:val="00381DE9"/>
    <w:rsid w:val="0038223A"/>
    <w:rsid w:val="00382837"/>
    <w:rsid w:val="00382A3F"/>
    <w:rsid w:val="00382CEB"/>
    <w:rsid w:val="00382E5A"/>
    <w:rsid w:val="00382F3E"/>
    <w:rsid w:val="00382F57"/>
    <w:rsid w:val="003830DA"/>
    <w:rsid w:val="0038333E"/>
    <w:rsid w:val="0038343A"/>
    <w:rsid w:val="00383533"/>
    <w:rsid w:val="00383E1D"/>
    <w:rsid w:val="00383E5C"/>
    <w:rsid w:val="0038464A"/>
    <w:rsid w:val="003846CF"/>
    <w:rsid w:val="00384996"/>
    <w:rsid w:val="00384BA6"/>
    <w:rsid w:val="00384FF8"/>
    <w:rsid w:val="00385067"/>
    <w:rsid w:val="00385E73"/>
    <w:rsid w:val="0038665F"/>
    <w:rsid w:val="0038685D"/>
    <w:rsid w:val="00386B9D"/>
    <w:rsid w:val="00386BCD"/>
    <w:rsid w:val="00387342"/>
    <w:rsid w:val="003873FD"/>
    <w:rsid w:val="003875ED"/>
    <w:rsid w:val="00390536"/>
    <w:rsid w:val="00390E60"/>
    <w:rsid w:val="0039125E"/>
    <w:rsid w:val="003914CA"/>
    <w:rsid w:val="0039192A"/>
    <w:rsid w:val="003919F7"/>
    <w:rsid w:val="00391CE0"/>
    <w:rsid w:val="0039240B"/>
    <w:rsid w:val="00393024"/>
    <w:rsid w:val="00393484"/>
    <w:rsid w:val="00393DE2"/>
    <w:rsid w:val="00394076"/>
    <w:rsid w:val="003949F2"/>
    <w:rsid w:val="00396AC1"/>
    <w:rsid w:val="003979D9"/>
    <w:rsid w:val="003A01FF"/>
    <w:rsid w:val="003A02F9"/>
    <w:rsid w:val="003A0390"/>
    <w:rsid w:val="003A03A3"/>
    <w:rsid w:val="003A042A"/>
    <w:rsid w:val="003A07A9"/>
    <w:rsid w:val="003A0B6D"/>
    <w:rsid w:val="003A0E1F"/>
    <w:rsid w:val="003A124B"/>
    <w:rsid w:val="003A179F"/>
    <w:rsid w:val="003A2772"/>
    <w:rsid w:val="003A2EFF"/>
    <w:rsid w:val="003A3074"/>
    <w:rsid w:val="003A3394"/>
    <w:rsid w:val="003A3773"/>
    <w:rsid w:val="003A401C"/>
    <w:rsid w:val="003A4047"/>
    <w:rsid w:val="003A4764"/>
    <w:rsid w:val="003A5146"/>
    <w:rsid w:val="003A54F2"/>
    <w:rsid w:val="003A5E5D"/>
    <w:rsid w:val="003A6238"/>
    <w:rsid w:val="003A68C9"/>
    <w:rsid w:val="003A6CA5"/>
    <w:rsid w:val="003A6CD6"/>
    <w:rsid w:val="003A6F78"/>
    <w:rsid w:val="003A7B24"/>
    <w:rsid w:val="003A7F8A"/>
    <w:rsid w:val="003B0606"/>
    <w:rsid w:val="003B0ACD"/>
    <w:rsid w:val="003B0DD4"/>
    <w:rsid w:val="003B1E2E"/>
    <w:rsid w:val="003B2217"/>
    <w:rsid w:val="003B2780"/>
    <w:rsid w:val="003B28B5"/>
    <w:rsid w:val="003B2F0C"/>
    <w:rsid w:val="003B3675"/>
    <w:rsid w:val="003B3727"/>
    <w:rsid w:val="003B3DFD"/>
    <w:rsid w:val="003B48F4"/>
    <w:rsid w:val="003B49FC"/>
    <w:rsid w:val="003B4DE1"/>
    <w:rsid w:val="003B4F39"/>
    <w:rsid w:val="003B6914"/>
    <w:rsid w:val="003B7A48"/>
    <w:rsid w:val="003B7E6D"/>
    <w:rsid w:val="003C06D2"/>
    <w:rsid w:val="003C0A54"/>
    <w:rsid w:val="003C0AAA"/>
    <w:rsid w:val="003C1179"/>
    <w:rsid w:val="003C17B6"/>
    <w:rsid w:val="003C1D09"/>
    <w:rsid w:val="003C293B"/>
    <w:rsid w:val="003C2AAB"/>
    <w:rsid w:val="003C301C"/>
    <w:rsid w:val="003C336C"/>
    <w:rsid w:val="003C353F"/>
    <w:rsid w:val="003C37D1"/>
    <w:rsid w:val="003C3BA6"/>
    <w:rsid w:val="003C4DE1"/>
    <w:rsid w:val="003C56AA"/>
    <w:rsid w:val="003C5794"/>
    <w:rsid w:val="003C5964"/>
    <w:rsid w:val="003C5E43"/>
    <w:rsid w:val="003C6319"/>
    <w:rsid w:val="003C663C"/>
    <w:rsid w:val="003C7088"/>
    <w:rsid w:val="003C775E"/>
    <w:rsid w:val="003C7A80"/>
    <w:rsid w:val="003C7F61"/>
    <w:rsid w:val="003D01FB"/>
    <w:rsid w:val="003D0799"/>
    <w:rsid w:val="003D0D8E"/>
    <w:rsid w:val="003D0E0E"/>
    <w:rsid w:val="003D1191"/>
    <w:rsid w:val="003D11C7"/>
    <w:rsid w:val="003D142E"/>
    <w:rsid w:val="003D20D4"/>
    <w:rsid w:val="003D277C"/>
    <w:rsid w:val="003D2880"/>
    <w:rsid w:val="003D28B6"/>
    <w:rsid w:val="003D2CFE"/>
    <w:rsid w:val="003D2D9E"/>
    <w:rsid w:val="003D31B4"/>
    <w:rsid w:val="003D3923"/>
    <w:rsid w:val="003D486E"/>
    <w:rsid w:val="003D4ACB"/>
    <w:rsid w:val="003D4D1B"/>
    <w:rsid w:val="003D4D80"/>
    <w:rsid w:val="003D5636"/>
    <w:rsid w:val="003D5763"/>
    <w:rsid w:val="003D5851"/>
    <w:rsid w:val="003D5F9F"/>
    <w:rsid w:val="003D6EE3"/>
    <w:rsid w:val="003D765C"/>
    <w:rsid w:val="003D7B81"/>
    <w:rsid w:val="003D7E87"/>
    <w:rsid w:val="003D7ED0"/>
    <w:rsid w:val="003E0883"/>
    <w:rsid w:val="003E09AD"/>
    <w:rsid w:val="003E17A8"/>
    <w:rsid w:val="003E17DB"/>
    <w:rsid w:val="003E1928"/>
    <w:rsid w:val="003E1E67"/>
    <w:rsid w:val="003E23AC"/>
    <w:rsid w:val="003E2768"/>
    <w:rsid w:val="003E27E2"/>
    <w:rsid w:val="003E2AE8"/>
    <w:rsid w:val="003E2BB7"/>
    <w:rsid w:val="003E2F09"/>
    <w:rsid w:val="003E32CC"/>
    <w:rsid w:val="003E336A"/>
    <w:rsid w:val="003E37BE"/>
    <w:rsid w:val="003E3848"/>
    <w:rsid w:val="003E3876"/>
    <w:rsid w:val="003E3A52"/>
    <w:rsid w:val="003E3E56"/>
    <w:rsid w:val="003E40A3"/>
    <w:rsid w:val="003E5B86"/>
    <w:rsid w:val="003E636E"/>
    <w:rsid w:val="003E6558"/>
    <w:rsid w:val="003E6A00"/>
    <w:rsid w:val="003E6B07"/>
    <w:rsid w:val="003E6B8F"/>
    <w:rsid w:val="003E74D4"/>
    <w:rsid w:val="003E77FE"/>
    <w:rsid w:val="003E787D"/>
    <w:rsid w:val="003F025A"/>
    <w:rsid w:val="003F08E4"/>
    <w:rsid w:val="003F0D5F"/>
    <w:rsid w:val="003F1032"/>
    <w:rsid w:val="003F1060"/>
    <w:rsid w:val="003F1366"/>
    <w:rsid w:val="003F15B1"/>
    <w:rsid w:val="003F191F"/>
    <w:rsid w:val="003F260F"/>
    <w:rsid w:val="003F2889"/>
    <w:rsid w:val="003F43E9"/>
    <w:rsid w:val="003F5041"/>
    <w:rsid w:val="003F6095"/>
    <w:rsid w:val="003F63D4"/>
    <w:rsid w:val="003F6478"/>
    <w:rsid w:val="003F650C"/>
    <w:rsid w:val="003F66E6"/>
    <w:rsid w:val="003F69E3"/>
    <w:rsid w:val="003F6D43"/>
    <w:rsid w:val="003F6DA3"/>
    <w:rsid w:val="003F73A3"/>
    <w:rsid w:val="003F779B"/>
    <w:rsid w:val="003F7C0A"/>
    <w:rsid w:val="003F7D25"/>
    <w:rsid w:val="003F7D84"/>
    <w:rsid w:val="003F7DF6"/>
    <w:rsid w:val="003F7EF3"/>
    <w:rsid w:val="00400114"/>
    <w:rsid w:val="004002B4"/>
    <w:rsid w:val="0040086A"/>
    <w:rsid w:val="00400C68"/>
    <w:rsid w:val="00400EA4"/>
    <w:rsid w:val="0040107A"/>
    <w:rsid w:val="0040159F"/>
    <w:rsid w:val="004017B5"/>
    <w:rsid w:val="0040195E"/>
    <w:rsid w:val="0040199F"/>
    <w:rsid w:val="00401ADB"/>
    <w:rsid w:val="00401C98"/>
    <w:rsid w:val="00401E05"/>
    <w:rsid w:val="004026EC"/>
    <w:rsid w:val="00402984"/>
    <w:rsid w:val="00402B1B"/>
    <w:rsid w:val="00402BA7"/>
    <w:rsid w:val="00402C4A"/>
    <w:rsid w:val="00403041"/>
    <w:rsid w:val="004032F2"/>
    <w:rsid w:val="004039BB"/>
    <w:rsid w:val="00403F2A"/>
    <w:rsid w:val="00404683"/>
    <w:rsid w:val="00404C9E"/>
    <w:rsid w:val="00405C20"/>
    <w:rsid w:val="00406136"/>
    <w:rsid w:val="004069B2"/>
    <w:rsid w:val="00406A95"/>
    <w:rsid w:val="00406C02"/>
    <w:rsid w:val="004070D3"/>
    <w:rsid w:val="0040783B"/>
    <w:rsid w:val="00407D78"/>
    <w:rsid w:val="0041079D"/>
    <w:rsid w:val="00411119"/>
    <w:rsid w:val="0041183B"/>
    <w:rsid w:val="00411B3E"/>
    <w:rsid w:val="00411B9A"/>
    <w:rsid w:val="00411D56"/>
    <w:rsid w:val="00412018"/>
    <w:rsid w:val="00412774"/>
    <w:rsid w:val="00412A68"/>
    <w:rsid w:val="00412B3A"/>
    <w:rsid w:val="00412D9F"/>
    <w:rsid w:val="004132D5"/>
    <w:rsid w:val="00413382"/>
    <w:rsid w:val="004134A2"/>
    <w:rsid w:val="00413B90"/>
    <w:rsid w:val="00413BC6"/>
    <w:rsid w:val="004143EA"/>
    <w:rsid w:val="004146B0"/>
    <w:rsid w:val="00415020"/>
    <w:rsid w:val="0041636D"/>
    <w:rsid w:val="004169F1"/>
    <w:rsid w:val="00416B39"/>
    <w:rsid w:val="00417503"/>
    <w:rsid w:val="00417863"/>
    <w:rsid w:val="0041787C"/>
    <w:rsid w:val="004204A6"/>
    <w:rsid w:val="004204E1"/>
    <w:rsid w:val="00420A69"/>
    <w:rsid w:val="004214D6"/>
    <w:rsid w:val="00421A57"/>
    <w:rsid w:val="00421AC6"/>
    <w:rsid w:val="0042209A"/>
    <w:rsid w:val="004225A4"/>
    <w:rsid w:val="004229C5"/>
    <w:rsid w:val="00422B68"/>
    <w:rsid w:val="00422FE7"/>
    <w:rsid w:val="0042314D"/>
    <w:rsid w:val="00423771"/>
    <w:rsid w:val="0042405E"/>
    <w:rsid w:val="004244B1"/>
    <w:rsid w:val="00424D5D"/>
    <w:rsid w:val="0042541A"/>
    <w:rsid w:val="004254E0"/>
    <w:rsid w:val="00426033"/>
    <w:rsid w:val="0042633B"/>
    <w:rsid w:val="00426370"/>
    <w:rsid w:val="00426885"/>
    <w:rsid w:val="004270ED"/>
    <w:rsid w:val="004271C3"/>
    <w:rsid w:val="0042725F"/>
    <w:rsid w:val="0042738C"/>
    <w:rsid w:val="004274F2"/>
    <w:rsid w:val="004279DC"/>
    <w:rsid w:val="00427C5A"/>
    <w:rsid w:val="00427FFB"/>
    <w:rsid w:val="00430426"/>
    <w:rsid w:val="004304ED"/>
    <w:rsid w:val="00430F24"/>
    <w:rsid w:val="00431042"/>
    <w:rsid w:val="00431225"/>
    <w:rsid w:val="00431293"/>
    <w:rsid w:val="004316B0"/>
    <w:rsid w:val="004319B3"/>
    <w:rsid w:val="00431A96"/>
    <w:rsid w:val="00431C93"/>
    <w:rsid w:val="00432410"/>
    <w:rsid w:val="00432693"/>
    <w:rsid w:val="004327EA"/>
    <w:rsid w:val="00432877"/>
    <w:rsid w:val="004329BD"/>
    <w:rsid w:val="00432C41"/>
    <w:rsid w:val="0043342F"/>
    <w:rsid w:val="00433689"/>
    <w:rsid w:val="00433B81"/>
    <w:rsid w:val="00433B82"/>
    <w:rsid w:val="00433B9D"/>
    <w:rsid w:val="00433D28"/>
    <w:rsid w:val="004342DA"/>
    <w:rsid w:val="0043466E"/>
    <w:rsid w:val="00434C42"/>
    <w:rsid w:val="00434DDC"/>
    <w:rsid w:val="00435222"/>
    <w:rsid w:val="004354C6"/>
    <w:rsid w:val="004359E5"/>
    <w:rsid w:val="00435EDB"/>
    <w:rsid w:val="004363B5"/>
    <w:rsid w:val="00436A66"/>
    <w:rsid w:val="00436E4B"/>
    <w:rsid w:val="004374FA"/>
    <w:rsid w:val="0043754F"/>
    <w:rsid w:val="0043797A"/>
    <w:rsid w:val="00437FC6"/>
    <w:rsid w:val="0044019A"/>
    <w:rsid w:val="004401EB"/>
    <w:rsid w:val="004402F3"/>
    <w:rsid w:val="004409ED"/>
    <w:rsid w:val="00441839"/>
    <w:rsid w:val="00441B8A"/>
    <w:rsid w:val="00442A9A"/>
    <w:rsid w:val="00443410"/>
    <w:rsid w:val="0044357A"/>
    <w:rsid w:val="00443A4D"/>
    <w:rsid w:val="0044427B"/>
    <w:rsid w:val="0044429B"/>
    <w:rsid w:val="00444680"/>
    <w:rsid w:val="004449C0"/>
    <w:rsid w:val="00444B73"/>
    <w:rsid w:val="0044510B"/>
    <w:rsid w:val="00445404"/>
    <w:rsid w:val="00445679"/>
    <w:rsid w:val="00446607"/>
    <w:rsid w:val="00446734"/>
    <w:rsid w:val="00446A9F"/>
    <w:rsid w:val="00446B4F"/>
    <w:rsid w:val="00446D57"/>
    <w:rsid w:val="00447A37"/>
    <w:rsid w:val="00450038"/>
    <w:rsid w:val="00450043"/>
    <w:rsid w:val="00450929"/>
    <w:rsid w:val="00450ECB"/>
    <w:rsid w:val="004510D2"/>
    <w:rsid w:val="004512EB"/>
    <w:rsid w:val="004514F4"/>
    <w:rsid w:val="00451E13"/>
    <w:rsid w:val="0045203B"/>
    <w:rsid w:val="00452BC0"/>
    <w:rsid w:val="00452D09"/>
    <w:rsid w:val="00452D79"/>
    <w:rsid w:val="00453455"/>
    <w:rsid w:val="00453C62"/>
    <w:rsid w:val="00454BCE"/>
    <w:rsid w:val="00455293"/>
    <w:rsid w:val="004552B7"/>
    <w:rsid w:val="004558AA"/>
    <w:rsid w:val="00455CB3"/>
    <w:rsid w:val="00456031"/>
    <w:rsid w:val="004561A6"/>
    <w:rsid w:val="00456227"/>
    <w:rsid w:val="0045631E"/>
    <w:rsid w:val="00457D55"/>
    <w:rsid w:val="004615A2"/>
    <w:rsid w:val="00461ECE"/>
    <w:rsid w:val="00462906"/>
    <w:rsid w:val="00462C82"/>
    <w:rsid w:val="00462CAC"/>
    <w:rsid w:val="004630AE"/>
    <w:rsid w:val="00463111"/>
    <w:rsid w:val="00463589"/>
    <w:rsid w:val="00463620"/>
    <w:rsid w:val="004636EE"/>
    <w:rsid w:val="00463821"/>
    <w:rsid w:val="004638BF"/>
    <w:rsid w:val="00463B0D"/>
    <w:rsid w:val="00464402"/>
    <w:rsid w:val="0046517D"/>
    <w:rsid w:val="0046644B"/>
    <w:rsid w:val="00466CD0"/>
    <w:rsid w:val="00466F30"/>
    <w:rsid w:val="00466F61"/>
    <w:rsid w:val="0046780A"/>
    <w:rsid w:val="0046787B"/>
    <w:rsid w:val="004679BC"/>
    <w:rsid w:val="00467BDE"/>
    <w:rsid w:val="00467DB9"/>
    <w:rsid w:val="00467E7D"/>
    <w:rsid w:val="00467FB0"/>
    <w:rsid w:val="00470221"/>
    <w:rsid w:val="00470963"/>
    <w:rsid w:val="00470DEF"/>
    <w:rsid w:val="00471466"/>
    <w:rsid w:val="00471720"/>
    <w:rsid w:val="00472026"/>
    <w:rsid w:val="00472043"/>
    <w:rsid w:val="00472788"/>
    <w:rsid w:val="004730B5"/>
    <w:rsid w:val="00473274"/>
    <w:rsid w:val="004739F9"/>
    <w:rsid w:val="00473C5F"/>
    <w:rsid w:val="00473CD8"/>
    <w:rsid w:val="00473D02"/>
    <w:rsid w:val="00473D7D"/>
    <w:rsid w:val="00473FC8"/>
    <w:rsid w:val="0047403D"/>
    <w:rsid w:val="00474561"/>
    <w:rsid w:val="00474E62"/>
    <w:rsid w:val="00475E3A"/>
    <w:rsid w:val="00475F4B"/>
    <w:rsid w:val="004762DF"/>
    <w:rsid w:val="004763C2"/>
    <w:rsid w:val="004763EF"/>
    <w:rsid w:val="00476A5C"/>
    <w:rsid w:val="00476AA2"/>
    <w:rsid w:val="00476E50"/>
    <w:rsid w:val="00476E8F"/>
    <w:rsid w:val="00476EAD"/>
    <w:rsid w:val="00477432"/>
    <w:rsid w:val="00477859"/>
    <w:rsid w:val="00477CB3"/>
    <w:rsid w:val="004804E3"/>
    <w:rsid w:val="00480A92"/>
    <w:rsid w:val="00480D4B"/>
    <w:rsid w:val="00481883"/>
    <w:rsid w:val="004818D9"/>
    <w:rsid w:val="00481A0D"/>
    <w:rsid w:val="00481BCD"/>
    <w:rsid w:val="00482027"/>
    <w:rsid w:val="004821A8"/>
    <w:rsid w:val="004828D3"/>
    <w:rsid w:val="00482E26"/>
    <w:rsid w:val="004837FC"/>
    <w:rsid w:val="00484024"/>
    <w:rsid w:val="00484699"/>
    <w:rsid w:val="00484ED7"/>
    <w:rsid w:val="00485204"/>
    <w:rsid w:val="004854B5"/>
    <w:rsid w:val="00485AFF"/>
    <w:rsid w:val="00486270"/>
    <w:rsid w:val="00486563"/>
    <w:rsid w:val="004866B3"/>
    <w:rsid w:val="00486C91"/>
    <w:rsid w:val="004875FD"/>
    <w:rsid w:val="004876E0"/>
    <w:rsid w:val="004878EA"/>
    <w:rsid w:val="004878EC"/>
    <w:rsid w:val="00487990"/>
    <w:rsid w:val="00490438"/>
    <w:rsid w:val="00490984"/>
    <w:rsid w:val="00490E50"/>
    <w:rsid w:val="00490ED9"/>
    <w:rsid w:val="00491152"/>
    <w:rsid w:val="0049192C"/>
    <w:rsid w:val="004919A0"/>
    <w:rsid w:val="00491CF8"/>
    <w:rsid w:val="00491DF2"/>
    <w:rsid w:val="004924F3"/>
    <w:rsid w:val="00492694"/>
    <w:rsid w:val="0049299E"/>
    <w:rsid w:val="00493C12"/>
    <w:rsid w:val="004941E9"/>
    <w:rsid w:val="004947FF"/>
    <w:rsid w:val="00494B25"/>
    <w:rsid w:val="00495A36"/>
    <w:rsid w:val="00495BEA"/>
    <w:rsid w:val="00495D0F"/>
    <w:rsid w:val="0049645E"/>
    <w:rsid w:val="004971B8"/>
    <w:rsid w:val="00497E86"/>
    <w:rsid w:val="004A028D"/>
    <w:rsid w:val="004A0E1F"/>
    <w:rsid w:val="004A1166"/>
    <w:rsid w:val="004A1B64"/>
    <w:rsid w:val="004A1D66"/>
    <w:rsid w:val="004A1FDE"/>
    <w:rsid w:val="004A2CBA"/>
    <w:rsid w:val="004A2DA3"/>
    <w:rsid w:val="004A3880"/>
    <w:rsid w:val="004A3A4D"/>
    <w:rsid w:val="004A4054"/>
    <w:rsid w:val="004A4188"/>
    <w:rsid w:val="004A42E1"/>
    <w:rsid w:val="004A4807"/>
    <w:rsid w:val="004A5845"/>
    <w:rsid w:val="004A5A10"/>
    <w:rsid w:val="004A5DE6"/>
    <w:rsid w:val="004A5E9E"/>
    <w:rsid w:val="004A6231"/>
    <w:rsid w:val="004A67C4"/>
    <w:rsid w:val="004A6944"/>
    <w:rsid w:val="004A694D"/>
    <w:rsid w:val="004A7221"/>
    <w:rsid w:val="004A799C"/>
    <w:rsid w:val="004A7BEF"/>
    <w:rsid w:val="004B00D1"/>
    <w:rsid w:val="004B060A"/>
    <w:rsid w:val="004B0654"/>
    <w:rsid w:val="004B083B"/>
    <w:rsid w:val="004B0BEA"/>
    <w:rsid w:val="004B0F5B"/>
    <w:rsid w:val="004B1A42"/>
    <w:rsid w:val="004B1E9E"/>
    <w:rsid w:val="004B207D"/>
    <w:rsid w:val="004B26F3"/>
    <w:rsid w:val="004B2A03"/>
    <w:rsid w:val="004B2A7F"/>
    <w:rsid w:val="004B2E43"/>
    <w:rsid w:val="004B3DE2"/>
    <w:rsid w:val="004B3E14"/>
    <w:rsid w:val="004B4663"/>
    <w:rsid w:val="004B479D"/>
    <w:rsid w:val="004B4EE7"/>
    <w:rsid w:val="004B5035"/>
    <w:rsid w:val="004B5561"/>
    <w:rsid w:val="004B5791"/>
    <w:rsid w:val="004B59BE"/>
    <w:rsid w:val="004B5E0D"/>
    <w:rsid w:val="004B5F5C"/>
    <w:rsid w:val="004B602B"/>
    <w:rsid w:val="004B6A08"/>
    <w:rsid w:val="004B72DB"/>
    <w:rsid w:val="004B78DF"/>
    <w:rsid w:val="004C02EC"/>
    <w:rsid w:val="004C04B0"/>
    <w:rsid w:val="004C0DED"/>
    <w:rsid w:val="004C108F"/>
    <w:rsid w:val="004C14E4"/>
    <w:rsid w:val="004C1546"/>
    <w:rsid w:val="004C17A9"/>
    <w:rsid w:val="004C1C3D"/>
    <w:rsid w:val="004C1EBB"/>
    <w:rsid w:val="004C272A"/>
    <w:rsid w:val="004C2B96"/>
    <w:rsid w:val="004C3279"/>
    <w:rsid w:val="004C388D"/>
    <w:rsid w:val="004C44BC"/>
    <w:rsid w:val="004C4552"/>
    <w:rsid w:val="004C482D"/>
    <w:rsid w:val="004C52DD"/>
    <w:rsid w:val="004C5624"/>
    <w:rsid w:val="004C5804"/>
    <w:rsid w:val="004C5D4F"/>
    <w:rsid w:val="004C621C"/>
    <w:rsid w:val="004C6FC9"/>
    <w:rsid w:val="004C70D6"/>
    <w:rsid w:val="004C7248"/>
    <w:rsid w:val="004C7BD7"/>
    <w:rsid w:val="004D0143"/>
    <w:rsid w:val="004D0386"/>
    <w:rsid w:val="004D058F"/>
    <w:rsid w:val="004D0DA2"/>
    <w:rsid w:val="004D1EC5"/>
    <w:rsid w:val="004D1FD7"/>
    <w:rsid w:val="004D2C56"/>
    <w:rsid w:val="004D3000"/>
    <w:rsid w:val="004D31F1"/>
    <w:rsid w:val="004D3A81"/>
    <w:rsid w:val="004D3B06"/>
    <w:rsid w:val="004D4067"/>
    <w:rsid w:val="004D4264"/>
    <w:rsid w:val="004D433B"/>
    <w:rsid w:val="004D4AF6"/>
    <w:rsid w:val="004D4D2A"/>
    <w:rsid w:val="004D52D5"/>
    <w:rsid w:val="004D55D1"/>
    <w:rsid w:val="004D5C5F"/>
    <w:rsid w:val="004D5CD1"/>
    <w:rsid w:val="004D6340"/>
    <w:rsid w:val="004D6578"/>
    <w:rsid w:val="004D6A6B"/>
    <w:rsid w:val="004D6B36"/>
    <w:rsid w:val="004D723F"/>
    <w:rsid w:val="004D7362"/>
    <w:rsid w:val="004D760C"/>
    <w:rsid w:val="004D76DC"/>
    <w:rsid w:val="004D7C05"/>
    <w:rsid w:val="004D7D6C"/>
    <w:rsid w:val="004D7FB0"/>
    <w:rsid w:val="004E09BA"/>
    <w:rsid w:val="004E0AE4"/>
    <w:rsid w:val="004E0BA1"/>
    <w:rsid w:val="004E0F9A"/>
    <w:rsid w:val="004E1992"/>
    <w:rsid w:val="004E19CC"/>
    <w:rsid w:val="004E1E32"/>
    <w:rsid w:val="004E2953"/>
    <w:rsid w:val="004E2A88"/>
    <w:rsid w:val="004E2B49"/>
    <w:rsid w:val="004E2BB3"/>
    <w:rsid w:val="004E2C75"/>
    <w:rsid w:val="004E3436"/>
    <w:rsid w:val="004E3442"/>
    <w:rsid w:val="004E38B7"/>
    <w:rsid w:val="004E4332"/>
    <w:rsid w:val="004E48B2"/>
    <w:rsid w:val="004E4D68"/>
    <w:rsid w:val="004E4F35"/>
    <w:rsid w:val="004E5204"/>
    <w:rsid w:val="004E5455"/>
    <w:rsid w:val="004E5D02"/>
    <w:rsid w:val="004E642B"/>
    <w:rsid w:val="004E64BB"/>
    <w:rsid w:val="004E6A31"/>
    <w:rsid w:val="004E6EAE"/>
    <w:rsid w:val="004E77A5"/>
    <w:rsid w:val="004E7BDC"/>
    <w:rsid w:val="004F005C"/>
    <w:rsid w:val="004F01DB"/>
    <w:rsid w:val="004F0B9A"/>
    <w:rsid w:val="004F0C6E"/>
    <w:rsid w:val="004F0F27"/>
    <w:rsid w:val="004F1210"/>
    <w:rsid w:val="004F14FD"/>
    <w:rsid w:val="004F17A4"/>
    <w:rsid w:val="004F2127"/>
    <w:rsid w:val="004F21A0"/>
    <w:rsid w:val="004F23F9"/>
    <w:rsid w:val="004F246A"/>
    <w:rsid w:val="004F269A"/>
    <w:rsid w:val="004F3285"/>
    <w:rsid w:val="004F328E"/>
    <w:rsid w:val="004F349F"/>
    <w:rsid w:val="004F3583"/>
    <w:rsid w:val="004F36FA"/>
    <w:rsid w:val="004F3A76"/>
    <w:rsid w:val="004F435C"/>
    <w:rsid w:val="004F5643"/>
    <w:rsid w:val="004F5658"/>
    <w:rsid w:val="004F5C5F"/>
    <w:rsid w:val="004F69FE"/>
    <w:rsid w:val="004F79AD"/>
    <w:rsid w:val="004F7CC2"/>
    <w:rsid w:val="0050029C"/>
    <w:rsid w:val="00500D69"/>
    <w:rsid w:val="00501770"/>
    <w:rsid w:val="00501DEE"/>
    <w:rsid w:val="00501E3D"/>
    <w:rsid w:val="0050252F"/>
    <w:rsid w:val="00503395"/>
    <w:rsid w:val="00503527"/>
    <w:rsid w:val="00503B08"/>
    <w:rsid w:val="00503E9E"/>
    <w:rsid w:val="005042E2"/>
    <w:rsid w:val="0050460F"/>
    <w:rsid w:val="00504F66"/>
    <w:rsid w:val="00506C98"/>
    <w:rsid w:val="00506F99"/>
    <w:rsid w:val="005074CC"/>
    <w:rsid w:val="00507632"/>
    <w:rsid w:val="0051029C"/>
    <w:rsid w:val="005102CB"/>
    <w:rsid w:val="005105F4"/>
    <w:rsid w:val="00510854"/>
    <w:rsid w:val="0051094B"/>
    <w:rsid w:val="005110BB"/>
    <w:rsid w:val="0051124D"/>
    <w:rsid w:val="0051149B"/>
    <w:rsid w:val="00511B08"/>
    <w:rsid w:val="005125C9"/>
    <w:rsid w:val="0051280D"/>
    <w:rsid w:val="00513370"/>
    <w:rsid w:val="0051399A"/>
    <w:rsid w:val="005139B1"/>
    <w:rsid w:val="00513CB1"/>
    <w:rsid w:val="00514201"/>
    <w:rsid w:val="00514E54"/>
    <w:rsid w:val="0051534D"/>
    <w:rsid w:val="005154F4"/>
    <w:rsid w:val="00515BA7"/>
    <w:rsid w:val="00515E6E"/>
    <w:rsid w:val="00515EB1"/>
    <w:rsid w:val="005163C9"/>
    <w:rsid w:val="005167F6"/>
    <w:rsid w:val="00516AC0"/>
    <w:rsid w:val="00517187"/>
    <w:rsid w:val="005177ED"/>
    <w:rsid w:val="00517B09"/>
    <w:rsid w:val="0052018E"/>
    <w:rsid w:val="005203CD"/>
    <w:rsid w:val="0052040C"/>
    <w:rsid w:val="0052081C"/>
    <w:rsid w:val="00520B0C"/>
    <w:rsid w:val="00520CBA"/>
    <w:rsid w:val="00521295"/>
    <w:rsid w:val="00521690"/>
    <w:rsid w:val="00521D3E"/>
    <w:rsid w:val="00521FF9"/>
    <w:rsid w:val="0052383D"/>
    <w:rsid w:val="00523B42"/>
    <w:rsid w:val="005244E2"/>
    <w:rsid w:val="005247C2"/>
    <w:rsid w:val="00524F3A"/>
    <w:rsid w:val="00525388"/>
    <w:rsid w:val="00525B30"/>
    <w:rsid w:val="00525B93"/>
    <w:rsid w:val="005262F3"/>
    <w:rsid w:val="00526B74"/>
    <w:rsid w:val="005270C3"/>
    <w:rsid w:val="00527BFC"/>
    <w:rsid w:val="00527C0E"/>
    <w:rsid w:val="005304C5"/>
    <w:rsid w:val="0053058A"/>
    <w:rsid w:val="0053102B"/>
    <w:rsid w:val="00531220"/>
    <w:rsid w:val="00531B40"/>
    <w:rsid w:val="00531D28"/>
    <w:rsid w:val="0053283B"/>
    <w:rsid w:val="00532B7F"/>
    <w:rsid w:val="00533031"/>
    <w:rsid w:val="00533384"/>
    <w:rsid w:val="005333F3"/>
    <w:rsid w:val="00533859"/>
    <w:rsid w:val="00533C86"/>
    <w:rsid w:val="005340B1"/>
    <w:rsid w:val="00534437"/>
    <w:rsid w:val="0053536D"/>
    <w:rsid w:val="00535975"/>
    <w:rsid w:val="0053602E"/>
    <w:rsid w:val="0053685E"/>
    <w:rsid w:val="00536896"/>
    <w:rsid w:val="0053713B"/>
    <w:rsid w:val="005374D2"/>
    <w:rsid w:val="00537B6C"/>
    <w:rsid w:val="00537DF9"/>
    <w:rsid w:val="00540682"/>
    <w:rsid w:val="005406F0"/>
    <w:rsid w:val="00540BCF"/>
    <w:rsid w:val="00540E72"/>
    <w:rsid w:val="0054159A"/>
    <w:rsid w:val="00541744"/>
    <w:rsid w:val="00541A58"/>
    <w:rsid w:val="00541AF0"/>
    <w:rsid w:val="00541CB1"/>
    <w:rsid w:val="00541ED6"/>
    <w:rsid w:val="00542336"/>
    <w:rsid w:val="00542494"/>
    <w:rsid w:val="005425C9"/>
    <w:rsid w:val="005426F9"/>
    <w:rsid w:val="00543116"/>
    <w:rsid w:val="00543166"/>
    <w:rsid w:val="005436D9"/>
    <w:rsid w:val="00543BFD"/>
    <w:rsid w:val="005444D5"/>
    <w:rsid w:val="0054455F"/>
    <w:rsid w:val="0054515D"/>
    <w:rsid w:val="00545A61"/>
    <w:rsid w:val="0054680C"/>
    <w:rsid w:val="00546CEA"/>
    <w:rsid w:val="00547183"/>
    <w:rsid w:val="005475DE"/>
    <w:rsid w:val="00547E28"/>
    <w:rsid w:val="00550AC1"/>
    <w:rsid w:val="00551A4F"/>
    <w:rsid w:val="00551ABB"/>
    <w:rsid w:val="00551B6F"/>
    <w:rsid w:val="005523EA"/>
    <w:rsid w:val="00552CB3"/>
    <w:rsid w:val="00552F32"/>
    <w:rsid w:val="0055366E"/>
    <w:rsid w:val="00553780"/>
    <w:rsid w:val="005538BB"/>
    <w:rsid w:val="00553BE8"/>
    <w:rsid w:val="00553E87"/>
    <w:rsid w:val="00553FB2"/>
    <w:rsid w:val="0055405F"/>
    <w:rsid w:val="00554841"/>
    <w:rsid w:val="00554939"/>
    <w:rsid w:val="00554EA9"/>
    <w:rsid w:val="00555A6C"/>
    <w:rsid w:val="00555B81"/>
    <w:rsid w:val="0055610B"/>
    <w:rsid w:val="00556A73"/>
    <w:rsid w:val="00556B83"/>
    <w:rsid w:val="00556D8D"/>
    <w:rsid w:val="00556DFA"/>
    <w:rsid w:val="005571F7"/>
    <w:rsid w:val="00560498"/>
    <w:rsid w:val="00560620"/>
    <w:rsid w:val="00560689"/>
    <w:rsid w:val="00560BB4"/>
    <w:rsid w:val="00561089"/>
    <w:rsid w:val="00561A4E"/>
    <w:rsid w:val="00561D52"/>
    <w:rsid w:val="00561F2C"/>
    <w:rsid w:val="00562367"/>
    <w:rsid w:val="00562546"/>
    <w:rsid w:val="00562635"/>
    <w:rsid w:val="005630F3"/>
    <w:rsid w:val="005631CC"/>
    <w:rsid w:val="0056348F"/>
    <w:rsid w:val="00563BE9"/>
    <w:rsid w:val="00563C50"/>
    <w:rsid w:val="00563CEE"/>
    <w:rsid w:val="00564231"/>
    <w:rsid w:val="00564399"/>
    <w:rsid w:val="00564B45"/>
    <w:rsid w:val="00564FA4"/>
    <w:rsid w:val="00565062"/>
    <w:rsid w:val="00565A2A"/>
    <w:rsid w:val="00565E1D"/>
    <w:rsid w:val="005665BB"/>
    <w:rsid w:val="00567068"/>
    <w:rsid w:val="005671E6"/>
    <w:rsid w:val="00567742"/>
    <w:rsid w:val="00567B64"/>
    <w:rsid w:val="00567D74"/>
    <w:rsid w:val="00570000"/>
    <w:rsid w:val="005702EE"/>
    <w:rsid w:val="005703E8"/>
    <w:rsid w:val="005704A8"/>
    <w:rsid w:val="00570BAD"/>
    <w:rsid w:val="00570D51"/>
    <w:rsid w:val="00571855"/>
    <w:rsid w:val="0057243B"/>
    <w:rsid w:val="00572640"/>
    <w:rsid w:val="00572EC0"/>
    <w:rsid w:val="00573172"/>
    <w:rsid w:val="0057370C"/>
    <w:rsid w:val="00573DE2"/>
    <w:rsid w:val="00574047"/>
    <w:rsid w:val="005741EB"/>
    <w:rsid w:val="00574295"/>
    <w:rsid w:val="00574721"/>
    <w:rsid w:val="00574C7B"/>
    <w:rsid w:val="00574EF2"/>
    <w:rsid w:val="00574F12"/>
    <w:rsid w:val="005754DF"/>
    <w:rsid w:val="005757FC"/>
    <w:rsid w:val="005758F2"/>
    <w:rsid w:val="00575AA2"/>
    <w:rsid w:val="00575F3F"/>
    <w:rsid w:val="00576537"/>
    <w:rsid w:val="00576B26"/>
    <w:rsid w:val="00576B65"/>
    <w:rsid w:val="00576D9B"/>
    <w:rsid w:val="00576ED3"/>
    <w:rsid w:val="00577305"/>
    <w:rsid w:val="005773C3"/>
    <w:rsid w:val="00577583"/>
    <w:rsid w:val="0057770A"/>
    <w:rsid w:val="0058037E"/>
    <w:rsid w:val="00580949"/>
    <w:rsid w:val="00580FA9"/>
    <w:rsid w:val="00581009"/>
    <w:rsid w:val="0058117C"/>
    <w:rsid w:val="00581B68"/>
    <w:rsid w:val="00581C03"/>
    <w:rsid w:val="00581DD1"/>
    <w:rsid w:val="005821A5"/>
    <w:rsid w:val="00582A42"/>
    <w:rsid w:val="00582B48"/>
    <w:rsid w:val="00583308"/>
    <w:rsid w:val="0058346B"/>
    <w:rsid w:val="00583824"/>
    <w:rsid w:val="00583835"/>
    <w:rsid w:val="00583852"/>
    <w:rsid w:val="00583E43"/>
    <w:rsid w:val="00583E53"/>
    <w:rsid w:val="0058425A"/>
    <w:rsid w:val="00584863"/>
    <w:rsid w:val="00584A77"/>
    <w:rsid w:val="00584DB9"/>
    <w:rsid w:val="00585AA1"/>
    <w:rsid w:val="00586923"/>
    <w:rsid w:val="00586977"/>
    <w:rsid w:val="00586D63"/>
    <w:rsid w:val="00587C3D"/>
    <w:rsid w:val="005903C6"/>
    <w:rsid w:val="00590502"/>
    <w:rsid w:val="005905F6"/>
    <w:rsid w:val="00591032"/>
    <w:rsid w:val="005912A8"/>
    <w:rsid w:val="0059140C"/>
    <w:rsid w:val="00591475"/>
    <w:rsid w:val="005919D9"/>
    <w:rsid w:val="00591E5B"/>
    <w:rsid w:val="00592BBE"/>
    <w:rsid w:val="00592C20"/>
    <w:rsid w:val="00592C27"/>
    <w:rsid w:val="005932F3"/>
    <w:rsid w:val="005935A1"/>
    <w:rsid w:val="005937E1"/>
    <w:rsid w:val="00593C36"/>
    <w:rsid w:val="005949A5"/>
    <w:rsid w:val="00594C2C"/>
    <w:rsid w:val="00594E24"/>
    <w:rsid w:val="0059560A"/>
    <w:rsid w:val="00595EBE"/>
    <w:rsid w:val="00596479"/>
    <w:rsid w:val="00596A09"/>
    <w:rsid w:val="00596CBE"/>
    <w:rsid w:val="00596FFE"/>
    <w:rsid w:val="0059760F"/>
    <w:rsid w:val="005976E9"/>
    <w:rsid w:val="00597E6E"/>
    <w:rsid w:val="005A01FE"/>
    <w:rsid w:val="005A07F2"/>
    <w:rsid w:val="005A1038"/>
    <w:rsid w:val="005A12D8"/>
    <w:rsid w:val="005A12F5"/>
    <w:rsid w:val="005A156A"/>
    <w:rsid w:val="005A16A3"/>
    <w:rsid w:val="005A192D"/>
    <w:rsid w:val="005A19F1"/>
    <w:rsid w:val="005A1C22"/>
    <w:rsid w:val="005A21E0"/>
    <w:rsid w:val="005A2648"/>
    <w:rsid w:val="005A2D07"/>
    <w:rsid w:val="005A3770"/>
    <w:rsid w:val="005A37A6"/>
    <w:rsid w:val="005A3810"/>
    <w:rsid w:val="005A3C9C"/>
    <w:rsid w:val="005A4068"/>
    <w:rsid w:val="005A47D9"/>
    <w:rsid w:val="005A47DC"/>
    <w:rsid w:val="005A4849"/>
    <w:rsid w:val="005A4B6A"/>
    <w:rsid w:val="005A4F24"/>
    <w:rsid w:val="005A53A7"/>
    <w:rsid w:val="005A53FD"/>
    <w:rsid w:val="005A5AE4"/>
    <w:rsid w:val="005A5C00"/>
    <w:rsid w:val="005A5D63"/>
    <w:rsid w:val="005A60D9"/>
    <w:rsid w:val="005A6920"/>
    <w:rsid w:val="005A6A2A"/>
    <w:rsid w:val="005A6C3A"/>
    <w:rsid w:val="005A7900"/>
    <w:rsid w:val="005A7EC6"/>
    <w:rsid w:val="005B035C"/>
    <w:rsid w:val="005B062C"/>
    <w:rsid w:val="005B0EC5"/>
    <w:rsid w:val="005B1044"/>
    <w:rsid w:val="005B13F8"/>
    <w:rsid w:val="005B1498"/>
    <w:rsid w:val="005B1A46"/>
    <w:rsid w:val="005B1DB9"/>
    <w:rsid w:val="005B1E88"/>
    <w:rsid w:val="005B1EC7"/>
    <w:rsid w:val="005B3182"/>
    <w:rsid w:val="005B33E8"/>
    <w:rsid w:val="005B3569"/>
    <w:rsid w:val="005B3F9E"/>
    <w:rsid w:val="005B460C"/>
    <w:rsid w:val="005B49DF"/>
    <w:rsid w:val="005B4BE2"/>
    <w:rsid w:val="005B5041"/>
    <w:rsid w:val="005B51DE"/>
    <w:rsid w:val="005B5645"/>
    <w:rsid w:val="005B56A0"/>
    <w:rsid w:val="005B5D38"/>
    <w:rsid w:val="005B5D7B"/>
    <w:rsid w:val="005B5E61"/>
    <w:rsid w:val="005B5E71"/>
    <w:rsid w:val="005B67CA"/>
    <w:rsid w:val="005B688D"/>
    <w:rsid w:val="005B6A13"/>
    <w:rsid w:val="005B6DE8"/>
    <w:rsid w:val="005B713B"/>
    <w:rsid w:val="005B7152"/>
    <w:rsid w:val="005B71D2"/>
    <w:rsid w:val="005B7355"/>
    <w:rsid w:val="005B7444"/>
    <w:rsid w:val="005B746B"/>
    <w:rsid w:val="005B7636"/>
    <w:rsid w:val="005B7EE3"/>
    <w:rsid w:val="005B7F88"/>
    <w:rsid w:val="005C0591"/>
    <w:rsid w:val="005C09CE"/>
    <w:rsid w:val="005C0F3B"/>
    <w:rsid w:val="005C0FEF"/>
    <w:rsid w:val="005C10B2"/>
    <w:rsid w:val="005C11F5"/>
    <w:rsid w:val="005C1359"/>
    <w:rsid w:val="005C1E67"/>
    <w:rsid w:val="005C2F4F"/>
    <w:rsid w:val="005C303F"/>
    <w:rsid w:val="005C3289"/>
    <w:rsid w:val="005C3CB0"/>
    <w:rsid w:val="005C3D14"/>
    <w:rsid w:val="005C3F63"/>
    <w:rsid w:val="005C409A"/>
    <w:rsid w:val="005C44A7"/>
    <w:rsid w:val="005C4524"/>
    <w:rsid w:val="005C45B6"/>
    <w:rsid w:val="005C50AE"/>
    <w:rsid w:val="005C51A2"/>
    <w:rsid w:val="005C53CE"/>
    <w:rsid w:val="005C56F3"/>
    <w:rsid w:val="005C5C21"/>
    <w:rsid w:val="005C607E"/>
    <w:rsid w:val="005C65A7"/>
    <w:rsid w:val="005C69D7"/>
    <w:rsid w:val="005C6A82"/>
    <w:rsid w:val="005C725F"/>
    <w:rsid w:val="005C768D"/>
    <w:rsid w:val="005C7BF4"/>
    <w:rsid w:val="005D0146"/>
    <w:rsid w:val="005D0C92"/>
    <w:rsid w:val="005D0DA0"/>
    <w:rsid w:val="005D2EBA"/>
    <w:rsid w:val="005D327E"/>
    <w:rsid w:val="005D3659"/>
    <w:rsid w:val="005D4091"/>
    <w:rsid w:val="005D41F9"/>
    <w:rsid w:val="005D492C"/>
    <w:rsid w:val="005D4C8C"/>
    <w:rsid w:val="005D4E2E"/>
    <w:rsid w:val="005D5603"/>
    <w:rsid w:val="005D57E9"/>
    <w:rsid w:val="005D581C"/>
    <w:rsid w:val="005D5BED"/>
    <w:rsid w:val="005D63A7"/>
    <w:rsid w:val="005D670A"/>
    <w:rsid w:val="005D6EEF"/>
    <w:rsid w:val="005D7238"/>
    <w:rsid w:val="005D72D0"/>
    <w:rsid w:val="005D7856"/>
    <w:rsid w:val="005D785E"/>
    <w:rsid w:val="005D7E40"/>
    <w:rsid w:val="005D7F26"/>
    <w:rsid w:val="005E0788"/>
    <w:rsid w:val="005E0A6E"/>
    <w:rsid w:val="005E0ED9"/>
    <w:rsid w:val="005E1B8C"/>
    <w:rsid w:val="005E1FF1"/>
    <w:rsid w:val="005E2981"/>
    <w:rsid w:val="005E2C9B"/>
    <w:rsid w:val="005E341B"/>
    <w:rsid w:val="005E35DD"/>
    <w:rsid w:val="005E3CD3"/>
    <w:rsid w:val="005E3D2F"/>
    <w:rsid w:val="005E3FB1"/>
    <w:rsid w:val="005E4057"/>
    <w:rsid w:val="005E4104"/>
    <w:rsid w:val="005E456F"/>
    <w:rsid w:val="005E45EE"/>
    <w:rsid w:val="005E4DCB"/>
    <w:rsid w:val="005E4F4E"/>
    <w:rsid w:val="005E551D"/>
    <w:rsid w:val="005E6155"/>
    <w:rsid w:val="005E6509"/>
    <w:rsid w:val="005E6BD3"/>
    <w:rsid w:val="005E6D46"/>
    <w:rsid w:val="005E6D90"/>
    <w:rsid w:val="005E7710"/>
    <w:rsid w:val="005E7F2B"/>
    <w:rsid w:val="005F109A"/>
    <w:rsid w:val="005F138B"/>
    <w:rsid w:val="005F142B"/>
    <w:rsid w:val="005F1A04"/>
    <w:rsid w:val="005F1DE6"/>
    <w:rsid w:val="005F1E66"/>
    <w:rsid w:val="005F2136"/>
    <w:rsid w:val="005F21A2"/>
    <w:rsid w:val="005F238A"/>
    <w:rsid w:val="005F2475"/>
    <w:rsid w:val="005F2E44"/>
    <w:rsid w:val="005F2EED"/>
    <w:rsid w:val="005F2F8C"/>
    <w:rsid w:val="005F3A02"/>
    <w:rsid w:val="005F3B3F"/>
    <w:rsid w:val="005F3FFF"/>
    <w:rsid w:val="005F56D1"/>
    <w:rsid w:val="005F5926"/>
    <w:rsid w:val="005F5EC0"/>
    <w:rsid w:val="005F66A9"/>
    <w:rsid w:val="005F6C9A"/>
    <w:rsid w:val="005F71B8"/>
    <w:rsid w:val="005F7276"/>
    <w:rsid w:val="005F7522"/>
    <w:rsid w:val="005F7646"/>
    <w:rsid w:val="005F7E24"/>
    <w:rsid w:val="00600795"/>
    <w:rsid w:val="006007EB"/>
    <w:rsid w:val="00600967"/>
    <w:rsid w:val="00600A23"/>
    <w:rsid w:val="00600B45"/>
    <w:rsid w:val="00600D79"/>
    <w:rsid w:val="00600D7F"/>
    <w:rsid w:val="0060195C"/>
    <w:rsid w:val="00601EC1"/>
    <w:rsid w:val="00602342"/>
    <w:rsid w:val="00603057"/>
    <w:rsid w:val="00603281"/>
    <w:rsid w:val="00603906"/>
    <w:rsid w:val="00603C7A"/>
    <w:rsid w:val="00604442"/>
    <w:rsid w:val="006045A1"/>
    <w:rsid w:val="0060499C"/>
    <w:rsid w:val="00604C77"/>
    <w:rsid w:val="00604E3D"/>
    <w:rsid w:val="00604E62"/>
    <w:rsid w:val="00607A22"/>
    <w:rsid w:val="00610107"/>
    <w:rsid w:val="00610263"/>
    <w:rsid w:val="006109C7"/>
    <w:rsid w:val="00610AD5"/>
    <w:rsid w:val="00610C31"/>
    <w:rsid w:val="00611A40"/>
    <w:rsid w:val="00612380"/>
    <w:rsid w:val="00613376"/>
    <w:rsid w:val="00613B78"/>
    <w:rsid w:val="00613DF8"/>
    <w:rsid w:val="00614776"/>
    <w:rsid w:val="0061498E"/>
    <w:rsid w:val="00614992"/>
    <w:rsid w:val="00614B6A"/>
    <w:rsid w:val="0061511A"/>
    <w:rsid w:val="006153FE"/>
    <w:rsid w:val="00616787"/>
    <w:rsid w:val="00616F03"/>
    <w:rsid w:val="00616F67"/>
    <w:rsid w:val="006171FC"/>
    <w:rsid w:val="00617CEC"/>
    <w:rsid w:val="00617E97"/>
    <w:rsid w:val="0062021B"/>
    <w:rsid w:val="006207AB"/>
    <w:rsid w:val="0062097F"/>
    <w:rsid w:val="0062098F"/>
    <w:rsid w:val="00620E53"/>
    <w:rsid w:val="0062182B"/>
    <w:rsid w:val="006220FB"/>
    <w:rsid w:val="00622247"/>
    <w:rsid w:val="00622670"/>
    <w:rsid w:val="006226C5"/>
    <w:rsid w:val="006227C9"/>
    <w:rsid w:val="00623655"/>
    <w:rsid w:val="00623D9E"/>
    <w:rsid w:val="00623E3F"/>
    <w:rsid w:val="00623F7F"/>
    <w:rsid w:val="0062508D"/>
    <w:rsid w:val="0062536A"/>
    <w:rsid w:val="0062577C"/>
    <w:rsid w:val="006258C8"/>
    <w:rsid w:val="00625C9F"/>
    <w:rsid w:val="00626E42"/>
    <w:rsid w:val="00627711"/>
    <w:rsid w:val="00627A66"/>
    <w:rsid w:val="00627AE4"/>
    <w:rsid w:val="006301F4"/>
    <w:rsid w:val="00630469"/>
    <w:rsid w:val="00630C0B"/>
    <w:rsid w:val="00630C87"/>
    <w:rsid w:val="006317E2"/>
    <w:rsid w:val="00631D26"/>
    <w:rsid w:val="00631D57"/>
    <w:rsid w:val="006323BC"/>
    <w:rsid w:val="006326A6"/>
    <w:rsid w:val="006327D7"/>
    <w:rsid w:val="00632E65"/>
    <w:rsid w:val="0063351B"/>
    <w:rsid w:val="00633E42"/>
    <w:rsid w:val="0063416A"/>
    <w:rsid w:val="006355AA"/>
    <w:rsid w:val="006357C7"/>
    <w:rsid w:val="00635F92"/>
    <w:rsid w:val="00636789"/>
    <w:rsid w:val="00636A76"/>
    <w:rsid w:val="00636E50"/>
    <w:rsid w:val="006379F7"/>
    <w:rsid w:val="00637B51"/>
    <w:rsid w:val="00637CBC"/>
    <w:rsid w:val="00637FC8"/>
    <w:rsid w:val="0063A939"/>
    <w:rsid w:val="006401AD"/>
    <w:rsid w:val="006407F2"/>
    <w:rsid w:val="00640ED4"/>
    <w:rsid w:val="00641471"/>
    <w:rsid w:val="00641514"/>
    <w:rsid w:val="006416C5"/>
    <w:rsid w:val="00641C87"/>
    <w:rsid w:val="0064203F"/>
    <w:rsid w:val="00642658"/>
    <w:rsid w:val="00642692"/>
    <w:rsid w:val="006427B2"/>
    <w:rsid w:val="00642A06"/>
    <w:rsid w:val="00642A85"/>
    <w:rsid w:val="006430EE"/>
    <w:rsid w:val="00643566"/>
    <w:rsid w:val="00644117"/>
    <w:rsid w:val="006441A2"/>
    <w:rsid w:val="00644762"/>
    <w:rsid w:val="00644C0B"/>
    <w:rsid w:val="00645133"/>
    <w:rsid w:val="006453C9"/>
    <w:rsid w:val="00645C62"/>
    <w:rsid w:val="00645FC4"/>
    <w:rsid w:val="00646835"/>
    <w:rsid w:val="006469D2"/>
    <w:rsid w:val="00646A99"/>
    <w:rsid w:val="00646B08"/>
    <w:rsid w:val="00646CF3"/>
    <w:rsid w:val="006470C7"/>
    <w:rsid w:val="0064728F"/>
    <w:rsid w:val="00647953"/>
    <w:rsid w:val="00647FB0"/>
    <w:rsid w:val="006505B2"/>
    <w:rsid w:val="006505D6"/>
    <w:rsid w:val="00650721"/>
    <w:rsid w:val="006510B4"/>
    <w:rsid w:val="0065143C"/>
    <w:rsid w:val="0065182D"/>
    <w:rsid w:val="00651BEF"/>
    <w:rsid w:val="00651EC4"/>
    <w:rsid w:val="0065221E"/>
    <w:rsid w:val="006529A1"/>
    <w:rsid w:val="00652C2A"/>
    <w:rsid w:val="00653033"/>
    <w:rsid w:val="00653855"/>
    <w:rsid w:val="0065473A"/>
    <w:rsid w:val="00654C05"/>
    <w:rsid w:val="00654CAE"/>
    <w:rsid w:val="00654D20"/>
    <w:rsid w:val="0065505F"/>
    <w:rsid w:val="0065534F"/>
    <w:rsid w:val="006554BF"/>
    <w:rsid w:val="00656794"/>
    <w:rsid w:val="006574A7"/>
    <w:rsid w:val="006577CE"/>
    <w:rsid w:val="006578C6"/>
    <w:rsid w:val="00657DEF"/>
    <w:rsid w:val="00657EF7"/>
    <w:rsid w:val="00660A0B"/>
    <w:rsid w:val="00660E9E"/>
    <w:rsid w:val="00660EC7"/>
    <w:rsid w:val="0066141E"/>
    <w:rsid w:val="006614AF"/>
    <w:rsid w:val="006618DD"/>
    <w:rsid w:val="00662256"/>
    <w:rsid w:val="0066283F"/>
    <w:rsid w:val="006631E4"/>
    <w:rsid w:val="0066352F"/>
    <w:rsid w:val="00663598"/>
    <w:rsid w:val="00663A31"/>
    <w:rsid w:val="00663BF6"/>
    <w:rsid w:val="00664028"/>
    <w:rsid w:val="00664BD4"/>
    <w:rsid w:val="00665213"/>
    <w:rsid w:val="00665241"/>
    <w:rsid w:val="00665242"/>
    <w:rsid w:val="00665525"/>
    <w:rsid w:val="00665EB2"/>
    <w:rsid w:val="00666389"/>
    <w:rsid w:val="0066669D"/>
    <w:rsid w:val="00666AE0"/>
    <w:rsid w:val="0066749E"/>
    <w:rsid w:val="00667BE5"/>
    <w:rsid w:val="00667D70"/>
    <w:rsid w:val="00667EDD"/>
    <w:rsid w:val="0067021D"/>
    <w:rsid w:val="00670564"/>
    <w:rsid w:val="00670A25"/>
    <w:rsid w:val="0067160E"/>
    <w:rsid w:val="00671B76"/>
    <w:rsid w:val="00671FBD"/>
    <w:rsid w:val="0067221A"/>
    <w:rsid w:val="006725B3"/>
    <w:rsid w:val="006725CC"/>
    <w:rsid w:val="00673488"/>
    <w:rsid w:val="0067368F"/>
    <w:rsid w:val="00673CAB"/>
    <w:rsid w:val="006743A1"/>
    <w:rsid w:val="00674432"/>
    <w:rsid w:val="00674A4C"/>
    <w:rsid w:val="006751B0"/>
    <w:rsid w:val="00675B9A"/>
    <w:rsid w:val="00675FDA"/>
    <w:rsid w:val="0067621E"/>
    <w:rsid w:val="00677086"/>
    <w:rsid w:val="00677749"/>
    <w:rsid w:val="006777C0"/>
    <w:rsid w:val="006778FE"/>
    <w:rsid w:val="00677BA9"/>
    <w:rsid w:val="00677C1B"/>
    <w:rsid w:val="00680179"/>
    <w:rsid w:val="0068075F"/>
    <w:rsid w:val="00680F57"/>
    <w:rsid w:val="00680F63"/>
    <w:rsid w:val="00680FE6"/>
    <w:rsid w:val="006811B6"/>
    <w:rsid w:val="00681699"/>
    <w:rsid w:val="00681904"/>
    <w:rsid w:val="00682153"/>
    <w:rsid w:val="00682E4D"/>
    <w:rsid w:val="006833FB"/>
    <w:rsid w:val="006834CF"/>
    <w:rsid w:val="006834D9"/>
    <w:rsid w:val="00683864"/>
    <w:rsid w:val="00683F30"/>
    <w:rsid w:val="00683FC1"/>
    <w:rsid w:val="006846A1"/>
    <w:rsid w:val="00684C25"/>
    <w:rsid w:val="00684D67"/>
    <w:rsid w:val="006856ED"/>
    <w:rsid w:val="00685BED"/>
    <w:rsid w:val="00685DAF"/>
    <w:rsid w:val="00686C84"/>
    <w:rsid w:val="00686D92"/>
    <w:rsid w:val="00687506"/>
    <w:rsid w:val="00687A2F"/>
    <w:rsid w:val="00687A9B"/>
    <w:rsid w:val="00687BB1"/>
    <w:rsid w:val="00687DEF"/>
    <w:rsid w:val="00687EAE"/>
    <w:rsid w:val="00691066"/>
    <w:rsid w:val="00691654"/>
    <w:rsid w:val="006917B7"/>
    <w:rsid w:val="0069198F"/>
    <w:rsid w:val="0069245C"/>
    <w:rsid w:val="0069343B"/>
    <w:rsid w:val="0069377A"/>
    <w:rsid w:val="0069383D"/>
    <w:rsid w:val="00693B2E"/>
    <w:rsid w:val="00694506"/>
    <w:rsid w:val="00694F9F"/>
    <w:rsid w:val="00695234"/>
    <w:rsid w:val="0069542C"/>
    <w:rsid w:val="00695828"/>
    <w:rsid w:val="00696A57"/>
    <w:rsid w:val="00696D8C"/>
    <w:rsid w:val="00696DA9"/>
    <w:rsid w:val="006970C7"/>
    <w:rsid w:val="006A019B"/>
    <w:rsid w:val="006A01DD"/>
    <w:rsid w:val="006A0255"/>
    <w:rsid w:val="006A0DBD"/>
    <w:rsid w:val="006A0FA0"/>
    <w:rsid w:val="006A11D0"/>
    <w:rsid w:val="006A1534"/>
    <w:rsid w:val="006A163D"/>
    <w:rsid w:val="006A2BF0"/>
    <w:rsid w:val="006A2FDE"/>
    <w:rsid w:val="006A3296"/>
    <w:rsid w:val="006A37B6"/>
    <w:rsid w:val="006A404D"/>
    <w:rsid w:val="006A43DA"/>
    <w:rsid w:val="006A4697"/>
    <w:rsid w:val="006A46BD"/>
    <w:rsid w:val="006A4C5A"/>
    <w:rsid w:val="006A4D01"/>
    <w:rsid w:val="006A4F6A"/>
    <w:rsid w:val="006A523A"/>
    <w:rsid w:val="006A5669"/>
    <w:rsid w:val="006A5736"/>
    <w:rsid w:val="006A5D5D"/>
    <w:rsid w:val="006A6254"/>
    <w:rsid w:val="006A6629"/>
    <w:rsid w:val="006A6997"/>
    <w:rsid w:val="006A6DF6"/>
    <w:rsid w:val="006A710B"/>
    <w:rsid w:val="006A77D0"/>
    <w:rsid w:val="006A79DE"/>
    <w:rsid w:val="006A7E56"/>
    <w:rsid w:val="006B09D1"/>
    <w:rsid w:val="006B0BC5"/>
    <w:rsid w:val="006B14D3"/>
    <w:rsid w:val="006B2214"/>
    <w:rsid w:val="006B23CC"/>
    <w:rsid w:val="006B260C"/>
    <w:rsid w:val="006B2946"/>
    <w:rsid w:val="006B33C5"/>
    <w:rsid w:val="006B33EA"/>
    <w:rsid w:val="006B379D"/>
    <w:rsid w:val="006B38DC"/>
    <w:rsid w:val="006B45CE"/>
    <w:rsid w:val="006B4AFF"/>
    <w:rsid w:val="006B4B77"/>
    <w:rsid w:val="006B4E55"/>
    <w:rsid w:val="006B506E"/>
    <w:rsid w:val="006B5098"/>
    <w:rsid w:val="006B5295"/>
    <w:rsid w:val="006B6155"/>
    <w:rsid w:val="006B63A3"/>
    <w:rsid w:val="006B6696"/>
    <w:rsid w:val="006B69FD"/>
    <w:rsid w:val="006B6FF8"/>
    <w:rsid w:val="006B711A"/>
    <w:rsid w:val="006B7289"/>
    <w:rsid w:val="006B74E2"/>
    <w:rsid w:val="006B7FB1"/>
    <w:rsid w:val="006C01B3"/>
    <w:rsid w:val="006C07B3"/>
    <w:rsid w:val="006C099B"/>
    <w:rsid w:val="006C0BDB"/>
    <w:rsid w:val="006C18EF"/>
    <w:rsid w:val="006C1A49"/>
    <w:rsid w:val="006C251E"/>
    <w:rsid w:val="006C27BF"/>
    <w:rsid w:val="006C2AF7"/>
    <w:rsid w:val="006C2C56"/>
    <w:rsid w:val="006C3067"/>
    <w:rsid w:val="006C32CB"/>
    <w:rsid w:val="006C3837"/>
    <w:rsid w:val="006C3F17"/>
    <w:rsid w:val="006C4071"/>
    <w:rsid w:val="006C42FF"/>
    <w:rsid w:val="006C5940"/>
    <w:rsid w:val="006C5B3A"/>
    <w:rsid w:val="006C5B8D"/>
    <w:rsid w:val="006C5E86"/>
    <w:rsid w:val="006C624A"/>
    <w:rsid w:val="006C646B"/>
    <w:rsid w:val="006C6556"/>
    <w:rsid w:val="006C6DE1"/>
    <w:rsid w:val="006C7F48"/>
    <w:rsid w:val="006D000E"/>
    <w:rsid w:val="006D05AC"/>
    <w:rsid w:val="006D0D52"/>
    <w:rsid w:val="006D1101"/>
    <w:rsid w:val="006D1504"/>
    <w:rsid w:val="006D1AE3"/>
    <w:rsid w:val="006D1DE3"/>
    <w:rsid w:val="006D2061"/>
    <w:rsid w:val="006D2127"/>
    <w:rsid w:val="006D2347"/>
    <w:rsid w:val="006D2D5E"/>
    <w:rsid w:val="006D2FB7"/>
    <w:rsid w:val="006D3304"/>
    <w:rsid w:val="006D330E"/>
    <w:rsid w:val="006D397E"/>
    <w:rsid w:val="006D3AB1"/>
    <w:rsid w:val="006D3ECF"/>
    <w:rsid w:val="006D4474"/>
    <w:rsid w:val="006D4538"/>
    <w:rsid w:val="006D4576"/>
    <w:rsid w:val="006D4C91"/>
    <w:rsid w:val="006D4D83"/>
    <w:rsid w:val="006D5CDE"/>
    <w:rsid w:val="006D5FE9"/>
    <w:rsid w:val="006D65A4"/>
    <w:rsid w:val="006D6908"/>
    <w:rsid w:val="006D6BCC"/>
    <w:rsid w:val="006D7391"/>
    <w:rsid w:val="006D7EB0"/>
    <w:rsid w:val="006E032E"/>
    <w:rsid w:val="006E037F"/>
    <w:rsid w:val="006E0541"/>
    <w:rsid w:val="006E05F9"/>
    <w:rsid w:val="006E09A3"/>
    <w:rsid w:val="006E16CC"/>
    <w:rsid w:val="006E1A23"/>
    <w:rsid w:val="006E2385"/>
    <w:rsid w:val="006E2657"/>
    <w:rsid w:val="006E2919"/>
    <w:rsid w:val="006E3F76"/>
    <w:rsid w:val="006E4085"/>
    <w:rsid w:val="006E4132"/>
    <w:rsid w:val="006E456E"/>
    <w:rsid w:val="006E47CF"/>
    <w:rsid w:val="006E4B41"/>
    <w:rsid w:val="006E5750"/>
    <w:rsid w:val="006E5887"/>
    <w:rsid w:val="006E5E3D"/>
    <w:rsid w:val="006E6DBE"/>
    <w:rsid w:val="006E6F94"/>
    <w:rsid w:val="006E6FCD"/>
    <w:rsid w:val="006E71FA"/>
    <w:rsid w:val="006E7319"/>
    <w:rsid w:val="006E7416"/>
    <w:rsid w:val="006E7E31"/>
    <w:rsid w:val="006F0145"/>
    <w:rsid w:val="006F03B9"/>
    <w:rsid w:val="006F11C8"/>
    <w:rsid w:val="006F16D8"/>
    <w:rsid w:val="006F1E38"/>
    <w:rsid w:val="006F2094"/>
    <w:rsid w:val="006F20EE"/>
    <w:rsid w:val="006F216E"/>
    <w:rsid w:val="006F23FA"/>
    <w:rsid w:val="006F24BD"/>
    <w:rsid w:val="006F260C"/>
    <w:rsid w:val="006F2837"/>
    <w:rsid w:val="006F330A"/>
    <w:rsid w:val="006F35E9"/>
    <w:rsid w:val="006F43B9"/>
    <w:rsid w:val="006F45C9"/>
    <w:rsid w:val="006F4C1B"/>
    <w:rsid w:val="006F58EC"/>
    <w:rsid w:val="006F5941"/>
    <w:rsid w:val="006F5F32"/>
    <w:rsid w:val="006F767E"/>
    <w:rsid w:val="00700570"/>
    <w:rsid w:val="0070135B"/>
    <w:rsid w:val="007013C9"/>
    <w:rsid w:val="00701D20"/>
    <w:rsid w:val="00702B3E"/>
    <w:rsid w:val="00702C08"/>
    <w:rsid w:val="00702EEC"/>
    <w:rsid w:val="0070380A"/>
    <w:rsid w:val="00704D31"/>
    <w:rsid w:val="007055E0"/>
    <w:rsid w:val="007056ED"/>
    <w:rsid w:val="00705BBA"/>
    <w:rsid w:val="00705DD0"/>
    <w:rsid w:val="007065C7"/>
    <w:rsid w:val="007066C3"/>
    <w:rsid w:val="00706E49"/>
    <w:rsid w:val="0070702C"/>
    <w:rsid w:val="00707188"/>
    <w:rsid w:val="00710E19"/>
    <w:rsid w:val="00710E73"/>
    <w:rsid w:val="0071102F"/>
    <w:rsid w:val="007114C8"/>
    <w:rsid w:val="00711770"/>
    <w:rsid w:val="00711B0D"/>
    <w:rsid w:val="00711D5B"/>
    <w:rsid w:val="0071220F"/>
    <w:rsid w:val="00712A3D"/>
    <w:rsid w:val="00712AF8"/>
    <w:rsid w:val="00712D02"/>
    <w:rsid w:val="00712D0E"/>
    <w:rsid w:val="00712E58"/>
    <w:rsid w:val="00713569"/>
    <w:rsid w:val="007136FF"/>
    <w:rsid w:val="0071392D"/>
    <w:rsid w:val="00713ADA"/>
    <w:rsid w:val="00713DDE"/>
    <w:rsid w:val="00714161"/>
    <w:rsid w:val="00714252"/>
    <w:rsid w:val="007144B9"/>
    <w:rsid w:val="00714716"/>
    <w:rsid w:val="007148C4"/>
    <w:rsid w:val="007149B5"/>
    <w:rsid w:val="00714EE7"/>
    <w:rsid w:val="00715157"/>
    <w:rsid w:val="0071533C"/>
    <w:rsid w:val="00715B4E"/>
    <w:rsid w:val="00715C26"/>
    <w:rsid w:val="00716923"/>
    <w:rsid w:val="0071696E"/>
    <w:rsid w:val="00716DFB"/>
    <w:rsid w:val="00716E96"/>
    <w:rsid w:val="00716FE4"/>
    <w:rsid w:val="0071723A"/>
    <w:rsid w:val="0071753F"/>
    <w:rsid w:val="0071792F"/>
    <w:rsid w:val="00717AAB"/>
    <w:rsid w:val="00717D14"/>
    <w:rsid w:val="00717E7E"/>
    <w:rsid w:val="00720680"/>
    <w:rsid w:val="00720AC4"/>
    <w:rsid w:val="007211FE"/>
    <w:rsid w:val="0072178E"/>
    <w:rsid w:val="00721924"/>
    <w:rsid w:val="00721A14"/>
    <w:rsid w:val="00721B7A"/>
    <w:rsid w:val="0072216C"/>
    <w:rsid w:val="00722204"/>
    <w:rsid w:val="0072239B"/>
    <w:rsid w:val="00722451"/>
    <w:rsid w:val="0072274E"/>
    <w:rsid w:val="00722E1E"/>
    <w:rsid w:val="00723524"/>
    <w:rsid w:val="0072354F"/>
    <w:rsid w:val="007239E1"/>
    <w:rsid w:val="00723C8D"/>
    <w:rsid w:val="00723EA6"/>
    <w:rsid w:val="00723FAA"/>
    <w:rsid w:val="00724429"/>
    <w:rsid w:val="0072462C"/>
    <w:rsid w:val="00724949"/>
    <w:rsid w:val="0072543D"/>
    <w:rsid w:val="0072544B"/>
    <w:rsid w:val="00725A2C"/>
    <w:rsid w:val="007261CC"/>
    <w:rsid w:val="007261D9"/>
    <w:rsid w:val="00726241"/>
    <w:rsid w:val="0072675E"/>
    <w:rsid w:val="00726BFE"/>
    <w:rsid w:val="00727273"/>
    <w:rsid w:val="007274FE"/>
    <w:rsid w:val="00727AAD"/>
    <w:rsid w:val="0073032B"/>
    <w:rsid w:val="00731011"/>
    <w:rsid w:val="007311C4"/>
    <w:rsid w:val="0073132E"/>
    <w:rsid w:val="007318BB"/>
    <w:rsid w:val="00731B2B"/>
    <w:rsid w:val="0073227E"/>
    <w:rsid w:val="007324C4"/>
    <w:rsid w:val="0073254B"/>
    <w:rsid w:val="00732A84"/>
    <w:rsid w:val="00732B4F"/>
    <w:rsid w:val="00732E22"/>
    <w:rsid w:val="00733401"/>
    <w:rsid w:val="007339E9"/>
    <w:rsid w:val="00733C4E"/>
    <w:rsid w:val="007343FF"/>
    <w:rsid w:val="00734406"/>
    <w:rsid w:val="00734E4C"/>
    <w:rsid w:val="00735100"/>
    <w:rsid w:val="00735310"/>
    <w:rsid w:val="00735539"/>
    <w:rsid w:val="007359B0"/>
    <w:rsid w:val="00735E48"/>
    <w:rsid w:val="00736A2C"/>
    <w:rsid w:val="00736ED0"/>
    <w:rsid w:val="0073714D"/>
    <w:rsid w:val="00737B6C"/>
    <w:rsid w:val="00737BAC"/>
    <w:rsid w:val="00737E63"/>
    <w:rsid w:val="00740E0E"/>
    <w:rsid w:val="007414E9"/>
    <w:rsid w:val="0074232F"/>
    <w:rsid w:val="007423F3"/>
    <w:rsid w:val="007428C2"/>
    <w:rsid w:val="00742D0D"/>
    <w:rsid w:val="007433F1"/>
    <w:rsid w:val="0074378D"/>
    <w:rsid w:val="00743BE2"/>
    <w:rsid w:val="00743C14"/>
    <w:rsid w:val="00743CD2"/>
    <w:rsid w:val="00743F6B"/>
    <w:rsid w:val="00744249"/>
    <w:rsid w:val="007442D1"/>
    <w:rsid w:val="00744560"/>
    <w:rsid w:val="007445A9"/>
    <w:rsid w:val="007448D2"/>
    <w:rsid w:val="00744975"/>
    <w:rsid w:val="00745232"/>
    <w:rsid w:val="0074563E"/>
    <w:rsid w:val="007458A9"/>
    <w:rsid w:val="00746037"/>
    <w:rsid w:val="0074616B"/>
    <w:rsid w:val="00746603"/>
    <w:rsid w:val="007469A5"/>
    <w:rsid w:val="00746C6B"/>
    <w:rsid w:val="00746D25"/>
    <w:rsid w:val="00746E68"/>
    <w:rsid w:val="00746EB3"/>
    <w:rsid w:val="00746F44"/>
    <w:rsid w:val="00746FF0"/>
    <w:rsid w:val="00747168"/>
    <w:rsid w:val="00747742"/>
    <w:rsid w:val="0074785A"/>
    <w:rsid w:val="007479E5"/>
    <w:rsid w:val="00747BA1"/>
    <w:rsid w:val="00747FE3"/>
    <w:rsid w:val="007502AA"/>
    <w:rsid w:val="0075055E"/>
    <w:rsid w:val="00750B94"/>
    <w:rsid w:val="00750C54"/>
    <w:rsid w:val="00750F48"/>
    <w:rsid w:val="00751195"/>
    <w:rsid w:val="00751801"/>
    <w:rsid w:val="00752187"/>
    <w:rsid w:val="0075362F"/>
    <w:rsid w:val="0075379E"/>
    <w:rsid w:val="0075398B"/>
    <w:rsid w:val="00753AC0"/>
    <w:rsid w:val="00753B3B"/>
    <w:rsid w:val="00754485"/>
    <w:rsid w:val="0075461C"/>
    <w:rsid w:val="00754621"/>
    <w:rsid w:val="00754801"/>
    <w:rsid w:val="007553DF"/>
    <w:rsid w:val="0075562E"/>
    <w:rsid w:val="0075567D"/>
    <w:rsid w:val="00756CFA"/>
    <w:rsid w:val="00756F0C"/>
    <w:rsid w:val="007574EE"/>
    <w:rsid w:val="00757C39"/>
    <w:rsid w:val="00757D16"/>
    <w:rsid w:val="00757FF2"/>
    <w:rsid w:val="00760275"/>
    <w:rsid w:val="00760A26"/>
    <w:rsid w:val="00760CBB"/>
    <w:rsid w:val="00760F2C"/>
    <w:rsid w:val="00761063"/>
    <w:rsid w:val="0076129B"/>
    <w:rsid w:val="0076129D"/>
    <w:rsid w:val="007613D6"/>
    <w:rsid w:val="007618A4"/>
    <w:rsid w:val="007625B1"/>
    <w:rsid w:val="00762937"/>
    <w:rsid w:val="00762DF5"/>
    <w:rsid w:val="00763733"/>
    <w:rsid w:val="00763A0A"/>
    <w:rsid w:val="00763B57"/>
    <w:rsid w:val="00763D38"/>
    <w:rsid w:val="0076409E"/>
    <w:rsid w:val="007642C4"/>
    <w:rsid w:val="007642E9"/>
    <w:rsid w:val="007649A1"/>
    <w:rsid w:val="00764C6C"/>
    <w:rsid w:val="00764CBB"/>
    <w:rsid w:val="00764D8F"/>
    <w:rsid w:val="00765069"/>
    <w:rsid w:val="00765354"/>
    <w:rsid w:val="00765677"/>
    <w:rsid w:val="00765A92"/>
    <w:rsid w:val="00765BAC"/>
    <w:rsid w:val="00765C31"/>
    <w:rsid w:val="00765E6A"/>
    <w:rsid w:val="00766062"/>
    <w:rsid w:val="0076754A"/>
    <w:rsid w:val="00767959"/>
    <w:rsid w:val="00770683"/>
    <w:rsid w:val="00770958"/>
    <w:rsid w:val="00771086"/>
    <w:rsid w:val="00771701"/>
    <w:rsid w:val="00771821"/>
    <w:rsid w:val="00771EDC"/>
    <w:rsid w:val="007722AD"/>
    <w:rsid w:val="007723C3"/>
    <w:rsid w:val="00772551"/>
    <w:rsid w:val="0077289C"/>
    <w:rsid w:val="00773B04"/>
    <w:rsid w:val="00773FA0"/>
    <w:rsid w:val="00774353"/>
    <w:rsid w:val="00774985"/>
    <w:rsid w:val="0077580C"/>
    <w:rsid w:val="00775FCE"/>
    <w:rsid w:val="00776048"/>
    <w:rsid w:val="007761F5"/>
    <w:rsid w:val="007766BA"/>
    <w:rsid w:val="00776C15"/>
    <w:rsid w:val="00777349"/>
    <w:rsid w:val="00777395"/>
    <w:rsid w:val="007774E4"/>
    <w:rsid w:val="0077798B"/>
    <w:rsid w:val="00777B43"/>
    <w:rsid w:val="007815D4"/>
    <w:rsid w:val="00781B50"/>
    <w:rsid w:val="00781BA0"/>
    <w:rsid w:val="00782CD2"/>
    <w:rsid w:val="00782F5D"/>
    <w:rsid w:val="00783897"/>
    <w:rsid w:val="0078399E"/>
    <w:rsid w:val="00783C89"/>
    <w:rsid w:val="00783D5D"/>
    <w:rsid w:val="007844DF"/>
    <w:rsid w:val="0078471E"/>
    <w:rsid w:val="007847D7"/>
    <w:rsid w:val="00784949"/>
    <w:rsid w:val="00785358"/>
    <w:rsid w:val="00785AAE"/>
    <w:rsid w:val="0078649E"/>
    <w:rsid w:val="007864F2"/>
    <w:rsid w:val="00786BDE"/>
    <w:rsid w:val="00786BEA"/>
    <w:rsid w:val="00786F62"/>
    <w:rsid w:val="007875CB"/>
    <w:rsid w:val="00787DEB"/>
    <w:rsid w:val="00790418"/>
    <w:rsid w:val="007907FC"/>
    <w:rsid w:val="00791AC7"/>
    <w:rsid w:val="00791CFA"/>
    <w:rsid w:val="00791FE4"/>
    <w:rsid w:val="007922BC"/>
    <w:rsid w:val="0079248A"/>
    <w:rsid w:val="00792B0A"/>
    <w:rsid w:val="00792DFD"/>
    <w:rsid w:val="00793D35"/>
    <w:rsid w:val="0079445E"/>
    <w:rsid w:val="00794A81"/>
    <w:rsid w:val="00795343"/>
    <w:rsid w:val="0079576C"/>
    <w:rsid w:val="007957A7"/>
    <w:rsid w:val="00795811"/>
    <w:rsid w:val="00795D8B"/>
    <w:rsid w:val="007960F6"/>
    <w:rsid w:val="0079611D"/>
    <w:rsid w:val="0079636A"/>
    <w:rsid w:val="0079638E"/>
    <w:rsid w:val="007967C8"/>
    <w:rsid w:val="007973C1"/>
    <w:rsid w:val="00797440"/>
    <w:rsid w:val="00797932"/>
    <w:rsid w:val="00797F26"/>
    <w:rsid w:val="007A0409"/>
    <w:rsid w:val="007A053F"/>
    <w:rsid w:val="007A05F8"/>
    <w:rsid w:val="007A08D4"/>
    <w:rsid w:val="007A0B62"/>
    <w:rsid w:val="007A0E7C"/>
    <w:rsid w:val="007A10DE"/>
    <w:rsid w:val="007A13FE"/>
    <w:rsid w:val="007A1622"/>
    <w:rsid w:val="007A16C4"/>
    <w:rsid w:val="007A16E9"/>
    <w:rsid w:val="007A1745"/>
    <w:rsid w:val="007A1995"/>
    <w:rsid w:val="007A1A70"/>
    <w:rsid w:val="007A232F"/>
    <w:rsid w:val="007A23BA"/>
    <w:rsid w:val="007A255E"/>
    <w:rsid w:val="007A2EEA"/>
    <w:rsid w:val="007A3296"/>
    <w:rsid w:val="007A3321"/>
    <w:rsid w:val="007A33B8"/>
    <w:rsid w:val="007A3593"/>
    <w:rsid w:val="007A38F6"/>
    <w:rsid w:val="007A394B"/>
    <w:rsid w:val="007A3BBE"/>
    <w:rsid w:val="007A3E5E"/>
    <w:rsid w:val="007A427C"/>
    <w:rsid w:val="007A4599"/>
    <w:rsid w:val="007A45FC"/>
    <w:rsid w:val="007A557B"/>
    <w:rsid w:val="007A57AB"/>
    <w:rsid w:val="007A5A2E"/>
    <w:rsid w:val="007A5B6D"/>
    <w:rsid w:val="007A5CCC"/>
    <w:rsid w:val="007B059A"/>
    <w:rsid w:val="007B0631"/>
    <w:rsid w:val="007B0742"/>
    <w:rsid w:val="007B0B74"/>
    <w:rsid w:val="007B0C4F"/>
    <w:rsid w:val="007B0C65"/>
    <w:rsid w:val="007B0D3C"/>
    <w:rsid w:val="007B0E11"/>
    <w:rsid w:val="007B13DC"/>
    <w:rsid w:val="007B2144"/>
    <w:rsid w:val="007B2156"/>
    <w:rsid w:val="007B243C"/>
    <w:rsid w:val="007B283F"/>
    <w:rsid w:val="007B2857"/>
    <w:rsid w:val="007B28B0"/>
    <w:rsid w:val="007B3A99"/>
    <w:rsid w:val="007B4380"/>
    <w:rsid w:val="007B43F0"/>
    <w:rsid w:val="007B4915"/>
    <w:rsid w:val="007B5270"/>
    <w:rsid w:val="007B553B"/>
    <w:rsid w:val="007B5711"/>
    <w:rsid w:val="007B5AD1"/>
    <w:rsid w:val="007B5D97"/>
    <w:rsid w:val="007B64C6"/>
    <w:rsid w:val="007B68C1"/>
    <w:rsid w:val="007B6BDD"/>
    <w:rsid w:val="007B6BE0"/>
    <w:rsid w:val="007B6CDF"/>
    <w:rsid w:val="007B6FAF"/>
    <w:rsid w:val="007B6FC8"/>
    <w:rsid w:val="007B7146"/>
    <w:rsid w:val="007B7364"/>
    <w:rsid w:val="007B76A3"/>
    <w:rsid w:val="007C0883"/>
    <w:rsid w:val="007C164C"/>
    <w:rsid w:val="007C1860"/>
    <w:rsid w:val="007C1A02"/>
    <w:rsid w:val="007C277E"/>
    <w:rsid w:val="007C2C1A"/>
    <w:rsid w:val="007C313D"/>
    <w:rsid w:val="007C3E70"/>
    <w:rsid w:val="007C4D7E"/>
    <w:rsid w:val="007C5704"/>
    <w:rsid w:val="007C572F"/>
    <w:rsid w:val="007C57F1"/>
    <w:rsid w:val="007C59EE"/>
    <w:rsid w:val="007C608E"/>
    <w:rsid w:val="007C62AE"/>
    <w:rsid w:val="007C6946"/>
    <w:rsid w:val="007C739F"/>
    <w:rsid w:val="007C74C9"/>
    <w:rsid w:val="007C7CDF"/>
    <w:rsid w:val="007D1280"/>
    <w:rsid w:val="007D1661"/>
    <w:rsid w:val="007D2026"/>
    <w:rsid w:val="007D2116"/>
    <w:rsid w:val="007D2852"/>
    <w:rsid w:val="007D2DC8"/>
    <w:rsid w:val="007D398B"/>
    <w:rsid w:val="007D3AC1"/>
    <w:rsid w:val="007D3CC6"/>
    <w:rsid w:val="007D3CF7"/>
    <w:rsid w:val="007D43F7"/>
    <w:rsid w:val="007D4BD9"/>
    <w:rsid w:val="007D4CF9"/>
    <w:rsid w:val="007D4E20"/>
    <w:rsid w:val="007D517F"/>
    <w:rsid w:val="007D52D9"/>
    <w:rsid w:val="007D5645"/>
    <w:rsid w:val="007D5AB8"/>
    <w:rsid w:val="007D6486"/>
    <w:rsid w:val="007D692C"/>
    <w:rsid w:val="007D706E"/>
    <w:rsid w:val="007D7236"/>
    <w:rsid w:val="007D74F0"/>
    <w:rsid w:val="007D75B4"/>
    <w:rsid w:val="007D7873"/>
    <w:rsid w:val="007D7B25"/>
    <w:rsid w:val="007E14E1"/>
    <w:rsid w:val="007E1540"/>
    <w:rsid w:val="007E1A55"/>
    <w:rsid w:val="007E23A1"/>
    <w:rsid w:val="007E2E07"/>
    <w:rsid w:val="007E3386"/>
    <w:rsid w:val="007E33C1"/>
    <w:rsid w:val="007E3657"/>
    <w:rsid w:val="007E3ABB"/>
    <w:rsid w:val="007E3FF4"/>
    <w:rsid w:val="007E437D"/>
    <w:rsid w:val="007E4853"/>
    <w:rsid w:val="007E4AF1"/>
    <w:rsid w:val="007E5124"/>
    <w:rsid w:val="007E5211"/>
    <w:rsid w:val="007E5869"/>
    <w:rsid w:val="007E5A0D"/>
    <w:rsid w:val="007E5CE3"/>
    <w:rsid w:val="007E6A28"/>
    <w:rsid w:val="007E6F14"/>
    <w:rsid w:val="007E7011"/>
    <w:rsid w:val="007E7521"/>
    <w:rsid w:val="007E768A"/>
    <w:rsid w:val="007E7950"/>
    <w:rsid w:val="007E7A51"/>
    <w:rsid w:val="007E7D43"/>
    <w:rsid w:val="007F04E4"/>
    <w:rsid w:val="007F06EA"/>
    <w:rsid w:val="007F08DF"/>
    <w:rsid w:val="007F1297"/>
    <w:rsid w:val="007F16FA"/>
    <w:rsid w:val="007F19E4"/>
    <w:rsid w:val="007F1BF6"/>
    <w:rsid w:val="007F2401"/>
    <w:rsid w:val="007F306A"/>
    <w:rsid w:val="007F380B"/>
    <w:rsid w:val="007F3E40"/>
    <w:rsid w:val="007F3F09"/>
    <w:rsid w:val="007F44B7"/>
    <w:rsid w:val="007F4E88"/>
    <w:rsid w:val="007F546E"/>
    <w:rsid w:val="007F56E0"/>
    <w:rsid w:val="007F5BC1"/>
    <w:rsid w:val="007F5FF8"/>
    <w:rsid w:val="007F67BE"/>
    <w:rsid w:val="007F6847"/>
    <w:rsid w:val="007F6A30"/>
    <w:rsid w:val="007F7627"/>
    <w:rsid w:val="007F772B"/>
    <w:rsid w:val="00800302"/>
    <w:rsid w:val="008003F5"/>
    <w:rsid w:val="008004B4"/>
    <w:rsid w:val="008006F4"/>
    <w:rsid w:val="00800E75"/>
    <w:rsid w:val="00801204"/>
    <w:rsid w:val="00801EFF"/>
    <w:rsid w:val="0080206C"/>
    <w:rsid w:val="00802230"/>
    <w:rsid w:val="0080238D"/>
    <w:rsid w:val="00802661"/>
    <w:rsid w:val="00802855"/>
    <w:rsid w:val="008028B0"/>
    <w:rsid w:val="00802F6B"/>
    <w:rsid w:val="00803452"/>
    <w:rsid w:val="0080371F"/>
    <w:rsid w:val="008039BC"/>
    <w:rsid w:val="008039F1"/>
    <w:rsid w:val="00803B52"/>
    <w:rsid w:val="008041A8"/>
    <w:rsid w:val="008041BE"/>
    <w:rsid w:val="008047EF"/>
    <w:rsid w:val="00804949"/>
    <w:rsid w:val="00804A33"/>
    <w:rsid w:val="00804E63"/>
    <w:rsid w:val="00804F61"/>
    <w:rsid w:val="008051BF"/>
    <w:rsid w:val="008056C8"/>
    <w:rsid w:val="008056CF"/>
    <w:rsid w:val="00806006"/>
    <w:rsid w:val="008060BB"/>
    <w:rsid w:val="008064D8"/>
    <w:rsid w:val="008064DB"/>
    <w:rsid w:val="00806579"/>
    <w:rsid w:val="00806EB7"/>
    <w:rsid w:val="0080715E"/>
    <w:rsid w:val="0080747C"/>
    <w:rsid w:val="00807615"/>
    <w:rsid w:val="00807918"/>
    <w:rsid w:val="00807C1C"/>
    <w:rsid w:val="00807F7D"/>
    <w:rsid w:val="00807FBC"/>
    <w:rsid w:val="00807FD2"/>
    <w:rsid w:val="00810464"/>
    <w:rsid w:val="00810603"/>
    <w:rsid w:val="00810B60"/>
    <w:rsid w:val="00810E6A"/>
    <w:rsid w:val="0081285A"/>
    <w:rsid w:val="008128DF"/>
    <w:rsid w:val="0081352E"/>
    <w:rsid w:val="008135F6"/>
    <w:rsid w:val="00813968"/>
    <w:rsid w:val="00813EEF"/>
    <w:rsid w:val="00813FD6"/>
    <w:rsid w:val="00814240"/>
    <w:rsid w:val="008145EC"/>
    <w:rsid w:val="0081463C"/>
    <w:rsid w:val="00814B8E"/>
    <w:rsid w:val="00814BB9"/>
    <w:rsid w:val="00814CD1"/>
    <w:rsid w:val="00814CE9"/>
    <w:rsid w:val="00814E2B"/>
    <w:rsid w:val="0081501D"/>
    <w:rsid w:val="008153A0"/>
    <w:rsid w:val="0081573E"/>
    <w:rsid w:val="008157F6"/>
    <w:rsid w:val="008158C9"/>
    <w:rsid w:val="00815960"/>
    <w:rsid w:val="00815F27"/>
    <w:rsid w:val="008161EB"/>
    <w:rsid w:val="00816263"/>
    <w:rsid w:val="008165EF"/>
    <w:rsid w:val="00816A78"/>
    <w:rsid w:val="00816AA0"/>
    <w:rsid w:val="00817426"/>
    <w:rsid w:val="008176D8"/>
    <w:rsid w:val="00817B40"/>
    <w:rsid w:val="00817C1D"/>
    <w:rsid w:val="00817F11"/>
    <w:rsid w:val="00817F49"/>
    <w:rsid w:val="00820433"/>
    <w:rsid w:val="008204F0"/>
    <w:rsid w:val="00820546"/>
    <w:rsid w:val="00820644"/>
    <w:rsid w:val="00820F49"/>
    <w:rsid w:val="00821138"/>
    <w:rsid w:val="008214EB"/>
    <w:rsid w:val="00821B78"/>
    <w:rsid w:val="00821CC3"/>
    <w:rsid w:val="00822189"/>
    <w:rsid w:val="0082225A"/>
    <w:rsid w:val="0082228D"/>
    <w:rsid w:val="008230FC"/>
    <w:rsid w:val="0082330C"/>
    <w:rsid w:val="0082339D"/>
    <w:rsid w:val="00823B1A"/>
    <w:rsid w:val="00823C8D"/>
    <w:rsid w:val="00823CF3"/>
    <w:rsid w:val="00823F9F"/>
    <w:rsid w:val="00824061"/>
    <w:rsid w:val="0082443F"/>
    <w:rsid w:val="00825952"/>
    <w:rsid w:val="008259BE"/>
    <w:rsid w:val="00825A7D"/>
    <w:rsid w:val="00825D27"/>
    <w:rsid w:val="008262B5"/>
    <w:rsid w:val="008265F7"/>
    <w:rsid w:val="008268B5"/>
    <w:rsid w:val="00830074"/>
    <w:rsid w:val="008301AE"/>
    <w:rsid w:val="0083031E"/>
    <w:rsid w:val="00830560"/>
    <w:rsid w:val="008306CB"/>
    <w:rsid w:val="0083098C"/>
    <w:rsid w:val="00830A25"/>
    <w:rsid w:val="00830EC3"/>
    <w:rsid w:val="00830EFD"/>
    <w:rsid w:val="008315EF"/>
    <w:rsid w:val="0083259B"/>
    <w:rsid w:val="00833743"/>
    <w:rsid w:val="00833A47"/>
    <w:rsid w:val="00833E7A"/>
    <w:rsid w:val="00834267"/>
    <w:rsid w:val="0083498F"/>
    <w:rsid w:val="00834EFE"/>
    <w:rsid w:val="0083509D"/>
    <w:rsid w:val="008356A1"/>
    <w:rsid w:val="00835E05"/>
    <w:rsid w:val="008362B4"/>
    <w:rsid w:val="0083664A"/>
    <w:rsid w:val="0083682D"/>
    <w:rsid w:val="008400A6"/>
    <w:rsid w:val="008400D9"/>
    <w:rsid w:val="00840331"/>
    <w:rsid w:val="00840442"/>
    <w:rsid w:val="008407D3"/>
    <w:rsid w:val="008407EE"/>
    <w:rsid w:val="0084142A"/>
    <w:rsid w:val="00841640"/>
    <w:rsid w:val="00841687"/>
    <w:rsid w:val="008416CF"/>
    <w:rsid w:val="008418A2"/>
    <w:rsid w:val="008418D2"/>
    <w:rsid w:val="00842089"/>
    <w:rsid w:val="00842155"/>
    <w:rsid w:val="00842484"/>
    <w:rsid w:val="008429BE"/>
    <w:rsid w:val="00842A1C"/>
    <w:rsid w:val="00842F18"/>
    <w:rsid w:val="008435F5"/>
    <w:rsid w:val="008437FD"/>
    <w:rsid w:val="00843914"/>
    <w:rsid w:val="00843AB3"/>
    <w:rsid w:val="0084402F"/>
    <w:rsid w:val="00844D14"/>
    <w:rsid w:val="00844E56"/>
    <w:rsid w:val="00845576"/>
    <w:rsid w:val="00845B49"/>
    <w:rsid w:val="0084656F"/>
    <w:rsid w:val="00846923"/>
    <w:rsid w:val="00846AA6"/>
    <w:rsid w:val="0084714F"/>
    <w:rsid w:val="00847459"/>
    <w:rsid w:val="00847728"/>
    <w:rsid w:val="00847761"/>
    <w:rsid w:val="008477AB"/>
    <w:rsid w:val="00847C2B"/>
    <w:rsid w:val="00850290"/>
    <w:rsid w:val="00850AE1"/>
    <w:rsid w:val="00850D82"/>
    <w:rsid w:val="00851CAF"/>
    <w:rsid w:val="0085205F"/>
    <w:rsid w:val="008520DE"/>
    <w:rsid w:val="00852237"/>
    <w:rsid w:val="0085226C"/>
    <w:rsid w:val="00852EA0"/>
    <w:rsid w:val="00853291"/>
    <w:rsid w:val="0085358A"/>
    <w:rsid w:val="0085376B"/>
    <w:rsid w:val="00853E0D"/>
    <w:rsid w:val="008541E6"/>
    <w:rsid w:val="0085487F"/>
    <w:rsid w:val="00856007"/>
    <w:rsid w:val="00856379"/>
    <w:rsid w:val="00856458"/>
    <w:rsid w:val="00856D9A"/>
    <w:rsid w:val="008574EB"/>
    <w:rsid w:val="00857D0C"/>
    <w:rsid w:val="008603D9"/>
    <w:rsid w:val="00860FB4"/>
    <w:rsid w:val="00861480"/>
    <w:rsid w:val="008616D9"/>
    <w:rsid w:val="00861AA8"/>
    <w:rsid w:val="00861F9C"/>
    <w:rsid w:val="00862B59"/>
    <w:rsid w:val="00863048"/>
    <w:rsid w:val="008632EF"/>
    <w:rsid w:val="008634CE"/>
    <w:rsid w:val="0086383C"/>
    <w:rsid w:val="00863901"/>
    <w:rsid w:val="00863DA7"/>
    <w:rsid w:val="008642EF"/>
    <w:rsid w:val="00864CC7"/>
    <w:rsid w:val="00865314"/>
    <w:rsid w:val="00865D56"/>
    <w:rsid w:val="008662CE"/>
    <w:rsid w:val="008663DC"/>
    <w:rsid w:val="0086643D"/>
    <w:rsid w:val="00866504"/>
    <w:rsid w:val="00866561"/>
    <w:rsid w:val="00867788"/>
    <w:rsid w:val="00867935"/>
    <w:rsid w:val="00867B79"/>
    <w:rsid w:val="00867D6E"/>
    <w:rsid w:val="00870980"/>
    <w:rsid w:val="00870FDD"/>
    <w:rsid w:val="0087124D"/>
    <w:rsid w:val="0087145F"/>
    <w:rsid w:val="00871D33"/>
    <w:rsid w:val="008721CE"/>
    <w:rsid w:val="0087221C"/>
    <w:rsid w:val="008724B2"/>
    <w:rsid w:val="008725C4"/>
    <w:rsid w:val="00872671"/>
    <w:rsid w:val="00873166"/>
    <w:rsid w:val="00873807"/>
    <w:rsid w:val="00873A5D"/>
    <w:rsid w:val="00873BC9"/>
    <w:rsid w:val="00873D9D"/>
    <w:rsid w:val="00873E00"/>
    <w:rsid w:val="00874981"/>
    <w:rsid w:val="00874BC8"/>
    <w:rsid w:val="00874FF5"/>
    <w:rsid w:val="00875520"/>
    <w:rsid w:val="008759E5"/>
    <w:rsid w:val="00875BFD"/>
    <w:rsid w:val="008765AE"/>
    <w:rsid w:val="00876755"/>
    <w:rsid w:val="00876A05"/>
    <w:rsid w:val="00876FE4"/>
    <w:rsid w:val="0087727E"/>
    <w:rsid w:val="00877332"/>
    <w:rsid w:val="00877F5F"/>
    <w:rsid w:val="0088005B"/>
    <w:rsid w:val="00880231"/>
    <w:rsid w:val="00880274"/>
    <w:rsid w:val="008802A9"/>
    <w:rsid w:val="008803AD"/>
    <w:rsid w:val="008805EC"/>
    <w:rsid w:val="00880B5A"/>
    <w:rsid w:val="00880EA3"/>
    <w:rsid w:val="00881934"/>
    <w:rsid w:val="00881BC4"/>
    <w:rsid w:val="00881BF6"/>
    <w:rsid w:val="00881FC8"/>
    <w:rsid w:val="00881FE5"/>
    <w:rsid w:val="0088202D"/>
    <w:rsid w:val="00882070"/>
    <w:rsid w:val="00882845"/>
    <w:rsid w:val="00882B56"/>
    <w:rsid w:val="00882D2B"/>
    <w:rsid w:val="00883617"/>
    <w:rsid w:val="00883EF6"/>
    <w:rsid w:val="008859BA"/>
    <w:rsid w:val="00885A98"/>
    <w:rsid w:val="00885B4E"/>
    <w:rsid w:val="0088673C"/>
    <w:rsid w:val="00886C0D"/>
    <w:rsid w:val="00886F08"/>
    <w:rsid w:val="00886F26"/>
    <w:rsid w:val="00887B2A"/>
    <w:rsid w:val="00887D0B"/>
    <w:rsid w:val="00887DBA"/>
    <w:rsid w:val="00890851"/>
    <w:rsid w:val="00890D27"/>
    <w:rsid w:val="008912A5"/>
    <w:rsid w:val="00891A90"/>
    <w:rsid w:val="00891B27"/>
    <w:rsid w:val="00891B43"/>
    <w:rsid w:val="00891E1F"/>
    <w:rsid w:val="00891E57"/>
    <w:rsid w:val="008921F3"/>
    <w:rsid w:val="008926EE"/>
    <w:rsid w:val="0089297F"/>
    <w:rsid w:val="00892AD0"/>
    <w:rsid w:val="008931A0"/>
    <w:rsid w:val="008936DB"/>
    <w:rsid w:val="00893E60"/>
    <w:rsid w:val="00894A3D"/>
    <w:rsid w:val="00894E10"/>
    <w:rsid w:val="00895CCD"/>
    <w:rsid w:val="008961A1"/>
    <w:rsid w:val="008961A9"/>
    <w:rsid w:val="00896270"/>
    <w:rsid w:val="008962AA"/>
    <w:rsid w:val="00896533"/>
    <w:rsid w:val="008969FE"/>
    <w:rsid w:val="00897155"/>
    <w:rsid w:val="008972DF"/>
    <w:rsid w:val="008975BD"/>
    <w:rsid w:val="00897D37"/>
    <w:rsid w:val="008A0012"/>
    <w:rsid w:val="008A02BE"/>
    <w:rsid w:val="008A0A68"/>
    <w:rsid w:val="008A0B8B"/>
    <w:rsid w:val="008A0DCA"/>
    <w:rsid w:val="008A134C"/>
    <w:rsid w:val="008A1A66"/>
    <w:rsid w:val="008A1C48"/>
    <w:rsid w:val="008A2F8E"/>
    <w:rsid w:val="008A3C26"/>
    <w:rsid w:val="008A416A"/>
    <w:rsid w:val="008A4243"/>
    <w:rsid w:val="008A4589"/>
    <w:rsid w:val="008A474B"/>
    <w:rsid w:val="008A4DEE"/>
    <w:rsid w:val="008A4E7E"/>
    <w:rsid w:val="008A4EE3"/>
    <w:rsid w:val="008A5D52"/>
    <w:rsid w:val="008A67BF"/>
    <w:rsid w:val="008A6FAE"/>
    <w:rsid w:val="008A704B"/>
    <w:rsid w:val="008A7639"/>
    <w:rsid w:val="008A7B74"/>
    <w:rsid w:val="008A7D93"/>
    <w:rsid w:val="008A7EB6"/>
    <w:rsid w:val="008A7FD2"/>
    <w:rsid w:val="008B000F"/>
    <w:rsid w:val="008B021D"/>
    <w:rsid w:val="008B0B89"/>
    <w:rsid w:val="008B11B8"/>
    <w:rsid w:val="008B1360"/>
    <w:rsid w:val="008B1446"/>
    <w:rsid w:val="008B153A"/>
    <w:rsid w:val="008B18D4"/>
    <w:rsid w:val="008B1A27"/>
    <w:rsid w:val="008B1BD9"/>
    <w:rsid w:val="008B1CF0"/>
    <w:rsid w:val="008B1DC9"/>
    <w:rsid w:val="008B1E1B"/>
    <w:rsid w:val="008B1FEB"/>
    <w:rsid w:val="008B258F"/>
    <w:rsid w:val="008B272E"/>
    <w:rsid w:val="008B31B6"/>
    <w:rsid w:val="008B35F8"/>
    <w:rsid w:val="008B37CA"/>
    <w:rsid w:val="008B3BDE"/>
    <w:rsid w:val="008B3EC0"/>
    <w:rsid w:val="008B43FB"/>
    <w:rsid w:val="008B4456"/>
    <w:rsid w:val="008B514C"/>
    <w:rsid w:val="008B52B3"/>
    <w:rsid w:val="008B531F"/>
    <w:rsid w:val="008B5779"/>
    <w:rsid w:val="008B595C"/>
    <w:rsid w:val="008B5A62"/>
    <w:rsid w:val="008B5B11"/>
    <w:rsid w:val="008B5E69"/>
    <w:rsid w:val="008B5EF9"/>
    <w:rsid w:val="008B61C4"/>
    <w:rsid w:val="008B68CE"/>
    <w:rsid w:val="008B6F4C"/>
    <w:rsid w:val="008B71BE"/>
    <w:rsid w:val="008B7425"/>
    <w:rsid w:val="008B77B9"/>
    <w:rsid w:val="008B7A34"/>
    <w:rsid w:val="008B7E8C"/>
    <w:rsid w:val="008C0194"/>
    <w:rsid w:val="008C03D7"/>
    <w:rsid w:val="008C0611"/>
    <w:rsid w:val="008C10DF"/>
    <w:rsid w:val="008C1760"/>
    <w:rsid w:val="008C178C"/>
    <w:rsid w:val="008C264F"/>
    <w:rsid w:val="008C279E"/>
    <w:rsid w:val="008C2CCF"/>
    <w:rsid w:val="008C322D"/>
    <w:rsid w:val="008C3539"/>
    <w:rsid w:val="008C3550"/>
    <w:rsid w:val="008C3731"/>
    <w:rsid w:val="008C3782"/>
    <w:rsid w:val="008C3A52"/>
    <w:rsid w:val="008C3F95"/>
    <w:rsid w:val="008C3FAE"/>
    <w:rsid w:val="008C402A"/>
    <w:rsid w:val="008C420D"/>
    <w:rsid w:val="008C43C0"/>
    <w:rsid w:val="008C446C"/>
    <w:rsid w:val="008C44D7"/>
    <w:rsid w:val="008C4A36"/>
    <w:rsid w:val="008C552A"/>
    <w:rsid w:val="008C68AD"/>
    <w:rsid w:val="008C72D0"/>
    <w:rsid w:val="008C73C7"/>
    <w:rsid w:val="008C7622"/>
    <w:rsid w:val="008C7ACA"/>
    <w:rsid w:val="008C7AFC"/>
    <w:rsid w:val="008C7C05"/>
    <w:rsid w:val="008D0E2B"/>
    <w:rsid w:val="008D0E8B"/>
    <w:rsid w:val="008D1279"/>
    <w:rsid w:val="008D14CE"/>
    <w:rsid w:val="008D1A5C"/>
    <w:rsid w:val="008D20ED"/>
    <w:rsid w:val="008D22B2"/>
    <w:rsid w:val="008D2331"/>
    <w:rsid w:val="008D2CAF"/>
    <w:rsid w:val="008D2FB3"/>
    <w:rsid w:val="008D3E2F"/>
    <w:rsid w:val="008D3FA8"/>
    <w:rsid w:val="008D408C"/>
    <w:rsid w:val="008D414D"/>
    <w:rsid w:val="008D4AAB"/>
    <w:rsid w:val="008D4E29"/>
    <w:rsid w:val="008D5357"/>
    <w:rsid w:val="008D53A8"/>
    <w:rsid w:val="008D5C23"/>
    <w:rsid w:val="008D5C3D"/>
    <w:rsid w:val="008D645E"/>
    <w:rsid w:val="008D698E"/>
    <w:rsid w:val="008D6A1C"/>
    <w:rsid w:val="008D6C6E"/>
    <w:rsid w:val="008D6EAF"/>
    <w:rsid w:val="008D7324"/>
    <w:rsid w:val="008D7548"/>
    <w:rsid w:val="008D7FC0"/>
    <w:rsid w:val="008E0759"/>
    <w:rsid w:val="008E07D2"/>
    <w:rsid w:val="008E093E"/>
    <w:rsid w:val="008E0A15"/>
    <w:rsid w:val="008E0CA0"/>
    <w:rsid w:val="008E1714"/>
    <w:rsid w:val="008E1746"/>
    <w:rsid w:val="008E1A06"/>
    <w:rsid w:val="008E26F0"/>
    <w:rsid w:val="008E42A2"/>
    <w:rsid w:val="008E45A4"/>
    <w:rsid w:val="008E47C5"/>
    <w:rsid w:val="008E4AA6"/>
    <w:rsid w:val="008E56A8"/>
    <w:rsid w:val="008E5DCF"/>
    <w:rsid w:val="008E5E9E"/>
    <w:rsid w:val="008E65AB"/>
    <w:rsid w:val="008E6A25"/>
    <w:rsid w:val="008E7FD5"/>
    <w:rsid w:val="008F0170"/>
    <w:rsid w:val="008F121C"/>
    <w:rsid w:val="008F15EC"/>
    <w:rsid w:val="008F17A8"/>
    <w:rsid w:val="008F187F"/>
    <w:rsid w:val="008F1979"/>
    <w:rsid w:val="008F1BE5"/>
    <w:rsid w:val="008F2C2D"/>
    <w:rsid w:val="008F4783"/>
    <w:rsid w:val="008F47F0"/>
    <w:rsid w:val="008F56A0"/>
    <w:rsid w:val="008F598D"/>
    <w:rsid w:val="008F5C1E"/>
    <w:rsid w:val="008F5DE0"/>
    <w:rsid w:val="008F643B"/>
    <w:rsid w:val="008F645A"/>
    <w:rsid w:val="008F6E06"/>
    <w:rsid w:val="008F6E6A"/>
    <w:rsid w:val="008F754F"/>
    <w:rsid w:val="008F7B35"/>
    <w:rsid w:val="008F7BBE"/>
    <w:rsid w:val="00900204"/>
    <w:rsid w:val="00900656"/>
    <w:rsid w:val="0090068D"/>
    <w:rsid w:val="009007FF"/>
    <w:rsid w:val="00900BBB"/>
    <w:rsid w:val="00900BD7"/>
    <w:rsid w:val="00900FE8"/>
    <w:rsid w:val="0090136A"/>
    <w:rsid w:val="00901891"/>
    <w:rsid w:val="00901C81"/>
    <w:rsid w:val="00901EC7"/>
    <w:rsid w:val="009021ED"/>
    <w:rsid w:val="009029E0"/>
    <w:rsid w:val="00902DA0"/>
    <w:rsid w:val="00903230"/>
    <w:rsid w:val="00903919"/>
    <w:rsid w:val="00904042"/>
    <w:rsid w:val="0090480D"/>
    <w:rsid w:val="00904B35"/>
    <w:rsid w:val="00904CF3"/>
    <w:rsid w:val="00904E41"/>
    <w:rsid w:val="009051A7"/>
    <w:rsid w:val="0090623F"/>
    <w:rsid w:val="00906875"/>
    <w:rsid w:val="0090689F"/>
    <w:rsid w:val="00906A58"/>
    <w:rsid w:val="00906BED"/>
    <w:rsid w:val="00906C7B"/>
    <w:rsid w:val="009071A3"/>
    <w:rsid w:val="0090769D"/>
    <w:rsid w:val="00907804"/>
    <w:rsid w:val="00907917"/>
    <w:rsid w:val="00907A71"/>
    <w:rsid w:val="00907CBE"/>
    <w:rsid w:val="00907F82"/>
    <w:rsid w:val="0091018E"/>
    <w:rsid w:val="0091087A"/>
    <w:rsid w:val="009108C5"/>
    <w:rsid w:val="00910D8A"/>
    <w:rsid w:val="0091187D"/>
    <w:rsid w:val="0091285E"/>
    <w:rsid w:val="009128E9"/>
    <w:rsid w:val="00912FA7"/>
    <w:rsid w:val="00914310"/>
    <w:rsid w:val="00914A7C"/>
    <w:rsid w:val="00915C86"/>
    <w:rsid w:val="00915FBE"/>
    <w:rsid w:val="00916684"/>
    <w:rsid w:val="00916E9A"/>
    <w:rsid w:val="00917000"/>
    <w:rsid w:val="00917A5B"/>
    <w:rsid w:val="00917C30"/>
    <w:rsid w:val="00920134"/>
    <w:rsid w:val="009203AB"/>
    <w:rsid w:val="009207DE"/>
    <w:rsid w:val="009207EF"/>
    <w:rsid w:val="0092093A"/>
    <w:rsid w:val="00920C05"/>
    <w:rsid w:val="00921082"/>
    <w:rsid w:val="00921B3F"/>
    <w:rsid w:val="00921CAD"/>
    <w:rsid w:val="00921F95"/>
    <w:rsid w:val="00922205"/>
    <w:rsid w:val="00922435"/>
    <w:rsid w:val="00922F07"/>
    <w:rsid w:val="009232E8"/>
    <w:rsid w:val="00924807"/>
    <w:rsid w:val="00925692"/>
    <w:rsid w:val="00925AF4"/>
    <w:rsid w:val="00926141"/>
    <w:rsid w:val="00926410"/>
    <w:rsid w:val="00926421"/>
    <w:rsid w:val="00926AAA"/>
    <w:rsid w:val="00926C08"/>
    <w:rsid w:val="00926EDB"/>
    <w:rsid w:val="009273DA"/>
    <w:rsid w:val="00927AD3"/>
    <w:rsid w:val="00927BA2"/>
    <w:rsid w:val="00927EAF"/>
    <w:rsid w:val="00930194"/>
    <w:rsid w:val="009303B2"/>
    <w:rsid w:val="00930C2E"/>
    <w:rsid w:val="00930C4E"/>
    <w:rsid w:val="009313A7"/>
    <w:rsid w:val="00931687"/>
    <w:rsid w:val="00931791"/>
    <w:rsid w:val="00931806"/>
    <w:rsid w:val="00931D05"/>
    <w:rsid w:val="00932012"/>
    <w:rsid w:val="00932502"/>
    <w:rsid w:val="009328C2"/>
    <w:rsid w:val="00932B49"/>
    <w:rsid w:val="009331E7"/>
    <w:rsid w:val="009334E5"/>
    <w:rsid w:val="00933D21"/>
    <w:rsid w:val="00934450"/>
    <w:rsid w:val="0093461C"/>
    <w:rsid w:val="00934B6C"/>
    <w:rsid w:val="0093531F"/>
    <w:rsid w:val="009356F7"/>
    <w:rsid w:val="00935B28"/>
    <w:rsid w:val="00935B2B"/>
    <w:rsid w:val="00935B9B"/>
    <w:rsid w:val="00935BD0"/>
    <w:rsid w:val="00935FB8"/>
    <w:rsid w:val="00935FF2"/>
    <w:rsid w:val="00936279"/>
    <w:rsid w:val="009362C7"/>
    <w:rsid w:val="009364F6"/>
    <w:rsid w:val="00936537"/>
    <w:rsid w:val="00936A04"/>
    <w:rsid w:val="00936C00"/>
    <w:rsid w:val="00936E80"/>
    <w:rsid w:val="009371E5"/>
    <w:rsid w:val="00940527"/>
    <w:rsid w:val="00940CA2"/>
    <w:rsid w:val="00941421"/>
    <w:rsid w:val="00941BEF"/>
    <w:rsid w:val="009420B0"/>
    <w:rsid w:val="009423DB"/>
    <w:rsid w:val="00942669"/>
    <w:rsid w:val="00942961"/>
    <w:rsid w:val="00943712"/>
    <w:rsid w:val="009439A5"/>
    <w:rsid w:val="0094436F"/>
    <w:rsid w:val="00944583"/>
    <w:rsid w:val="0094465E"/>
    <w:rsid w:val="00944FF5"/>
    <w:rsid w:val="009454D3"/>
    <w:rsid w:val="0094572B"/>
    <w:rsid w:val="00945B48"/>
    <w:rsid w:val="009460D4"/>
    <w:rsid w:val="00946725"/>
    <w:rsid w:val="00946B0D"/>
    <w:rsid w:val="00946C08"/>
    <w:rsid w:val="009474C1"/>
    <w:rsid w:val="0094766D"/>
    <w:rsid w:val="009477C8"/>
    <w:rsid w:val="00947A19"/>
    <w:rsid w:val="00947A41"/>
    <w:rsid w:val="00947DE4"/>
    <w:rsid w:val="00947FF5"/>
    <w:rsid w:val="009502AC"/>
    <w:rsid w:val="00950533"/>
    <w:rsid w:val="0095056D"/>
    <w:rsid w:val="009508EE"/>
    <w:rsid w:val="00950E30"/>
    <w:rsid w:val="00950E82"/>
    <w:rsid w:val="00951460"/>
    <w:rsid w:val="009515FC"/>
    <w:rsid w:val="009517FF"/>
    <w:rsid w:val="0095185F"/>
    <w:rsid w:val="009519AB"/>
    <w:rsid w:val="009519FB"/>
    <w:rsid w:val="009541C2"/>
    <w:rsid w:val="009544C9"/>
    <w:rsid w:val="009547B4"/>
    <w:rsid w:val="00954989"/>
    <w:rsid w:val="00954D38"/>
    <w:rsid w:val="0095527D"/>
    <w:rsid w:val="009553FF"/>
    <w:rsid w:val="009559F3"/>
    <w:rsid w:val="00955D1E"/>
    <w:rsid w:val="00956493"/>
    <w:rsid w:val="009572B3"/>
    <w:rsid w:val="0095794D"/>
    <w:rsid w:val="00957ACE"/>
    <w:rsid w:val="00957C66"/>
    <w:rsid w:val="00957E4E"/>
    <w:rsid w:val="009600CB"/>
    <w:rsid w:val="00960515"/>
    <w:rsid w:val="009607F9"/>
    <w:rsid w:val="0096099F"/>
    <w:rsid w:val="009609A9"/>
    <w:rsid w:val="00960AD7"/>
    <w:rsid w:val="00960F8F"/>
    <w:rsid w:val="00961749"/>
    <w:rsid w:val="009618E0"/>
    <w:rsid w:val="00961A31"/>
    <w:rsid w:val="00961CDB"/>
    <w:rsid w:val="00961F4F"/>
    <w:rsid w:val="0096218F"/>
    <w:rsid w:val="00962243"/>
    <w:rsid w:val="009624AD"/>
    <w:rsid w:val="00962A9D"/>
    <w:rsid w:val="00962BA2"/>
    <w:rsid w:val="00962F3C"/>
    <w:rsid w:val="00963648"/>
    <w:rsid w:val="00963700"/>
    <w:rsid w:val="0096378B"/>
    <w:rsid w:val="00963DF8"/>
    <w:rsid w:val="0096416B"/>
    <w:rsid w:val="00964683"/>
    <w:rsid w:val="0096484E"/>
    <w:rsid w:val="009653CC"/>
    <w:rsid w:val="009662B6"/>
    <w:rsid w:val="0096663C"/>
    <w:rsid w:val="00966678"/>
    <w:rsid w:val="00966932"/>
    <w:rsid w:val="009676B3"/>
    <w:rsid w:val="00967A44"/>
    <w:rsid w:val="00967D3E"/>
    <w:rsid w:val="00970638"/>
    <w:rsid w:val="00970A08"/>
    <w:rsid w:val="00970DBD"/>
    <w:rsid w:val="009711AD"/>
    <w:rsid w:val="009711B4"/>
    <w:rsid w:val="00971474"/>
    <w:rsid w:val="009719AD"/>
    <w:rsid w:val="00971A69"/>
    <w:rsid w:val="00971C6E"/>
    <w:rsid w:val="00971D5A"/>
    <w:rsid w:val="0097208C"/>
    <w:rsid w:val="0097233B"/>
    <w:rsid w:val="00972EC2"/>
    <w:rsid w:val="00972F56"/>
    <w:rsid w:val="0097329E"/>
    <w:rsid w:val="00973CF2"/>
    <w:rsid w:val="00973EE2"/>
    <w:rsid w:val="009740D6"/>
    <w:rsid w:val="00975443"/>
    <w:rsid w:val="00975702"/>
    <w:rsid w:val="00975732"/>
    <w:rsid w:val="00976352"/>
    <w:rsid w:val="00976786"/>
    <w:rsid w:val="00976788"/>
    <w:rsid w:val="00976BB0"/>
    <w:rsid w:val="00976C8E"/>
    <w:rsid w:val="0097759A"/>
    <w:rsid w:val="00977C91"/>
    <w:rsid w:val="00977E48"/>
    <w:rsid w:val="00980A79"/>
    <w:rsid w:val="00980AF9"/>
    <w:rsid w:val="00980B5D"/>
    <w:rsid w:val="0098133C"/>
    <w:rsid w:val="00981BE5"/>
    <w:rsid w:val="009824F1"/>
    <w:rsid w:val="00982766"/>
    <w:rsid w:val="0098278F"/>
    <w:rsid w:val="009827E0"/>
    <w:rsid w:val="00982821"/>
    <w:rsid w:val="00982D49"/>
    <w:rsid w:val="00982FFA"/>
    <w:rsid w:val="00983464"/>
    <w:rsid w:val="00983BC0"/>
    <w:rsid w:val="0098484C"/>
    <w:rsid w:val="00984E09"/>
    <w:rsid w:val="00984E0C"/>
    <w:rsid w:val="0098508E"/>
    <w:rsid w:val="0098510C"/>
    <w:rsid w:val="00985543"/>
    <w:rsid w:val="00985761"/>
    <w:rsid w:val="00985B8A"/>
    <w:rsid w:val="00986374"/>
    <w:rsid w:val="009865EE"/>
    <w:rsid w:val="009867DC"/>
    <w:rsid w:val="0098751C"/>
    <w:rsid w:val="0098768C"/>
    <w:rsid w:val="00990436"/>
    <w:rsid w:val="009908AB"/>
    <w:rsid w:val="009911BC"/>
    <w:rsid w:val="00991406"/>
    <w:rsid w:val="00991A39"/>
    <w:rsid w:val="00991AE3"/>
    <w:rsid w:val="00991CC9"/>
    <w:rsid w:val="0099200C"/>
    <w:rsid w:val="00992D15"/>
    <w:rsid w:val="00992DBE"/>
    <w:rsid w:val="00993345"/>
    <w:rsid w:val="009937DD"/>
    <w:rsid w:val="00994041"/>
    <w:rsid w:val="009949BF"/>
    <w:rsid w:val="00994AB6"/>
    <w:rsid w:val="00994CCB"/>
    <w:rsid w:val="00995241"/>
    <w:rsid w:val="00995F26"/>
    <w:rsid w:val="0099602E"/>
    <w:rsid w:val="0099611C"/>
    <w:rsid w:val="00996C98"/>
    <w:rsid w:val="00996F3D"/>
    <w:rsid w:val="00996FCC"/>
    <w:rsid w:val="0099777F"/>
    <w:rsid w:val="009978EC"/>
    <w:rsid w:val="009A0060"/>
    <w:rsid w:val="009A02CE"/>
    <w:rsid w:val="009A0346"/>
    <w:rsid w:val="009A071F"/>
    <w:rsid w:val="009A0C09"/>
    <w:rsid w:val="009A10EF"/>
    <w:rsid w:val="009A160D"/>
    <w:rsid w:val="009A18D5"/>
    <w:rsid w:val="009A1C26"/>
    <w:rsid w:val="009A1EEF"/>
    <w:rsid w:val="009A247F"/>
    <w:rsid w:val="009A260D"/>
    <w:rsid w:val="009A2725"/>
    <w:rsid w:val="009A3140"/>
    <w:rsid w:val="009A31C8"/>
    <w:rsid w:val="009A3A0F"/>
    <w:rsid w:val="009A417E"/>
    <w:rsid w:val="009A4842"/>
    <w:rsid w:val="009A5047"/>
    <w:rsid w:val="009A535F"/>
    <w:rsid w:val="009A550C"/>
    <w:rsid w:val="009A5626"/>
    <w:rsid w:val="009A5835"/>
    <w:rsid w:val="009A5A03"/>
    <w:rsid w:val="009A5B57"/>
    <w:rsid w:val="009A60CC"/>
    <w:rsid w:val="009A62A0"/>
    <w:rsid w:val="009A690F"/>
    <w:rsid w:val="009A71B3"/>
    <w:rsid w:val="009A7372"/>
    <w:rsid w:val="009A77B7"/>
    <w:rsid w:val="009A78C2"/>
    <w:rsid w:val="009A7907"/>
    <w:rsid w:val="009A7956"/>
    <w:rsid w:val="009A7E19"/>
    <w:rsid w:val="009B02B4"/>
    <w:rsid w:val="009B0985"/>
    <w:rsid w:val="009B0A74"/>
    <w:rsid w:val="009B0B1D"/>
    <w:rsid w:val="009B0F1E"/>
    <w:rsid w:val="009B0F38"/>
    <w:rsid w:val="009B131D"/>
    <w:rsid w:val="009B135E"/>
    <w:rsid w:val="009B20F4"/>
    <w:rsid w:val="009B2277"/>
    <w:rsid w:val="009B2C68"/>
    <w:rsid w:val="009B2FC1"/>
    <w:rsid w:val="009B3070"/>
    <w:rsid w:val="009B32C6"/>
    <w:rsid w:val="009B3FDA"/>
    <w:rsid w:val="009B420A"/>
    <w:rsid w:val="009B478A"/>
    <w:rsid w:val="009B49F6"/>
    <w:rsid w:val="009B4C22"/>
    <w:rsid w:val="009B4CC1"/>
    <w:rsid w:val="009B4D58"/>
    <w:rsid w:val="009B5A4E"/>
    <w:rsid w:val="009B5A62"/>
    <w:rsid w:val="009B5BD2"/>
    <w:rsid w:val="009B5DA2"/>
    <w:rsid w:val="009B606D"/>
    <w:rsid w:val="009B61EE"/>
    <w:rsid w:val="009B67DB"/>
    <w:rsid w:val="009B7F9E"/>
    <w:rsid w:val="009C053B"/>
    <w:rsid w:val="009C0E02"/>
    <w:rsid w:val="009C102D"/>
    <w:rsid w:val="009C1273"/>
    <w:rsid w:val="009C15A7"/>
    <w:rsid w:val="009C17CA"/>
    <w:rsid w:val="009C1F82"/>
    <w:rsid w:val="009C2126"/>
    <w:rsid w:val="009C2262"/>
    <w:rsid w:val="009C2C95"/>
    <w:rsid w:val="009C3122"/>
    <w:rsid w:val="009C347A"/>
    <w:rsid w:val="009C3767"/>
    <w:rsid w:val="009C39D5"/>
    <w:rsid w:val="009C3C0B"/>
    <w:rsid w:val="009C3DB4"/>
    <w:rsid w:val="009C3EF9"/>
    <w:rsid w:val="009C4134"/>
    <w:rsid w:val="009C5A5E"/>
    <w:rsid w:val="009C5CBD"/>
    <w:rsid w:val="009C5F7C"/>
    <w:rsid w:val="009C65AF"/>
    <w:rsid w:val="009C688A"/>
    <w:rsid w:val="009C6FC7"/>
    <w:rsid w:val="009C7459"/>
    <w:rsid w:val="009C760B"/>
    <w:rsid w:val="009C78C3"/>
    <w:rsid w:val="009C78F1"/>
    <w:rsid w:val="009C7F9B"/>
    <w:rsid w:val="009C7FB4"/>
    <w:rsid w:val="009D00EB"/>
    <w:rsid w:val="009D079A"/>
    <w:rsid w:val="009D09A6"/>
    <w:rsid w:val="009D0A5A"/>
    <w:rsid w:val="009D0B56"/>
    <w:rsid w:val="009D0D58"/>
    <w:rsid w:val="009D1C4C"/>
    <w:rsid w:val="009D2071"/>
    <w:rsid w:val="009D25CF"/>
    <w:rsid w:val="009D2712"/>
    <w:rsid w:val="009D3AE0"/>
    <w:rsid w:val="009D4295"/>
    <w:rsid w:val="009D4439"/>
    <w:rsid w:val="009D4587"/>
    <w:rsid w:val="009D46C9"/>
    <w:rsid w:val="009D4D1C"/>
    <w:rsid w:val="009D50BD"/>
    <w:rsid w:val="009D57DC"/>
    <w:rsid w:val="009D5877"/>
    <w:rsid w:val="009D5FAA"/>
    <w:rsid w:val="009D6013"/>
    <w:rsid w:val="009D7117"/>
    <w:rsid w:val="009D7471"/>
    <w:rsid w:val="009D74B7"/>
    <w:rsid w:val="009D7994"/>
    <w:rsid w:val="009E05A5"/>
    <w:rsid w:val="009E08E6"/>
    <w:rsid w:val="009E0996"/>
    <w:rsid w:val="009E1D62"/>
    <w:rsid w:val="009E221E"/>
    <w:rsid w:val="009E24FE"/>
    <w:rsid w:val="009E28F4"/>
    <w:rsid w:val="009E2A10"/>
    <w:rsid w:val="009E2FEA"/>
    <w:rsid w:val="009E332E"/>
    <w:rsid w:val="009E358E"/>
    <w:rsid w:val="009E3639"/>
    <w:rsid w:val="009E3C71"/>
    <w:rsid w:val="009E3E3A"/>
    <w:rsid w:val="009E43AF"/>
    <w:rsid w:val="009E4A23"/>
    <w:rsid w:val="009E50A6"/>
    <w:rsid w:val="009E538E"/>
    <w:rsid w:val="009E5448"/>
    <w:rsid w:val="009E5977"/>
    <w:rsid w:val="009E5A0E"/>
    <w:rsid w:val="009E61E1"/>
    <w:rsid w:val="009E6690"/>
    <w:rsid w:val="009E6691"/>
    <w:rsid w:val="009E68B8"/>
    <w:rsid w:val="009E6954"/>
    <w:rsid w:val="009E6AD8"/>
    <w:rsid w:val="009E6BAB"/>
    <w:rsid w:val="009E6F2A"/>
    <w:rsid w:val="009E6FF4"/>
    <w:rsid w:val="009E7021"/>
    <w:rsid w:val="009E768C"/>
    <w:rsid w:val="009E76EE"/>
    <w:rsid w:val="009E7C41"/>
    <w:rsid w:val="009E7D64"/>
    <w:rsid w:val="009F0402"/>
    <w:rsid w:val="009F0581"/>
    <w:rsid w:val="009F0B43"/>
    <w:rsid w:val="009F0FC0"/>
    <w:rsid w:val="009F12F9"/>
    <w:rsid w:val="009F16C5"/>
    <w:rsid w:val="009F23A8"/>
    <w:rsid w:val="009F2AC0"/>
    <w:rsid w:val="009F2BA5"/>
    <w:rsid w:val="009F2CB6"/>
    <w:rsid w:val="009F2F0E"/>
    <w:rsid w:val="009F3170"/>
    <w:rsid w:val="009F4081"/>
    <w:rsid w:val="009F4418"/>
    <w:rsid w:val="009F45A2"/>
    <w:rsid w:val="009F4645"/>
    <w:rsid w:val="009F46F4"/>
    <w:rsid w:val="009F4C78"/>
    <w:rsid w:val="009F4D2B"/>
    <w:rsid w:val="009F5A76"/>
    <w:rsid w:val="009F6517"/>
    <w:rsid w:val="009F6EA3"/>
    <w:rsid w:val="009F7407"/>
    <w:rsid w:val="009F7C9F"/>
    <w:rsid w:val="009F7FDA"/>
    <w:rsid w:val="00A002F6"/>
    <w:rsid w:val="00A004E3"/>
    <w:rsid w:val="00A0068F"/>
    <w:rsid w:val="00A0081B"/>
    <w:rsid w:val="00A012CC"/>
    <w:rsid w:val="00A01D87"/>
    <w:rsid w:val="00A01E6C"/>
    <w:rsid w:val="00A01ED2"/>
    <w:rsid w:val="00A01F86"/>
    <w:rsid w:val="00A021C2"/>
    <w:rsid w:val="00A02220"/>
    <w:rsid w:val="00A027D3"/>
    <w:rsid w:val="00A02A3C"/>
    <w:rsid w:val="00A03408"/>
    <w:rsid w:val="00A03615"/>
    <w:rsid w:val="00A03B0A"/>
    <w:rsid w:val="00A03DB9"/>
    <w:rsid w:val="00A0440E"/>
    <w:rsid w:val="00A04C42"/>
    <w:rsid w:val="00A04F5C"/>
    <w:rsid w:val="00A05A40"/>
    <w:rsid w:val="00A05CF5"/>
    <w:rsid w:val="00A06834"/>
    <w:rsid w:val="00A078D1"/>
    <w:rsid w:val="00A107F4"/>
    <w:rsid w:val="00A10AFB"/>
    <w:rsid w:val="00A118FA"/>
    <w:rsid w:val="00A1192A"/>
    <w:rsid w:val="00A11973"/>
    <w:rsid w:val="00A11CCC"/>
    <w:rsid w:val="00A12322"/>
    <w:rsid w:val="00A123F9"/>
    <w:rsid w:val="00A12569"/>
    <w:rsid w:val="00A12719"/>
    <w:rsid w:val="00A12801"/>
    <w:rsid w:val="00A12B61"/>
    <w:rsid w:val="00A12BC4"/>
    <w:rsid w:val="00A12C87"/>
    <w:rsid w:val="00A12D5A"/>
    <w:rsid w:val="00A13238"/>
    <w:rsid w:val="00A1335A"/>
    <w:rsid w:val="00A136FB"/>
    <w:rsid w:val="00A139E3"/>
    <w:rsid w:val="00A13E91"/>
    <w:rsid w:val="00A15A65"/>
    <w:rsid w:val="00A16B07"/>
    <w:rsid w:val="00A16E9D"/>
    <w:rsid w:val="00A17EB0"/>
    <w:rsid w:val="00A20665"/>
    <w:rsid w:val="00A206DF"/>
    <w:rsid w:val="00A20DBA"/>
    <w:rsid w:val="00A20F64"/>
    <w:rsid w:val="00A21005"/>
    <w:rsid w:val="00A2185D"/>
    <w:rsid w:val="00A21D5C"/>
    <w:rsid w:val="00A21DF6"/>
    <w:rsid w:val="00A21E3F"/>
    <w:rsid w:val="00A22016"/>
    <w:rsid w:val="00A2208F"/>
    <w:rsid w:val="00A22AE7"/>
    <w:rsid w:val="00A22CDF"/>
    <w:rsid w:val="00A22DEB"/>
    <w:rsid w:val="00A22E34"/>
    <w:rsid w:val="00A23514"/>
    <w:rsid w:val="00A239E6"/>
    <w:rsid w:val="00A23E38"/>
    <w:rsid w:val="00A2438E"/>
    <w:rsid w:val="00A24A1A"/>
    <w:rsid w:val="00A24DEE"/>
    <w:rsid w:val="00A2564B"/>
    <w:rsid w:val="00A25CBB"/>
    <w:rsid w:val="00A25D10"/>
    <w:rsid w:val="00A2646C"/>
    <w:rsid w:val="00A2653E"/>
    <w:rsid w:val="00A2690C"/>
    <w:rsid w:val="00A26BD1"/>
    <w:rsid w:val="00A26F82"/>
    <w:rsid w:val="00A2719F"/>
    <w:rsid w:val="00A273E6"/>
    <w:rsid w:val="00A30562"/>
    <w:rsid w:val="00A30ED4"/>
    <w:rsid w:val="00A31ADF"/>
    <w:rsid w:val="00A32A8D"/>
    <w:rsid w:val="00A32BEB"/>
    <w:rsid w:val="00A33F0A"/>
    <w:rsid w:val="00A340E6"/>
    <w:rsid w:val="00A3469C"/>
    <w:rsid w:val="00A34897"/>
    <w:rsid w:val="00A36D8D"/>
    <w:rsid w:val="00A373B7"/>
    <w:rsid w:val="00A373BE"/>
    <w:rsid w:val="00A37D39"/>
    <w:rsid w:val="00A37FB3"/>
    <w:rsid w:val="00A406F0"/>
    <w:rsid w:val="00A40E89"/>
    <w:rsid w:val="00A4109C"/>
    <w:rsid w:val="00A41207"/>
    <w:rsid w:val="00A41749"/>
    <w:rsid w:val="00A41A03"/>
    <w:rsid w:val="00A41A7E"/>
    <w:rsid w:val="00A41AD5"/>
    <w:rsid w:val="00A41C23"/>
    <w:rsid w:val="00A41F3E"/>
    <w:rsid w:val="00A422BF"/>
    <w:rsid w:val="00A427BB"/>
    <w:rsid w:val="00A42E38"/>
    <w:rsid w:val="00A42E66"/>
    <w:rsid w:val="00A43882"/>
    <w:rsid w:val="00A4399D"/>
    <w:rsid w:val="00A43DA9"/>
    <w:rsid w:val="00A43F2C"/>
    <w:rsid w:val="00A442F2"/>
    <w:rsid w:val="00A4463A"/>
    <w:rsid w:val="00A44982"/>
    <w:rsid w:val="00A449A0"/>
    <w:rsid w:val="00A44AF4"/>
    <w:rsid w:val="00A458A6"/>
    <w:rsid w:val="00A45952"/>
    <w:rsid w:val="00A4599F"/>
    <w:rsid w:val="00A459A0"/>
    <w:rsid w:val="00A45BD2"/>
    <w:rsid w:val="00A4671B"/>
    <w:rsid w:val="00A467FC"/>
    <w:rsid w:val="00A46D0C"/>
    <w:rsid w:val="00A46DBD"/>
    <w:rsid w:val="00A472D9"/>
    <w:rsid w:val="00A47A43"/>
    <w:rsid w:val="00A47C29"/>
    <w:rsid w:val="00A47F3C"/>
    <w:rsid w:val="00A5062D"/>
    <w:rsid w:val="00A507CD"/>
    <w:rsid w:val="00A512B1"/>
    <w:rsid w:val="00A516B9"/>
    <w:rsid w:val="00A518DF"/>
    <w:rsid w:val="00A51C87"/>
    <w:rsid w:val="00A5219C"/>
    <w:rsid w:val="00A52549"/>
    <w:rsid w:val="00A525F1"/>
    <w:rsid w:val="00A5261F"/>
    <w:rsid w:val="00A5270F"/>
    <w:rsid w:val="00A5272F"/>
    <w:rsid w:val="00A52812"/>
    <w:rsid w:val="00A53162"/>
    <w:rsid w:val="00A54466"/>
    <w:rsid w:val="00A54727"/>
    <w:rsid w:val="00A54902"/>
    <w:rsid w:val="00A54F89"/>
    <w:rsid w:val="00A55124"/>
    <w:rsid w:val="00A5546C"/>
    <w:rsid w:val="00A5549B"/>
    <w:rsid w:val="00A556F3"/>
    <w:rsid w:val="00A55729"/>
    <w:rsid w:val="00A557AE"/>
    <w:rsid w:val="00A5599C"/>
    <w:rsid w:val="00A55B1E"/>
    <w:rsid w:val="00A56684"/>
    <w:rsid w:val="00A56B30"/>
    <w:rsid w:val="00A56F86"/>
    <w:rsid w:val="00A57036"/>
    <w:rsid w:val="00A572BD"/>
    <w:rsid w:val="00A574B9"/>
    <w:rsid w:val="00A57AF5"/>
    <w:rsid w:val="00A600DC"/>
    <w:rsid w:val="00A6027D"/>
    <w:rsid w:val="00A60DA0"/>
    <w:rsid w:val="00A622C1"/>
    <w:rsid w:val="00A6270F"/>
    <w:rsid w:val="00A627D4"/>
    <w:rsid w:val="00A62B6D"/>
    <w:rsid w:val="00A6331A"/>
    <w:rsid w:val="00A638B2"/>
    <w:rsid w:val="00A63D88"/>
    <w:rsid w:val="00A64926"/>
    <w:rsid w:val="00A65187"/>
    <w:rsid w:val="00A651C0"/>
    <w:rsid w:val="00A65576"/>
    <w:rsid w:val="00A65992"/>
    <w:rsid w:val="00A6599B"/>
    <w:rsid w:val="00A65F1B"/>
    <w:rsid w:val="00A661BD"/>
    <w:rsid w:val="00A662F0"/>
    <w:rsid w:val="00A669D9"/>
    <w:rsid w:val="00A669E8"/>
    <w:rsid w:val="00A672BA"/>
    <w:rsid w:val="00A6736D"/>
    <w:rsid w:val="00A676DA"/>
    <w:rsid w:val="00A677F9"/>
    <w:rsid w:val="00A67CBB"/>
    <w:rsid w:val="00A67D54"/>
    <w:rsid w:val="00A701D2"/>
    <w:rsid w:val="00A7023F"/>
    <w:rsid w:val="00A70281"/>
    <w:rsid w:val="00A7045F"/>
    <w:rsid w:val="00A705C9"/>
    <w:rsid w:val="00A70763"/>
    <w:rsid w:val="00A70D15"/>
    <w:rsid w:val="00A70D7B"/>
    <w:rsid w:val="00A7117E"/>
    <w:rsid w:val="00A711BE"/>
    <w:rsid w:val="00A7124C"/>
    <w:rsid w:val="00A719FD"/>
    <w:rsid w:val="00A71F7D"/>
    <w:rsid w:val="00A7256C"/>
    <w:rsid w:val="00A7386D"/>
    <w:rsid w:val="00A73F8A"/>
    <w:rsid w:val="00A74615"/>
    <w:rsid w:val="00A74775"/>
    <w:rsid w:val="00A74FB0"/>
    <w:rsid w:val="00A753D5"/>
    <w:rsid w:val="00A758F3"/>
    <w:rsid w:val="00A7597E"/>
    <w:rsid w:val="00A759AB"/>
    <w:rsid w:val="00A75A73"/>
    <w:rsid w:val="00A75BA1"/>
    <w:rsid w:val="00A75BD3"/>
    <w:rsid w:val="00A761CE"/>
    <w:rsid w:val="00A76212"/>
    <w:rsid w:val="00A76625"/>
    <w:rsid w:val="00A76914"/>
    <w:rsid w:val="00A7705B"/>
    <w:rsid w:val="00A77765"/>
    <w:rsid w:val="00A77862"/>
    <w:rsid w:val="00A779A1"/>
    <w:rsid w:val="00A77C02"/>
    <w:rsid w:val="00A77CB6"/>
    <w:rsid w:val="00A8030E"/>
    <w:rsid w:val="00A8051B"/>
    <w:rsid w:val="00A81299"/>
    <w:rsid w:val="00A8189D"/>
    <w:rsid w:val="00A81C49"/>
    <w:rsid w:val="00A82370"/>
    <w:rsid w:val="00A82A9B"/>
    <w:rsid w:val="00A82C03"/>
    <w:rsid w:val="00A82CBB"/>
    <w:rsid w:val="00A82F2B"/>
    <w:rsid w:val="00A834A4"/>
    <w:rsid w:val="00A837D7"/>
    <w:rsid w:val="00A8382F"/>
    <w:rsid w:val="00A83B06"/>
    <w:rsid w:val="00A83D20"/>
    <w:rsid w:val="00A83F98"/>
    <w:rsid w:val="00A84110"/>
    <w:rsid w:val="00A84634"/>
    <w:rsid w:val="00A8492C"/>
    <w:rsid w:val="00A8549C"/>
    <w:rsid w:val="00A85992"/>
    <w:rsid w:val="00A85A59"/>
    <w:rsid w:val="00A85B36"/>
    <w:rsid w:val="00A85E4B"/>
    <w:rsid w:val="00A86714"/>
    <w:rsid w:val="00A86FC9"/>
    <w:rsid w:val="00A870B6"/>
    <w:rsid w:val="00A8779D"/>
    <w:rsid w:val="00A87A73"/>
    <w:rsid w:val="00A87CB9"/>
    <w:rsid w:val="00A87EF9"/>
    <w:rsid w:val="00A9056B"/>
    <w:rsid w:val="00A90CF5"/>
    <w:rsid w:val="00A91185"/>
    <w:rsid w:val="00A911A5"/>
    <w:rsid w:val="00A9133B"/>
    <w:rsid w:val="00A9176C"/>
    <w:rsid w:val="00A91820"/>
    <w:rsid w:val="00A918D9"/>
    <w:rsid w:val="00A91BC1"/>
    <w:rsid w:val="00A91F2C"/>
    <w:rsid w:val="00A92248"/>
    <w:rsid w:val="00A9264F"/>
    <w:rsid w:val="00A92A48"/>
    <w:rsid w:val="00A92AE7"/>
    <w:rsid w:val="00A92B13"/>
    <w:rsid w:val="00A92C20"/>
    <w:rsid w:val="00A92F43"/>
    <w:rsid w:val="00A934CC"/>
    <w:rsid w:val="00A934F9"/>
    <w:rsid w:val="00A945C9"/>
    <w:rsid w:val="00A94E35"/>
    <w:rsid w:val="00A950E6"/>
    <w:rsid w:val="00A957D9"/>
    <w:rsid w:val="00A9605D"/>
    <w:rsid w:val="00A9624C"/>
    <w:rsid w:val="00A970B5"/>
    <w:rsid w:val="00A971E6"/>
    <w:rsid w:val="00A9756F"/>
    <w:rsid w:val="00A97C13"/>
    <w:rsid w:val="00AA0744"/>
    <w:rsid w:val="00AA0CE3"/>
    <w:rsid w:val="00AA12CC"/>
    <w:rsid w:val="00AA137D"/>
    <w:rsid w:val="00AA19A1"/>
    <w:rsid w:val="00AA1CEC"/>
    <w:rsid w:val="00AA1F6D"/>
    <w:rsid w:val="00AA2178"/>
    <w:rsid w:val="00AA288E"/>
    <w:rsid w:val="00AA2DA3"/>
    <w:rsid w:val="00AA350F"/>
    <w:rsid w:val="00AA367C"/>
    <w:rsid w:val="00AA3CAA"/>
    <w:rsid w:val="00AA3FC5"/>
    <w:rsid w:val="00AA4220"/>
    <w:rsid w:val="00AA426E"/>
    <w:rsid w:val="00AA45FE"/>
    <w:rsid w:val="00AA5718"/>
    <w:rsid w:val="00AA5C98"/>
    <w:rsid w:val="00AA5D41"/>
    <w:rsid w:val="00AA6005"/>
    <w:rsid w:val="00AA609C"/>
    <w:rsid w:val="00AA6783"/>
    <w:rsid w:val="00AA68F3"/>
    <w:rsid w:val="00AA6902"/>
    <w:rsid w:val="00AA6B42"/>
    <w:rsid w:val="00AA6F3D"/>
    <w:rsid w:val="00AA718F"/>
    <w:rsid w:val="00AA7286"/>
    <w:rsid w:val="00AA76A4"/>
    <w:rsid w:val="00AA78D9"/>
    <w:rsid w:val="00AB011F"/>
    <w:rsid w:val="00AB14D0"/>
    <w:rsid w:val="00AB2C80"/>
    <w:rsid w:val="00AB3242"/>
    <w:rsid w:val="00AB3850"/>
    <w:rsid w:val="00AB3D63"/>
    <w:rsid w:val="00AB40E7"/>
    <w:rsid w:val="00AB44E5"/>
    <w:rsid w:val="00AB5D37"/>
    <w:rsid w:val="00AB645D"/>
    <w:rsid w:val="00AB6730"/>
    <w:rsid w:val="00AB6D5A"/>
    <w:rsid w:val="00AB6D5F"/>
    <w:rsid w:val="00AB7748"/>
    <w:rsid w:val="00AB7CF8"/>
    <w:rsid w:val="00AB7EDC"/>
    <w:rsid w:val="00AB7F89"/>
    <w:rsid w:val="00AC00C3"/>
    <w:rsid w:val="00AC0507"/>
    <w:rsid w:val="00AC1165"/>
    <w:rsid w:val="00AC1600"/>
    <w:rsid w:val="00AC1C2C"/>
    <w:rsid w:val="00AC1E43"/>
    <w:rsid w:val="00AC248B"/>
    <w:rsid w:val="00AC2E20"/>
    <w:rsid w:val="00AC2E2E"/>
    <w:rsid w:val="00AC304B"/>
    <w:rsid w:val="00AC3361"/>
    <w:rsid w:val="00AC34B7"/>
    <w:rsid w:val="00AC3525"/>
    <w:rsid w:val="00AC3BF5"/>
    <w:rsid w:val="00AC3E21"/>
    <w:rsid w:val="00AC3F2F"/>
    <w:rsid w:val="00AC40CF"/>
    <w:rsid w:val="00AC452A"/>
    <w:rsid w:val="00AC4645"/>
    <w:rsid w:val="00AC4B70"/>
    <w:rsid w:val="00AC516A"/>
    <w:rsid w:val="00AC551B"/>
    <w:rsid w:val="00AC58DB"/>
    <w:rsid w:val="00AC5F9E"/>
    <w:rsid w:val="00AC6A20"/>
    <w:rsid w:val="00AC6A50"/>
    <w:rsid w:val="00AC6B93"/>
    <w:rsid w:val="00AC7225"/>
    <w:rsid w:val="00AC7582"/>
    <w:rsid w:val="00AC7765"/>
    <w:rsid w:val="00AC78DF"/>
    <w:rsid w:val="00AC7ED9"/>
    <w:rsid w:val="00AD04CF"/>
    <w:rsid w:val="00AD08F1"/>
    <w:rsid w:val="00AD0A6D"/>
    <w:rsid w:val="00AD1B5A"/>
    <w:rsid w:val="00AD1D0B"/>
    <w:rsid w:val="00AD225C"/>
    <w:rsid w:val="00AD27B2"/>
    <w:rsid w:val="00AD285F"/>
    <w:rsid w:val="00AD3049"/>
    <w:rsid w:val="00AD33BC"/>
    <w:rsid w:val="00AD3547"/>
    <w:rsid w:val="00AD4585"/>
    <w:rsid w:val="00AD47DB"/>
    <w:rsid w:val="00AD5D8F"/>
    <w:rsid w:val="00AD67F4"/>
    <w:rsid w:val="00AD726C"/>
    <w:rsid w:val="00AD7369"/>
    <w:rsid w:val="00AD7A6E"/>
    <w:rsid w:val="00AD7DDD"/>
    <w:rsid w:val="00AE007F"/>
    <w:rsid w:val="00AE0720"/>
    <w:rsid w:val="00AE0D37"/>
    <w:rsid w:val="00AE0D64"/>
    <w:rsid w:val="00AE188C"/>
    <w:rsid w:val="00AE1998"/>
    <w:rsid w:val="00AE20AB"/>
    <w:rsid w:val="00AE21A9"/>
    <w:rsid w:val="00AE29E7"/>
    <w:rsid w:val="00AE2FAA"/>
    <w:rsid w:val="00AE3A29"/>
    <w:rsid w:val="00AE3AFA"/>
    <w:rsid w:val="00AE3D4E"/>
    <w:rsid w:val="00AE458B"/>
    <w:rsid w:val="00AE46C5"/>
    <w:rsid w:val="00AE47EC"/>
    <w:rsid w:val="00AE49CF"/>
    <w:rsid w:val="00AE50AA"/>
    <w:rsid w:val="00AE5349"/>
    <w:rsid w:val="00AE560D"/>
    <w:rsid w:val="00AE585C"/>
    <w:rsid w:val="00AE588B"/>
    <w:rsid w:val="00AE6B3B"/>
    <w:rsid w:val="00AE6B81"/>
    <w:rsid w:val="00AE6FB9"/>
    <w:rsid w:val="00AE72D9"/>
    <w:rsid w:val="00AE757B"/>
    <w:rsid w:val="00AE760A"/>
    <w:rsid w:val="00AE76BF"/>
    <w:rsid w:val="00AE7730"/>
    <w:rsid w:val="00AE77BE"/>
    <w:rsid w:val="00AF0308"/>
    <w:rsid w:val="00AF036E"/>
    <w:rsid w:val="00AF0DF7"/>
    <w:rsid w:val="00AF12F8"/>
    <w:rsid w:val="00AF15F0"/>
    <w:rsid w:val="00AF169E"/>
    <w:rsid w:val="00AF1A3E"/>
    <w:rsid w:val="00AF2322"/>
    <w:rsid w:val="00AF2859"/>
    <w:rsid w:val="00AF3539"/>
    <w:rsid w:val="00AF3639"/>
    <w:rsid w:val="00AF3B01"/>
    <w:rsid w:val="00AF3F5A"/>
    <w:rsid w:val="00AF489E"/>
    <w:rsid w:val="00AF4A0A"/>
    <w:rsid w:val="00AF5022"/>
    <w:rsid w:val="00AF52D1"/>
    <w:rsid w:val="00AF5828"/>
    <w:rsid w:val="00AF6049"/>
    <w:rsid w:val="00AF649B"/>
    <w:rsid w:val="00AF64AB"/>
    <w:rsid w:val="00AF674A"/>
    <w:rsid w:val="00AF6D23"/>
    <w:rsid w:val="00AF7A8A"/>
    <w:rsid w:val="00B00AD2"/>
    <w:rsid w:val="00B0155D"/>
    <w:rsid w:val="00B0186F"/>
    <w:rsid w:val="00B01DF6"/>
    <w:rsid w:val="00B0208A"/>
    <w:rsid w:val="00B02317"/>
    <w:rsid w:val="00B034F9"/>
    <w:rsid w:val="00B035FA"/>
    <w:rsid w:val="00B03645"/>
    <w:rsid w:val="00B038A0"/>
    <w:rsid w:val="00B03FFB"/>
    <w:rsid w:val="00B0413D"/>
    <w:rsid w:val="00B041A4"/>
    <w:rsid w:val="00B04627"/>
    <w:rsid w:val="00B04912"/>
    <w:rsid w:val="00B04DFF"/>
    <w:rsid w:val="00B04EFB"/>
    <w:rsid w:val="00B0537C"/>
    <w:rsid w:val="00B05516"/>
    <w:rsid w:val="00B05769"/>
    <w:rsid w:val="00B05CC2"/>
    <w:rsid w:val="00B05EBE"/>
    <w:rsid w:val="00B06180"/>
    <w:rsid w:val="00B061D4"/>
    <w:rsid w:val="00B061F6"/>
    <w:rsid w:val="00B06EE0"/>
    <w:rsid w:val="00B07348"/>
    <w:rsid w:val="00B07579"/>
    <w:rsid w:val="00B07B5C"/>
    <w:rsid w:val="00B10765"/>
    <w:rsid w:val="00B10975"/>
    <w:rsid w:val="00B10DE5"/>
    <w:rsid w:val="00B1107E"/>
    <w:rsid w:val="00B110D8"/>
    <w:rsid w:val="00B11284"/>
    <w:rsid w:val="00B11D03"/>
    <w:rsid w:val="00B11D9C"/>
    <w:rsid w:val="00B11F75"/>
    <w:rsid w:val="00B126A2"/>
    <w:rsid w:val="00B12909"/>
    <w:rsid w:val="00B13598"/>
    <w:rsid w:val="00B13996"/>
    <w:rsid w:val="00B14638"/>
    <w:rsid w:val="00B1473B"/>
    <w:rsid w:val="00B14841"/>
    <w:rsid w:val="00B1516E"/>
    <w:rsid w:val="00B15612"/>
    <w:rsid w:val="00B156AE"/>
    <w:rsid w:val="00B156C8"/>
    <w:rsid w:val="00B15A72"/>
    <w:rsid w:val="00B15B05"/>
    <w:rsid w:val="00B15B37"/>
    <w:rsid w:val="00B15E49"/>
    <w:rsid w:val="00B15F18"/>
    <w:rsid w:val="00B160C8"/>
    <w:rsid w:val="00B163A8"/>
    <w:rsid w:val="00B16741"/>
    <w:rsid w:val="00B16C1B"/>
    <w:rsid w:val="00B16C89"/>
    <w:rsid w:val="00B16F0E"/>
    <w:rsid w:val="00B1789B"/>
    <w:rsid w:val="00B2096A"/>
    <w:rsid w:val="00B20AF4"/>
    <w:rsid w:val="00B2101D"/>
    <w:rsid w:val="00B215AB"/>
    <w:rsid w:val="00B217D1"/>
    <w:rsid w:val="00B21B4C"/>
    <w:rsid w:val="00B21B5C"/>
    <w:rsid w:val="00B21E98"/>
    <w:rsid w:val="00B21F87"/>
    <w:rsid w:val="00B2238A"/>
    <w:rsid w:val="00B22488"/>
    <w:rsid w:val="00B2261B"/>
    <w:rsid w:val="00B22CDC"/>
    <w:rsid w:val="00B234CD"/>
    <w:rsid w:val="00B23FE0"/>
    <w:rsid w:val="00B243B1"/>
    <w:rsid w:val="00B24904"/>
    <w:rsid w:val="00B24D7D"/>
    <w:rsid w:val="00B25082"/>
    <w:rsid w:val="00B2581E"/>
    <w:rsid w:val="00B2586F"/>
    <w:rsid w:val="00B26515"/>
    <w:rsid w:val="00B26CF7"/>
    <w:rsid w:val="00B27A59"/>
    <w:rsid w:val="00B27A78"/>
    <w:rsid w:val="00B27B83"/>
    <w:rsid w:val="00B27DCD"/>
    <w:rsid w:val="00B3098A"/>
    <w:rsid w:val="00B31512"/>
    <w:rsid w:val="00B31976"/>
    <w:rsid w:val="00B3372E"/>
    <w:rsid w:val="00B33752"/>
    <w:rsid w:val="00B347ED"/>
    <w:rsid w:val="00B34AA3"/>
    <w:rsid w:val="00B352D1"/>
    <w:rsid w:val="00B354D3"/>
    <w:rsid w:val="00B35FE6"/>
    <w:rsid w:val="00B360C5"/>
    <w:rsid w:val="00B362B3"/>
    <w:rsid w:val="00B36804"/>
    <w:rsid w:val="00B3781C"/>
    <w:rsid w:val="00B37958"/>
    <w:rsid w:val="00B37959"/>
    <w:rsid w:val="00B379EA"/>
    <w:rsid w:val="00B40336"/>
    <w:rsid w:val="00B40605"/>
    <w:rsid w:val="00B40728"/>
    <w:rsid w:val="00B40B2C"/>
    <w:rsid w:val="00B40B8A"/>
    <w:rsid w:val="00B410FD"/>
    <w:rsid w:val="00B411FF"/>
    <w:rsid w:val="00B4147A"/>
    <w:rsid w:val="00B41A0B"/>
    <w:rsid w:val="00B41DBD"/>
    <w:rsid w:val="00B42900"/>
    <w:rsid w:val="00B42CC6"/>
    <w:rsid w:val="00B43BEE"/>
    <w:rsid w:val="00B43E20"/>
    <w:rsid w:val="00B44004"/>
    <w:rsid w:val="00B443A5"/>
    <w:rsid w:val="00B45278"/>
    <w:rsid w:val="00B4535D"/>
    <w:rsid w:val="00B4599D"/>
    <w:rsid w:val="00B45EC9"/>
    <w:rsid w:val="00B45F0F"/>
    <w:rsid w:val="00B45FAF"/>
    <w:rsid w:val="00B46082"/>
    <w:rsid w:val="00B4627A"/>
    <w:rsid w:val="00B46C97"/>
    <w:rsid w:val="00B47AEA"/>
    <w:rsid w:val="00B5010D"/>
    <w:rsid w:val="00B5090A"/>
    <w:rsid w:val="00B50EB7"/>
    <w:rsid w:val="00B5108F"/>
    <w:rsid w:val="00B510C4"/>
    <w:rsid w:val="00B5176D"/>
    <w:rsid w:val="00B51AF2"/>
    <w:rsid w:val="00B52521"/>
    <w:rsid w:val="00B52580"/>
    <w:rsid w:val="00B52810"/>
    <w:rsid w:val="00B5296C"/>
    <w:rsid w:val="00B53133"/>
    <w:rsid w:val="00B5334F"/>
    <w:rsid w:val="00B537E6"/>
    <w:rsid w:val="00B53DF8"/>
    <w:rsid w:val="00B53ED8"/>
    <w:rsid w:val="00B53EE1"/>
    <w:rsid w:val="00B5425F"/>
    <w:rsid w:val="00B54813"/>
    <w:rsid w:val="00B55B4B"/>
    <w:rsid w:val="00B55CD6"/>
    <w:rsid w:val="00B56077"/>
    <w:rsid w:val="00B5670A"/>
    <w:rsid w:val="00B56C3E"/>
    <w:rsid w:val="00B57C8D"/>
    <w:rsid w:val="00B6033A"/>
    <w:rsid w:val="00B60541"/>
    <w:rsid w:val="00B60964"/>
    <w:rsid w:val="00B616FF"/>
    <w:rsid w:val="00B61794"/>
    <w:rsid w:val="00B617A6"/>
    <w:rsid w:val="00B61EF0"/>
    <w:rsid w:val="00B621B1"/>
    <w:rsid w:val="00B6295B"/>
    <w:rsid w:val="00B62E62"/>
    <w:rsid w:val="00B62E6F"/>
    <w:rsid w:val="00B63277"/>
    <w:rsid w:val="00B632CF"/>
    <w:rsid w:val="00B63569"/>
    <w:rsid w:val="00B6366D"/>
    <w:rsid w:val="00B637E5"/>
    <w:rsid w:val="00B6390D"/>
    <w:rsid w:val="00B6409E"/>
    <w:rsid w:val="00B643CA"/>
    <w:rsid w:val="00B64BE9"/>
    <w:rsid w:val="00B64FCC"/>
    <w:rsid w:val="00B6549D"/>
    <w:rsid w:val="00B6556F"/>
    <w:rsid w:val="00B65628"/>
    <w:rsid w:val="00B658E7"/>
    <w:rsid w:val="00B65A64"/>
    <w:rsid w:val="00B65FF8"/>
    <w:rsid w:val="00B661E9"/>
    <w:rsid w:val="00B6754A"/>
    <w:rsid w:val="00B67AFD"/>
    <w:rsid w:val="00B67B2A"/>
    <w:rsid w:val="00B702C2"/>
    <w:rsid w:val="00B702EA"/>
    <w:rsid w:val="00B70593"/>
    <w:rsid w:val="00B717C5"/>
    <w:rsid w:val="00B71F54"/>
    <w:rsid w:val="00B723F7"/>
    <w:rsid w:val="00B7332E"/>
    <w:rsid w:val="00B73475"/>
    <w:rsid w:val="00B735F6"/>
    <w:rsid w:val="00B73B8F"/>
    <w:rsid w:val="00B73FA3"/>
    <w:rsid w:val="00B7402D"/>
    <w:rsid w:val="00B74294"/>
    <w:rsid w:val="00B743E9"/>
    <w:rsid w:val="00B74615"/>
    <w:rsid w:val="00B74E76"/>
    <w:rsid w:val="00B753B0"/>
    <w:rsid w:val="00B7546D"/>
    <w:rsid w:val="00B75507"/>
    <w:rsid w:val="00B75903"/>
    <w:rsid w:val="00B7623A"/>
    <w:rsid w:val="00B76769"/>
    <w:rsid w:val="00B76EE8"/>
    <w:rsid w:val="00B770E8"/>
    <w:rsid w:val="00B775E7"/>
    <w:rsid w:val="00B77C45"/>
    <w:rsid w:val="00B77F8E"/>
    <w:rsid w:val="00B80184"/>
    <w:rsid w:val="00B8097E"/>
    <w:rsid w:val="00B81381"/>
    <w:rsid w:val="00B81702"/>
    <w:rsid w:val="00B824A5"/>
    <w:rsid w:val="00B824B7"/>
    <w:rsid w:val="00B82598"/>
    <w:rsid w:val="00B8275F"/>
    <w:rsid w:val="00B829A3"/>
    <w:rsid w:val="00B82E25"/>
    <w:rsid w:val="00B834C8"/>
    <w:rsid w:val="00B83F21"/>
    <w:rsid w:val="00B84B70"/>
    <w:rsid w:val="00B8528B"/>
    <w:rsid w:val="00B852E8"/>
    <w:rsid w:val="00B8573E"/>
    <w:rsid w:val="00B85838"/>
    <w:rsid w:val="00B85B1E"/>
    <w:rsid w:val="00B866BC"/>
    <w:rsid w:val="00B86817"/>
    <w:rsid w:val="00B86906"/>
    <w:rsid w:val="00B86E46"/>
    <w:rsid w:val="00B86E4B"/>
    <w:rsid w:val="00B8704F"/>
    <w:rsid w:val="00B87A9B"/>
    <w:rsid w:val="00B9048C"/>
    <w:rsid w:val="00B9062B"/>
    <w:rsid w:val="00B90876"/>
    <w:rsid w:val="00B90A33"/>
    <w:rsid w:val="00B91837"/>
    <w:rsid w:val="00B91D4A"/>
    <w:rsid w:val="00B92084"/>
    <w:rsid w:val="00B922C1"/>
    <w:rsid w:val="00B9230B"/>
    <w:rsid w:val="00B9248D"/>
    <w:rsid w:val="00B92D9F"/>
    <w:rsid w:val="00B9305E"/>
    <w:rsid w:val="00B93203"/>
    <w:rsid w:val="00B93313"/>
    <w:rsid w:val="00B935AB"/>
    <w:rsid w:val="00B93975"/>
    <w:rsid w:val="00B947AA"/>
    <w:rsid w:val="00B94D55"/>
    <w:rsid w:val="00B952F6"/>
    <w:rsid w:val="00B955D0"/>
    <w:rsid w:val="00B95B19"/>
    <w:rsid w:val="00B95BEF"/>
    <w:rsid w:val="00B96232"/>
    <w:rsid w:val="00B963FA"/>
    <w:rsid w:val="00B96716"/>
    <w:rsid w:val="00B96A45"/>
    <w:rsid w:val="00B96DA8"/>
    <w:rsid w:val="00B9794B"/>
    <w:rsid w:val="00BA07E5"/>
    <w:rsid w:val="00BA110E"/>
    <w:rsid w:val="00BA1436"/>
    <w:rsid w:val="00BA1442"/>
    <w:rsid w:val="00BA2458"/>
    <w:rsid w:val="00BA259E"/>
    <w:rsid w:val="00BA294A"/>
    <w:rsid w:val="00BA2AFA"/>
    <w:rsid w:val="00BA2B8B"/>
    <w:rsid w:val="00BA2EDF"/>
    <w:rsid w:val="00BA2FB8"/>
    <w:rsid w:val="00BA3008"/>
    <w:rsid w:val="00BA328A"/>
    <w:rsid w:val="00BA3DAD"/>
    <w:rsid w:val="00BA41F7"/>
    <w:rsid w:val="00BA4DCA"/>
    <w:rsid w:val="00BA4E21"/>
    <w:rsid w:val="00BA4E2D"/>
    <w:rsid w:val="00BA50E2"/>
    <w:rsid w:val="00BA517A"/>
    <w:rsid w:val="00BA5A37"/>
    <w:rsid w:val="00BA6541"/>
    <w:rsid w:val="00BA7608"/>
    <w:rsid w:val="00BA783B"/>
    <w:rsid w:val="00BA7E88"/>
    <w:rsid w:val="00BA7EFE"/>
    <w:rsid w:val="00BB0050"/>
    <w:rsid w:val="00BB039C"/>
    <w:rsid w:val="00BB06F6"/>
    <w:rsid w:val="00BB0B2C"/>
    <w:rsid w:val="00BB0EB5"/>
    <w:rsid w:val="00BB1BBA"/>
    <w:rsid w:val="00BB1E6E"/>
    <w:rsid w:val="00BB1EAF"/>
    <w:rsid w:val="00BB2165"/>
    <w:rsid w:val="00BB2920"/>
    <w:rsid w:val="00BB2D3A"/>
    <w:rsid w:val="00BB3935"/>
    <w:rsid w:val="00BB3C14"/>
    <w:rsid w:val="00BB42C8"/>
    <w:rsid w:val="00BB4590"/>
    <w:rsid w:val="00BB4BAD"/>
    <w:rsid w:val="00BB54AE"/>
    <w:rsid w:val="00BB5BC7"/>
    <w:rsid w:val="00BB5C32"/>
    <w:rsid w:val="00BB6C56"/>
    <w:rsid w:val="00BB6E86"/>
    <w:rsid w:val="00BB7160"/>
    <w:rsid w:val="00BB7AC8"/>
    <w:rsid w:val="00BC04A0"/>
    <w:rsid w:val="00BC04E6"/>
    <w:rsid w:val="00BC0C9C"/>
    <w:rsid w:val="00BC10EF"/>
    <w:rsid w:val="00BC13C7"/>
    <w:rsid w:val="00BC1DC5"/>
    <w:rsid w:val="00BC22C6"/>
    <w:rsid w:val="00BC26E8"/>
    <w:rsid w:val="00BC2CB5"/>
    <w:rsid w:val="00BC2F4A"/>
    <w:rsid w:val="00BC31B5"/>
    <w:rsid w:val="00BC3BCA"/>
    <w:rsid w:val="00BC3D69"/>
    <w:rsid w:val="00BC3E12"/>
    <w:rsid w:val="00BC4372"/>
    <w:rsid w:val="00BC437C"/>
    <w:rsid w:val="00BC4BF1"/>
    <w:rsid w:val="00BC5FB8"/>
    <w:rsid w:val="00BC612A"/>
    <w:rsid w:val="00BC61AB"/>
    <w:rsid w:val="00BC645C"/>
    <w:rsid w:val="00BC6988"/>
    <w:rsid w:val="00BC6C33"/>
    <w:rsid w:val="00BC6CAE"/>
    <w:rsid w:val="00BC7110"/>
    <w:rsid w:val="00BC72CC"/>
    <w:rsid w:val="00BC7313"/>
    <w:rsid w:val="00BC7324"/>
    <w:rsid w:val="00BC757B"/>
    <w:rsid w:val="00BC76F6"/>
    <w:rsid w:val="00BC7B16"/>
    <w:rsid w:val="00BD0086"/>
    <w:rsid w:val="00BD03F8"/>
    <w:rsid w:val="00BD054A"/>
    <w:rsid w:val="00BD0EF2"/>
    <w:rsid w:val="00BD124E"/>
    <w:rsid w:val="00BD15F6"/>
    <w:rsid w:val="00BD1BA8"/>
    <w:rsid w:val="00BD2CB0"/>
    <w:rsid w:val="00BD2E45"/>
    <w:rsid w:val="00BD38E3"/>
    <w:rsid w:val="00BD3A87"/>
    <w:rsid w:val="00BD4386"/>
    <w:rsid w:val="00BD4E5B"/>
    <w:rsid w:val="00BD62C7"/>
    <w:rsid w:val="00BD67EE"/>
    <w:rsid w:val="00BD6A92"/>
    <w:rsid w:val="00BD77AB"/>
    <w:rsid w:val="00BD7C1C"/>
    <w:rsid w:val="00BD7E2E"/>
    <w:rsid w:val="00BE0201"/>
    <w:rsid w:val="00BE0B67"/>
    <w:rsid w:val="00BE0C52"/>
    <w:rsid w:val="00BE140D"/>
    <w:rsid w:val="00BE1441"/>
    <w:rsid w:val="00BE2191"/>
    <w:rsid w:val="00BE3038"/>
    <w:rsid w:val="00BE3DB0"/>
    <w:rsid w:val="00BE4298"/>
    <w:rsid w:val="00BE5D33"/>
    <w:rsid w:val="00BE5D91"/>
    <w:rsid w:val="00BE646A"/>
    <w:rsid w:val="00BE6509"/>
    <w:rsid w:val="00BE6637"/>
    <w:rsid w:val="00BE749A"/>
    <w:rsid w:val="00BE77AE"/>
    <w:rsid w:val="00BE792D"/>
    <w:rsid w:val="00BE7951"/>
    <w:rsid w:val="00BE7EBF"/>
    <w:rsid w:val="00BF01D6"/>
    <w:rsid w:val="00BF0288"/>
    <w:rsid w:val="00BF0DD2"/>
    <w:rsid w:val="00BF1318"/>
    <w:rsid w:val="00BF188E"/>
    <w:rsid w:val="00BF1958"/>
    <w:rsid w:val="00BF1A30"/>
    <w:rsid w:val="00BF204B"/>
    <w:rsid w:val="00BF2B94"/>
    <w:rsid w:val="00BF2C84"/>
    <w:rsid w:val="00BF38E3"/>
    <w:rsid w:val="00BF3AAC"/>
    <w:rsid w:val="00BF3B29"/>
    <w:rsid w:val="00BF3C0F"/>
    <w:rsid w:val="00BF3FB9"/>
    <w:rsid w:val="00BF411D"/>
    <w:rsid w:val="00BF50F8"/>
    <w:rsid w:val="00BF50F9"/>
    <w:rsid w:val="00BF5C00"/>
    <w:rsid w:val="00BF5CDA"/>
    <w:rsid w:val="00BF6ADE"/>
    <w:rsid w:val="00BF6B7C"/>
    <w:rsid w:val="00BF72B8"/>
    <w:rsid w:val="00BF7945"/>
    <w:rsid w:val="00C000ED"/>
    <w:rsid w:val="00C000FC"/>
    <w:rsid w:val="00C00E37"/>
    <w:rsid w:val="00C010CF"/>
    <w:rsid w:val="00C013FD"/>
    <w:rsid w:val="00C01E0E"/>
    <w:rsid w:val="00C02A17"/>
    <w:rsid w:val="00C02A32"/>
    <w:rsid w:val="00C02D33"/>
    <w:rsid w:val="00C03833"/>
    <w:rsid w:val="00C03C02"/>
    <w:rsid w:val="00C03D45"/>
    <w:rsid w:val="00C04273"/>
    <w:rsid w:val="00C048B5"/>
    <w:rsid w:val="00C04EF1"/>
    <w:rsid w:val="00C0543C"/>
    <w:rsid w:val="00C05739"/>
    <w:rsid w:val="00C0691D"/>
    <w:rsid w:val="00C06C16"/>
    <w:rsid w:val="00C07039"/>
    <w:rsid w:val="00C070FC"/>
    <w:rsid w:val="00C07568"/>
    <w:rsid w:val="00C0766F"/>
    <w:rsid w:val="00C07AC3"/>
    <w:rsid w:val="00C101E4"/>
    <w:rsid w:val="00C10213"/>
    <w:rsid w:val="00C10427"/>
    <w:rsid w:val="00C10867"/>
    <w:rsid w:val="00C108E4"/>
    <w:rsid w:val="00C11076"/>
    <w:rsid w:val="00C1159F"/>
    <w:rsid w:val="00C11796"/>
    <w:rsid w:val="00C11D7D"/>
    <w:rsid w:val="00C1294A"/>
    <w:rsid w:val="00C12DB3"/>
    <w:rsid w:val="00C12DFF"/>
    <w:rsid w:val="00C13071"/>
    <w:rsid w:val="00C13084"/>
    <w:rsid w:val="00C132C7"/>
    <w:rsid w:val="00C13A02"/>
    <w:rsid w:val="00C13B99"/>
    <w:rsid w:val="00C13D5E"/>
    <w:rsid w:val="00C1418A"/>
    <w:rsid w:val="00C14241"/>
    <w:rsid w:val="00C144F4"/>
    <w:rsid w:val="00C14712"/>
    <w:rsid w:val="00C14F50"/>
    <w:rsid w:val="00C15205"/>
    <w:rsid w:val="00C15318"/>
    <w:rsid w:val="00C16A54"/>
    <w:rsid w:val="00C16CA3"/>
    <w:rsid w:val="00C17282"/>
    <w:rsid w:val="00C172BD"/>
    <w:rsid w:val="00C1791F"/>
    <w:rsid w:val="00C17C04"/>
    <w:rsid w:val="00C17F97"/>
    <w:rsid w:val="00C202C7"/>
    <w:rsid w:val="00C20326"/>
    <w:rsid w:val="00C20735"/>
    <w:rsid w:val="00C20C71"/>
    <w:rsid w:val="00C2100F"/>
    <w:rsid w:val="00C21152"/>
    <w:rsid w:val="00C21CC3"/>
    <w:rsid w:val="00C21E82"/>
    <w:rsid w:val="00C21F51"/>
    <w:rsid w:val="00C223D1"/>
    <w:rsid w:val="00C22B87"/>
    <w:rsid w:val="00C2333B"/>
    <w:rsid w:val="00C233AC"/>
    <w:rsid w:val="00C24186"/>
    <w:rsid w:val="00C24591"/>
    <w:rsid w:val="00C2475C"/>
    <w:rsid w:val="00C24B6D"/>
    <w:rsid w:val="00C24B8F"/>
    <w:rsid w:val="00C25550"/>
    <w:rsid w:val="00C25D14"/>
    <w:rsid w:val="00C25D74"/>
    <w:rsid w:val="00C263AA"/>
    <w:rsid w:val="00C26403"/>
    <w:rsid w:val="00C2647F"/>
    <w:rsid w:val="00C26A31"/>
    <w:rsid w:val="00C26CDD"/>
    <w:rsid w:val="00C26D58"/>
    <w:rsid w:val="00C26DD0"/>
    <w:rsid w:val="00C26E70"/>
    <w:rsid w:val="00C2720C"/>
    <w:rsid w:val="00C27B8F"/>
    <w:rsid w:val="00C30278"/>
    <w:rsid w:val="00C30B01"/>
    <w:rsid w:val="00C3125F"/>
    <w:rsid w:val="00C31722"/>
    <w:rsid w:val="00C31B8F"/>
    <w:rsid w:val="00C31D60"/>
    <w:rsid w:val="00C31F7A"/>
    <w:rsid w:val="00C328EC"/>
    <w:rsid w:val="00C32AAB"/>
    <w:rsid w:val="00C32C59"/>
    <w:rsid w:val="00C3309E"/>
    <w:rsid w:val="00C3310C"/>
    <w:rsid w:val="00C3311E"/>
    <w:rsid w:val="00C34147"/>
    <w:rsid w:val="00C34988"/>
    <w:rsid w:val="00C34A68"/>
    <w:rsid w:val="00C34AFC"/>
    <w:rsid w:val="00C34D3C"/>
    <w:rsid w:val="00C34D43"/>
    <w:rsid w:val="00C356B7"/>
    <w:rsid w:val="00C35A86"/>
    <w:rsid w:val="00C36254"/>
    <w:rsid w:val="00C3661E"/>
    <w:rsid w:val="00C366C6"/>
    <w:rsid w:val="00C367F1"/>
    <w:rsid w:val="00C36E25"/>
    <w:rsid w:val="00C375AC"/>
    <w:rsid w:val="00C376BB"/>
    <w:rsid w:val="00C37B6B"/>
    <w:rsid w:val="00C37D20"/>
    <w:rsid w:val="00C37D83"/>
    <w:rsid w:val="00C37E02"/>
    <w:rsid w:val="00C37E7E"/>
    <w:rsid w:val="00C37EB7"/>
    <w:rsid w:val="00C40896"/>
    <w:rsid w:val="00C40C9F"/>
    <w:rsid w:val="00C40D57"/>
    <w:rsid w:val="00C40F1A"/>
    <w:rsid w:val="00C41185"/>
    <w:rsid w:val="00C41B02"/>
    <w:rsid w:val="00C424F1"/>
    <w:rsid w:val="00C432BA"/>
    <w:rsid w:val="00C435DC"/>
    <w:rsid w:val="00C43762"/>
    <w:rsid w:val="00C43E58"/>
    <w:rsid w:val="00C440C0"/>
    <w:rsid w:val="00C44326"/>
    <w:rsid w:val="00C444EF"/>
    <w:rsid w:val="00C44DBB"/>
    <w:rsid w:val="00C4535D"/>
    <w:rsid w:val="00C4537C"/>
    <w:rsid w:val="00C45A89"/>
    <w:rsid w:val="00C4603A"/>
    <w:rsid w:val="00C463ED"/>
    <w:rsid w:val="00C46458"/>
    <w:rsid w:val="00C467ED"/>
    <w:rsid w:val="00C46906"/>
    <w:rsid w:val="00C46FD3"/>
    <w:rsid w:val="00C50417"/>
    <w:rsid w:val="00C507D4"/>
    <w:rsid w:val="00C5195C"/>
    <w:rsid w:val="00C5195D"/>
    <w:rsid w:val="00C519F4"/>
    <w:rsid w:val="00C51F4D"/>
    <w:rsid w:val="00C52767"/>
    <w:rsid w:val="00C528B3"/>
    <w:rsid w:val="00C52BCF"/>
    <w:rsid w:val="00C52F83"/>
    <w:rsid w:val="00C53249"/>
    <w:rsid w:val="00C5379B"/>
    <w:rsid w:val="00C53DF8"/>
    <w:rsid w:val="00C53E55"/>
    <w:rsid w:val="00C54519"/>
    <w:rsid w:val="00C545A4"/>
    <w:rsid w:val="00C54EB1"/>
    <w:rsid w:val="00C555B2"/>
    <w:rsid w:val="00C561D1"/>
    <w:rsid w:val="00C56231"/>
    <w:rsid w:val="00C564A4"/>
    <w:rsid w:val="00C569D4"/>
    <w:rsid w:val="00C56A30"/>
    <w:rsid w:val="00C56B9F"/>
    <w:rsid w:val="00C56BAE"/>
    <w:rsid w:val="00C57B0F"/>
    <w:rsid w:val="00C60FB6"/>
    <w:rsid w:val="00C61C48"/>
    <w:rsid w:val="00C62140"/>
    <w:rsid w:val="00C62BE2"/>
    <w:rsid w:val="00C62D13"/>
    <w:rsid w:val="00C6332D"/>
    <w:rsid w:val="00C63480"/>
    <w:rsid w:val="00C63799"/>
    <w:rsid w:val="00C639B4"/>
    <w:rsid w:val="00C63FC0"/>
    <w:rsid w:val="00C64A39"/>
    <w:rsid w:val="00C64AEA"/>
    <w:rsid w:val="00C64EE2"/>
    <w:rsid w:val="00C65AB2"/>
    <w:rsid w:val="00C6605E"/>
    <w:rsid w:val="00C660EB"/>
    <w:rsid w:val="00C661A2"/>
    <w:rsid w:val="00C661E0"/>
    <w:rsid w:val="00C6667B"/>
    <w:rsid w:val="00C66B9F"/>
    <w:rsid w:val="00C67097"/>
    <w:rsid w:val="00C6751E"/>
    <w:rsid w:val="00C67CAE"/>
    <w:rsid w:val="00C7060C"/>
    <w:rsid w:val="00C70A9A"/>
    <w:rsid w:val="00C70F9E"/>
    <w:rsid w:val="00C70FEC"/>
    <w:rsid w:val="00C71105"/>
    <w:rsid w:val="00C7120B"/>
    <w:rsid w:val="00C71414"/>
    <w:rsid w:val="00C715EA"/>
    <w:rsid w:val="00C720E5"/>
    <w:rsid w:val="00C720E9"/>
    <w:rsid w:val="00C72197"/>
    <w:rsid w:val="00C72311"/>
    <w:rsid w:val="00C7297D"/>
    <w:rsid w:val="00C73265"/>
    <w:rsid w:val="00C7370C"/>
    <w:rsid w:val="00C73A0F"/>
    <w:rsid w:val="00C73EFA"/>
    <w:rsid w:val="00C7410E"/>
    <w:rsid w:val="00C74154"/>
    <w:rsid w:val="00C741B4"/>
    <w:rsid w:val="00C7430C"/>
    <w:rsid w:val="00C7485A"/>
    <w:rsid w:val="00C7486B"/>
    <w:rsid w:val="00C7545D"/>
    <w:rsid w:val="00C758A8"/>
    <w:rsid w:val="00C75C42"/>
    <w:rsid w:val="00C76056"/>
    <w:rsid w:val="00C7654D"/>
    <w:rsid w:val="00C768FD"/>
    <w:rsid w:val="00C76D6C"/>
    <w:rsid w:val="00C77053"/>
    <w:rsid w:val="00C776D3"/>
    <w:rsid w:val="00C7793F"/>
    <w:rsid w:val="00C77B62"/>
    <w:rsid w:val="00C77D81"/>
    <w:rsid w:val="00C80381"/>
    <w:rsid w:val="00C8091B"/>
    <w:rsid w:val="00C80AF2"/>
    <w:rsid w:val="00C80C51"/>
    <w:rsid w:val="00C80CBA"/>
    <w:rsid w:val="00C80CBD"/>
    <w:rsid w:val="00C8103C"/>
    <w:rsid w:val="00C813F3"/>
    <w:rsid w:val="00C81A0F"/>
    <w:rsid w:val="00C82083"/>
    <w:rsid w:val="00C8230A"/>
    <w:rsid w:val="00C829B8"/>
    <w:rsid w:val="00C82B63"/>
    <w:rsid w:val="00C834D0"/>
    <w:rsid w:val="00C83681"/>
    <w:rsid w:val="00C83B07"/>
    <w:rsid w:val="00C83D9E"/>
    <w:rsid w:val="00C840A6"/>
    <w:rsid w:val="00C840E3"/>
    <w:rsid w:val="00C84E50"/>
    <w:rsid w:val="00C85332"/>
    <w:rsid w:val="00C857A9"/>
    <w:rsid w:val="00C85DF7"/>
    <w:rsid w:val="00C8627E"/>
    <w:rsid w:val="00C8668B"/>
    <w:rsid w:val="00C86AD8"/>
    <w:rsid w:val="00C87078"/>
    <w:rsid w:val="00C87400"/>
    <w:rsid w:val="00C8744F"/>
    <w:rsid w:val="00C87B11"/>
    <w:rsid w:val="00C902A1"/>
    <w:rsid w:val="00C90477"/>
    <w:rsid w:val="00C90692"/>
    <w:rsid w:val="00C90BBC"/>
    <w:rsid w:val="00C91329"/>
    <w:rsid w:val="00C91520"/>
    <w:rsid w:val="00C9179F"/>
    <w:rsid w:val="00C919EA"/>
    <w:rsid w:val="00C91D55"/>
    <w:rsid w:val="00C923C2"/>
    <w:rsid w:val="00C924E9"/>
    <w:rsid w:val="00C9251C"/>
    <w:rsid w:val="00C92643"/>
    <w:rsid w:val="00C9313D"/>
    <w:rsid w:val="00C944AB"/>
    <w:rsid w:val="00C94BBF"/>
    <w:rsid w:val="00C94BC4"/>
    <w:rsid w:val="00C94C6A"/>
    <w:rsid w:val="00C9541C"/>
    <w:rsid w:val="00C954F7"/>
    <w:rsid w:val="00C95BA2"/>
    <w:rsid w:val="00C9600F"/>
    <w:rsid w:val="00C9677C"/>
    <w:rsid w:val="00C969D7"/>
    <w:rsid w:val="00C9710A"/>
    <w:rsid w:val="00C972D6"/>
    <w:rsid w:val="00C97AE3"/>
    <w:rsid w:val="00C97BF0"/>
    <w:rsid w:val="00CA008C"/>
    <w:rsid w:val="00CA0427"/>
    <w:rsid w:val="00CA07EA"/>
    <w:rsid w:val="00CA0BA2"/>
    <w:rsid w:val="00CA11E3"/>
    <w:rsid w:val="00CA1353"/>
    <w:rsid w:val="00CA1A99"/>
    <w:rsid w:val="00CA1B76"/>
    <w:rsid w:val="00CA26B8"/>
    <w:rsid w:val="00CA2F66"/>
    <w:rsid w:val="00CA36BB"/>
    <w:rsid w:val="00CA3877"/>
    <w:rsid w:val="00CA3885"/>
    <w:rsid w:val="00CA4316"/>
    <w:rsid w:val="00CA4A98"/>
    <w:rsid w:val="00CA50EA"/>
    <w:rsid w:val="00CA539B"/>
    <w:rsid w:val="00CA5739"/>
    <w:rsid w:val="00CA5AD4"/>
    <w:rsid w:val="00CA64CB"/>
    <w:rsid w:val="00CA69D0"/>
    <w:rsid w:val="00CA6A21"/>
    <w:rsid w:val="00CA6C42"/>
    <w:rsid w:val="00CA6ED4"/>
    <w:rsid w:val="00CA7048"/>
    <w:rsid w:val="00CA7D5C"/>
    <w:rsid w:val="00CA7F1E"/>
    <w:rsid w:val="00CB012B"/>
    <w:rsid w:val="00CB064B"/>
    <w:rsid w:val="00CB1650"/>
    <w:rsid w:val="00CB19CA"/>
    <w:rsid w:val="00CB1E93"/>
    <w:rsid w:val="00CB1F76"/>
    <w:rsid w:val="00CB2F7E"/>
    <w:rsid w:val="00CB3E44"/>
    <w:rsid w:val="00CB4377"/>
    <w:rsid w:val="00CB44AD"/>
    <w:rsid w:val="00CB45BA"/>
    <w:rsid w:val="00CB4AFF"/>
    <w:rsid w:val="00CB4C3F"/>
    <w:rsid w:val="00CB4D26"/>
    <w:rsid w:val="00CB5A0F"/>
    <w:rsid w:val="00CB5CC7"/>
    <w:rsid w:val="00CB5FBE"/>
    <w:rsid w:val="00CB5FCF"/>
    <w:rsid w:val="00CB60B3"/>
    <w:rsid w:val="00CB6307"/>
    <w:rsid w:val="00CB6717"/>
    <w:rsid w:val="00CB682F"/>
    <w:rsid w:val="00CB6B9A"/>
    <w:rsid w:val="00CB6C66"/>
    <w:rsid w:val="00CB6CAB"/>
    <w:rsid w:val="00CB7298"/>
    <w:rsid w:val="00CB781E"/>
    <w:rsid w:val="00CB7918"/>
    <w:rsid w:val="00CB7991"/>
    <w:rsid w:val="00CB7A76"/>
    <w:rsid w:val="00CB7E51"/>
    <w:rsid w:val="00CC087D"/>
    <w:rsid w:val="00CC0BE2"/>
    <w:rsid w:val="00CC0C10"/>
    <w:rsid w:val="00CC0F90"/>
    <w:rsid w:val="00CC1293"/>
    <w:rsid w:val="00CC137A"/>
    <w:rsid w:val="00CC1566"/>
    <w:rsid w:val="00CC1BDD"/>
    <w:rsid w:val="00CC2015"/>
    <w:rsid w:val="00CC29E2"/>
    <w:rsid w:val="00CC35DB"/>
    <w:rsid w:val="00CC3BA7"/>
    <w:rsid w:val="00CC3E84"/>
    <w:rsid w:val="00CC40E8"/>
    <w:rsid w:val="00CC414E"/>
    <w:rsid w:val="00CC48A5"/>
    <w:rsid w:val="00CC4A0A"/>
    <w:rsid w:val="00CC55B0"/>
    <w:rsid w:val="00CC5C5F"/>
    <w:rsid w:val="00CC6658"/>
    <w:rsid w:val="00CC6987"/>
    <w:rsid w:val="00CC6C64"/>
    <w:rsid w:val="00CC72A4"/>
    <w:rsid w:val="00CC7596"/>
    <w:rsid w:val="00CC77C2"/>
    <w:rsid w:val="00CD0186"/>
    <w:rsid w:val="00CD09E3"/>
    <w:rsid w:val="00CD0C1E"/>
    <w:rsid w:val="00CD105B"/>
    <w:rsid w:val="00CD14C7"/>
    <w:rsid w:val="00CD1536"/>
    <w:rsid w:val="00CD1720"/>
    <w:rsid w:val="00CD1B1F"/>
    <w:rsid w:val="00CD1E17"/>
    <w:rsid w:val="00CD2309"/>
    <w:rsid w:val="00CD2630"/>
    <w:rsid w:val="00CD28E9"/>
    <w:rsid w:val="00CD30FA"/>
    <w:rsid w:val="00CD4325"/>
    <w:rsid w:val="00CD44F5"/>
    <w:rsid w:val="00CD46BB"/>
    <w:rsid w:val="00CD483D"/>
    <w:rsid w:val="00CD4943"/>
    <w:rsid w:val="00CD4E75"/>
    <w:rsid w:val="00CD582B"/>
    <w:rsid w:val="00CD5F34"/>
    <w:rsid w:val="00CD61D8"/>
    <w:rsid w:val="00CD749D"/>
    <w:rsid w:val="00CD770F"/>
    <w:rsid w:val="00CD77DE"/>
    <w:rsid w:val="00CD78C1"/>
    <w:rsid w:val="00CE01CD"/>
    <w:rsid w:val="00CE0481"/>
    <w:rsid w:val="00CE0690"/>
    <w:rsid w:val="00CE0980"/>
    <w:rsid w:val="00CE0E09"/>
    <w:rsid w:val="00CE130A"/>
    <w:rsid w:val="00CE140B"/>
    <w:rsid w:val="00CE1C1F"/>
    <w:rsid w:val="00CE1D65"/>
    <w:rsid w:val="00CE2C4E"/>
    <w:rsid w:val="00CE2CF6"/>
    <w:rsid w:val="00CE32C8"/>
    <w:rsid w:val="00CE32D6"/>
    <w:rsid w:val="00CE3A3E"/>
    <w:rsid w:val="00CE3EE0"/>
    <w:rsid w:val="00CE4003"/>
    <w:rsid w:val="00CE4504"/>
    <w:rsid w:val="00CE4507"/>
    <w:rsid w:val="00CE4CEF"/>
    <w:rsid w:val="00CE50E2"/>
    <w:rsid w:val="00CE5E79"/>
    <w:rsid w:val="00CE7125"/>
    <w:rsid w:val="00CE71C3"/>
    <w:rsid w:val="00CE766F"/>
    <w:rsid w:val="00CE7955"/>
    <w:rsid w:val="00CE7B20"/>
    <w:rsid w:val="00CE7E08"/>
    <w:rsid w:val="00CF0325"/>
    <w:rsid w:val="00CF0690"/>
    <w:rsid w:val="00CF0B96"/>
    <w:rsid w:val="00CF0D8F"/>
    <w:rsid w:val="00CF0F9D"/>
    <w:rsid w:val="00CF0FE8"/>
    <w:rsid w:val="00CF12C1"/>
    <w:rsid w:val="00CF12DF"/>
    <w:rsid w:val="00CF1536"/>
    <w:rsid w:val="00CF1749"/>
    <w:rsid w:val="00CF1B9E"/>
    <w:rsid w:val="00CF25B2"/>
    <w:rsid w:val="00CF2AB2"/>
    <w:rsid w:val="00CF2FAE"/>
    <w:rsid w:val="00CF335D"/>
    <w:rsid w:val="00CF3475"/>
    <w:rsid w:val="00CF4EFE"/>
    <w:rsid w:val="00CF5134"/>
    <w:rsid w:val="00CF5248"/>
    <w:rsid w:val="00CF5469"/>
    <w:rsid w:val="00CF54B8"/>
    <w:rsid w:val="00CF59AC"/>
    <w:rsid w:val="00CF5E15"/>
    <w:rsid w:val="00CF5EF0"/>
    <w:rsid w:val="00CF635C"/>
    <w:rsid w:val="00CF640A"/>
    <w:rsid w:val="00CF6699"/>
    <w:rsid w:val="00CF68CA"/>
    <w:rsid w:val="00CF6F14"/>
    <w:rsid w:val="00CF71E5"/>
    <w:rsid w:val="00CF73C5"/>
    <w:rsid w:val="00CF7435"/>
    <w:rsid w:val="00CF7CBF"/>
    <w:rsid w:val="00D0068A"/>
    <w:rsid w:val="00D0081C"/>
    <w:rsid w:val="00D00F9F"/>
    <w:rsid w:val="00D01C12"/>
    <w:rsid w:val="00D0204C"/>
    <w:rsid w:val="00D022E3"/>
    <w:rsid w:val="00D023E8"/>
    <w:rsid w:val="00D024C4"/>
    <w:rsid w:val="00D02527"/>
    <w:rsid w:val="00D027BB"/>
    <w:rsid w:val="00D02A2B"/>
    <w:rsid w:val="00D02C80"/>
    <w:rsid w:val="00D03634"/>
    <w:rsid w:val="00D03931"/>
    <w:rsid w:val="00D03BDD"/>
    <w:rsid w:val="00D03FF6"/>
    <w:rsid w:val="00D045F0"/>
    <w:rsid w:val="00D0505C"/>
    <w:rsid w:val="00D05297"/>
    <w:rsid w:val="00D05ED1"/>
    <w:rsid w:val="00D061E2"/>
    <w:rsid w:val="00D061E3"/>
    <w:rsid w:val="00D065C8"/>
    <w:rsid w:val="00D06B81"/>
    <w:rsid w:val="00D074C8"/>
    <w:rsid w:val="00D07AEE"/>
    <w:rsid w:val="00D10AF6"/>
    <w:rsid w:val="00D10C35"/>
    <w:rsid w:val="00D11238"/>
    <w:rsid w:val="00D11407"/>
    <w:rsid w:val="00D11502"/>
    <w:rsid w:val="00D11BD4"/>
    <w:rsid w:val="00D11F51"/>
    <w:rsid w:val="00D12146"/>
    <w:rsid w:val="00D12978"/>
    <w:rsid w:val="00D12ADC"/>
    <w:rsid w:val="00D12AF2"/>
    <w:rsid w:val="00D13F7F"/>
    <w:rsid w:val="00D14541"/>
    <w:rsid w:val="00D148B0"/>
    <w:rsid w:val="00D14A53"/>
    <w:rsid w:val="00D14B87"/>
    <w:rsid w:val="00D14BD5"/>
    <w:rsid w:val="00D15891"/>
    <w:rsid w:val="00D15E01"/>
    <w:rsid w:val="00D160CA"/>
    <w:rsid w:val="00D1612D"/>
    <w:rsid w:val="00D16887"/>
    <w:rsid w:val="00D16BFE"/>
    <w:rsid w:val="00D16CDF"/>
    <w:rsid w:val="00D16E5F"/>
    <w:rsid w:val="00D172D2"/>
    <w:rsid w:val="00D17660"/>
    <w:rsid w:val="00D1787F"/>
    <w:rsid w:val="00D17ABF"/>
    <w:rsid w:val="00D213FB"/>
    <w:rsid w:val="00D214C1"/>
    <w:rsid w:val="00D21804"/>
    <w:rsid w:val="00D21961"/>
    <w:rsid w:val="00D21C51"/>
    <w:rsid w:val="00D2213E"/>
    <w:rsid w:val="00D22655"/>
    <w:rsid w:val="00D22A71"/>
    <w:rsid w:val="00D22AC3"/>
    <w:rsid w:val="00D22C60"/>
    <w:rsid w:val="00D2326E"/>
    <w:rsid w:val="00D238E7"/>
    <w:rsid w:val="00D23AF3"/>
    <w:rsid w:val="00D23DDA"/>
    <w:rsid w:val="00D2410F"/>
    <w:rsid w:val="00D2442A"/>
    <w:rsid w:val="00D2486C"/>
    <w:rsid w:val="00D248B7"/>
    <w:rsid w:val="00D24A98"/>
    <w:rsid w:val="00D25224"/>
    <w:rsid w:val="00D252D7"/>
    <w:rsid w:val="00D25448"/>
    <w:rsid w:val="00D255D3"/>
    <w:rsid w:val="00D2582A"/>
    <w:rsid w:val="00D25EB9"/>
    <w:rsid w:val="00D2666C"/>
    <w:rsid w:val="00D26EC2"/>
    <w:rsid w:val="00D2733F"/>
    <w:rsid w:val="00D2772D"/>
    <w:rsid w:val="00D30B78"/>
    <w:rsid w:val="00D31320"/>
    <w:rsid w:val="00D31E24"/>
    <w:rsid w:val="00D31F17"/>
    <w:rsid w:val="00D32C92"/>
    <w:rsid w:val="00D335F5"/>
    <w:rsid w:val="00D33702"/>
    <w:rsid w:val="00D338FC"/>
    <w:rsid w:val="00D33AA9"/>
    <w:rsid w:val="00D33E2C"/>
    <w:rsid w:val="00D34143"/>
    <w:rsid w:val="00D34227"/>
    <w:rsid w:val="00D345B2"/>
    <w:rsid w:val="00D3554B"/>
    <w:rsid w:val="00D362DF"/>
    <w:rsid w:val="00D3636F"/>
    <w:rsid w:val="00D36B44"/>
    <w:rsid w:val="00D36EC0"/>
    <w:rsid w:val="00D373C6"/>
    <w:rsid w:val="00D37679"/>
    <w:rsid w:val="00D37CD6"/>
    <w:rsid w:val="00D37E08"/>
    <w:rsid w:val="00D40AED"/>
    <w:rsid w:val="00D40F58"/>
    <w:rsid w:val="00D41361"/>
    <w:rsid w:val="00D41731"/>
    <w:rsid w:val="00D42738"/>
    <w:rsid w:val="00D42A4A"/>
    <w:rsid w:val="00D42D66"/>
    <w:rsid w:val="00D43AC7"/>
    <w:rsid w:val="00D43F1C"/>
    <w:rsid w:val="00D43F48"/>
    <w:rsid w:val="00D43F80"/>
    <w:rsid w:val="00D43FF4"/>
    <w:rsid w:val="00D44144"/>
    <w:rsid w:val="00D44C4A"/>
    <w:rsid w:val="00D44CF2"/>
    <w:rsid w:val="00D450FE"/>
    <w:rsid w:val="00D4552D"/>
    <w:rsid w:val="00D4569B"/>
    <w:rsid w:val="00D456C5"/>
    <w:rsid w:val="00D45B80"/>
    <w:rsid w:val="00D46244"/>
    <w:rsid w:val="00D46545"/>
    <w:rsid w:val="00D4655C"/>
    <w:rsid w:val="00D46657"/>
    <w:rsid w:val="00D46795"/>
    <w:rsid w:val="00D46E52"/>
    <w:rsid w:val="00D473B6"/>
    <w:rsid w:val="00D4778E"/>
    <w:rsid w:val="00D478CD"/>
    <w:rsid w:val="00D47F14"/>
    <w:rsid w:val="00D47F3A"/>
    <w:rsid w:val="00D5014D"/>
    <w:rsid w:val="00D50906"/>
    <w:rsid w:val="00D50CB7"/>
    <w:rsid w:val="00D51570"/>
    <w:rsid w:val="00D51C18"/>
    <w:rsid w:val="00D52804"/>
    <w:rsid w:val="00D52BB9"/>
    <w:rsid w:val="00D53676"/>
    <w:rsid w:val="00D53B23"/>
    <w:rsid w:val="00D53C5D"/>
    <w:rsid w:val="00D53CA7"/>
    <w:rsid w:val="00D540ED"/>
    <w:rsid w:val="00D54AC9"/>
    <w:rsid w:val="00D55204"/>
    <w:rsid w:val="00D55347"/>
    <w:rsid w:val="00D554A1"/>
    <w:rsid w:val="00D555D0"/>
    <w:rsid w:val="00D55765"/>
    <w:rsid w:val="00D55971"/>
    <w:rsid w:val="00D55BB0"/>
    <w:rsid w:val="00D55F61"/>
    <w:rsid w:val="00D563AD"/>
    <w:rsid w:val="00D564A4"/>
    <w:rsid w:val="00D56701"/>
    <w:rsid w:val="00D56D8C"/>
    <w:rsid w:val="00D570E7"/>
    <w:rsid w:val="00D578F1"/>
    <w:rsid w:val="00D57BE8"/>
    <w:rsid w:val="00D60825"/>
    <w:rsid w:val="00D60A6B"/>
    <w:rsid w:val="00D6100F"/>
    <w:rsid w:val="00D612E0"/>
    <w:rsid w:val="00D616B0"/>
    <w:rsid w:val="00D62B9F"/>
    <w:rsid w:val="00D62F63"/>
    <w:rsid w:val="00D62F91"/>
    <w:rsid w:val="00D639C9"/>
    <w:rsid w:val="00D644F8"/>
    <w:rsid w:val="00D64535"/>
    <w:rsid w:val="00D64E32"/>
    <w:rsid w:val="00D651CB"/>
    <w:rsid w:val="00D6526D"/>
    <w:rsid w:val="00D65323"/>
    <w:rsid w:val="00D655EB"/>
    <w:rsid w:val="00D6561F"/>
    <w:rsid w:val="00D65E3A"/>
    <w:rsid w:val="00D661EC"/>
    <w:rsid w:val="00D66366"/>
    <w:rsid w:val="00D667E6"/>
    <w:rsid w:val="00D66FEA"/>
    <w:rsid w:val="00D67768"/>
    <w:rsid w:val="00D67AF5"/>
    <w:rsid w:val="00D67FA9"/>
    <w:rsid w:val="00D704D7"/>
    <w:rsid w:val="00D709C7"/>
    <w:rsid w:val="00D70A29"/>
    <w:rsid w:val="00D70E88"/>
    <w:rsid w:val="00D711FD"/>
    <w:rsid w:val="00D71545"/>
    <w:rsid w:val="00D7178B"/>
    <w:rsid w:val="00D728C0"/>
    <w:rsid w:val="00D72D33"/>
    <w:rsid w:val="00D73488"/>
    <w:rsid w:val="00D7382B"/>
    <w:rsid w:val="00D738A6"/>
    <w:rsid w:val="00D743E1"/>
    <w:rsid w:val="00D74607"/>
    <w:rsid w:val="00D74646"/>
    <w:rsid w:val="00D74699"/>
    <w:rsid w:val="00D746E5"/>
    <w:rsid w:val="00D74F91"/>
    <w:rsid w:val="00D75334"/>
    <w:rsid w:val="00D75779"/>
    <w:rsid w:val="00D766FB"/>
    <w:rsid w:val="00D76850"/>
    <w:rsid w:val="00D76A5F"/>
    <w:rsid w:val="00D76BC5"/>
    <w:rsid w:val="00D76D17"/>
    <w:rsid w:val="00D76EF5"/>
    <w:rsid w:val="00D76F41"/>
    <w:rsid w:val="00D7754A"/>
    <w:rsid w:val="00D77787"/>
    <w:rsid w:val="00D77807"/>
    <w:rsid w:val="00D77E16"/>
    <w:rsid w:val="00D80229"/>
    <w:rsid w:val="00D8064B"/>
    <w:rsid w:val="00D80EB2"/>
    <w:rsid w:val="00D8162B"/>
    <w:rsid w:val="00D81750"/>
    <w:rsid w:val="00D81AC0"/>
    <w:rsid w:val="00D81B46"/>
    <w:rsid w:val="00D82351"/>
    <w:rsid w:val="00D8246D"/>
    <w:rsid w:val="00D829A5"/>
    <w:rsid w:val="00D82FBF"/>
    <w:rsid w:val="00D831F7"/>
    <w:rsid w:val="00D8327A"/>
    <w:rsid w:val="00D8374A"/>
    <w:rsid w:val="00D83848"/>
    <w:rsid w:val="00D84388"/>
    <w:rsid w:val="00D84A39"/>
    <w:rsid w:val="00D84A44"/>
    <w:rsid w:val="00D84AFC"/>
    <w:rsid w:val="00D8566F"/>
    <w:rsid w:val="00D857CB"/>
    <w:rsid w:val="00D85BA5"/>
    <w:rsid w:val="00D85E79"/>
    <w:rsid w:val="00D8610C"/>
    <w:rsid w:val="00D862BC"/>
    <w:rsid w:val="00D86367"/>
    <w:rsid w:val="00D86CB0"/>
    <w:rsid w:val="00D86E1D"/>
    <w:rsid w:val="00D86E85"/>
    <w:rsid w:val="00D879DA"/>
    <w:rsid w:val="00D901A6"/>
    <w:rsid w:val="00D9065F"/>
    <w:rsid w:val="00D907D5"/>
    <w:rsid w:val="00D909AF"/>
    <w:rsid w:val="00D90F1E"/>
    <w:rsid w:val="00D91C80"/>
    <w:rsid w:val="00D9229F"/>
    <w:rsid w:val="00D925D4"/>
    <w:rsid w:val="00D9311A"/>
    <w:rsid w:val="00D934C9"/>
    <w:rsid w:val="00D9385D"/>
    <w:rsid w:val="00D94AB9"/>
    <w:rsid w:val="00D94C4D"/>
    <w:rsid w:val="00D94D4D"/>
    <w:rsid w:val="00D94EE2"/>
    <w:rsid w:val="00D94F1E"/>
    <w:rsid w:val="00D95876"/>
    <w:rsid w:val="00D95A8A"/>
    <w:rsid w:val="00D95AF8"/>
    <w:rsid w:val="00D96040"/>
    <w:rsid w:val="00D96503"/>
    <w:rsid w:val="00D96FBD"/>
    <w:rsid w:val="00D97149"/>
    <w:rsid w:val="00D9747B"/>
    <w:rsid w:val="00D97F22"/>
    <w:rsid w:val="00DA08E4"/>
    <w:rsid w:val="00DA0AA5"/>
    <w:rsid w:val="00DA18BC"/>
    <w:rsid w:val="00DA1C4D"/>
    <w:rsid w:val="00DA1D16"/>
    <w:rsid w:val="00DA1F55"/>
    <w:rsid w:val="00DA1FAB"/>
    <w:rsid w:val="00DA2021"/>
    <w:rsid w:val="00DA213F"/>
    <w:rsid w:val="00DA244C"/>
    <w:rsid w:val="00DA2801"/>
    <w:rsid w:val="00DA2C77"/>
    <w:rsid w:val="00DA2E03"/>
    <w:rsid w:val="00DA3FFE"/>
    <w:rsid w:val="00DA4158"/>
    <w:rsid w:val="00DA4277"/>
    <w:rsid w:val="00DA4554"/>
    <w:rsid w:val="00DA471B"/>
    <w:rsid w:val="00DA4738"/>
    <w:rsid w:val="00DA5334"/>
    <w:rsid w:val="00DA57A6"/>
    <w:rsid w:val="00DA58EA"/>
    <w:rsid w:val="00DA5B02"/>
    <w:rsid w:val="00DA60B5"/>
    <w:rsid w:val="00DA62B5"/>
    <w:rsid w:val="00DA62EE"/>
    <w:rsid w:val="00DA697E"/>
    <w:rsid w:val="00DA6B58"/>
    <w:rsid w:val="00DA6FF5"/>
    <w:rsid w:val="00DA73FE"/>
    <w:rsid w:val="00DA7890"/>
    <w:rsid w:val="00DA7893"/>
    <w:rsid w:val="00DB0890"/>
    <w:rsid w:val="00DB0DDB"/>
    <w:rsid w:val="00DB1007"/>
    <w:rsid w:val="00DB128C"/>
    <w:rsid w:val="00DB1309"/>
    <w:rsid w:val="00DB166F"/>
    <w:rsid w:val="00DB185D"/>
    <w:rsid w:val="00DB2068"/>
    <w:rsid w:val="00DB286B"/>
    <w:rsid w:val="00DB315D"/>
    <w:rsid w:val="00DB335B"/>
    <w:rsid w:val="00DB34F0"/>
    <w:rsid w:val="00DB3AC6"/>
    <w:rsid w:val="00DB465B"/>
    <w:rsid w:val="00DB46D7"/>
    <w:rsid w:val="00DB4AA6"/>
    <w:rsid w:val="00DB4E90"/>
    <w:rsid w:val="00DB5B8A"/>
    <w:rsid w:val="00DB5D58"/>
    <w:rsid w:val="00DB5FF4"/>
    <w:rsid w:val="00DB6717"/>
    <w:rsid w:val="00DB67FA"/>
    <w:rsid w:val="00DB6D39"/>
    <w:rsid w:val="00DB70FD"/>
    <w:rsid w:val="00DB7A8D"/>
    <w:rsid w:val="00DB7E3F"/>
    <w:rsid w:val="00DC0144"/>
    <w:rsid w:val="00DC0C1A"/>
    <w:rsid w:val="00DC0C6F"/>
    <w:rsid w:val="00DC1150"/>
    <w:rsid w:val="00DC122C"/>
    <w:rsid w:val="00DC15EB"/>
    <w:rsid w:val="00DC16DC"/>
    <w:rsid w:val="00DC19B9"/>
    <w:rsid w:val="00DC1E4C"/>
    <w:rsid w:val="00DC2737"/>
    <w:rsid w:val="00DC35B4"/>
    <w:rsid w:val="00DC367F"/>
    <w:rsid w:val="00DC40C2"/>
    <w:rsid w:val="00DC4152"/>
    <w:rsid w:val="00DC4220"/>
    <w:rsid w:val="00DC42CA"/>
    <w:rsid w:val="00DC47DE"/>
    <w:rsid w:val="00DC5276"/>
    <w:rsid w:val="00DC54CF"/>
    <w:rsid w:val="00DC6C27"/>
    <w:rsid w:val="00DC76F2"/>
    <w:rsid w:val="00DC785A"/>
    <w:rsid w:val="00DC7ED7"/>
    <w:rsid w:val="00DC7F1D"/>
    <w:rsid w:val="00DD0455"/>
    <w:rsid w:val="00DD0A37"/>
    <w:rsid w:val="00DD0CAA"/>
    <w:rsid w:val="00DD10BE"/>
    <w:rsid w:val="00DD1144"/>
    <w:rsid w:val="00DD1A62"/>
    <w:rsid w:val="00DD1C64"/>
    <w:rsid w:val="00DD1CB1"/>
    <w:rsid w:val="00DD221C"/>
    <w:rsid w:val="00DD26A7"/>
    <w:rsid w:val="00DD26AF"/>
    <w:rsid w:val="00DD282C"/>
    <w:rsid w:val="00DD2B84"/>
    <w:rsid w:val="00DD350C"/>
    <w:rsid w:val="00DD4820"/>
    <w:rsid w:val="00DD4E3B"/>
    <w:rsid w:val="00DD520F"/>
    <w:rsid w:val="00DD577D"/>
    <w:rsid w:val="00DD58DE"/>
    <w:rsid w:val="00DD59D9"/>
    <w:rsid w:val="00DD5BB6"/>
    <w:rsid w:val="00DD5BC8"/>
    <w:rsid w:val="00DD5E27"/>
    <w:rsid w:val="00DD5E78"/>
    <w:rsid w:val="00DD676E"/>
    <w:rsid w:val="00DD68A3"/>
    <w:rsid w:val="00DD6B6E"/>
    <w:rsid w:val="00DD700C"/>
    <w:rsid w:val="00DD7575"/>
    <w:rsid w:val="00DD7834"/>
    <w:rsid w:val="00DD78C3"/>
    <w:rsid w:val="00DD7ABC"/>
    <w:rsid w:val="00DD7BF7"/>
    <w:rsid w:val="00DD7D3A"/>
    <w:rsid w:val="00DD7E57"/>
    <w:rsid w:val="00DE0783"/>
    <w:rsid w:val="00DE0926"/>
    <w:rsid w:val="00DE1675"/>
    <w:rsid w:val="00DE2363"/>
    <w:rsid w:val="00DE23EC"/>
    <w:rsid w:val="00DE2FF1"/>
    <w:rsid w:val="00DE32E0"/>
    <w:rsid w:val="00DE38AF"/>
    <w:rsid w:val="00DE38F8"/>
    <w:rsid w:val="00DE3B3B"/>
    <w:rsid w:val="00DE3B45"/>
    <w:rsid w:val="00DE3BDC"/>
    <w:rsid w:val="00DE400F"/>
    <w:rsid w:val="00DE4370"/>
    <w:rsid w:val="00DE43FE"/>
    <w:rsid w:val="00DE44AE"/>
    <w:rsid w:val="00DE48F4"/>
    <w:rsid w:val="00DE4B27"/>
    <w:rsid w:val="00DE4C5F"/>
    <w:rsid w:val="00DE4D55"/>
    <w:rsid w:val="00DE522C"/>
    <w:rsid w:val="00DE592D"/>
    <w:rsid w:val="00DE5CA6"/>
    <w:rsid w:val="00DE5FB8"/>
    <w:rsid w:val="00DE64E1"/>
    <w:rsid w:val="00DE67CF"/>
    <w:rsid w:val="00DE6BE0"/>
    <w:rsid w:val="00DE6C39"/>
    <w:rsid w:val="00DE6E32"/>
    <w:rsid w:val="00DE6EAB"/>
    <w:rsid w:val="00DE7690"/>
    <w:rsid w:val="00DE78BB"/>
    <w:rsid w:val="00DE799C"/>
    <w:rsid w:val="00DE7CE0"/>
    <w:rsid w:val="00DE7E15"/>
    <w:rsid w:val="00DF023E"/>
    <w:rsid w:val="00DF0A50"/>
    <w:rsid w:val="00DF0D7B"/>
    <w:rsid w:val="00DF10A3"/>
    <w:rsid w:val="00DF130C"/>
    <w:rsid w:val="00DF199A"/>
    <w:rsid w:val="00DF1AC4"/>
    <w:rsid w:val="00DF1F4B"/>
    <w:rsid w:val="00DF2094"/>
    <w:rsid w:val="00DF2860"/>
    <w:rsid w:val="00DF2C48"/>
    <w:rsid w:val="00DF315B"/>
    <w:rsid w:val="00DF38DD"/>
    <w:rsid w:val="00DF3966"/>
    <w:rsid w:val="00DF4106"/>
    <w:rsid w:val="00DF41AF"/>
    <w:rsid w:val="00DF49B6"/>
    <w:rsid w:val="00DF546F"/>
    <w:rsid w:val="00DF5AAB"/>
    <w:rsid w:val="00DF5B78"/>
    <w:rsid w:val="00DF645E"/>
    <w:rsid w:val="00DF6778"/>
    <w:rsid w:val="00DF73D0"/>
    <w:rsid w:val="00DF7706"/>
    <w:rsid w:val="00DF7ABB"/>
    <w:rsid w:val="00E003B6"/>
    <w:rsid w:val="00E00C72"/>
    <w:rsid w:val="00E0101C"/>
    <w:rsid w:val="00E015C0"/>
    <w:rsid w:val="00E017BC"/>
    <w:rsid w:val="00E0245D"/>
    <w:rsid w:val="00E027CF"/>
    <w:rsid w:val="00E02C9A"/>
    <w:rsid w:val="00E02DE5"/>
    <w:rsid w:val="00E0322B"/>
    <w:rsid w:val="00E03409"/>
    <w:rsid w:val="00E03D57"/>
    <w:rsid w:val="00E03F47"/>
    <w:rsid w:val="00E0400E"/>
    <w:rsid w:val="00E041C4"/>
    <w:rsid w:val="00E0495B"/>
    <w:rsid w:val="00E04E4C"/>
    <w:rsid w:val="00E04E7B"/>
    <w:rsid w:val="00E05186"/>
    <w:rsid w:val="00E059C3"/>
    <w:rsid w:val="00E06401"/>
    <w:rsid w:val="00E06F45"/>
    <w:rsid w:val="00E07787"/>
    <w:rsid w:val="00E07948"/>
    <w:rsid w:val="00E102D7"/>
    <w:rsid w:val="00E10631"/>
    <w:rsid w:val="00E10891"/>
    <w:rsid w:val="00E1095A"/>
    <w:rsid w:val="00E1106B"/>
    <w:rsid w:val="00E110EC"/>
    <w:rsid w:val="00E111D5"/>
    <w:rsid w:val="00E11A16"/>
    <w:rsid w:val="00E11AF2"/>
    <w:rsid w:val="00E11FBD"/>
    <w:rsid w:val="00E12795"/>
    <w:rsid w:val="00E12B0D"/>
    <w:rsid w:val="00E12BA0"/>
    <w:rsid w:val="00E12DCE"/>
    <w:rsid w:val="00E12F58"/>
    <w:rsid w:val="00E132EA"/>
    <w:rsid w:val="00E13EF2"/>
    <w:rsid w:val="00E13FEC"/>
    <w:rsid w:val="00E14D84"/>
    <w:rsid w:val="00E15001"/>
    <w:rsid w:val="00E15366"/>
    <w:rsid w:val="00E155F7"/>
    <w:rsid w:val="00E163B2"/>
    <w:rsid w:val="00E169B4"/>
    <w:rsid w:val="00E16C29"/>
    <w:rsid w:val="00E16C5A"/>
    <w:rsid w:val="00E1704A"/>
    <w:rsid w:val="00E17AD3"/>
    <w:rsid w:val="00E17F61"/>
    <w:rsid w:val="00E207A8"/>
    <w:rsid w:val="00E207B0"/>
    <w:rsid w:val="00E215B0"/>
    <w:rsid w:val="00E21E81"/>
    <w:rsid w:val="00E21E8B"/>
    <w:rsid w:val="00E22176"/>
    <w:rsid w:val="00E2260D"/>
    <w:rsid w:val="00E2299B"/>
    <w:rsid w:val="00E22AAE"/>
    <w:rsid w:val="00E22C43"/>
    <w:rsid w:val="00E22FA7"/>
    <w:rsid w:val="00E233A2"/>
    <w:rsid w:val="00E2340C"/>
    <w:rsid w:val="00E23659"/>
    <w:rsid w:val="00E23DB5"/>
    <w:rsid w:val="00E23E6E"/>
    <w:rsid w:val="00E23EE0"/>
    <w:rsid w:val="00E24A43"/>
    <w:rsid w:val="00E24EF9"/>
    <w:rsid w:val="00E26517"/>
    <w:rsid w:val="00E26616"/>
    <w:rsid w:val="00E266BB"/>
    <w:rsid w:val="00E26D51"/>
    <w:rsid w:val="00E26FB8"/>
    <w:rsid w:val="00E275E9"/>
    <w:rsid w:val="00E27655"/>
    <w:rsid w:val="00E27699"/>
    <w:rsid w:val="00E27C28"/>
    <w:rsid w:val="00E27F14"/>
    <w:rsid w:val="00E300C8"/>
    <w:rsid w:val="00E309EE"/>
    <w:rsid w:val="00E30B6B"/>
    <w:rsid w:val="00E31350"/>
    <w:rsid w:val="00E315AF"/>
    <w:rsid w:val="00E31698"/>
    <w:rsid w:val="00E326C3"/>
    <w:rsid w:val="00E327F4"/>
    <w:rsid w:val="00E32C17"/>
    <w:rsid w:val="00E3327F"/>
    <w:rsid w:val="00E33814"/>
    <w:rsid w:val="00E33D22"/>
    <w:rsid w:val="00E34E20"/>
    <w:rsid w:val="00E3555F"/>
    <w:rsid w:val="00E36110"/>
    <w:rsid w:val="00E36AF4"/>
    <w:rsid w:val="00E36C7D"/>
    <w:rsid w:val="00E37395"/>
    <w:rsid w:val="00E3765A"/>
    <w:rsid w:val="00E37CEF"/>
    <w:rsid w:val="00E37E97"/>
    <w:rsid w:val="00E407CC"/>
    <w:rsid w:val="00E40BF7"/>
    <w:rsid w:val="00E40D8C"/>
    <w:rsid w:val="00E40E57"/>
    <w:rsid w:val="00E41280"/>
    <w:rsid w:val="00E414D0"/>
    <w:rsid w:val="00E41C98"/>
    <w:rsid w:val="00E4217C"/>
    <w:rsid w:val="00E422B2"/>
    <w:rsid w:val="00E427C5"/>
    <w:rsid w:val="00E432C9"/>
    <w:rsid w:val="00E43564"/>
    <w:rsid w:val="00E439B2"/>
    <w:rsid w:val="00E44082"/>
    <w:rsid w:val="00E44495"/>
    <w:rsid w:val="00E44E92"/>
    <w:rsid w:val="00E44F3E"/>
    <w:rsid w:val="00E452E7"/>
    <w:rsid w:val="00E45582"/>
    <w:rsid w:val="00E45930"/>
    <w:rsid w:val="00E46FE9"/>
    <w:rsid w:val="00E47780"/>
    <w:rsid w:val="00E47827"/>
    <w:rsid w:val="00E47B87"/>
    <w:rsid w:val="00E47C44"/>
    <w:rsid w:val="00E47DE5"/>
    <w:rsid w:val="00E50138"/>
    <w:rsid w:val="00E504A9"/>
    <w:rsid w:val="00E5081A"/>
    <w:rsid w:val="00E50E57"/>
    <w:rsid w:val="00E50ED9"/>
    <w:rsid w:val="00E51021"/>
    <w:rsid w:val="00E5170B"/>
    <w:rsid w:val="00E51F12"/>
    <w:rsid w:val="00E52D3C"/>
    <w:rsid w:val="00E53618"/>
    <w:rsid w:val="00E53888"/>
    <w:rsid w:val="00E53B09"/>
    <w:rsid w:val="00E53DBE"/>
    <w:rsid w:val="00E53F56"/>
    <w:rsid w:val="00E54C27"/>
    <w:rsid w:val="00E5512D"/>
    <w:rsid w:val="00E5581F"/>
    <w:rsid w:val="00E55D9C"/>
    <w:rsid w:val="00E56049"/>
    <w:rsid w:val="00E56A0E"/>
    <w:rsid w:val="00E56BA0"/>
    <w:rsid w:val="00E56C75"/>
    <w:rsid w:val="00E57202"/>
    <w:rsid w:val="00E5736C"/>
    <w:rsid w:val="00E5742D"/>
    <w:rsid w:val="00E57D1E"/>
    <w:rsid w:val="00E57F41"/>
    <w:rsid w:val="00E60037"/>
    <w:rsid w:val="00E600FF"/>
    <w:rsid w:val="00E60613"/>
    <w:rsid w:val="00E606A8"/>
    <w:rsid w:val="00E607DD"/>
    <w:rsid w:val="00E60C4B"/>
    <w:rsid w:val="00E619E1"/>
    <w:rsid w:val="00E61FC2"/>
    <w:rsid w:val="00E620B6"/>
    <w:rsid w:val="00E6284B"/>
    <w:rsid w:val="00E6297B"/>
    <w:rsid w:val="00E62DD7"/>
    <w:rsid w:val="00E63163"/>
    <w:rsid w:val="00E6323F"/>
    <w:rsid w:val="00E6353E"/>
    <w:rsid w:val="00E635AD"/>
    <w:rsid w:val="00E6397A"/>
    <w:rsid w:val="00E63BC5"/>
    <w:rsid w:val="00E63DF5"/>
    <w:rsid w:val="00E642EA"/>
    <w:rsid w:val="00E64D00"/>
    <w:rsid w:val="00E64D48"/>
    <w:rsid w:val="00E64FDB"/>
    <w:rsid w:val="00E65360"/>
    <w:rsid w:val="00E6678D"/>
    <w:rsid w:val="00E67100"/>
    <w:rsid w:val="00E6710B"/>
    <w:rsid w:val="00E67282"/>
    <w:rsid w:val="00E6765A"/>
    <w:rsid w:val="00E677DF"/>
    <w:rsid w:val="00E679C0"/>
    <w:rsid w:val="00E67A45"/>
    <w:rsid w:val="00E7002F"/>
    <w:rsid w:val="00E70087"/>
    <w:rsid w:val="00E7040D"/>
    <w:rsid w:val="00E705A3"/>
    <w:rsid w:val="00E705D6"/>
    <w:rsid w:val="00E70656"/>
    <w:rsid w:val="00E70776"/>
    <w:rsid w:val="00E707C7"/>
    <w:rsid w:val="00E70DF8"/>
    <w:rsid w:val="00E70ED7"/>
    <w:rsid w:val="00E7153A"/>
    <w:rsid w:val="00E71D7C"/>
    <w:rsid w:val="00E71DC1"/>
    <w:rsid w:val="00E723FD"/>
    <w:rsid w:val="00E72A6B"/>
    <w:rsid w:val="00E7315A"/>
    <w:rsid w:val="00E73294"/>
    <w:rsid w:val="00E73599"/>
    <w:rsid w:val="00E7360B"/>
    <w:rsid w:val="00E7390D"/>
    <w:rsid w:val="00E73BDD"/>
    <w:rsid w:val="00E73C24"/>
    <w:rsid w:val="00E73EE0"/>
    <w:rsid w:val="00E74987"/>
    <w:rsid w:val="00E755C9"/>
    <w:rsid w:val="00E7599D"/>
    <w:rsid w:val="00E75BD1"/>
    <w:rsid w:val="00E75E14"/>
    <w:rsid w:val="00E76122"/>
    <w:rsid w:val="00E76324"/>
    <w:rsid w:val="00E768B6"/>
    <w:rsid w:val="00E76B1F"/>
    <w:rsid w:val="00E7714C"/>
    <w:rsid w:val="00E775C5"/>
    <w:rsid w:val="00E77A8F"/>
    <w:rsid w:val="00E77B07"/>
    <w:rsid w:val="00E77F20"/>
    <w:rsid w:val="00E80085"/>
    <w:rsid w:val="00E809CE"/>
    <w:rsid w:val="00E80B7A"/>
    <w:rsid w:val="00E80EDC"/>
    <w:rsid w:val="00E80EF3"/>
    <w:rsid w:val="00E8167E"/>
    <w:rsid w:val="00E82842"/>
    <w:rsid w:val="00E836C6"/>
    <w:rsid w:val="00E83A44"/>
    <w:rsid w:val="00E83D75"/>
    <w:rsid w:val="00E84A9A"/>
    <w:rsid w:val="00E84B5D"/>
    <w:rsid w:val="00E84EC8"/>
    <w:rsid w:val="00E84F08"/>
    <w:rsid w:val="00E84FBD"/>
    <w:rsid w:val="00E850E0"/>
    <w:rsid w:val="00E859CF"/>
    <w:rsid w:val="00E85E7C"/>
    <w:rsid w:val="00E8644B"/>
    <w:rsid w:val="00E870C3"/>
    <w:rsid w:val="00E8713E"/>
    <w:rsid w:val="00E87764"/>
    <w:rsid w:val="00E87936"/>
    <w:rsid w:val="00E87962"/>
    <w:rsid w:val="00E87C76"/>
    <w:rsid w:val="00E90287"/>
    <w:rsid w:val="00E903FD"/>
    <w:rsid w:val="00E90486"/>
    <w:rsid w:val="00E90943"/>
    <w:rsid w:val="00E9101C"/>
    <w:rsid w:val="00E91A4E"/>
    <w:rsid w:val="00E91BB9"/>
    <w:rsid w:val="00E920A5"/>
    <w:rsid w:val="00E924CD"/>
    <w:rsid w:val="00E9259E"/>
    <w:rsid w:val="00E928A7"/>
    <w:rsid w:val="00E92A22"/>
    <w:rsid w:val="00E92B8E"/>
    <w:rsid w:val="00E92C67"/>
    <w:rsid w:val="00E92E13"/>
    <w:rsid w:val="00E935AF"/>
    <w:rsid w:val="00E93A34"/>
    <w:rsid w:val="00E9431D"/>
    <w:rsid w:val="00E94510"/>
    <w:rsid w:val="00E94B71"/>
    <w:rsid w:val="00E94DF5"/>
    <w:rsid w:val="00E94F3B"/>
    <w:rsid w:val="00E94FE3"/>
    <w:rsid w:val="00E950E8"/>
    <w:rsid w:val="00E95174"/>
    <w:rsid w:val="00E953B2"/>
    <w:rsid w:val="00E95451"/>
    <w:rsid w:val="00E95464"/>
    <w:rsid w:val="00E9548E"/>
    <w:rsid w:val="00E95949"/>
    <w:rsid w:val="00E95FFF"/>
    <w:rsid w:val="00E969EA"/>
    <w:rsid w:val="00E970D5"/>
    <w:rsid w:val="00E9732F"/>
    <w:rsid w:val="00E97582"/>
    <w:rsid w:val="00E97C94"/>
    <w:rsid w:val="00EA0065"/>
    <w:rsid w:val="00EA0F20"/>
    <w:rsid w:val="00EA12AF"/>
    <w:rsid w:val="00EA1586"/>
    <w:rsid w:val="00EA19CF"/>
    <w:rsid w:val="00EA1DFD"/>
    <w:rsid w:val="00EA238C"/>
    <w:rsid w:val="00EA2512"/>
    <w:rsid w:val="00EA2A60"/>
    <w:rsid w:val="00EA2B17"/>
    <w:rsid w:val="00EA2B68"/>
    <w:rsid w:val="00EA2F4B"/>
    <w:rsid w:val="00EA303C"/>
    <w:rsid w:val="00EA36DD"/>
    <w:rsid w:val="00EA3BAF"/>
    <w:rsid w:val="00EA4053"/>
    <w:rsid w:val="00EA42F7"/>
    <w:rsid w:val="00EA46EF"/>
    <w:rsid w:val="00EA49D0"/>
    <w:rsid w:val="00EA4AA8"/>
    <w:rsid w:val="00EA4CC7"/>
    <w:rsid w:val="00EA50E3"/>
    <w:rsid w:val="00EA5129"/>
    <w:rsid w:val="00EA5609"/>
    <w:rsid w:val="00EA5A86"/>
    <w:rsid w:val="00EA6179"/>
    <w:rsid w:val="00EB02F9"/>
    <w:rsid w:val="00EB0966"/>
    <w:rsid w:val="00EB0BCD"/>
    <w:rsid w:val="00EB27D2"/>
    <w:rsid w:val="00EB2A29"/>
    <w:rsid w:val="00EB2AE9"/>
    <w:rsid w:val="00EB2F4E"/>
    <w:rsid w:val="00EB3ED2"/>
    <w:rsid w:val="00EB45F2"/>
    <w:rsid w:val="00EB46DC"/>
    <w:rsid w:val="00EB47D7"/>
    <w:rsid w:val="00EB4838"/>
    <w:rsid w:val="00EB4C29"/>
    <w:rsid w:val="00EB4C35"/>
    <w:rsid w:val="00EB4CC6"/>
    <w:rsid w:val="00EB4E17"/>
    <w:rsid w:val="00EB4E26"/>
    <w:rsid w:val="00EB5158"/>
    <w:rsid w:val="00EB51A4"/>
    <w:rsid w:val="00EB53F4"/>
    <w:rsid w:val="00EB54F8"/>
    <w:rsid w:val="00EB56E8"/>
    <w:rsid w:val="00EB5929"/>
    <w:rsid w:val="00EB5939"/>
    <w:rsid w:val="00EB5D01"/>
    <w:rsid w:val="00EB6028"/>
    <w:rsid w:val="00EB6498"/>
    <w:rsid w:val="00EB7ADA"/>
    <w:rsid w:val="00EB7DA9"/>
    <w:rsid w:val="00EC05C0"/>
    <w:rsid w:val="00EC0924"/>
    <w:rsid w:val="00EC0D0E"/>
    <w:rsid w:val="00EC0E1C"/>
    <w:rsid w:val="00EC15CC"/>
    <w:rsid w:val="00EC2905"/>
    <w:rsid w:val="00EC3496"/>
    <w:rsid w:val="00EC36C5"/>
    <w:rsid w:val="00EC40C6"/>
    <w:rsid w:val="00EC435E"/>
    <w:rsid w:val="00EC4701"/>
    <w:rsid w:val="00EC4B4F"/>
    <w:rsid w:val="00EC4F2C"/>
    <w:rsid w:val="00EC50A1"/>
    <w:rsid w:val="00EC5112"/>
    <w:rsid w:val="00EC5531"/>
    <w:rsid w:val="00EC635B"/>
    <w:rsid w:val="00EC64DB"/>
    <w:rsid w:val="00EC6B95"/>
    <w:rsid w:val="00EC6C42"/>
    <w:rsid w:val="00EC6D6A"/>
    <w:rsid w:val="00EC73FF"/>
    <w:rsid w:val="00EC746D"/>
    <w:rsid w:val="00EC79A1"/>
    <w:rsid w:val="00EC7B20"/>
    <w:rsid w:val="00ED0054"/>
    <w:rsid w:val="00ED01E5"/>
    <w:rsid w:val="00ED0758"/>
    <w:rsid w:val="00ED0A64"/>
    <w:rsid w:val="00ED121A"/>
    <w:rsid w:val="00ED12CA"/>
    <w:rsid w:val="00ED174E"/>
    <w:rsid w:val="00ED228B"/>
    <w:rsid w:val="00ED2699"/>
    <w:rsid w:val="00ED2F9B"/>
    <w:rsid w:val="00ED30B3"/>
    <w:rsid w:val="00ED3C5F"/>
    <w:rsid w:val="00ED49D1"/>
    <w:rsid w:val="00ED4BE4"/>
    <w:rsid w:val="00ED4D86"/>
    <w:rsid w:val="00ED54EE"/>
    <w:rsid w:val="00ED5C2C"/>
    <w:rsid w:val="00ED6159"/>
    <w:rsid w:val="00ED6BD2"/>
    <w:rsid w:val="00ED6E17"/>
    <w:rsid w:val="00ED72A4"/>
    <w:rsid w:val="00ED74AC"/>
    <w:rsid w:val="00ED7843"/>
    <w:rsid w:val="00ED7C8A"/>
    <w:rsid w:val="00EE024B"/>
    <w:rsid w:val="00EE02AA"/>
    <w:rsid w:val="00EE0599"/>
    <w:rsid w:val="00EE0960"/>
    <w:rsid w:val="00EE1148"/>
    <w:rsid w:val="00EE141B"/>
    <w:rsid w:val="00EE15EC"/>
    <w:rsid w:val="00EE167D"/>
    <w:rsid w:val="00EE1771"/>
    <w:rsid w:val="00EE1B37"/>
    <w:rsid w:val="00EE22C8"/>
    <w:rsid w:val="00EE2519"/>
    <w:rsid w:val="00EE280A"/>
    <w:rsid w:val="00EE3631"/>
    <w:rsid w:val="00EE3834"/>
    <w:rsid w:val="00EE38D8"/>
    <w:rsid w:val="00EE3A46"/>
    <w:rsid w:val="00EE4026"/>
    <w:rsid w:val="00EE41C6"/>
    <w:rsid w:val="00EE4209"/>
    <w:rsid w:val="00EE46F6"/>
    <w:rsid w:val="00EE4EFC"/>
    <w:rsid w:val="00EE5935"/>
    <w:rsid w:val="00EE5FC9"/>
    <w:rsid w:val="00EE607F"/>
    <w:rsid w:val="00EE6261"/>
    <w:rsid w:val="00EE7465"/>
    <w:rsid w:val="00EE74C6"/>
    <w:rsid w:val="00EE7F84"/>
    <w:rsid w:val="00EF1377"/>
    <w:rsid w:val="00EF1685"/>
    <w:rsid w:val="00EF1B93"/>
    <w:rsid w:val="00EF1DB0"/>
    <w:rsid w:val="00EF2A9E"/>
    <w:rsid w:val="00EF2BD0"/>
    <w:rsid w:val="00EF2DD1"/>
    <w:rsid w:val="00EF353B"/>
    <w:rsid w:val="00EF3815"/>
    <w:rsid w:val="00EF3F08"/>
    <w:rsid w:val="00EF53BA"/>
    <w:rsid w:val="00EF5BE3"/>
    <w:rsid w:val="00EF648A"/>
    <w:rsid w:val="00EF6E99"/>
    <w:rsid w:val="00F00660"/>
    <w:rsid w:val="00F00755"/>
    <w:rsid w:val="00F008A8"/>
    <w:rsid w:val="00F009C0"/>
    <w:rsid w:val="00F00B04"/>
    <w:rsid w:val="00F0273F"/>
    <w:rsid w:val="00F02A6D"/>
    <w:rsid w:val="00F02AD1"/>
    <w:rsid w:val="00F03517"/>
    <w:rsid w:val="00F036A9"/>
    <w:rsid w:val="00F03A06"/>
    <w:rsid w:val="00F03E54"/>
    <w:rsid w:val="00F041CA"/>
    <w:rsid w:val="00F04275"/>
    <w:rsid w:val="00F05019"/>
    <w:rsid w:val="00F0570B"/>
    <w:rsid w:val="00F05718"/>
    <w:rsid w:val="00F05B51"/>
    <w:rsid w:val="00F05C8D"/>
    <w:rsid w:val="00F05CDA"/>
    <w:rsid w:val="00F05ECE"/>
    <w:rsid w:val="00F05EE9"/>
    <w:rsid w:val="00F06289"/>
    <w:rsid w:val="00F0773B"/>
    <w:rsid w:val="00F07EF1"/>
    <w:rsid w:val="00F10240"/>
    <w:rsid w:val="00F112AA"/>
    <w:rsid w:val="00F1144B"/>
    <w:rsid w:val="00F11879"/>
    <w:rsid w:val="00F11A13"/>
    <w:rsid w:val="00F11AA0"/>
    <w:rsid w:val="00F11C80"/>
    <w:rsid w:val="00F11E63"/>
    <w:rsid w:val="00F11F25"/>
    <w:rsid w:val="00F13121"/>
    <w:rsid w:val="00F13AD9"/>
    <w:rsid w:val="00F14556"/>
    <w:rsid w:val="00F14C96"/>
    <w:rsid w:val="00F1507F"/>
    <w:rsid w:val="00F160B7"/>
    <w:rsid w:val="00F1618B"/>
    <w:rsid w:val="00F16492"/>
    <w:rsid w:val="00F16FCC"/>
    <w:rsid w:val="00F17837"/>
    <w:rsid w:val="00F17FEB"/>
    <w:rsid w:val="00F204D9"/>
    <w:rsid w:val="00F205DF"/>
    <w:rsid w:val="00F20856"/>
    <w:rsid w:val="00F20D65"/>
    <w:rsid w:val="00F20E92"/>
    <w:rsid w:val="00F20FC1"/>
    <w:rsid w:val="00F22109"/>
    <w:rsid w:val="00F22548"/>
    <w:rsid w:val="00F22878"/>
    <w:rsid w:val="00F2312A"/>
    <w:rsid w:val="00F243D7"/>
    <w:rsid w:val="00F2445E"/>
    <w:rsid w:val="00F247AA"/>
    <w:rsid w:val="00F24A11"/>
    <w:rsid w:val="00F24B30"/>
    <w:rsid w:val="00F24B60"/>
    <w:rsid w:val="00F24B85"/>
    <w:rsid w:val="00F24DAA"/>
    <w:rsid w:val="00F24DE6"/>
    <w:rsid w:val="00F24E79"/>
    <w:rsid w:val="00F25152"/>
    <w:rsid w:val="00F253FA"/>
    <w:rsid w:val="00F256BA"/>
    <w:rsid w:val="00F258C9"/>
    <w:rsid w:val="00F25A54"/>
    <w:rsid w:val="00F2614E"/>
    <w:rsid w:val="00F265B7"/>
    <w:rsid w:val="00F26875"/>
    <w:rsid w:val="00F269E4"/>
    <w:rsid w:val="00F26D68"/>
    <w:rsid w:val="00F2737E"/>
    <w:rsid w:val="00F27540"/>
    <w:rsid w:val="00F277C5"/>
    <w:rsid w:val="00F27F95"/>
    <w:rsid w:val="00F3027D"/>
    <w:rsid w:val="00F3167E"/>
    <w:rsid w:val="00F31987"/>
    <w:rsid w:val="00F32494"/>
    <w:rsid w:val="00F3265E"/>
    <w:rsid w:val="00F32908"/>
    <w:rsid w:val="00F32CD3"/>
    <w:rsid w:val="00F32E35"/>
    <w:rsid w:val="00F334C3"/>
    <w:rsid w:val="00F33711"/>
    <w:rsid w:val="00F33727"/>
    <w:rsid w:val="00F33C73"/>
    <w:rsid w:val="00F34229"/>
    <w:rsid w:val="00F3447D"/>
    <w:rsid w:val="00F34709"/>
    <w:rsid w:val="00F349F4"/>
    <w:rsid w:val="00F34B12"/>
    <w:rsid w:val="00F34BA1"/>
    <w:rsid w:val="00F34DD1"/>
    <w:rsid w:val="00F3505B"/>
    <w:rsid w:val="00F35735"/>
    <w:rsid w:val="00F35856"/>
    <w:rsid w:val="00F35BE2"/>
    <w:rsid w:val="00F3651B"/>
    <w:rsid w:val="00F367EE"/>
    <w:rsid w:val="00F36AA2"/>
    <w:rsid w:val="00F37196"/>
    <w:rsid w:val="00F371AC"/>
    <w:rsid w:val="00F373F9"/>
    <w:rsid w:val="00F376C4"/>
    <w:rsid w:val="00F37720"/>
    <w:rsid w:val="00F37A0E"/>
    <w:rsid w:val="00F37A80"/>
    <w:rsid w:val="00F37C22"/>
    <w:rsid w:val="00F37E4B"/>
    <w:rsid w:val="00F37EAD"/>
    <w:rsid w:val="00F414C5"/>
    <w:rsid w:val="00F41DA9"/>
    <w:rsid w:val="00F41F41"/>
    <w:rsid w:val="00F423FA"/>
    <w:rsid w:val="00F42F65"/>
    <w:rsid w:val="00F42FB6"/>
    <w:rsid w:val="00F43510"/>
    <w:rsid w:val="00F43BD1"/>
    <w:rsid w:val="00F43EB7"/>
    <w:rsid w:val="00F44875"/>
    <w:rsid w:val="00F44D8F"/>
    <w:rsid w:val="00F45382"/>
    <w:rsid w:val="00F458D6"/>
    <w:rsid w:val="00F45B2D"/>
    <w:rsid w:val="00F45D6A"/>
    <w:rsid w:val="00F46133"/>
    <w:rsid w:val="00F4680A"/>
    <w:rsid w:val="00F46A9B"/>
    <w:rsid w:val="00F46E36"/>
    <w:rsid w:val="00F46F17"/>
    <w:rsid w:val="00F470E8"/>
    <w:rsid w:val="00F472A0"/>
    <w:rsid w:val="00F47564"/>
    <w:rsid w:val="00F502C2"/>
    <w:rsid w:val="00F5050C"/>
    <w:rsid w:val="00F5057E"/>
    <w:rsid w:val="00F505E9"/>
    <w:rsid w:val="00F5088E"/>
    <w:rsid w:val="00F508F1"/>
    <w:rsid w:val="00F511FA"/>
    <w:rsid w:val="00F51867"/>
    <w:rsid w:val="00F51A54"/>
    <w:rsid w:val="00F51B9D"/>
    <w:rsid w:val="00F51BCF"/>
    <w:rsid w:val="00F51C03"/>
    <w:rsid w:val="00F51DFD"/>
    <w:rsid w:val="00F520A6"/>
    <w:rsid w:val="00F521CC"/>
    <w:rsid w:val="00F5237A"/>
    <w:rsid w:val="00F52829"/>
    <w:rsid w:val="00F52DFC"/>
    <w:rsid w:val="00F52E12"/>
    <w:rsid w:val="00F5310B"/>
    <w:rsid w:val="00F532D2"/>
    <w:rsid w:val="00F539D3"/>
    <w:rsid w:val="00F53F0C"/>
    <w:rsid w:val="00F53F16"/>
    <w:rsid w:val="00F54746"/>
    <w:rsid w:val="00F553D0"/>
    <w:rsid w:val="00F55930"/>
    <w:rsid w:val="00F559F2"/>
    <w:rsid w:val="00F55E8B"/>
    <w:rsid w:val="00F563C7"/>
    <w:rsid w:val="00F570A5"/>
    <w:rsid w:val="00F57D9A"/>
    <w:rsid w:val="00F600CC"/>
    <w:rsid w:val="00F60407"/>
    <w:rsid w:val="00F610E1"/>
    <w:rsid w:val="00F618AA"/>
    <w:rsid w:val="00F62328"/>
    <w:rsid w:val="00F6292E"/>
    <w:rsid w:val="00F62D0D"/>
    <w:rsid w:val="00F62F69"/>
    <w:rsid w:val="00F63589"/>
    <w:rsid w:val="00F6360E"/>
    <w:rsid w:val="00F63810"/>
    <w:rsid w:val="00F63C3D"/>
    <w:rsid w:val="00F645F8"/>
    <w:rsid w:val="00F64CA5"/>
    <w:rsid w:val="00F64D54"/>
    <w:rsid w:val="00F64E5F"/>
    <w:rsid w:val="00F652D9"/>
    <w:rsid w:val="00F6537F"/>
    <w:rsid w:val="00F65541"/>
    <w:rsid w:val="00F66A84"/>
    <w:rsid w:val="00F66E15"/>
    <w:rsid w:val="00F66E23"/>
    <w:rsid w:val="00F6773E"/>
    <w:rsid w:val="00F67944"/>
    <w:rsid w:val="00F67DE1"/>
    <w:rsid w:val="00F67EC4"/>
    <w:rsid w:val="00F7002D"/>
    <w:rsid w:val="00F7044E"/>
    <w:rsid w:val="00F70628"/>
    <w:rsid w:val="00F70F4A"/>
    <w:rsid w:val="00F71010"/>
    <w:rsid w:val="00F71411"/>
    <w:rsid w:val="00F7291F"/>
    <w:rsid w:val="00F72AFF"/>
    <w:rsid w:val="00F72BE5"/>
    <w:rsid w:val="00F72E81"/>
    <w:rsid w:val="00F73187"/>
    <w:rsid w:val="00F73BF3"/>
    <w:rsid w:val="00F75570"/>
    <w:rsid w:val="00F75D92"/>
    <w:rsid w:val="00F771E2"/>
    <w:rsid w:val="00F77545"/>
    <w:rsid w:val="00F77C95"/>
    <w:rsid w:val="00F77CD2"/>
    <w:rsid w:val="00F81932"/>
    <w:rsid w:val="00F81975"/>
    <w:rsid w:val="00F822BA"/>
    <w:rsid w:val="00F822CB"/>
    <w:rsid w:val="00F82A2F"/>
    <w:rsid w:val="00F82D84"/>
    <w:rsid w:val="00F83B25"/>
    <w:rsid w:val="00F83F19"/>
    <w:rsid w:val="00F844D3"/>
    <w:rsid w:val="00F8498B"/>
    <w:rsid w:val="00F84A70"/>
    <w:rsid w:val="00F84CC9"/>
    <w:rsid w:val="00F85422"/>
    <w:rsid w:val="00F85A4E"/>
    <w:rsid w:val="00F85B77"/>
    <w:rsid w:val="00F85E5E"/>
    <w:rsid w:val="00F86473"/>
    <w:rsid w:val="00F86DC4"/>
    <w:rsid w:val="00F86FD6"/>
    <w:rsid w:val="00F900AE"/>
    <w:rsid w:val="00F90551"/>
    <w:rsid w:val="00F90699"/>
    <w:rsid w:val="00F90A9F"/>
    <w:rsid w:val="00F90BF6"/>
    <w:rsid w:val="00F91472"/>
    <w:rsid w:val="00F914D7"/>
    <w:rsid w:val="00F9162A"/>
    <w:rsid w:val="00F9166F"/>
    <w:rsid w:val="00F92DB2"/>
    <w:rsid w:val="00F92FEB"/>
    <w:rsid w:val="00F93169"/>
    <w:rsid w:val="00F93503"/>
    <w:rsid w:val="00F94A40"/>
    <w:rsid w:val="00F94F69"/>
    <w:rsid w:val="00F95950"/>
    <w:rsid w:val="00F96340"/>
    <w:rsid w:val="00F9687D"/>
    <w:rsid w:val="00F96CCB"/>
    <w:rsid w:val="00F96CDC"/>
    <w:rsid w:val="00F97315"/>
    <w:rsid w:val="00F9795A"/>
    <w:rsid w:val="00F97D78"/>
    <w:rsid w:val="00F97FAA"/>
    <w:rsid w:val="00FA070F"/>
    <w:rsid w:val="00FA0C40"/>
    <w:rsid w:val="00FA1EC9"/>
    <w:rsid w:val="00FA1EF3"/>
    <w:rsid w:val="00FA45C5"/>
    <w:rsid w:val="00FA461B"/>
    <w:rsid w:val="00FA48ED"/>
    <w:rsid w:val="00FA4958"/>
    <w:rsid w:val="00FA49F7"/>
    <w:rsid w:val="00FA4CD6"/>
    <w:rsid w:val="00FA4E70"/>
    <w:rsid w:val="00FA54C0"/>
    <w:rsid w:val="00FA56BE"/>
    <w:rsid w:val="00FA5997"/>
    <w:rsid w:val="00FA6779"/>
    <w:rsid w:val="00FA6E44"/>
    <w:rsid w:val="00FA6E82"/>
    <w:rsid w:val="00FA79C4"/>
    <w:rsid w:val="00FA79F2"/>
    <w:rsid w:val="00FA7F19"/>
    <w:rsid w:val="00FA7FF3"/>
    <w:rsid w:val="00FB03A5"/>
    <w:rsid w:val="00FB0516"/>
    <w:rsid w:val="00FB07DD"/>
    <w:rsid w:val="00FB1A48"/>
    <w:rsid w:val="00FB1B39"/>
    <w:rsid w:val="00FB2674"/>
    <w:rsid w:val="00FB2917"/>
    <w:rsid w:val="00FB2AF8"/>
    <w:rsid w:val="00FB39DF"/>
    <w:rsid w:val="00FB4170"/>
    <w:rsid w:val="00FB4879"/>
    <w:rsid w:val="00FB48A9"/>
    <w:rsid w:val="00FB5161"/>
    <w:rsid w:val="00FB51A9"/>
    <w:rsid w:val="00FB6480"/>
    <w:rsid w:val="00FB6AC4"/>
    <w:rsid w:val="00FB7B5F"/>
    <w:rsid w:val="00FC0622"/>
    <w:rsid w:val="00FC098F"/>
    <w:rsid w:val="00FC0B81"/>
    <w:rsid w:val="00FC150D"/>
    <w:rsid w:val="00FC18B9"/>
    <w:rsid w:val="00FC2127"/>
    <w:rsid w:val="00FC22A0"/>
    <w:rsid w:val="00FC22C6"/>
    <w:rsid w:val="00FC2D9B"/>
    <w:rsid w:val="00FC3188"/>
    <w:rsid w:val="00FC327D"/>
    <w:rsid w:val="00FC32DB"/>
    <w:rsid w:val="00FC3FCD"/>
    <w:rsid w:val="00FC40D2"/>
    <w:rsid w:val="00FC4111"/>
    <w:rsid w:val="00FC4B50"/>
    <w:rsid w:val="00FC4E9D"/>
    <w:rsid w:val="00FC51C2"/>
    <w:rsid w:val="00FC5C67"/>
    <w:rsid w:val="00FC5CE3"/>
    <w:rsid w:val="00FC5CEE"/>
    <w:rsid w:val="00FC6369"/>
    <w:rsid w:val="00FC6477"/>
    <w:rsid w:val="00FC715C"/>
    <w:rsid w:val="00FC7833"/>
    <w:rsid w:val="00FC7866"/>
    <w:rsid w:val="00FC78BA"/>
    <w:rsid w:val="00FC7F35"/>
    <w:rsid w:val="00FD0B77"/>
    <w:rsid w:val="00FD11FF"/>
    <w:rsid w:val="00FD18D9"/>
    <w:rsid w:val="00FD1E89"/>
    <w:rsid w:val="00FD233E"/>
    <w:rsid w:val="00FD28B6"/>
    <w:rsid w:val="00FD28F6"/>
    <w:rsid w:val="00FD2EB0"/>
    <w:rsid w:val="00FD347A"/>
    <w:rsid w:val="00FD3776"/>
    <w:rsid w:val="00FD3ED3"/>
    <w:rsid w:val="00FD482F"/>
    <w:rsid w:val="00FD4919"/>
    <w:rsid w:val="00FD5564"/>
    <w:rsid w:val="00FD5AE6"/>
    <w:rsid w:val="00FD61A9"/>
    <w:rsid w:val="00FD6768"/>
    <w:rsid w:val="00FD6A13"/>
    <w:rsid w:val="00FD739B"/>
    <w:rsid w:val="00FD7491"/>
    <w:rsid w:val="00FD753C"/>
    <w:rsid w:val="00FD7568"/>
    <w:rsid w:val="00FE0029"/>
    <w:rsid w:val="00FE056D"/>
    <w:rsid w:val="00FE08BA"/>
    <w:rsid w:val="00FE0A17"/>
    <w:rsid w:val="00FE0B91"/>
    <w:rsid w:val="00FE13A8"/>
    <w:rsid w:val="00FE14B0"/>
    <w:rsid w:val="00FE1AC7"/>
    <w:rsid w:val="00FE2349"/>
    <w:rsid w:val="00FE2ED2"/>
    <w:rsid w:val="00FE331B"/>
    <w:rsid w:val="00FE35FC"/>
    <w:rsid w:val="00FE3842"/>
    <w:rsid w:val="00FE4520"/>
    <w:rsid w:val="00FE4525"/>
    <w:rsid w:val="00FE4617"/>
    <w:rsid w:val="00FE474A"/>
    <w:rsid w:val="00FE4CC4"/>
    <w:rsid w:val="00FE54A3"/>
    <w:rsid w:val="00FE5885"/>
    <w:rsid w:val="00FE6617"/>
    <w:rsid w:val="00FE674C"/>
    <w:rsid w:val="00FE6F34"/>
    <w:rsid w:val="00FE713D"/>
    <w:rsid w:val="00FE78BF"/>
    <w:rsid w:val="00FF008F"/>
    <w:rsid w:val="00FF05F8"/>
    <w:rsid w:val="00FF0744"/>
    <w:rsid w:val="00FF0758"/>
    <w:rsid w:val="00FF0D00"/>
    <w:rsid w:val="00FF0DF8"/>
    <w:rsid w:val="00FF13DE"/>
    <w:rsid w:val="00FF1D07"/>
    <w:rsid w:val="00FF2251"/>
    <w:rsid w:val="00FF2784"/>
    <w:rsid w:val="00FF2A5E"/>
    <w:rsid w:val="00FF2C98"/>
    <w:rsid w:val="00FF2F0B"/>
    <w:rsid w:val="00FF3133"/>
    <w:rsid w:val="00FF3579"/>
    <w:rsid w:val="00FF3C31"/>
    <w:rsid w:val="00FF4753"/>
    <w:rsid w:val="00FF59A6"/>
    <w:rsid w:val="00FF5A0F"/>
    <w:rsid w:val="00FF5BE4"/>
    <w:rsid w:val="00FF5D99"/>
    <w:rsid w:val="00FF64CC"/>
    <w:rsid w:val="00FF6B7D"/>
    <w:rsid w:val="00FF6CDC"/>
    <w:rsid w:val="00FF7A3C"/>
    <w:rsid w:val="00FF7F91"/>
    <w:rsid w:val="0100CD96"/>
    <w:rsid w:val="01283CBC"/>
    <w:rsid w:val="012E2B41"/>
    <w:rsid w:val="01443482"/>
    <w:rsid w:val="014A6DC5"/>
    <w:rsid w:val="015319A5"/>
    <w:rsid w:val="016A6D6B"/>
    <w:rsid w:val="01B21DD3"/>
    <w:rsid w:val="01B7890F"/>
    <w:rsid w:val="0227A8CD"/>
    <w:rsid w:val="023E0BD8"/>
    <w:rsid w:val="0255A223"/>
    <w:rsid w:val="026F80E8"/>
    <w:rsid w:val="027CAB7D"/>
    <w:rsid w:val="0340F8B4"/>
    <w:rsid w:val="035052E3"/>
    <w:rsid w:val="037962E1"/>
    <w:rsid w:val="0389777F"/>
    <w:rsid w:val="03C2441F"/>
    <w:rsid w:val="04030ECC"/>
    <w:rsid w:val="0496B1FB"/>
    <w:rsid w:val="04AE4D8F"/>
    <w:rsid w:val="04C7ECD2"/>
    <w:rsid w:val="04DB7D33"/>
    <w:rsid w:val="05129996"/>
    <w:rsid w:val="0514F3AD"/>
    <w:rsid w:val="05B225A5"/>
    <w:rsid w:val="05EC41E1"/>
    <w:rsid w:val="061EFF07"/>
    <w:rsid w:val="0627C1ED"/>
    <w:rsid w:val="06394BD0"/>
    <w:rsid w:val="0674F2DD"/>
    <w:rsid w:val="0675C810"/>
    <w:rsid w:val="06837E08"/>
    <w:rsid w:val="0694B47C"/>
    <w:rsid w:val="06BA5B95"/>
    <w:rsid w:val="06EA5DDE"/>
    <w:rsid w:val="06F4BA1F"/>
    <w:rsid w:val="06FABA43"/>
    <w:rsid w:val="0789D7F4"/>
    <w:rsid w:val="078E1018"/>
    <w:rsid w:val="07BDD77C"/>
    <w:rsid w:val="07CEFE4C"/>
    <w:rsid w:val="07F1E8E9"/>
    <w:rsid w:val="080BD9C9"/>
    <w:rsid w:val="081C8DE4"/>
    <w:rsid w:val="084625EF"/>
    <w:rsid w:val="08CE7198"/>
    <w:rsid w:val="08F96B1B"/>
    <w:rsid w:val="0944FBFC"/>
    <w:rsid w:val="09650E4A"/>
    <w:rsid w:val="09815E72"/>
    <w:rsid w:val="099A5B82"/>
    <w:rsid w:val="09C966B5"/>
    <w:rsid w:val="09CE6212"/>
    <w:rsid w:val="0A2FB1C9"/>
    <w:rsid w:val="0A35A0E9"/>
    <w:rsid w:val="0A59A41B"/>
    <w:rsid w:val="0A6B574E"/>
    <w:rsid w:val="0A814A52"/>
    <w:rsid w:val="0AC772F6"/>
    <w:rsid w:val="0ACD8835"/>
    <w:rsid w:val="0B40D106"/>
    <w:rsid w:val="0B4141CE"/>
    <w:rsid w:val="0B50B480"/>
    <w:rsid w:val="0B63705D"/>
    <w:rsid w:val="0B7B1B53"/>
    <w:rsid w:val="0B9B01D7"/>
    <w:rsid w:val="0C27C423"/>
    <w:rsid w:val="0C2D4A50"/>
    <w:rsid w:val="0C3C326E"/>
    <w:rsid w:val="0C62BB2E"/>
    <w:rsid w:val="0C82FC13"/>
    <w:rsid w:val="0CC1D0AC"/>
    <w:rsid w:val="0D5C9B2F"/>
    <w:rsid w:val="0D6E0326"/>
    <w:rsid w:val="0DB89F30"/>
    <w:rsid w:val="0DE0DFCD"/>
    <w:rsid w:val="0DEDABAE"/>
    <w:rsid w:val="0E013E9A"/>
    <w:rsid w:val="0E045EAE"/>
    <w:rsid w:val="0E0E68E5"/>
    <w:rsid w:val="0E6073AE"/>
    <w:rsid w:val="0EEBFE7B"/>
    <w:rsid w:val="0EFBF627"/>
    <w:rsid w:val="0EFC108F"/>
    <w:rsid w:val="0F36E47F"/>
    <w:rsid w:val="0F441A0F"/>
    <w:rsid w:val="0F4C4051"/>
    <w:rsid w:val="0F952A0B"/>
    <w:rsid w:val="0FC5939A"/>
    <w:rsid w:val="0FCAD77C"/>
    <w:rsid w:val="100C0FC2"/>
    <w:rsid w:val="102CA0DB"/>
    <w:rsid w:val="1054DFB0"/>
    <w:rsid w:val="10605591"/>
    <w:rsid w:val="10A94F1A"/>
    <w:rsid w:val="10D08A57"/>
    <w:rsid w:val="10D1C882"/>
    <w:rsid w:val="11110877"/>
    <w:rsid w:val="112E9D2E"/>
    <w:rsid w:val="11332E4A"/>
    <w:rsid w:val="1134D74D"/>
    <w:rsid w:val="11431859"/>
    <w:rsid w:val="1164A831"/>
    <w:rsid w:val="118E1CFF"/>
    <w:rsid w:val="11904A38"/>
    <w:rsid w:val="119A459E"/>
    <w:rsid w:val="11A77F5A"/>
    <w:rsid w:val="11EB36D4"/>
    <w:rsid w:val="11FA46FD"/>
    <w:rsid w:val="124BE433"/>
    <w:rsid w:val="126A8D92"/>
    <w:rsid w:val="1272595A"/>
    <w:rsid w:val="129E5FD2"/>
    <w:rsid w:val="12DDDDF4"/>
    <w:rsid w:val="130FD191"/>
    <w:rsid w:val="131C1E35"/>
    <w:rsid w:val="13210A5B"/>
    <w:rsid w:val="133300DF"/>
    <w:rsid w:val="1340CFF0"/>
    <w:rsid w:val="1344D841"/>
    <w:rsid w:val="1388A7CC"/>
    <w:rsid w:val="13ACCC0C"/>
    <w:rsid w:val="13D40EE4"/>
    <w:rsid w:val="13E05EE2"/>
    <w:rsid w:val="13F62069"/>
    <w:rsid w:val="140707E6"/>
    <w:rsid w:val="1413DDD6"/>
    <w:rsid w:val="14A8ABFD"/>
    <w:rsid w:val="14ACDE5E"/>
    <w:rsid w:val="14FC9BAA"/>
    <w:rsid w:val="1539349B"/>
    <w:rsid w:val="15469376"/>
    <w:rsid w:val="156AD6CD"/>
    <w:rsid w:val="157F1BC2"/>
    <w:rsid w:val="15C480AE"/>
    <w:rsid w:val="15DE0336"/>
    <w:rsid w:val="15F4F20E"/>
    <w:rsid w:val="15FC4C33"/>
    <w:rsid w:val="1601C0BA"/>
    <w:rsid w:val="160EAFAD"/>
    <w:rsid w:val="161429F3"/>
    <w:rsid w:val="1619294D"/>
    <w:rsid w:val="16215494"/>
    <w:rsid w:val="16324EBB"/>
    <w:rsid w:val="163EA9CD"/>
    <w:rsid w:val="1644D766"/>
    <w:rsid w:val="1662EB68"/>
    <w:rsid w:val="16700D87"/>
    <w:rsid w:val="167E6021"/>
    <w:rsid w:val="16C1DD48"/>
    <w:rsid w:val="17258C8E"/>
    <w:rsid w:val="177602F7"/>
    <w:rsid w:val="1782863C"/>
    <w:rsid w:val="178B46AC"/>
    <w:rsid w:val="17EA8800"/>
    <w:rsid w:val="181393CB"/>
    <w:rsid w:val="186085A6"/>
    <w:rsid w:val="189356A3"/>
    <w:rsid w:val="18F0F038"/>
    <w:rsid w:val="193CCF99"/>
    <w:rsid w:val="197A2945"/>
    <w:rsid w:val="19800F8D"/>
    <w:rsid w:val="1985EFB3"/>
    <w:rsid w:val="1988EBAE"/>
    <w:rsid w:val="19CE71EF"/>
    <w:rsid w:val="19D5154A"/>
    <w:rsid w:val="1A2E4228"/>
    <w:rsid w:val="1A565E5C"/>
    <w:rsid w:val="1A6B0398"/>
    <w:rsid w:val="1A753736"/>
    <w:rsid w:val="1AB85AB4"/>
    <w:rsid w:val="1AE75909"/>
    <w:rsid w:val="1B3BDDD3"/>
    <w:rsid w:val="1B590F9F"/>
    <w:rsid w:val="1B7BA0B4"/>
    <w:rsid w:val="1B8FE256"/>
    <w:rsid w:val="1BB23839"/>
    <w:rsid w:val="1BBEC51C"/>
    <w:rsid w:val="1BBF27B0"/>
    <w:rsid w:val="1BC19AE3"/>
    <w:rsid w:val="1BD51112"/>
    <w:rsid w:val="1BD62DF4"/>
    <w:rsid w:val="1BDC3821"/>
    <w:rsid w:val="1C09A321"/>
    <w:rsid w:val="1C0BCE14"/>
    <w:rsid w:val="1C16B21F"/>
    <w:rsid w:val="1C3F2809"/>
    <w:rsid w:val="1C673C44"/>
    <w:rsid w:val="1C681B08"/>
    <w:rsid w:val="1C7108E3"/>
    <w:rsid w:val="1C741D67"/>
    <w:rsid w:val="1C7DAB60"/>
    <w:rsid w:val="1CB45C8B"/>
    <w:rsid w:val="1CEDA218"/>
    <w:rsid w:val="1D155F72"/>
    <w:rsid w:val="1D493F8D"/>
    <w:rsid w:val="1D5877CC"/>
    <w:rsid w:val="1DB7361D"/>
    <w:rsid w:val="1DD5727D"/>
    <w:rsid w:val="1E35EFD0"/>
    <w:rsid w:val="1E8C109A"/>
    <w:rsid w:val="1E914FA9"/>
    <w:rsid w:val="1E91B47A"/>
    <w:rsid w:val="1EB5810E"/>
    <w:rsid w:val="1EE683BD"/>
    <w:rsid w:val="1EFC2DD3"/>
    <w:rsid w:val="1F459EF1"/>
    <w:rsid w:val="1F4C50BA"/>
    <w:rsid w:val="1FC19652"/>
    <w:rsid w:val="20050746"/>
    <w:rsid w:val="20663127"/>
    <w:rsid w:val="20C0244B"/>
    <w:rsid w:val="20D80C5C"/>
    <w:rsid w:val="219F8D19"/>
    <w:rsid w:val="21A22E4E"/>
    <w:rsid w:val="21BB4A84"/>
    <w:rsid w:val="2233B60C"/>
    <w:rsid w:val="2252B21D"/>
    <w:rsid w:val="22614EC9"/>
    <w:rsid w:val="2273079C"/>
    <w:rsid w:val="227351FB"/>
    <w:rsid w:val="2275D31B"/>
    <w:rsid w:val="22A753FC"/>
    <w:rsid w:val="22F65A93"/>
    <w:rsid w:val="23265EE5"/>
    <w:rsid w:val="2336CF09"/>
    <w:rsid w:val="236CE901"/>
    <w:rsid w:val="2395E6BE"/>
    <w:rsid w:val="23B0D391"/>
    <w:rsid w:val="23B1DCAD"/>
    <w:rsid w:val="23E656AF"/>
    <w:rsid w:val="23EDB553"/>
    <w:rsid w:val="240D7811"/>
    <w:rsid w:val="245550D2"/>
    <w:rsid w:val="24BD2461"/>
    <w:rsid w:val="24E5CDE3"/>
    <w:rsid w:val="25B112D3"/>
    <w:rsid w:val="25D1B117"/>
    <w:rsid w:val="263974F4"/>
    <w:rsid w:val="265A31DC"/>
    <w:rsid w:val="2678C851"/>
    <w:rsid w:val="26952473"/>
    <w:rsid w:val="26BE090F"/>
    <w:rsid w:val="26CE2592"/>
    <w:rsid w:val="27048346"/>
    <w:rsid w:val="271747F3"/>
    <w:rsid w:val="274971C3"/>
    <w:rsid w:val="27666161"/>
    <w:rsid w:val="27705561"/>
    <w:rsid w:val="28303D9C"/>
    <w:rsid w:val="2844F260"/>
    <w:rsid w:val="2848625C"/>
    <w:rsid w:val="286C91D6"/>
    <w:rsid w:val="28ABE08A"/>
    <w:rsid w:val="28CCC61C"/>
    <w:rsid w:val="28DD4333"/>
    <w:rsid w:val="28E3999F"/>
    <w:rsid w:val="295062CB"/>
    <w:rsid w:val="298E5902"/>
    <w:rsid w:val="29A51A8D"/>
    <w:rsid w:val="2A0C1495"/>
    <w:rsid w:val="2A2B6169"/>
    <w:rsid w:val="2A776354"/>
    <w:rsid w:val="2AB2FFE2"/>
    <w:rsid w:val="2AB7BFA2"/>
    <w:rsid w:val="2AF9DCAE"/>
    <w:rsid w:val="2B0412BE"/>
    <w:rsid w:val="2B098579"/>
    <w:rsid w:val="2B133411"/>
    <w:rsid w:val="2B1DBC68"/>
    <w:rsid w:val="2BAEA2B5"/>
    <w:rsid w:val="2BC072C4"/>
    <w:rsid w:val="2BCE78E0"/>
    <w:rsid w:val="2BF4D4B8"/>
    <w:rsid w:val="2C225CF8"/>
    <w:rsid w:val="2C6B6B3E"/>
    <w:rsid w:val="2CA601ED"/>
    <w:rsid w:val="2CABD32F"/>
    <w:rsid w:val="2CB7E942"/>
    <w:rsid w:val="2CC5B6A5"/>
    <w:rsid w:val="2CC90B66"/>
    <w:rsid w:val="2CCA8CE6"/>
    <w:rsid w:val="2CD61814"/>
    <w:rsid w:val="2CE10638"/>
    <w:rsid w:val="2CF1DC4D"/>
    <w:rsid w:val="2D05D561"/>
    <w:rsid w:val="2D26BA1C"/>
    <w:rsid w:val="2D27C6AC"/>
    <w:rsid w:val="2D501E60"/>
    <w:rsid w:val="2D8E1602"/>
    <w:rsid w:val="2D9D16B6"/>
    <w:rsid w:val="2DB15A16"/>
    <w:rsid w:val="2DB35EE3"/>
    <w:rsid w:val="2DD4C0DB"/>
    <w:rsid w:val="2DE80453"/>
    <w:rsid w:val="2E07ECD0"/>
    <w:rsid w:val="2E2AA95F"/>
    <w:rsid w:val="2E87C589"/>
    <w:rsid w:val="2EA1A92C"/>
    <w:rsid w:val="2EA2F8C9"/>
    <w:rsid w:val="2EA8F770"/>
    <w:rsid w:val="2EE56882"/>
    <w:rsid w:val="2F15596D"/>
    <w:rsid w:val="2F477E70"/>
    <w:rsid w:val="2F4C6880"/>
    <w:rsid w:val="2F82F6F9"/>
    <w:rsid w:val="2F94FB38"/>
    <w:rsid w:val="2F9FA182"/>
    <w:rsid w:val="2FD6008E"/>
    <w:rsid w:val="2FF09186"/>
    <w:rsid w:val="3070350D"/>
    <w:rsid w:val="30863DC9"/>
    <w:rsid w:val="30DE191C"/>
    <w:rsid w:val="30F74EC0"/>
    <w:rsid w:val="3122C6FE"/>
    <w:rsid w:val="31316FEB"/>
    <w:rsid w:val="31432193"/>
    <w:rsid w:val="314532ED"/>
    <w:rsid w:val="31587A88"/>
    <w:rsid w:val="3162442F"/>
    <w:rsid w:val="3177D7AC"/>
    <w:rsid w:val="31827C93"/>
    <w:rsid w:val="3190CA27"/>
    <w:rsid w:val="31AC7B04"/>
    <w:rsid w:val="31B7E8C0"/>
    <w:rsid w:val="31D0AF5D"/>
    <w:rsid w:val="32489A18"/>
    <w:rsid w:val="325E6C90"/>
    <w:rsid w:val="328AEEA4"/>
    <w:rsid w:val="32A3DBB1"/>
    <w:rsid w:val="32CA006E"/>
    <w:rsid w:val="32D0615E"/>
    <w:rsid w:val="32D5B058"/>
    <w:rsid w:val="32F1ED7E"/>
    <w:rsid w:val="33224B1E"/>
    <w:rsid w:val="333E9E99"/>
    <w:rsid w:val="3354D62B"/>
    <w:rsid w:val="33F9074A"/>
    <w:rsid w:val="34538D93"/>
    <w:rsid w:val="3465B614"/>
    <w:rsid w:val="34A6E7EE"/>
    <w:rsid w:val="34F7070D"/>
    <w:rsid w:val="350169FE"/>
    <w:rsid w:val="351DED0A"/>
    <w:rsid w:val="352A5190"/>
    <w:rsid w:val="353B60E1"/>
    <w:rsid w:val="3547002F"/>
    <w:rsid w:val="355211E6"/>
    <w:rsid w:val="35577A5B"/>
    <w:rsid w:val="358CCF56"/>
    <w:rsid w:val="362A8814"/>
    <w:rsid w:val="3637D353"/>
    <w:rsid w:val="365F6E30"/>
    <w:rsid w:val="368FE9CC"/>
    <w:rsid w:val="3695FE59"/>
    <w:rsid w:val="36D3E95F"/>
    <w:rsid w:val="36E5C7C4"/>
    <w:rsid w:val="370DF033"/>
    <w:rsid w:val="3717EC62"/>
    <w:rsid w:val="373DBA17"/>
    <w:rsid w:val="3746DC15"/>
    <w:rsid w:val="3791D28E"/>
    <w:rsid w:val="37B0A168"/>
    <w:rsid w:val="37CDE11B"/>
    <w:rsid w:val="3816DA45"/>
    <w:rsid w:val="382866C2"/>
    <w:rsid w:val="382A30C8"/>
    <w:rsid w:val="383CC3E1"/>
    <w:rsid w:val="3866477B"/>
    <w:rsid w:val="38680818"/>
    <w:rsid w:val="38DC9A5B"/>
    <w:rsid w:val="38E8D544"/>
    <w:rsid w:val="397C3959"/>
    <w:rsid w:val="39A468EB"/>
    <w:rsid w:val="39AA4651"/>
    <w:rsid w:val="39E18AB7"/>
    <w:rsid w:val="39F1CEAB"/>
    <w:rsid w:val="3A1C218F"/>
    <w:rsid w:val="3A37E3FE"/>
    <w:rsid w:val="3A6A239D"/>
    <w:rsid w:val="3A7B47E2"/>
    <w:rsid w:val="3A8DC431"/>
    <w:rsid w:val="3AC429BE"/>
    <w:rsid w:val="3B17672C"/>
    <w:rsid w:val="3B239D5D"/>
    <w:rsid w:val="3B49462F"/>
    <w:rsid w:val="3BD37CCC"/>
    <w:rsid w:val="3C1C3EEC"/>
    <w:rsid w:val="3C3E4864"/>
    <w:rsid w:val="3C3EA9A6"/>
    <w:rsid w:val="3C4360B8"/>
    <w:rsid w:val="3C5F70BA"/>
    <w:rsid w:val="3C6B27B6"/>
    <w:rsid w:val="3C9DA634"/>
    <w:rsid w:val="3CCDC025"/>
    <w:rsid w:val="3CD9CF14"/>
    <w:rsid w:val="3CDB0643"/>
    <w:rsid w:val="3D0DBB52"/>
    <w:rsid w:val="3D3983BE"/>
    <w:rsid w:val="3D7480A8"/>
    <w:rsid w:val="3D808A24"/>
    <w:rsid w:val="3D91F2C7"/>
    <w:rsid w:val="3DBE004A"/>
    <w:rsid w:val="3E337288"/>
    <w:rsid w:val="3E3E78FE"/>
    <w:rsid w:val="3E9387DD"/>
    <w:rsid w:val="3ECA6467"/>
    <w:rsid w:val="3ECC5327"/>
    <w:rsid w:val="3ECE9D1E"/>
    <w:rsid w:val="3EDB4E47"/>
    <w:rsid w:val="3F5823E8"/>
    <w:rsid w:val="3F5CAA25"/>
    <w:rsid w:val="3F6F98AD"/>
    <w:rsid w:val="3FBB653A"/>
    <w:rsid w:val="3FC5982B"/>
    <w:rsid w:val="3FEA478A"/>
    <w:rsid w:val="401E2303"/>
    <w:rsid w:val="402552B4"/>
    <w:rsid w:val="40417886"/>
    <w:rsid w:val="405CB46F"/>
    <w:rsid w:val="4075491D"/>
    <w:rsid w:val="40A3AD01"/>
    <w:rsid w:val="40C91ADE"/>
    <w:rsid w:val="40EEEFE8"/>
    <w:rsid w:val="40F03F5E"/>
    <w:rsid w:val="40FA7528"/>
    <w:rsid w:val="418AF0C5"/>
    <w:rsid w:val="41A0C8D5"/>
    <w:rsid w:val="41AB73E3"/>
    <w:rsid w:val="41CE19EB"/>
    <w:rsid w:val="420B22D1"/>
    <w:rsid w:val="4225303A"/>
    <w:rsid w:val="4225F877"/>
    <w:rsid w:val="424A3507"/>
    <w:rsid w:val="425FD371"/>
    <w:rsid w:val="428092D4"/>
    <w:rsid w:val="42B0ABEF"/>
    <w:rsid w:val="42D9A449"/>
    <w:rsid w:val="43029F40"/>
    <w:rsid w:val="430E09F6"/>
    <w:rsid w:val="43406028"/>
    <w:rsid w:val="434885CC"/>
    <w:rsid w:val="438DA56E"/>
    <w:rsid w:val="43995499"/>
    <w:rsid w:val="439F2792"/>
    <w:rsid w:val="43E48CEB"/>
    <w:rsid w:val="43F3BFE4"/>
    <w:rsid w:val="442D3CAF"/>
    <w:rsid w:val="446DB971"/>
    <w:rsid w:val="4496D7E4"/>
    <w:rsid w:val="44AD604F"/>
    <w:rsid w:val="44C16883"/>
    <w:rsid w:val="452C4093"/>
    <w:rsid w:val="453F157C"/>
    <w:rsid w:val="454C85BE"/>
    <w:rsid w:val="457448F2"/>
    <w:rsid w:val="45844B39"/>
    <w:rsid w:val="45D11CF1"/>
    <w:rsid w:val="45D38F4B"/>
    <w:rsid w:val="45E1E0B2"/>
    <w:rsid w:val="460E550E"/>
    <w:rsid w:val="4614951F"/>
    <w:rsid w:val="46202ADB"/>
    <w:rsid w:val="4650A915"/>
    <w:rsid w:val="465E30A8"/>
    <w:rsid w:val="4697595A"/>
    <w:rsid w:val="46C4EAE5"/>
    <w:rsid w:val="470C55F4"/>
    <w:rsid w:val="4714B65B"/>
    <w:rsid w:val="47162216"/>
    <w:rsid w:val="471B1AED"/>
    <w:rsid w:val="475230A8"/>
    <w:rsid w:val="477474BC"/>
    <w:rsid w:val="47E1FE1C"/>
    <w:rsid w:val="47EB516F"/>
    <w:rsid w:val="47EEBCB8"/>
    <w:rsid w:val="4806A1DE"/>
    <w:rsid w:val="481C22E3"/>
    <w:rsid w:val="4820D462"/>
    <w:rsid w:val="4821B368"/>
    <w:rsid w:val="48A3A820"/>
    <w:rsid w:val="48B3FF2E"/>
    <w:rsid w:val="48B52D2D"/>
    <w:rsid w:val="48B641BA"/>
    <w:rsid w:val="4945B14D"/>
    <w:rsid w:val="4957F22F"/>
    <w:rsid w:val="49771E04"/>
    <w:rsid w:val="497D3604"/>
    <w:rsid w:val="49B105D2"/>
    <w:rsid w:val="4A518E11"/>
    <w:rsid w:val="4A6A764E"/>
    <w:rsid w:val="4A70A90D"/>
    <w:rsid w:val="4A9217B9"/>
    <w:rsid w:val="4AB088E3"/>
    <w:rsid w:val="4AD67929"/>
    <w:rsid w:val="4B03DA03"/>
    <w:rsid w:val="4B264A85"/>
    <w:rsid w:val="4B376347"/>
    <w:rsid w:val="4B3BC6B7"/>
    <w:rsid w:val="4B428FB0"/>
    <w:rsid w:val="4B62783B"/>
    <w:rsid w:val="4B6CA826"/>
    <w:rsid w:val="4BB8BCFF"/>
    <w:rsid w:val="4BCE2F63"/>
    <w:rsid w:val="4C0C82E6"/>
    <w:rsid w:val="4C2A14E9"/>
    <w:rsid w:val="4C2DFB53"/>
    <w:rsid w:val="4C30912D"/>
    <w:rsid w:val="4C390903"/>
    <w:rsid w:val="4C4886AA"/>
    <w:rsid w:val="4C4A3E5E"/>
    <w:rsid w:val="4C718B84"/>
    <w:rsid w:val="4C73D554"/>
    <w:rsid w:val="4C832755"/>
    <w:rsid w:val="4C95023A"/>
    <w:rsid w:val="4CBC0E53"/>
    <w:rsid w:val="4CCE5602"/>
    <w:rsid w:val="4CD35A1D"/>
    <w:rsid w:val="4CE556EA"/>
    <w:rsid w:val="4D2E07F0"/>
    <w:rsid w:val="4D477B3E"/>
    <w:rsid w:val="4D7AE802"/>
    <w:rsid w:val="4DE02AA2"/>
    <w:rsid w:val="4DEE4701"/>
    <w:rsid w:val="4E05B7D1"/>
    <w:rsid w:val="4E3C7D78"/>
    <w:rsid w:val="4E53244E"/>
    <w:rsid w:val="4E71376E"/>
    <w:rsid w:val="4E9B54AD"/>
    <w:rsid w:val="4EACA262"/>
    <w:rsid w:val="4EBAF96C"/>
    <w:rsid w:val="4EDF4886"/>
    <w:rsid w:val="4EF76DFD"/>
    <w:rsid w:val="4F4609E4"/>
    <w:rsid w:val="4F573AAD"/>
    <w:rsid w:val="4FDCA70D"/>
    <w:rsid w:val="4FE9F5AA"/>
    <w:rsid w:val="4FF795EB"/>
    <w:rsid w:val="500EEE2B"/>
    <w:rsid w:val="5074EF9A"/>
    <w:rsid w:val="50846317"/>
    <w:rsid w:val="50B40210"/>
    <w:rsid w:val="50D0A4A7"/>
    <w:rsid w:val="50F91421"/>
    <w:rsid w:val="51051114"/>
    <w:rsid w:val="5139F364"/>
    <w:rsid w:val="51661E42"/>
    <w:rsid w:val="516BBCE3"/>
    <w:rsid w:val="518BFA38"/>
    <w:rsid w:val="51963953"/>
    <w:rsid w:val="51A63CC1"/>
    <w:rsid w:val="51DA825C"/>
    <w:rsid w:val="51F27C57"/>
    <w:rsid w:val="5234032D"/>
    <w:rsid w:val="52A8A047"/>
    <w:rsid w:val="52C3380B"/>
    <w:rsid w:val="52C7C074"/>
    <w:rsid w:val="52D1D881"/>
    <w:rsid w:val="52E4AC58"/>
    <w:rsid w:val="530B66E2"/>
    <w:rsid w:val="530D473B"/>
    <w:rsid w:val="5323649A"/>
    <w:rsid w:val="5325D725"/>
    <w:rsid w:val="535399D2"/>
    <w:rsid w:val="53637403"/>
    <w:rsid w:val="536B48E9"/>
    <w:rsid w:val="536B99E1"/>
    <w:rsid w:val="5372D3BF"/>
    <w:rsid w:val="53BCE224"/>
    <w:rsid w:val="53C5D83F"/>
    <w:rsid w:val="53F5A739"/>
    <w:rsid w:val="5415ECE4"/>
    <w:rsid w:val="541902CC"/>
    <w:rsid w:val="543D2F8B"/>
    <w:rsid w:val="54595F35"/>
    <w:rsid w:val="546F2DA9"/>
    <w:rsid w:val="54736347"/>
    <w:rsid w:val="55026DA2"/>
    <w:rsid w:val="55163029"/>
    <w:rsid w:val="5531B9E4"/>
    <w:rsid w:val="55332608"/>
    <w:rsid w:val="555FAA2E"/>
    <w:rsid w:val="557AB3FA"/>
    <w:rsid w:val="55A73BA6"/>
    <w:rsid w:val="55E0536A"/>
    <w:rsid w:val="55FEF68C"/>
    <w:rsid w:val="561BF05C"/>
    <w:rsid w:val="563C3BE3"/>
    <w:rsid w:val="567FCE22"/>
    <w:rsid w:val="56B1E0E4"/>
    <w:rsid w:val="574F143C"/>
    <w:rsid w:val="57803FCF"/>
    <w:rsid w:val="579691FB"/>
    <w:rsid w:val="57E86B9D"/>
    <w:rsid w:val="58036FB4"/>
    <w:rsid w:val="580F024B"/>
    <w:rsid w:val="5849FA18"/>
    <w:rsid w:val="58C18AE1"/>
    <w:rsid w:val="58DD5426"/>
    <w:rsid w:val="58E9B042"/>
    <w:rsid w:val="598F7C97"/>
    <w:rsid w:val="59BBBBB1"/>
    <w:rsid w:val="59CA4AD0"/>
    <w:rsid w:val="59D55F6B"/>
    <w:rsid w:val="59D9484C"/>
    <w:rsid w:val="5A4EC8AB"/>
    <w:rsid w:val="5A614669"/>
    <w:rsid w:val="5ACF1127"/>
    <w:rsid w:val="5AEBD3CB"/>
    <w:rsid w:val="5B1A3CB4"/>
    <w:rsid w:val="5B30360F"/>
    <w:rsid w:val="5B3F6E18"/>
    <w:rsid w:val="5B6BE505"/>
    <w:rsid w:val="5B733358"/>
    <w:rsid w:val="5B948E9A"/>
    <w:rsid w:val="5BD87C34"/>
    <w:rsid w:val="5BDB3113"/>
    <w:rsid w:val="5C18C982"/>
    <w:rsid w:val="5C3C4176"/>
    <w:rsid w:val="5C51DAEB"/>
    <w:rsid w:val="5C5D3713"/>
    <w:rsid w:val="5C607623"/>
    <w:rsid w:val="5C650DE9"/>
    <w:rsid w:val="5C79BE9B"/>
    <w:rsid w:val="5C8E83B9"/>
    <w:rsid w:val="5C91444C"/>
    <w:rsid w:val="5C99990C"/>
    <w:rsid w:val="5CABE60C"/>
    <w:rsid w:val="5CCA0261"/>
    <w:rsid w:val="5CDAE526"/>
    <w:rsid w:val="5CF3B240"/>
    <w:rsid w:val="5D05BEA7"/>
    <w:rsid w:val="5D208533"/>
    <w:rsid w:val="5D27ADF8"/>
    <w:rsid w:val="5D5FD5E8"/>
    <w:rsid w:val="5D78768A"/>
    <w:rsid w:val="5D8455AC"/>
    <w:rsid w:val="5DC030B0"/>
    <w:rsid w:val="5DDA8E69"/>
    <w:rsid w:val="5DDF17E1"/>
    <w:rsid w:val="5E14465D"/>
    <w:rsid w:val="5E20604E"/>
    <w:rsid w:val="5E373F74"/>
    <w:rsid w:val="5E98F157"/>
    <w:rsid w:val="5ED0BE3E"/>
    <w:rsid w:val="5EE277F3"/>
    <w:rsid w:val="5EFA6A86"/>
    <w:rsid w:val="5F0C67F0"/>
    <w:rsid w:val="5FC3392F"/>
    <w:rsid w:val="5FE9667F"/>
    <w:rsid w:val="5FFA9430"/>
    <w:rsid w:val="60228D79"/>
    <w:rsid w:val="602B0BB4"/>
    <w:rsid w:val="608E3133"/>
    <w:rsid w:val="61130F07"/>
    <w:rsid w:val="612A529A"/>
    <w:rsid w:val="61A08C54"/>
    <w:rsid w:val="61BFB208"/>
    <w:rsid w:val="61C8E27F"/>
    <w:rsid w:val="6221AAC6"/>
    <w:rsid w:val="625595CA"/>
    <w:rsid w:val="6264DDCC"/>
    <w:rsid w:val="62BAED3E"/>
    <w:rsid w:val="62D20DEF"/>
    <w:rsid w:val="62DB56FD"/>
    <w:rsid w:val="6313219C"/>
    <w:rsid w:val="632BF3DB"/>
    <w:rsid w:val="633F9257"/>
    <w:rsid w:val="6343D128"/>
    <w:rsid w:val="634DFE67"/>
    <w:rsid w:val="63758A91"/>
    <w:rsid w:val="63FCA856"/>
    <w:rsid w:val="64694654"/>
    <w:rsid w:val="64785CF0"/>
    <w:rsid w:val="64CA9392"/>
    <w:rsid w:val="6506F960"/>
    <w:rsid w:val="651F9848"/>
    <w:rsid w:val="6574A40D"/>
    <w:rsid w:val="658BADC0"/>
    <w:rsid w:val="65903A09"/>
    <w:rsid w:val="65937097"/>
    <w:rsid w:val="65EC2FE6"/>
    <w:rsid w:val="660D36C6"/>
    <w:rsid w:val="6610E738"/>
    <w:rsid w:val="661ED2AD"/>
    <w:rsid w:val="6659BB2A"/>
    <w:rsid w:val="6677BD35"/>
    <w:rsid w:val="66FAA57B"/>
    <w:rsid w:val="6745265F"/>
    <w:rsid w:val="67504C2C"/>
    <w:rsid w:val="67930A00"/>
    <w:rsid w:val="67AF7C65"/>
    <w:rsid w:val="67FF5253"/>
    <w:rsid w:val="6812C6C9"/>
    <w:rsid w:val="68295C80"/>
    <w:rsid w:val="6837D5AA"/>
    <w:rsid w:val="686527EC"/>
    <w:rsid w:val="6897633D"/>
    <w:rsid w:val="695F5685"/>
    <w:rsid w:val="698B26A7"/>
    <w:rsid w:val="698D7ADE"/>
    <w:rsid w:val="69AFE2BE"/>
    <w:rsid w:val="69F5378B"/>
    <w:rsid w:val="69F88A4F"/>
    <w:rsid w:val="69F8ED35"/>
    <w:rsid w:val="6A1BCF55"/>
    <w:rsid w:val="6A93824C"/>
    <w:rsid w:val="6AB57637"/>
    <w:rsid w:val="6B834E44"/>
    <w:rsid w:val="6BB1B803"/>
    <w:rsid w:val="6BDBACF6"/>
    <w:rsid w:val="6BF4804B"/>
    <w:rsid w:val="6C29151F"/>
    <w:rsid w:val="6C7C127E"/>
    <w:rsid w:val="6C8B7A53"/>
    <w:rsid w:val="6CBABB3B"/>
    <w:rsid w:val="6CD5E307"/>
    <w:rsid w:val="6D050EFF"/>
    <w:rsid w:val="6D5358F6"/>
    <w:rsid w:val="6D706116"/>
    <w:rsid w:val="6D853788"/>
    <w:rsid w:val="6D8BD288"/>
    <w:rsid w:val="6DCDB3F5"/>
    <w:rsid w:val="6DD429F4"/>
    <w:rsid w:val="6DDC7C4B"/>
    <w:rsid w:val="6E050A17"/>
    <w:rsid w:val="6E147043"/>
    <w:rsid w:val="6E764F55"/>
    <w:rsid w:val="6E8D31E5"/>
    <w:rsid w:val="6F241FAB"/>
    <w:rsid w:val="6F2440F6"/>
    <w:rsid w:val="6F7166BF"/>
    <w:rsid w:val="6F86811D"/>
    <w:rsid w:val="6F8BF45F"/>
    <w:rsid w:val="6FAB140B"/>
    <w:rsid w:val="6FC1E5D7"/>
    <w:rsid w:val="6FC3DFD6"/>
    <w:rsid w:val="6FCA03B4"/>
    <w:rsid w:val="6FE02507"/>
    <w:rsid w:val="7035F196"/>
    <w:rsid w:val="7096FF55"/>
    <w:rsid w:val="709FF911"/>
    <w:rsid w:val="70B5164E"/>
    <w:rsid w:val="70BAD8AA"/>
    <w:rsid w:val="70E1BBC2"/>
    <w:rsid w:val="70EC2968"/>
    <w:rsid w:val="713646F4"/>
    <w:rsid w:val="7155589D"/>
    <w:rsid w:val="715E03BC"/>
    <w:rsid w:val="715F8A32"/>
    <w:rsid w:val="71B463B9"/>
    <w:rsid w:val="71EE233C"/>
    <w:rsid w:val="71F5A217"/>
    <w:rsid w:val="71FB6BBC"/>
    <w:rsid w:val="722AD6E2"/>
    <w:rsid w:val="7252C5FA"/>
    <w:rsid w:val="72B37C8E"/>
    <w:rsid w:val="731EB65B"/>
    <w:rsid w:val="731EFC1E"/>
    <w:rsid w:val="7323B61C"/>
    <w:rsid w:val="7340F095"/>
    <w:rsid w:val="7354D702"/>
    <w:rsid w:val="73A16A41"/>
    <w:rsid w:val="73A8B555"/>
    <w:rsid w:val="73B70856"/>
    <w:rsid w:val="73C1948B"/>
    <w:rsid w:val="73E875D0"/>
    <w:rsid w:val="73ED4F75"/>
    <w:rsid w:val="73F1312C"/>
    <w:rsid w:val="749675F9"/>
    <w:rsid w:val="74B9C5DC"/>
    <w:rsid w:val="74DD9605"/>
    <w:rsid w:val="75149785"/>
    <w:rsid w:val="75374A44"/>
    <w:rsid w:val="7543DEFE"/>
    <w:rsid w:val="75458FBF"/>
    <w:rsid w:val="7578FC87"/>
    <w:rsid w:val="759E4538"/>
    <w:rsid w:val="75D8D6BC"/>
    <w:rsid w:val="761412EC"/>
    <w:rsid w:val="7622EA56"/>
    <w:rsid w:val="76EF2D5F"/>
    <w:rsid w:val="7714E066"/>
    <w:rsid w:val="77353E90"/>
    <w:rsid w:val="773FEEF3"/>
    <w:rsid w:val="775538EE"/>
    <w:rsid w:val="77747E66"/>
    <w:rsid w:val="777DC08D"/>
    <w:rsid w:val="77AAD235"/>
    <w:rsid w:val="77C0561E"/>
    <w:rsid w:val="77CCC32C"/>
    <w:rsid w:val="77E56878"/>
    <w:rsid w:val="7806295B"/>
    <w:rsid w:val="780D4E2B"/>
    <w:rsid w:val="786BB8CF"/>
    <w:rsid w:val="78819315"/>
    <w:rsid w:val="78DFCC2D"/>
    <w:rsid w:val="78DFF1F9"/>
    <w:rsid w:val="78F7218D"/>
    <w:rsid w:val="790C3F07"/>
    <w:rsid w:val="7953FD6B"/>
    <w:rsid w:val="79D50FD5"/>
    <w:rsid w:val="79EB5757"/>
    <w:rsid w:val="79EF48CB"/>
    <w:rsid w:val="7A0CEDCF"/>
    <w:rsid w:val="7A180499"/>
    <w:rsid w:val="7A36F6AE"/>
    <w:rsid w:val="7A6A6ED4"/>
    <w:rsid w:val="7A9C59FA"/>
    <w:rsid w:val="7A9D0017"/>
    <w:rsid w:val="7AA45599"/>
    <w:rsid w:val="7AB7745B"/>
    <w:rsid w:val="7AC0C816"/>
    <w:rsid w:val="7B007032"/>
    <w:rsid w:val="7B1D47E3"/>
    <w:rsid w:val="7B21FF2E"/>
    <w:rsid w:val="7B3A1996"/>
    <w:rsid w:val="7B4876BB"/>
    <w:rsid w:val="7B57BE3D"/>
    <w:rsid w:val="7B7E82EF"/>
    <w:rsid w:val="7C02DC7C"/>
    <w:rsid w:val="7C0EDB5E"/>
    <w:rsid w:val="7C194598"/>
    <w:rsid w:val="7C21E0B7"/>
    <w:rsid w:val="7C27AE3A"/>
    <w:rsid w:val="7C9772DE"/>
    <w:rsid w:val="7D125C14"/>
    <w:rsid w:val="7D1766ED"/>
    <w:rsid w:val="7D28B309"/>
    <w:rsid w:val="7D293C20"/>
    <w:rsid w:val="7D85178E"/>
    <w:rsid w:val="7D98DFA1"/>
    <w:rsid w:val="7D9CAA0A"/>
    <w:rsid w:val="7DA2D9CF"/>
    <w:rsid w:val="7E07E48D"/>
    <w:rsid w:val="7E43CCE1"/>
    <w:rsid w:val="7E98AC17"/>
    <w:rsid w:val="7EB153E1"/>
    <w:rsid w:val="7EBF5D9F"/>
    <w:rsid w:val="7F1780F0"/>
    <w:rsid w:val="7F1D0737"/>
    <w:rsid w:val="7F77C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0B156F"/>
  <w15:docId w15:val="{7ED1D597-49C0-4FCA-8277-898DB297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432"/>
    <w:rPr>
      <w:color w:val="000000"/>
      <w:sz w:val="26"/>
    </w:rPr>
  </w:style>
  <w:style w:type="paragraph" w:styleId="Heading1">
    <w:name w:val="heading 1"/>
    <w:basedOn w:val="Normal"/>
    <w:next w:val="Normal"/>
    <w:link w:val="Heading1Char"/>
    <w:qFormat/>
    <w:rsid w:val="00E33D22"/>
    <w:pPr>
      <w:keepNext/>
      <w:spacing w:line="360" w:lineRule="auto"/>
      <w:ind w:firstLine="1440"/>
      <w:jc w:val="center"/>
      <w:outlineLvl w:val="0"/>
    </w:pPr>
    <w:rPr>
      <w:b/>
      <w:u w:val="single"/>
    </w:rPr>
  </w:style>
  <w:style w:type="paragraph" w:styleId="Heading2">
    <w:name w:val="heading 2"/>
    <w:basedOn w:val="Normal"/>
    <w:next w:val="Normal"/>
    <w:qFormat/>
    <w:rsid w:val="00E33D22"/>
    <w:pPr>
      <w:keepNext/>
      <w:spacing w:line="360" w:lineRule="auto"/>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3D22"/>
    <w:pPr>
      <w:tabs>
        <w:tab w:val="center" w:pos="4320"/>
        <w:tab w:val="right" w:pos="8640"/>
      </w:tabs>
    </w:pPr>
  </w:style>
  <w:style w:type="paragraph" w:styleId="Footer">
    <w:name w:val="footer"/>
    <w:basedOn w:val="Normal"/>
    <w:link w:val="FooterChar"/>
    <w:uiPriority w:val="99"/>
    <w:rsid w:val="00E33D22"/>
    <w:pPr>
      <w:tabs>
        <w:tab w:val="center" w:pos="4320"/>
        <w:tab w:val="right" w:pos="8640"/>
      </w:tabs>
    </w:pPr>
  </w:style>
  <w:style w:type="character" w:styleId="PageNumber">
    <w:name w:val="page number"/>
    <w:basedOn w:val="DefaultParagraphFont"/>
    <w:rsid w:val="00E33D22"/>
  </w:style>
  <w:style w:type="paragraph" w:styleId="FootnoteText">
    <w:name w:val="footnote text"/>
    <w:basedOn w:val="Normal"/>
    <w:link w:val="FootnoteTextChar"/>
    <w:rsid w:val="00E33D22"/>
    <w:rPr>
      <w:sz w:val="20"/>
    </w:rPr>
  </w:style>
  <w:style w:type="character" w:styleId="FootnoteReference">
    <w:name w:val="footnote reference"/>
    <w:basedOn w:val="DefaultParagraphFont"/>
    <w:rsid w:val="00E33D22"/>
    <w:rPr>
      <w:vertAlign w:val="superscript"/>
    </w:rPr>
  </w:style>
  <w:style w:type="paragraph" w:styleId="BalloonText">
    <w:name w:val="Balloon Text"/>
    <w:basedOn w:val="Normal"/>
    <w:semiHidden/>
    <w:rsid w:val="00B3781C"/>
    <w:rPr>
      <w:rFonts w:ascii="Tahoma" w:hAnsi="Tahoma" w:cs="Tahoma"/>
      <w:sz w:val="16"/>
      <w:szCs w:val="16"/>
    </w:rPr>
  </w:style>
  <w:style w:type="paragraph" w:styleId="ListParagraph">
    <w:name w:val="List Paragraph"/>
    <w:basedOn w:val="Normal"/>
    <w:uiPriority w:val="34"/>
    <w:qFormat/>
    <w:rsid w:val="00AC516A"/>
    <w:pPr>
      <w:ind w:left="720"/>
      <w:contextualSpacing/>
    </w:pPr>
  </w:style>
  <w:style w:type="paragraph" w:styleId="PlainText">
    <w:name w:val="Plain Text"/>
    <w:basedOn w:val="Normal"/>
    <w:link w:val="PlainTextChar"/>
    <w:uiPriority w:val="99"/>
    <w:unhideWhenUsed/>
    <w:rsid w:val="00982FFA"/>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982FFA"/>
    <w:rPr>
      <w:rFonts w:ascii="Consolas" w:eastAsiaTheme="minorHAnsi" w:hAnsi="Consolas" w:cstheme="minorBidi"/>
      <w:sz w:val="21"/>
      <w:szCs w:val="21"/>
    </w:rPr>
  </w:style>
  <w:style w:type="character" w:styleId="Emphasis">
    <w:name w:val="Emphasis"/>
    <w:basedOn w:val="DefaultParagraphFont"/>
    <w:qFormat/>
    <w:rsid w:val="00275A2C"/>
    <w:rPr>
      <w:i/>
      <w:iCs/>
    </w:rPr>
  </w:style>
  <w:style w:type="character" w:customStyle="1" w:styleId="Heading1Char">
    <w:name w:val="Heading 1 Char"/>
    <w:basedOn w:val="DefaultParagraphFont"/>
    <w:link w:val="Heading1"/>
    <w:rsid w:val="00E427C5"/>
    <w:rPr>
      <w:b/>
      <w:color w:val="000000"/>
      <w:sz w:val="26"/>
      <w:u w:val="single"/>
    </w:rPr>
  </w:style>
  <w:style w:type="character" w:customStyle="1" w:styleId="HeaderChar">
    <w:name w:val="Header Char"/>
    <w:basedOn w:val="DefaultParagraphFont"/>
    <w:link w:val="Header"/>
    <w:rsid w:val="00E427C5"/>
    <w:rPr>
      <w:color w:val="000000"/>
      <w:sz w:val="26"/>
    </w:rPr>
  </w:style>
  <w:style w:type="character" w:customStyle="1" w:styleId="FooterChar">
    <w:name w:val="Footer Char"/>
    <w:basedOn w:val="DefaultParagraphFont"/>
    <w:link w:val="Footer"/>
    <w:uiPriority w:val="99"/>
    <w:rsid w:val="00F46E36"/>
    <w:rPr>
      <w:color w:val="000000"/>
      <w:sz w:val="26"/>
    </w:rPr>
  </w:style>
  <w:style w:type="character" w:styleId="CommentReference">
    <w:name w:val="annotation reference"/>
    <w:basedOn w:val="DefaultParagraphFont"/>
    <w:semiHidden/>
    <w:unhideWhenUsed/>
    <w:rsid w:val="00CE32D6"/>
    <w:rPr>
      <w:sz w:val="16"/>
      <w:szCs w:val="16"/>
    </w:rPr>
  </w:style>
  <w:style w:type="paragraph" w:styleId="CommentText">
    <w:name w:val="annotation text"/>
    <w:basedOn w:val="Normal"/>
    <w:link w:val="CommentTextChar"/>
    <w:semiHidden/>
    <w:unhideWhenUsed/>
    <w:rsid w:val="00CE32D6"/>
    <w:rPr>
      <w:sz w:val="20"/>
    </w:rPr>
  </w:style>
  <w:style w:type="character" w:customStyle="1" w:styleId="CommentTextChar">
    <w:name w:val="Comment Text Char"/>
    <w:basedOn w:val="DefaultParagraphFont"/>
    <w:link w:val="CommentText"/>
    <w:semiHidden/>
    <w:rsid w:val="00CE32D6"/>
    <w:rPr>
      <w:color w:val="000000"/>
    </w:rPr>
  </w:style>
  <w:style w:type="paragraph" w:styleId="CommentSubject">
    <w:name w:val="annotation subject"/>
    <w:basedOn w:val="CommentText"/>
    <w:next w:val="CommentText"/>
    <w:link w:val="CommentSubjectChar"/>
    <w:semiHidden/>
    <w:unhideWhenUsed/>
    <w:rsid w:val="00CE32D6"/>
    <w:rPr>
      <w:b/>
      <w:bCs/>
    </w:rPr>
  </w:style>
  <w:style w:type="character" w:customStyle="1" w:styleId="CommentSubjectChar">
    <w:name w:val="Comment Subject Char"/>
    <w:basedOn w:val="CommentTextChar"/>
    <w:link w:val="CommentSubject"/>
    <w:semiHidden/>
    <w:rsid w:val="00CE32D6"/>
    <w:rPr>
      <w:b/>
      <w:bCs/>
      <w:color w:val="000000"/>
    </w:rPr>
  </w:style>
  <w:style w:type="character" w:customStyle="1" w:styleId="FootnoteTextChar">
    <w:name w:val="Footnote Text Char"/>
    <w:basedOn w:val="DefaultParagraphFont"/>
    <w:link w:val="FootnoteText"/>
    <w:rsid w:val="005F56D1"/>
    <w:rPr>
      <w:color w:val="000000"/>
    </w:rPr>
  </w:style>
  <w:style w:type="character" w:styleId="PlaceholderText">
    <w:name w:val="Placeholder Text"/>
    <w:basedOn w:val="DefaultParagraphFont"/>
    <w:uiPriority w:val="99"/>
    <w:semiHidden/>
    <w:rsid w:val="002B580D"/>
    <w:rPr>
      <w:color w:val="808080"/>
    </w:rPr>
  </w:style>
  <w:style w:type="table" w:styleId="TableGrid">
    <w:name w:val="Table Grid"/>
    <w:basedOn w:val="TableNormal"/>
    <w:rsid w:val="0006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26A4"/>
    <w:rPr>
      <w:color w:val="000000"/>
      <w:sz w:val="26"/>
    </w:rPr>
  </w:style>
  <w:style w:type="paragraph" w:styleId="BodyTextIndent">
    <w:name w:val="Body Text Indent"/>
    <w:basedOn w:val="Normal"/>
    <w:link w:val="BodyTextIndentChar"/>
    <w:rsid w:val="00FC0B81"/>
    <w:pPr>
      <w:spacing w:line="360" w:lineRule="auto"/>
      <w:ind w:left="720" w:firstLine="720"/>
    </w:pPr>
  </w:style>
  <w:style w:type="character" w:customStyle="1" w:styleId="BodyTextIndentChar">
    <w:name w:val="Body Text Indent Char"/>
    <w:basedOn w:val="DefaultParagraphFont"/>
    <w:link w:val="BodyTextIndent"/>
    <w:rsid w:val="00FC0B81"/>
    <w:rPr>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145207">
      <w:bodyDiv w:val="1"/>
      <w:marLeft w:val="0"/>
      <w:marRight w:val="0"/>
      <w:marTop w:val="0"/>
      <w:marBottom w:val="0"/>
      <w:divBdr>
        <w:top w:val="none" w:sz="0" w:space="0" w:color="auto"/>
        <w:left w:val="none" w:sz="0" w:space="0" w:color="auto"/>
        <w:bottom w:val="none" w:sz="0" w:space="0" w:color="auto"/>
        <w:right w:val="none" w:sz="0" w:space="0" w:color="auto"/>
      </w:divBdr>
    </w:div>
    <w:div w:id="1155073401">
      <w:bodyDiv w:val="1"/>
      <w:marLeft w:val="0"/>
      <w:marRight w:val="0"/>
      <w:marTop w:val="0"/>
      <w:marBottom w:val="0"/>
      <w:divBdr>
        <w:top w:val="none" w:sz="0" w:space="0" w:color="auto"/>
        <w:left w:val="none" w:sz="0" w:space="0" w:color="auto"/>
        <w:bottom w:val="none" w:sz="0" w:space="0" w:color="auto"/>
        <w:right w:val="none" w:sz="0" w:space="0" w:color="auto"/>
      </w:divBdr>
    </w:div>
    <w:div w:id="1670207927">
      <w:bodyDiv w:val="1"/>
      <w:marLeft w:val="0"/>
      <w:marRight w:val="0"/>
      <w:marTop w:val="0"/>
      <w:marBottom w:val="0"/>
      <w:divBdr>
        <w:top w:val="none" w:sz="0" w:space="0" w:color="auto"/>
        <w:left w:val="none" w:sz="0" w:space="0" w:color="auto"/>
        <w:bottom w:val="none" w:sz="0" w:space="0" w:color="auto"/>
        <w:right w:val="none" w:sz="0" w:space="0" w:color="auto"/>
      </w:divBdr>
    </w:div>
    <w:div w:id="1851793570">
      <w:bodyDiv w:val="1"/>
      <w:marLeft w:val="0"/>
      <w:marRight w:val="0"/>
      <w:marTop w:val="0"/>
      <w:marBottom w:val="0"/>
      <w:divBdr>
        <w:top w:val="none" w:sz="0" w:space="0" w:color="auto"/>
        <w:left w:val="none" w:sz="0" w:space="0" w:color="auto"/>
        <w:bottom w:val="none" w:sz="0" w:space="0" w:color="auto"/>
        <w:right w:val="none" w:sz="0" w:space="0" w:color="auto"/>
      </w:divBdr>
    </w:div>
    <w:div w:id="196156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C1C9EEFAFE2F43A2F648F71728DD8B" ma:contentTypeVersion="10" ma:contentTypeDescription="Create a new document." ma:contentTypeScope="" ma:versionID="4847361f9803d9ef872fecacd564d5c9">
  <xsd:schema xmlns:xsd="http://www.w3.org/2001/XMLSchema" xmlns:xs="http://www.w3.org/2001/XMLSchema" xmlns:p="http://schemas.microsoft.com/office/2006/metadata/properties" xmlns:ns3="f969895e-cfb2-491b-8097-d2bf050db535" xmlns:ns4="aabeb36a-a8a4-4c52-9f1e-38bc443b3b1a" targetNamespace="http://schemas.microsoft.com/office/2006/metadata/properties" ma:root="true" ma:fieldsID="1a6ea1645cd4a2e2400e2de5726f2ed4" ns3:_="" ns4:_="">
    <xsd:import namespace="f969895e-cfb2-491b-8097-d2bf050db535"/>
    <xsd:import namespace="aabeb36a-a8a4-4c52-9f1e-38bc443b3b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9895e-cfb2-491b-8097-d2bf050db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beb36a-a8a4-4c52-9f1e-38bc443b3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F0E36-3FA2-484D-9035-9100659423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CDA82E-A2C8-429F-8FF5-D07B9D7B0FBE}">
  <ds:schemaRefs>
    <ds:schemaRef ds:uri="http://schemas.microsoft.com/sharepoint/v3/contenttype/forms"/>
  </ds:schemaRefs>
</ds:datastoreItem>
</file>

<file path=customXml/itemProps3.xml><?xml version="1.0" encoding="utf-8"?>
<ds:datastoreItem xmlns:ds="http://schemas.openxmlformats.org/officeDocument/2006/customXml" ds:itemID="{7055E520-6541-40D7-96FB-9A9AEBC02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9895e-cfb2-491b-8097-d2bf050db535"/>
    <ds:schemaRef ds:uri="aabeb36a-a8a4-4c52-9f1e-38bc443b3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FF18E5-E61B-4D86-9443-8C3AD5F2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5372</Words>
  <Characters>30626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Template (FUS) Order</vt:lpstr>
    </vt:vector>
  </TitlesOfParts>
  <Company>PA PUC</Company>
  <LinksUpToDate>false</LinksUpToDate>
  <CharactersWithSpaces>35927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(FUS) Order</dc:title>
  <dc:subject/>
  <dc:creator>McKinley, Clinton</dc:creator>
  <cp:keywords/>
  <cp:lastModifiedBy>Sheffer, Ryan</cp:lastModifiedBy>
  <cp:revision>4</cp:revision>
  <cp:lastPrinted>2018-10-25T17:12:00Z</cp:lastPrinted>
  <dcterms:created xsi:type="dcterms:W3CDTF">2020-09-03T18:02:00Z</dcterms:created>
  <dcterms:modified xsi:type="dcterms:W3CDTF">2020-09-17T16:02:00Z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0x0101007BC1C9EEFAFE2F43A2F648F71728DD8B</vt:lpwstr>
  </property>
</Properties>
</file>