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35328" w14:textId="77777777" w:rsidR="00A364CA" w:rsidRDefault="00A364CA" w:rsidP="00A364CA">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3C59E1A0" w14:textId="77777777" w:rsidR="00A364CA" w:rsidRDefault="00A364CA" w:rsidP="00A364CA">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5F318486" w14:textId="77777777" w:rsidR="00A364CA" w:rsidRDefault="00A364CA" w:rsidP="00A364CA">
      <w:pPr>
        <w:autoSpaceDE w:val="0"/>
        <w:autoSpaceDN w:val="0"/>
        <w:spacing w:after="0" w:line="240" w:lineRule="auto"/>
        <w:rPr>
          <w:rFonts w:ascii="Times New Roman" w:eastAsia="Times New Roman" w:hAnsi="Times New Roman"/>
          <w:b/>
          <w:sz w:val="24"/>
          <w:szCs w:val="24"/>
        </w:rPr>
      </w:pPr>
    </w:p>
    <w:p w14:paraId="09B5FAE0" w14:textId="77777777" w:rsidR="00A364CA" w:rsidRDefault="00A364CA" w:rsidP="00A364CA">
      <w:pPr>
        <w:autoSpaceDE w:val="0"/>
        <w:autoSpaceDN w:val="0"/>
        <w:spacing w:after="0" w:line="240" w:lineRule="auto"/>
        <w:rPr>
          <w:rFonts w:ascii="Times New Roman" w:eastAsia="Times New Roman" w:hAnsi="Times New Roman"/>
          <w:b/>
          <w:sz w:val="24"/>
          <w:szCs w:val="24"/>
        </w:rPr>
      </w:pPr>
    </w:p>
    <w:p w14:paraId="25660FF6" w14:textId="77777777" w:rsidR="00A364CA" w:rsidRDefault="00A364CA" w:rsidP="00A364CA">
      <w:pPr>
        <w:autoSpaceDE w:val="0"/>
        <w:autoSpaceDN w:val="0"/>
        <w:spacing w:after="0" w:line="240" w:lineRule="auto"/>
        <w:rPr>
          <w:rFonts w:ascii="Times New Roman" w:eastAsia="Times New Roman" w:hAnsi="Times New Roman"/>
          <w:b/>
          <w:sz w:val="24"/>
          <w:szCs w:val="24"/>
        </w:rPr>
      </w:pPr>
    </w:p>
    <w:p w14:paraId="125146BB" w14:textId="6E3B3690" w:rsidR="00A364CA" w:rsidRDefault="00A364CA" w:rsidP="00A364CA">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Petition of Aqua Pennsylvania, Inc.</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p>
    <w:p w14:paraId="5313296E" w14:textId="70A92866" w:rsidR="00A364CA" w:rsidRDefault="00A364CA" w:rsidP="00A364CA">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Tariff Changes Authorizing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sidR="00995FC3">
        <w:rPr>
          <w:rFonts w:ascii="Times New Roman" w:eastAsia="Times New Roman" w:hAnsi="Times New Roman"/>
          <w:sz w:val="24"/>
          <w:szCs w:val="24"/>
        </w:rPr>
        <w:t>P-2020-3021766</w:t>
      </w:r>
    </w:p>
    <w:p w14:paraId="21295554" w14:textId="7415423A" w:rsidR="00A364CA" w:rsidRDefault="00A364CA" w:rsidP="00A364CA">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Replacement of Customer-Owned Lead</w:t>
      </w:r>
      <w:r>
        <w:rPr>
          <w:rFonts w:ascii="Times New Roman" w:eastAsia="Times New Roman" w:hAnsi="Times New Roman"/>
          <w:sz w:val="24"/>
          <w:szCs w:val="24"/>
        </w:rPr>
        <w:tab/>
      </w:r>
      <w:r>
        <w:rPr>
          <w:rFonts w:ascii="Times New Roman" w:eastAsia="Times New Roman" w:hAnsi="Times New Roman"/>
          <w:sz w:val="24"/>
          <w:szCs w:val="24"/>
        </w:rPr>
        <w:tab/>
        <w:t>:</w:t>
      </w:r>
    </w:p>
    <w:p w14:paraId="6C2F9BAF" w14:textId="4EC96394" w:rsidR="00A364CA" w:rsidRDefault="00A364CA" w:rsidP="00995FC3">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Service Lines</w:t>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p>
    <w:p w14:paraId="797475AB" w14:textId="77777777" w:rsidR="00A364CA" w:rsidRDefault="00A364CA" w:rsidP="00A364CA">
      <w:pPr>
        <w:autoSpaceDE w:val="0"/>
        <w:autoSpaceDN w:val="0"/>
        <w:spacing w:after="0" w:line="240" w:lineRule="auto"/>
        <w:rPr>
          <w:rFonts w:ascii="Times New Roman" w:eastAsia="Times New Roman" w:hAnsi="Times New Roman"/>
          <w:caps/>
          <w:sz w:val="24"/>
          <w:szCs w:val="24"/>
        </w:rPr>
      </w:pPr>
    </w:p>
    <w:p w14:paraId="03D30CF2" w14:textId="77777777" w:rsidR="00A364CA" w:rsidRDefault="00A364CA" w:rsidP="00A364CA">
      <w:pPr>
        <w:autoSpaceDE w:val="0"/>
        <w:autoSpaceDN w:val="0"/>
        <w:spacing w:after="0" w:line="240" w:lineRule="auto"/>
        <w:rPr>
          <w:rFonts w:ascii="Times New Roman" w:eastAsia="Times New Roman" w:hAnsi="Times New Roman"/>
          <w:bCs/>
          <w:sz w:val="24"/>
          <w:szCs w:val="24"/>
        </w:rPr>
      </w:pPr>
    </w:p>
    <w:p w14:paraId="52A46213" w14:textId="77777777" w:rsidR="00A364CA" w:rsidRDefault="00A364CA" w:rsidP="00A364CA">
      <w:pPr>
        <w:autoSpaceDE w:val="0"/>
        <w:autoSpaceDN w:val="0"/>
        <w:spacing w:after="0" w:line="240" w:lineRule="auto"/>
        <w:rPr>
          <w:rFonts w:ascii="Times New Roman" w:eastAsia="Times New Roman" w:hAnsi="Times New Roman"/>
          <w:bCs/>
          <w:sz w:val="24"/>
          <w:szCs w:val="24"/>
        </w:rPr>
      </w:pPr>
    </w:p>
    <w:p w14:paraId="07535BA8" w14:textId="77777777" w:rsidR="00A364CA" w:rsidRDefault="00A364CA" w:rsidP="00A364CA">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PREHEARING CONFERENCE ORDER</w:t>
      </w:r>
    </w:p>
    <w:p w14:paraId="23EFECF6" w14:textId="77777777" w:rsidR="00A364CA" w:rsidRDefault="00A364CA" w:rsidP="00A364CA">
      <w:pPr>
        <w:autoSpaceDE w:val="0"/>
        <w:autoSpaceDN w:val="0"/>
        <w:spacing w:after="0" w:line="360" w:lineRule="auto"/>
        <w:rPr>
          <w:rFonts w:ascii="Times New Roman" w:eastAsia="Times New Roman" w:hAnsi="Times New Roman"/>
          <w:sz w:val="24"/>
          <w:szCs w:val="24"/>
          <w:u w:val="single"/>
        </w:rPr>
      </w:pPr>
    </w:p>
    <w:p w14:paraId="4662644C" w14:textId="2A6FD84B" w:rsidR="00A364CA" w:rsidRDefault="00A364CA" w:rsidP="00A364CA">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 telephonic prehearing conference has been scheduled in the above-captioned case for </w:t>
      </w:r>
      <w:r w:rsidR="00BE10E1">
        <w:rPr>
          <w:rFonts w:ascii="Times New Roman" w:eastAsia="Times New Roman" w:hAnsi="Times New Roman"/>
          <w:sz w:val="24"/>
          <w:szCs w:val="24"/>
        </w:rPr>
        <w:t>Wednesday, October 21</w:t>
      </w:r>
      <w:r>
        <w:rPr>
          <w:rFonts w:ascii="Times New Roman" w:eastAsia="Times New Roman" w:hAnsi="Times New Roman"/>
          <w:sz w:val="24"/>
          <w:szCs w:val="24"/>
        </w:rPr>
        <w:t>, 2020 at 2:00 p.m.  The call-in information is as follows:</w:t>
      </w:r>
    </w:p>
    <w:p w14:paraId="47AE83A9" w14:textId="77777777" w:rsidR="00A364CA" w:rsidRDefault="00A364CA" w:rsidP="00A364CA">
      <w:pPr>
        <w:spacing w:after="0" w:line="360" w:lineRule="auto"/>
        <w:ind w:firstLine="1440"/>
        <w:rPr>
          <w:rFonts w:ascii="Times New Roman" w:eastAsia="Times New Roman" w:hAnsi="Times New Roman"/>
          <w:sz w:val="24"/>
          <w:szCs w:val="24"/>
        </w:rPr>
      </w:pPr>
    </w:p>
    <w:p w14:paraId="0CFDD240" w14:textId="3BF8B430" w:rsidR="00A364CA" w:rsidRDefault="00A364CA" w:rsidP="00A364CA">
      <w:pPr>
        <w:spacing w:after="0" w:line="240" w:lineRule="auto"/>
        <w:ind w:firstLine="1440"/>
        <w:rPr>
          <w:rFonts w:ascii="Times New Roman" w:hAnsi="Times New Roman"/>
          <w:sz w:val="24"/>
          <w:szCs w:val="24"/>
        </w:rPr>
      </w:pPr>
      <w:r>
        <w:rPr>
          <w:rFonts w:ascii="Times New Roman" w:hAnsi="Times New Roman"/>
          <w:sz w:val="24"/>
          <w:szCs w:val="24"/>
        </w:rPr>
        <w:t>Toll-free Conference Number:</w:t>
      </w:r>
      <w:r>
        <w:rPr>
          <w:rFonts w:ascii="Times New Roman" w:hAnsi="Times New Roman"/>
          <w:sz w:val="24"/>
          <w:szCs w:val="24"/>
        </w:rPr>
        <w:tab/>
        <w:t>866.</w:t>
      </w:r>
      <w:r w:rsidR="009C7AD3">
        <w:rPr>
          <w:rFonts w:ascii="Times New Roman" w:hAnsi="Times New Roman"/>
          <w:sz w:val="24"/>
          <w:szCs w:val="24"/>
        </w:rPr>
        <w:t>675.3641</w:t>
      </w:r>
    </w:p>
    <w:p w14:paraId="00778B4A" w14:textId="0086DEDB" w:rsidR="00A364CA" w:rsidRDefault="00A364CA" w:rsidP="00A364CA">
      <w:pPr>
        <w:spacing w:after="0" w:line="240" w:lineRule="auto"/>
        <w:ind w:firstLine="1440"/>
        <w:rPr>
          <w:rFonts w:ascii="Times New Roman" w:hAnsi="Times New Roman"/>
          <w:sz w:val="24"/>
          <w:szCs w:val="24"/>
        </w:rPr>
      </w:pPr>
      <w:r>
        <w:rPr>
          <w:rFonts w:ascii="Times New Roman" w:hAnsi="Times New Roman"/>
          <w:sz w:val="24"/>
          <w:szCs w:val="24"/>
        </w:rPr>
        <w:t>Passcode Participant Number:</w:t>
      </w:r>
      <w:r>
        <w:rPr>
          <w:rFonts w:ascii="Times New Roman" w:hAnsi="Times New Roman"/>
          <w:sz w:val="24"/>
          <w:szCs w:val="24"/>
        </w:rPr>
        <w:tab/>
      </w:r>
      <w:r w:rsidR="00E52F08">
        <w:rPr>
          <w:rFonts w:ascii="Times New Roman" w:hAnsi="Times New Roman"/>
          <w:sz w:val="24"/>
          <w:szCs w:val="24"/>
        </w:rPr>
        <w:t>37082098</w:t>
      </w:r>
    </w:p>
    <w:p w14:paraId="0527458B" w14:textId="77777777" w:rsidR="00A364CA" w:rsidRDefault="00A364CA" w:rsidP="00A364CA">
      <w:pPr>
        <w:pStyle w:val="NoSpacing"/>
        <w:spacing w:line="360" w:lineRule="auto"/>
        <w:rPr>
          <w:rFonts w:ascii="Times New Roman" w:hAnsi="Times New Roman"/>
          <w:sz w:val="24"/>
          <w:szCs w:val="24"/>
        </w:rPr>
      </w:pPr>
    </w:p>
    <w:p w14:paraId="4EA386B1" w14:textId="77777777" w:rsidR="00A364CA" w:rsidRDefault="00A364CA" w:rsidP="00A364CA">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Parties shall review the regulation pertaining to prehearing conferences,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5.222 and 5.224.  Be prepared to discuss the schedule, possibilities for settlement, discovery issues, issues relating to the hearings that will be held, service among parties and all other procedural issues relevant to this proceeding.  In addition, note subsection (d), which provides, in part:</w:t>
      </w:r>
    </w:p>
    <w:p w14:paraId="7273052E"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419A9E3C" w14:textId="635AFCFF" w:rsidR="00A364CA" w:rsidRDefault="00A364CA" w:rsidP="00B41038">
      <w:pPr>
        <w:numPr>
          <w:ilvl w:val="3"/>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Parties and counsel will be expected to attend the conference fully prepared for a useful discussion of all problems involved in the proceeding, both procedural and substantive, and fully authorized to make commitments with respect thereto.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5.222.  </w:t>
      </w:r>
    </w:p>
    <w:p w14:paraId="63B54C9F" w14:textId="77777777" w:rsidR="00A364CA" w:rsidRDefault="00A364CA" w:rsidP="000527BD">
      <w:pPr>
        <w:autoSpaceDE w:val="0"/>
        <w:autoSpaceDN w:val="0"/>
        <w:spacing w:after="0" w:line="360" w:lineRule="auto"/>
        <w:ind w:left="2160" w:right="1350"/>
        <w:rPr>
          <w:rFonts w:ascii="Times New Roman" w:eastAsia="Times New Roman" w:hAnsi="Times New Roman"/>
          <w:sz w:val="24"/>
          <w:szCs w:val="24"/>
        </w:rPr>
      </w:pPr>
    </w:p>
    <w:p w14:paraId="3D494E06" w14:textId="25359F1E" w:rsidR="00A364CA" w:rsidRDefault="00A364CA" w:rsidP="00B41038">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All of the following matters shall be addressed at the prehearing conference:</w:t>
      </w:r>
    </w:p>
    <w:p w14:paraId="15260663" w14:textId="77777777" w:rsidR="000527BD" w:rsidRDefault="000527BD" w:rsidP="000527BD">
      <w:pPr>
        <w:autoSpaceDE w:val="0"/>
        <w:autoSpaceDN w:val="0"/>
        <w:spacing w:after="0" w:line="360" w:lineRule="auto"/>
        <w:ind w:left="1440"/>
        <w:rPr>
          <w:rFonts w:ascii="Times New Roman" w:eastAsia="Times New Roman" w:hAnsi="Times New Roman"/>
          <w:sz w:val="24"/>
          <w:szCs w:val="24"/>
        </w:rPr>
      </w:pPr>
    </w:p>
    <w:p w14:paraId="404302FD" w14:textId="51201F0C" w:rsidR="00A364CA" w:rsidRDefault="00A364CA" w:rsidP="00A364CA">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Establishment of the official service list, and an e-mail distribution list.</w:t>
      </w:r>
    </w:p>
    <w:p w14:paraId="6C444FC6" w14:textId="77777777" w:rsidR="00A364CA" w:rsidRDefault="00A364CA" w:rsidP="00A364CA">
      <w:pPr>
        <w:autoSpaceDE w:val="0"/>
        <w:autoSpaceDN w:val="0"/>
        <w:spacing w:after="0" w:line="240" w:lineRule="auto"/>
        <w:rPr>
          <w:rFonts w:ascii="Times New Roman" w:eastAsia="Times New Roman" w:hAnsi="Times New Roman"/>
          <w:sz w:val="24"/>
          <w:szCs w:val="24"/>
        </w:rPr>
      </w:pPr>
    </w:p>
    <w:p w14:paraId="13B551A6" w14:textId="23B3388C" w:rsidR="00A364CA" w:rsidRDefault="00A364CA" w:rsidP="00A364CA">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 xml:space="preserve">A proposed plan and schedule of discovery as well as modification of the Commission’s rules pertaining to discovery </w:t>
      </w:r>
      <w:r>
        <w:rPr>
          <w:rFonts w:ascii="Times New Roman" w:eastAsia="Times New Roman" w:hAnsi="Times New Roman"/>
          <w:sz w:val="24"/>
          <w:szCs w:val="24"/>
        </w:rPr>
        <w:lastRenderedPageBreak/>
        <w:t xml:space="preserve">(52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Subchapter D) and subpoenas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w:t>
      </w:r>
      <w:r w:rsidR="004243EB">
        <w:rPr>
          <w:rFonts w:ascii="Times New Roman" w:eastAsia="Times New Roman" w:hAnsi="Times New Roman"/>
          <w:sz w:val="24"/>
          <w:szCs w:val="24"/>
        </w:rPr>
        <w:t> </w:t>
      </w:r>
      <w:r>
        <w:rPr>
          <w:rFonts w:ascii="Times New Roman" w:eastAsia="Times New Roman" w:hAnsi="Times New Roman"/>
          <w:sz w:val="24"/>
          <w:szCs w:val="24"/>
        </w:rPr>
        <w:t>5.421), if appropriate.</w:t>
      </w:r>
    </w:p>
    <w:p w14:paraId="2E0A0461" w14:textId="77777777" w:rsidR="00A364CA" w:rsidRDefault="00A364CA" w:rsidP="00A364CA">
      <w:pPr>
        <w:autoSpaceDE w:val="0"/>
        <w:autoSpaceDN w:val="0"/>
        <w:spacing w:after="0" w:line="240" w:lineRule="auto"/>
        <w:ind w:left="1440"/>
        <w:rPr>
          <w:rFonts w:ascii="Times New Roman" w:eastAsia="Times New Roman" w:hAnsi="Times New Roman"/>
          <w:sz w:val="24"/>
          <w:szCs w:val="24"/>
        </w:rPr>
      </w:pPr>
    </w:p>
    <w:p w14:paraId="5156C41F" w14:textId="77777777" w:rsidR="00A364CA" w:rsidRDefault="00A364CA" w:rsidP="00A364CA">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Other matters that may aid in the orderly conduct and disposition of the proceeding and the furtherance of justice, including but not limited to the following:</w:t>
      </w:r>
    </w:p>
    <w:p w14:paraId="08AEACA9" w14:textId="77777777" w:rsidR="00A364CA" w:rsidRDefault="00A364CA" w:rsidP="00995FC3">
      <w:pPr>
        <w:autoSpaceDE w:val="0"/>
        <w:autoSpaceDN w:val="0"/>
        <w:spacing w:after="0" w:line="360" w:lineRule="auto"/>
        <w:ind w:left="1440"/>
        <w:rPr>
          <w:rFonts w:ascii="Times New Roman" w:eastAsia="Times New Roman" w:hAnsi="Times New Roman"/>
          <w:sz w:val="24"/>
          <w:szCs w:val="24"/>
        </w:rPr>
      </w:pPr>
    </w:p>
    <w:p w14:paraId="3022893E" w14:textId="77777777" w:rsidR="00A364CA" w:rsidRDefault="00A364CA" w:rsidP="00A364CA">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Simplification of the issues;</w:t>
      </w:r>
    </w:p>
    <w:p w14:paraId="37F7CBB1" w14:textId="77777777" w:rsidR="00A364CA" w:rsidRDefault="00A364CA" w:rsidP="00A364CA">
      <w:pPr>
        <w:autoSpaceDE w:val="0"/>
        <w:autoSpaceDN w:val="0"/>
        <w:spacing w:after="0" w:line="240" w:lineRule="auto"/>
        <w:ind w:left="2700"/>
        <w:rPr>
          <w:rFonts w:ascii="Times New Roman" w:eastAsia="Times New Roman" w:hAnsi="Times New Roman"/>
          <w:sz w:val="24"/>
          <w:szCs w:val="24"/>
        </w:rPr>
      </w:pPr>
    </w:p>
    <w:p w14:paraId="384E19AC" w14:textId="77777777" w:rsidR="00A364CA" w:rsidRDefault="00A364CA" w:rsidP="00A364CA">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The obtaining of admissions as to, or stipulations of, facts not in dispute or the authenticity of documents which might properly shorten the hearing;</w:t>
      </w:r>
    </w:p>
    <w:p w14:paraId="273BA331" w14:textId="77777777" w:rsidR="00A364CA" w:rsidRDefault="00A364CA" w:rsidP="00A364CA">
      <w:pPr>
        <w:autoSpaceDE w:val="0"/>
        <w:autoSpaceDN w:val="0"/>
        <w:spacing w:after="0" w:line="240" w:lineRule="auto"/>
        <w:ind w:left="2160"/>
        <w:rPr>
          <w:rFonts w:ascii="Times New Roman" w:eastAsia="Times New Roman" w:hAnsi="Times New Roman"/>
          <w:sz w:val="24"/>
          <w:szCs w:val="24"/>
        </w:rPr>
      </w:pPr>
    </w:p>
    <w:p w14:paraId="35F0621F" w14:textId="77777777" w:rsidR="00A364CA" w:rsidRDefault="00A364CA" w:rsidP="00A364CA">
      <w:pPr>
        <w:numPr>
          <w:ilvl w:val="2"/>
          <w:numId w:val="1"/>
        </w:numPr>
        <w:autoSpaceDE w:val="0"/>
        <w:autoSpaceDN w:val="0"/>
        <w:spacing w:after="0" w:line="240" w:lineRule="auto"/>
        <w:ind w:right="2160"/>
        <w:rPr>
          <w:rFonts w:ascii="Times New Roman" w:eastAsia="Times New Roman" w:hAnsi="Times New Roman"/>
          <w:sz w:val="24"/>
          <w:szCs w:val="24"/>
        </w:rPr>
      </w:pPr>
      <w:r>
        <w:rPr>
          <w:rFonts w:ascii="Times New Roman" w:eastAsia="Times New Roman" w:hAnsi="Times New Roman"/>
          <w:sz w:val="24"/>
          <w:szCs w:val="24"/>
        </w:rPr>
        <w:t xml:space="preserve">Limitations as to the number of witnesses; </w:t>
      </w:r>
    </w:p>
    <w:p w14:paraId="61F11880" w14:textId="77777777" w:rsidR="00A364CA" w:rsidRDefault="00A364CA" w:rsidP="00A364CA">
      <w:pPr>
        <w:autoSpaceDE w:val="0"/>
        <w:autoSpaceDN w:val="0"/>
        <w:spacing w:after="0" w:line="240" w:lineRule="auto"/>
        <w:ind w:left="2160"/>
        <w:rPr>
          <w:rFonts w:ascii="Times New Roman" w:eastAsia="Times New Roman" w:hAnsi="Times New Roman"/>
          <w:sz w:val="24"/>
          <w:szCs w:val="24"/>
        </w:rPr>
      </w:pPr>
    </w:p>
    <w:p w14:paraId="7945CD26" w14:textId="77777777" w:rsidR="00A364CA" w:rsidRDefault="00A364CA" w:rsidP="00A364CA">
      <w:pPr>
        <w:numPr>
          <w:ilvl w:val="2"/>
          <w:numId w:val="1"/>
        </w:numPr>
        <w:autoSpaceDE w:val="0"/>
        <w:autoSpaceDN w:val="0"/>
        <w:spacing w:after="0" w:line="240" w:lineRule="auto"/>
        <w:ind w:right="1440"/>
        <w:rPr>
          <w:rFonts w:ascii="Times New Roman" w:eastAsia="Times New Roman" w:hAnsi="Times New Roman"/>
          <w:sz w:val="24"/>
          <w:szCs w:val="24"/>
        </w:rPr>
      </w:pPr>
      <w:r>
        <w:rPr>
          <w:rFonts w:ascii="Times New Roman" w:eastAsia="Times New Roman" w:hAnsi="Times New Roman"/>
          <w:sz w:val="24"/>
          <w:szCs w:val="24"/>
        </w:rPr>
        <w:t>Limitations of time and scope for direct and cross-examinations; and</w:t>
      </w:r>
    </w:p>
    <w:p w14:paraId="05DC252B" w14:textId="77777777" w:rsidR="00A364CA" w:rsidRDefault="00A364CA" w:rsidP="00A364CA">
      <w:pPr>
        <w:autoSpaceDE w:val="0"/>
        <w:autoSpaceDN w:val="0"/>
        <w:spacing w:after="0" w:line="240" w:lineRule="auto"/>
        <w:ind w:left="2160"/>
        <w:rPr>
          <w:rFonts w:ascii="Times New Roman" w:eastAsia="Times New Roman" w:hAnsi="Times New Roman"/>
          <w:sz w:val="24"/>
          <w:szCs w:val="24"/>
        </w:rPr>
      </w:pPr>
    </w:p>
    <w:p w14:paraId="698A878F" w14:textId="77777777" w:rsidR="00A364CA" w:rsidRDefault="00A364CA" w:rsidP="00A364CA">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The need for a protective order</w:t>
      </w:r>
    </w:p>
    <w:p w14:paraId="10DA527A" w14:textId="247FB516" w:rsidR="00A364CA" w:rsidRDefault="00A364CA" w:rsidP="00995FC3">
      <w:pPr>
        <w:autoSpaceDE w:val="0"/>
        <w:autoSpaceDN w:val="0"/>
        <w:adjustRightInd w:val="0"/>
        <w:spacing w:after="0" w:line="360" w:lineRule="auto"/>
        <w:rPr>
          <w:rFonts w:ascii="Times New Roman" w:eastAsia="Times New Roman" w:hAnsi="Times New Roman"/>
          <w:b/>
          <w:sz w:val="24"/>
          <w:szCs w:val="24"/>
        </w:rPr>
      </w:pPr>
    </w:p>
    <w:p w14:paraId="229ABCBB" w14:textId="2604411F" w:rsidR="00A364CA" w:rsidRDefault="00AB7D0F" w:rsidP="00B41038">
      <w:pPr>
        <w:numPr>
          <w:ilvl w:val="0"/>
          <w:numId w:val="1"/>
        </w:numPr>
        <w:autoSpaceDE w:val="0"/>
        <w:autoSpaceDN w:val="0"/>
        <w:adjustRightInd w:val="0"/>
        <w:spacing w:after="0" w:line="360" w:lineRule="auto"/>
        <w:ind w:left="0" w:firstLine="720"/>
        <w:rPr>
          <w:rFonts w:ascii="Times New Roman" w:eastAsia="Times New Roman" w:hAnsi="Times New Roman"/>
          <w:bCs/>
          <w:sz w:val="24"/>
          <w:szCs w:val="24"/>
        </w:rPr>
      </w:pPr>
      <w:r>
        <w:rPr>
          <w:rFonts w:ascii="Times New Roman" w:eastAsia="Times New Roman" w:hAnsi="Times New Roman"/>
          <w:bCs/>
          <w:sz w:val="24"/>
          <w:szCs w:val="24"/>
        </w:rPr>
        <w:t xml:space="preserve">The Company should be prepared to discuss the request for expedited </w:t>
      </w:r>
      <w:r w:rsidR="00D42AFF">
        <w:rPr>
          <w:rFonts w:ascii="Times New Roman" w:eastAsia="Times New Roman" w:hAnsi="Times New Roman"/>
          <w:bCs/>
          <w:sz w:val="24"/>
          <w:szCs w:val="24"/>
        </w:rPr>
        <w:t xml:space="preserve">treatment of the Petition for certain areas.  </w:t>
      </w:r>
    </w:p>
    <w:p w14:paraId="2547246E" w14:textId="77777777" w:rsidR="00A364CA" w:rsidRDefault="00A364CA" w:rsidP="00A364CA">
      <w:pPr>
        <w:autoSpaceDE w:val="0"/>
        <w:autoSpaceDN w:val="0"/>
        <w:adjustRightInd w:val="0"/>
        <w:spacing w:after="0" w:line="360" w:lineRule="auto"/>
        <w:ind w:firstLine="1440"/>
        <w:rPr>
          <w:rFonts w:ascii="Times New Roman" w:eastAsia="Times New Roman" w:hAnsi="Times New Roman"/>
          <w:sz w:val="24"/>
          <w:szCs w:val="24"/>
        </w:rPr>
      </w:pPr>
    </w:p>
    <w:p w14:paraId="354D6947" w14:textId="00FCA34E" w:rsidR="00A364CA" w:rsidRDefault="00A364CA" w:rsidP="00B41038">
      <w:pPr>
        <w:numPr>
          <w:ilvl w:val="0"/>
          <w:numId w:val="1"/>
        </w:numPr>
        <w:autoSpaceDE w:val="0"/>
        <w:autoSpaceDN w:val="0"/>
        <w:adjustRightInd w:val="0"/>
        <w:spacing w:after="0" w:line="360" w:lineRule="auto"/>
        <w:ind w:left="0" w:firstLine="720"/>
        <w:rPr>
          <w:rFonts w:ascii="Times New Roman" w:eastAsia="Times New Roman" w:hAnsi="Times New Roman"/>
          <w:sz w:val="24"/>
          <w:szCs w:val="24"/>
        </w:rPr>
      </w:pPr>
      <w:r>
        <w:rPr>
          <w:rFonts w:ascii="Times New Roman" w:eastAsia="Times New Roman" w:hAnsi="Times New Roman"/>
          <w:b/>
          <w:sz w:val="24"/>
          <w:szCs w:val="24"/>
        </w:rPr>
        <w:t xml:space="preserve">On or before </w:t>
      </w:r>
      <w:r w:rsidR="00D42AFF">
        <w:rPr>
          <w:rFonts w:ascii="Times New Roman" w:eastAsia="Times New Roman" w:hAnsi="Times New Roman"/>
          <w:b/>
          <w:sz w:val="24"/>
          <w:szCs w:val="24"/>
        </w:rPr>
        <w:t>noon</w:t>
      </w:r>
      <w:r>
        <w:rPr>
          <w:rFonts w:ascii="Times New Roman" w:eastAsia="Times New Roman" w:hAnsi="Times New Roman"/>
          <w:b/>
          <w:sz w:val="24"/>
          <w:szCs w:val="24"/>
        </w:rPr>
        <w:t xml:space="preserve"> on </w:t>
      </w:r>
      <w:r w:rsidR="009330F4">
        <w:rPr>
          <w:rFonts w:ascii="Times New Roman" w:eastAsia="Times New Roman" w:hAnsi="Times New Roman"/>
          <w:b/>
          <w:sz w:val="24"/>
          <w:szCs w:val="24"/>
        </w:rPr>
        <w:t>October 19, 2020</w:t>
      </w:r>
      <w:r>
        <w:rPr>
          <w:rFonts w:ascii="Times New Roman" w:eastAsia="Times New Roman" w:hAnsi="Times New Roman"/>
          <w:sz w:val="24"/>
          <w:szCs w:val="24"/>
        </w:rPr>
        <w:t>, each party shall email to the undersigned, file and serve a prehearing memorandum which shall include the information required by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5.222(d)(1), which includes but is not limited to:  a list of the issues and sub-issues in this proceeding which the party intends to address and a statement of the party’s position on each of the issues and sub-issues listed, and the names, business addresses, and telephone numbers of witnesses the party expects to call and the subject matter of each witness’ testimony.  If a party is unable to prepare and serve a prehearing memorandum, the party must be prepared to state on the record the issues the party intends to address, the positions on those issues and the witnesses to be presented.</w:t>
      </w:r>
    </w:p>
    <w:p w14:paraId="77119736" w14:textId="77777777" w:rsidR="009536A2" w:rsidRDefault="009536A2" w:rsidP="009536A2">
      <w:pPr>
        <w:autoSpaceDE w:val="0"/>
        <w:autoSpaceDN w:val="0"/>
        <w:adjustRightInd w:val="0"/>
        <w:spacing w:after="0" w:line="360" w:lineRule="auto"/>
        <w:rPr>
          <w:rFonts w:ascii="Times New Roman" w:eastAsia="Times New Roman" w:hAnsi="Times New Roman"/>
          <w:sz w:val="24"/>
          <w:szCs w:val="24"/>
        </w:rPr>
      </w:pPr>
    </w:p>
    <w:p w14:paraId="58C1CD30" w14:textId="60624F8C" w:rsidR="00A364CA" w:rsidRPr="0052308B" w:rsidRDefault="00A364CA" w:rsidP="00B41038">
      <w:pPr>
        <w:numPr>
          <w:ilvl w:val="0"/>
          <w:numId w:val="1"/>
        </w:numPr>
        <w:autoSpaceDE w:val="0"/>
        <w:autoSpaceDN w:val="0"/>
        <w:adjustRightInd w:val="0"/>
        <w:spacing w:after="0" w:line="360" w:lineRule="auto"/>
        <w:ind w:left="0" w:firstLine="720"/>
        <w:rPr>
          <w:rFonts w:ascii="Times New Roman" w:eastAsia="Times New Roman" w:hAnsi="Times New Roman"/>
          <w:spacing w:val="-3"/>
          <w:sz w:val="24"/>
          <w:szCs w:val="24"/>
        </w:rPr>
      </w:pPr>
      <w:r>
        <w:rPr>
          <w:rFonts w:ascii="Times New Roman" w:eastAsia="Times New Roman" w:hAnsi="Times New Roman"/>
          <w:sz w:val="24"/>
          <w:szCs w:val="24"/>
        </w:rPr>
        <w:lastRenderedPageBreak/>
        <w:t>Parties must directly serve the presiding officer</w:t>
      </w:r>
      <w:r w:rsidR="000F3EDE">
        <w:rPr>
          <w:rFonts w:ascii="Times New Roman" w:eastAsia="Times New Roman" w:hAnsi="Times New Roman"/>
          <w:sz w:val="24"/>
          <w:szCs w:val="24"/>
        </w:rPr>
        <w:t xml:space="preserve"> </w:t>
      </w:r>
      <w:r>
        <w:rPr>
          <w:rFonts w:ascii="Times New Roman" w:eastAsia="Times New Roman" w:hAnsi="Times New Roman"/>
          <w:sz w:val="24"/>
          <w:szCs w:val="24"/>
        </w:rPr>
        <w:t xml:space="preserve">(electronically at </w:t>
      </w:r>
      <w:hyperlink r:id="rId11" w:history="1">
        <w:r>
          <w:rPr>
            <w:rStyle w:val="Hyperlink"/>
            <w:rFonts w:ascii="Times New Roman" w:eastAsia="Times New Roman" w:hAnsi="Times New Roman"/>
            <w:sz w:val="24"/>
            <w:szCs w:val="24"/>
          </w:rPr>
          <w:t>mguhl@pa.gov</w:t>
        </w:r>
      </w:hyperlink>
      <w:r w:rsidR="000F3EDE">
        <w:rPr>
          <w:rFonts w:ascii="Times New Roman" w:eastAsia="Times New Roman" w:hAnsi="Times New Roman"/>
          <w:sz w:val="24"/>
          <w:szCs w:val="24"/>
        </w:rPr>
        <w:t>)</w:t>
      </w:r>
      <w:r w:rsidR="00C626CB">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w:t>
      </w:r>
      <w:r w:rsidR="00A34C01">
        <w:rPr>
          <w:rFonts w:ascii="Times New Roman" w:eastAsia="Times New Roman" w:hAnsi="Times New Roman"/>
          <w:sz w:val="24"/>
          <w:szCs w:val="24"/>
        </w:rPr>
        <w:t xml:space="preserve">and </w:t>
      </w:r>
      <w:r w:rsidR="0052308B">
        <w:rPr>
          <w:rFonts w:ascii="Times New Roman" w:eastAsia="Times New Roman" w:hAnsi="Times New Roman"/>
          <w:sz w:val="24"/>
          <w:szCs w:val="24"/>
        </w:rPr>
        <w:t xml:space="preserve">the legal assistant, Pamela McNeal, </w:t>
      </w:r>
      <w:hyperlink r:id="rId12" w:history="1">
        <w:r w:rsidR="0052308B" w:rsidRPr="00173E20">
          <w:rPr>
            <w:rStyle w:val="Hyperlink"/>
            <w:rFonts w:ascii="Times New Roman" w:eastAsia="Times New Roman" w:hAnsi="Times New Roman"/>
            <w:sz w:val="24"/>
            <w:szCs w:val="24"/>
          </w:rPr>
          <w:t>pmcneal@pa.gov</w:t>
        </w:r>
      </w:hyperlink>
      <w:r w:rsidR="0052308B">
        <w:rPr>
          <w:rFonts w:ascii="Times New Roman" w:eastAsia="Times New Roman" w:hAnsi="Times New Roman"/>
          <w:sz w:val="24"/>
          <w:szCs w:val="24"/>
        </w:rPr>
        <w:t xml:space="preserve"> </w:t>
      </w:r>
      <w:r w:rsidRPr="0052308B">
        <w:rPr>
          <w:rFonts w:ascii="Times New Roman" w:eastAsia="Times New Roman" w:hAnsi="Times New Roman"/>
          <w:sz w:val="24"/>
          <w:szCs w:val="24"/>
        </w:rPr>
        <w:t xml:space="preserve">with any document you file in this proceeding.  If you send any document or correspondence, you must send a copy to all other parties in the case.  </w:t>
      </w:r>
    </w:p>
    <w:p w14:paraId="2A30ADB5" w14:textId="77777777" w:rsidR="00C626CB" w:rsidRDefault="00C626CB" w:rsidP="00C626CB">
      <w:pPr>
        <w:autoSpaceDE w:val="0"/>
        <w:autoSpaceDN w:val="0"/>
        <w:adjustRightInd w:val="0"/>
        <w:spacing w:after="0" w:line="360" w:lineRule="auto"/>
        <w:rPr>
          <w:rFonts w:ascii="Times New Roman" w:eastAsia="Times New Roman" w:hAnsi="Times New Roman"/>
          <w:spacing w:val="-3"/>
          <w:sz w:val="24"/>
          <w:szCs w:val="24"/>
        </w:rPr>
      </w:pPr>
    </w:p>
    <w:p w14:paraId="1DE983E7" w14:textId="77777777" w:rsidR="00A364CA" w:rsidRDefault="00A364CA" w:rsidP="00B41038">
      <w:pPr>
        <w:numPr>
          <w:ilvl w:val="0"/>
          <w:numId w:val="1"/>
        </w:numPr>
        <w:tabs>
          <w:tab w:val="left" w:pos="1440"/>
        </w:tabs>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Pursuant to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1.55, each party shall be limited to one entry on the service list.  Parties shall provide the name, business address, business telephone number, business telefacsimile number (if any), and business e-mail address (if any) of the person they wish to include on the service list.</w:t>
      </w:r>
    </w:p>
    <w:p w14:paraId="22760A1D" w14:textId="77777777" w:rsidR="00A364CA" w:rsidRDefault="00A364CA" w:rsidP="00A364CA">
      <w:pPr>
        <w:tabs>
          <w:tab w:val="left" w:pos="1440"/>
        </w:tabs>
        <w:autoSpaceDE w:val="0"/>
        <w:autoSpaceDN w:val="0"/>
        <w:spacing w:after="0" w:line="360" w:lineRule="auto"/>
        <w:ind w:firstLine="1440"/>
        <w:rPr>
          <w:rFonts w:ascii="Times New Roman" w:eastAsia="Times New Roman" w:hAnsi="Times New Roman"/>
          <w:sz w:val="24"/>
          <w:szCs w:val="24"/>
        </w:rPr>
      </w:pPr>
    </w:p>
    <w:p w14:paraId="256EC22B" w14:textId="77777777" w:rsidR="00A364CA" w:rsidRDefault="00A364CA" w:rsidP="00B41038">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Parties shall be limited to those persons or entities who:  (1) file a complaint or petition to intervene pursuant to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5.32, 5.71-76 (or a notice of intervention for those entities with a statutory right of participation)</w:t>
      </w:r>
      <w:r>
        <w:rPr>
          <w:rFonts w:ascii="Times New Roman" w:eastAsia="Times New Roman" w:hAnsi="Times New Roman"/>
          <w:spacing w:val="-3"/>
          <w:sz w:val="24"/>
          <w:szCs w:val="24"/>
        </w:rPr>
        <w:t xml:space="preserve"> and (2) attend the initial prehearing conference.  After the prehearing conference, intervention is limited to those persons or entities granted party status pursuant to 52 </w:t>
      </w:r>
      <w:proofErr w:type="spellStart"/>
      <w:r>
        <w:rPr>
          <w:rFonts w:ascii="Times New Roman" w:eastAsia="Times New Roman" w:hAnsi="Times New Roman"/>
          <w:spacing w:val="-3"/>
          <w:sz w:val="24"/>
          <w:szCs w:val="24"/>
        </w:rPr>
        <w:t>Pa.Code</w:t>
      </w:r>
      <w:proofErr w:type="spellEnd"/>
      <w:r>
        <w:rPr>
          <w:rFonts w:ascii="Times New Roman" w:eastAsia="Times New Roman" w:hAnsi="Times New Roman"/>
          <w:spacing w:val="-3"/>
          <w:sz w:val="24"/>
          <w:szCs w:val="24"/>
        </w:rPr>
        <w:t xml:space="preserve"> §§ 5.71-5.76, as set forth in </w:t>
      </w:r>
      <w:r>
        <w:rPr>
          <w:rFonts w:ascii="Times New Roman" w:eastAsia="Times New Roman" w:hAnsi="Times New Roman"/>
          <w:i/>
          <w:sz w:val="24"/>
          <w:szCs w:val="24"/>
        </w:rPr>
        <w:t>Re: Mercer Gas Company</w:t>
      </w:r>
      <w:r>
        <w:rPr>
          <w:rFonts w:ascii="Times New Roman" w:eastAsia="Times New Roman" w:hAnsi="Times New Roman"/>
          <w:sz w:val="24"/>
          <w:szCs w:val="24"/>
        </w:rPr>
        <w:t xml:space="preserve">, 71 Pa. PUC 19 (1989), and </w:t>
      </w:r>
      <w:r>
        <w:rPr>
          <w:rFonts w:ascii="Times New Roman" w:eastAsia="Times New Roman" w:hAnsi="Times New Roman"/>
          <w:i/>
          <w:sz w:val="24"/>
          <w:szCs w:val="24"/>
        </w:rPr>
        <w:t>Re: S.T.S. Motor Freight, Inc.</w:t>
      </w:r>
      <w:r>
        <w:rPr>
          <w:rFonts w:ascii="Times New Roman" w:eastAsia="Times New Roman" w:hAnsi="Times New Roman"/>
          <w:sz w:val="24"/>
          <w:szCs w:val="24"/>
        </w:rPr>
        <w:t xml:space="preserve">, 54 Pa. PUC 343, 344 (1980) or who file a complaint.  </w:t>
      </w:r>
    </w:p>
    <w:p w14:paraId="251BB7FA" w14:textId="77777777" w:rsidR="00A364CA" w:rsidRDefault="00A364CA" w:rsidP="00A364CA">
      <w:pPr>
        <w:autoSpaceDE w:val="0"/>
        <w:autoSpaceDN w:val="0"/>
        <w:spacing w:after="0" w:line="360" w:lineRule="auto"/>
        <w:ind w:firstLine="1440"/>
        <w:rPr>
          <w:rFonts w:ascii="Times New Roman" w:eastAsia="Times New Roman" w:hAnsi="Times New Roman"/>
          <w:sz w:val="24"/>
          <w:szCs w:val="24"/>
        </w:rPr>
      </w:pPr>
    </w:p>
    <w:p w14:paraId="336DA8D2" w14:textId="77777777" w:rsidR="00A364CA" w:rsidRDefault="00A364CA" w:rsidP="00B41038">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Petitions to intervene, if not untimely or otherwise defective on their face, shall be deemed granted if not objected to within three business days after filing.  If objected to, such pleadings will be addressed by order.</w:t>
      </w:r>
    </w:p>
    <w:p w14:paraId="10F24035"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3895E268" w14:textId="19F88DD8" w:rsidR="00A364CA" w:rsidRDefault="00A364CA" w:rsidP="00B41038">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Pursuant to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1.21-1.23, you may represent yourself, if you are an individual, or you may have an attorney licensed to practice law in the Commonwealth of Pennsylvania, or admitted </w:t>
      </w:r>
      <w:r>
        <w:rPr>
          <w:rFonts w:ascii="Times New Roman" w:eastAsia="Times New Roman" w:hAnsi="Times New Roman"/>
          <w:i/>
          <w:sz w:val="24"/>
          <w:szCs w:val="24"/>
        </w:rPr>
        <w:t xml:space="preserve">pro </w:t>
      </w:r>
      <w:proofErr w:type="spellStart"/>
      <w:r>
        <w:rPr>
          <w:rFonts w:ascii="Times New Roman" w:eastAsia="Times New Roman" w:hAnsi="Times New Roman"/>
          <w:i/>
          <w:sz w:val="24"/>
          <w:szCs w:val="24"/>
        </w:rPr>
        <w:t>hac</w:t>
      </w:r>
      <w:proofErr w:type="spellEnd"/>
      <w:r>
        <w:rPr>
          <w:rFonts w:ascii="Times New Roman" w:eastAsia="Times New Roman" w:hAnsi="Times New Roman"/>
          <w:i/>
          <w:sz w:val="24"/>
          <w:szCs w:val="24"/>
        </w:rPr>
        <w:t xml:space="preserve"> vice</w:t>
      </w:r>
      <w:r>
        <w:rPr>
          <w:rFonts w:ascii="Times New Roman" w:eastAsia="Times New Roman" w:hAnsi="Times New Roman"/>
          <w:sz w:val="24"/>
          <w:szCs w:val="24"/>
        </w:rPr>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w:t>
      </w:r>
      <w:r>
        <w:rPr>
          <w:rFonts w:ascii="Times New Roman" w:eastAsia="Times New Roman" w:hAnsi="Times New Roman"/>
          <w:sz w:val="24"/>
          <w:szCs w:val="24"/>
        </w:rPr>
        <w:lastRenderedPageBreak/>
        <w:t xml:space="preserve">admitted </w:t>
      </w:r>
      <w:r>
        <w:rPr>
          <w:rFonts w:ascii="Times New Roman" w:eastAsia="Times New Roman" w:hAnsi="Times New Roman"/>
          <w:i/>
          <w:sz w:val="24"/>
          <w:szCs w:val="24"/>
        </w:rPr>
        <w:t xml:space="preserve">pro </w:t>
      </w:r>
      <w:proofErr w:type="spellStart"/>
      <w:r>
        <w:rPr>
          <w:rFonts w:ascii="Times New Roman" w:eastAsia="Times New Roman" w:hAnsi="Times New Roman"/>
          <w:i/>
          <w:sz w:val="24"/>
          <w:szCs w:val="24"/>
        </w:rPr>
        <w:t>hac</w:t>
      </w:r>
      <w:proofErr w:type="spellEnd"/>
      <w:r>
        <w:rPr>
          <w:rFonts w:ascii="Times New Roman" w:eastAsia="Times New Roman" w:hAnsi="Times New Roman"/>
          <w:i/>
          <w:sz w:val="24"/>
          <w:szCs w:val="24"/>
        </w:rPr>
        <w:t xml:space="preserve"> vice</w:t>
      </w:r>
      <w:r>
        <w:rPr>
          <w:rFonts w:ascii="Times New Roman" w:eastAsia="Times New Roman" w:hAnsi="Times New Roman"/>
          <w:sz w:val="24"/>
          <w:szCs w:val="24"/>
        </w:rPr>
        <w:t xml:space="preserve"> represent you in this proceeding.  Unless you are an attorney, you may not represent someone else.  Attorneys shall ensure that their appearance is entered in accordance with the provisions of 52</w:t>
      </w:r>
      <w:r w:rsidR="00995FC3">
        <w:rPr>
          <w:rFonts w:ascii="Times New Roman" w:eastAsia="Times New Roman" w:hAnsi="Times New Roman"/>
          <w:sz w:val="24"/>
          <w:szCs w:val="24"/>
        </w:rPr>
        <w:t>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1.24(b).  </w:t>
      </w:r>
    </w:p>
    <w:p w14:paraId="691B8F9D"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61616016" w14:textId="77777777" w:rsidR="00A364CA" w:rsidRDefault="00A364CA" w:rsidP="00B41038">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The parties are directed to cooperate and exchange information, either on an informal or formal basis.  In addition, the parties are urged to use alternative means of discovery such as discovery conferences or depositions.  All discovery requests should be as narrowly tailored as possible and parties should coordinate their discovery if possible; responses are due on a best-efforts basis.  The parties are expected to resolve discovery issues among themselves; motions to compel should be filed only after such efforts have failed.  If the objections are not resolved, counsel will alert the presiding officers by e-mail of the need for a ruling, and a conference call will be scheduled.  The presiding officers will make a ruling over the telephone and not reduce it to writing unless requested to do so.  There are limitations on discovery and sanctions for abuse of the discovery process.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5.361, 5.371-5.372.</w:t>
      </w:r>
    </w:p>
    <w:p w14:paraId="6FB014F7"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512133ED" w14:textId="77777777" w:rsidR="00A364CA" w:rsidRDefault="00A364CA" w:rsidP="00B41038">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The parties shall stipulate to any matters they reasonably can to expedite this proceeding, lessen the burden of time and expense in litigation on all parties and conserve precious administrative hearing resources.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01D1F008"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6DF209B7" w14:textId="77777777" w:rsidR="00A364CA" w:rsidRDefault="00A364CA" w:rsidP="00995FC3">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The parties are to confer among themselves in an attempt to resolve all or some of the issues associated with this Petition.  The parties are reminded it is the Commission’s policy to encourage settlements.  52 </w:t>
      </w:r>
      <w:proofErr w:type="spellStart"/>
      <w:r>
        <w:rPr>
          <w:rFonts w:ascii="Times New Roman" w:eastAsia="Times New Roman" w:hAnsi="Times New Roman"/>
          <w:sz w:val="24"/>
          <w:szCs w:val="24"/>
        </w:rPr>
        <w:t>Pa.Code</w:t>
      </w:r>
      <w:proofErr w:type="spellEnd"/>
      <w:r>
        <w:rPr>
          <w:rFonts w:ascii="Times New Roman" w:eastAsia="Times New Roman" w:hAnsi="Times New Roman"/>
          <w:sz w:val="24"/>
          <w:szCs w:val="24"/>
        </w:rPr>
        <w:t xml:space="preserve"> § 5.231(a).  The parties are strongly urged to seriously explore this possibility.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Word 2007 or a compatible format served on us.</w:t>
      </w:r>
    </w:p>
    <w:p w14:paraId="796BB521"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3410A94D" w14:textId="77777777" w:rsidR="00A364CA" w:rsidRDefault="00A364CA" w:rsidP="00995FC3">
      <w:pPr>
        <w:numPr>
          <w:ilvl w:val="0"/>
          <w:numId w:val="1"/>
        </w:numPr>
        <w:autoSpaceDE w:val="0"/>
        <w:autoSpaceDN w:val="0"/>
        <w:spacing w:after="0" w:line="360" w:lineRule="auto"/>
        <w:ind w:left="0" w:firstLine="720"/>
        <w:rPr>
          <w:rFonts w:ascii="Times New Roman" w:eastAsia="Times New Roman" w:hAnsi="Times New Roman"/>
          <w:sz w:val="24"/>
          <w:szCs w:val="24"/>
        </w:rPr>
      </w:pPr>
      <w:r>
        <w:rPr>
          <w:rFonts w:ascii="Times New Roman" w:eastAsia="Times New Roman" w:hAnsi="Times New Roman"/>
          <w:sz w:val="24"/>
          <w:szCs w:val="24"/>
        </w:rPr>
        <w:lastRenderedPageBreak/>
        <w:t>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7E3BC19D"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557FB1A6" w14:textId="77777777" w:rsidR="00A364CA" w:rsidRDefault="00A364CA" w:rsidP="00A364CA">
      <w:pPr>
        <w:autoSpaceDE w:val="0"/>
        <w:autoSpaceDN w:val="0"/>
        <w:spacing w:after="0" w:line="360" w:lineRule="auto"/>
        <w:rPr>
          <w:rFonts w:ascii="Times New Roman" w:eastAsia="Times New Roman" w:hAnsi="Times New Roman"/>
          <w:sz w:val="24"/>
          <w:szCs w:val="24"/>
        </w:rPr>
      </w:pPr>
    </w:p>
    <w:p w14:paraId="4FCD26F4" w14:textId="4D72D53A" w:rsidR="00A364CA" w:rsidRDefault="00A364CA" w:rsidP="00A364CA">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sidRPr="00995FC3">
        <w:rPr>
          <w:rFonts w:ascii="Times New Roman" w:eastAsia="Times New Roman" w:hAnsi="Times New Roman"/>
          <w:sz w:val="24"/>
          <w:szCs w:val="24"/>
          <w:u w:val="single"/>
        </w:rPr>
        <w:t>October 7, 2020</w:t>
      </w:r>
      <w:r>
        <w:rPr>
          <w:rFonts w:ascii="Times New Roman" w:eastAsia="Times New Roman" w:hAnsi="Times New Roman"/>
          <w:sz w:val="24"/>
          <w:szCs w:val="24"/>
        </w:rPr>
        <w:tab/>
      </w:r>
    </w:p>
    <w:p w14:paraId="0C5C4479" w14:textId="77777777" w:rsidR="00A364CA" w:rsidRDefault="00A364CA" w:rsidP="00A364CA">
      <w:pPr>
        <w:autoSpaceDE w:val="0"/>
        <w:autoSpaceDN w:val="0"/>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u w:val="single"/>
        </w:rPr>
        <w:t>___________/s/__________________</w:t>
      </w:r>
    </w:p>
    <w:p w14:paraId="4ABB83AA" w14:textId="77777777" w:rsidR="00A364CA" w:rsidRDefault="00A364CA" w:rsidP="00A364CA">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r>
        <w:rPr>
          <w:rFonts w:ascii="Times New Roman" w:eastAsia="Times New Roman" w:hAnsi="Times New Roman"/>
          <w:sz w:val="24"/>
          <w:szCs w:val="24"/>
        </w:rPr>
        <w:tab/>
      </w:r>
    </w:p>
    <w:p w14:paraId="16B6E2F5" w14:textId="77777777" w:rsidR="00A364CA" w:rsidRDefault="00A364CA" w:rsidP="00A364CA">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14:paraId="26B52890" w14:textId="5252D359" w:rsidR="00995FC3" w:rsidRDefault="00995FC3">
      <w:pPr>
        <w:spacing w:after="160" w:line="259" w:lineRule="auto"/>
      </w:pPr>
      <w:r>
        <w:br w:type="page"/>
      </w:r>
    </w:p>
    <w:p w14:paraId="3B47E4C5" w14:textId="77777777" w:rsidR="00995FC3" w:rsidRPr="00B41038" w:rsidRDefault="00995FC3" w:rsidP="00B41038">
      <w:pPr>
        <w:pStyle w:val="NoSpacing"/>
        <w:rPr>
          <w:rFonts w:ascii="Times New Roman" w:eastAsia="Times New Roman" w:hAnsi="Times New Roman"/>
          <w:b/>
          <w:bCs/>
          <w:sz w:val="24"/>
          <w:szCs w:val="24"/>
          <w:u w:val="single"/>
        </w:rPr>
      </w:pPr>
      <w:r w:rsidRPr="00B41038">
        <w:rPr>
          <w:rFonts w:ascii="Times New Roman" w:eastAsia="Microsoft Sans Serif" w:hAnsi="Times New Roman"/>
          <w:b/>
          <w:bCs/>
          <w:sz w:val="24"/>
          <w:szCs w:val="24"/>
          <w:u w:val="single"/>
        </w:rPr>
        <w:lastRenderedPageBreak/>
        <w:t xml:space="preserve">P-2020-3021766 - </w:t>
      </w:r>
      <w:r w:rsidRPr="00B41038">
        <w:rPr>
          <w:rFonts w:ascii="Times New Roman" w:hAnsi="Times New Roman"/>
          <w:b/>
          <w:bCs/>
          <w:sz w:val="24"/>
          <w:szCs w:val="24"/>
          <w:u w:val="single"/>
        </w:rPr>
        <w:t>PETITION OF AQUA PENNSYLVANIA, INC FOR APPROVAL OF TARIFF CHANGES AUTHORIZING REPLACEMENT OF CUSTOMER-OWNED LEAD SERVICE LINES</w:t>
      </w:r>
    </w:p>
    <w:p w14:paraId="502026F7" w14:textId="16C575E8" w:rsidR="00995FC3" w:rsidRPr="00B41038" w:rsidRDefault="00995FC3" w:rsidP="00B41038">
      <w:pPr>
        <w:pStyle w:val="NoSpacing"/>
        <w:rPr>
          <w:rFonts w:ascii="Times New Roman" w:eastAsia="Microsoft Sans Serif" w:hAnsi="Times New Roman"/>
          <w:sz w:val="24"/>
          <w:szCs w:val="24"/>
        </w:rPr>
      </w:pPr>
    </w:p>
    <w:p w14:paraId="30490CD7" w14:textId="77777777" w:rsidR="00B41038" w:rsidRPr="00B41038" w:rsidRDefault="00B41038" w:rsidP="00B41038">
      <w:pPr>
        <w:pStyle w:val="NoSpacing"/>
        <w:rPr>
          <w:rFonts w:ascii="Times New Roman" w:eastAsia="Microsoft Sans Serif" w:hAnsi="Times New Roman"/>
          <w:sz w:val="24"/>
          <w:szCs w:val="24"/>
        </w:rPr>
      </w:pPr>
    </w:p>
    <w:p w14:paraId="7C83C3EB"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ANTHONY C DECUSATIS ESQUIRE</w:t>
      </w:r>
      <w:r w:rsidRPr="00B41038">
        <w:rPr>
          <w:rFonts w:ascii="Times New Roman" w:eastAsia="Microsoft Sans Serif" w:hAnsi="Times New Roman"/>
          <w:sz w:val="24"/>
          <w:szCs w:val="24"/>
        </w:rPr>
        <w:br/>
        <w:t>KENNETH M KULAK ESQUIRE</w:t>
      </w:r>
      <w:r w:rsidRPr="00B41038">
        <w:rPr>
          <w:rFonts w:ascii="Times New Roman" w:eastAsia="Microsoft Sans Serif" w:hAnsi="Times New Roman"/>
          <w:sz w:val="24"/>
          <w:szCs w:val="24"/>
        </w:rPr>
        <w:br/>
        <w:t xml:space="preserve">BROOKE E MCGLINN ESQUIRE </w:t>
      </w:r>
    </w:p>
    <w:p w14:paraId="660007AE"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MORGAN LEWIS &amp; BOCKIUS LLP</w:t>
      </w:r>
    </w:p>
    <w:p w14:paraId="2A337B0C"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1701 MARKET STREET</w:t>
      </w:r>
    </w:p>
    <w:p w14:paraId="14045739"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PHILADELPHIA PA  19103-2921</w:t>
      </w:r>
    </w:p>
    <w:p w14:paraId="0592F3B6" w14:textId="77777777" w:rsidR="00995FC3" w:rsidRPr="00B41038" w:rsidRDefault="00995FC3" w:rsidP="00B41038">
      <w:pPr>
        <w:pStyle w:val="NoSpacing"/>
        <w:rPr>
          <w:rFonts w:ascii="Times New Roman" w:eastAsia="Microsoft Sans Serif" w:hAnsi="Times New Roman"/>
          <w:bCs/>
          <w:sz w:val="24"/>
          <w:szCs w:val="24"/>
        </w:rPr>
      </w:pPr>
      <w:r w:rsidRPr="00B41038">
        <w:rPr>
          <w:rFonts w:ascii="Times New Roman" w:eastAsia="Microsoft Sans Serif" w:hAnsi="Times New Roman"/>
          <w:bCs/>
          <w:sz w:val="24"/>
          <w:szCs w:val="24"/>
        </w:rPr>
        <w:t>215.963.5034</w:t>
      </w:r>
    </w:p>
    <w:p w14:paraId="719C43F6"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bCs/>
          <w:sz w:val="24"/>
          <w:szCs w:val="24"/>
        </w:rPr>
        <w:t>215.963.5384</w:t>
      </w:r>
      <w:r w:rsidRPr="00B41038">
        <w:rPr>
          <w:rFonts w:ascii="Times New Roman" w:eastAsia="Microsoft Sans Serif" w:hAnsi="Times New Roman"/>
          <w:bCs/>
          <w:sz w:val="24"/>
          <w:szCs w:val="24"/>
        </w:rPr>
        <w:br/>
        <w:t>215.963.5404</w:t>
      </w:r>
      <w:r w:rsidRPr="00B41038">
        <w:rPr>
          <w:rFonts w:ascii="Times New Roman" w:eastAsia="Microsoft Sans Serif" w:hAnsi="Times New Roman"/>
          <w:bCs/>
          <w:sz w:val="24"/>
          <w:szCs w:val="24"/>
        </w:rPr>
        <w:br/>
      </w:r>
      <w:r w:rsidRPr="00B41038">
        <w:rPr>
          <w:rFonts w:ascii="Times New Roman" w:eastAsia="Microsoft Sans Serif" w:hAnsi="Times New Roman"/>
          <w:sz w:val="24"/>
          <w:szCs w:val="24"/>
        </w:rPr>
        <w:t>Accepts eService</w:t>
      </w:r>
      <w:r w:rsidRPr="00B41038">
        <w:rPr>
          <w:rFonts w:ascii="Times New Roman" w:eastAsia="Microsoft Sans Serif" w:hAnsi="Times New Roman"/>
          <w:sz w:val="24"/>
          <w:szCs w:val="24"/>
        </w:rPr>
        <w:br/>
      </w:r>
      <w:r w:rsidRPr="00B41038">
        <w:rPr>
          <w:rFonts w:ascii="Times New Roman" w:eastAsia="Microsoft Sans Serif" w:hAnsi="Times New Roman"/>
          <w:i/>
          <w:iCs/>
          <w:sz w:val="24"/>
          <w:szCs w:val="24"/>
        </w:rPr>
        <w:t>Representing Aqua Pennsylvania, Inc</w:t>
      </w:r>
      <w:r w:rsidRPr="00B41038">
        <w:rPr>
          <w:rFonts w:ascii="Times New Roman" w:eastAsia="Microsoft Sans Serif" w:hAnsi="Times New Roman"/>
          <w:sz w:val="24"/>
          <w:szCs w:val="24"/>
        </w:rPr>
        <w:t xml:space="preserve"> </w:t>
      </w:r>
    </w:p>
    <w:p w14:paraId="12E83313" w14:textId="77777777" w:rsidR="00995FC3" w:rsidRPr="00B41038" w:rsidRDefault="00995FC3" w:rsidP="00B41038">
      <w:pPr>
        <w:pStyle w:val="NoSpacing"/>
        <w:rPr>
          <w:rFonts w:ascii="Times New Roman" w:eastAsia="Microsoft Sans Serif" w:hAnsi="Times New Roman"/>
          <w:sz w:val="24"/>
          <w:szCs w:val="24"/>
        </w:rPr>
      </w:pPr>
    </w:p>
    <w:p w14:paraId="70FC195F"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CHRISTINE M HOOVER ESQUIRE</w:t>
      </w:r>
    </w:p>
    <w:p w14:paraId="12663791"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OFFICE OF CONSUMER ADVOCATE</w:t>
      </w:r>
    </w:p>
    <w:p w14:paraId="766E786F"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5TH FLOOR FORUM PLACE</w:t>
      </w:r>
    </w:p>
    <w:p w14:paraId="070F3476"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555 WALNUT STREET</w:t>
      </w:r>
    </w:p>
    <w:p w14:paraId="6D5C4956"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HARRISBURG PA  17101</w:t>
      </w:r>
    </w:p>
    <w:p w14:paraId="08766A79" w14:textId="77777777" w:rsidR="00995FC3" w:rsidRPr="00B41038" w:rsidRDefault="00995FC3" w:rsidP="00B41038">
      <w:pPr>
        <w:pStyle w:val="NoSpacing"/>
        <w:rPr>
          <w:rFonts w:ascii="Times New Roman" w:eastAsia="Microsoft Sans Serif" w:hAnsi="Times New Roman"/>
          <w:i/>
          <w:iCs/>
          <w:sz w:val="24"/>
          <w:szCs w:val="24"/>
        </w:rPr>
      </w:pPr>
      <w:r w:rsidRPr="00B41038">
        <w:rPr>
          <w:rFonts w:ascii="Times New Roman" w:eastAsia="Microsoft Sans Serif" w:hAnsi="Times New Roman"/>
          <w:bCs/>
          <w:sz w:val="24"/>
          <w:szCs w:val="24"/>
        </w:rPr>
        <w:t>717.783.5048</w:t>
      </w:r>
      <w:r w:rsidRPr="00B41038">
        <w:rPr>
          <w:rFonts w:ascii="Times New Roman" w:eastAsia="Microsoft Sans Serif" w:hAnsi="Times New Roman"/>
          <w:bCs/>
          <w:sz w:val="24"/>
          <w:szCs w:val="24"/>
        </w:rPr>
        <w:br/>
      </w:r>
      <w:r w:rsidRPr="00B41038">
        <w:rPr>
          <w:rFonts w:ascii="Times New Roman" w:eastAsia="Microsoft Sans Serif" w:hAnsi="Times New Roman"/>
          <w:sz w:val="24"/>
          <w:szCs w:val="24"/>
        </w:rPr>
        <w:t>Accepts eService</w:t>
      </w:r>
      <w:r w:rsidRPr="00B41038">
        <w:rPr>
          <w:rFonts w:ascii="Times New Roman" w:eastAsia="Microsoft Sans Serif" w:hAnsi="Times New Roman"/>
          <w:sz w:val="24"/>
          <w:szCs w:val="24"/>
        </w:rPr>
        <w:br/>
      </w:r>
      <w:r w:rsidRPr="00B41038">
        <w:rPr>
          <w:rFonts w:ascii="Times New Roman" w:eastAsia="Microsoft Sans Serif" w:hAnsi="Times New Roman"/>
          <w:i/>
          <w:iCs/>
          <w:sz w:val="24"/>
          <w:szCs w:val="24"/>
        </w:rPr>
        <w:t>Representing OCA</w:t>
      </w:r>
    </w:p>
    <w:p w14:paraId="41DF4BBF" w14:textId="77777777" w:rsidR="00995FC3" w:rsidRPr="00B41038" w:rsidRDefault="00995FC3" w:rsidP="00B41038">
      <w:pPr>
        <w:pStyle w:val="NoSpacing"/>
        <w:rPr>
          <w:rFonts w:ascii="Times New Roman" w:eastAsia="Microsoft Sans Serif" w:hAnsi="Times New Roman"/>
          <w:sz w:val="24"/>
          <w:szCs w:val="24"/>
        </w:rPr>
      </w:pPr>
    </w:p>
    <w:p w14:paraId="2E69A32C"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GINA MILLER ESQUIRE</w:t>
      </w:r>
    </w:p>
    <w:p w14:paraId="25A59F16"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PA PUC BUREAU OF INVESTIGATION AND ENFORCEMENT</w:t>
      </w:r>
    </w:p>
    <w:p w14:paraId="5DD4C923"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400 NORTH STREET</w:t>
      </w:r>
    </w:p>
    <w:p w14:paraId="47351BC1"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HARRISBURG PA  17120</w:t>
      </w:r>
    </w:p>
    <w:p w14:paraId="5B76A55C" w14:textId="77777777" w:rsidR="00995FC3" w:rsidRPr="00B41038" w:rsidRDefault="00995FC3" w:rsidP="00B41038">
      <w:pPr>
        <w:pStyle w:val="NoSpacing"/>
        <w:rPr>
          <w:rFonts w:ascii="Times New Roman" w:eastAsia="Microsoft Sans Serif" w:hAnsi="Times New Roman"/>
          <w:i/>
          <w:iCs/>
          <w:sz w:val="24"/>
          <w:szCs w:val="24"/>
        </w:rPr>
      </w:pPr>
      <w:r w:rsidRPr="00B41038">
        <w:rPr>
          <w:rFonts w:ascii="Times New Roman" w:eastAsia="Microsoft Sans Serif" w:hAnsi="Times New Roman"/>
          <w:bCs/>
          <w:sz w:val="24"/>
          <w:szCs w:val="24"/>
        </w:rPr>
        <w:t>717.783.8754</w:t>
      </w:r>
      <w:r w:rsidRPr="00B41038">
        <w:rPr>
          <w:rFonts w:ascii="Times New Roman" w:eastAsia="Microsoft Sans Serif" w:hAnsi="Times New Roman"/>
          <w:bCs/>
          <w:sz w:val="24"/>
          <w:szCs w:val="24"/>
        </w:rPr>
        <w:br/>
      </w:r>
      <w:r w:rsidRPr="00B41038">
        <w:rPr>
          <w:rFonts w:ascii="Times New Roman" w:eastAsia="Microsoft Sans Serif" w:hAnsi="Times New Roman"/>
          <w:sz w:val="24"/>
          <w:szCs w:val="24"/>
        </w:rPr>
        <w:t>Accepts eService</w:t>
      </w:r>
      <w:r w:rsidRPr="00B41038">
        <w:rPr>
          <w:rFonts w:ascii="Times New Roman" w:eastAsia="Microsoft Sans Serif" w:hAnsi="Times New Roman"/>
          <w:sz w:val="24"/>
          <w:szCs w:val="24"/>
        </w:rPr>
        <w:br/>
      </w:r>
      <w:r w:rsidRPr="00B41038">
        <w:rPr>
          <w:rFonts w:ascii="Times New Roman" w:eastAsia="Microsoft Sans Serif" w:hAnsi="Times New Roman"/>
          <w:i/>
          <w:iCs/>
          <w:sz w:val="24"/>
          <w:szCs w:val="24"/>
        </w:rPr>
        <w:t>Representing BIE</w:t>
      </w:r>
    </w:p>
    <w:p w14:paraId="71B2A9FD" w14:textId="77777777" w:rsidR="00995FC3" w:rsidRPr="00B41038" w:rsidRDefault="00995FC3" w:rsidP="00B41038">
      <w:pPr>
        <w:pStyle w:val="NoSpacing"/>
        <w:rPr>
          <w:rFonts w:ascii="Times New Roman" w:eastAsia="Microsoft Sans Serif" w:hAnsi="Times New Roman"/>
          <w:i/>
          <w:iCs/>
          <w:sz w:val="24"/>
          <w:szCs w:val="24"/>
        </w:rPr>
      </w:pPr>
    </w:p>
    <w:p w14:paraId="6E303A81"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STEVEN C GRAY ESQUIRE</w:t>
      </w:r>
      <w:r w:rsidRPr="00B41038">
        <w:rPr>
          <w:rFonts w:ascii="Times New Roman" w:eastAsia="Microsoft Sans Serif" w:hAnsi="Times New Roman"/>
          <w:sz w:val="24"/>
          <w:szCs w:val="24"/>
        </w:rPr>
        <w:br/>
        <w:t>JOHN R EVANS ESQUIRE</w:t>
      </w:r>
    </w:p>
    <w:p w14:paraId="4B4160C5"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555 WALNUT ST 1ST FLOOR</w:t>
      </w:r>
    </w:p>
    <w:p w14:paraId="262A53CA"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FORUM PLACE</w:t>
      </w:r>
    </w:p>
    <w:p w14:paraId="40DD2747"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sz w:val="24"/>
          <w:szCs w:val="24"/>
        </w:rPr>
        <w:t>HARRISBURG PA  17101</w:t>
      </w:r>
    </w:p>
    <w:p w14:paraId="7F389FC9" w14:textId="77777777" w:rsidR="00995FC3" w:rsidRPr="00B41038" w:rsidRDefault="00995FC3" w:rsidP="00B41038">
      <w:pPr>
        <w:pStyle w:val="NoSpacing"/>
        <w:rPr>
          <w:rFonts w:ascii="Times New Roman" w:eastAsia="Microsoft Sans Serif" w:hAnsi="Times New Roman"/>
          <w:sz w:val="24"/>
          <w:szCs w:val="24"/>
        </w:rPr>
      </w:pPr>
      <w:r w:rsidRPr="00B41038">
        <w:rPr>
          <w:rFonts w:ascii="Times New Roman" w:eastAsia="Microsoft Sans Serif" w:hAnsi="Times New Roman"/>
          <w:bCs/>
          <w:sz w:val="24"/>
          <w:szCs w:val="24"/>
        </w:rPr>
        <w:t>717.783.2525</w:t>
      </w:r>
    </w:p>
    <w:p w14:paraId="3A56EFC9" w14:textId="606039A2" w:rsidR="00995FC3" w:rsidRPr="00B41038" w:rsidRDefault="00995FC3" w:rsidP="00B41038">
      <w:pPr>
        <w:pStyle w:val="NoSpacing"/>
        <w:rPr>
          <w:rFonts w:ascii="Times New Roman" w:eastAsia="Times New Roman" w:hAnsi="Times New Roman"/>
          <w:sz w:val="24"/>
          <w:szCs w:val="24"/>
        </w:rPr>
      </w:pPr>
      <w:r w:rsidRPr="00B41038">
        <w:rPr>
          <w:rFonts w:ascii="Times New Roman" w:eastAsia="Microsoft Sans Serif" w:hAnsi="Times New Roman"/>
          <w:sz w:val="24"/>
          <w:szCs w:val="24"/>
        </w:rPr>
        <w:t>Via e-mail only due to Emergency Order at M-2020-3019262</w:t>
      </w:r>
      <w:r w:rsidRPr="00B41038">
        <w:rPr>
          <w:rFonts w:ascii="Times New Roman" w:eastAsia="Microsoft Sans Serif" w:hAnsi="Times New Roman"/>
          <w:sz w:val="24"/>
          <w:szCs w:val="24"/>
        </w:rPr>
        <w:br/>
      </w:r>
      <w:hyperlink r:id="rId13" w:history="1">
        <w:r w:rsidRPr="00B41038">
          <w:rPr>
            <w:rStyle w:val="Hyperlink"/>
            <w:rFonts w:ascii="Times New Roman" w:eastAsia="Microsoft Sans Serif" w:hAnsi="Times New Roman"/>
            <w:sz w:val="24"/>
            <w:szCs w:val="24"/>
          </w:rPr>
          <w:t>sgray@pa.gov</w:t>
        </w:r>
      </w:hyperlink>
      <w:r w:rsidRPr="00B41038">
        <w:rPr>
          <w:rFonts w:ascii="Times New Roman" w:eastAsia="Microsoft Sans Serif" w:hAnsi="Times New Roman"/>
          <w:sz w:val="24"/>
          <w:szCs w:val="24"/>
        </w:rPr>
        <w:br/>
      </w:r>
      <w:hyperlink r:id="rId14" w:history="1">
        <w:r w:rsidR="006B1055" w:rsidRPr="007F5099">
          <w:rPr>
            <w:rStyle w:val="Hyperlink"/>
            <w:rFonts w:ascii="Times New Roman" w:eastAsia="Microsoft Sans Serif" w:hAnsi="Times New Roman"/>
            <w:sz w:val="24"/>
            <w:szCs w:val="24"/>
          </w:rPr>
          <w:t>jorevans@pa.gov</w:t>
        </w:r>
      </w:hyperlink>
      <w:r w:rsidRPr="00B41038">
        <w:rPr>
          <w:rFonts w:ascii="Times New Roman" w:eastAsia="Microsoft Sans Serif" w:hAnsi="Times New Roman"/>
          <w:sz w:val="24"/>
          <w:szCs w:val="24"/>
        </w:rPr>
        <w:br/>
      </w:r>
      <w:r w:rsidRPr="00B41038">
        <w:rPr>
          <w:rFonts w:ascii="Times New Roman" w:eastAsia="Microsoft Sans Serif" w:hAnsi="Times New Roman"/>
          <w:i/>
          <w:iCs/>
          <w:sz w:val="24"/>
          <w:szCs w:val="24"/>
        </w:rPr>
        <w:t>Representing OSBA</w:t>
      </w:r>
      <w:bookmarkStart w:id="0" w:name="_GoBack"/>
      <w:bookmarkEnd w:id="0"/>
    </w:p>
    <w:p w14:paraId="3439BEF9" w14:textId="77777777" w:rsidR="00995FC3" w:rsidRPr="00B41038" w:rsidRDefault="00995FC3" w:rsidP="00B41038">
      <w:pPr>
        <w:pStyle w:val="NoSpacing"/>
        <w:rPr>
          <w:rFonts w:ascii="Times New Roman" w:hAnsi="Times New Roman"/>
          <w:sz w:val="24"/>
          <w:szCs w:val="24"/>
        </w:rPr>
      </w:pPr>
    </w:p>
    <w:p w14:paraId="4E82ECAD" w14:textId="77777777" w:rsidR="00F41418" w:rsidRPr="00B41038" w:rsidRDefault="00F41418" w:rsidP="00B41038">
      <w:pPr>
        <w:pStyle w:val="NoSpacing"/>
        <w:rPr>
          <w:rFonts w:ascii="Times New Roman" w:hAnsi="Times New Roman"/>
          <w:sz w:val="24"/>
          <w:szCs w:val="24"/>
        </w:rPr>
      </w:pPr>
    </w:p>
    <w:sectPr w:rsidR="00F41418" w:rsidRPr="00B4103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0F44D" w14:textId="77777777" w:rsidR="003F091B" w:rsidRDefault="003F091B" w:rsidP="00C626CB">
      <w:pPr>
        <w:spacing w:after="0" w:line="240" w:lineRule="auto"/>
      </w:pPr>
      <w:r>
        <w:separator/>
      </w:r>
    </w:p>
  </w:endnote>
  <w:endnote w:type="continuationSeparator" w:id="0">
    <w:p w14:paraId="3D5CAA6F" w14:textId="77777777" w:rsidR="003F091B" w:rsidRDefault="003F091B" w:rsidP="00C6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107550"/>
      <w:docPartObj>
        <w:docPartGallery w:val="Page Numbers (Bottom of Page)"/>
        <w:docPartUnique/>
      </w:docPartObj>
    </w:sdtPr>
    <w:sdtEndPr>
      <w:rPr>
        <w:rFonts w:ascii="Times New Roman" w:hAnsi="Times New Roman"/>
        <w:noProof/>
        <w:sz w:val="20"/>
        <w:szCs w:val="20"/>
      </w:rPr>
    </w:sdtEndPr>
    <w:sdtContent>
      <w:p w14:paraId="2EAF383A" w14:textId="6CDD7F2E" w:rsidR="009536A2" w:rsidRPr="009536A2" w:rsidRDefault="009536A2">
        <w:pPr>
          <w:pStyle w:val="Footer"/>
          <w:jc w:val="center"/>
          <w:rPr>
            <w:rFonts w:ascii="Times New Roman" w:hAnsi="Times New Roman"/>
            <w:sz w:val="20"/>
            <w:szCs w:val="20"/>
          </w:rPr>
        </w:pPr>
        <w:r w:rsidRPr="009536A2">
          <w:rPr>
            <w:rFonts w:ascii="Times New Roman" w:hAnsi="Times New Roman"/>
            <w:sz w:val="20"/>
            <w:szCs w:val="20"/>
          </w:rPr>
          <w:fldChar w:fldCharType="begin"/>
        </w:r>
        <w:r w:rsidRPr="009536A2">
          <w:rPr>
            <w:rFonts w:ascii="Times New Roman" w:hAnsi="Times New Roman"/>
            <w:sz w:val="20"/>
            <w:szCs w:val="20"/>
          </w:rPr>
          <w:instrText xml:space="preserve"> PAGE   \* MERGEFORMAT </w:instrText>
        </w:r>
        <w:r w:rsidRPr="009536A2">
          <w:rPr>
            <w:rFonts w:ascii="Times New Roman" w:hAnsi="Times New Roman"/>
            <w:sz w:val="20"/>
            <w:szCs w:val="20"/>
          </w:rPr>
          <w:fldChar w:fldCharType="separate"/>
        </w:r>
        <w:r w:rsidRPr="009536A2">
          <w:rPr>
            <w:rFonts w:ascii="Times New Roman" w:hAnsi="Times New Roman"/>
            <w:noProof/>
            <w:sz w:val="20"/>
            <w:szCs w:val="20"/>
          </w:rPr>
          <w:t>2</w:t>
        </w:r>
        <w:r w:rsidRPr="009536A2">
          <w:rPr>
            <w:rFonts w:ascii="Times New Roman" w:hAnsi="Times New Roman"/>
            <w:noProof/>
            <w:sz w:val="20"/>
            <w:szCs w:val="20"/>
          </w:rPr>
          <w:fldChar w:fldCharType="end"/>
        </w:r>
      </w:p>
    </w:sdtContent>
  </w:sdt>
  <w:p w14:paraId="71CC2E67" w14:textId="77777777" w:rsidR="009536A2" w:rsidRDefault="00953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4831F" w14:textId="77777777" w:rsidR="003F091B" w:rsidRDefault="003F091B" w:rsidP="00C626CB">
      <w:pPr>
        <w:spacing w:after="0" w:line="240" w:lineRule="auto"/>
      </w:pPr>
      <w:r>
        <w:separator/>
      </w:r>
    </w:p>
  </w:footnote>
  <w:footnote w:type="continuationSeparator" w:id="0">
    <w:p w14:paraId="2801A042" w14:textId="77777777" w:rsidR="003F091B" w:rsidRDefault="003F091B" w:rsidP="00C626CB">
      <w:pPr>
        <w:spacing w:after="0" w:line="240" w:lineRule="auto"/>
      </w:pPr>
      <w:r>
        <w:continuationSeparator/>
      </w:r>
    </w:p>
  </w:footnote>
  <w:footnote w:id="1">
    <w:p w14:paraId="603BA322" w14:textId="4FFF4091" w:rsidR="00C626CB" w:rsidRPr="00C71F62" w:rsidRDefault="00C626CB">
      <w:pPr>
        <w:pStyle w:val="FootnoteText"/>
        <w:rPr>
          <w:rFonts w:ascii="Times New Roman" w:hAnsi="Times New Roman"/>
        </w:rPr>
      </w:pPr>
      <w:r>
        <w:rPr>
          <w:rStyle w:val="FootnoteReference"/>
        </w:rPr>
        <w:footnoteRef/>
      </w:r>
      <w:r>
        <w:t xml:space="preserve"> </w:t>
      </w:r>
      <w:r>
        <w:tab/>
      </w:r>
      <w:r w:rsidRPr="00C71F62">
        <w:rPr>
          <w:rFonts w:ascii="Times New Roman" w:hAnsi="Times New Roman"/>
        </w:rPr>
        <w:t>The Commission offices are closed in accordance with the Governor’s Emergency Order related to the COVID-19</w:t>
      </w:r>
      <w:r w:rsidR="00B23ED5" w:rsidRPr="00C71F62">
        <w:rPr>
          <w:rFonts w:ascii="Times New Roman" w:hAnsi="Times New Roman"/>
        </w:rPr>
        <w:t xml:space="preserve"> and according to </w:t>
      </w:r>
      <w:r w:rsidR="00C76FB4" w:rsidRPr="00C71F62">
        <w:rPr>
          <w:rFonts w:ascii="Times New Roman" w:hAnsi="Times New Roman"/>
        </w:rPr>
        <w:t>the Commission’s Emergency Order all documents must be served electronically</w:t>
      </w:r>
      <w:r w:rsidR="00C71F62" w:rsidRPr="00C71F62">
        <w:rPr>
          <w:rFonts w:ascii="Times New Roman" w:hAnsi="Times New Roman"/>
        </w:rPr>
        <w:t xml:space="preserve"> while Commission offices are closed.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553F57"/>
    <w:multiLevelType w:val="hybridMultilevel"/>
    <w:tmpl w:val="83302B22"/>
    <w:lvl w:ilvl="0" w:tplc="0409000F">
      <w:start w:val="1"/>
      <w:numFmt w:val="decimal"/>
      <w:lvlText w:val="%1."/>
      <w:lvlJc w:val="left"/>
      <w:pPr>
        <w:ind w:left="720" w:hanging="360"/>
      </w:pPr>
    </w:lvl>
    <w:lvl w:ilvl="1" w:tplc="9FC83E94">
      <w:start w:val="1"/>
      <w:numFmt w:val="lowerLetter"/>
      <w:lvlText w:val="(%2)"/>
      <w:lvlJc w:val="left"/>
      <w:pPr>
        <w:ind w:left="1800" w:hanging="720"/>
      </w:pPr>
    </w:lvl>
    <w:lvl w:ilvl="2" w:tplc="10AE5018">
      <w:start w:val="1"/>
      <w:numFmt w:val="decimal"/>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CA"/>
    <w:rsid w:val="000527BD"/>
    <w:rsid w:val="000F3EDE"/>
    <w:rsid w:val="0023267C"/>
    <w:rsid w:val="003F091B"/>
    <w:rsid w:val="004243EB"/>
    <w:rsid w:val="004E7CEE"/>
    <w:rsid w:val="0052308B"/>
    <w:rsid w:val="00685B05"/>
    <w:rsid w:val="006B1055"/>
    <w:rsid w:val="009330F4"/>
    <w:rsid w:val="009536A2"/>
    <w:rsid w:val="00995FC3"/>
    <w:rsid w:val="009C7AD3"/>
    <w:rsid w:val="00A34C01"/>
    <w:rsid w:val="00A364CA"/>
    <w:rsid w:val="00AB7D0F"/>
    <w:rsid w:val="00B23ED5"/>
    <w:rsid w:val="00B41038"/>
    <w:rsid w:val="00BE10E1"/>
    <w:rsid w:val="00C626CB"/>
    <w:rsid w:val="00C71F62"/>
    <w:rsid w:val="00C76FB4"/>
    <w:rsid w:val="00D42AFF"/>
    <w:rsid w:val="00DC4E16"/>
    <w:rsid w:val="00E52F08"/>
    <w:rsid w:val="00F4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B1BF"/>
  <w15:chartTrackingRefBased/>
  <w15:docId w15:val="{ED38410E-3D96-4348-BCC3-285A9F5A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4C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64CA"/>
    <w:rPr>
      <w:color w:val="0000FF"/>
      <w:u w:val="single"/>
    </w:rPr>
  </w:style>
  <w:style w:type="paragraph" w:styleId="NoSpacing">
    <w:name w:val="No Spacing"/>
    <w:uiPriority w:val="1"/>
    <w:qFormat/>
    <w:rsid w:val="00A364CA"/>
    <w:pPr>
      <w:spacing w:after="0" w:line="240" w:lineRule="auto"/>
    </w:pPr>
    <w:rPr>
      <w:rFonts w:ascii="Calibri" w:eastAsia="Calibri" w:hAnsi="Calibri" w:cs="Times New Roman"/>
    </w:rPr>
  </w:style>
  <w:style w:type="paragraph" w:styleId="ListParagraph">
    <w:name w:val="List Paragraph"/>
    <w:basedOn w:val="Normal"/>
    <w:uiPriority w:val="34"/>
    <w:qFormat/>
    <w:rsid w:val="00C626CB"/>
    <w:pPr>
      <w:ind w:left="720"/>
      <w:contextualSpacing/>
    </w:pPr>
  </w:style>
  <w:style w:type="paragraph" w:styleId="FootnoteText">
    <w:name w:val="footnote text"/>
    <w:basedOn w:val="Normal"/>
    <w:link w:val="FootnoteTextChar"/>
    <w:uiPriority w:val="99"/>
    <w:semiHidden/>
    <w:unhideWhenUsed/>
    <w:rsid w:val="00C626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6C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626CB"/>
    <w:rPr>
      <w:vertAlign w:val="superscript"/>
    </w:rPr>
  </w:style>
  <w:style w:type="character" w:styleId="UnresolvedMention">
    <w:name w:val="Unresolved Mention"/>
    <w:basedOn w:val="DefaultParagraphFont"/>
    <w:uiPriority w:val="99"/>
    <w:semiHidden/>
    <w:unhideWhenUsed/>
    <w:rsid w:val="0052308B"/>
    <w:rPr>
      <w:color w:val="605E5C"/>
      <w:shd w:val="clear" w:color="auto" w:fill="E1DFDD"/>
    </w:rPr>
  </w:style>
  <w:style w:type="paragraph" w:styleId="Header">
    <w:name w:val="header"/>
    <w:basedOn w:val="Normal"/>
    <w:link w:val="HeaderChar"/>
    <w:uiPriority w:val="99"/>
    <w:unhideWhenUsed/>
    <w:rsid w:val="0095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6A2"/>
    <w:rPr>
      <w:rFonts w:ascii="Calibri" w:eastAsia="Calibri" w:hAnsi="Calibri" w:cs="Times New Roman"/>
    </w:rPr>
  </w:style>
  <w:style w:type="paragraph" w:styleId="Footer">
    <w:name w:val="footer"/>
    <w:basedOn w:val="Normal"/>
    <w:link w:val="FooterChar"/>
    <w:uiPriority w:val="99"/>
    <w:unhideWhenUsed/>
    <w:rsid w:val="0095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50445">
      <w:bodyDiv w:val="1"/>
      <w:marLeft w:val="0"/>
      <w:marRight w:val="0"/>
      <w:marTop w:val="0"/>
      <w:marBottom w:val="0"/>
      <w:divBdr>
        <w:top w:val="none" w:sz="0" w:space="0" w:color="auto"/>
        <w:left w:val="none" w:sz="0" w:space="0" w:color="auto"/>
        <w:bottom w:val="none" w:sz="0" w:space="0" w:color="auto"/>
        <w:right w:val="none" w:sz="0" w:space="0" w:color="auto"/>
      </w:divBdr>
    </w:div>
    <w:div w:id="10294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ray@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mcneal@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guh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evan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A18E-03D6-4C21-B04E-43D5EC3B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413E3-8DC8-4C6D-B6DB-59B824A4E1CD}">
  <ds:schemaRefs>
    <ds:schemaRef ds:uri="http://schemas.microsoft.com/sharepoint/v3/contenttype/forms"/>
  </ds:schemaRefs>
</ds:datastoreItem>
</file>

<file path=customXml/itemProps3.xml><?xml version="1.0" encoding="utf-8"?>
<ds:datastoreItem xmlns:ds="http://schemas.openxmlformats.org/officeDocument/2006/customXml" ds:itemID="{17B0BB1C-1589-4D15-8B27-10B4517499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4FA734-9F70-4D3A-9BCB-EC14D88E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6</cp:revision>
  <dcterms:created xsi:type="dcterms:W3CDTF">2020-10-07T19:15:00Z</dcterms:created>
  <dcterms:modified xsi:type="dcterms:W3CDTF">2020-10-07T19:42:00Z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