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99925" w14:textId="77777777" w:rsidR="00872BB6" w:rsidRDefault="00872BB6" w:rsidP="00872BB6">
      <w:pPr>
        <w:widowControl/>
        <w:tabs>
          <w:tab w:val="center" w:pos="4680"/>
        </w:tabs>
        <w:jc w:val="center"/>
      </w:pPr>
      <w:r>
        <w:t>BEFORE THE</w:t>
      </w:r>
    </w:p>
    <w:p w14:paraId="07A511A9" w14:textId="77777777" w:rsidR="00872BB6" w:rsidRDefault="00872BB6" w:rsidP="00872BB6">
      <w:pPr>
        <w:widowControl/>
        <w:tabs>
          <w:tab w:val="center" w:pos="4680"/>
        </w:tabs>
        <w:jc w:val="both"/>
      </w:pPr>
      <w:r>
        <w:tab/>
        <w:t>PENNSYLVANIA PUBLIC UTILITY COMMISSION</w:t>
      </w:r>
    </w:p>
    <w:p w14:paraId="62A3457A" w14:textId="233A71BE" w:rsidR="00872BB6" w:rsidRDefault="00872BB6" w:rsidP="00872BB6">
      <w:pPr>
        <w:widowControl/>
        <w:jc w:val="both"/>
      </w:pPr>
    </w:p>
    <w:p w14:paraId="142A56F1" w14:textId="45581873" w:rsidR="004F0BDC" w:rsidRDefault="004F0BDC" w:rsidP="00872BB6">
      <w:pPr>
        <w:widowControl/>
        <w:jc w:val="both"/>
      </w:pPr>
    </w:p>
    <w:p w14:paraId="5FAEBD5B" w14:textId="77777777" w:rsidR="00AA3479" w:rsidRDefault="00AA3479" w:rsidP="00872BB6">
      <w:pPr>
        <w:widowControl/>
        <w:jc w:val="both"/>
      </w:pPr>
    </w:p>
    <w:p w14:paraId="2CAD454B" w14:textId="77777777" w:rsidR="00872BB6" w:rsidRDefault="00872BB6" w:rsidP="00872BB6">
      <w:pPr>
        <w:widowControl/>
        <w:jc w:val="both"/>
      </w:pPr>
      <w:r>
        <w:t>Pennsylvania Public Utility Commission</w:t>
      </w:r>
      <w:r w:rsidR="00F6199B">
        <w:t xml:space="preserve"> </w:t>
      </w:r>
      <w:r w:rsidR="00F6199B">
        <w:tab/>
      </w:r>
      <w:r w:rsidR="00BC006E">
        <w:tab/>
      </w:r>
      <w:r>
        <w:t>:</w:t>
      </w:r>
    </w:p>
    <w:p w14:paraId="0E481E46" w14:textId="56C2F9F1" w:rsidR="00872BB6" w:rsidRDefault="00872BB6" w:rsidP="00872BB6">
      <w:pPr>
        <w:widowControl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06E">
        <w:tab/>
      </w:r>
      <w:r>
        <w:t>:</w:t>
      </w:r>
      <w:r>
        <w:tab/>
      </w:r>
      <w:r w:rsidR="008B523E">
        <w:tab/>
      </w:r>
      <w:r w:rsidR="008B523E">
        <w:t>R-2020-3020256</w:t>
      </w:r>
    </w:p>
    <w:p w14:paraId="7FBE169A" w14:textId="217CC9C2" w:rsidR="00872BB6" w:rsidRDefault="00872BB6" w:rsidP="00BC006E">
      <w:pPr>
        <w:widowControl/>
        <w:ind w:left="720" w:firstLine="720"/>
        <w:jc w:val="both"/>
      </w:pPr>
      <w:r>
        <w:t>v.</w:t>
      </w:r>
      <w:r>
        <w:tab/>
      </w:r>
      <w:r>
        <w:tab/>
      </w:r>
      <w:r>
        <w:tab/>
      </w:r>
      <w:r>
        <w:tab/>
      </w:r>
      <w:r>
        <w:tab/>
        <w:t xml:space="preserve">:    </w:t>
      </w:r>
      <w:r w:rsidR="008B523E">
        <w:tab/>
      </w:r>
      <w:r w:rsidR="008B523E">
        <w:tab/>
      </w:r>
      <w:r w:rsidR="008B523E">
        <w:t>C-2020-3021583</w:t>
      </w:r>
    </w:p>
    <w:p w14:paraId="3A761479" w14:textId="56129A88" w:rsidR="00872BB6" w:rsidRDefault="00F6199B" w:rsidP="00872BB6">
      <w:pPr>
        <w:widowControl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BC006E">
        <w:tab/>
      </w:r>
      <w:r>
        <w:t>:</w:t>
      </w:r>
      <w:r>
        <w:tab/>
      </w:r>
      <w:r w:rsidR="008B523E">
        <w:tab/>
      </w:r>
      <w:r w:rsidR="008B523E">
        <w:t>C-2020-3021583</w:t>
      </w:r>
    </w:p>
    <w:p w14:paraId="5EFC299E" w14:textId="177A9E2B" w:rsidR="00872BB6" w:rsidRDefault="00F6199B" w:rsidP="00872BB6">
      <w:pPr>
        <w:widowControl/>
        <w:jc w:val="both"/>
      </w:pPr>
      <w:r>
        <w:t>City of Bethlehem</w:t>
      </w:r>
      <w:r w:rsidR="00731FB0">
        <w:t xml:space="preserve"> – Water Department</w:t>
      </w:r>
      <w:r w:rsidR="00872BB6">
        <w:tab/>
      </w:r>
      <w:r w:rsidR="00BC006E">
        <w:tab/>
      </w:r>
      <w:r w:rsidR="00872BB6">
        <w:t>:</w:t>
      </w:r>
      <w:r w:rsidR="00872BB6">
        <w:tab/>
      </w:r>
      <w:r w:rsidR="004F0BDC">
        <w:tab/>
      </w:r>
      <w:r w:rsidR="004F0BDC">
        <w:tab/>
      </w:r>
    </w:p>
    <w:p w14:paraId="0AD56D11" w14:textId="77777777" w:rsidR="00872BB6" w:rsidRDefault="00872BB6" w:rsidP="00872BB6">
      <w:pPr>
        <w:widowControl/>
        <w:jc w:val="both"/>
      </w:pPr>
    </w:p>
    <w:p w14:paraId="38C5D069" w14:textId="77777777" w:rsidR="00872BB6" w:rsidRDefault="00872BB6" w:rsidP="00872BB6">
      <w:pPr>
        <w:widowControl/>
        <w:jc w:val="both"/>
      </w:pPr>
      <w:r>
        <w:tab/>
      </w:r>
    </w:p>
    <w:p w14:paraId="17D91E92" w14:textId="46FCD32E" w:rsidR="00872BB6" w:rsidRDefault="00872BB6" w:rsidP="00872BB6">
      <w:pPr>
        <w:jc w:val="center"/>
      </w:pPr>
    </w:p>
    <w:p w14:paraId="7E27788E" w14:textId="4FAF3671" w:rsidR="00872BB6" w:rsidRPr="00AA3479" w:rsidRDefault="0022551A" w:rsidP="00872BB6">
      <w:pPr>
        <w:jc w:val="center"/>
        <w:rPr>
          <w:b/>
          <w:bCs/>
        </w:rPr>
      </w:pPr>
      <w:r w:rsidRPr="00AA3479">
        <w:rPr>
          <w:b/>
          <w:bCs/>
        </w:rPr>
        <w:t>PREHEARING ORDER</w:t>
      </w:r>
    </w:p>
    <w:p w14:paraId="4B48D599" w14:textId="7965BFF5" w:rsidR="00872BB6" w:rsidRDefault="00872BB6" w:rsidP="00872BB6">
      <w:r>
        <w:tab/>
      </w:r>
      <w:r>
        <w:tab/>
      </w:r>
      <w:r>
        <w:tab/>
      </w:r>
    </w:p>
    <w:p w14:paraId="44372BB8" w14:textId="77777777" w:rsidR="00872BB6" w:rsidRDefault="00872BB6" w:rsidP="00872BB6"/>
    <w:p w14:paraId="32E805EB" w14:textId="22BF351D" w:rsidR="007046B3" w:rsidRDefault="00872BB6" w:rsidP="008B523E">
      <w:pPr>
        <w:spacing w:line="360" w:lineRule="auto"/>
        <w:jc w:val="both"/>
      </w:pPr>
      <w:r>
        <w:tab/>
      </w:r>
      <w:r w:rsidR="006749AB">
        <w:tab/>
        <w:t xml:space="preserve">A </w:t>
      </w:r>
      <w:r w:rsidR="00B72099">
        <w:t>telephonic p</w:t>
      </w:r>
      <w:r w:rsidR="006749AB">
        <w:t xml:space="preserve">rehearing </w:t>
      </w:r>
      <w:r w:rsidR="00B72099">
        <w:t>c</w:t>
      </w:r>
      <w:r w:rsidR="006749AB">
        <w:t>onference was held in th</w:t>
      </w:r>
      <w:r w:rsidR="00B72099">
        <w:t>e above-captioned</w:t>
      </w:r>
      <w:r w:rsidR="006749AB">
        <w:t xml:space="preserve"> proceeding on Thursday, October 8, 2020</w:t>
      </w:r>
      <w:r w:rsidR="00644E99">
        <w:t>, at 10:00 a.m.</w:t>
      </w:r>
      <w:r w:rsidR="00B72099">
        <w:t xml:space="preserve">  </w:t>
      </w:r>
      <w:r w:rsidR="004A1D64">
        <w:t xml:space="preserve">In attendance were </w:t>
      </w:r>
      <w:r w:rsidR="00112C8D">
        <w:t xml:space="preserve">Thomas T. Niesen, Esquire, on behalf of the City of Bethlehem, </w:t>
      </w:r>
      <w:r w:rsidR="00ED1EFA">
        <w:t xml:space="preserve">John M. Coogan, Esquire, on behalf of the Commission’s Bureau of Investigation and Enforcement, </w:t>
      </w:r>
      <w:r w:rsidR="00A259A0">
        <w:t xml:space="preserve">Christine Maloni Hoover, Esquire, on behalf of the Pennsylvania Office of Consumer Advocate, and </w:t>
      </w:r>
      <w:r w:rsidR="00644E99">
        <w:t xml:space="preserve">Steven C. Gray, Esquire, on behalf of the Pennsylvania Office of Small Business Advocate. </w:t>
      </w:r>
    </w:p>
    <w:p w14:paraId="1C656DFB" w14:textId="77777777" w:rsidR="008B523E" w:rsidRDefault="008B523E" w:rsidP="008B523E">
      <w:pPr>
        <w:spacing w:line="360" w:lineRule="auto"/>
        <w:jc w:val="both"/>
      </w:pPr>
    </w:p>
    <w:p w14:paraId="19BAC826" w14:textId="302A38B1" w:rsidR="007046B3" w:rsidRDefault="007046B3" w:rsidP="008B523E">
      <w:pPr>
        <w:spacing w:line="360" w:lineRule="auto"/>
        <w:jc w:val="both"/>
      </w:pPr>
      <w:r>
        <w:tab/>
      </w:r>
      <w:r>
        <w:tab/>
        <w:t xml:space="preserve">The </w:t>
      </w:r>
      <w:r w:rsidR="00AD32D1">
        <w:t>parties discussed and agreed upon</w:t>
      </w:r>
      <w:r w:rsidR="00147B5D">
        <w:t>, as set forth below,</w:t>
      </w:r>
      <w:r w:rsidR="00AD32D1">
        <w:t xml:space="preserve"> </w:t>
      </w:r>
      <w:r w:rsidR="009B10FA">
        <w:t xml:space="preserve">(1) </w:t>
      </w:r>
      <w:r w:rsidR="005222AA">
        <w:t xml:space="preserve">modifications to the Commission’s discovery regulations, </w:t>
      </w:r>
      <w:r w:rsidR="009B10FA">
        <w:t xml:space="preserve">(2) </w:t>
      </w:r>
      <w:r w:rsidR="00BD2527">
        <w:t>public input hearings</w:t>
      </w:r>
      <w:r w:rsidR="009B10FA">
        <w:t>,</w:t>
      </w:r>
      <w:r w:rsidR="00BD2527">
        <w:t xml:space="preserve"> and </w:t>
      </w:r>
      <w:r w:rsidR="009B10FA">
        <w:t xml:space="preserve">(3) </w:t>
      </w:r>
      <w:r w:rsidR="00BD2527">
        <w:t xml:space="preserve">a litigation schedule.  </w:t>
      </w:r>
    </w:p>
    <w:p w14:paraId="6152EC71" w14:textId="45459D3E" w:rsidR="00BD2527" w:rsidRDefault="00BD2527" w:rsidP="008B523E">
      <w:pPr>
        <w:spacing w:line="360" w:lineRule="auto"/>
        <w:jc w:val="both"/>
      </w:pPr>
    </w:p>
    <w:p w14:paraId="1AAE2679" w14:textId="308D0B05" w:rsidR="00BD2527" w:rsidRDefault="00BD2527" w:rsidP="008B523E">
      <w:pPr>
        <w:spacing w:line="360" w:lineRule="auto"/>
        <w:jc w:val="both"/>
      </w:pPr>
      <w:r>
        <w:tab/>
      </w:r>
      <w:r>
        <w:tab/>
        <w:t>THEREFORE,</w:t>
      </w:r>
    </w:p>
    <w:p w14:paraId="2DEC80FB" w14:textId="77777777" w:rsidR="008B523E" w:rsidRDefault="008B523E" w:rsidP="008B523E">
      <w:pPr>
        <w:spacing w:line="360" w:lineRule="auto"/>
        <w:jc w:val="both"/>
      </w:pPr>
    </w:p>
    <w:p w14:paraId="4EB1197F" w14:textId="61543294" w:rsidR="00BD2527" w:rsidRDefault="00BD2527" w:rsidP="008B523E">
      <w:pPr>
        <w:spacing w:line="360" w:lineRule="auto"/>
        <w:jc w:val="both"/>
      </w:pPr>
      <w:r>
        <w:tab/>
      </w:r>
      <w:r>
        <w:tab/>
        <w:t>IT</w:t>
      </w:r>
      <w:r w:rsidR="009B10FA">
        <w:t xml:space="preserve"> </w:t>
      </w:r>
      <w:r>
        <w:t>IS ORDERED:</w:t>
      </w:r>
    </w:p>
    <w:p w14:paraId="12BE0F3D" w14:textId="205B4086" w:rsidR="00387D58" w:rsidRDefault="00387D58" w:rsidP="00AA3479">
      <w:pPr>
        <w:spacing w:line="360" w:lineRule="auto"/>
        <w:jc w:val="both"/>
      </w:pPr>
    </w:p>
    <w:p w14:paraId="0D5EC522" w14:textId="77777777" w:rsidR="002A7DAD" w:rsidRDefault="00387D58" w:rsidP="002A7DAD">
      <w:pPr>
        <w:jc w:val="both"/>
        <w:rPr>
          <w:b/>
          <w:bCs/>
        </w:rPr>
      </w:pPr>
      <w:r>
        <w:rPr>
          <w:b/>
          <w:bCs/>
        </w:rPr>
        <w:t>Modifications to the Commission’s Discovery Regulations</w:t>
      </w:r>
    </w:p>
    <w:p w14:paraId="313FA7B7" w14:textId="56C2E1D6" w:rsidR="00872BB6" w:rsidRPr="004D044E" w:rsidRDefault="00ED1EFA" w:rsidP="002A7DAD">
      <w:pPr>
        <w:jc w:val="both"/>
      </w:pPr>
      <w:r>
        <w:t xml:space="preserve"> </w:t>
      </w:r>
      <w:r w:rsidR="00112C8D">
        <w:t xml:space="preserve"> </w:t>
      </w:r>
      <w:r w:rsidR="00B72099">
        <w:t xml:space="preserve">  </w:t>
      </w:r>
      <w:r w:rsidR="006749AB">
        <w:t xml:space="preserve"> </w:t>
      </w:r>
    </w:p>
    <w:p w14:paraId="3FB87928" w14:textId="2D76121A" w:rsidR="00211E70" w:rsidRPr="008B523E" w:rsidRDefault="00872BB6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 w:rsidRPr="00AA6D87">
        <w:t xml:space="preserve">Answers to written interrogatories </w:t>
      </w:r>
      <w:r w:rsidR="00211E70">
        <w:t xml:space="preserve">served prior to the filing of non-city parties’ direct testimony </w:t>
      </w:r>
      <w:r w:rsidR="008703DD">
        <w:t xml:space="preserve">shall </w:t>
      </w:r>
      <w:r w:rsidRPr="00AA6D87">
        <w:t xml:space="preserve">be served in-hand within </w:t>
      </w:r>
      <w:r w:rsidR="005E11DA">
        <w:t>ten (10) d</w:t>
      </w:r>
      <w:r>
        <w:t>ays of service.</w:t>
      </w:r>
    </w:p>
    <w:p w14:paraId="25A13FD8" w14:textId="77777777" w:rsidR="008B523E" w:rsidRPr="00211E70" w:rsidRDefault="008B523E" w:rsidP="008B523E">
      <w:pPr>
        <w:pStyle w:val="ListParagraph"/>
        <w:ind w:left="1455" w:right="1080"/>
        <w:jc w:val="both"/>
        <w:rPr>
          <w:b/>
          <w:bCs/>
          <w:color w:val="FF0000"/>
        </w:rPr>
      </w:pPr>
    </w:p>
    <w:p w14:paraId="70FDE59C" w14:textId="07BD5C88" w:rsidR="00347688" w:rsidRPr="002A7DAD" w:rsidRDefault="00347688" w:rsidP="00347688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 w:rsidRPr="00AA6D87">
        <w:t xml:space="preserve">Answers to written interrogatories </w:t>
      </w:r>
      <w:r>
        <w:t xml:space="preserve">served after the filing of non-city parties’ direct testimony </w:t>
      </w:r>
      <w:r w:rsidR="00A149E0">
        <w:t xml:space="preserve">shall </w:t>
      </w:r>
      <w:r w:rsidRPr="00AA6D87">
        <w:t xml:space="preserve">be served in-hand within </w:t>
      </w:r>
      <w:r>
        <w:t>seven (7) days of service.</w:t>
      </w:r>
    </w:p>
    <w:p w14:paraId="641D4BC3" w14:textId="77777777" w:rsidR="002A7DAD" w:rsidRPr="002A7DAD" w:rsidRDefault="002A7DAD" w:rsidP="002A7DAD">
      <w:pPr>
        <w:pStyle w:val="ListParagraph"/>
        <w:rPr>
          <w:b/>
          <w:bCs/>
          <w:color w:val="FF0000"/>
        </w:rPr>
      </w:pPr>
    </w:p>
    <w:p w14:paraId="65EEFB25" w14:textId="00B329F9" w:rsidR="005E11DA" w:rsidRPr="00254326" w:rsidRDefault="005E11DA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t xml:space="preserve">Objections </w:t>
      </w:r>
      <w:r w:rsidR="008D2691">
        <w:t xml:space="preserve">shall </w:t>
      </w:r>
      <w:r>
        <w:t>be communicated orally to the party propounding the discovery within three (3) days</w:t>
      </w:r>
      <w:r w:rsidR="00412D09">
        <w:t xml:space="preserve">, and </w:t>
      </w:r>
      <w:r>
        <w:t xml:space="preserve">written objections </w:t>
      </w:r>
      <w:r w:rsidR="00A149E0">
        <w:t xml:space="preserve">shall </w:t>
      </w:r>
      <w:r>
        <w:t xml:space="preserve">be served on the party propounding the discovery within 5 days of </w:t>
      </w:r>
      <w:proofErr w:type="gramStart"/>
      <w:r>
        <w:t>service;</w:t>
      </w:r>
      <w:proofErr w:type="gramEnd"/>
    </w:p>
    <w:p w14:paraId="4D55CF9C" w14:textId="138AC128" w:rsidR="00254326" w:rsidRDefault="00254326" w:rsidP="00254326">
      <w:pPr>
        <w:ind w:right="1080"/>
        <w:jc w:val="both"/>
        <w:rPr>
          <w:b/>
          <w:bCs/>
          <w:color w:val="FF0000"/>
        </w:rPr>
      </w:pPr>
    </w:p>
    <w:p w14:paraId="4D20CA36" w14:textId="6EEC8258" w:rsidR="00254326" w:rsidRPr="00A8608B" w:rsidRDefault="00B91EF0" w:rsidP="0025432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t xml:space="preserve">Motions to dismiss objections and/or direct the answering </w:t>
      </w:r>
      <w:r w:rsidR="00A8608B">
        <w:t>of interrogatories shall be filed within five (5) calendar days of service of written objections.</w:t>
      </w:r>
    </w:p>
    <w:p w14:paraId="0512F1D0" w14:textId="77777777" w:rsidR="00A8608B" w:rsidRPr="00A8608B" w:rsidRDefault="00A8608B" w:rsidP="00A8608B">
      <w:pPr>
        <w:pStyle w:val="ListParagraph"/>
        <w:rPr>
          <w:b/>
          <w:bCs/>
          <w:color w:val="FF0000"/>
        </w:rPr>
      </w:pPr>
    </w:p>
    <w:p w14:paraId="02515412" w14:textId="1AAD1B52" w:rsidR="00A8608B" w:rsidRPr="00254326" w:rsidRDefault="002D244B" w:rsidP="0025432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t>Answers to motions to dismiss objections and/or direct the answering of interrogatories shall be filed within five (5) calendar days of servi</w:t>
      </w:r>
      <w:r w:rsidR="008703DD">
        <w:t>c</w:t>
      </w:r>
      <w:r>
        <w:t xml:space="preserve">e of such </w:t>
      </w:r>
      <w:proofErr w:type="gramStart"/>
      <w:r>
        <w:t>motions</w:t>
      </w:r>
      <w:r w:rsidR="008703DD">
        <w:t>;</w:t>
      </w:r>
      <w:proofErr w:type="gramEnd"/>
    </w:p>
    <w:p w14:paraId="1C259BDA" w14:textId="77777777" w:rsidR="00872BB6" w:rsidRPr="00A1279B" w:rsidRDefault="00872BB6" w:rsidP="00872BB6">
      <w:pPr>
        <w:pStyle w:val="ListParagraph"/>
        <w:ind w:left="1455" w:right="1080"/>
        <w:jc w:val="both"/>
        <w:rPr>
          <w:b/>
          <w:bCs/>
          <w:color w:val="FF0000"/>
        </w:rPr>
      </w:pPr>
    </w:p>
    <w:p w14:paraId="69D8B2C4" w14:textId="3B6A2FF3" w:rsidR="00872BB6" w:rsidRPr="00A1279B" w:rsidRDefault="00872BB6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 w:rsidRPr="00AA6D87">
        <w:t xml:space="preserve">Requests for admission </w:t>
      </w:r>
      <w:r w:rsidR="00BC06B9">
        <w:t xml:space="preserve">shall </w:t>
      </w:r>
      <w:r w:rsidRPr="00AA6D87">
        <w:t>be deemed admitted unless answered within</w:t>
      </w:r>
      <w:r>
        <w:t xml:space="preserve"> </w:t>
      </w:r>
      <w:r w:rsidRPr="00AA6D87">
        <w:t>ten (10) days or objected to within five (5) days of service.</w:t>
      </w:r>
    </w:p>
    <w:p w14:paraId="394EE85D" w14:textId="77777777" w:rsidR="00872BB6" w:rsidRDefault="00872BB6" w:rsidP="00872BB6">
      <w:pPr>
        <w:pStyle w:val="ListParagraph"/>
      </w:pPr>
    </w:p>
    <w:p w14:paraId="2335057D" w14:textId="7C6678B1" w:rsidR="00872BB6" w:rsidRPr="00F8674A" w:rsidRDefault="00872BB6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t xml:space="preserve">Answers to on-the-record data requests </w:t>
      </w:r>
      <w:r w:rsidR="00BC06B9">
        <w:t>shall</w:t>
      </w:r>
      <w:r>
        <w:t xml:space="preserve"> be served in-hand within seven (7) calendar days of the request.</w:t>
      </w:r>
    </w:p>
    <w:p w14:paraId="44204DBF" w14:textId="77777777" w:rsidR="00872BB6" w:rsidRPr="00F8674A" w:rsidRDefault="00872BB6" w:rsidP="00872BB6">
      <w:pPr>
        <w:pStyle w:val="ListParagraph"/>
        <w:ind w:left="1455" w:right="1080"/>
        <w:jc w:val="both"/>
        <w:rPr>
          <w:b/>
          <w:bCs/>
          <w:color w:val="FF0000"/>
        </w:rPr>
      </w:pPr>
    </w:p>
    <w:p w14:paraId="26538137" w14:textId="023113A5" w:rsidR="00872BB6" w:rsidRPr="008703DD" w:rsidRDefault="00872BB6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rPr>
          <w:color w:val="000000"/>
        </w:rPr>
        <w:t>All discovery due dates shall be “in-hand” and e-mail service on the due date will satisfy the “in-hand” requirement while the PUC offices remain closed.  After re-opening, the “in-hand” requirement will be met where e-mail service is followed, the next business day, by first-class mail service.</w:t>
      </w:r>
    </w:p>
    <w:p w14:paraId="42F1A4BB" w14:textId="77777777" w:rsidR="008703DD" w:rsidRPr="008703DD" w:rsidRDefault="008703DD" w:rsidP="008703DD">
      <w:pPr>
        <w:pStyle w:val="ListParagraph"/>
        <w:rPr>
          <w:b/>
          <w:bCs/>
          <w:color w:val="FF0000"/>
        </w:rPr>
      </w:pPr>
    </w:p>
    <w:p w14:paraId="0D2797A7" w14:textId="1802DB7F" w:rsidR="008703DD" w:rsidRPr="003D3A46" w:rsidRDefault="008703DD" w:rsidP="00872BB6">
      <w:pPr>
        <w:pStyle w:val="ListParagraph"/>
        <w:numPr>
          <w:ilvl w:val="0"/>
          <w:numId w:val="9"/>
        </w:numPr>
        <w:ind w:right="1080"/>
        <w:jc w:val="both"/>
        <w:rPr>
          <w:b/>
          <w:bCs/>
          <w:color w:val="FF0000"/>
        </w:rPr>
      </w:pPr>
      <w:r>
        <w:t xml:space="preserve">Discovery served after 12:00 noon on a Friday or after 12:00 </w:t>
      </w:r>
      <w:r w:rsidR="004C3859">
        <w:t>noon</w:t>
      </w:r>
      <w:r>
        <w:t xml:space="preserve"> on any business day preceding a state holiday will be deemed to have been served on the next business day.</w:t>
      </w:r>
    </w:p>
    <w:p w14:paraId="6C90D2E0" w14:textId="77777777" w:rsidR="00872BB6" w:rsidRPr="003D3A46" w:rsidRDefault="00872BB6" w:rsidP="00872BB6">
      <w:pPr>
        <w:ind w:right="1080"/>
        <w:jc w:val="both"/>
        <w:rPr>
          <w:b/>
          <w:bCs/>
          <w:color w:val="FF0000"/>
        </w:rPr>
      </w:pPr>
    </w:p>
    <w:p w14:paraId="7C15FBE0" w14:textId="40AB5E0E" w:rsidR="00872BB6" w:rsidRDefault="00872BB6" w:rsidP="00872BB6">
      <w:pPr>
        <w:pStyle w:val="ListParagraph"/>
        <w:rPr>
          <w:bCs/>
        </w:rPr>
      </w:pPr>
    </w:p>
    <w:p w14:paraId="09442927" w14:textId="5F60B067" w:rsidR="004C3859" w:rsidRDefault="004C3859" w:rsidP="004C3859">
      <w:pPr>
        <w:pStyle w:val="ListParagraph"/>
        <w:ind w:hanging="720"/>
        <w:rPr>
          <w:b/>
        </w:rPr>
      </w:pPr>
      <w:r>
        <w:rPr>
          <w:b/>
        </w:rPr>
        <w:t>Public Input Hearings</w:t>
      </w:r>
    </w:p>
    <w:p w14:paraId="1B5C52F6" w14:textId="3FE75E4A" w:rsidR="004C3859" w:rsidRDefault="004C3859" w:rsidP="004C3859">
      <w:pPr>
        <w:pStyle w:val="ListParagraph"/>
        <w:ind w:hanging="720"/>
        <w:rPr>
          <w:b/>
        </w:rPr>
      </w:pPr>
    </w:p>
    <w:p w14:paraId="0671B4C0" w14:textId="736F48CF" w:rsidR="004C3859" w:rsidRDefault="004C3859" w:rsidP="002E654B">
      <w:pPr>
        <w:pStyle w:val="ListParagraph"/>
        <w:spacing w:line="360" w:lineRule="auto"/>
        <w:ind w:left="0"/>
        <w:rPr>
          <w:bCs/>
        </w:rPr>
      </w:pPr>
      <w:r>
        <w:rPr>
          <w:b/>
        </w:rPr>
        <w:tab/>
      </w:r>
      <w:r>
        <w:rPr>
          <w:b/>
        </w:rPr>
        <w:tab/>
      </w:r>
      <w:r w:rsidR="00C64F28">
        <w:rPr>
          <w:bCs/>
        </w:rPr>
        <w:t xml:space="preserve">None of the parties to this proceeding currently request the scheduling of public </w:t>
      </w:r>
      <w:r w:rsidR="002E654B">
        <w:rPr>
          <w:bCs/>
        </w:rPr>
        <w:t xml:space="preserve">input hearings.  The parties reserve, however, the right to request </w:t>
      </w:r>
      <w:r w:rsidR="00224D1D">
        <w:rPr>
          <w:bCs/>
        </w:rPr>
        <w:t xml:space="preserve">that public input hearings be scheduled in the event they become aware of </w:t>
      </w:r>
      <w:proofErr w:type="gramStart"/>
      <w:r w:rsidR="00224D1D">
        <w:rPr>
          <w:bCs/>
        </w:rPr>
        <w:t>sufficient</w:t>
      </w:r>
      <w:proofErr w:type="gramEnd"/>
      <w:r w:rsidR="00224D1D">
        <w:rPr>
          <w:bCs/>
        </w:rPr>
        <w:t xml:space="preserve"> </w:t>
      </w:r>
      <w:r w:rsidR="009D2571">
        <w:rPr>
          <w:bCs/>
        </w:rPr>
        <w:t xml:space="preserve">public </w:t>
      </w:r>
      <w:r w:rsidR="00224D1D">
        <w:rPr>
          <w:bCs/>
        </w:rPr>
        <w:t>interest</w:t>
      </w:r>
      <w:r w:rsidR="009D2571">
        <w:rPr>
          <w:bCs/>
        </w:rPr>
        <w:t>.</w:t>
      </w:r>
    </w:p>
    <w:p w14:paraId="15548CAB" w14:textId="435BBA87" w:rsidR="00906AC1" w:rsidRDefault="00906AC1" w:rsidP="002E654B">
      <w:pPr>
        <w:pStyle w:val="ListParagraph"/>
        <w:spacing w:line="360" w:lineRule="auto"/>
        <w:ind w:left="0"/>
        <w:rPr>
          <w:b/>
        </w:rPr>
      </w:pPr>
    </w:p>
    <w:p w14:paraId="310F9473" w14:textId="3DBEDD97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5E47AD37" w14:textId="7ECCFC21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18F1866F" w14:textId="04BF2153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336E2E31" w14:textId="24EEDAC1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7A4AE67E" w14:textId="26795B73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18B5FF01" w14:textId="77777777" w:rsidR="008B523E" w:rsidRDefault="008B523E" w:rsidP="002E654B">
      <w:pPr>
        <w:pStyle w:val="ListParagraph"/>
        <w:spacing w:line="360" w:lineRule="auto"/>
        <w:ind w:left="0"/>
        <w:rPr>
          <w:b/>
        </w:rPr>
      </w:pPr>
    </w:p>
    <w:p w14:paraId="57E7A18E" w14:textId="77777777" w:rsidR="00906AC1" w:rsidRDefault="00906AC1" w:rsidP="002A7DAD">
      <w:pPr>
        <w:pStyle w:val="ListParagraph"/>
        <w:ind w:left="0"/>
        <w:rPr>
          <w:b/>
        </w:rPr>
      </w:pPr>
      <w:r>
        <w:rPr>
          <w:b/>
        </w:rPr>
        <w:t>Litigation Schedule</w:t>
      </w:r>
    </w:p>
    <w:p w14:paraId="2ED709B7" w14:textId="77777777" w:rsidR="00906AC1" w:rsidRDefault="00906AC1" w:rsidP="002E654B">
      <w:pPr>
        <w:pStyle w:val="ListParagraph"/>
        <w:spacing w:line="360" w:lineRule="auto"/>
        <w:ind w:left="0"/>
        <w:rPr>
          <w:b/>
        </w:rPr>
      </w:pPr>
    </w:p>
    <w:p w14:paraId="0F49173A" w14:textId="190493FF" w:rsidR="009D2571" w:rsidRDefault="00906AC1" w:rsidP="002465F7">
      <w:pPr>
        <w:pStyle w:val="ListParagraph"/>
        <w:spacing w:line="360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 w:rsidR="000962F9">
        <w:rPr>
          <w:bCs/>
        </w:rPr>
        <w:t xml:space="preserve">The following litigation schedule </w:t>
      </w:r>
      <w:r w:rsidR="00F5169B">
        <w:rPr>
          <w:bCs/>
        </w:rPr>
        <w:t>has been agreed upon by the parties and adopted for this proceeding:</w:t>
      </w:r>
      <w:r>
        <w:rPr>
          <w:b/>
        </w:rPr>
        <w:t xml:space="preserve"> </w:t>
      </w:r>
    </w:p>
    <w:p w14:paraId="5FAE4DD0" w14:textId="77777777" w:rsidR="008B523E" w:rsidRDefault="008B523E" w:rsidP="002465F7">
      <w:pPr>
        <w:pStyle w:val="ListParagraph"/>
        <w:spacing w:line="360" w:lineRule="auto"/>
        <w:ind w:left="0"/>
        <w:rPr>
          <w:b/>
        </w:rPr>
      </w:pPr>
    </w:p>
    <w:p w14:paraId="60E32108" w14:textId="77777777" w:rsidR="000B5CA1" w:rsidRDefault="005039BF" w:rsidP="005039BF">
      <w:pPr>
        <w:pStyle w:val="ListParagraph"/>
        <w:ind w:left="0"/>
        <w:rPr>
          <w:bCs/>
        </w:rPr>
      </w:pPr>
      <w:r>
        <w:rPr>
          <w:b/>
        </w:rPr>
        <w:tab/>
      </w:r>
      <w:r>
        <w:rPr>
          <w:b/>
        </w:rPr>
        <w:tab/>
      </w:r>
      <w:r w:rsidRPr="000B5CA1">
        <w:rPr>
          <w:bCs/>
        </w:rPr>
        <w:t xml:space="preserve">Direct Testimony of Non-City </w:t>
      </w:r>
      <w:r w:rsidR="000B5CA1">
        <w:rPr>
          <w:bCs/>
        </w:rPr>
        <w:t>P</w:t>
      </w:r>
      <w:r w:rsidRPr="000B5CA1">
        <w:rPr>
          <w:bCs/>
        </w:rPr>
        <w:t>arties:</w:t>
      </w:r>
      <w:r w:rsidR="000B5CA1">
        <w:rPr>
          <w:bCs/>
        </w:rPr>
        <w:tab/>
        <w:t>November 6, 2020</w:t>
      </w:r>
    </w:p>
    <w:p w14:paraId="25384DA7" w14:textId="77777777" w:rsidR="00CC59BC" w:rsidRDefault="000B5CA1" w:rsidP="005039BF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  <w:t>Rebuttal Testimony: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C59BC">
        <w:rPr>
          <w:bCs/>
        </w:rPr>
        <w:t>November 24, 2020</w:t>
      </w:r>
    </w:p>
    <w:p w14:paraId="52021A98" w14:textId="77777777" w:rsidR="00CC59BC" w:rsidRDefault="00CC59BC" w:rsidP="005039BF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Surrebuttal</w:t>
      </w:r>
      <w:proofErr w:type="spellEnd"/>
      <w:r>
        <w:rPr>
          <w:bCs/>
        </w:rPr>
        <w:t xml:space="preserve"> Testimony: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December 9, 2020</w:t>
      </w:r>
    </w:p>
    <w:p w14:paraId="7D3271FD" w14:textId="77777777" w:rsidR="009F5BF8" w:rsidRDefault="00CC59BC" w:rsidP="005039BF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  <w:t>Evidentiary Hearings (w/oral rejoinder):</w:t>
      </w:r>
      <w:r>
        <w:rPr>
          <w:bCs/>
        </w:rPr>
        <w:tab/>
      </w:r>
      <w:r w:rsidR="009F5BF8">
        <w:rPr>
          <w:bCs/>
        </w:rPr>
        <w:t>December 17, 2020</w:t>
      </w:r>
    </w:p>
    <w:p w14:paraId="0AAB3557" w14:textId="77777777" w:rsidR="009F5BF8" w:rsidRDefault="009F5BF8" w:rsidP="005039BF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  <w:t>Main Briefs: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December 30, 2020</w:t>
      </w:r>
    </w:p>
    <w:p w14:paraId="7C50CFF6" w14:textId="48E8A674" w:rsidR="005039BF" w:rsidRPr="000B5CA1" w:rsidRDefault="009F5BF8" w:rsidP="005039BF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  <w:t>Reply Briefs: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January 8, 2021</w:t>
      </w:r>
      <w:r w:rsidR="00CC59BC">
        <w:rPr>
          <w:bCs/>
        </w:rPr>
        <w:tab/>
      </w:r>
      <w:r w:rsidR="005039BF" w:rsidRPr="000B5CA1">
        <w:rPr>
          <w:bCs/>
        </w:rPr>
        <w:tab/>
      </w:r>
    </w:p>
    <w:p w14:paraId="3E3FADFB" w14:textId="77777777" w:rsidR="009D2571" w:rsidRPr="004C3859" w:rsidRDefault="009D2571" w:rsidP="002E654B">
      <w:pPr>
        <w:pStyle w:val="ListParagraph"/>
        <w:spacing w:line="360" w:lineRule="auto"/>
        <w:ind w:left="0"/>
        <w:rPr>
          <w:b/>
        </w:rPr>
      </w:pPr>
    </w:p>
    <w:p w14:paraId="4860DDF7" w14:textId="77777777" w:rsidR="008B523E" w:rsidRDefault="008B523E" w:rsidP="00F00E82">
      <w:pPr>
        <w:pStyle w:val="ListParagraph"/>
        <w:ind w:hanging="720"/>
        <w:rPr>
          <w:bCs/>
          <w:u w:val="single"/>
        </w:rPr>
      </w:pPr>
    </w:p>
    <w:p w14:paraId="1F0FF3F3" w14:textId="1CF3DBE0" w:rsidR="00412D09" w:rsidRPr="008B523E" w:rsidRDefault="00412D09" w:rsidP="00F00E82">
      <w:pPr>
        <w:pStyle w:val="ListParagraph"/>
        <w:ind w:hanging="720"/>
        <w:rPr>
          <w:bCs/>
          <w:u w:val="single"/>
        </w:rPr>
      </w:pPr>
      <w:r>
        <w:rPr>
          <w:bCs/>
          <w:u w:val="single"/>
        </w:rPr>
        <w:t>October 8, 2020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B523E">
        <w:rPr>
          <w:bCs/>
        </w:rPr>
        <w:tab/>
      </w:r>
      <w:r w:rsidR="008B523E">
        <w:rPr>
          <w:bCs/>
        </w:rPr>
        <w:tab/>
      </w:r>
      <w:r w:rsidR="008B523E">
        <w:rPr>
          <w:bCs/>
          <w:u w:val="single"/>
        </w:rPr>
        <w:tab/>
      </w:r>
      <w:r w:rsidR="008B523E">
        <w:rPr>
          <w:bCs/>
          <w:u w:val="single"/>
        </w:rPr>
        <w:tab/>
        <w:t>/s/</w:t>
      </w:r>
      <w:r w:rsidR="008B523E">
        <w:rPr>
          <w:bCs/>
          <w:u w:val="single"/>
        </w:rPr>
        <w:tab/>
      </w:r>
      <w:r w:rsidR="008B523E">
        <w:rPr>
          <w:bCs/>
          <w:u w:val="single"/>
        </w:rPr>
        <w:tab/>
      </w:r>
    </w:p>
    <w:p w14:paraId="38F9D1AE" w14:textId="050303CC" w:rsidR="00F00E82" w:rsidRDefault="00F00E82" w:rsidP="00F00E82">
      <w:pPr>
        <w:pStyle w:val="ListParagraph"/>
        <w:ind w:hanging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B523E">
        <w:rPr>
          <w:bCs/>
        </w:rPr>
        <w:tab/>
      </w:r>
      <w:r w:rsidR="008B523E">
        <w:rPr>
          <w:bCs/>
        </w:rPr>
        <w:tab/>
      </w:r>
      <w:r>
        <w:rPr>
          <w:bCs/>
        </w:rPr>
        <w:t>Steven K. Haas</w:t>
      </w:r>
    </w:p>
    <w:p w14:paraId="40DBE3A1" w14:textId="3CEC1CE6" w:rsidR="00F00E82" w:rsidRDefault="00F00E82" w:rsidP="00F00E82">
      <w:pPr>
        <w:pStyle w:val="ListParagraph"/>
        <w:ind w:hanging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B523E">
        <w:rPr>
          <w:bCs/>
        </w:rPr>
        <w:tab/>
      </w:r>
      <w:r w:rsidR="008B523E">
        <w:rPr>
          <w:bCs/>
        </w:rPr>
        <w:tab/>
      </w:r>
      <w:r>
        <w:rPr>
          <w:bCs/>
        </w:rPr>
        <w:t xml:space="preserve">Administrative </w:t>
      </w:r>
      <w:r w:rsidR="00EB1BC3">
        <w:rPr>
          <w:bCs/>
        </w:rPr>
        <w:t>L</w:t>
      </w:r>
      <w:r>
        <w:rPr>
          <w:bCs/>
        </w:rPr>
        <w:t xml:space="preserve">aw </w:t>
      </w:r>
      <w:r w:rsidR="00EB1BC3">
        <w:rPr>
          <w:bCs/>
        </w:rPr>
        <w:t>J</w:t>
      </w:r>
      <w:r>
        <w:rPr>
          <w:bCs/>
        </w:rPr>
        <w:t>udge</w:t>
      </w:r>
    </w:p>
    <w:p w14:paraId="26C22E24" w14:textId="77777777" w:rsidR="008B523E" w:rsidRDefault="008B523E" w:rsidP="00F00E82">
      <w:pPr>
        <w:pStyle w:val="ListParagraph"/>
        <w:ind w:hanging="720"/>
        <w:rPr>
          <w:bCs/>
        </w:rPr>
        <w:sectPr w:rsidR="008B523E" w:rsidSect="008B523E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0F7B38" w14:textId="42F25F67" w:rsidR="008B523E" w:rsidRDefault="008B523E" w:rsidP="008B523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R-2020-3020256 – PENNSYLVANIA PUBLIC UTILITY COMMISSION v. CITY OF BETHLEHEM (WATER)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NIESEN ESQUIRE</w:t>
      </w:r>
      <w:r>
        <w:rPr>
          <w:rFonts w:ascii="Microsoft Sans Serif" w:eastAsia="Microsoft Sans Serif" w:hAnsi="Microsoft Sans Serif" w:cs="Microsoft Sans Serif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</w:rPr>
        <w:cr/>
        <w:t xml:space="preserve">212 LOCUST STREET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STE 302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62F10">
        <w:rPr>
          <w:rFonts w:ascii="Microsoft Sans Serif" w:eastAsia="Microsoft Sans Serif" w:hAnsi="Microsoft Sans Serif" w:cs="Microsoft Sans Serif"/>
          <w:b/>
          <w:bCs/>
        </w:rPr>
        <w:t>717.255.7600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JOHN M COOGAN RATE COUNSEL</w:t>
      </w:r>
      <w:r>
        <w:rPr>
          <w:rFonts w:ascii="Microsoft Sans Serif" w:eastAsia="Microsoft Sans Serif" w:hAnsi="Microsoft Sans Serif" w:cs="Microsoft Sans Serif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</w:rPr>
        <w:cr/>
        <w:t>400 NORTH STREET 2ND FLOOR WEST</w:t>
      </w:r>
      <w:r>
        <w:rPr>
          <w:rFonts w:ascii="Microsoft Sans Serif" w:eastAsia="Microsoft Sans Serif" w:hAnsi="Microsoft Sans Serif" w:cs="Microsoft Sans Serif"/>
        </w:rPr>
        <w:cr/>
        <w:t>HARRISBURG PA  17120</w:t>
      </w:r>
      <w:r>
        <w:rPr>
          <w:rFonts w:ascii="Microsoft Sans Serif" w:eastAsia="Microsoft Sans Serif" w:hAnsi="Microsoft Sans Serif" w:cs="Microsoft Sans Serif"/>
        </w:rPr>
        <w:cr/>
      </w:r>
      <w:r w:rsidRPr="00962F10">
        <w:rPr>
          <w:rFonts w:ascii="Microsoft Sans Serif" w:eastAsia="Microsoft Sans Serif" w:hAnsi="Microsoft Sans Serif" w:cs="Microsoft Sans Serif"/>
          <w:b/>
          <w:bCs/>
        </w:rPr>
        <w:t>717.783.6151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CHRISTINE M HOOVER ESQUIRE</w:t>
      </w:r>
      <w:r>
        <w:rPr>
          <w:rFonts w:ascii="Microsoft Sans Serif" w:eastAsia="Microsoft Sans Serif" w:hAnsi="Microsoft Sans Serif" w:cs="Microsoft Sans Serif"/>
        </w:rPr>
        <w:c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5TH FLOOR FORUM PLACE</w:t>
      </w:r>
      <w:r>
        <w:rPr>
          <w:rFonts w:ascii="Microsoft Sans Serif" w:eastAsia="Microsoft Sans Serif" w:hAnsi="Microsoft Sans Serif" w:cs="Microsoft Sans Serif"/>
        </w:rPr>
        <w:cr/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62F10">
        <w:rPr>
          <w:rFonts w:ascii="Microsoft Sans Serif" w:eastAsia="Microsoft Sans Serif" w:hAnsi="Microsoft Sans Serif" w:cs="Microsoft Sans Serif"/>
          <w:b/>
          <w:bCs/>
        </w:rPr>
        <w:t>717.783.5048</w:t>
      </w:r>
      <w:r>
        <w:rPr>
          <w:rFonts w:ascii="Microsoft Sans Serif" w:eastAsia="Microsoft Sans Serif" w:hAnsi="Microsoft Sans Serif" w:cs="Microsoft Sans Serif"/>
        </w:rPr>
        <w:b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77F6C6E4" w14:textId="77777777" w:rsidR="008B523E" w:rsidRDefault="008B523E" w:rsidP="008B523E">
      <w:r>
        <w:rPr>
          <w:rFonts w:ascii="Microsoft Sans Serif" w:eastAsia="Microsoft Sans Serif" w:hAnsi="Microsoft Sans Serif" w:cs="Microsoft Sans Serif"/>
        </w:rPr>
        <w:t>STEVEN C GRAY SMALL BUSINESS ADVOCATE</w:t>
      </w:r>
      <w:r>
        <w:rPr>
          <w:rFonts w:ascii="Microsoft Sans Serif" w:eastAsia="Microsoft Sans Serif" w:hAnsi="Microsoft Sans Serif" w:cs="Microsoft Sans Serif"/>
        </w:rPr>
        <w:cr/>
        <w:t>OFFICE SMALL BUSINESS ADVOCATE</w:t>
      </w:r>
      <w:r>
        <w:rPr>
          <w:rFonts w:ascii="Microsoft Sans Serif" w:eastAsia="Microsoft Sans Serif" w:hAnsi="Microsoft Sans Serif" w:cs="Microsoft Sans Serif"/>
        </w:rPr>
        <w:cr/>
        <w:t>555 WALNUT ST 1ST FLOOR</w:t>
      </w:r>
      <w:r>
        <w:rPr>
          <w:rFonts w:ascii="Microsoft Sans Serif" w:eastAsia="Microsoft Sans Serif" w:hAnsi="Microsoft Sans Serif" w:cs="Microsoft Sans Serif"/>
        </w:rPr>
        <w:cr/>
        <w:t>FORUM PLACE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62F10">
        <w:rPr>
          <w:rFonts w:ascii="Microsoft Sans Serif" w:eastAsia="Microsoft Sans Serif" w:hAnsi="Microsoft Sans Serif" w:cs="Microsoft Sans Serif"/>
          <w:b/>
          <w:bCs/>
        </w:rPr>
        <w:t>717.783.2525</w:t>
      </w:r>
      <w:r>
        <w:rPr>
          <w:rFonts w:ascii="Microsoft Sans Serif" w:eastAsia="Microsoft Sans Serif" w:hAnsi="Microsoft Sans Serif" w:cs="Microsoft Sans Serif"/>
        </w:rPr>
        <w:br/>
      </w:r>
      <w:hyperlink r:id="rId7" w:history="1">
        <w:r w:rsidRPr="00962F10">
          <w:rPr>
            <w:rStyle w:val="Hyperlink"/>
            <w:rFonts w:ascii="Microsoft Sans Serif" w:eastAsia="Microsoft Sans Serif" w:hAnsi="Microsoft Sans Serif" w:cs="Microsoft Sans Serif"/>
          </w:rPr>
          <w:t>sgray@pa.gov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AC2155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  <w:r w:rsidRPr="00AC2155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13917D5" w14:textId="77777777" w:rsidR="008B523E" w:rsidRDefault="008B523E" w:rsidP="008B523E"/>
    <w:p w14:paraId="491D7274" w14:textId="09BCB040" w:rsidR="008B523E" w:rsidRPr="00F00E82" w:rsidRDefault="008B523E" w:rsidP="00F00E82">
      <w:pPr>
        <w:pStyle w:val="ListParagraph"/>
        <w:ind w:hanging="720"/>
        <w:rPr>
          <w:bCs/>
        </w:rPr>
      </w:pPr>
    </w:p>
    <w:sectPr w:rsidR="008B523E" w:rsidRPr="00F0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1E7FE" w14:textId="77777777" w:rsidR="00AF499E" w:rsidRDefault="00AF499E" w:rsidP="00872BB6">
      <w:r>
        <w:separator/>
      </w:r>
    </w:p>
  </w:endnote>
  <w:endnote w:type="continuationSeparator" w:id="0">
    <w:p w14:paraId="71857ABA" w14:textId="77777777" w:rsidR="00AF499E" w:rsidRDefault="00AF499E" w:rsidP="0087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026E5" w14:textId="77777777" w:rsidR="00AF499E" w:rsidRDefault="00AF499E" w:rsidP="00872BB6">
      <w:r>
        <w:separator/>
      </w:r>
    </w:p>
  </w:footnote>
  <w:footnote w:type="continuationSeparator" w:id="0">
    <w:p w14:paraId="16E58D6D" w14:textId="77777777" w:rsidR="00AF499E" w:rsidRDefault="00AF499E" w:rsidP="0087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8A7"/>
    <w:multiLevelType w:val="hybridMultilevel"/>
    <w:tmpl w:val="DB4A30F4"/>
    <w:lvl w:ilvl="0" w:tplc="7A02369E">
      <w:start w:val="1"/>
      <w:numFmt w:val="upperLetter"/>
      <w:lvlText w:val="%1."/>
      <w:lvlJc w:val="left"/>
      <w:pPr>
        <w:ind w:left="1455" w:hanging="735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A7C1E"/>
    <w:multiLevelType w:val="hybridMultilevel"/>
    <w:tmpl w:val="806AE2E0"/>
    <w:lvl w:ilvl="0" w:tplc="C7CC7D62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4F7D80"/>
    <w:multiLevelType w:val="hybridMultilevel"/>
    <w:tmpl w:val="4A52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0954"/>
    <w:multiLevelType w:val="hybridMultilevel"/>
    <w:tmpl w:val="77709496"/>
    <w:lvl w:ilvl="0" w:tplc="D9202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D3CBD"/>
    <w:multiLevelType w:val="hybridMultilevel"/>
    <w:tmpl w:val="41DE7304"/>
    <w:lvl w:ilvl="0" w:tplc="DEFA9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223CB"/>
    <w:multiLevelType w:val="hybridMultilevel"/>
    <w:tmpl w:val="8592C412"/>
    <w:lvl w:ilvl="0" w:tplc="7FFA0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323D0B"/>
    <w:multiLevelType w:val="hybridMultilevel"/>
    <w:tmpl w:val="F7B80216"/>
    <w:lvl w:ilvl="0" w:tplc="26421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E02E3"/>
    <w:multiLevelType w:val="hybridMultilevel"/>
    <w:tmpl w:val="40F669C0"/>
    <w:lvl w:ilvl="0" w:tplc="1BB66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835715"/>
    <w:multiLevelType w:val="hybridMultilevel"/>
    <w:tmpl w:val="07FEF3F8"/>
    <w:lvl w:ilvl="0" w:tplc="6E564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B6"/>
    <w:rsid w:val="000962F9"/>
    <w:rsid w:val="000B5CA1"/>
    <w:rsid w:val="00112C8D"/>
    <w:rsid w:val="00147B5D"/>
    <w:rsid w:val="00196015"/>
    <w:rsid w:val="001B5B20"/>
    <w:rsid w:val="001C6440"/>
    <w:rsid w:val="001F66B3"/>
    <w:rsid w:val="00211E70"/>
    <w:rsid w:val="00224D1D"/>
    <w:rsid w:val="0022551A"/>
    <w:rsid w:val="0023378A"/>
    <w:rsid w:val="002465F7"/>
    <w:rsid w:val="00254326"/>
    <w:rsid w:val="00286ACD"/>
    <w:rsid w:val="00286E8E"/>
    <w:rsid w:val="00287F1A"/>
    <w:rsid w:val="002A7DAD"/>
    <w:rsid w:val="002D244B"/>
    <w:rsid w:val="002D7D55"/>
    <w:rsid w:val="002E654B"/>
    <w:rsid w:val="003235D4"/>
    <w:rsid w:val="00347688"/>
    <w:rsid w:val="00387D58"/>
    <w:rsid w:val="003C505C"/>
    <w:rsid w:val="00406C95"/>
    <w:rsid w:val="00412D09"/>
    <w:rsid w:val="004A1D64"/>
    <w:rsid w:val="004C3859"/>
    <w:rsid w:val="004F0BDC"/>
    <w:rsid w:val="005039BF"/>
    <w:rsid w:val="005222AA"/>
    <w:rsid w:val="00582394"/>
    <w:rsid w:val="005D3505"/>
    <w:rsid w:val="005E11DA"/>
    <w:rsid w:val="00644E99"/>
    <w:rsid w:val="006749AB"/>
    <w:rsid w:val="00686404"/>
    <w:rsid w:val="006E3DFE"/>
    <w:rsid w:val="007046B3"/>
    <w:rsid w:val="00714B76"/>
    <w:rsid w:val="0072461A"/>
    <w:rsid w:val="00731FB0"/>
    <w:rsid w:val="008703DD"/>
    <w:rsid w:val="00872BB6"/>
    <w:rsid w:val="00883989"/>
    <w:rsid w:val="008B523E"/>
    <w:rsid w:val="008B5685"/>
    <w:rsid w:val="008D0737"/>
    <w:rsid w:val="008D2691"/>
    <w:rsid w:val="00906AC1"/>
    <w:rsid w:val="009144F3"/>
    <w:rsid w:val="009B10FA"/>
    <w:rsid w:val="009D2571"/>
    <w:rsid w:val="009F5BF8"/>
    <w:rsid w:val="00A149E0"/>
    <w:rsid w:val="00A259A0"/>
    <w:rsid w:val="00A37B9F"/>
    <w:rsid w:val="00A8608B"/>
    <w:rsid w:val="00AA3479"/>
    <w:rsid w:val="00AA62E9"/>
    <w:rsid w:val="00AD32D1"/>
    <w:rsid w:val="00AF499E"/>
    <w:rsid w:val="00B72099"/>
    <w:rsid w:val="00B91EF0"/>
    <w:rsid w:val="00BC006E"/>
    <w:rsid w:val="00BC06B9"/>
    <w:rsid w:val="00BD2527"/>
    <w:rsid w:val="00C057E2"/>
    <w:rsid w:val="00C64F28"/>
    <w:rsid w:val="00CC59BC"/>
    <w:rsid w:val="00CD61EF"/>
    <w:rsid w:val="00CE2ADC"/>
    <w:rsid w:val="00D74694"/>
    <w:rsid w:val="00E0076B"/>
    <w:rsid w:val="00E63682"/>
    <w:rsid w:val="00EB1BC3"/>
    <w:rsid w:val="00ED1EFA"/>
    <w:rsid w:val="00EE0B49"/>
    <w:rsid w:val="00F00E82"/>
    <w:rsid w:val="00F40566"/>
    <w:rsid w:val="00F5169B"/>
    <w:rsid w:val="00F6199B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33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B6"/>
    <w:pPr>
      <w:widowControl w:val="0"/>
      <w:autoSpaceDE w:val="0"/>
      <w:autoSpaceDN w:val="0"/>
      <w:adjustRightInd w:val="0"/>
      <w:spacing w:before="0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7F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F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2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BB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2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BB6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872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ray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3501</Characters>
  <Application>Microsoft Office Word</Application>
  <DocSecurity>0</DocSecurity>
  <PresentationFormat>15|.DOCX</PresentationFormat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2020-10-08T15:53:00Z</dcterms:created>
  <dcterms:modified xsi:type="dcterms:W3CDTF">2020-10-08T15:53:00Z</dcterms:modified>
</cp:coreProperties>
</file>