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792C3" w14:textId="77777777" w:rsidR="008962E5" w:rsidRPr="00B62BE4" w:rsidRDefault="008962E5" w:rsidP="008962E5">
      <w:pPr>
        <w:tabs>
          <w:tab w:val="left" w:pos="0"/>
        </w:tabs>
        <w:spacing w:after="0" w:line="240" w:lineRule="auto"/>
        <w:jc w:val="center"/>
        <w:rPr>
          <w:b/>
        </w:rPr>
      </w:pPr>
      <w:r w:rsidRPr="00B62BE4">
        <w:rPr>
          <w:b/>
        </w:rPr>
        <w:t>BEFORE THE</w:t>
      </w:r>
    </w:p>
    <w:p w14:paraId="46664391" w14:textId="77777777" w:rsidR="008962E5" w:rsidRPr="00B62BE4" w:rsidRDefault="008962E5" w:rsidP="008962E5">
      <w:pPr>
        <w:tabs>
          <w:tab w:val="left" w:pos="0"/>
        </w:tabs>
        <w:spacing w:after="0" w:line="240" w:lineRule="auto"/>
        <w:jc w:val="center"/>
        <w:rPr>
          <w:b/>
        </w:rPr>
      </w:pPr>
      <w:r w:rsidRPr="00B62BE4">
        <w:rPr>
          <w:b/>
        </w:rPr>
        <w:t>PENNSYLVANIA PUBLIC UTILITY COMMISSION</w:t>
      </w:r>
    </w:p>
    <w:p w14:paraId="5C3AEDE9" w14:textId="77777777" w:rsidR="008962E5" w:rsidRPr="00B62BE4" w:rsidRDefault="008962E5" w:rsidP="008962E5">
      <w:pPr>
        <w:tabs>
          <w:tab w:val="left" w:pos="0"/>
        </w:tabs>
        <w:spacing w:after="0" w:line="240" w:lineRule="auto"/>
        <w:jc w:val="both"/>
        <w:rPr>
          <w:b/>
        </w:rPr>
      </w:pPr>
    </w:p>
    <w:p w14:paraId="5BC5F47C" w14:textId="29D1B231" w:rsidR="008962E5" w:rsidRDefault="008962E5" w:rsidP="008962E5">
      <w:pPr>
        <w:tabs>
          <w:tab w:val="left" w:pos="0"/>
        </w:tabs>
        <w:spacing w:after="0" w:line="240" w:lineRule="auto"/>
        <w:jc w:val="both"/>
        <w:rPr>
          <w:b/>
        </w:rPr>
      </w:pPr>
    </w:p>
    <w:p w14:paraId="6CADCF0D" w14:textId="77777777" w:rsidR="00ED5AEB" w:rsidRPr="00B62BE4" w:rsidRDefault="00ED5AEB" w:rsidP="008962E5">
      <w:pPr>
        <w:tabs>
          <w:tab w:val="left" w:pos="0"/>
        </w:tabs>
        <w:spacing w:after="0" w:line="240" w:lineRule="auto"/>
        <w:jc w:val="both"/>
        <w:rPr>
          <w:b/>
        </w:rPr>
      </w:pPr>
    </w:p>
    <w:p w14:paraId="54412804" w14:textId="0C6F5C27" w:rsidR="001358CE" w:rsidRDefault="001358CE" w:rsidP="004A7774">
      <w:pPr>
        <w:tabs>
          <w:tab w:val="left" w:pos="-720"/>
        </w:tabs>
        <w:suppressAutoHyphens/>
        <w:spacing w:after="0" w:line="240" w:lineRule="auto"/>
        <w:rPr>
          <w:spacing w:val="-3"/>
        </w:rPr>
      </w:pPr>
      <w:r>
        <w:rPr>
          <w:spacing w:val="-3"/>
        </w:rPr>
        <w:t>A</w:t>
      </w:r>
      <w:r w:rsidR="000357B3">
        <w:rPr>
          <w:spacing w:val="-3"/>
        </w:rPr>
        <w:t>ndrew Perrong</w:t>
      </w:r>
      <w:r w:rsidR="000357B3">
        <w:rPr>
          <w:spacing w:val="-3"/>
        </w:rPr>
        <w:tab/>
      </w:r>
      <w:r w:rsidR="000357B3">
        <w:rPr>
          <w:spacing w:val="-3"/>
        </w:rPr>
        <w:tab/>
      </w:r>
      <w:r w:rsidR="000357B3">
        <w:rPr>
          <w:spacing w:val="-3"/>
        </w:rPr>
        <w:tab/>
      </w:r>
      <w:r w:rsidR="000357B3">
        <w:rPr>
          <w:spacing w:val="-3"/>
        </w:rPr>
        <w:tab/>
      </w:r>
      <w:r>
        <w:rPr>
          <w:spacing w:val="-3"/>
        </w:rPr>
        <w:tab/>
        <w:t>:</w:t>
      </w:r>
    </w:p>
    <w:p w14:paraId="2955BCA6" w14:textId="277BB687" w:rsidR="001358CE" w:rsidRDefault="000357B3" w:rsidP="004A7774">
      <w:pPr>
        <w:tabs>
          <w:tab w:val="left" w:pos="-720"/>
        </w:tabs>
        <w:suppressAutoHyphens/>
        <w:spacing w:after="0" w:line="240" w:lineRule="auto"/>
        <w:rPr>
          <w:spacing w:val="-3"/>
        </w:rPr>
      </w:pPr>
      <w:r>
        <w:rPr>
          <w:spacing w:val="-3"/>
        </w:rPr>
        <w:tab/>
      </w:r>
      <w:r>
        <w:rPr>
          <w:spacing w:val="-3"/>
        </w:rPr>
        <w:tab/>
      </w:r>
      <w:r>
        <w:rPr>
          <w:spacing w:val="-3"/>
        </w:rPr>
        <w:tab/>
      </w:r>
      <w:r>
        <w:rPr>
          <w:spacing w:val="-3"/>
        </w:rPr>
        <w:tab/>
      </w:r>
      <w:r w:rsidR="001358CE">
        <w:rPr>
          <w:spacing w:val="-3"/>
        </w:rPr>
        <w:tab/>
      </w:r>
      <w:r w:rsidR="001358CE">
        <w:rPr>
          <w:spacing w:val="-3"/>
        </w:rPr>
        <w:tab/>
        <w:t>:</w:t>
      </w:r>
    </w:p>
    <w:p w14:paraId="5932FD4D" w14:textId="0CFB9506" w:rsidR="001358CE" w:rsidRDefault="000357B3" w:rsidP="004A7774">
      <w:pPr>
        <w:tabs>
          <w:tab w:val="left" w:pos="-720"/>
        </w:tabs>
        <w:suppressAutoHyphens/>
        <w:spacing w:after="0" w:line="240" w:lineRule="auto"/>
        <w:rPr>
          <w:spacing w:val="-3"/>
        </w:rPr>
      </w:pPr>
      <w:r>
        <w:rPr>
          <w:spacing w:val="-3"/>
        </w:rPr>
        <w:tab/>
      </w:r>
      <w:r>
        <w:rPr>
          <w:spacing w:val="-3"/>
        </w:rPr>
        <w:tab/>
      </w:r>
      <w:r>
        <w:rPr>
          <w:spacing w:val="-3"/>
        </w:rPr>
        <w:tab/>
      </w:r>
      <w:r>
        <w:rPr>
          <w:spacing w:val="-3"/>
        </w:rPr>
        <w:tab/>
      </w:r>
      <w:r>
        <w:rPr>
          <w:spacing w:val="-3"/>
        </w:rPr>
        <w:tab/>
      </w:r>
      <w:r w:rsidR="001358CE">
        <w:rPr>
          <w:spacing w:val="-3"/>
        </w:rPr>
        <w:tab/>
        <w:t xml:space="preserve">: </w:t>
      </w:r>
      <w:r w:rsidR="001358CE">
        <w:rPr>
          <w:spacing w:val="-3"/>
        </w:rPr>
        <w:tab/>
      </w:r>
      <w:r w:rsidR="001358CE">
        <w:rPr>
          <w:spacing w:val="-3"/>
        </w:rPr>
        <w:tab/>
      </w:r>
      <w:r>
        <w:rPr>
          <w:spacing w:val="-3"/>
        </w:rPr>
        <w:t>C-2020-3019899</w:t>
      </w:r>
    </w:p>
    <w:p w14:paraId="0501F247" w14:textId="77777777" w:rsidR="000357B3" w:rsidRDefault="000357B3" w:rsidP="004A7774">
      <w:pPr>
        <w:tabs>
          <w:tab w:val="left" w:pos="-720"/>
        </w:tabs>
        <w:suppressAutoHyphens/>
        <w:spacing w:after="0" w:line="240" w:lineRule="auto"/>
        <w:rPr>
          <w:spacing w:val="-3"/>
        </w:rPr>
      </w:pPr>
      <w:r>
        <w:rPr>
          <w:spacing w:val="-3"/>
        </w:rPr>
        <w:tab/>
        <w:t>v.</w:t>
      </w:r>
      <w:r>
        <w:rPr>
          <w:spacing w:val="-3"/>
        </w:rPr>
        <w:tab/>
      </w:r>
      <w:r>
        <w:rPr>
          <w:spacing w:val="-3"/>
        </w:rPr>
        <w:tab/>
      </w:r>
      <w:r>
        <w:rPr>
          <w:spacing w:val="-3"/>
        </w:rPr>
        <w:tab/>
      </w:r>
      <w:r>
        <w:rPr>
          <w:spacing w:val="-3"/>
        </w:rPr>
        <w:tab/>
      </w:r>
      <w:r>
        <w:rPr>
          <w:spacing w:val="-3"/>
        </w:rPr>
        <w:tab/>
        <w:t>:</w:t>
      </w:r>
    </w:p>
    <w:p w14:paraId="23552D77" w14:textId="77777777" w:rsidR="000357B3" w:rsidRDefault="000357B3" w:rsidP="004A7774">
      <w:pPr>
        <w:tabs>
          <w:tab w:val="left" w:pos="-720"/>
        </w:tabs>
        <w:suppressAutoHyphens/>
        <w:spacing w:after="0" w:line="240" w:lineRule="auto"/>
        <w:rPr>
          <w:spacing w:val="-3"/>
        </w:rPr>
      </w:pPr>
      <w:r>
        <w:rPr>
          <w:spacing w:val="-3"/>
        </w:rPr>
        <w:tab/>
      </w:r>
      <w:r>
        <w:rPr>
          <w:spacing w:val="-3"/>
        </w:rPr>
        <w:tab/>
      </w:r>
      <w:r>
        <w:rPr>
          <w:spacing w:val="-3"/>
        </w:rPr>
        <w:tab/>
      </w:r>
      <w:r>
        <w:rPr>
          <w:spacing w:val="-3"/>
        </w:rPr>
        <w:tab/>
      </w:r>
      <w:r>
        <w:rPr>
          <w:spacing w:val="-3"/>
        </w:rPr>
        <w:tab/>
      </w:r>
      <w:r>
        <w:rPr>
          <w:spacing w:val="-3"/>
        </w:rPr>
        <w:tab/>
        <w:t>:</w:t>
      </w:r>
    </w:p>
    <w:p w14:paraId="504B6484" w14:textId="691A60B5" w:rsidR="001358CE" w:rsidRDefault="000357B3" w:rsidP="004A7774">
      <w:pPr>
        <w:tabs>
          <w:tab w:val="left" w:pos="-720"/>
        </w:tabs>
        <w:suppressAutoHyphens/>
        <w:spacing w:after="0" w:line="240" w:lineRule="auto"/>
        <w:rPr>
          <w:spacing w:val="-3"/>
        </w:rPr>
      </w:pPr>
      <w:r>
        <w:rPr>
          <w:spacing w:val="-3"/>
        </w:rPr>
        <w:t>Frontier Utilities Northeast, LLC</w:t>
      </w:r>
      <w:r>
        <w:rPr>
          <w:spacing w:val="-3"/>
        </w:rPr>
        <w:tab/>
      </w:r>
      <w:r>
        <w:rPr>
          <w:spacing w:val="-3"/>
        </w:rPr>
        <w:tab/>
      </w:r>
      <w:r>
        <w:rPr>
          <w:spacing w:val="-3"/>
        </w:rPr>
        <w:tab/>
        <w:t>:</w:t>
      </w:r>
      <w:r w:rsidR="001358CE">
        <w:rPr>
          <w:spacing w:val="-3"/>
        </w:rPr>
        <w:tab/>
      </w:r>
    </w:p>
    <w:p w14:paraId="775BED8C" w14:textId="77777777" w:rsidR="001358CE" w:rsidRDefault="001358CE" w:rsidP="00ED5AEB">
      <w:pPr>
        <w:spacing w:after="0" w:line="240" w:lineRule="auto"/>
      </w:pPr>
    </w:p>
    <w:p w14:paraId="1CB50CA5" w14:textId="189173F5" w:rsidR="003F7B6D" w:rsidRDefault="003F7B6D" w:rsidP="00ED5AEB">
      <w:pPr>
        <w:spacing w:after="0" w:line="240" w:lineRule="auto"/>
        <w:jc w:val="center"/>
        <w:rPr>
          <w:b/>
          <w:u w:val="single"/>
        </w:rPr>
      </w:pPr>
    </w:p>
    <w:p w14:paraId="1F1A500D" w14:textId="77777777" w:rsidR="00ED5AEB" w:rsidRDefault="00ED5AEB" w:rsidP="00ED5AEB">
      <w:pPr>
        <w:spacing w:after="0" w:line="240" w:lineRule="auto"/>
        <w:jc w:val="center"/>
        <w:rPr>
          <w:b/>
          <w:u w:val="single"/>
        </w:rPr>
      </w:pPr>
    </w:p>
    <w:p w14:paraId="20FD4D14" w14:textId="2910F5ED" w:rsidR="000357B3" w:rsidRDefault="001358CE" w:rsidP="001358CE">
      <w:pPr>
        <w:spacing w:after="0"/>
        <w:jc w:val="center"/>
        <w:rPr>
          <w:b/>
          <w:bCs/>
          <w:u w:val="single"/>
        </w:rPr>
      </w:pPr>
      <w:r>
        <w:rPr>
          <w:b/>
          <w:u w:val="single"/>
        </w:rPr>
        <w:t xml:space="preserve">ORDER </w:t>
      </w:r>
      <w:r w:rsidR="00DA0B63">
        <w:rPr>
          <w:b/>
          <w:u w:val="single"/>
        </w:rPr>
        <w:t>DENYING</w:t>
      </w:r>
      <w:r w:rsidRPr="008F7104">
        <w:rPr>
          <w:b/>
          <w:u w:val="single"/>
        </w:rPr>
        <w:t xml:space="preserve"> </w:t>
      </w:r>
      <w:bookmarkStart w:id="0" w:name="_Hlk54163284"/>
      <w:r w:rsidR="000357B3" w:rsidRPr="000357B3">
        <w:rPr>
          <w:b/>
          <w:bCs/>
          <w:u w:val="single"/>
        </w:rPr>
        <w:t xml:space="preserve">APPLICATION FOR </w:t>
      </w:r>
      <w:r w:rsidR="00D733DD">
        <w:rPr>
          <w:b/>
          <w:bCs/>
          <w:u w:val="single"/>
        </w:rPr>
        <w:t xml:space="preserve">ISSUANCE OF </w:t>
      </w:r>
      <w:r w:rsidR="000357B3" w:rsidRPr="000357B3">
        <w:rPr>
          <w:b/>
          <w:bCs/>
          <w:u w:val="single"/>
        </w:rPr>
        <w:t xml:space="preserve">A SUBPOENA </w:t>
      </w:r>
    </w:p>
    <w:p w14:paraId="68B2E849" w14:textId="5561B8D9" w:rsidR="001358CE" w:rsidRDefault="000357B3" w:rsidP="00ED5AEB">
      <w:pPr>
        <w:spacing w:after="0" w:line="240" w:lineRule="auto"/>
        <w:jc w:val="center"/>
        <w:rPr>
          <w:b/>
          <w:u w:val="single"/>
        </w:rPr>
      </w:pPr>
      <w:r w:rsidRPr="000357B3">
        <w:rPr>
          <w:b/>
          <w:bCs/>
          <w:u w:val="single"/>
        </w:rPr>
        <w:t xml:space="preserve">TO DATA EXCHANGE, INC D/B/A TPV.COM </w:t>
      </w:r>
    </w:p>
    <w:bookmarkEnd w:id="0"/>
    <w:p w14:paraId="32862A43" w14:textId="2486B9B5" w:rsidR="003F7B6D" w:rsidRDefault="003F7B6D" w:rsidP="00ED5AEB">
      <w:pPr>
        <w:pStyle w:val="ParaTab1"/>
        <w:tabs>
          <w:tab w:val="left" w:pos="2070"/>
        </w:tabs>
      </w:pPr>
    </w:p>
    <w:p w14:paraId="5F8F0C46" w14:textId="77777777" w:rsidR="00ED5AEB" w:rsidRDefault="00ED5AEB" w:rsidP="00ED5AEB">
      <w:pPr>
        <w:pStyle w:val="ParaTab1"/>
        <w:tabs>
          <w:tab w:val="left" w:pos="2070"/>
        </w:tabs>
      </w:pPr>
    </w:p>
    <w:p w14:paraId="60101BD6" w14:textId="7F073EF6" w:rsidR="008667D0" w:rsidRDefault="001544ED" w:rsidP="001358CE">
      <w:pPr>
        <w:pStyle w:val="ParaTab1"/>
        <w:tabs>
          <w:tab w:val="left" w:pos="2070"/>
        </w:tabs>
        <w:spacing w:line="360" w:lineRule="auto"/>
      </w:pPr>
      <w:r>
        <w:t>A</w:t>
      </w:r>
      <w:r w:rsidR="001358CE">
        <w:t xml:space="preserve"> hearing </w:t>
      </w:r>
      <w:r>
        <w:t xml:space="preserve">in the above-captioned matter is currently </w:t>
      </w:r>
      <w:r w:rsidR="001358CE">
        <w:t xml:space="preserve">scheduled for </w:t>
      </w:r>
      <w:r w:rsidR="000357B3">
        <w:t>November 3, 2020</w:t>
      </w:r>
      <w:r w:rsidR="001358CE">
        <w:t xml:space="preserve">. </w:t>
      </w:r>
      <w:r>
        <w:t xml:space="preserve">  </w:t>
      </w:r>
      <w:r w:rsidR="001358CE">
        <w:t xml:space="preserve">On </w:t>
      </w:r>
      <w:r w:rsidR="000357B3">
        <w:t>October 9, 2020, Andrew Perrong (Complainant)</w:t>
      </w:r>
      <w:r w:rsidR="008667D0">
        <w:t xml:space="preserve"> </w:t>
      </w:r>
      <w:r>
        <w:t>filed an</w:t>
      </w:r>
      <w:r w:rsidR="004A7774">
        <w:t xml:space="preserve"> Application for Issuance of a Subpoena</w:t>
      </w:r>
      <w:r w:rsidR="003F1D24">
        <w:t xml:space="preserve"> upon </w:t>
      </w:r>
      <w:r w:rsidR="000357B3">
        <w:t xml:space="preserve">Data Exchange, Inc. d/b/a TPV.COM. </w:t>
      </w:r>
      <w:r w:rsidR="00D733DD">
        <w:t xml:space="preserve"> Although copies of the Application were served upon </w:t>
      </w:r>
      <w:r w:rsidR="002065EE">
        <w:t xml:space="preserve">Frontier Utilities Northeast, LLC (Respondent) </w:t>
      </w:r>
      <w:r w:rsidR="00D733DD">
        <w:t xml:space="preserve">and the presiding officer, no copy was served upon Data Exchange, Inc. d/b/a TPV.COM, a non-party entity.  Respondent </w:t>
      </w:r>
      <w:r w:rsidR="002065EE">
        <w:t>filed an objection to the Application</w:t>
      </w:r>
      <w:r w:rsidR="00D733DD">
        <w:t xml:space="preserve"> on October 19, 2020</w:t>
      </w:r>
      <w:r w:rsidR="002065EE">
        <w:t xml:space="preserve">.  </w:t>
      </w:r>
      <w:r w:rsidR="008667D0">
        <w:t xml:space="preserve">This matter is ripe for a decision.  </w:t>
      </w:r>
    </w:p>
    <w:p w14:paraId="6508D63A" w14:textId="77777777" w:rsidR="008667D0" w:rsidRDefault="008667D0" w:rsidP="001358CE">
      <w:pPr>
        <w:pStyle w:val="ParaTab1"/>
        <w:tabs>
          <w:tab w:val="left" w:pos="2070"/>
        </w:tabs>
        <w:spacing w:line="360" w:lineRule="auto"/>
      </w:pPr>
    </w:p>
    <w:p w14:paraId="1F0F6815" w14:textId="77777777" w:rsidR="00707D4C" w:rsidRDefault="001D60E1" w:rsidP="00F73A61">
      <w:pPr>
        <w:spacing w:after="0"/>
        <w:rPr>
          <w:u w:val="single"/>
        </w:rPr>
      </w:pPr>
      <w:r w:rsidRPr="001D60E1">
        <w:rPr>
          <w:u w:val="single"/>
        </w:rPr>
        <w:t>Disposition</w:t>
      </w:r>
    </w:p>
    <w:p w14:paraId="2D18AE85" w14:textId="77777777" w:rsidR="00DA0B63" w:rsidRDefault="00DA0B63" w:rsidP="00F73A61">
      <w:pPr>
        <w:spacing w:after="0"/>
        <w:rPr>
          <w:u w:val="single"/>
        </w:rPr>
      </w:pPr>
    </w:p>
    <w:p w14:paraId="68F2C9D8" w14:textId="77777777" w:rsidR="002065EE" w:rsidRDefault="00DA0B63" w:rsidP="002065EE">
      <w:pPr>
        <w:spacing w:after="0"/>
      </w:pPr>
      <w:r>
        <w:tab/>
      </w:r>
      <w:r w:rsidR="002065EE">
        <w:t>Our authority to issue a subpoena to compel the production of documents by a non-party is derived from Section 309 of the Public Utility Code:</w:t>
      </w:r>
    </w:p>
    <w:p w14:paraId="4536477F" w14:textId="77777777" w:rsidR="002065EE" w:rsidRDefault="002065EE" w:rsidP="002065EE">
      <w:pPr>
        <w:spacing w:after="0" w:line="240" w:lineRule="auto"/>
      </w:pPr>
    </w:p>
    <w:p w14:paraId="4E61BFC8" w14:textId="77777777" w:rsidR="002065EE" w:rsidRDefault="002065EE" w:rsidP="002065EE">
      <w:pPr>
        <w:spacing w:after="0" w:line="240" w:lineRule="auto"/>
        <w:ind w:left="1440" w:right="806"/>
      </w:pPr>
      <w:r>
        <w:t>The commission, or its representative, shall have the power, in any part of this Commonwealth, to subpoena witnesses, to administer oaths, to examine witnesses, or to take such testimony, or compel the production of such books, records, papers, and documents as it may deem necessary or proper in, and pertinent to, any proceeding, investigation, or hearing, held by it, and to do all necessary and proper things and acts in the lawful exercise of its powers or the performance of those duties.</w:t>
      </w:r>
      <w:r>
        <w:rPr>
          <w:rStyle w:val="FootnoteReference"/>
        </w:rPr>
        <w:footnoteReference w:id="1"/>
      </w:r>
    </w:p>
    <w:p w14:paraId="7A9E3E08" w14:textId="47D1BE83" w:rsidR="0025365C" w:rsidRDefault="002065EE" w:rsidP="0025365C">
      <w:pPr>
        <w:pStyle w:val="Default"/>
        <w:spacing w:line="360" w:lineRule="auto"/>
        <w:ind w:firstLine="1440"/>
        <w:rPr>
          <w:sz w:val="23"/>
          <w:szCs w:val="23"/>
        </w:rPr>
      </w:pPr>
      <w:r>
        <w:rPr>
          <w:sz w:val="23"/>
          <w:szCs w:val="23"/>
        </w:rPr>
        <w:lastRenderedPageBreak/>
        <w:t xml:space="preserve">The Commission’s regulation at 52 Pa. Code § 5.421 provides the requirements that must be met for a subpoena to be requested and issued including the form of the application, service requirements, and the opportunity for other parties to object. Specifically, Section 5.421(c)(5) provides that the party requesting a subpoena must serve the application for subpoena on “[t]he person or individual for whom the subpoena is sought when the person is not a party to the case.” </w:t>
      </w:r>
      <w:r>
        <w:rPr>
          <w:sz w:val="16"/>
          <w:szCs w:val="16"/>
        </w:rPr>
        <w:t xml:space="preserve"> </w:t>
      </w:r>
      <w:r>
        <w:rPr>
          <w:sz w:val="23"/>
          <w:szCs w:val="23"/>
        </w:rPr>
        <w:t xml:space="preserve">Mr. Perrong </w:t>
      </w:r>
      <w:r w:rsidR="0025365C">
        <w:rPr>
          <w:sz w:val="23"/>
          <w:szCs w:val="23"/>
        </w:rPr>
        <w:t>did not serve a copy of the Application upon Data Exchange.  T</w:t>
      </w:r>
      <w:r>
        <w:rPr>
          <w:sz w:val="23"/>
          <w:szCs w:val="23"/>
        </w:rPr>
        <w:t>he Application seeks to obtain information from Data Exchange</w:t>
      </w:r>
      <w:r w:rsidR="00D733DD">
        <w:rPr>
          <w:sz w:val="23"/>
          <w:szCs w:val="23"/>
        </w:rPr>
        <w:t>.  B</w:t>
      </w:r>
      <w:r w:rsidR="0025365C">
        <w:rPr>
          <w:sz w:val="23"/>
          <w:szCs w:val="23"/>
        </w:rPr>
        <w:t>ecause Data Exchange was not served with the Application,</w:t>
      </w:r>
      <w:r>
        <w:rPr>
          <w:sz w:val="23"/>
          <w:szCs w:val="23"/>
        </w:rPr>
        <w:t xml:space="preserve"> it has not had the opportunity to object to or otherwise submit an answer to the Application as required by the regulations.</w:t>
      </w:r>
      <w:r w:rsidR="0025365C">
        <w:rPr>
          <w:sz w:val="23"/>
          <w:szCs w:val="23"/>
        </w:rPr>
        <w:t xml:space="preserve">  It would be unduly burdensome to issue a subpoena upon a non-party entity, who has not had notice of the Application or an opportunity to object prior to its issuance.  Accordingly, the Application will be denied.</w:t>
      </w:r>
    </w:p>
    <w:p w14:paraId="1B795177" w14:textId="0DD6CA20" w:rsidR="0025365C" w:rsidRDefault="0025365C" w:rsidP="0025365C">
      <w:pPr>
        <w:pStyle w:val="Default"/>
        <w:spacing w:line="360" w:lineRule="auto"/>
        <w:ind w:firstLine="1440"/>
      </w:pPr>
    </w:p>
    <w:p w14:paraId="0414E84C" w14:textId="77777777" w:rsidR="00ED5AEB" w:rsidRDefault="00ED5AEB" w:rsidP="0025365C">
      <w:pPr>
        <w:pStyle w:val="Default"/>
        <w:spacing w:line="360" w:lineRule="auto"/>
        <w:ind w:firstLine="1440"/>
      </w:pPr>
    </w:p>
    <w:p w14:paraId="42B6532B" w14:textId="1AF9C243" w:rsidR="00AF0000" w:rsidRDefault="00AF0000" w:rsidP="00B82B33">
      <w:pPr>
        <w:spacing w:after="0"/>
      </w:pPr>
      <w:r>
        <w:tab/>
        <w:t>THEREFORE,</w:t>
      </w:r>
    </w:p>
    <w:p w14:paraId="67A1838B" w14:textId="77777777" w:rsidR="00AF0000" w:rsidRDefault="00AF0000" w:rsidP="00B82B33">
      <w:pPr>
        <w:spacing w:after="0"/>
      </w:pPr>
    </w:p>
    <w:p w14:paraId="3A404D0E" w14:textId="77777777" w:rsidR="00AF0000" w:rsidRDefault="00AF0000" w:rsidP="00B82B33">
      <w:pPr>
        <w:spacing w:after="0"/>
      </w:pPr>
      <w:r>
        <w:tab/>
        <w:t>IT IS ORDERED:</w:t>
      </w:r>
    </w:p>
    <w:p w14:paraId="4FD8D898" w14:textId="77777777" w:rsidR="00AF0000" w:rsidRDefault="00AF0000" w:rsidP="00B82B33">
      <w:pPr>
        <w:spacing w:after="0"/>
      </w:pPr>
    </w:p>
    <w:p w14:paraId="156038FD" w14:textId="0BD4C4C2" w:rsidR="006378F7" w:rsidRDefault="00AF0000" w:rsidP="0025365C">
      <w:pPr>
        <w:spacing w:after="0"/>
      </w:pPr>
      <w:r>
        <w:tab/>
        <w:t>1.</w:t>
      </w:r>
      <w:r>
        <w:tab/>
        <w:t xml:space="preserve">That </w:t>
      </w:r>
      <w:r w:rsidR="0025365C">
        <w:t xml:space="preserve">Andrew Perrong’s Application for </w:t>
      </w:r>
      <w:proofErr w:type="gramStart"/>
      <w:r w:rsidR="0025365C">
        <w:t>a</w:t>
      </w:r>
      <w:proofErr w:type="gramEnd"/>
      <w:r w:rsidR="0025365C">
        <w:t xml:space="preserve"> Issuance of a Subpoena to Data Exchange, Inc. d/b/a TPV.COM is denied.</w:t>
      </w:r>
      <w:r w:rsidR="003F7B6D">
        <w:t xml:space="preserve"> </w:t>
      </w:r>
    </w:p>
    <w:p w14:paraId="2776FD8E" w14:textId="77777777" w:rsidR="006378F7" w:rsidRDefault="006378F7" w:rsidP="00B82B33">
      <w:pPr>
        <w:spacing w:after="0"/>
      </w:pPr>
    </w:p>
    <w:p w14:paraId="1AE9FA8B" w14:textId="77777777" w:rsidR="006378F7" w:rsidRDefault="006378F7" w:rsidP="00B82B33">
      <w:pPr>
        <w:spacing w:after="0"/>
      </w:pPr>
      <w:r>
        <w:tab/>
        <w:t xml:space="preserve"> </w:t>
      </w:r>
    </w:p>
    <w:p w14:paraId="1D3D64B0" w14:textId="77777777" w:rsidR="003F7B6D" w:rsidRPr="00985788" w:rsidRDefault="006378F7" w:rsidP="003F7B6D">
      <w:pPr>
        <w:tabs>
          <w:tab w:val="clear" w:pos="1440"/>
        </w:tabs>
        <w:spacing w:after="0" w:line="240" w:lineRule="auto"/>
        <w:rPr>
          <w:rFonts w:eastAsia="SimSun"/>
        </w:rPr>
      </w:pPr>
      <w:r>
        <w:t xml:space="preserve"> </w:t>
      </w:r>
    </w:p>
    <w:p w14:paraId="5A056597" w14:textId="77777777" w:rsidR="0025365C" w:rsidRDefault="003F7B6D" w:rsidP="0025365C">
      <w:pPr>
        <w:spacing w:after="0"/>
        <w:rPr>
          <w:rFonts w:eastAsia="SimSun"/>
          <w:u w:val="single"/>
        </w:rPr>
      </w:pPr>
      <w:r w:rsidRPr="00985788">
        <w:rPr>
          <w:rFonts w:eastAsia="SimSun"/>
        </w:rPr>
        <w:t xml:space="preserve">Date:  </w:t>
      </w:r>
      <w:r w:rsidR="0025365C">
        <w:rPr>
          <w:rFonts w:eastAsia="SimSun"/>
          <w:u w:val="single"/>
        </w:rPr>
        <w:t>October 21, 2020</w:t>
      </w:r>
      <w:r w:rsidR="0025365C">
        <w:rPr>
          <w:rFonts w:eastAsia="SimSun"/>
        </w:rPr>
        <w:tab/>
      </w:r>
      <w:r w:rsidR="0025365C">
        <w:rPr>
          <w:rFonts w:eastAsia="SimSun"/>
        </w:rPr>
        <w:tab/>
      </w:r>
      <w:r w:rsidR="0025365C">
        <w:rPr>
          <w:rFonts w:eastAsia="SimSun"/>
        </w:rPr>
        <w:tab/>
      </w:r>
      <w:r w:rsidR="0025365C">
        <w:rPr>
          <w:rFonts w:eastAsia="SimSun"/>
        </w:rPr>
        <w:tab/>
      </w:r>
      <w:r w:rsidR="0025365C">
        <w:rPr>
          <w:rFonts w:eastAsia="SimSun"/>
          <w:u w:val="single"/>
        </w:rPr>
        <w:tab/>
      </w:r>
      <w:r w:rsidR="0025365C">
        <w:rPr>
          <w:rFonts w:eastAsia="SimSun"/>
          <w:u w:val="single"/>
        </w:rPr>
        <w:tab/>
        <w:t>/s/</w:t>
      </w:r>
      <w:r w:rsidR="0025365C">
        <w:rPr>
          <w:rFonts w:eastAsia="SimSun"/>
          <w:u w:val="single"/>
        </w:rPr>
        <w:tab/>
      </w:r>
      <w:r w:rsidR="0025365C">
        <w:rPr>
          <w:rFonts w:eastAsia="SimSun"/>
          <w:u w:val="single"/>
        </w:rPr>
        <w:tab/>
      </w:r>
      <w:r w:rsidR="0025365C">
        <w:rPr>
          <w:rFonts w:eastAsia="SimSun"/>
          <w:u w:val="single"/>
        </w:rPr>
        <w:tab/>
      </w:r>
    </w:p>
    <w:p w14:paraId="3B77620C" w14:textId="77777777" w:rsidR="0025365C" w:rsidRDefault="0025365C" w:rsidP="0025365C">
      <w:pPr>
        <w:spacing w:after="0" w:line="240" w:lineRule="auto"/>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Elizabeth H. Barnes</w:t>
      </w:r>
    </w:p>
    <w:p w14:paraId="377E0493" w14:textId="77777777" w:rsidR="00ED5AEB" w:rsidRDefault="0025365C" w:rsidP="0025365C">
      <w:pPr>
        <w:spacing w:after="0" w:line="240" w:lineRule="auto"/>
        <w:rPr>
          <w:rFonts w:eastAsia="SimSun"/>
        </w:rPr>
        <w:sectPr w:rsidR="00ED5AEB" w:rsidSect="00035DDF">
          <w:footerReference w:type="default" r:id="rId8"/>
          <w:pgSz w:w="12240" w:h="15840"/>
          <w:pgMar w:top="1440" w:right="1440" w:bottom="1440" w:left="1440" w:header="720" w:footer="720" w:gutter="0"/>
          <w:cols w:space="720"/>
          <w:titlePg/>
          <w:docGrid w:linePitch="360"/>
        </w:sectPr>
      </w:pPr>
      <w:r>
        <w:rPr>
          <w:rFonts w:eastAsia="SimSun"/>
        </w:rPr>
        <w:tab/>
      </w:r>
      <w:r>
        <w:rPr>
          <w:rFonts w:eastAsia="SimSun"/>
        </w:rPr>
        <w:tab/>
      </w:r>
      <w:r>
        <w:rPr>
          <w:rFonts w:eastAsia="SimSun"/>
        </w:rPr>
        <w:tab/>
      </w:r>
      <w:r>
        <w:rPr>
          <w:rFonts w:eastAsia="SimSun"/>
        </w:rPr>
        <w:tab/>
      </w:r>
      <w:r>
        <w:rPr>
          <w:rFonts w:eastAsia="SimSun"/>
        </w:rPr>
        <w:tab/>
      </w:r>
      <w:r>
        <w:rPr>
          <w:rFonts w:eastAsia="SimSun"/>
        </w:rPr>
        <w:tab/>
        <w:t>Administrative Law Judge</w:t>
      </w:r>
      <w:r>
        <w:rPr>
          <w:rFonts w:eastAsia="SimSun"/>
        </w:rPr>
        <w:tab/>
      </w:r>
    </w:p>
    <w:p w14:paraId="147E9F16" w14:textId="77777777" w:rsidR="00ED5AEB" w:rsidRPr="00ED5AEB" w:rsidRDefault="00ED5AEB" w:rsidP="00ED5AEB">
      <w:pPr>
        <w:tabs>
          <w:tab w:val="clear" w:pos="1440"/>
        </w:tabs>
        <w:spacing w:after="160" w:line="259" w:lineRule="auto"/>
        <w:rPr>
          <w:rFonts w:ascii="Calibri" w:hAnsi="Calibri"/>
          <w:sz w:val="22"/>
          <w:szCs w:val="22"/>
        </w:rPr>
      </w:pPr>
      <w:r w:rsidRPr="00ED5AEB">
        <w:rPr>
          <w:rFonts w:ascii="Microsoft Sans Serif" w:eastAsia="Microsoft Sans Serif" w:hAnsi="Microsoft Sans Serif" w:cs="Microsoft Sans Serif"/>
          <w:b/>
          <w:szCs w:val="22"/>
          <w:u w:val="single"/>
        </w:rPr>
        <w:t>C-2020-3019899 - ANDREW PERRONG v. FRONTIER UTILITIES NORTHEAST LLC</w:t>
      </w:r>
      <w:r w:rsidRPr="00ED5AEB">
        <w:rPr>
          <w:rFonts w:ascii="Microsoft Sans Serif" w:eastAsia="Microsoft Sans Serif" w:hAnsi="Microsoft Sans Serif" w:cs="Microsoft Sans Serif"/>
          <w:b/>
          <w:szCs w:val="22"/>
          <w:u w:val="single"/>
        </w:rPr>
        <w:cr/>
      </w:r>
      <w:r w:rsidRPr="00ED5AEB">
        <w:rPr>
          <w:rFonts w:ascii="Microsoft Sans Serif" w:eastAsia="Microsoft Sans Serif" w:hAnsi="Microsoft Sans Serif" w:cs="Microsoft Sans Serif"/>
          <w:b/>
          <w:szCs w:val="22"/>
          <w:u w:val="single"/>
        </w:rPr>
        <w:cr/>
      </w:r>
      <w:r w:rsidRPr="00ED5AEB">
        <w:rPr>
          <w:rFonts w:ascii="Microsoft Sans Serif" w:eastAsia="Microsoft Sans Serif" w:hAnsi="Microsoft Sans Serif" w:cs="Microsoft Sans Serif"/>
          <w:szCs w:val="22"/>
        </w:rPr>
        <w:t>ANDREW PERRONG</w:t>
      </w:r>
      <w:r w:rsidRPr="00ED5AEB">
        <w:rPr>
          <w:rFonts w:ascii="Microsoft Sans Serif" w:eastAsia="Microsoft Sans Serif" w:hAnsi="Microsoft Sans Serif" w:cs="Microsoft Sans Serif"/>
          <w:szCs w:val="22"/>
        </w:rPr>
        <w:cr/>
        <w:t xml:space="preserve">1657 THE FAIRWAY </w:t>
      </w:r>
      <w:r w:rsidRPr="00ED5AEB">
        <w:rPr>
          <w:rFonts w:ascii="Microsoft Sans Serif" w:eastAsia="Microsoft Sans Serif" w:hAnsi="Microsoft Sans Serif" w:cs="Microsoft Sans Serif"/>
          <w:szCs w:val="22"/>
        </w:rPr>
        <w:cr/>
        <w:t>SUITE 131</w:t>
      </w:r>
      <w:r w:rsidRPr="00ED5AEB">
        <w:rPr>
          <w:rFonts w:ascii="Microsoft Sans Serif" w:eastAsia="Microsoft Sans Serif" w:hAnsi="Microsoft Sans Serif" w:cs="Microsoft Sans Serif"/>
          <w:szCs w:val="22"/>
        </w:rPr>
        <w:cr/>
        <w:t>JENKINTOWN PA  19046</w:t>
      </w:r>
      <w:r w:rsidRPr="00ED5AEB">
        <w:rPr>
          <w:rFonts w:ascii="Microsoft Sans Serif" w:eastAsia="Microsoft Sans Serif" w:hAnsi="Microsoft Sans Serif" w:cs="Microsoft Sans Serif"/>
          <w:szCs w:val="22"/>
        </w:rPr>
        <w:cr/>
      </w:r>
      <w:r w:rsidRPr="00ED5AEB">
        <w:rPr>
          <w:rFonts w:ascii="Microsoft Sans Serif" w:eastAsia="Microsoft Sans Serif" w:hAnsi="Microsoft Sans Serif" w:cs="Microsoft Sans Serif"/>
          <w:b/>
          <w:bCs/>
          <w:szCs w:val="22"/>
        </w:rPr>
        <w:t>215.791.6957</w:t>
      </w:r>
      <w:r w:rsidRPr="00ED5AEB">
        <w:rPr>
          <w:rFonts w:ascii="Microsoft Sans Serif" w:eastAsia="Microsoft Sans Serif" w:hAnsi="Microsoft Sans Serif" w:cs="Microsoft Sans Serif"/>
          <w:szCs w:val="22"/>
        </w:rPr>
        <w:br/>
        <w:t>Accepts eService</w:t>
      </w:r>
      <w:r w:rsidRPr="00ED5AEB">
        <w:rPr>
          <w:rFonts w:ascii="Microsoft Sans Serif" w:eastAsia="Microsoft Sans Serif" w:hAnsi="Microsoft Sans Serif" w:cs="Microsoft Sans Serif"/>
          <w:szCs w:val="22"/>
        </w:rPr>
        <w:cr/>
      </w:r>
      <w:r w:rsidRPr="00ED5AEB">
        <w:rPr>
          <w:rFonts w:ascii="Microsoft Sans Serif" w:eastAsia="Microsoft Sans Serif" w:hAnsi="Microsoft Sans Serif" w:cs="Microsoft Sans Serif"/>
          <w:szCs w:val="22"/>
        </w:rPr>
        <w:cr/>
        <w:t>DEANNE M O'DELL ESQUIRE</w:t>
      </w:r>
      <w:r w:rsidRPr="00ED5AEB">
        <w:rPr>
          <w:rFonts w:ascii="Microsoft Sans Serif" w:eastAsia="Microsoft Sans Serif" w:hAnsi="Microsoft Sans Serif" w:cs="Microsoft Sans Serif"/>
          <w:szCs w:val="22"/>
        </w:rPr>
        <w:cr/>
        <w:t>ECKERT SEAMANS CHERIN &amp; MELLOTT LLC</w:t>
      </w:r>
      <w:r w:rsidRPr="00ED5AEB">
        <w:rPr>
          <w:rFonts w:ascii="Microsoft Sans Serif" w:eastAsia="Microsoft Sans Serif" w:hAnsi="Microsoft Sans Serif" w:cs="Microsoft Sans Serif"/>
          <w:szCs w:val="22"/>
        </w:rPr>
        <w:cr/>
        <w:t>213 MARKET STREET  8TH FLOOR</w:t>
      </w:r>
      <w:r w:rsidRPr="00ED5AEB">
        <w:rPr>
          <w:rFonts w:ascii="Microsoft Sans Serif" w:eastAsia="Microsoft Sans Serif" w:hAnsi="Microsoft Sans Serif" w:cs="Microsoft Sans Serif"/>
          <w:szCs w:val="22"/>
        </w:rPr>
        <w:cr/>
        <w:t>HARRISBURG PA  17101</w:t>
      </w:r>
      <w:r w:rsidRPr="00ED5AEB">
        <w:rPr>
          <w:rFonts w:ascii="Microsoft Sans Serif" w:eastAsia="Microsoft Sans Serif" w:hAnsi="Microsoft Sans Serif" w:cs="Microsoft Sans Serif"/>
          <w:szCs w:val="22"/>
        </w:rPr>
        <w:cr/>
      </w:r>
      <w:r w:rsidRPr="00ED5AEB">
        <w:rPr>
          <w:rFonts w:ascii="Microsoft Sans Serif" w:eastAsia="Microsoft Sans Serif" w:hAnsi="Microsoft Sans Serif" w:cs="Microsoft Sans Serif"/>
          <w:b/>
          <w:bCs/>
          <w:szCs w:val="22"/>
        </w:rPr>
        <w:t>717.255.3744</w:t>
      </w:r>
      <w:r w:rsidRPr="00ED5AEB">
        <w:rPr>
          <w:rFonts w:ascii="Microsoft Sans Serif" w:eastAsia="Microsoft Sans Serif" w:hAnsi="Microsoft Sans Serif" w:cs="Microsoft Sans Serif"/>
          <w:b/>
          <w:bCs/>
          <w:szCs w:val="22"/>
        </w:rPr>
        <w:br/>
      </w:r>
      <w:r w:rsidRPr="00ED5AEB">
        <w:rPr>
          <w:rFonts w:ascii="Microsoft Sans Serif" w:eastAsia="Microsoft Sans Serif" w:hAnsi="Microsoft Sans Serif" w:cs="Microsoft Sans Serif"/>
          <w:szCs w:val="22"/>
        </w:rPr>
        <w:t xml:space="preserve">Accepts eService </w:t>
      </w:r>
      <w:r w:rsidRPr="00ED5AEB">
        <w:rPr>
          <w:rFonts w:ascii="Microsoft Sans Serif" w:eastAsia="Microsoft Sans Serif" w:hAnsi="Microsoft Sans Serif" w:cs="Microsoft Sans Serif"/>
          <w:szCs w:val="22"/>
        </w:rPr>
        <w:cr/>
      </w:r>
    </w:p>
    <w:p w14:paraId="6109814D" w14:textId="433731CB" w:rsidR="0025365C" w:rsidRPr="0025365C" w:rsidRDefault="0025365C" w:rsidP="0025365C">
      <w:pPr>
        <w:spacing w:after="0" w:line="240" w:lineRule="auto"/>
        <w:rPr>
          <w:rFonts w:eastAsia="SimSun"/>
        </w:rPr>
      </w:pPr>
      <w:bookmarkStart w:id="1" w:name="_GoBack"/>
      <w:bookmarkEnd w:id="1"/>
    </w:p>
    <w:sectPr w:rsidR="0025365C" w:rsidRPr="0025365C" w:rsidSect="00035DD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7DBC3" w14:textId="77777777" w:rsidR="008E4A8C" w:rsidRDefault="008E4A8C" w:rsidP="00AE74B1">
      <w:pPr>
        <w:spacing w:after="0" w:line="240" w:lineRule="auto"/>
      </w:pPr>
      <w:r>
        <w:separator/>
      </w:r>
    </w:p>
  </w:endnote>
  <w:endnote w:type="continuationSeparator" w:id="0">
    <w:p w14:paraId="0BCDB0A1" w14:textId="77777777" w:rsidR="008E4A8C" w:rsidRDefault="008E4A8C" w:rsidP="00AE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725954"/>
      <w:docPartObj>
        <w:docPartGallery w:val="Page Numbers (Bottom of Page)"/>
        <w:docPartUnique/>
      </w:docPartObj>
    </w:sdtPr>
    <w:sdtEndPr>
      <w:rPr>
        <w:noProof/>
        <w:sz w:val="20"/>
      </w:rPr>
    </w:sdtEndPr>
    <w:sdtContent>
      <w:p w14:paraId="3D2A2507" w14:textId="77777777" w:rsidR="00035DDF" w:rsidRPr="00ED5AEB" w:rsidRDefault="00035DDF">
        <w:pPr>
          <w:pStyle w:val="Footer"/>
          <w:jc w:val="center"/>
          <w:rPr>
            <w:sz w:val="20"/>
          </w:rPr>
        </w:pPr>
        <w:r w:rsidRPr="00ED5AEB">
          <w:rPr>
            <w:sz w:val="20"/>
          </w:rPr>
          <w:fldChar w:fldCharType="begin"/>
        </w:r>
        <w:r w:rsidRPr="00ED5AEB">
          <w:rPr>
            <w:sz w:val="20"/>
          </w:rPr>
          <w:instrText xml:space="preserve"> PAGE   \* MERGEFORMAT </w:instrText>
        </w:r>
        <w:r w:rsidRPr="00ED5AEB">
          <w:rPr>
            <w:sz w:val="20"/>
          </w:rPr>
          <w:fldChar w:fldCharType="separate"/>
        </w:r>
        <w:r w:rsidR="000509B7" w:rsidRPr="00ED5AEB">
          <w:rPr>
            <w:noProof/>
            <w:sz w:val="20"/>
          </w:rPr>
          <w:t>4</w:t>
        </w:r>
        <w:r w:rsidRPr="00ED5AE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405D3" w14:textId="77777777" w:rsidR="008E4A8C" w:rsidRDefault="008E4A8C" w:rsidP="00AE74B1">
      <w:pPr>
        <w:spacing w:after="0" w:line="240" w:lineRule="auto"/>
      </w:pPr>
      <w:r>
        <w:separator/>
      </w:r>
    </w:p>
  </w:footnote>
  <w:footnote w:type="continuationSeparator" w:id="0">
    <w:p w14:paraId="5219353A" w14:textId="77777777" w:rsidR="008E4A8C" w:rsidRDefault="008E4A8C" w:rsidP="00AE74B1">
      <w:pPr>
        <w:spacing w:after="0" w:line="240" w:lineRule="auto"/>
      </w:pPr>
      <w:r>
        <w:continuationSeparator/>
      </w:r>
    </w:p>
  </w:footnote>
  <w:footnote w:id="1">
    <w:p w14:paraId="33198F61" w14:textId="77777777" w:rsidR="002065EE" w:rsidRDefault="002065EE" w:rsidP="002065EE">
      <w:pPr>
        <w:pStyle w:val="FootnoteText"/>
        <w:spacing w:after="0"/>
        <w:ind w:firstLine="720"/>
      </w:pPr>
      <w:r>
        <w:rPr>
          <w:rStyle w:val="FootnoteReference"/>
        </w:rPr>
        <w:footnoteRef/>
      </w:r>
      <w:r>
        <w:t xml:space="preserve"> </w:t>
      </w:r>
      <w:r>
        <w:tab/>
        <w:t>66 Pa.C.S. § 309.  See also 66 Pa.C.S. § 331(d)(2)(authorizing presiding officers to issue subpoena).</w:t>
      </w:r>
    </w:p>
    <w:p w14:paraId="769E466A" w14:textId="77777777" w:rsidR="002065EE" w:rsidRDefault="002065EE" w:rsidP="002065EE">
      <w:pPr>
        <w:pStyle w:val="FootnoteText"/>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6A"/>
    <w:rsid w:val="00004C37"/>
    <w:rsid w:val="000357B3"/>
    <w:rsid w:val="00035DDF"/>
    <w:rsid w:val="00043F12"/>
    <w:rsid w:val="000509B7"/>
    <w:rsid w:val="00056BFA"/>
    <w:rsid w:val="000E68AF"/>
    <w:rsid w:val="001358CE"/>
    <w:rsid w:val="00137808"/>
    <w:rsid w:val="0014451D"/>
    <w:rsid w:val="001544ED"/>
    <w:rsid w:val="001B1CBA"/>
    <w:rsid w:val="001D60E1"/>
    <w:rsid w:val="001F3E81"/>
    <w:rsid w:val="00206534"/>
    <w:rsid w:val="002065EE"/>
    <w:rsid w:val="00213167"/>
    <w:rsid w:val="002512F9"/>
    <w:rsid w:val="0025177D"/>
    <w:rsid w:val="0025365C"/>
    <w:rsid w:val="002A11B5"/>
    <w:rsid w:val="002C0B7C"/>
    <w:rsid w:val="002C2F59"/>
    <w:rsid w:val="003540E2"/>
    <w:rsid w:val="003870C7"/>
    <w:rsid w:val="0038720E"/>
    <w:rsid w:val="00390FC7"/>
    <w:rsid w:val="00393C92"/>
    <w:rsid w:val="003A1927"/>
    <w:rsid w:val="003F187B"/>
    <w:rsid w:val="003F1D24"/>
    <w:rsid w:val="003F466B"/>
    <w:rsid w:val="003F7B6D"/>
    <w:rsid w:val="00415EA6"/>
    <w:rsid w:val="00417581"/>
    <w:rsid w:val="004A7774"/>
    <w:rsid w:val="004D523C"/>
    <w:rsid w:val="004E615C"/>
    <w:rsid w:val="00500C24"/>
    <w:rsid w:val="00520407"/>
    <w:rsid w:val="00526D22"/>
    <w:rsid w:val="00564BC1"/>
    <w:rsid w:val="005A1C17"/>
    <w:rsid w:val="005A2ABA"/>
    <w:rsid w:val="005C4A88"/>
    <w:rsid w:val="0061775F"/>
    <w:rsid w:val="006378F7"/>
    <w:rsid w:val="00652DA1"/>
    <w:rsid w:val="006573BD"/>
    <w:rsid w:val="00692BF9"/>
    <w:rsid w:val="006E082A"/>
    <w:rsid w:val="006E46B7"/>
    <w:rsid w:val="006F0329"/>
    <w:rsid w:val="00707D4C"/>
    <w:rsid w:val="00712E58"/>
    <w:rsid w:val="007417DF"/>
    <w:rsid w:val="00792796"/>
    <w:rsid w:val="00796343"/>
    <w:rsid w:val="007A442D"/>
    <w:rsid w:val="007E4CC4"/>
    <w:rsid w:val="007E6779"/>
    <w:rsid w:val="00820B4C"/>
    <w:rsid w:val="008524F3"/>
    <w:rsid w:val="008529D2"/>
    <w:rsid w:val="008667D0"/>
    <w:rsid w:val="00893FC5"/>
    <w:rsid w:val="008962E5"/>
    <w:rsid w:val="008E4A8C"/>
    <w:rsid w:val="008F7104"/>
    <w:rsid w:val="00925EFF"/>
    <w:rsid w:val="00976DA3"/>
    <w:rsid w:val="0099131F"/>
    <w:rsid w:val="0099481D"/>
    <w:rsid w:val="00995A37"/>
    <w:rsid w:val="00997E61"/>
    <w:rsid w:val="009B551B"/>
    <w:rsid w:val="009C10C7"/>
    <w:rsid w:val="009D09C2"/>
    <w:rsid w:val="009E3612"/>
    <w:rsid w:val="009E6E6E"/>
    <w:rsid w:val="009E7B38"/>
    <w:rsid w:val="009F196E"/>
    <w:rsid w:val="00A10D17"/>
    <w:rsid w:val="00A55096"/>
    <w:rsid w:val="00A61E36"/>
    <w:rsid w:val="00A82479"/>
    <w:rsid w:val="00A85951"/>
    <w:rsid w:val="00A9405A"/>
    <w:rsid w:val="00AA2EC5"/>
    <w:rsid w:val="00AB4C73"/>
    <w:rsid w:val="00AD33F3"/>
    <w:rsid w:val="00AD4928"/>
    <w:rsid w:val="00AE1975"/>
    <w:rsid w:val="00AE6F47"/>
    <w:rsid w:val="00AE74B1"/>
    <w:rsid w:val="00AF0000"/>
    <w:rsid w:val="00B3101C"/>
    <w:rsid w:val="00B3237B"/>
    <w:rsid w:val="00B6094B"/>
    <w:rsid w:val="00B71B81"/>
    <w:rsid w:val="00B82B33"/>
    <w:rsid w:val="00B83E62"/>
    <w:rsid w:val="00BC6B21"/>
    <w:rsid w:val="00C01051"/>
    <w:rsid w:val="00C028B4"/>
    <w:rsid w:val="00C0578C"/>
    <w:rsid w:val="00C05E11"/>
    <w:rsid w:val="00C46FFF"/>
    <w:rsid w:val="00C56A17"/>
    <w:rsid w:val="00C87E57"/>
    <w:rsid w:val="00C90642"/>
    <w:rsid w:val="00CB2B6D"/>
    <w:rsid w:val="00CB7F30"/>
    <w:rsid w:val="00CC278C"/>
    <w:rsid w:val="00D22A28"/>
    <w:rsid w:val="00D412F9"/>
    <w:rsid w:val="00D62518"/>
    <w:rsid w:val="00D65F13"/>
    <w:rsid w:val="00D733DD"/>
    <w:rsid w:val="00D74E92"/>
    <w:rsid w:val="00D9034B"/>
    <w:rsid w:val="00D922AE"/>
    <w:rsid w:val="00DA0B63"/>
    <w:rsid w:val="00DA3B2B"/>
    <w:rsid w:val="00DB3529"/>
    <w:rsid w:val="00DB533C"/>
    <w:rsid w:val="00DC1879"/>
    <w:rsid w:val="00DD5C37"/>
    <w:rsid w:val="00E0086A"/>
    <w:rsid w:val="00E23D16"/>
    <w:rsid w:val="00E32381"/>
    <w:rsid w:val="00E33031"/>
    <w:rsid w:val="00E5523F"/>
    <w:rsid w:val="00E82B94"/>
    <w:rsid w:val="00EC1CBA"/>
    <w:rsid w:val="00EC2D24"/>
    <w:rsid w:val="00ED5AEB"/>
    <w:rsid w:val="00EE7801"/>
    <w:rsid w:val="00EF0319"/>
    <w:rsid w:val="00F06325"/>
    <w:rsid w:val="00F16554"/>
    <w:rsid w:val="00F22A5C"/>
    <w:rsid w:val="00F2591B"/>
    <w:rsid w:val="00F349E4"/>
    <w:rsid w:val="00F544E1"/>
    <w:rsid w:val="00F650A1"/>
    <w:rsid w:val="00F73A61"/>
    <w:rsid w:val="00F87208"/>
    <w:rsid w:val="00FD5C10"/>
    <w:rsid w:val="00FD7E08"/>
    <w:rsid w:val="00FE5C41"/>
    <w:rsid w:val="00FE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E685"/>
  <w15:docId w15:val="{6CFB168D-1721-43E7-8BDD-35DFC4E5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 w:type="paragraph" w:customStyle="1" w:styleId="ParaTab1">
    <w:name w:val="ParaTab 1"/>
    <w:rsid w:val="001358CE"/>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065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7050">
      <w:bodyDiv w:val="1"/>
      <w:marLeft w:val="0"/>
      <w:marRight w:val="0"/>
      <w:marTop w:val="0"/>
      <w:marBottom w:val="0"/>
      <w:divBdr>
        <w:top w:val="none" w:sz="0" w:space="0" w:color="auto"/>
        <w:left w:val="none" w:sz="0" w:space="0" w:color="auto"/>
        <w:bottom w:val="none" w:sz="0" w:space="0" w:color="auto"/>
        <w:right w:val="none" w:sz="0" w:space="0" w:color="auto"/>
      </w:divBdr>
    </w:div>
    <w:div w:id="1712802898">
      <w:bodyDiv w:val="1"/>
      <w:marLeft w:val="0"/>
      <w:marRight w:val="0"/>
      <w:marTop w:val="0"/>
      <w:marBottom w:val="0"/>
      <w:divBdr>
        <w:top w:val="none" w:sz="0" w:space="0" w:color="auto"/>
        <w:left w:val="none" w:sz="0" w:space="0" w:color="auto"/>
        <w:bottom w:val="none" w:sz="0" w:space="0" w:color="auto"/>
        <w:right w:val="none" w:sz="0" w:space="0" w:color="auto"/>
      </w:divBdr>
      <w:divsChild>
        <w:div w:id="155762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ECD38-C3D5-4E94-AB83-5E6732A5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Williams, Bobbie Jo</cp:lastModifiedBy>
  <cp:revision>2</cp:revision>
  <cp:lastPrinted>2015-04-03T19:30:00Z</cp:lastPrinted>
  <dcterms:created xsi:type="dcterms:W3CDTF">2020-10-21T13:31:00Z</dcterms:created>
  <dcterms:modified xsi:type="dcterms:W3CDTF">2020-10-21T13:31:00Z</dcterms:modified>
</cp:coreProperties>
</file>