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2EE577" w14:textId="77777777" w:rsidR="00FF7A45" w:rsidRPr="000D3BC2" w:rsidRDefault="00FF7A45" w:rsidP="00FF7A45">
      <w:pPr>
        <w:jc w:val="center"/>
        <w:rPr>
          <w:b/>
          <w:sz w:val="24"/>
          <w:szCs w:val="24"/>
        </w:rPr>
      </w:pPr>
      <w:r w:rsidRPr="000D3BC2">
        <w:rPr>
          <w:b/>
          <w:sz w:val="24"/>
          <w:szCs w:val="24"/>
        </w:rPr>
        <w:t>BEFORE THE</w:t>
      </w:r>
    </w:p>
    <w:p w14:paraId="3725D641" w14:textId="77777777" w:rsidR="00FF7A45" w:rsidRPr="000D3BC2" w:rsidRDefault="00FF7A45" w:rsidP="00FF7A45">
      <w:pPr>
        <w:jc w:val="center"/>
        <w:rPr>
          <w:sz w:val="24"/>
          <w:szCs w:val="24"/>
        </w:rPr>
      </w:pPr>
      <w:r w:rsidRPr="000D3BC2">
        <w:rPr>
          <w:b/>
          <w:sz w:val="24"/>
          <w:szCs w:val="24"/>
        </w:rPr>
        <w:t>PENNSYLVANIA PUBLIC UTILITY COMMISSION</w:t>
      </w:r>
    </w:p>
    <w:p w14:paraId="41995527" w14:textId="77777777" w:rsidR="00FF7A45" w:rsidRPr="000D3BC2" w:rsidRDefault="00FF7A45" w:rsidP="00FF7A45">
      <w:pPr>
        <w:jc w:val="center"/>
        <w:rPr>
          <w:sz w:val="24"/>
          <w:szCs w:val="24"/>
        </w:rPr>
      </w:pPr>
    </w:p>
    <w:p w14:paraId="32649555" w14:textId="3902B0CC" w:rsidR="00FF7A45" w:rsidRDefault="00FF7A45" w:rsidP="00FF7A45">
      <w:pPr>
        <w:jc w:val="center"/>
        <w:rPr>
          <w:sz w:val="24"/>
          <w:szCs w:val="24"/>
        </w:rPr>
      </w:pPr>
    </w:p>
    <w:p w14:paraId="37454240" w14:textId="77777777" w:rsidR="00354EB1" w:rsidRPr="000D3BC2" w:rsidRDefault="00354EB1" w:rsidP="00FF7A45">
      <w:pPr>
        <w:jc w:val="center"/>
        <w:rPr>
          <w:sz w:val="24"/>
          <w:szCs w:val="24"/>
        </w:rPr>
      </w:pPr>
    </w:p>
    <w:p w14:paraId="2EA4483B" w14:textId="06DA83C0" w:rsidR="00E94519" w:rsidRPr="000D3BC2" w:rsidRDefault="009B12C8" w:rsidP="00E94519">
      <w:pPr>
        <w:rPr>
          <w:sz w:val="24"/>
        </w:rPr>
      </w:pPr>
      <w:r>
        <w:rPr>
          <w:sz w:val="24"/>
        </w:rPr>
        <w:t>Andrew Kauffmann</w:t>
      </w:r>
      <w:r w:rsidR="00E94519" w:rsidRPr="000D3BC2">
        <w:rPr>
          <w:sz w:val="24"/>
        </w:rPr>
        <w:tab/>
      </w:r>
      <w:r>
        <w:rPr>
          <w:sz w:val="24"/>
        </w:rPr>
        <w:tab/>
      </w:r>
      <w:r w:rsidR="00E94519" w:rsidRPr="000D3BC2">
        <w:rPr>
          <w:sz w:val="24"/>
        </w:rPr>
        <w:tab/>
      </w:r>
      <w:r w:rsidR="00E94519" w:rsidRPr="000D3BC2">
        <w:rPr>
          <w:sz w:val="24"/>
        </w:rPr>
        <w:tab/>
      </w:r>
      <w:r w:rsidR="00E94519" w:rsidRPr="000D3BC2">
        <w:rPr>
          <w:sz w:val="24"/>
        </w:rPr>
        <w:tab/>
        <w:t>:</w:t>
      </w:r>
      <w:r w:rsidR="00E94519" w:rsidRPr="000D3BC2">
        <w:rPr>
          <w:sz w:val="24"/>
        </w:rPr>
        <w:tab/>
      </w:r>
      <w:r w:rsidR="00E94519" w:rsidRPr="000D3BC2">
        <w:rPr>
          <w:sz w:val="24"/>
        </w:rPr>
        <w:tab/>
      </w:r>
      <w:r>
        <w:rPr>
          <w:sz w:val="24"/>
        </w:rPr>
        <w:t>C-2020-3021066</w:t>
      </w:r>
      <w:r w:rsidR="001D3456">
        <w:rPr>
          <w:sz w:val="24"/>
        </w:rPr>
        <w:tab/>
      </w:r>
    </w:p>
    <w:p w14:paraId="6F73CB2F" w14:textId="77777777" w:rsidR="00FF7A45" w:rsidRPr="000D3BC2" w:rsidRDefault="001E0BD2" w:rsidP="00FF7A45">
      <w:pPr>
        <w:jc w:val="both"/>
        <w:rPr>
          <w:sz w:val="24"/>
          <w:szCs w:val="24"/>
        </w:rPr>
      </w:pPr>
      <w:r w:rsidRPr="000D3BC2">
        <w:rPr>
          <w:sz w:val="24"/>
          <w:szCs w:val="24"/>
        </w:rPr>
        <w:tab/>
      </w:r>
      <w:r w:rsidRPr="000D3BC2">
        <w:rPr>
          <w:sz w:val="24"/>
          <w:szCs w:val="24"/>
        </w:rPr>
        <w:tab/>
      </w:r>
      <w:r w:rsidRPr="000D3BC2">
        <w:rPr>
          <w:sz w:val="24"/>
          <w:szCs w:val="24"/>
        </w:rPr>
        <w:tab/>
      </w:r>
      <w:r w:rsidRPr="000D3BC2">
        <w:rPr>
          <w:sz w:val="24"/>
          <w:szCs w:val="24"/>
        </w:rPr>
        <w:tab/>
      </w:r>
      <w:r w:rsidRPr="000D3BC2">
        <w:rPr>
          <w:sz w:val="24"/>
          <w:szCs w:val="24"/>
        </w:rPr>
        <w:tab/>
      </w:r>
      <w:r w:rsidRPr="000D3BC2">
        <w:rPr>
          <w:sz w:val="24"/>
          <w:szCs w:val="24"/>
        </w:rPr>
        <w:tab/>
      </w:r>
      <w:r w:rsidRPr="000D3BC2">
        <w:rPr>
          <w:sz w:val="24"/>
          <w:szCs w:val="24"/>
        </w:rPr>
        <w:tab/>
        <w:t>:</w:t>
      </w:r>
    </w:p>
    <w:p w14:paraId="4846BC6A" w14:textId="704E04B0" w:rsidR="008755B1" w:rsidRPr="000D3BC2" w:rsidRDefault="009B12C8" w:rsidP="008755B1">
      <w:pPr>
        <w:jc w:val="both"/>
        <w:rPr>
          <w:sz w:val="24"/>
          <w:szCs w:val="24"/>
        </w:rPr>
      </w:pPr>
      <w:r>
        <w:rPr>
          <w:sz w:val="24"/>
          <w:szCs w:val="24"/>
        </w:rPr>
        <w:t>Edwin M. Bankert</w:t>
      </w:r>
      <w:r>
        <w:rPr>
          <w:sz w:val="24"/>
          <w:szCs w:val="24"/>
        </w:rPr>
        <w:tab/>
      </w:r>
      <w:r>
        <w:rPr>
          <w:sz w:val="24"/>
          <w:szCs w:val="24"/>
        </w:rPr>
        <w:tab/>
      </w:r>
      <w:r>
        <w:rPr>
          <w:sz w:val="24"/>
          <w:szCs w:val="24"/>
        </w:rPr>
        <w:tab/>
      </w:r>
      <w:r>
        <w:rPr>
          <w:sz w:val="24"/>
          <w:szCs w:val="24"/>
        </w:rPr>
        <w:tab/>
      </w:r>
      <w:r w:rsidR="008755B1" w:rsidRPr="000D3BC2">
        <w:rPr>
          <w:sz w:val="24"/>
          <w:szCs w:val="24"/>
        </w:rPr>
        <w:tab/>
        <w:t>:</w:t>
      </w:r>
      <w:r>
        <w:rPr>
          <w:sz w:val="24"/>
          <w:szCs w:val="24"/>
        </w:rPr>
        <w:tab/>
      </w:r>
      <w:r>
        <w:rPr>
          <w:sz w:val="24"/>
          <w:szCs w:val="24"/>
        </w:rPr>
        <w:tab/>
        <w:t>C-2020-3021479</w:t>
      </w:r>
    </w:p>
    <w:p w14:paraId="5CB70F8A" w14:textId="77777777" w:rsidR="008755B1" w:rsidRPr="000D3BC2" w:rsidRDefault="008755B1" w:rsidP="008755B1">
      <w:pPr>
        <w:jc w:val="both"/>
        <w:rPr>
          <w:sz w:val="24"/>
          <w:szCs w:val="24"/>
        </w:rPr>
      </w:pPr>
      <w:r w:rsidRPr="000D3BC2">
        <w:rPr>
          <w:sz w:val="24"/>
          <w:szCs w:val="24"/>
        </w:rPr>
        <w:tab/>
      </w:r>
      <w:r w:rsidRPr="000D3BC2">
        <w:rPr>
          <w:sz w:val="24"/>
          <w:szCs w:val="24"/>
        </w:rPr>
        <w:tab/>
      </w:r>
      <w:r w:rsidRPr="000D3BC2">
        <w:rPr>
          <w:sz w:val="24"/>
          <w:szCs w:val="24"/>
        </w:rPr>
        <w:tab/>
      </w:r>
      <w:r w:rsidRPr="000D3BC2">
        <w:rPr>
          <w:sz w:val="24"/>
          <w:szCs w:val="24"/>
        </w:rPr>
        <w:tab/>
      </w:r>
      <w:r w:rsidRPr="000D3BC2">
        <w:rPr>
          <w:sz w:val="24"/>
          <w:szCs w:val="24"/>
        </w:rPr>
        <w:tab/>
      </w:r>
      <w:r w:rsidRPr="000D3BC2">
        <w:rPr>
          <w:sz w:val="24"/>
          <w:szCs w:val="24"/>
        </w:rPr>
        <w:tab/>
      </w:r>
      <w:r w:rsidRPr="000D3BC2">
        <w:rPr>
          <w:sz w:val="24"/>
          <w:szCs w:val="24"/>
        </w:rPr>
        <w:tab/>
        <w:t>:</w:t>
      </w:r>
    </w:p>
    <w:p w14:paraId="75DC0396" w14:textId="7C16C214" w:rsidR="008755B1" w:rsidRPr="000D3BC2" w:rsidRDefault="008755B1" w:rsidP="008755B1">
      <w:pPr>
        <w:jc w:val="both"/>
        <w:rPr>
          <w:sz w:val="24"/>
          <w:szCs w:val="24"/>
        </w:rPr>
      </w:pPr>
      <w:r w:rsidRPr="000D3BC2">
        <w:rPr>
          <w:sz w:val="24"/>
          <w:szCs w:val="24"/>
        </w:rPr>
        <w:t xml:space="preserve">      v.</w:t>
      </w:r>
      <w:r w:rsidRPr="000D3BC2">
        <w:rPr>
          <w:sz w:val="24"/>
          <w:szCs w:val="24"/>
        </w:rPr>
        <w:tab/>
      </w:r>
      <w:r w:rsidRPr="000D3BC2">
        <w:rPr>
          <w:sz w:val="24"/>
          <w:szCs w:val="24"/>
        </w:rPr>
        <w:tab/>
      </w:r>
      <w:r w:rsidRPr="000D3BC2">
        <w:rPr>
          <w:sz w:val="24"/>
          <w:szCs w:val="24"/>
        </w:rPr>
        <w:tab/>
      </w:r>
      <w:r w:rsidRPr="000D3BC2">
        <w:rPr>
          <w:sz w:val="24"/>
          <w:szCs w:val="24"/>
        </w:rPr>
        <w:tab/>
      </w:r>
      <w:r w:rsidRPr="000D3BC2">
        <w:rPr>
          <w:sz w:val="24"/>
          <w:szCs w:val="24"/>
        </w:rPr>
        <w:tab/>
      </w:r>
      <w:r w:rsidRPr="000D3BC2">
        <w:rPr>
          <w:sz w:val="24"/>
          <w:szCs w:val="24"/>
        </w:rPr>
        <w:tab/>
      </w:r>
      <w:r w:rsidRPr="000D3BC2">
        <w:rPr>
          <w:sz w:val="24"/>
          <w:szCs w:val="24"/>
        </w:rPr>
        <w:tab/>
        <w:t>:</w:t>
      </w:r>
      <w:r w:rsidRPr="000D3BC2">
        <w:rPr>
          <w:sz w:val="24"/>
          <w:szCs w:val="24"/>
        </w:rPr>
        <w:tab/>
      </w:r>
      <w:r w:rsidRPr="000D3BC2">
        <w:rPr>
          <w:sz w:val="24"/>
          <w:szCs w:val="24"/>
        </w:rPr>
        <w:tab/>
      </w:r>
    </w:p>
    <w:p w14:paraId="14828542" w14:textId="77777777" w:rsidR="008755B1" w:rsidRPr="000D3BC2" w:rsidRDefault="008755B1" w:rsidP="008755B1">
      <w:pPr>
        <w:jc w:val="both"/>
        <w:rPr>
          <w:sz w:val="24"/>
          <w:szCs w:val="24"/>
        </w:rPr>
      </w:pPr>
      <w:r w:rsidRPr="000D3BC2">
        <w:rPr>
          <w:sz w:val="24"/>
          <w:szCs w:val="24"/>
        </w:rPr>
        <w:tab/>
      </w:r>
      <w:r w:rsidRPr="000D3BC2">
        <w:rPr>
          <w:sz w:val="24"/>
          <w:szCs w:val="24"/>
        </w:rPr>
        <w:tab/>
      </w:r>
      <w:r w:rsidRPr="000D3BC2">
        <w:rPr>
          <w:sz w:val="24"/>
          <w:szCs w:val="24"/>
        </w:rPr>
        <w:tab/>
      </w:r>
      <w:r w:rsidRPr="000D3BC2">
        <w:rPr>
          <w:sz w:val="24"/>
          <w:szCs w:val="24"/>
        </w:rPr>
        <w:tab/>
      </w:r>
      <w:r w:rsidRPr="000D3BC2">
        <w:rPr>
          <w:sz w:val="24"/>
          <w:szCs w:val="24"/>
        </w:rPr>
        <w:tab/>
      </w:r>
      <w:r w:rsidRPr="000D3BC2">
        <w:rPr>
          <w:sz w:val="24"/>
          <w:szCs w:val="24"/>
        </w:rPr>
        <w:tab/>
      </w:r>
      <w:r w:rsidRPr="000D3BC2">
        <w:rPr>
          <w:sz w:val="24"/>
          <w:szCs w:val="24"/>
        </w:rPr>
        <w:tab/>
        <w:t>:</w:t>
      </w:r>
    </w:p>
    <w:p w14:paraId="6E3F00E0" w14:textId="256CBC21" w:rsidR="008755B1" w:rsidRPr="000D3BC2" w:rsidRDefault="009B12C8" w:rsidP="008755B1">
      <w:pPr>
        <w:jc w:val="both"/>
        <w:rPr>
          <w:sz w:val="24"/>
          <w:szCs w:val="24"/>
        </w:rPr>
      </w:pPr>
      <w:r>
        <w:rPr>
          <w:sz w:val="24"/>
        </w:rPr>
        <w:t>The York Water Company</w:t>
      </w:r>
      <w:r w:rsidR="008755B1" w:rsidRPr="000D3BC2">
        <w:rPr>
          <w:sz w:val="24"/>
          <w:szCs w:val="24"/>
        </w:rPr>
        <w:tab/>
      </w:r>
      <w:r w:rsidR="008755B1" w:rsidRPr="000D3BC2">
        <w:rPr>
          <w:sz w:val="24"/>
          <w:szCs w:val="24"/>
        </w:rPr>
        <w:tab/>
      </w:r>
      <w:r w:rsidR="008755B1" w:rsidRPr="000D3BC2">
        <w:rPr>
          <w:sz w:val="24"/>
          <w:szCs w:val="24"/>
        </w:rPr>
        <w:tab/>
      </w:r>
      <w:r w:rsidR="001D3456">
        <w:rPr>
          <w:sz w:val="24"/>
          <w:szCs w:val="24"/>
        </w:rPr>
        <w:tab/>
      </w:r>
      <w:r w:rsidR="008755B1" w:rsidRPr="000D3BC2">
        <w:rPr>
          <w:sz w:val="24"/>
          <w:szCs w:val="24"/>
        </w:rPr>
        <w:t>:</w:t>
      </w:r>
    </w:p>
    <w:p w14:paraId="021191A8" w14:textId="77777777" w:rsidR="008755B1" w:rsidRPr="000D3BC2" w:rsidRDefault="008755B1" w:rsidP="008755B1">
      <w:pPr>
        <w:jc w:val="both"/>
        <w:rPr>
          <w:sz w:val="24"/>
          <w:szCs w:val="24"/>
        </w:rPr>
      </w:pPr>
      <w:r w:rsidRPr="000D3BC2">
        <w:rPr>
          <w:sz w:val="24"/>
          <w:szCs w:val="24"/>
        </w:rPr>
        <w:tab/>
      </w:r>
      <w:r w:rsidRPr="000D3BC2">
        <w:rPr>
          <w:sz w:val="24"/>
          <w:szCs w:val="24"/>
        </w:rPr>
        <w:tab/>
      </w:r>
      <w:r w:rsidRPr="000D3BC2">
        <w:rPr>
          <w:sz w:val="24"/>
          <w:szCs w:val="24"/>
        </w:rPr>
        <w:tab/>
      </w:r>
      <w:r w:rsidRPr="000D3BC2">
        <w:rPr>
          <w:sz w:val="24"/>
          <w:szCs w:val="24"/>
        </w:rPr>
        <w:tab/>
      </w:r>
      <w:r w:rsidRPr="000D3BC2">
        <w:rPr>
          <w:sz w:val="24"/>
          <w:szCs w:val="24"/>
        </w:rPr>
        <w:tab/>
      </w:r>
      <w:r w:rsidRPr="000D3BC2">
        <w:rPr>
          <w:sz w:val="24"/>
          <w:szCs w:val="24"/>
        </w:rPr>
        <w:tab/>
      </w:r>
      <w:r w:rsidRPr="000D3BC2">
        <w:rPr>
          <w:sz w:val="24"/>
          <w:szCs w:val="24"/>
        </w:rPr>
        <w:tab/>
      </w:r>
    </w:p>
    <w:p w14:paraId="770D8C4E" w14:textId="770B574E" w:rsidR="00FF7A45" w:rsidRDefault="0003534D" w:rsidP="00725446">
      <w:pPr>
        <w:ind w:left="360"/>
        <w:jc w:val="both"/>
        <w:rPr>
          <w:sz w:val="24"/>
          <w:szCs w:val="24"/>
        </w:rPr>
      </w:pPr>
      <w:r w:rsidRPr="000D3BC2">
        <w:rPr>
          <w:sz w:val="24"/>
          <w:szCs w:val="24"/>
        </w:rPr>
        <w:tab/>
      </w:r>
    </w:p>
    <w:p w14:paraId="0921452C" w14:textId="77777777" w:rsidR="00354EB1" w:rsidRPr="000D3BC2" w:rsidRDefault="00354EB1" w:rsidP="00725446">
      <w:pPr>
        <w:ind w:left="360"/>
        <w:jc w:val="both"/>
        <w:rPr>
          <w:sz w:val="24"/>
          <w:szCs w:val="24"/>
        </w:rPr>
      </w:pPr>
    </w:p>
    <w:p w14:paraId="5DCC87F8" w14:textId="0578093F" w:rsidR="00FF7A45" w:rsidRPr="000D3BC2" w:rsidRDefault="00A6070B" w:rsidP="00533710">
      <w:pPr>
        <w:spacing w:line="360" w:lineRule="auto"/>
        <w:jc w:val="center"/>
        <w:rPr>
          <w:b/>
          <w:sz w:val="24"/>
          <w:szCs w:val="24"/>
          <w:u w:val="single"/>
        </w:rPr>
      </w:pPr>
      <w:r w:rsidRPr="000D3BC2">
        <w:rPr>
          <w:b/>
          <w:sz w:val="24"/>
          <w:szCs w:val="24"/>
          <w:u w:val="single"/>
        </w:rPr>
        <w:t xml:space="preserve">ORDER </w:t>
      </w:r>
      <w:r w:rsidR="009B12C8">
        <w:rPr>
          <w:b/>
          <w:sz w:val="24"/>
          <w:szCs w:val="24"/>
          <w:u w:val="single"/>
        </w:rPr>
        <w:t>GRANTING</w:t>
      </w:r>
      <w:r w:rsidR="000D3BC2" w:rsidRPr="000D3BC2">
        <w:rPr>
          <w:b/>
          <w:sz w:val="24"/>
          <w:szCs w:val="24"/>
          <w:u w:val="single"/>
        </w:rPr>
        <w:t xml:space="preserve"> MOTION TO </w:t>
      </w:r>
      <w:r w:rsidRPr="000D3BC2">
        <w:rPr>
          <w:b/>
          <w:sz w:val="24"/>
          <w:szCs w:val="24"/>
          <w:u w:val="single"/>
        </w:rPr>
        <w:t>CONSOLIDAT</w:t>
      </w:r>
      <w:r w:rsidR="000D3BC2" w:rsidRPr="000D3BC2">
        <w:rPr>
          <w:b/>
          <w:sz w:val="24"/>
          <w:szCs w:val="24"/>
          <w:u w:val="single"/>
        </w:rPr>
        <w:t>E</w:t>
      </w:r>
      <w:r w:rsidRPr="000D3BC2">
        <w:rPr>
          <w:b/>
          <w:sz w:val="24"/>
          <w:szCs w:val="24"/>
          <w:u w:val="single"/>
        </w:rPr>
        <w:t xml:space="preserve"> PROCEEDINGS</w:t>
      </w:r>
    </w:p>
    <w:p w14:paraId="0A891AC6" w14:textId="77777777" w:rsidR="00533710" w:rsidRPr="000D3BC2" w:rsidRDefault="00533710" w:rsidP="00533710">
      <w:pPr>
        <w:spacing w:line="360" w:lineRule="auto"/>
        <w:ind w:firstLine="1440"/>
        <w:rPr>
          <w:sz w:val="24"/>
          <w:szCs w:val="24"/>
        </w:rPr>
      </w:pPr>
    </w:p>
    <w:p w14:paraId="64E9D39D" w14:textId="15A1D148" w:rsidR="005573E7" w:rsidRDefault="0010281E" w:rsidP="009B12C8">
      <w:pPr>
        <w:spacing w:line="360" w:lineRule="auto"/>
        <w:ind w:firstLine="1440"/>
        <w:rPr>
          <w:sz w:val="24"/>
        </w:rPr>
      </w:pPr>
      <w:r w:rsidRPr="000D3BC2">
        <w:rPr>
          <w:sz w:val="24"/>
        </w:rPr>
        <w:t xml:space="preserve">On </w:t>
      </w:r>
      <w:r w:rsidR="009B12C8">
        <w:rPr>
          <w:sz w:val="24"/>
        </w:rPr>
        <w:t>September 14, 2020</w:t>
      </w:r>
      <w:r w:rsidRPr="000D3BC2">
        <w:rPr>
          <w:sz w:val="24"/>
        </w:rPr>
        <w:t xml:space="preserve">, </w:t>
      </w:r>
      <w:r w:rsidR="009B12C8">
        <w:rPr>
          <w:sz w:val="24"/>
        </w:rPr>
        <w:t>the York Water Company (Respondent)</w:t>
      </w:r>
      <w:r w:rsidRPr="000D3BC2">
        <w:rPr>
          <w:sz w:val="24"/>
        </w:rPr>
        <w:t xml:space="preserve">, filed a </w:t>
      </w:r>
      <w:r w:rsidR="009B12C8">
        <w:rPr>
          <w:sz w:val="24"/>
        </w:rPr>
        <w:t>motion to consolidate two complaints filed by two residential customers residing near each other with similar complaints about the odor and quality of water service.   Neither Mr. Bankert nor Mr. Kauffman filed responses to the motion to consolidate.  Therefore, the motion is unopposed.</w:t>
      </w:r>
    </w:p>
    <w:p w14:paraId="31347CC1" w14:textId="77777777" w:rsidR="009B12C8" w:rsidRPr="000D3BC2" w:rsidRDefault="009B12C8" w:rsidP="009B12C8">
      <w:pPr>
        <w:spacing w:line="360" w:lineRule="auto"/>
        <w:ind w:firstLine="1440"/>
        <w:rPr>
          <w:sz w:val="24"/>
          <w:szCs w:val="24"/>
        </w:rPr>
      </w:pPr>
    </w:p>
    <w:p w14:paraId="79680A6B" w14:textId="77777777" w:rsidR="005573E7" w:rsidRPr="000D3BC2" w:rsidRDefault="005573E7" w:rsidP="00FF7A45">
      <w:pPr>
        <w:spacing w:line="360" w:lineRule="auto"/>
        <w:ind w:firstLine="1440"/>
        <w:rPr>
          <w:sz w:val="24"/>
          <w:szCs w:val="24"/>
        </w:rPr>
      </w:pPr>
      <w:r w:rsidRPr="000D3BC2">
        <w:rPr>
          <w:sz w:val="24"/>
          <w:szCs w:val="24"/>
        </w:rPr>
        <w:t xml:space="preserve">The Commission’s regulations pertaining to </w:t>
      </w:r>
      <w:r w:rsidR="00883EBB" w:rsidRPr="000D3BC2">
        <w:rPr>
          <w:sz w:val="24"/>
          <w:szCs w:val="24"/>
        </w:rPr>
        <w:t>c</w:t>
      </w:r>
      <w:r w:rsidRPr="000D3BC2">
        <w:rPr>
          <w:sz w:val="24"/>
          <w:szCs w:val="24"/>
        </w:rPr>
        <w:t>onsolidation appear at 52 Pa. Code § 5.81, and state in relevant part:</w:t>
      </w:r>
    </w:p>
    <w:p w14:paraId="2764A9A7" w14:textId="77777777" w:rsidR="00116B43" w:rsidRPr="000D3BC2" w:rsidRDefault="00116B43" w:rsidP="00FF7A45">
      <w:pPr>
        <w:spacing w:line="360" w:lineRule="auto"/>
        <w:ind w:firstLine="1440"/>
        <w:rPr>
          <w:sz w:val="24"/>
          <w:szCs w:val="24"/>
        </w:rPr>
      </w:pPr>
    </w:p>
    <w:p w14:paraId="5BCD2C08" w14:textId="77777777" w:rsidR="00116B43" w:rsidRPr="000D3BC2" w:rsidRDefault="00116B43" w:rsidP="00B20E68">
      <w:pPr>
        <w:ind w:left="720" w:firstLine="720"/>
        <w:rPr>
          <w:color w:val="000000"/>
          <w:sz w:val="24"/>
          <w:szCs w:val="24"/>
        </w:rPr>
      </w:pPr>
      <w:r w:rsidRPr="000D3BC2">
        <w:rPr>
          <w:b/>
          <w:color w:val="000000"/>
          <w:sz w:val="24"/>
          <w:szCs w:val="24"/>
        </w:rPr>
        <w:t>§ 5.81. Consolidation</w:t>
      </w:r>
      <w:r w:rsidRPr="000D3BC2">
        <w:rPr>
          <w:color w:val="000000"/>
          <w:sz w:val="24"/>
          <w:szCs w:val="24"/>
        </w:rPr>
        <w:t>.</w:t>
      </w:r>
    </w:p>
    <w:p w14:paraId="691F09DE" w14:textId="77777777" w:rsidR="00116B43" w:rsidRPr="000D3BC2" w:rsidRDefault="00116B43" w:rsidP="00B20E68">
      <w:pPr>
        <w:ind w:left="1440"/>
        <w:rPr>
          <w:color w:val="000000"/>
          <w:sz w:val="24"/>
          <w:szCs w:val="24"/>
        </w:rPr>
      </w:pPr>
      <w:r w:rsidRPr="000D3BC2">
        <w:rPr>
          <w:color w:val="000000"/>
          <w:sz w:val="24"/>
          <w:szCs w:val="24"/>
        </w:rPr>
        <w:br/>
      </w:r>
      <w:bookmarkStart w:id="0" w:name="IN;1"/>
      <w:bookmarkStart w:id="1" w:name="IN;2"/>
      <w:bookmarkEnd w:id="0"/>
      <w:bookmarkEnd w:id="1"/>
      <w:r w:rsidRPr="000D3BC2">
        <w:rPr>
          <w:color w:val="000000"/>
          <w:sz w:val="24"/>
          <w:szCs w:val="24"/>
        </w:rPr>
        <w:t>(a) The Commission or presiding officer, with or without motion, may order proceedings involving a common question of law or fact to be consolidated. The Commission or presiding officer may make orders concerning the conduct of the proceeding as may avoid unnecessary costs or delay.</w:t>
      </w:r>
    </w:p>
    <w:p w14:paraId="66CA771E" w14:textId="77777777" w:rsidR="00FB10E3" w:rsidRPr="000D3BC2" w:rsidRDefault="00FB10E3" w:rsidP="00FB10E3">
      <w:pPr>
        <w:spacing w:line="360" w:lineRule="auto"/>
        <w:ind w:left="1440"/>
        <w:rPr>
          <w:color w:val="000000"/>
          <w:sz w:val="24"/>
          <w:szCs w:val="24"/>
        </w:rPr>
      </w:pPr>
    </w:p>
    <w:p w14:paraId="0048A234" w14:textId="77777777" w:rsidR="00173C54" w:rsidRPr="000D3BC2" w:rsidRDefault="005F6906" w:rsidP="00FB10E3">
      <w:pPr>
        <w:spacing w:line="360" w:lineRule="auto"/>
        <w:ind w:firstLine="1440"/>
        <w:rPr>
          <w:color w:val="000000"/>
          <w:sz w:val="24"/>
          <w:szCs w:val="24"/>
        </w:rPr>
      </w:pPr>
      <w:r w:rsidRPr="000D3BC2">
        <w:rPr>
          <w:color w:val="000000"/>
          <w:sz w:val="24"/>
          <w:szCs w:val="24"/>
        </w:rPr>
        <w:t>Whether to consolidate particular cases</w:t>
      </w:r>
      <w:r w:rsidR="00173C54" w:rsidRPr="000D3BC2">
        <w:rPr>
          <w:color w:val="000000"/>
          <w:sz w:val="24"/>
          <w:szCs w:val="24"/>
        </w:rPr>
        <w:t xml:space="preserve"> is left to the sound discretion of the Commission or the presiding officer.</w:t>
      </w:r>
    </w:p>
    <w:p w14:paraId="7D83525E" w14:textId="77777777" w:rsidR="00173C54" w:rsidRPr="000D3BC2" w:rsidRDefault="00173C54" w:rsidP="00116B43">
      <w:pPr>
        <w:spacing w:line="360" w:lineRule="auto"/>
        <w:ind w:firstLine="1440"/>
        <w:rPr>
          <w:color w:val="000000"/>
          <w:sz w:val="24"/>
          <w:szCs w:val="24"/>
        </w:rPr>
      </w:pPr>
    </w:p>
    <w:p w14:paraId="785D113E" w14:textId="77777777" w:rsidR="00354EB1" w:rsidRDefault="005F6906" w:rsidP="00116B43">
      <w:pPr>
        <w:spacing w:line="360" w:lineRule="auto"/>
        <w:ind w:firstLine="1440"/>
        <w:rPr>
          <w:color w:val="000000"/>
          <w:sz w:val="24"/>
          <w:szCs w:val="24"/>
          <w:u w:val="single"/>
        </w:rPr>
        <w:sectPr w:rsidR="00354EB1">
          <w:footerReference w:type="even" r:id="rId8"/>
          <w:pgSz w:w="12240" w:h="15840"/>
          <w:pgMar w:top="1440" w:right="1440" w:bottom="1440" w:left="1440" w:header="720" w:footer="720" w:gutter="0"/>
          <w:cols w:space="720"/>
          <w:docGrid w:linePitch="360"/>
        </w:sectPr>
      </w:pPr>
      <w:r w:rsidRPr="000D3BC2">
        <w:rPr>
          <w:color w:val="000000"/>
          <w:sz w:val="24"/>
          <w:szCs w:val="24"/>
        </w:rPr>
        <w:t xml:space="preserve">The Commission or presiding officer </w:t>
      </w:r>
      <w:r w:rsidR="00173C54" w:rsidRPr="000D3BC2">
        <w:rPr>
          <w:color w:val="000000"/>
          <w:sz w:val="24"/>
          <w:szCs w:val="24"/>
        </w:rPr>
        <w:t xml:space="preserve">have </w:t>
      </w:r>
      <w:r w:rsidR="00EE3455" w:rsidRPr="000D3BC2">
        <w:rPr>
          <w:color w:val="000000"/>
          <w:sz w:val="24"/>
          <w:szCs w:val="24"/>
        </w:rPr>
        <w:t xml:space="preserve">consolidated </w:t>
      </w:r>
      <w:r w:rsidRPr="000D3BC2">
        <w:rPr>
          <w:color w:val="000000"/>
          <w:sz w:val="24"/>
          <w:szCs w:val="24"/>
        </w:rPr>
        <w:t xml:space="preserve">cases </w:t>
      </w:r>
      <w:r w:rsidR="00EE3455" w:rsidRPr="000D3BC2">
        <w:rPr>
          <w:color w:val="000000"/>
          <w:sz w:val="24"/>
          <w:szCs w:val="24"/>
        </w:rPr>
        <w:t xml:space="preserve">for adjudication; </w:t>
      </w:r>
      <w:r w:rsidR="00EE3455" w:rsidRPr="000D3BC2">
        <w:rPr>
          <w:color w:val="000000"/>
          <w:sz w:val="24"/>
          <w:szCs w:val="24"/>
          <w:u w:val="single"/>
        </w:rPr>
        <w:t>Re</w:t>
      </w:r>
      <w:r w:rsidR="005109EC" w:rsidRPr="000D3BC2">
        <w:rPr>
          <w:color w:val="000000"/>
          <w:sz w:val="24"/>
          <w:szCs w:val="24"/>
          <w:u w:val="single"/>
        </w:rPr>
        <w:t>:</w:t>
      </w:r>
      <w:r w:rsidR="00EE3455" w:rsidRPr="000D3BC2">
        <w:rPr>
          <w:color w:val="000000"/>
          <w:sz w:val="24"/>
          <w:szCs w:val="24"/>
          <w:u w:val="single"/>
        </w:rPr>
        <w:t xml:space="preserve"> Middletown </w:t>
      </w:r>
      <w:r w:rsidR="00855529" w:rsidRPr="000D3BC2">
        <w:rPr>
          <w:color w:val="000000"/>
          <w:sz w:val="24"/>
          <w:szCs w:val="24"/>
          <w:u w:val="single"/>
        </w:rPr>
        <w:t>T</w:t>
      </w:r>
      <w:r w:rsidR="00EE3455" w:rsidRPr="000D3BC2">
        <w:rPr>
          <w:color w:val="000000"/>
          <w:sz w:val="24"/>
          <w:szCs w:val="24"/>
          <w:u w:val="single"/>
        </w:rPr>
        <w:t>axi Company</w:t>
      </w:r>
      <w:r w:rsidR="00EE3455" w:rsidRPr="000D3BC2">
        <w:rPr>
          <w:color w:val="000000"/>
          <w:sz w:val="24"/>
          <w:szCs w:val="24"/>
        </w:rPr>
        <w:t>, 50 P</w:t>
      </w:r>
      <w:r w:rsidR="00925C70" w:rsidRPr="000D3BC2">
        <w:rPr>
          <w:color w:val="000000"/>
          <w:sz w:val="24"/>
          <w:szCs w:val="24"/>
        </w:rPr>
        <w:t>a.</w:t>
      </w:r>
      <w:r w:rsidR="00EE3455" w:rsidRPr="000D3BC2">
        <w:rPr>
          <w:color w:val="000000"/>
          <w:sz w:val="24"/>
          <w:szCs w:val="24"/>
        </w:rPr>
        <w:t xml:space="preserve"> PUC 263 (1976), for hearing; </w:t>
      </w:r>
      <w:r w:rsidR="00EE3455" w:rsidRPr="000D3BC2">
        <w:rPr>
          <w:color w:val="000000"/>
          <w:sz w:val="24"/>
          <w:szCs w:val="24"/>
          <w:u w:val="single"/>
        </w:rPr>
        <w:t xml:space="preserve">City of York v. York </w:t>
      </w:r>
    </w:p>
    <w:p w14:paraId="31FBEA2B" w14:textId="003B273D" w:rsidR="00EE3455" w:rsidRPr="000D3BC2" w:rsidRDefault="00855529" w:rsidP="00354EB1">
      <w:pPr>
        <w:spacing w:line="360" w:lineRule="auto"/>
        <w:rPr>
          <w:color w:val="000000"/>
          <w:sz w:val="24"/>
          <w:szCs w:val="24"/>
        </w:rPr>
      </w:pPr>
      <w:r w:rsidRPr="000D3BC2">
        <w:rPr>
          <w:color w:val="000000"/>
          <w:sz w:val="24"/>
          <w:szCs w:val="24"/>
          <w:u w:val="single"/>
        </w:rPr>
        <w:lastRenderedPageBreak/>
        <w:t>T</w:t>
      </w:r>
      <w:r w:rsidR="00EE3455" w:rsidRPr="000D3BC2">
        <w:rPr>
          <w:color w:val="000000"/>
          <w:sz w:val="24"/>
          <w:szCs w:val="24"/>
          <w:u w:val="single"/>
        </w:rPr>
        <w:t>elephone and Telegraph Co</w:t>
      </w:r>
      <w:r w:rsidR="00EE3455" w:rsidRPr="000D3BC2">
        <w:rPr>
          <w:color w:val="000000"/>
          <w:sz w:val="24"/>
          <w:szCs w:val="24"/>
        </w:rPr>
        <w:t>., 43 Pa</w:t>
      </w:r>
      <w:r w:rsidR="00925C70" w:rsidRPr="000D3BC2">
        <w:rPr>
          <w:color w:val="000000"/>
          <w:sz w:val="24"/>
          <w:szCs w:val="24"/>
        </w:rPr>
        <w:t>.</w:t>
      </w:r>
      <w:r w:rsidR="00EE3455" w:rsidRPr="000D3BC2">
        <w:rPr>
          <w:color w:val="000000"/>
          <w:sz w:val="24"/>
          <w:szCs w:val="24"/>
        </w:rPr>
        <w:t xml:space="preserve"> PUC 240 (1967), </w:t>
      </w:r>
      <w:r w:rsidR="005109EC" w:rsidRPr="000D3BC2">
        <w:rPr>
          <w:color w:val="000000"/>
          <w:sz w:val="24"/>
          <w:szCs w:val="24"/>
        </w:rPr>
        <w:t xml:space="preserve">and </w:t>
      </w:r>
      <w:r w:rsidR="00EE3455" w:rsidRPr="000D3BC2">
        <w:rPr>
          <w:color w:val="000000"/>
          <w:sz w:val="24"/>
          <w:szCs w:val="24"/>
        </w:rPr>
        <w:t xml:space="preserve">for briefing; </w:t>
      </w:r>
      <w:proofErr w:type="spellStart"/>
      <w:r w:rsidR="00EE3455" w:rsidRPr="000D3BC2">
        <w:rPr>
          <w:color w:val="000000"/>
          <w:sz w:val="24"/>
          <w:szCs w:val="24"/>
          <w:u w:val="single"/>
        </w:rPr>
        <w:t>Clepper</w:t>
      </w:r>
      <w:proofErr w:type="spellEnd"/>
      <w:r w:rsidR="00EE3455" w:rsidRPr="000D3BC2">
        <w:rPr>
          <w:color w:val="000000"/>
          <w:sz w:val="24"/>
          <w:szCs w:val="24"/>
          <w:u w:val="single"/>
        </w:rPr>
        <w:t xml:space="preserve"> </w:t>
      </w:r>
      <w:r w:rsidRPr="000D3BC2">
        <w:rPr>
          <w:color w:val="000000"/>
          <w:sz w:val="24"/>
          <w:szCs w:val="24"/>
          <w:u w:val="single"/>
        </w:rPr>
        <w:t>F</w:t>
      </w:r>
      <w:r w:rsidR="00EE3455" w:rsidRPr="000D3BC2">
        <w:rPr>
          <w:color w:val="000000"/>
          <w:sz w:val="24"/>
          <w:szCs w:val="24"/>
          <w:u w:val="single"/>
        </w:rPr>
        <w:t>arms, Inc. v. Grantham Water Co</w:t>
      </w:r>
      <w:r w:rsidR="00EE3455" w:rsidRPr="000D3BC2">
        <w:rPr>
          <w:color w:val="000000"/>
          <w:sz w:val="24"/>
          <w:szCs w:val="24"/>
        </w:rPr>
        <w:t>., 41 Pa</w:t>
      </w:r>
      <w:r w:rsidR="00925C70" w:rsidRPr="000D3BC2">
        <w:rPr>
          <w:color w:val="000000"/>
          <w:sz w:val="24"/>
          <w:szCs w:val="24"/>
        </w:rPr>
        <w:t>.</w:t>
      </w:r>
      <w:r w:rsidR="00EE3455" w:rsidRPr="000D3BC2">
        <w:rPr>
          <w:color w:val="000000"/>
          <w:sz w:val="24"/>
          <w:szCs w:val="24"/>
        </w:rPr>
        <w:t xml:space="preserve"> PUC 749 (1965)</w:t>
      </w:r>
      <w:r w:rsidR="00925C70" w:rsidRPr="000D3BC2">
        <w:rPr>
          <w:color w:val="000000"/>
          <w:sz w:val="24"/>
          <w:szCs w:val="24"/>
        </w:rPr>
        <w:t>.</w:t>
      </w:r>
      <w:r w:rsidR="00EE3455" w:rsidRPr="000D3BC2">
        <w:rPr>
          <w:color w:val="000000"/>
          <w:sz w:val="24"/>
          <w:szCs w:val="24"/>
        </w:rPr>
        <w:t xml:space="preserve"> </w:t>
      </w:r>
      <w:r w:rsidR="00925C70" w:rsidRPr="000D3BC2">
        <w:rPr>
          <w:color w:val="000000"/>
          <w:sz w:val="24"/>
          <w:szCs w:val="24"/>
        </w:rPr>
        <w:t xml:space="preserve"> </w:t>
      </w:r>
    </w:p>
    <w:p w14:paraId="28534BD0" w14:textId="77777777" w:rsidR="00EE3455" w:rsidRPr="000D3BC2" w:rsidRDefault="00EE3455" w:rsidP="00116B43">
      <w:pPr>
        <w:spacing w:line="360" w:lineRule="auto"/>
        <w:ind w:firstLine="1440"/>
        <w:rPr>
          <w:color w:val="000000"/>
          <w:sz w:val="24"/>
          <w:szCs w:val="24"/>
        </w:rPr>
      </w:pPr>
    </w:p>
    <w:p w14:paraId="1E903C63" w14:textId="77777777" w:rsidR="00EE3455" w:rsidRPr="000D3BC2" w:rsidRDefault="00EE3455" w:rsidP="00116B43">
      <w:pPr>
        <w:spacing w:line="360" w:lineRule="auto"/>
        <w:ind w:firstLine="1440"/>
        <w:rPr>
          <w:color w:val="000000"/>
          <w:sz w:val="24"/>
          <w:szCs w:val="24"/>
        </w:rPr>
      </w:pPr>
      <w:r w:rsidRPr="000D3BC2">
        <w:rPr>
          <w:color w:val="000000"/>
          <w:sz w:val="24"/>
          <w:szCs w:val="24"/>
        </w:rPr>
        <w:t xml:space="preserve">In </w:t>
      </w:r>
      <w:r w:rsidR="005109EC" w:rsidRPr="000D3BC2">
        <w:rPr>
          <w:color w:val="000000"/>
          <w:sz w:val="24"/>
          <w:szCs w:val="24"/>
        </w:rPr>
        <w:t>deciding whether to consolidate certain cases, the Commission or presiding officer</w:t>
      </w:r>
      <w:r w:rsidR="00D7185A" w:rsidRPr="000D3BC2">
        <w:rPr>
          <w:color w:val="000000"/>
          <w:sz w:val="24"/>
          <w:szCs w:val="24"/>
        </w:rPr>
        <w:t xml:space="preserve"> must first determine</w:t>
      </w:r>
      <w:r w:rsidRPr="000D3BC2">
        <w:rPr>
          <w:color w:val="000000"/>
          <w:sz w:val="24"/>
          <w:szCs w:val="24"/>
        </w:rPr>
        <w:t xml:space="preserve"> that </w:t>
      </w:r>
      <w:r w:rsidR="00797810" w:rsidRPr="000D3BC2">
        <w:rPr>
          <w:color w:val="000000"/>
          <w:sz w:val="24"/>
          <w:szCs w:val="24"/>
        </w:rPr>
        <w:t>the</w:t>
      </w:r>
      <w:r w:rsidRPr="000D3BC2">
        <w:rPr>
          <w:color w:val="000000"/>
          <w:sz w:val="24"/>
          <w:szCs w:val="24"/>
        </w:rPr>
        <w:t xml:space="preserve"> proceedings involve a common question of law or fact. </w:t>
      </w:r>
      <w:r w:rsidR="002F2F6A" w:rsidRPr="000D3BC2">
        <w:rPr>
          <w:color w:val="000000"/>
          <w:sz w:val="24"/>
          <w:szCs w:val="24"/>
        </w:rPr>
        <w:t xml:space="preserve"> </w:t>
      </w:r>
      <w:r w:rsidR="00D7185A" w:rsidRPr="000D3BC2">
        <w:rPr>
          <w:color w:val="000000"/>
          <w:sz w:val="24"/>
          <w:szCs w:val="24"/>
        </w:rPr>
        <w:t>I</w:t>
      </w:r>
      <w:r w:rsidRPr="000D3BC2">
        <w:rPr>
          <w:color w:val="000000"/>
          <w:sz w:val="24"/>
          <w:szCs w:val="24"/>
        </w:rPr>
        <w:t xml:space="preserve">n such cases as </w:t>
      </w:r>
      <w:r w:rsidRPr="000D3BC2">
        <w:rPr>
          <w:color w:val="000000"/>
          <w:sz w:val="24"/>
          <w:szCs w:val="24"/>
          <w:u w:val="single"/>
        </w:rPr>
        <w:t>Application of Philadelphia Electric Co.</w:t>
      </w:r>
      <w:r w:rsidRPr="000D3BC2">
        <w:rPr>
          <w:color w:val="000000"/>
          <w:sz w:val="24"/>
          <w:szCs w:val="24"/>
        </w:rPr>
        <w:t>, 43 P</w:t>
      </w:r>
      <w:r w:rsidR="00925C70" w:rsidRPr="000D3BC2">
        <w:rPr>
          <w:color w:val="000000"/>
          <w:sz w:val="24"/>
          <w:szCs w:val="24"/>
        </w:rPr>
        <w:t>a.</w:t>
      </w:r>
      <w:r w:rsidRPr="000D3BC2">
        <w:rPr>
          <w:color w:val="000000"/>
          <w:sz w:val="24"/>
          <w:szCs w:val="24"/>
        </w:rPr>
        <w:t xml:space="preserve"> PUC 781 (1968), </w:t>
      </w:r>
      <w:r w:rsidRPr="000D3BC2">
        <w:rPr>
          <w:color w:val="000000"/>
          <w:sz w:val="24"/>
          <w:szCs w:val="24"/>
          <w:u w:val="single"/>
        </w:rPr>
        <w:t>Pa</w:t>
      </w:r>
      <w:r w:rsidR="00AF7578" w:rsidRPr="000D3BC2">
        <w:rPr>
          <w:color w:val="000000"/>
          <w:sz w:val="24"/>
          <w:szCs w:val="24"/>
          <w:u w:val="single"/>
        </w:rPr>
        <w:t>.</w:t>
      </w:r>
      <w:r w:rsidRPr="000D3BC2">
        <w:rPr>
          <w:color w:val="000000"/>
          <w:sz w:val="24"/>
          <w:szCs w:val="24"/>
          <w:u w:val="single"/>
        </w:rPr>
        <w:t xml:space="preserve"> Pub</w:t>
      </w:r>
      <w:r w:rsidR="002D01D6" w:rsidRPr="000D3BC2">
        <w:rPr>
          <w:color w:val="000000"/>
          <w:sz w:val="24"/>
          <w:szCs w:val="24"/>
          <w:u w:val="single"/>
        </w:rPr>
        <w:t xml:space="preserve">. </w:t>
      </w:r>
      <w:r w:rsidRPr="000D3BC2">
        <w:rPr>
          <w:color w:val="000000"/>
          <w:sz w:val="24"/>
          <w:szCs w:val="24"/>
          <w:u w:val="single"/>
        </w:rPr>
        <w:t>Util</w:t>
      </w:r>
      <w:r w:rsidR="002D01D6" w:rsidRPr="000D3BC2">
        <w:rPr>
          <w:color w:val="000000"/>
          <w:sz w:val="24"/>
          <w:szCs w:val="24"/>
          <w:u w:val="single"/>
        </w:rPr>
        <w:t>.</w:t>
      </w:r>
      <w:r w:rsidRPr="000D3BC2">
        <w:rPr>
          <w:color w:val="000000"/>
          <w:sz w:val="24"/>
          <w:szCs w:val="24"/>
          <w:u w:val="single"/>
        </w:rPr>
        <w:t xml:space="preserve"> Comm’n v. </w:t>
      </w:r>
      <w:r w:rsidR="00855529" w:rsidRPr="000D3BC2">
        <w:rPr>
          <w:color w:val="000000"/>
          <w:sz w:val="24"/>
          <w:szCs w:val="24"/>
          <w:u w:val="single"/>
        </w:rPr>
        <w:t>B</w:t>
      </w:r>
      <w:r w:rsidRPr="000D3BC2">
        <w:rPr>
          <w:color w:val="000000"/>
          <w:sz w:val="24"/>
          <w:szCs w:val="24"/>
          <w:u w:val="single"/>
        </w:rPr>
        <w:t xml:space="preserve">ell </w:t>
      </w:r>
      <w:r w:rsidR="00855529" w:rsidRPr="000D3BC2">
        <w:rPr>
          <w:color w:val="000000"/>
          <w:sz w:val="24"/>
          <w:szCs w:val="24"/>
          <w:u w:val="single"/>
        </w:rPr>
        <w:t>T</w:t>
      </w:r>
      <w:r w:rsidRPr="000D3BC2">
        <w:rPr>
          <w:color w:val="000000"/>
          <w:sz w:val="24"/>
          <w:szCs w:val="24"/>
          <w:u w:val="single"/>
        </w:rPr>
        <w:t>elephone Co. of Pennsylvania</w:t>
      </w:r>
      <w:r w:rsidRPr="000D3BC2">
        <w:rPr>
          <w:color w:val="000000"/>
          <w:sz w:val="24"/>
          <w:szCs w:val="24"/>
        </w:rPr>
        <w:t>, 46 P</w:t>
      </w:r>
      <w:r w:rsidR="00925C70" w:rsidRPr="000D3BC2">
        <w:rPr>
          <w:color w:val="000000"/>
          <w:sz w:val="24"/>
          <w:szCs w:val="24"/>
        </w:rPr>
        <w:t>a.</w:t>
      </w:r>
      <w:r w:rsidRPr="000D3BC2">
        <w:rPr>
          <w:color w:val="000000"/>
          <w:sz w:val="24"/>
          <w:szCs w:val="24"/>
        </w:rPr>
        <w:t xml:space="preserve"> PUC 568 (1973) and </w:t>
      </w:r>
      <w:r w:rsidRPr="000D3BC2">
        <w:rPr>
          <w:color w:val="000000"/>
          <w:sz w:val="24"/>
          <w:szCs w:val="24"/>
          <w:u w:val="single"/>
        </w:rPr>
        <w:t>Pa. Pub</w:t>
      </w:r>
      <w:r w:rsidR="002D01D6" w:rsidRPr="000D3BC2">
        <w:rPr>
          <w:color w:val="000000"/>
          <w:sz w:val="24"/>
          <w:szCs w:val="24"/>
          <w:u w:val="single"/>
        </w:rPr>
        <w:t>.</w:t>
      </w:r>
      <w:r w:rsidRPr="000D3BC2">
        <w:rPr>
          <w:color w:val="000000"/>
          <w:sz w:val="24"/>
          <w:szCs w:val="24"/>
          <w:u w:val="single"/>
        </w:rPr>
        <w:t xml:space="preserve"> Util</w:t>
      </w:r>
      <w:r w:rsidR="002D01D6" w:rsidRPr="000D3BC2">
        <w:rPr>
          <w:color w:val="000000"/>
          <w:sz w:val="24"/>
          <w:szCs w:val="24"/>
          <w:u w:val="single"/>
        </w:rPr>
        <w:t xml:space="preserve">. </w:t>
      </w:r>
      <w:r w:rsidRPr="000D3BC2">
        <w:rPr>
          <w:color w:val="000000"/>
          <w:sz w:val="24"/>
          <w:szCs w:val="24"/>
          <w:u w:val="single"/>
        </w:rPr>
        <w:t xml:space="preserve">Comm’n v. </w:t>
      </w:r>
      <w:r w:rsidR="00855529" w:rsidRPr="000D3BC2">
        <w:rPr>
          <w:color w:val="000000"/>
          <w:sz w:val="24"/>
          <w:szCs w:val="24"/>
          <w:u w:val="single"/>
        </w:rPr>
        <w:t>B</w:t>
      </w:r>
      <w:r w:rsidRPr="000D3BC2">
        <w:rPr>
          <w:color w:val="000000"/>
          <w:sz w:val="24"/>
          <w:szCs w:val="24"/>
          <w:u w:val="single"/>
        </w:rPr>
        <w:t>utler Twp. Water Co.</w:t>
      </w:r>
      <w:r w:rsidRPr="000D3BC2">
        <w:rPr>
          <w:color w:val="000000"/>
          <w:sz w:val="24"/>
          <w:szCs w:val="24"/>
        </w:rPr>
        <w:t>, 52 P</w:t>
      </w:r>
      <w:r w:rsidR="00925C70" w:rsidRPr="000D3BC2">
        <w:rPr>
          <w:color w:val="000000"/>
          <w:sz w:val="24"/>
          <w:szCs w:val="24"/>
        </w:rPr>
        <w:t>a.</w:t>
      </w:r>
      <w:r w:rsidRPr="000D3BC2">
        <w:rPr>
          <w:color w:val="000000"/>
          <w:sz w:val="24"/>
          <w:szCs w:val="24"/>
        </w:rPr>
        <w:t xml:space="preserve"> PUC 4</w:t>
      </w:r>
      <w:r w:rsidR="00D7185A" w:rsidRPr="000D3BC2">
        <w:rPr>
          <w:color w:val="000000"/>
          <w:sz w:val="24"/>
          <w:szCs w:val="24"/>
        </w:rPr>
        <w:t>4</w:t>
      </w:r>
      <w:r w:rsidRPr="000D3BC2">
        <w:rPr>
          <w:color w:val="000000"/>
          <w:sz w:val="24"/>
          <w:szCs w:val="24"/>
        </w:rPr>
        <w:t>2 (1978), as well as those cited above,</w:t>
      </w:r>
      <w:r w:rsidR="00D7185A" w:rsidRPr="000D3BC2">
        <w:rPr>
          <w:color w:val="000000"/>
          <w:sz w:val="24"/>
          <w:szCs w:val="24"/>
        </w:rPr>
        <w:t xml:space="preserve"> the Commission has established </w:t>
      </w:r>
      <w:r w:rsidRPr="000D3BC2">
        <w:rPr>
          <w:color w:val="000000"/>
          <w:sz w:val="24"/>
          <w:szCs w:val="24"/>
        </w:rPr>
        <w:t xml:space="preserve">that </w:t>
      </w:r>
      <w:r w:rsidR="004427BC" w:rsidRPr="000D3BC2">
        <w:rPr>
          <w:color w:val="000000"/>
          <w:sz w:val="24"/>
          <w:szCs w:val="24"/>
        </w:rPr>
        <w:t xml:space="preserve">the Commission or presiding officer should evaluate </w:t>
      </w:r>
      <w:r w:rsidRPr="000D3BC2">
        <w:rPr>
          <w:color w:val="000000"/>
          <w:sz w:val="24"/>
          <w:szCs w:val="24"/>
        </w:rPr>
        <w:t>considerations in addition to the presence of common questions of law or fact</w:t>
      </w:r>
      <w:r w:rsidR="00D7185A" w:rsidRPr="000D3BC2">
        <w:rPr>
          <w:color w:val="000000"/>
          <w:sz w:val="24"/>
          <w:szCs w:val="24"/>
        </w:rPr>
        <w:t xml:space="preserve"> </w:t>
      </w:r>
      <w:r w:rsidRPr="000D3BC2">
        <w:rPr>
          <w:color w:val="000000"/>
          <w:sz w:val="24"/>
          <w:szCs w:val="24"/>
        </w:rPr>
        <w:t xml:space="preserve">in ruling on a </w:t>
      </w:r>
      <w:r w:rsidR="00D7185A" w:rsidRPr="000D3BC2">
        <w:rPr>
          <w:color w:val="000000"/>
          <w:sz w:val="24"/>
          <w:szCs w:val="24"/>
        </w:rPr>
        <w:t>motion to consolidate</w:t>
      </w:r>
      <w:r w:rsidRPr="000D3BC2">
        <w:rPr>
          <w:color w:val="000000"/>
          <w:sz w:val="24"/>
          <w:szCs w:val="24"/>
        </w:rPr>
        <w:t xml:space="preserve">.  These other considerations </w:t>
      </w:r>
      <w:r w:rsidR="00D7185A" w:rsidRPr="000D3BC2">
        <w:rPr>
          <w:color w:val="000000"/>
          <w:sz w:val="24"/>
          <w:szCs w:val="24"/>
        </w:rPr>
        <w:t>include</w:t>
      </w:r>
      <w:r w:rsidRPr="000D3BC2">
        <w:rPr>
          <w:color w:val="000000"/>
          <w:sz w:val="24"/>
          <w:szCs w:val="24"/>
        </w:rPr>
        <w:t>:</w:t>
      </w:r>
    </w:p>
    <w:p w14:paraId="53EEB657" w14:textId="77777777" w:rsidR="009B12C8" w:rsidRDefault="009B12C8" w:rsidP="00266D96">
      <w:pPr>
        <w:ind w:left="1440"/>
        <w:rPr>
          <w:color w:val="000000"/>
          <w:sz w:val="24"/>
        </w:rPr>
      </w:pPr>
    </w:p>
    <w:p w14:paraId="1E6962EE" w14:textId="50F4A1C4" w:rsidR="00266D96" w:rsidRPr="000D3BC2" w:rsidRDefault="00266D96" w:rsidP="00266D96">
      <w:pPr>
        <w:ind w:left="1440"/>
        <w:rPr>
          <w:color w:val="000000"/>
          <w:sz w:val="24"/>
        </w:rPr>
      </w:pPr>
      <w:r w:rsidRPr="000D3BC2">
        <w:rPr>
          <w:color w:val="000000"/>
          <w:sz w:val="24"/>
        </w:rPr>
        <w:t>1.</w:t>
      </w:r>
      <w:r w:rsidRPr="000D3BC2">
        <w:rPr>
          <w:color w:val="000000"/>
          <w:sz w:val="24"/>
        </w:rPr>
        <w:tab/>
        <w:t>Will the presence of additional issues cloud a determination of the common issues?</w:t>
      </w:r>
    </w:p>
    <w:p w14:paraId="4C050A72" w14:textId="77777777" w:rsidR="00266D96" w:rsidRPr="000D3BC2" w:rsidRDefault="00266D96" w:rsidP="00266D96">
      <w:pPr>
        <w:ind w:left="1440"/>
        <w:rPr>
          <w:color w:val="000000"/>
          <w:sz w:val="24"/>
        </w:rPr>
      </w:pPr>
    </w:p>
    <w:p w14:paraId="786E83EA" w14:textId="77777777" w:rsidR="00266D96" w:rsidRPr="000D3BC2" w:rsidRDefault="00266D96" w:rsidP="00266D96">
      <w:pPr>
        <w:ind w:left="1440"/>
        <w:rPr>
          <w:color w:val="000000"/>
          <w:sz w:val="24"/>
        </w:rPr>
      </w:pPr>
      <w:r w:rsidRPr="000D3BC2">
        <w:rPr>
          <w:color w:val="000000"/>
          <w:sz w:val="24"/>
        </w:rPr>
        <w:t>2.</w:t>
      </w:r>
      <w:r w:rsidRPr="000D3BC2">
        <w:rPr>
          <w:color w:val="000000"/>
          <w:sz w:val="24"/>
        </w:rPr>
        <w:tab/>
        <w:t>Will consolidation result in reduced costs of litigation and decision-making for the parties and the Commission?</w:t>
      </w:r>
    </w:p>
    <w:p w14:paraId="42C7934E" w14:textId="77777777" w:rsidR="00266D96" w:rsidRPr="000D3BC2" w:rsidRDefault="00266D96" w:rsidP="00266D96">
      <w:pPr>
        <w:ind w:left="1440"/>
        <w:rPr>
          <w:color w:val="000000"/>
          <w:sz w:val="24"/>
        </w:rPr>
      </w:pPr>
    </w:p>
    <w:p w14:paraId="7D6AF55E" w14:textId="77777777" w:rsidR="00266D96" w:rsidRPr="000D3BC2" w:rsidRDefault="00266D96" w:rsidP="00266D96">
      <w:pPr>
        <w:ind w:left="1440"/>
        <w:rPr>
          <w:color w:val="000000"/>
          <w:sz w:val="24"/>
        </w:rPr>
      </w:pPr>
      <w:r w:rsidRPr="000D3BC2">
        <w:rPr>
          <w:color w:val="000000"/>
          <w:sz w:val="24"/>
        </w:rPr>
        <w:t>3.</w:t>
      </w:r>
      <w:r w:rsidRPr="000D3BC2">
        <w:rPr>
          <w:color w:val="000000"/>
          <w:sz w:val="24"/>
        </w:rPr>
        <w:tab/>
        <w:t>Do issues in one proceeding go to the heart of an issue in the other proceeding?</w:t>
      </w:r>
    </w:p>
    <w:p w14:paraId="0B5415C8" w14:textId="77777777" w:rsidR="00266D96" w:rsidRPr="000D3BC2" w:rsidRDefault="00266D96" w:rsidP="00266D96">
      <w:pPr>
        <w:ind w:left="1080"/>
        <w:rPr>
          <w:color w:val="000000"/>
          <w:sz w:val="24"/>
        </w:rPr>
      </w:pPr>
    </w:p>
    <w:p w14:paraId="33D44C3C" w14:textId="77777777" w:rsidR="00266D96" w:rsidRPr="000D3BC2" w:rsidRDefault="00266D96" w:rsidP="00266D96">
      <w:pPr>
        <w:ind w:left="1440"/>
        <w:rPr>
          <w:color w:val="000000"/>
          <w:sz w:val="24"/>
        </w:rPr>
      </w:pPr>
      <w:r w:rsidRPr="000D3BC2">
        <w:rPr>
          <w:color w:val="000000"/>
          <w:sz w:val="24"/>
        </w:rPr>
        <w:t>4.</w:t>
      </w:r>
      <w:r w:rsidRPr="000D3BC2">
        <w:rPr>
          <w:color w:val="000000"/>
          <w:sz w:val="24"/>
        </w:rPr>
        <w:tab/>
        <w:t>Will consolidation unduly protract the hearing, or produce a disorderly and unwieldy record?</w:t>
      </w:r>
    </w:p>
    <w:p w14:paraId="727D6493" w14:textId="77777777" w:rsidR="00266D96" w:rsidRPr="000D3BC2" w:rsidRDefault="00266D96" w:rsidP="00266D96">
      <w:pPr>
        <w:ind w:left="1440"/>
        <w:rPr>
          <w:color w:val="000000"/>
          <w:sz w:val="24"/>
        </w:rPr>
      </w:pPr>
    </w:p>
    <w:p w14:paraId="4F883FE1" w14:textId="77777777" w:rsidR="00266D96" w:rsidRPr="000D3BC2" w:rsidRDefault="00266D96" w:rsidP="00266D96">
      <w:pPr>
        <w:ind w:left="1080" w:firstLine="360"/>
        <w:rPr>
          <w:color w:val="000000"/>
          <w:sz w:val="24"/>
        </w:rPr>
      </w:pPr>
      <w:r w:rsidRPr="000D3BC2">
        <w:rPr>
          <w:color w:val="000000"/>
          <w:sz w:val="24"/>
        </w:rPr>
        <w:t>5.</w:t>
      </w:r>
      <w:r w:rsidRPr="000D3BC2">
        <w:rPr>
          <w:color w:val="000000"/>
          <w:sz w:val="24"/>
        </w:rPr>
        <w:tab/>
        <w:t>Will different statutory and legal issues be involved?</w:t>
      </w:r>
    </w:p>
    <w:p w14:paraId="39078AE8" w14:textId="77777777" w:rsidR="00266D96" w:rsidRPr="000D3BC2" w:rsidRDefault="00266D96" w:rsidP="00266D96">
      <w:pPr>
        <w:ind w:left="1080"/>
        <w:rPr>
          <w:color w:val="000000"/>
          <w:sz w:val="24"/>
        </w:rPr>
      </w:pPr>
    </w:p>
    <w:p w14:paraId="7168BCE5" w14:textId="77777777" w:rsidR="00266D96" w:rsidRPr="000D3BC2" w:rsidRDefault="00266D96" w:rsidP="00266D96">
      <w:pPr>
        <w:ind w:left="1080" w:firstLine="360"/>
        <w:rPr>
          <w:color w:val="000000"/>
          <w:sz w:val="24"/>
        </w:rPr>
      </w:pPr>
      <w:r w:rsidRPr="000D3BC2">
        <w:rPr>
          <w:color w:val="000000"/>
          <w:sz w:val="24"/>
        </w:rPr>
        <w:t>6.</w:t>
      </w:r>
      <w:r w:rsidRPr="000D3BC2">
        <w:rPr>
          <w:color w:val="000000"/>
          <w:sz w:val="24"/>
        </w:rPr>
        <w:tab/>
        <w:t>Does the party with the burden of proof differ in the proceedings?</w:t>
      </w:r>
    </w:p>
    <w:p w14:paraId="5A239C7E" w14:textId="77777777" w:rsidR="00266D96" w:rsidRPr="000D3BC2" w:rsidRDefault="00266D96" w:rsidP="00266D96">
      <w:pPr>
        <w:ind w:left="1080" w:firstLine="360"/>
        <w:rPr>
          <w:color w:val="000000"/>
          <w:sz w:val="24"/>
        </w:rPr>
      </w:pPr>
    </w:p>
    <w:p w14:paraId="23377EFE" w14:textId="77777777" w:rsidR="00266D96" w:rsidRPr="000D3BC2" w:rsidRDefault="00266D96" w:rsidP="00266D96">
      <w:pPr>
        <w:ind w:left="1080" w:firstLine="360"/>
        <w:rPr>
          <w:color w:val="000000"/>
          <w:sz w:val="24"/>
        </w:rPr>
      </w:pPr>
      <w:r w:rsidRPr="000D3BC2">
        <w:rPr>
          <w:color w:val="000000"/>
          <w:sz w:val="24"/>
        </w:rPr>
        <w:t>7.</w:t>
      </w:r>
      <w:r w:rsidRPr="000D3BC2">
        <w:rPr>
          <w:color w:val="000000"/>
          <w:sz w:val="24"/>
        </w:rPr>
        <w:tab/>
        <w:t>Will consolidation unduly delay the resolution of one the proceedings?</w:t>
      </w:r>
    </w:p>
    <w:p w14:paraId="230F9B5C" w14:textId="77777777" w:rsidR="00266D96" w:rsidRPr="000D3BC2" w:rsidRDefault="00266D96" w:rsidP="00266D96">
      <w:pPr>
        <w:ind w:left="1080"/>
        <w:rPr>
          <w:color w:val="000000"/>
          <w:sz w:val="24"/>
        </w:rPr>
      </w:pPr>
    </w:p>
    <w:p w14:paraId="28C7DE08" w14:textId="77777777" w:rsidR="00266D96" w:rsidRPr="000D3BC2" w:rsidRDefault="00266D96" w:rsidP="00266D96">
      <w:pPr>
        <w:ind w:left="1080" w:firstLine="360"/>
        <w:rPr>
          <w:color w:val="000000"/>
          <w:sz w:val="24"/>
        </w:rPr>
      </w:pPr>
      <w:r w:rsidRPr="000D3BC2">
        <w:rPr>
          <w:color w:val="000000"/>
          <w:sz w:val="24"/>
        </w:rPr>
        <w:t>8.</w:t>
      </w:r>
      <w:r w:rsidRPr="000D3BC2">
        <w:rPr>
          <w:color w:val="000000"/>
          <w:sz w:val="24"/>
        </w:rPr>
        <w:tab/>
        <w:t>Will supporting data in both proceedings be repetitive?</w:t>
      </w:r>
    </w:p>
    <w:p w14:paraId="169DA8EF" w14:textId="77777777" w:rsidR="003D471A" w:rsidRPr="000D3BC2" w:rsidRDefault="003D471A" w:rsidP="00116B43">
      <w:pPr>
        <w:spacing w:line="360" w:lineRule="auto"/>
        <w:ind w:firstLine="1440"/>
        <w:rPr>
          <w:color w:val="000000"/>
          <w:sz w:val="24"/>
          <w:szCs w:val="24"/>
        </w:rPr>
      </w:pPr>
    </w:p>
    <w:p w14:paraId="39668C00" w14:textId="77777777" w:rsidR="003D471A" w:rsidRPr="000D3BC2" w:rsidRDefault="003D471A" w:rsidP="00116B43">
      <w:pPr>
        <w:spacing w:line="360" w:lineRule="auto"/>
        <w:ind w:firstLine="1440"/>
        <w:rPr>
          <w:color w:val="000000"/>
          <w:sz w:val="24"/>
          <w:szCs w:val="24"/>
        </w:rPr>
      </w:pPr>
      <w:r w:rsidRPr="000D3BC2">
        <w:rPr>
          <w:color w:val="000000"/>
          <w:sz w:val="24"/>
          <w:szCs w:val="24"/>
        </w:rPr>
        <w:t>No single consideration</w:t>
      </w:r>
      <w:r w:rsidR="0055768F" w:rsidRPr="000D3BC2">
        <w:rPr>
          <w:color w:val="000000"/>
          <w:sz w:val="24"/>
          <w:szCs w:val="24"/>
        </w:rPr>
        <w:t xml:space="preserve"> </w:t>
      </w:r>
      <w:r w:rsidRPr="000D3BC2">
        <w:rPr>
          <w:color w:val="000000"/>
          <w:sz w:val="24"/>
          <w:szCs w:val="24"/>
        </w:rPr>
        <w:t>or group of considerations</w:t>
      </w:r>
      <w:r w:rsidR="0055768F" w:rsidRPr="000D3BC2">
        <w:rPr>
          <w:color w:val="000000"/>
          <w:sz w:val="24"/>
          <w:szCs w:val="24"/>
        </w:rPr>
        <w:t xml:space="preserve"> or the presence of a common question of law or fact </w:t>
      </w:r>
      <w:r w:rsidRPr="000D3BC2">
        <w:rPr>
          <w:color w:val="000000"/>
          <w:sz w:val="24"/>
          <w:szCs w:val="24"/>
        </w:rPr>
        <w:t xml:space="preserve">is dispositive </w:t>
      </w:r>
      <w:r w:rsidR="00D7185A" w:rsidRPr="000D3BC2">
        <w:rPr>
          <w:color w:val="000000"/>
          <w:sz w:val="24"/>
          <w:szCs w:val="24"/>
        </w:rPr>
        <w:t>in determining</w:t>
      </w:r>
      <w:r w:rsidR="00660F71" w:rsidRPr="000D3BC2">
        <w:rPr>
          <w:color w:val="000000"/>
          <w:sz w:val="24"/>
          <w:szCs w:val="24"/>
        </w:rPr>
        <w:t xml:space="preserve"> whether</w:t>
      </w:r>
      <w:r w:rsidR="00241663" w:rsidRPr="000D3BC2">
        <w:rPr>
          <w:color w:val="000000"/>
          <w:sz w:val="24"/>
          <w:szCs w:val="24"/>
        </w:rPr>
        <w:t xml:space="preserve"> to </w:t>
      </w:r>
      <w:r w:rsidRPr="000D3BC2">
        <w:rPr>
          <w:color w:val="000000"/>
          <w:sz w:val="24"/>
          <w:szCs w:val="24"/>
        </w:rPr>
        <w:t>consolidat</w:t>
      </w:r>
      <w:r w:rsidR="00241663" w:rsidRPr="000D3BC2">
        <w:rPr>
          <w:color w:val="000000"/>
          <w:sz w:val="24"/>
          <w:szCs w:val="24"/>
        </w:rPr>
        <w:t>e proceedings</w:t>
      </w:r>
      <w:r w:rsidR="0055768F" w:rsidRPr="000D3BC2">
        <w:rPr>
          <w:color w:val="000000"/>
          <w:sz w:val="24"/>
          <w:szCs w:val="24"/>
        </w:rPr>
        <w:t>.</w:t>
      </w:r>
      <w:r w:rsidRPr="000D3BC2">
        <w:rPr>
          <w:color w:val="000000"/>
          <w:sz w:val="24"/>
          <w:szCs w:val="24"/>
        </w:rPr>
        <w:t xml:space="preserve"> </w:t>
      </w:r>
      <w:r w:rsidR="002F2F6A" w:rsidRPr="000D3BC2">
        <w:rPr>
          <w:color w:val="000000"/>
          <w:sz w:val="24"/>
          <w:szCs w:val="24"/>
        </w:rPr>
        <w:t xml:space="preserve"> </w:t>
      </w:r>
      <w:r w:rsidRPr="000D3BC2">
        <w:rPr>
          <w:color w:val="000000"/>
          <w:sz w:val="24"/>
          <w:szCs w:val="24"/>
        </w:rPr>
        <w:t xml:space="preserve">Rather, the </w:t>
      </w:r>
      <w:r w:rsidR="0055768F" w:rsidRPr="000D3BC2">
        <w:rPr>
          <w:color w:val="000000"/>
          <w:sz w:val="24"/>
          <w:szCs w:val="24"/>
        </w:rPr>
        <w:t xml:space="preserve">Commission or presiding officer must </w:t>
      </w:r>
      <w:r w:rsidRPr="000D3BC2">
        <w:rPr>
          <w:color w:val="000000"/>
          <w:sz w:val="24"/>
          <w:szCs w:val="24"/>
        </w:rPr>
        <w:t>evaluat</w:t>
      </w:r>
      <w:r w:rsidR="0055768F" w:rsidRPr="000D3BC2">
        <w:rPr>
          <w:color w:val="000000"/>
          <w:sz w:val="24"/>
          <w:szCs w:val="24"/>
        </w:rPr>
        <w:t>e</w:t>
      </w:r>
      <w:r w:rsidRPr="000D3BC2">
        <w:rPr>
          <w:color w:val="000000"/>
          <w:sz w:val="24"/>
          <w:szCs w:val="24"/>
        </w:rPr>
        <w:t xml:space="preserve"> all of the</w:t>
      </w:r>
      <w:r w:rsidR="00660F71" w:rsidRPr="000D3BC2">
        <w:rPr>
          <w:color w:val="000000"/>
          <w:sz w:val="24"/>
          <w:szCs w:val="24"/>
        </w:rPr>
        <w:t xml:space="preserve">se considerations </w:t>
      </w:r>
      <w:r w:rsidRPr="000D3BC2">
        <w:rPr>
          <w:color w:val="000000"/>
          <w:sz w:val="24"/>
          <w:szCs w:val="24"/>
        </w:rPr>
        <w:t>and balanc</w:t>
      </w:r>
      <w:r w:rsidR="0055768F" w:rsidRPr="000D3BC2">
        <w:rPr>
          <w:color w:val="000000"/>
          <w:sz w:val="24"/>
          <w:szCs w:val="24"/>
        </w:rPr>
        <w:t>e</w:t>
      </w:r>
      <w:r w:rsidRPr="000D3BC2">
        <w:rPr>
          <w:color w:val="000000"/>
          <w:sz w:val="24"/>
          <w:szCs w:val="24"/>
        </w:rPr>
        <w:t xml:space="preserve"> those favoring </w:t>
      </w:r>
      <w:r w:rsidR="0055768F" w:rsidRPr="000D3BC2">
        <w:rPr>
          <w:color w:val="000000"/>
          <w:sz w:val="24"/>
          <w:szCs w:val="24"/>
        </w:rPr>
        <w:t xml:space="preserve">versus those </w:t>
      </w:r>
      <w:r w:rsidRPr="000D3BC2">
        <w:rPr>
          <w:color w:val="000000"/>
          <w:sz w:val="24"/>
          <w:szCs w:val="24"/>
        </w:rPr>
        <w:t>disfavoring consolidat</w:t>
      </w:r>
      <w:r w:rsidR="00B326D4" w:rsidRPr="000D3BC2">
        <w:rPr>
          <w:color w:val="000000"/>
          <w:sz w:val="24"/>
          <w:szCs w:val="24"/>
        </w:rPr>
        <w:t>ing the proceedings</w:t>
      </w:r>
      <w:r w:rsidRPr="000D3BC2">
        <w:rPr>
          <w:color w:val="000000"/>
          <w:sz w:val="24"/>
          <w:szCs w:val="24"/>
        </w:rPr>
        <w:t>.</w:t>
      </w:r>
    </w:p>
    <w:p w14:paraId="2E15B82A" w14:textId="77777777" w:rsidR="003D471A" w:rsidRPr="000D3BC2" w:rsidRDefault="003D471A" w:rsidP="00116B43">
      <w:pPr>
        <w:spacing w:line="360" w:lineRule="auto"/>
        <w:ind w:firstLine="1440"/>
        <w:rPr>
          <w:color w:val="000000"/>
          <w:sz w:val="24"/>
          <w:szCs w:val="24"/>
        </w:rPr>
      </w:pPr>
    </w:p>
    <w:p w14:paraId="1246E6C5" w14:textId="79E63674" w:rsidR="009B12C8" w:rsidRPr="000D3BC2" w:rsidRDefault="00241663" w:rsidP="009B12C8">
      <w:pPr>
        <w:spacing w:line="360" w:lineRule="auto"/>
        <w:ind w:firstLine="1440"/>
        <w:rPr>
          <w:color w:val="000000"/>
          <w:sz w:val="24"/>
        </w:rPr>
      </w:pPr>
      <w:r w:rsidRPr="000D3BC2">
        <w:rPr>
          <w:color w:val="000000"/>
          <w:sz w:val="24"/>
          <w:szCs w:val="24"/>
        </w:rPr>
        <w:t xml:space="preserve">After reviewing these considerations, </w:t>
      </w:r>
      <w:r w:rsidR="009B12C8">
        <w:rPr>
          <w:color w:val="000000"/>
          <w:sz w:val="24"/>
          <w:szCs w:val="24"/>
        </w:rPr>
        <w:t>I find</w:t>
      </w:r>
      <w:r w:rsidR="001D4B6E" w:rsidRPr="000D3BC2">
        <w:rPr>
          <w:color w:val="000000"/>
          <w:sz w:val="24"/>
          <w:szCs w:val="24"/>
        </w:rPr>
        <w:t xml:space="preserve"> that </w:t>
      </w:r>
      <w:r w:rsidRPr="000D3BC2">
        <w:rPr>
          <w:color w:val="000000"/>
          <w:sz w:val="24"/>
          <w:szCs w:val="24"/>
        </w:rPr>
        <w:t xml:space="preserve">consolidating the two </w:t>
      </w:r>
      <w:r w:rsidR="00CC0B24" w:rsidRPr="000D3BC2">
        <w:rPr>
          <w:color w:val="000000"/>
          <w:sz w:val="24"/>
          <w:szCs w:val="24"/>
        </w:rPr>
        <w:t>proceedings</w:t>
      </w:r>
      <w:r w:rsidRPr="000D3BC2">
        <w:rPr>
          <w:color w:val="000000"/>
          <w:sz w:val="24"/>
          <w:szCs w:val="24"/>
        </w:rPr>
        <w:t xml:space="preserve"> here is appropriate</w:t>
      </w:r>
      <w:r w:rsidR="00B326D4" w:rsidRPr="000D3BC2">
        <w:rPr>
          <w:color w:val="000000"/>
          <w:sz w:val="24"/>
          <w:szCs w:val="24"/>
        </w:rPr>
        <w:t>.</w:t>
      </w:r>
      <w:r w:rsidR="00574F7D" w:rsidRPr="000D3BC2">
        <w:rPr>
          <w:color w:val="000000"/>
          <w:sz w:val="24"/>
          <w:szCs w:val="24"/>
        </w:rPr>
        <w:t xml:space="preserve">  </w:t>
      </w:r>
      <w:r w:rsidR="009B12C8">
        <w:rPr>
          <w:color w:val="000000"/>
          <w:sz w:val="24"/>
          <w:szCs w:val="24"/>
        </w:rPr>
        <w:t>There ar</w:t>
      </w:r>
      <w:r w:rsidR="00574F7D" w:rsidRPr="000D3BC2">
        <w:rPr>
          <w:color w:val="000000"/>
          <w:sz w:val="24"/>
          <w:szCs w:val="24"/>
        </w:rPr>
        <w:t xml:space="preserve">e common questions of law and fact.  </w:t>
      </w:r>
    </w:p>
    <w:p w14:paraId="74ED7D19" w14:textId="561B7605" w:rsidR="00725446" w:rsidRDefault="0092141F" w:rsidP="006A282A">
      <w:pPr>
        <w:spacing w:line="360" w:lineRule="auto"/>
        <w:ind w:firstLine="1440"/>
        <w:rPr>
          <w:sz w:val="24"/>
          <w:szCs w:val="24"/>
          <w:u w:val="single"/>
        </w:rPr>
      </w:pPr>
      <w:r w:rsidRPr="000D3BC2">
        <w:rPr>
          <w:color w:val="000000"/>
          <w:sz w:val="24"/>
          <w:szCs w:val="24"/>
        </w:rPr>
        <w:t xml:space="preserve">The </w:t>
      </w:r>
      <w:r w:rsidRPr="000D3BC2">
        <w:rPr>
          <w:color w:val="000000"/>
          <w:sz w:val="24"/>
        </w:rPr>
        <w:t>supporting data in the two proceedings will be repetitive</w:t>
      </w:r>
      <w:r w:rsidRPr="000D3BC2">
        <w:rPr>
          <w:color w:val="000000"/>
          <w:sz w:val="24"/>
          <w:szCs w:val="24"/>
        </w:rPr>
        <w:t xml:space="preserve"> </w:t>
      </w:r>
      <w:r w:rsidR="009B12C8">
        <w:rPr>
          <w:color w:val="000000"/>
          <w:sz w:val="24"/>
          <w:szCs w:val="24"/>
        </w:rPr>
        <w:t xml:space="preserve">as both cases involve a question of reasonableness of service at the end of the same distribution service line.  </w:t>
      </w:r>
      <w:r w:rsidR="0014400A" w:rsidRPr="000D3BC2">
        <w:rPr>
          <w:color w:val="000000"/>
          <w:sz w:val="24"/>
          <w:szCs w:val="24"/>
        </w:rPr>
        <w:t>C</w:t>
      </w:r>
      <w:r w:rsidR="0014400A" w:rsidRPr="000D3BC2">
        <w:rPr>
          <w:color w:val="000000"/>
          <w:sz w:val="24"/>
        </w:rPr>
        <w:t>onsolidating the two proceedings</w:t>
      </w:r>
      <w:r w:rsidR="000D3BC2" w:rsidRPr="000D3BC2">
        <w:rPr>
          <w:color w:val="000000"/>
          <w:sz w:val="24"/>
        </w:rPr>
        <w:t xml:space="preserve"> </w:t>
      </w:r>
      <w:r w:rsidR="00630DAD">
        <w:rPr>
          <w:color w:val="000000"/>
          <w:sz w:val="24"/>
          <w:szCs w:val="24"/>
        </w:rPr>
        <w:t xml:space="preserve">may </w:t>
      </w:r>
      <w:r w:rsidR="0014400A" w:rsidRPr="000D3BC2">
        <w:rPr>
          <w:color w:val="000000"/>
          <w:sz w:val="24"/>
        </w:rPr>
        <w:t>result in reduced costs of litigation and decision-making for the parties and the Commission.</w:t>
      </w:r>
      <w:r w:rsidR="000D3BC2" w:rsidRPr="000D3BC2">
        <w:rPr>
          <w:color w:val="000000"/>
          <w:sz w:val="24"/>
        </w:rPr>
        <w:t xml:space="preserve">  </w:t>
      </w:r>
      <w:r w:rsidR="00DB0D16" w:rsidRPr="000D3BC2">
        <w:rPr>
          <w:color w:val="000000"/>
          <w:sz w:val="24"/>
          <w:szCs w:val="24"/>
        </w:rPr>
        <w:t>For all of the</w:t>
      </w:r>
      <w:r w:rsidR="0081483F" w:rsidRPr="000D3BC2">
        <w:rPr>
          <w:color w:val="000000"/>
          <w:sz w:val="24"/>
          <w:szCs w:val="24"/>
        </w:rPr>
        <w:t>se</w:t>
      </w:r>
      <w:r w:rsidR="00DB0D16" w:rsidRPr="000D3BC2">
        <w:rPr>
          <w:color w:val="000000"/>
          <w:sz w:val="24"/>
          <w:szCs w:val="24"/>
        </w:rPr>
        <w:t xml:space="preserve"> reasons, consolidati</w:t>
      </w:r>
      <w:r w:rsidR="0081483F" w:rsidRPr="000D3BC2">
        <w:rPr>
          <w:color w:val="000000"/>
          <w:sz w:val="24"/>
          <w:szCs w:val="24"/>
        </w:rPr>
        <w:t>ng</w:t>
      </w:r>
      <w:r w:rsidR="00DB0D16" w:rsidRPr="000D3BC2">
        <w:rPr>
          <w:color w:val="000000"/>
          <w:sz w:val="24"/>
          <w:szCs w:val="24"/>
        </w:rPr>
        <w:t xml:space="preserve"> these </w:t>
      </w:r>
      <w:r w:rsidR="0014400A" w:rsidRPr="000D3BC2">
        <w:rPr>
          <w:color w:val="000000"/>
          <w:sz w:val="24"/>
          <w:szCs w:val="24"/>
        </w:rPr>
        <w:t>proceedings</w:t>
      </w:r>
      <w:r w:rsidR="0081483F" w:rsidRPr="000D3BC2">
        <w:rPr>
          <w:color w:val="000000"/>
          <w:sz w:val="24"/>
          <w:szCs w:val="24"/>
        </w:rPr>
        <w:t xml:space="preserve"> </w:t>
      </w:r>
      <w:r w:rsidR="00DB0D16" w:rsidRPr="000D3BC2">
        <w:rPr>
          <w:color w:val="000000"/>
          <w:sz w:val="24"/>
          <w:szCs w:val="24"/>
        </w:rPr>
        <w:t>for hearing and decision is warranted.</w:t>
      </w:r>
      <w:r w:rsidR="00796E78" w:rsidRPr="000D3BC2">
        <w:rPr>
          <w:color w:val="000000"/>
          <w:sz w:val="24"/>
          <w:szCs w:val="24"/>
        </w:rPr>
        <w:t xml:space="preserve">  </w:t>
      </w:r>
      <w:r w:rsidR="006A282A">
        <w:rPr>
          <w:color w:val="000000"/>
          <w:sz w:val="24"/>
          <w:szCs w:val="24"/>
        </w:rPr>
        <w:t xml:space="preserve"> The hearing currently scheduled for November 4, 2020 in the </w:t>
      </w:r>
      <w:r w:rsidR="006A282A">
        <w:rPr>
          <w:color w:val="000000"/>
          <w:sz w:val="24"/>
          <w:szCs w:val="24"/>
          <w:u w:val="single"/>
        </w:rPr>
        <w:t>Andrew K</w:t>
      </w:r>
      <w:r w:rsidR="006A282A" w:rsidRPr="006A282A">
        <w:rPr>
          <w:color w:val="000000"/>
          <w:sz w:val="24"/>
          <w:szCs w:val="24"/>
          <w:u w:val="single"/>
        </w:rPr>
        <w:t>auffman v. The York Water Company</w:t>
      </w:r>
      <w:r w:rsidR="006A282A">
        <w:rPr>
          <w:color w:val="000000"/>
          <w:sz w:val="24"/>
          <w:szCs w:val="24"/>
        </w:rPr>
        <w:t xml:space="preserve"> case will be converted to a prehearing conference and the parties will receive separate notice of this.</w:t>
      </w:r>
    </w:p>
    <w:p w14:paraId="55E51208" w14:textId="77777777" w:rsidR="00725446" w:rsidRDefault="00725446" w:rsidP="00FF7A45">
      <w:pPr>
        <w:spacing w:line="360" w:lineRule="auto"/>
        <w:jc w:val="center"/>
        <w:rPr>
          <w:sz w:val="24"/>
          <w:szCs w:val="24"/>
          <w:u w:val="single"/>
        </w:rPr>
      </w:pPr>
    </w:p>
    <w:p w14:paraId="014AF969" w14:textId="77777777" w:rsidR="00FF7A45" w:rsidRPr="000D3BC2" w:rsidRDefault="00FF7A45" w:rsidP="00FF7A45">
      <w:pPr>
        <w:spacing w:line="360" w:lineRule="auto"/>
        <w:jc w:val="center"/>
        <w:rPr>
          <w:sz w:val="24"/>
          <w:szCs w:val="24"/>
        </w:rPr>
      </w:pPr>
      <w:r w:rsidRPr="000D3BC2">
        <w:rPr>
          <w:sz w:val="24"/>
          <w:szCs w:val="24"/>
          <w:u w:val="single"/>
        </w:rPr>
        <w:t>ORDER</w:t>
      </w:r>
    </w:p>
    <w:p w14:paraId="344ED496" w14:textId="63ABB1DB" w:rsidR="002F2F6A" w:rsidRDefault="002F2F6A" w:rsidP="00FF7A45">
      <w:pPr>
        <w:spacing w:line="360" w:lineRule="auto"/>
        <w:ind w:firstLine="1440"/>
        <w:rPr>
          <w:sz w:val="24"/>
          <w:szCs w:val="24"/>
        </w:rPr>
      </w:pPr>
    </w:p>
    <w:p w14:paraId="4CD2FAB9" w14:textId="77777777" w:rsidR="00354EB1" w:rsidRPr="000D3BC2" w:rsidRDefault="00354EB1" w:rsidP="00FF7A45">
      <w:pPr>
        <w:spacing w:line="360" w:lineRule="auto"/>
        <w:ind w:firstLine="1440"/>
        <w:rPr>
          <w:sz w:val="24"/>
          <w:szCs w:val="24"/>
        </w:rPr>
      </w:pPr>
    </w:p>
    <w:p w14:paraId="4F3E551C" w14:textId="77777777" w:rsidR="00FF7A45" w:rsidRPr="000D3BC2" w:rsidRDefault="00FF7A45" w:rsidP="00FF7A45">
      <w:pPr>
        <w:spacing w:line="360" w:lineRule="auto"/>
        <w:ind w:firstLine="1440"/>
        <w:rPr>
          <w:sz w:val="24"/>
          <w:szCs w:val="24"/>
        </w:rPr>
      </w:pPr>
      <w:r w:rsidRPr="000D3BC2">
        <w:rPr>
          <w:sz w:val="24"/>
          <w:szCs w:val="24"/>
        </w:rPr>
        <w:t>THEREFORE,</w:t>
      </w:r>
    </w:p>
    <w:p w14:paraId="2553F79D" w14:textId="77777777" w:rsidR="00FF7A45" w:rsidRPr="000D3BC2" w:rsidRDefault="00FF7A45" w:rsidP="00FF7A45">
      <w:pPr>
        <w:tabs>
          <w:tab w:val="left" w:pos="2205"/>
        </w:tabs>
        <w:spacing w:line="360" w:lineRule="auto"/>
        <w:ind w:firstLine="1440"/>
        <w:rPr>
          <w:sz w:val="24"/>
          <w:szCs w:val="24"/>
        </w:rPr>
      </w:pPr>
      <w:r w:rsidRPr="000D3BC2">
        <w:rPr>
          <w:sz w:val="24"/>
          <w:szCs w:val="24"/>
        </w:rPr>
        <w:tab/>
      </w:r>
    </w:p>
    <w:p w14:paraId="214F1B80" w14:textId="77777777" w:rsidR="00FF7A45" w:rsidRPr="000D3BC2" w:rsidRDefault="00FF7A45" w:rsidP="00FF7A45">
      <w:pPr>
        <w:spacing w:line="360" w:lineRule="auto"/>
        <w:ind w:firstLine="1440"/>
        <w:rPr>
          <w:sz w:val="24"/>
          <w:szCs w:val="24"/>
        </w:rPr>
      </w:pPr>
      <w:r w:rsidRPr="000D3BC2">
        <w:rPr>
          <w:sz w:val="24"/>
          <w:szCs w:val="24"/>
        </w:rPr>
        <w:t>IT IS ORDERED:</w:t>
      </w:r>
    </w:p>
    <w:p w14:paraId="72DED2B1" w14:textId="77777777" w:rsidR="0014400A" w:rsidRPr="000D3BC2" w:rsidRDefault="0014400A" w:rsidP="00FF7A45">
      <w:pPr>
        <w:spacing w:line="360" w:lineRule="auto"/>
        <w:ind w:firstLine="1440"/>
        <w:rPr>
          <w:sz w:val="24"/>
          <w:szCs w:val="24"/>
        </w:rPr>
      </w:pPr>
    </w:p>
    <w:p w14:paraId="1F331ABA" w14:textId="2CC1E5F5" w:rsidR="006A282A" w:rsidRDefault="0014400A" w:rsidP="00FF7A45">
      <w:pPr>
        <w:spacing w:line="360" w:lineRule="auto"/>
        <w:ind w:firstLine="1440"/>
        <w:rPr>
          <w:sz w:val="24"/>
          <w:szCs w:val="24"/>
        </w:rPr>
      </w:pPr>
      <w:r w:rsidRPr="000D3BC2">
        <w:rPr>
          <w:sz w:val="24"/>
          <w:szCs w:val="24"/>
        </w:rPr>
        <w:t>1.</w:t>
      </w:r>
      <w:r w:rsidRPr="000D3BC2">
        <w:rPr>
          <w:sz w:val="24"/>
          <w:szCs w:val="24"/>
        </w:rPr>
        <w:tab/>
        <w:t xml:space="preserve">That the motion of </w:t>
      </w:r>
      <w:r w:rsidR="006A282A">
        <w:rPr>
          <w:sz w:val="24"/>
          <w:szCs w:val="24"/>
        </w:rPr>
        <w:t>T</w:t>
      </w:r>
      <w:r w:rsidRPr="000D3BC2">
        <w:rPr>
          <w:sz w:val="24"/>
          <w:szCs w:val="24"/>
        </w:rPr>
        <w:t xml:space="preserve">he </w:t>
      </w:r>
      <w:r w:rsidR="006A282A">
        <w:rPr>
          <w:sz w:val="24"/>
          <w:szCs w:val="24"/>
        </w:rPr>
        <w:t xml:space="preserve">York Water Company </w:t>
      </w:r>
      <w:r w:rsidRPr="000D3BC2">
        <w:rPr>
          <w:sz w:val="24"/>
          <w:szCs w:val="24"/>
        </w:rPr>
        <w:t>to consolidate complaint</w:t>
      </w:r>
      <w:r w:rsidR="006A282A">
        <w:rPr>
          <w:sz w:val="24"/>
          <w:szCs w:val="24"/>
        </w:rPr>
        <w:t>s filed by Andrew Kauffman</w:t>
      </w:r>
      <w:r w:rsidRPr="000D3BC2">
        <w:rPr>
          <w:sz w:val="24"/>
          <w:szCs w:val="24"/>
        </w:rPr>
        <w:t xml:space="preserve"> at C-20</w:t>
      </w:r>
      <w:r w:rsidR="006A282A">
        <w:rPr>
          <w:sz w:val="24"/>
          <w:szCs w:val="24"/>
        </w:rPr>
        <w:t>20-3021066 and Edwin M. Bankert at C-2020-3021479 is granted.</w:t>
      </w:r>
    </w:p>
    <w:p w14:paraId="7CAD941D" w14:textId="19E984A4" w:rsidR="006A282A" w:rsidRDefault="006A282A" w:rsidP="00FF7A45">
      <w:pPr>
        <w:spacing w:line="360" w:lineRule="auto"/>
        <w:rPr>
          <w:sz w:val="24"/>
          <w:szCs w:val="24"/>
        </w:rPr>
      </w:pPr>
      <w:r>
        <w:rPr>
          <w:sz w:val="24"/>
          <w:szCs w:val="24"/>
        </w:rPr>
        <w:tab/>
      </w:r>
      <w:r>
        <w:rPr>
          <w:sz w:val="24"/>
          <w:szCs w:val="24"/>
        </w:rPr>
        <w:tab/>
        <w:t>2.</w:t>
      </w:r>
      <w:r>
        <w:rPr>
          <w:sz w:val="24"/>
          <w:szCs w:val="24"/>
        </w:rPr>
        <w:tab/>
        <w:t>That Docket Nos. C-2020-3021066 and C-2020-3021479 are consolidated to Docket No. C-2020-3021066.</w:t>
      </w:r>
    </w:p>
    <w:p w14:paraId="7B07A556" w14:textId="77777777" w:rsidR="006A282A" w:rsidRDefault="006A282A" w:rsidP="00FF7A45">
      <w:pPr>
        <w:spacing w:line="360" w:lineRule="auto"/>
        <w:rPr>
          <w:sz w:val="24"/>
          <w:szCs w:val="24"/>
        </w:rPr>
      </w:pPr>
    </w:p>
    <w:p w14:paraId="33A235F6" w14:textId="3E005199" w:rsidR="00FF7A45" w:rsidRDefault="006A282A" w:rsidP="00FF7A45">
      <w:pPr>
        <w:spacing w:line="360" w:lineRule="auto"/>
        <w:rPr>
          <w:sz w:val="24"/>
          <w:szCs w:val="24"/>
        </w:rPr>
      </w:pPr>
      <w:r>
        <w:rPr>
          <w:sz w:val="24"/>
          <w:szCs w:val="24"/>
        </w:rPr>
        <w:tab/>
      </w:r>
      <w:r>
        <w:rPr>
          <w:sz w:val="24"/>
          <w:szCs w:val="24"/>
        </w:rPr>
        <w:tab/>
        <w:t>3.</w:t>
      </w:r>
      <w:r>
        <w:rPr>
          <w:sz w:val="24"/>
          <w:szCs w:val="24"/>
        </w:rPr>
        <w:tab/>
        <w:t>That the hearing scheduled at Docket No. C-2020-3021066 for 10:00 a.m. on November 4, 2020 shall be converted into a prehearing telephonic conference.</w:t>
      </w:r>
    </w:p>
    <w:p w14:paraId="2D47322D" w14:textId="77777777" w:rsidR="006A282A" w:rsidRPr="000D3BC2" w:rsidRDefault="006A282A" w:rsidP="00FF7A45">
      <w:pPr>
        <w:spacing w:line="360" w:lineRule="auto"/>
        <w:rPr>
          <w:sz w:val="24"/>
          <w:szCs w:val="24"/>
        </w:rPr>
      </w:pPr>
    </w:p>
    <w:p w14:paraId="70FCFBBA" w14:textId="77777777" w:rsidR="00925C70" w:rsidRPr="000D3BC2" w:rsidRDefault="00925C70" w:rsidP="00FF7A45">
      <w:pPr>
        <w:spacing w:line="360" w:lineRule="auto"/>
        <w:rPr>
          <w:sz w:val="24"/>
          <w:szCs w:val="24"/>
        </w:rPr>
      </w:pPr>
    </w:p>
    <w:p w14:paraId="3451F4D9" w14:textId="06B10460" w:rsidR="00B20E68" w:rsidRPr="000D3BC2" w:rsidRDefault="00B20E68" w:rsidP="00B20E68">
      <w:pPr>
        <w:pStyle w:val="ParaTab1"/>
        <w:tabs>
          <w:tab w:val="clear" w:pos="-720"/>
          <w:tab w:val="left" w:pos="720"/>
          <w:tab w:val="left" w:pos="5040"/>
        </w:tabs>
        <w:ind w:firstLine="0"/>
        <w:rPr>
          <w:rFonts w:ascii="Times New Roman" w:hAnsi="Times New Roman" w:cs="Times New Roman"/>
          <w:spacing w:val="-3"/>
        </w:rPr>
      </w:pPr>
      <w:r w:rsidRPr="000D3BC2">
        <w:rPr>
          <w:rFonts w:ascii="Times New Roman" w:hAnsi="Times New Roman" w:cs="Times New Roman"/>
          <w:spacing w:val="-3"/>
        </w:rPr>
        <w:t>Date:</w:t>
      </w:r>
      <w:r w:rsidRPr="000D3BC2">
        <w:rPr>
          <w:rFonts w:ascii="Times New Roman" w:hAnsi="Times New Roman" w:cs="Times New Roman"/>
          <w:spacing w:val="-3"/>
        </w:rPr>
        <w:tab/>
      </w:r>
      <w:r w:rsidR="006A282A">
        <w:rPr>
          <w:rFonts w:ascii="Times New Roman" w:hAnsi="Times New Roman" w:cs="Times New Roman"/>
          <w:spacing w:val="-3"/>
          <w:u w:val="single"/>
        </w:rPr>
        <w:t>October 20, 2020</w:t>
      </w:r>
      <w:r w:rsidRPr="000D3BC2">
        <w:rPr>
          <w:rFonts w:ascii="Times New Roman" w:hAnsi="Times New Roman" w:cs="Times New Roman"/>
          <w:spacing w:val="-3"/>
        </w:rPr>
        <w:tab/>
      </w:r>
      <w:r w:rsidR="0014400A" w:rsidRPr="000D3BC2">
        <w:rPr>
          <w:rFonts w:ascii="Times New Roman" w:hAnsi="Times New Roman" w:cs="Times New Roman"/>
          <w:spacing w:val="-3"/>
          <w:u w:val="single"/>
        </w:rPr>
        <w:tab/>
      </w:r>
      <w:r w:rsidR="0014400A" w:rsidRPr="000D3BC2">
        <w:rPr>
          <w:rFonts w:ascii="Times New Roman" w:hAnsi="Times New Roman" w:cs="Times New Roman"/>
          <w:spacing w:val="-3"/>
          <w:u w:val="single"/>
        </w:rPr>
        <w:tab/>
      </w:r>
      <w:r w:rsidR="006A282A">
        <w:rPr>
          <w:rFonts w:ascii="Times New Roman" w:hAnsi="Times New Roman" w:cs="Times New Roman"/>
          <w:spacing w:val="-3"/>
          <w:u w:val="single"/>
        </w:rPr>
        <w:t>/s/</w:t>
      </w:r>
      <w:r w:rsidR="0014400A" w:rsidRPr="000D3BC2">
        <w:rPr>
          <w:rFonts w:ascii="Times New Roman" w:hAnsi="Times New Roman" w:cs="Times New Roman"/>
          <w:spacing w:val="-3"/>
          <w:u w:val="single"/>
        </w:rPr>
        <w:tab/>
      </w:r>
      <w:r w:rsidR="0014400A" w:rsidRPr="000D3BC2">
        <w:rPr>
          <w:rFonts w:ascii="Times New Roman" w:hAnsi="Times New Roman" w:cs="Times New Roman"/>
          <w:spacing w:val="-3"/>
          <w:u w:val="single"/>
        </w:rPr>
        <w:tab/>
      </w:r>
      <w:r w:rsidR="0014400A" w:rsidRPr="000D3BC2">
        <w:rPr>
          <w:rFonts w:ascii="Times New Roman" w:hAnsi="Times New Roman" w:cs="Times New Roman"/>
          <w:spacing w:val="-3"/>
          <w:u w:val="single"/>
        </w:rPr>
        <w:tab/>
      </w:r>
      <w:r w:rsidR="0014400A" w:rsidRPr="000D3BC2">
        <w:rPr>
          <w:rFonts w:ascii="Times New Roman" w:hAnsi="Times New Roman" w:cs="Times New Roman"/>
          <w:spacing w:val="-3"/>
        </w:rPr>
        <w:tab/>
      </w:r>
    </w:p>
    <w:p w14:paraId="472B006C" w14:textId="56ECDA67" w:rsidR="00B20E68" w:rsidRPr="000D3BC2" w:rsidRDefault="00B20E68" w:rsidP="00B20E68">
      <w:pPr>
        <w:pStyle w:val="ParaTab1"/>
        <w:tabs>
          <w:tab w:val="clear" w:pos="-720"/>
          <w:tab w:val="left" w:pos="720"/>
          <w:tab w:val="left" w:pos="5040"/>
        </w:tabs>
        <w:ind w:firstLine="0"/>
        <w:rPr>
          <w:rFonts w:ascii="Times New Roman" w:hAnsi="Times New Roman" w:cs="Times New Roman"/>
          <w:spacing w:val="-3"/>
        </w:rPr>
      </w:pPr>
      <w:r w:rsidRPr="000D3BC2">
        <w:rPr>
          <w:rFonts w:ascii="Times New Roman" w:hAnsi="Times New Roman" w:cs="Times New Roman"/>
          <w:spacing w:val="-3"/>
        </w:rPr>
        <w:tab/>
      </w:r>
      <w:r w:rsidRPr="000D3BC2">
        <w:rPr>
          <w:rFonts w:ascii="Times New Roman" w:hAnsi="Times New Roman" w:cs="Times New Roman"/>
          <w:spacing w:val="-3"/>
        </w:rPr>
        <w:tab/>
      </w:r>
      <w:r w:rsidR="006A282A">
        <w:rPr>
          <w:rFonts w:ascii="Times New Roman" w:hAnsi="Times New Roman" w:cs="Times New Roman"/>
          <w:spacing w:val="-3"/>
        </w:rPr>
        <w:t>Elizabeth H. Barnes</w:t>
      </w:r>
    </w:p>
    <w:p w14:paraId="57BC1609" w14:textId="77777777" w:rsidR="00B20E68" w:rsidRPr="000D3BC2" w:rsidRDefault="00B20E68" w:rsidP="00266D96">
      <w:pPr>
        <w:pStyle w:val="ParaTab1"/>
        <w:tabs>
          <w:tab w:val="clear" w:pos="-720"/>
          <w:tab w:val="left" w:pos="720"/>
          <w:tab w:val="left" w:pos="5040"/>
        </w:tabs>
        <w:ind w:firstLine="0"/>
        <w:rPr>
          <w:rFonts w:ascii="Times New Roman" w:hAnsi="Times New Roman"/>
        </w:rPr>
      </w:pPr>
      <w:r w:rsidRPr="000D3BC2">
        <w:rPr>
          <w:rFonts w:ascii="Times New Roman" w:hAnsi="Times New Roman"/>
        </w:rPr>
        <w:tab/>
      </w:r>
      <w:r w:rsidRPr="000D3BC2">
        <w:rPr>
          <w:rFonts w:ascii="Times New Roman" w:hAnsi="Times New Roman"/>
        </w:rPr>
        <w:tab/>
        <w:t>Administrative Law Judge</w:t>
      </w:r>
    </w:p>
    <w:p w14:paraId="65A63933" w14:textId="77777777" w:rsidR="0014400A" w:rsidRDefault="0014400A" w:rsidP="00266D96">
      <w:pPr>
        <w:pStyle w:val="ParaTab1"/>
        <w:tabs>
          <w:tab w:val="clear" w:pos="-720"/>
          <w:tab w:val="left" w:pos="720"/>
          <w:tab w:val="left" w:pos="5040"/>
        </w:tabs>
        <w:ind w:firstLine="0"/>
        <w:rPr>
          <w:rFonts w:ascii="Times New Roman" w:hAnsi="Times New Roman"/>
        </w:rPr>
      </w:pPr>
    </w:p>
    <w:p w14:paraId="34ED42E1" w14:textId="77777777" w:rsidR="0014400A" w:rsidRDefault="0014400A" w:rsidP="00266D96">
      <w:pPr>
        <w:pStyle w:val="ParaTab1"/>
        <w:tabs>
          <w:tab w:val="clear" w:pos="-720"/>
          <w:tab w:val="left" w:pos="720"/>
          <w:tab w:val="left" w:pos="5040"/>
        </w:tabs>
        <w:ind w:firstLine="0"/>
        <w:rPr>
          <w:rFonts w:ascii="Times New Roman" w:hAnsi="Times New Roman"/>
        </w:rPr>
      </w:pPr>
    </w:p>
    <w:p w14:paraId="18F02DDF" w14:textId="77777777" w:rsidR="00354EB1" w:rsidRDefault="00354EB1" w:rsidP="00266D96">
      <w:pPr>
        <w:pStyle w:val="ParaTab1"/>
        <w:tabs>
          <w:tab w:val="clear" w:pos="-720"/>
          <w:tab w:val="left" w:pos="720"/>
          <w:tab w:val="left" w:pos="5040"/>
        </w:tabs>
        <w:ind w:firstLine="0"/>
        <w:rPr>
          <w:rFonts w:ascii="Times New Roman" w:hAnsi="Times New Roman"/>
        </w:rPr>
        <w:sectPr w:rsidR="00354EB1">
          <w:footerReference w:type="default" r:id="rId9"/>
          <w:pgSz w:w="12240" w:h="15840"/>
          <w:pgMar w:top="1440" w:right="1440" w:bottom="1440" w:left="1440" w:header="720" w:footer="720" w:gutter="0"/>
          <w:cols w:space="720"/>
          <w:docGrid w:linePitch="360"/>
        </w:sectPr>
      </w:pPr>
    </w:p>
    <w:p w14:paraId="71FDCCDA" w14:textId="77777777" w:rsidR="00354EB1" w:rsidRDefault="00354EB1" w:rsidP="00354EB1">
      <w:pPr>
        <w:rPr>
          <w:rFonts w:ascii="Microsoft Sans Serif" w:eastAsia="Microsoft Sans Serif" w:hAnsi="Microsoft Sans Serif" w:cs="Microsoft Sans Serif"/>
          <w:b/>
          <w:sz w:val="24"/>
          <w:szCs w:val="20"/>
          <w:u w:val="single"/>
        </w:rPr>
      </w:pPr>
      <w:r w:rsidRPr="00354EB1">
        <w:rPr>
          <w:rFonts w:ascii="Microsoft Sans Serif" w:eastAsia="Microsoft Sans Serif" w:hAnsi="Microsoft Sans Serif" w:cs="Microsoft Sans Serif"/>
          <w:b/>
          <w:sz w:val="24"/>
          <w:szCs w:val="20"/>
          <w:u w:val="single"/>
        </w:rPr>
        <w:t>C-2020-3021066; C-2020-3021479 - ANDREW KAUFFMANN v. THE YORK WATER COMPANY</w:t>
      </w:r>
      <w:r w:rsidRPr="00354EB1">
        <w:rPr>
          <w:rFonts w:ascii="Microsoft Sans Serif" w:eastAsia="Microsoft Sans Serif" w:hAnsi="Microsoft Sans Serif" w:cs="Microsoft Sans Serif"/>
          <w:b/>
          <w:sz w:val="24"/>
          <w:szCs w:val="20"/>
          <w:u w:val="single"/>
        </w:rPr>
        <w:cr/>
      </w:r>
    </w:p>
    <w:p w14:paraId="7014B241" w14:textId="6AB662EB" w:rsidR="00354EB1" w:rsidRPr="00354EB1" w:rsidRDefault="00354EB1" w:rsidP="00354EB1">
      <w:pPr>
        <w:rPr>
          <w:rFonts w:ascii="Microsoft Sans Serif" w:eastAsia="Microsoft Sans Serif" w:hAnsi="Microsoft Sans Serif" w:cs="Microsoft Sans Serif"/>
          <w:b/>
          <w:sz w:val="24"/>
          <w:szCs w:val="20"/>
          <w:u w:val="single"/>
        </w:rPr>
      </w:pPr>
      <w:bookmarkStart w:id="2" w:name="_GoBack"/>
      <w:bookmarkEnd w:id="2"/>
      <w:r w:rsidRPr="00354EB1">
        <w:rPr>
          <w:rFonts w:ascii="Microsoft Sans Serif" w:eastAsia="Microsoft Sans Serif" w:hAnsi="Microsoft Sans Serif" w:cs="Microsoft Sans Serif"/>
          <w:b/>
          <w:sz w:val="24"/>
          <w:szCs w:val="20"/>
          <w:u w:val="single"/>
        </w:rPr>
        <w:cr/>
      </w:r>
      <w:r w:rsidRPr="00354EB1">
        <w:rPr>
          <w:rFonts w:ascii="Microsoft Sans Serif" w:eastAsia="Microsoft Sans Serif" w:hAnsi="Microsoft Sans Serif" w:cs="Microsoft Sans Serif"/>
          <w:sz w:val="24"/>
          <w:szCs w:val="20"/>
        </w:rPr>
        <w:t>EDWIN BANKERT</w:t>
      </w:r>
      <w:r w:rsidRPr="00354EB1">
        <w:rPr>
          <w:rFonts w:ascii="Microsoft Sans Serif" w:eastAsia="Microsoft Sans Serif" w:hAnsi="Microsoft Sans Serif" w:cs="Microsoft Sans Serif"/>
          <w:sz w:val="24"/>
          <w:szCs w:val="20"/>
        </w:rPr>
        <w:cr/>
        <w:t>10 DUNKARD VALLEY RD</w:t>
      </w:r>
      <w:r w:rsidRPr="00354EB1">
        <w:rPr>
          <w:rFonts w:ascii="Microsoft Sans Serif" w:eastAsia="Microsoft Sans Serif" w:hAnsi="Microsoft Sans Serif" w:cs="Microsoft Sans Serif"/>
          <w:sz w:val="24"/>
          <w:szCs w:val="20"/>
        </w:rPr>
        <w:cr/>
        <w:t>YORK PA  17403</w:t>
      </w:r>
      <w:r w:rsidRPr="00354EB1">
        <w:rPr>
          <w:rFonts w:ascii="Microsoft Sans Serif" w:eastAsia="Microsoft Sans Serif" w:hAnsi="Microsoft Sans Serif" w:cs="Microsoft Sans Serif"/>
          <w:sz w:val="24"/>
          <w:szCs w:val="20"/>
        </w:rPr>
        <w:cr/>
      </w:r>
      <w:r w:rsidRPr="00354EB1">
        <w:rPr>
          <w:rFonts w:ascii="Microsoft Sans Serif" w:eastAsia="Microsoft Sans Serif" w:hAnsi="Microsoft Sans Serif" w:cs="Microsoft Sans Serif"/>
          <w:b/>
          <w:bCs/>
          <w:sz w:val="24"/>
          <w:szCs w:val="20"/>
        </w:rPr>
        <w:t>717.676.1132</w:t>
      </w:r>
      <w:r w:rsidRPr="00354EB1">
        <w:rPr>
          <w:rFonts w:ascii="Microsoft Sans Serif" w:eastAsia="Microsoft Sans Serif" w:hAnsi="Microsoft Sans Serif" w:cs="Microsoft Sans Serif"/>
          <w:sz w:val="24"/>
          <w:szCs w:val="20"/>
        </w:rPr>
        <w:br/>
      </w:r>
      <w:r w:rsidRPr="00354EB1">
        <w:rPr>
          <w:rFonts w:ascii="Microsoft Sans Serif" w:eastAsia="Microsoft Sans Serif" w:hAnsi="Microsoft Sans Serif" w:cs="Microsoft Sans Serif"/>
          <w:sz w:val="24"/>
          <w:szCs w:val="20"/>
          <w:u w:val="single"/>
        </w:rPr>
        <w:t>pbankert63@gmail.com</w:t>
      </w:r>
      <w:r w:rsidRPr="00354EB1">
        <w:rPr>
          <w:rFonts w:ascii="Microsoft Sans Serif" w:eastAsia="Microsoft Sans Serif" w:hAnsi="Microsoft Sans Serif" w:cs="Microsoft Sans Serif"/>
          <w:sz w:val="24"/>
          <w:szCs w:val="20"/>
          <w:u w:val="single"/>
        </w:rPr>
        <w:cr/>
      </w:r>
      <w:r w:rsidRPr="00354EB1">
        <w:rPr>
          <w:rFonts w:ascii="Microsoft Sans Serif" w:eastAsia="Microsoft Sans Serif" w:hAnsi="Microsoft Sans Serif" w:cs="Microsoft Sans Serif"/>
          <w:i/>
          <w:iCs/>
          <w:sz w:val="24"/>
          <w:szCs w:val="20"/>
        </w:rPr>
        <w:t>Via e-mail only due to Emergency Order at M-2020-3019262</w:t>
      </w:r>
      <w:r w:rsidRPr="00354EB1">
        <w:rPr>
          <w:rFonts w:ascii="Microsoft Sans Serif" w:eastAsia="Microsoft Sans Serif" w:hAnsi="Microsoft Sans Serif" w:cs="Microsoft Sans Serif"/>
          <w:i/>
          <w:iCs/>
          <w:sz w:val="24"/>
          <w:szCs w:val="20"/>
        </w:rPr>
        <w:cr/>
      </w:r>
    </w:p>
    <w:p w14:paraId="65075335" w14:textId="77777777" w:rsidR="00354EB1" w:rsidRPr="00354EB1" w:rsidRDefault="00354EB1" w:rsidP="00354EB1">
      <w:pPr>
        <w:rPr>
          <w:rFonts w:ascii="Microsoft Sans Serif" w:hAnsi="Microsoft Sans Serif" w:cs="Microsoft Sans Serif"/>
          <w:sz w:val="24"/>
          <w:szCs w:val="24"/>
        </w:rPr>
      </w:pPr>
      <w:r w:rsidRPr="00354EB1">
        <w:rPr>
          <w:rFonts w:ascii="Microsoft Sans Serif" w:eastAsia="Microsoft Sans Serif" w:hAnsi="Microsoft Sans Serif" w:cs="Microsoft Sans Serif"/>
          <w:sz w:val="24"/>
          <w:szCs w:val="20"/>
        </w:rPr>
        <w:t>ANDREW KAUFFMANN</w:t>
      </w:r>
      <w:r w:rsidRPr="00354EB1">
        <w:rPr>
          <w:rFonts w:ascii="Microsoft Sans Serif" w:eastAsia="Microsoft Sans Serif" w:hAnsi="Microsoft Sans Serif" w:cs="Microsoft Sans Serif"/>
          <w:sz w:val="24"/>
          <w:szCs w:val="20"/>
        </w:rPr>
        <w:cr/>
        <w:t>183 DUNKARD VALLEY ROAD</w:t>
      </w:r>
      <w:r w:rsidRPr="00354EB1">
        <w:rPr>
          <w:rFonts w:ascii="Microsoft Sans Serif" w:eastAsia="Microsoft Sans Serif" w:hAnsi="Microsoft Sans Serif" w:cs="Microsoft Sans Serif"/>
          <w:sz w:val="24"/>
          <w:szCs w:val="20"/>
        </w:rPr>
        <w:cr/>
        <w:t>YORK PA  17403</w:t>
      </w:r>
      <w:r w:rsidRPr="00354EB1">
        <w:rPr>
          <w:rFonts w:ascii="Microsoft Sans Serif" w:eastAsia="Microsoft Sans Serif" w:hAnsi="Microsoft Sans Serif" w:cs="Microsoft Sans Serif"/>
          <w:sz w:val="24"/>
          <w:szCs w:val="20"/>
        </w:rPr>
        <w:cr/>
      </w:r>
      <w:r w:rsidRPr="00354EB1">
        <w:rPr>
          <w:rFonts w:ascii="Microsoft Sans Serif" w:eastAsia="Microsoft Sans Serif" w:hAnsi="Microsoft Sans Serif" w:cs="Microsoft Sans Serif"/>
          <w:b/>
          <w:bCs/>
          <w:sz w:val="24"/>
          <w:szCs w:val="20"/>
        </w:rPr>
        <w:t>717.578.8744</w:t>
      </w:r>
      <w:r w:rsidRPr="00354EB1">
        <w:rPr>
          <w:rFonts w:ascii="Microsoft Sans Serif" w:eastAsia="Microsoft Sans Serif" w:hAnsi="Microsoft Sans Serif" w:cs="Microsoft Sans Serif"/>
          <w:sz w:val="24"/>
          <w:szCs w:val="20"/>
        </w:rPr>
        <w:br/>
      </w:r>
      <w:hyperlink r:id="rId10" w:history="1">
        <w:r w:rsidRPr="00354EB1">
          <w:rPr>
            <w:rFonts w:ascii="Microsoft Sans Serif" w:eastAsia="Microsoft Sans Serif" w:hAnsi="Microsoft Sans Serif" w:cs="Microsoft Sans Serif"/>
            <w:sz w:val="24"/>
            <w:szCs w:val="20"/>
            <w:u w:val="single"/>
          </w:rPr>
          <w:t>andylarry@aol.com</w:t>
        </w:r>
      </w:hyperlink>
      <w:r w:rsidRPr="00354EB1">
        <w:rPr>
          <w:rFonts w:ascii="Microsoft Sans Serif" w:eastAsia="Microsoft Sans Serif" w:hAnsi="Microsoft Sans Serif" w:cs="Microsoft Sans Serif"/>
          <w:sz w:val="24"/>
          <w:szCs w:val="20"/>
        </w:rPr>
        <w:br/>
      </w:r>
      <w:r w:rsidRPr="00354EB1">
        <w:rPr>
          <w:rFonts w:ascii="Microsoft Sans Serif" w:eastAsia="Microsoft Sans Serif" w:hAnsi="Microsoft Sans Serif" w:cs="Microsoft Sans Serif"/>
          <w:i/>
          <w:iCs/>
          <w:sz w:val="24"/>
          <w:szCs w:val="20"/>
        </w:rPr>
        <w:t>Via e-mail only due to Emergency Order at M-2020-3019262</w:t>
      </w:r>
      <w:r w:rsidRPr="00354EB1">
        <w:rPr>
          <w:rFonts w:ascii="Microsoft Sans Serif" w:eastAsia="Microsoft Sans Serif" w:hAnsi="Microsoft Sans Serif" w:cs="Microsoft Sans Serif"/>
          <w:i/>
          <w:iCs/>
          <w:sz w:val="24"/>
          <w:szCs w:val="20"/>
        </w:rPr>
        <w:cr/>
      </w:r>
      <w:r w:rsidRPr="00354EB1">
        <w:rPr>
          <w:rFonts w:ascii="Microsoft Sans Serif" w:eastAsia="Microsoft Sans Serif" w:hAnsi="Microsoft Sans Serif" w:cs="Microsoft Sans Serif"/>
          <w:sz w:val="24"/>
          <w:szCs w:val="20"/>
        </w:rPr>
        <w:cr/>
        <w:t>DEVIN T RYAN ESQUIRE</w:t>
      </w:r>
      <w:r w:rsidRPr="00354EB1">
        <w:rPr>
          <w:rFonts w:ascii="Microsoft Sans Serif" w:eastAsia="Microsoft Sans Serif" w:hAnsi="Microsoft Sans Serif" w:cs="Microsoft Sans Serif"/>
          <w:sz w:val="24"/>
          <w:szCs w:val="20"/>
        </w:rPr>
        <w:br/>
        <w:t>MICHAEL W HASSELL ESQUIRE</w:t>
      </w:r>
      <w:r w:rsidRPr="00354EB1">
        <w:rPr>
          <w:rFonts w:ascii="Microsoft Sans Serif" w:eastAsia="Microsoft Sans Serif" w:hAnsi="Microsoft Sans Serif" w:cs="Microsoft Sans Serif"/>
          <w:sz w:val="24"/>
          <w:szCs w:val="20"/>
        </w:rPr>
        <w:cr/>
        <w:t>POST AND SCHELL</w:t>
      </w:r>
      <w:r w:rsidRPr="00354EB1">
        <w:rPr>
          <w:rFonts w:ascii="Microsoft Sans Serif" w:eastAsia="Microsoft Sans Serif" w:hAnsi="Microsoft Sans Serif" w:cs="Microsoft Sans Serif"/>
          <w:sz w:val="24"/>
          <w:szCs w:val="20"/>
        </w:rPr>
        <w:cr/>
        <w:t>17 NORTH 2ND STREET</w:t>
      </w:r>
      <w:r w:rsidRPr="00354EB1">
        <w:rPr>
          <w:rFonts w:ascii="Microsoft Sans Serif" w:eastAsia="Microsoft Sans Serif" w:hAnsi="Microsoft Sans Serif" w:cs="Microsoft Sans Serif"/>
          <w:sz w:val="24"/>
          <w:szCs w:val="20"/>
        </w:rPr>
        <w:cr/>
        <w:t>12TH FLOOR</w:t>
      </w:r>
      <w:r w:rsidRPr="00354EB1">
        <w:rPr>
          <w:rFonts w:ascii="Microsoft Sans Serif" w:eastAsia="Microsoft Sans Serif" w:hAnsi="Microsoft Sans Serif" w:cs="Microsoft Sans Serif"/>
          <w:sz w:val="24"/>
          <w:szCs w:val="20"/>
        </w:rPr>
        <w:cr/>
        <w:t>HARRISBURG PA  17101-1601</w:t>
      </w:r>
      <w:r w:rsidRPr="00354EB1">
        <w:rPr>
          <w:rFonts w:ascii="Microsoft Sans Serif" w:eastAsia="Microsoft Sans Serif" w:hAnsi="Microsoft Sans Serif" w:cs="Microsoft Sans Serif"/>
          <w:sz w:val="24"/>
          <w:szCs w:val="20"/>
        </w:rPr>
        <w:cr/>
      </w:r>
      <w:r w:rsidRPr="00354EB1">
        <w:rPr>
          <w:rFonts w:ascii="Microsoft Sans Serif" w:eastAsia="Microsoft Sans Serif" w:hAnsi="Microsoft Sans Serif" w:cs="Microsoft Sans Serif"/>
          <w:b/>
          <w:bCs/>
          <w:sz w:val="24"/>
          <w:szCs w:val="20"/>
        </w:rPr>
        <w:t>717.612.6052</w:t>
      </w:r>
      <w:r w:rsidRPr="00354EB1">
        <w:rPr>
          <w:rFonts w:ascii="Microsoft Sans Serif" w:eastAsia="Microsoft Sans Serif" w:hAnsi="Microsoft Sans Serif" w:cs="Microsoft Sans Serif"/>
          <w:b/>
          <w:bCs/>
          <w:sz w:val="24"/>
          <w:szCs w:val="20"/>
        </w:rPr>
        <w:br/>
        <w:t>717.612.6029</w:t>
      </w:r>
      <w:r w:rsidRPr="00354EB1">
        <w:rPr>
          <w:rFonts w:ascii="Microsoft Sans Serif" w:eastAsia="Microsoft Sans Serif" w:hAnsi="Microsoft Sans Serif" w:cs="Microsoft Sans Serif"/>
          <w:sz w:val="24"/>
          <w:szCs w:val="20"/>
        </w:rPr>
        <w:br/>
        <w:t>Accepts eService</w:t>
      </w:r>
      <w:r w:rsidRPr="00354EB1">
        <w:rPr>
          <w:rFonts w:ascii="Microsoft Sans Serif" w:eastAsia="Microsoft Sans Serif" w:hAnsi="Microsoft Sans Serif" w:cs="Microsoft Sans Serif"/>
          <w:sz w:val="24"/>
          <w:szCs w:val="20"/>
        </w:rPr>
        <w:cr/>
      </w:r>
    </w:p>
    <w:p w14:paraId="0D2B740E" w14:textId="54E965B8" w:rsidR="0014400A" w:rsidRDefault="0014400A" w:rsidP="00266D96">
      <w:pPr>
        <w:pStyle w:val="ParaTab1"/>
        <w:tabs>
          <w:tab w:val="clear" w:pos="-720"/>
          <w:tab w:val="left" w:pos="720"/>
          <w:tab w:val="left" w:pos="5040"/>
        </w:tabs>
        <w:ind w:firstLine="0"/>
        <w:rPr>
          <w:rFonts w:ascii="Times New Roman" w:hAnsi="Times New Roman"/>
        </w:rPr>
      </w:pPr>
    </w:p>
    <w:sectPr w:rsidR="0014400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29E02A" w14:textId="77777777" w:rsidR="004A49C7" w:rsidRDefault="004A49C7">
      <w:r>
        <w:separator/>
      </w:r>
    </w:p>
  </w:endnote>
  <w:endnote w:type="continuationSeparator" w:id="0">
    <w:p w14:paraId="229CEB21" w14:textId="77777777" w:rsidR="004A49C7" w:rsidRDefault="004A4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B851CF" w14:textId="77777777" w:rsidR="00266D96" w:rsidRDefault="00266D96" w:rsidP="002F2F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8274E5D" w14:textId="77777777" w:rsidR="00266D96" w:rsidRDefault="00266D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9567E8" w14:textId="77777777" w:rsidR="00354EB1" w:rsidRPr="00354EB1" w:rsidRDefault="00354EB1" w:rsidP="002F2F6A">
    <w:pPr>
      <w:pStyle w:val="Footer"/>
      <w:framePr w:wrap="around" w:vAnchor="text" w:hAnchor="margin" w:xAlign="center" w:y="1"/>
      <w:rPr>
        <w:rStyle w:val="PageNumber"/>
        <w:sz w:val="20"/>
        <w:szCs w:val="20"/>
      </w:rPr>
    </w:pPr>
    <w:r w:rsidRPr="00354EB1">
      <w:rPr>
        <w:rStyle w:val="PageNumber"/>
        <w:sz w:val="20"/>
        <w:szCs w:val="20"/>
      </w:rPr>
      <w:fldChar w:fldCharType="begin"/>
    </w:r>
    <w:r w:rsidRPr="00354EB1">
      <w:rPr>
        <w:rStyle w:val="PageNumber"/>
        <w:sz w:val="20"/>
        <w:szCs w:val="20"/>
      </w:rPr>
      <w:instrText xml:space="preserve">PAGE  </w:instrText>
    </w:r>
    <w:r w:rsidRPr="00354EB1">
      <w:rPr>
        <w:rStyle w:val="PageNumber"/>
        <w:sz w:val="20"/>
        <w:szCs w:val="20"/>
      </w:rPr>
      <w:fldChar w:fldCharType="separate"/>
    </w:r>
    <w:r w:rsidRPr="00354EB1">
      <w:rPr>
        <w:rStyle w:val="PageNumber"/>
        <w:noProof/>
        <w:sz w:val="20"/>
        <w:szCs w:val="20"/>
      </w:rPr>
      <w:t>3</w:t>
    </w:r>
    <w:r w:rsidRPr="00354EB1">
      <w:rPr>
        <w:rStyle w:val="PageNumber"/>
        <w:sz w:val="20"/>
        <w:szCs w:val="20"/>
      </w:rPr>
      <w:fldChar w:fldCharType="end"/>
    </w:r>
  </w:p>
  <w:p w14:paraId="3CC0091F" w14:textId="77777777" w:rsidR="00354EB1" w:rsidRPr="00354EB1" w:rsidRDefault="00354EB1">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797038" w14:textId="77777777" w:rsidR="004A49C7" w:rsidRDefault="004A49C7">
      <w:r>
        <w:separator/>
      </w:r>
    </w:p>
  </w:footnote>
  <w:footnote w:type="continuationSeparator" w:id="0">
    <w:p w14:paraId="6E064C6C" w14:textId="77777777" w:rsidR="004A49C7" w:rsidRDefault="004A4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0E76C0"/>
    <w:multiLevelType w:val="hybridMultilevel"/>
    <w:tmpl w:val="D7F0D1E4"/>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15:restartNumberingAfterBreak="0">
    <w:nsid w:val="3707404E"/>
    <w:multiLevelType w:val="hybridMultilevel"/>
    <w:tmpl w:val="09BA6614"/>
    <w:lvl w:ilvl="0" w:tplc="25B034AC">
      <w:start w:val="5"/>
      <w:numFmt w:val="lowerRoman"/>
      <w:lvlText w:val="%1."/>
      <w:lvlJc w:val="left"/>
      <w:pPr>
        <w:tabs>
          <w:tab w:val="num" w:pos="5100"/>
        </w:tabs>
        <w:ind w:left="5100" w:hanging="474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2" w15:restartNumberingAfterBreak="0">
    <w:nsid w:val="62023F60"/>
    <w:multiLevelType w:val="hybridMultilevel"/>
    <w:tmpl w:val="EADED0C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A45"/>
    <w:rsid w:val="000232EA"/>
    <w:rsid w:val="00030CC7"/>
    <w:rsid w:val="000347E5"/>
    <w:rsid w:val="0003534D"/>
    <w:rsid w:val="000370A7"/>
    <w:rsid w:val="00042FCD"/>
    <w:rsid w:val="00045DFF"/>
    <w:rsid w:val="00061197"/>
    <w:rsid w:val="00063A51"/>
    <w:rsid w:val="000723C9"/>
    <w:rsid w:val="00075FA0"/>
    <w:rsid w:val="000B1DD9"/>
    <w:rsid w:val="000B5B35"/>
    <w:rsid w:val="000C0F84"/>
    <w:rsid w:val="000C2560"/>
    <w:rsid w:val="000C5DE3"/>
    <w:rsid w:val="000D0343"/>
    <w:rsid w:val="000D3BC2"/>
    <w:rsid w:val="000D6258"/>
    <w:rsid w:val="00101E75"/>
    <w:rsid w:val="0010281E"/>
    <w:rsid w:val="00107D02"/>
    <w:rsid w:val="00116B43"/>
    <w:rsid w:val="001341C0"/>
    <w:rsid w:val="001374E4"/>
    <w:rsid w:val="0014400A"/>
    <w:rsid w:val="0015596A"/>
    <w:rsid w:val="0016007B"/>
    <w:rsid w:val="00170FF7"/>
    <w:rsid w:val="00172746"/>
    <w:rsid w:val="00173C54"/>
    <w:rsid w:val="00194095"/>
    <w:rsid w:val="001A63DC"/>
    <w:rsid w:val="001A7579"/>
    <w:rsid w:val="001C11FC"/>
    <w:rsid w:val="001D08F2"/>
    <w:rsid w:val="001D3456"/>
    <w:rsid w:val="001D4B6E"/>
    <w:rsid w:val="001E0BD2"/>
    <w:rsid w:val="001E1E25"/>
    <w:rsid w:val="001E4376"/>
    <w:rsid w:val="001E4797"/>
    <w:rsid w:val="002004EA"/>
    <w:rsid w:val="00215B25"/>
    <w:rsid w:val="002326E9"/>
    <w:rsid w:val="00237D06"/>
    <w:rsid w:val="00241663"/>
    <w:rsid w:val="00254C8C"/>
    <w:rsid w:val="00266D96"/>
    <w:rsid w:val="00280F0B"/>
    <w:rsid w:val="002823FB"/>
    <w:rsid w:val="002C152A"/>
    <w:rsid w:val="002C3865"/>
    <w:rsid w:val="002D01D6"/>
    <w:rsid w:val="002D3FFE"/>
    <w:rsid w:val="002D468C"/>
    <w:rsid w:val="002E1AF1"/>
    <w:rsid w:val="002F2EBF"/>
    <w:rsid w:val="002F2F6A"/>
    <w:rsid w:val="00303009"/>
    <w:rsid w:val="00322911"/>
    <w:rsid w:val="00326FD8"/>
    <w:rsid w:val="003441A3"/>
    <w:rsid w:val="00350D22"/>
    <w:rsid w:val="00354EB1"/>
    <w:rsid w:val="003607F9"/>
    <w:rsid w:val="003634B5"/>
    <w:rsid w:val="00364908"/>
    <w:rsid w:val="003715EE"/>
    <w:rsid w:val="00371EE8"/>
    <w:rsid w:val="0038016C"/>
    <w:rsid w:val="00382FF9"/>
    <w:rsid w:val="003835D8"/>
    <w:rsid w:val="00386419"/>
    <w:rsid w:val="00391221"/>
    <w:rsid w:val="00392659"/>
    <w:rsid w:val="003962FB"/>
    <w:rsid w:val="003A4B31"/>
    <w:rsid w:val="003A7CA6"/>
    <w:rsid w:val="003B3798"/>
    <w:rsid w:val="003C25C2"/>
    <w:rsid w:val="003D32D6"/>
    <w:rsid w:val="003D471A"/>
    <w:rsid w:val="003E1A5A"/>
    <w:rsid w:val="003F6BFE"/>
    <w:rsid w:val="00400548"/>
    <w:rsid w:val="004039D4"/>
    <w:rsid w:val="004254F9"/>
    <w:rsid w:val="004427BC"/>
    <w:rsid w:val="00443D82"/>
    <w:rsid w:val="00447BE1"/>
    <w:rsid w:val="00466E1C"/>
    <w:rsid w:val="004708B5"/>
    <w:rsid w:val="004938B3"/>
    <w:rsid w:val="00496CE5"/>
    <w:rsid w:val="004A49C7"/>
    <w:rsid w:val="004A5649"/>
    <w:rsid w:val="004A64DA"/>
    <w:rsid w:val="004B0C14"/>
    <w:rsid w:val="004B26FA"/>
    <w:rsid w:val="004B44D7"/>
    <w:rsid w:val="004C79A2"/>
    <w:rsid w:val="004C7F6B"/>
    <w:rsid w:val="004D72DF"/>
    <w:rsid w:val="004F623D"/>
    <w:rsid w:val="0050713F"/>
    <w:rsid w:val="005109EC"/>
    <w:rsid w:val="00511E45"/>
    <w:rsid w:val="00520E3A"/>
    <w:rsid w:val="00533710"/>
    <w:rsid w:val="00534FC5"/>
    <w:rsid w:val="0054396D"/>
    <w:rsid w:val="00545E1A"/>
    <w:rsid w:val="00555291"/>
    <w:rsid w:val="005573E7"/>
    <w:rsid w:val="0055768F"/>
    <w:rsid w:val="00560419"/>
    <w:rsid w:val="00560B89"/>
    <w:rsid w:val="00574F7D"/>
    <w:rsid w:val="0058274A"/>
    <w:rsid w:val="0059106D"/>
    <w:rsid w:val="005B3E4A"/>
    <w:rsid w:val="005C275D"/>
    <w:rsid w:val="005C2CE1"/>
    <w:rsid w:val="005C63D1"/>
    <w:rsid w:val="005D5A1B"/>
    <w:rsid w:val="005E0488"/>
    <w:rsid w:val="005F052C"/>
    <w:rsid w:val="005F370B"/>
    <w:rsid w:val="005F6906"/>
    <w:rsid w:val="0061161F"/>
    <w:rsid w:val="006262F9"/>
    <w:rsid w:val="00630DAD"/>
    <w:rsid w:val="00657BF6"/>
    <w:rsid w:val="00660F71"/>
    <w:rsid w:val="00665B05"/>
    <w:rsid w:val="00674D65"/>
    <w:rsid w:val="00677A4F"/>
    <w:rsid w:val="006811A9"/>
    <w:rsid w:val="006813F3"/>
    <w:rsid w:val="00685D7C"/>
    <w:rsid w:val="0069624D"/>
    <w:rsid w:val="006A282A"/>
    <w:rsid w:val="006B24F0"/>
    <w:rsid w:val="006F0AB5"/>
    <w:rsid w:val="006F4706"/>
    <w:rsid w:val="006F4D18"/>
    <w:rsid w:val="006F4FE7"/>
    <w:rsid w:val="00701F7F"/>
    <w:rsid w:val="007061AB"/>
    <w:rsid w:val="00712062"/>
    <w:rsid w:val="00714BAC"/>
    <w:rsid w:val="00716E98"/>
    <w:rsid w:val="00717033"/>
    <w:rsid w:val="00725446"/>
    <w:rsid w:val="007464DA"/>
    <w:rsid w:val="0076323A"/>
    <w:rsid w:val="00770385"/>
    <w:rsid w:val="007739F5"/>
    <w:rsid w:val="00777723"/>
    <w:rsid w:val="00796E78"/>
    <w:rsid w:val="00797810"/>
    <w:rsid w:val="007A13D8"/>
    <w:rsid w:val="007C0768"/>
    <w:rsid w:val="007C1B6F"/>
    <w:rsid w:val="007C7579"/>
    <w:rsid w:val="007D2940"/>
    <w:rsid w:val="008135B6"/>
    <w:rsid w:val="0081483F"/>
    <w:rsid w:val="00820C42"/>
    <w:rsid w:val="0082128C"/>
    <w:rsid w:val="00821B9B"/>
    <w:rsid w:val="00833B0D"/>
    <w:rsid w:val="00855529"/>
    <w:rsid w:val="00865914"/>
    <w:rsid w:val="0087554D"/>
    <w:rsid w:val="008755B1"/>
    <w:rsid w:val="00876F95"/>
    <w:rsid w:val="00883EBB"/>
    <w:rsid w:val="008854A4"/>
    <w:rsid w:val="00885F05"/>
    <w:rsid w:val="008A1C63"/>
    <w:rsid w:val="008A6557"/>
    <w:rsid w:val="008B558C"/>
    <w:rsid w:val="008C0C3F"/>
    <w:rsid w:val="008F1571"/>
    <w:rsid w:val="008F5FB5"/>
    <w:rsid w:val="00904E9E"/>
    <w:rsid w:val="009110F9"/>
    <w:rsid w:val="0091754D"/>
    <w:rsid w:val="00920E35"/>
    <w:rsid w:val="0092141F"/>
    <w:rsid w:val="00925C70"/>
    <w:rsid w:val="00926D2B"/>
    <w:rsid w:val="0093520F"/>
    <w:rsid w:val="0095288F"/>
    <w:rsid w:val="0097278D"/>
    <w:rsid w:val="00972D20"/>
    <w:rsid w:val="009752CC"/>
    <w:rsid w:val="009909B2"/>
    <w:rsid w:val="00990F35"/>
    <w:rsid w:val="009A613E"/>
    <w:rsid w:val="009B0B93"/>
    <w:rsid w:val="009B12C8"/>
    <w:rsid w:val="009B3D82"/>
    <w:rsid w:val="009D0584"/>
    <w:rsid w:val="009D32FC"/>
    <w:rsid w:val="009F3ED2"/>
    <w:rsid w:val="00A03AA8"/>
    <w:rsid w:val="00A049D7"/>
    <w:rsid w:val="00A07938"/>
    <w:rsid w:val="00A109E7"/>
    <w:rsid w:val="00A14529"/>
    <w:rsid w:val="00A15153"/>
    <w:rsid w:val="00A2387E"/>
    <w:rsid w:val="00A339CA"/>
    <w:rsid w:val="00A5334F"/>
    <w:rsid w:val="00A6070B"/>
    <w:rsid w:val="00A75FBE"/>
    <w:rsid w:val="00A80210"/>
    <w:rsid w:val="00A808E0"/>
    <w:rsid w:val="00A931CC"/>
    <w:rsid w:val="00A9483D"/>
    <w:rsid w:val="00A94CCE"/>
    <w:rsid w:val="00AA1C7F"/>
    <w:rsid w:val="00AB5561"/>
    <w:rsid w:val="00AC2F9C"/>
    <w:rsid w:val="00AC6EF8"/>
    <w:rsid w:val="00AD1035"/>
    <w:rsid w:val="00AE4FE5"/>
    <w:rsid w:val="00AF5A52"/>
    <w:rsid w:val="00AF7578"/>
    <w:rsid w:val="00B00182"/>
    <w:rsid w:val="00B10672"/>
    <w:rsid w:val="00B108D0"/>
    <w:rsid w:val="00B20E68"/>
    <w:rsid w:val="00B326D4"/>
    <w:rsid w:val="00B32C73"/>
    <w:rsid w:val="00B36E83"/>
    <w:rsid w:val="00B425A3"/>
    <w:rsid w:val="00B5026A"/>
    <w:rsid w:val="00B50CC1"/>
    <w:rsid w:val="00B80EF9"/>
    <w:rsid w:val="00B822D8"/>
    <w:rsid w:val="00B834EA"/>
    <w:rsid w:val="00B95BA5"/>
    <w:rsid w:val="00BA394D"/>
    <w:rsid w:val="00BD0CEC"/>
    <w:rsid w:val="00BD1BC8"/>
    <w:rsid w:val="00BD6CAA"/>
    <w:rsid w:val="00BD7384"/>
    <w:rsid w:val="00BE5890"/>
    <w:rsid w:val="00BF0FBE"/>
    <w:rsid w:val="00BF1ED7"/>
    <w:rsid w:val="00C14406"/>
    <w:rsid w:val="00C17F72"/>
    <w:rsid w:val="00C239BE"/>
    <w:rsid w:val="00C2605C"/>
    <w:rsid w:val="00C43AD7"/>
    <w:rsid w:val="00C474E6"/>
    <w:rsid w:val="00C52564"/>
    <w:rsid w:val="00C7369F"/>
    <w:rsid w:val="00C8100C"/>
    <w:rsid w:val="00C82987"/>
    <w:rsid w:val="00C90EF5"/>
    <w:rsid w:val="00C9158F"/>
    <w:rsid w:val="00CA47C7"/>
    <w:rsid w:val="00CB2242"/>
    <w:rsid w:val="00CB6822"/>
    <w:rsid w:val="00CC0B24"/>
    <w:rsid w:val="00CC4A93"/>
    <w:rsid w:val="00CD4FB8"/>
    <w:rsid w:val="00CE5DCA"/>
    <w:rsid w:val="00CF5D64"/>
    <w:rsid w:val="00D02E7B"/>
    <w:rsid w:val="00D06915"/>
    <w:rsid w:val="00D10697"/>
    <w:rsid w:val="00D245BA"/>
    <w:rsid w:val="00D30638"/>
    <w:rsid w:val="00D40AD1"/>
    <w:rsid w:val="00D7185A"/>
    <w:rsid w:val="00D82B0E"/>
    <w:rsid w:val="00D83201"/>
    <w:rsid w:val="00D8360A"/>
    <w:rsid w:val="00D93BEE"/>
    <w:rsid w:val="00D95B8E"/>
    <w:rsid w:val="00DA06F3"/>
    <w:rsid w:val="00DA07AE"/>
    <w:rsid w:val="00DB0D16"/>
    <w:rsid w:val="00DC0857"/>
    <w:rsid w:val="00DC572F"/>
    <w:rsid w:val="00DE3152"/>
    <w:rsid w:val="00DE48F2"/>
    <w:rsid w:val="00DF05EF"/>
    <w:rsid w:val="00DF4A1A"/>
    <w:rsid w:val="00E149DB"/>
    <w:rsid w:val="00E247EF"/>
    <w:rsid w:val="00E37352"/>
    <w:rsid w:val="00E61B97"/>
    <w:rsid w:val="00E6418D"/>
    <w:rsid w:val="00E76E50"/>
    <w:rsid w:val="00E7711D"/>
    <w:rsid w:val="00E82BCE"/>
    <w:rsid w:val="00E90E75"/>
    <w:rsid w:val="00E94519"/>
    <w:rsid w:val="00EC0638"/>
    <w:rsid w:val="00EC73FD"/>
    <w:rsid w:val="00ED1577"/>
    <w:rsid w:val="00ED3FFB"/>
    <w:rsid w:val="00ED40A2"/>
    <w:rsid w:val="00EE3455"/>
    <w:rsid w:val="00EE6268"/>
    <w:rsid w:val="00EF62DA"/>
    <w:rsid w:val="00F10E35"/>
    <w:rsid w:val="00F1149D"/>
    <w:rsid w:val="00F11D5C"/>
    <w:rsid w:val="00F1317A"/>
    <w:rsid w:val="00F154DF"/>
    <w:rsid w:val="00F21E92"/>
    <w:rsid w:val="00F821E7"/>
    <w:rsid w:val="00FA4384"/>
    <w:rsid w:val="00FB10E3"/>
    <w:rsid w:val="00FB3CCF"/>
    <w:rsid w:val="00FC5806"/>
    <w:rsid w:val="00FC793C"/>
    <w:rsid w:val="00FD31B2"/>
    <w:rsid w:val="00FE13C2"/>
    <w:rsid w:val="00FF7A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8950B6"/>
  <w15:docId w15:val="{E05448DF-002F-4713-B0AD-3DB21E1A9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7A45"/>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FF7A45"/>
    <w:rPr>
      <w:sz w:val="20"/>
      <w:szCs w:val="20"/>
    </w:rPr>
  </w:style>
  <w:style w:type="character" w:styleId="FootnoteReference">
    <w:name w:val="footnote reference"/>
    <w:semiHidden/>
    <w:rsid w:val="00FF7A45"/>
    <w:rPr>
      <w:vertAlign w:val="superscript"/>
    </w:rPr>
  </w:style>
  <w:style w:type="paragraph" w:styleId="CommentText">
    <w:name w:val="annotation text"/>
    <w:basedOn w:val="Normal"/>
    <w:semiHidden/>
    <w:rsid w:val="00FF7A45"/>
    <w:rPr>
      <w:sz w:val="20"/>
      <w:szCs w:val="20"/>
    </w:rPr>
  </w:style>
  <w:style w:type="paragraph" w:styleId="Footer">
    <w:name w:val="footer"/>
    <w:basedOn w:val="Normal"/>
    <w:rsid w:val="00FF7A45"/>
    <w:pPr>
      <w:tabs>
        <w:tab w:val="center" w:pos="4320"/>
        <w:tab w:val="right" w:pos="8640"/>
      </w:tabs>
    </w:pPr>
  </w:style>
  <w:style w:type="character" w:styleId="PageNumber">
    <w:name w:val="page number"/>
    <w:basedOn w:val="DefaultParagraphFont"/>
    <w:rsid w:val="00FF7A45"/>
  </w:style>
  <w:style w:type="character" w:customStyle="1" w:styleId="documentbody1">
    <w:name w:val="documentbody1"/>
    <w:rsid w:val="00116B43"/>
    <w:rPr>
      <w:rFonts w:ascii="Verdana" w:hAnsi="Verdana" w:hint="default"/>
      <w:sz w:val="19"/>
      <w:szCs w:val="19"/>
    </w:rPr>
  </w:style>
  <w:style w:type="paragraph" w:customStyle="1" w:styleId="ParaTab1">
    <w:name w:val="ParaTab 1"/>
    <w:rsid w:val="00B20E68"/>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link w:val="BalloonTextChar"/>
    <w:rsid w:val="004D72DF"/>
    <w:rPr>
      <w:rFonts w:ascii="Tahoma" w:hAnsi="Tahoma" w:cs="Tahoma"/>
      <w:sz w:val="16"/>
      <w:szCs w:val="16"/>
    </w:rPr>
  </w:style>
  <w:style w:type="character" w:customStyle="1" w:styleId="BalloonTextChar">
    <w:name w:val="Balloon Text Char"/>
    <w:basedOn w:val="DefaultParagraphFont"/>
    <w:link w:val="BalloonText"/>
    <w:rsid w:val="004D72DF"/>
    <w:rPr>
      <w:rFonts w:ascii="Tahoma" w:hAnsi="Tahoma" w:cs="Tahoma"/>
      <w:sz w:val="16"/>
      <w:szCs w:val="16"/>
    </w:rPr>
  </w:style>
  <w:style w:type="paragraph" w:styleId="Header">
    <w:name w:val="header"/>
    <w:basedOn w:val="Normal"/>
    <w:link w:val="HeaderChar"/>
    <w:unhideWhenUsed/>
    <w:rsid w:val="00354EB1"/>
    <w:pPr>
      <w:tabs>
        <w:tab w:val="center" w:pos="4680"/>
        <w:tab w:val="right" w:pos="9360"/>
      </w:tabs>
    </w:pPr>
  </w:style>
  <w:style w:type="character" w:customStyle="1" w:styleId="HeaderChar">
    <w:name w:val="Header Char"/>
    <w:basedOn w:val="DefaultParagraphFont"/>
    <w:link w:val="Header"/>
    <w:rsid w:val="00354EB1"/>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0605779">
      <w:bodyDiv w:val="1"/>
      <w:marLeft w:val="32"/>
      <w:marRight w:val="32"/>
      <w:marTop w:val="32"/>
      <w:marBottom w:val="32"/>
      <w:divBdr>
        <w:top w:val="none" w:sz="0" w:space="0" w:color="auto"/>
        <w:left w:val="none" w:sz="0" w:space="0" w:color="auto"/>
        <w:bottom w:val="none" w:sz="0" w:space="0" w:color="auto"/>
        <w:right w:val="none" w:sz="0" w:space="0" w:color="auto"/>
      </w:divBdr>
      <w:divsChild>
        <w:div w:id="202445818">
          <w:marLeft w:val="0"/>
          <w:marRight w:val="0"/>
          <w:marTop w:val="0"/>
          <w:marBottom w:val="0"/>
          <w:divBdr>
            <w:top w:val="none" w:sz="0" w:space="0" w:color="auto"/>
            <w:left w:val="none" w:sz="0" w:space="0" w:color="auto"/>
            <w:bottom w:val="none" w:sz="0" w:space="0" w:color="auto"/>
            <w:right w:val="none" w:sz="0" w:space="0" w:color="auto"/>
          </w:divBdr>
          <w:divsChild>
            <w:div w:id="929123844">
              <w:marLeft w:val="47"/>
              <w:marRight w:val="47"/>
              <w:marTop w:val="47"/>
              <w:marBottom w:val="47"/>
              <w:divBdr>
                <w:top w:val="none" w:sz="0" w:space="0" w:color="auto"/>
                <w:left w:val="none" w:sz="0" w:space="0" w:color="auto"/>
                <w:bottom w:val="none" w:sz="0" w:space="0" w:color="auto"/>
                <w:right w:val="none" w:sz="0" w:space="0" w:color="auto"/>
              </w:divBdr>
              <w:divsChild>
                <w:div w:id="709690236">
                  <w:marLeft w:val="0"/>
                  <w:marRight w:val="0"/>
                  <w:marTop w:val="0"/>
                  <w:marBottom w:val="0"/>
                  <w:divBdr>
                    <w:top w:val="none" w:sz="0" w:space="0" w:color="auto"/>
                    <w:left w:val="none" w:sz="0" w:space="0" w:color="auto"/>
                    <w:bottom w:val="none" w:sz="0" w:space="0" w:color="auto"/>
                    <w:right w:val="none" w:sz="0" w:space="0" w:color="auto"/>
                  </w:divBdr>
                  <w:divsChild>
                    <w:div w:id="74006359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ndylarry@aol.com"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9D7EF-42AA-47B7-9716-EE01DA4FA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750</Words>
  <Characters>4280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davalexand</dc:creator>
  <cp:lastModifiedBy>Williams, Bobbie Jo</cp:lastModifiedBy>
  <cp:revision>2</cp:revision>
  <cp:lastPrinted>2014-12-16T15:00:00Z</cp:lastPrinted>
  <dcterms:created xsi:type="dcterms:W3CDTF">2020-10-21T13:37:00Z</dcterms:created>
  <dcterms:modified xsi:type="dcterms:W3CDTF">2020-10-21T13:37:00Z</dcterms:modified>
</cp:coreProperties>
</file>