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44A53" w14:textId="77777777" w:rsidR="00FA1C2D" w:rsidRPr="00DC6465" w:rsidRDefault="00FA1C2D" w:rsidP="00E6681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65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2CE42A58" w14:textId="77777777" w:rsidR="00FA1C2D" w:rsidRPr="00DC6465" w:rsidRDefault="00FA1C2D" w:rsidP="00E6681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83943CA" w14:textId="77777777" w:rsidR="00FA1C2D" w:rsidRPr="00DC6465" w:rsidRDefault="00FA1C2D" w:rsidP="00E668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7EA83B5" w14:textId="77777777" w:rsidR="00FA1C2D" w:rsidRPr="00DC6465" w:rsidRDefault="00FA1C2D" w:rsidP="00E668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ACBA319" w14:textId="77777777" w:rsidR="00FA1C2D" w:rsidRPr="00DC6465" w:rsidRDefault="00FA1C2D" w:rsidP="00E6681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43EC8E4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Nikola Warren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7AD8195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3004557</w:t>
      </w:r>
    </w:p>
    <w:p w14:paraId="66511827" w14:textId="77777777" w:rsidR="005234C8" w:rsidRPr="00327FE2" w:rsidRDefault="005234C8" w:rsidP="00E6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188701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Penn Power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000E59" w14:textId="77777777" w:rsidR="005234C8" w:rsidRPr="00327FE2" w:rsidRDefault="005234C8" w:rsidP="00E6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35622" w14:textId="77777777" w:rsidR="005234C8" w:rsidRPr="00327FE2" w:rsidRDefault="005234C8" w:rsidP="00E668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C06661" w14:textId="77777777" w:rsidR="00DC6465" w:rsidRPr="00DC6465" w:rsidRDefault="00DC6465" w:rsidP="00E668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68C540" w14:textId="77777777" w:rsidR="00D20E0F" w:rsidRDefault="00FA1C2D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  <w:r w:rsidR="00A5709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17732BBE" w14:textId="6EC082DA" w:rsidR="00FA1C2D" w:rsidRPr="00D20E0F" w:rsidRDefault="00A57090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D20E0F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REOPENING THE HEARING RECORD</w:t>
      </w:r>
    </w:p>
    <w:p w14:paraId="3861C6B4" w14:textId="047C6BB8" w:rsidR="00FA1C2D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5192FFB6" w14:textId="0F1E55F2" w:rsidR="007F33A9" w:rsidRPr="00DC6465" w:rsidRDefault="007F33A9" w:rsidP="007F33A9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initial 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evidentiary hearing convened in this proceeding as scheduled on </w:t>
      </w:r>
      <w:r>
        <w:rPr>
          <w:rFonts w:ascii="Times New Roman" w:eastAsia="Times New Roman" w:hAnsi="Times New Roman" w:cs="Times New Roman"/>
          <w:sz w:val="24"/>
          <w:szCs w:val="24"/>
        </w:rPr>
        <w:t>January 10, 2019.  No exhibits were admitted for Complainant.  Respondent Exhibits 1 through 9 were admitted into evidence.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3D22EC" w14:textId="27C527C2" w:rsidR="007F33A9" w:rsidRPr="00DC6465" w:rsidRDefault="007F33A9" w:rsidP="007F33A9">
      <w:pPr>
        <w:tabs>
          <w:tab w:val="center" w:pos="4680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19CB325E" w:rsidR="00FA1C2D" w:rsidRPr="00DC6465" w:rsidRDefault="00282E20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further </w:t>
      </w:r>
      <w:r w:rsidR="00FA1C2D" w:rsidRPr="00DC6465">
        <w:rPr>
          <w:rFonts w:ascii="Times New Roman" w:eastAsia="Times New Roman" w:hAnsi="Times New Roman" w:cs="Times New Roman"/>
          <w:sz w:val="24"/>
          <w:szCs w:val="24"/>
        </w:rPr>
        <w:t xml:space="preserve">evidentiary hearing convened in this proceeding as scheduled on 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>December 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FA1C2D"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  <w:r>
        <w:rPr>
          <w:rFonts w:ascii="Times New Roman" w:eastAsia="Times New Roman" w:hAnsi="Times New Roman" w:cs="Times New Roman"/>
          <w:sz w:val="24"/>
          <w:szCs w:val="24"/>
        </w:rPr>
        <w:t>Complainant did not appear at the hearing.  Respondent presented testimony from one witness and Respondent Exhibit 10 was admitted into evidence.</w:t>
      </w:r>
    </w:p>
    <w:p w14:paraId="051EF255" w14:textId="77777777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6A2C3ED8" w14:textId="0907F45C" w:rsidR="00A57090" w:rsidRDefault="00A57090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office of Administrative Law Judge closed on March 16, 2020</w:t>
      </w:r>
      <w:r w:rsidR="00D20E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a result of the Covid-19 Pandemic and has not reopened as of the date of this order.</w:t>
      </w:r>
    </w:p>
    <w:p w14:paraId="7DD0BAE5" w14:textId="77777777" w:rsidR="00A57090" w:rsidRDefault="00A57090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0C05B60" w14:textId="51C87F61" w:rsidR="00FA1C2D" w:rsidRDefault="00A57090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Subsequently, the undersigned presiding officer obtained the </w:t>
      </w:r>
      <w:r w:rsidR="00CD6364">
        <w:rPr>
          <w:rFonts w:ascii="Times New Roman" w:hAnsi="Times New Roman" w:cs="Times New Roman"/>
          <w:sz w:val="24"/>
          <w:szCs w:val="24"/>
        </w:rPr>
        <w:t xml:space="preserve">written </w:t>
      </w:r>
      <w:r>
        <w:rPr>
          <w:rFonts w:ascii="Times New Roman" w:hAnsi="Times New Roman" w:cs="Times New Roman"/>
          <w:sz w:val="24"/>
          <w:szCs w:val="24"/>
        </w:rPr>
        <w:t xml:space="preserve">transcript of the evidentiary hearing and an </w:t>
      </w:r>
      <w:r w:rsidR="00D20E0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nterim </w:t>
      </w:r>
      <w:r w:rsidR="00D20E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 was entered on June 16, 2020 closing the hearing record.</w:t>
      </w:r>
    </w:p>
    <w:p w14:paraId="2787311D" w14:textId="0873E561" w:rsidR="00A57090" w:rsidRDefault="00A57090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133646C" w14:textId="13CB8C60" w:rsidR="00A57090" w:rsidRPr="00DC6465" w:rsidRDefault="00A57090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reviewing the docket of this proceeding, it was discovered that </w:t>
      </w:r>
      <w:r w:rsidR="00282E20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CD63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xhibit</w:t>
      </w:r>
      <w:r w:rsidR="00282E20">
        <w:rPr>
          <w:rFonts w:ascii="Times New Roman" w:hAnsi="Times New Roman" w:cs="Times New Roman"/>
          <w:sz w:val="24"/>
          <w:szCs w:val="24"/>
        </w:rPr>
        <w:t xml:space="preserve"> 1-9 which were </w:t>
      </w:r>
      <w:r>
        <w:rPr>
          <w:rFonts w:ascii="Times New Roman" w:hAnsi="Times New Roman" w:cs="Times New Roman"/>
          <w:sz w:val="24"/>
          <w:szCs w:val="24"/>
        </w:rPr>
        <w:t>admitted in evidence</w:t>
      </w:r>
      <w:r w:rsidR="00282E20">
        <w:rPr>
          <w:rFonts w:ascii="Times New Roman" w:hAnsi="Times New Roman" w:cs="Times New Roman"/>
          <w:sz w:val="24"/>
          <w:szCs w:val="24"/>
        </w:rPr>
        <w:t xml:space="preserve">, do not appear to have been </w:t>
      </w:r>
      <w:r>
        <w:rPr>
          <w:rFonts w:ascii="Times New Roman" w:hAnsi="Times New Roman" w:cs="Times New Roman"/>
          <w:sz w:val="24"/>
          <w:szCs w:val="24"/>
        </w:rPr>
        <w:t xml:space="preserve">attached to the hearing transcript </w:t>
      </w:r>
      <w:r w:rsidR="00282E20">
        <w:rPr>
          <w:rFonts w:ascii="Times New Roman" w:hAnsi="Times New Roman" w:cs="Times New Roman"/>
          <w:sz w:val="24"/>
          <w:szCs w:val="24"/>
        </w:rPr>
        <w:t>and Respondent Exhibits 1-10 were not made a part of the electronic record</w:t>
      </w:r>
      <w:r>
        <w:rPr>
          <w:rFonts w:ascii="Times New Roman" w:hAnsi="Times New Roman" w:cs="Times New Roman"/>
          <w:sz w:val="24"/>
          <w:szCs w:val="24"/>
        </w:rPr>
        <w:t xml:space="preserve"> in this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proceeding.  Accordingly, the record is being reopened in order to include </w:t>
      </w:r>
      <w:r w:rsidR="00CD6364">
        <w:rPr>
          <w:rFonts w:ascii="Times New Roman" w:hAnsi="Times New Roman" w:cs="Times New Roman"/>
          <w:sz w:val="24"/>
          <w:szCs w:val="24"/>
        </w:rPr>
        <w:t>Respondent Exhibit</w:t>
      </w:r>
      <w:r w:rsidR="00282E20">
        <w:rPr>
          <w:rFonts w:ascii="Times New Roman" w:hAnsi="Times New Roman" w:cs="Times New Roman"/>
          <w:sz w:val="24"/>
          <w:szCs w:val="24"/>
        </w:rPr>
        <w:t>s 1-</w:t>
      </w:r>
      <w:r w:rsidR="00CD6364">
        <w:rPr>
          <w:rFonts w:ascii="Times New Roman" w:hAnsi="Times New Roman" w:cs="Times New Roman"/>
          <w:sz w:val="24"/>
          <w:szCs w:val="24"/>
        </w:rPr>
        <w:t xml:space="preserve"> 10, previously admitted</w:t>
      </w:r>
      <w:r>
        <w:rPr>
          <w:rFonts w:ascii="Times New Roman" w:hAnsi="Times New Roman" w:cs="Times New Roman"/>
          <w:sz w:val="24"/>
          <w:szCs w:val="24"/>
        </w:rPr>
        <w:t xml:space="preserve"> into evidence</w:t>
      </w:r>
      <w:r w:rsidR="00CD63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be included in the </w:t>
      </w:r>
      <w:r w:rsidR="00282E20">
        <w:rPr>
          <w:rFonts w:ascii="Times New Roman" w:hAnsi="Times New Roman" w:cs="Times New Roman"/>
          <w:sz w:val="24"/>
          <w:szCs w:val="24"/>
        </w:rPr>
        <w:t>electronic record.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5C5DF2C6" w14:textId="5A793AEA" w:rsidR="00CD6364" w:rsidRPr="00CD6364" w:rsidRDefault="00CD6364" w:rsidP="00D20E0F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CD6364">
        <w:rPr>
          <w:rFonts w:ascii="Times New Roman" w:hAnsi="Times New Roman" w:cs="Times New Roman"/>
          <w:sz w:val="24"/>
          <w:szCs w:val="24"/>
        </w:rPr>
        <w:t xml:space="preserve">That the evidentiary hearing record in the case of Nikola Warren  v. West Penn Power Company at Docket No. </w:t>
      </w:r>
      <w:r w:rsidRPr="00CD6364">
        <w:rPr>
          <w:rFonts w:ascii="Times New Roman" w:eastAsia="Times New Roman" w:hAnsi="Times New Roman" w:cs="Times New Roman"/>
          <w:sz w:val="24"/>
          <w:szCs w:val="24"/>
        </w:rPr>
        <w:t>C-2018-3004557</w:t>
      </w:r>
      <w:r w:rsidRPr="00CD6364">
        <w:rPr>
          <w:rFonts w:ascii="Times New Roman" w:hAnsi="Times New Roman" w:cs="Times New Roman"/>
          <w:sz w:val="24"/>
          <w:szCs w:val="24"/>
        </w:rPr>
        <w:t xml:space="preserve"> is re-</w:t>
      </w:r>
      <w:r>
        <w:rPr>
          <w:rFonts w:ascii="Times New Roman" w:hAnsi="Times New Roman" w:cs="Times New Roman"/>
          <w:sz w:val="24"/>
          <w:szCs w:val="24"/>
        </w:rPr>
        <w:t>opened</w:t>
      </w:r>
      <w:r w:rsidRPr="00CD6364">
        <w:rPr>
          <w:rFonts w:ascii="Times New Roman" w:hAnsi="Times New Roman" w:cs="Times New Roman"/>
          <w:sz w:val="24"/>
          <w:szCs w:val="24"/>
        </w:rPr>
        <w:t>.</w:t>
      </w:r>
      <w:r w:rsidR="00D20E0F">
        <w:rPr>
          <w:rFonts w:ascii="Times New Roman" w:hAnsi="Times New Roman" w:cs="Times New Roman"/>
          <w:sz w:val="24"/>
          <w:szCs w:val="24"/>
        </w:rPr>
        <w:br/>
      </w:r>
      <w:r w:rsidRPr="00CD636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39025C" w14:textId="6F371984" w:rsidR="00CD6364" w:rsidRPr="00CD6364" w:rsidRDefault="00CD6364" w:rsidP="00D20E0F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CD6364">
        <w:rPr>
          <w:rFonts w:ascii="Times New Roman" w:hAnsi="Times New Roman" w:cs="Times New Roman"/>
          <w:sz w:val="24"/>
          <w:szCs w:val="24"/>
        </w:rPr>
        <w:t>That Respondent Exhibit</w:t>
      </w:r>
      <w:r w:rsidR="00282E20">
        <w:rPr>
          <w:rFonts w:ascii="Times New Roman" w:hAnsi="Times New Roman" w:cs="Times New Roman"/>
          <w:sz w:val="24"/>
          <w:szCs w:val="24"/>
        </w:rPr>
        <w:t>s 1-</w:t>
      </w:r>
      <w:r w:rsidRPr="00CD6364">
        <w:rPr>
          <w:rFonts w:ascii="Times New Roman" w:hAnsi="Times New Roman" w:cs="Times New Roman"/>
          <w:sz w:val="24"/>
          <w:szCs w:val="24"/>
        </w:rPr>
        <w:t>10, which w</w:t>
      </w:r>
      <w:r w:rsidR="00282E20">
        <w:rPr>
          <w:rFonts w:ascii="Times New Roman" w:hAnsi="Times New Roman" w:cs="Times New Roman"/>
          <w:sz w:val="24"/>
          <w:szCs w:val="24"/>
        </w:rPr>
        <w:t>ere</w:t>
      </w:r>
      <w:r w:rsidRPr="00CD6364">
        <w:rPr>
          <w:rFonts w:ascii="Times New Roman" w:hAnsi="Times New Roman" w:cs="Times New Roman"/>
          <w:sz w:val="24"/>
          <w:szCs w:val="24"/>
        </w:rPr>
        <w:t xml:space="preserve"> admitted into evidence at the evidentiary hearing on December 3, 2019, shall be included in the </w:t>
      </w:r>
      <w:r w:rsidR="00282E20">
        <w:rPr>
          <w:rFonts w:ascii="Times New Roman" w:hAnsi="Times New Roman" w:cs="Times New Roman"/>
          <w:sz w:val="24"/>
          <w:szCs w:val="24"/>
        </w:rPr>
        <w:t xml:space="preserve">electronic record </w:t>
      </w:r>
      <w:r w:rsidRPr="00CD6364">
        <w:rPr>
          <w:rFonts w:ascii="Times New Roman" w:hAnsi="Times New Roman" w:cs="Times New Roman"/>
          <w:sz w:val="24"/>
          <w:szCs w:val="24"/>
        </w:rPr>
        <w:t>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77581C3F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EF0198" w:rsidRPr="00D20E0F">
        <w:rPr>
          <w:rFonts w:ascii="Times New Roman" w:eastAsia="Times New Roman" w:hAnsi="Times New Roman" w:cs="Times New Roman"/>
          <w:sz w:val="24"/>
          <w:szCs w:val="24"/>
          <w:u w:val="single"/>
        </w:rPr>
        <w:t>October 2</w:t>
      </w:r>
      <w:r w:rsidR="00282E20" w:rsidRPr="00D20E0F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EF0198" w:rsidRPr="00D20E0F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9B354E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C-2018-3004557 - NIKOLA WARREN v. WEST PENN POWER COMPANY</w:t>
      </w:r>
      <w:r w:rsidRPr="00CE199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A58C9D3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10/1/19</w:t>
      </w:r>
    </w:p>
    <w:p w14:paraId="4B439159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NIKOLA T WARREN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 xml:space="preserve">1259 TAYLOR AVE 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NEW KENSINGTON PA  15068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</w:r>
      <w:r w:rsidRPr="00CE1993">
        <w:rPr>
          <w:rFonts w:ascii="Microsoft Sans Serif" w:eastAsia="Microsoft Sans Serif" w:hAnsi="Microsoft Sans Serif" w:cs="Microsoft Sans Serif"/>
          <w:b/>
          <w:sz w:val="24"/>
        </w:rPr>
        <w:t>724.213.0063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</w:r>
      <w:r w:rsidRPr="00CE199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7A2BDA2C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CE1993"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CE1993"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7F5DB7D3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496224F2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5530252A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BRADLEY A. BINGAMAN ESQUIRE</w:t>
      </w:r>
    </w:p>
    <w:p w14:paraId="330EA083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FIRSTENERGY SERVICE CO</w:t>
      </w:r>
    </w:p>
    <w:p w14:paraId="53309CC7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76 SOUTH MAIN STREET</w:t>
      </w:r>
    </w:p>
    <w:p w14:paraId="0AFB5A4F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AKRON OH 44308</w:t>
      </w:r>
    </w:p>
    <w:p w14:paraId="67C43E45" w14:textId="77777777" w:rsidR="00CE1993" w:rsidRPr="00CE1993" w:rsidRDefault="00CE1993" w:rsidP="00CE1993">
      <w:pPr>
        <w:spacing w:after="0" w:line="240" w:lineRule="auto"/>
        <w:contextualSpacing/>
        <w:rPr>
          <w:rFonts w:ascii="Calibri" w:eastAsia="Times New Roman" w:hAnsi="Calibri" w:cs="Times New Roman"/>
          <w:bCs/>
          <w:iCs/>
        </w:rPr>
      </w:pPr>
      <w:r w:rsidRPr="00CE1993">
        <w:rPr>
          <w:rFonts w:ascii="Microsoft Sans Serif" w:eastAsia="Microsoft Sans Serif" w:hAnsi="Microsoft Sans Serif" w:cs="Microsoft Sans Serif"/>
          <w:bCs/>
          <w:iCs/>
          <w:sz w:val="24"/>
        </w:rPr>
        <w:t>330.384.5947</w:t>
      </w:r>
    </w:p>
    <w:p w14:paraId="6E95D865" w14:textId="77777777" w:rsidR="00CE1993" w:rsidRPr="00CE1993" w:rsidRDefault="00CE1993" w:rsidP="00CE1993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E199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59B9A26" w14:textId="77777777" w:rsidR="00CE1993" w:rsidRPr="00CE1993" w:rsidRDefault="00CE1993" w:rsidP="00CE1993">
      <w:pPr>
        <w:spacing w:after="160" w:line="259" w:lineRule="auto"/>
        <w:rPr>
          <w:rFonts w:ascii="Calibri" w:eastAsia="Times New Roman" w:hAnsi="Calibri" w:cs="Times New Roman"/>
        </w:rPr>
      </w:pPr>
    </w:p>
    <w:p w14:paraId="4D9D3735" w14:textId="4E9DB844" w:rsidR="00CE1993" w:rsidRPr="00DC6465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E1993" w:rsidRPr="00DC64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78856" w14:textId="77777777" w:rsidR="00547F16" w:rsidRDefault="00547F16" w:rsidP="00DC6465">
      <w:pPr>
        <w:spacing w:after="0" w:line="240" w:lineRule="auto"/>
      </w:pPr>
      <w:r>
        <w:separator/>
      </w:r>
    </w:p>
  </w:endnote>
  <w:endnote w:type="continuationSeparator" w:id="0">
    <w:p w14:paraId="0AC6481E" w14:textId="77777777" w:rsidR="00547F16" w:rsidRDefault="00547F16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F850" w14:textId="3715B127" w:rsidR="00CE1993" w:rsidRDefault="00CE19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D9B1A" w14:textId="77777777" w:rsidR="00547F16" w:rsidRDefault="00547F16" w:rsidP="00DC6465">
      <w:pPr>
        <w:spacing w:after="0" w:line="240" w:lineRule="auto"/>
      </w:pPr>
      <w:r>
        <w:separator/>
      </w:r>
    </w:p>
  </w:footnote>
  <w:footnote w:type="continuationSeparator" w:id="0">
    <w:p w14:paraId="094259BF" w14:textId="77777777" w:rsidR="00547F16" w:rsidRDefault="00547F16" w:rsidP="00DC6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23276"/>
    <w:multiLevelType w:val="hybridMultilevel"/>
    <w:tmpl w:val="1236EBB2"/>
    <w:lvl w:ilvl="0" w:tplc="DE2E1F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2733FC"/>
    <w:rsid w:val="00282E20"/>
    <w:rsid w:val="003427A9"/>
    <w:rsid w:val="00514159"/>
    <w:rsid w:val="005234C8"/>
    <w:rsid w:val="00547F16"/>
    <w:rsid w:val="00603E3C"/>
    <w:rsid w:val="006F2CE2"/>
    <w:rsid w:val="007B5C79"/>
    <w:rsid w:val="007F33A9"/>
    <w:rsid w:val="0086031C"/>
    <w:rsid w:val="009B01C3"/>
    <w:rsid w:val="009F0467"/>
    <w:rsid w:val="00A57090"/>
    <w:rsid w:val="00AB3416"/>
    <w:rsid w:val="00BC09FC"/>
    <w:rsid w:val="00BC4FBE"/>
    <w:rsid w:val="00CD6364"/>
    <w:rsid w:val="00CE1993"/>
    <w:rsid w:val="00D20E0F"/>
    <w:rsid w:val="00DC6465"/>
    <w:rsid w:val="00E04C8D"/>
    <w:rsid w:val="00E66814"/>
    <w:rsid w:val="00ED4299"/>
    <w:rsid w:val="00EF0198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  <w:style w:type="paragraph" w:styleId="ListParagraph">
    <w:name w:val="List Paragraph"/>
    <w:basedOn w:val="Normal"/>
    <w:uiPriority w:val="34"/>
    <w:qFormat/>
    <w:rsid w:val="00CD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502D-5075-4729-BAB1-0CEE8B89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2020-10-21T14:09:00Z</dcterms:created>
  <dcterms:modified xsi:type="dcterms:W3CDTF">2020-10-21T14:09:00Z</dcterms:modified>
</cp:coreProperties>
</file>