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68E5C" w14:textId="77777777" w:rsidR="006E716D" w:rsidRPr="006E716D" w:rsidRDefault="006E716D" w:rsidP="006E716D">
      <w:pPr>
        <w:rPr>
          <w:rFonts w:ascii="Microsoft Sans Serif" w:hAnsi="Microsoft Sans Serif" w:cs="Microsoft Sans Serif"/>
          <w:i/>
          <w:iCs/>
        </w:rPr>
      </w:pPr>
      <w:r w:rsidRPr="006E716D">
        <w:rPr>
          <w:rFonts w:ascii="Microsoft Sans Serif" w:hAnsi="Microsoft Sans Serif" w:cs="Microsoft Sans Serif"/>
          <w:i/>
          <w:iCs/>
        </w:rPr>
        <w:t>Via electronic service only due to Emergency Order at Docket No. M-2020-3019262</w:t>
      </w:r>
    </w:p>
    <w:p w14:paraId="45DD5805" w14:textId="77777777" w:rsidR="006E716D" w:rsidRDefault="006E716D" w:rsidP="00B82D26">
      <w:pPr>
        <w:pStyle w:val="Title"/>
        <w:tabs>
          <w:tab w:val="clear" w:pos="360"/>
          <w:tab w:val="left" w:pos="0"/>
        </w:tabs>
      </w:pPr>
    </w:p>
    <w:p w14:paraId="6A827C9A" w14:textId="348AA4B4" w:rsidR="00B82D26" w:rsidRDefault="00B82D26" w:rsidP="00B82D26">
      <w:pPr>
        <w:pStyle w:val="Title"/>
        <w:tabs>
          <w:tab w:val="clear" w:pos="360"/>
          <w:tab w:val="left" w:pos="0"/>
        </w:tabs>
      </w:pPr>
      <w:r>
        <w:t>BEFORE THE</w:t>
      </w:r>
    </w:p>
    <w:p w14:paraId="2AF30759" w14:textId="77777777" w:rsidR="00B82D26" w:rsidRDefault="00B82D26" w:rsidP="00B82D26">
      <w:pPr>
        <w:tabs>
          <w:tab w:val="left" w:pos="0"/>
        </w:tabs>
        <w:spacing w:line="233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486DAE48" w14:textId="77777777" w:rsidR="001E5780" w:rsidRDefault="001E5780" w:rsidP="001E5780">
      <w:pPr>
        <w:tabs>
          <w:tab w:val="left" w:pos="0"/>
        </w:tabs>
        <w:jc w:val="center"/>
        <w:rPr>
          <w:b/>
        </w:rPr>
      </w:pPr>
    </w:p>
    <w:p w14:paraId="32C3EEE7" w14:textId="77777777" w:rsidR="00B82D26" w:rsidRDefault="00B82D26" w:rsidP="001E5780">
      <w:pPr>
        <w:tabs>
          <w:tab w:val="left" w:pos="0"/>
        </w:tabs>
        <w:jc w:val="both"/>
        <w:rPr>
          <w:b/>
        </w:rPr>
      </w:pPr>
    </w:p>
    <w:p w14:paraId="21B0D93B" w14:textId="77777777" w:rsidR="007C379B" w:rsidRDefault="007C379B" w:rsidP="007C379B"/>
    <w:p w14:paraId="0930F1F6" w14:textId="77777777" w:rsidR="00287701" w:rsidRDefault="00287701" w:rsidP="00287701">
      <w:pPr>
        <w:tabs>
          <w:tab w:val="left" w:pos="0"/>
        </w:tabs>
        <w:jc w:val="both"/>
        <w:rPr>
          <w:b/>
          <w:szCs w:val="20"/>
        </w:rPr>
      </w:pPr>
      <w:r>
        <w:rPr>
          <w:szCs w:val="20"/>
        </w:rPr>
        <w:t>Jacquelyn N'Jai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</w:t>
      </w:r>
    </w:p>
    <w:p w14:paraId="35BF2111" w14:textId="77777777" w:rsidR="00287701" w:rsidRDefault="00287701" w:rsidP="00287701">
      <w:pPr>
        <w:tabs>
          <w:tab w:val="left" w:pos="0"/>
        </w:tabs>
        <w:jc w:val="both"/>
        <w:rPr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szCs w:val="20"/>
        </w:rPr>
        <w:t>:</w:t>
      </w:r>
    </w:p>
    <w:p w14:paraId="00645395" w14:textId="77777777" w:rsidR="00287701" w:rsidRDefault="00287701" w:rsidP="00287701">
      <w:pPr>
        <w:tabs>
          <w:tab w:val="left" w:pos="0"/>
        </w:tabs>
        <w:jc w:val="both"/>
        <w:rPr>
          <w:szCs w:val="20"/>
        </w:rPr>
      </w:pPr>
      <w:r>
        <w:rPr>
          <w:szCs w:val="20"/>
        </w:rPr>
        <w:tab/>
        <w:t>v.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</w:t>
      </w:r>
      <w:r>
        <w:rPr>
          <w:b/>
          <w:szCs w:val="20"/>
        </w:rPr>
        <w:tab/>
      </w:r>
      <w:r>
        <w:rPr>
          <w:b/>
          <w:szCs w:val="20"/>
        </w:rPr>
        <w:tab/>
      </w:r>
      <w:bookmarkStart w:id="0" w:name="_Hlk54679881"/>
      <w:r>
        <w:rPr>
          <w:szCs w:val="20"/>
        </w:rPr>
        <w:t>C-2020-3016134</w:t>
      </w:r>
      <w:bookmarkEnd w:id="0"/>
    </w:p>
    <w:p w14:paraId="23E73CC5" w14:textId="77777777" w:rsidR="00287701" w:rsidRDefault="00287701" w:rsidP="00287701">
      <w:pPr>
        <w:tabs>
          <w:tab w:val="left" w:pos="0"/>
        </w:tabs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:</w:t>
      </w:r>
    </w:p>
    <w:p w14:paraId="79130989" w14:textId="77777777" w:rsidR="00287701" w:rsidRDefault="00287701" w:rsidP="00287701">
      <w:pPr>
        <w:tabs>
          <w:tab w:val="left" w:pos="0"/>
        </w:tabs>
        <w:jc w:val="both"/>
        <w:rPr>
          <w:szCs w:val="20"/>
        </w:rPr>
      </w:pPr>
      <w:r>
        <w:rPr>
          <w:szCs w:val="20"/>
        </w:rPr>
        <w:t>The Peoples Natural Gas Company LLC</w:t>
      </w:r>
      <w:r>
        <w:rPr>
          <w:szCs w:val="20"/>
        </w:rPr>
        <w:tab/>
      </w:r>
      <w:r>
        <w:rPr>
          <w:szCs w:val="20"/>
        </w:rPr>
        <w:tab/>
        <w:t>:</w:t>
      </w:r>
    </w:p>
    <w:p w14:paraId="530B8E64" w14:textId="77777777" w:rsidR="007C379B" w:rsidRDefault="007C379B" w:rsidP="007C379B"/>
    <w:p w14:paraId="7D627F1F" w14:textId="77777777" w:rsidR="001E5780" w:rsidRPr="008038A1" w:rsidRDefault="001E5780" w:rsidP="007C379B"/>
    <w:p w14:paraId="084F5C5E" w14:textId="77777777" w:rsidR="00287701" w:rsidRDefault="00287701" w:rsidP="007C379B">
      <w:pPr>
        <w:jc w:val="center"/>
        <w:rPr>
          <w:b/>
        </w:rPr>
      </w:pPr>
    </w:p>
    <w:p w14:paraId="2CC645C2" w14:textId="77777777" w:rsidR="00287701" w:rsidRDefault="001B451B" w:rsidP="007C379B">
      <w:pPr>
        <w:jc w:val="center"/>
        <w:rPr>
          <w:b/>
        </w:rPr>
      </w:pPr>
      <w:r w:rsidRPr="009F083E">
        <w:rPr>
          <w:b/>
        </w:rPr>
        <w:t xml:space="preserve">INTERIM ORDER </w:t>
      </w:r>
    </w:p>
    <w:p w14:paraId="78A2E00C" w14:textId="060B36B1" w:rsidR="007C379B" w:rsidRPr="00287701" w:rsidRDefault="009F083E" w:rsidP="007C379B">
      <w:pPr>
        <w:jc w:val="center"/>
        <w:rPr>
          <w:b/>
        </w:rPr>
      </w:pPr>
      <w:r w:rsidRPr="00287701">
        <w:rPr>
          <w:b/>
          <w:u w:val="single"/>
        </w:rPr>
        <w:t>ESTABLISHIN</w:t>
      </w:r>
      <w:r w:rsidR="00287701">
        <w:rPr>
          <w:b/>
          <w:u w:val="single"/>
        </w:rPr>
        <w:t xml:space="preserve">G </w:t>
      </w:r>
      <w:r w:rsidRPr="009F083E">
        <w:rPr>
          <w:b/>
          <w:bCs/>
          <w:u w:val="single"/>
        </w:rPr>
        <w:t>BRIEFING SCHEDULE</w:t>
      </w:r>
    </w:p>
    <w:p w14:paraId="1B7A139D" w14:textId="77777777" w:rsidR="00823649" w:rsidRPr="00BF2F2A" w:rsidRDefault="00823649" w:rsidP="00716AAB">
      <w:pPr>
        <w:jc w:val="center"/>
      </w:pPr>
    </w:p>
    <w:p w14:paraId="354F2D33" w14:textId="77777777" w:rsidR="00716AAB" w:rsidRPr="00BF2F2A" w:rsidRDefault="00716AAB" w:rsidP="001A2906"/>
    <w:p w14:paraId="3985DC16" w14:textId="35C5AA49" w:rsidR="00F80377" w:rsidRDefault="00716AAB" w:rsidP="00716AAB">
      <w:pPr>
        <w:spacing w:line="360" w:lineRule="auto"/>
      </w:pPr>
      <w:r w:rsidRPr="00BF2F2A">
        <w:tab/>
      </w:r>
      <w:r w:rsidRPr="00BF2F2A">
        <w:tab/>
      </w:r>
      <w:r w:rsidR="009F083E">
        <w:t xml:space="preserve">On </w:t>
      </w:r>
      <w:r w:rsidR="007E74F2">
        <w:t>October 23, 2020</w:t>
      </w:r>
      <w:r w:rsidR="009F083E">
        <w:t xml:space="preserve">, I received the transcript of the proceeding held </w:t>
      </w:r>
      <w:r w:rsidR="007E74F2">
        <w:t>October 5</w:t>
      </w:r>
      <w:r w:rsidR="009F083E">
        <w:t>, 20</w:t>
      </w:r>
      <w:r w:rsidR="007E74F2">
        <w:t>20</w:t>
      </w:r>
      <w:r w:rsidR="009F083E">
        <w:t xml:space="preserve"> in the above-captioned matter</w:t>
      </w:r>
      <w:r w:rsidR="00EF4677" w:rsidRPr="00BF2F2A">
        <w:t>.</w:t>
      </w:r>
      <w:r w:rsidR="009F083E">
        <w:t xml:space="preserve">  </w:t>
      </w:r>
      <w:r w:rsidR="007E74F2">
        <w:t>T</w:t>
      </w:r>
      <w:r w:rsidR="009F083E">
        <w:t xml:space="preserve">he parties </w:t>
      </w:r>
      <w:r w:rsidR="00287701">
        <w:t>shall</w:t>
      </w:r>
      <w:r w:rsidR="009F083E">
        <w:t xml:space="preserve"> file </w:t>
      </w:r>
      <w:r w:rsidR="00287701">
        <w:t xml:space="preserve">and serve </w:t>
      </w:r>
      <w:r w:rsidR="009F083E">
        <w:t>main briefs</w:t>
      </w:r>
      <w:r w:rsidR="00287701">
        <w:t xml:space="preserve">, if any, </w:t>
      </w:r>
      <w:r w:rsidR="009F083E">
        <w:t xml:space="preserve">within thirty (30) </w:t>
      </w:r>
      <w:r w:rsidR="00D3217E">
        <w:t xml:space="preserve">calendar </w:t>
      </w:r>
      <w:r w:rsidR="009F083E">
        <w:t>days of the date of this Order, and reply briefs</w:t>
      </w:r>
      <w:r w:rsidR="00EC529D">
        <w:t>, if any,</w:t>
      </w:r>
      <w:r w:rsidR="009F083E">
        <w:t xml:space="preserve"> must be filed within fourteen (14) </w:t>
      </w:r>
      <w:r w:rsidR="00D3217E">
        <w:t xml:space="preserve">calendar </w:t>
      </w:r>
      <w:r w:rsidR="009F083E">
        <w:t>days of service of the</w:t>
      </w:r>
      <w:r w:rsidR="00F51DBF">
        <w:t xml:space="preserve"> opposing party’s</w:t>
      </w:r>
      <w:r w:rsidR="009F083E">
        <w:t xml:space="preserve"> main brief.  </w:t>
      </w:r>
    </w:p>
    <w:p w14:paraId="797EB600" w14:textId="77777777" w:rsidR="00716AAB" w:rsidRPr="00BF2F2A" w:rsidRDefault="00716AAB" w:rsidP="00716AAB">
      <w:pPr>
        <w:spacing w:line="360" w:lineRule="auto"/>
      </w:pPr>
    </w:p>
    <w:p w14:paraId="0D192433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188E784B" w14:textId="77777777" w:rsidR="00716AAB" w:rsidRDefault="00716AAB" w:rsidP="00716AAB">
      <w:pPr>
        <w:spacing w:line="360" w:lineRule="auto"/>
      </w:pPr>
    </w:p>
    <w:p w14:paraId="2CA99ED4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023EECBB" w14:textId="77777777" w:rsidR="00716AAB" w:rsidRDefault="00716AAB" w:rsidP="00716AAB">
      <w:pPr>
        <w:spacing w:line="360" w:lineRule="auto"/>
      </w:pPr>
    </w:p>
    <w:p w14:paraId="430C80E0" w14:textId="021B980D" w:rsidR="00237DA9" w:rsidRDefault="00F51DBF" w:rsidP="00AC3302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t>T</w:t>
      </w:r>
      <w:r w:rsidR="007E74F2">
        <w:t>hat t</w:t>
      </w:r>
      <w:r>
        <w:t xml:space="preserve">he parties </w:t>
      </w:r>
      <w:r w:rsidR="00287701">
        <w:t>may</w:t>
      </w:r>
      <w:r w:rsidR="007E74F2">
        <w:t>, consistent with Ordering Paragraph 3,</w:t>
      </w:r>
      <w:r>
        <w:t xml:space="preserve"> file</w:t>
      </w:r>
      <w:r w:rsidR="007E74F2">
        <w:t xml:space="preserve"> and serve</w:t>
      </w:r>
      <w:r>
        <w:t xml:space="preserve"> main briefs within thirty (30) days of the date of this Order</w:t>
      </w:r>
      <w:r w:rsidR="00C1236B">
        <w:t>.</w:t>
      </w:r>
    </w:p>
    <w:p w14:paraId="51B8DB08" w14:textId="77777777" w:rsidR="007C379B" w:rsidRDefault="007C379B" w:rsidP="007C379B">
      <w:pPr>
        <w:spacing w:line="360" w:lineRule="auto"/>
        <w:ind w:left="1440"/>
      </w:pPr>
    </w:p>
    <w:p w14:paraId="3BB7A197" w14:textId="4C5A0098" w:rsidR="007C379B" w:rsidRDefault="007E74F2" w:rsidP="00AC3302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t>That i</w:t>
      </w:r>
      <w:r w:rsidR="00F51DBF">
        <w:t>f a party chooses</w:t>
      </w:r>
      <w:r w:rsidR="007C379B">
        <w:t xml:space="preserve"> to submit a reply brief, </w:t>
      </w:r>
      <w:r w:rsidR="00F51DBF">
        <w:t>the party</w:t>
      </w:r>
      <w:r w:rsidR="007C379B">
        <w:t xml:space="preserve"> </w:t>
      </w:r>
      <w:r w:rsidR="00287701">
        <w:t>shall</w:t>
      </w:r>
      <w:r w:rsidR="007C379B">
        <w:t xml:space="preserve"> </w:t>
      </w:r>
      <w:r w:rsidR="00F51DBF">
        <w:t>file</w:t>
      </w:r>
      <w:r w:rsidR="007C379B">
        <w:t xml:space="preserve"> </w:t>
      </w:r>
      <w:r w:rsidR="00287701">
        <w:t xml:space="preserve">and serve </w:t>
      </w:r>
      <w:r w:rsidR="007C379B">
        <w:t xml:space="preserve">that </w:t>
      </w:r>
      <w:r w:rsidR="00F51DBF">
        <w:t xml:space="preserve">reply </w:t>
      </w:r>
      <w:r w:rsidR="007C379B">
        <w:t xml:space="preserve">brief </w:t>
      </w:r>
      <w:r w:rsidR="00F51DBF">
        <w:t>within fourteen (14) days of service of the opposing party’s main brief</w:t>
      </w:r>
      <w:r w:rsidR="007C379B">
        <w:t>.</w:t>
      </w:r>
    </w:p>
    <w:p w14:paraId="0EBEF5F9" w14:textId="77777777" w:rsidR="00C65C65" w:rsidRDefault="00C65C65" w:rsidP="00C65C65">
      <w:pPr>
        <w:spacing w:line="360" w:lineRule="auto"/>
        <w:ind w:left="1440"/>
      </w:pPr>
    </w:p>
    <w:p w14:paraId="461DEE25" w14:textId="3DB3886B" w:rsidR="00C65C65" w:rsidRDefault="007E74F2" w:rsidP="00C65C65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t>T</w:t>
      </w:r>
      <w:r w:rsidR="00287701">
        <w:t>hat any</w:t>
      </w:r>
      <w:r w:rsidR="007C379B">
        <w:t xml:space="preserve"> main brief </w:t>
      </w:r>
      <w:r w:rsidR="00287701">
        <w:t>or</w:t>
      </w:r>
      <w:r w:rsidR="007C379B">
        <w:t xml:space="preserve"> reply</w:t>
      </w:r>
      <w:r w:rsidR="00C65C65">
        <w:t xml:space="preserve"> brief</w:t>
      </w:r>
      <w:r w:rsidR="00287701">
        <w:t xml:space="preserve"> shall</w:t>
      </w:r>
      <w:r w:rsidR="00C65C65">
        <w:t xml:space="preserve"> be </w:t>
      </w:r>
      <w:r>
        <w:t>e-</w:t>
      </w:r>
      <w:r w:rsidR="00C65C65">
        <w:t xml:space="preserve">filed with the </w:t>
      </w:r>
      <w:r w:rsidR="00F51DBF">
        <w:t>Commission</w:t>
      </w:r>
      <w:r>
        <w:t>’s</w:t>
      </w:r>
      <w:r w:rsidR="00F51DBF">
        <w:t xml:space="preserve"> </w:t>
      </w:r>
      <w:r w:rsidR="00C65C65">
        <w:t>Secretary</w:t>
      </w:r>
      <w:r>
        <w:t>’s Bureau</w:t>
      </w:r>
      <w:r w:rsidR="00C65C65">
        <w:t xml:space="preserve"> and </w:t>
      </w:r>
      <w:r>
        <w:t xml:space="preserve">served upon me and the opposing party </w:t>
      </w:r>
      <w:r w:rsidR="00C65C65">
        <w:t xml:space="preserve">no later </w:t>
      </w:r>
      <w:r w:rsidR="006F0C2C">
        <w:t>than</w:t>
      </w:r>
      <w:r w:rsidR="00F51DBF">
        <w:t xml:space="preserve"> the dates listed above</w:t>
      </w:r>
      <w:r w:rsidR="00DE512F">
        <w:t>.</w:t>
      </w:r>
      <w:r>
        <w:t xml:space="preserve">  I may be served by email at </w:t>
      </w:r>
      <w:hyperlink r:id="rId7" w:history="1">
        <w:r w:rsidRPr="005B47F0">
          <w:rPr>
            <w:rStyle w:val="Hyperlink"/>
          </w:rPr>
          <w:t>edevoe@pa.gov</w:t>
        </w:r>
      </w:hyperlink>
      <w:r>
        <w:t xml:space="preserve">.  There is no need for </w:t>
      </w:r>
      <w:r w:rsidR="00287701">
        <w:t xml:space="preserve">the </w:t>
      </w:r>
      <w:r>
        <w:t>parties to provide me with a hard copy of their briefs.</w:t>
      </w:r>
    </w:p>
    <w:p w14:paraId="387BA7DB" w14:textId="4527C1D2" w:rsidR="00C65C65" w:rsidRDefault="00287701" w:rsidP="00C65C65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lastRenderedPageBreak/>
        <w:t>That a</w:t>
      </w:r>
      <w:r w:rsidR="00C65C65">
        <w:t xml:space="preserve">ny brief not filed and served on or before the date </w:t>
      </w:r>
      <w:r>
        <w:t>specified in Ordering Paragraphs 1 and 2</w:t>
      </w:r>
      <w:r w:rsidR="00C65C65">
        <w:t xml:space="preserve"> </w:t>
      </w:r>
      <w:r>
        <w:t>shall</w:t>
      </w:r>
      <w:r w:rsidR="00C65C65">
        <w:t xml:space="preserve"> not be accepted for filing, except by special permission of the Commission or the presiding Administrative Law Judge pursuant to 52 Pa.Code §5.502(c).</w:t>
      </w:r>
    </w:p>
    <w:p w14:paraId="7AE34DB4" w14:textId="77777777" w:rsidR="00C65C65" w:rsidRDefault="00C65C65" w:rsidP="00C65C65">
      <w:pPr>
        <w:spacing w:line="360" w:lineRule="auto"/>
        <w:ind w:left="1440"/>
      </w:pPr>
    </w:p>
    <w:p w14:paraId="7D28E7BA" w14:textId="0587B19B" w:rsidR="00C65C65" w:rsidRDefault="00F51DBF" w:rsidP="00C65C65">
      <w:pPr>
        <w:numPr>
          <w:ilvl w:val="0"/>
          <w:numId w:val="2"/>
        </w:numPr>
        <w:tabs>
          <w:tab w:val="clear" w:pos="2160"/>
          <w:tab w:val="num" w:pos="0"/>
        </w:tabs>
        <w:spacing w:line="360" w:lineRule="auto"/>
        <w:ind w:left="0" w:firstLine="1440"/>
      </w:pPr>
      <w:r>
        <w:t>T</w:t>
      </w:r>
      <w:r w:rsidR="00287701">
        <w:t>hat t</w:t>
      </w:r>
      <w:r w:rsidR="00C65C65">
        <w:t xml:space="preserve">he record in Docket No. </w:t>
      </w:r>
      <w:r w:rsidR="006E716D" w:rsidRPr="006E716D">
        <w:t>C-2020-3016134</w:t>
      </w:r>
      <w:r w:rsidR="00C65C65">
        <w:t xml:space="preserve"> w</w:t>
      </w:r>
      <w:r w:rsidR="00DE512F">
        <w:t xml:space="preserve">ill be closed </w:t>
      </w:r>
      <w:r>
        <w:t xml:space="preserve">upon the expiration of the reply brief deadline, </w:t>
      </w:r>
      <w:r w:rsidR="00C65C65">
        <w:t xml:space="preserve">and the </w:t>
      </w:r>
      <w:r w:rsidR="007C379B">
        <w:t>decision</w:t>
      </w:r>
      <w:r w:rsidR="00C65C65">
        <w:t xml:space="preserve"> in this case will be prepared and issued.</w:t>
      </w:r>
    </w:p>
    <w:p w14:paraId="5B229295" w14:textId="77777777" w:rsidR="00C65C65" w:rsidRDefault="00C65C65" w:rsidP="00C65C65">
      <w:pPr>
        <w:spacing w:line="360" w:lineRule="auto"/>
      </w:pPr>
    </w:p>
    <w:p w14:paraId="585E453B" w14:textId="77777777" w:rsidR="00DE512F" w:rsidRDefault="00DE512F" w:rsidP="00C65C65">
      <w:pPr>
        <w:spacing w:line="360" w:lineRule="auto"/>
      </w:pPr>
    </w:p>
    <w:p w14:paraId="73E2CA79" w14:textId="242DBF87" w:rsidR="006E716D" w:rsidRPr="00AA7F23" w:rsidRDefault="006E716D" w:rsidP="006E716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u w:val="single"/>
        </w:rPr>
      </w:pPr>
      <w:bookmarkStart w:id="1" w:name="_Hlk10719696"/>
      <w:r w:rsidRPr="00AA7F23">
        <w:t xml:space="preserve">Date:  </w:t>
      </w:r>
      <w:r>
        <w:rPr>
          <w:u w:val="single"/>
        </w:rPr>
        <w:t>October 27, 2020</w:t>
      </w:r>
      <w:r w:rsidRPr="00AA7F23">
        <w:tab/>
      </w:r>
      <w:r w:rsidRPr="00AA7F23">
        <w:tab/>
      </w:r>
      <w:r w:rsidRPr="00AA7F23">
        <w:tab/>
      </w:r>
      <w:r w:rsidRPr="00AA7F23">
        <w:tab/>
      </w:r>
      <w:r>
        <w:tab/>
      </w:r>
      <w:r w:rsidRPr="00AA7F23">
        <w:rPr>
          <w:u w:val="single"/>
        </w:rPr>
        <w:tab/>
      </w:r>
      <w:r w:rsidRPr="00AA7F23">
        <w:rPr>
          <w:u w:val="single"/>
        </w:rPr>
        <w:tab/>
        <w:t>/s/</w:t>
      </w:r>
      <w:r w:rsidRPr="00AA7F23">
        <w:rPr>
          <w:u w:val="single"/>
        </w:rPr>
        <w:tab/>
      </w:r>
      <w:r w:rsidRPr="00AA7F23">
        <w:rPr>
          <w:u w:val="single"/>
        </w:rPr>
        <w:tab/>
      </w:r>
      <w:r w:rsidRPr="00AA7F23">
        <w:rPr>
          <w:u w:val="single"/>
        </w:rPr>
        <w:tab/>
      </w:r>
    </w:p>
    <w:p w14:paraId="5E7E8C8D" w14:textId="77777777" w:rsidR="006E716D" w:rsidRPr="00AA7F23" w:rsidRDefault="006E716D" w:rsidP="006E716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>
        <w:tab/>
        <w:t>Emily I. DeVoe</w:t>
      </w:r>
    </w:p>
    <w:p w14:paraId="37E2DC28" w14:textId="298C2EB4" w:rsidR="006E716D" w:rsidRDefault="006E716D" w:rsidP="006E716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 w:rsidRPr="00AA7F23">
        <w:tab/>
      </w:r>
      <w:r>
        <w:tab/>
      </w:r>
      <w:r w:rsidRPr="00AA7F23">
        <w:t>Administrative Law Judge</w:t>
      </w:r>
    </w:p>
    <w:p w14:paraId="14E1261A" w14:textId="77777777" w:rsidR="006E716D" w:rsidRDefault="006E716D" w:rsidP="006E716D">
      <w:pPr>
        <w:widowControl w:val="0"/>
        <w:tabs>
          <w:tab w:val="left" w:pos="0"/>
        </w:tabs>
        <w:autoSpaceDE w:val="0"/>
        <w:autoSpaceDN w:val="0"/>
        <w:adjustRightInd w:val="0"/>
        <w:jc w:val="both"/>
        <w:sectPr w:rsidR="006E716D" w:rsidSect="001E5780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7F7875" w14:textId="77777777" w:rsidR="006E716D" w:rsidRPr="006E716D" w:rsidRDefault="006E716D" w:rsidP="006E716D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6E716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C-2020-3016134 - JACQUELYN N'JAI v. PEOPLES NATURAL GAS COMPANY LLC</w:t>
      </w:r>
    </w:p>
    <w:p w14:paraId="613CDF24" w14:textId="77777777" w:rsidR="006E716D" w:rsidRPr="006E716D" w:rsidRDefault="006E716D" w:rsidP="006E716D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16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2" w:name="_Hlk31889415"/>
      <w:r w:rsidRPr="006E716D">
        <w:rPr>
          <w:rFonts w:ascii="Microsoft Sans Serif" w:eastAsia="Microsoft Sans Serif" w:hAnsi="Microsoft Sans Serif" w:cs="Microsoft Sans Serif"/>
          <w:bCs/>
          <w:szCs w:val="22"/>
        </w:rPr>
        <w:t>J</w:t>
      </w:r>
      <w:r w:rsidRPr="006E716D">
        <w:rPr>
          <w:rFonts w:ascii="Microsoft Sans Serif" w:eastAsia="Microsoft Sans Serif" w:hAnsi="Microsoft Sans Serif" w:cs="Microsoft Sans Serif"/>
          <w:szCs w:val="22"/>
        </w:rPr>
        <w:t>ACQUELYN N’JAI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>7801 LLOYD AVENUE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>APT 116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>PITTSBURGH PA  15218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6E716D">
        <w:rPr>
          <w:rFonts w:ascii="Microsoft Sans Serif" w:eastAsia="Microsoft Sans Serif" w:hAnsi="Microsoft Sans Serif" w:cs="Microsoft Sans Serif"/>
          <w:b/>
          <w:bCs/>
          <w:szCs w:val="22"/>
        </w:rPr>
        <w:t>217.572.2327</w:t>
      </w:r>
    </w:p>
    <w:p w14:paraId="77496295" w14:textId="77777777" w:rsidR="006E716D" w:rsidRPr="006E716D" w:rsidRDefault="006E716D" w:rsidP="006E716D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hyperlink r:id="rId9" w:history="1">
        <w:r w:rsidRPr="006E716D">
          <w:rPr>
            <w:rFonts w:ascii="Microsoft Sans Serif" w:eastAsia="Microsoft Sans Serif" w:hAnsi="Microsoft Sans Serif" w:cs="Microsoft Sans Serif"/>
            <w:i/>
            <w:iCs/>
            <w:color w:val="0563C1"/>
            <w:szCs w:val="22"/>
            <w:u w:val="single"/>
          </w:rPr>
          <w:t>jredeemed@gmail.com</w:t>
        </w:r>
      </w:hyperlink>
      <w:r w:rsidRPr="006E716D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 xml:space="preserve">JENNIFER </w:t>
      </w:r>
      <w:proofErr w:type="spellStart"/>
      <w:r w:rsidRPr="006E716D">
        <w:rPr>
          <w:rFonts w:ascii="Microsoft Sans Serif" w:eastAsia="Microsoft Sans Serif" w:hAnsi="Microsoft Sans Serif" w:cs="Microsoft Sans Serif"/>
          <w:szCs w:val="22"/>
        </w:rPr>
        <w:t>PETRISEK</w:t>
      </w:r>
      <w:proofErr w:type="spellEnd"/>
      <w:r w:rsidRPr="006E716D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>PEOPLES NATURAL GAS COMPANY LLC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 xml:space="preserve">375 NORTH SHORE DRIVE 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6E716D">
        <w:rPr>
          <w:rFonts w:ascii="Microsoft Sans Serif" w:eastAsia="Microsoft Sans Serif" w:hAnsi="Microsoft Sans Serif" w:cs="Microsoft Sans Serif"/>
          <w:szCs w:val="22"/>
        </w:rPr>
        <w:cr/>
      </w:r>
      <w:r w:rsidRPr="006E716D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6E716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E716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E716D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t xml:space="preserve"> </w:t>
      </w:r>
      <w:r w:rsidRPr="006E716D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  <w:r w:rsidRPr="006E716D">
        <w:rPr>
          <w:rFonts w:ascii="Microsoft Sans Serif" w:eastAsia="Microsoft Sans Serif" w:hAnsi="Microsoft Sans Serif" w:cs="Microsoft Sans Serif"/>
          <w:i/>
          <w:iCs/>
          <w:szCs w:val="22"/>
        </w:rPr>
        <w:t>Jennifer.Petrisek@peoples-gas.com</w:t>
      </w:r>
    </w:p>
    <w:p w14:paraId="5557EDA8" w14:textId="77777777" w:rsidR="006E716D" w:rsidRPr="006E716D" w:rsidRDefault="006E716D" w:rsidP="006E716D">
      <w:pPr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</w:pPr>
    </w:p>
    <w:p w14:paraId="294525DE" w14:textId="77777777" w:rsidR="006E716D" w:rsidRPr="006E716D" w:rsidRDefault="006E716D" w:rsidP="006E716D">
      <w:pPr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</w:pPr>
    </w:p>
    <w:p w14:paraId="01E87CDF" w14:textId="6735C55B" w:rsidR="006E716D" w:rsidRPr="00AA7F23" w:rsidRDefault="006E716D" w:rsidP="006E716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bookmarkEnd w:id="1"/>
    <w:p w14:paraId="23EB853F" w14:textId="77777777" w:rsidR="0080744F" w:rsidRPr="0080744F" w:rsidRDefault="0080744F" w:rsidP="00483917"/>
    <w:sectPr w:rsidR="0080744F" w:rsidRPr="0080744F" w:rsidSect="006E716D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CC60E" w14:textId="77777777" w:rsidR="00E27464" w:rsidRDefault="00E27464" w:rsidP="00642C86">
      <w:r>
        <w:separator/>
      </w:r>
    </w:p>
  </w:endnote>
  <w:endnote w:type="continuationSeparator" w:id="0">
    <w:p w14:paraId="3D1C1935" w14:textId="77777777" w:rsidR="00E27464" w:rsidRDefault="00E27464" w:rsidP="006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0889672"/>
      <w:docPartObj>
        <w:docPartGallery w:val="Page Numbers (Bottom of Page)"/>
        <w:docPartUnique/>
      </w:docPartObj>
    </w:sdtPr>
    <w:sdtEndPr/>
    <w:sdtContent>
      <w:p w14:paraId="4E5D2B0B" w14:textId="77777777" w:rsidR="00642C86" w:rsidRDefault="008504E1">
        <w:pPr>
          <w:pStyle w:val="Footer"/>
          <w:jc w:val="center"/>
        </w:pPr>
        <w:r w:rsidRPr="001E5780">
          <w:rPr>
            <w:sz w:val="20"/>
            <w:szCs w:val="20"/>
          </w:rPr>
          <w:fldChar w:fldCharType="begin"/>
        </w:r>
        <w:r w:rsidRPr="001E5780">
          <w:rPr>
            <w:sz w:val="20"/>
            <w:szCs w:val="20"/>
          </w:rPr>
          <w:instrText xml:space="preserve"> PAGE   \* MERGEFORMAT </w:instrText>
        </w:r>
        <w:r w:rsidRPr="001E5780">
          <w:rPr>
            <w:sz w:val="20"/>
            <w:szCs w:val="20"/>
          </w:rPr>
          <w:fldChar w:fldCharType="separate"/>
        </w:r>
        <w:r w:rsidR="00405A5F">
          <w:rPr>
            <w:noProof/>
            <w:sz w:val="20"/>
            <w:szCs w:val="20"/>
          </w:rPr>
          <w:t>2</w:t>
        </w:r>
        <w:r w:rsidRPr="001E5780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68FCD" w14:textId="77777777" w:rsidR="00E27464" w:rsidRDefault="00E27464" w:rsidP="00642C86">
      <w:r>
        <w:separator/>
      </w:r>
    </w:p>
  </w:footnote>
  <w:footnote w:type="continuationSeparator" w:id="0">
    <w:p w14:paraId="0F1EACC9" w14:textId="77777777" w:rsidR="00E27464" w:rsidRDefault="00E27464" w:rsidP="0064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03B20368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22BE332C">
      <w:start w:val="1"/>
      <w:numFmt w:val="lowerLetter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7A8B"/>
    <w:rsid w:val="00025008"/>
    <w:rsid w:val="00054603"/>
    <w:rsid w:val="000903D4"/>
    <w:rsid w:val="00090E8E"/>
    <w:rsid w:val="000C4E35"/>
    <w:rsid w:val="000D6B57"/>
    <w:rsid w:val="000E284C"/>
    <w:rsid w:val="00132055"/>
    <w:rsid w:val="00167AE1"/>
    <w:rsid w:val="001814F0"/>
    <w:rsid w:val="001A2906"/>
    <w:rsid w:val="001B071D"/>
    <w:rsid w:val="001B451B"/>
    <w:rsid w:val="001D4A7C"/>
    <w:rsid w:val="001E1243"/>
    <w:rsid w:val="001E2E86"/>
    <w:rsid w:val="001E5780"/>
    <w:rsid w:val="002023FE"/>
    <w:rsid w:val="00205198"/>
    <w:rsid w:val="00237DA9"/>
    <w:rsid w:val="00253591"/>
    <w:rsid w:val="002611FD"/>
    <w:rsid w:val="002743A0"/>
    <w:rsid w:val="00287701"/>
    <w:rsid w:val="002930D1"/>
    <w:rsid w:val="002A33A3"/>
    <w:rsid w:val="002D34FC"/>
    <w:rsid w:val="0031562F"/>
    <w:rsid w:val="00340C3C"/>
    <w:rsid w:val="003654DE"/>
    <w:rsid w:val="00386FA4"/>
    <w:rsid w:val="0039516E"/>
    <w:rsid w:val="003B5643"/>
    <w:rsid w:val="003E2A98"/>
    <w:rsid w:val="00405A5F"/>
    <w:rsid w:val="00414A95"/>
    <w:rsid w:val="00437D6E"/>
    <w:rsid w:val="00447CF4"/>
    <w:rsid w:val="00483917"/>
    <w:rsid w:val="00494682"/>
    <w:rsid w:val="004A5FAD"/>
    <w:rsid w:val="004B78F5"/>
    <w:rsid w:val="004D0DAF"/>
    <w:rsid w:val="004E0B6B"/>
    <w:rsid w:val="004F1E57"/>
    <w:rsid w:val="005541B9"/>
    <w:rsid w:val="005A717E"/>
    <w:rsid w:val="005B270C"/>
    <w:rsid w:val="005C07B9"/>
    <w:rsid w:val="005E7ED7"/>
    <w:rsid w:val="005F3260"/>
    <w:rsid w:val="005F4C00"/>
    <w:rsid w:val="006056D7"/>
    <w:rsid w:val="00642C86"/>
    <w:rsid w:val="00693D2F"/>
    <w:rsid w:val="006D66FB"/>
    <w:rsid w:val="006E716D"/>
    <w:rsid w:val="006F0C2C"/>
    <w:rsid w:val="0071512F"/>
    <w:rsid w:val="00716AAB"/>
    <w:rsid w:val="007461E5"/>
    <w:rsid w:val="007C379B"/>
    <w:rsid w:val="007C4237"/>
    <w:rsid w:val="007E74F2"/>
    <w:rsid w:val="007E7DBF"/>
    <w:rsid w:val="007F7432"/>
    <w:rsid w:val="0080744F"/>
    <w:rsid w:val="00823649"/>
    <w:rsid w:val="008504E1"/>
    <w:rsid w:val="0085709D"/>
    <w:rsid w:val="00857673"/>
    <w:rsid w:val="00857F50"/>
    <w:rsid w:val="008628A3"/>
    <w:rsid w:val="008912D4"/>
    <w:rsid w:val="008D4BED"/>
    <w:rsid w:val="008F15AB"/>
    <w:rsid w:val="00941BE0"/>
    <w:rsid w:val="00992419"/>
    <w:rsid w:val="009C533F"/>
    <w:rsid w:val="009E04B6"/>
    <w:rsid w:val="009E0730"/>
    <w:rsid w:val="009E4067"/>
    <w:rsid w:val="009E5180"/>
    <w:rsid w:val="009F083E"/>
    <w:rsid w:val="00A057F1"/>
    <w:rsid w:val="00A06784"/>
    <w:rsid w:val="00A07663"/>
    <w:rsid w:val="00A27236"/>
    <w:rsid w:val="00A35F31"/>
    <w:rsid w:val="00A47A7E"/>
    <w:rsid w:val="00A730AC"/>
    <w:rsid w:val="00A86227"/>
    <w:rsid w:val="00A9292E"/>
    <w:rsid w:val="00AC3302"/>
    <w:rsid w:val="00B57879"/>
    <w:rsid w:val="00B82D26"/>
    <w:rsid w:val="00BB6928"/>
    <w:rsid w:val="00BC77F8"/>
    <w:rsid w:val="00BE651B"/>
    <w:rsid w:val="00BF2F2A"/>
    <w:rsid w:val="00C065AB"/>
    <w:rsid w:val="00C07ED4"/>
    <w:rsid w:val="00C1236B"/>
    <w:rsid w:val="00C13586"/>
    <w:rsid w:val="00C16F0E"/>
    <w:rsid w:val="00C21F6E"/>
    <w:rsid w:val="00C65C65"/>
    <w:rsid w:val="00C7018D"/>
    <w:rsid w:val="00CB3BE0"/>
    <w:rsid w:val="00CE43F8"/>
    <w:rsid w:val="00D1143F"/>
    <w:rsid w:val="00D14925"/>
    <w:rsid w:val="00D3217E"/>
    <w:rsid w:val="00D370AF"/>
    <w:rsid w:val="00D539DA"/>
    <w:rsid w:val="00D604D8"/>
    <w:rsid w:val="00D8509F"/>
    <w:rsid w:val="00D93374"/>
    <w:rsid w:val="00DB2807"/>
    <w:rsid w:val="00DC1FBE"/>
    <w:rsid w:val="00DC4341"/>
    <w:rsid w:val="00DC4EA8"/>
    <w:rsid w:val="00DE512F"/>
    <w:rsid w:val="00DF3A2D"/>
    <w:rsid w:val="00E27464"/>
    <w:rsid w:val="00E649BB"/>
    <w:rsid w:val="00E958B5"/>
    <w:rsid w:val="00EB031D"/>
    <w:rsid w:val="00EC529D"/>
    <w:rsid w:val="00EE1BFB"/>
    <w:rsid w:val="00EE58CF"/>
    <w:rsid w:val="00EF4677"/>
    <w:rsid w:val="00F10211"/>
    <w:rsid w:val="00F2010D"/>
    <w:rsid w:val="00F270AE"/>
    <w:rsid w:val="00F35CDE"/>
    <w:rsid w:val="00F51DBF"/>
    <w:rsid w:val="00F64A56"/>
    <w:rsid w:val="00F7601C"/>
    <w:rsid w:val="00F80377"/>
    <w:rsid w:val="00F866BD"/>
    <w:rsid w:val="00F967E2"/>
    <w:rsid w:val="00FA6F19"/>
    <w:rsid w:val="00FB3EF7"/>
    <w:rsid w:val="00FD192C"/>
    <w:rsid w:val="00FD317F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93D4C68"/>
  <w15:docId w15:val="{43198D42-500A-4B42-8927-1C4E329E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58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16E"/>
    <w:pPr>
      <w:ind w:left="720"/>
    </w:pPr>
  </w:style>
  <w:style w:type="paragraph" w:styleId="Title">
    <w:name w:val="Title"/>
    <w:basedOn w:val="Normal"/>
    <w:link w:val="TitleChar"/>
    <w:qFormat/>
    <w:rsid w:val="00B82D26"/>
    <w:pPr>
      <w:tabs>
        <w:tab w:val="left" w:pos="360"/>
      </w:tabs>
      <w:spacing w:line="233" w:lineRule="auto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82D26"/>
    <w:rPr>
      <w:b/>
      <w:sz w:val="24"/>
    </w:rPr>
  </w:style>
  <w:style w:type="paragraph" w:styleId="Header">
    <w:name w:val="header"/>
    <w:basedOn w:val="Normal"/>
    <w:link w:val="HeaderChar"/>
    <w:rsid w:val="00642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2C8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42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86"/>
    <w:rPr>
      <w:sz w:val="24"/>
      <w:szCs w:val="24"/>
    </w:rPr>
  </w:style>
  <w:style w:type="character" w:styleId="Hyperlink">
    <w:name w:val="Hyperlink"/>
    <w:basedOn w:val="DefaultParagraphFont"/>
    <w:unhideWhenUsed/>
    <w:rsid w:val="007E7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evoe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redeem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2017-06-05T13:26:00Z</cp:lastPrinted>
  <dcterms:created xsi:type="dcterms:W3CDTF">2020-10-27T12:35:00Z</dcterms:created>
  <dcterms:modified xsi:type="dcterms:W3CDTF">2020-10-27T12:35:00Z</dcterms:modified>
</cp:coreProperties>
</file>