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088CDF51" w:rsidR="00577603" w:rsidRPr="00FA03CC" w:rsidRDefault="00577603" w:rsidP="00636BFB">
      <w:pPr>
        <w:spacing w:line="360" w:lineRule="auto"/>
        <w:jc w:val="center"/>
        <w:rPr>
          <w:rFonts w:ascii="Times New Roman" w:hAnsi="Times New Roman"/>
          <w:sz w:val="24"/>
          <w:szCs w:val="24"/>
        </w:rPr>
      </w:pPr>
    </w:p>
    <w:p w14:paraId="173E0AB4" w14:textId="606D2C93"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FA03CC" w:rsidRPr="00FA03CC">
        <w:rPr>
          <w:rFonts w:ascii="Times New Roman" w:hAnsi="Times New Roman"/>
          <w:sz w:val="24"/>
          <w:szCs w:val="24"/>
        </w:rPr>
        <w:t xml:space="preserve">October </w:t>
      </w:r>
      <w:r w:rsidR="00B006A6">
        <w:rPr>
          <w:rFonts w:ascii="Times New Roman" w:hAnsi="Times New Roman"/>
          <w:sz w:val="24"/>
          <w:szCs w:val="24"/>
        </w:rPr>
        <w:t>29</w:t>
      </w:r>
      <w:r w:rsidR="00535076" w:rsidRPr="00FA03CC">
        <w:rPr>
          <w:rFonts w:ascii="Times New Roman" w:hAnsi="Times New Roman"/>
          <w:sz w:val="24"/>
          <w:szCs w:val="24"/>
        </w:rPr>
        <w:t>, 2020</w:t>
      </w:r>
    </w:p>
    <w:p w14:paraId="685280F8" w14:textId="7D085EB1" w:rsidR="00035460" w:rsidRDefault="00035460" w:rsidP="00577603">
      <w:pPr>
        <w:rPr>
          <w:rFonts w:ascii="Times New Roman" w:hAnsi="Times New Roman"/>
          <w:sz w:val="24"/>
          <w:szCs w:val="24"/>
        </w:rPr>
      </w:pPr>
    </w:p>
    <w:p w14:paraId="4525B857" w14:textId="77777777" w:rsidR="0003609C" w:rsidRPr="00FA03CC" w:rsidRDefault="0003609C"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78FC1E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proofErr w:type="spellStart"/>
      <w:r w:rsidRPr="00FA03CC">
        <w:rPr>
          <w:rFonts w:ascii="Times New Roman" w:eastAsia="Times New Roman" w:hAnsi="Times New Roman"/>
          <w:bCs/>
          <w:sz w:val="24"/>
          <w:szCs w:val="24"/>
        </w:rPr>
        <w:t>Dutrieuille</w:t>
      </w:r>
      <w:proofErr w:type="spellEnd"/>
      <w:r w:rsidRPr="00FA03CC">
        <w:rPr>
          <w:rFonts w:ascii="Times New Roman" w:eastAsia="Times New Roman" w:hAnsi="Times New Roman"/>
          <w:bCs/>
          <w:sz w:val="24"/>
          <w:szCs w:val="24"/>
        </w:rPr>
        <w:t>, Chairman</w:t>
      </w:r>
      <w:r w:rsidR="003C2C3B">
        <w:rPr>
          <w:rFonts w:ascii="Times New Roman" w:eastAsia="Times New Roman" w:hAnsi="Times New Roman"/>
          <w:bCs/>
          <w:sz w:val="24"/>
          <w:szCs w:val="24"/>
        </w:rPr>
        <w:t>, Statement, Dissenting</w:t>
      </w:r>
    </w:p>
    <w:p w14:paraId="63FDC2DD" w14:textId="401DDEEC"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r w:rsidR="003C2C3B">
        <w:rPr>
          <w:rFonts w:ascii="Times New Roman" w:eastAsia="Times New Roman" w:hAnsi="Times New Roman"/>
          <w:bCs/>
          <w:sz w:val="24"/>
          <w:szCs w:val="24"/>
        </w:rPr>
        <w:t>, Statement</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1AEBB75A"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 xml:space="preserve">Ralph V. </w:t>
      </w:r>
      <w:proofErr w:type="spellStart"/>
      <w:r w:rsidRPr="00FA03CC">
        <w:rPr>
          <w:rFonts w:ascii="Times New Roman" w:eastAsia="Times New Roman" w:hAnsi="Times New Roman"/>
          <w:bCs/>
          <w:sz w:val="24"/>
          <w:szCs w:val="24"/>
        </w:rPr>
        <w:t>Yanor</w:t>
      </w:r>
      <w:r w:rsidR="007C35AF">
        <w:rPr>
          <w:rFonts w:ascii="Times New Roman" w:eastAsia="Times New Roman" w:hAnsi="Times New Roman"/>
          <w:bCs/>
          <w:sz w:val="24"/>
          <w:szCs w:val="24"/>
        </w:rPr>
        <w:t>a</w:t>
      </w:r>
      <w:proofErr w:type="spellEnd"/>
    </w:p>
    <w:p w14:paraId="3E35DDD7" w14:textId="338C68A8" w:rsidR="0003609C" w:rsidRDefault="0003609C" w:rsidP="0003609C">
      <w:pPr>
        <w:ind w:firstLine="720"/>
        <w:rPr>
          <w:rFonts w:ascii="Times New Roman" w:eastAsia="Times New Roman" w:hAnsi="Times New Roman"/>
          <w:bCs/>
          <w:sz w:val="24"/>
          <w:szCs w:val="24"/>
        </w:rPr>
      </w:pPr>
    </w:p>
    <w:p w14:paraId="2C97CFEC" w14:textId="77777777" w:rsidR="0003609C" w:rsidRPr="00FA03CC" w:rsidRDefault="0003609C" w:rsidP="0003609C">
      <w:pPr>
        <w:ind w:firstLine="720"/>
        <w:rPr>
          <w:rFonts w:ascii="Times New Roman" w:eastAsia="Times New Roman" w:hAnsi="Times New Roman"/>
          <w:bCs/>
          <w:sz w:val="24"/>
          <w:szCs w:val="24"/>
        </w:rPr>
      </w:pPr>
    </w:p>
    <w:p w14:paraId="585DE43A" w14:textId="77777777" w:rsidR="007754BA" w:rsidRPr="00FA03CC" w:rsidRDefault="007754BA" w:rsidP="000A63CB">
      <w:pPr>
        <w:rPr>
          <w:rFonts w:ascii="Times New Roman" w:eastAsia="Times New Roman" w:hAnsi="Times New Roman"/>
          <w:bCs/>
          <w:sz w:val="24"/>
          <w:szCs w:val="24"/>
        </w:rPr>
      </w:pPr>
    </w:p>
    <w:p w14:paraId="0C074DEC" w14:textId="77777777" w:rsidR="001B4A38" w:rsidRPr="001B4A38" w:rsidRDefault="001B4A38" w:rsidP="001B4A38">
      <w:pPr>
        <w:tabs>
          <w:tab w:val="left" w:pos="-720"/>
        </w:tabs>
        <w:suppressAutoHyphens/>
        <w:autoSpaceDE w:val="0"/>
        <w:autoSpaceDN w:val="0"/>
        <w:rPr>
          <w:rFonts w:ascii="Times New Roman" w:eastAsia="Times New Roman" w:hAnsi="Times New Roman" w:cs="CG Times"/>
          <w:spacing w:val="-3"/>
          <w:sz w:val="24"/>
          <w:szCs w:val="24"/>
        </w:rPr>
      </w:pPr>
      <w:r w:rsidRPr="001B4A38">
        <w:rPr>
          <w:rFonts w:ascii="Times New Roman" w:eastAsia="Times New Roman" w:hAnsi="Times New Roman" w:cs="CG Times"/>
          <w:spacing w:val="-3"/>
          <w:sz w:val="24"/>
          <w:szCs w:val="24"/>
        </w:rPr>
        <w:t>Joint Default Service Plan for Citizens'</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w:t>
      </w:r>
      <w:r w:rsidRPr="001B4A38">
        <w:rPr>
          <w:rFonts w:ascii="Times New Roman" w:eastAsia="Times New Roman" w:hAnsi="Times New Roman" w:cs="CG Times"/>
          <w:spacing w:val="-3"/>
          <w:sz w:val="24"/>
          <w:szCs w:val="24"/>
        </w:rPr>
        <w:tab/>
      </w:r>
    </w:p>
    <w:p w14:paraId="0F44FD2D" w14:textId="77777777" w:rsidR="001B4A38" w:rsidRPr="001B4A38" w:rsidRDefault="001B4A38" w:rsidP="001B4A38">
      <w:pPr>
        <w:tabs>
          <w:tab w:val="left" w:pos="-720"/>
        </w:tabs>
        <w:suppressAutoHyphens/>
        <w:autoSpaceDE w:val="0"/>
        <w:autoSpaceDN w:val="0"/>
        <w:rPr>
          <w:rFonts w:ascii="Times New Roman" w:eastAsia="Times New Roman" w:hAnsi="Times New Roman" w:cs="CG Times"/>
          <w:spacing w:val="-3"/>
          <w:sz w:val="24"/>
          <w:szCs w:val="24"/>
        </w:rPr>
      </w:pPr>
      <w:r w:rsidRPr="001B4A38">
        <w:rPr>
          <w:rFonts w:ascii="Times New Roman" w:eastAsia="Times New Roman" w:hAnsi="Times New Roman" w:cs="CG Times"/>
          <w:spacing w:val="-3"/>
          <w:sz w:val="24"/>
          <w:szCs w:val="24"/>
        </w:rPr>
        <w:t>Electric Company of Lewisburg, PA and</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P-2020-3019383</w:t>
      </w:r>
    </w:p>
    <w:p w14:paraId="64B161CA" w14:textId="77777777" w:rsidR="001B4A38" w:rsidRPr="001B4A38" w:rsidRDefault="001B4A38" w:rsidP="001B4A38">
      <w:pPr>
        <w:tabs>
          <w:tab w:val="left" w:pos="-720"/>
        </w:tabs>
        <w:suppressAutoHyphens/>
        <w:autoSpaceDE w:val="0"/>
        <w:autoSpaceDN w:val="0"/>
        <w:rPr>
          <w:rFonts w:ascii="Times New Roman" w:eastAsia="Times New Roman" w:hAnsi="Times New Roman" w:cs="CG Times"/>
          <w:spacing w:val="-3"/>
          <w:sz w:val="24"/>
          <w:szCs w:val="24"/>
        </w:rPr>
      </w:pPr>
      <w:r w:rsidRPr="001B4A38">
        <w:rPr>
          <w:rFonts w:ascii="Times New Roman" w:eastAsia="Times New Roman" w:hAnsi="Times New Roman" w:cs="CG Times"/>
          <w:spacing w:val="-3"/>
          <w:sz w:val="24"/>
          <w:szCs w:val="24"/>
        </w:rPr>
        <w:t xml:space="preserve">Wellsboro Electric Company for the Period </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P-2020-3019384</w:t>
      </w:r>
    </w:p>
    <w:p w14:paraId="72453D85" w14:textId="0401764D" w:rsidR="00636BFB" w:rsidRDefault="001B4A38" w:rsidP="001B4A38">
      <w:pPr>
        <w:autoSpaceDE w:val="0"/>
        <w:autoSpaceDN w:val="0"/>
        <w:rPr>
          <w:rFonts w:ascii="Times New Roman" w:eastAsia="Times New Roman" w:hAnsi="Times New Roman"/>
          <w:sz w:val="24"/>
          <w:szCs w:val="24"/>
        </w:rPr>
      </w:pPr>
      <w:r w:rsidRPr="001B4A38">
        <w:rPr>
          <w:rFonts w:ascii="Times New Roman" w:eastAsia="Times New Roman" w:hAnsi="Times New Roman" w:cs="CG Times"/>
          <w:spacing w:val="-3"/>
          <w:sz w:val="24"/>
          <w:szCs w:val="24"/>
        </w:rPr>
        <w:t>of June 1, 2021 Through May 31, 2025</w:t>
      </w:r>
      <w:r w:rsidRPr="001B4A38">
        <w:rPr>
          <w:rFonts w:ascii="Times New Roman" w:eastAsia="Times New Roman" w:hAnsi="Times New Roman" w:cs="CG Times"/>
          <w:spacing w:val="-3"/>
          <w:sz w:val="24"/>
          <w:szCs w:val="24"/>
        </w:rPr>
        <w:tab/>
      </w:r>
      <w:r w:rsidRPr="001B4A38">
        <w:rPr>
          <w:rFonts w:ascii="Times New Roman" w:eastAsia="Times New Roman" w:hAnsi="Times New Roman" w:cs="CG Times"/>
          <w:spacing w:val="-3"/>
          <w:sz w:val="24"/>
          <w:szCs w:val="24"/>
        </w:rPr>
        <w:tab/>
        <w:t>:</w:t>
      </w: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03275046" w14:textId="24F89747" w:rsidR="00866790" w:rsidRDefault="00866790" w:rsidP="00D924AD">
      <w:pPr>
        <w:autoSpaceDE w:val="0"/>
        <w:autoSpaceDN w:val="0"/>
        <w:rPr>
          <w:rFonts w:ascii="Times New Roman" w:eastAsia="Times New Roman" w:hAnsi="Times New Roman"/>
          <w:sz w:val="24"/>
          <w:szCs w:val="24"/>
        </w:rPr>
      </w:pPr>
    </w:p>
    <w:p w14:paraId="6FD04CA4" w14:textId="77777777" w:rsidR="001B4A38" w:rsidRPr="00FA03CC" w:rsidRDefault="001B4A38"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FA03CC">
      <w:pPr>
        <w:spacing w:line="36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50B58FB6" w:rsidR="006A62FB" w:rsidRPr="00B006A6" w:rsidRDefault="00577603" w:rsidP="00397AFE">
      <w:pPr>
        <w:spacing w:line="360" w:lineRule="auto"/>
        <w:rPr>
          <w:rFonts w:ascii="Times New Roman" w:eastAsia="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092AAB" w:rsidRPr="00FA03CC">
        <w:rPr>
          <w:rFonts w:ascii="Times New Roman" w:hAnsi="Times New Roman"/>
          <w:sz w:val="24"/>
          <w:szCs w:val="24"/>
        </w:rPr>
        <w:t>Reco</w:t>
      </w:r>
      <w:r w:rsidR="0016568A" w:rsidRPr="00FA03CC">
        <w:rPr>
          <w:rFonts w:ascii="Times New Roman" w:hAnsi="Times New Roman"/>
          <w:sz w:val="24"/>
          <w:szCs w:val="24"/>
        </w:rPr>
        <w:t>mmended</w:t>
      </w:r>
      <w:r w:rsidR="001C57AF" w:rsidRPr="00FA03CC">
        <w:rPr>
          <w:rFonts w:ascii="Times New Roman" w:hAnsi="Times New Roman"/>
          <w:sz w:val="24"/>
          <w:szCs w:val="24"/>
        </w:rPr>
        <w:t xml:space="preserve">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ALJ</w:t>
      </w:r>
      <w:r w:rsidR="00866790" w:rsidRPr="00FA03CC">
        <w:rPr>
          <w:rFonts w:ascii="Times New Roman" w:hAnsi="Times New Roman"/>
          <w:sz w:val="24"/>
          <w:szCs w:val="24"/>
        </w:rPr>
        <w:t xml:space="preserve"> </w:t>
      </w:r>
      <w:r w:rsidR="00B006A6" w:rsidRPr="00B006A6">
        <w:rPr>
          <w:rFonts w:ascii="Times New Roman" w:eastAsia="Times New Roman" w:hAnsi="Times New Roman"/>
          <w:sz w:val="24"/>
          <w:szCs w:val="24"/>
        </w:rPr>
        <w:t>Benjamin J. Myers</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B006A6">
        <w:rPr>
          <w:rFonts w:ascii="Times New Roman" w:hAnsi="Times New Roman"/>
          <w:sz w:val="24"/>
          <w:szCs w:val="24"/>
        </w:rPr>
        <w:t xml:space="preserve">October </w:t>
      </w:r>
      <w:r w:rsidR="001B4A38">
        <w:rPr>
          <w:rFonts w:ascii="Times New Roman" w:hAnsi="Times New Roman"/>
          <w:sz w:val="24"/>
          <w:szCs w:val="24"/>
        </w:rPr>
        <w:t>1</w:t>
      </w:r>
      <w:r w:rsidR="004A242C" w:rsidRPr="00FA03CC">
        <w:rPr>
          <w:rFonts w:ascii="Times New Roman" w:hAnsi="Times New Roman"/>
          <w:sz w:val="24"/>
          <w:szCs w:val="24"/>
        </w:rPr>
        <w:t>, 2020</w:t>
      </w:r>
      <w:r w:rsidRPr="00FA03CC">
        <w:rPr>
          <w:rFonts w:ascii="Times New Roman" w:hAnsi="Times New Roman"/>
          <w:sz w:val="24"/>
          <w:szCs w:val="24"/>
        </w:rPr>
        <w:t>;</w:t>
      </w:r>
      <w:r w:rsidR="00C403E2" w:rsidRPr="00FA03CC">
        <w:rPr>
          <w:rFonts w:ascii="Times New Roman" w:hAnsi="Times New Roman"/>
          <w:sz w:val="24"/>
          <w:szCs w:val="24"/>
        </w:rPr>
        <w:t xml:space="preserve">  </w:t>
      </w:r>
    </w:p>
    <w:p w14:paraId="25222E8B" w14:textId="77777777" w:rsidR="00FA03CC" w:rsidRPr="00FA03CC" w:rsidRDefault="00FA03CC" w:rsidP="00397AFE">
      <w:pPr>
        <w:spacing w:line="360" w:lineRule="auto"/>
        <w:jc w:val="both"/>
        <w:rPr>
          <w:rFonts w:ascii="Times New Roman" w:hAnsi="Times New Roman"/>
          <w:sz w:val="24"/>
          <w:szCs w:val="24"/>
        </w:rPr>
      </w:pPr>
    </w:p>
    <w:p w14:paraId="1F6ED8D9" w14:textId="0B3FD69E" w:rsidR="00577603" w:rsidRPr="00FA03CC" w:rsidRDefault="0040069D" w:rsidP="00397AFE">
      <w:pPr>
        <w:spacing w:line="360" w:lineRule="auto"/>
        <w:ind w:firstLine="720"/>
        <w:jc w:val="both"/>
        <w:rPr>
          <w:rFonts w:ascii="Times New Roman" w:hAnsi="Times New Roman"/>
          <w:sz w:val="24"/>
          <w:szCs w:val="24"/>
        </w:rPr>
      </w:pPr>
      <w:r w:rsidRPr="00FA03CC">
        <w:rPr>
          <w:rFonts w:ascii="Times New Roman" w:hAnsi="Times New Roman"/>
          <w:sz w:val="24"/>
          <w:szCs w:val="24"/>
        </w:rPr>
        <w:t>T</w:t>
      </w:r>
      <w:r w:rsidR="00577603" w:rsidRPr="00FA03CC">
        <w:rPr>
          <w:rFonts w:ascii="Times New Roman" w:hAnsi="Times New Roman"/>
          <w:sz w:val="24"/>
          <w:szCs w:val="24"/>
        </w:rPr>
        <w:t>HEREFORE,</w:t>
      </w:r>
    </w:p>
    <w:p w14:paraId="7A81AE95" w14:textId="77777777" w:rsidR="00577603" w:rsidRPr="00FA03CC" w:rsidRDefault="00577603" w:rsidP="00397AFE">
      <w:pPr>
        <w:spacing w:line="360" w:lineRule="auto"/>
        <w:jc w:val="both"/>
        <w:rPr>
          <w:rFonts w:ascii="Times New Roman" w:hAnsi="Times New Roman"/>
          <w:sz w:val="24"/>
          <w:szCs w:val="24"/>
        </w:rPr>
      </w:pPr>
    </w:p>
    <w:p w14:paraId="1726135B" w14:textId="77777777" w:rsidR="00B006A6" w:rsidRDefault="00577603" w:rsidP="00397AFE">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0" w:name="_Hlk18928809"/>
    </w:p>
    <w:p w14:paraId="52991FFC" w14:textId="77777777" w:rsidR="00B006A6" w:rsidRDefault="00B006A6" w:rsidP="00397AFE">
      <w:pPr>
        <w:spacing w:line="360" w:lineRule="auto"/>
        <w:jc w:val="both"/>
        <w:rPr>
          <w:rFonts w:ascii="Times New Roman" w:hAnsi="Times New Roman"/>
          <w:sz w:val="24"/>
          <w:szCs w:val="24"/>
        </w:rPr>
      </w:pPr>
    </w:p>
    <w:bookmarkEnd w:id="0"/>
    <w:p w14:paraId="732127FC" w14:textId="77777777" w:rsidR="001B4A38" w:rsidRPr="001B4A38" w:rsidRDefault="001B4A38" w:rsidP="00397AFE">
      <w:pPr>
        <w:autoSpaceDE w:val="0"/>
        <w:autoSpaceDN w:val="0"/>
        <w:spacing w:line="360" w:lineRule="auto"/>
        <w:ind w:firstLine="1440"/>
        <w:jc w:val="both"/>
        <w:rPr>
          <w:rFonts w:ascii="Times New Roman" w:eastAsia="Times New Roman" w:hAnsi="Times New Roman"/>
          <w:sz w:val="24"/>
          <w:szCs w:val="24"/>
        </w:rPr>
      </w:pPr>
      <w:r w:rsidRPr="001B4A38">
        <w:rPr>
          <w:rFonts w:ascii="Times New Roman" w:eastAsia="Times New Roman" w:hAnsi="Times New Roman"/>
          <w:sz w:val="24"/>
          <w:szCs w:val="24"/>
        </w:rPr>
        <w:t>1.</w:t>
      </w:r>
      <w:r w:rsidRPr="001B4A38">
        <w:rPr>
          <w:rFonts w:ascii="Times New Roman" w:eastAsia="Times New Roman" w:hAnsi="Times New Roman"/>
          <w:sz w:val="24"/>
          <w:szCs w:val="24"/>
        </w:rPr>
        <w:tab/>
        <w:t xml:space="preserve">That the following be admitted into the record as set forth in the motion and stipulation for admission of testimony and exhibits filed </w:t>
      </w:r>
      <w:r w:rsidRPr="001B4A38">
        <w:rPr>
          <w:rFonts w:ascii="CG Times" w:eastAsia="Times New Roman" w:hAnsi="CG Times" w:cs="CG Times"/>
          <w:sz w:val="24"/>
          <w:szCs w:val="24"/>
        </w:rPr>
        <w:t>September 11, 2020</w:t>
      </w:r>
      <w:r w:rsidRPr="001B4A38">
        <w:rPr>
          <w:rFonts w:ascii="Times New Roman" w:eastAsia="Times New Roman" w:hAnsi="Times New Roman"/>
          <w:sz w:val="24"/>
          <w:szCs w:val="24"/>
        </w:rPr>
        <w:t>:</w:t>
      </w:r>
    </w:p>
    <w:p w14:paraId="5A07E6C5" w14:textId="77777777" w:rsidR="001B4A38" w:rsidRPr="001B4A38" w:rsidRDefault="001B4A38" w:rsidP="00397AFE">
      <w:pPr>
        <w:spacing w:line="360" w:lineRule="auto"/>
        <w:contextualSpacing/>
        <w:jc w:val="both"/>
        <w:rPr>
          <w:rFonts w:ascii="Times New Roman" w:eastAsia="Times New Roman" w:hAnsi="Times New Roman"/>
          <w:sz w:val="24"/>
          <w:szCs w:val="24"/>
        </w:rPr>
      </w:pPr>
    </w:p>
    <w:p w14:paraId="116D604C" w14:textId="77777777" w:rsidR="00397AFE" w:rsidRDefault="00397AFE" w:rsidP="00397AFE">
      <w:pPr>
        <w:contextualSpacing/>
        <w:jc w:val="both"/>
        <w:rPr>
          <w:rFonts w:ascii="Times New Roman" w:eastAsia="Times New Roman" w:hAnsi="Times New Roman"/>
          <w:sz w:val="24"/>
          <w:szCs w:val="24"/>
          <w:u w:val="single"/>
        </w:rPr>
        <w:sectPr w:rsidR="00397AFE" w:rsidSect="00397AFE">
          <w:footerReference w:type="default" r:id="rId11"/>
          <w:footerReference w:type="first" r:id="rId12"/>
          <w:pgSz w:w="12240" w:h="15840" w:code="1"/>
          <w:pgMar w:top="1440" w:right="1440" w:bottom="1440" w:left="1440" w:header="720" w:footer="720" w:gutter="0"/>
          <w:cols w:space="720"/>
          <w:titlePg/>
          <w:docGrid w:linePitch="360"/>
        </w:sectPr>
      </w:pPr>
    </w:p>
    <w:p w14:paraId="7C2CEB4E" w14:textId="49D52807" w:rsidR="001B4A38" w:rsidRPr="001B4A38" w:rsidRDefault="001B4A38" w:rsidP="00397AFE">
      <w:pPr>
        <w:contextualSpacing/>
        <w:jc w:val="both"/>
        <w:rPr>
          <w:rFonts w:ascii="Times New Roman" w:eastAsia="Times New Roman" w:hAnsi="Times New Roman"/>
          <w:sz w:val="24"/>
          <w:szCs w:val="24"/>
          <w:u w:val="single"/>
        </w:rPr>
      </w:pPr>
      <w:r w:rsidRPr="001B4A38">
        <w:rPr>
          <w:rFonts w:ascii="Times New Roman" w:eastAsia="Times New Roman" w:hAnsi="Times New Roman"/>
          <w:sz w:val="24"/>
          <w:szCs w:val="24"/>
          <w:u w:val="single"/>
        </w:rPr>
        <w:lastRenderedPageBreak/>
        <w:t>Testimony and Exhibits of Citizens/Wellsboro</w:t>
      </w:r>
    </w:p>
    <w:p w14:paraId="624C0413" w14:textId="77777777" w:rsidR="001B4A38" w:rsidRPr="001B4A38" w:rsidRDefault="001B4A38" w:rsidP="00397AFE">
      <w:pPr>
        <w:jc w:val="both"/>
        <w:rPr>
          <w:rFonts w:ascii="Times New Roman" w:eastAsia="Times New Roman" w:hAnsi="Times New Roman"/>
          <w:sz w:val="24"/>
          <w:szCs w:val="24"/>
        </w:rPr>
      </w:pPr>
    </w:p>
    <w:p w14:paraId="194526BE" w14:textId="77777777" w:rsidR="001B4A38" w:rsidRPr="001B4A38" w:rsidRDefault="001B4A38" w:rsidP="00397AFE">
      <w:pPr>
        <w:jc w:val="both"/>
        <w:rPr>
          <w:rFonts w:ascii="Times New Roman" w:hAnsi="Times New Roman"/>
          <w:b/>
          <w:bCs/>
          <w:sz w:val="24"/>
          <w:szCs w:val="24"/>
        </w:rPr>
      </w:pPr>
      <w:r w:rsidRPr="001B4A38">
        <w:rPr>
          <w:rFonts w:ascii="Times New Roman" w:hAnsi="Times New Roman"/>
          <w:b/>
          <w:bCs/>
          <w:sz w:val="24"/>
          <w:szCs w:val="24"/>
        </w:rPr>
        <w:t>Byron Farnsworth</w:t>
      </w:r>
    </w:p>
    <w:p w14:paraId="0CEC18B3" w14:textId="77777777" w:rsidR="001B4A38" w:rsidRPr="001B4A38" w:rsidRDefault="001B4A38" w:rsidP="00397AFE">
      <w:pPr>
        <w:jc w:val="both"/>
        <w:rPr>
          <w:rFonts w:ascii="Times New Roman" w:hAnsi="Times New Roman"/>
          <w:b/>
          <w:bCs/>
          <w:sz w:val="24"/>
          <w:szCs w:val="24"/>
        </w:rPr>
      </w:pPr>
      <w:r w:rsidRPr="001B4A38">
        <w:rPr>
          <w:rFonts w:ascii="Times New Roman" w:hAnsi="Times New Roman"/>
          <w:b/>
          <w:bCs/>
          <w:sz w:val="24"/>
          <w:szCs w:val="24"/>
        </w:rPr>
        <w:tab/>
      </w:r>
      <w:r w:rsidRPr="001B4A38">
        <w:rPr>
          <w:rFonts w:ascii="Times New Roman" w:hAnsi="Times New Roman"/>
          <w:b/>
          <w:bCs/>
          <w:sz w:val="24"/>
          <w:szCs w:val="24"/>
        </w:rPr>
        <w:tab/>
      </w:r>
    </w:p>
    <w:p w14:paraId="587C3E0D" w14:textId="77777777" w:rsidR="001B4A38" w:rsidRPr="001B4A38" w:rsidRDefault="001B4A38" w:rsidP="00397AFE">
      <w:pPr>
        <w:ind w:firstLine="720"/>
        <w:jc w:val="both"/>
        <w:rPr>
          <w:rFonts w:ascii="Times New Roman" w:hAnsi="Times New Roman"/>
          <w:sz w:val="24"/>
          <w:szCs w:val="24"/>
        </w:rPr>
      </w:pPr>
      <w:r w:rsidRPr="001B4A38">
        <w:rPr>
          <w:rFonts w:ascii="Times New Roman" w:hAnsi="Times New Roman"/>
          <w:sz w:val="24"/>
          <w:szCs w:val="24"/>
        </w:rPr>
        <w:t>Citizens'/Wellsboro St. No. 1</w:t>
      </w:r>
    </w:p>
    <w:p w14:paraId="31656D50"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Exhibit ___ (BF-1)</w:t>
      </w:r>
    </w:p>
    <w:p w14:paraId="1B1F61D1" w14:textId="77777777" w:rsidR="001B4A38" w:rsidRPr="001B4A38" w:rsidRDefault="001B4A38" w:rsidP="00397AFE">
      <w:pPr>
        <w:ind w:firstLine="720"/>
        <w:jc w:val="both"/>
        <w:rPr>
          <w:rFonts w:ascii="Times New Roman" w:hAnsi="Times New Roman"/>
          <w:sz w:val="24"/>
          <w:szCs w:val="24"/>
        </w:rPr>
      </w:pPr>
      <w:r w:rsidRPr="001B4A38">
        <w:rPr>
          <w:rFonts w:ascii="Times New Roman" w:hAnsi="Times New Roman"/>
          <w:sz w:val="24"/>
          <w:szCs w:val="24"/>
        </w:rPr>
        <w:t>Exhibit ___ (BF-2)</w:t>
      </w:r>
    </w:p>
    <w:p w14:paraId="1DF85AE8" w14:textId="77777777" w:rsidR="001B4A38" w:rsidRPr="001B4A38" w:rsidRDefault="001B4A38" w:rsidP="00397AFE">
      <w:pPr>
        <w:autoSpaceDE w:val="0"/>
        <w:autoSpaceDN w:val="0"/>
        <w:adjustRightInd w:val="0"/>
        <w:ind w:firstLine="720"/>
        <w:jc w:val="both"/>
        <w:rPr>
          <w:rFonts w:ascii="CG Times" w:hAnsi="CG Times" w:cs="CG Times"/>
          <w:sz w:val="24"/>
          <w:szCs w:val="24"/>
        </w:rPr>
      </w:pPr>
      <w:r w:rsidRPr="001B4A38">
        <w:rPr>
          <w:rFonts w:ascii="Times New Roman" w:hAnsi="Times New Roman"/>
          <w:sz w:val="24"/>
          <w:szCs w:val="24"/>
        </w:rPr>
        <w:t>Citizens'/Wellsboro St. No. 1-R</w:t>
      </w:r>
    </w:p>
    <w:p w14:paraId="5BC430CD" w14:textId="77777777" w:rsidR="001B4A38" w:rsidRPr="001B4A38" w:rsidRDefault="001B4A38" w:rsidP="00397AFE">
      <w:pPr>
        <w:jc w:val="both"/>
        <w:rPr>
          <w:rFonts w:ascii="Times New Roman" w:hAnsi="Times New Roman"/>
          <w:sz w:val="24"/>
          <w:szCs w:val="24"/>
        </w:rPr>
      </w:pPr>
    </w:p>
    <w:p w14:paraId="1090FCFF" w14:textId="77777777" w:rsidR="001B4A38" w:rsidRPr="001B4A38" w:rsidRDefault="001B4A38" w:rsidP="00397AFE">
      <w:pPr>
        <w:jc w:val="both"/>
        <w:rPr>
          <w:rFonts w:ascii="Times New Roman" w:hAnsi="Times New Roman"/>
          <w:b/>
          <w:bCs/>
          <w:sz w:val="24"/>
          <w:szCs w:val="24"/>
        </w:rPr>
      </w:pPr>
      <w:r w:rsidRPr="001B4A38">
        <w:rPr>
          <w:rFonts w:ascii="Times New Roman" w:hAnsi="Times New Roman"/>
          <w:b/>
          <w:bCs/>
          <w:sz w:val="24"/>
          <w:szCs w:val="24"/>
        </w:rPr>
        <w:t xml:space="preserve">John </w:t>
      </w:r>
      <w:proofErr w:type="spellStart"/>
      <w:r w:rsidRPr="001B4A38">
        <w:rPr>
          <w:rFonts w:ascii="Times New Roman" w:hAnsi="Times New Roman"/>
          <w:b/>
          <w:bCs/>
          <w:sz w:val="24"/>
          <w:szCs w:val="24"/>
        </w:rPr>
        <w:t>Kelchner</w:t>
      </w:r>
      <w:proofErr w:type="spellEnd"/>
    </w:p>
    <w:p w14:paraId="254671EB" w14:textId="77777777" w:rsidR="001B4A38" w:rsidRPr="001B4A38" w:rsidRDefault="001B4A38" w:rsidP="00397AFE">
      <w:pPr>
        <w:jc w:val="both"/>
        <w:rPr>
          <w:rFonts w:ascii="Times New Roman" w:hAnsi="Times New Roman"/>
          <w:b/>
          <w:bCs/>
          <w:sz w:val="24"/>
          <w:szCs w:val="24"/>
        </w:rPr>
      </w:pPr>
    </w:p>
    <w:p w14:paraId="1A8D0F74"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Citizens'/Wellsboro St. No. 2</w:t>
      </w:r>
    </w:p>
    <w:p w14:paraId="309688C4"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Exhibit ___ (JK-1)</w:t>
      </w:r>
    </w:p>
    <w:p w14:paraId="1A09A6D0"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Exhibit ___ (JK-2)</w:t>
      </w:r>
    </w:p>
    <w:p w14:paraId="7F514AB5" w14:textId="77777777" w:rsidR="001B4A38" w:rsidRPr="001B4A38" w:rsidRDefault="001B4A38" w:rsidP="00397AFE">
      <w:pPr>
        <w:ind w:firstLine="720"/>
        <w:jc w:val="both"/>
        <w:rPr>
          <w:rFonts w:ascii="Times New Roman" w:hAnsi="Times New Roman"/>
          <w:sz w:val="24"/>
          <w:szCs w:val="24"/>
        </w:rPr>
      </w:pPr>
      <w:r w:rsidRPr="001B4A38">
        <w:rPr>
          <w:rFonts w:ascii="Times New Roman" w:hAnsi="Times New Roman"/>
          <w:sz w:val="24"/>
          <w:szCs w:val="24"/>
        </w:rPr>
        <w:t>Exhibit ___ (JK-3)</w:t>
      </w:r>
    </w:p>
    <w:p w14:paraId="6CABF717" w14:textId="77777777" w:rsidR="001B4A38" w:rsidRPr="001B4A38" w:rsidRDefault="001B4A38" w:rsidP="00397AFE">
      <w:pPr>
        <w:autoSpaceDE w:val="0"/>
        <w:autoSpaceDN w:val="0"/>
        <w:adjustRightInd w:val="0"/>
        <w:ind w:firstLine="720"/>
        <w:jc w:val="both"/>
        <w:rPr>
          <w:rFonts w:ascii="CG Times" w:hAnsi="CG Times" w:cs="CG Times"/>
          <w:sz w:val="24"/>
          <w:szCs w:val="24"/>
        </w:rPr>
      </w:pPr>
      <w:r w:rsidRPr="001B4A38">
        <w:rPr>
          <w:rFonts w:ascii="Times New Roman" w:hAnsi="Times New Roman"/>
          <w:sz w:val="24"/>
          <w:szCs w:val="24"/>
        </w:rPr>
        <w:t>Citizens'/Wellsboro St. No. 2-R</w:t>
      </w:r>
    </w:p>
    <w:p w14:paraId="1C331895" w14:textId="77777777" w:rsidR="001B4A38" w:rsidRPr="001B4A38" w:rsidRDefault="001B4A38" w:rsidP="00397AFE">
      <w:pPr>
        <w:jc w:val="both"/>
        <w:rPr>
          <w:rFonts w:ascii="Times New Roman" w:hAnsi="Times New Roman"/>
          <w:sz w:val="24"/>
          <w:szCs w:val="24"/>
        </w:rPr>
      </w:pPr>
    </w:p>
    <w:p w14:paraId="6F42BCE8" w14:textId="77777777" w:rsidR="001B4A38" w:rsidRPr="001B4A38" w:rsidRDefault="001B4A38" w:rsidP="00397AFE">
      <w:pPr>
        <w:jc w:val="both"/>
        <w:rPr>
          <w:rFonts w:ascii="Times New Roman" w:hAnsi="Times New Roman"/>
          <w:b/>
          <w:bCs/>
          <w:sz w:val="24"/>
          <w:szCs w:val="24"/>
        </w:rPr>
      </w:pPr>
      <w:r w:rsidRPr="001B4A38">
        <w:rPr>
          <w:rFonts w:ascii="Times New Roman" w:hAnsi="Times New Roman"/>
          <w:b/>
          <w:bCs/>
          <w:sz w:val="24"/>
          <w:szCs w:val="24"/>
        </w:rPr>
        <w:t>Melissa Sullivan</w:t>
      </w:r>
    </w:p>
    <w:p w14:paraId="6E55F3A2" w14:textId="77777777" w:rsidR="001B4A38" w:rsidRPr="001B4A38" w:rsidRDefault="001B4A38" w:rsidP="00397AFE">
      <w:pPr>
        <w:jc w:val="both"/>
        <w:rPr>
          <w:rFonts w:ascii="Times New Roman" w:hAnsi="Times New Roman"/>
          <w:b/>
          <w:bCs/>
          <w:sz w:val="24"/>
          <w:szCs w:val="24"/>
        </w:rPr>
      </w:pPr>
    </w:p>
    <w:p w14:paraId="727088A8"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Citizens'/Wellsboro St. No. 3</w:t>
      </w:r>
    </w:p>
    <w:p w14:paraId="62378A24"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Exhibit ___ (MS-1)</w:t>
      </w:r>
    </w:p>
    <w:p w14:paraId="07BB83B0" w14:textId="77777777" w:rsidR="001B4A38" w:rsidRPr="001B4A38" w:rsidRDefault="001B4A38" w:rsidP="00397AFE">
      <w:pPr>
        <w:ind w:firstLine="720"/>
        <w:jc w:val="both"/>
        <w:rPr>
          <w:rFonts w:ascii="Times New Roman" w:hAnsi="Times New Roman"/>
          <w:sz w:val="24"/>
          <w:szCs w:val="24"/>
        </w:rPr>
      </w:pPr>
      <w:r w:rsidRPr="001B4A38">
        <w:rPr>
          <w:rFonts w:ascii="Times New Roman" w:hAnsi="Times New Roman"/>
          <w:sz w:val="24"/>
          <w:szCs w:val="24"/>
        </w:rPr>
        <w:t>Exhibit ___ (MS-2)</w:t>
      </w:r>
    </w:p>
    <w:p w14:paraId="3FB7AD09" w14:textId="77777777" w:rsidR="001B4A38" w:rsidRPr="001B4A38" w:rsidRDefault="001B4A38" w:rsidP="00397AFE">
      <w:pPr>
        <w:autoSpaceDE w:val="0"/>
        <w:autoSpaceDN w:val="0"/>
        <w:adjustRightInd w:val="0"/>
        <w:ind w:firstLine="720"/>
        <w:jc w:val="both"/>
        <w:rPr>
          <w:rFonts w:ascii="CG Times" w:hAnsi="CG Times" w:cs="CG Times"/>
          <w:sz w:val="24"/>
          <w:szCs w:val="24"/>
        </w:rPr>
      </w:pPr>
      <w:r w:rsidRPr="001B4A38">
        <w:rPr>
          <w:rFonts w:ascii="Times New Roman" w:hAnsi="Times New Roman"/>
          <w:sz w:val="24"/>
          <w:szCs w:val="24"/>
        </w:rPr>
        <w:t>Citizens'/Wellsboro St. No. 3-R</w:t>
      </w:r>
    </w:p>
    <w:p w14:paraId="047611A8" w14:textId="77777777" w:rsidR="001B4A38" w:rsidRPr="001B4A38" w:rsidRDefault="001B4A38" w:rsidP="00397AFE">
      <w:pPr>
        <w:jc w:val="both"/>
        <w:rPr>
          <w:rFonts w:ascii="Times New Roman" w:hAnsi="Times New Roman"/>
          <w:sz w:val="24"/>
          <w:szCs w:val="24"/>
        </w:rPr>
      </w:pPr>
    </w:p>
    <w:p w14:paraId="40901646" w14:textId="77777777" w:rsidR="001B4A38" w:rsidRPr="001B4A38" w:rsidRDefault="001B4A38" w:rsidP="00397AFE">
      <w:pPr>
        <w:jc w:val="both"/>
        <w:rPr>
          <w:rFonts w:ascii="Times New Roman" w:hAnsi="Times New Roman"/>
          <w:sz w:val="24"/>
          <w:szCs w:val="24"/>
        </w:rPr>
      </w:pPr>
    </w:p>
    <w:p w14:paraId="72B356C4" w14:textId="77777777" w:rsidR="001B4A38" w:rsidRPr="001B4A38" w:rsidRDefault="001B4A38" w:rsidP="00397AFE">
      <w:pPr>
        <w:contextualSpacing/>
        <w:jc w:val="both"/>
        <w:rPr>
          <w:rFonts w:ascii="Times New Roman" w:eastAsia="Times New Roman" w:hAnsi="Times New Roman"/>
          <w:sz w:val="24"/>
          <w:szCs w:val="24"/>
          <w:u w:val="single"/>
        </w:rPr>
      </w:pPr>
      <w:r w:rsidRPr="001B4A38">
        <w:rPr>
          <w:rFonts w:ascii="Times New Roman" w:eastAsia="Times New Roman" w:hAnsi="Times New Roman"/>
          <w:sz w:val="24"/>
          <w:szCs w:val="24"/>
          <w:u w:val="single"/>
        </w:rPr>
        <w:t>Testimony and Exhibits of OCA</w:t>
      </w:r>
    </w:p>
    <w:p w14:paraId="65148726" w14:textId="77777777" w:rsidR="001B4A38" w:rsidRPr="001B4A38" w:rsidRDefault="001B4A38" w:rsidP="00397AFE">
      <w:pPr>
        <w:contextualSpacing/>
        <w:jc w:val="both"/>
        <w:rPr>
          <w:rFonts w:ascii="Times New Roman" w:eastAsia="Times New Roman" w:hAnsi="Times New Roman"/>
          <w:sz w:val="24"/>
          <w:szCs w:val="24"/>
          <w:u w:val="single"/>
        </w:rPr>
      </w:pPr>
    </w:p>
    <w:p w14:paraId="5F91B703" w14:textId="77777777" w:rsidR="001B4A38" w:rsidRPr="001B4A38" w:rsidRDefault="001B4A38" w:rsidP="00397AFE">
      <w:pPr>
        <w:jc w:val="both"/>
        <w:rPr>
          <w:rFonts w:ascii="Times New Roman" w:hAnsi="Times New Roman"/>
          <w:b/>
          <w:bCs/>
          <w:sz w:val="24"/>
          <w:szCs w:val="24"/>
        </w:rPr>
      </w:pPr>
      <w:proofErr w:type="spellStart"/>
      <w:r w:rsidRPr="001B4A38">
        <w:rPr>
          <w:rFonts w:ascii="Times New Roman" w:hAnsi="Times New Roman"/>
          <w:b/>
          <w:bCs/>
          <w:sz w:val="24"/>
          <w:szCs w:val="24"/>
        </w:rPr>
        <w:t>Serhan</w:t>
      </w:r>
      <w:proofErr w:type="spellEnd"/>
      <w:r w:rsidRPr="001B4A38">
        <w:rPr>
          <w:rFonts w:ascii="Times New Roman" w:hAnsi="Times New Roman"/>
          <w:b/>
          <w:bCs/>
          <w:sz w:val="24"/>
          <w:szCs w:val="24"/>
        </w:rPr>
        <w:t xml:space="preserve"> </w:t>
      </w:r>
      <w:proofErr w:type="spellStart"/>
      <w:r w:rsidRPr="001B4A38">
        <w:rPr>
          <w:rFonts w:ascii="Times New Roman" w:hAnsi="Times New Roman"/>
          <w:b/>
          <w:bCs/>
          <w:sz w:val="24"/>
          <w:szCs w:val="24"/>
        </w:rPr>
        <w:t>Ogur</w:t>
      </w:r>
      <w:proofErr w:type="spellEnd"/>
    </w:p>
    <w:p w14:paraId="7426D1BE" w14:textId="77777777" w:rsidR="001B4A38" w:rsidRPr="001B4A38" w:rsidRDefault="001B4A38" w:rsidP="00397AFE">
      <w:pPr>
        <w:jc w:val="both"/>
        <w:rPr>
          <w:rFonts w:ascii="Times New Roman" w:hAnsi="Times New Roman"/>
          <w:b/>
          <w:bCs/>
          <w:sz w:val="24"/>
          <w:szCs w:val="24"/>
        </w:rPr>
      </w:pPr>
    </w:p>
    <w:p w14:paraId="10495632" w14:textId="77777777" w:rsidR="001B4A38" w:rsidRPr="001B4A38" w:rsidRDefault="001B4A38" w:rsidP="00397AFE">
      <w:pPr>
        <w:autoSpaceDE w:val="0"/>
        <w:autoSpaceDN w:val="0"/>
        <w:adjustRightInd w:val="0"/>
        <w:ind w:firstLine="720"/>
        <w:jc w:val="both"/>
        <w:rPr>
          <w:rFonts w:ascii="Times New Roman" w:hAnsi="Times New Roman"/>
          <w:sz w:val="24"/>
          <w:szCs w:val="24"/>
        </w:rPr>
      </w:pPr>
      <w:r w:rsidRPr="001B4A38">
        <w:rPr>
          <w:rFonts w:ascii="Times New Roman" w:hAnsi="Times New Roman"/>
          <w:sz w:val="24"/>
          <w:szCs w:val="24"/>
        </w:rPr>
        <w:t>OCA St. No. 1 Appendix</w:t>
      </w:r>
    </w:p>
    <w:p w14:paraId="687C6C7E" w14:textId="405DE42A" w:rsidR="001B4A38" w:rsidRDefault="001B4A38" w:rsidP="00397AFE">
      <w:pPr>
        <w:contextualSpacing/>
        <w:jc w:val="both"/>
        <w:rPr>
          <w:rFonts w:ascii="Times New Roman" w:eastAsia="Times New Roman" w:hAnsi="Times New Roman"/>
          <w:sz w:val="24"/>
          <w:szCs w:val="24"/>
          <w:u w:val="single"/>
        </w:rPr>
      </w:pPr>
    </w:p>
    <w:p w14:paraId="6D06E8C3" w14:textId="77777777" w:rsidR="00397AFE" w:rsidRPr="001B4A38" w:rsidRDefault="00397AFE" w:rsidP="00397AFE">
      <w:pPr>
        <w:contextualSpacing/>
        <w:jc w:val="both"/>
        <w:rPr>
          <w:rFonts w:ascii="Times New Roman" w:eastAsia="Times New Roman" w:hAnsi="Times New Roman"/>
          <w:sz w:val="24"/>
          <w:szCs w:val="24"/>
          <w:u w:val="single"/>
        </w:rPr>
      </w:pPr>
    </w:p>
    <w:p w14:paraId="085AFDAF" w14:textId="77777777" w:rsidR="001B4A38" w:rsidRPr="001B4A38" w:rsidRDefault="001B4A38" w:rsidP="00397AFE">
      <w:pPr>
        <w:contextualSpacing/>
        <w:jc w:val="both"/>
        <w:rPr>
          <w:rFonts w:ascii="Times New Roman" w:eastAsia="Times New Roman" w:hAnsi="Times New Roman"/>
          <w:sz w:val="24"/>
          <w:szCs w:val="24"/>
          <w:u w:val="single"/>
        </w:rPr>
      </w:pPr>
      <w:r w:rsidRPr="001B4A38">
        <w:rPr>
          <w:rFonts w:ascii="Times New Roman" w:eastAsia="Times New Roman" w:hAnsi="Times New Roman"/>
          <w:sz w:val="24"/>
          <w:szCs w:val="24"/>
          <w:u w:val="single"/>
        </w:rPr>
        <w:t>Testimony and Exhibits of OSBA</w:t>
      </w:r>
    </w:p>
    <w:p w14:paraId="25C2E93C" w14:textId="77777777" w:rsidR="001B4A38" w:rsidRPr="001B4A38" w:rsidRDefault="001B4A38" w:rsidP="00397AFE">
      <w:pPr>
        <w:contextualSpacing/>
        <w:jc w:val="both"/>
        <w:rPr>
          <w:rFonts w:ascii="Times New Roman" w:eastAsia="Times New Roman" w:hAnsi="Times New Roman"/>
          <w:sz w:val="24"/>
          <w:szCs w:val="24"/>
          <w:u w:val="single"/>
        </w:rPr>
      </w:pPr>
    </w:p>
    <w:p w14:paraId="417A614A" w14:textId="77777777" w:rsidR="001B4A38" w:rsidRPr="001B4A38" w:rsidRDefault="001B4A38" w:rsidP="00397AFE">
      <w:pPr>
        <w:jc w:val="both"/>
        <w:rPr>
          <w:rFonts w:ascii="Times New Roman" w:hAnsi="Times New Roman"/>
          <w:b/>
          <w:bCs/>
          <w:sz w:val="24"/>
          <w:szCs w:val="24"/>
        </w:rPr>
      </w:pPr>
      <w:r w:rsidRPr="001B4A38">
        <w:rPr>
          <w:rFonts w:ascii="Times New Roman" w:hAnsi="Times New Roman"/>
          <w:b/>
          <w:bCs/>
          <w:sz w:val="24"/>
          <w:szCs w:val="24"/>
        </w:rPr>
        <w:t xml:space="preserve">Brian </w:t>
      </w:r>
      <w:proofErr w:type="spellStart"/>
      <w:r w:rsidRPr="001B4A38">
        <w:rPr>
          <w:rFonts w:ascii="Times New Roman" w:hAnsi="Times New Roman"/>
          <w:b/>
          <w:bCs/>
          <w:sz w:val="24"/>
          <w:szCs w:val="24"/>
        </w:rPr>
        <w:t>Kalcic</w:t>
      </w:r>
      <w:proofErr w:type="spellEnd"/>
    </w:p>
    <w:p w14:paraId="0EF31A18" w14:textId="77777777" w:rsidR="001B4A38" w:rsidRPr="001B4A38" w:rsidRDefault="001B4A38" w:rsidP="00397AFE">
      <w:pPr>
        <w:jc w:val="both"/>
        <w:rPr>
          <w:rFonts w:ascii="Times New Roman" w:hAnsi="Times New Roman"/>
          <w:b/>
          <w:bCs/>
          <w:sz w:val="24"/>
          <w:szCs w:val="24"/>
        </w:rPr>
      </w:pPr>
    </w:p>
    <w:p w14:paraId="1F3CC5C4" w14:textId="77777777" w:rsidR="001B4A38" w:rsidRPr="001B4A38" w:rsidRDefault="001B4A38" w:rsidP="00397AFE">
      <w:pPr>
        <w:autoSpaceDE w:val="0"/>
        <w:autoSpaceDN w:val="0"/>
        <w:adjustRightInd w:val="0"/>
        <w:ind w:firstLine="720"/>
        <w:jc w:val="both"/>
        <w:rPr>
          <w:rFonts w:ascii="Times New Roman" w:eastAsia="Times New Roman" w:hAnsi="Times New Roman"/>
          <w:sz w:val="24"/>
          <w:szCs w:val="24"/>
        </w:rPr>
      </w:pPr>
      <w:r w:rsidRPr="001B4A38">
        <w:rPr>
          <w:rFonts w:ascii="Times New Roman" w:hAnsi="Times New Roman"/>
          <w:sz w:val="24"/>
          <w:szCs w:val="24"/>
        </w:rPr>
        <w:t>OSBA St. No. 1 Appendix</w:t>
      </w:r>
    </w:p>
    <w:p w14:paraId="797BA8C5" w14:textId="77777777" w:rsidR="001B4A38" w:rsidRPr="001B4A38" w:rsidRDefault="001B4A38" w:rsidP="00397AFE">
      <w:pPr>
        <w:autoSpaceDE w:val="0"/>
        <w:autoSpaceDN w:val="0"/>
        <w:spacing w:line="360" w:lineRule="auto"/>
        <w:ind w:firstLine="1440"/>
        <w:jc w:val="both"/>
        <w:rPr>
          <w:rFonts w:ascii="Times New Roman" w:eastAsia="Times New Roman" w:hAnsi="Times New Roman"/>
          <w:sz w:val="24"/>
          <w:szCs w:val="24"/>
        </w:rPr>
      </w:pPr>
    </w:p>
    <w:p w14:paraId="18069317" w14:textId="77777777" w:rsidR="001B4A38" w:rsidRPr="001B4A38" w:rsidRDefault="001B4A38" w:rsidP="00397AFE">
      <w:pPr>
        <w:tabs>
          <w:tab w:val="left" w:pos="-720"/>
        </w:tabs>
        <w:suppressAutoHyphens/>
        <w:autoSpaceDE w:val="0"/>
        <w:autoSpaceDN w:val="0"/>
        <w:spacing w:line="360" w:lineRule="auto"/>
        <w:jc w:val="both"/>
        <w:rPr>
          <w:rFonts w:ascii="Times New Roman" w:eastAsia="Times New Roman" w:hAnsi="Times New Roman"/>
          <w:spacing w:val="-3"/>
          <w:sz w:val="24"/>
          <w:szCs w:val="24"/>
        </w:rPr>
      </w:pPr>
      <w:r w:rsidRPr="001B4A38">
        <w:rPr>
          <w:rFonts w:ascii="CG Times" w:eastAsia="Times New Roman" w:hAnsi="CG Times" w:cs="CG Times"/>
          <w:sz w:val="24"/>
          <w:szCs w:val="24"/>
        </w:rPr>
        <w:tab/>
      </w:r>
      <w:r w:rsidRPr="001B4A38">
        <w:rPr>
          <w:rFonts w:ascii="CG Times" w:eastAsia="Times New Roman" w:hAnsi="CG Times" w:cs="CG Times"/>
          <w:sz w:val="24"/>
          <w:szCs w:val="24"/>
        </w:rPr>
        <w:tab/>
      </w:r>
      <w:r w:rsidRPr="001B4A38">
        <w:rPr>
          <w:rFonts w:ascii="Times New Roman" w:eastAsia="Times New Roman" w:hAnsi="Times New Roman"/>
          <w:sz w:val="24"/>
          <w:szCs w:val="24"/>
        </w:rPr>
        <w:t>2.</w:t>
      </w:r>
      <w:r w:rsidRPr="001B4A38">
        <w:rPr>
          <w:rFonts w:ascii="Times New Roman" w:eastAsia="Times New Roman" w:hAnsi="Times New Roman"/>
          <w:sz w:val="24"/>
          <w:szCs w:val="24"/>
        </w:rPr>
        <w:tab/>
        <w:t>That the joint settlement between</w:t>
      </w:r>
      <w:r w:rsidRPr="001B4A38">
        <w:rPr>
          <w:rFonts w:ascii="Times New Roman" w:eastAsia="Times New Roman" w:hAnsi="Times New Roman"/>
          <w:spacing w:val="-3"/>
          <w:sz w:val="24"/>
          <w:szCs w:val="24"/>
        </w:rPr>
        <w:t xml:space="preserve"> Citizens’ Electric Company of Lewisburg, PA, Wellsboro Electric Company, the Office of Consumer Advocate and the Office of Small Business Advocate </w:t>
      </w:r>
      <w:r w:rsidRPr="001B4A38">
        <w:rPr>
          <w:rFonts w:ascii="Times New Roman" w:eastAsia="Times New Roman" w:hAnsi="Times New Roman"/>
          <w:sz w:val="24"/>
          <w:szCs w:val="24"/>
        </w:rPr>
        <w:t xml:space="preserve">in the above-captioned dockets, </w:t>
      </w:r>
      <w:r w:rsidRPr="001B4A38">
        <w:rPr>
          <w:rFonts w:ascii="Times New Roman" w:eastAsia="Times New Roman" w:hAnsi="Times New Roman"/>
          <w:spacing w:val="-3"/>
          <w:sz w:val="24"/>
          <w:szCs w:val="24"/>
        </w:rPr>
        <w:t>P-2020-3019383</w:t>
      </w:r>
      <w:bookmarkStart w:id="1" w:name="_Hlk50989446"/>
      <w:r w:rsidRPr="001B4A38">
        <w:rPr>
          <w:rFonts w:ascii="Times New Roman" w:eastAsia="Times New Roman" w:hAnsi="Times New Roman"/>
          <w:sz w:val="24"/>
          <w:szCs w:val="24"/>
        </w:rPr>
        <w:t xml:space="preserve"> and </w:t>
      </w:r>
      <w:bookmarkEnd w:id="1"/>
      <w:r w:rsidRPr="001B4A38">
        <w:rPr>
          <w:rFonts w:ascii="Times New Roman" w:eastAsia="Times New Roman" w:hAnsi="Times New Roman"/>
          <w:spacing w:val="-3"/>
          <w:sz w:val="24"/>
          <w:szCs w:val="24"/>
        </w:rPr>
        <w:t xml:space="preserve">P-2020-3019384, </w:t>
      </w:r>
      <w:r w:rsidRPr="001B4A38">
        <w:rPr>
          <w:rFonts w:ascii="Times New Roman" w:eastAsia="Times New Roman" w:hAnsi="Times New Roman"/>
          <w:sz w:val="24"/>
          <w:szCs w:val="24"/>
        </w:rPr>
        <w:t xml:space="preserve">be approved without modification. </w:t>
      </w:r>
    </w:p>
    <w:p w14:paraId="4F45A735" w14:textId="77777777" w:rsidR="001B4A38" w:rsidRPr="001B4A38" w:rsidRDefault="001B4A38" w:rsidP="00397AFE">
      <w:pPr>
        <w:tabs>
          <w:tab w:val="left" w:pos="0"/>
        </w:tabs>
        <w:spacing w:line="360" w:lineRule="auto"/>
        <w:jc w:val="both"/>
        <w:rPr>
          <w:rFonts w:ascii="Times New Roman" w:eastAsia="Times New Roman" w:hAnsi="Times New Roman"/>
          <w:sz w:val="24"/>
          <w:szCs w:val="24"/>
        </w:rPr>
      </w:pPr>
    </w:p>
    <w:p w14:paraId="3E2C6B87" w14:textId="77777777" w:rsidR="001B4A38" w:rsidRPr="001B4A38" w:rsidRDefault="001B4A38" w:rsidP="00397AFE">
      <w:pPr>
        <w:autoSpaceDE w:val="0"/>
        <w:autoSpaceDN w:val="0"/>
        <w:spacing w:line="360" w:lineRule="auto"/>
        <w:contextualSpacing/>
        <w:jc w:val="both"/>
        <w:rPr>
          <w:rFonts w:ascii="Times New Roman" w:hAnsi="Times New Roman"/>
          <w:sz w:val="24"/>
          <w:szCs w:val="24"/>
        </w:rPr>
      </w:pPr>
      <w:r w:rsidRPr="001B4A38">
        <w:rPr>
          <w:rFonts w:ascii="Times New Roman" w:eastAsia="Times New Roman" w:hAnsi="Times New Roman"/>
          <w:sz w:val="24"/>
          <w:szCs w:val="24"/>
        </w:rPr>
        <w:lastRenderedPageBreak/>
        <w:tab/>
      </w:r>
      <w:r w:rsidRPr="001B4A38">
        <w:rPr>
          <w:rFonts w:ascii="Times New Roman" w:eastAsia="Times New Roman" w:hAnsi="Times New Roman"/>
          <w:sz w:val="24"/>
          <w:szCs w:val="24"/>
        </w:rPr>
        <w:tab/>
      </w:r>
      <w:r w:rsidRPr="001B4A38">
        <w:rPr>
          <w:rFonts w:ascii="Times New Roman" w:hAnsi="Times New Roman"/>
          <w:sz w:val="24"/>
          <w:szCs w:val="24"/>
        </w:rPr>
        <w:t>3.</w:t>
      </w:r>
      <w:r w:rsidRPr="001B4A38">
        <w:rPr>
          <w:rFonts w:ascii="Times New Roman" w:hAnsi="Times New Roman"/>
          <w:sz w:val="24"/>
          <w:szCs w:val="24"/>
        </w:rPr>
        <w:tab/>
        <w:t xml:space="preserve">That the proposed default service program DSP VI, as set forth in </w:t>
      </w:r>
      <w:r w:rsidRPr="001B4A38">
        <w:rPr>
          <w:rFonts w:ascii="Times New Roman" w:eastAsia="Times New Roman" w:hAnsi="Times New Roman"/>
          <w:spacing w:val="-3"/>
          <w:sz w:val="24"/>
          <w:szCs w:val="24"/>
        </w:rPr>
        <w:t>the Companies’ joint</w:t>
      </w:r>
      <w:r w:rsidRPr="001B4A38">
        <w:rPr>
          <w:rFonts w:ascii="Times New Roman" w:hAnsi="Times New Roman"/>
          <w:sz w:val="24"/>
          <w:szCs w:val="24"/>
        </w:rPr>
        <w:t xml:space="preserve"> petition, be approved as amended by the joint petition for settlement.</w:t>
      </w:r>
    </w:p>
    <w:p w14:paraId="4925FAA0" w14:textId="77777777" w:rsidR="001B4A38" w:rsidRPr="001B4A38" w:rsidRDefault="001B4A38" w:rsidP="00397AFE">
      <w:pPr>
        <w:spacing w:line="360" w:lineRule="auto"/>
        <w:contextualSpacing/>
        <w:jc w:val="both"/>
        <w:rPr>
          <w:rFonts w:ascii="Times New Roman" w:hAnsi="Times New Roman"/>
          <w:sz w:val="24"/>
          <w:szCs w:val="24"/>
        </w:rPr>
      </w:pPr>
    </w:p>
    <w:p w14:paraId="510CAB22" w14:textId="77777777" w:rsidR="001B4A38" w:rsidRPr="001B4A38" w:rsidRDefault="001B4A38" w:rsidP="00397AFE">
      <w:pPr>
        <w:spacing w:line="360" w:lineRule="auto"/>
        <w:contextualSpacing/>
        <w:jc w:val="both"/>
        <w:rPr>
          <w:rFonts w:ascii="Times New Roman" w:hAnsi="Times New Roman"/>
          <w:sz w:val="24"/>
          <w:szCs w:val="24"/>
        </w:rPr>
      </w:pPr>
      <w:r w:rsidRPr="001B4A38">
        <w:rPr>
          <w:rFonts w:ascii="Times New Roman" w:hAnsi="Times New Roman"/>
          <w:sz w:val="24"/>
          <w:szCs w:val="24"/>
        </w:rPr>
        <w:tab/>
      </w:r>
      <w:r w:rsidRPr="001B4A38">
        <w:rPr>
          <w:rFonts w:ascii="Times New Roman" w:hAnsi="Times New Roman"/>
          <w:sz w:val="24"/>
          <w:szCs w:val="24"/>
        </w:rPr>
        <w:tab/>
        <w:t>4.</w:t>
      </w:r>
      <w:r w:rsidRPr="001B4A38">
        <w:rPr>
          <w:rFonts w:ascii="Times New Roman" w:hAnsi="Times New Roman"/>
          <w:sz w:val="24"/>
          <w:szCs w:val="24"/>
        </w:rPr>
        <w:tab/>
        <w:t>That the Companies’ proposed DSP VI for the period June 1, 2021 through May 31, 2025, as amended by the terms of the settlement, be found compliant with the requirements of the Public Utility Code.</w:t>
      </w:r>
    </w:p>
    <w:p w14:paraId="6E0E1D7A" w14:textId="77777777" w:rsidR="001B4A38" w:rsidRPr="001B4A38" w:rsidRDefault="001B4A38" w:rsidP="00397AFE">
      <w:pPr>
        <w:spacing w:line="360" w:lineRule="auto"/>
        <w:contextualSpacing/>
        <w:jc w:val="both"/>
        <w:rPr>
          <w:rFonts w:ascii="Times New Roman" w:hAnsi="Times New Roman"/>
          <w:sz w:val="24"/>
          <w:szCs w:val="24"/>
        </w:rPr>
      </w:pPr>
    </w:p>
    <w:p w14:paraId="2E8DC144"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5.</w:t>
      </w:r>
      <w:r w:rsidRPr="001B4A38">
        <w:rPr>
          <w:rFonts w:ascii="Times New Roman" w:hAnsi="Times New Roman"/>
          <w:sz w:val="24"/>
          <w:szCs w:val="24"/>
        </w:rPr>
        <w:tab/>
        <w:t>That the Companies adopt the modified Appendix E to the supplier master agreement adding the targeted "change in law" provision for renegotiation of the supplier adder if there is a change to the AEPS Act compliance mandates as set forth in Attachment D.</w:t>
      </w:r>
    </w:p>
    <w:p w14:paraId="0F3C0F92" w14:textId="77777777" w:rsidR="001B4A38" w:rsidRPr="001B4A38" w:rsidRDefault="001B4A38" w:rsidP="00397AFE">
      <w:pPr>
        <w:spacing w:line="360" w:lineRule="auto"/>
        <w:contextualSpacing/>
        <w:jc w:val="both"/>
        <w:rPr>
          <w:rFonts w:ascii="Times New Roman" w:hAnsi="Times New Roman"/>
          <w:sz w:val="24"/>
          <w:szCs w:val="24"/>
        </w:rPr>
      </w:pPr>
    </w:p>
    <w:p w14:paraId="0E2DFA8E"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6.</w:t>
      </w:r>
      <w:r w:rsidRPr="001B4A38">
        <w:rPr>
          <w:rFonts w:ascii="Times New Roman" w:hAnsi="Times New Roman"/>
          <w:sz w:val="24"/>
          <w:szCs w:val="24"/>
        </w:rPr>
        <w:tab/>
        <w:t>That the Companies shall continue to monitor FERC Docket EL18-178 (Consolidated) regarding the OCA's proposal to use an outside evaluator to ensure that successful respondents to the Companies' RFPs are not subject to the MOPR capacity bidding adjustments.</w:t>
      </w:r>
    </w:p>
    <w:p w14:paraId="14F1DB00" w14:textId="77777777" w:rsidR="001B4A38" w:rsidRPr="001B4A38" w:rsidRDefault="001B4A38" w:rsidP="00397AFE">
      <w:pPr>
        <w:spacing w:line="360" w:lineRule="auto"/>
        <w:contextualSpacing/>
        <w:jc w:val="both"/>
        <w:rPr>
          <w:rFonts w:ascii="Times New Roman" w:hAnsi="Times New Roman"/>
          <w:sz w:val="24"/>
          <w:szCs w:val="24"/>
        </w:rPr>
      </w:pPr>
    </w:p>
    <w:p w14:paraId="1D6B586F"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7.</w:t>
      </w:r>
      <w:r w:rsidRPr="001B4A38">
        <w:rPr>
          <w:rFonts w:ascii="Times New Roman" w:hAnsi="Times New Roman"/>
          <w:sz w:val="24"/>
          <w:szCs w:val="24"/>
        </w:rPr>
        <w:tab/>
        <w:t>That the Companies shall contact PJM and/or the IMM to discuss whether an outside evaluator is needed and the minimum requirements for an entity in that role.</w:t>
      </w:r>
    </w:p>
    <w:p w14:paraId="3A2C4E1A" w14:textId="77777777" w:rsidR="001B4A38" w:rsidRPr="001B4A38" w:rsidRDefault="001B4A38" w:rsidP="00397AFE">
      <w:pPr>
        <w:spacing w:line="360" w:lineRule="auto"/>
        <w:contextualSpacing/>
        <w:jc w:val="both"/>
        <w:rPr>
          <w:rFonts w:ascii="Times New Roman" w:hAnsi="Times New Roman"/>
          <w:sz w:val="24"/>
          <w:szCs w:val="24"/>
        </w:rPr>
      </w:pPr>
    </w:p>
    <w:p w14:paraId="50BD02A0"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8.</w:t>
      </w:r>
      <w:r w:rsidRPr="001B4A38">
        <w:rPr>
          <w:rFonts w:ascii="Times New Roman" w:hAnsi="Times New Roman"/>
          <w:sz w:val="24"/>
          <w:szCs w:val="24"/>
        </w:rPr>
        <w:tab/>
        <w:t>That the Companies shall reconvene with the parties to discuss whether an outside evaluator will be necessary and any proposed method to include such an entity.</w:t>
      </w:r>
    </w:p>
    <w:p w14:paraId="7E1AA364" w14:textId="77777777" w:rsidR="001B4A38" w:rsidRPr="001B4A38" w:rsidRDefault="001B4A38" w:rsidP="00397AFE">
      <w:pPr>
        <w:spacing w:line="360" w:lineRule="auto"/>
        <w:contextualSpacing/>
        <w:jc w:val="both"/>
        <w:rPr>
          <w:rFonts w:ascii="Times New Roman" w:hAnsi="Times New Roman"/>
          <w:sz w:val="24"/>
          <w:szCs w:val="24"/>
        </w:rPr>
      </w:pPr>
    </w:p>
    <w:p w14:paraId="5EFB296A"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9.</w:t>
      </w:r>
      <w:r w:rsidRPr="001B4A38">
        <w:rPr>
          <w:rFonts w:ascii="Times New Roman" w:hAnsi="Times New Roman"/>
          <w:sz w:val="24"/>
          <w:szCs w:val="24"/>
        </w:rPr>
        <w:tab/>
        <w:t>That the DSP VI is amended to include a two-bidder minimum requirement for the request for proposals for default service supply, subject to the contingency plan set forth in the settlement.</w:t>
      </w:r>
    </w:p>
    <w:p w14:paraId="6470AB89" w14:textId="77777777" w:rsidR="001B4A38" w:rsidRPr="001B4A38" w:rsidRDefault="001B4A38" w:rsidP="00397AFE">
      <w:pPr>
        <w:spacing w:line="360" w:lineRule="auto"/>
        <w:contextualSpacing/>
        <w:jc w:val="both"/>
        <w:rPr>
          <w:rFonts w:ascii="Times New Roman" w:hAnsi="Times New Roman"/>
          <w:sz w:val="24"/>
          <w:szCs w:val="24"/>
        </w:rPr>
      </w:pPr>
    </w:p>
    <w:p w14:paraId="5171936A" w14:textId="77777777"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t>10.</w:t>
      </w:r>
      <w:r w:rsidRPr="001B4A38">
        <w:rPr>
          <w:rFonts w:ascii="Times New Roman" w:hAnsi="Times New Roman"/>
          <w:sz w:val="24"/>
          <w:szCs w:val="24"/>
        </w:rPr>
        <w:tab/>
        <w:t>That the Companies may amend the schedule set forth in Appendix D to the joint petition (Draft RFP) provided that such amended schedule is filed with the Commission as a compliance filing.</w:t>
      </w:r>
    </w:p>
    <w:p w14:paraId="0D3131E3" w14:textId="77777777" w:rsidR="001B4A38" w:rsidRPr="001B4A38" w:rsidRDefault="001B4A38" w:rsidP="00397AFE">
      <w:pPr>
        <w:spacing w:line="360" w:lineRule="auto"/>
        <w:ind w:firstLine="1440"/>
        <w:contextualSpacing/>
        <w:jc w:val="both"/>
        <w:rPr>
          <w:rFonts w:ascii="Times New Roman" w:hAnsi="Times New Roman"/>
          <w:sz w:val="24"/>
          <w:szCs w:val="24"/>
        </w:rPr>
      </w:pPr>
    </w:p>
    <w:p w14:paraId="49673EB0" w14:textId="77777777" w:rsidR="00397AFE" w:rsidRDefault="00397AFE" w:rsidP="00397AFE">
      <w:pPr>
        <w:spacing w:line="360" w:lineRule="auto"/>
        <w:ind w:firstLine="1440"/>
        <w:contextualSpacing/>
        <w:jc w:val="both"/>
        <w:rPr>
          <w:rFonts w:ascii="Times New Roman" w:hAnsi="Times New Roman"/>
          <w:sz w:val="24"/>
          <w:szCs w:val="24"/>
        </w:rPr>
      </w:pPr>
      <w:r>
        <w:rPr>
          <w:rFonts w:ascii="Times New Roman" w:hAnsi="Times New Roman"/>
          <w:sz w:val="24"/>
          <w:szCs w:val="24"/>
        </w:rPr>
        <w:br w:type="page"/>
      </w:r>
    </w:p>
    <w:p w14:paraId="335385EA" w14:textId="0390144B" w:rsidR="001B4A38" w:rsidRPr="001B4A38" w:rsidRDefault="001B4A38" w:rsidP="00397AFE">
      <w:pPr>
        <w:spacing w:line="360" w:lineRule="auto"/>
        <w:ind w:firstLine="1440"/>
        <w:contextualSpacing/>
        <w:jc w:val="both"/>
        <w:rPr>
          <w:rFonts w:ascii="Times New Roman" w:hAnsi="Times New Roman"/>
          <w:sz w:val="24"/>
          <w:szCs w:val="24"/>
        </w:rPr>
      </w:pPr>
      <w:r w:rsidRPr="001B4A38">
        <w:rPr>
          <w:rFonts w:ascii="Times New Roman" w:hAnsi="Times New Roman"/>
          <w:sz w:val="24"/>
          <w:szCs w:val="24"/>
        </w:rPr>
        <w:lastRenderedPageBreak/>
        <w:t>11.</w:t>
      </w:r>
      <w:r w:rsidRPr="001B4A38">
        <w:rPr>
          <w:rFonts w:ascii="Times New Roman" w:hAnsi="Times New Roman"/>
          <w:sz w:val="24"/>
          <w:szCs w:val="24"/>
        </w:rPr>
        <w:tab/>
        <w:t>That this matter be marked closed by the Secretary’s Bureau.</w:t>
      </w:r>
    </w:p>
    <w:p w14:paraId="18BFD810" w14:textId="77777777" w:rsidR="0091376C" w:rsidRDefault="0091376C" w:rsidP="00D76AA0">
      <w:pPr>
        <w:spacing w:line="480" w:lineRule="auto"/>
        <w:jc w:val="both"/>
        <w:rPr>
          <w:rFonts w:ascii="Times New Roman" w:hAnsi="Times New Roman"/>
          <w:sz w:val="24"/>
          <w:szCs w:val="24"/>
        </w:rPr>
      </w:pPr>
    </w:p>
    <w:p w14:paraId="32EC2B50" w14:textId="0124A684" w:rsidR="00577603" w:rsidRPr="00FA03CC" w:rsidRDefault="003C2C3B" w:rsidP="00926EEF">
      <w:pPr>
        <w:spacing w:line="360" w:lineRule="auto"/>
        <w:jc w:val="both"/>
        <w:rPr>
          <w:rFonts w:ascii="Times New Roman" w:hAnsi="Times New Roman"/>
          <w:sz w:val="24"/>
          <w:szCs w:val="24"/>
        </w:rPr>
      </w:pPr>
      <w:bookmarkStart w:id="2" w:name="_GoBack"/>
      <w:r w:rsidRPr="009F01BA">
        <w:rPr>
          <w:b/>
          <w:noProof/>
          <w:sz w:val="20"/>
          <w:szCs w:val="20"/>
        </w:rPr>
        <w:drawing>
          <wp:anchor distT="0" distB="0" distL="114300" distR="114300" simplePos="0" relativeHeight="251659264" behindDoc="1" locked="0" layoutInCell="1" allowOverlap="1" wp14:anchorId="52570177" wp14:editId="43A55F83">
            <wp:simplePos x="0" y="0"/>
            <wp:positionH relativeFrom="column">
              <wp:posOffset>2990850</wp:posOffset>
            </wp:positionH>
            <wp:positionV relativeFrom="paragraph">
              <wp:posOffset>90805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5560E456" w:rsidR="009E2694" w:rsidRPr="00FA03CC" w:rsidRDefault="009E2694" w:rsidP="00577603">
      <w:pPr>
        <w:ind w:left="5040"/>
        <w:rPr>
          <w:rFonts w:ascii="Times New Roman" w:hAnsi="Times New Roman"/>
          <w:sz w:val="24"/>
          <w:szCs w:val="24"/>
        </w:rPr>
      </w:pPr>
    </w:p>
    <w:p w14:paraId="64C55E9F" w14:textId="77777777"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0621D2F9" w14:textId="6827F414" w:rsidR="00577603" w:rsidRPr="00FA03CC" w:rsidRDefault="00577603" w:rsidP="008034C4">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8034C4">
      <w:pPr>
        <w:rPr>
          <w:rFonts w:ascii="Times New Roman" w:hAnsi="Times New Roman"/>
          <w:sz w:val="24"/>
          <w:szCs w:val="24"/>
        </w:rPr>
      </w:pPr>
    </w:p>
    <w:p w14:paraId="5F06BFC3" w14:textId="4EC86289" w:rsidR="00577603" w:rsidRPr="00FA03CC" w:rsidRDefault="00577603" w:rsidP="008034C4">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FA03CC" w:rsidRPr="00FA03CC">
        <w:rPr>
          <w:rFonts w:ascii="Times New Roman" w:hAnsi="Times New Roman"/>
          <w:sz w:val="24"/>
          <w:szCs w:val="24"/>
        </w:rPr>
        <w:t xml:space="preserve">October </w:t>
      </w:r>
      <w:r w:rsidR="00D76AA0">
        <w:rPr>
          <w:rFonts w:ascii="Times New Roman" w:hAnsi="Times New Roman"/>
          <w:sz w:val="24"/>
          <w:szCs w:val="24"/>
        </w:rPr>
        <w:t>29</w:t>
      </w:r>
      <w:r w:rsidR="00535076" w:rsidRPr="00FA03CC">
        <w:rPr>
          <w:rFonts w:ascii="Times New Roman" w:hAnsi="Times New Roman"/>
          <w:sz w:val="24"/>
          <w:szCs w:val="24"/>
        </w:rPr>
        <w:t>, 2020</w:t>
      </w:r>
    </w:p>
    <w:p w14:paraId="20F78A23" w14:textId="77777777" w:rsidR="00577603" w:rsidRPr="00FA03CC" w:rsidRDefault="00577603" w:rsidP="008034C4">
      <w:pPr>
        <w:rPr>
          <w:rFonts w:ascii="Times New Roman" w:hAnsi="Times New Roman"/>
          <w:sz w:val="24"/>
          <w:szCs w:val="24"/>
        </w:rPr>
      </w:pPr>
    </w:p>
    <w:p w14:paraId="537B2293" w14:textId="0BF5415A" w:rsidR="00B4392F" w:rsidRPr="00FA03CC" w:rsidRDefault="00577603" w:rsidP="008034C4">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3C2C3B">
        <w:rPr>
          <w:rFonts w:ascii="Times New Roman" w:hAnsi="Times New Roman"/>
          <w:sz w:val="24"/>
          <w:szCs w:val="24"/>
        </w:rPr>
        <w:t>October 29, 2020</w:t>
      </w:r>
    </w:p>
    <w:sectPr w:rsidR="00B4392F" w:rsidRPr="00FA03CC" w:rsidSect="00397AFE">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1C1E6" w14:textId="77777777" w:rsidR="00E71A92" w:rsidRDefault="00E71A92" w:rsidP="00577603">
      <w:r>
        <w:separator/>
      </w:r>
    </w:p>
  </w:endnote>
  <w:endnote w:type="continuationSeparator" w:id="0">
    <w:p w14:paraId="5E25E004" w14:textId="77777777" w:rsidR="00E71A92" w:rsidRDefault="00E71A92"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33304181"/>
      <w:docPartObj>
        <w:docPartGallery w:val="Page Numbers (Bottom of Page)"/>
        <w:docPartUnique/>
      </w:docPartObj>
    </w:sdtPr>
    <w:sdtEndPr>
      <w:rPr>
        <w:noProof/>
      </w:rPr>
    </w:sdtEndPr>
    <w:sdtContent>
      <w:p w14:paraId="309DEB2F" w14:textId="78B6481B" w:rsidR="00397AFE" w:rsidRPr="00397AFE" w:rsidRDefault="00397AFE">
        <w:pPr>
          <w:pStyle w:val="Footer"/>
          <w:jc w:val="center"/>
          <w:rPr>
            <w:rFonts w:ascii="Times New Roman" w:hAnsi="Times New Roman"/>
            <w:sz w:val="20"/>
            <w:szCs w:val="20"/>
          </w:rPr>
        </w:pPr>
        <w:r w:rsidRPr="00397AFE">
          <w:rPr>
            <w:rFonts w:ascii="Times New Roman" w:hAnsi="Times New Roman"/>
            <w:sz w:val="20"/>
            <w:szCs w:val="20"/>
          </w:rPr>
          <w:fldChar w:fldCharType="begin"/>
        </w:r>
        <w:r w:rsidRPr="00397AFE">
          <w:rPr>
            <w:rFonts w:ascii="Times New Roman" w:hAnsi="Times New Roman"/>
            <w:sz w:val="20"/>
            <w:szCs w:val="20"/>
          </w:rPr>
          <w:instrText xml:space="preserve"> PAGE   \* MERGEFORMAT </w:instrText>
        </w:r>
        <w:r w:rsidRPr="00397AFE">
          <w:rPr>
            <w:rFonts w:ascii="Times New Roman" w:hAnsi="Times New Roman"/>
            <w:sz w:val="20"/>
            <w:szCs w:val="20"/>
          </w:rPr>
          <w:fldChar w:fldCharType="separate"/>
        </w:r>
        <w:r w:rsidRPr="00397AFE">
          <w:rPr>
            <w:rFonts w:ascii="Times New Roman" w:hAnsi="Times New Roman"/>
            <w:noProof/>
            <w:sz w:val="20"/>
            <w:szCs w:val="20"/>
          </w:rPr>
          <w:t>2</w:t>
        </w:r>
        <w:r w:rsidRPr="00397AFE">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74FDD" w14:textId="28BB26F1" w:rsidR="00B006A6" w:rsidRPr="00636BFB" w:rsidRDefault="00B006A6">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1321738926"/>
      <w:docPartObj>
        <w:docPartGallery w:val="Page Numbers (Bottom of Page)"/>
        <w:docPartUnique/>
      </w:docPartObj>
    </w:sdtPr>
    <w:sdtEndPr>
      <w:rPr>
        <w:noProof/>
      </w:rPr>
    </w:sdtEndPr>
    <w:sdtContent>
      <w:p w14:paraId="7F66CA40" w14:textId="77777777" w:rsidR="00397AFE" w:rsidRPr="00636BFB" w:rsidRDefault="00397AFE">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B2556" w14:textId="77777777" w:rsidR="00E71A92" w:rsidRDefault="00E71A92" w:rsidP="00577603">
      <w:r>
        <w:separator/>
      </w:r>
    </w:p>
  </w:footnote>
  <w:footnote w:type="continuationSeparator" w:id="0">
    <w:p w14:paraId="40E36BD7" w14:textId="77777777" w:rsidR="00E71A92" w:rsidRDefault="00E71A92"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2"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1"/>
  </w:num>
  <w:num w:numId="4">
    <w:abstractNumId w:val="2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7"/>
  </w:num>
  <w:num w:numId="12">
    <w:abstractNumId w:val="7"/>
  </w:num>
  <w:num w:numId="13">
    <w:abstractNumId w:val="22"/>
  </w:num>
  <w:num w:numId="14">
    <w:abstractNumId w:val="13"/>
  </w:num>
  <w:num w:numId="15">
    <w:abstractNumId w:val="17"/>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0"/>
  </w:num>
  <w:num w:numId="29">
    <w:abstractNumId w:val="10"/>
  </w:num>
  <w:num w:numId="30">
    <w:abstractNumId w:val="16"/>
  </w:num>
  <w:num w:numId="31">
    <w:abstractNumId w:val="1"/>
  </w:num>
  <w:num w:numId="32">
    <w:abstractNumId w:val="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EA1"/>
    <w:rsid w:val="000D5F69"/>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DCF"/>
    <w:rsid w:val="001464B3"/>
    <w:rsid w:val="0014740B"/>
    <w:rsid w:val="001614E7"/>
    <w:rsid w:val="0016568A"/>
    <w:rsid w:val="00166640"/>
    <w:rsid w:val="00167B29"/>
    <w:rsid w:val="0018257D"/>
    <w:rsid w:val="001846FB"/>
    <w:rsid w:val="00193C4E"/>
    <w:rsid w:val="001A7A94"/>
    <w:rsid w:val="001B07F4"/>
    <w:rsid w:val="001B27C9"/>
    <w:rsid w:val="001B4A38"/>
    <w:rsid w:val="001B79A6"/>
    <w:rsid w:val="001C24F3"/>
    <w:rsid w:val="001C57AF"/>
    <w:rsid w:val="001C6A74"/>
    <w:rsid w:val="001D4981"/>
    <w:rsid w:val="001D4E5B"/>
    <w:rsid w:val="001D5649"/>
    <w:rsid w:val="001D654E"/>
    <w:rsid w:val="001D7592"/>
    <w:rsid w:val="001E213F"/>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97AFE"/>
    <w:rsid w:val="003A3201"/>
    <w:rsid w:val="003B260B"/>
    <w:rsid w:val="003B47A2"/>
    <w:rsid w:val="003B4B43"/>
    <w:rsid w:val="003B4E07"/>
    <w:rsid w:val="003B5917"/>
    <w:rsid w:val="003B6A43"/>
    <w:rsid w:val="003C2C3B"/>
    <w:rsid w:val="003C2E95"/>
    <w:rsid w:val="003C2FCE"/>
    <w:rsid w:val="003D6178"/>
    <w:rsid w:val="003E02CE"/>
    <w:rsid w:val="003E713C"/>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2DF"/>
    <w:rsid w:val="004776E2"/>
    <w:rsid w:val="00481C93"/>
    <w:rsid w:val="0048684D"/>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0737"/>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BE3"/>
    <w:rsid w:val="00693D35"/>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35AF"/>
    <w:rsid w:val="007C7618"/>
    <w:rsid w:val="007D5FCB"/>
    <w:rsid w:val="007D692A"/>
    <w:rsid w:val="007E3AEA"/>
    <w:rsid w:val="007E3C9C"/>
    <w:rsid w:val="007E4D0E"/>
    <w:rsid w:val="007E51C6"/>
    <w:rsid w:val="007E73A1"/>
    <w:rsid w:val="007F1A70"/>
    <w:rsid w:val="0080060F"/>
    <w:rsid w:val="0080095C"/>
    <w:rsid w:val="00800BED"/>
    <w:rsid w:val="008034C4"/>
    <w:rsid w:val="008148F1"/>
    <w:rsid w:val="008312BE"/>
    <w:rsid w:val="00840A74"/>
    <w:rsid w:val="00854781"/>
    <w:rsid w:val="0085571F"/>
    <w:rsid w:val="0085572D"/>
    <w:rsid w:val="008652F1"/>
    <w:rsid w:val="00866145"/>
    <w:rsid w:val="00866790"/>
    <w:rsid w:val="00871EEB"/>
    <w:rsid w:val="008722D0"/>
    <w:rsid w:val="008748B4"/>
    <w:rsid w:val="00876B81"/>
    <w:rsid w:val="00885CBF"/>
    <w:rsid w:val="00887780"/>
    <w:rsid w:val="00892B7B"/>
    <w:rsid w:val="00895C96"/>
    <w:rsid w:val="008A1028"/>
    <w:rsid w:val="008A4505"/>
    <w:rsid w:val="008B3300"/>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3EF0"/>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7235"/>
    <w:rsid w:val="00B006A6"/>
    <w:rsid w:val="00B05A2D"/>
    <w:rsid w:val="00B14FA4"/>
    <w:rsid w:val="00B21F40"/>
    <w:rsid w:val="00B378FF"/>
    <w:rsid w:val="00B40D01"/>
    <w:rsid w:val="00B4119A"/>
    <w:rsid w:val="00B435FF"/>
    <w:rsid w:val="00B4392F"/>
    <w:rsid w:val="00B43DA8"/>
    <w:rsid w:val="00B65524"/>
    <w:rsid w:val="00B70CE4"/>
    <w:rsid w:val="00B71000"/>
    <w:rsid w:val="00B712ED"/>
    <w:rsid w:val="00B71993"/>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76AA0"/>
    <w:rsid w:val="00D80E47"/>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4055C"/>
    <w:rsid w:val="00E42626"/>
    <w:rsid w:val="00E44E55"/>
    <w:rsid w:val="00E52E26"/>
    <w:rsid w:val="00E53903"/>
    <w:rsid w:val="00E53B8C"/>
    <w:rsid w:val="00E54321"/>
    <w:rsid w:val="00E56536"/>
    <w:rsid w:val="00E5783A"/>
    <w:rsid w:val="00E665F2"/>
    <w:rsid w:val="00E71A9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31B21-425C-403B-B982-DEB1412D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5</cp:revision>
  <cp:lastPrinted>2020-03-02T15:28:00Z</cp:lastPrinted>
  <dcterms:created xsi:type="dcterms:W3CDTF">2020-10-16T12:33:00Z</dcterms:created>
  <dcterms:modified xsi:type="dcterms:W3CDTF">2020-10-29T16:08:00Z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