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070902A" w14:textId="77777777" w:rsidR="00B4574E" w:rsidRDefault="00B4574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NOTICE </w:t>
      </w:r>
    </w:p>
    <w:p w14:paraId="2D9AD7FB" w14:textId="1F0F3E82" w:rsidR="00CF1D2B" w:rsidRPr="007A4C3A" w:rsidRDefault="00B4574E"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OF STAY OF PROCEEDINGS</w:t>
      </w:r>
    </w:p>
    <w:p w14:paraId="6C5EF089" w14:textId="77777777" w:rsidR="007A4C3A" w:rsidRPr="007A4C3A" w:rsidRDefault="007A4C3A" w:rsidP="00CF1D2B">
      <w:pPr>
        <w:tabs>
          <w:tab w:val="center" w:pos="4680"/>
        </w:tabs>
        <w:suppressAutoHyphens/>
        <w:jc w:val="center"/>
        <w:rPr>
          <w:rFonts w:ascii="Times New Roman" w:hAnsi="Times New Roman" w:cs="Times New Roman"/>
          <w:b/>
          <w:bCs/>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5679672" w14:textId="0772B641" w:rsidR="00CA050D" w:rsidRPr="00F35D5F" w:rsidRDefault="00B4574E" w:rsidP="00B4574E">
      <w:pPr>
        <w:spacing w:line="360" w:lineRule="auto"/>
        <w:rPr>
          <w:rFonts w:ascii="Times New Roman" w:hAnsi="Times New Roman" w:cs="Times New Roman"/>
          <w:b/>
          <w:bCs/>
          <w:sz w:val="20"/>
          <w:szCs w:val="20"/>
        </w:rPr>
      </w:pPr>
      <w:r>
        <w:rPr>
          <w:rFonts w:ascii="Times New Roman" w:hAnsi="Times New Roman" w:cs="Times New Roman"/>
        </w:rPr>
        <w:tab/>
      </w:r>
      <w:r w:rsidR="005A067C" w:rsidRPr="00F35D5F">
        <w:rPr>
          <w:rFonts w:ascii="Times New Roman" w:hAnsi="Times New Roman" w:cs="Times New Roman"/>
          <w:b/>
          <w:bCs/>
          <w:sz w:val="20"/>
          <w:szCs w:val="20"/>
        </w:rPr>
        <w:t>By Order entere</w:t>
      </w:r>
      <w:r w:rsidR="00512BDF" w:rsidRPr="00F35D5F">
        <w:rPr>
          <w:rFonts w:ascii="Times New Roman" w:hAnsi="Times New Roman" w:cs="Times New Roman"/>
          <w:b/>
          <w:bCs/>
          <w:sz w:val="20"/>
          <w:szCs w:val="20"/>
        </w:rPr>
        <w:t>d November 4</w:t>
      </w:r>
      <w:r w:rsidR="005A067C" w:rsidRPr="00F35D5F">
        <w:rPr>
          <w:rFonts w:ascii="Times New Roman" w:hAnsi="Times New Roman" w:cs="Times New Roman"/>
          <w:b/>
          <w:bCs/>
          <w:sz w:val="20"/>
          <w:szCs w:val="20"/>
        </w:rPr>
        <w:t xml:space="preserve">, 2020, the Pennsylvania Public Utility Commission </w:t>
      </w:r>
      <w:r w:rsidR="005B0D6D" w:rsidRPr="00F35D5F">
        <w:rPr>
          <w:rFonts w:ascii="Times New Roman" w:hAnsi="Times New Roman" w:cs="Times New Roman"/>
          <w:b/>
          <w:bCs/>
          <w:sz w:val="20"/>
          <w:szCs w:val="20"/>
        </w:rPr>
        <w:t xml:space="preserve">(Commission) </w:t>
      </w:r>
      <w:r w:rsidR="005A067C" w:rsidRPr="00F35D5F">
        <w:rPr>
          <w:rFonts w:ascii="Times New Roman" w:hAnsi="Times New Roman" w:cs="Times New Roman"/>
          <w:b/>
          <w:bCs/>
          <w:sz w:val="20"/>
          <w:szCs w:val="20"/>
        </w:rPr>
        <w:t xml:space="preserve">directed that the </w:t>
      </w:r>
      <w:r w:rsidR="0020781C" w:rsidRPr="00F35D5F">
        <w:rPr>
          <w:rFonts w:ascii="Times New Roman" w:hAnsi="Times New Roman" w:cs="Times New Roman"/>
          <w:b/>
          <w:bCs/>
          <w:sz w:val="20"/>
          <w:szCs w:val="20"/>
        </w:rPr>
        <w:t>Secretary</w:t>
      </w:r>
      <w:r w:rsidR="00CA050D" w:rsidRPr="00F35D5F">
        <w:rPr>
          <w:rFonts w:ascii="Times New Roman" w:hAnsi="Times New Roman" w:cs="Times New Roman"/>
          <w:b/>
          <w:bCs/>
          <w:sz w:val="20"/>
          <w:szCs w:val="20"/>
        </w:rPr>
        <w:t xml:space="preserve"> </w:t>
      </w:r>
      <w:r w:rsidR="005A067C" w:rsidRPr="00F35D5F">
        <w:rPr>
          <w:rFonts w:ascii="Times New Roman" w:hAnsi="Times New Roman" w:cs="Times New Roman"/>
          <w:b/>
          <w:bCs/>
          <w:sz w:val="20"/>
          <w:szCs w:val="20"/>
        </w:rPr>
        <w:t xml:space="preserve">identify each case pending before </w:t>
      </w:r>
      <w:r w:rsidR="0020781C" w:rsidRPr="00F35D5F">
        <w:rPr>
          <w:rFonts w:ascii="Times New Roman" w:hAnsi="Times New Roman" w:cs="Times New Roman"/>
          <w:b/>
          <w:bCs/>
          <w:sz w:val="20"/>
          <w:szCs w:val="20"/>
        </w:rPr>
        <w:t xml:space="preserve">the Commission </w:t>
      </w:r>
      <w:r w:rsidR="005A067C" w:rsidRPr="00F35D5F">
        <w:rPr>
          <w:rFonts w:ascii="Times New Roman" w:hAnsi="Times New Roman" w:cs="Times New Roman"/>
          <w:b/>
          <w:bCs/>
          <w:sz w:val="20"/>
          <w:szCs w:val="20"/>
        </w:rPr>
        <w:t xml:space="preserve">that is affected by its Order in which it issued a general stay of certain formal complaint proceedings presently before an Administrative Law Judge </w:t>
      </w:r>
      <w:r w:rsidR="00CA050D" w:rsidRPr="00F35D5F">
        <w:rPr>
          <w:rFonts w:ascii="Times New Roman" w:hAnsi="Times New Roman" w:cs="Times New Roman"/>
          <w:b/>
          <w:bCs/>
          <w:sz w:val="20"/>
          <w:szCs w:val="20"/>
        </w:rPr>
        <w:t xml:space="preserve">(ALJ) </w:t>
      </w:r>
      <w:r w:rsidR="0020781C" w:rsidRPr="00F35D5F">
        <w:rPr>
          <w:rFonts w:ascii="Times New Roman" w:hAnsi="Times New Roman" w:cs="Times New Roman"/>
          <w:b/>
          <w:bCs/>
          <w:sz w:val="20"/>
          <w:szCs w:val="20"/>
        </w:rPr>
        <w:t xml:space="preserve">or before the Office of Special Assistants </w:t>
      </w:r>
      <w:r w:rsidR="005A067C" w:rsidRPr="00F35D5F">
        <w:rPr>
          <w:rFonts w:ascii="Times New Roman" w:hAnsi="Times New Roman" w:cs="Times New Roman"/>
          <w:b/>
          <w:bCs/>
          <w:sz w:val="20"/>
          <w:szCs w:val="20"/>
        </w:rPr>
        <w:t>that involve challenges to smart meter technology deployment where no initial decision has yet been issued by an ALJ</w:t>
      </w:r>
      <w:r w:rsidR="0020781C" w:rsidRPr="00F35D5F">
        <w:rPr>
          <w:rFonts w:ascii="Times New Roman" w:hAnsi="Times New Roman" w:cs="Times New Roman"/>
          <w:b/>
          <w:bCs/>
          <w:sz w:val="20"/>
          <w:szCs w:val="20"/>
        </w:rPr>
        <w:t xml:space="preserve"> or where no final order has yet been considered by the Commission</w:t>
      </w:r>
      <w:r w:rsidR="005A067C" w:rsidRPr="00F35D5F">
        <w:rPr>
          <w:rFonts w:ascii="Times New Roman" w:hAnsi="Times New Roman" w:cs="Times New Roman"/>
          <w:b/>
          <w:bCs/>
          <w:sz w:val="20"/>
          <w:szCs w:val="20"/>
        </w:rPr>
        <w:t xml:space="preserve">.   </w:t>
      </w:r>
      <w:r w:rsidR="005A067C" w:rsidRPr="00F35D5F">
        <w:rPr>
          <w:rFonts w:ascii="Times New Roman" w:hAnsi="Times New Roman" w:cs="Times New Roman"/>
          <w:b/>
          <w:bCs/>
          <w:i/>
          <w:iCs/>
          <w:sz w:val="20"/>
          <w:szCs w:val="20"/>
        </w:rPr>
        <w:t>See,</w:t>
      </w:r>
      <w:r w:rsidR="005A067C" w:rsidRPr="00F35D5F">
        <w:rPr>
          <w:rFonts w:ascii="Times New Roman" w:hAnsi="Times New Roman" w:cs="Times New Roman"/>
          <w:b/>
          <w:bCs/>
          <w:sz w:val="20"/>
          <w:szCs w:val="20"/>
        </w:rPr>
        <w:t xml:space="preserve"> </w:t>
      </w:r>
      <w:r w:rsidRPr="00F35D5F">
        <w:rPr>
          <w:rFonts w:ascii="Times New Roman" w:hAnsi="Times New Roman" w:cs="Times New Roman"/>
          <w:b/>
          <w:bCs/>
          <w:i/>
          <w:iCs/>
          <w:sz w:val="20"/>
          <w:szCs w:val="20"/>
        </w:rPr>
        <w:t>Smart Meter</w:t>
      </w:r>
      <w:r w:rsidRPr="00F35D5F">
        <w:rPr>
          <w:rFonts w:ascii="Times New Roman" w:hAnsi="Times New Roman" w:cs="Times New Roman"/>
          <w:b/>
          <w:bCs/>
          <w:sz w:val="20"/>
          <w:szCs w:val="20"/>
        </w:rPr>
        <w:t xml:space="preserve"> </w:t>
      </w:r>
      <w:r w:rsidRPr="00F35D5F">
        <w:rPr>
          <w:rFonts w:ascii="Times New Roman" w:hAnsi="Times New Roman" w:cs="Times New Roman"/>
          <w:b/>
          <w:bCs/>
          <w:i/>
          <w:iCs/>
          <w:sz w:val="20"/>
          <w:szCs w:val="20"/>
        </w:rPr>
        <w:t>Procurement and Installation</w:t>
      </w:r>
      <w:r w:rsidRPr="00F35D5F">
        <w:rPr>
          <w:rFonts w:ascii="Times New Roman" w:hAnsi="Times New Roman" w:cs="Times New Roman"/>
          <w:b/>
          <w:bCs/>
          <w:sz w:val="20"/>
          <w:szCs w:val="20"/>
        </w:rPr>
        <w:t xml:space="preserve">, Docket No. M-2009-2092655 (Order entered </w:t>
      </w:r>
      <w:r w:rsidR="00512BDF" w:rsidRPr="00F35D5F">
        <w:rPr>
          <w:rFonts w:ascii="Times New Roman" w:hAnsi="Times New Roman" w:cs="Times New Roman"/>
          <w:b/>
          <w:bCs/>
          <w:sz w:val="20"/>
          <w:szCs w:val="20"/>
        </w:rPr>
        <w:t>November 4</w:t>
      </w:r>
      <w:r w:rsidRPr="00F35D5F">
        <w:rPr>
          <w:rFonts w:ascii="Times New Roman" w:hAnsi="Times New Roman" w:cs="Times New Roman"/>
          <w:b/>
          <w:bCs/>
          <w:sz w:val="20"/>
          <w:szCs w:val="20"/>
        </w:rPr>
        <w:t>, 2020)</w:t>
      </w:r>
      <w:r w:rsidR="00CA050D" w:rsidRPr="00F35D5F">
        <w:rPr>
          <w:rFonts w:ascii="Times New Roman" w:hAnsi="Times New Roman" w:cs="Times New Roman"/>
          <w:b/>
          <w:bCs/>
          <w:sz w:val="20"/>
          <w:szCs w:val="20"/>
        </w:rPr>
        <w:t xml:space="preserve"> for the full Order</w:t>
      </w:r>
      <w:r w:rsidR="00512BDF" w:rsidRPr="00F35D5F">
        <w:rPr>
          <w:rFonts w:ascii="Times New Roman" w:hAnsi="Times New Roman" w:cs="Times New Roman"/>
          <w:b/>
          <w:bCs/>
          <w:sz w:val="20"/>
          <w:szCs w:val="20"/>
        </w:rPr>
        <w:t>, which is attached</w:t>
      </w:r>
      <w:r w:rsidR="00CA050D" w:rsidRPr="00F35D5F">
        <w:rPr>
          <w:rFonts w:ascii="Times New Roman" w:hAnsi="Times New Roman" w:cs="Times New Roman"/>
          <w:b/>
          <w:bCs/>
          <w:sz w:val="20"/>
          <w:szCs w:val="20"/>
        </w:rPr>
        <w:t>.</w:t>
      </w:r>
    </w:p>
    <w:p w14:paraId="775B5140" w14:textId="77777777" w:rsidR="00936A20" w:rsidRDefault="00936A20" w:rsidP="00B4574E">
      <w:pPr>
        <w:spacing w:line="360" w:lineRule="auto"/>
        <w:rPr>
          <w:rFonts w:ascii="Times New Roman" w:hAnsi="Times New Roman" w:cs="Times New Roman"/>
          <w:b/>
          <w:bCs/>
          <w:sz w:val="20"/>
          <w:szCs w:val="20"/>
        </w:rPr>
      </w:pPr>
    </w:p>
    <w:p w14:paraId="1F84DB3B" w14:textId="2CDB626A" w:rsidR="00A9204E" w:rsidRPr="00F35D5F" w:rsidRDefault="00CA050D" w:rsidP="00B4574E">
      <w:pPr>
        <w:spacing w:line="360" w:lineRule="auto"/>
        <w:rPr>
          <w:rFonts w:ascii="Times New Roman" w:hAnsi="Times New Roman" w:cs="Times New Roman"/>
          <w:b/>
          <w:bCs/>
          <w:sz w:val="20"/>
          <w:szCs w:val="20"/>
        </w:rPr>
      </w:pPr>
      <w:r w:rsidRPr="00F35D5F">
        <w:rPr>
          <w:rFonts w:ascii="Times New Roman" w:hAnsi="Times New Roman" w:cs="Times New Roman"/>
          <w:b/>
          <w:bCs/>
          <w:sz w:val="20"/>
          <w:szCs w:val="20"/>
        </w:rPr>
        <w:tab/>
      </w:r>
      <w:bookmarkStart w:id="0" w:name="_Hlk54953427"/>
      <w:r w:rsidRPr="00F35D5F">
        <w:rPr>
          <w:rFonts w:ascii="Times New Roman" w:hAnsi="Times New Roman" w:cs="Times New Roman"/>
          <w:b/>
          <w:bCs/>
          <w:sz w:val="20"/>
          <w:szCs w:val="20"/>
        </w:rPr>
        <w:t xml:space="preserve">This NOTICE </w:t>
      </w:r>
      <w:r w:rsidR="00826010" w:rsidRPr="00F35D5F">
        <w:rPr>
          <w:rFonts w:ascii="Times New Roman" w:hAnsi="Times New Roman" w:cs="Times New Roman"/>
          <w:b/>
          <w:bCs/>
          <w:sz w:val="20"/>
          <w:szCs w:val="20"/>
        </w:rPr>
        <w:t xml:space="preserve">applies to the following formal complaint case pending before the Commission: </w:t>
      </w:r>
    </w:p>
    <w:bookmarkEnd w:id="0"/>
    <w:p w14:paraId="39045B44" w14:textId="77777777" w:rsidR="006E3D4F" w:rsidRPr="00F35D5F" w:rsidRDefault="006E3D4F" w:rsidP="006E3D4F">
      <w:pPr>
        <w:pStyle w:val="NoSpacing"/>
        <w:rPr>
          <w:b/>
          <w:bCs/>
          <w:sz w:val="20"/>
          <w:szCs w:val="20"/>
          <w:u w:val="single"/>
        </w:rPr>
      </w:pPr>
      <w:r w:rsidRPr="00F35D5F">
        <w:rPr>
          <w:b/>
          <w:bCs/>
          <w:sz w:val="20"/>
          <w:szCs w:val="20"/>
          <w:u w:val="single"/>
        </w:rPr>
        <w:t>Docket Number</w:t>
      </w:r>
      <w:r w:rsidRPr="00F35D5F">
        <w:rPr>
          <w:b/>
          <w:bCs/>
          <w:sz w:val="20"/>
          <w:szCs w:val="20"/>
          <w:u w:val="single"/>
        </w:rPr>
        <w:tab/>
        <w:t>Parties of Record</w:t>
      </w:r>
    </w:p>
    <w:p w14:paraId="772E2228" w14:textId="77777777" w:rsidR="006E3D4F" w:rsidRPr="00F35D5F" w:rsidRDefault="006E3D4F" w:rsidP="006E3D4F">
      <w:pPr>
        <w:pStyle w:val="NoSpacing"/>
        <w:rPr>
          <w:b/>
          <w:bCs/>
          <w:sz w:val="20"/>
          <w:szCs w:val="20"/>
        </w:rPr>
      </w:pPr>
    </w:p>
    <w:p w14:paraId="08DAE9E0" w14:textId="31C9DE6D" w:rsidR="001C7B4B" w:rsidRDefault="001C7B4B" w:rsidP="00105C21">
      <w:pPr>
        <w:rPr>
          <w:rFonts w:ascii="Calibri" w:hAnsi="Calibri" w:cs="Calibri"/>
          <w:b/>
          <w:bCs/>
          <w:sz w:val="20"/>
          <w:szCs w:val="20"/>
        </w:rPr>
      </w:pPr>
      <w:r>
        <w:rPr>
          <w:rFonts w:ascii="Calibri" w:hAnsi="Calibri" w:cs="Calibri"/>
          <w:b/>
          <w:bCs/>
          <w:sz w:val="20"/>
          <w:szCs w:val="20"/>
        </w:rPr>
        <w:t>F-2019-3008809</w:t>
      </w:r>
      <w:r>
        <w:rPr>
          <w:rFonts w:ascii="Calibri" w:hAnsi="Calibri" w:cs="Calibri"/>
          <w:b/>
          <w:bCs/>
          <w:sz w:val="20"/>
          <w:szCs w:val="20"/>
        </w:rPr>
        <w:tab/>
        <w:t>John and Janet Holder v. PPL</w:t>
      </w:r>
    </w:p>
    <w:p w14:paraId="2866B78B" w14:textId="76FF7B24" w:rsidR="001C7B4B" w:rsidRDefault="001C7B4B" w:rsidP="00105C21">
      <w:pPr>
        <w:rPr>
          <w:rFonts w:ascii="Calibri" w:hAnsi="Calibri" w:cs="Calibri"/>
          <w:b/>
          <w:bCs/>
          <w:sz w:val="20"/>
          <w:szCs w:val="20"/>
        </w:rPr>
      </w:pPr>
      <w:r>
        <w:rPr>
          <w:rFonts w:ascii="Calibri" w:hAnsi="Calibri" w:cs="Calibri"/>
          <w:b/>
          <w:bCs/>
          <w:sz w:val="20"/>
          <w:szCs w:val="20"/>
        </w:rPr>
        <w:t>F-2019-3008832</w:t>
      </w:r>
      <w:r>
        <w:rPr>
          <w:rFonts w:ascii="Calibri" w:hAnsi="Calibri" w:cs="Calibri"/>
          <w:b/>
          <w:bCs/>
          <w:sz w:val="20"/>
          <w:szCs w:val="20"/>
        </w:rPr>
        <w:tab/>
        <w:t xml:space="preserve">June </w:t>
      </w:r>
      <w:proofErr w:type="spellStart"/>
      <w:r>
        <w:rPr>
          <w:rFonts w:ascii="Calibri" w:hAnsi="Calibri" w:cs="Calibri"/>
          <w:b/>
          <w:bCs/>
          <w:sz w:val="20"/>
          <w:szCs w:val="20"/>
        </w:rPr>
        <w:t>Maculesky</w:t>
      </w:r>
      <w:proofErr w:type="spellEnd"/>
      <w:r>
        <w:rPr>
          <w:rFonts w:ascii="Calibri" w:hAnsi="Calibri" w:cs="Calibri"/>
          <w:b/>
          <w:bCs/>
          <w:sz w:val="20"/>
          <w:szCs w:val="20"/>
        </w:rPr>
        <w:t xml:space="preserve"> v. PPL</w:t>
      </w:r>
    </w:p>
    <w:p w14:paraId="3AC807B4" w14:textId="77777777" w:rsidR="00602226" w:rsidRDefault="00CA050D" w:rsidP="00B4574E">
      <w:pPr>
        <w:spacing w:line="360" w:lineRule="auto"/>
        <w:rPr>
          <w:rFonts w:ascii="Times New Roman" w:hAnsi="Times New Roman" w:cs="Times New Roman"/>
          <w:b/>
          <w:bCs/>
          <w:sz w:val="20"/>
          <w:szCs w:val="20"/>
        </w:rPr>
      </w:pPr>
      <w:r w:rsidRPr="00F35D5F">
        <w:rPr>
          <w:rFonts w:ascii="Times New Roman" w:hAnsi="Times New Roman" w:cs="Times New Roman"/>
          <w:b/>
          <w:bCs/>
          <w:sz w:val="20"/>
          <w:szCs w:val="20"/>
        </w:rPr>
        <w:tab/>
      </w:r>
    </w:p>
    <w:p w14:paraId="0B1988F4" w14:textId="05411C3F" w:rsidR="00CA050D" w:rsidRPr="00F35D5F" w:rsidRDefault="00602226" w:rsidP="00B4574E">
      <w:pPr>
        <w:spacing w:line="360" w:lineRule="auto"/>
        <w:rPr>
          <w:rFonts w:ascii="Times New Roman" w:hAnsi="Times New Roman" w:cs="Times New Roman"/>
          <w:b/>
          <w:bCs/>
          <w:sz w:val="20"/>
          <w:szCs w:val="20"/>
        </w:rPr>
      </w:pPr>
      <w:r>
        <w:rPr>
          <w:rFonts w:ascii="Times New Roman" w:hAnsi="Times New Roman" w:cs="Times New Roman"/>
          <w:b/>
          <w:bCs/>
          <w:sz w:val="20"/>
          <w:szCs w:val="20"/>
        </w:rPr>
        <w:tab/>
      </w:r>
      <w:r w:rsidR="00CA050D" w:rsidRPr="00F35D5F">
        <w:rPr>
          <w:rFonts w:ascii="Times New Roman" w:hAnsi="Times New Roman" w:cs="Times New Roman"/>
          <w:b/>
          <w:bCs/>
          <w:sz w:val="20"/>
          <w:szCs w:val="20"/>
        </w:rPr>
        <w:t xml:space="preserve">THEREFORE, pursuant to the Commission’s </w:t>
      </w:r>
      <w:r w:rsidR="00512BDF" w:rsidRPr="00F35D5F">
        <w:rPr>
          <w:rFonts w:ascii="Times New Roman" w:hAnsi="Times New Roman" w:cs="Times New Roman"/>
          <w:b/>
          <w:bCs/>
          <w:i/>
          <w:iCs/>
          <w:sz w:val="20"/>
          <w:szCs w:val="20"/>
        </w:rPr>
        <w:t>November 4</w:t>
      </w:r>
      <w:r w:rsidR="00CA050D" w:rsidRPr="00F35D5F">
        <w:rPr>
          <w:rFonts w:ascii="Times New Roman" w:hAnsi="Times New Roman" w:cs="Times New Roman"/>
          <w:b/>
          <w:bCs/>
          <w:i/>
          <w:iCs/>
          <w:sz w:val="20"/>
          <w:szCs w:val="20"/>
        </w:rPr>
        <w:t xml:space="preserve">, 2020 Order, </w:t>
      </w:r>
      <w:r w:rsidR="00CA050D" w:rsidRPr="00F35D5F">
        <w:rPr>
          <w:rFonts w:ascii="Times New Roman" w:hAnsi="Times New Roman" w:cs="Times New Roman"/>
          <w:b/>
          <w:bCs/>
          <w:sz w:val="20"/>
          <w:szCs w:val="20"/>
        </w:rPr>
        <w:t xml:space="preserve">the proceedings </w:t>
      </w:r>
      <w:r w:rsidR="00826010" w:rsidRPr="00F35D5F">
        <w:rPr>
          <w:rFonts w:ascii="Times New Roman" w:hAnsi="Times New Roman" w:cs="Times New Roman"/>
          <w:b/>
          <w:bCs/>
          <w:sz w:val="20"/>
          <w:szCs w:val="20"/>
        </w:rPr>
        <w:t>in th</w:t>
      </w:r>
      <w:r w:rsidR="00936A20">
        <w:rPr>
          <w:rFonts w:ascii="Times New Roman" w:hAnsi="Times New Roman" w:cs="Times New Roman"/>
          <w:b/>
          <w:bCs/>
          <w:sz w:val="20"/>
          <w:szCs w:val="20"/>
        </w:rPr>
        <w:t xml:space="preserve">is </w:t>
      </w:r>
      <w:r w:rsidR="00826010" w:rsidRPr="00F35D5F">
        <w:rPr>
          <w:rFonts w:ascii="Times New Roman" w:hAnsi="Times New Roman" w:cs="Times New Roman"/>
          <w:b/>
          <w:bCs/>
          <w:sz w:val="20"/>
          <w:szCs w:val="20"/>
        </w:rPr>
        <w:t>complaint case</w:t>
      </w:r>
      <w:r w:rsidR="00CA050D" w:rsidRPr="00F35D5F">
        <w:rPr>
          <w:rFonts w:ascii="Times New Roman" w:hAnsi="Times New Roman" w:cs="Times New Roman"/>
          <w:b/>
          <w:bCs/>
          <w:sz w:val="20"/>
          <w:szCs w:val="20"/>
        </w:rPr>
        <w:t xml:space="preserve"> </w:t>
      </w:r>
      <w:r w:rsidR="00936A20">
        <w:rPr>
          <w:rFonts w:ascii="Times New Roman" w:hAnsi="Times New Roman" w:cs="Times New Roman"/>
          <w:b/>
          <w:bCs/>
          <w:sz w:val="20"/>
          <w:szCs w:val="20"/>
        </w:rPr>
        <w:t>are</w:t>
      </w:r>
      <w:bookmarkStart w:id="1" w:name="_GoBack"/>
      <w:bookmarkEnd w:id="1"/>
      <w:r w:rsidR="00CA050D" w:rsidRPr="00F35D5F">
        <w:rPr>
          <w:rFonts w:ascii="Times New Roman" w:hAnsi="Times New Roman" w:cs="Times New Roman"/>
          <w:b/>
          <w:bCs/>
          <w:sz w:val="20"/>
          <w:szCs w:val="20"/>
        </w:rPr>
        <w:t xml:space="preserve"> hereby STAYED until further direction by the Commission. </w:t>
      </w:r>
    </w:p>
    <w:p w14:paraId="587AA05E" w14:textId="1A285EE1" w:rsidR="000C1A32" w:rsidRPr="00F35D5F" w:rsidRDefault="000C1A32" w:rsidP="00B4574E">
      <w:pPr>
        <w:pStyle w:val="ParaTab1"/>
        <w:spacing w:line="360" w:lineRule="auto"/>
        <w:ind w:firstLine="0"/>
        <w:rPr>
          <w:rFonts w:ascii="Times New Roman" w:hAnsi="Times New Roman" w:cs="Times New Roman"/>
          <w:b/>
          <w:bCs/>
          <w:spacing w:val="-3"/>
          <w:sz w:val="20"/>
          <w:szCs w:val="20"/>
        </w:rPr>
      </w:pPr>
    </w:p>
    <w:p w14:paraId="19CCAD8A" w14:textId="2C215F28" w:rsidR="007B23E1" w:rsidRPr="00F35D5F" w:rsidRDefault="007B23E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00105C21" w:rsidRPr="00F35D5F">
        <w:rPr>
          <w:rFonts w:ascii="Times New Roman" w:hAnsi="Times New Roman" w:cs="Times New Roman"/>
          <w:b/>
          <w:bCs/>
          <w:spacing w:val="-3"/>
          <w:sz w:val="20"/>
          <w:szCs w:val="20"/>
        </w:rPr>
        <w:t>In addition</w:t>
      </w:r>
      <w:r w:rsidRPr="00F35D5F">
        <w:rPr>
          <w:rFonts w:ascii="Times New Roman" w:hAnsi="Times New Roman" w:cs="Times New Roman"/>
          <w:b/>
          <w:bCs/>
          <w:spacing w:val="-3"/>
          <w:sz w:val="20"/>
          <w:szCs w:val="20"/>
        </w:rPr>
        <w:t xml:space="preserve">, </w:t>
      </w:r>
      <w:r w:rsidR="00C44F18" w:rsidRPr="00F35D5F">
        <w:rPr>
          <w:rFonts w:ascii="Times New Roman" w:hAnsi="Times New Roman" w:cs="Times New Roman"/>
          <w:b/>
          <w:bCs/>
          <w:spacing w:val="-3"/>
          <w:sz w:val="20"/>
          <w:szCs w:val="20"/>
        </w:rPr>
        <w:t xml:space="preserve">pursuant to the Commission’s </w:t>
      </w:r>
      <w:r w:rsidR="00512BDF" w:rsidRPr="00F35D5F">
        <w:rPr>
          <w:rFonts w:ascii="Times New Roman" w:hAnsi="Times New Roman" w:cs="Times New Roman"/>
          <w:b/>
          <w:bCs/>
          <w:i/>
          <w:iCs/>
          <w:spacing w:val="-3"/>
          <w:sz w:val="20"/>
          <w:szCs w:val="20"/>
        </w:rPr>
        <w:t>November 4</w:t>
      </w:r>
      <w:r w:rsidR="00C44F18" w:rsidRPr="00F35D5F">
        <w:rPr>
          <w:rFonts w:ascii="Times New Roman" w:hAnsi="Times New Roman" w:cs="Times New Roman"/>
          <w:b/>
          <w:bCs/>
          <w:i/>
          <w:iCs/>
          <w:spacing w:val="-3"/>
          <w:sz w:val="20"/>
          <w:szCs w:val="20"/>
        </w:rPr>
        <w:t>, 2020 Order</w:t>
      </w:r>
      <w:r w:rsidR="00C44F18" w:rsidRPr="00F35D5F">
        <w:rPr>
          <w:rFonts w:ascii="Times New Roman" w:hAnsi="Times New Roman" w:cs="Times New Roman"/>
          <w:b/>
          <w:bCs/>
          <w:spacing w:val="-3"/>
          <w:sz w:val="20"/>
          <w:szCs w:val="20"/>
        </w:rPr>
        <w:t>, the “electric distribution companies may not terminate electric service to any customer who has a pending proceeding before the Commission challenging an electric distribution company’s deployment of smart meter technology as being in violation of Section 1501 of the Public utility Code, 66 Pa. C.S. §1501, due to the customer’s refusal to allow the utility access to their meter for purposes of replacement pending a final Commission Order on that proceeding.”</w:t>
      </w:r>
    </w:p>
    <w:p w14:paraId="174C5A79" w14:textId="67379EBC" w:rsidR="00F35D5F" w:rsidRPr="00F35D5F" w:rsidRDefault="00F35D5F" w:rsidP="00B4574E">
      <w:pPr>
        <w:pStyle w:val="ParaTab1"/>
        <w:spacing w:line="360" w:lineRule="auto"/>
        <w:ind w:firstLine="0"/>
        <w:rPr>
          <w:rFonts w:ascii="Times New Roman" w:hAnsi="Times New Roman" w:cs="Times New Roman"/>
          <w:b/>
          <w:bCs/>
          <w:spacing w:val="-3"/>
          <w:sz w:val="20"/>
          <w:szCs w:val="20"/>
        </w:rPr>
      </w:pPr>
    </w:p>
    <w:p w14:paraId="5BD176C6" w14:textId="2BD5D626" w:rsidR="00F35D5F" w:rsidRPr="00F35D5F" w:rsidRDefault="00F35D5F"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t xml:space="preserve">All parties are reminded that when filing submissions with the Secretary, they are required to open and use an efiling account through the Commission’s website and accept eservice during the pandemic emergency.  </w:t>
      </w:r>
      <w:r w:rsidR="00CC334F">
        <w:rPr>
          <w:rFonts w:ascii="Times New Roman" w:hAnsi="Times New Roman" w:cs="Times New Roman"/>
          <w:b/>
          <w:bCs/>
          <w:spacing w:val="-3"/>
          <w:sz w:val="20"/>
          <w:szCs w:val="20"/>
        </w:rPr>
        <w:t>In the alternative, parties are required to submit filings by overnight delivery and retain proof of tracking information.</w:t>
      </w:r>
    </w:p>
    <w:p w14:paraId="382FCDEA" w14:textId="273795B4" w:rsidR="00105C21" w:rsidRPr="00F35D5F" w:rsidRDefault="00A25850" w:rsidP="00B4574E">
      <w:pPr>
        <w:pStyle w:val="ParaTab1"/>
        <w:spacing w:line="360" w:lineRule="auto"/>
        <w:ind w:firstLine="0"/>
        <w:rPr>
          <w:rFonts w:ascii="Times New Roman" w:hAnsi="Times New Roman" w:cs="Times New Roman"/>
          <w:b/>
          <w:bCs/>
          <w:spacing w:val="-3"/>
          <w:sz w:val="20"/>
          <w:szCs w:val="20"/>
        </w:rPr>
      </w:pPr>
      <w:r w:rsidRPr="009F01BA">
        <w:rPr>
          <w:b/>
          <w:noProof/>
          <w:sz w:val="20"/>
          <w:szCs w:val="20"/>
        </w:rPr>
        <w:drawing>
          <wp:anchor distT="0" distB="0" distL="114300" distR="114300" simplePos="0" relativeHeight="251659264" behindDoc="1" locked="0" layoutInCell="1" allowOverlap="1" wp14:anchorId="08D4C56B" wp14:editId="6B491C66">
            <wp:simplePos x="0" y="0"/>
            <wp:positionH relativeFrom="column">
              <wp:posOffset>2495550</wp:posOffset>
            </wp:positionH>
            <wp:positionV relativeFrom="paragraph">
              <wp:posOffset>218440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4305DB0F" w14:textId="615D127B" w:rsidR="00105C21" w:rsidRPr="00F35D5F" w:rsidRDefault="00105C2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t>Issued November 4, 2020</w:t>
      </w:r>
    </w:p>
    <w:p w14:paraId="5C7873F1" w14:textId="5A0FB24A" w:rsidR="00105C21" w:rsidRPr="00F35D5F" w:rsidRDefault="00105C21" w:rsidP="00B4574E">
      <w:pPr>
        <w:pStyle w:val="ParaTab1"/>
        <w:spacing w:line="360" w:lineRule="auto"/>
        <w:ind w:firstLine="0"/>
        <w:rPr>
          <w:rFonts w:ascii="Times New Roman" w:hAnsi="Times New Roman" w:cs="Times New Roman"/>
          <w:b/>
          <w:bCs/>
          <w:spacing w:val="-3"/>
          <w:sz w:val="20"/>
          <w:szCs w:val="20"/>
        </w:rPr>
      </w:pPr>
    </w:p>
    <w:p w14:paraId="167E8331" w14:textId="77777777" w:rsidR="00105C21" w:rsidRPr="00F35D5F" w:rsidRDefault="00105C21" w:rsidP="00B4574E">
      <w:pPr>
        <w:pStyle w:val="ParaTab1"/>
        <w:spacing w:line="360" w:lineRule="auto"/>
        <w:ind w:firstLine="0"/>
        <w:rPr>
          <w:rFonts w:ascii="Times New Roman" w:hAnsi="Times New Roman" w:cs="Times New Roman"/>
          <w:b/>
          <w:bCs/>
          <w:spacing w:val="-3"/>
          <w:sz w:val="20"/>
          <w:szCs w:val="20"/>
        </w:rPr>
      </w:pPr>
    </w:p>
    <w:p w14:paraId="5CC40A9B" w14:textId="71608B32" w:rsidR="00105C21" w:rsidRPr="00F35D5F" w:rsidRDefault="00105C21" w:rsidP="00B4574E">
      <w:pPr>
        <w:pStyle w:val="ParaTab1"/>
        <w:spacing w:line="360" w:lineRule="auto"/>
        <w:ind w:firstLine="0"/>
        <w:rPr>
          <w:rFonts w:ascii="Times New Roman" w:hAnsi="Times New Roman" w:cs="Times New Roman"/>
          <w:b/>
          <w:bCs/>
          <w:spacing w:val="-3"/>
          <w:sz w:val="20"/>
          <w:szCs w:val="20"/>
        </w:rPr>
      </w:pP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r>
      <w:r w:rsidRPr="00F35D5F">
        <w:rPr>
          <w:rFonts w:ascii="Times New Roman" w:hAnsi="Times New Roman" w:cs="Times New Roman"/>
          <w:b/>
          <w:bCs/>
          <w:spacing w:val="-3"/>
          <w:sz w:val="20"/>
          <w:szCs w:val="20"/>
        </w:rPr>
        <w:tab/>
        <w:t>Rosemary Chiavetta, Secretary</w:t>
      </w:r>
    </w:p>
    <w:sectPr w:rsidR="00105C21" w:rsidRPr="00F35D5F" w:rsidSect="00A974A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4AFEA" w14:textId="77777777" w:rsidR="00636984" w:rsidRDefault="00636984" w:rsidP="00244F8F">
      <w:r>
        <w:separator/>
      </w:r>
    </w:p>
  </w:endnote>
  <w:endnote w:type="continuationSeparator" w:id="0">
    <w:p w14:paraId="3727E0AB" w14:textId="77777777" w:rsidR="00636984" w:rsidRDefault="0063698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32670" w14:textId="77777777" w:rsidR="00636984" w:rsidRDefault="00636984" w:rsidP="00244F8F">
      <w:r>
        <w:separator/>
      </w:r>
    </w:p>
  </w:footnote>
  <w:footnote w:type="continuationSeparator" w:id="0">
    <w:p w14:paraId="26E87529" w14:textId="77777777" w:rsidR="00636984" w:rsidRDefault="00636984"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54735"/>
    <w:rsid w:val="000810EF"/>
    <w:rsid w:val="000C1579"/>
    <w:rsid w:val="000C1A32"/>
    <w:rsid w:val="00102FFB"/>
    <w:rsid w:val="00105C21"/>
    <w:rsid w:val="00112906"/>
    <w:rsid w:val="00122F50"/>
    <w:rsid w:val="00166D3F"/>
    <w:rsid w:val="00174DB7"/>
    <w:rsid w:val="001A4E19"/>
    <w:rsid w:val="001C67DB"/>
    <w:rsid w:val="001C7B4B"/>
    <w:rsid w:val="001E20C0"/>
    <w:rsid w:val="0020781C"/>
    <w:rsid w:val="0022324C"/>
    <w:rsid w:val="00236822"/>
    <w:rsid w:val="00237895"/>
    <w:rsid w:val="00243198"/>
    <w:rsid w:val="00244F8F"/>
    <w:rsid w:val="002638F3"/>
    <w:rsid w:val="00290B15"/>
    <w:rsid w:val="002B2F20"/>
    <w:rsid w:val="00331863"/>
    <w:rsid w:val="00344FD4"/>
    <w:rsid w:val="00352467"/>
    <w:rsid w:val="00394B4C"/>
    <w:rsid w:val="003D53E4"/>
    <w:rsid w:val="004054B8"/>
    <w:rsid w:val="00410EBA"/>
    <w:rsid w:val="004E1986"/>
    <w:rsid w:val="00512BDF"/>
    <w:rsid w:val="005A067C"/>
    <w:rsid w:val="005A0CF6"/>
    <w:rsid w:val="005B0D6D"/>
    <w:rsid w:val="005E10E9"/>
    <w:rsid w:val="005E26F7"/>
    <w:rsid w:val="005F57C0"/>
    <w:rsid w:val="005F7149"/>
    <w:rsid w:val="00602226"/>
    <w:rsid w:val="006240FB"/>
    <w:rsid w:val="00636518"/>
    <w:rsid w:val="00636984"/>
    <w:rsid w:val="00645252"/>
    <w:rsid w:val="00654196"/>
    <w:rsid w:val="00663476"/>
    <w:rsid w:val="006706DB"/>
    <w:rsid w:val="006845FE"/>
    <w:rsid w:val="006D3D74"/>
    <w:rsid w:val="006E3D4F"/>
    <w:rsid w:val="006F400C"/>
    <w:rsid w:val="007045A5"/>
    <w:rsid w:val="0070517D"/>
    <w:rsid w:val="00723367"/>
    <w:rsid w:val="00754629"/>
    <w:rsid w:val="0077585C"/>
    <w:rsid w:val="00797CD5"/>
    <w:rsid w:val="007A4C3A"/>
    <w:rsid w:val="007B23E1"/>
    <w:rsid w:val="00826010"/>
    <w:rsid w:val="0083569A"/>
    <w:rsid w:val="00843ACB"/>
    <w:rsid w:val="008749E6"/>
    <w:rsid w:val="00875C73"/>
    <w:rsid w:val="008B4260"/>
    <w:rsid w:val="008E3282"/>
    <w:rsid w:val="008F7343"/>
    <w:rsid w:val="00921971"/>
    <w:rsid w:val="00936A20"/>
    <w:rsid w:val="00950645"/>
    <w:rsid w:val="00A25850"/>
    <w:rsid w:val="00A368C3"/>
    <w:rsid w:val="00A36F1D"/>
    <w:rsid w:val="00A40888"/>
    <w:rsid w:val="00A416D1"/>
    <w:rsid w:val="00A67878"/>
    <w:rsid w:val="00A76D86"/>
    <w:rsid w:val="00A9204E"/>
    <w:rsid w:val="00A974AF"/>
    <w:rsid w:val="00AD04F2"/>
    <w:rsid w:val="00AF4A2A"/>
    <w:rsid w:val="00B165DA"/>
    <w:rsid w:val="00B24F23"/>
    <w:rsid w:val="00B4574E"/>
    <w:rsid w:val="00B71E3F"/>
    <w:rsid w:val="00BC3ED5"/>
    <w:rsid w:val="00BF323B"/>
    <w:rsid w:val="00C25146"/>
    <w:rsid w:val="00C44F18"/>
    <w:rsid w:val="00C60937"/>
    <w:rsid w:val="00C745AB"/>
    <w:rsid w:val="00C76865"/>
    <w:rsid w:val="00CA050D"/>
    <w:rsid w:val="00CB5445"/>
    <w:rsid w:val="00CC334F"/>
    <w:rsid w:val="00CF1D2B"/>
    <w:rsid w:val="00CF1DDE"/>
    <w:rsid w:val="00D5315F"/>
    <w:rsid w:val="00D833F3"/>
    <w:rsid w:val="00D85BB2"/>
    <w:rsid w:val="00DB3AE3"/>
    <w:rsid w:val="00DB3BF4"/>
    <w:rsid w:val="00DB4C26"/>
    <w:rsid w:val="00DD5640"/>
    <w:rsid w:val="00DE65F6"/>
    <w:rsid w:val="00DF1281"/>
    <w:rsid w:val="00E02F79"/>
    <w:rsid w:val="00E30DF9"/>
    <w:rsid w:val="00EC74A1"/>
    <w:rsid w:val="00ED672F"/>
    <w:rsid w:val="00EE2AA5"/>
    <w:rsid w:val="00EF40F4"/>
    <w:rsid w:val="00F00719"/>
    <w:rsid w:val="00F35D5F"/>
    <w:rsid w:val="00F62F50"/>
    <w:rsid w:val="00FD60AC"/>
    <w:rsid w:val="00FE62DD"/>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styleId="NoSpacing">
    <w:name w:val="No Spacing"/>
    <w:uiPriority w:val="1"/>
    <w:qFormat/>
    <w:rsid w:val="006E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3127E838-559A-4C6B-85EC-58CA9F96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Chiavetta, Rosemary</cp:lastModifiedBy>
  <cp:revision>2</cp:revision>
  <cp:lastPrinted>2019-04-11T16:35:00Z</cp:lastPrinted>
  <dcterms:created xsi:type="dcterms:W3CDTF">2020-11-04T19:28:00Z</dcterms:created>
  <dcterms:modified xsi:type="dcterms:W3CDTF">2020-11-04T19:28:00Z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