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0AA7C70E" w:rsidR="00307E7A" w:rsidRPr="00153E4A" w:rsidRDefault="001961AE" w:rsidP="001961AE">
      <w:pPr>
        <w:jc w:val="center"/>
      </w:pPr>
      <w:r>
        <w:t>November 10, 2020</w:t>
      </w:r>
    </w:p>
    <w:p w14:paraId="3E2B69FC" w14:textId="6EB6846B" w:rsidR="005A23ED" w:rsidRPr="00A06FF0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A06FF0">
        <w:rPr>
          <w:sz w:val="24"/>
          <w:szCs w:val="24"/>
        </w:rPr>
        <w:t xml:space="preserve">Docket No. </w:t>
      </w:r>
      <w:r w:rsidR="00AD442C" w:rsidRPr="00A06FF0">
        <w:rPr>
          <w:sz w:val="24"/>
        </w:rPr>
        <w:t>A-</w:t>
      </w:r>
      <w:r w:rsidR="00A06FF0" w:rsidRPr="00A06FF0">
        <w:rPr>
          <w:sz w:val="24"/>
        </w:rPr>
        <w:t>2012-2328004</w:t>
      </w:r>
    </w:p>
    <w:p w14:paraId="228DC490" w14:textId="5A8068A0" w:rsidR="00F1116A" w:rsidRPr="00A06FF0" w:rsidRDefault="008B4D2F" w:rsidP="00F1116A">
      <w:pPr>
        <w:jc w:val="right"/>
      </w:pPr>
      <w:r w:rsidRPr="00A06FF0">
        <w:t xml:space="preserve">Utility Code: </w:t>
      </w:r>
      <w:r w:rsidR="00A06FF0" w:rsidRPr="00A06FF0">
        <w:t>1115178</w:t>
      </w:r>
    </w:p>
    <w:p w14:paraId="33BA7DE3" w14:textId="77777777" w:rsidR="005A23ED" w:rsidRPr="00A06FF0" w:rsidRDefault="00B67AB3" w:rsidP="005A23ED">
      <w:pPr>
        <w:rPr>
          <w:b/>
          <w:szCs w:val="24"/>
          <w:u w:val="single"/>
        </w:rPr>
      </w:pPr>
      <w:r w:rsidRPr="00A06FF0">
        <w:rPr>
          <w:b/>
          <w:szCs w:val="24"/>
          <w:u w:val="single"/>
        </w:rPr>
        <w:t>CERTIFIED</w:t>
      </w:r>
    </w:p>
    <w:p w14:paraId="147C4270" w14:textId="77777777" w:rsidR="00307E7A" w:rsidRPr="00A06FF0" w:rsidRDefault="00307E7A" w:rsidP="005A23ED"/>
    <w:p w14:paraId="7E0D7569" w14:textId="6DA97776" w:rsidR="00932082" w:rsidRPr="00A06FF0" w:rsidRDefault="00A06FF0" w:rsidP="00932082">
      <w:pPr>
        <w:rPr>
          <w:color w:val="000000"/>
          <w:szCs w:val="24"/>
        </w:rPr>
      </w:pPr>
      <w:r w:rsidRPr="00A06FF0">
        <w:rPr>
          <w:color w:val="000000"/>
          <w:szCs w:val="24"/>
        </w:rPr>
        <w:t>KENNETH FLOOD</w:t>
      </w:r>
    </w:p>
    <w:p w14:paraId="655E3C39" w14:textId="0F482FD2" w:rsidR="00153E4A" w:rsidRPr="00A06FF0" w:rsidRDefault="00A06FF0" w:rsidP="00932082">
      <w:pPr>
        <w:rPr>
          <w:color w:val="000000"/>
          <w:szCs w:val="24"/>
        </w:rPr>
      </w:pPr>
      <w:r w:rsidRPr="00A06FF0">
        <w:rPr>
          <w:color w:val="000000"/>
          <w:szCs w:val="24"/>
        </w:rPr>
        <w:t>DISCOUNT POWER INC</w:t>
      </w:r>
    </w:p>
    <w:p w14:paraId="6B3932F1" w14:textId="4BEB89A0" w:rsidR="00932082" w:rsidRPr="00A06FF0" w:rsidRDefault="00A06FF0" w:rsidP="00932082">
      <w:pPr>
        <w:rPr>
          <w:color w:val="000000"/>
          <w:szCs w:val="24"/>
        </w:rPr>
      </w:pPr>
      <w:r w:rsidRPr="00A06FF0">
        <w:rPr>
          <w:color w:val="000000"/>
          <w:szCs w:val="24"/>
        </w:rPr>
        <w:t>6 ARMSTRONG RD</w:t>
      </w:r>
    </w:p>
    <w:p w14:paraId="0C643865" w14:textId="2EA6358C" w:rsidR="00932082" w:rsidRPr="00A06FF0" w:rsidRDefault="00A06FF0" w:rsidP="00932082">
      <w:pPr>
        <w:rPr>
          <w:color w:val="000000"/>
          <w:szCs w:val="24"/>
        </w:rPr>
      </w:pPr>
      <w:r w:rsidRPr="00A06FF0">
        <w:rPr>
          <w:color w:val="000000"/>
          <w:szCs w:val="24"/>
        </w:rPr>
        <w:t>SHELTON CT 06484</w:t>
      </w:r>
    </w:p>
    <w:p w14:paraId="7BD44372" w14:textId="77777777" w:rsidR="00C7393C" w:rsidRPr="00A06FF0" w:rsidRDefault="00C7393C" w:rsidP="005A23ED">
      <w:pPr>
        <w:rPr>
          <w:szCs w:val="24"/>
        </w:rPr>
      </w:pPr>
    </w:p>
    <w:p w14:paraId="192C5491" w14:textId="6D414342" w:rsidR="00DA5217" w:rsidRPr="00F87A87" w:rsidRDefault="00DA5217" w:rsidP="00DA5217">
      <w:pPr>
        <w:jc w:val="center"/>
      </w:pPr>
      <w:r w:rsidRPr="00A06FF0">
        <w:t xml:space="preserve">RE: </w:t>
      </w:r>
      <w:r w:rsidR="00F87A87" w:rsidRPr="00A06FF0">
        <w:t>Financial</w:t>
      </w:r>
      <w:r w:rsidR="00F87A87" w:rsidRPr="00F87A87">
        <w:t xml:space="preserve"> Security Reduction Petition Data Request</w:t>
      </w:r>
      <w:r w:rsidR="00A06FF0">
        <w:t>s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3B9E5058"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A06FF0">
        <w:rPr>
          <w:szCs w:val="24"/>
        </w:rPr>
        <w:t>Mr. Flood</w:t>
      </w:r>
      <w:r w:rsidRPr="00040037">
        <w:rPr>
          <w:szCs w:val="24"/>
        </w:rPr>
        <w:t>:</w:t>
      </w:r>
    </w:p>
    <w:p w14:paraId="30FD0D61" w14:textId="08E5A6EB" w:rsidR="002D5F13" w:rsidRPr="00C6533F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A06FF0">
        <w:rPr>
          <w:szCs w:val="24"/>
        </w:rPr>
        <w:t>September 22, 2020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A06FF0">
        <w:rPr>
          <w:color w:val="000000"/>
          <w:szCs w:val="24"/>
        </w:rPr>
        <w:t>Discount Power, Inc.</w:t>
      </w:r>
      <w:r w:rsidRPr="00040037">
        <w:rPr>
          <w:color w:val="000000"/>
          <w:szCs w:val="24"/>
        </w:rPr>
        <w:t xml:space="preserve"> (</w:t>
      </w:r>
      <w:r w:rsidR="00A06FF0">
        <w:rPr>
          <w:color w:val="000000"/>
          <w:szCs w:val="24"/>
        </w:rPr>
        <w:t>DPI</w:t>
      </w:r>
      <w:r w:rsidRPr="00040037">
        <w:rPr>
          <w:color w:val="000000"/>
          <w:szCs w:val="24"/>
        </w:rPr>
        <w:t xml:space="preserve">) filed a petition to reduce its bonding level </w:t>
      </w:r>
      <w:r w:rsidR="00520379">
        <w:rPr>
          <w:color w:val="000000"/>
          <w:szCs w:val="24"/>
        </w:rPr>
        <w:t xml:space="preserve">from 10% </w:t>
      </w:r>
      <w:r w:rsidRPr="00040037">
        <w:rPr>
          <w:color w:val="000000"/>
          <w:szCs w:val="24"/>
        </w:rPr>
        <w:t xml:space="preserve">to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2D5F13">
        <w:rPr>
          <w:szCs w:val="24"/>
        </w:rPr>
        <w:t xml:space="preserve">petition was incomplete.  </w:t>
      </w:r>
      <w:r w:rsidR="002D5F13" w:rsidRPr="00DE19C6">
        <w:rPr>
          <w:szCs w:val="24"/>
        </w:rPr>
        <w:t xml:space="preserve">In order for us to complete our analysis of your </w:t>
      </w:r>
      <w:r w:rsidR="002D5F13">
        <w:rPr>
          <w:szCs w:val="24"/>
        </w:rPr>
        <w:t>petition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6DB2494F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A06FF0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>nd may result in the petition</w:t>
      </w:r>
      <w:r w:rsidRPr="00282317">
        <w:rPr>
          <w:szCs w:val="24"/>
        </w:rPr>
        <w:t xml:space="preserve"> being denied.  As well, if </w:t>
      </w:r>
      <w:r w:rsidR="00A06FF0">
        <w:t>DPI</w:t>
      </w:r>
      <w:r w:rsidRPr="00282317">
        <w:rPr>
          <w:szCs w:val="24"/>
        </w:rPr>
        <w:t xml:space="preserve"> has decided to withdraw its </w:t>
      </w:r>
      <w:r w:rsidR="002D5F13">
        <w:rPr>
          <w:szCs w:val="24"/>
        </w:rPr>
        <w:t>petition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5C29536A" w:rsidR="005A23ED" w:rsidRDefault="005A23ED" w:rsidP="005A23ED">
      <w:pPr>
        <w:rPr>
          <w:color w:val="000000"/>
          <w:szCs w:val="24"/>
        </w:rPr>
      </w:pPr>
    </w:p>
    <w:p w14:paraId="0CDB3789" w14:textId="1306E9AC" w:rsidR="00040037" w:rsidRPr="00040037" w:rsidRDefault="00040037" w:rsidP="005A23ED">
      <w:pPr>
        <w:rPr>
          <w:color w:val="000000"/>
          <w:szCs w:val="24"/>
        </w:rPr>
      </w:pPr>
    </w:p>
    <w:p w14:paraId="50EE2C94" w14:textId="3871FA5A" w:rsidR="005A23ED" w:rsidRDefault="001961AE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2FB8FE" wp14:editId="3886C3D2">
            <wp:simplePos x="0" y="0"/>
            <wp:positionH relativeFrom="column">
              <wp:posOffset>3171825</wp:posOffset>
            </wp:positionH>
            <wp:positionV relativeFrom="paragraph">
              <wp:posOffset>58420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3DEC4357" w:rsidR="00892D0A" w:rsidRPr="00A06FF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>Docket No</w:t>
      </w:r>
      <w:r w:rsidRPr="00A06FF0">
        <w:rPr>
          <w:szCs w:val="24"/>
        </w:rPr>
        <w:t xml:space="preserve">.  </w:t>
      </w:r>
      <w:r w:rsidRPr="00A06FF0">
        <w:rPr>
          <w:color w:val="000000"/>
          <w:szCs w:val="24"/>
        </w:rPr>
        <w:t>A-</w:t>
      </w:r>
      <w:r w:rsidR="00A06FF0" w:rsidRPr="00A06FF0">
        <w:rPr>
          <w:color w:val="000000"/>
          <w:szCs w:val="24"/>
        </w:rPr>
        <w:t>2012-2328004</w:t>
      </w:r>
    </w:p>
    <w:p w14:paraId="5A4DEC49" w14:textId="4096258D" w:rsidR="00892D0A" w:rsidRPr="005267E0" w:rsidRDefault="00A06FF0" w:rsidP="00892D0A">
      <w:pPr>
        <w:jc w:val="center"/>
        <w:rPr>
          <w:color w:val="000000"/>
          <w:szCs w:val="24"/>
        </w:rPr>
      </w:pPr>
      <w:r w:rsidRPr="00A06FF0">
        <w:rPr>
          <w:color w:val="000000"/>
          <w:szCs w:val="24"/>
        </w:rPr>
        <w:t>Discount Power</w:t>
      </w:r>
      <w:r>
        <w:rPr>
          <w:color w:val="000000"/>
          <w:szCs w:val="24"/>
        </w:rPr>
        <w:t>, Inc.</w:t>
      </w:r>
    </w:p>
    <w:p w14:paraId="7A6E7FE9" w14:textId="7E26179E" w:rsidR="00892D0A" w:rsidRPr="005267E0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t>Data Request</w:t>
      </w:r>
      <w:r w:rsidR="00A06FF0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0ECA6484" w14:textId="77777777" w:rsidR="00520379" w:rsidRP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520379">
        <w:rPr>
          <w:color w:val="000000"/>
          <w:sz w:val="24"/>
          <w:szCs w:val="24"/>
        </w:rPr>
        <w:t xml:space="preserve">Applicant failed to provide a Certificate of Service.  Please file a signed and dated Certificate of Service that shows proof that this Security Reduction Petition was served on the five statutory agencies and all of the </w:t>
      </w:r>
      <w:r w:rsidR="00954D3E">
        <w:rPr>
          <w:color w:val="000000"/>
          <w:sz w:val="24"/>
          <w:szCs w:val="24"/>
        </w:rPr>
        <w:t>Electric Distribution Company service territories for which the Applicant is licensed</w:t>
      </w:r>
      <w:r w:rsidR="00520379" w:rsidRPr="00520379">
        <w:rPr>
          <w:color w:val="000000"/>
          <w:sz w:val="24"/>
          <w:szCs w:val="24"/>
        </w:rPr>
        <w:t>.</w:t>
      </w:r>
    </w:p>
    <w:p w14:paraId="057ECA0A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  <w:highlight w:val="yellow"/>
        </w:rPr>
      </w:pPr>
    </w:p>
    <w:p w14:paraId="105E5E79" w14:textId="64F2A1F6" w:rsidR="005939E0" w:rsidRPr="00621FFF" w:rsidRDefault="00065D21" w:rsidP="005939E0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939E0" w:rsidRPr="00621FFF">
        <w:rPr>
          <w:color w:val="000000"/>
          <w:sz w:val="24"/>
          <w:szCs w:val="24"/>
        </w:rPr>
        <w:t xml:space="preserve">Applicant must </w:t>
      </w:r>
      <w:r w:rsidR="005939E0">
        <w:rPr>
          <w:color w:val="000000"/>
          <w:sz w:val="24"/>
          <w:szCs w:val="24"/>
        </w:rPr>
        <w:t xml:space="preserve">provide proof of </w:t>
      </w:r>
      <w:r w:rsidR="000D47AD">
        <w:rPr>
          <w:color w:val="000000"/>
          <w:sz w:val="24"/>
          <w:szCs w:val="24"/>
        </w:rPr>
        <w:t xml:space="preserve">compliance with its </w:t>
      </w:r>
      <w:r w:rsidR="00A65CF1">
        <w:rPr>
          <w:color w:val="000000"/>
          <w:sz w:val="24"/>
          <w:szCs w:val="24"/>
        </w:rPr>
        <w:t>required Commission owed</w:t>
      </w:r>
      <w:r w:rsidR="000D47AD">
        <w:rPr>
          <w:color w:val="000000"/>
          <w:sz w:val="24"/>
          <w:szCs w:val="24"/>
        </w:rPr>
        <w:t xml:space="preserve"> annual fees</w:t>
      </w:r>
      <w:r w:rsidR="00A65CF1">
        <w:rPr>
          <w:color w:val="000000"/>
          <w:sz w:val="24"/>
          <w:szCs w:val="24"/>
        </w:rPr>
        <w:t xml:space="preserve"> and assessments</w:t>
      </w:r>
      <w:r w:rsidR="005939E0" w:rsidRPr="00621FFF">
        <w:rPr>
          <w:color w:val="000000"/>
          <w:sz w:val="24"/>
          <w:szCs w:val="24"/>
        </w:rPr>
        <w:t xml:space="preserve">.  </w:t>
      </w:r>
      <w:r w:rsidR="00A65CF1">
        <w:rPr>
          <w:color w:val="000000"/>
          <w:sz w:val="24"/>
          <w:szCs w:val="24"/>
        </w:rPr>
        <w:t>Please</w:t>
      </w:r>
      <w:r w:rsidR="005939E0" w:rsidRPr="00621FFF">
        <w:rPr>
          <w:color w:val="000000"/>
          <w:sz w:val="24"/>
          <w:szCs w:val="24"/>
        </w:rPr>
        <w:t xml:space="preserve"> contact</w:t>
      </w:r>
      <w:r w:rsidR="005939E0">
        <w:rPr>
          <w:color w:val="000000"/>
          <w:sz w:val="24"/>
          <w:szCs w:val="24"/>
        </w:rPr>
        <w:t xml:space="preserve"> </w:t>
      </w:r>
      <w:r w:rsidR="005939E0" w:rsidRPr="00621FFF">
        <w:rPr>
          <w:color w:val="000000"/>
          <w:sz w:val="24"/>
          <w:szCs w:val="24"/>
        </w:rPr>
        <w:t xml:space="preserve">Cassandra Pomeroy at </w:t>
      </w:r>
      <w:hyperlink r:id="rId12" w:history="1">
        <w:r w:rsidR="005939E0" w:rsidRPr="00621FFF">
          <w:rPr>
            <w:rStyle w:val="Hyperlink"/>
            <w:sz w:val="24"/>
            <w:szCs w:val="24"/>
          </w:rPr>
          <w:t>capomeroy@pa.gov</w:t>
        </w:r>
      </w:hyperlink>
      <w:r w:rsidR="00A65CF1" w:rsidRPr="00A65CF1">
        <w:rPr>
          <w:rStyle w:val="Hyperlink"/>
          <w:color w:val="000000" w:themeColor="text1"/>
          <w:sz w:val="24"/>
          <w:szCs w:val="24"/>
          <w:u w:val="none"/>
        </w:rPr>
        <w:t xml:space="preserve"> or</w:t>
      </w:r>
      <w:r w:rsidR="005939E0" w:rsidRPr="00A65CF1">
        <w:rPr>
          <w:color w:val="000000" w:themeColor="text1"/>
          <w:sz w:val="24"/>
          <w:szCs w:val="24"/>
        </w:rPr>
        <w:t xml:space="preserve"> </w:t>
      </w:r>
      <w:r w:rsidR="00A65CF1">
        <w:rPr>
          <w:color w:val="000000" w:themeColor="text1"/>
          <w:sz w:val="24"/>
          <w:szCs w:val="24"/>
        </w:rPr>
        <w:t xml:space="preserve">at </w:t>
      </w:r>
      <w:r w:rsidR="005939E0" w:rsidRPr="00621FFF">
        <w:rPr>
          <w:color w:val="000000"/>
          <w:sz w:val="24"/>
          <w:szCs w:val="24"/>
        </w:rPr>
        <w:t>(717) 787</w:t>
      </w:r>
      <w:r w:rsidR="009D587B">
        <w:rPr>
          <w:color w:val="000000"/>
          <w:sz w:val="24"/>
          <w:szCs w:val="24"/>
        </w:rPr>
        <w:noBreakHyphen/>
      </w:r>
      <w:r w:rsidR="005939E0" w:rsidRPr="00621FFF">
        <w:rPr>
          <w:color w:val="000000"/>
          <w:sz w:val="24"/>
          <w:szCs w:val="24"/>
        </w:rPr>
        <w:t>8612.</w:t>
      </w:r>
      <w:r w:rsidR="000D47AD">
        <w:rPr>
          <w:color w:val="000000"/>
          <w:sz w:val="24"/>
          <w:szCs w:val="24"/>
        </w:rPr>
        <w:t xml:space="preserve">  Please provide proof of </w:t>
      </w:r>
      <w:r w:rsidR="00A65CF1">
        <w:rPr>
          <w:color w:val="000000"/>
          <w:sz w:val="24"/>
          <w:szCs w:val="24"/>
        </w:rPr>
        <w:t>paid Commission owed annual fees and assessments</w:t>
      </w:r>
      <w:r w:rsidR="000D47AD">
        <w:rPr>
          <w:color w:val="000000"/>
          <w:sz w:val="24"/>
          <w:szCs w:val="24"/>
        </w:rPr>
        <w:t>.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sectPr w:rsidR="00520379" w:rsidRPr="003E3DF4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B7EED" w14:textId="77777777" w:rsidR="00E05ACF" w:rsidRDefault="00E05ACF">
      <w:r>
        <w:separator/>
      </w:r>
    </w:p>
  </w:endnote>
  <w:endnote w:type="continuationSeparator" w:id="0">
    <w:p w14:paraId="73A2F1E4" w14:textId="77777777" w:rsidR="00E05ACF" w:rsidRDefault="00E0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97DE1" w14:textId="77777777" w:rsidR="00E05ACF" w:rsidRDefault="00E05ACF">
      <w:r>
        <w:separator/>
      </w:r>
    </w:p>
  </w:footnote>
  <w:footnote w:type="continuationSeparator" w:id="0">
    <w:p w14:paraId="032213D3" w14:textId="77777777" w:rsidR="00E05ACF" w:rsidRDefault="00E05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961AE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06FF0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05ACF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apomeroy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2</cp:revision>
  <cp:lastPrinted>2016-12-16T15:39:00Z</cp:lastPrinted>
  <dcterms:created xsi:type="dcterms:W3CDTF">2020-11-10T15:43:00Z</dcterms:created>
  <dcterms:modified xsi:type="dcterms:W3CDTF">2020-11-10T15:43:00Z</dcterms:modified>
</cp:coreProperties>
</file>