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A09DA" w14:textId="77777777" w:rsidR="004D0A01" w:rsidRPr="00175297" w:rsidRDefault="004D0A01" w:rsidP="004D0A01">
      <w:pPr>
        <w:tabs>
          <w:tab w:val="left" w:pos="5400"/>
          <w:tab w:val="right" w:pos="8640"/>
        </w:tabs>
        <w:spacing w:after="0" w:line="240" w:lineRule="auto"/>
        <w:contextualSpacing/>
        <w:jc w:val="center"/>
        <w:rPr>
          <w:rFonts w:eastAsia="Calibri" w:cs="Times New Roman"/>
          <w:b/>
          <w:szCs w:val="24"/>
        </w:rPr>
      </w:pPr>
      <w:r w:rsidRPr="00175297">
        <w:rPr>
          <w:rFonts w:eastAsia="Calibri" w:cs="Times New Roman"/>
          <w:b/>
          <w:caps/>
          <w:szCs w:val="24"/>
        </w:rPr>
        <w:t>Before the</w:t>
      </w:r>
    </w:p>
    <w:p w14:paraId="0938C385" w14:textId="77777777" w:rsidR="004D0A01" w:rsidRPr="00175297" w:rsidRDefault="004D0A01" w:rsidP="004D0A01">
      <w:pPr>
        <w:spacing w:after="0" w:line="240" w:lineRule="auto"/>
        <w:jc w:val="center"/>
        <w:rPr>
          <w:rFonts w:eastAsia="Calibri" w:cs="Times New Roman"/>
          <w:b/>
          <w:szCs w:val="24"/>
        </w:rPr>
      </w:pPr>
      <w:r w:rsidRPr="00175297">
        <w:rPr>
          <w:rFonts w:eastAsia="Calibri" w:cs="Times New Roman"/>
          <w:b/>
          <w:szCs w:val="24"/>
        </w:rPr>
        <w:t>PENNSYLVANIA PUBLIC UTILITY COMMISSION</w:t>
      </w:r>
    </w:p>
    <w:p w14:paraId="61B17831" w14:textId="77777777" w:rsidR="004D0A01" w:rsidRPr="00175297" w:rsidRDefault="004D0A01" w:rsidP="004D0A01">
      <w:pPr>
        <w:spacing w:after="0" w:line="240" w:lineRule="auto"/>
        <w:jc w:val="center"/>
        <w:rPr>
          <w:rFonts w:eastAsia="Calibri" w:cs="Times New Roman"/>
          <w:b/>
          <w:szCs w:val="24"/>
        </w:rPr>
      </w:pPr>
    </w:p>
    <w:p w14:paraId="705CD673" w14:textId="77777777" w:rsidR="004D0A01" w:rsidRPr="00175297" w:rsidRDefault="004D0A01" w:rsidP="004D0A01">
      <w:pPr>
        <w:spacing w:after="0" w:line="240" w:lineRule="auto"/>
        <w:jc w:val="center"/>
        <w:rPr>
          <w:rFonts w:eastAsia="Calibri" w:cs="Times New Roman"/>
          <w:b/>
          <w:szCs w:val="24"/>
          <w:u w:val="single"/>
        </w:rPr>
      </w:pPr>
    </w:p>
    <w:p w14:paraId="349BF423" w14:textId="77777777" w:rsidR="004D0A01" w:rsidRPr="00175297" w:rsidRDefault="004D0A01" w:rsidP="004D0A01">
      <w:pPr>
        <w:spacing w:after="0" w:line="240" w:lineRule="auto"/>
        <w:jc w:val="center"/>
        <w:rPr>
          <w:rFonts w:eastAsia="Calibri" w:cs="Times New Roman"/>
          <w:b/>
          <w:szCs w:val="24"/>
          <w:u w:val="single"/>
        </w:rPr>
      </w:pPr>
    </w:p>
    <w:p w14:paraId="5DF1AE04" w14:textId="3F1261B2" w:rsidR="004D0A01" w:rsidRPr="00175297" w:rsidRDefault="006A6FA5" w:rsidP="004D0A01">
      <w:pPr>
        <w:spacing w:after="0" w:line="240" w:lineRule="auto"/>
        <w:jc w:val="both"/>
        <w:rPr>
          <w:rFonts w:eastAsia="Calibri" w:cs="Times New Roman"/>
          <w:szCs w:val="24"/>
        </w:rPr>
      </w:pPr>
      <w:r w:rsidRPr="00175297">
        <w:rPr>
          <w:rFonts w:eastAsia="Calibri" w:cs="Times New Roman"/>
          <w:szCs w:val="24"/>
        </w:rPr>
        <w:t>Michael Zimmerman</w:t>
      </w:r>
      <w:r w:rsidR="004D0A01" w:rsidRPr="00175297">
        <w:rPr>
          <w:rFonts w:eastAsia="Calibri" w:cs="Times New Roman"/>
          <w:szCs w:val="24"/>
        </w:rPr>
        <w:tab/>
      </w:r>
      <w:r w:rsidR="004D0A01" w:rsidRPr="00175297">
        <w:rPr>
          <w:rFonts w:eastAsia="Calibri" w:cs="Times New Roman"/>
          <w:szCs w:val="24"/>
        </w:rPr>
        <w:tab/>
      </w:r>
      <w:r w:rsidR="004D0A01" w:rsidRPr="00175297">
        <w:rPr>
          <w:rFonts w:eastAsia="Calibri" w:cs="Times New Roman"/>
          <w:szCs w:val="24"/>
        </w:rPr>
        <w:tab/>
      </w:r>
      <w:r w:rsidR="004D0A01" w:rsidRPr="00175297">
        <w:rPr>
          <w:rFonts w:eastAsia="Calibri" w:cs="Times New Roman"/>
          <w:szCs w:val="24"/>
        </w:rPr>
        <w:tab/>
      </w:r>
      <w:r w:rsidR="004D0A01" w:rsidRPr="00175297">
        <w:rPr>
          <w:rFonts w:eastAsia="Calibri" w:cs="Times New Roman"/>
          <w:szCs w:val="24"/>
        </w:rPr>
        <w:tab/>
        <w:t>:</w:t>
      </w:r>
      <w:r w:rsidR="004D0A01" w:rsidRPr="00175297">
        <w:rPr>
          <w:rFonts w:eastAsia="Calibri" w:cs="Times New Roman"/>
          <w:szCs w:val="24"/>
        </w:rPr>
        <w:tab/>
      </w:r>
    </w:p>
    <w:p w14:paraId="1BADBE59" w14:textId="77777777" w:rsidR="004D0A01" w:rsidRPr="00175297" w:rsidRDefault="004D0A01" w:rsidP="004D0A01">
      <w:pPr>
        <w:spacing w:after="0" w:line="240" w:lineRule="auto"/>
        <w:jc w:val="both"/>
        <w:rPr>
          <w:rFonts w:eastAsia="Calibri" w:cs="Times New Roman"/>
          <w:szCs w:val="24"/>
        </w:rPr>
      </w:pP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t>:</w:t>
      </w:r>
    </w:p>
    <w:p w14:paraId="736C2F93" w14:textId="54917312" w:rsidR="004D0A01" w:rsidRPr="00175297" w:rsidRDefault="004D0A01" w:rsidP="004D0A01">
      <w:pPr>
        <w:spacing w:after="0" w:line="240" w:lineRule="auto"/>
        <w:jc w:val="both"/>
        <w:rPr>
          <w:rFonts w:eastAsia="Calibri" w:cs="Times New Roman"/>
          <w:szCs w:val="24"/>
        </w:rPr>
      </w:pPr>
      <w:r w:rsidRPr="00175297">
        <w:rPr>
          <w:rFonts w:eastAsia="Calibri" w:cs="Times New Roman"/>
          <w:szCs w:val="24"/>
        </w:rPr>
        <w:tab/>
        <w:t>v.</w:t>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t>:</w:t>
      </w:r>
      <w:r w:rsidRPr="00175297">
        <w:rPr>
          <w:rFonts w:eastAsia="Calibri" w:cs="Times New Roman"/>
          <w:szCs w:val="24"/>
        </w:rPr>
        <w:tab/>
      </w:r>
      <w:r w:rsidRPr="00175297">
        <w:rPr>
          <w:rFonts w:eastAsia="Calibri" w:cs="Times New Roman"/>
          <w:szCs w:val="24"/>
        </w:rPr>
        <w:tab/>
        <w:t>C-</w:t>
      </w:r>
      <w:r w:rsidR="009F1C45" w:rsidRPr="00175297">
        <w:rPr>
          <w:rFonts w:eastAsia="Calibri" w:cs="Times New Roman"/>
          <w:szCs w:val="24"/>
        </w:rPr>
        <w:t>2020-</w:t>
      </w:r>
      <w:r w:rsidR="006A6FA5" w:rsidRPr="00175297">
        <w:rPr>
          <w:rFonts w:eastAsia="Calibri" w:cs="Times New Roman"/>
          <w:szCs w:val="24"/>
        </w:rPr>
        <w:t>3021020</w:t>
      </w:r>
    </w:p>
    <w:p w14:paraId="186A130A" w14:textId="77777777" w:rsidR="004D0A01" w:rsidRPr="00175297" w:rsidRDefault="004D0A01" w:rsidP="004D0A01">
      <w:pPr>
        <w:spacing w:after="0" w:line="240" w:lineRule="auto"/>
        <w:jc w:val="both"/>
        <w:rPr>
          <w:rFonts w:eastAsia="Calibri" w:cs="Times New Roman"/>
          <w:szCs w:val="24"/>
        </w:rPr>
      </w:pP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t>:</w:t>
      </w:r>
    </w:p>
    <w:p w14:paraId="38692B31" w14:textId="6AF84C68" w:rsidR="004D0A01" w:rsidRPr="00175297" w:rsidRDefault="006A6FA5" w:rsidP="004D0A01">
      <w:pPr>
        <w:spacing w:after="0" w:line="240" w:lineRule="auto"/>
        <w:jc w:val="both"/>
        <w:rPr>
          <w:rFonts w:eastAsia="Calibri" w:cs="Times New Roman"/>
          <w:szCs w:val="24"/>
        </w:rPr>
      </w:pPr>
      <w:r w:rsidRPr="00175297">
        <w:rPr>
          <w:rFonts w:eastAsia="Calibri" w:cs="Times New Roman"/>
          <w:szCs w:val="24"/>
        </w:rPr>
        <w:t>Discount Power, Inc.</w:t>
      </w:r>
      <w:r w:rsidR="004D0A01" w:rsidRPr="00175297">
        <w:rPr>
          <w:rFonts w:eastAsia="Calibri" w:cs="Times New Roman"/>
          <w:szCs w:val="24"/>
        </w:rPr>
        <w:tab/>
      </w:r>
      <w:r w:rsidR="004D0A01" w:rsidRPr="00175297">
        <w:rPr>
          <w:rFonts w:eastAsia="Calibri" w:cs="Times New Roman"/>
          <w:szCs w:val="24"/>
        </w:rPr>
        <w:tab/>
      </w:r>
      <w:r w:rsidR="004D0A01" w:rsidRPr="00175297">
        <w:rPr>
          <w:rFonts w:eastAsia="Calibri" w:cs="Times New Roman"/>
          <w:szCs w:val="24"/>
        </w:rPr>
        <w:tab/>
      </w:r>
      <w:r w:rsidR="00F06634" w:rsidRPr="00175297">
        <w:rPr>
          <w:rFonts w:eastAsia="Calibri" w:cs="Times New Roman"/>
          <w:szCs w:val="24"/>
        </w:rPr>
        <w:tab/>
      </w:r>
      <w:r w:rsidRPr="00175297">
        <w:rPr>
          <w:rFonts w:eastAsia="Calibri" w:cs="Times New Roman"/>
          <w:szCs w:val="24"/>
        </w:rPr>
        <w:tab/>
      </w:r>
      <w:r w:rsidR="004D0A01" w:rsidRPr="00175297">
        <w:rPr>
          <w:rFonts w:eastAsia="Calibri" w:cs="Times New Roman"/>
          <w:szCs w:val="24"/>
        </w:rPr>
        <w:t>:</w:t>
      </w:r>
    </w:p>
    <w:p w14:paraId="35AAD85C" w14:textId="2E9A5E23" w:rsidR="004D0A01" w:rsidRDefault="004D0A01" w:rsidP="004D0A01">
      <w:pPr>
        <w:spacing w:after="0" w:line="240" w:lineRule="auto"/>
        <w:jc w:val="both"/>
        <w:rPr>
          <w:rFonts w:eastAsia="Calibri" w:cs="Times New Roman"/>
          <w:szCs w:val="24"/>
        </w:rPr>
      </w:pP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r w:rsidRPr="00175297">
        <w:rPr>
          <w:rFonts w:eastAsia="Calibri" w:cs="Times New Roman"/>
          <w:szCs w:val="24"/>
        </w:rPr>
        <w:tab/>
      </w:r>
    </w:p>
    <w:p w14:paraId="731A43A5" w14:textId="77777777" w:rsidR="004C5C3D" w:rsidRPr="00175297" w:rsidRDefault="004C5C3D" w:rsidP="004D0A01">
      <w:pPr>
        <w:spacing w:after="0" w:line="240" w:lineRule="auto"/>
        <w:jc w:val="both"/>
        <w:rPr>
          <w:rFonts w:eastAsia="Calibri" w:cs="Times New Roman"/>
          <w:szCs w:val="24"/>
        </w:rPr>
      </w:pPr>
    </w:p>
    <w:p w14:paraId="763B07ED" w14:textId="77777777" w:rsidR="004D0A01" w:rsidRPr="00175297" w:rsidRDefault="004D0A01" w:rsidP="004D0A01">
      <w:pPr>
        <w:spacing w:after="0" w:line="240" w:lineRule="auto"/>
        <w:rPr>
          <w:rFonts w:eastAsia="Calibri" w:cs="Times New Roman"/>
          <w:szCs w:val="24"/>
        </w:rPr>
      </w:pPr>
    </w:p>
    <w:p w14:paraId="51AC0C61" w14:textId="77777777" w:rsidR="004D0A01" w:rsidRPr="00175297" w:rsidRDefault="001A75EB" w:rsidP="00AE3BF0">
      <w:pPr>
        <w:spacing w:after="0" w:line="240" w:lineRule="auto"/>
        <w:jc w:val="center"/>
        <w:rPr>
          <w:rFonts w:eastAsia="Calibri" w:cs="Times New Roman"/>
          <w:b/>
          <w:bCs/>
          <w:szCs w:val="24"/>
        </w:rPr>
      </w:pPr>
      <w:r w:rsidRPr="00175297">
        <w:rPr>
          <w:rFonts w:eastAsia="Calibri" w:cs="Times New Roman"/>
          <w:b/>
          <w:bCs/>
          <w:szCs w:val="24"/>
        </w:rPr>
        <w:t>INTERIM ORDER</w:t>
      </w:r>
    </w:p>
    <w:p w14:paraId="1BF14799" w14:textId="08E02CE0" w:rsidR="001A75EB" w:rsidRPr="00175297" w:rsidRDefault="00055F0B" w:rsidP="00AE3BF0">
      <w:pPr>
        <w:spacing w:after="0" w:line="240" w:lineRule="auto"/>
        <w:jc w:val="center"/>
        <w:rPr>
          <w:rFonts w:eastAsia="Calibri" w:cs="Times New Roman"/>
          <w:b/>
          <w:bCs/>
          <w:szCs w:val="24"/>
        </w:rPr>
      </w:pPr>
      <w:r>
        <w:rPr>
          <w:rFonts w:eastAsia="Calibri" w:cs="Times New Roman"/>
          <w:b/>
          <w:bCs/>
          <w:szCs w:val="24"/>
          <w:u w:val="single"/>
        </w:rPr>
        <w:t xml:space="preserve">GRANTING IN PART AND </w:t>
      </w:r>
      <w:r w:rsidR="006A6FA5" w:rsidRPr="00175297">
        <w:rPr>
          <w:rFonts w:eastAsia="Calibri" w:cs="Times New Roman"/>
          <w:b/>
          <w:bCs/>
          <w:szCs w:val="24"/>
          <w:u w:val="single"/>
        </w:rPr>
        <w:t>DENYING</w:t>
      </w:r>
      <w:r w:rsidR="00AE3BF0" w:rsidRPr="00175297">
        <w:rPr>
          <w:rFonts w:eastAsia="Calibri" w:cs="Times New Roman"/>
          <w:b/>
          <w:bCs/>
          <w:szCs w:val="24"/>
          <w:u w:val="single"/>
        </w:rPr>
        <w:t xml:space="preserve"> </w:t>
      </w:r>
      <w:r>
        <w:rPr>
          <w:rFonts w:eastAsia="Calibri" w:cs="Times New Roman"/>
          <w:b/>
          <w:bCs/>
          <w:szCs w:val="24"/>
          <w:u w:val="single"/>
        </w:rPr>
        <w:t xml:space="preserve">IN PART </w:t>
      </w:r>
      <w:r w:rsidR="001A75EB" w:rsidRPr="00175297">
        <w:rPr>
          <w:rFonts w:eastAsia="Calibri" w:cs="Times New Roman"/>
          <w:b/>
          <w:bCs/>
          <w:szCs w:val="24"/>
          <w:u w:val="single"/>
        </w:rPr>
        <w:t>PRELIMINARY OBJECTIONS</w:t>
      </w:r>
    </w:p>
    <w:p w14:paraId="4D93F82B" w14:textId="77777777" w:rsidR="001A75EB" w:rsidRPr="00175297" w:rsidRDefault="001A75EB" w:rsidP="004C5C3D">
      <w:pPr>
        <w:spacing w:after="0"/>
        <w:rPr>
          <w:rFonts w:eastAsia="Calibri" w:cs="Times New Roman"/>
          <w:szCs w:val="24"/>
        </w:rPr>
      </w:pPr>
    </w:p>
    <w:p w14:paraId="0503D5E1" w14:textId="5B83DBE4" w:rsidR="00701998" w:rsidRPr="00175297" w:rsidRDefault="001A75EB" w:rsidP="004C5C3D">
      <w:pPr>
        <w:spacing w:after="0"/>
        <w:rPr>
          <w:rFonts w:cs="Times New Roman"/>
          <w:szCs w:val="24"/>
        </w:rPr>
      </w:pPr>
      <w:r w:rsidRPr="00175297">
        <w:rPr>
          <w:rFonts w:cs="Times New Roman"/>
          <w:szCs w:val="24"/>
        </w:rPr>
        <w:tab/>
      </w:r>
      <w:r w:rsidRPr="00175297">
        <w:rPr>
          <w:rFonts w:cs="Times New Roman"/>
          <w:szCs w:val="24"/>
        </w:rPr>
        <w:tab/>
        <w:t>On</w:t>
      </w:r>
      <w:r w:rsidR="006A6FA5" w:rsidRPr="00175297">
        <w:rPr>
          <w:rFonts w:cs="Times New Roman"/>
          <w:szCs w:val="24"/>
        </w:rPr>
        <w:t xml:space="preserve"> July 21</w:t>
      </w:r>
      <w:r w:rsidR="009F1C45" w:rsidRPr="00175297">
        <w:rPr>
          <w:rFonts w:cs="Times New Roman"/>
          <w:szCs w:val="24"/>
        </w:rPr>
        <w:t>, 2020</w:t>
      </w:r>
      <w:r w:rsidRPr="00175297">
        <w:rPr>
          <w:rFonts w:cs="Times New Roman"/>
          <w:szCs w:val="24"/>
        </w:rPr>
        <w:t>,</w:t>
      </w:r>
      <w:r w:rsidR="009F1C45" w:rsidRPr="00175297">
        <w:rPr>
          <w:rFonts w:cs="Times New Roman"/>
          <w:szCs w:val="24"/>
        </w:rPr>
        <w:t xml:space="preserve"> </w:t>
      </w:r>
      <w:r w:rsidR="006A6FA5" w:rsidRPr="00175297">
        <w:rPr>
          <w:rFonts w:cs="Times New Roman"/>
          <w:szCs w:val="24"/>
        </w:rPr>
        <w:t>Michael Zimmerman</w:t>
      </w:r>
      <w:r w:rsidR="009F1C45" w:rsidRPr="00175297">
        <w:rPr>
          <w:rFonts w:cs="Times New Roman"/>
          <w:szCs w:val="24"/>
        </w:rPr>
        <w:t xml:space="preserve"> </w:t>
      </w:r>
      <w:r w:rsidRPr="00175297">
        <w:rPr>
          <w:rFonts w:cs="Times New Roman"/>
          <w:szCs w:val="24"/>
        </w:rPr>
        <w:t xml:space="preserve">(Complainant) filed a </w:t>
      </w:r>
      <w:r w:rsidR="00DF1038" w:rsidRPr="00175297">
        <w:rPr>
          <w:rFonts w:cs="Times New Roman"/>
          <w:szCs w:val="24"/>
        </w:rPr>
        <w:t>F</w:t>
      </w:r>
      <w:r w:rsidRPr="00175297">
        <w:rPr>
          <w:rFonts w:cs="Times New Roman"/>
          <w:szCs w:val="24"/>
        </w:rPr>
        <w:t xml:space="preserve">ormal </w:t>
      </w:r>
      <w:r w:rsidR="00DF1038" w:rsidRPr="00175297">
        <w:rPr>
          <w:rFonts w:cs="Times New Roman"/>
          <w:szCs w:val="24"/>
        </w:rPr>
        <w:t>C</w:t>
      </w:r>
      <w:r w:rsidRPr="00175297">
        <w:rPr>
          <w:rFonts w:cs="Times New Roman"/>
          <w:szCs w:val="24"/>
        </w:rPr>
        <w:t>omplaint against</w:t>
      </w:r>
      <w:r w:rsidR="009F1C45" w:rsidRPr="00175297">
        <w:rPr>
          <w:rFonts w:cs="Times New Roman"/>
          <w:szCs w:val="24"/>
        </w:rPr>
        <w:t xml:space="preserve"> </w:t>
      </w:r>
      <w:r w:rsidR="006A6FA5" w:rsidRPr="00175297">
        <w:rPr>
          <w:rFonts w:cs="Times New Roman"/>
          <w:szCs w:val="24"/>
        </w:rPr>
        <w:t>Discount Power, Inc.</w:t>
      </w:r>
      <w:r w:rsidR="00833A50" w:rsidRPr="00175297">
        <w:rPr>
          <w:rStyle w:val="FootnoteReference"/>
          <w:rFonts w:cs="Times New Roman"/>
          <w:szCs w:val="24"/>
        </w:rPr>
        <w:footnoteReference w:id="1"/>
      </w:r>
      <w:r w:rsidR="00DF1038" w:rsidRPr="00175297">
        <w:rPr>
          <w:rFonts w:cs="Times New Roman"/>
          <w:szCs w:val="24"/>
        </w:rPr>
        <w:t xml:space="preserve"> (</w:t>
      </w:r>
      <w:r w:rsidR="009F1C45" w:rsidRPr="00175297">
        <w:rPr>
          <w:rFonts w:cs="Times New Roman"/>
          <w:szCs w:val="24"/>
        </w:rPr>
        <w:t>Responden</w:t>
      </w:r>
      <w:r w:rsidR="00F06634" w:rsidRPr="00175297">
        <w:rPr>
          <w:rFonts w:cs="Times New Roman"/>
          <w:szCs w:val="24"/>
        </w:rPr>
        <w:t xml:space="preserve">t, Company, or </w:t>
      </w:r>
      <w:r w:rsidR="006A6FA5" w:rsidRPr="00175297">
        <w:rPr>
          <w:rFonts w:cs="Times New Roman"/>
          <w:szCs w:val="24"/>
        </w:rPr>
        <w:t>D</w:t>
      </w:r>
      <w:r w:rsidR="001654A8" w:rsidRPr="00175297">
        <w:rPr>
          <w:rFonts w:cs="Times New Roman"/>
          <w:szCs w:val="24"/>
        </w:rPr>
        <w:t>iscount Power</w:t>
      </w:r>
      <w:r w:rsidR="00DF1038" w:rsidRPr="00175297">
        <w:rPr>
          <w:rFonts w:cs="Times New Roman"/>
          <w:szCs w:val="24"/>
        </w:rPr>
        <w:t>)</w:t>
      </w:r>
      <w:r w:rsidR="00F06634" w:rsidRPr="00175297">
        <w:rPr>
          <w:rFonts w:cs="Times New Roman"/>
          <w:szCs w:val="24"/>
        </w:rPr>
        <w:t xml:space="preserve">, alleging </w:t>
      </w:r>
      <w:r w:rsidR="001654A8" w:rsidRPr="00175297">
        <w:rPr>
          <w:rFonts w:cs="Times New Roman"/>
          <w:szCs w:val="24"/>
        </w:rPr>
        <w:t xml:space="preserve">misleading deceptive marketing practices in violation of, </w:t>
      </w:r>
      <w:r w:rsidR="001654A8" w:rsidRPr="00175297">
        <w:rPr>
          <w:rFonts w:cs="Times New Roman"/>
          <w:i/>
          <w:iCs/>
          <w:szCs w:val="24"/>
        </w:rPr>
        <w:t>inter alia</w:t>
      </w:r>
      <w:r w:rsidR="001654A8" w:rsidRPr="00175297">
        <w:rPr>
          <w:rFonts w:cs="Times New Roman"/>
          <w:szCs w:val="24"/>
        </w:rPr>
        <w:t>, the Pennsylvania Public Utility Code; Pennsylvania Public Utility Commission (Commission) regulations 52 Pa.Code §§ 54.43, 54.122, 56.1, 62.114, 111.1, 111.2, 111.5, 111.6, 111.7, 111.8, 111.10, and 111.12; the conditions of Discount Power’s Commission-issued license to operate as an Electric Generation Supplier (EGS)</w:t>
      </w:r>
      <w:r w:rsidR="00E054CE" w:rsidRPr="00175297">
        <w:rPr>
          <w:rFonts w:cs="Times New Roman"/>
          <w:szCs w:val="24"/>
        </w:rPr>
        <w:t>; and other applicable Commission orders and directives.</w:t>
      </w:r>
      <w:r w:rsidR="00A43FBB" w:rsidRPr="00175297">
        <w:rPr>
          <w:rFonts w:cs="Times New Roman"/>
          <w:szCs w:val="24"/>
        </w:rPr>
        <w:t xml:space="preserve">  </w:t>
      </w:r>
    </w:p>
    <w:p w14:paraId="0DCF4EE4" w14:textId="77777777" w:rsidR="00701998" w:rsidRPr="00175297" w:rsidRDefault="00701998" w:rsidP="004C5C3D">
      <w:pPr>
        <w:spacing w:after="0"/>
        <w:rPr>
          <w:rFonts w:cs="Times New Roman"/>
          <w:szCs w:val="24"/>
        </w:rPr>
      </w:pPr>
    </w:p>
    <w:p w14:paraId="39682D2D" w14:textId="6C97B1B6" w:rsidR="008E74E4" w:rsidRDefault="00701998" w:rsidP="004C5C3D">
      <w:pPr>
        <w:spacing w:after="0"/>
        <w:rPr>
          <w:rFonts w:cs="Times New Roman"/>
          <w:szCs w:val="24"/>
        </w:rPr>
      </w:pPr>
      <w:r w:rsidRPr="00175297">
        <w:rPr>
          <w:rFonts w:cs="Times New Roman"/>
          <w:szCs w:val="24"/>
        </w:rPr>
        <w:tab/>
      </w:r>
      <w:r w:rsidRPr="00175297">
        <w:rPr>
          <w:rFonts w:cs="Times New Roman"/>
          <w:szCs w:val="24"/>
        </w:rPr>
        <w:tab/>
      </w:r>
      <w:r w:rsidR="00E054CE" w:rsidRPr="00175297">
        <w:rPr>
          <w:rFonts w:cs="Times New Roman"/>
          <w:szCs w:val="24"/>
        </w:rPr>
        <w:t xml:space="preserve">Complainant alleges he received a “fraudulent marketing call” as part of the Company’s “flagrant and well-rehearsed flouting of Commission rules suggesting a broad, systematic, and sophisticated enterprise to deceive customers into overpaying for energy supply.”  </w:t>
      </w:r>
      <w:r w:rsidR="001A75EB" w:rsidRPr="00175297">
        <w:rPr>
          <w:rFonts w:cs="Times New Roman"/>
          <w:szCs w:val="24"/>
        </w:rPr>
        <w:t>As relief,</w:t>
      </w:r>
      <w:r w:rsidR="009F1C45" w:rsidRPr="00175297">
        <w:rPr>
          <w:rFonts w:cs="Times New Roman"/>
          <w:szCs w:val="24"/>
        </w:rPr>
        <w:t xml:space="preserve"> Complainant requests</w:t>
      </w:r>
      <w:r w:rsidRPr="00175297">
        <w:rPr>
          <w:rFonts w:cs="Times New Roman"/>
          <w:szCs w:val="24"/>
        </w:rPr>
        <w:t xml:space="preserve"> that </w:t>
      </w:r>
      <w:r w:rsidR="00E054CE" w:rsidRPr="00175297">
        <w:rPr>
          <w:rFonts w:cs="Times New Roman"/>
          <w:szCs w:val="24"/>
        </w:rPr>
        <w:t xml:space="preserve">the Commission impose civil penalties, revoke Discount Power’s license to provide electric generation services, order Discount Power to disgorge and refund any monies it received from customers, including </w:t>
      </w:r>
      <w:r w:rsidRPr="00175297">
        <w:rPr>
          <w:rFonts w:cs="Times New Roman"/>
          <w:szCs w:val="24"/>
        </w:rPr>
        <w:t>Complainant</w:t>
      </w:r>
      <w:r w:rsidR="00E054CE" w:rsidRPr="00175297">
        <w:rPr>
          <w:rFonts w:cs="Times New Roman"/>
          <w:szCs w:val="24"/>
        </w:rPr>
        <w:t xml:space="preserve">, </w:t>
      </w:r>
      <w:r w:rsidRPr="00175297">
        <w:rPr>
          <w:rFonts w:cs="Times New Roman"/>
          <w:szCs w:val="24"/>
        </w:rPr>
        <w:t xml:space="preserve">and “initiate a further investigation into Discount Power’s conduct to determine the nature and extent of their deceptive and misleading practices, including which of Discount Power[’s]… customers were </w:t>
      </w:r>
      <w:r w:rsidRPr="00175297">
        <w:rPr>
          <w:rFonts w:cs="Times New Roman"/>
          <w:szCs w:val="24"/>
        </w:rPr>
        <w:lastRenderedPageBreak/>
        <w:t>fraudulently induced to enroll with Discount Power…and/or should be returned to default service.”</w:t>
      </w:r>
    </w:p>
    <w:p w14:paraId="5244A115" w14:textId="77777777" w:rsidR="004C5C3D" w:rsidRPr="00175297" w:rsidRDefault="004C5C3D" w:rsidP="004C5C3D">
      <w:pPr>
        <w:spacing w:after="0"/>
        <w:rPr>
          <w:rFonts w:cs="Times New Roman"/>
          <w:szCs w:val="24"/>
        </w:rPr>
      </w:pPr>
    </w:p>
    <w:p w14:paraId="6B7DF23C" w14:textId="26738DE2" w:rsidR="004B78FA" w:rsidRPr="00175297" w:rsidRDefault="00246488" w:rsidP="004C5C3D">
      <w:pPr>
        <w:spacing w:after="0"/>
        <w:rPr>
          <w:rFonts w:cs="Times New Roman"/>
          <w:szCs w:val="24"/>
        </w:rPr>
      </w:pPr>
      <w:r w:rsidRPr="00175297">
        <w:rPr>
          <w:rFonts w:cs="Times New Roman"/>
          <w:szCs w:val="24"/>
        </w:rPr>
        <w:tab/>
      </w:r>
      <w:r w:rsidRPr="00175297">
        <w:rPr>
          <w:rFonts w:cs="Times New Roman"/>
          <w:szCs w:val="24"/>
        </w:rPr>
        <w:tab/>
      </w:r>
      <w:r w:rsidR="009F1C45" w:rsidRPr="00175297">
        <w:rPr>
          <w:rFonts w:cs="Times New Roman"/>
          <w:szCs w:val="24"/>
        </w:rPr>
        <w:t xml:space="preserve">On </w:t>
      </w:r>
      <w:r w:rsidR="00701998" w:rsidRPr="00175297">
        <w:rPr>
          <w:rFonts w:cs="Times New Roman"/>
          <w:szCs w:val="24"/>
        </w:rPr>
        <w:t>October 13</w:t>
      </w:r>
      <w:r w:rsidR="00A43FBB" w:rsidRPr="00175297">
        <w:rPr>
          <w:rFonts w:cs="Times New Roman"/>
          <w:szCs w:val="24"/>
        </w:rPr>
        <w:t xml:space="preserve">, </w:t>
      </w:r>
      <w:r w:rsidR="009F1C45" w:rsidRPr="00175297">
        <w:rPr>
          <w:rFonts w:cs="Times New Roman"/>
          <w:szCs w:val="24"/>
        </w:rPr>
        <w:t xml:space="preserve">2020, Respondent </w:t>
      </w:r>
      <w:r w:rsidRPr="00175297">
        <w:rPr>
          <w:rFonts w:cs="Times New Roman"/>
          <w:szCs w:val="24"/>
        </w:rPr>
        <w:t xml:space="preserve">filed an </w:t>
      </w:r>
      <w:r w:rsidR="00DF1038" w:rsidRPr="00175297">
        <w:rPr>
          <w:rFonts w:cs="Times New Roman"/>
          <w:szCs w:val="24"/>
        </w:rPr>
        <w:t>A</w:t>
      </w:r>
      <w:r w:rsidRPr="00175297">
        <w:rPr>
          <w:rFonts w:cs="Times New Roman"/>
          <w:szCs w:val="24"/>
        </w:rPr>
        <w:t xml:space="preserve">nswer and </w:t>
      </w:r>
      <w:r w:rsidR="00DF1038" w:rsidRPr="00175297">
        <w:rPr>
          <w:rFonts w:cs="Times New Roman"/>
          <w:szCs w:val="24"/>
        </w:rPr>
        <w:t>N</w:t>
      </w:r>
      <w:r w:rsidR="001654A8" w:rsidRPr="00175297">
        <w:rPr>
          <w:rFonts w:cs="Times New Roman"/>
          <w:szCs w:val="24"/>
        </w:rPr>
        <w:t>e</w:t>
      </w:r>
      <w:r w:rsidRPr="00175297">
        <w:rPr>
          <w:rFonts w:cs="Times New Roman"/>
          <w:szCs w:val="24"/>
        </w:rPr>
        <w:t xml:space="preserve">w </w:t>
      </w:r>
      <w:r w:rsidR="00DF1038" w:rsidRPr="00175297">
        <w:rPr>
          <w:rFonts w:cs="Times New Roman"/>
          <w:szCs w:val="24"/>
        </w:rPr>
        <w:t>M</w:t>
      </w:r>
      <w:r w:rsidRPr="00175297">
        <w:rPr>
          <w:rFonts w:cs="Times New Roman"/>
          <w:szCs w:val="24"/>
        </w:rPr>
        <w:t>atter</w:t>
      </w:r>
      <w:r w:rsidR="009F1C45" w:rsidRPr="00175297">
        <w:rPr>
          <w:rFonts w:cs="Times New Roman"/>
          <w:szCs w:val="24"/>
        </w:rPr>
        <w:t>.</w:t>
      </w:r>
      <w:r w:rsidR="00701998" w:rsidRPr="00175297">
        <w:rPr>
          <w:rStyle w:val="FootnoteReference"/>
          <w:rFonts w:cs="Times New Roman"/>
          <w:szCs w:val="24"/>
        </w:rPr>
        <w:footnoteReference w:id="2"/>
      </w:r>
      <w:r w:rsidR="009F1C45" w:rsidRPr="00175297">
        <w:rPr>
          <w:rFonts w:cs="Times New Roman"/>
          <w:szCs w:val="24"/>
        </w:rPr>
        <w:t xml:space="preserve">  </w:t>
      </w:r>
      <w:r w:rsidR="0095354F" w:rsidRPr="00175297">
        <w:rPr>
          <w:rFonts w:cs="Times New Roman"/>
          <w:szCs w:val="24"/>
        </w:rPr>
        <w:t>Respondent</w:t>
      </w:r>
      <w:r w:rsidR="001C5D05" w:rsidRPr="00175297">
        <w:rPr>
          <w:rFonts w:cs="Times New Roman"/>
          <w:szCs w:val="24"/>
        </w:rPr>
        <w:t xml:space="preserve"> admits it provides utility service to Complainant at the service location</w:t>
      </w:r>
      <w:r w:rsidR="00A43FBB" w:rsidRPr="00175297">
        <w:rPr>
          <w:rFonts w:cs="Times New Roman"/>
          <w:szCs w:val="24"/>
        </w:rPr>
        <w:t xml:space="preserve">.  </w:t>
      </w:r>
      <w:r w:rsidR="007A4533" w:rsidRPr="00175297">
        <w:rPr>
          <w:rFonts w:cs="Times New Roman"/>
          <w:szCs w:val="24"/>
        </w:rPr>
        <w:t>The Company denies making a telemarketing call to Complainant, and argues Complainant placed a call to a call center on an unrelated matter and consented to speaking to a representative about electricity.</w:t>
      </w:r>
      <w:r w:rsidR="004B78FA" w:rsidRPr="00175297">
        <w:rPr>
          <w:rFonts w:cs="Times New Roman"/>
          <w:szCs w:val="24"/>
        </w:rPr>
        <w:t xml:space="preserve">  Discount Power avers it enrolled Complainant to receive its services during the call but refunded the entire amount he paid when he called seven days later to rescind the agreement.  </w:t>
      </w:r>
      <w:r w:rsidR="007A4533" w:rsidRPr="00175297">
        <w:rPr>
          <w:rFonts w:cs="Times New Roman"/>
          <w:szCs w:val="24"/>
        </w:rPr>
        <w:t>It denies it engaged in any misleading or deceptive marketing practices or violated the Public Utility Code, Commission regulations or Commission orders during the call</w:t>
      </w:r>
      <w:r w:rsidR="004B78FA" w:rsidRPr="00175297">
        <w:rPr>
          <w:rFonts w:cs="Times New Roman"/>
          <w:szCs w:val="24"/>
        </w:rPr>
        <w:t>.  It essentially denies all the remaining material averments in the Complaint.</w:t>
      </w:r>
    </w:p>
    <w:p w14:paraId="230C339D" w14:textId="77777777" w:rsidR="004B78FA" w:rsidRPr="00175297" w:rsidRDefault="004B78FA" w:rsidP="004C5C3D">
      <w:pPr>
        <w:spacing w:after="0"/>
        <w:rPr>
          <w:rFonts w:cs="Times New Roman"/>
          <w:szCs w:val="24"/>
        </w:rPr>
      </w:pPr>
    </w:p>
    <w:p w14:paraId="00E6D0BF" w14:textId="6EE384EF" w:rsidR="00246488" w:rsidRPr="00175297" w:rsidRDefault="004B78FA" w:rsidP="004C5C3D">
      <w:pPr>
        <w:spacing w:after="0"/>
        <w:rPr>
          <w:rFonts w:cs="Times New Roman"/>
          <w:szCs w:val="24"/>
        </w:rPr>
      </w:pPr>
      <w:r w:rsidRPr="00175297">
        <w:rPr>
          <w:rFonts w:cs="Times New Roman"/>
          <w:szCs w:val="24"/>
        </w:rPr>
        <w:tab/>
      </w:r>
      <w:r w:rsidRPr="00175297">
        <w:rPr>
          <w:rFonts w:cs="Times New Roman"/>
          <w:szCs w:val="24"/>
        </w:rPr>
        <w:tab/>
      </w:r>
      <w:r w:rsidR="00D928D0" w:rsidRPr="00175297">
        <w:rPr>
          <w:rFonts w:cs="Times New Roman"/>
          <w:szCs w:val="24"/>
        </w:rPr>
        <w:t>Finally, i</w:t>
      </w:r>
      <w:r w:rsidR="00246488" w:rsidRPr="00175297">
        <w:rPr>
          <w:rFonts w:cs="Times New Roman"/>
          <w:szCs w:val="24"/>
        </w:rPr>
        <w:t xml:space="preserve">n </w:t>
      </w:r>
      <w:r w:rsidR="00D928D0" w:rsidRPr="00175297">
        <w:rPr>
          <w:rFonts w:cs="Times New Roman"/>
          <w:szCs w:val="24"/>
        </w:rPr>
        <w:t xml:space="preserve">its </w:t>
      </w:r>
      <w:r w:rsidR="00303355" w:rsidRPr="00175297">
        <w:rPr>
          <w:rFonts w:cs="Times New Roman"/>
          <w:szCs w:val="24"/>
        </w:rPr>
        <w:t>N</w:t>
      </w:r>
      <w:r w:rsidR="00246488" w:rsidRPr="00175297">
        <w:rPr>
          <w:rFonts w:cs="Times New Roman"/>
          <w:szCs w:val="24"/>
        </w:rPr>
        <w:t xml:space="preserve">ew </w:t>
      </w:r>
      <w:r w:rsidR="00303355" w:rsidRPr="00175297">
        <w:rPr>
          <w:rFonts w:cs="Times New Roman"/>
          <w:szCs w:val="24"/>
        </w:rPr>
        <w:t>M</w:t>
      </w:r>
      <w:r w:rsidR="00246488" w:rsidRPr="00175297">
        <w:rPr>
          <w:rFonts w:cs="Times New Roman"/>
          <w:szCs w:val="24"/>
        </w:rPr>
        <w:t>atter,</w:t>
      </w:r>
      <w:r w:rsidR="00D928D0" w:rsidRPr="00175297">
        <w:rPr>
          <w:rFonts w:cs="Times New Roman"/>
          <w:szCs w:val="24"/>
        </w:rPr>
        <w:t xml:space="preserve"> Respondent </w:t>
      </w:r>
      <w:r w:rsidR="00246488" w:rsidRPr="00175297">
        <w:rPr>
          <w:rFonts w:cs="Times New Roman"/>
          <w:szCs w:val="24"/>
        </w:rPr>
        <w:t xml:space="preserve">alleges </w:t>
      </w:r>
      <w:r w:rsidR="00D928D0" w:rsidRPr="00175297">
        <w:rPr>
          <w:rFonts w:cs="Times New Roman"/>
          <w:szCs w:val="24"/>
        </w:rPr>
        <w:t xml:space="preserve">the Commission lacks jurisdiction to </w:t>
      </w:r>
      <w:r w:rsidR="004633D4" w:rsidRPr="00175297">
        <w:rPr>
          <w:rFonts w:cs="Times New Roman"/>
          <w:szCs w:val="24"/>
        </w:rPr>
        <w:t xml:space="preserve">enforce the Consumer protection Law, the Telemarketer Registration Act or federal laws; lacks authority to suspend or revoke its license; lacks authority to direct Discount Power to issue refunds; lacks authority to adjudicate a class action lawsuit; </w:t>
      </w:r>
      <w:r w:rsidRPr="00175297">
        <w:rPr>
          <w:rFonts w:cs="Times New Roman"/>
          <w:szCs w:val="24"/>
        </w:rPr>
        <w:t>and is prohibited from conducting an investigation of Discount Power and then imposing remedies due to the prohibition against commingling prosecutorial and adjudicative functions.</w:t>
      </w:r>
    </w:p>
    <w:p w14:paraId="7D1A79BF" w14:textId="77777777" w:rsidR="009F1C45" w:rsidRPr="00175297" w:rsidRDefault="0097262B" w:rsidP="004C5C3D">
      <w:pPr>
        <w:spacing w:after="0"/>
        <w:rPr>
          <w:rFonts w:cs="Times New Roman"/>
          <w:szCs w:val="24"/>
        </w:rPr>
      </w:pPr>
      <w:r w:rsidRPr="00175297">
        <w:rPr>
          <w:rFonts w:cs="Times New Roman"/>
          <w:szCs w:val="24"/>
        </w:rPr>
        <w:tab/>
      </w:r>
      <w:r w:rsidRPr="00175297">
        <w:rPr>
          <w:rFonts w:cs="Times New Roman"/>
          <w:szCs w:val="24"/>
        </w:rPr>
        <w:tab/>
      </w:r>
    </w:p>
    <w:p w14:paraId="60FEBBB4" w14:textId="41E94CA8" w:rsidR="00BF3A30" w:rsidRPr="00175297" w:rsidRDefault="009F1C45" w:rsidP="004C5C3D">
      <w:pPr>
        <w:spacing w:after="0"/>
        <w:rPr>
          <w:rFonts w:cs="Times New Roman"/>
          <w:szCs w:val="24"/>
        </w:rPr>
      </w:pPr>
      <w:r w:rsidRPr="00175297">
        <w:rPr>
          <w:rFonts w:cs="Times New Roman"/>
          <w:szCs w:val="24"/>
        </w:rPr>
        <w:tab/>
      </w:r>
      <w:r w:rsidRPr="00175297">
        <w:rPr>
          <w:rFonts w:cs="Times New Roman"/>
          <w:szCs w:val="24"/>
        </w:rPr>
        <w:tab/>
      </w:r>
      <w:r w:rsidR="002613FA" w:rsidRPr="00175297">
        <w:rPr>
          <w:rFonts w:cs="Times New Roman"/>
          <w:szCs w:val="24"/>
        </w:rPr>
        <w:t xml:space="preserve">On </w:t>
      </w:r>
      <w:r w:rsidR="004B78FA" w:rsidRPr="00175297">
        <w:rPr>
          <w:rFonts w:cs="Times New Roman"/>
          <w:szCs w:val="24"/>
        </w:rPr>
        <w:t>October 13</w:t>
      </w:r>
      <w:r w:rsidR="002613FA" w:rsidRPr="00175297">
        <w:rPr>
          <w:rFonts w:cs="Times New Roman"/>
          <w:szCs w:val="24"/>
        </w:rPr>
        <w:t xml:space="preserve">, 2020, Respondent </w:t>
      </w:r>
      <w:r w:rsidR="0097262B" w:rsidRPr="00175297">
        <w:rPr>
          <w:rFonts w:cs="Times New Roman"/>
          <w:szCs w:val="24"/>
        </w:rPr>
        <w:t xml:space="preserve">also filed </w:t>
      </w:r>
      <w:r w:rsidR="00303355" w:rsidRPr="00175297">
        <w:rPr>
          <w:rFonts w:cs="Times New Roman"/>
          <w:szCs w:val="24"/>
        </w:rPr>
        <w:t>P</w:t>
      </w:r>
      <w:r w:rsidR="0097262B" w:rsidRPr="00175297">
        <w:rPr>
          <w:rFonts w:cs="Times New Roman"/>
          <w:szCs w:val="24"/>
        </w:rPr>
        <w:t xml:space="preserve">reliminary </w:t>
      </w:r>
      <w:r w:rsidR="00303355" w:rsidRPr="00175297">
        <w:rPr>
          <w:rFonts w:cs="Times New Roman"/>
          <w:szCs w:val="24"/>
        </w:rPr>
        <w:t>O</w:t>
      </w:r>
      <w:r w:rsidR="0097262B" w:rsidRPr="00175297">
        <w:rPr>
          <w:rFonts w:cs="Times New Roman"/>
          <w:szCs w:val="24"/>
        </w:rPr>
        <w:t>bjections</w:t>
      </w:r>
      <w:r w:rsidR="00BF3A30" w:rsidRPr="00175297">
        <w:rPr>
          <w:rFonts w:cs="Times New Roman"/>
          <w:szCs w:val="24"/>
        </w:rPr>
        <w:t>, seeking</w:t>
      </w:r>
      <w:r w:rsidR="008F638C">
        <w:rPr>
          <w:rFonts w:cs="Times New Roman"/>
          <w:szCs w:val="24"/>
        </w:rPr>
        <w:t xml:space="preserve"> </w:t>
      </w:r>
      <w:r w:rsidR="00BF3A30" w:rsidRPr="00175297">
        <w:rPr>
          <w:rFonts w:cs="Times New Roman"/>
          <w:szCs w:val="24"/>
        </w:rPr>
        <w:t>dismissal of</w:t>
      </w:r>
      <w:r w:rsidR="008F638C" w:rsidRPr="00175297">
        <w:rPr>
          <w:rFonts w:cs="Times New Roman"/>
          <w:szCs w:val="24"/>
        </w:rPr>
        <w:t>: (1)</w:t>
      </w:r>
      <w:r w:rsidR="00BF3A30" w:rsidRPr="00175297">
        <w:rPr>
          <w:rFonts w:cs="Times New Roman"/>
          <w:szCs w:val="24"/>
        </w:rPr>
        <w:t xml:space="preserve"> the averments in the Complaint that allege a violation of the Pennsylvania Unfair Trade Practices and Consumer Protection Law (CPL)</w:t>
      </w:r>
      <w:r w:rsidR="00BF3A30" w:rsidRPr="00175297">
        <w:rPr>
          <w:rStyle w:val="FootnoteReference"/>
          <w:rFonts w:cs="Times New Roman"/>
          <w:szCs w:val="24"/>
        </w:rPr>
        <w:footnoteReference w:id="3"/>
      </w:r>
      <w:r w:rsidR="00666600">
        <w:rPr>
          <w:rFonts w:cs="Times New Roman"/>
          <w:szCs w:val="24"/>
        </w:rPr>
        <w:t>,</w:t>
      </w:r>
      <w:r w:rsidR="00BF3A30" w:rsidRPr="00175297">
        <w:rPr>
          <w:rFonts w:cs="Times New Roman"/>
          <w:szCs w:val="24"/>
        </w:rPr>
        <w:t xml:space="preserve"> the Telemarketer Registration Act (TRA)</w:t>
      </w:r>
      <w:r w:rsidR="00BF3A30" w:rsidRPr="00175297">
        <w:rPr>
          <w:rStyle w:val="FootnoteReference"/>
          <w:rFonts w:cs="Times New Roman"/>
          <w:szCs w:val="24"/>
        </w:rPr>
        <w:footnoteReference w:id="4"/>
      </w:r>
      <w:r w:rsidR="00BF3A30" w:rsidRPr="00175297">
        <w:rPr>
          <w:rFonts w:cs="Times New Roman"/>
          <w:szCs w:val="24"/>
        </w:rPr>
        <w:t>, and federal laws; and (2) the requests in the Complaint seeking customer</w:t>
      </w:r>
      <w:r w:rsidR="008F638C">
        <w:rPr>
          <w:rFonts w:cs="Times New Roman"/>
          <w:szCs w:val="24"/>
        </w:rPr>
        <w:t xml:space="preserve"> refunds</w:t>
      </w:r>
      <w:r w:rsidR="00BF3A30" w:rsidRPr="00175297">
        <w:rPr>
          <w:rFonts w:cs="Times New Roman"/>
          <w:szCs w:val="24"/>
        </w:rPr>
        <w:t>.</w:t>
      </w:r>
    </w:p>
    <w:p w14:paraId="66C759BC" w14:textId="5B6FF67F" w:rsidR="00AE3BF0" w:rsidRPr="00175297" w:rsidRDefault="00AE3BF0" w:rsidP="004C5C3D">
      <w:pPr>
        <w:spacing w:after="0"/>
        <w:rPr>
          <w:rFonts w:cs="Times New Roman"/>
          <w:szCs w:val="24"/>
        </w:rPr>
      </w:pPr>
    </w:p>
    <w:p w14:paraId="6E4AAC66" w14:textId="4BB299CD" w:rsidR="00724903" w:rsidRPr="00175297" w:rsidRDefault="002613FA" w:rsidP="004C5C3D">
      <w:pPr>
        <w:spacing w:after="0"/>
        <w:rPr>
          <w:rFonts w:cs="Times New Roman"/>
          <w:szCs w:val="24"/>
        </w:rPr>
      </w:pPr>
      <w:r w:rsidRPr="00175297">
        <w:rPr>
          <w:rFonts w:cs="Times New Roman"/>
          <w:szCs w:val="24"/>
        </w:rPr>
        <w:lastRenderedPageBreak/>
        <w:tab/>
      </w:r>
      <w:r w:rsidRPr="00175297">
        <w:rPr>
          <w:rFonts w:cs="Times New Roman"/>
          <w:szCs w:val="24"/>
        </w:rPr>
        <w:tab/>
      </w:r>
      <w:r w:rsidR="00687F23" w:rsidRPr="00175297">
        <w:rPr>
          <w:rFonts w:cs="Times New Roman"/>
          <w:szCs w:val="24"/>
        </w:rPr>
        <w:t>On October 23, 2020, Complainant filed an Answer to the Preliminary Objections.</w:t>
      </w:r>
      <w:r w:rsidR="007A2F42" w:rsidRPr="00175297">
        <w:rPr>
          <w:rFonts w:cs="Times New Roman"/>
          <w:szCs w:val="24"/>
        </w:rPr>
        <w:t xml:space="preserve">  </w:t>
      </w:r>
    </w:p>
    <w:p w14:paraId="4B78811B" w14:textId="77777777" w:rsidR="00687F23" w:rsidRPr="00175297" w:rsidRDefault="00687F23" w:rsidP="004C5C3D">
      <w:pPr>
        <w:spacing w:after="0"/>
        <w:rPr>
          <w:rFonts w:cs="Times New Roman"/>
          <w:szCs w:val="24"/>
        </w:rPr>
      </w:pPr>
    </w:p>
    <w:p w14:paraId="4C2A858E" w14:textId="1AEBEEA1" w:rsidR="008E74E4" w:rsidRPr="00175297" w:rsidRDefault="00687F23" w:rsidP="004C5C3D">
      <w:pPr>
        <w:spacing w:after="0"/>
        <w:rPr>
          <w:rFonts w:cs="Times New Roman"/>
          <w:szCs w:val="24"/>
        </w:rPr>
      </w:pPr>
      <w:r w:rsidRPr="00175297">
        <w:rPr>
          <w:rFonts w:cs="Times New Roman"/>
          <w:szCs w:val="24"/>
        </w:rPr>
        <w:tab/>
      </w:r>
      <w:r w:rsidRPr="00175297">
        <w:rPr>
          <w:rFonts w:cs="Times New Roman"/>
          <w:szCs w:val="24"/>
        </w:rPr>
        <w:tab/>
      </w:r>
      <w:r w:rsidR="00E40DE8" w:rsidRPr="00175297">
        <w:rPr>
          <w:rFonts w:cs="Times New Roman"/>
          <w:szCs w:val="24"/>
        </w:rPr>
        <w:t>On November 2, 2020, Complainant filed a Reply to the New Matter</w:t>
      </w:r>
      <w:r w:rsidRPr="00175297">
        <w:rPr>
          <w:rFonts w:cs="Times New Roman"/>
          <w:szCs w:val="24"/>
        </w:rPr>
        <w:t xml:space="preserve">.  Complainant denies the Company’s characterization of the Commission’s authority to suspend or revoke its license or order customer refunds.  He also denies the Company’s characterization of the Complaint as a “class action lawsuit” and denies the Commission lacks authority to investigate Discount Power and impose remedies. </w:t>
      </w:r>
    </w:p>
    <w:p w14:paraId="1DEACDF7" w14:textId="77777777" w:rsidR="002613FA" w:rsidRPr="00175297" w:rsidRDefault="002613FA" w:rsidP="004C5C3D">
      <w:pPr>
        <w:spacing w:after="0"/>
        <w:rPr>
          <w:rFonts w:cs="Times New Roman"/>
          <w:szCs w:val="24"/>
        </w:rPr>
      </w:pPr>
    </w:p>
    <w:p w14:paraId="6ED4C1DD" w14:textId="6E3F838F" w:rsidR="00687F23" w:rsidRPr="00175297" w:rsidRDefault="00BF3A30" w:rsidP="004C5C3D">
      <w:pPr>
        <w:spacing w:after="0"/>
        <w:rPr>
          <w:rFonts w:eastAsia="SimSun" w:cs="Times New Roman"/>
          <w:szCs w:val="24"/>
          <w:u w:val="single"/>
        </w:rPr>
      </w:pPr>
      <w:r w:rsidRPr="00175297">
        <w:rPr>
          <w:rFonts w:eastAsia="SimSun" w:cs="Times New Roman"/>
          <w:szCs w:val="24"/>
          <w:u w:val="single"/>
        </w:rPr>
        <w:t>Legal Authority</w:t>
      </w:r>
      <w:r w:rsidR="00977A46" w:rsidRPr="00175297">
        <w:rPr>
          <w:rFonts w:eastAsia="SimSun" w:cs="Times New Roman"/>
          <w:szCs w:val="24"/>
        </w:rPr>
        <w:tab/>
      </w:r>
      <w:r w:rsidR="00977A46" w:rsidRPr="00175297">
        <w:rPr>
          <w:rFonts w:eastAsia="SimSun" w:cs="Times New Roman"/>
          <w:szCs w:val="24"/>
        </w:rPr>
        <w:tab/>
      </w:r>
    </w:p>
    <w:p w14:paraId="6A025A66" w14:textId="77777777" w:rsidR="00687F23" w:rsidRPr="00175297" w:rsidRDefault="00687F23" w:rsidP="004C5C3D">
      <w:pPr>
        <w:spacing w:after="0"/>
        <w:rPr>
          <w:rFonts w:eastAsia="SimSun" w:cs="Times New Roman"/>
          <w:szCs w:val="24"/>
        </w:rPr>
      </w:pPr>
    </w:p>
    <w:p w14:paraId="08CA6A3D" w14:textId="4327FF8C" w:rsidR="00977A46" w:rsidRPr="00175297" w:rsidRDefault="00687F23" w:rsidP="004C5C3D">
      <w:pPr>
        <w:spacing w:after="0"/>
        <w:rPr>
          <w:rFonts w:eastAsia="SimSun" w:cs="Times New Roman"/>
          <w:szCs w:val="24"/>
        </w:rPr>
      </w:pPr>
      <w:r w:rsidRPr="00175297">
        <w:rPr>
          <w:rFonts w:eastAsia="SimSun" w:cs="Times New Roman"/>
          <w:szCs w:val="24"/>
        </w:rPr>
        <w:tab/>
      </w:r>
      <w:r w:rsidRPr="00175297">
        <w:rPr>
          <w:rFonts w:eastAsia="SimSun" w:cs="Times New Roman"/>
          <w:szCs w:val="24"/>
        </w:rPr>
        <w:tab/>
      </w:r>
      <w:r w:rsidR="00977A46" w:rsidRPr="00175297">
        <w:rPr>
          <w:rFonts w:eastAsia="SimSun" w:cs="Times New Roman"/>
          <w:szCs w:val="24"/>
        </w:rPr>
        <w:t xml:space="preserve">The grounds for </w:t>
      </w:r>
      <w:r w:rsidR="00303355" w:rsidRPr="00175297">
        <w:rPr>
          <w:rFonts w:eastAsia="SimSun" w:cs="Times New Roman"/>
          <w:szCs w:val="24"/>
        </w:rPr>
        <w:t>p</w:t>
      </w:r>
      <w:r w:rsidR="00977A46" w:rsidRPr="00175297">
        <w:rPr>
          <w:rFonts w:eastAsia="SimSun" w:cs="Times New Roman"/>
          <w:szCs w:val="24"/>
        </w:rPr>
        <w:t>reliminary objection</w:t>
      </w:r>
      <w:r w:rsidR="001D0D07" w:rsidRPr="00175297">
        <w:rPr>
          <w:rFonts w:eastAsia="SimSun" w:cs="Times New Roman"/>
          <w:szCs w:val="24"/>
        </w:rPr>
        <w:t>s</w:t>
      </w:r>
      <w:r w:rsidR="00977A46" w:rsidRPr="00175297">
        <w:rPr>
          <w:rFonts w:eastAsia="SimSun" w:cs="Times New Roman"/>
          <w:szCs w:val="24"/>
        </w:rPr>
        <w:t xml:space="preserve"> are limited.  Section 5.101(a)(1), provides that preliminary objections may be granted where the Commission lacks jurisdiction to resolve a dispute.</w:t>
      </w:r>
      <w:r w:rsidR="00977A46" w:rsidRPr="00175297">
        <w:rPr>
          <w:rFonts w:eastAsia="SimSun" w:cs="Times New Roman"/>
          <w:szCs w:val="24"/>
          <w:vertAlign w:val="superscript"/>
        </w:rPr>
        <w:footnoteReference w:id="5"/>
      </w:r>
    </w:p>
    <w:p w14:paraId="585A555D" w14:textId="77777777" w:rsidR="00977A46" w:rsidRPr="00175297" w:rsidRDefault="00977A46" w:rsidP="004C5C3D">
      <w:pPr>
        <w:spacing w:after="0"/>
        <w:rPr>
          <w:rFonts w:eastAsia="SimSun" w:cs="Times New Roman"/>
          <w:szCs w:val="24"/>
        </w:rPr>
      </w:pPr>
    </w:p>
    <w:p w14:paraId="60441DDD" w14:textId="1575BC99" w:rsidR="00D157D2" w:rsidRPr="00175297" w:rsidRDefault="00977A46" w:rsidP="004C5C3D">
      <w:pPr>
        <w:spacing w:after="0"/>
        <w:rPr>
          <w:rFonts w:eastAsia="SimSun" w:cs="Times New Roman"/>
          <w:szCs w:val="24"/>
        </w:rPr>
      </w:pPr>
      <w:r w:rsidRPr="00175297">
        <w:rPr>
          <w:rFonts w:eastAsia="SimSun" w:cs="Times New Roman"/>
          <w:szCs w:val="24"/>
        </w:rPr>
        <w:tab/>
      </w:r>
      <w:r w:rsidRPr="00175297">
        <w:rPr>
          <w:rFonts w:eastAsia="SimSun" w:cs="Times New Roman"/>
          <w:szCs w:val="24"/>
        </w:rPr>
        <w:tab/>
        <w:t>Preliminary objection practice before the Commission is similar to Pennsylvania civil practice respecting preliminary objections.</w:t>
      </w:r>
      <w:r w:rsidRPr="00175297">
        <w:rPr>
          <w:rFonts w:eastAsia="SimSun" w:cs="Times New Roman"/>
          <w:szCs w:val="24"/>
          <w:vertAlign w:val="superscript"/>
        </w:rPr>
        <w:footnoteReference w:id="6"/>
      </w:r>
      <w:r w:rsidRPr="00175297">
        <w:rPr>
          <w:rFonts w:eastAsia="SimSun" w:cs="Times New Roman"/>
          <w:szCs w:val="24"/>
        </w:rPr>
        <w:t xml:space="preserve">  In deciding the preliminary objections, the Commission must determine whether, based on well-pleaded factual averments of the petitioners, recovery or relief is possible.</w:t>
      </w:r>
      <w:r w:rsidRPr="00175297">
        <w:rPr>
          <w:rFonts w:eastAsia="SimSun" w:cs="Times New Roman"/>
          <w:szCs w:val="24"/>
          <w:vertAlign w:val="superscript"/>
        </w:rPr>
        <w:footnoteReference w:id="7"/>
      </w:r>
      <w:r w:rsidRPr="00175297">
        <w:rPr>
          <w:rFonts w:eastAsia="SimSun" w:cs="Times New Roman"/>
          <w:szCs w:val="24"/>
        </w:rPr>
        <w:t xml:space="preserve">  Any doubt must be resolved in favor of the non</w:t>
      </w:r>
      <w:r w:rsidRPr="00175297">
        <w:rPr>
          <w:rFonts w:eastAsia="SimSun" w:cs="Times New Roman"/>
          <w:szCs w:val="24"/>
        </w:rPr>
        <w:noBreakHyphen/>
        <w:t>moving party by refusing to sustain the preliminary objections.</w:t>
      </w:r>
      <w:r w:rsidRPr="00175297">
        <w:rPr>
          <w:rFonts w:eastAsia="SimSun" w:cs="Times New Roman"/>
          <w:szCs w:val="24"/>
          <w:vertAlign w:val="superscript"/>
        </w:rPr>
        <w:footnoteReference w:id="8"/>
      </w:r>
      <w:r w:rsidRPr="00175297">
        <w:rPr>
          <w:rFonts w:eastAsia="SimSun" w:cs="Times New Roman"/>
          <w:szCs w:val="24"/>
        </w:rPr>
        <w:t xml:space="preserve">  All of the non-moving party’s averments in the complaint must be viewed as true for purposes of deciding the preliminary objections.</w:t>
      </w:r>
      <w:r w:rsidRPr="00175297">
        <w:rPr>
          <w:rFonts w:eastAsia="SimSun" w:cs="Times New Roman"/>
          <w:szCs w:val="24"/>
          <w:vertAlign w:val="superscript"/>
        </w:rPr>
        <w:footnoteReference w:id="9"/>
      </w:r>
      <w:r w:rsidRPr="00175297">
        <w:rPr>
          <w:rFonts w:eastAsia="SimSun" w:cs="Times New Roman"/>
          <w:szCs w:val="24"/>
        </w:rPr>
        <w:t xml:space="preserve">  Only those facts specifically admitted may be considered against the </w:t>
      </w:r>
      <w:r w:rsidRPr="00175297">
        <w:rPr>
          <w:rFonts w:eastAsia="SimSun" w:cs="Times New Roman"/>
          <w:szCs w:val="24"/>
        </w:rPr>
        <w:lastRenderedPageBreak/>
        <w:t>non-moving party.</w:t>
      </w:r>
      <w:r w:rsidRPr="00175297">
        <w:rPr>
          <w:rFonts w:eastAsia="SimSun" w:cs="Times New Roman"/>
          <w:szCs w:val="24"/>
          <w:vertAlign w:val="superscript"/>
        </w:rPr>
        <w:footnoteReference w:id="10"/>
      </w:r>
      <w:r w:rsidR="002613FA" w:rsidRPr="00175297">
        <w:rPr>
          <w:rFonts w:eastAsia="SimSun" w:cs="Times New Roman"/>
          <w:szCs w:val="24"/>
        </w:rPr>
        <w:t xml:space="preserve"> </w:t>
      </w:r>
      <w:r w:rsidRPr="00175297">
        <w:rPr>
          <w:rFonts w:eastAsia="SimSun" w:cs="Times New Roman"/>
          <w:szCs w:val="24"/>
        </w:rPr>
        <w:t xml:space="preserve"> A preliminary objection which seeks dismissal of a pleading will only be granted where relief is clearly warranted and free from doubt.</w:t>
      </w:r>
      <w:r w:rsidRPr="00175297">
        <w:rPr>
          <w:rFonts w:eastAsia="SimSun" w:cs="Times New Roman"/>
          <w:szCs w:val="24"/>
          <w:vertAlign w:val="superscript"/>
        </w:rPr>
        <w:footnoteReference w:id="11"/>
      </w:r>
    </w:p>
    <w:p w14:paraId="60D0F6A6" w14:textId="4B931991" w:rsidR="00BF3A30" w:rsidRPr="00175297" w:rsidRDefault="00BF3A30" w:rsidP="004C5C3D">
      <w:pPr>
        <w:spacing w:after="0"/>
        <w:rPr>
          <w:rFonts w:eastAsia="SimSun" w:cs="Times New Roman"/>
          <w:szCs w:val="24"/>
        </w:rPr>
      </w:pPr>
    </w:p>
    <w:p w14:paraId="6548B2A7" w14:textId="41D19262" w:rsidR="00BF3A30" w:rsidRPr="00175297" w:rsidRDefault="00BF3A30" w:rsidP="004C5C3D">
      <w:pPr>
        <w:spacing w:after="0"/>
        <w:rPr>
          <w:rFonts w:eastAsia="SimSun" w:cs="Times New Roman"/>
          <w:szCs w:val="24"/>
          <w:u w:val="single"/>
        </w:rPr>
      </w:pPr>
      <w:r w:rsidRPr="00175297">
        <w:rPr>
          <w:rFonts w:eastAsia="SimSun" w:cs="Times New Roman"/>
          <w:szCs w:val="24"/>
          <w:u w:val="single"/>
        </w:rPr>
        <w:t>Preliminary Objection Regarding the CPL, TRA, and Federal Law</w:t>
      </w:r>
    </w:p>
    <w:p w14:paraId="19F6FCA6" w14:textId="33472879" w:rsidR="00BF3A30" w:rsidRPr="00175297" w:rsidRDefault="00BF3A30" w:rsidP="004C5C3D">
      <w:pPr>
        <w:spacing w:after="0"/>
        <w:rPr>
          <w:rFonts w:eastAsia="SimSun" w:cs="Times New Roman"/>
          <w:szCs w:val="24"/>
        </w:rPr>
      </w:pPr>
    </w:p>
    <w:p w14:paraId="6F1B5A42" w14:textId="3D094136" w:rsidR="00BF3A30" w:rsidRPr="00175297" w:rsidRDefault="00BF3A30" w:rsidP="004C5C3D">
      <w:pPr>
        <w:spacing w:after="0"/>
        <w:rPr>
          <w:rFonts w:cs="Times New Roman"/>
          <w:szCs w:val="24"/>
        </w:rPr>
      </w:pPr>
      <w:r w:rsidRPr="00175297">
        <w:rPr>
          <w:rFonts w:cs="Times New Roman"/>
          <w:szCs w:val="24"/>
        </w:rPr>
        <w:tab/>
      </w:r>
      <w:r w:rsidRPr="00175297">
        <w:rPr>
          <w:rFonts w:cs="Times New Roman"/>
          <w:szCs w:val="24"/>
        </w:rPr>
        <w:tab/>
        <w:t>Respondent contends that Complainant is alleging violations of state laws, including the Pennsylvania Unfair Trade Practices and Consumer Protection Law (CPL)</w:t>
      </w:r>
      <w:r w:rsidRPr="00175297">
        <w:rPr>
          <w:rStyle w:val="FootnoteReference"/>
          <w:rFonts w:cs="Times New Roman"/>
          <w:szCs w:val="24"/>
        </w:rPr>
        <w:footnoteReference w:id="12"/>
      </w:r>
      <w:r w:rsidRPr="00175297">
        <w:rPr>
          <w:rFonts w:cs="Times New Roman"/>
          <w:szCs w:val="24"/>
        </w:rPr>
        <w:t xml:space="preserve"> and the Telemarketer Registration Act (TRA)</w:t>
      </w:r>
      <w:r w:rsidRPr="00175297">
        <w:rPr>
          <w:rStyle w:val="FootnoteReference"/>
          <w:rFonts w:cs="Times New Roman"/>
          <w:szCs w:val="24"/>
        </w:rPr>
        <w:footnoteReference w:id="13"/>
      </w:r>
      <w:r w:rsidRPr="00175297">
        <w:rPr>
          <w:rFonts w:cs="Times New Roman"/>
          <w:szCs w:val="24"/>
        </w:rPr>
        <w:t xml:space="preserve">, and federal laws.  The Company argues the Commission lacks jurisdiction to enforce the CPL and the TRA </w:t>
      </w:r>
      <w:r w:rsidR="00191845" w:rsidRPr="00175297">
        <w:rPr>
          <w:rFonts w:cs="Times New Roman"/>
          <w:szCs w:val="24"/>
        </w:rPr>
        <w:t xml:space="preserve">and federal laws </w:t>
      </w:r>
      <w:r w:rsidRPr="00175297">
        <w:rPr>
          <w:rFonts w:cs="Times New Roman"/>
          <w:szCs w:val="24"/>
        </w:rPr>
        <w:t xml:space="preserve">and requests that the averments in the Complaint that allege a violation of those laws be dismissed.  </w:t>
      </w:r>
    </w:p>
    <w:p w14:paraId="622FA096" w14:textId="58308E7B" w:rsidR="00BF3A30" w:rsidRPr="00175297" w:rsidRDefault="00BF3A30" w:rsidP="004C5C3D">
      <w:pPr>
        <w:spacing w:after="0"/>
        <w:rPr>
          <w:rFonts w:cs="Times New Roman"/>
          <w:szCs w:val="24"/>
        </w:rPr>
      </w:pPr>
    </w:p>
    <w:p w14:paraId="242C0075" w14:textId="5A2340B9" w:rsidR="00BF3A30" w:rsidRPr="00175297" w:rsidRDefault="00BF3A30" w:rsidP="004C5C3D">
      <w:pPr>
        <w:spacing w:after="0"/>
        <w:rPr>
          <w:rFonts w:cs="Times New Roman"/>
          <w:szCs w:val="24"/>
        </w:rPr>
      </w:pPr>
      <w:r w:rsidRPr="00175297">
        <w:rPr>
          <w:rFonts w:cs="Times New Roman"/>
          <w:szCs w:val="24"/>
        </w:rPr>
        <w:tab/>
      </w:r>
      <w:r w:rsidRPr="00175297">
        <w:rPr>
          <w:rFonts w:cs="Times New Roman"/>
          <w:szCs w:val="24"/>
        </w:rPr>
        <w:tab/>
        <w:t>In response, Complainant explains this Preliminary Objection relies on a mischaracterization of the Complaint.  He argues that the Complaint does not ask the Commission to enforce the CPL, the TRA, or federal laws; rather, the Complaint “references these laws in a single footnote</w:t>
      </w:r>
      <w:r w:rsidRPr="00175297">
        <w:rPr>
          <w:rStyle w:val="FootnoteReference"/>
          <w:rFonts w:cs="Times New Roman"/>
          <w:szCs w:val="24"/>
        </w:rPr>
        <w:footnoteReference w:id="14"/>
      </w:r>
      <w:r w:rsidRPr="00175297">
        <w:rPr>
          <w:rFonts w:cs="Times New Roman"/>
          <w:szCs w:val="24"/>
        </w:rPr>
        <w:t xml:space="preserve"> as examples the Commission can look to in evaluating Discount Power’s compliance with 52 Pa.Code § 111.12(d)(1)</w:t>
      </w:r>
      <w:r w:rsidR="00191845" w:rsidRPr="00175297">
        <w:rPr>
          <w:rFonts w:cs="Times New Roman"/>
          <w:szCs w:val="24"/>
        </w:rPr>
        <w:t>,</w:t>
      </w:r>
      <w:r w:rsidRPr="00175297">
        <w:rPr>
          <w:rFonts w:cs="Times New Roman"/>
          <w:szCs w:val="24"/>
        </w:rPr>
        <w:t xml:space="preserve"> which </w:t>
      </w:r>
      <w:r w:rsidR="00191845" w:rsidRPr="00175297">
        <w:rPr>
          <w:rFonts w:cs="Times New Roman"/>
          <w:szCs w:val="24"/>
        </w:rPr>
        <w:t>provides,</w:t>
      </w:r>
      <w:r w:rsidRPr="00175297">
        <w:rPr>
          <w:rFonts w:cs="Times New Roman"/>
          <w:szCs w:val="24"/>
        </w:rPr>
        <w:t xml:space="preserve"> </w:t>
      </w:r>
      <w:r w:rsidR="00191845" w:rsidRPr="00175297">
        <w:rPr>
          <w:rFonts w:cs="Times New Roman"/>
          <w:szCs w:val="24"/>
        </w:rPr>
        <w:t>“</w:t>
      </w:r>
      <w:r w:rsidRPr="00175297">
        <w:rPr>
          <w:rFonts w:cs="Times New Roman"/>
          <w:szCs w:val="24"/>
        </w:rPr>
        <w:t xml:space="preserve">A supplier … [m]ay not engage in misleading or deceptive conduct </w:t>
      </w:r>
      <w:r w:rsidRPr="00175297">
        <w:rPr>
          <w:rFonts w:cs="Times New Roman"/>
          <w:szCs w:val="24"/>
          <w:u w:val="single"/>
        </w:rPr>
        <w:t>as defined by State or Federal Law</w:t>
      </w:r>
      <w:r w:rsidRPr="00175297">
        <w:rPr>
          <w:rFonts w:cs="Times New Roman"/>
          <w:szCs w:val="24"/>
        </w:rPr>
        <w:t>, or by Commission rule, regulation</w:t>
      </w:r>
      <w:r w:rsidR="00191845" w:rsidRPr="00175297">
        <w:rPr>
          <w:rFonts w:cs="Times New Roman"/>
          <w:szCs w:val="24"/>
        </w:rPr>
        <w:t>, or o</w:t>
      </w:r>
      <w:r w:rsidRPr="00175297">
        <w:rPr>
          <w:rFonts w:cs="Times New Roman"/>
          <w:szCs w:val="24"/>
        </w:rPr>
        <w:t>rder.”</w:t>
      </w:r>
      <w:r w:rsidR="00191845" w:rsidRPr="00175297">
        <w:rPr>
          <w:rStyle w:val="FootnoteReference"/>
          <w:rFonts w:cs="Times New Roman"/>
          <w:szCs w:val="24"/>
        </w:rPr>
        <w:footnoteReference w:id="15"/>
      </w:r>
      <w:r w:rsidRPr="00175297">
        <w:rPr>
          <w:rFonts w:cs="Times New Roman"/>
          <w:szCs w:val="24"/>
        </w:rPr>
        <w:t xml:space="preserve">  Complainant clarifies, “Each allegation in the Complaint is brought under – and explicitly cites to – the Public Utility Commission or Commission regulation or order, and falls within the Commission’s jurisdiction.”</w:t>
      </w:r>
      <w:r w:rsidR="00191845" w:rsidRPr="00175297">
        <w:rPr>
          <w:rFonts w:cs="Times New Roman"/>
          <w:szCs w:val="24"/>
        </w:rPr>
        <w:t xml:space="preserve">  </w:t>
      </w:r>
    </w:p>
    <w:p w14:paraId="1576ED59" w14:textId="0E7C37A4" w:rsidR="00191845" w:rsidRPr="00175297" w:rsidRDefault="00191845" w:rsidP="004C5C3D">
      <w:pPr>
        <w:spacing w:after="0"/>
        <w:rPr>
          <w:rFonts w:cs="Times New Roman"/>
          <w:szCs w:val="24"/>
        </w:rPr>
      </w:pPr>
    </w:p>
    <w:p w14:paraId="4E6F4CEB" w14:textId="1347BA04" w:rsidR="00191845" w:rsidRPr="00175297" w:rsidRDefault="00191845" w:rsidP="004C5C3D">
      <w:pPr>
        <w:spacing w:after="0"/>
        <w:rPr>
          <w:rFonts w:cs="Times New Roman"/>
          <w:szCs w:val="24"/>
        </w:rPr>
      </w:pPr>
      <w:r w:rsidRPr="00175297">
        <w:rPr>
          <w:rFonts w:cs="Times New Roman"/>
          <w:szCs w:val="24"/>
        </w:rPr>
        <w:tab/>
      </w:r>
      <w:r w:rsidRPr="00175297">
        <w:rPr>
          <w:rFonts w:cs="Times New Roman"/>
          <w:szCs w:val="24"/>
        </w:rPr>
        <w:tab/>
      </w:r>
    </w:p>
    <w:p w14:paraId="471A4007" w14:textId="77777777" w:rsidR="00BF3A30" w:rsidRPr="00175297" w:rsidRDefault="00BF3A30" w:rsidP="004C5C3D">
      <w:pPr>
        <w:spacing w:after="0"/>
        <w:rPr>
          <w:rFonts w:cs="Times New Roman"/>
          <w:szCs w:val="24"/>
        </w:rPr>
      </w:pPr>
    </w:p>
    <w:p w14:paraId="21287168" w14:textId="77777777" w:rsidR="00EC597C" w:rsidRPr="00175297" w:rsidRDefault="00191845" w:rsidP="004C5C3D">
      <w:pPr>
        <w:spacing w:after="0"/>
        <w:rPr>
          <w:rFonts w:cs="Times New Roman"/>
          <w:szCs w:val="24"/>
        </w:rPr>
      </w:pPr>
      <w:r w:rsidRPr="00175297">
        <w:rPr>
          <w:rFonts w:cs="Times New Roman"/>
          <w:szCs w:val="24"/>
        </w:rPr>
        <w:lastRenderedPageBreak/>
        <w:tab/>
      </w:r>
      <w:r w:rsidR="006F4910" w:rsidRPr="00175297">
        <w:rPr>
          <w:rFonts w:cs="Times New Roman"/>
          <w:szCs w:val="24"/>
        </w:rPr>
        <w:tab/>
      </w:r>
      <w:r w:rsidRPr="00175297">
        <w:rPr>
          <w:rFonts w:cs="Times New Roman"/>
          <w:szCs w:val="24"/>
        </w:rPr>
        <w:t xml:space="preserve">Notably, the Complaint alleges “misleading deceptive marketing practices in violation of, </w:t>
      </w:r>
      <w:r w:rsidRPr="00175297">
        <w:rPr>
          <w:rFonts w:cs="Times New Roman"/>
          <w:i/>
          <w:iCs/>
          <w:szCs w:val="24"/>
        </w:rPr>
        <w:t>inter alia</w:t>
      </w:r>
      <w:r w:rsidRPr="00175297">
        <w:rPr>
          <w:rFonts w:cs="Times New Roman"/>
          <w:szCs w:val="24"/>
        </w:rPr>
        <w:t>, the Pennsylvania Public Utility Code; Pennsylvania Public Utility Commission (Commission) regulations 52 Pa.Code §§ 54.43, 54.122, 56.1, 62.114, 111.1, 111.2, 111.5, 111.6, 111.7, 111.8, 111.10, and 111.12; the conditions of Discount Power’s Commission-issued license to operate as an Electric Generation Supplier (EGS); and other applicable Commission orders and directives.”</w:t>
      </w:r>
      <w:r w:rsidRPr="00175297">
        <w:rPr>
          <w:rStyle w:val="FootnoteReference"/>
          <w:rFonts w:cs="Times New Roman"/>
          <w:szCs w:val="24"/>
        </w:rPr>
        <w:footnoteReference w:id="16"/>
      </w:r>
      <w:r w:rsidRPr="00175297">
        <w:rPr>
          <w:rFonts w:cs="Times New Roman"/>
          <w:szCs w:val="24"/>
        </w:rPr>
        <w:t xml:space="preserve">  </w:t>
      </w:r>
    </w:p>
    <w:p w14:paraId="5A5B33E8" w14:textId="77777777" w:rsidR="00EC597C" w:rsidRPr="00175297" w:rsidRDefault="00EC597C" w:rsidP="004C5C3D">
      <w:pPr>
        <w:spacing w:after="0"/>
        <w:rPr>
          <w:rFonts w:cs="Times New Roman"/>
          <w:szCs w:val="24"/>
        </w:rPr>
      </w:pPr>
    </w:p>
    <w:p w14:paraId="3A584C57" w14:textId="18A4DDF2" w:rsidR="00EC597C" w:rsidRPr="00175297" w:rsidRDefault="00EC597C" w:rsidP="004C5C3D">
      <w:pPr>
        <w:spacing w:after="0"/>
        <w:rPr>
          <w:rFonts w:cs="Times New Roman"/>
          <w:szCs w:val="24"/>
        </w:rPr>
      </w:pPr>
      <w:r w:rsidRPr="00175297">
        <w:rPr>
          <w:rFonts w:cs="Times New Roman"/>
          <w:szCs w:val="24"/>
        </w:rPr>
        <w:tab/>
      </w:r>
      <w:r w:rsidRPr="00175297">
        <w:rPr>
          <w:rFonts w:cs="Times New Roman"/>
          <w:szCs w:val="24"/>
        </w:rPr>
        <w:tab/>
      </w:r>
      <w:r w:rsidR="00191845" w:rsidRPr="00175297">
        <w:rPr>
          <w:rFonts w:cs="Times New Roman"/>
          <w:szCs w:val="24"/>
        </w:rPr>
        <w:t xml:space="preserve">The Complaint clearly makes specific, detailed averments with regard to alleged violations of the Public Utility Code and the Commission’s regulations, complete with appropriate citations. </w:t>
      </w:r>
      <w:r w:rsidR="006F4910" w:rsidRPr="00175297">
        <w:rPr>
          <w:rFonts w:cs="Times New Roman"/>
          <w:szCs w:val="24"/>
        </w:rPr>
        <w:t xml:space="preserve"> </w:t>
      </w:r>
      <w:r w:rsidR="00191845" w:rsidRPr="00175297">
        <w:rPr>
          <w:rFonts w:cs="Times New Roman"/>
          <w:szCs w:val="24"/>
        </w:rPr>
        <w:t>A plain reading of the Complaint shows Complainant is making allegations of violations of the Public Utility Code and the Commission’s regulations</w:t>
      </w:r>
      <w:r w:rsidR="006F4910" w:rsidRPr="00175297">
        <w:rPr>
          <w:rFonts w:cs="Times New Roman"/>
          <w:szCs w:val="24"/>
        </w:rPr>
        <w:t>, over which the Commission undoubtedly exercises jurisdiction.</w:t>
      </w:r>
      <w:r w:rsidRPr="00175297">
        <w:rPr>
          <w:rFonts w:cs="Times New Roman"/>
          <w:szCs w:val="24"/>
        </w:rPr>
        <w:t xml:space="preserve">  </w:t>
      </w:r>
    </w:p>
    <w:p w14:paraId="7DE0B302" w14:textId="77777777" w:rsidR="00EC597C" w:rsidRPr="00175297" w:rsidRDefault="00EC597C" w:rsidP="004C5C3D">
      <w:pPr>
        <w:spacing w:after="0"/>
        <w:rPr>
          <w:rFonts w:cs="Times New Roman"/>
          <w:szCs w:val="24"/>
        </w:rPr>
      </w:pPr>
    </w:p>
    <w:p w14:paraId="07E34590" w14:textId="4F7D4CD5" w:rsidR="00A55BCF" w:rsidRPr="00175297" w:rsidRDefault="00EC597C" w:rsidP="004C5C3D">
      <w:pPr>
        <w:spacing w:after="0"/>
        <w:rPr>
          <w:rFonts w:cs="Times New Roman"/>
          <w:szCs w:val="24"/>
        </w:rPr>
      </w:pPr>
      <w:r w:rsidRPr="00175297">
        <w:rPr>
          <w:rFonts w:cs="Times New Roman"/>
          <w:szCs w:val="24"/>
        </w:rPr>
        <w:tab/>
      </w:r>
      <w:r w:rsidRPr="00175297">
        <w:rPr>
          <w:rFonts w:cs="Times New Roman"/>
          <w:szCs w:val="24"/>
        </w:rPr>
        <w:tab/>
      </w:r>
      <w:r w:rsidR="006F4910" w:rsidRPr="00175297">
        <w:rPr>
          <w:rFonts w:cs="Times New Roman"/>
          <w:szCs w:val="24"/>
        </w:rPr>
        <w:t>The Complaint shall move forward on the alleged violations of the Public Utility Code and the Commission’s regulations</w:t>
      </w:r>
      <w:r w:rsidRPr="00175297">
        <w:rPr>
          <w:rFonts w:cs="Times New Roman"/>
          <w:szCs w:val="24"/>
        </w:rPr>
        <w:t xml:space="preserve">, including 52 Pa.Code § 111.12(d)(1), </w:t>
      </w:r>
      <w:r w:rsidR="006F4910" w:rsidRPr="00175297">
        <w:rPr>
          <w:rFonts w:cs="Times New Roman"/>
          <w:szCs w:val="24"/>
        </w:rPr>
        <w:t>as outlined in the Complaint</w:t>
      </w:r>
      <w:r w:rsidRPr="00175297">
        <w:rPr>
          <w:rFonts w:cs="Times New Roman"/>
          <w:szCs w:val="24"/>
        </w:rPr>
        <w:t xml:space="preserve">.  </w:t>
      </w:r>
      <w:r w:rsidR="00A55BCF" w:rsidRPr="00175297">
        <w:rPr>
          <w:rFonts w:cs="Times New Roman"/>
          <w:szCs w:val="24"/>
        </w:rPr>
        <w:t>This Preliminary Objection is denied</w:t>
      </w:r>
      <w:r w:rsidR="00055F0B">
        <w:rPr>
          <w:rFonts w:cs="Times New Roman"/>
          <w:szCs w:val="24"/>
        </w:rPr>
        <w:t xml:space="preserve"> </w:t>
      </w:r>
      <w:r w:rsidR="008F638C">
        <w:rPr>
          <w:rFonts w:cs="Times New Roman"/>
          <w:szCs w:val="24"/>
        </w:rPr>
        <w:t>since</w:t>
      </w:r>
      <w:r w:rsidR="00055F0B">
        <w:rPr>
          <w:rFonts w:cs="Times New Roman"/>
          <w:szCs w:val="24"/>
        </w:rPr>
        <w:t xml:space="preserve"> it is clear that Complainant is not seeking </w:t>
      </w:r>
      <w:r w:rsidR="008F638C">
        <w:rPr>
          <w:rFonts w:cs="Times New Roman"/>
          <w:szCs w:val="24"/>
        </w:rPr>
        <w:t xml:space="preserve">the </w:t>
      </w:r>
      <w:r w:rsidR="00055F0B" w:rsidRPr="00175297">
        <w:rPr>
          <w:rFonts w:cs="Times New Roman"/>
          <w:szCs w:val="24"/>
        </w:rPr>
        <w:t>Commission’s enforcement of the CPL, TRA, or federal law</w:t>
      </w:r>
      <w:r w:rsidR="00A55BCF" w:rsidRPr="00175297">
        <w:rPr>
          <w:rFonts w:cs="Times New Roman"/>
          <w:szCs w:val="24"/>
        </w:rPr>
        <w:t>.</w:t>
      </w:r>
    </w:p>
    <w:p w14:paraId="695F02C0" w14:textId="77777777" w:rsidR="00EC597C" w:rsidRPr="00175297" w:rsidRDefault="00EC597C" w:rsidP="004C5C3D">
      <w:pPr>
        <w:spacing w:after="0"/>
        <w:rPr>
          <w:rFonts w:cs="Times New Roman"/>
          <w:szCs w:val="24"/>
        </w:rPr>
      </w:pPr>
    </w:p>
    <w:p w14:paraId="076277D6" w14:textId="7096ACF4" w:rsidR="00BF3A30" w:rsidRPr="00175297" w:rsidRDefault="00EC597C" w:rsidP="004C5C3D">
      <w:pPr>
        <w:spacing w:after="0"/>
        <w:rPr>
          <w:rFonts w:cs="Times New Roman"/>
          <w:szCs w:val="24"/>
        </w:rPr>
      </w:pPr>
      <w:r w:rsidRPr="00175297">
        <w:rPr>
          <w:rFonts w:cs="Times New Roman"/>
          <w:szCs w:val="24"/>
        </w:rPr>
        <w:tab/>
      </w:r>
      <w:r w:rsidRPr="00175297">
        <w:rPr>
          <w:rFonts w:cs="Times New Roman"/>
          <w:szCs w:val="24"/>
        </w:rPr>
        <w:tab/>
      </w:r>
      <w:r w:rsidR="000A29AB" w:rsidRPr="00175297">
        <w:rPr>
          <w:rFonts w:cs="Times New Roman"/>
          <w:szCs w:val="24"/>
        </w:rPr>
        <w:t>Please note, t</w:t>
      </w:r>
      <w:r w:rsidRPr="00175297">
        <w:rPr>
          <w:rFonts w:cs="Times New Roman"/>
          <w:szCs w:val="24"/>
        </w:rPr>
        <w:t>o the extent the parties disagree on the legal interpretation of 52</w:t>
      </w:r>
      <w:r w:rsidR="007A49BF">
        <w:rPr>
          <w:rFonts w:cs="Times New Roman"/>
          <w:szCs w:val="24"/>
        </w:rPr>
        <w:t> </w:t>
      </w:r>
      <w:r w:rsidRPr="00175297">
        <w:rPr>
          <w:rFonts w:cs="Times New Roman"/>
          <w:szCs w:val="24"/>
        </w:rPr>
        <w:t xml:space="preserve">Pa.Code § 111.12(d)(1) or the application of that regulation to this case, they will have an opportunity to develop those arguments at an evidentiary hearing and/or through post-hearing briefs. </w:t>
      </w:r>
    </w:p>
    <w:p w14:paraId="5EF545C8" w14:textId="0282F1F6" w:rsidR="00BF3A30" w:rsidRPr="00175297" w:rsidRDefault="00BF3A30" w:rsidP="004C5C3D">
      <w:pPr>
        <w:spacing w:after="0"/>
        <w:rPr>
          <w:rFonts w:eastAsia="SimSun" w:cs="Times New Roman"/>
          <w:szCs w:val="24"/>
        </w:rPr>
      </w:pPr>
    </w:p>
    <w:p w14:paraId="541A890D" w14:textId="2C5EF04F" w:rsidR="0088650E" w:rsidRDefault="00BF3A30" w:rsidP="004C5C3D">
      <w:pPr>
        <w:spacing w:after="0"/>
        <w:rPr>
          <w:rFonts w:eastAsia="SimSun" w:cs="Times New Roman"/>
          <w:szCs w:val="24"/>
        </w:rPr>
      </w:pPr>
      <w:r w:rsidRPr="00175297">
        <w:rPr>
          <w:rFonts w:eastAsia="SimSun" w:cs="Times New Roman"/>
          <w:szCs w:val="24"/>
          <w:u w:val="single"/>
        </w:rPr>
        <w:t>Preliminary Objection Regarding Commission’s Authority to Order Customer Refunds</w:t>
      </w:r>
      <w:r w:rsidR="00175297">
        <w:rPr>
          <w:rFonts w:eastAsia="SimSun" w:cs="Times New Roman"/>
          <w:szCs w:val="24"/>
        </w:rPr>
        <w:tab/>
      </w:r>
      <w:r w:rsidR="00F8218B">
        <w:rPr>
          <w:rFonts w:eastAsia="SimSun" w:cs="Times New Roman"/>
          <w:szCs w:val="24"/>
        </w:rPr>
        <w:tab/>
      </w:r>
    </w:p>
    <w:p w14:paraId="5481C61D" w14:textId="77777777" w:rsidR="00175297" w:rsidRPr="00175297" w:rsidRDefault="00175297" w:rsidP="004C5C3D">
      <w:pPr>
        <w:spacing w:after="0"/>
        <w:rPr>
          <w:rFonts w:eastAsia="SimSun" w:cs="Times New Roman"/>
          <w:i/>
          <w:iCs/>
          <w:szCs w:val="24"/>
        </w:rPr>
      </w:pPr>
    </w:p>
    <w:p w14:paraId="24FF6579" w14:textId="14F96C3C" w:rsidR="006D7FE6" w:rsidRDefault="00BF3A30" w:rsidP="004C5C3D">
      <w:pPr>
        <w:spacing w:after="0"/>
        <w:rPr>
          <w:rFonts w:cs="Times New Roman"/>
          <w:szCs w:val="24"/>
        </w:rPr>
      </w:pPr>
      <w:r w:rsidRPr="00175297">
        <w:rPr>
          <w:rFonts w:cs="Times New Roman"/>
          <w:szCs w:val="24"/>
        </w:rPr>
        <w:tab/>
      </w:r>
      <w:r w:rsidRPr="00175297">
        <w:rPr>
          <w:rFonts w:cs="Times New Roman"/>
          <w:szCs w:val="24"/>
        </w:rPr>
        <w:tab/>
        <w:t xml:space="preserve">Discount Power </w:t>
      </w:r>
      <w:r w:rsidR="00175297" w:rsidRPr="00175297">
        <w:rPr>
          <w:rFonts w:cs="Times New Roman"/>
          <w:szCs w:val="24"/>
        </w:rPr>
        <w:t xml:space="preserve">argues </w:t>
      </w:r>
      <w:r w:rsidR="00175297">
        <w:rPr>
          <w:rFonts w:cs="Times New Roman"/>
          <w:szCs w:val="24"/>
        </w:rPr>
        <w:t>Complainant is seeking a refund on his own behalf</w:t>
      </w:r>
      <w:r w:rsidR="0088650E">
        <w:rPr>
          <w:rFonts w:cs="Times New Roman"/>
          <w:szCs w:val="24"/>
        </w:rPr>
        <w:t xml:space="preserve"> and on behalf of other similarly situated customers</w:t>
      </w:r>
      <w:r w:rsidR="00175297">
        <w:rPr>
          <w:rFonts w:cs="Times New Roman"/>
          <w:szCs w:val="24"/>
        </w:rPr>
        <w:t xml:space="preserve">.  It argues that the Commission lacks the authority to award refunds to customers.  </w:t>
      </w:r>
    </w:p>
    <w:p w14:paraId="3FEC125F" w14:textId="77777777" w:rsidR="006D7FE6" w:rsidRPr="00175297" w:rsidRDefault="006D7FE6" w:rsidP="004C5C3D">
      <w:pPr>
        <w:spacing w:after="0"/>
        <w:rPr>
          <w:rFonts w:cs="Times New Roman"/>
          <w:szCs w:val="24"/>
        </w:rPr>
      </w:pPr>
    </w:p>
    <w:p w14:paraId="170838FE" w14:textId="655AA2C3" w:rsidR="0088650E" w:rsidRDefault="006D7FE6" w:rsidP="004C5C3D">
      <w:pPr>
        <w:autoSpaceDE w:val="0"/>
        <w:autoSpaceDN w:val="0"/>
        <w:adjustRightInd w:val="0"/>
        <w:snapToGrid w:val="0"/>
        <w:spacing w:after="0"/>
        <w:jc w:val="both"/>
        <w:rPr>
          <w:rFonts w:eastAsia="Times New Roman" w:cs="Times New Roman"/>
          <w:color w:val="000000"/>
          <w:szCs w:val="24"/>
        </w:rPr>
      </w:pPr>
      <w:r w:rsidRPr="00175297">
        <w:rPr>
          <w:rFonts w:eastAsia="Times New Roman" w:cs="Times New Roman"/>
          <w:color w:val="000000"/>
          <w:szCs w:val="24"/>
          <w:lang w:val="x-none"/>
        </w:rPr>
        <w:lastRenderedPageBreak/>
        <w:tab/>
      </w:r>
      <w:r w:rsidRPr="00175297">
        <w:rPr>
          <w:rFonts w:eastAsia="Times New Roman" w:cs="Times New Roman"/>
          <w:color w:val="000000"/>
          <w:szCs w:val="24"/>
          <w:lang w:val="x-none"/>
        </w:rPr>
        <w:tab/>
      </w:r>
      <w:r w:rsidRPr="00175297">
        <w:rPr>
          <w:rFonts w:eastAsia="Times New Roman" w:cs="Times New Roman"/>
          <w:color w:val="000000"/>
          <w:szCs w:val="24"/>
        </w:rPr>
        <w:t xml:space="preserve">The Commission has </w:t>
      </w:r>
      <w:r w:rsidR="0088650E">
        <w:rPr>
          <w:rFonts w:eastAsia="Times New Roman" w:cs="Times New Roman"/>
          <w:color w:val="000000"/>
          <w:szCs w:val="24"/>
        </w:rPr>
        <w:t>previously addressed its authority to award EGS customer refunds, holding repeatedly it had the authority to do so.</w:t>
      </w:r>
      <w:r w:rsidR="0088650E">
        <w:rPr>
          <w:rStyle w:val="FootnoteReference"/>
          <w:rFonts w:eastAsia="Times New Roman" w:cs="Times New Roman"/>
          <w:color w:val="000000"/>
          <w:szCs w:val="24"/>
        </w:rPr>
        <w:footnoteReference w:id="17"/>
      </w:r>
    </w:p>
    <w:p w14:paraId="6400A8EE" w14:textId="77777777" w:rsidR="000B315F" w:rsidRDefault="000B315F" w:rsidP="004C5C3D">
      <w:pPr>
        <w:spacing w:after="0"/>
        <w:rPr>
          <w:rFonts w:eastAsia="Times New Roman" w:cs="Times New Roman"/>
          <w:color w:val="202020"/>
          <w:szCs w:val="24"/>
        </w:rPr>
      </w:pPr>
    </w:p>
    <w:p w14:paraId="40D1F682" w14:textId="09773CBD" w:rsidR="00763573" w:rsidRPr="00175297" w:rsidRDefault="000B315F" w:rsidP="004C5C3D">
      <w:pPr>
        <w:spacing w:after="0"/>
        <w:rPr>
          <w:rFonts w:cs="Times New Roman"/>
          <w:szCs w:val="24"/>
        </w:rPr>
      </w:pPr>
      <w:r>
        <w:rPr>
          <w:rFonts w:eastAsia="Times New Roman" w:cs="Times New Roman"/>
          <w:color w:val="202020"/>
          <w:szCs w:val="24"/>
        </w:rPr>
        <w:tab/>
      </w:r>
      <w:r>
        <w:rPr>
          <w:rFonts w:eastAsia="Times New Roman" w:cs="Times New Roman"/>
          <w:color w:val="202020"/>
          <w:szCs w:val="24"/>
        </w:rPr>
        <w:tab/>
        <w:t xml:space="preserve">The </w:t>
      </w:r>
      <w:r w:rsidR="00AD1819" w:rsidRPr="00175297">
        <w:rPr>
          <w:rFonts w:eastAsia="Times New Roman" w:cs="Times New Roman"/>
          <w:color w:val="202020"/>
          <w:szCs w:val="24"/>
        </w:rPr>
        <w:t xml:space="preserve">Commission </w:t>
      </w:r>
      <w:r w:rsidR="0088650E">
        <w:rPr>
          <w:rFonts w:eastAsia="Times New Roman" w:cs="Times New Roman"/>
          <w:color w:val="202020"/>
          <w:szCs w:val="24"/>
        </w:rPr>
        <w:t xml:space="preserve">recently </w:t>
      </w:r>
      <w:r w:rsidR="00AD1819" w:rsidRPr="00175297">
        <w:rPr>
          <w:rFonts w:eastAsia="Times New Roman" w:cs="Times New Roman"/>
          <w:color w:val="202020"/>
          <w:szCs w:val="24"/>
        </w:rPr>
        <w:t xml:space="preserve">addressed its authority to award EGS customer refunds in </w:t>
      </w:r>
      <w:r w:rsidR="00AD1819" w:rsidRPr="00175297">
        <w:rPr>
          <w:rFonts w:cs="Times New Roman"/>
          <w:i/>
          <w:iCs/>
          <w:szCs w:val="24"/>
        </w:rPr>
        <w:t>Commonwealth v. Blue Pilot Energy, LLC</w:t>
      </w:r>
      <w:r w:rsidR="00AD1819" w:rsidRPr="00175297">
        <w:rPr>
          <w:rFonts w:cs="Times New Roman"/>
          <w:szCs w:val="24"/>
        </w:rPr>
        <w:t>.</w:t>
      </w:r>
      <w:r w:rsidR="00AD1819" w:rsidRPr="00175297">
        <w:rPr>
          <w:rStyle w:val="FootnoteReference"/>
          <w:rFonts w:cs="Times New Roman"/>
          <w:szCs w:val="24"/>
        </w:rPr>
        <w:footnoteReference w:id="18"/>
      </w:r>
      <w:r w:rsidR="00AD1819" w:rsidRPr="00175297">
        <w:rPr>
          <w:rFonts w:cs="Times New Roman"/>
          <w:szCs w:val="24"/>
        </w:rPr>
        <w:t xml:space="preserve">  In that case, </w:t>
      </w:r>
      <w:r w:rsidR="00763573" w:rsidRPr="00175297">
        <w:rPr>
          <w:rFonts w:eastAsia="Times New Roman" w:cs="Times New Roman"/>
          <w:szCs w:val="24"/>
        </w:rPr>
        <w:t xml:space="preserve">a joint formal complaint was filed by the Pennsylvania Attorney General and Acting Consumer Advocate </w:t>
      </w:r>
      <w:r w:rsidR="00763573" w:rsidRPr="00175297">
        <w:rPr>
          <w:rFonts w:cs="Times New Roman"/>
          <w:szCs w:val="24"/>
        </w:rPr>
        <w:t xml:space="preserve">against </w:t>
      </w:r>
      <w:r w:rsidR="00763573" w:rsidRPr="00175297">
        <w:rPr>
          <w:rFonts w:eastAsia="Times New Roman" w:cs="Times New Roman"/>
          <w:szCs w:val="24"/>
        </w:rPr>
        <w:t xml:space="preserve">Blue Pilot, LLC, alleging that the company, </w:t>
      </w:r>
      <w:r w:rsidR="00763573" w:rsidRPr="00175297">
        <w:rPr>
          <w:rFonts w:eastAsia="Times New Roman" w:cs="Times New Roman"/>
          <w:i/>
          <w:iCs/>
          <w:szCs w:val="24"/>
        </w:rPr>
        <w:t>inter alia,</w:t>
      </w:r>
      <w:r w:rsidR="00763573" w:rsidRPr="00175297">
        <w:rPr>
          <w:rFonts w:eastAsia="Times New Roman" w:cs="Times New Roman"/>
          <w:szCs w:val="24"/>
        </w:rPr>
        <w:t xml:space="preserve"> used misleading and deceptive practices to solicit residential customers for its variable rate plan.  The presiding Administrative Law Judges </w:t>
      </w:r>
      <w:r w:rsidR="00763573" w:rsidRPr="00175297">
        <w:rPr>
          <w:rFonts w:eastAsia="Calibri" w:cs="Times New Roman"/>
          <w:szCs w:val="24"/>
        </w:rPr>
        <w:t>directed the company to</w:t>
      </w:r>
      <w:r w:rsidR="00F76C14">
        <w:rPr>
          <w:rFonts w:eastAsia="Calibri" w:cs="Times New Roman"/>
          <w:szCs w:val="24"/>
        </w:rPr>
        <w:t xml:space="preserve">, </w:t>
      </w:r>
      <w:r w:rsidR="00F76C14">
        <w:rPr>
          <w:rFonts w:eastAsia="Calibri" w:cs="Times New Roman"/>
          <w:i/>
          <w:iCs/>
          <w:szCs w:val="24"/>
        </w:rPr>
        <w:t>inter alia</w:t>
      </w:r>
      <w:r w:rsidR="00F76C14">
        <w:rPr>
          <w:rFonts w:eastAsia="Calibri" w:cs="Times New Roman"/>
          <w:szCs w:val="24"/>
        </w:rPr>
        <w:t>,</w:t>
      </w:r>
      <w:r w:rsidR="00763573" w:rsidRPr="00175297">
        <w:rPr>
          <w:rFonts w:eastAsia="Calibri" w:cs="Times New Roman"/>
          <w:szCs w:val="24"/>
        </w:rPr>
        <w:t xml:space="preserve"> provide refunds to its customers for overcharges</w:t>
      </w:r>
      <w:r w:rsidR="00F76C14">
        <w:rPr>
          <w:rFonts w:eastAsia="Calibri" w:cs="Times New Roman"/>
          <w:szCs w:val="24"/>
        </w:rPr>
        <w:t>.</w:t>
      </w:r>
      <w:r w:rsidR="00763573" w:rsidRPr="00175297">
        <w:rPr>
          <w:rFonts w:cs="Times New Roman"/>
          <w:szCs w:val="24"/>
        </w:rPr>
        <w:t xml:space="preserve"> </w:t>
      </w:r>
    </w:p>
    <w:p w14:paraId="0A342830" w14:textId="0DF66353" w:rsidR="00763573" w:rsidRPr="00175297" w:rsidRDefault="00763573" w:rsidP="004C5C3D">
      <w:pPr>
        <w:spacing w:after="0"/>
        <w:rPr>
          <w:rFonts w:cs="Times New Roman"/>
          <w:szCs w:val="24"/>
        </w:rPr>
      </w:pPr>
    </w:p>
    <w:p w14:paraId="7900AAD3" w14:textId="6B6F50C3" w:rsidR="00763573" w:rsidRPr="00175297" w:rsidRDefault="00763573" w:rsidP="004C5C3D">
      <w:pPr>
        <w:spacing w:after="0"/>
        <w:rPr>
          <w:rFonts w:eastAsia="Calibri" w:cs="Times New Roman"/>
          <w:szCs w:val="24"/>
        </w:rPr>
      </w:pPr>
      <w:r w:rsidRPr="00175297">
        <w:rPr>
          <w:rFonts w:cs="Times New Roman"/>
          <w:szCs w:val="24"/>
        </w:rPr>
        <w:tab/>
      </w:r>
      <w:r w:rsidRPr="00175297">
        <w:rPr>
          <w:rFonts w:cs="Times New Roman"/>
          <w:szCs w:val="24"/>
        </w:rPr>
        <w:tab/>
        <w:t xml:space="preserve">In considering </w:t>
      </w:r>
      <w:r w:rsidR="00F76C14">
        <w:rPr>
          <w:rFonts w:cs="Times New Roman"/>
          <w:szCs w:val="24"/>
        </w:rPr>
        <w:t>Blue Pilot’s</w:t>
      </w:r>
      <w:r w:rsidRPr="00175297">
        <w:rPr>
          <w:rFonts w:cs="Times New Roman"/>
          <w:szCs w:val="24"/>
        </w:rPr>
        <w:t xml:space="preserve"> exceptions, </w:t>
      </w:r>
      <w:r w:rsidR="00F76C14">
        <w:rPr>
          <w:rFonts w:cs="Times New Roman"/>
          <w:spacing w:val="-2"/>
          <w:szCs w:val="24"/>
        </w:rPr>
        <w:t>t</w:t>
      </w:r>
      <w:r w:rsidR="00DD5E93" w:rsidRPr="00175297">
        <w:rPr>
          <w:rFonts w:cs="Times New Roman"/>
          <w:spacing w:val="-2"/>
          <w:szCs w:val="24"/>
        </w:rPr>
        <w:t>he Commission concluded</w:t>
      </w:r>
      <w:r w:rsidR="00F76C14">
        <w:rPr>
          <w:rFonts w:cs="Times New Roman"/>
          <w:spacing w:val="-2"/>
          <w:szCs w:val="24"/>
        </w:rPr>
        <w:t xml:space="preserve">, </w:t>
      </w:r>
      <w:r w:rsidR="00F76C14">
        <w:rPr>
          <w:rFonts w:cs="Times New Roman"/>
          <w:i/>
          <w:iCs/>
          <w:spacing w:val="-2"/>
          <w:szCs w:val="24"/>
        </w:rPr>
        <w:t>inter alia</w:t>
      </w:r>
      <w:r w:rsidR="00F76C14">
        <w:rPr>
          <w:rFonts w:cs="Times New Roman"/>
          <w:spacing w:val="-2"/>
          <w:szCs w:val="24"/>
        </w:rPr>
        <w:t>,</w:t>
      </w:r>
      <w:r w:rsidRPr="00175297">
        <w:rPr>
          <w:rFonts w:cs="Times New Roman"/>
          <w:spacing w:val="-2"/>
          <w:szCs w:val="24"/>
        </w:rPr>
        <w:t xml:space="preserve"> </w:t>
      </w:r>
      <w:r w:rsidR="00DD5E93" w:rsidRPr="00175297">
        <w:rPr>
          <w:rFonts w:cs="Times New Roman"/>
          <w:spacing w:val="-2"/>
          <w:szCs w:val="24"/>
        </w:rPr>
        <w:t>it had</w:t>
      </w:r>
      <w:r w:rsidRPr="00175297">
        <w:rPr>
          <w:rFonts w:cs="Times New Roman"/>
          <w:spacing w:val="-2"/>
          <w:szCs w:val="24"/>
        </w:rPr>
        <w:t xml:space="preserve"> the authority to order </w:t>
      </w:r>
      <w:r w:rsidR="00F76C14">
        <w:rPr>
          <w:rFonts w:cs="Times New Roman"/>
          <w:spacing w:val="-2"/>
          <w:szCs w:val="24"/>
        </w:rPr>
        <w:t>refunds</w:t>
      </w:r>
      <w:r w:rsidRPr="00175297">
        <w:rPr>
          <w:rFonts w:cs="Times New Roman"/>
          <w:spacing w:val="-2"/>
          <w:szCs w:val="24"/>
        </w:rPr>
        <w:t xml:space="preserve"> to </w:t>
      </w:r>
      <w:r w:rsidR="00F76C14">
        <w:rPr>
          <w:rFonts w:cs="Times New Roman"/>
          <w:spacing w:val="-2"/>
          <w:szCs w:val="24"/>
        </w:rPr>
        <w:t>EGS customers</w:t>
      </w:r>
      <w:r w:rsidRPr="00175297">
        <w:rPr>
          <w:rFonts w:cs="Times New Roman"/>
          <w:spacing w:val="-2"/>
          <w:szCs w:val="24"/>
        </w:rPr>
        <w:t xml:space="preserve"> pursuant to </w:t>
      </w:r>
      <w:r w:rsidR="00DD5E93" w:rsidRPr="00175297">
        <w:rPr>
          <w:rFonts w:cs="Times New Roman"/>
          <w:spacing w:val="-2"/>
          <w:szCs w:val="24"/>
        </w:rPr>
        <w:t>its</w:t>
      </w:r>
      <w:r w:rsidRPr="00175297">
        <w:rPr>
          <w:rFonts w:cs="Times New Roman"/>
          <w:spacing w:val="-2"/>
          <w:szCs w:val="24"/>
        </w:rPr>
        <w:t xml:space="preserve"> plenary authority under Section</w:t>
      </w:r>
      <w:r w:rsidR="007A49BF">
        <w:rPr>
          <w:rFonts w:cs="Times New Roman"/>
          <w:spacing w:val="-2"/>
          <w:szCs w:val="24"/>
        </w:rPr>
        <w:t> </w:t>
      </w:r>
      <w:r w:rsidRPr="00175297">
        <w:rPr>
          <w:rFonts w:cs="Times New Roman"/>
          <w:spacing w:val="-2"/>
          <w:szCs w:val="24"/>
        </w:rPr>
        <w:t xml:space="preserve">501 of the Code, 66 Pa.C.S. § 501.  </w:t>
      </w:r>
    </w:p>
    <w:p w14:paraId="467E58C6" w14:textId="77777777" w:rsidR="00763573" w:rsidRPr="00175297" w:rsidRDefault="00763573" w:rsidP="004C5C3D">
      <w:pPr>
        <w:spacing w:after="0"/>
        <w:rPr>
          <w:rFonts w:eastAsia="Calibri" w:cs="Times New Roman"/>
          <w:szCs w:val="24"/>
        </w:rPr>
      </w:pPr>
    </w:p>
    <w:p w14:paraId="3F917596" w14:textId="4D01A804" w:rsidR="00AD1819" w:rsidRPr="004D2DB3" w:rsidRDefault="00F76C14" w:rsidP="004C5C3D">
      <w:pPr>
        <w:autoSpaceDE w:val="0"/>
        <w:autoSpaceDN w:val="0"/>
        <w:adjustRightInd w:val="0"/>
        <w:spacing w:after="0"/>
        <w:rPr>
          <w:rFonts w:cs="Times New Roman"/>
          <w:szCs w:val="24"/>
        </w:rPr>
      </w:pPr>
      <w:r>
        <w:rPr>
          <w:rFonts w:cs="Times New Roman"/>
          <w:szCs w:val="24"/>
        </w:rPr>
        <w:tab/>
      </w:r>
      <w:r>
        <w:rPr>
          <w:rFonts w:cs="Times New Roman"/>
          <w:szCs w:val="24"/>
        </w:rPr>
        <w:tab/>
        <w:t xml:space="preserve">By Order filed October 27, 2020, the </w:t>
      </w:r>
      <w:r w:rsidR="00AD1819" w:rsidRPr="00175297">
        <w:rPr>
          <w:rFonts w:cs="Times New Roman"/>
          <w:szCs w:val="24"/>
        </w:rPr>
        <w:t>Pennsylvania Commonwealth Court</w:t>
      </w:r>
      <w:r>
        <w:rPr>
          <w:rFonts w:cs="Times New Roman"/>
          <w:szCs w:val="24"/>
        </w:rPr>
        <w:t xml:space="preserve"> reversed the portion of the Commission’s Order that established a refund pool for Blue Pilot’s customers, holding that the Commission lacks the requisite express or necessary implied authority to order an EGS to issue customer refunds.</w:t>
      </w:r>
      <w:r w:rsidR="00055F0B">
        <w:rPr>
          <w:rStyle w:val="FootnoteReference"/>
          <w:rFonts w:cs="Times New Roman"/>
          <w:szCs w:val="24"/>
        </w:rPr>
        <w:footnoteReference w:id="19"/>
      </w:r>
      <w:r>
        <w:rPr>
          <w:rFonts w:cs="Times New Roman"/>
          <w:szCs w:val="24"/>
        </w:rPr>
        <w:t xml:space="preserve">  </w:t>
      </w:r>
      <w:r w:rsidR="004D2DB3">
        <w:rPr>
          <w:rFonts w:cs="Times New Roman"/>
          <w:szCs w:val="24"/>
        </w:rPr>
        <w:t xml:space="preserve">The Commonwealth Court’s decision in </w:t>
      </w:r>
      <w:r w:rsidR="004D2DB3">
        <w:rPr>
          <w:rFonts w:cs="Times New Roman"/>
          <w:i/>
          <w:iCs/>
          <w:szCs w:val="24"/>
        </w:rPr>
        <w:t xml:space="preserve">Blue Pilot </w:t>
      </w:r>
      <w:r w:rsidR="004D2DB3">
        <w:rPr>
          <w:rFonts w:cs="Times New Roman"/>
          <w:szCs w:val="24"/>
        </w:rPr>
        <w:t>is controlling.</w:t>
      </w:r>
    </w:p>
    <w:p w14:paraId="4F8C9964" w14:textId="287A38DC" w:rsidR="00D157D2" w:rsidRDefault="00D157D2" w:rsidP="004C5C3D">
      <w:pPr>
        <w:spacing w:after="0"/>
        <w:ind w:firstLine="1440"/>
        <w:rPr>
          <w:rFonts w:cs="Times New Roman"/>
          <w:szCs w:val="24"/>
        </w:rPr>
      </w:pPr>
    </w:p>
    <w:p w14:paraId="73E418AD" w14:textId="10938D00" w:rsidR="007A49BF" w:rsidRDefault="007A49BF" w:rsidP="004C5C3D">
      <w:pPr>
        <w:spacing w:after="0"/>
        <w:ind w:firstLine="1440"/>
        <w:rPr>
          <w:rFonts w:cs="Times New Roman"/>
          <w:szCs w:val="24"/>
        </w:rPr>
      </w:pPr>
    </w:p>
    <w:p w14:paraId="0794FF10" w14:textId="7A09B5EB" w:rsidR="007A49BF" w:rsidRDefault="007A49BF" w:rsidP="004C5C3D">
      <w:pPr>
        <w:spacing w:after="0"/>
        <w:ind w:firstLine="1440"/>
        <w:rPr>
          <w:rFonts w:cs="Times New Roman"/>
          <w:szCs w:val="24"/>
        </w:rPr>
      </w:pPr>
    </w:p>
    <w:p w14:paraId="6194DF8C" w14:textId="2750DC59" w:rsidR="007A49BF" w:rsidRDefault="007A49BF" w:rsidP="004C5C3D">
      <w:pPr>
        <w:spacing w:after="0"/>
        <w:ind w:firstLine="1440"/>
        <w:rPr>
          <w:rFonts w:cs="Times New Roman"/>
          <w:szCs w:val="24"/>
        </w:rPr>
      </w:pPr>
    </w:p>
    <w:p w14:paraId="6421F7AE" w14:textId="0627B4A4" w:rsidR="007A49BF" w:rsidRDefault="007A49BF" w:rsidP="004C5C3D">
      <w:pPr>
        <w:spacing w:after="0"/>
        <w:ind w:firstLine="1440"/>
        <w:rPr>
          <w:rFonts w:cs="Times New Roman"/>
          <w:szCs w:val="24"/>
        </w:rPr>
      </w:pPr>
    </w:p>
    <w:p w14:paraId="3C49B6AB" w14:textId="77777777" w:rsidR="007A49BF" w:rsidRPr="00175297" w:rsidRDefault="007A49BF" w:rsidP="004C5C3D">
      <w:pPr>
        <w:spacing w:after="0"/>
        <w:ind w:firstLine="1440"/>
        <w:rPr>
          <w:rFonts w:cs="Times New Roman"/>
          <w:szCs w:val="24"/>
        </w:rPr>
      </w:pPr>
    </w:p>
    <w:p w14:paraId="33DC9F30" w14:textId="303A81A6" w:rsidR="00C45445" w:rsidRPr="00175297" w:rsidRDefault="00C45445" w:rsidP="004C5C3D">
      <w:pPr>
        <w:spacing w:after="0"/>
        <w:ind w:firstLine="1440"/>
        <w:rPr>
          <w:rFonts w:cs="Times New Roman"/>
          <w:szCs w:val="24"/>
        </w:rPr>
      </w:pPr>
      <w:r w:rsidRPr="00175297">
        <w:rPr>
          <w:rFonts w:cs="Times New Roman"/>
          <w:szCs w:val="24"/>
        </w:rPr>
        <w:lastRenderedPageBreak/>
        <w:t xml:space="preserve">THEREFORE, </w:t>
      </w:r>
    </w:p>
    <w:p w14:paraId="038C111D" w14:textId="77777777" w:rsidR="008E74E4" w:rsidRPr="00175297" w:rsidRDefault="008E74E4" w:rsidP="004C5C3D">
      <w:pPr>
        <w:spacing w:after="0"/>
        <w:ind w:firstLine="1440"/>
        <w:rPr>
          <w:rFonts w:cs="Times New Roman"/>
          <w:szCs w:val="24"/>
        </w:rPr>
      </w:pPr>
    </w:p>
    <w:p w14:paraId="31D3BA32" w14:textId="2F7949F2" w:rsidR="00C45445" w:rsidRPr="00175297" w:rsidRDefault="00C45445" w:rsidP="004C5C3D">
      <w:pPr>
        <w:spacing w:after="0"/>
        <w:ind w:firstLine="1440"/>
        <w:rPr>
          <w:rFonts w:cs="Times New Roman"/>
          <w:szCs w:val="24"/>
        </w:rPr>
      </w:pPr>
      <w:r w:rsidRPr="00175297">
        <w:rPr>
          <w:rFonts w:cs="Times New Roman"/>
          <w:szCs w:val="24"/>
        </w:rPr>
        <w:t>IT IS ORDERED:</w:t>
      </w:r>
    </w:p>
    <w:p w14:paraId="5B169C88" w14:textId="77777777" w:rsidR="008E74E4" w:rsidRPr="00175297" w:rsidRDefault="008E74E4" w:rsidP="004C5C3D">
      <w:pPr>
        <w:spacing w:after="0"/>
        <w:ind w:firstLine="1440"/>
        <w:rPr>
          <w:rFonts w:cs="Times New Roman"/>
          <w:szCs w:val="24"/>
        </w:rPr>
      </w:pPr>
    </w:p>
    <w:p w14:paraId="229AEE20" w14:textId="5D9F07C5" w:rsidR="000100E4" w:rsidRDefault="00AE3BF0" w:rsidP="004C5C3D">
      <w:pPr>
        <w:spacing w:after="0"/>
        <w:rPr>
          <w:rFonts w:cs="Times New Roman"/>
          <w:szCs w:val="24"/>
        </w:rPr>
      </w:pPr>
      <w:r w:rsidRPr="00175297">
        <w:rPr>
          <w:rFonts w:cs="Times New Roman"/>
          <w:szCs w:val="24"/>
        </w:rPr>
        <w:tab/>
      </w:r>
      <w:r w:rsidRPr="00175297">
        <w:rPr>
          <w:rFonts w:cs="Times New Roman"/>
          <w:szCs w:val="24"/>
        </w:rPr>
        <w:tab/>
      </w:r>
      <w:r w:rsidR="000C2662" w:rsidRPr="00175297">
        <w:rPr>
          <w:rFonts w:cs="Times New Roman"/>
          <w:szCs w:val="24"/>
        </w:rPr>
        <w:t>1.</w:t>
      </w:r>
      <w:r w:rsidR="000C2662" w:rsidRPr="00175297">
        <w:rPr>
          <w:rFonts w:cs="Times New Roman"/>
          <w:szCs w:val="24"/>
        </w:rPr>
        <w:tab/>
        <w:t xml:space="preserve">That the </w:t>
      </w:r>
      <w:r w:rsidR="004802BB" w:rsidRPr="00175297">
        <w:rPr>
          <w:rFonts w:cs="Times New Roman"/>
          <w:szCs w:val="24"/>
        </w:rPr>
        <w:t>P</w:t>
      </w:r>
      <w:r w:rsidR="000C2662" w:rsidRPr="00175297">
        <w:rPr>
          <w:rFonts w:cs="Times New Roman"/>
          <w:szCs w:val="24"/>
        </w:rPr>
        <w:t xml:space="preserve">reliminary </w:t>
      </w:r>
      <w:r w:rsidR="004802BB" w:rsidRPr="00175297">
        <w:rPr>
          <w:rFonts w:cs="Times New Roman"/>
          <w:szCs w:val="24"/>
        </w:rPr>
        <w:t>O</w:t>
      </w:r>
      <w:r w:rsidR="000C2662" w:rsidRPr="00175297">
        <w:rPr>
          <w:rFonts w:cs="Times New Roman"/>
          <w:szCs w:val="24"/>
        </w:rPr>
        <w:t>bjection</w:t>
      </w:r>
      <w:r w:rsidR="007F4A6F">
        <w:rPr>
          <w:rFonts w:cs="Times New Roman"/>
          <w:szCs w:val="24"/>
        </w:rPr>
        <w:t xml:space="preserve"> </w:t>
      </w:r>
      <w:r w:rsidR="000C2662" w:rsidRPr="00175297">
        <w:rPr>
          <w:rFonts w:cs="Times New Roman"/>
          <w:szCs w:val="24"/>
        </w:rPr>
        <w:t>of</w:t>
      </w:r>
      <w:r w:rsidR="009F1C45" w:rsidRPr="00175297">
        <w:rPr>
          <w:rFonts w:cs="Times New Roman"/>
          <w:szCs w:val="24"/>
        </w:rPr>
        <w:t xml:space="preserve"> </w:t>
      </w:r>
      <w:r w:rsidR="00055F0B">
        <w:rPr>
          <w:rFonts w:cs="Times New Roman"/>
          <w:szCs w:val="24"/>
        </w:rPr>
        <w:t>Discount Power, Inc.</w:t>
      </w:r>
      <w:r w:rsidR="008F638C">
        <w:rPr>
          <w:rFonts w:cs="Times New Roman"/>
          <w:szCs w:val="24"/>
        </w:rPr>
        <w:t>,</w:t>
      </w:r>
      <w:r w:rsidR="000C2662" w:rsidRPr="00175297">
        <w:rPr>
          <w:rFonts w:cs="Times New Roman"/>
          <w:szCs w:val="24"/>
        </w:rPr>
        <w:t xml:space="preserve"> </w:t>
      </w:r>
      <w:r w:rsidR="007F4A6F">
        <w:rPr>
          <w:rFonts w:cs="Times New Roman"/>
          <w:szCs w:val="24"/>
        </w:rPr>
        <w:t>requesting</w:t>
      </w:r>
      <w:r w:rsidR="00055F0B">
        <w:rPr>
          <w:rFonts w:cs="Times New Roman"/>
          <w:szCs w:val="24"/>
        </w:rPr>
        <w:t xml:space="preserve"> dismissal of claims </w:t>
      </w:r>
      <w:r w:rsidR="007F4A6F">
        <w:rPr>
          <w:rFonts w:cs="Times New Roman"/>
          <w:szCs w:val="24"/>
        </w:rPr>
        <w:t xml:space="preserve">related to the Commission’s </w:t>
      </w:r>
      <w:r w:rsidR="007F4A6F" w:rsidRPr="00175297">
        <w:rPr>
          <w:rFonts w:cs="Times New Roman"/>
          <w:szCs w:val="24"/>
        </w:rPr>
        <w:t>enforcement of the CPL, TRA, or federal law</w:t>
      </w:r>
      <w:r w:rsidR="007F4A6F">
        <w:rPr>
          <w:rFonts w:cs="Times New Roman"/>
          <w:szCs w:val="24"/>
        </w:rPr>
        <w:t>, is denied because no such claims are made in the Complaint.</w:t>
      </w:r>
    </w:p>
    <w:p w14:paraId="6F645533" w14:textId="77258A99" w:rsidR="007F4A6F" w:rsidRDefault="007F4A6F" w:rsidP="004C5C3D">
      <w:pPr>
        <w:spacing w:after="0"/>
        <w:rPr>
          <w:rFonts w:cs="Times New Roman"/>
          <w:szCs w:val="24"/>
        </w:rPr>
      </w:pPr>
    </w:p>
    <w:p w14:paraId="76430032" w14:textId="49DAD75F" w:rsidR="007F4A6F" w:rsidRDefault="007F4A6F" w:rsidP="004C5C3D">
      <w:pPr>
        <w:spacing w:after="0"/>
        <w:rPr>
          <w:rFonts w:cs="Times New Roman"/>
          <w:szCs w:val="24"/>
        </w:rPr>
      </w:pPr>
      <w:r>
        <w:rPr>
          <w:rFonts w:cs="Times New Roman"/>
          <w:szCs w:val="24"/>
        </w:rPr>
        <w:tab/>
      </w:r>
      <w:r>
        <w:rPr>
          <w:rFonts w:cs="Times New Roman"/>
          <w:szCs w:val="24"/>
        </w:rPr>
        <w:tab/>
        <w:t>2.</w:t>
      </w:r>
      <w:r>
        <w:rPr>
          <w:rFonts w:cs="Times New Roman"/>
          <w:szCs w:val="24"/>
        </w:rPr>
        <w:tab/>
        <w:t>That the Preliminary Objection of Discount Power, Inc., related to Complainant’s request for customer refunds is granted.</w:t>
      </w:r>
    </w:p>
    <w:p w14:paraId="05477D11" w14:textId="22959BD7" w:rsidR="007F4A6F" w:rsidRDefault="007F4A6F" w:rsidP="004C5C3D">
      <w:pPr>
        <w:spacing w:after="0"/>
        <w:rPr>
          <w:rFonts w:cs="Times New Roman"/>
          <w:szCs w:val="24"/>
        </w:rPr>
      </w:pPr>
    </w:p>
    <w:p w14:paraId="60885674" w14:textId="3401AD26" w:rsidR="007F4A6F" w:rsidRPr="00175297" w:rsidRDefault="007F4A6F" w:rsidP="004C5C3D">
      <w:pPr>
        <w:spacing w:after="0"/>
        <w:rPr>
          <w:rFonts w:cs="Times New Roman"/>
          <w:szCs w:val="24"/>
        </w:rPr>
      </w:pPr>
      <w:r>
        <w:rPr>
          <w:rFonts w:cs="Times New Roman"/>
          <w:szCs w:val="24"/>
        </w:rPr>
        <w:tab/>
      </w:r>
      <w:r>
        <w:rPr>
          <w:rFonts w:cs="Times New Roman"/>
          <w:szCs w:val="24"/>
        </w:rPr>
        <w:tab/>
        <w:t>3.</w:t>
      </w:r>
      <w:r>
        <w:rPr>
          <w:rFonts w:cs="Times New Roman"/>
          <w:szCs w:val="24"/>
        </w:rPr>
        <w:tab/>
        <w:t>That the requests for relief seeking refunds for Complainant and</w:t>
      </w:r>
      <w:r w:rsidR="00373EE4">
        <w:rPr>
          <w:rFonts w:cs="Times New Roman"/>
          <w:szCs w:val="24"/>
        </w:rPr>
        <w:t>/or</w:t>
      </w:r>
      <w:r>
        <w:rPr>
          <w:rFonts w:cs="Times New Roman"/>
          <w:szCs w:val="24"/>
        </w:rPr>
        <w:t xml:space="preserve"> other customers are hereby struck from the Complaint.</w:t>
      </w:r>
    </w:p>
    <w:p w14:paraId="608AAF43" w14:textId="77777777" w:rsidR="008E74E4" w:rsidRPr="00175297" w:rsidRDefault="008E74E4" w:rsidP="004C5C3D">
      <w:pPr>
        <w:spacing w:after="0"/>
        <w:rPr>
          <w:rFonts w:cs="Times New Roman"/>
          <w:szCs w:val="24"/>
        </w:rPr>
      </w:pPr>
    </w:p>
    <w:p w14:paraId="2D18C4A6" w14:textId="77777777" w:rsidR="000C2662" w:rsidRPr="00175297" w:rsidRDefault="000C2662" w:rsidP="004C5C3D">
      <w:pPr>
        <w:spacing w:after="0"/>
        <w:rPr>
          <w:rFonts w:cs="Times New Roman"/>
          <w:szCs w:val="24"/>
        </w:rPr>
      </w:pPr>
    </w:p>
    <w:p w14:paraId="20E3C442" w14:textId="4657FB8A" w:rsidR="008E74E4" w:rsidRPr="00175297" w:rsidRDefault="008E74E4" w:rsidP="008E74E4">
      <w:pPr>
        <w:spacing w:after="0" w:line="240" w:lineRule="auto"/>
        <w:rPr>
          <w:rFonts w:eastAsia="Times New Roman" w:cs="Times New Roman"/>
          <w:szCs w:val="24"/>
        </w:rPr>
      </w:pPr>
      <w:bookmarkStart w:id="0" w:name="_Hlk505862083"/>
      <w:r w:rsidRPr="007A49BF">
        <w:rPr>
          <w:rFonts w:eastAsia="Times New Roman" w:cs="Times New Roman"/>
          <w:szCs w:val="24"/>
        </w:rPr>
        <w:t>Date:</w:t>
      </w:r>
      <w:r w:rsidR="007A49BF">
        <w:rPr>
          <w:rFonts w:eastAsia="Times New Roman" w:cs="Times New Roman"/>
          <w:szCs w:val="24"/>
        </w:rPr>
        <w:t xml:space="preserve"> </w:t>
      </w:r>
      <w:r w:rsidR="007A49BF">
        <w:rPr>
          <w:rFonts w:eastAsia="Times New Roman" w:cs="Times New Roman"/>
          <w:szCs w:val="24"/>
          <w:u w:val="single"/>
        </w:rPr>
        <w:t>November 16, 2020</w:t>
      </w:r>
      <w:r w:rsidR="00D157D2" w:rsidRPr="00175297">
        <w:rPr>
          <w:rFonts w:eastAsia="Times New Roman" w:cs="Times New Roman"/>
          <w:szCs w:val="24"/>
          <w:u w:val="single"/>
        </w:rPr>
        <w:tab/>
      </w:r>
      <w:r w:rsidRPr="00175297">
        <w:rPr>
          <w:rFonts w:eastAsia="Times New Roman" w:cs="Times New Roman"/>
          <w:szCs w:val="24"/>
        </w:rPr>
        <w:tab/>
      </w:r>
      <w:r w:rsidRPr="00175297">
        <w:rPr>
          <w:rFonts w:eastAsia="Times New Roman" w:cs="Times New Roman"/>
          <w:szCs w:val="24"/>
        </w:rPr>
        <w:tab/>
      </w:r>
      <w:r w:rsidRPr="00175297">
        <w:rPr>
          <w:rFonts w:eastAsia="Times New Roman" w:cs="Times New Roman"/>
          <w:szCs w:val="24"/>
        </w:rPr>
        <w:tab/>
      </w:r>
      <w:r w:rsidRPr="00175297">
        <w:rPr>
          <w:rFonts w:eastAsia="Times New Roman" w:cs="Times New Roman"/>
          <w:szCs w:val="24"/>
          <w:u w:val="single"/>
        </w:rPr>
        <w:tab/>
      </w:r>
      <w:r w:rsidRPr="00175297">
        <w:rPr>
          <w:rFonts w:eastAsia="Times New Roman" w:cs="Times New Roman"/>
          <w:szCs w:val="24"/>
          <w:u w:val="single"/>
        </w:rPr>
        <w:tab/>
        <w:t>/s/</w:t>
      </w:r>
      <w:r w:rsidRPr="00175297">
        <w:rPr>
          <w:rFonts w:eastAsia="Times New Roman" w:cs="Times New Roman"/>
          <w:szCs w:val="24"/>
          <w:u w:val="single"/>
        </w:rPr>
        <w:tab/>
      </w:r>
      <w:r w:rsidRPr="00175297">
        <w:rPr>
          <w:rFonts w:eastAsia="Times New Roman" w:cs="Times New Roman"/>
          <w:szCs w:val="24"/>
          <w:u w:val="single"/>
        </w:rPr>
        <w:tab/>
      </w:r>
      <w:r w:rsidRPr="00175297">
        <w:rPr>
          <w:rFonts w:eastAsia="Times New Roman" w:cs="Times New Roman"/>
          <w:szCs w:val="24"/>
          <w:u w:val="single"/>
        </w:rPr>
        <w:tab/>
      </w:r>
      <w:r w:rsidRPr="00175297">
        <w:rPr>
          <w:rFonts w:eastAsia="Times New Roman" w:cs="Times New Roman"/>
          <w:szCs w:val="24"/>
          <w:u w:val="single"/>
        </w:rPr>
        <w:tab/>
      </w:r>
    </w:p>
    <w:p w14:paraId="2A3CD0C6" w14:textId="7ED9AEFB" w:rsidR="00792796" w:rsidRPr="00175297" w:rsidRDefault="008E74E4" w:rsidP="001D0D07">
      <w:pPr>
        <w:spacing w:after="0" w:line="240" w:lineRule="auto"/>
        <w:rPr>
          <w:rFonts w:eastAsia="Times New Roman" w:cs="Times New Roman"/>
          <w:szCs w:val="24"/>
        </w:rPr>
      </w:pPr>
      <w:r w:rsidRPr="00175297">
        <w:rPr>
          <w:rFonts w:eastAsia="Times New Roman" w:cs="Times New Roman"/>
          <w:szCs w:val="24"/>
        </w:rPr>
        <w:tab/>
      </w:r>
      <w:r w:rsidRPr="00175297">
        <w:rPr>
          <w:rFonts w:eastAsia="Times New Roman" w:cs="Times New Roman"/>
          <w:szCs w:val="24"/>
        </w:rPr>
        <w:tab/>
      </w:r>
      <w:r w:rsidRPr="00175297">
        <w:rPr>
          <w:rFonts w:eastAsia="Times New Roman" w:cs="Times New Roman"/>
          <w:szCs w:val="24"/>
        </w:rPr>
        <w:tab/>
      </w:r>
      <w:r w:rsidRPr="00175297">
        <w:rPr>
          <w:rFonts w:eastAsia="Times New Roman" w:cs="Times New Roman"/>
          <w:szCs w:val="24"/>
        </w:rPr>
        <w:tab/>
      </w:r>
      <w:r w:rsidRPr="00175297">
        <w:rPr>
          <w:rFonts w:eastAsia="Times New Roman" w:cs="Times New Roman"/>
          <w:szCs w:val="24"/>
        </w:rPr>
        <w:tab/>
      </w:r>
      <w:r w:rsidRPr="00175297">
        <w:rPr>
          <w:rFonts w:eastAsia="Times New Roman" w:cs="Times New Roman"/>
          <w:szCs w:val="24"/>
        </w:rPr>
        <w:tab/>
      </w:r>
      <w:r w:rsidRPr="00175297">
        <w:rPr>
          <w:rFonts w:eastAsia="Times New Roman" w:cs="Times New Roman"/>
          <w:szCs w:val="24"/>
        </w:rPr>
        <w:tab/>
      </w:r>
      <w:r w:rsidR="009F1C45" w:rsidRPr="00175297">
        <w:rPr>
          <w:rFonts w:eastAsia="Times New Roman" w:cs="Times New Roman"/>
          <w:szCs w:val="24"/>
        </w:rPr>
        <w:t>Emily I. DeVoe</w:t>
      </w:r>
      <w:bookmarkEnd w:id="0"/>
    </w:p>
    <w:p w14:paraId="633DB21A" w14:textId="77777777" w:rsidR="007A49BF" w:rsidRDefault="00536E23" w:rsidP="001D0D07">
      <w:pPr>
        <w:spacing w:after="0" w:line="240" w:lineRule="auto"/>
        <w:rPr>
          <w:rFonts w:eastAsia="Times New Roman" w:cs="Times New Roman"/>
          <w:szCs w:val="24"/>
        </w:rPr>
        <w:sectPr w:rsidR="007A49BF" w:rsidSect="00B80D66">
          <w:footerReference w:type="default" r:id="rId8"/>
          <w:pgSz w:w="12240" w:h="15840"/>
          <w:pgMar w:top="1440" w:right="1440" w:bottom="1440" w:left="1440" w:header="720" w:footer="720" w:gutter="0"/>
          <w:cols w:space="720"/>
          <w:titlePg/>
          <w:docGrid w:linePitch="360"/>
        </w:sectPr>
      </w:pPr>
      <w:r w:rsidRPr="00175297">
        <w:rPr>
          <w:rFonts w:eastAsia="Times New Roman" w:cs="Times New Roman"/>
          <w:szCs w:val="24"/>
        </w:rPr>
        <w:tab/>
      </w:r>
      <w:r w:rsidRPr="00175297">
        <w:rPr>
          <w:rFonts w:eastAsia="Times New Roman" w:cs="Times New Roman"/>
          <w:szCs w:val="24"/>
        </w:rPr>
        <w:tab/>
      </w:r>
      <w:r w:rsidRPr="00175297">
        <w:rPr>
          <w:rFonts w:eastAsia="Times New Roman" w:cs="Times New Roman"/>
          <w:szCs w:val="24"/>
        </w:rPr>
        <w:tab/>
      </w:r>
      <w:r w:rsidRPr="00175297">
        <w:rPr>
          <w:rFonts w:eastAsia="Times New Roman" w:cs="Times New Roman"/>
          <w:szCs w:val="24"/>
        </w:rPr>
        <w:tab/>
      </w:r>
      <w:r w:rsidRPr="00175297">
        <w:rPr>
          <w:rFonts w:eastAsia="Times New Roman" w:cs="Times New Roman"/>
          <w:szCs w:val="24"/>
        </w:rPr>
        <w:tab/>
      </w:r>
      <w:r w:rsidRPr="00175297">
        <w:rPr>
          <w:rFonts w:eastAsia="Times New Roman" w:cs="Times New Roman"/>
          <w:szCs w:val="24"/>
        </w:rPr>
        <w:tab/>
      </w:r>
      <w:r w:rsidRPr="00175297">
        <w:rPr>
          <w:rFonts w:eastAsia="Times New Roman" w:cs="Times New Roman"/>
          <w:szCs w:val="24"/>
        </w:rPr>
        <w:tab/>
        <w:t>Administrative Law Judge</w:t>
      </w:r>
    </w:p>
    <w:p w14:paraId="18079C91" w14:textId="77777777" w:rsidR="007A49BF" w:rsidRPr="007A49BF" w:rsidRDefault="007A49BF" w:rsidP="007A49BF">
      <w:pPr>
        <w:spacing w:after="160" w:line="259" w:lineRule="auto"/>
        <w:rPr>
          <w:rFonts w:ascii="Microsoft Sans Serif" w:eastAsia="Microsoft Sans Serif" w:hAnsi="Microsoft Sans Serif" w:cs="Microsoft Sans Serif"/>
          <w:b/>
          <w:bCs/>
        </w:rPr>
      </w:pPr>
      <w:r w:rsidRPr="007A49BF">
        <w:rPr>
          <w:rFonts w:ascii="Microsoft Sans Serif" w:eastAsia="Microsoft Sans Serif" w:hAnsi="Microsoft Sans Serif" w:cs="Microsoft Sans Serif"/>
          <w:b/>
          <w:u w:val="single"/>
        </w:rPr>
        <w:lastRenderedPageBreak/>
        <w:t>C-2020-3021020 - MICHAEL ZIMMERMAN v. DISCOUNT POWER INC</w:t>
      </w:r>
      <w:r w:rsidRPr="007A49BF">
        <w:rPr>
          <w:rFonts w:ascii="Microsoft Sans Serif" w:eastAsia="Microsoft Sans Serif" w:hAnsi="Microsoft Sans Serif" w:cs="Microsoft Sans Serif"/>
          <w:b/>
          <w:u w:val="single"/>
        </w:rPr>
        <w:cr/>
      </w:r>
      <w:r w:rsidRPr="007A49BF">
        <w:rPr>
          <w:rFonts w:ascii="Microsoft Sans Serif" w:eastAsia="Microsoft Sans Serif" w:hAnsi="Microsoft Sans Serif" w:cs="Microsoft Sans Serif"/>
          <w:b/>
          <w:u w:val="single"/>
        </w:rPr>
        <w:cr/>
      </w:r>
      <w:r w:rsidRPr="007A49BF">
        <w:rPr>
          <w:rFonts w:ascii="Microsoft Sans Serif" w:eastAsia="Microsoft Sans Serif" w:hAnsi="Microsoft Sans Serif" w:cs="Microsoft Sans Serif"/>
        </w:rPr>
        <w:t>MICHAEL ZIMMERMAN</w:t>
      </w:r>
      <w:r w:rsidRPr="007A49BF">
        <w:rPr>
          <w:rFonts w:ascii="Microsoft Sans Serif" w:eastAsia="Microsoft Sans Serif" w:hAnsi="Microsoft Sans Serif" w:cs="Microsoft Sans Serif"/>
        </w:rPr>
        <w:cr/>
        <w:t>3812 HOWLEY ST</w:t>
      </w:r>
      <w:r w:rsidRPr="007A49BF">
        <w:rPr>
          <w:rFonts w:ascii="Microsoft Sans Serif" w:eastAsia="Microsoft Sans Serif" w:hAnsi="Microsoft Sans Serif" w:cs="Microsoft Sans Serif"/>
        </w:rPr>
        <w:cr/>
        <w:t>PITTSBURGH PA  15201</w:t>
      </w:r>
      <w:r w:rsidRPr="007A49BF">
        <w:rPr>
          <w:rFonts w:ascii="Microsoft Sans Serif" w:eastAsia="Microsoft Sans Serif" w:hAnsi="Microsoft Sans Serif" w:cs="Microsoft Sans Serif"/>
        </w:rPr>
        <w:cr/>
      </w:r>
      <w:r w:rsidRPr="007A49BF">
        <w:rPr>
          <w:rFonts w:ascii="Microsoft Sans Serif" w:eastAsia="Microsoft Sans Serif" w:hAnsi="Microsoft Sans Serif" w:cs="Microsoft Sans Serif"/>
          <w:b/>
          <w:bCs/>
        </w:rPr>
        <w:t>802.318.6960</w:t>
      </w:r>
      <w:r w:rsidRPr="007A49BF">
        <w:rPr>
          <w:rFonts w:ascii="Microsoft Sans Serif" w:eastAsia="Microsoft Sans Serif" w:hAnsi="Microsoft Sans Serif" w:cs="Microsoft Sans Serif"/>
          <w:b/>
          <w:bCs/>
        </w:rPr>
        <w:cr/>
      </w:r>
      <w:hyperlink r:id="rId9" w:history="1">
        <w:r w:rsidRPr="007A49BF">
          <w:rPr>
            <w:rFonts w:ascii="Microsoft Sans Serif" w:eastAsia="Microsoft Sans Serif" w:hAnsi="Microsoft Sans Serif" w:cs="Microsoft Sans Serif"/>
            <w:color w:val="0563C1"/>
            <w:u w:val="single"/>
          </w:rPr>
          <w:t>michaelzimmerman222@gmail.com</w:t>
        </w:r>
      </w:hyperlink>
      <w:r w:rsidRPr="007A49BF">
        <w:rPr>
          <w:rFonts w:ascii="Microsoft Sans Serif" w:eastAsia="Microsoft Sans Serif" w:hAnsi="Microsoft Sans Serif" w:cs="Microsoft Sans Serif"/>
        </w:rPr>
        <w:br/>
        <w:t>Accepts eService</w:t>
      </w:r>
    </w:p>
    <w:p w14:paraId="770E1581" w14:textId="77777777" w:rsidR="007A49BF" w:rsidRPr="007A49BF" w:rsidRDefault="007A49BF" w:rsidP="007A49BF">
      <w:pPr>
        <w:spacing w:after="160" w:line="259" w:lineRule="auto"/>
        <w:rPr>
          <w:rFonts w:ascii="Microsoft Sans Serif" w:eastAsia="Microsoft Sans Serif" w:hAnsi="Microsoft Sans Serif" w:cs="Microsoft Sans Serif"/>
        </w:rPr>
      </w:pPr>
      <w:r w:rsidRPr="007A49BF">
        <w:rPr>
          <w:rFonts w:ascii="Microsoft Sans Serif" w:eastAsia="Microsoft Sans Serif" w:hAnsi="Microsoft Sans Serif" w:cs="Microsoft Sans Serif"/>
        </w:rPr>
        <w:cr/>
        <w:t>KAREN O MOURY ESQUIRE</w:t>
      </w:r>
      <w:r w:rsidRPr="007A49BF">
        <w:rPr>
          <w:rFonts w:ascii="Microsoft Sans Serif" w:eastAsia="Microsoft Sans Serif" w:hAnsi="Microsoft Sans Serif" w:cs="Microsoft Sans Serif"/>
        </w:rPr>
        <w:cr/>
        <w:t>ECKERT SEAMANS</w:t>
      </w:r>
      <w:r w:rsidRPr="007A49BF">
        <w:rPr>
          <w:rFonts w:ascii="Microsoft Sans Serif" w:eastAsia="Microsoft Sans Serif" w:hAnsi="Microsoft Sans Serif" w:cs="Microsoft Sans Serif"/>
        </w:rPr>
        <w:cr/>
        <w:t>213 MARKET STREET</w:t>
      </w:r>
      <w:r w:rsidRPr="007A49BF">
        <w:rPr>
          <w:rFonts w:ascii="Microsoft Sans Serif" w:eastAsia="Microsoft Sans Serif" w:hAnsi="Microsoft Sans Serif" w:cs="Microsoft Sans Serif"/>
        </w:rPr>
        <w:cr/>
        <w:t>HARRISBURG PA  17101</w:t>
      </w:r>
      <w:r w:rsidRPr="007A49BF">
        <w:rPr>
          <w:rFonts w:ascii="Microsoft Sans Serif" w:eastAsia="Microsoft Sans Serif" w:hAnsi="Microsoft Sans Serif" w:cs="Microsoft Sans Serif"/>
        </w:rPr>
        <w:cr/>
      </w:r>
      <w:r w:rsidRPr="007A49BF">
        <w:rPr>
          <w:rFonts w:ascii="Microsoft Sans Serif" w:eastAsia="Microsoft Sans Serif" w:hAnsi="Microsoft Sans Serif" w:cs="Microsoft Sans Serif"/>
          <w:b/>
          <w:bCs/>
        </w:rPr>
        <w:t>717.237.6036</w:t>
      </w:r>
      <w:r w:rsidRPr="007A49BF">
        <w:rPr>
          <w:rFonts w:ascii="Microsoft Sans Serif" w:eastAsia="Microsoft Sans Serif" w:hAnsi="Microsoft Sans Serif" w:cs="Microsoft Sans Serif"/>
        </w:rPr>
        <w:br/>
      </w:r>
      <w:hyperlink r:id="rId10" w:history="1">
        <w:r w:rsidRPr="007A49BF">
          <w:rPr>
            <w:rFonts w:ascii="Microsoft Sans Serif" w:eastAsia="Microsoft Sans Serif" w:hAnsi="Microsoft Sans Serif" w:cs="Microsoft Sans Serif"/>
            <w:color w:val="0563C1"/>
            <w:u w:val="single"/>
          </w:rPr>
          <w:t>kmoury@eckertseamans.com</w:t>
        </w:r>
      </w:hyperlink>
      <w:r w:rsidRPr="007A49BF">
        <w:rPr>
          <w:rFonts w:ascii="Microsoft Sans Serif" w:eastAsia="Microsoft Sans Serif" w:hAnsi="Microsoft Sans Serif" w:cs="Microsoft Sans Serif"/>
        </w:rPr>
        <w:br/>
        <w:t>Accepts eService</w:t>
      </w:r>
    </w:p>
    <w:p w14:paraId="001ADA49" w14:textId="3859AC8F" w:rsidR="00536E23" w:rsidRPr="00175297" w:rsidRDefault="00536E23" w:rsidP="001D0D07">
      <w:pPr>
        <w:spacing w:after="0" w:line="240" w:lineRule="auto"/>
        <w:rPr>
          <w:rFonts w:cs="Times New Roman"/>
          <w:szCs w:val="24"/>
        </w:rPr>
      </w:pPr>
    </w:p>
    <w:sectPr w:rsidR="00536E23" w:rsidRPr="00175297" w:rsidSect="00B80D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05E66" w14:textId="77777777" w:rsidR="00EC514D" w:rsidRDefault="00EC514D" w:rsidP="001A75EB">
      <w:pPr>
        <w:spacing w:after="0" w:line="240" w:lineRule="auto"/>
      </w:pPr>
      <w:r>
        <w:separator/>
      </w:r>
    </w:p>
  </w:endnote>
  <w:endnote w:type="continuationSeparator" w:id="0">
    <w:p w14:paraId="65A3A1E2" w14:textId="77777777" w:rsidR="00EC514D" w:rsidRDefault="00EC514D" w:rsidP="001A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0321170"/>
      <w:docPartObj>
        <w:docPartGallery w:val="Page Numbers (Bottom of Page)"/>
        <w:docPartUnique/>
      </w:docPartObj>
    </w:sdtPr>
    <w:sdtEndPr>
      <w:rPr>
        <w:noProof/>
        <w:sz w:val="20"/>
        <w:szCs w:val="20"/>
      </w:rPr>
    </w:sdtEndPr>
    <w:sdtContent>
      <w:p w14:paraId="624D5EAE" w14:textId="77777777" w:rsidR="00B80D66" w:rsidRDefault="00B80D66">
        <w:pPr>
          <w:pStyle w:val="Footer"/>
          <w:jc w:val="center"/>
        </w:pPr>
        <w:r w:rsidRPr="008E74E4">
          <w:rPr>
            <w:sz w:val="20"/>
            <w:szCs w:val="20"/>
          </w:rPr>
          <w:fldChar w:fldCharType="begin"/>
        </w:r>
        <w:r w:rsidRPr="008E74E4">
          <w:rPr>
            <w:sz w:val="20"/>
            <w:szCs w:val="20"/>
          </w:rPr>
          <w:instrText xml:space="preserve"> PAGE   \* MERGEFORMAT </w:instrText>
        </w:r>
        <w:r w:rsidRPr="008E74E4">
          <w:rPr>
            <w:sz w:val="20"/>
            <w:szCs w:val="20"/>
          </w:rPr>
          <w:fldChar w:fldCharType="separate"/>
        </w:r>
        <w:r w:rsidRPr="008E74E4">
          <w:rPr>
            <w:noProof/>
            <w:sz w:val="20"/>
            <w:szCs w:val="20"/>
          </w:rPr>
          <w:t>2</w:t>
        </w:r>
        <w:r w:rsidRPr="008E74E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32FDF" w14:textId="77777777" w:rsidR="00EC514D" w:rsidRDefault="00EC514D" w:rsidP="001A75EB">
      <w:pPr>
        <w:spacing w:after="0" w:line="240" w:lineRule="auto"/>
      </w:pPr>
      <w:r>
        <w:separator/>
      </w:r>
    </w:p>
  </w:footnote>
  <w:footnote w:type="continuationSeparator" w:id="0">
    <w:p w14:paraId="2B07DAB7" w14:textId="77777777" w:rsidR="00EC514D" w:rsidRDefault="00EC514D" w:rsidP="001A75EB">
      <w:pPr>
        <w:spacing w:after="0" w:line="240" w:lineRule="auto"/>
      </w:pPr>
      <w:r>
        <w:continuationSeparator/>
      </w:r>
    </w:p>
  </w:footnote>
  <w:footnote w:id="1">
    <w:p w14:paraId="559C443D" w14:textId="71EAF44B" w:rsidR="00833A50" w:rsidRDefault="00833A50">
      <w:pPr>
        <w:pStyle w:val="FootnoteText"/>
      </w:pPr>
      <w:r>
        <w:rPr>
          <w:rStyle w:val="FootnoteReference"/>
        </w:rPr>
        <w:footnoteRef/>
      </w:r>
      <w:r>
        <w:t xml:space="preserve"> </w:t>
      </w:r>
      <w:r>
        <w:tab/>
        <w:t xml:space="preserve">Complainant filed </w:t>
      </w:r>
      <w:r w:rsidR="00701998">
        <w:t>a single</w:t>
      </w:r>
      <w:r>
        <w:t xml:space="preserve"> Complaint </w:t>
      </w:r>
      <w:r w:rsidR="00701998">
        <w:t xml:space="preserve">with the Commission, </w:t>
      </w:r>
      <w:r>
        <w:t>naming both D</w:t>
      </w:r>
      <w:r w:rsidR="001654A8">
        <w:t>iscount Power</w:t>
      </w:r>
      <w:r>
        <w:t xml:space="preserve"> and S</w:t>
      </w:r>
      <w:r w:rsidR="004C5C3D">
        <w:t>EF</w:t>
      </w:r>
      <w:r>
        <w:t xml:space="preserve"> Energy Pennsylvania, Inc.</w:t>
      </w:r>
      <w:r w:rsidR="00701998">
        <w:t xml:space="preserve"> </w:t>
      </w:r>
      <w:r w:rsidR="001654A8">
        <w:t xml:space="preserve">(SEF) </w:t>
      </w:r>
      <w:r>
        <w:t>as respondents.  The Commission’s Secretary</w:t>
      </w:r>
      <w:r w:rsidR="001654A8">
        <w:t xml:space="preserve"> assigned separate docket number</w:t>
      </w:r>
      <w:r w:rsidR="00701998">
        <w:t>s</w:t>
      </w:r>
      <w:r w:rsidR="001654A8">
        <w:t xml:space="preserve"> for </w:t>
      </w:r>
      <w:r w:rsidR="00701998">
        <w:t>each respondent, and the</w:t>
      </w:r>
      <w:r w:rsidR="001654A8">
        <w:t xml:space="preserve"> proceeding against SEF</w:t>
      </w:r>
      <w:r w:rsidR="00701998">
        <w:t xml:space="preserve"> </w:t>
      </w:r>
      <w:r w:rsidR="001654A8">
        <w:t xml:space="preserve">is docketed </w:t>
      </w:r>
      <w:r w:rsidR="00373EE4">
        <w:t xml:space="preserve">at </w:t>
      </w:r>
      <w:r w:rsidR="00373EE4" w:rsidRPr="00373EE4">
        <w:t>C-2020-3020973</w:t>
      </w:r>
      <w:r w:rsidR="00373EE4">
        <w:t>.</w:t>
      </w:r>
    </w:p>
  </w:footnote>
  <w:footnote w:id="2">
    <w:p w14:paraId="3D1F88CB" w14:textId="621597F5" w:rsidR="00701998" w:rsidRDefault="00701998">
      <w:pPr>
        <w:pStyle w:val="FootnoteText"/>
      </w:pPr>
      <w:r>
        <w:rPr>
          <w:rStyle w:val="FootnoteReference"/>
        </w:rPr>
        <w:footnoteRef/>
      </w:r>
      <w:r>
        <w:t xml:space="preserve"> </w:t>
      </w:r>
      <w:r>
        <w:tab/>
        <w:t>Responsive pleadings were originally due on August 13, 2020.  By Secretarial Letters dated August 6, 2020, September 1, 2020, and September 22, 2020, the Commission granted Discount Power’s unopposed requests for 20-day extension for filing responsive pleadings, which were then due October 13, 2020.</w:t>
      </w:r>
    </w:p>
  </w:footnote>
  <w:footnote w:id="3">
    <w:p w14:paraId="1A6ECEC1" w14:textId="77777777" w:rsidR="00BF3A30" w:rsidRDefault="00BF3A30" w:rsidP="00BF3A30">
      <w:pPr>
        <w:pStyle w:val="FootnoteText"/>
      </w:pPr>
      <w:r>
        <w:rPr>
          <w:rStyle w:val="FootnoteReference"/>
        </w:rPr>
        <w:footnoteRef/>
      </w:r>
      <w:r>
        <w:t xml:space="preserve"> </w:t>
      </w:r>
      <w:r>
        <w:tab/>
        <w:t xml:space="preserve">73 P.S. </w:t>
      </w:r>
      <w:r>
        <w:rPr>
          <w:rFonts w:cs="Times New Roman"/>
        </w:rPr>
        <w:t>§§</w:t>
      </w:r>
      <w:r>
        <w:t xml:space="preserve"> 201-1 – 201.9.2.</w:t>
      </w:r>
    </w:p>
  </w:footnote>
  <w:footnote w:id="4">
    <w:p w14:paraId="27FE7597" w14:textId="77777777" w:rsidR="00BF3A30" w:rsidRDefault="00BF3A30" w:rsidP="00BF3A30">
      <w:pPr>
        <w:pStyle w:val="FootnoteText"/>
      </w:pPr>
      <w:r>
        <w:rPr>
          <w:rStyle w:val="FootnoteReference"/>
        </w:rPr>
        <w:footnoteRef/>
      </w:r>
      <w:r>
        <w:t xml:space="preserve"> </w:t>
      </w:r>
      <w:r>
        <w:tab/>
        <w:t xml:space="preserve">73 P.S. </w:t>
      </w:r>
      <w:r>
        <w:rPr>
          <w:rFonts w:cs="Times New Roman"/>
        </w:rPr>
        <w:t>§§ 2241-2249.</w:t>
      </w:r>
    </w:p>
  </w:footnote>
  <w:footnote w:id="5">
    <w:p w14:paraId="48BCB521" w14:textId="0270EC8A" w:rsidR="00977A46" w:rsidRDefault="00977A46" w:rsidP="008E74E4">
      <w:pPr>
        <w:pStyle w:val="FootnoteText"/>
        <w:spacing w:after="0"/>
      </w:pPr>
      <w:r>
        <w:rPr>
          <w:rStyle w:val="FootnoteReference"/>
        </w:rPr>
        <w:footnoteRef/>
      </w:r>
      <w:r>
        <w:t xml:space="preserve">  </w:t>
      </w:r>
      <w:r>
        <w:tab/>
        <w:t>52 Pa.Code § 5.101(a)(1).</w:t>
      </w:r>
    </w:p>
    <w:p w14:paraId="412F1FA2" w14:textId="77777777" w:rsidR="008E74E4" w:rsidRDefault="008E74E4" w:rsidP="008E74E4">
      <w:pPr>
        <w:pStyle w:val="FootnoteText"/>
        <w:spacing w:after="0"/>
      </w:pPr>
    </w:p>
  </w:footnote>
  <w:footnote w:id="6">
    <w:p w14:paraId="0A7D8FD4" w14:textId="47DD57DB" w:rsidR="00977A46" w:rsidRDefault="00977A46" w:rsidP="008E74E4">
      <w:pPr>
        <w:pStyle w:val="FootnoteText"/>
        <w:spacing w:after="0"/>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p w14:paraId="11803A6A" w14:textId="77777777" w:rsidR="008E74E4" w:rsidRDefault="008E74E4" w:rsidP="008E74E4">
      <w:pPr>
        <w:pStyle w:val="FootnoteText"/>
        <w:spacing w:after="0"/>
      </w:pPr>
    </w:p>
  </w:footnote>
  <w:footnote w:id="7">
    <w:p w14:paraId="0E036D85" w14:textId="7F4D9D6A" w:rsidR="00977A46" w:rsidRDefault="00977A46" w:rsidP="008E74E4">
      <w:pPr>
        <w:pStyle w:val="FootnoteText"/>
        <w:spacing w:after="0"/>
      </w:pPr>
      <w:r>
        <w:rPr>
          <w:rStyle w:val="FootnoteReference"/>
        </w:rPr>
        <w:footnoteRef/>
      </w:r>
      <w:r>
        <w:t xml:space="preserve"> </w:t>
      </w:r>
      <w:r>
        <w:tab/>
      </w:r>
      <w:r>
        <w:rPr>
          <w:i/>
        </w:rPr>
        <w:t>Dept. of Auditor General v. SERS</w:t>
      </w:r>
      <w:r w:rsidRPr="00AB2BD8">
        <w:t>,</w:t>
      </w:r>
      <w:r>
        <w:t xml:space="preserve"> 836 A.2d 1053, 1064 (Pa.Cmwlth. 2003); </w:t>
      </w:r>
      <w:r w:rsidRPr="00B908F9">
        <w:rPr>
          <w:i/>
        </w:rPr>
        <w:t>P.J.S. v. Pa. State Ethics Comm’n</w:t>
      </w:r>
      <w:r>
        <w:t>, 669 A.2d 1105 (Pa.Cmwlth. 1996).</w:t>
      </w:r>
    </w:p>
    <w:p w14:paraId="5F9CF274" w14:textId="77777777" w:rsidR="008E74E4" w:rsidRDefault="008E74E4" w:rsidP="008E74E4">
      <w:pPr>
        <w:pStyle w:val="FootnoteText"/>
        <w:spacing w:after="0"/>
      </w:pPr>
    </w:p>
  </w:footnote>
  <w:footnote w:id="8">
    <w:p w14:paraId="348D2EF4" w14:textId="230E2B3A" w:rsidR="00977A46" w:rsidRDefault="00977A46" w:rsidP="008E74E4">
      <w:pPr>
        <w:pStyle w:val="FootnoteText"/>
        <w:spacing w:after="0"/>
      </w:pPr>
      <w:r>
        <w:rPr>
          <w:rStyle w:val="FootnoteReference"/>
        </w:rPr>
        <w:footnoteRef/>
      </w:r>
      <w:r>
        <w:t xml:space="preserve"> </w:t>
      </w:r>
      <w:r>
        <w:tab/>
      </w:r>
      <w:r w:rsidRPr="00B908F9">
        <w:rPr>
          <w:i/>
        </w:rPr>
        <w:t>Boyd v. Ward</w:t>
      </w:r>
      <w:r>
        <w:t xml:space="preserve">, 802 A.2d 705 (Pa.Cmwlth. 2002). </w:t>
      </w:r>
    </w:p>
    <w:p w14:paraId="719D16CD" w14:textId="77777777" w:rsidR="008E74E4" w:rsidRDefault="008E74E4" w:rsidP="008E74E4">
      <w:pPr>
        <w:pStyle w:val="FootnoteText"/>
        <w:spacing w:after="0"/>
      </w:pPr>
    </w:p>
  </w:footnote>
  <w:footnote w:id="9">
    <w:p w14:paraId="274F23DA" w14:textId="01419EE5" w:rsidR="00977A46" w:rsidRDefault="00977A46" w:rsidP="008E74E4">
      <w:pPr>
        <w:pStyle w:val="FootnoteText"/>
        <w:spacing w:after="0"/>
      </w:pPr>
      <w:r>
        <w:rPr>
          <w:rStyle w:val="FootnoteReference"/>
        </w:rPr>
        <w:footnoteRef/>
      </w:r>
      <w:r>
        <w:t xml:space="preserve">  </w:t>
      </w:r>
      <w:r>
        <w:tab/>
      </w:r>
      <w:r w:rsidRPr="00256755">
        <w:rPr>
          <w:i/>
          <w:iCs/>
        </w:rPr>
        <w:t>County of Allegheny v. Commw. of Pa</w:t>
      </w:r>
      <w:r>
        <w:t>., 490 A.2d 402 (Pa. 1985</w:t>
      </w:r>
      <w:r w:rsidR="00CD5EE5">
        <w:t>); Pennsylvania</w:t>
      </w:r>
      <w:r w:rsidRPr="00256755">
        <w:rPr>
          <w:i/>
          <w:iCs/>
        </w:rPr>
        <w:t xml:space="preserve"> State Lodge, Fraternal Order of Police v. Dept. of Conservation and Natural </w:t>
      </w:r>
      <w:r w:rsidR="00CD5EE5" w:rsidRPr="00256755">
        <w:rPr>
          <w:i/>
          <w:iCs/>
        </w:rPr>
        <w:t>Resources</w:t>
      </w:r>
      <w:r w:rsidR="00CD5EE5">
        <w:t>, 909</w:t>
      </w:r>
      <w:r>
        <w:t xml:space="preserve"> A.2d 413 (Pa.Cmwlth. 2006</w:t>
      </w:r>
      <w:r w:rsidRPr="00256755">
        <w:rPr>
          <w:i/>
          <w:iCs/>
        </w:rPr>
        <w:t xml:space="preserve">), aff’d per </w:t>
      </w:r>
      <w:r w:rsidR="008E74E4" w:rsidRPr="00256755">
        <w:rPr>
          <w:i/>
          <w:iCs/>
        </w:rPr>
        <w:t>curium,</w:t>
      </w:r>
      <w:r w:rsidR="008E74E4">
        <w:t xml:space="preserve"> 924</w:t>
      </w:r>
      <w:r>
        <w:t xml:space="preserve"> A.2d 1203 (Pa. 2007).</w:t>
      </w:r>
    </w:p>
    <w:p w14:paraId="0BDEFFC6" w14:textId="77777777" w:rsidR="008E74E4" w:rsidRPr="00B62C0F" w:rsidRDefault="008E74E4" w:rsidP="008E74E4">
      <w:pPr>
        <w:pStyle w:val="FootnoteText"/>
        <w:spacing w:after="0"/>
      </w:pPr>
    </w:p>
  </w:footnote>
  <w:footnote w:id="10">
    <w:p w14:paraId="221F3A8A" w14:textId="05071152" w:rsidR="00977A46" w:rsidRDefault="00977A46" w:rsidP="008E74E4">
      <w:pPr>
        <w:pStyle w:val="FootnoteText"/>
        <w:spacing w:after="0"/>
      </w:pPr>
      <w:r>
        <w:rPr>
          <w:rStyle w:val="FootnoteReference"/>
        </w:rPr>
        <w:footnoteRef/>
      </w:r>
      <w:r>
        <w:t xml:space="preserve"> </w:t>
      </w:r>
      <w:r>
        <w:tab/>
      </w:r>
      <w:r w:rsidRPr="00256755">
        <w:rPr>
          <w:i/>
          <w:iCs/>
        </w:rPr>
        <w:t>Ridge v. State Employees’ Retirement Board</w:t>
      </w:r>
      <w:r>
        <w:t>, 690 A.2d 1312 (Pa.Cmwlth</w:t>
      </w:r>
      <w:proofErr w:type="gramStart"/>
      <w:r>
        <w:t xml:space="preserve">. </w:t>
      </w:r>
      <w:proofErr w:type="gramEnd"/>
      <w:r>
        <w:t>1997).</w:t>
      </w:r>
    </w:p>
    <w:p w14:paraId="7B3027B7" w14:textId="77777777" w:rsidR="008E74E4" w:rsidRDefault="008E74E4" w:rsidP="008E74E4">
      <w:pPr>
        <w:pStyle w:val="FootnoteText"/>
        <w:spacing w:after="0"/>
      </w:pPr>
    </w:p>
  </w:footnote>
  <w:footnote w:id="11">
    <w:p w14:paraId="553BDFFB" w14:textId="6F805F3C" w:rsidR="008E74E4" w:rsidRDefault="00977A46" w:rsidP="008E74E4">
      <w:pPr>
        <w:pStyle w:val="FootnoteText"/>
        <w:spacing w:after="0"/>
      </w:pPr>
      <w:r>
        <w:rPr>
          <w:rStyle w:val="FootnoteReference"/>
        </w:rPr>
        <w:footnoteRef/>
      </w:r>
      <w:r>
        <w:t xml:space="preserve">  </w:t>
      </w:r>
      <w:r>
        <w:tab/>
      </w:r>
      <w:r w:rsidRPr="00256755">
        <w:rPr>
          <w:i/>
          <w:iCs/>
        </w:rPr>
        <w:t>Interstate Traveller Services, Inc. v. Pa. Department of Environmental Resources</w:t>
      </w:r>
      <w:r>
        <w:t xml:space="preserve">, 406 A.2d 1020 (Pa. 1979); </w:t>
      </w:r>
      <w:r w:rsidRPr="00256755">
        <w:rPr>
          <w:i/>
          <w:iCs/>
        </w:rPr>
        <w:t xml:space="preserve">Application of K&amp;F Medical Transport, </w:t>
      </w:r>
      <w:r w:rsidR="008E74E4" w:rsidRPr="00256755">
        <w:rPr>
          <w:i/>
          <w:iCs/>
        </w:rPr>
        <w:t>LLC</w:t>
      </w:r>
      <w:r w:rsidR="008E74E4">
        <w:t>, Docket</w:t>
      </w:r>
      <w:r>
        <w:t xml:space="preserve"> No. A-2008-2020353 (Final Order July 8, 2008).</w:t>
      </w:r>
    </w:p>
    <w:p w14:paraId="23157988" w14:textId="017088C7" w:rsidR="00977A46" w:rsidRPr="00297F80" w:rsidRDefault="00977A46" w:rsidP="008E74E4">
      <w:pPr>
        <w:pStyle w:val="FootnoteText"/>
        <w:spacing w:after="0"/>
      </w:pPr>
      <w:r>
        <w:tab/>
      </w:r>
    </w:p>
  </w:footnote>
  <w:footnote w:id="12">
    <w:p w14:paraId="680EA703" w14:textId="77777777" w:rsidR="00BF3A30" w:rsidRDefault="00BF3A30" w:rsidP="00BF3A30">
      <w:pPr>
        <w:pStyle w:val="FootnoteText"/>
      </w:pPr>
      <w:r>
        <w:rPr>
          <w:rStyle w:val="FootnoteReference"/>
        </w:rPr>
        <w:footnoteRef/>
      </w:r>
      <w:r>
        <w:t xml:space="preserve"> </w:t>
      </w:r>
      <w:r>
        <w:tab/>
        <w:t xml:space="preserve">73 P.S. </w:t>
      </w:r>
      <w:r>
        <w:rPr>
          <w:rFonts w:cs="Times New Roman"/>
        </w:rPr>
        <w:t>§§</w:t>
      </w:r>
      <w:r>
        <w:t xml:space="preserve"> 201-1 – 201.9.2.</w:t>
      </w:r>
    </w:p>
  </w:footnote>
  <w:footnote w:id="13">
    <w:p w14:paraId="152A0C2A" w14:textId="77777777" w:rsidR="00BF3A30" w:rsidRDefault="00BF3A30" w:rsidP="00BF3A30">
      <w:pPr>
        <w:pStyle w:val="FootnoteText"/>
      </w:pPr>
      <w:r>
        <w:rPr>
          <w:rStyle w:val="FootnoteReference"/>
        </w:rPr>
        <w:footnoteRef/>
      </w:r>
      <w:r>
        <w:t xml:space="preserve"> </w:t>
      </w:r>
      <w:r>
        <w:tab/>
        <w:t xml:space="preserve">73 P.S. </w:t>
      </w:r>
      <w:r>
        <w:rPr>
          <w:rFonts w:cs="Times New Roman"/>
        </w:rPr>
        <w:t>§§ 2241-2249.</w:t>
      </w:r>
    </w:p>
  </w:footnote>
  <w:footnote w:id="14">
    <w:p w14:paraId="71D54A0B" w14:textId="77777777" w:rsidR="00BF3A30" w:rsidRDefault="00BF3A30" w:rsidP="00BF3A30">
      <w:pPr>
        <w:pStyle w:val="FootnoteText"/>
      </w:pPr>
      <w:r>
        <w:rPr>
          <w:rStyle w:val="FootnoteReference"/>
        </w:rPr>
        <w:footnoteRef/>
      </w:r>
      <w:r>
        <w:t xml:space="preserve"> </w:t>
      </w:r>
      <w:r>
        <w:tab/>
        <w:t xml:space="preserve">Complaint </w:t>
      </w:r>
      <w:r>
        <w:rPr>
          <w:rFonts w:cs="Times New Roman"/>
        </w:rPr>
        <w:t>¶</w:t>
      </w:r>
      <w:r>
        <w:t xml:space="preserve"> 64 n.2.</w:t>
      </w:r>
    </w:p>
  </w:footnote>
  <w:footnote w:id="15">
    <w:p w14:paraId="22BA86A2" w14:textId="1D2C1281" w:rsidR="00191845" w:rsidRDefault="00191845">
      <w:pPr>
        <w:pStyle w:val="FootnoteText"/>
      </w:pPr>
      <w:r>
        <w:rPr>
          <w:rStyle w:val="FootnoteReference"/>
        </w:rPr>
        <w:footnoteRef/>
      </w:r>
      <w:r>
        <w:t xml:space="preserve"> </w:t>
      </w:r>
      <w:r>
        <w:tab/>
        <w:t>Emphasis added by Complaint in his Answer to the Preliminary Objections.</w:t>
      </w:r>
    </w:p>
  </w:footnote>
  <w:footnote w:id="16">
    <w:p w14:paraId="1A659CCA" w14:textId="4FBD81DE" w:rsidR="00191845" w:rsidRDefault="00191845">
      <w:pPr>
        <w:pStyle w:val="FootnoteText"/>
      </w:pPr>
      <w:r>
        <w:rPr>
          <w:rStyle w:val="FootnoteReference"/>
        </w:rPr>
        <w:footnoteRef/>
      </w:r>
      <w:r>
        <w:tab/>
        <w:t xml:space="preserve">Complaint </w:t>
      </w:r>
      <w:r>
        <w:rPr>
          <w:rFonts w:cs="Times New Roman"/>
        </w:rPr>
        <w:t>¶</w:t>
      </w:r>
      <w:r>
        <w:t xml:space="preserve"> 1.</w:t>
      </w:r>
    </w:p>
  </w:footnote>
  <w:footnote w:id="17">
    <w:p w14:paraId="6123045B" w14:textId="044A3563" w:rsidR="0088650E" w:rsidRDefault="0088650E" w:rsidP="0046396E">
      <w:pPr>
        <w:autoSpaceDE w:val="0"/>
        <w:autoSpaceDN w:val="0"/>
        <w:adjustRightInd w:val="0"/>
        <w:snapToGrid w:val="0"/>
        <w:spacing w:after="0" w:line="240" w:lineRule="auto"/>
        <w:rPr>
          <w:rFonts w:cs="Times New Roman"/>
          <w:color w:val="000000"/>
          <w:sz w:val="20"/>
          <w:szCs w:val="20"/>
        </w:rPr>
      </w:pPr>
      <w:r w:rsidRPr="0088650E">
        <w:rPr>
          <w:rStyle w:val="FootnoteReference"/>
          <w:rFonts w:cs="Times New Roman"/>
          <w:sz w:val="20"/>
          <w:szCs w:val="20"/>
        </w:rPr>
        <w:footnoteRef/>
      </w:r>
      <w:r w:rsidRPr="0088650E">
        <w:rPr>
          <w:rFonts w:cs="Times New Roman"/>
          <w:sz w:val="20"/>
          <w:szCs w:val="20"/>
        </w:rPr>
        <w:t xml:space="preserve"> </w:t>
      </w:r>
      <w:r w:rsidRPr="0088650E">
        <w:rPr>
          <w:rFonts w:cs="Times New Roman"/>
          <w:sz w:val="20"/>
          <w:szCs w:val="20"/>
        </w:rPr>
        <w:tab/>
      </w:r>
      <w:r w:rsidRPr="0088650E">
        <w:rPr>
          <w:rFonts w:cs="Times New Roman"/>
          <w:i/>
          <w:iCs/>
          <w:sz w:val="20"/>
          <w:szCs w:val="20"/>
        </w:rPr>
        <w:t>See,</w:t>
      </w:r>
      <w:r w:rsidRPr="0088650E">
        <w:rPr>
          <w:rFonts w:cs="Times New Roman"/>
          <w:sz w:val="20"/>
          <w:szCs w:val="20"/>
        </w:rPr>
        <w:t xml:space="preserve"> </w:t>
      </w:r>
      <w:r w:rsidRPr="0088650E">
        <w:rPr>
          <w:rFonts w:eastAsia="Times New Roman" w:cs="Times New Roman"/>
          <w:i/>
          <w:iCs/>
          <w:color w:val="000000"/>
          <w:sz w:val="20"/>
          <w:szCs w:val="20"/>
          <w:lang w:val="x-none"/>
        </w:rPr>
        <w:t>Joseph Nadav v. Respond Power, LLC</w:t>
      </w:r>
      <w:r w:rsidRPr="0088650E">
        <w:rPr>
          <w:rFonts w:eastAsia="Times New Roman" w:cs="Times New Roman"/>
          <w:color w:val="000000"/>
          <w:sz w:val="20"/>
          <w:szCs w:val="20"/>
          <w:lang w:val="x-none"/>
        </w:rPr>
        <w:t>, Docket No. C-2014-2429159 (Order entered December 19, 2014)</w:t>
      </w:r>
      <w:r w:rsidRPr="0088650E">
        <w:rPr>
          <w:rFonts w:eastAsia="Times New Roman" w:cs="Times New Roman"/>
          <w:color w:val="000000"/>
          <w:sz w:val="20"/>
          <w:szCs w:val="20"/>
        </w:rPr>
        <w:t xml:space="preserve">; </w:t>
      </w:r>
      <w:r w:rsidRPr="0088650E">
        <w:rPr>
          <w:rFonts w:cs="Times New Roman"/>
          <w:i/>
          <w:iCs/>
          <w:color w:val="000000"/>
          <w:sz w:val="20"/>
          <w:szCs w:val="20"/>
        </w:rPr>
        <w:t>Commonwealth Energy, Inc.</w:t>
      </w:r>
      <w:r w:rsidRPr="0088650E">
        <w:rPr>
          <w:rFonts w:cs="Times New Roman"/>
          <w:color w:val="000000"/>
          <w:sz w:val="20"/>
          <w:szCs w:val="20"/>
        </w:rPr>
        <w:t>, Docket N</w:t>
      </w:r>
      <w:r>
        <w:rPr>
          <w:rFonts w:cs="Times New Roman"/>
          <w:color w:val="000000"/>
          <w:sz w:val="20"/>
          <w:szCs w:val="20"/>
        </w:rPr>
        <w:t>o</w:t>
      </w:r>
      <w:r w:rsidRPr="0088650E">
        <w:rPr>
          <w:rFonts w:cs="Times New Roman"/>
          <w:color w:val="000000"/>
          <w:sz w:val="20"/>
          <w:szCs w:val="20"/>
        </w:rPr>
        <w:t>. C-2014-2427657</w:t>
      </w:r>
      <w:r>
        <w:rPr>
          <w:rFonts w:cs="Times New Roman"/>
          <w:color w:val="000000"/>
          <w:sz w:val="20"/>
          <w:szCs w:val="20"/>
        </w:rPr>
        <w:t xml:space="preserve"> (</w:t>
      </w:r>
      <w:r w:rsidRPr="0088650E">
        <w:rPr>
          <w:rFonts w:cs="Times New Roman"/>
          <w:color w:val="000000"/>
          <w:sz w:val="20"/>
          <w:szCs w:val="20"/>
        </w:rPr>
        <w:t>filed December 18, 2014).</w:t>
      </w:r>
      <w:r w:rsidRPr="0088650E">
        <w:rPr>
          <w:rFonts w:eastAsia="Times New Roman" w:cs="Times New Roman"/>
          <w:i/>
          <w:iCs/>
          <w:color w:val="000000"/>
          <w:sz w:val="20"/>
          <w:szCs w:val="20"/>
          <w:lang w:val="x-none"/>
        </w:rPr>
        <w:t>Herp v. Respond Power</w:t>
      </w:r>
      <w:r w:rsidRPr="0088650E">
        <w:rPr>
          <w:rFonts w:eastAsia="Times New Roman" w:cs="Times New Roman"/>
          <w:i/>
          <w:iCs/>
          <w:color w:val="000000"/>
          <w:sz w:val="20"/>
          <w:szCs w:val="20"/>
        </w:rPr>
        <w:t xml:space="preserve">, </w:t>
      </w:r>
      <w:r w:rsidRPr="0088650E">
        <w:rPr>
          <w:rFonts w:cs="Times New Roman"/>
          <w:color w:val="000000"/>
          <w:sz w:val="20"/>
          <w:szCs w:val="20"/>
          <w:lang w:val="x-none"/>
        </w:rPr>
        <w:t>Docket No. C-2014-2413756 (Order entered January 28, 2016)</w:t>
      </w:r>
      <w:r>
        <w:rPr>
          <w:rFonts w:cs="Times New Roman"/>
          <w:color w:val="000000"/>
          <w:sz w:val="20"/>
          <w:szCs w:val="20"/>
        </w:rPr>
        <w:t>.</w:t>
      </w:r>
    </w:p>
    <w:p w14:paraId="2DEED947" w14:textId="77777777" w:rsidR="0046396E" w:rsidRPr="0046396E" w:rsidRDefault="0046396E" w:rsidP="0046396E">
      <w:pPr>
        <w:autoSpaceDE w:val="0"/>
        <w:autoSpaceDN w:val="0"/>
        <w:adjustRightInd w:val="0"/>
        <w:snapToGrid w:val="0"/>
        <w:spacing w:after="0" w:line="240" w:lineRule="auto"/>
        <w:rPr>
          <w:rFonts w:eastAsia="Times New Roman" w:cs="Times New Roman"/>
          <w:color w:val="000000"/>
          <w:sz w:val="20"/>
          <w:szCs w:val="20"/>
        </w:rPr>
      </w:pPr>
    </w:p>
  </w:footnote>
  <w:footnote w:id="18">
    <w:p w14:paraId="60E24613" w14:textId="2B28F5E0" w:rsidR="00AD1819" w:rsidRDefault="00AD1819">
      <w:pPr>
        <w:pStyle w:val="FootnoteText"/>
      </w:pPr>
      <w:r>
        <w:rPr>
          <w:rStyle w:val="FootnoteReference"/>
        </w:rPr>
        <w:footnoteRef/>
      </w:r>
      <w:r>
        <w:t xml:space="preserve"> </w:t>
      </w:r>
      <w:r>
        <w:tab/>
        <w:t>Docket No. C-2014-2427655 (Order Entered July 19, 2018).</w:t>
      </w:r>
    </w:p>
  </w:footnote>
  <w:footnote w:id="19">
    <w:p w14:paraId="17161664" w14:textId="068D3ADB" w:rsidR="00055F0B" w:rsidRPr="00175297" w:rsidRDefault="00055F0B" w:rsidP="00055F0B">
      <w:pPr>
        <w:autoSpaceDE w:val="0"/>
        <w:autoSpaceDN w:val="0"/>
        <w:adjustRightInd w:val="0"/>
        <w:spacing w:after="0" w:line="240" w:lineRule="auto"/>
        <w:rPr>
          <w:rFonts w:cs="Times New Roman"/>
          <w:szCs w:val="24"/>
        </w:rPr>
      </w:pPr>
      <w:r>
        <w:rPr>
          <w:rStyle w:val="FootnoteReference"/>
        </w:rPr>
        <w:footnoteRef/>
      </w:r>
      <w:r>
        <w:t xml:space="preserve"> </w:t>
      </w:r>
      <w:r w:rsidRPr="00055F0B">
        <w:rPr>
          <w:sz w:val="20"/>
          <w:szCs w:val="20"/>
        </w:rPr>
        <w:tab/>
      </w:r>
      <w:r w:rsidRPr="00055F0B">
        <w:rPr>
          <w:rFonts w:cs="Times New Roman"/>
          <w:i/>
          <w:iCs/>
          <w:sz w:val="20"/>
          <w:szCs w:val="20"/>
        </w:rPr>
        <w:t>Blue Pilot Energy, LLC v. Pa. PUC</w:t>
      </w:r>
      <w:r w:rsidRPr="00055F0B">
        <w:rPr>
          <w:rFonts w:cs="Times New Roman"/>
          <w:sz w:val="20"/>
          <w:szCs w:val="20"/>
        </w:rPr>
        <w:t>, Case No. 1054 CD 2019, 2020 Pa. Commw</w:t>
      </w:r>
      <w:proofErr w:type="gramStart"/>
      <w:r w:rsidRPr="00055F0B">
        <w:rPr>
          <w:rFonts w:cs="Times New Roman"/>
          <w:sz w:val="20"/>
          <w:szCs w:val="20"/>
        </w:rPr>
        <w:t xml:space="preserve">. </w:t>
      </w:r>
      <w:proofErr w:type="gramEnd"/>
      <w:r w:rsidRPr="00055F0B">
        <w:rPr>
          <w:rFonts w:cs="Times New Roman"/>
          <w:sz w:val="20"/>
          <w:szCs w:val="20"/>
        </w:rPr>
        <w:t>LEXIS 720, 2020 WL 627723.</w:t>
      </w:r>
    </w:p>
    <w:p w14:paraId="4E4BB229" w14:textId="4565C1A9" w:rsidR="00055F0B" w:rsidRDefault="00055F0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18"/>
  </w:num>
  <w:num w:numId="3">
    <w:abstractNumId w:val="25"/>
  </w:num>
  <w:num w:numId="4">
    <w:abstractNumId w:val="29"/>
  </w:num>
  <w:num w:numId="5">
    <w:abstractNumId w:val="10"/>
  </w:num>
  <w:num w:numId="6">
    <w:abstractNumId w:val="7"/>
  </w:num>
  <w:num w:numId="7">
    <w:abstractNumId w:val="5"/>
  </w:num>
  <w:num w:numId="8">
    <w:abstractNumId w:val="28"/>
  </w:num>
  <w:num w:numId="9">
    <w:abstractNumId w:val="2"/>
  </w:num>
  <w:num w:numId="10">
    <w:abstractNumId w:val="20"/>
  </w:num>
  <w:num w:numId="11">
    <w:abstractNumId w:val="24"/>
  </w:num>
  <w:num w:numId="12">
    <w:abstractNumId w:val="14"/>
  </w:num>
  <w:num w:numId="13">
    <w:abstractNumId w:val="21"/>
  </w:num>
  <w:num w:numId="14">
    <w:abstractNumId w:val="26"/>
  </w:num>
  <w:num w:numId="15">
    <w:abstractNumId w:val="0"/>
  </w:num>
  <w:num w:numId="16">
    <w:abstractNumId w:val="19"/>
  </w:num>
  <w:num w:numId="17">
    <w:abstractNumId w:val="19"/>
  </w:num>
  <w:num w:numId="18">
    <w:abstractNumId w:val="9"/>
  </w:num>
  <w:num w:numId="19">
    <w:abstractNumId w:val="15"/>
  </w:num>
  <w:num w:numId="20">
    <w:abstractNumId w:val="30"/>
  </w:num>
  <w:num w:numId="21">
    <w:abstractNumId w:val="12"/>
  </w:num>
  <w:num w:numId="22">
    <w:abstractNumId w:val="4"/>
  </w:num>
  <w:num w:numId="23">
    <w:abstractNumId w:val="13"/>
  </w:num>
  <w:num w:numId="24">
    <w:abstractNumId w:val="33"/>
  </w:num>
  <w:num w:numId="25">
    <w:abstractNumId w:val="1"/>
  </w:num>
  <w:num w:numId="26">
    <w:abstractNumId w:val="6"/>
  </w:num>
  <w:num w:numId="27">
    <w:abstractNumId w:val="23"/>
  </w:num>
  <w:num w:numId="28">
    <w:abstractNumId w:val="11"/>
  </w:num>
  <w:num w:numId="29">
    <w:abstractNumId w:val="8"/>
  </w:num>
  <w:num w:numId="30">
    <w:abstractNumId w:val="17"/>
  </w:num>
  <w:num w:numId="31">
    <w:abstractNumId w:val="31"/>
  </w:num>
  <w:num w:numId="32">
    <w:abstractNumId w:val="32"/>
  </w:num>
  <w:num w:numId="33">
    <w:abstractNumId w:val="22"/>
  </w:num>
  <w:num w:numId="34">
    <w:abstractNumId w:val="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46EFEC-FEF4-47BA-BC39-378909FD53FC}"/>
    <w:docVar w:name="dgnword-eventsink" w:val="626330976"/>
  </w:docVars>
  <w:rsids>
    <w:rsidRoot w:val="004D0A01"/>
    <w:rsid w:val="00004C37"/>
    <w:rsid w:val="000066B3"/>
    <w:rsid w:val="000100E4"/>
    <w:rsid w:val="000502DE"/>
    <w:rsid w:val="00055F0B"/>
    <w:rsid w:val="00060D89"/>
    <w:rsid w:val="00066D87"/>
    <w:rsid w:val="00070E46"/>
    <w:rsid w:val="000A29AB"/>
    <w:rsid w:val="000B315F"/>
    <w:rsid w:val="000C2662"/>
    <w:rsid w:val="000E3EDE"/>
    <w:rsid w:val="00107E82"/>
    <w:rsid w:val="001212FA"/>
    <w:rsid w:val="001308AF"/>
    <w:rsid w:val="00132FF1"/>
    <w:rsid w:val="00156427"/>
    <w:rsid w:val="001654A8"/>
    <w:rsid w:val="00175297"/>
    <w:rsid w:val="00191845"/>
    <w:rsid w:val="001A21B6"/>
    <w:rsid w:val="001A75EB"/>
    <w:rsid w:val="001B1CBA"/>
    <w:rsid w:val="001C5D05"/>
    <w:rsid w:val="001D0D07"/>
    <w:rsid w:val="001D2AF7"/>
    <w:rsid w:val="00207743"/>
    <w:rsid w:val="00213167"/>
    <w:rsid w:val="00244859"/>
    <w:rsid w:val="00246488"/>
    <w:rsid w:val="002512F9"/>
    <w:rsid w:val="002613FA"/>
    <w:rsid w:val="00274E27"/>
    <w:rsid w:val="002B0D0F"/>
    <w:rsid w:val="002C2DAF"/>
    <w:rsid w:val="002D3419"/>
    <w:rsid w:val="002D48B6"/>
    <w:rsid w:val="00303355"/>
    <w:rsid w:val="003145FA"/>
    <w:rsid w:val="00351C7A"/>
    <w:rsid w:val="00352EE9"/>
    <w:rsid w:val="00367A41"/>
    <w:rsid w:val="00373EE4"/>
    <w:rsid w:val="00393C92"/>
    <w:rsid w:val="003A1A41"/>
    <w:rsid w:val="003A3E09"/>
    <w:rsid w:val="00417566"/>
    <w:rsid w:val="004430A5"/>
    <w:rsid w:val="004633D4"/>
    <w:rsid w:val="0046396E"/>
    <w:rsid w:val="004802BB"/>
    <w:rsid w:val="004972C8"/>
    <w:rsid w:val="004B29BE"/>
    <w:rsid w:val="004B78FA"/>
    <w:rsid w:val="004C5C3D"/>
    <w:rsid w:val="004D0A01"/>
    <w:rsid w:val="004D2DB3"/>
    <w:rsid w:val="004D523C"/>
    <w:rsid w:val="004E6F86"/>
    <w:rsid w:val="00536E23"/>
    <w:rsid w:val="00565EF5"/>
    <w:rsid w:val="00567C65"/>
    <w:rsid w:val="00585DD1"/>
    <w:rsid w:val="005A1C17"/>
    <w:rsid w:val="005A2ABA"/>
    <w:rsid w:val="005B1D7D"/>
    <w:rsid w:val="005D180A"/>
    <w:rsid w:val="005E7B69"/>
    <w:rsid w:val="00615D7F"/>
    <w:rsid w:val="0061775F"/>
    <w:rsid w:val="00636C29"/>
    <w:rsid w:val="00666600"/>
    <w:rsid w:val="00685A74"/>
    <w:rsid w:val="00687F23"/>
    <w:rsid w:val="00696C0D"/>
    <w:rsid w:val="006A6FA5"/>
    <w:rsid w:val="006B46B3"/>
    <w:rsid w:val="006C145A"/>
    <w:rsid w:val="006C6A0D"/>
    <w:rsid w:val="006D7FE6"/>
    <w:rsid w:val="006F0329"/>
    <w:rsid w:val="006F4910"/>
    <w:rsid w:val="00700807"/>
    <w:rsid w:val="00701998"/>
    <w:rsid w:val="00712E58"/>
    <w:rsid w:val="00724903"/>
    <w:rsid w:val="007407AC"/>
    <w:rsid w:val="00755D72"/>
    <w:rsid w:val="00763573"/>
    <w:rsid w:val="007732CB"/>
    <w:rsid w:val="00790FA6"/>
    <w:rsid w:val="00792796"/>
    <w:rsid w:val="00796B64"/>
    <w:rsid w:val="007A2F42"/>
    <w:rsid w:val="007A4533"/>
    <w:rsid w:val="007A49BF"/>
    <w:rsid w:val="007E0F9B"/>
    <w:rsid w:val="007E1E6C"/>
    <w:rsid w:val="007E6779"/>
    <w:rsid w:val="007F4A6F"/>
    <w:rsid w:val="00820B4C"/>
    <w:rsid w:val="00827CF2"/>
    <w:rsid w:val="0083239D"/>
    <w:rsid w:val="00833A50"/>
    <w:rsid w:val="008529D2"/>
    <w:rsid w:val="00855118"/>
    <w:rsid w:val="00865BC6"/>
    <w:rsid w:val="0088105E"/>
    <w:rsid w:val="0088650E"/>
    <w:rsid w:val="008A72D1"/>
    <w:rsid w:val="008E74E4"/>
    <w:rsid w:val="008F638C"/>
    <w:rsid w:val="009021CF"/>
    <w:rsid w:val="00917DCA"/>
    <w:rsid w:val="00926A70"/>
    <w:rsid w:val="0095354F"/>
    <w:rsid w:val="00957B82"/>
    <w:rsid w:val="0097262B"/>
    <w:rsid w:val="009778BE"/>
    <w:rsid w:val="00977A46"/>
    <w:rsid w:val="009E01C6"/>
    <w:rsid w:val="009F1C45"/>
    <w:rsid w:val="00A43FBB"/>
    <w:rsid w:val="00A47096"/>
    <w:rsid w:val="00A55BCF"/>
    <w:rsid w:val="00AA2EC5"/>
    <w:rsid w:val="00AB4C73"/>
    <w:rsid w:val="00AD1819"/>
    <w:rsid w:val="00AD27C0"/>
    <w:rsid w:val="00AE3BF0"/>
    <w:rsid w:val="00AE6F47"/>
    <w:rsid w:val="00B142F5"/>
    <w:rsid w:val="00B57F39"/>
    <w:rsid w:val="00B80D66"/>
    <w:rsid w:val="00B80F85"/>
    <w:rsid w:val="00B91E47"/>
    <w:rsid w:val="00BC6B21"/>
    <w:rsid w:val="00BE02A2"/>
    <w:rsid w:val="00BF3A30"/>
    <w:rsid w:val="00C45445"/>
    <w:rsid w:val="00C54F92"/>
    <w:rsid w:val="00C87E57"/>
    <w:rsid w:val="00CD5EE5"/>
    <w:rsid w:val="00CF6143"/>
    <w:rsid w:val="00D0220B"/>
    <w:rsid w:val="00D157D2"/>
    <w:rsid w:val="00D368F5"/>
    <w:rsid w:val="00D52607"/>
    <w:rsid w:val="00D653DE"/>
    <w:rsid w:val="00D90DAB"/>
    <w:rsid w:val="00D928D0"/>
    <w:rsid w:val="00DD5C37"/>
    <w:rsid w:val="00DD5E93"/>
    <w:rsid w:val="00DF1038"/>
    <w:rsid w:val="00DF35D9"/>
    <w:rsid w:val="00E054CE"/>
    <w:rsid w:val="00E32DF5"/>
    <w:rsid w:val="00E40DE8"/>
    <w:rsid w:val="00E4239A"/>
    <w:rsid w:val="00EB027A"/>
    <w:rsid w:val="00EC1CBA"/>
    <w:rsid w:val="00EC514D"/>
    <w:rsid w:val="00EC597C"/>
    <w:rsid w:val="00EE7801"/>
    <w:rsid w:val="00F06634"/>
    <w:rsid w:val="00F11A19"/>
    <w:rsid w:val="00F13AE2"/>
    <w:rsid w:val="00F16554"/>
    <w:rsid w:val="00F226BC"/>
    <w:rsid w:val="00F544E1"/>
    <w:rsid w:val="00F76C14"/>
    <w:rsid w:val="00F8218B"/>
    <w:rsid w:val="00F846C3"/>
    <w:rsid w:val="00FA4E98"/>
    <w:rsid w:val="00FA5A65"/>
    <w:rsid w:val="00FB136E"/>
    <w:rsid w:val="00FD5C10"/>
    <w:rsid w:val="00FF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6B504"/>
  <w15:chartTrackingRefBased/>
  <w15:docId w15:val="{76B1F042-8D7F-4D1A-9927-4668EEF0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5EB"/>
    <w:pPr>
      <w:spacing w:after="20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D27C0"/>
    <w:pPr>
      <w:ind w:firstLine="720"/>
    </w:pPr>
  </w:style>
  <w:style w:type="paragraph" w:styleId="FootnoteText">
    <w:name w:val="footnote text"/>
    <w:aliases w:val="Car,fn,ALTS FOOTNOTE,Footnote Text 2,Footnote text,FOOTNOTE,fn Char Char,fn Char,Footnote Text Char1,Footnote Text Char Char,Footnote Text Char1 Char Char,Footnote Text Char Char Char Char,Footnote Text Char1 Char Char Char Char"/>
    <w:basedOn w:val="Normal"/>
    <w:link w:val="FootnoteTextChar"/>
    <w:uiPriority w:val="99"/>
    <w:qFormat/>
    <w:rsid w:val="001212FA"/>
    <w:pPr>
      <w:spacing w:line="240" w:lineRule="auto"/>
    </w:pPr>
    <w:rPr>
      <w:rFonts w:eastAsia="Times New Roman"/>
      <w:sz w:val="20"/>
    </w:rPr>
  </w:style>
  <w:style w:type="character" w:customStyle="1" w:styleId="FootnoteTextChar">
    <w:name w:val="Footnote Text Char"/>
    <w:aliases w:val="Car Char,fn Char1,ALTS FOOTNOTE Char,Footnote Text 2 Char,Footnote text Char,FOOTNOTE Char,fn Char Char Char,fn Char Char1,Footnote Text Char1 Char,Footnote Text Char Char Char,Footnote Text Char1 Char Char Char"/>
    <w:basedOn w:val="DefaultParagraphFont"/>
    <w:link w:val="FootnoteText"/>
    <w:uiPriority w:val="99"/>
    <w:rsid w:val="001212FA"/>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aliases w:val="fr,o,Style 6,Style 20,Appel note de bas de p,Style 8,Style 7,Style 3,Style 17,Style 19"/>
    <w:basedOn w:val="DefaultParagraphFont"/>
    <w:uiPriority w:val="99"/>
    <w:unhideWhenUsed/>
    <w:rsid w:val="001A75EB"/>
    <w:rPr>
      <w:vertAlign w:val="superscript"/>
    </w:rPr>
  </w:style>
  <w:style w:type="paragraph" w:styleId="Header">
    <w:name w:val="header"/>
    <w:basedOn w:val="Normal"/>
    <w:link w:val="HeaderChar"/>
    <w:uiPriority w:val="99"/>
    <w:unhideWhenUsed/>
    <w:rsid w:val="00B80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D66"/>
    <w:rPr>
      <w:rFonts w:cstheme="minorBidi"/>
      <w:szCs w:val="22"/>
    </w:rPr>
  </w:style>
  <w:style w:type="paragraph" w:styleId="Footer">
    <w:name w:val="footer"/>
    <w:basedOn w:val="Normal"/>
    <w:link w:val="FooterChar"/>
    <w:uiPriority w:val="99"/>
    <w:unhideWhenUsed/>
    <w:rsid w:val="00B8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D66"/>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moury@eckertseamans.com" TargetMode="External"/><Relationship Id="rId4" Type="http://schemas.openxmlformats.org/officeDocument/2006/relationships/settings" Target="settings.xml"/><Relationship Id="rId9" Type="http://schemas.openxmlformats.org/officeDocument/2006/relationships/hyperlink" Target="mailto:michaelzimmerman2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48F65-C713-49E5-9432-0CBD28B3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cp:lastPrinted>2019-10-25T15:36:00Z</cp:lastPrinted>
  <dcterms:created xsi:type="dcterms:W3CDTF">2020-11-16T17:54:00Z</dcterms:created>
  <dcterms:modified xsi:type="dcterms:W3CDTF">2020-11-16T17:54:00Z</dcterms:modified>
</cp:coreProperties>
</file>