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32D4" w14:textId="77777777" w:rsidR="00252AC7" w:rsidRPr="009F3A58" w:rsidRDefault="00252AC7" w:rsidP="00252AC7">
      <w:pPr>
        <w:pStyle w:val="Title"/>
        <w:ind w:right="18"/>
        <w:rPr>
          <w:rFonts w:ascii="Times New Roman" w:hAnsi="Times New Roman"/>
          <w:szCs w:val="24"/>
        </w:rPr>
      </w:pPr>
      <w:r w:rsidRPr="009F3A58">
        <w:rPr>
          <w:rFonts w:ascii="Times New Roman" w:hAnsi="Times New Roman"/>
          <w:szCs w:val="24"/>
        </w:rPr>
        <w:t>BEFORE THE</w:t>
      </w:r>
    </w:p>
    <w:p w14:paraId="2A17B526" w14:textId="77777777" w:rsidR="00252AC7" w:rsidRPr="009F3A58" w:rsidRDefault="00252AC7" w:rsidP="00252AC7">
      <w:pPr>
        <w:pStyle w:val="Subtitle"/>
        <w:ind w:right="18"/>
        <w:rPr>
          <w:rFonts w:ascii="Times New Roman" w:hAnsi="Times New Roman"/>
          <w:szCs w:val="24"/>
        </w:rPr>
      </w:pPr>
      <w:r w:rsidRPr="009F3A58">
        <w:rPr>
          <w:rFonts w:ascii="Times New Roman" w:hAnsi="Times New Roman"/>
          <w:szCs w:val="24"/>
        </w:rPr>
        <w:t>PENNSYLVANIA PUBLIC UTILITY COMMISSION</w:t>
      </w:r>
    </w:p>
    <w:p w14:paraId="6A8D4D3E" w14:textId="77777777" w:rsidR="00252AC7" w:rsidRPr="009F3A58" w:rsidRDefault="00252AC7" w:rsidP="00252AC7">
      <w:pPr>
        <w:ind w:right="18"/>
        <w:jc w:val="both"/>
        <w:rPr>
          <w:sz w:val="24"/>
          <w:szCs w:val="24"/>
        </w:rPr>
      </w:pPr>
    </w:p>
    <w:p w14:paraId="49D92694" w14:textId="77777777" w:rsidR="00252AC7" w:rsidRPr="009F3A58" w:rsidRDefault="00252AC7" w:rsidP="00252AC7">
      <w:pPr>
        <w:ind w:right="18"/>
        <w:jc w:val="both"/>
        <w:rPr>
          <w:sz w:val="24"/>
          <w:szCs w:val="24"/>
        </w:rPr>
      </w:pPr>
    </w:p>
    <w:p w14:paraId="51322472" w14:textId="51638EC4" w:rsidR="00252AC7" w:rsidRPr="009F3A58" w:rsidRDefault="00252AC7" w:rsidP="00252AC7">
      <w:pPr>
        <w:ind w:right="18"/>
        <w:jc w:val="both"/>
        <w:rPr>
          <w:sz w:val="24"/>
          <w:szCs w:val="24"/>
        </w:rPr>
      </w:pPr>
    </w:p>
    <w:p w14:paraId="0BACFF5C" w14:textId="2BE21D4D" w:rsidR="00252AC7" w:rsidRPr="009F3A58" w:rsidRDefault="007A530D" w:rsidP="00252AC7">
      <w:pPr>
        <w:ind w:right="18"/>
        <w:jc w:val="both"/>
        <w:rPr>
          <w:sz w:val="24"/>
          <w:szCs w:val="24"/>
        </w:rPr>
      </w:pPr>
      <w:r w:rsidRPr="009F3A58">
        <w:rPr>
          <w:sz w:val="24"/>
          <w:szCs w:val="24"/>
        </w:rPr>
        <w:t>John Kerr Musgrave IV</w:t>
      </w:r>
      <w:r w:rsidR="00252AC7" w:rsidRPr="009F3A58">
        <w:rPr>
          <w:sz w:val="24"/>
          <w:szCs w:val="24"/>
        </w:rPr>
        <w:tab/>
      </w:r>
      <w:r w:rsidR="00252AC7" w:rsidRPr="009F3A58">
        <w:rPr>
          <w:sz w:val="24"/>
          <w:szCs w:val="24"/>
        </w:rPr>
        <w:tab/>
      </w:r>
      <w:r w:rsidR="00252AC7" w:rsidRPr="009F3A58">
        <w:rPr>
          <w:sz w:val="24"/>
          <w:szCs w:val="24"/>
        </w:rPr>
        <w:tab/>
      </w:r>
      <w:r w:rsidR="00252AC7" w:rsidRPr="009F3A58">
        <w:rPr>
          <w:sz w:val="24"/>
          <w:szCs w:val="24"/>
        </w:rPr>
        <w:tab/>
        <w:t>:</w:t>
      </w:r>
    </w:p>
    <w:p w14:paraId="06CD2D04" w14:textId="67DFB6F6" w:rsidR="00252AC7" w:rsidRPr="009F3A58" w:rsidRDefault="00252AC7" w:rsidP="00252AC7">
      <w:pPr>
        <w:ind w:right="18"/>
        <w:jc w:val="both"/>
        <w:rPr>
          <w:sz w:val="24"/>
          <w:szCs w:val="24"/>
        </w:rPr>
      </w:pP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  <w:t>:</w:t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="007A530D" w:rsidRPr="009F3A58">
        <w:rPr>
          <w:sz w:val="24"/>
          <w:szCs w:val="24"/>
        </w:rPr>
        <w:t>C-2020-3020714</w:t>
      </w:r>
    </w:p>
    <w:p w14:paraId="08449599" w14:textId="17D00A10" w:rsidR="00252AC7" w:rsidRPr="009F3A58" w:rsidRDefault="00252AC7" w:rsidP="004B463E">
      <w:pPr>
        <w:ind w:left="720" w:right="18" w:firstLine="720"/>
        <w:jc w:val="both"/>
        <w:rPr>
          <w:sz w:val="24"/>
          <w:szCs w:val="24"/>
        </w:rPr>
      </w:pPr>
      <w:r w:rsidRPr="009F3A58">
        <w:rPr>
          <w:sz w:val="24"/>
          <w:szCs w:val="24"/>
        </w:rPr>
        <w:t>v.</w:t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  <w:t>:</w:t>
      </w:r>
    </w:p>
    <w:p w14:paraId="4A2BC953" w14:textId="77777777" w:rsidR="00252AC7" w:rsidRPr="009F3A58" w:rsidRDefault="00252AC7" w:rsidP="00252AC7">
      <w:pPr>
        <w:ind w:right="18"/>
        <w:jc w:val="both"/>
        <w:rPr>
          <w:sz w:val="24"/>
          <w:szCs w:val="24"/>
        </w:rPr>
      </w:pP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  <w:t>:</w:t>
      </w:r>
    </w:p>
    <w:p w14:paraId="0CD75E94" w14:textId="308ED574" w:rsidR="00252AC7" w:rsidRPr="009F3A58" w:rsidRDefault="007A530D" w:rsidP="00252AC7">
      <w:pPr>
        <w:ind w:right="18"/>
        <w:jc w:val="both"/>
        <w:rPr>
          <w:sz w:val="24"/>
          <w:szCs w:val="24"/>
        </w:rPr>
      </w:pPr>
      <w:r w:rsidRPr="009F3A58">
        <w:rPr>
          <w:sz w:val="24"/>
          <w:szCs w:val="24"/>
        </w:rPr>
        <w:t>Pittsburgh Water and Sewer Authority</w:t>
      </w:r>
      <w:r w:rsidR="00252AC7" w:rsidRPr="009F3A58">
        <w:rPr>
          <w:sz w:val="24"/>
          <w:szCs w:val="24"/>
        </w:rPr>
        <w:tab/>
      </w:r>
      <w:r w:rsidR="00252AC7" w:rsidRPr="009F3A58">
        <w:rPr>
          <w:sz w:val="24"/>
          <w:szCs w:val="24"/>
        </w:rPr>
        <w:tab/>
        <w:t>:</w:t>
      </w:r>
    </w:p>
    <w:p w14:paraId="3D541D0C" w14:textId="77777777" w:rsidR="00252AC7" w:rsidRPr="009F3A58" w:rsidRDefault="00252AC7" w:rsidP="00252AC7">
      <w:pPr>
        <w:ind w:right="18"/>
        <w:jc w:val="both"/>
        <w:rPr>
          <w:sz w:val="24"/>
          <w:szCs w:val="24"/>
        </w:rPr>
      </w:pPr>
    </w:p>
    <w:p w14:paraId="5EEB218F" w14:textId="7B45E598" w:rsidR="00252AC7" w:rsidRPr="009F3A58" w:rsidRDefault="00252AC7" w:rsidP="00252AC7">
      <w:pPr>
        <w:ind w:right="18"/>
        <w:jc w:val="both"/>
        <w:rPr>
          <w:sz w:val="24"/>
          <w:szCs w:val="24"/>
        </w:rPr>
      </w:pPr>
    </w:p>
    <w:p w14:paraId="4385F606" w14:textId="77777777" w:rsidR="00FB24DD" w:rsidRPr="009F3A58" w:rsidRDefault="00FB24DD" w:rsidP="00252AC7">
      <w:pPr>
        <w:ind w:right="18"/>
        <w:jc w:val="both"/>
        <w:rPr>
          <w:sz w:val="24"/>
          <w:szCs w:val="24"/>
        </w:rPr>
      </w:pPr>
    </w:p>
    <w:p w14:paraId="7D7360BC" w14:textId="77777777" w:rsidR="00252AC7" w:rsidRPr="009F3A58" w:rsidRDefault="00252AC7" w:rsidP="00252AC7">
      <w:pPr>
        <w:suppressAutoHyphens/>
        <w:ind w:right="18"/>
        <w:jc w:val="center"/>
        <w:rPr>
          <w:b/>
          <w:bCs/>
          <w:spacing w:val="-3"/>
          <w:sz w:val="24"/>
          <w:szCs w:val="24"/>
          <w:u w:val="single"/>
        </w:rPr>
      </w:pPr>
      <w:r w:rsidRPr="009F3A58">
        <w:rPr>
          <w:b/>
          <w:bCs/>
          <w:spacing w:val="-3"/>
          <w:sz w:val="24"/>
          <w:szCs w:val="24"/>
          <w:u w:val="single"/>
        </w:rPr>
        <w:t>ORDER GRANTING MOTION FOR CONTINUANCE</w:t>
      </w:r>
    </w:p>
    <w:p w14:paraId="606CFAC4" w14:textId="77777777" w:rsidR="00252AC7" w:rsidRPr="009F3A58" w:rsidRDefault="00252AC7" w:rsidP="009F3A58">
      <w:pPr>
        <w:tabs>
          <w:tab w:val="left" w:pos="-720"/>
        </w:tabs>
        <w:suppressAutoHyphens/>
        <w:autoSpaceDE w:val="0"/>
        <w:autoSpaceDN w:val="0"/>
        <w:spacing w:line="360" w:lineRule="auto"/>
        <w:ind w:right="18"/>
        <w:rPr>
          <w:sz w:val="24"/>
          <w:szCs w:val="24"/>
        </w:rPr>
      </w:pPr>
    </w:p>
    <w:p w14:paraId="4FDD1F0C" w14:textId="77777777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right="18"/>
        <w:rPr>
          <w:sz w:val="24"/>
          <w:szCs w:val="24"/>
        </w:rPr>
      </w:pP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  <w:t>This Order grants a continuance in this case.</w:t>
      </w:r>
    </w:p>
    <w:p w14:paraId="70FCF423" w14:textId="77777777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right="18"/>
        <w:rPr>
          <w:sz w:val="24"/>
          <w:szCs w:val="24"/>
        </w:rPr>
      </w:pPr>
    </w:p>
    <w:p w14:paraId="332EC852" w14:textId="0331D812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 w:rsidRPr="009F3A58">
        <w:rPr>
          <w:sz w:val="24"/>
          <w:szCs w:val="24"/>
        </w:rPr>
        <w:t>On July 8, 20</w:t>
      </w:r>
      <w:r w:rsidR="00BE3EF9" w:rsidRPr="009F3A58">
        <w:rPr>
          <w:sz w:val="24"/>
          <w:szCs w:val="24"/>
        </w:rPr>
        <w:t>20</w:t>
      </w:r>
      <w:r w:rsidRPr="009F3A58">
        <w:rPr>
          <w:sz w:val="24"/>
          <w:szCs w:val="24"/>
        </w:rPr>
        <w:t xml:space="preserve">, </w:t>
      </w:r>
      <w:r w:rsidR="00BE3EF9" w:rsidRPr="009F3A58">
        <w:rPr>
          <w:spacing w:val="-3"/>
          <w:sz w:val="24"/>
          <w:szCs w:val="24"/>
        </w:rPr>
        <w:t>John Kerr Musgrave IV</w:t>
      </w:r>
      <w:r w:rsidRPr="009F3A58">
        <w:rPr>
          <w:sz w:val="24"/>
          <w:szCs w:val="24"/>
        </w:rPr>
        <w:t xml:space="preserve"> (Complainant) filed a formal complaint, alleging that </w:t>
      </w:r>
      <w:r w:rsidR="00BE3EF9" w:rsidRPr="009F3A58">
        <w:rPr>
          <w:sz w:val="24"/>
          <w:szCs w:val="24"/>
        </w:rPr>
        <w:t>Pittsburgh Water and Sewer Authority</w:t>
      </w:r>
      <w:r w:rsidRPr="009F3A58">
        <w:rPr>
          <w:sz w:val="24"/>
          <w:szCs w:val="24"/>
        </w:rPr>
        <w:t xml:space="preserve"> (Respondent)</w:t>
      </w:r>
      <w:r w:rsidR="00024BBE" w:rsidRPr="009F3A58">
        <w:rPr>
          <w:sz w:val="24"/>
          <w:szCs w:val="24"/>
        </w:rPr>
        <w:t xml:space="preserve"> had failed to provide reasonable and adequate service</w:t>
      </w:r>
      <w:r w:rsidRPr="009F3A58">
        <w:rPr>
          <w:sz w:val="24"/>
          <w:szCs w:val="24"/>
        </w:rPr>
        <w:t>.</w:t>
      </w:r>
    </w:p>
    <w:p w14:paraId="24C7B0F5" w14:textId="77777777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1BDC5F34" w14:textId="10E78336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 w:rsidRPr="009F3A58">
        <w:rPr>
          <w:sz w:val="24"/>
          <w:szCs w:val="24"/>
        </w:rPr>
        <w:t xml:space="preserve">On August </w:t>
      </w:r>
      <w:r w:rsidR="0007190A" w:rsidRPr="009F3A58">
        <w:rPr>
          <w:sz w:val="24"/>
          <w:szCs w:val="24"/>
        </w:rPr>
        <w:t>10</w:t>
      </w:r>
      <w:r w:rsidRPr="009F3A58">
        <w:rPr>
          <w:sz w:val="24"/>
          <w:szCs w:val="24"/>
        </w:rPr>
        <w:t>, 20</w:t>
      </w:r>
      <w:r w:rsidR="00DE6E57" w:rsidRPr="009F3A58">
        <w:rPr>
          <w:sz w:val="24"/>
          <w:szCs w:val="24"/>
        </w:rPr>
        <w:t>20</w:t>
      </w:r>
      <w:r w:rsidRPr="009F3A58">
        <w:rPr>
          <w:sz w:val="24"/>
          <w:szCs w:val="24"/>
        </w:rPr>
        <w:t xml:space="preserve">, the Respondent filed an </w:t>
      </w:r>
      <w:r w:rsidR="0007190A" w:rsidRPr="009F3A58">
        <w:rPr>
          <w:sz w:val="24"/>
          <w:szCs w:val="24"/>
        </w:rPr>
        <w:t>A</w:t>
      </w:r>
      <w:r w:rsidRPr="009F3A58">
        <w:rPr>
          <w:sz w:val="24"/>
          <w:szCs w:val="24"/>
        </w:rPr>
        <w:t xml:space="preserve">nswer </w:t>
      </w:r>
      <w:r w:rsidR="0007190A" w:rsidRPr="009F3A58">
        <w:rPr>
          <w:sz w:val="24"/>
          <w:szCs w:val="24"/>
        </w:rPr>
        <w:t xml:space="preserve">and New Matter </w:t>
      </w:r>
      <w:r w:rsidRPr="009F3A58">
        <w:rPr>
          <w:sz w:val="24"/>
          <w:szCs w:val="24"/>
        </w:rPr>
        <w:t>to the formal complaint denying the material allegations of the Complaint.</w:t>
      </w:r>
      <w:r w:rsidR="0007190A" w:rsidRPr="009F3A58">
        <w:rPr>
          <w:sz w:val="24"/>
          <w:szCs w:val="24"/>
        </w:rPr>
        <w:t xml:space="preserve">  On the same date, the Resp</w:t>
      </w:r>
      <w:r w:rsidR="00FE55C5" w:rsidRPr="009F3A58">
        <w:rPr>
          <w:sz w:val="24"/>
          <w:szCs w:val="24"/>
        </w:rPr>
        <w:t xml:space="preserve">ondent also filed Preliminary Objections.  </w:t>
      </w:r>
      <w:r w:rsidRPr="009F3A58">
        <w:rPr>
          <w:sz w:val="24"/>
          <w:szCs w:val="24"/>
        </w:rPr>
        <w:t xml:space="preserve">  </w:t>
      </w:r>
    </w:p>
    <w:p w14:paraId="703D0A35" w14:textId="77777777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70BD758F" w14:textId="6DA35C9C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 w:rsidRPr="009F3A58">
        <w:rPr>
          <w:sz w:val="24"/>
          <w:szCs w:val="24"/>
        </w:rPr>
        <w:t xml:space="preserve">An Initial Hearing was to have been held in this case on </w:t>
      </w:r>
      <w:r w:rsidR="00EC5B99" w:rsidRPr="009F3A58">
        <w:rPr>
          <w:sz w:val="24"/>
          <w:szCs w:val="24"/>
        </w:rPr>
        <w:t>December 8, 2020</w:t>
      </w:r>
      <w:r w:rsidRPr="009F3A58">
        <w:rPr>
          <w:sz w:val="24"/>
          <w:szCs w:val="24"/>
        </w:rPr>
        <w:t xml:space="preserve">.  On </w:t>
      </w:r>
      <w:r w:rsidR="001E7D1E" w:rsidRPr="009F3A58">
        <w:rPr>
          <w:sz w:val="24"/>
          <w:szCs w:val="24"/>
        </w:rPr>
        <w:t>November 25, 2020</w:t>
      </w:r>
      <w:r w:rsidRPr="009F3A58">
        <w:rPr>
          <w:sz w:val="24"/>
          <w:szCs w:val="24"/>
        </w:rPr>
        <w:t xml:space="preserve">, the Respondent submitted a Motion for Continuance, requesting a continuance of the hearing in the matter due to </w:t>
      </w:r>
      <w:r w:rsidR="002C565B" w:rsidRPr="009F3A58">
        <w:rPr>
          <w:sz w:val="24"/>
          <w:szCs w:val="24"/>
        </w:rPr>
        <w:t xml:space="preserve">a conflict in the schedule of </w:t>
      </w:r>
      <w:r w:rsidR="000845F6" w:rsidRPr="009F3A58">
        <w:rPr>
          <w:sz w:val="24"/>
          <w:szCs w:val="24"/>
        </w:rPr>
        <w:t>the Company’s attorney and witness who have another hearing scheduled on that date</w:t>
      </w:r>
      <w:r w:rsidRPr="009F3A58">
        <w:rPr>
          <w:sz w:val="24"/>
          <w:szCs w:val="24"/>
        </w:rPr>
        <w:t xml:space="preserve">.  The Complainant does not oppose the continuance request.  </w:t>
      </w:r>
    </w:p>
    <w:p w14:paraId="2F53D4C7" w14:textId="77777777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3E16AA70" w14:textId="77777777" w:rsidR="00252AC7" w:rsidRPr="009F3A58" w:rsidRDefault="00252AC7" w:rsidP="00252AC7">
      <w:pPr>
        <w:spacing w:line="360" w:lineRule="auto"/>
        <w:rPr>
          <w:sz w:val="24"/>
          <w:szCs w:val="24"/>
        </w:rPr>
      </w:pP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  <w:t xml:space="preserve">The Commission’s Rule of Administrative Practice and Procedure at 52 Pa. Code </w:t>
      </w:r>
    </w:p>
    <w:p w14:paraId="069563DB" w14:textId="7C81B8F1" w:rsidR="00252AC7" w:rsidRPr="009F3A58" w:rsidRDefault="00252AC7" w:rsidP="00252AC7">
      <w:pPr>
        <w:spacing w:line="360" w:lineRule="auto"/>
        <w:rPr>
          <w:sz w:val="24"/>
          <w:szCs w:val="24"/>
        </w:rPr>
      </w:pPr>
      <w:r w:rsidRPr="009F3A58">
        <w:rPr>
          <w:sz w:val="24"/>
          <w:szCs w:val="24"/>
        </w:rPr>
        <w:t xml:space="preserve">§ 1.15(b) states that, “Only for good cause shown will requests for continuance be considered.”   The fact that there is </w:t>
      </w:r>
      <w:r w:rsidR="0060057E" w:rsidRPr="009F3A58">
        <w:rPr>
          <w:sz w:val="24"/>
          <w:szCs w:val="24"/>
        </w:rPr>
        <w:t>a scheduling conflict for the Respondent’s attorney and witness</w:t>
      </w:r>
      <w:r w:rsidRPr="009F3A58">
        <w:rPr>
          <w:sz w:val="24"/>
          <w:szCs w:val="24"/>
        </w:rPr>
        <w:t xml:space="preserve"> is good cause for the matter to be continued so that </w:t>
      </w:r>
      <w:r w:rsidR="00B13BAB" w:rsidRPr="009F3A58">
        <w:rPr>
          <w:sz w:val="24"/>
          <w:szCs w:val="24"/>
        </w:rPr>
        <w:t>they are able to participate in the hearing</w:t>
      </w:r>
      <w:r w:rsidRPr="009F3A58">
        <w:rPr>
          <w:sz w:val="24"/>
          <w:szCs w:val="24"/>
        </w:rPr>
        <w:t>.</w:t>
      </w:r>
    </w:p>
    <w:p w14:paraId="2C2481E1" w14:textId="77777777" w:rsidR="00252AC7" w:rsidRPr="009F3A58" w:rsidRDefault="00252AC7" w:rsidP="00252AC7">
      <w:pPr>
        <w:spacing w:line="360" w:lineRule="auto"/>
        <w:rPr>
          <w:sz w:val="24"/>
          <w:szCs w:val="24"/>
        </w:rPr>
      </w:pPr>
    </w:p>
    <w:p w14:paraId="0F976CDB" w14:textId="77777777" w:rsidR="00252AC7" w:rsidRPr="009F3A58" w:rsidRDefault="00252AC7" w:rsidP="00252AC7">
      <w:pPr>
        <w:spacing w:line="360" w:lineRule="auto"/>
        <w:rPr>
          <w:sz w:val="24"/>
          <w:szCs w:val="24"/>
        </w:rPr>
      </w:pPr>
      <w:r w:rsidRPr="009F3A58">
        <w:rPr>
          <w:sz w:val="24"/>
          <w:szCs w:val="24"/>
        </w:rPr>
        <w:lastRenderedPageBreak/>
        <w:tab/>
      </w:r>
      <w:r w:rsidRPr="009F3A58">
        <w:rPr>
          <w:sz w:val="24"/>
          <w:szCs w:val="24"/>
        </w:rPr>
        <w:tab/>
        <w:t>THEREFORE,</w:t>
      </w:r>
    </w:p>
    <w:p w14:paraId="3F37D86A" w14:textId="77777777" w:rsidR="00252AC7" w:rsidRPr="009F3A58" w:rsidRDefault="00252AC7" w:rsidP="00252AC7">
      <w:pPr>
        <w:spacing w:line="360" w:lineRule="auto"/>
        <w:rPr>
          <w:sz w:val="24"/>
          <w:szCs w:val="24"/>
        </w:rPr>
      </w:pPr>
    </w:p>
    <w:p w14:paraId="5C761F97" w14:textId="77777777" w:rsidR="00252AC7" w:rsidRPr="009F3A58" w:rsidRDefault="00252AC7" w:rsidP="00252AC7">
      <w:pPr>
        <w:spacing w:line="360" w:lineRule="auto"/>
        <w:rPr>
          <w:sz w:val="24"/>
          <w:szCs w:val="24"/>
        </w:rPr>
      </w:pP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  <w:t>IT IS ORDERED:</w:t>
      </w:r>
    </w:p>
    <w:p w14:paraId="3AA6CFD4" w14:textId="77777777" w:rsidR="00252AC7" w:rsidRPr="009F3A58" w:rsidRDefault="00252AC7" w:rsidP="00252AC7">
      <w:pPr>
        <w:spacing w:line="360" w:lineRule="auto"/>
        <w:rPr>
          <w:sz w:val="24"/>
          <w:szCs w:val="24"/>
        </w:rPr>
      </w:pPr>
    </w:p>
    <w:p w14:paraId="2C7FC80A" w14:textId="77777777" w:rsidR="00252AC7" w:rsidRPr="009F3A58" w:rsidRDefault="00252AC7" w:rsidP="00252AC7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 w:val="24"/>
          <w:szCs w:val="24"/>
        </w:rPr>
      </w:pPr>
      <w:r w:rsidRPr="009F3A58">
        <w:rPr>
          <w:sz w:val="24"/>
          <w:szCs w:val="24"/>
        </w:rPr>
        <w:t>The Respondent’s Motion for Continuance is hereby granted.</w:t>
      </w:r>
    </w:p>
    <w:p w14:paraId="3D2A012C" w14:textId="77777777" w:rsidR="00252AC7" w:rsidRPr="009F3A58" w:rsidRDefault="00252AC7" w:rsidP="00252AC7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0F7BD126" w14:textId="77777777" w:rsidR="00252AC7" w:rsidRPr="009F3A58" w:rsidRDefault="00252AC7" w:rsidP="00252AC7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 w:val="24"/>
          <w:szCs w:val="24"/>
        </w:rPr>
      </w:pPr>
      <w:r w:rsidRPr="009F3A58">
        <w:rPr>
          <w:sz w:val="24"/>
          <w:szCs w:val="24"/>
        </w:rPr>
        <w:t>That this matter is continued.</w:t>
      </w:r>
    </w:p>
    <w:p w14:paraId="1C136251" w14:textId="77777777" w:rsidR="00252AC7" w:rsidRPr="009F3A58" w:rsidRDefault="00252AC7" w:rsidP="00252AC7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2EAF8A27" w14:textId="1B0A402C" w:rsidR="00252AC7" w:rsidRPr="009F3A58" w:rsidRDefault="00252AC7" w:rsidP="00252AC7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 w:val="24"/>
          <w:szCs w:val="24"/>
        </w:rPr>
      </w:pPr>
      <w:r w:rsidRPr="009F3A58">
        <w:rPr>
          <w:sz w:val="24"/>
          <w:szCs w:val="24"/>
        </w:rPr>
        <w:t xml:space="preserve">That the hearing scheduled for </w:t>
      </w:r>
      <w:r w:rsidR="00B13BAB" w:rsidRPr="009F3A58">
        <w:rPr>
          <w:sz w:val="24"/>
          <w:szCs w:val="24"/>
        </w:rPr>
        <w:t>December 8, 2020</w:t>
      </w:r>
      <w:r w:rsidRPr="009F3A58">
        <w:rPr>
          <w:sz w:val="24"/>
          <w:szCs w:val="24"/>
        </w:rPr>
        <w:t>, be and hereby is continued and will be rescheduled.</w:t>
      </w:r>
    </w:p>
    <w:p w14:paraId="1F53D402" w14:textId="77777777" w:rsidR="00252AC7" w:rsidRPr="009F3A58" w:rsidRDefault="00252AC7" w:rsidP="00252AC7">
      <w:pPr>
        <w:spacing w:line="360" w:lineRule="auto"/>
        <w:rPr>
          <w:sz w:val="24"/>
          <w:szCs w:val="24"/>
        </w:rPr>
      </w:pPr>
    </w:p>
    <w:p w14:paraId="6DF92265" w14:textId="77777777" w:rsidR="00252AC7" w:rsidRPr="009F3A58" w:rsidRDefault="00252AC7" w:rsidP="00252AC7">
      <w:pPr>
        <w:spacing w:line="360" w:lineRule="auto"/>
        <w:rPr>
          <w:sz w:val="24"/>
          <w:szCs w:val="24"/>
        </w:rPr>
      </w:pPr>
    </w:p>
    <w:p w14:paraId="09A97C73" w14:textId="0396A9BE" w:rsidR="00252AC7" w:rsidRPr="009F3A58" w:rsidRDefault="00252AC7" w:rsidP="00252AC7">
      <w:pPr>
        <w:rPr>
          <w:sz w:val="24"/>
          <w:szCs w:val="24"/>
        </w:rPr>
      </w:pPr>
      <w:r w:rsidRPr="009F3A58">
        <w:rPr>
          <w:sz w:val="24"/>
          <w:szCs w:val="24"/>
        </w:rPr>
        <w:t>Date:</w:t>
      </w:r>
      <w:r w:rsidRPr="009F3A58">
        <w:rPr>
          <w:sz w:val="24"/>
          <w:szCs w:val="24"/>
        </w:rPr>
        <w:tab/>
      </w:r>
      <w:r w:rsidR="00B13BAB" w:rsidRPr="009F3A58">
        <w:rPr>
          <w:sz w:val="24"/>
          <w:szCs w:val="24"/>
          <w:u w:val="single"/>
        </w:rPr>
        <w:t>November 30, 2020</w:t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  <w:u w:val="single"/>
        </w:rPr>
        <w:t>___________/s/_______________</w:t>
      </w:r>
    </w:p>
    <w:p w14:paraId="4617EFB7" w14:textId="77777777" w:rsidR="00252AC7" w:rsidRPr="009F3A58" w:rsidRDefault="00252AC7" w:rsidP="00252AC7">
      <w:pPr>
        <w:rPr>
          <w:sz w:val="24"/>
          <w:szCs w:val="24"/>
        </w:rPr>
      </w:pP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  <w:t>Marta Guhl</w:t>
      </w:r>
    </w:p>
    <w:p w14:paraId="1F541234" w14:textId="77777777" w:rsidR="00252AC7" w:rsidRPr="009F3A58" w:rsidRDefault="00252AC7" w:rsidP="00252AC7">
      <w:pPr>
        <w:rPr>
          <w:sz w:val="24"/>
          <w:szCs w:val="24"/>
        </w:rPr>
      </w:pP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</w:r>
      <w:r w:rsidRPr="009F3A58">
        <w:rPr>
          <w:sz w:val="24"/>
          <w:szCs w:val="24"/>
        </w:rPr>
        <w:tab/>
        <w:t>Administrative Law Judge</w:t>
      </w:r>
    </w:p>
    <w:p w14:paraId="774B1CBE" w14:textId="77777777" w:rsidR="00252AC7" w:rsidRPr="009F3A58" w:rsidRDefault="00252AC7" w:rsidP="00252AC7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179AACA5" w14:textId="77777777" w:rsidR="00252AC7" w:rsidRPr="009F3A58" w:rsidRDefault="00252AC7" w:rsidP="00252AC7">
      <w:pPr>
        <w:rPr>
          <w:sz w:val="24"/>
          <w:szCs w:val="24"/>
        </w:rPr>
      </w:pPr>
      <w:r w:rsidRPr="009F3A58">
        <w:rPr>
          <w:sz w:val="24"/>
          <w:szCs w:val="24"/>
        </w:rPr>
        <w:br w:type="page"/>
      </w:r>
    </w:p>
    <w:p w14:paraId="5CC6CFAC" w14:textId="77777777" w:rsidR="009F3A58" w:rsidRPr="009F3A58" w:rsidRDefault="009F3A58" w:rsidP="009F3A58">
      <w:pPr>
        <w:rPr>
          <w:rFonts w:eastAsia="Microsoft Sans Serif"/>
          <w:b/>
          <w:sz w:val="24"/>
          <w:szCs w:val="24"/>
          <w:u w:val="single"/>
        </w:rPr>
      </w:pPr>
      <w:bookmarkStart w:id="0" w:name="_Hlk51317302"/>
      <w:bookmarkStart w:id="1" w:name="_Hlk51317268"/>
      <w:r w:rsidRPr="009F3A58">
        <w:rPr>
          <w:rFonts w:eastAsia="Microsoft Sans Serif"/>
          <w:b/>
          <w:sz w:val="24"/>
          <w:szCs w:val="24"/>
          <w:u w:val="single"/>
        </w:rPr>
        <w:lastRenderedPageBreak/>
        <w:t xml:space="preserve">C-2020-3020714 </w:t>
      </w:r>
      <w:bookmarkEnd w:id="0"/>
      <w:r w:rsidRPr="009F3A58">
        <w:rPr>
          <w:rFonts w:eastAsia="Microsoft Sans Serif"/>
          <w:b/>
          <w:sz w:val="24"/>
          <w:szCs w:val="24"/>
          <w:u w:val="single"/>
        </w:rPr>
        <w:t xml:space="preserve">- </w:t>
      </w:r>
      <w:bookmarkStart w:id="2" w:name="_Hlk51317322"/>
      <w:r w:rsidRPr="009F3A58">
        <w:rPr>
          <w:rFonts w:eastAsia="Microsoft Sans Serif"/>
          <w:b/>
          <w:sz w:val="24"/>
          <w:szCs w:val="24"/>
          <w:u w:val="single"/>
        </w:rPr>
        <w:t>JOHN KERR MUSGRAVE, IV v. THE PITTSBURGH WATER AND SEWER AUTHORITY</w:t>
      </w:r>
    </w:p>
    <w:bookmarkEnd w:id="2"/>
    <w:p w14:paraId="5219D81E" w14:textId="77777777" w:rsidR="009F3A58" w:rsidRPr="009F3A58" w:rsidRDefault="009F3A58" w:rsidP="009F3A58">
      <w:pPr>
        <w:rPr>
          <w:rFonts w:eastAsia="Microsoft Sans Serif"/>
          <w:b/>
          <w:sz w:val="24"/>
          <w:szCs w:val="24"/>
          <w:u w:val="single"/>
        </w:rPr>
      </w:pPr>
    </w:p>
    <w:p w14:paraId="4484E08C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 xml:space="preserve">JOHN KERR MUSGRAVE IV </w:t>
      </w:r>
    </w:p>
    <w:p w14:paraId="38A7390C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6059 BUNKERHILL STREET</w:t>
      </w:r>
    </w:p>
    <w:p w14:paraId="02444134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PITTSBURGH PA  15206-1155</w:t>
      </w:r>
    </w:p>
    <w:p w14:paraId="0F861214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b/>
          <w:bCs/>
          <w:sz w:val="24"/>
          <w:szCs w:val="24"/>
        </w:rPr>
        <w:t>412.661.2374</w:t>
      </w:r>
      <w:r w:rsidRPr="009F3A58">
        <w:rPr>
          <w:rFonts w:eastAsia="Microsoft Sans Serif"/>
          <w:sz w:val="24"/>
          <w:szCs w:val="24"/>
        </w:rPr>
        <w:br/>
        <w:t>Accepts eService</w:t>
      </w:r>
    </w:p>
    <w:p w14:paraId="257046DC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</w:p>
    <w:p w14:paraId="5F5B3C3D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SHANNON BARKLEY ESQUIRE</w:t>
      </w:r>
    </w:p>
    <w:p w14:paraId="4A22D397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PWSA</w:t>
      </w:r>
    </w:p>
    <w:p w14:paraId="351C231E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PENN LIBERTY PLAZA I</w:t>
      </w:r>
    </w:p>
    <w:p w14:paraId="137C18E2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1200 PENN AVENUE 2ND FLOOR</w:t>
      </w:r>
    </w:p>
    <w:p w14:paraId="1AD3478F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PITTSBURGH PA  15222</w:t>
      </w:r>
    </w:p>
    <w:p w14:paraId="366CE7EE" w14:textId="77777777" w:rsidR="009F3A58" w:rsidRPr="009F3A58" w:rsidRDefault="009F3A58" w:rsidP="009F3A58">
      <w:pPr>
        <w:rPr>
          <w:rFonts w:eastAsia="Microsoft Sans Serif"/>
          <w:b/>
          <w:bCs/>
          <w:sz w:val="24"/>
          <w:szCs w:val="24"/>
        </w:rPr>
      </w:pPr>
      <w:r w:rsidRPr="009F3A58">
        <w:rPr>
          <w:rFonts w:eastAsia="Microsoft Sans Serif"/>
          <w:b/>
          <w:bCs/>
          <w:sz w:val="24"/>
          <w:szCs w:val="24"/>
        </w:rPr>
        <w:t>412.676.6685</w:t>
      </w:r>
    </w:p>
    <w:p w14:paraId="0B0A6B08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Accepts eService</w:t>
      </w:r>
    </w:p>
    <w:p w14:paraId="29B8D605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</w:p>
    <w:p w14:paraId="32F73590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LAUREN M BURGE ESQUIRE</w:t>
      </w:r>
    </w:p>
    <w:p w14:paraId="50CEB48C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ECKERT SEAMANS CHERIN &amp; MELLOTT LLC</w:t>
      </w:r>
    </w:p>
    <w:p w14:paraId="24F13388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600 GRANT STREET 44TH FLOOR</w:t>
      </w:r>
    </w:p>
    <w:p w14:paraId="5452A59F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PITTSBURGH PA  15219</w:t>
      </w:r>
    </w:p>
    <w:p w14:paraId="01A8ADF7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b/>
          <w:bCs/>
          <w:sz w:val="24"/>
          <w:szCs w:val="24"/>
        </w:rPr>
        <w:t>412.566.2146</w:t>
      </w:r>
    </w:p>
    <w:p w14:paraId="3F26911B" w14:textId="77777777" w:rsidR="009F3A58" w:rsidRPr="009F3A58" w:rsidRDefault="009F3A58" w:rsidP="009F3A58">
      <w:pPr>
        <w:rPr>
          <w:rFonts w:eastAsia="Microsoft Sans Serif"/>
          <w:sz w:val="24"/>
          <w:szCs w:val="24"/>
        </w:rPr>
      </w:pPr>
      <w:r w:rsidRPr="009F3A58">
        <w:rPr>
          <w:rFonts w:eastAsia="Microsoft Sans Serif"/>
          <w:sz w:val="24"/>
          <w:szCs w:val="24"/>
        </w:rPr>
        <w:t>Accepts eService</w:t>
      </w:r>
      <w:bookmarkEnd w:id="1"/>
    </w:p>
    <w:sectPr w:rsidR="009F3A58" w:rsidRPr="009F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5665D"/>
    <w:multiLevelType w:val="hybridMultilevel"/>
    <w:tmpl w:val="0972DAD8"/>
    <w:lvl w:ilvl="0" w:tplc="4414395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C7"/>
    <w:rsid w:val="00024BBE"/>
    <w:rsid w:val="0007190A"/>
    <w:rsid w:val="000845F6"/>
    <w:rsid w:val="001E7D1E"/>
    <w:rsid w:val="00252AC7"/>
    <w:rsid w:val="002C565B"/>
    <w:rsid w:val="004B463E"/>
    <w:rsid w:val="00566055"/>
    <w:rsid w:val="0060057E"/>
    <w:rsid w:val="00620E64"/>
    <w:rsid w:val="007A530D"/>
    <w:rsid w:val="007B21C2"/>
    <w:rsid w:val="009F3A58"/>
    <w:rsid w:val="00B13BAB"/>
    <w:rsid w:val="00BE3EF9"/>
    <w:rsid w:val="00DE6E57"/>
    <w:rsid w:val="00DE7B8A"/>
    <w:rsid w:val="00EC5B99"/>
    <w:rsid w:val="00FB24DD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1313"/>
  <w15:chartTrackingRefBased/>
  <w15:docId w15:val="{6E82659F-065A-4FA3-AEEF-28518F99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C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AC7"/>
    <w:pPr>
      <w:jc w:val="center"/>
    </w:pPr>
    <w:rPr>
      <w:rFonts w:ascii="Courier" w:hAnsi="Courier"/>
      <w:b/>
      <w:sz w:val="24"/>
    </w:rPr>
  </w:style>
  <w:style w:type="character" w:customStyle="1" w:styleId="TitleChar">
    <w:name w:val="Title Char"/>
    <w:basedOn w:val="DefaultParagraphFont"/>
    <w:link w:val="Title"/>
    <w:rsid w:val="00252AC7"/>
    <w:rPr>
      <w:rFonts w:ascii="Courier" w:eastAsia="Times New Roman" w:hAnsi="Courier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52AC7"/>
    <w:pPr>
      <w:jc w:val="center"/>
    </w:pPr>
    <w:rPr>
      <w:rFonts w:ascii="Courier" w:hAnsi="Courier"/>
      <w:b/>
      <w:sz w:val="24"/>
    </w:rPr>
  </w:style>
  <w:style w:type="character" w:customStyle="1" w:styleId="SubtitleChar">
    <w:name w:val="Subtitle Char"/>
    <w:basedOn w:val="DefaultParagraphFont"/>
    <w:link w:val="Subtitle"/>
    <w:rsid w:val="00252AC7"/>
    <w:rPr>
      <w:rFonts w:ascii="Courier" w:eastAsia="Times New Roman" w:hAnsi="Courier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5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2" ma:contentTypeDescription="Create a new document." ma:contentTypeScope="" ma:versionID="039bb1b7d6e82bd97e303be5ec4691a4">
  <xsd:schema xmlns:xsd="http://www.w3.org/2001/XMLSchema" xmlns:xs="http://www.w3.org/2001/XMLSchema" xmlns:p="http://schemas.microsoft.com/office/2006/metadata/properties" xmlns:ns3="3efb013c-d621-4427-b756-aa4e21cb58bb" targetNamespace="http://schemas.microsoft.com/office/2006/metadata/properties" ma:root="true" ma:fieldsID="917fb6ed91900d6fd6f6b4a4e5785390" ns3:_=""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55AB0-AA8D-4B28-88B8-6DDA4A6C8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AC96C-AC9A-4A75-9B09-7C0941C1C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4D73B-9156-4716-8003-2B2B1E405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McNeal, Pamela</cp:lastModifiedBy>
  <cp:revision>5</cp:revision>
  <dcterms:created xsi:type="dcterms:W3CDTF">2020-11-30T17:32:00Z</dcterms:created>
  <dcterms:modified xsi:type="dcterms:W3CDTF">2020-11-30T17:35:00Z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