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A7297" w14:paraId="412528BD" w14:textId="77777777" w:rsidTr="00C144E4">
        <w:trPr>
          <w:trHeight w:val="990"/>
        </w:trPr>
        <w:tc>
          <w:tcPr>
            <w:tcW w:w="1363" w:type="dxa"/>
          </w:tcPr>
          <w:p w14:paraId="3E1D094E" w14:textId="77777777" w:rsidR="003A7297" w:rsidRDefault="003A7297" w:rsidP="00C144E4">
            <w:pPr>
              <w:spacing w:after="0"/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E0C6A51" wp14:editId="4D57978B">
                  <wp:extent cx="695325" cy="695325"/>
                  <wp:effectExtent l="19050" t="0" r="9525" b="0"/>
                  <wp:docPr id="14" name="Picture 14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AFACD73" w14:textId="77777777" w:rsidR="003A7297" w:rsidRDefault="003A7297" w:rsidP="00C144E4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2A8A600" w14:textId="77777777" w:rsidR="003A7297" w:rsidRDefault="003A7297" w:rsidP="00C144E4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1AF4ECCC" w14:textId="77777777" w:rsidR="003A7297" w:rsidRDefault="003A7297" w:rsidP="00C144E4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412D1AB0" w14:textId="326ECBB8" w:rsidR="003A7297" w:rsidRDefault="00A86865" w:rsidP="00C144E4">
            <w:pPr>
              <w:spacing w:after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3A7297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Harrisburg, Pennsylvania 17120</w:t>
            </w:r>
          </w:p>
        </w:tc>
        <w:tc>
          <w:tcPr>
            <w:tcW w:w="1452" w:type="dxa"/>
          </w:tcPr>
          <w:p w14:paraId="7A65B4D7" w14:textId="77777777" w:rsidR="003A7297" w:rsidRDefault="003A7297" w:rsidP="00C144E4">
            <w:pPr>
              <w:spacing w:after="0"/>
              <w:rPr>
                <w:rFonts w:ascii="Arial" w:hAnsi="Arial"/>
                <w:sz w:val="12"/>
              </w:rPr>
            </w:pPr>
          </w:p>
          <w:p w14:paraId="2AD79351" w14:textId="77777777" w:rsidR="003A7297" w:rsidRDefault="003A7297" w:rsidP="00C144E4">
            <w:pPr>
              <w:spacing w:after="0"/>
              <w:rPr>
                <w:rFonts w:ascii="Arial" w:hAnsi="Arial"/>
                <w:sz w:val="12"/>
              </w:rPr>
            </w:pPr>
          </w:p>
          <w:p w14:paraId="2B3B63F7" w14:textId="77777777" w:rsidR="003A7297" w:rsidRDefault="003A7297" w:rsidP="00C144E4">
            <w:pPr>
              <w:spacing w:after="0"/>
              <w:rPr>
                <w:rFonts w:ascii="Arial" w:hAnsi="Arial"/>
                <w:sz w:val="12"/>
              </w:rPr>
            </w:pPr>
          </w:p>
          <w:p w14:paraId="2076D6E5" w14:textId="77777777" w:rsidR="003A7297" w:rsidRDefault="003A7297" w:rsidP="00C144E4">
            <w:pPr>
              <w:spacing w:after="0"/>
              <w:rPr>
                <w:rFonts w:ascii="Arial" w:hAnsi="Arial"/>
                <w:sz w:val="12"/>
              </w:rPr>
            </w:pPr>
          </w:p>
          <w:p w14:paraId="0A1ED2B5" w14:textId="77777777" w:rsidR="003A7297" w:rsidRDefault="003A7297" w:rsidP="00C144E4">
            <w:pPr>
              <w:spacing w:after="0"/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B86101E" w14:textId="2E8A9EEE" w:rsidR="003A7297" w:rsidRPr="00B051AC" w:rsidRDefault="003A7297" w:rsidP="00C144E4">
            <w:pPr>
              <w:spacing w:after="0"/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EA50F8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/>
            </w:r>
            <w:r w:rsidRPr="00EA50F8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MERGEFIELD "UtilityCode" </w:instrText>
            </w:r>
            <w:r w:rsidRPr="00EA50F8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EA50F8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1381AF4B" w14:textId="353D1C61" w:rsidR="003A7297" w:rsidRPr="00BF62EE" w:rsidRDefault="00A86865" w:rsidP="003A72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November </w:t>
      </w:r>
      <w:r w:rsidR="006B1BA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, 2020</w:t>
      </w:r>
    </w:p>
    <w:p w14:paraId="712E9BFF" w14:textId="711F432C" w:rsidR="003A7297" w:rsidRPr="00BF62EE" w:rsidRDefault="003A7297" w:rsidP="003A72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77CEE5" w14:textId="7354A3F1" w:rsidR="003A7297" w:rsidRPr="00BF62EE" w:rsidRDefault="003A7297" w:rsidP="003A72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BMLine2"/>
    </w:p>
    <w:p w14:paraId="6C48C60F" w14:textId="1D04D550" w:rsidR="003A7297" w:rsidRPr="00BF62EE" w:rsidRDefault="003A7297" w:rsidP="003A72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24B3D1F3" w14:textId="470656F5" w:rsidR="003A7297" w:rsidRPr="00BF62EE" w:rsidRDefault="00A86865" w:rsidP="0074122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TO: All Regulated Telecommunications Carrier</w:t>
      </w:r>
    </w:p>
    <w:p w14:paraId="33F26A12" w14:textId="40FC9099" w:rsidR="00741226" w:rsidRDefault="00741226" w:rsidP="00834453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</w:p>
    <w:p w14:paraId="34441865" w14:textId="77777777" w:rsidR="00A86865" w:rsidRPr="00BF62EE" w:rsidRDefault="00A86865" w:rsidP="00834453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</w:p>
    <w:p w14:paraId="1FB199D7" w14:textId="7F9600A4" w:rsidR="00E0178E" w:rsidRPr="00BF62EE" w:rsidRDefault="003A7297" w:rsidP="00834453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  <w:r w:rsidRPr="00BF62EE">
        <w:rPr>
          <w:spacing w:val="4"/>
          <w:sz w:val="26"/>
          <w:szCs w:val="26"/>
        </w:rPr>
        <w:t xml:space="preserve">The </w:t>
      </w:r>
      <w:r w:rsidR="00AC0A12" w:rsidRPr="00BF62EE">
        <w:rPr>
          <w:spacing w:val="4"/>
          <w:sz w:val="26"/>
          <w:szCs w:val="26"/>
        </w:rPr>
        <w:t xml:space="preserve">Pennsylvania Public Utility </w:t>
      </w:r>
      <w:r w:rsidRPr="00BF62EE">
        <w:rPr>
          <w:spacing w:val="4"/>
          <w:sz w:val="26"/>
          <w:szCs w:val="26"/>
        </w:rPr>
        <w:t>Commission</w:t>
      </w:r>
      <w:r w:rsidR="00AC0A12" w:rsidRPr="00BF62EE">
        <w:rPr>
          <w:spacing w:val="4"/>
          <w:sz w:val="26"/>
          <w:szCs w:val="26"/>
        </w:rPr>
        <w:t xml:space="preserve"> (Commission)</w:t>
      </w:r>
      <w:r w:rsidRPr="00BF62EE">
        <w:rPr>
          <w:spacing w:val="4"/>
          <w:sz w:val="26"/>
          <w:szCs w:val="26"/>
        </w:rPr>
        <w:t xml:space="preserve"> has updated </w:t>
      </w:r>
      <w:r w:rsidR="001D522A" w:rsidRPr="00BF62EE">
        <w:rPr>
          <w:spacing w:val="4"/>
          <w:sz w:val="26"/>
          <w:szCs w:val="26"/>
        </w:rPr>
        <w:t xml:space="preserve">the instructions to </w:t>
      </w:r>
      <w:r w:rsidRPr="00BF62EE">
        <w:rPr>
          <w:spacing w:val="4"/>
          <w:sz w:val="26"/>
          <w:szCs w:val="26"/>
        </w:rPr>
        <w:t xml:space="preserve">its </w:t>
      </w:r>
      <w:r w:rsidR="00834453" w:rsidRPr="00BF62EE">
        <w:rPr>
          <w:spacing w:val="4"/>
          <w:sz w:val="26"/>
          <w:szCs w:val="26"/>
        </w:rPr>
        <w:t xml:space="preserve">annual </w:t>
      </w:r>
      <w:r w:rsidRPr="00BF62EE">
        <w:rPr>
          <w:spacing w:val="4"/>
          <w:sz w:val="26"/>
          <w:szCs w:val="26"/>
        </w:rPr>
        <w:t>Assessment Report (</w:t>
      </w:r>
      <w:r w:rsidR="001165D5" w:rsidRPr="00BF62EE">
        <w:rPr>
          <w:spacing w:val="4"/>
          <w:sz w:val="26"/>
          <w:szCs w:val="26"/>
        </w:rPr>
        <w:t>F</w:t>
      </w:r>
      <w:r w:rsidRPr="00BF62EE">
        <w:rPr>
          <w:spacing w:val="4"/>
          <w:sz w:val="26"/>
          <w:szCs w:val="26"/>
        </w:rPr>
        <w:t>orm GAO-</w:t>
      </w:r>
      <w:r w:rsidR="004F73F4" w:rsidRPr="00BF62EE">
        <w:rPr>
          <w:spacing w:val="4"/>
          <w:sz w:val="26"/>
          <w:szCs w:val="26"/>
        </w:rPr>
        <w:t>20</w:t>
      </w:r>
      <w:r w:rsidRPr="00BF62EE">
        <w:rPr>
          <w:spacing w:val="4"/>
          <w:sz w:val="26"/>
          <w:szCs w:val="26"/>
        </w:rPr>
        <w:t xml:space="preserve">) </w:t>
      </w:r>
      <w:r w:rsidR="001D522A" w:rsidRPr="00BF62EE">
        <w:rPr>
          <w:spacing w:val="4"/>
          <w:sz w:val="26"/>
          <w:szCs w:val="26"/>
        </w:rPr>
        <w:t xml:space="preserve">to explain </w:t>
      </w:r>
      <w:r w:rsidR="00E0178E" w:rsidRPr="00BF62EE">
        <w:rPr>
          <w:spacing w:val="4"/>
          <w:sz w:val="26"/>
          <w:szCs w:val="26"/>
        </w:rPr>
        <w:t xml:space="preserve">more </w:t>
      </w:r>
      <w:r w:rsidR="00934328" w:rsidRPr="00BF62EE">
        <w:rPr>
          <w:spacing w:val="4"/>
          <w:sz w:val="26"/>
          <w:szCs w:val="26"/>
        </w:rPr>
        <w:t>explicitly</w:t>
      </w:r>
      <w:r w:rsidR="00E0178E" w:rsidRPr="00BF62EE">
        <w:rPr>
          <w:spacing w:val="4"/>
          <w:sz w:val="26"/>
          <w:szCs w:val="26"/>
        </w:rPr>
        <w:t xml:space="preserve"> </w:t>
      </w:r>
      <w:r w:rsidRPr="00BF62EE">
        <w:rPr>
          <w:spacing w:val="4"/>
          <w:sz w:val="26"/>
          <w:szCs w:val="26"/>
        </w:rPr>
        <w:t xml:space="preserve">how </w:t>
      </w:r>
      <w:r w:rsidR="009969B3" w:rsidRPr="00BF62EE">
        <w:rPr>
          <w:spacing w:val="4"/>
          <w:sz w:val="26"/>
          <w:szCs w:val="26"/>
        </w:rPr>
        <w:t>jurisdictional</w:t>
      </w:r>
      <w:r w:rsidRPr="00BF62EE">
        <w:rPr>
          <w:spacing w:val="4"/>
          <w:sz w:val="26"/>
          <w:szCs w:val="26"/>
        </w:rPr>
        <w:t xml:space="preserve"> telecommunication</w:t>
      </w:r>
      <w:r w:rsidR="001165D5" w:rsidRPr="00BF62EE">
        <w:rPr>
          <w:spacing w:val="4"/>
          <w:sz w:val="26"/>
          <w:szCs w:val="26"/>
        </w:rPr>
        <w:t>s</w:t>
      </w:r>
      <w:r w:rsidRPr="00BF62EE">
        <w:rPr>
          <w:spacing w:val="4"/>
          <w:sz w:val="26"/>
          <w:szCs w:val="26"/>
        </w:rPr>
        <w:t xml:space="preserve"> </w:t>
      </w:r>
      <w:r w:rsidR="00060D8B" w:rsidRPr="00BF62EE">
        <w:rPr>
          <w:spacing w:val="4"/>
          <w:sz w:val="26"/>
          <w:szCs w:val="26"/>
        </w:rPr>
        <w:t xml:space="preserve">public </w:t>
      </w:r>
      <w:r w:rsidR="001165D5" w:rsidRPr="00BF62EE">
        <w:rPr>
          <w:spacing w:val="4"/>
          <w:sz w:val="26"/>
          <w:szCs w:val="26"/>
        </w:rPr>
        <w:t>utilit</w:t>
      </w:r>
      <w:r w:rsidR="00060D8B" w:rsidRPr="00BF62EE">
        <w:rPr>
          <w:spacing w:val="4"/>
          <w:sz w:val="26"/>
          <w:szCs w:val="26"/>
        </w:rPr>
        <w:t>ies</w:t>
      </w:r>
      <w:r w:rsidRPr="00BF62EE">
        <w:rPr>
          <w:spacing w:val="4"/>
          <w:sz w:val="26"/>
          <w:szCs w:val="26"/>
        </w:rPr>
        <w:t xml:space="preserve"> </w:t>
      </w:r>
      <w:r w:rsidR="001D522A" w:rsidRPr="00BF62EE">
        <w:rPr>
          <w:spacing w:val="4"/>
          <w:sz w:val="26"/>
          <w:szCs w:val="26"/>
        </w:rPr>
        <w:t xml:space="preserve">are to </w:t>
      </w:r>
      <w:r w:rsidR="009969B3" w:rsidRPr="00BF62EE">
        <w:rPr>
          <w:spacing w:val="4"/>
          <w:sz w:val="26"/>
          <w:szCs w:val="26"/>
        </w:rPr>
        <w:t>report</w:t>
      </w:r>
      <w:r w:rsidR="00715FAF" w:rsidRPr="00BF62EE">
        <w:rPr>
          <w:spacing w:val="4"/>
          <w:sz w:val="26"/>
          <w:szCs w:val="26"/>
        </w:rPr>
        <w:t xml:space="preserve"> </w:t>
      </w:r>
      <w:r w:rsidR="00834453" w:rsidRPr="00BF62EE">
        <w:rPr>
          <w:spacing w:val="4"/>
          <w:sz w:val="26"/>
          <w:szCs w:val="26"/>
        </w:rPr>
        <w:t xml:space="preserve">total gross </w:t>
      </w:r>
      <w:r w:rsidR="009969B3" w:rsidRPr="00BF62EE">
        <w:rPr>
          <w:spacing w:val="4"/>
          <w:sz w:val="26"/>
          <w:szCs w:val="26"/>
        </w:rPr>
        <w:t xml:space="preserve">intrastate </w:t>
      </w:r>
      <w:r w:rsidR="00834453" w:rsidRPr="00BF62EE">
        <w:rPr>
          <w:spacing w:val="4"/>
          <w:sz w:val="26"/>
          <w:szCs w:val="26"/>
        </w:rPr>
        <w:t xml:space="preserve">operating </w:t>
      </w:r>
      <w:r w:rsidR="009969B3" w:rsidRPr="00BF62EE">
        <w:rPr>
          <w:spacing w:val="4"/>
          <w:sz w:val="26"/>
          <w:szCs w:val="26"/>
        </w:rPr>
        <w:t>revenue</w:t>
      </w:r>
      <w:r w:rsidR="00834453" w:rsidRPr="00BF62EE">
        <w:rPr>
          <w:spacing w:val="4"/>
          <w:sz w:val="26"/>
          <w:szCs w:val="26"/>
        </w:rPr>
        <w:t xml:space="preserve">s for Section 510 </w:t>
      </w:r>
      <w:r w:rsidR="00282D95" w:rsidRPr="00BF62EE">
        <w:rPr>
          <w:spacing w:val="4"/>
          <w:sz w:val="26"/>
          <w:szCs w:val="26"/>
        </w:rPr>
        <w:t xml:space="preserve">fiscal assessment </w:t>
      </w:r>
      <w:r w:rsidR="00834453" w:rsidRPr="00BF62EE">
        <w:rPr>
          <w:spacing w:val="4"/>
          <w:sz w:val="26"/>
          <w:szCs w:val="26"/>
        </w:rPr>
        <w:t>purposes</w:t>
      </w:r>
      <w:r w:rsidRPr="00BF62EE">
        <w:rPr>
          <w:spacing w:val="4"/>
          <w:sz w:val="26"/>
          <w:szCs w:val="26"/>
        </w:rPr>
        <w:t xml:space="preserve">.  </w:t>
      </w:r>
      <w:r w:rsidR="00060D8B" w:rsidRPr="00BF62EE">
        <w:rPr>
          <w:spacing w:val="4"/>
          <w:sz w:val="26"/>
          <w:szCs w:val="26"/>
        </w:rPr>
        <w:t xml:space="preserve">The scope of the revenues to be reported for assessment purposes </w:t>
      </w:r>
      <w:r w:rsidR="00E0178E" w:rsidRPr="00BF62EE">
        <w:rPr>
          <w:spacing w:val="4"/>
          <w:sz w:val="26"/>
          <w:szCs w:val="26"/>
        </w:rPr>
        <w:t xml:space="preserve">under that statutory provision </w:t>
      </w:r>
      <w:r w:rsidR="00060D8B" w:rsidRPr="00BF62EE">
        <w:rPr>
          <w:spacing w:val="4"/>
          <w:sz w:val="26"/>
          <w:szCs w:val="26"/>
        </w:rPr>
        <w:t>has not changed</w:t>
      </w:r>
      <w:r w:rsidR="00217502" w:rsidRPr="00BF62EE">
        <w:rPr>
          <w:spacing w:val="4"/>
          <w:sz w:val="26"/>
          <w:szCs w:val="26"/>
        </w:rPr>
        <w:t>.</w:t>
      </w:r>
      <w:r w:rsidR="00060D8B" w:rsidRPr="00BF62EE">
        <w:rPr>
          <w:spacing w:val="4"/>
          <w:sz w:val="26"/>
          <w:szCs w:val="26"/>
        </w:rPr>
        <w:t xml:space="preserve"> </w:t>
      </w:r>
    </w:p>
    <w:p w14:paraId="503D7D73" w14:textId="77777777" w:rsidR="00E0178E" w:rsidRPr="00BF62EE" w:rsidRDefault="00E0178E" w:rsidP="00834453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</w:p>
    <w:p w14:paraId="4B5A96CA" w14:textId="2B4B3BF3" w:rsidR="003A7297" w:rsidRPr="00BF62EE" w:rsidRDefault="00060D8B" w:rsidP="00834453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  <w:r w:rsidRPr="00BF62EE">
        <w:rPr>
          <w:spacing w:val="4"/>
          <w:sz w:val="26"/>
          <w:szCs w:val="26"/>
        </w:rPr>
        <w:t xml:space="preserve">However, the instructions have been </w:t>
      </w:r>
      <w:r w:rsidR="00217502" w:rsidRPr="00BF62EE">
        <w:rPr>
          <w:spacing w:val="4"/>
          <w:sz w:val="26"/>
          <w:szCs w:val="26"/>
        </w:rPr>
        <w:t>revised</w:t>
      </w:r>
      <w:r w:rsidR="00F01F3F" w:rsidRPr="00BF62EE">
        <w:rPr>
          <w:spacing w:val="4"/>
          <w:sz w:val="26"/>
          <w:szCs w:val="26"/>
        </w:rPr>
        <w:t xml:space="preserve"> to </w:t>
      </w:r>
      <w:r w:rsidRPr="00BF62EE">
        <w:rPr>
          <w:spacing w:val="4"/>
          <w:sz w:val="26"/>
          <w:szCs w:val="26"/>
        </w:rPr>
        <w:t xml:space="preserve">explain </w:t>
      </w:r>
      <w:r w:rsidR="00063496" w:rsidRPr="00BF62EE">
        <w:rPr>
          <w:spacing w:val="4"/>
          <w:sz w:val="26"/>
          <w:szCs w:val="26"/>
        </w:rPr>
        <w:t xml:space="preserve">more </w:t>
      </w:r>
      <w:r w:rsidRPr="00BF62EE">
        <w:rPr>
          <w:spacing w:val="4"/>
          <w:sz w:val="26"/>
          <w:szCs w:val="26"/>
        </w:rPr>
        <w:t xml:space="preserve">explicitly that </w:t>
      </w:r>
      <w:r w:rsidR="00A07441" w:rsidRPr="00BF62EE">
        <w:rPr>
          <w:spacing w:val="4"/>
          <w:sz w:val="26"/>
          <w:szCs w:val="26"/>
        </w:rPr>
        <w:t xml:space="preserve">all utilities must report </w:t>
      </w:r>
      <w:r w:rsidR="00A07441" w:rsidRPr="00BF62EE">
        <w:rPr>
          <w:spacing w:val="4"/>
          <w:sz w:val="26"/>
          <w:szCs w:val="26"/>
          <w:u w:val="single"/>
        </w:rPr>
        <w:t>all</w:t>
      </w:r>
      <w:r w:rsidR="00A07441" w:rsidRPr="00BF62EE">
        <w:rPr>
          <w:spacing w:val="4"/>
          <w:sz w:val="26"/>
          <w:szCs w:val="26"/>
        </w:rPr>
        <w:t xml:space="preserve"> </w:t>
      </w:r>
      <w:r w:rsidR="00FC36ED" w:rsidRPr="00BF62EE">
        <w:rPr>
          <w:spacing w:val="4"/>
          <w:sz w:val="26"/>
          <w:szCs w:val="26"/>
        </w:rPr>
        <w:t xml:space="preserve">gross intrastate operating </w:t>
      </w:r>
      <w:r w:rsidR="00A07441" w:rsidRPr="00BF62EE">
        <w:rPr>
          <w:spacing w:val="4"/>
          <w:sz w:val="26"/>
          <w:szCs w:val="26"/>
        </w:rPr>
        <w:t xml:space="preserve">revenues. This includes </w:t>
      </w:r>
      <w:r w:rsidR="00CB31E8" w:rsidRPr="00BF62EE">
        <w:rPr>
          <w:spacing w:val="4"/>
          <w:sz w:val="26"/>
          <w:szCs w:val="26"/>
        </w:rPr>
        <w:t xml:space="preserve">the following: (1) </w:t>
      </w:r>
      <w:r w:rsidR="00A83141" w:rsidRPr="00BF62EE">
        <w:rPr>
          <w:spacing w:val="4"/>
          <w:sz w:val="26"/>
          <w:szCs w:val="26"/>
        </w:rPr>
        <w:t>T</w:t>
      </w:r>
      <w:r w:rsidR="00CB31E8" w:rsidRPr="00BF62EE">
        <w:rPr>
          <w:spacing w:val="4"/>
          <w:sz w:val="26"/>
          <w:szCs w:val="26"/>
        </w:rPr>
        <w:t xml:space="preserve">he </w:t>
      </w:r>
      <w:r w:rsidR="00DF2A72" w:rsidRPr="00BF62EE">
        <w:rPr>
          <w:spacing w:val="4"/>
          <w:sz w:val="26"/>
          <w:szCs w:val="26"/>
        </w:rPr>
        <w:t xml:space="preserve">reporting by </w:t>
      </w:r>
      <w:r w:rsidR="00834453" w:rsidRPr="00BF62EE">
        <w:rPr>
          <w:spacing w:val="4"/>
          <w:sz w:val="26"/>
          <w:szCs w:val="26"/>
        </w:rPr>
        <w:t>incumbent and competitive local exchange carriers</w:t>
      </w:r>
      <w:r w:rsidR="000F5565" w:rsidRPr="00BF62EE">
        <w:rPr>
          <w:spacing w:val="4"/>
          <w:sz w:val="26"/>
          <w:szCs w:val="26"/>
        </w:rPr>
        <w:t xml:space="preserve"> of</w:t>
      </w:r>
      <w:r w:rsidR="00834453" w:rsidRPr="00BF62EE">
        <w:rPr>
          <w:spacing w:val="4"/>
          <w:sz w:val="26"/>
          <w:szCs w:val="26"/>
        </w:rPr>
        <w:t xml:space="preserve"> revenues from </w:t>
      </w:r>
      <w:r w:rsidR="00934328" w:rsidRPr="00BF62EE">
        <w:rPr>
          <w:spacing w:val="4"/>
          <w:sz w:val="26"/>
          <w:szCs w:val="26"/>
        </w:rPr>
        <w:t xml:space="preserve">all local network services and revenues from unbundled network elements </w:t>
      </w:r>
      <w:r w:rsidR="00834453" w:rsidRPr="00BF62EE">
        <w:rPr>
          <w:spacing w:val="4"/>
          <w:sz w:val="26"/>
          <w:szCs w:val="26"/>
        </w:rPr>
        <w:t xml:space="preserve">as a part of their </w:t>
      </w:r>
      <w:r w:rsidR="003A7297" w:rsidRPr="00BF62EE">
        <w:rPr>
          <w:spacing w:val="4"/>
          <w:sz w:val="26"/>
          <w:szCs w:val="26"/>
        </w:rPr>
        <w:t>Local Network Services Revenue</w:t>
      </w:r>
      <w:r w:rsidR="00834453" w:rsidRPr="00BF62EE">
        <w:rPr>
          <w:spacing w:val="4"/>
          <w:sz w:val="26"/>
          <w:szCs w:val="26"/>
        </w:rPr>
        <w:t>s</w:t>
      </w:r>
      <w:r w:rsidR="000546F4" w:rsidRPr="00BF62EE">
        <w:rPr>
          <w:spacing w:val="4"/>
          <w:sz w:val="26"/>
          <w:szCs w:val="26"/>
        </w:rPr>
        <w:t>;</w:t>
      </w:r>
      <w:r w:rsidR="00A83141" w:rsidRPr="00BF62EE">
        <w:rPr>
          <w:spacing w:val="4"/>
          <w:sz w:val="26"/>
          <w:szCs w:val="26"/>
        </w:rPr>
        <w:t xml:space="preserve"> (2) Explicit instructions to ILECs </w:t>
      </w:r>
      <w:r w:rsidR="005B0704" w:rsidRPr="00BF62EE">
        <w:rPr>
          <w:spacing w:val="4"/>
          <w:sz w:val="26"/>
          <w:szCs w:val="26"/>
        </w:rPr>
        <w:t xml:space="preserve">and CLECs </w:t>
      </w:r>
      <w:r w:rsidR="00834453" w:rsidRPr="00BF62EE">
        <w:rPr>
          <w:spacing w:val="4"/>
          <w:sz w:val="26"/>
          <w:szCs w:val="26"/>
        </w:rPr>
        <w:t xml:space="preserve">to include special access services revenues, </w:t>
      </w:r>
      <w:r w:rsidR="00282D95" w:rsidRPr="00BF62EE">
        <w:rPr>
          <w:i/>
          <w:iCs/>
          <w:spacing w:val="4"/>
          <w:sz w:val="26"/>
          <w:szCs w:val="26"/>
        </w:rPr>
        <w:t>de facto</w:t>
      </w:r>
      <w:r w:rsidR="00282D95" w:rsidRPr="00BF62EE">
        <w:rPr>
          <w:spacing w:val="4"/>
          <w:sz w:val="26"/>
          <w:szCs w:val="26"/>
        </w:rPr>
        <w:t xml:space="preserve"> intrastate revenues from special access services or other jurisdictionally</w:t>
      </w:r>
      <w:r w:rsidR="00934328" w:rsidRPr="00BF62EE">
        <w:rPr>
          <w:spacing w:val="4"/>
          <w:sz w:val="26"/>
          <w:szCs w:val="26"/>
        </w:rPr>
        <w:t xml:space="preserve"> </w:t>
      </w:r>
      <w:r w:rsidR="00282D95" w:rsidRPr="00BF62EE">
        <w:rPr>
          <w:spacing w:val="4"/>
          <w:sz w:val="26"/>
          <w:szCs w:val="26"/>
        </w:rPr>
        <w:t xml:space="preserve">mixed telecommunications services, </w:t>
      </w:r>
      <w:r w:rsidR="00834453" w:rsidRPr="00BF62EE">
        <w:rPr>
          <w:spacing w:val="4"/>
          <w:sz w:val="26"/>
          <w:szCs w:val="26"/>
        </w:rPr>
        <w:t xml:space="preserve">and wholesale </w:t>
      </w:r>
      <w:r w:rsidR="00AB1D60" w:rsidRPr="00BF62EE">
        <w:rPr>
          <w:spacing w:val="4"/>
          <w:sz w:val="26"/>
          <w:szCs w:val="26"/>
        </w:rPr>
        <w:t>transmission</w:t>
      </w:r>
      <w:r w:rsidR="004F4D64" w:rsidRPr="00BF62EE">
        <w:rPr>
          <w:spacing w:val="4"/>
          <w:sz w:val="26"/>
          <w:szCs w:val="26"/>
        </w:rPr>
        <w:t xml:space="preserve"> or </w:t>
      </w:r>
      <w:r w:rsidR="00282D95" w:rsidRPr="00BF62EE">
        <w:rPr>
          <w:spacing w:val="4"/>
          <w:sz w:val="26"/>
          <w:szCs w:val="26"/>
        </w:rPr>
        <w:t xml:space="preserve">transport </w:t>
      </w:r>
      <w:r w:rsidR="00834453" w:rsidRPr="00BF62EE">
        <w:rPr>
          <w:spacing w:val="4"/>
          <w:sz w:val="26"/>
          <w:szCs w:val="26"/>
        </w:rPr>
        <w:t>revenues in the</w:t>
      </w:r>
      <w:r w:rsidR="00282D95" w:rsidRPr="00BF62EE">
        <w:rPr>
          <w:spacing w:val="4"/>
          <w:sz w:val="26"/>
          <w:szCs w:val="26"/>
        </w:rPr>
        <w:t xml:space="preserve"> monetary figure they </w:t>
      </w:r>
      <w:r w:rsidR="00834453" w:rsidRPr="00BF62EE">
        <w:rPr>
          <w:spacing w:val="4"/>
          <w:sz w:val="26"/>
          <w:szCs w:val="26"/>
        </w:rPr>
        <w:t>report</w:t>
      </w:r>
      <w:r w:rsidR="00282D95" w:rsidRPr="00BF62EE">
        <w:rPr>
          <w:spacing w:val="4"/>
          <w:sz w:val="26"/>
          <w:szCs w:val="26"/>
        </w:rPr>
        <w:t xml:space="preserve"> as </w:t>
      </w:r>
      <w:r w:rsidR="00834453" w:rsidRPr="00BF62EE">
        <w:rPr>
          <w:spacing w:val="4"/>
          <w:sz w:val="26"/>
          <w:szCs w:val="26"/>
        </w:rPr>
        <w:t>Network Switched Access Services revenues</w:t>
      </w:r>
      <w:r w:rsidR="004C7511" w:rsidRPr="00BF62EE">
        <w:rPr>
          <w:spacing w:val="4"/>
          <w:sz w:val="26"/>
          <w:szCs w:val="26"/>
        </w:rPr>
        <w:t xml:space="preserve">, including revenues from the provision or exchange of </w:t>
      </w:r>
      <w:r w:rsidR="00543394" w:rsidRPr="00BF62EE">
        <w:rPr>
          <w:spacing w:val="4"/>
          <w:sz w:val="26"/>
          <w:szCs w:val="26"/>
        </w:rPr>
        <w:t>traffic over</w:t>
      </w:r>
      <w:r w:rsidR="00934328" w:rsidRPr="00BF62EE">
        <w:rPr>
          <w:spacing w:val="4"/>
          <w:sz w:val="26"/>
          <w:szCs w:val="26"/>
        </w:rPr>
        <w:t xml:space="preserve"> any</w:t>
      </w:r>
      <w:r w:rsidR="00543394" w:rsidRPr="00BF62EE">
        <w:rPr>
          <w:spacing w:val="4"/>
          <w:sz w:val="26"/>
          <w:szCs w:val="26"/>
        </w:rPr>
        <w:t xml:space="preserve"> networks</w:t>
      </w:r>
      <w:r w:rsidR="009369BB" w:rsidRPr="00BF62EE">
        <w:rPr>
          <w:spacing w:val="4"/>
          <w:sz w:val="26"/>
          <w:szCs w:val="26"/>
        </w:rPr>
        <w:t xml:space="preserve">; and (3) </w:t>
      </w:r>
      <w:r w:rsidR="00CE698F" w:rsidRPr="00BF62EE">
        <w:rPr>
          <w:spacing w:val="4"/>
          <w:sz w:val="26"/>
          <w:szCs w:val="26"/>
        </w:rPr>
        <w:t xml:space="preserve">Explicit direction to </w:t>
      </w:r>
      <w:r w:rsidR="003A7297" w:rsidRPr="00BF62EE">
        <w:rPr>
          <w:spacing w:val="4"/>
          <w:sz w:val="26"/>
          <w:szCs w:val="26"/>
        </w:rPr>
        <w:t xml:space="preserve">Competitive Access </w:t>
      </w:r>
      <w:r w:rsidR="007C728D" w:rsidRPr="00BF62EE">
        <w:rPr>
          <w:spacing w:val="4"/>
          <w:sz w:val="26"/>
          <w:szCs w:val="26"/>
        </w:rPr>
        <w:t>P</w:t>
      </w:r>
      <w:r w:rsidR="00834453" w:rsidRPr="00BF62EE">
        <w:rPr>
          <w:spacing w:val="4"/>
          <w:sz w:val="26"/>
          <w:szCs w:val="26"/>
        </w:rPr>
        <w:t xml:space="preserve">roviders </w:t>
      </w:r>
      <w:r w:rsidR="00976F09" w:rsidRPr="00BF62EE">
        <w:rPr>
          <w:spacing w:val="4"/>
          <w:sz w:val="26"/>
          <w:szCs w:val="26"/>
        </w:rPr>
        <w:t xml:space="preserve">and any other certificated telecommunications public utility providing a similar wholesale access service </w:t>
      </w:r>
      <w:r w:rsidR="00F27CFA" w:rsidRPr="00BF62EE">
        <w:rPr>
          <w:spacing w:val="4"/>
          <w:sz w:val="26"/>
          <w:szCs w:val="26"/>
        </w:rPr>
        <w:t>regardless</w:t>
      </w:r>
      <w:r w:rsidR="00E0178E" w:rsidRPr="00BF62EE">
        <w:rPr>
          <w:spacing w:val="4"/>
          <w:sz w:val="26"/>
          <w:szCs w:val="26"/>
        </w:rPr>
        <w:t xml:space="preserve"> </w:t>
      </w:r>
      <w:r w:rsidR="00F27CFA" w:rsidRPr="00BF62EE">
        <w:rPr>
          <w:spacing w:val="4"/>
          <w:sz w:val="26"/>
          <w:szCs w:val="26"/>
        </w:rPr>
        <w:t xml:space="preserve">of the network facilities used </w:t>
      </w:r>
      <w:r w:rsidR="00834453" w:rsidRPr="00BF62EE">
        <w:rPr>
          <w:spacing w:val="4"/>
          <w:sz w:val="26"/>
          <w:szCs w:val="26"/>
        </w:rPr>
        <w:t xml:space="preserve">to include </w:t>
      </w:r>
      <w:r w:rsidR="003A7297" w:rsidRPr="00BF62EE">
        <w:rPr>
          <w:spacing w:val="4"/>
          <w:sz w:val="26"/>
          <w:szCs w:val="26"/>
        </w:rPr>
        <w:t xml:space="preserve">the </w:t>
      </w:r>
      <w:r w:rsidR="00834453" w:rsidRPr="00BF62EE">
        <w:rPr>
          <w:spacing w:val="4"/>
          <w:sz w:val="26"/>
          <w:szCs w:val="26"/>
        </w:rPr>
        <w:t>following types of revenues when they report revenues</w:t>
      </w:r>
      <w:r w:rsidR="003A7297" w:rsidRPr="00BF62EE">
        <w:rPr>
          <w:spacing w:val="4"/>
          <w:sz w:val="26"/>
          <w:szCs w:val="26"/>
        </w:rPr>
        <w:t>:</w:t>
      </w:r>
    </w:p>
    <w:p w14:paraId="6D579ABF" w14:textId="77777777" w:rsidR="003A7297" w:rsidRPr="00BF62EE" w:rsidRDefault="003A7297" w:rsidP="00DA44B5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</w:p>
    <w:p w14:paraId="54D889A5" w14:textId="77777777" w:rsidR="009969B3" w:rsidRPr="00BF62EE" w:rsidRDefault="003A7297" w:rsidP="00DA44B5">
      <w:pPr>
        <w:pStyle w:val="Style2"/>
        <w:kinsoku w:val="0"/>
        <w:ind w:left="1800" w:right="720" w:hanging="360"/>
        <w:rPr>
          <w:spacing w:val="4"/>
          <w:sz w:val="26"/>
          <w:szCs w:val="26"/>
        </w:rPr>
      </w:pPr>
      <w:r w:rsidRPr="00BF62EE">
        <w:rPr>
          <w:spacing w:val="4"/>
          <w:sz w:val="26"/>
          <w:szCs w:val="26"/>
        </w:rPr>
        <w:t>1.</w:t>
      </w:r>
      <w:r w:rsidRPr="00BF62EE">
        <w:rPr>
          <w:spacing w:val="4"/>
          <w:sz w:val="26"/>
          <w:szCs w:val="26"/>
        </w:rPr>
        <w:tab/>
        <w:t>Intrastate Special Access Services Revenues.</w:t>
      </w:r>
    </w:p>
    <w:p w14:paraId="12256D50" w14:textId="77777777" w:rsidR="009969B3" w:rsidRPr="00BF62EE" w:rsidRDefault="009969B3" w:rsidP="00DA44B5">
      <w:pPr>
        <w:pStyle w:val="Style2"/>
        <w:kinsoku w:val="0"/>
        <w:ind w:left="1800" w:right="720" w:hanging="360"/>
        <w:rPr>
          <w:spacing w:val="4"/>
          <w:sz w:val="26"/>
          <w:szCs w:val="26"/>
        </w:rPr>
      </w:pPr>
    </w:p>
    <w:p w14:paraId="40DF5EE5" w14:textId="2309E110" w:rsidR="00BF62EE" w:rsidRDefault="003A7297" w:rsidP="00DA44B5">
      <w:pPr>
        <w:pStyle w:val="Style2"/>
        <w:kinsoku w:val="0"/>
        <w:ind w:left="1800" w:right="720" w:hanging="360"/>
        <w:rPr>
          <w:spacing w:val="4"/>
          <w:sz w:val="26"/>
          <w:szCs w:val="26"/>
        </w:rPr>
      </w:pPr>
      <w:r w:rsidRPr="00BF62EE">
        <w:rPr>
          <w:spacing w:val="4"/>
          <w:sz w:val="26"/>
          <w:szCs w:val="26"/>
        </w:rPr>
        <w:t>2.</w:t>
      </w:r>
      <w:r w:rsidRPr="00BF62EE">
        <w:rPr>
          <w:spacing w:val="4"/>
          <w:sz w:val="26"/>
          <w:szCs w:val="26"/>
        </w:rPr>
        <w:tab/>
      </w:r>
      <w:r w:rsidRPr="00BF62EE">
        <w:rPr>
          <w:i/>
          <w:iCs/>
          <w:spacing w:val="4"/>
          <w:sz w:val="26"/>
          <w:szCs w:val="26"/>
        </w:rPr>
        <w:t>De Facto</w:t>
      </w:r>
      <w:r w:rsidRPr="00BF62EE">
        <w:rPr>
          <w:spacing w:val="4"/>
          <w:sz w:val="26"/>
          <w:szCs w:val="26"/>
        </w:rPr>
        <w:t xml:space="preserve"> Intrastate Revenue</w:t>
      </w:r>
      <w:r w:rsidR="001165D5" w:rsidRPr="00BF62EE">
        <w:rPr>
          <w:spacing w:val="4"/>
          <w:sz w:val="26"/>
          <w:szCs w:val="26"/>
        </w:rPr>
        <w:t>s</w:t>
      </w:r>
      <w:r w:rsidRPr="00BF62EE">
        <w:rPr>
          <w:spacing w:val="4"/>
          <w:sz w:val="26"/>
          <w:szCs w:val="26"/>
        </w:rPr>
        <w:t xml:space="preserve"> from Special Access or Other Jurisdictionally</w:t>
      </w:r>
      <w:r w:rsidR="007A1A0F" w:rsidRPr="00BF62EE">
        <w:rPr>
          <w:spacing w:val="4"/>
          <w:sz w:val="26"/>
          <w:szCs w:val="26"/>
        </w:rPr>
        <w:t xml:space="preserve"> </w:t>
      </w:r>
      <w:r w:rsidRPr="00BF62EE">
        <w:rPr>
          <w:spacing w:val="4"/>
          <w:sz w:val="26"/>
          <w:szCs w:val="26"/>
        </w:rPr>
        <w:t>Mixed Telecom Services (</w:t>
      </w:r>
      <w:r w:rsidR="001165D5" w:rsidRPr="00BF62EE">
        <w:rPr>
          <w:spacing w:val="4"/>
          <w:sz w:val="26"/>
          <w:szCs w:val="26"/>
        </w:rPr>
        <w:t>f</w:t>
      </w:r>
      <w:r w:rsidRPr="00BF62EE">
        <w:rPr>
          <w:spacing w:val="4"/>
          <w:sz w:val="26"/>
          <w:szCs w:val="26"/>
        </w:rPr>
        <w:t xml:space="preserve">or additional guidance, </w:t>
      </w:r>
      <w:r w:rsidRPr="00BF62EE">
        <w:rPr>
          <w:i/>
          <w:iCs/>
          <w:spacing w:val="4"/>
          <w:sz w:val="26"/>
          <w:szCs w:val="26"/>
        </w:rPr>
        <w:t>see</w:t>
      </w:r>
      <w:r w:rsidRPr="00BF62EE">
        <w:rPr>
          <w:spacing w:val="4"/>
          <w:sz w:val="26"/>
          <w:szCs w:val="26"/>
        </w:rPr>
        <w:t xml:space="preserve"> Commission Policy Statement adopted July 11, 2019, Docket No. M-2018-3004578, 49 Pa.B. 5003 (Aug. 31, 2019) 52 Pa. Code § 69.3701).</w:t>
      </w:r>
    </w:p>
    <w:p w14:paraId="4D0BF502" w14:textId="77777777" w:rsidR="00BF62EE" w:rsidRDefault="00BF62EE">
      <w:pPr>
        <w:widowControl/>
        <w:spacing w:after="160" w:line="259" w:lineRule="auto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>
        <w:rPr>
          <w:spacing w:val="4"/>
          <w:sz w:val="26"/>
          <w:szCs w:val="26"/>
        </w:rPr>
        <w:br w:type="page"/>
      </w:r>
    </w:p>
    <w:p w14:paraId="5EA2B515" w14:textId="77777777" w:rsidR="003A7297" w:rsidRPr="00BF62EE" w:rsidRDefault="003A7297" w:rsidP="00DA44B5">
      <w:pPr>
        <w:pStyle w:val="Style2"/>
        <w:kinsoku w:val="0"/>
        <w:ind w:left="1800" w:right="720" w:hanging="360"/>
        <w:rPr>
          <w:spacing w:val="4"/>
          <w:sz w:val="26"/>
          <w:szCs w:val="26"/>
        </w:rPr>
      </w:pPr>
    </w:p>
    <w:p w14:paraId="54483FF2" w14:textId="77777777" w:rsidR="009969B3" w:rsidRPr="00BF62EE" w:rsidRDefault="009969B3" w:rsidP="00DA44B5">
      <w:pPr>
        <w:pStyle w:val="Style2"/>
        <w:kinsoku w:val="0"/>
        <w:ind w:left="1800" w:right="720" w:hanging="360"/>
        <w:rPr>
          <w:spacing w:val="4"/>
          <w:sz w:val="26"/>
          <w:szCs w:val="26"/>
        </w:rPr>
      </w:pPr>
    </w:p>
    <w:p w14:paraId="72CA0F10" w14:textId="0151F778" w:rsidR="003A7297" w:rsidRPr="00BF62EE" w:rsidRDefault="003A7297" w:rsidP="00DA44B5">
      <w:pPr>
        <w:pStyle w:val="Style2"/>
        <w:kinsoku w:val="0"/>
        <w:autoSpaceDE/>
        <w:autoSpaceDN/>
        <w:adjustRightInd/>
        <w:ind w:left="1800" w:right="720" w:hanging="360"/>
        <w:rPr>
          <w:spacing w:val="4"/>
          <w:sz w:val="26"/>
          <w:szCs w:val="26"/>
        </w:rPr>
      </w:pPr>
      <w:r w:rsidRPr="00BF62EE">
        <w:rPr>
          <w:spacing w:val="4"/>
          <w:sz w:val="26"/>
          <w:szCs w:val="26"/>
        </w:rPr>
        <w:t>3.</w:t>
      </w:r>
      <w:r w:rsidRPr="00BF62EE">
        <w:rPr>
          <w:spacing w:val="4"/>
          <w:sz w:val="26"/>
          <w:szCs w:val="26"/>
        </w:rPr>
        <w:tab/>
        <w:t xml:space="preserve">Intrastate wholesale transmission or transport services revenues not </w:t>
      </w:r>
      <w:r w:rsidR="007C728D" w:rsidRPr="00BF62EE">
        <w:rPr>
          <w:spacing w:val="4"/>
          <w:sz w:val="26"/>
          <w:szCs w:val="26"/>
        </w:rPr>
        <w:t>already included</w:t>
      </w:r>
      <w:r w:rsidRPr="00BF62EE">
        <w:rPr>
          <w:spacing w:val="4"/>
          <w:sz w:val="26"/>
          <w:szCs w:val="26"/>
        </w:rPr>
        <w:t xml:space="preserve"> where such wholesale transmission or transport services involve the transmission of </w:t>
      </w:r>
      <w:r w:rsidRPr="00BF62EE">
        <w:rPr>
          <w:spacing w:val="4"/>
          <w:sz w:val="26"/>
          <w:szCs w:val="26"/>
          <w:u w:val="single"/>
        </w:rPr>
        <w:t>any</w:t>
      </w:r>
      <w:r w:rsidRPr="00BF62EE">
        <w:rPr>
          <w:spacing w:val="4"/>
          <w:sz w:val="26"/>
          <w:szCs w:val="26"/>
        </w:rPr>
        <w:t xml:space="preserve"> traffic</w:t>
      </w:r>
      <w:r w:rsidR="00B71077" w:rsidRPr="00BF62EE">
        <w:rPr>
          <w:spacing w:val="4"/>
          <w:sz w:val="26"/>
          <w:szCs w:val="26"/>
        </w:rPr>
        <w:t>,</w:t>
      </w:r>
      <w:r w:rsidRPr="00BF62EE">
        <w:rPr>
          <w:spacing w:val="4"/>
          <w:sz w:val="26"/>
          <w:szCs w:val="26"/>
        </w:rPr>
        <w:t xml:space="preserve"> including </w:t>
      </w:r>
      <w:r w:rsidR="00B71077" w:rsidRPr="00BF62EE">
        <w:rPr>
          <w:spacing w:val="4"/>
          <w:sz w:val="26"/>
          <w:szCs w:val="26"/>
        </w:rPr>
        <w:t xml:space="preserve">but not limited to </w:t>
      </w:r>
      <w:r w:rsidRPr="00BF62EE">
        <w:rPr>
          <w:spacing w:val="4"/>
          <w:sz w:val="26"/>
          <w:szCs w:val="26"/>
        </w:rPr>
        <w:t xml:space="preserve">intrastate </w:t>
      </w:r>
      <w:r w:rsidR="00E0178E" w:rsidRPr="00BF62EE">
        <w:rPr>
          <w:spacing w:val="4"/>
          <w:sz w:val="26"/>
          <w:szCs w:val="26"/>
        </w:rPr>
        <w:t xml:space="preserve">voice.  </w:t>
      </w:r>
    </w:p>
    <w:p w14:paraId="4CB0C515" w14:textId="77777777" w:rsidR="009969B3" w:rsidRPr="00BF62EE" w:rsidRDefault="009969B3" w:rsidP="00DA44B5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</w:p>
    <w:p w14:paraId="3485A29A" w14:textId="7B625AFF" w:rsidR="009969B3" w:rsidRPr="00BF62EE" w:rsidRDefault="00252800" w:rsidP="00DA44B5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  <w:r w:rsidRPr="00BF62EE">
        <w:rPr>
          <w:spacing w:val="4"/>
          <w:sz w:val="26"/>
          <w:szCs w:val="26"/>
        </w:rPr>
        <w:t>T</w:t>
      </w:r>
      <w:r w:rsidR="00F14016" w:rsidRPr="00BF62EE">
        <w:rPr>
          <w:spacing w:val="4"/>
          <w:sz w:val="26"/>
          <w:szCs w:val="26"/>
        </w:rPr>
        <w:t xml:space="preserve">o confirm compliance, </w:t>
      </w:r>
      <w:r w:rsidR="009969B3" w:rsidRPr="00BF62EE">
        <w:rPr>
          <w:spacing w:val="4"/>
          <w:sz w:val="26"/>
          <w:szCs w:val="26"/>
        </w:rPr>
        <w:t>the Commission is also requiring telecommunication</w:t>
      </w:r>
      <w:r w:rsidR="00AC0A12" w:rsidRPr="00BF62EE">
        <w:rPr>
          <w:spacing w:val="4"/>
          <w:sz w:val="26"/>
          <w:szCs w:val="26"/>
        </w:rPr>
        <w:t>s</w:t>
      </w:r>
      <w:r w:rsidR="009969B3" w:rsidRPr="00BF62EE">
        <w:rPr>
          <w:spacing w:val="4"/>
          <w:sz w:val="26"/>
          <w:szCs w:val="26"/>
        </w:rPr>
        <w:t xml:space="preserve"> </w:t>
      </w:r>
      <w:r w:rsidR="00F14016" w:rsidRPr="00BF62EE">
        <w:rPr>
          <w:spacing w:val="4"/>
          <w:sz w:val="26"/>
          <w:szCs w:val="26"/>
        </w:rPr>
        <w:t xml:space="preserve">public </w:t>
      </w:r>
      <w:r w:rsidR="00AC0A12" w:rsidRPr="00BF62EE">
        <w:rPr>
          <w:spacing w:val="4"/>
          <w:sz w:val="26"/>
          <w:szCs w:val="26"/>
        </w:rPr>
        <w:t>utilit</w:t>
      </w:r>
      <w:r w:rsidR="00F14016" w:rsidRPr="00BF62EE">
        <w:rPr>
          <w:spacing w:val="4"/>
          <w:sz w:val="26"/>
          <w:szCs w:val="26"/>
        </w:rPr>
        <w:t>ies</w:t>
      </w:r>
      <w:r w:rsidR="009969B3" w:rsidRPr="00BF62EE">
        <w:rPr>
          <w:spacing w:val="4"/>
          <w:sz w:val="26"/>
          <w:szCs w:val="26"/>
        </w:rPr>
        <w:t xml:space="preserve"> to attach supporting documentation </w:t>
      </w:r>
      <w:r w:rsidR="000623C8" w:rsidRPr="00BF62EE">
        <w:rPr>
          <w:spacing w:val="4"/>
          <w:sz w:val="26"/>
          <w:szCs w:val="26"/>
        </w:rPr>
        <w:t xml:space="preserve">to </w:t>
      </w:r>
      <w:r w:rsidR="00F14016" w:rsidRPr="00BF62EE">
        <w:rPr>
          <w:spacing w:val="4"/>
          <w:sz w:val="26"/>
          <w:szCs w:val="26"/>
        </w:rPr>
        <w:t xml:space="preserve">verify </w:t>
      </w:r>
      <w:r w:rsidR="009969B3" w:rsidRPr="00BF62EE">
        <w:rPr>
          <w:spacing w:val="4"/>
          <w:sz w:val="26"/>
          <w:szCs w:val="26"/>
        </w:rPr>
        <w:t xml:space="preserve">the revenue data </w:t>
      </w:r>
      <w:r w:rsidR="00AC0A12" w:rsidRPr="00BF62EE">
        <w:rPr>
          <w:spacing w:val="4"/>
          <w:sz w:val="26"/>
          <w:szCs w:val="26"/>
        </w:rPr>
        <w:t>they</w:t>
      </w:r>
      <w:r w:rsidR="009969B3" w:rsidRPr="00BF62EE">
        <w:rPr>
          <w:spacing w:val="4"/>
          <w:sz w:val="26"/>
          <w:szCs w:val="26"/>
        </w:rPr>
        <w:t xml:space="preserve"> submit.</w:t>
      </w:r>
    </w:p>
    <w:p w14:paraId="4682B3C7" w14:textId="1F37B05D" w:rsidR="00F14016" w:rsidRPr="00BF62EE" w:rsidRDefault="00F14016" w:rsidP="00DA44B5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</w:p>
    <w:p w14:paraId="367595CF" w14:textId="1B13451E" w:rsidR="00F14016" w:rsidRPr="00BF62EE" w:rsidRDefault="00F14016" w:rsidP="00DA44B5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  <w:r w:rsidRPr="00BF62EE">
        <w:rPr>
          <w:spacing w:val="4"/>
          <w:sz w:val="26"/>
          <w:szCs w:val="26"/>
        </w:rPr>
        <w:t xml:space="preserve">Finally, in addition to </w:t>
      </w:r>
      <w:r w:rsidR="00A30963" w:rsidRPr="00BF62EE">
        <w:rPr>
          <w:spacing w:val="4"/>
          <w:sz w:val="26"/>
          <w:szCs w:val="26"/>
        </w:rPr>
        <w:t xml:space="preserve">providing </w:t>
      </w:r>
      <w:r w:rsidRPr="00BF62EE">
        <w:rPr>
          <w:spacing w:val="4"/>
          <w:sz w:val="26"/>
          <w:szCs w:val="26"/>
        </w:rPr>
        <w:t xml:space="preserve">more explicit instructions to assure complete and accurate reporting, the Commission has included new </w:t>
      </w:r>
      <w:r w:rsidR="00DA30FB" w:rsidRPr="00BF62EE">
        <w:rPr>
          <w:spacing w:val="4"/>
          <w:sz w:val="26"/>
          <w:szCs w:val="26"/>
        </w:rPr>
        <w:t>notices</w:t>
      </w:r>
      <w:r w:rsidR="003776CE" w:rsidRPr="00BF62EE">
        <w:rPr>
          <w:spacing w:val="4"/>
          <w:sz w:val="26"/>
          <w:szCs w:val="26"/>
        </w:rPr>
        <w:t xml:space="preserve"> directly</w:t>
      </w:r>
      <w:r w:rsidRPr="00BF62EE">
        <w:rPr>
          <w:spacing w:val="4"/>
          <w:sz w:val="26"/>
          <w:szCs w:val="26"/>
        </w:rPr>
        <w:t xml:space="preserve"> on Form GAO-</w:t>
      </w:r>
      <w:r w:rsidR="009D4B2D" w:rsidRPr="00BF62EE">
        <w:rPr>
          <w:spacing w:val="4"/>
          <w:sz w:val="26"/>
          <w:szCs w:val="26"/>
        </w:rPr>
        <w:t>20</w:t>
      </w:r>
      <w:r w:rsidRPr="00BF62EE">
        <w:rPr>
          <w:spacing w:val="4"/>
          <w:sz w:val="26"/>
          <w:szCs w:val="26"/>
        </w:rPr>
        <w:t xml:space="preserve"> advising that </w:t>
      </w:r>
      <w:r w:rsidR="00B11380" w:rsidRPr="00BF62EE">
        <w:rPr>
          <w:spacing w:val="4"/>
          <w:sz w:val="26"/>
          <w:szCs w:val="26"/>
        </w:rPr>
        <w:t xml:space="preserve">reports </w:t>
      </w:r>
      <w:r w:rsidR="008A7728" w:rsidRPr="00BF62EE">
        <w:rPr>
          <w:spacing w:val="4"/>
          <w:sz w:val="26"/>
          <w:szCs w:val="26"/>
        </w:rPr>
        <w:t xml:space="preserve">that are </w:t>
      </w:r>
      <w:r w:rsidR="006852FE" w:rsidRPr="00BF62EE">
        <w:rPr>
          <w:spacing w:val="4"/>
          <w:sz w:val="26"/>
          <w:szCs w:val="26"/>
        </w:rPr>
        <w:t xml:space="preserve">filed on </w:t>
      </w:r>
      <w:r w:rsidR="00B11380" w:rsidRPr="00BF62EE">
        <w:rPr>
          <w:spacing w:val="4"/>
          <w:sz w:val="26"/>
          <w:szCs w:val="26"/>
        </w:rPr>
        <w:t xml:space="preserve">other than </w:t>
      </w:r>
      <w:r w:rsidR="00E51B90" w:rsidRPr="00BF62EE">
        <w:rPr>
          <w:spacing w:val="4"/>
          <w:sz w:val="26"/>
          <w:szCs w:val="26"/>
        </w:rPr>
        <w:t>Commission Form GAO-</w:t>
      </w:r>
      <w:r w:rsidR="009D4B2D" w:rsidRPr="00BF62EE">
        <w:rPr>
          <w:spacing w:val="4"/>
          <w:sz w:val="26"/>
          <w:szCs w:val="26"/>
        </w:rPr>
        <w:t>20</w:t>
      </w:r>
      <w:r w:rsidR="007A33BB" w:rsidRPr="00BF62EE">
        <w:rPr>
          <w:spacing w:val="4"/>
          <w:sz w:val="26"/>
          <w:szCs w:val="26"/>
        </w:rPr>
        <w:t>,</w:t>
      </w:r>
      <w:r w:rsidR="006852FE" w:rsidRPr="00BF62EE">
        <w:rPr>
          <w:spacing w:val="4"/>
          <w:sz w:val="26"/>
          <w:szCs w:val="26"/>
        </w:rPr>
        <w:t xml:space="preserve"> that do not comply with the </w:t>
      </w:r>
      <w:r w:rsidR="008A7728" w:rsidRPr="00BF62EE">
        <w:rPr>
          <w:spacing w:val="4"/>
          <w:sz w:val="26"/>
          <w:szCs w:val="26"/>
        </w:rPr>
        <w:t>revised</w:t>
      </w:r>
      <w:r w:rsidR="006852FE" w:rsidRPr="00BF62EE">
        <w:rPr>
          <w:spacing w:val="4"/>
          <w:sz w:val="26"/>
          <w:szCs w:val="26"/>
        </w:rPr>
        <w:t xml:space="preserve"> instructions</w:t>
      </w:r>
      <w:r w:rsidR="007A33BB" w:rsidRPr="00BF62EE">
        <w:rPr>
          <w:spacing w:val="4"/>
          <w:sz w:val="26"/>
          <w:szCs w:val="26"/>
        </w:rPr>
        <w:t xml:space="preserve">, and that </w:t>
      </w:r>
      <w:r w:rsidR="009D4B2D" w:rsidRPr="00BF62EE">
        <w:rPr>
          <w:spacing w:val="4"/>
          <w:sz w:val="26"/>
          <w:szCs w:val="26"/>
        </w:rPr>
        <w:t xml:space="preserve">fail to </w:t>
      </w:r>
      <w:r w:rsidR="008B7788" w:rsidRPr="00BF62EE">
        <w:rPr>
          <w:spacing w:val="4"/>
          <w:sz w:val="26"/>
          <w:szCs w:val="26"/>
        </w:rPr>
        <w:t>authoriz</w:t>
      </w:r>
      <w:r w:rsidR="009D4B2D" w:rsidRPr="00BF62EE">
        <w:rPr>
          <w:spacing w:val="4"/>
          <w:sz w:val="26"/>
          <w:szCs w:val="26"/>
        </w:rPr>
        <w:t>e</w:t>
      </w:r>
      <w:r w:rsidR="008B7788" w:rsidRPr="00BF62EE">
        <w:rPr>
          <w:spacing w:val="4"/>
          <w:sz w:val="26"/>
          <w:szCs w:val="26"/>
        </w:rPr>
        <w:t xml:space="preserve"> release of state tax records </w:t>
      </w:r>
      <w:r w:rsidR="006852FE" w:rsidRPr="00BF62EE">
        <w:rPr>
          <w:spacing w:val="4"/>
          <w:sz w:val="26"/>
          <w:szCs w:val="26"/>
        </w:rPr>
        <w:t>will be rejected as noncompliant</w:t>
      </w:r>
      <w:r w:rsidR="008B7788" w:rsidRPr="00BF62EE">
        <w:rPr>
          <w:spacing w:val="4"/>
          <w:sz w:val="26"/>
          <w:szCs w:val="26"/>
        </w:rPr>
        <w:t xml:space="preserve"> and</w:t>
      </w:r>
      <w:r w:rsidR="006852FE" w:rsidRPr="00BF62EE">
        <w:rPr>
          <w:spacing w:val="4"/>
          <w:sz w:val="26"/>
          <w:szCs w:val="26"/>
        </w:rPr>
        <w:t xml:space="preserve"> subject to appropriate penalties.</w:t>
      </w:r>
      <w:r w:rsidRPr="00BF62EE">
        <w:rPr>
          <w:spacing w:val="4"/>
          <w:sz w:val="26"/>
          <w:szCs w:val="26"/>
        </w:rPr>
        <w:t xml:space="preserve"> </w:t>
      </w:r>
    </w:p>
    <w:p w14:paraId="05BBBDF9" w14:textId="77777777" w:rsidR="009969B3" w:rsidRPr="00BF62EE" w:rsidRDefault="009969B3" w:rsidP="00DA44B5">
      <w:pPr>
        <w:pStyle w:val="Style2"/>
        <w:kinsoku w:val="0"/>
        <w:autoSpaceDE/>
        <w:autoSpaceDN/>
        <w:adjustRightInd/>
        <w:ind w:firstLine="720"/>
        <w:rPr>
          <w:spacing w:val="4"/>
          <w:sz w:val="26"/>
          <w:szCs w:val="26"/>
        </w:rPr>
      </w:pPr>
    </w:p>
    <w:p w14:paraId="06B29F04" w14:textId="4D4F5AFA" w:rsidR="003A7297" w:rsidRPr="00BF62EE" w:rsidRDefault="00A94684" w:rsidP="00DA44B5">
      <w:pPr>
        <w:pStyle w:val="Style2"/>
        <w:kinsoku w:val="0"/>
        <w:autoSpaceDE/>
        <w:autoSpaceDN/>
        <w:adjustRightInd/>
        <w:ind w:firstLine="720"/>
        <w:rPr>
          <w:sz w:val="26"/>
          <w:szCs w:val="26"/>
        </w:rPr>
      </w:pPr>
      <w:r w:rsidRPr="00BF62EE">
        <w:rPr>
          <w:sz w:val="26"/>
          <w:szCs w:val="26"/>
        </w:rPr>
        <w:t>A</w:t>
      </w:r>
      <w:r w:rsidR="005E6A34" w:rsidRPr="00BF62EE">
        <w:rPr>
          <w:sz w:val="26"/>
          <w:szCs w:val="26"/>
        </w:rPr>
        <w:t xml:space="preserve">ll </w:t>
      </w:r>
      <w:r w:rsidR="00004681" w:rsidRPr="00BF62EE">
        <w:rPr>
          <w:sz w:val="26"/>
          <w:szCs w:val="26"/>
        </w:rPr>
        <w:t xml:space="preserve">jurisdictional </w:t>
      </w:r>
      <w:r w:rsidR="00DA44B5" w:rsidRPr="00BF62EE">
        <w:rPr>
          <w:sz w:val="26"/>
          <w:szCs w:val="26"/>
        </w:rPr>
        <w:t>t</w:t>
      </w:r>
      <w:r w:rsidR="00E206B9" w:rsidRPr="00BF62EE">
        <w:rPr>
          <w:sz w:val="26"/>
          <w:szCs w:val="26"/>
        </w:rPr>
        <w:t>elecommunication</w:t>
      </w:r>
      <w:r w:rsidR="00AC0A12" w:rsidRPr="00BF62EE">
        <w:rPr>
          <w:sz w:val="26"/>
          <w:szCs w:val="26"/>
        </w:rPr>
        <w:t>s</w:t>
      </w:r>
      <w:r w:rsidR="00F14016" w:rsidRPr="00BF62EE">
        <w:rPr>
          <w:sz w:val="26"/>
          <w:szCs w:val="26"/>
        </w:rPr>
        <w:t xml:space="preserve"> public</w:t>
      </w:r>
      <w:r w:rsidR="00AC0A12" w:rsidRPr="00BF62EE">
        <w:rPr>
          <w:sz w:val="26"/>
          <w:szCs w:val="26"/>
        </w:rPr>
        <w:t xml:space="preserve"> utilit</w:t>
      </w:r>
      <w:r w:rsidR="00F14016" w:rsidRPr="00BF62EE">
        <w:rPr>
          <w:sz w:val="26"/>
          <w:szCs w:val="26"/>
        </w:rPr>
        <w:t>ies</w:t>
      </w:r>
      <w:r w:rsidR="005E6A34" w:rsidRPr="00BF62EE">
        <w:rPr>
          <w:sz w:val="26"/>
          <w:szCs w:val="26"/>
        </w:rPr>
        <w:t xml:space="preserve"> </w:t>
      </w:r>
      <w:r w:rsidR="00D168FB" w:rsidRPr="00BF62EE">
        <w:rPr>
          <w:sz w:val="26"/>
          <w:szCs w:val="26"/>
        </w:rPr>
        <w:t xml:space="preserve">will be required </w:t>
      </w:r>
      <w:r w:rsidR="005E6A34" w:rsidRPr="00BF62EE">
        <w:rPr>
          <w:sz w:val="26"/>
          <w:szCs w:val="26"/>
        </w:rPr>
        <w:t xml:space="preserve">to use the </w:t>
      </w:r>
      <w:r w:rsidR="00D168FB" w:rsidRPr="00BF62EE">
        <w:rPr>
          <w:sz w:val="26"/>
          <w:szCs w:val="26"/>
        </w:rPr>
        <w:t xml:space="preserve">updated </w:t>
      </w:r>
      <w:r w:rsidR="00AC0A12" w:rsidRPr="00BF62EE">
        <w:rPr>
          <w:sz w:val="26"/>
          <w:szCs w:val="26"/>
        </w:rPr>
        <w:t xml:space="preserve">Form </w:t>
      </w:r>
      <w:r w:rsidR="005E6A34" w:rsidRPr="00BF62EE">
        <w:rPr>
          <w:sz w:val="26"/>
          <w:szCs w:val="26"/>
        </w:rPr>
        <w:t>GAO-</w:t>
      </w:r>
      <w:r w:rsidR="009D4B2D" w:rsidRPr="00BF62EE">
        <w:rPr>
          <w:sz w:val="26"/>
          <w:szCs w:val="26"/>
        </w:rPr>
        <w:t>20</w:t>
      </w:r>
      <w:r w:rsidR="005E6A34" w:rsidRPr="00BF62EE">
        <w:rPr>
          <w:sz w:val="26"/>
          <w:szCs w:val="26"/>
        </w:rPr>
        <w:t xml:space="preserve"> for the 2020 revenue reporting period</w:t>
      </w:r>
      <w:r w:rsidR="00D168FB" w:rsidRPr="00BF62EE">
        <w:rPr>
          <w:sz w:val="26"/>
          <w:szCs w:val="26"/>
        </w:rPr>
        <w:t>,</w:t>
      </w:r>
      <w:r w:rsidR="005E6A34" w:rsidRPr="00BF62EE">
        <w:rPr>
          <w:sz w:val="26"/>
          <w:szCs w:val="26"/>
        </w:rPr>
        <w:t xml:space="preserve"> which is due on March 31, 2021.</w:t>
      </w:r>
      <w:r w:rsidR="005D7F43" w:rsidRPr="00BF62EE">
        <w:rPr>
          <w:sz w:val="26"/>
          <w:szCs w:val="26"/>
        </w:rPr>
        <w:t xml:space="preserve">  </w:t>
      </w:r>
      <w:r w:rsidR="003A7297" w:rsidRPr="00BF62EE">
        <w:rPr>
          <w:sz w:val="26"/>
          <w:szCs w:val="26"/>
        </w:rPr>
        <w:t xml:space="preserve">Any questions regarding Assessment Reports should be </w:t>
      </w:r>
      <w:r w:rsidR="003A7297" w:rsidRPr="00BF62EE">
        <w:rPr>
          <w:spacing w:val="3"/>
          <w:sz w:val="26"/>
          <w:szCs w:val="26"/>
        </w:rPr>
        <w:t xml:space="preserve">directed to the </w:t>
      </w:r>
      <w:r w:rsidR="001165D5" w:rsidRPr="00BF62EE">
        <w:rPr>
          <w:spacing w:val="3"/>
          <w:sz w:val="26"/>
          <w:szCs w:val="26"/>
        </w:rPr>
        <w:t xml:space="preserve">Commission’s </w:t>
      </w:r>
      <w:r w:rsidR="003A7297" w:rsidRPr="00BF62EE">
        <w:rPr>
          <w:spacing w:val="3"/>
          <w:sz w:val="26"/>
          <w:szCs w:val="26"/>
        </w:rPr>
        <w:t>Assessment Section at (717) 265-7548.</w:t>
      </w:r>
    </w:p>
    <w:p w14:paraId="0D8B1FF8" w14:textId="77777777" w:rsidR="003A7297" w:rsidRPr="00BF62EE" w:rsidRDefault="003A7297" w:rsidP="003A7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61375" w14:textId="60A038C7" w:rsidR="003A7297" w:rsidRDefault="006B1BA9" w:rsidP="003A7297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B03C0D" wp14:editId="7DFFA7E8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1837944" cy="704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97" w:rsidRPr="00BF62EE">
        <w:rPr>
          <w:rFonts w:ascii="Times New Roman" w:hAnsi="Times New Roman" w:cs="Times New Roman"/>
          <w:sz w:val="26"/>
          <w:szCs w:val="26"/>
        </w:rPr>
        <w:t>Sincerely,</w:t>
      </w:r>
    </w:p>
    <w:p w14:paraId="045F9912" w14:textId="774AC849" w:rsidR="00BF62EE" w:rsidRDefault="00BF62EE" w:rsidP="003A7297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14:paraId="6471473E" w14:textId="28B270DB" w:rsidR="00BF62EE" w:rsidRDefault="00BF62EE" w:rsidP="003A7297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14:paraId="349A0048" w14:textId="77777777" w:rsidR="00BF62EE" w:rsidRPr="00BF62EE" w:rsidRDefault="00BF62EE" w:rsidP="003A7297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14:paraId="494B86A4" w14:textId="77777777" w:rsidR="003A7297" w:rsidRPr="00BF62EE" w:rsidRDefault="003A7297" w:rsidP="003A7297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BF62EE">
        <w:rPr>
          <w:rFonts w:ascii="Times New Roman" w:hAnsi="Times New Roman" w:cs="Times New Roman"/>
          <w:sz w:val="26"/>
          <w:szCs w:val="26"/>
        </w:rPr>
        <w:t>Rosemary Chiavetta</w:t>
      </w:r>
    </w:p>
    <w:p w14:paraId="71791AF7" w14:textId="77777777" w:rsidR="003A7297" w:rsidRPr="00BF62EE" w:rsidRDefault="003A7297" w:rsidP="003A7297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BF62EE">
        <w:rPr>
          <w:rFonts w:ascii="Times New Roman" w:hAnsi="Times New Roman" w:cs="Times New Roman"/>
          <w:sz w:val="26"/>
          <w:szCs w:val="26"/>
        </w:rPr>
        <w:t>Secretary</w:t>
      </w:r>
    </w:p>
    <w:sectPr w:rsidR="003A7297" w:rsidRPr="00BF62EE" w:rsidSect="003A7C27">
      <w:pgSz w:w="12240" w:h="15840"/>
      <w:pgMar w:top="547" w:right="1440" w:bottom="1440" w:left="144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C80C" w14:textId="77777777" w:rsidR="00435A16" w:rsidRDefault="00435A16" w:rsidP="00D501B4">
      <w:pPr>
        <w:spacing w:after="0" w:line="240" w:lineRule="auto"/>
      </w:pPr>
      <w:r>
        <w:separator/>
      </w:r>
    </w:p>
  </w:endnote>
  <w:endnote w:type="continuationSeparator" w:id="0">
    <w:p w14:paraId="6388DAA0" w14:textId="77777777" w:rsidR="00435A16" w:rsidRDefault="00435A16" w:rsidP="00D5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4271" w14:textId="77777777" w:rsidR="00435A16" w:rsidRDefault="00435A16" w:rsidP="00D501B4">
      <w:pPr>
        <w:spacing w:after="0" w:line="240" w:lineRule="auto"/>
      </w:pPr>
      <w:r>
        <w:separator/>
      </w:r>
    </w:p>
  </w:footnote>
  <w:footnote w:type="continuationSeparator" w:id="0">
    <w:p w14:paraId="6908CD93" w14:textId="77777777" w:rsidR="00435A16" w:rsidRDefault="00435A16" w:rsidP="00D5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97"/>
    <w:rsid w:val="00004681"/>
    <w:rsid w:val="000546F4"/>
    <w:rsid w:val="00060D8B"/>
    <w:rsid w:val="000623C8"/>
    <w:rsid w:val="00063496"/>
    <w:rsid w:val="0007136B"/>
    <w:rsid w:val="000929EF"/>
    <w:rsid w:val="000F5565"/>
    <w:rsid w:val="000F6B27"/>
    <w:rsid w:val="001165D5"/>
    <w:rsid w:val="00161FC3"/>
    <w:rsid w:val="001872D5"/>
    <w:rsid w:val="001D522A"/>
    <w:rsid w:val="001D7F1C"/>
    <w:rsid w:val="001E4C59"/>
    <w:rsid w:val="001F62A2"/>
    <w:rsid w:val="00210A24"/>
    <w:rsid w:val="00217502"/>
    <w:rsid w:val="002220C6"/>
    <w:rsid w:val="002339BD"/>
    <w:rsid w:val="00252800"/>
    <w:rsid w:val="0027558E"/>
    <w:rsid w:val="00282D95"/>
    <w:rsid w:val="00285353"/>
    <w:rsid w:val="002928EE"/>
    <w:rsid w:val="00294CB0"/>
    <w:rsid w:val="002E5D63"/>
    <w:rsid w:val="003776CE"/>
    <w:rsid w:val="00382215"/>
    <w:rsid w:val="00394FE4"/>
    <w:rsid w:val="003A7297"/>
    <w:rsid w:val="003A7C27"/>
    <w:rsid w:val="003E67E5"/>
    <w:rsid w:val="004129FB"/>
    <w:rsid w:val="00435A16"/>
    <w:rsid w:val="004553A5"/>
    <w:rsid w:val="00460D53"/>
    <w:rsid w:val="004710AA"/>
    <w:rsid w:val="004752D5"/>
    <w:rsid w:val="004B2B2B"/>
    <w:rsid w:val="004B76BF"/>
    <w:rsid w:val="004C7511"/>
    <w:rsid w:val="004E7261"/>
    <w:rsid w:val="004F4D64"/>
    <w:rsid w:val="004F73F4"/>
    <w:rsid w:val="00504E82"/>
    <w:rsid w:val="00517CF3"/>
    <w:rsid w:val="00543394"/>
    <w:rsid w:val="00546308"/>
    <w:rsid w:val="005766DB"/>
    <w:rsid w:val="005955F4"/>
    <w:rsid w:val="005B0704"/>
    <w:rsid w:val="005D7F43"/>
    <w:rsid w:val="005E6A34"/>
    <w:rsid w:val="005F49D4"/>
    <w:rsid w:val="00604E4B"/>
    <w:rsid w:val="00661554"/>
    <w:rsid w:val="00677381"/>
    <w:rsid w:val="006852FE"/>
    <w:rsid w:val="006B1BA9"/>
    <w:rsid w:val="00715FAF"/>
    <w:rsid w:val="00721584"/>
    <w:rsid w:val="00741226"/>
    <w:rsid w:val="00746FD7"/>
    <w:rsid w:val="00792A01"/>
    <w:rsid w:val="007A1A0F"/>
    <w:rsid w:val="007A33BB"/>
    <w:rsid w:val="007B3D4F"/>
    <w:rsid w:val="007B5E0C"/>
    <w:rsid w:val="007C728D"/>
    <w:rsid w:val="00817149"/>
    <w:rsid w:val="00834453"/>
    <w:rsid w:val="00850579"/>
    <w:rsid w:val="00855747"/>
    <w:rsid w:val="0086527D"/>
    <w:rsid w:val="008923BA"/>
    <w:rsid w:val="008A7728"/>
    <w:rsid w:val="008B04AB"/>
    <w:rsid w:val="008B7788"/>
    <w:rsid w:val="008E6102"/>
    <w:rsid w:val="009131CD"/>
    <w:rsid w:val="009331B4"/>
    <w:rsid w:val="00934328"/>
    <w:rsid w:val="009369BB"/>
    <w:rsid w:val="00963AC7"/>
    <w:rsid w:val="00976F09"/>
    <w:rsid w:val="00986B2D"/>
    <w:rsid w:val="009969B3"/>
    <w:rsid w:val="009A67A3"/>
    <w:rsid w:val="009B6599"/>
    <w:rsid w:val="009D4B2D"/>
    <w:rsid w:val="00A07441"/>
    <w:rsid w:val="00A30963"/>
    <w:rsid w:val="00A357F0"/>
    <w:rsid w:val="00A466AC"/>
    <w:rsid w:val="00A53105"/>
    <w:rsid w:val="00A83141"/>
    <w:rsid w:val="00A86865"/>
    <w:rsid w:val="00A94684"/>
    <w:rsid w:val="00AB1D60"/>
    <w:rsid w:val="00AC0A12"/>
    <w:rsid w:val="00AE17C2"/>
    <w:rsid w:val="00AF7890"/>
    <w:rsid w:val="00B11380"/>
    <w:rsid w:val="00B21A4F"/>
    <w:rsid w:val="00B71077"/>
    <w:rsid w:val="00BA3524"/>
    <w:rsid w:val="00BB3260"/>
    <w:rsid w:val="00BC3FCD"/>
    <w:rsid w:val="00BF62EE"/>
    <w:rsid w:val="00C00CEF"/>
    <w:rsid w:val="00C02F14"/>
    <w:rsid w:val="00C23C77"/>
    <w:rsid w:val="00C61889"/>
    <w:rsid w:val="00C71E1F"/>
    <w:rsid w:val="00C84124"/>
    <w:rsid w:val="00CB31E8"/>
    <w:rsid w:val="00CC2841"/>
    <w:rsid w:val="00CE698F"/>
    <w:rsid w:val="00D000A4"/>
    <w:rsid w:val="00D12093"/>
    <w:rsid w:val="00D168FB"/>
    <w:rsid w:val="00D501B4"/>
    <w:rsid w:val="00D7003F"/>
    <w:rsid w:val="00D74F27"/>
    <w:rsid w:val="00D84280"/>
    <w:rsid w:val="00D92500"/>
    <w:rsid w:val="00DA30FB"/>
    <w:rsid w:val="00DA3172"/>
    <w:rsid w:val="00DA44B5"/>
    <w:rsid w:val="00DC0AD4"/>
    <w:rsid w:val="00DF2A72"/>
    <w:rsid w:val="00E0178E"/>
    <w:rsid w:val="00E029DB"/>
    <w:rsid w:val="00E05129"/>
    <w:rsid w:val="00E102AF"/>
    <w:rsid w:val="00E206B9"/>
    <w:rsid w:val="00E34AE0"/>
    <w:rsid w:val="00E46680"/>
    <w:rsid w:val="00E51B90"/>
    <w:rsid w:val="00E57C97"/>
    <w:rsid w:val="00E6362F"/>
    <w:rsid w:val="00EB289D"/>
    <w:rsid w:val="00EE5174"/>
    <w:rsid w:val="00F01F3F"/>
    <w:rsid w:val="00F120A7"/>
    <w:rsid w:val="00F14016"/>
    <w:rsid w:val="00F213D3"/>
    <w:rsid w:val="00F22D56"/>
    <w:rsid w:val="00F27CFA"/>
    <w:rsid w:val="00F4454F"/>
    <w:rsid w:val="00F73CC0"/>
    <w:rsid w:val="00F81D37"/>
    <w:rsid w:val="00FA7D42"/>
    <w:rsid w:val="00FC36ED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76EF"/>
  <w15:chartTrackingRefBased/>
  <w15:docId w15:val="{50139F73-BFFA-4A36-82EB-7911B5A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97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9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A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97"/>
    <w:rPr>
      <w:rFonts w:asciiTheme="minorHAnsi" w:hAnsiTheme="minorHAnsi"/>
      <w:sz w:val="22"/>
    </w:rPr>
  </w:style>
  <w:style w:type="paragraph" w:customStyle="1" w:styleId="c13">
    <w:name w:val="c13"/>
    <w:basedOn w:val="Normal"/>
    <w:uiPriority w:val="99"/>
    <w:rsid w:val="003A729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uiPriority w:val="99"/>
    <w:rsid w:val="003A729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97"/>
    <w:rPr>
      <w:rFonts w:ascii="Tahoma" w:hAnsi="Tahoma" w:cs="Tahoma"/>
      <w:sz w:val="16"/>
      <w:szCs w:val="16"/>
    </w:rPr>
  </w:style>
  <w:style w:type="paragraph" w:customStyle="1" w:styleId="c15">
    <w:name w:val="c15"/>
    <w:basedOn w:val="Normal"/>
    <w:uiPriority w:val="99"/>
    <w:rsid w:val="003A729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Normal"/>
    <w:uiPriority w:val="99"/>
    <w:rsid w:val="003A729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3A7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3A7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29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297"/>
    <w:rPr>
      <w:rFonts w:asciiTheme="minorHAnsi" w:hAnsi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eaeece6f62ecf244fbe507b8a1c5af39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2b5e8d1613d6f788375b71b3b8c97f97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8E36E-725A-47EF-83FF-AE049B900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4F13E-2182-4C0E-ACA5-679C0535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BEFAB-717B-4DC5-836F-00C8DBE47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Cardinale, Joe</dc:creator>
  <cp:keywords/>
  <dc:description/>
  <cp:lastModifiedBy>Reside, Melissa</cp:lastModifiedBy>
  <cp:revision>2</cp:revision>
  <dcterms:created xsi:type="dcterms:W3CDTF">2020-11-30T16:53:00Z</dcterms:created>
  <dcterms:modified xsi:type="dcterms:W3CDTF">2020-11-30T16:53:00Z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