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5BF3AA2" w:rsidR="00590EBA" w:rsidRPr="004E5EA1" w:rsidRDefault="006D4DF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7F2EAC" w14:textId="77777777" w:rsidR="006D4DFF" w:rsidRDefault="005D0E8D" w:rsidP="006D4D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6D4DFF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M-2020-3019262</w:t>
      </w:r>
    </w:p>
    <w:p w14:paraId="7A2E4277" w14:textId="77777777" w:rsidR="006D4DFF" w:rsidRDefault="006D4DFF" w:rsidP="006D4DFF">
      <w:pPr>
        <w:rPr>
          <w:rFonts w:ascii="Microsoft Sans Serif" w:hAnsi="Microsoft Sans Serif" w:cs="Microsoft Sans Serif"/>
          <w:sz w:val="24"/>
          <w:szCs w:val="24"/>
        </w:rPr>
      </w:pPr>
    </w:p>
    <w:p w14:paraId="5BB8C218" w14:textId="77777777" w:rsidR="006D4DFF" w:rsidRDefault="006D4DFF" w:rsidP="006D4DF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 Re: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F-2020-3022493</w:t>
      </w:r>
    </w:p>
    <w:p w14:paraId="0CF29D5D" w14:textId="77777777" w:rsidR="006D4DFF" w:rsidRDefault="006D4DFF" w:rsidP="006D4DFF">
      <w:pPr>
        <w:rPr>
          <w:rFonts w:ascii="Microsoft Sans Serif" w:hAnsi="Microsoft Sans Serif" w:cs="Microsoft Sans Serif"/>
          <w:sz w:val="24"/>
          <w:szCs w:val="24"/>
        </w:rPr>
      </w:pPr>
    </w:p>
    <w:p w14:paraId="528BA691" w14:textId="77777777" w:rsidR="006D4DFF" w:rsidRDefault="006D4DFF" w:rsidP="006D4DF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Patricia Patterson v. Duquesne Light Company</w:t>
      </w:r>
    </w:p>
    <w:p w14:paraId="5281E1D7" w14:textId="77777777" w:rsidR="006D4DFF" w:rsidRDefault="006D4DFF" w:rsidP="006D4DF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4611825" w14:textId="442C943A" w:rsidR="006D4DFF" w:rsidRDefault="006D4DFF" w:rsidP="006D4DF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D3F4E4E" w14:textId="77777777" w:rsidR="006D4DFF" w:rsidRDefault="006D4DFF" w:rsidP="006D4DF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58974236" w:rsidR="000B04EE" w:rsidRPr="00270A14" w:rsidRDefault="000B04EE" w:rsidP="006D4DFF">
      <w:pPr>
        <w:tabs>
          <w:tab w:val="left" w:pos="6480"/>
        </w:tabs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Cancellation/Reschedule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633B0468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6D4DFF">
        <w:rPr>
          <w:rFonts w:ascii="Microsoft Sans Serif" w:hAnsi="Microsoft Sans Serif" w:cs="Microsoft Sans Serif"/>
          <w:sz w:val="24"/>
          <w:szCs w:val="24"/>
        </w:rPr>
        <w:t>Tuesday, December 22,</w:t>
      </w:r>
      <w:r w:rsidR="00647A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D4DFF">
        <w:rPr>
          <w:rFonts w:ascii="Microsoft Sans Serif" w:hAnsi="Microsoft Sans Serif" w:cs="Microsoft Sans Serif"/>
          <w:sz w:val="24"/>
          <w:szCs w:val="24"/>
        </w:rPr>
        <w:t>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A04C44" w14:textId="77777777" w:rsidR="006D4DFF" w:rsidRDefault="006D4DFF" w:rsidP="006D4DF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C9A9769" w14:textId="77777777" w:rsidR="006D4DFF" w:rsidRDefault="006D4DFF" w:rsidP="006D4DF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1AF4E4A" w14:textId="2FF6E622" w:rsidR="006D4DFF" w:rsidRDefault="006D4DFF" w:rsidP="006D4DF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January 14, 2021</w:t>
      </w:r>
    </w:p>
    <w:p w14:paraId="6D5B6118" w14:textId="77777777" w:rsidR="006D4DFF" w:rsidRDefault="006D4DFF" w:rsidP="006D4DF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A8CB6E" w14:textId="77777777" w:rsidR="006D4DFF" w:rsidRDefault="006D4DFF" w:rsidP="006D4DF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AM</w:t>
      </w:r>
    </w:p>
    <w:p w14:paraId="17912297" w14:textId="77777777" w:rsidR="006D4DFF" w:rsidRDefault="006D4DFF" w:rsidP="006D4DF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5E8B659" w14:textId="77777777" w:rsidR="006D4DFF" w:rsidRDefault="006D4DFF" w:rsidP="006D4DF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6D8D0BD1" w14:textId="77777777" w:rsidR="006D4DFF" w:rsidRDefault="006D4DFF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0EE475EF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A42412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408887A" w14:textId="4668842B" w:rsidR="00CD5B51" w:rsidRDefault="00CD5B5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BF2DD4" w14:textId="77777777" w:rsidR="00CD5B51" w:rsidRPr="009C6FA4" w:rsidRDefault="00CD5B51" w:rsidP="00CD5B5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DE767D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877381" w14:textId="6466F1E1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5A32A8" w14:textId="0B5642C8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4CADC7" w14:textId="23B36AD6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16486B" w14:textId="32E4FEF3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156E19" w14:textId="4F2D62F0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397153" w14:textId="05BD325B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417F30" w14:textId="59B91BC5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6B2B69" w14:textId="036D22A1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D638E8" w14:textId="1151DB86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5F62D9" w14:textId="425FD707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C90A39" w14:textId="489A0F03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3ECBEB" w14:textId="5921CA70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602340" w14:textId="03350BB2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0E5D0C" w14:textId="33144BBF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AAB365" w14:textId="2BB0F316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6A5677" w14:textId="1083EFA8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D00714" w14:textId="77777777" w:rsidR="006D4DFF" w:rsidRDefault="006D4DFF" w:rsidP="006D4DF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F-2020-3022493 - PATRICIA PATTERSON v. DUQUESNE LIGHT COMPANY</w:t>
      </w:r>
    </w:p>
    <w:p w14:paraId="33AC7C9B" w14:textId="77777777" w:rsidR="006D4DFF" w:rsidRDefault="006D4DFF" w:rsidP="006D4DF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B352730" w14:textId="77777777" w:rsidR="006D4DFF" w:rsidRDefault="006D4DFF" w:rsidP="006D4DF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PATRICIA PATTERSON</w:t>
      </w:r>
    </w:p>
    <w:p w14:paraId="412D5752" w14:textId="77777777" w:rsidR="006D4DFF" w:rsidRDefault="006D4DFF" w:rsidP="006D4DF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1816 A STREET</w:t>
      </w:r>
    </w:p>
    <w:p w14:paraId="037BBA70" w14:textId="77777777" w:rsidR="006D4DFF" w:rsidRDefault="006D4DFF" w:rsidP="006D4DF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15212</w:t>
      </w:r>
    </w:p>
    <w:p w14:paraId="3CABFF67" w14:textId="77777777" w:rsidR="006D4DFF" w:rsidRDefault="006D4DFF" w:rsidP="006D4DF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412.322.4885</w:t>
      </w:r>
      <w:r>
        <w:rPr>
          <w:rFonts w:ascii="Microsoft Sans Serif" w:eastAsia="Microsoft Sans Serif" w:hAnsi="Microsoft Sans Serif" w:cs="Microsoft Sans Serif"/>
          <w:sz w:val="24"/>
        </w:rPr>
        <w:br/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pattipatterson1970@gmail.com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2D71EC69" w14:textId="77777777" w:rsidR="006D4DFF" w:rsidRDefault="006D4DFF" w:rsidP="006D4DFF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b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b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b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br/>
        <w:t>412.393.6431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  <w:t>efarah@duqlight.com</w:t>
      </w:r>
      <w:r>
        <w:rPr>
          <w:sz w:val="24"/>
          <w:szCs w:val="24"/>
        </w:rPr>
        <w:t xml:space="preserve"> </w:t>
      </w:r>
    </w:p>
    <w:p w14:paraId="308DC8B7" w14:textId="4A59CF4D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728700" w14:textId="2EB1F686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4B3F54" w14:textId="77777777" w:rsidR="006D4DFF" w:rsidRDefault="006D4DFF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D4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B2728" w14:textId="77777777" w:rsidR="00D4045D" w:rsidRDefault="00D4045D">
      <w:r>
        <w:separator/>
      </w:r>
    </w:p>
  </w:endnote>
  <w:endnote w:type="continuationSeparator" w:id="0">
    <w:p w14:paraId="3C601CDE" w14:textId="77777777" w:rsidR="00D4045D" w:rsidRDefault="00D4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A9C57" w14:textId="77777777" w:rsidR="00D4045D" w:rsidRDefault="00D4045D">
      <w:r>
        <w:separator/>
      </w:r>
    </w:p>
  </w:footnote>
  <w:footnote w:type="continuationSeparator" w:id="0">
    <w:p w14:paraId="7B04C00D" w14:textId="77777777" w:rsidR="00D4045D" w:rsidRDefault="00D4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7A22"/>
    <w:rsid w:val="006565F9"/>
    <w:rsid w:val="006815FE"/>
    <w:rsid w:val="006A358E"/>
    <w:rsid w:val="006C0BDB"/>
    <w:rsid w:val="006C7520"/>
    <w:rsid w:val="006D4DFF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17DF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D5B51"/>
    <w:rsid w:val="00CF43D5"/>
    <w:rsid w:val="00D01B43"/>
    <w:rsid w:val="00D16ABB"/>
    <w:rsid w:val="00D4045D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tipatterson197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71A7-2122-4F6D-84A1-287D05FF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3455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2020-12-01T18:05:00Z</dcterms:created>
  <dcterms:modified xsi:type="dcterms:W3CDTF">2020-12-01T18:06:00Z</dcterms:modified>
</cp:coreProperties>
</file>