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0E4E6" w14:textId="77777777" w:rsidR="00760280" w:rsidRPr="00B34E15" w:rsidRDefault="00760280" w:rsidP="00BD45EC">
      <w:pPr>
        <w:widowControl/>
        <w:suppressAutoHyphens/>
        <w:jc w:val="center"/>
        <w:rPr>
          <w:b/>
          <w:sz w:val="26"/>
          <w:szCs w:val="26"/>
        </w:rPr>
      </w:pPr>
      <w:r w:rsidRPr="00B34E15">
        <w:rPr>
          <w:b/>
          <w:sz w:val="26"/>
          <w:szCs w:val="26"/>
        </w:rPr>
        <w:t>PENNSYLVANIA</w:t>
      </w:r>
    </w:p>
    <w:p w14:paraId="3FC9FAC3" w14:textId="77777777" w:rsidR="00760280" w:rsidRPr="00B34E15" w:rsidRDefault="00760280" w:rsidP="00BD45EC">
      <w:pPr>
        <w:widowControl/>
        <w:suppressAutoHyphens/>
        <w:jc w:val="center"/>
        <w:rPr>
          <w:sz w:val="26"/>
          <w:szCs w:val="26"/>
        </w:rPr>
      </w:pPr>
      <w:r w:rsidRPr="00B34E15">
        <w:rPr>
          <w:b/>
          <w:sz w:val="26"/>
          <w:szCs w:val="26"/>
        </w:rPr>
        <w:t>PUBLIC UTILITY COMMISSION</w:t>
      </w:r>
    </w:p>
    <w:p w14:paraId="42A5CEF3" w14:textId="77777777" w:rsidR="00760280" w:rsidRPr="00B34E15" w:rsidRDefault="00760280" w:rsidP="00BD45EC">
      <w:pPr>
        <w:widowControl/>
        <w:suppressAutoHyphens/>
        <w:jc w:val="center"/>
        <w:rPr>
          <w:b/>
          <w:sz w:val="26"/>
          <w:szCs w:val="26"/>
        </w:rPr>
      </w:pPr>
      <w:r w:rsidRPr="00B34E15">
        <w:rPr>
          <w:b/>
          <w:sz w:val="26"/>
          <w:szCs w:val="26"/>
        </w:rPr>
        <w:t>Harrisburg, PA 171</w:t>
      </w:r>
      <w:r>
        <w:rPr>
          <w:b/>
          <w:sz w:val="26"/>
          <w:szCs w:val="26"/>
        </w:rPr>
        <w:t>20</w:t>
      </w:r>
    </w:p>
    <w:p w14:paraId="6E011E63" w14:textId="77777777" w:rsidR="00760280" w:rsidRDefault="00760280" w:rsidP="00BD45EC">
      <w:pPr>
        <w:widowControl/>
        <w:suppressAutoHyphens/>
        <w:rPr>
          <w:sz w:val="26"/>
          <w:szCs w:val="26"/>
        </w:rPr>
      </w:pPr>
    </w:p>
    <w:p w14:paraId="3BF79B33" w14:textId="77777777" w:rsidR="00760280" w:rsidRPr="00B34E15" w:rsidRDefault="00760280" w:rsidP="00BD45EC">
      <w:pPr>
        <w:widowControl/>
        <w:suppressAutoHyphens/>
        <w:rPr>
          <w:sz w:val="26"/>
          <w:szCs w:val="26"/>
        </w:rPr>
      </w:pPr>
    </w:p>
    <w:p w14:paraId="2509C846" w14:textId="77777777" w:rsidR="00760280" w:rsidRPr="00B34E15" w:rsidRDefault="00760280" w:rsidP="00BD45EC">
      <w:pPr>
        <w:widowControl/>
        <w:suppressAutoHyphens/>
        <w:jc w:val="right"/>
        <w:rPr>
          <w:sz w:val="26"/>
          <w:szCs w:val="26"/>
        </w:rPr>
      </w:pPr>
      <w:r w:rsidRPr="00B34E15">
        <w:rPr>
          <w:sz w:val="26"/>
          <w:szCs w:val="26"/>
        </w:rPr>
        <w:t xml:space="preserve">Public Meeting held </w:t>
      </w:r>
      <w:r>
        <w:rPr>
          <w:sz w:val="26"/>
          <w:szCs w:val="26"/>
        </w:rPr>
        <w:t>December 3</w:t>
      </w:r>
      <w:r w:rsidRPr="00B34E15">
        <w:rPr>
          <w:sz w:val="26"/>
          <w:szCs w:val="26"/>
        </w:rPr>
        <w:t>, 20</w:t>
      </w:r>
      <w:r>
        <w:rPr>
          <w:sz w:val="26"/>
          <w:szCs w:val="26"/>
        </w:rPr>
        <w:t>20</w:t>
      </w:r>
    </w:p>
    <w:p w14:paraId="0354E99E" w14:textId="77777777" w:rsidR="00760280" w:rsidRDefault="00760280" w:rsidP="00BD45EC">
      <w:pPr>
        <w:widowControl/>
        <w:suppressAutoHyphens/>
        <w:rPr>
          <w:sz w:val="26"/>
          <w:szCs w:val="26"/>
        </w:rPr>
      </w:pPr>
    </w:p>
    <w:p w14:paraId="6B93111C" w14:textId="77777777" w:rsidR="00760280" w:rsidRPr="00B34E15" w:rsidRDefault="00760280" w:rsidP="00BD45EC">
      <w:pPr>
        <w:widowControl/>
        <w:suppressAutoHyphens/>
        <w:rPr>
          <w:sz w:val="26"/>
          <w:szCs w:val="26"/>
        </w:rPr>
      </w:pPr>
    </w:p>
    <w:p w14:paraId="040460A7" w14:textId="77777777" w:rsidR="00760280" w:rsidRPr="00B34E15" w:rsidRDefault="00760280" w:rsidP="00BD45EC">
      <w:pPr>
        <w:widowControl/>
        <w:suppressAutoHyphens/>
        <w:rPr>
          <w:sz w:val="26"/>
          <w:szCs w:val="26"/>
        </w:rPr>
      </w:pPr>
      <w:r w:rsidRPr="00B34E15">
        <w:rPr>
          <w:sz w:val="26"/>
          <w:szCs w:val="26"/>
        </w:rPr>
        <w:t>Commissioners Present:</w:t>
      </w:r>
    </w:p>
    <w:p w14:paraId="36FCAC6D" w14:textId="77777777" w:rsidR="00760280" w:rsidRPr="00B34E15" w:rsidRDefault="00760280" w:rsidP="00BD45EC">
      <w:pPr>
        <w:widowControl/>
        <w:suppressAutoHyphens/>
        <w:rPr>
          <w:sz w:val="26"/>
          <w:szCs w:val="26"/>
        </w:rPr>
      </w:pPr>
    </w:p>
    <w:p w14:paraId="166FAF90" w14:textId="5F6A88E7" w:rsidR="00760280" w:rsidRPr="00B34E15" w:rsidRDefault="00760280" w:rsidP="00BD45EC">
      <w:pPr>
        <w:widowControl/>
        <w:ind w:firstLine="720"/>
        <w:rPr>
          <w:sz w:val="26"/>
          <w:szCs w:val="26"/>
        </w:rPr>
      </w:pPr>
      <w:r>
        <w:rPr>
          <w:sz w:val="26"/>
          <w:szCs w:val="26"/>
        </w:rPr>
        <w:t xml:space="preserve">Gladys Brown </w:t>
      </w:r>
      <w:proofErr w:type="spellStart"/>
      <w:r>
        <w:rPr>
          <w:sz w:val="26"/>
          <w:szCs w:val="26"/>
        </w:rPr>
        <w:t>Dutrieuille</w:t>
      </w:r>
      <w:proofErr w:type="spellEnd"/>
      <w:r>
        <w:rPr>
          <w:sz w:val="26"/>
          <w:szCs w:val="26"/>
        </w:rPr>
        <w:t>, Chairman</w:t>
      </w:r>
      <w:r w:rsidR="002C520E">
        <w:rPr>
          <w:sz w:val="26"/>
          <w:szCs w:val="26"/>
        </w:rPr>
        <w:t>, Statement</w:t>
      </w:r>
    </w:p>
    <w:p w14:paraId="55AED23F" w14:textId="77777777" w:rsidR="00760280" w:rsidRPr="00B34E15" w:rsidRDefault="00760280" w:rsidP="00BD45EC">
      <w:pPr>
        <w:widowControl/>
        <w:ind w:firstLine="720"/>
        <w:rPr>
          <w:sz w:val="26"/>
          <w:szCs w:val="26"/>
        </w:rPr>
      </w:pPr>
      <w:r w:rsidRPr="00B34E15">
        <w:rPr>
          <w:sz w:val="26"/>
          <w:szCs w:val="26"/>
        </w:rPr>
        <w:t>David W. Sweet, Vice Chairman</w:t>
      </w:r>
    </w:p>
    <w:p w14:paraId="2EC497CD" w14:textId="77777777" w:rsidR="00760280" w:rsidRDefault="00760280" w:rsidP="00BD45EC">
      <w:pPr>
        <w:widowControl/>
        <w:ind w:firstLine="720"/>
        <w:rPr>
          <w:sz w:val="26"/>
          <w:szCs w:val="26"/>
        </w:rPr>
      </w:pPr>
      <w:r w:rsidRPr="00B34E15">
        <w:rPr>
          <w:sz w:val="26"/>
          <w:szCs w:val="26"/>
        </w:rPr>
        <w:t>John F. Coleman, Jr.</w:t>
      </w:r>
    </w:p>
    <w:p w14:paraId="47004FF1" w14:textId="77777777" w:rsidR="00760280" w:rsidRDefault="00760280" w:rsidP="00BD45EC">
      <w:pPr>
        <w:widowControl/>
        <w:ind w:firstLine="720"/>
        <w:rPr>
          <w:sz w:val="26"/>
          <w:szCs w:val="26"/>
        </w:rPr>
      </w:pPr>
      <w:r>
        <w:rPr>
          <w:sz w:val="26"/>
          <w:szCs w:val="26"/>
        </w:rPr>
        <w:t>Ralph V. Yanora</w:t>
      </w:r>
    </w:p>
    <w:p w14:paraId="72079A6D" w14:textId="77777777" w:rsidR="00760280" w:rsidRDefault="00760280" w:rsidP="00BD45EC">
      <w:pPr>
        <w:widowControl/>
        <w:suppressAutoHyphens/>
        <w:rPr>
          <w:sz w:val="26"/>
          <w:szCs w:val="26"/>
        </w:rPr>
      </w:pPr>
    </w:p>
    <w:p w14:paraId="28BC4B8C" w14:textId="77777777" w:rsidR="00760280" w:rsidRPr="00B34E15" w:rsidRDefault="00760280" w:rsidP="00BD45EC">
      <w:pPr>
        <w:widowControl/>
        <w:suppressAutoHyphens/>
        <w:rPr>
          <w:sz w:val="26"/>
          <w:szCs w:val="26"/>
        </w:rPr>
      </w:pPr>
    </w:p>
    <w:p w14:paraId="5AAB0EC0" w14:textId="3E375EF2" w:rsidR="00760280" w:rsidRPr="00401247" w:rsidRDefault="00760280" w:rsidP="00BD45EC">
      <w:pPr>
        <w:widowControl/>
        <w:tabs>
          <w:tab w:val="left" w:pos="-720"/>
        </w:tabs>
        <w:suppressAutoHyphens/>
        <w:jc w:val="both"/>
        <w:rPr>
          <w:spacing w:val="-3"/>
          <w:sz w:val="26"/>
          <w:szCs w:val="26"/>
        </w:rPr>
      </w:pPr>
      <w:r>
        <w:rPr>
          <w:spacing w:val="-3"/>
          <w:sz w:val="26"/>
          <w:szCs w:val="26"/>
        </w:rPr>
        <w:t>Verizon Pennsylvania LLC and</w:t>
      </w:r>
      <w:r w:rsidR="006E0AE4">
        <w:rPr>
          <w:spacing w:val="-3"/>
          <w:sz w:val="26"/>
          <w:szCs w:val="26"/>
        </w:rPr>
        <w:tab/>
      </w:r>
      <w:r w:rsidRPr="00401247">
        <w:rPr>
          <w:spacing w:val="-3"/>
          <w:sz w:val="26"/>
          <w:szCs w:val="26"/>
        </w:rPr>
        <w:tab/>
      </w:r>
      <w:r w:rsidRPr="00401247">
        <w:rPr>
          <w:spacing w:val="-3"/>
          <w:sz w:val="26"/>
          <w:szCs w:val="26"/>
        </w:rPr>
        <w:tab/>
      </w:r>
      <w:r w:rsidRPr="00401247">
        <w:rPr>
          <w:spacing w:val="-3"/>
          <w:sz w:val="26"/>
          <w:szCs w:val="26"/>
        </w:rPr>
        <w:tab/>
      </w:r>
      <w:r w:rsidRPr="00401247">
        <w:rPr>
          <w:spacing w:val="-3"/>
          <w:sz w:val="26"/>
          <w:szCs w:val="26"/>
        </w:rPr>
        <w:tab/>
      </w:r>
      <w:r w:rsidRPr="00401247">
        <w:rPr>
          <w:spacing w:val="-3"/>
          <w:sz w:val="26"/>
          <w:szCs w:val="26"/>
        </w:rPr>
        <w:tab/>
      </w:r>
      <w:r w:rsidR="006E0AE4">
        <w:rPr>
          <w:spacing w:val="-3"/>
          <w:sz w:val="26"/>
          <w:szCs w:val="26"/>
        </w:rPr>
        <w:t xml:space="preserve">   </w:t>
      </w:r>
      <w:r w:rsidRPr="00401247">
        <w:rPr>
          <w:spacing w:val="-3"/>
          <w:sz w:val="26"/>
          <w:szCs w:val="26"/>
        </w:rPr>
        <w:t xml:space="preserve">   </w:t>
      </w:r>
      <w:r>
        <w:rPr>
          <w:spacing w:val="-3"/>
          <w:sz w:val="26"/>
          <w:szCs w:val="26"/>
        </w:rPr>
        <w:t>C</w:t>
      </w:r>
      <w:r w:rsidRPr="00401247">
        <w:rPr>
          <w:spacing w:val="-3"/>
          <w:sz w:val="26"/>
          <w:szCs w:val="26"/>
        </w:rPr>
        <w:t>-</w:t>
      </w:r>
      <w:r>
        <w:rPr>
          <w:spacing w:val="-3"/>
          <w:sz w:val="26"/>
          <w:szCs w:val="26"/>
        </w:rPr>
        <w:t>2020-3019347</w:t>
      </w:r>
    </w:p>
    <w:p w14:paraId="6F61D43B" w14:textId="08584491" w:rsidR="00760280" w:rsidRDefault="00760280" w:rsidP="00BD45EC">
      <w:pPr>
        <w:widowControl/>
        <w:rPr>
          <w:spacing w:val="-3"/>
          <w:sz w:val="26"/>
          <w:szCs w:val="26"/>
        </w:rPr>
      </w:pPr>
      <w:r>
        <w:rPr>
          <w:spacing w:val="-3"/>
          <w:sz w:val="26"/>
          <w:szCs w:val="26"/>
        </w:rPr>
        <w:t>Verizon North LLC</w:t>
      </w:r>
      <w:r>
        <w:rPr>
          <w:spacing w:val="-3"/>
          <w:sz w:val="26"/>
          <w:szCs w:val="26"/>
        </w:rPr>
        <w:tab/>
      </w:r>
    </w:p>
    <w:p w14:paraId="37AAA6D0" w14:textId="77777777" w:rsidR="001130A8" w:rsidRPr="00401247" w:rsidRDefault="001130A8">
      <w:pPr>
        <w:widowControl/>
        <w:rPr>
          <w:spacing w:val="-3"/>
          <w:sz w:val="26"/>
          <w:szCs w:val="26"/>
        </w:rPr>
      </w:pPr>
    </w:p>
    <w:p w14:paraId="1717DEA3" w14:textId="3D4B2A18" w:rsidR="00760280" w:rsidRPr="00401247" w:rsidRDefault="00760280">
      <w:pPr>
        <w:widowControl/>
        <w:tabs>
          <w:tab w:val="left" w:pos="-720"/>
        </w:tabs>
        <w:suppressAutoHyphens/>
        <w:jc w:val="both"/>
        <w:rPr>
          <w:spacing w:val="-3"/>
          <w:sz w:val="26"/>
          <w:szCs w:val="26"/>
        </w:rPr>
      </w:pPr>
      <w:r w:rsidRPr="00401247">
        <w:rPr>
          <w:spacing w:val="-3"/>
          <w:sz w:val="26"/>
          <w:szCs w:val="26"/>
        </w:rPr>
        <w:tab/>
        <w:t>v.</w:t>
      </w:r>
    </w:p>
    <w:p w14:paraId="09C4C8CB" w14:textId="77777777" w:rsidR="00760280" w:rsidRPr="00401247" w:rsidRDefault="00760280">
      <w:pPr>
        <w:widowControl/>
        <w:tabs>
          <w:tab w:val="left" w:pos="-720"/>
        </w:tabs>
        <w:suppressAutoHyphens/>
        <w:jc w:val="both"/>
        <w:rPr>
          <w:spacing w:val="-3"/>
          <w:sz w:val="26"/>
          <w:szCs w:val="26"/>
        </w:rPr>
      </w:pPr>
    </w:p>
    <w:p w14:paraId="5D57C25A" w14:textId="77777777" w:rsidR="00760280" w:rsidRDefault="00760280">
      <w:pPr>
        <w:widowControl/>
        <w:tabs>
          <w:tab w:val="left" w:pos="-720"/>
        </w:tabs>
        <w:suppressAutoHyphens/>
        <w:jc w:val="both"/>
        <w:rPr>
          <w:spacing w:val="-3"/>
          <w:sz w:val="26"/>
          <w:szCs w:val="26"/>
        </w:rPr>
      </w:pPr>
      <w:r>
        <w:rPr>
          <w:spacing w:val="-3"/>
          <w:sz w:val="26"/>
          <w:szCs w:val="26"/>
        </w:rPr>
        <w:t>Metropolitan Edison Company, Pennsylvania</w:t>
      </w:r>
    </w:p>
    <w:p w14:paraId="0AC7CFCA" w14:textId="77777777" w:rsidR="00760280" w:rsidRPr="00401247" w:rsidRDefault="00760280">
      <w:pPr>
        <w:widowControl/>
        <w:tabs>
          <w:tab w:val="left" w:pos="-720"/>
        </w:tabs>
        <w:suppressAutoHyphens/>
        <w:jc w:val="both"/>
        <w:rPr>
          <w:spacing w:val="-3"/>
          <w:sz w:val="26"/>
          <w:szCs w:val="26"/>
        </w:rPr>
      </w:pPr>
      <w:r>
        <w:rPr>
          <w:spacing w:val="-3"/>
          <w:sz w:val="26"/>
          <w:szCs w:val="26"/>
        </w:rPr>
        <w:t>Electric Company and Penn Power Company</w:t>
      </w:r>
    </w:p>
    <w:p w14:paraId="46234A89" w14:textId="77777777" w:rsidR="00760280" w:rsidRDefault="00760280">
      <w:pPr>
        <w:widowControl/>
        <w:rPr>
          <w:b/>
          <w:sz w:val="26"/>
          <w:szCs w:val="26"/>
        </w:rPr>
      </w:pPr>
    </w:p>
    <w:p w14:paraId="52EF343F" w14:textId="77777777" w:rsidR="00760280" w:rsidRDefault="00760280">
      <w:pPr>
        <w:widowControl/>
        <w:rPr>
          <w:b/>
          <w:sz w:val="26"/>
          <w:szCs w:val="26"/>
        </w:rPr>
      </w:pPr>
    </w:p>
    <w:p w14:paraId="3DB443DB" w14:textId="4ABF0CC1" w:rsidR="00760280" w:rsidRDefault="00760280">
      <w:pPr>
        <w:widowControl/>
        <w:jc w:val="center"/>
        <w:rPr>
          <w:b/>
          <w:sz w:val="26"/>
          <w:szCs w:val="26"/>
        </w:rPr>
      </w:pPr>
      <w:r w:rsidRPr="00DF4899">
        <w:rPr>
          <w:b/>
          <w:sz w:val="26"/>
          <w:szCs w:val="26"/>
        </w:rPr>
        <w:t>OPINION AND ORDER</w:t>
      </w:r>
    </w:p>
    <w:p w14:paraId="25D2AAA4" w14:textId="5EB066AD" w:rsidR="00760280" w:rsidRDefault="00760280">
      <w:pPr>
        <w:widowControl/>
        <w:jc w:val="center"/>
        <w:rPr>
          <w:b/>
          <w:sz w:val="26"/>
          <w:szCs w:val="26"/>
        </w:rPr>
      </w:pPr>
      <w:r>
        <w:rPr>
          <w:b/>
          <w:sz w:val="26"/>
          <w:szCs w:val="26"/>
        </w:rPr>
        <w:t>***</w:t>
      </w:r>
      <w:r w:rsidR="007E4FDA">
        <w:rPr>
          <w:b/>
          <w:sz w:val="26"/>
          <w:szCs w:val="26"/>
        </w:rPr>
        <w:t>NON-</w:t>
      </w:r>
      <w:r>
        <w:rPr>
          <w:b/>
          <w:sz w:val="26"/>
          <w:szCs w:val="26"/>
        </w:rPr>
        <w:t>PROPRIETARY VERSION***</w:t>
      </w:r>
    </w:p>
    <w:p w14:paraId="479C02C6" w14:textId="77777777" w:rsidR="00760280" w:rsidRDefault="00760280">
      <w:pPr>
        <w:widowControl/>
        <w:rPr>
          <w:b/>
          <w:sz w:val="26"/>
          <w:szCs w:val="26"/>
        </w:rPr>
      </w:pPr>
    </w:p>
    <w:p w14:paraId="6D96F925" w14:textId="77777777" w:rsidR="00760280" w:rsidRDefault="00760280">
      <w:pPr>
        <w:widowControl/>
        <w:spacing w:line="360" w:lineRule="auto"/>
        <w:rPr>
          <w:b/>
          <w:sz w:val="26"/>
          <w:szCs w:val="26"/>
        </w:rPr>
      </w:pPr>
    </w:p>
    <w:p w14:paraId="12D97B30" w14:textId="2E2F748C" w:rsidR="00760280" w:rsidRDefault="00760280">
      <w:pPr>
        <w:widowControl/>
        <w:spacing w:line="360" w:lineRule="auto"/>
        <w:rPr>
          <w:b/>
          <w:sz w:val="26"/>
          <w:szCs w:val="26"/>
        </w:rPr>
      </w:pPr>
      <w:r>
        <w:rPr>
          <w:b/>
          <w:sz w:val="26"/>
          <w:szCs w:val="26"/>
        </w:rPr>
        <w:t>BY THE COMMISSION:</w:t>
      </w:r>
    </w:p>
    <w:p w14:paraId="3C57A453" w14:textId="77777777" w:rsidR="00760280" w:rsidRPr="00CE01AD" w:rsidRDefault="00760280">
      <w:pPr>
        <w:widowControl/>
        <w:spacing w:line="360" w:lineRule="auto"/>
        <w:rPr>
          <w:b/>
          <w:sz w:val="26"/>
          <w:szCs w:val="26"/>
        </w:rPr>
      </w:pPr>
    </w:p>
    <w:p w14:paraId="1EAF8531" w14:textId="30545794" w:rsidR="00E70820" w:rsidRDefault="00760280">
      <w:pPr>
        <w:widowControl/>
        <w:tabs>
          <w:tab w:val="left" w:pos="-720"/>
        </w:tabs>
        <w:suppressAutoHyphens/>
        <w:spacing w:line="360" w:lineRule="auto"/>
        <w:ind w:firstLine="1440"/>
        <w:rPr>
          <w:sz w:val="26"/>
          <w:szCs w:val="26"/>
        </w:rPr>
      </w:pPr>
      <w:bookmarkStart w:id="0" w:name="_Hlk54681843"/>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 xml:space="preserve">nsideration and </w:t>
      </w:r>
      <w:bookmarkStart w:id="1" w:name="_Hlk37835909"/>
      <w:r>
        <w:rPr>
          <w:sz w:val="26"/>
        </w:rPr>
        <w:t xml:space="preserve">disposition </w:t>
      </w:r>
      <w:bookmarkStart w:id="2" w:name="_Hlk54175764"/>
      <w:r>
        <w:rPr>
          <w:sz w:val="26"/>
        </w:rPr>
        <w:t xml:space="preserve">is the </w:t>
      </w:r>
      <w:bookmarkStart w:id="3" w:name="_Hlk56161332"/>
      <w:r>
        <w:rPr>
          <w:sz w:val="26"/>
        </w:rPr>
        <w:t xml:space="preserve">Motion to Unseal Certain Proprietary Information and Request for Expedited Consideration </w:t>
      </w:r>
      <w:bookmarkEnd w:id="3"/>
      <w:r w:rsidR="00021A4E">
        <w:rPr>
          <w:sz w:val="26"/>
        </w:rPr>
        <w:t xml:space="preserve">(Motion) </w:t>
      </w:r>
      <w:r>
        <w:rPr>
          <w:sz w:val="26"/>
        </w:rPr>
        <w:t>filed by Metropolitan Edison Company (Met-Ed), Pennsylvania Electric Company (Penelec), and Pennsylvania Power Company (Penn Power) (collectively, FirstEnergy or the Companies) on October</w:t>
      </w:r>
      <w:r w:rsidR="00721380">
        <w:rPr>
          <w:sz w:val="26"/>
        </w:rPr>
        <w:t> </w:t>
      </w:r>
      <w:r>
        <w:rPr>
          <w:sz w:val="26"/>
        </w:rPr>
        <w:t>15,</w:t>
      </w:r>
      <w:r w:rsidR="00721380">
        <w:rPr>
          <w:sz w:val="26"/>
        </w:rPr>
        <w:t> </w:t>
      </w:r>
      <w:r>
        <w:rPr>
          <w:sz w:val="26"/>
        </w:rPr>
        <w:t xml:space="preserve">2020.  On </w:t>
      </w:r>
      <w:r w:rsidR="00021A4E">
        <w:rPr>
          <w:sz w:val="26"/>
        </w:rPr>
        <w:t xml:space="preserve">October 27, 2020, </w:t>
      </w:r>
      <w:r>
        <w:rPr>
          <w:sz w:val="26"/>
        </w:rPr>
        <w:t xml:space="preserve">Verizon Pennsylvania </w:t>
      </w:r>
      <w:proofErr w:type="gramStart"/>
      <w:r>
        <w:rPr>
          <w:sz w:val="26"/>
        </w:rPr>
        <w:t>LLC</w:t>
      </w:r>
      <w:proofErr w:type="gramEnd"/>
      <w:r>
        <w:rPr>
          <w:sz w:val="26"/>
        </w:rPr>
        <w:t xml:space="preserve"> and Verizon North </w:t>
      </w:r>
      <w:r>
        <w:rPr>
          <w:sz w:val="26"/>
        </w:rPr>
        <w:lastRenderedPageBreak/>
        <w:t xml:space="preserve">LLC (collectively, Verizon) filed </w:t>
      </w:r>
      <w:r w:rsidR="00021A4E">
        <w:rPr>
          <w:sz w:val="26"/>
        </w:rPr>
        <w:t xml:space="preserve">an Answer in Opposition to the Motion (Answer).  </w:t>
      </w:r>
      <w:bookmarkEnd w:id="0"/>
      <w:bookmarkEnd w:id="1"/>
      <w:bookmarkEnd w:id="2"/>
      <w:r w:rsidRPr="00EE6893">
        <w:rPr>
          <w:sz w:val="26"/>
          <w:szCs w:val="26"/>
        </w:rPr>
        <w:t xml:space="preserve">For the reasons stated, </w:t>
      </w:r>
      <w:r w:rsidRPr="00EE6893">
        <w:rPr>
          <w:i/>
          <w:sz w:val="26"/>
          <w:szCs w:val="26"/>
        </w:rPr>
        <w:t>infra</w:t>
      </w:r>
      <w:r w:rsidRPr="00EE6893">
        <w:rPr>
          <w:sz w:val="26"/>
          <w:szCs w:val="26"/>
        </w:rPr>
        <w:t>, we shall</w:t>
      </w:r>
      <w:r w:rsidR="00021A4E">
        <w:rPr>
          <w:sz w:val="26"/>
          <w:szCs w:val="26"/>
        </w:rPr>
        <w:t xml:space="preserve"> deny the Motion.  </w:t>
      </w:r>
    </w:p>
    <w:p w14:paraId="730D6747" w14:textId="64401237" w:rsidR="00021A4E" w:rsidRDefault="00021A4E">
      <w:pPr>
        <w:widowControl/>
        <w:tabs>
          <w:tab w:val="left" w:pos="-720"/>
        </w:tabs>
        <w:suppressAutoHyphens/>
        <w:spacing w:line="360" w:lineRule="auto"/>
        <w:ind w:firstLine="1440"/>
        <w:rPr>
          <w:sz w:val="26"/>
          <w:szCs w:val="26"/>
        </w:rPr>
      </w:pPr>
    </w:p>
    <w:p w14:paraId="0907B8E7" w14:textId="6F2214AD" w:rsidR="00021A4E" w:rsidRPr="00021A4E" w:rsidRDefault="00021A4E">
      <w:pPr>
        <w:widowControl/>
        <w:tabs>
          <w:tab w:val="left" w:pos="-720"/>
        </w:tabs>
        <w:suppressAutoHyphens/>
        <w:spacing w:line="360" w:lineRule="auto"/>
        <w:jc w:val="center"/>
        <w:rPr>
          <w:b/>
          <w:bCs/>
          <w:sz w:val="26"/>
          <w:szCs w:val="26"/>
        </w:rPr>
      </w:pPr>
      <w:bookmarkStart w:id="4" w:name="_Toc55454283"/>
      <w:r w:rsidRPr="00021A4E">
        <w:rPr>
          <w:b/>
          <w:bCs/>
          <w:sz w:val="26"/>
          <w:szCs w:val="26"/>
        </w:rPr>
        <w:t xml:space="preserve">History of </w:t>
      </w:r>
      <w:r w:rsidR="00BE0C19">
        <w:rPr>
          <w:b/>
          <w:bCs/>
          <w:sz w:val="26"/>
          <w:szCs w:val="26"/>
        </w:rPr>
        <w:t xml:space="preserve">the </w:t>
      </w:r>
      <w:r w:rsidRPr="00021A4E">
        <w:rPr>
          <w:b/>
          <w:bCs/>
          <w:sz w:val="26"/>
          <w:szCs w:val="26"/>
        </w:rPr>
        <w:t>Proceeding</w:t>
      </w:r>
      <w:bookmarkEnd w:id="4"/>
    </w:p>
    <w:p w14:paraId="788EAC28" w14:textId="258A29D8" w:rsidR="00021A4E" w:rsidRDefault="00021A4E">
      <w:pPr>
        <w:widowControl/>
        <w:tabs>
          <w:tab w:val="left" w:pos="-720"/>
        </w:tabs>
        <w:suppressAutoHyphens/>
        <w:spacing w:line="360" w:lineRule="auto"/>
        <w:ind w:firstLine="1440"/>
        <w:rPr>
          <w:sz w:val="26"/>
          <w:szCs w:val="26"/>
        </w:rPr>
      </w:pPr>
    </w:p>
    <w:p w14:paraId="3D50E284" w14:textId="5BBC02CB" w:rsidR="00BE0C19" w:rsidRPr="00BE0C19" w:rsidRDefault="00BE0C19" w:rsidP="00A47CDC">
      <w:pPr>
        <w:widowControl/>
        <w:spacing w:line="360" w:lineRule="auto"/>
        <w:ind w:firstLine="1440"/>
        <w:rPr>
          <w:sz w:val="26"/>
          <w:szCs w:val="26"/>
        </w:rPr>
      </w:pPr>
      <w:r w:rsidRPr="00BE0C19">
        <w:rPr>
          <w:sz w:val="26"/>
          <w:szCs w:val="26"/>
        </w:rPr>
        <w:t>Verizon initially filed proprietary and non-proprietary versions of its Formal Complaint (Complaint) against FirstEnergy with the F</w:t>
      </w:r>
      <w:r>
        <w:rPr>
          <w:sz w:val="26"/>
          <w:szCs w:val="26"/>
        </w:rPr>
        <w:t>ederal Communications Commission (F</w:t>
      </w:r>
      <w:r w:rsidRPr="00BE0C19">
        <w:rPr>
          <w:sz w:val="26"/>
          <w:szCs w:val="26"/>
        </w:rPr>
        <w:t>CC</w:t>
      </w:r>
      <w:r>
        <w:rPr>
          <w:sz w:val="26"/>
          <w:szCs w:val="26"/>
        </w:rPr>
        <w:t>)</w:t>
      </w:r>
      <w:r w:rsidRPr="00BE0C19">
        <w:rPr>
          <w:sz w:val="26"/>
          <w:szCs w:val="26"/>
        </w:rPr>
        <w:t xml:space="preserve"> on November 20, 2019.</w:t>
      </w:r>
      <w:r w:rsidRPr="00BE0C19">
        <w:rPr>
          <w:sz w:val="26"/>
          <w:szCs w:val="26"/>
          <w:vertAlign w:val="superscript"/>
        </w:rPr>
        <w:footnoteReference w:id="1"/>
      </w:r>
      <w:r w:rsidRPr="00BE0C19">
        <w:rPr>
          <w:sz w:val="26"/>
          <w:szCs w:val="26"/>
        </w:rPr>
        <w:t xml:space="preserve">  In its Compliant</w:t>
      </w:r>
      <w:r w:rsidR="00E720B8">
        <w:rPr>
          <w:sz w:val="26"/>
          <w:szCs w:val="26"/>
        </w:rPr>
        <w:t>,</w:t>
      </w:r>
      <w:r w:rsidRPr="00BE0C19">
        <w:rPr>
          <w:sz w:val="26"/>
          <w:szCs w:val="26"/>
        </w:rPr>
        <w:t xml:space="preserve"> Verizon asserted that the negotiated rates charged by FirstEnergy under their several </w:t>
      </w:r>
      <w:r>
        <w:rPr>
          <w:sz w:val="26"/>
          <w:szCs w:val="26"/>
        </w:rPr>
        <w:t>Joint Use Agreements (JUAs)</w:t>
      </w:r>
      <w:r w:rsidRPr="00BE0C19">
        <w:rPr>
          <w:sz w:val="26"/>
          <w:szCs w:val="26"/>
        </w:rPr>
        <w:t xml:space="preserve"> are “unjust and unreasonable” under Section 224 of the P</w:t>
      </w:r>
      <w:r w:rsidR="001E5F44">
        <w:rPr>
          <w:sz w:val="26"/>
          <w:szCs w:val="26"/>
        </w:rPr>
        <w:t>ole Attachment Act</w:t>
      </w:r>
      <w:r w:rsidRPr="00BE0C19">
        <w:rPr>
          <w:sz w:val="26"/>
          <w:szCs w:val="26"/>
        </w:rPr>
        <w:t xml:space="preserve">.  </w:t>
      </w:r>
      <w:r w:rsidRPr="00BE0C19">
        <w:rPr>
          <w:i/>
          <w:iCs/>
          <w:sz w:val="26"/>
          <w:szCs w:val="26"/>
        </w:rPr>
        <w:t>See</w:t>
      </w:r>
      <w:r w:rsidRPr="00BE0C19">
        <w:rPr>
          <w:sz w:val="26"/>
          <w:szCs w:val="26"/>
        </w:rPr>
        <w:t xml:space="preserve"> 47</w:t>
      </w:r>
      <w:r w:rsidR="00684E7F">
        <w:rPr>
          <w:sz w:val="26"/>
          <w:szCs w:val="26"/>
        </w:rPr>
        <w:t> </w:t>
      </w:r>
      <w:r w:rsidRPr="00BE0C19">
        <w:rPr>
          <w:sz w:val="26"/>
          <w:szCs w:val="26"/>
        </w:rPr>
        <w:t>U.S.C. § 224.  The Complaint further asserted that the rates in the JUAs should be similar to the rate charged by FirstEnergy to cable companies and C</w:t>
      </w:r>
      <w:r w:rsidR="00126137">
        <w:rPr>
          <w:sz w:val="26"/>
          <w:szCs w:val="26"/>
        </w:rPr>
        <w:t xml:space="preserve">ompetitive Local Exchange Carriers </w:t>
      </w:r>
      <w:r w:rsidRPr="00BE0C19">
        <w:rPr>
          <w:sz w:val="26"/>
          <w:szCs w:val="26"/>
        </w:rPr>
        <w:t>under pole attachment license agreements (</w:t>
      </w:r>
      <w:r w:rsidRPr="00BE0C19">
        <w:rPr>
          <w:i/>
          <w:iCs/>
          <w:sz w:val="26"/>
          <w:szCs w:val="26"/>
        </w:rPr>
        <w:t>i.e</w:t>
      </w:r>
      <w:r w:rsidRPr="00BE0C19">
        <w:rPr>
          <w:sz w:val="26"/>
          <w:szCs w:val="26"/>
        </w:rPr>
        <w:t>., the “new telecom rate”), and that Verizon is entitled to refunds reflecting the difference between this rate and the amount charged by FirstEnergy to Verizon under the JUAs since the July</w:t>
      </w:r>
      <w:r w:rsidR="00684E7F">
        <w:rPr>
          <w:sz w:val="26"/>
          <w:szCs w:val="26"/>
        </w:rPr>
        <w:t> </w:t>
      </w:r>
      <w:r w:rsidRPr="00BE0C19">
        <w:rPr>
          <w:sz w:val="26"/>
          <w:szCs w:val="26"/>
        </w:rPr>
        <w:t>12,</w:t>
      </w:r>
      <w:r w:rsidR="00684E7F">
        <w:rPr>
          <w:sz w:val="26"/>
          <w:szCs w:val="26"/>
        </w:rPr>
        <w:t> </w:t>
      </w:r>
      <w:r w:rsidRPr="00BE0C19">
        <w:rPr>
          <w:sz w:val="26"/>
          <w:szCs w:val="26"/>
        </w:rPr>
        <w:t xml:space="preserve">2011 effective date of the </w:t>
      </w:r>
      <w:r w:rsidRPr="00BE0C19">
        <w:rPr>
          <w:i/>
          <w:iCs/>
          <w:sz w:val="26"/>
          <w:szCs w:val="26"/>
        </w:rPr>
        <w:t>2011 Pole Attachment Order</w:t>
      </w:r>
      <w:r w:rsidR="001E5F44" w:rsidRPr="001E5F44">
        <w:rPr>
          <w:i/>
          <w:iCs/>
          <w:sz w:val="26"/>
          <w:szCs w:val="26"/>
          <w:vertAlign w:val="superscript"/>
        </w:rPr>
        <w:footnoteReference w:id="2"/>
      </w:r>
      <w:r w:rsidR="001E5F44">
        <w:rPr>
          <w:sz w:val="26"/>
          <w:szCs w:val="26"/>
        </w:rPr>
        <w:t xml:space="preserve"> </w:t>
      </w:r>
      <w:r w:rsidRPr="00BE0C19">
        <w:rPr>
          <w:sz w:val="26"/>
          <w:szCs w:val="26"/>
        </w:rPr>
        <w:t xml:space="preserve">plus interest.  Complaint at 1.  </w:t>
      </w:r>
    </w:p>
    <w:p w14:paraId="630EB473" w14:textId="77777777" w:rsidR="00BE0C19" w:rsidRPr="00BE0C19" w:rsidRDefault="00BE0C19" w:rsidP="00A47CDC">
      <w:pPr>
        <w:widowControl/>
        <w:spacing w:line="360" w:lineRule="auto"/>
        <w:ind w:firstLine="1440"/>
        <w:rPr>
          <w:sz w:val="26"/>
          <w:szCs w:val="26"/>
        </w:rPr>
      </w:pPr>
    </w:p>
    <w:p w14:paraId="462D7918" w14:textId="77777777" w:rsidR="00BE0C19" w:rsidRPr="00BE0C19" w:rsidRDefault="00BE0C19" w:rsidP="00A47CDC">
      <w:pPr>
        <w:widowControl/>
        <w:spacing w:line="360" w:lineRule="auto"/>
        <w:ind w:firstLine="1440"/>
        <w:rPr>
          <w:sz w:val="26"/>
          <w:szCs w:val="26"/>
        </w:rPr>
      </w:pPr>
      <w:r w:rsidRPr="00BE0C19">
        <w:rPr>
          <w:sz w:val="26"/>
          <w:szCs w:val="26"/>
        </w:rPr>
        <w:t xml:space="preserve">On February 3, 2020, FirstEnergy filed proprietary and non-proprietary versions of its Answer to Verizon’s Complaint, arguing that Verizon’s Complaint is unfounded, and should either be </w:t>
      </w:r>
      <w:proofErr w:type="gramStart"/>
      <w:r w:rsidRPr="00BE0C19">
        <w:rPr>
          <w:sz w:val="26"/>
          <w:szCs w:val="26"/>
        </w:rPr>
        <w:t>dismissed</w:t>
      </w:r>
      <w:proofErr w:type="gramEnd"/>
      <w:r w:rsidRPr="00BE0C19">
        <w:rPr>
          <w:sz w:val="26"/>
          <w:szCs w:val="26"/>
        </w:rPr>
        <w:t xml:space="preserve"> or the relief requested should be denied.  FirstEnergy argued, among other things, that Verizon was required to terminate its existing JUAs with FirstEnergy before filing the Complaint but failed to do so.  FirstEnergy also argued that Verizon has misinterpreted FCC rulings and that failed </w:t>
      </w:r>
      <w:r w:rsidRPr="00BE0C19">
        <w:rPr>
          <w:sz w:val="26"/>
          <w:szCs w:val="26"/>
        </w:rPr>
        <w:lastRenderedPageBreak/>
        <w:t>negotiations with FirstEnergy led to the Complaint being filed.  FirstEnergy also argued that Verizon has misconstrued the relevant facts, including whether one party has bargaining leverage over another.  FirstEnergy added that, to the extent the case moves forward, any analysis of the rates between FirstEnergy and Verizon should be prospective in effect only.  FirstEnergy averred multiple affirmative defenses in its answer and provided specific responses to the averments made by Verizon in its Complaint.</w:t>
      </w:r>
    </w:p>
    <w:p w14:paraId="598B54F9" w14:textId="77777777" w:rsidR="00BE0C19" w:rsidRPr="00BE0C19" w:rsidRDefault="00BE0C19" w:rsidP="00A47CDC">
      <w:pPr>
        <w:widowControl/>
        <w:spacing w:line="360" w:lineRule="auto"/>
        <w:rPr>
          <w:sz w:val="26"/>
          <w:szCs w:val="26"/>
        </w:rPr>
      </w:pPr>
    </w:p>
    <w:p w14:paraId="5147CAB1" w14:textId="77777777" w:rsidR="00BE0C19" w:rsidRPr="00BE0C19" w:rsidRDefault="00BE0C19">
      <w:pPr>
        <w:widowControl/>
        <w:autoSpaceDE w:val="0"/>
        <w:autoSpaceDN w:val="0"/>
        <w:adjustRightInd w:val="0"/>
        <w:spacing w:line="360" w:lineRule="auto"/>
        <w:ind w:firstLine="1440"/>
        <w:rPr>
          <w:sz w:val="26"/>
          <w:szCs w:val="26"/>
        </w:rPr>
      </w:pPr>
      <w:r w:rsidRPr="00BE0C19">
        <w:rPr>
          <w:sz w:val="26"/>
          <w:szCs w:val="26"/>
        </w:rPr>
        <w:t xml:space="preserve">On March 3, 2020, Verizon filed a proprietary and non-proprietary versions of its Reply to FirstEnergy’s Answer and a denial of FirstEnergy’s affirmative defenses, maintaining its contention that Verizon is entitled to just and reasonable pole attachment rates and that it is entitled to a refund of what it believes it has been overcharged by FirstEnergy.  </w:t>
      </w:r>
    </w:p>
    <w:p w14:paraId="4A37DA44" w14:textId="77777777" w:rsidR="00BE0C19" w:rsidRPr="00BE0C19" w:rsidRDefault="00BE0C19">
      <w:pPr>
        <w:widowControl/>
        <w:autoSpaceDE w:val="0"/>
        <w:autoSpaceDN w:val="0"/>
        <w:adjustRightInd w:val="0"/>
        <w:spacing w:line="360" w:lineRule="auto"/>
        <w:ind w:firstLine="1440"/>
        <w:rPr>
          <w:sz w:val="26"/>
          <w:szCs w:val="26"/>
        </w:rPr>
      </w:pPr>
    </w:p>
    <w:p w14:paraId="32990798" w14:textId="53B78D67" w:rsidR="00BE0C19" w:rsidRPr="00BE0C19" w:rsidRDefault="00BE0C19" w:rsidP="00A47CDC">
      <w:pPr>
        <w:widowControl/>
        <w:spacing w:line="360" w:lineRule="auto"/>
        <w:ind w:firstLine="1440"/>
        <w:rPr>
          <w:i/>
          <w:iCs/>
          <w:sz w:val="26"/>
          <w:szCs w:val="26"/>
        </w:rPr>
      </w:pPr>
      <w:r w:rsidRPr="00BE0C19">
        <w:rPr>
          <w:sz w:val="26"/>
          <w:szCs w:val="26"/>
        </w:rPr>
        <w:t>During the pendency of the Complaint proceeding before the FCC, the Commission</w:t>
      </w:r>
      <w:r w:rsidR="002545B2">
        <w:rPr>
          <w:sz w:val="26"/>
          <w:szCs w:val="26"/>
        </w:rPr>
        <w:t xml:space="preserve"> took steps to “reverse preempt” the FCC’s jurisdiction over pole attachment issues in Pennsylvania.  </w:t>
      </w:r>
      <w:r w:rsidR="001E5F44" w:rsidRPr="00F53B35">
        <w:rPr>
          <w:i/>
          <w:iCs/>
          <w:sz w:val="26"/>
          <w:szCs w:val="26"/>
        </w:rPr>
        <w:t>Assumption</w:t>
      </w:r>
      <w:r w:rsidR="001E5F44">
        <w:rPr>
          <w:i/>
          <w:iCs/>
          <w:sz w:val="26"/>
          <w:szCs w:val="26"/>
        </w:rPr>
        <w:t xml:space="preserve"> </w:t>
      </w:r>
      <w:r w:rsidR="001E5F44" w:rsidRPr="00F53B35">
        <w:rPr>
          <w:i/>
          <w:iCs/>
          <w:sz w:val="26"/>
          <w:szCs w:val="26"/>
        </w:rPr>
        <w:t>of Commission Jurisdiction Over Pole Attachments from the Federal Communications</w:t>
      </w:r>
      <w:r w:rsidR="001E5F44">
        <w:rPr>
          <w:i/>
          <w:iCs/>
          <w:sz w:val="26"/>
          <w:szCs w:val="26"/>
        </w:rPr>
        <w:t xml:space="preserve"> </w:t>
      </w:r>
      <w:r w:rsidR="001E5F44" w:rsidRPr="00F53B35">
        <w:rPr>
          <w:i/>
          <w:iCs/>
          <w:sz w:val="26"/>
          <w:szCs w:val="26"/>
        </w:rPr>
        <w:t>Commission</w:t>
      </w:r>
      <w:r w:rsidR="001E5F44" w:rsidRPr="00F53B35">
        <w:rPr>
          <w:sz w:val="26"/>
          <w:szCs w:val="26"/>
        </w:rPr>
        <w:t>, Docket No. L-2018-3002672 (Order entered Sept</w:t>
      </w:r>
      <w:r w:rsidR="001E5F44">
        <w:rPr>
          <w:sz w:val="26"/>
          <w:szCs w:val="26"/>
        </w:rPr>
        <w:t>ember</w:t>
      </w:r>
      <w:r w:rsidR="001E5F44" w:rsidRPr="00F53B35">
        <w:rPr>
          <w:sz w:val="26"/>
          <w:szCs w:val="26"/>
        </w:rPr>
        <w:t xml:space="preserve"> 3, 2019) (</w:t>
      </w:r>
      <w:r w:rsidR="001E5F44" w:rsidRPr="00F53B35">
        <w:rPr>
          <w:i/>
          <w:iCs/>
          <w:sz w:val="26"/>
          <w:szCs w:val="26"/>
        </w:rPr>
        <w:t>2019 Final Rulemaking</w:t>
      </w:r>
      <w:r w:rsidR="001E5F44">
        <w:rPr>
          <w:i/>
          <w:iCs/>
          <w:sz w:val="26"/>
          <w:szCs w:val="26"/>
        </w:rPr>
        <w:t xml:space="preserve"> </w:t>
      </w:r>
      <w:r w:rsidR="001E5F44" w:rsidRPr="00F53B35">
        <w:rPr>
          <w:i/>
          <w:iCs/>
          <w:sz w:val="26"/>
          <w:szCs w:val="26"/>
        </w:rPr>
        <w:t>Order</w:t>
      </w:r>
      <w:r w:rsidR="001E5F44" w:rsidRPr="00F53B35">
        <w:rPr>
          <w:sz w:val="26"/>
          <w:szCs w:val="26"/>
        </w:rPr>
        <w:t xml:space="preserve">). </w:t>
      </w:r>
      <w:r w:rsidR="001E5F44">
        <w:rPr>
          <w:sz w:val="26"/>
          <w:szCs w:val="26"/>
        </w:rPr>
        <w:t xml:space="preserve"> </w:t>
      </w:r>
      <w:r w:rsidR="002545B2">
        <w:rPr>
          <w:sz w:val="26"/>
          <w:szCs w:val="26"/>
        </w:rPr>
        <w:t xml:space="preserve">On March 23, 2020, the FCC issued an order indicating that it no longer had jurisdiction over the Complaint in this proceeding and future communications regarding the case should be directed to the Commission.  </w:t>
      </w:r>
      <w:r w:rsidRPr="00BE0C19">
        <w:rPr>
          <w:i/>
          <w:iCs/>
          <w:sz w:val="26"/>
          <w:szCs w:val="26"/>
        </w:rPr>
        <w:t>In the Matter of Verizon Pennsylvania LLC and Verizon North LLC v. Metropolitan Edison Company, Pennsylvania Electric Company and Pennsylvania Power Company</w:t>
      </w:r>
      <w:r w:rsidRPr="00BE0C19">
        <w:rPr>
          <w:sz w:val="26"/>
          <w:szCs w:val="26"/>
        </w:rPr>
        <w:t>, Proceeding Number 19-354; Bureau ID Number EB-19-MD-008 (Order dated March 23, 2020) (</w:t>
      </w:r>
      <w:r w:rsidRPr="00BE0C19">
        <w:rPr>
          <w:i/>
          <w:iCs/>
          <w:sz w:val="26"/>
          <w:szCs w:val="26"/>
        </w:rPr>
        <w:t>Transfer Order</w:t>
      </w:r>
      <w:r w:rsidRPr="00BE0C19">
        <w:rPr>
          <w:sz w:val="26"/>
          <w:szCs w:val="26"/>
        </w:rPr>
        <w:t>).</w:t>
      </w:r>
      <w:r w:rsidR="002545B2">
        <w:rPr>
          <w:sz w:val="26"/>
          <w:szCs w:val="26"/>
        </w:rPr>
        <w:t xml:space="preserve">  Thereafter, the matter was transferred to the Commission and referred to the Office of Administrative Law Judge for adjudication.  Deputy Chief Administrative Law Judge (ALJ) Joel H. Cheskis </w:t>
      </w:r>
      <w:r w:rsidR="00341FEC">
        <w:rPr>
          <w:sz w:val="26"/>
          <w:szCs w:val="26"/>
        </w:rPr>
        <w:t xml:space="preserve">was assigned as the presiding officer.  </w:t>
      </w:r>
    </w:p>
    <w:p w14:paraId="33C52EE8" w14:textId="77777777" w:rsidR="00BE0C19" w:rsidRPr="00BE0C19" w:rsidRDefault="00BE0C19" w:rsidP="00A47CDC">
      <w:pPr>
        <w:widowControl/>
        <w:spacing w:line="360" w:lineRule="auto"/>
        <w:rPr>
          <w:sz w:val="26"/>
          <w:szCs w:val="26"/>
        </w:rPr>
      </w:pPr>
    </w:p>
    <w:p w14:paraId="6523B799" w14:textId="278F5936" w:rsidR="00BE0C19" w:rsidRPr="00BE0C19" w:rsidRDefault="00BE0C19" w:rsidP="00A47CDC">
      <w:pPr>
        <w:widowControl/>
        <w:spacing w:line="360" w:lineRule="auto"/>
        <w:ind w:firstLine="1440"/>
        <w:rPr>
          <w:sz w:val="26"/>
          <w:szCs w:val="26"/>
        </w:rPr>
      </w:pPr>
      <w:r w:rsidRPr="00BE0C19">
        <w:rPr>
          <w:sz w:val="26"/>
          <w:szCs w:val="26"/>
        </w:rPr>
        <w:lastRenderedPageBreak/>
        <w:t>As a result of the ongoing COVID-19 pandemic and in recognition of the time constraints on pole attachment cases articulated in Chapter 77 of the Commission’s Regulations, an informal, off-the-record conference call was held on March 26, 2020 with the attorneys for Verizon and FirstEnergy, as well as from the Commission’s Mediation Unit, to discuss procedural issues related to this case.  During the call, a discussion was held regarding when the regulatory time constraint for this case starts given that the formal complaint was filed by Verizon in November 2019 at the FCC but the Commission did not establish jurisdiction over pole attachment issues until March,</w:t>
      </w:r>
      <w:r w:rsidR="00524FC9">
        <w:rPr>
          <w:sz w:val="26"/>
          <w:szCs w:val="26"/>
        </w:rPr>
        <w:t> </w:t>
      </w:r>
      <w:r w:rsidRPr="00BE0C19">
        <w:rPr>
          <w:sz w:val="26"/>
          <w:szCs w:val="26"/>
        </w:rPr>
        <w:t xml:space="preserve">2020.  </w:t>
      </w:r>
      <w:r w:rsidR="00341FEC">
        <w:rPr>
          <w:sz w:val="26"/>
          <w:szCs w:val="26"/>
        </w:rPr>
        <w:t>According to ALJ Cheskis, a</w:t>
      </w:r>
      <w:r w:rsidRPr="00BE0C19">
        <w:rPr>
          <w:sz w:val="26"/>
          <w:szCs w:val="26"/>
        </w:rPr>
        <w:t xml:space="preserve"> discussion was also held regarding the status of outstanding motions pending before the FCC and the possibility of resolving this matter through either the Commission’s Mediation Unit or settlement judge regulations.  Finally, a discussion was also held regarding the appropriate manner to proceed with this case – whether to essentially continue the proceeding where the FCC proceeding ended or establish a new litigation schedule under Commission rules.  The </w:t>
      </w:r>
      <w:r w:rsidR="00852F75">
        <w:rPr>
          <w:sz w:val="26"/>
          <w:szCs w:val="26"/>
        </w:rPr>
        <w:t>P</w:t>
      </w:r>
      <w:r w:rsidRPr="00BE0C19">
        <w:rPr>
          <w:sz w:val="26"/>
          <w:szCs w:val="26"/>
        </w:rPr>
        <w:t xml:space="preserve">arties were given an opportunity to informally provide input regarding their position on these various issues no later than March 31, 2020.  Additional emails were subsequently exchanged </w:t>
      </w:r>
      <w:r w:rsidR="00852F75">
        <w:rPr>
          <w:sz w:val="26"/>
          <w:szCs w:val="26"/>
        </w:rPr>
        <w:t xml:space="preserve">by the attendees on the call </w:t>
      </w:r>
      <w:r w:rsidRPr="00BE0C19">
        <w:rPr>
          <w:sz w:val="26"/>
          <w:szCs w:val="26"/>
        </w:rPr>
        <w:t xml:space="preserve">and a final off-the-record conference call was held with the </w:t>
      </w:r>
      <w:r w:rsidR="00852F75">
        <w:rPr>
          <w:sz w:val="26"/>
          <w:szCs w:val="26"/>
        </w:rPr>
        <w:t>P</w:t>
      </w:r>
      <w:r w:rsidRPr="00BE0C19">
        <w:rPr>
          <w:sz w:val="26"/>
          <w:szCs w:val="26"/>
        </w:rPr>
        <w:t>arties on April 14, 2020.</w:t>
      </w:r>
      <w:r w:rsidR="009569CD">
        <w:rPr>
          <w:rStyle w:val="FootnoteReference"/>
          <w:sz w:val="26"/>
          <w:szCs w:val="26"/>
        </w:rPr>
        <w:footnoteReference w:id="3"/>
      </w:r>
    </w:p>
    <w:p w14:paraId="264747F8" w14:textId="77777777" w:rsidR="00BE0C19" w:rsidRPr="00BE0C19" w:rsidRDefault="00BE0C19" w:rsidP="00A47CDC">
      <w:pPr>
        <w:widowControl/>
        <w:spacing w:line="360" w:lineRule="auto"/>
        <w:rPr>
          <w:sz w:val="26"/>
          <w:szCs w:val="26"/>
        </w:rPr>
      </w:pPr>
    </w:p>
    <w:p w14:paraId="17A0B157" w14:textId="40396018" w:rsidR="00BE0C19" w:rsidRPr="00BE0C19" w:rsidRDefault="00BE0C19" w:rsidP="00A47CDC">
      <w:pPr>
        <w:widowControl/>
        <w:spacing w:line="360" w:lineRule="auto"/>
        <w:ind w:firstLine="1440"/>
        <w:rPr>
          <w:sz w:val="26"/>
          <w:szCs w:val="26"/>
        </w:rPr>
      </w:pPr>
      <w:r w:rsidRPr="00BE0C19">
        <w:rPr>
          <w:sz w:val="26"/>
          <w:szCs w:val="26"/>
        </w:rPr>
        <w:t>A scheduling order was issued on April 14, 2020</w:t>
      </w:r>
      <w:r w:rsidR="00FE55C6">
        <w:rPr>
          <w:sz w:val="26"/>
          <w:szCs w:val="26"/>
        </w:rPr>
        <w:t xml:space="preserve"> (</w:t>
      </w:r>
      <w:r w:rsidR="00FE55C6" w:rsidRPr="00FE55C6">
        <w:rPr>
          <w:i/>
          <w:iCs/>
          <w:sz w:val="26"/>
          <w:szCs w:val="26"/>
        </w:rPr>
        <w:t>Scheduling Order</w:t>
      </w:r>
      <w:r w:rsidR="00FE55C6">
        <w:rPr>
          <w:sz w:val="26"/>
          <w:szCs w:val="26"/>
        </w:rPr>
        <w:t>)</w:t>
      </w:r>
      <w:r w:rsidRPr="00BE0C19">
        <w:rPr>
          <w:sz w:val="26"/>
          <w:szCs w:val="26"/>
        </w:rPr>
        <w:t xml:space="preserve">, memorializing the resolution of the procedural disagreements between Verizon and </w:t>
      </w:r>
      <w:proofErr w:type="gramStart"/>
      <w:r w:rsidRPr="00BE0C19">
        <w:rPr>
          <w:sz w:val="26"/>
          <w:szCs w:val="26"/>
        </w:rPr>
        <w:t>FirstEnergy</w:t>
      </w:r>
      <w:proofErr w:type="gramEnd"/>
      <w:r w:rsidRPr="00BE0C19">
        <w:rPr>
          <w:sz w:val="26"/>
          <w:szCs w:val="26"/>
        </w:rPr>
        <w:t xml:space="preserve"> and establishing a procedural schedule for this case.  Of note, it was determined that the Complaint would be considered filed as of March 2</w:t>
      </w:r>
      <w:r w:rsidR="00FE55C6" w:rsidRPr="00FA4EF6">
        <w:rPr>
          <w:sz w:val="26"/>
          <w:szCs w:val="26"/>
        </w:rPr>
        <w:t>5</w:t>
      </w:r>
      <w:r w:rsidRPr="00BE0C19">
        <w:rPr>
          <w:sz w:val="26"/>
          <w:szCs w:val="26"/>
        </w:rPr>
        <w:t>, 2020</w:t>
      </w:r>
      <w:r w:rsidR="00FA4EF6">
        <w:rPr>
          <w:sz w:val="26"/>
          <w:szCs w:val="26"/>
        </w:rPr>
        <w:t>,</w:t>
      </w:r>
      <w:r w:rsidRPr="00BE0C19">
        <w:rPr>
          <w:sz w:val="26"/>
          <w:szCs w:val="26"/>
        </w:rPr>
        <w:t xml:space="preserve"> for purposes of commencing the time frame within which the Commission must act on this case and that good cause existed for this case to be concluded within 270 days, as allowed for in Chapter 77 of the Commission’s Regulations.  52 Pa. Code § 77.5(c).  </w:t>
      </w:r>
      <w:r w:rsidRPr="00BE0C19">
        <w:rPr>
          <w:sz w:val="26"/>
          <w:szCs w:val="26"/>
        </w:rPr>
        <w:lastRenderedPageBreak/>
        <w:t>A</w:t>
      </w:r>
      <w:r w:rsidR="00524FC9">
        <w:rPr>
          <w:sz w:val="26"/>
          <w:szCs w:val="26"/>
        </w:rPr>
        <w:t> </w:t>
      </w:r>
      <w:r w:rsidRPr="00BE0C19">
        <w:rPr>
          <w:sz w:val="26"/>
          <w:szCs w:val="26"/>
        </w:rPr>
        <w:t>litigation schedule was established so that the case would be completed within 270</w:t>
      </w:r>
      <w:r w:rsidR="007F0C5C">
        <w:rPr>
          <w:sz w:val="26"/>
          <w:szCs w:val="26"/>
        </w:rPr>
        <w:t> </w:t>
      </w:r>
      <w:r w:rsidRPr="00BE0C19">
        <w:rPr>
          <w:sz w:val="26"/>
          <w:szCs w:val="26"/>
        </w:rPr>
        <w:t>days.</w:t>
      </w:r>
      <w:r w:rsidR="00FE55C6">
        <w:rPr>
          <w:sz w:val="26"/>
          <w:szCs w:val="26"/>
        </w:rPr>
        <w:t xml:space="preserve">  </w:t>
      </w:r>
      <w:r w:rsidR="00C209C6" w:rsidRPr="00C209C6">
        <w:rPr>
          <w:i/>
          <w:iCs/>
          <w:sz w:val="26"/>
          <w:szCs w:val="26"/>
        </w:rPr>
        <w:t>Scheduling Order</w:t>
      </w:r>
      <w:r w:rsidR="00C209C6">
        <w:rPr>
          <w:sz w:val="26"/>
          <w:szCs w:val="26"/>
        </w:rPr>
        <w:t xml:space="preserve"> at 4.</w:t>
      </w:r>
      <w:r w:rsidR="00C209C6">
        <w:rPr>
          <w:rStyle w:val="FootnoteReference"/>
          <w:sz w:val="26"/>
          <w:szCs w:val="26"/>
        </w:rPr>
        <w:footnoteReference w:id="4"/>
      </w:r>
      <w:r w:rsidR="00C209C6">
        <w:rPr>
          <w:sz w:val="26"/>
          <w:szCs w:val="26"/>
        </w:rPr>
        <w:t xml:space="preserve">  </w:t>
      </w:r>
    </w:p>
    <w:p w14:paraId="0AC00B95" w14:textId="77777777" w:rsidR="00BE0C19" w:rsidRPr="00BE0C19" w:rsidRDefault="00BE0C19" w:rsidP="00A47CDC">
      <w:pPr>
        <w:widowControl/>
        <w:spacing w:line="360" w:lineRule="auto"/>
        <w:rPr>
          <w:sz w:val="26"/>
          <w:szCs w:val="26"/>
        </w:rPr>
      </w:pPr>
    </w:p>
    <w:p w14:paraId="21131A11" w14:textId="17EB7899" w:rsidR="00BE0C19" w:rsidRPr="00BE0C19" w:rsidRDefault="00BE0C19" w:rsidP="00A47CDC">
      <w:pPr>
        <w:widowControl/>
        <w:spacing w:line="360" w:lineRule="auto"/>
        <w:ind w:firstLine="1440"/>
        <w:rPr>
          <w:sz w:val="26"/>
          <w:szCs w:val="26"/>
        </w:rPr>
      </w:pPr>
      <w:r w:rsidRPr="00BE0C19">
        <w:rPr>
          <w:sz w:val="26"/>
          <w:szCs w:val="26"/>
        </w:rPr>
        <w:t xml:space="preserve">In light of the continued interruption of normal operations as a result of the COVID-19 pandemic, additional informal, off-the-record conference calls with the </w:t>
      </w:r>
      <w:r w:rsidR="00852F75">
        <w:rPr>
          <w:sz w:val="26"/>
          <w:szCs w:val="26"/>
        </w:rPr>
        <w:t>P</w:t>
      </w:r>
      <w:r w:rsidRPr="00BE0C19">
        <w:rPr>
          <w:sz w:val="26"/>
          <w:szCs w:val="26"/>
        </w:rPr>
        <w:t>arties, the mediation unit and the presiding officer were held on June 2, 2020</w:t>
      </w:r>
      <w:r w:rsidR="00FA4EF6">
        <w:rPr>
          <w:sz w:val="26"/>
          <w:szCs w:val="26"/>
        </w:rPr>
        <w:t>,</w:t>
      </w:r>
      <w:r w:rsidRPr="00BE0C19">
        <w:rPr>
          <w:sz w:val="26"/>
          <w:szCs w:val="26"/>
        </w:rPr>
        <w:t xml:space="preserve"> and June</w:t>
      </w:r>
      <w:r w:rsidR="00524FC9">
        <w:rPr>
          <w:sz w:val="26"/>
          <w:szCs w:val="26"/>
        </w:rPr>
        <w:t> </w:t>
      </w:r>
      <w:r w:rsidRPr="00BE0C19">
        <w:rPr>
          <w:sz w:val="26"/>
          <w:szCs w:val="26"/>
        </w:rPr>
        <w:t>5, 2020</w:t>
      </w:r>
      <w:r w:rsidR="00FA4EF6">
        <w:rPr>
          <w:sz w:val="26"/>
          <w:szCs w:val="26"/>
        </w:rPr>
        <w:t>,</w:t>
      </w:r>
      <w:r w:rsidRPr="00BE0C19">
        <w:rPr>
          <w:sz w:val="26"/>
          <w:szCs w:val="26"/>
        </w:rPr>
        <w:t xml:space="preserve"> to discuss logistics for the evidentiary hearings scheduled for June</w:t>
      </w:r>
      <w:r w:rsidR="00524FC9">
        <w:rPr>
          <w:sz w:val="26"/>
          <w:szCs w:val="26"/>
        </w:rPr>
        <w:t> </w:t>
      </w:r>
      <w:r w:rsidRPr="00BE0C19">
        <w:rPr>
          <w:sz w:val="26"/>
          <w:szCs w:val="26"/>
        </w:rPr>
        <w:t>15</w:t>
      </w:r>
      <w:r w:rsidR="00524FC9">
        <w:rPr>
          <w:sz w:val="26"/>
          <w:szCs w:val="26"/>
        </w:rPr>
        <w:noBreakHyphen/>
      </w:r>
      <w:r w:rsidRPr="00BE0C19">
        <w:rPr>
          <w:sz w:val="26"/>
          <w:szCs w:val="26"/>
        </w:rPr>
        <w:t>19,</w:t>
      </w:r>
      <w:r w:rsidR="00524FC9">
        <w:rPr>
          <w:sz w:val="26"/>
          <w:szCs w:val="26"/>
        </w:rPr>
        <w:t> </w:t>
      </w:r>
      <w:r w:rsidRPr="00BE0C19">
        <w:rPr>
          <w:sz w:val="26"/>
          <w:szCs w:val="26"/>
        </w:rPr>
        <w:t xml:space="preserve">2020. As a result of those conversations, the </w:t>
      </w:r>
      <w:r w:rsidR="00852F75">
        <w:rPr>
          <w:sz w:val="26"/>
          <w:szCs w:val="26"/>
        </w:rPr>
        <w:t>P</w:t>
      </w:r>
      <w:r w:rsidRPr="00BE0C19">
        <w:rPr>
          <w:sz w:val="26"/>
          <w:szCs w:val="26"/>
        </w:rPr>
        <w:t xml:space="preserve">arties agreed to various modifications to the original scheduling order.  Most significantly, the </w:t>
      </w:r>
      <w:r w:rsidR="00852F75">
        <w:rPr>
          <w:sz w:val="26"/>
          <w:szCs w:val="26"/>
        </w:rPr>
        <w:t>P</w:t>
      </w:r>
      <w:r w:rsidRPr="00BE0C19">
        <w:rPr>
          <w:sz w:val="26"/>
          <w:szCs w:val="26"/>
        </w:rPr>
        <w:t xml:space="preserve">arties agreed that the in-person hearings scheduled would be cancelled and the proceeding would become “paper-only,” meaning that, in addition to other agreed upon modifications, additional rounds of pre-served testimony would be allowed, the pre-served written testimony would be admitted into the record of the proceeding via stipulation and cross examination would be waived.  Next, the </w:t>
      </w:r>
      <w:r w:rsidR="00852F75">
        <w:rPr>
          <w:sz w:val="26"/>
          <w:szCs w:val="26"/>
        </w:rPr>
        <w:t>P</w:t>
      </w:r>
      <w:r w:rsidRPr="00BE0C19">
        <w:rPr>
          <w:sz w:val="26"/>
          <w:szCs w:val="26"/>
        </w:rPr>
        <w:t xml:space="preserve">arties would submit briefs in support of their legal arguments. </w:t>
      </w:r>
      <w:r w:rsidR="00852F75">
        <w:rPr>
          <w:sz w:val="26"/>
          <w:szCs w:val="26"/>
        </w:rPr>
        <w:t xml:space="preserve"> </w:t>
      </w:r>
      <w:r w:rsidRPr="00BE0C19">
        <w:rPr>
          <w:sz w:val="26"/>
          <w:szCs w:val="26"/>
        </w:rPr>
        <w:t xml:space="preserve">The </w:t>
      </w:r>
      <w:r w:rsidR="00852F75">
        <w:rPr>
          <w:sz w:val="26"/>
          <w:szCs w:val="26"/>
        </w:rPr>
        <w:t>P</w:t>
      </w:r>
      <w:r w:rsidRPr="00BE0C19">
        <w:rPr>
          <w:sz w:val="26"/>
          <w:szCs w:val="26"/>
        </w:rPr>
        <w:t>arties confirmed their agreement via email dated June 8, 2020.</w:t>
      </w:r>
      <w:r w:rsidR="00C209C6">
        <w:rPr>
          <w:sz w:val="26"/>
          <w:szCs w:val="26"/>
        </w:rPr>
        <w:t xml:space="preserve">  R.D.</w:t>
      </w:r>
      <w:r w:rsidR="00711D32">
        <w:rPr>
          <w:sz w:val="26"/>
          <w:szCs w:val="26"/>
        </w:rPr>
        <w:t> </w:t>
      </w:r>
      <w:r w:rsidR="00C209C6">
        <w:rPr>
          <w:sz w:val="26"/>
          <w:szCs w:val="26"/>
        </w:rPr>
        <w:t>at</w:t>
      </w:r>
      <w:r w:rsidR="00711D32">
        <w:rPr>
          <w:sz w:val="26"/>
          <w:szCs w:val="26"/>
        </w:rPr>
        <w:t> </w:t>
      </w:r>
      <w:r w:rsidR="00976E19">
        <w:rPr>
          <w:sz w:val="26"/>
          <w:szCs w:val="26"/>
        </w:rPr>
        <w:t xml:space="preserve">5.  </w:t>
      </w:r>
    </w:p>
    <w:p w14:paraId="74DBD038" w14:textId="77777777" w:rsidR="00BE0C19" w:rsidRPr="00BE0C19" w:rsidRDefault="00BE0C19" w:rsidP="00A47CDC">
      <w:pPr>
        <w:widowControl/>
        <w:spacing w:line="360" w:lineRule="auto"/>
        <w:rPr>
          <w:sz w:val="26"/>
          <w:szCs w:val="26"/>
        </w:rPr>
      </w:pPr>
    </w:p>
    <w:p w14:paraId="2FCFF094" w14:textId="1D1B12C2" w:rsidR="00BE0C19" w:rsidRPr="00BE0C19" w:rsidRDefault="00BE0C19" w:rsidP="00A47CDC">
      <w:pPr>
        <w:widowControl/>
        <w:spacing w:line="360" w:lineRule="auto"/>
        <w:ind w:firstLine="1440"/>
        <w:rPr>
          <w:sz w:val="26"/>
          <w:szCs w:val="26"/>
        </w:rPr>
      </w:pPr>
      <w:r w:rsidRPr="00BE0C19">
        <w:rPr>
          <w:sz w:val="26"/>
          <w:szCs w:val="26"/>
        </w:rPr>
        <w:t>A second scheduling order was issued on June 8, 2020</w:t>
      </w:r>
      <w:r w:rsidR="00976E19">
        <w:rPr>
          <w:sz w:val="26"/>
          <w:szCs w:val="26"/>
        </w:rPr>
        <w:t>,</w:t>
      </w:r>
      <w:r w:rsidRPr="00BE0C19">
        <w:rPr>
          <w:sz w:val="26"/>
          <w:szCs w:val="26"/>
        </w:rPr>
        <w:t xml:space="preserve"> memorializing the </w:t>
      </w:r>
      <w:r w:rsidR="00852F75">
        <w:rPr>
          <w:sz w:val="26"/>
          <w:szCs w:val="26"/>
        </w:rPr>
        <w:t>P</w:t>
      </w:r>
      <w:r w:rsidRPr="00BE0C19">
        <w:rPr>
          <w:sz w:val="26"/>
          <w:szCs w:val="26"/>
        </w:rPr>
        <w:t>arties’ agreement to the revised procedural schedule and other procedural matters.</w:t>
      </w:r>
    </w:p>
    <w:p w14:paraId="574D1789" w14:textId="77777777" w:rsidR="00BE0C19" w:rsidRPr="00BE0C19" w:rsidRDefault="00BE0C19" w:rsidP="00A47CDC">
      <w:pPr>
        <w:widowControl/>
        <w:spacing w:line="360" w:lineRule="auto"/>
        <w:rPr>
          <w:sz w:val="26"/>
          <w:szCs w:val="26"/>
        </w:rPr>
      </w:pPr>
    </w:p>
    <w:p w14:paraId="438CBE55" w14:textId="746B8FAD" w:rsidR="00BE0C19" w:rsidRPr="00BE0C19" w:rsidRDefault="00BE0C19" w:rsidP="00A47CDC">
      <w:pPr>
        <w:widowControl/>
        <w:spacing w:line="360" w:lineRule="auto"/>
        <w:ind w:firstLine="1440"/>
        <w:rPr>
          <w:sz w:val="26"/>
          <w:szCs w:val="26"/>
        </w:rPr>
      </w:pPr>
      <w:r w:rsidRPr="00BE0C19">
        <w:rPr>
          <w:sz w:val="26"/>
          <w:szCs w:val="26"/>
        </w:rPr>
        <w:t xml:space="preserve">On July 7, 2020, the </w:t>
      </w:r>
      <w:r w:rsidR="00852F75">
        <w:rPr>
          <w:sz w:val="26"/>
          <w:szCs w:val="26"/>
        </w:rPr>
        <w:t>P</w:t>
      </w:r>
      <w:r w:rsidRPr="00BE0C19">
        <w:rPr>
          <w:sz w:val="26"/>
          <w:szCs w:val="26"/>
        </w:rPr>
        <w:t xml:space="preserve">arties submitted a joint motion to admit stipulated items into the record.  The Recommended Decision granted that motion, and the </w:t>
      </w:r>
      <w:r w:rsidR="00852F75">
        <w:rPr>
          <w:sz w:val="26"/>
          <w:szCs w:val="26"/>
        </w:rPr>
        <w:t>P</w:t>
      </w:r>
      <w:r w:rsidRPr="00BE0C19">
        <w:rPr>
          <w:sz w:val="26"/>
          <w:szCs w:val="26"/>
        </w:rPr>
        <w:t>arties were directed to ensure that the Commission’s Secretary’s Bureau has the necessary hard copies of the documents for inclusion in the Commission’s file.</w:t>
      </w:r>
      <w:r w:rsidR="00976E19">
        <w:rPr>
          <w:sz w:val="26"/>
          <w:szCs w:val="26"/>
        </w:rPr>
        <w:t xml:space="preserve">  R.D. at 6.  </w:t>
      </w:r>
    </w:p>
    <w:p w14:paraId="096E9B5F" w14:textId="77777777" w:rsidR="00BE0C19" w:rsidRPr="00BE0C19" w:rsidRDefault="00BE0C19" w:rsidP="00A47CDC">
      <w:pPr>
        <w:widowControl/>
        <w:spacing w:line="360" w:lineRule="auto"/>
        <w:ind w:firstLine="1440"/>
        <w:rPr>
          <w:sz w:val="26"/>
          <w:szCs w:val="26"/>
        </w:rPr>
      </w:pPr>
    </w:p>
    <w:p w14:paraId="734B52D7" w14:textId="221D4194" w:rsidR="00BE0C19" w:rsidRPr="00BE0C19" w:rsidRDefault="00BE0C19" w:rsidP="00A47CDC">
      <w:pPr>
        <w:widowControl/>
        <w:spacing w:line="360" w:lineRule="auto"/>
        <w:ind w:firstLine="1440"/>
        <w:rPr>
          <w:sz w:val="26"/>
          <w:szCs w:val="26"/>
        </w:rPr>
      </w:pPr>
      <w:r w:rsidRPr="00BE0C19">
        <w:rPr>
          <w:sz w:val="26"/>
          <w:szCs w:val="26"/>
        </w:rPr>
        <w:lastRenderedPageBreak/>
        <w:t>Pursuant to the second scheduling order, proprietary and non-proprietary versions of Main Briefs and Reply Briefs were filed by both Verizon and FirstEnergy on July 28, 2020</w:t>
      </w:r>
      <w:r w:rsidR="00FA4EF6">
        <w:rPr>
          <w:sz w:val="26"/>
          <w:szCs w:val="26"/>
        </w:rPr>
        <w:t>,</w:t>
      </w:r>
      <w:r w:rsidRPr="00BE0C19">
        <w:rPr>
          <w:sz w:val="26"/>
          <w:szCs w:val="26"/>
        </w:rPr>
        <w:t xml:space="preserve"> and August 14, 2020, respectively.  The record in this case closed on August 14, 2020, the date Reply Briefs were filed.</w:t>
      </w:r>
    </w:p>
    <w:p w14:paraId="2BB5FF50" w14:textId="77777777" w:rsidR="00BE0C19" w:rsidRPr="00BE0C19" w:rsidRDefault="00BE0C19" w:rsidP="00A47CDC">
      <w:pPr>
        <w:widowControl/>
        <w:spacing w:line="360" w:lineRule="auto"/>
        <w:ind w:firstLine="1440"/>
        <w:rPr>
          <w:sz w:val="26"/>
          <w:szCs w:val="26"/>
        </w:rPr>
      </w:pPr>
    </w:p>
    <w:p w14:paraId="001067A0" w14:textId="3844D701" w:rsidR="00BE0C19" w:rsidRPr="00BE0C19" w:rsidRDefault="00BE0C19" w:rsidP="00A47CDC">
      <w:pPr>
        <w:widowControl/>
        <w:spacing w:line="360" w:lineRule="auto"/>
        <w:ind w:firstLine="1440"/>
        <w:rPr>
          <w:sz w:val="26"/>
          <w:szCs w:val="26"/>
        </w:rPr>
      </w:pPr>
      <w:r w:rsidRPr="00BE0C19">
        <w:rPr>
          <w:sz w:val="26"/>
          <w:szCs w:val="26"/>
        </w:rPr>
        <w:t>On September 15, 2020, the Commission issued the ALJ’s Recommended Decision, in which ALJ Cheskis found that Verizon satisfied its burden of proof to demonstrate that it is entitled to a rebuttable presumption to have its rates to attach to the utility poles set by the “new telecom rate” methodology under the FCC’s regulations recently adopted by the Commission and FirstEnergy has not satisfied its burden to rebut that presumption.  Therefore, the ALJ recommended that: (1) the Complaint be granted to the extent that the rates paid by Verizon to FirstEnergy to attach to FirstEnergy’s poles will be set going forward based on the “new telecom rate” methodology; (2) the Complaint be denied with regard to Verizon’s request for refunds going back to July</w:t>
      </w:r>
      <w:r w:rsidR="00E95253">
        <w:rPr>
          <w:sz w:val="26"/>
          <w:szCs w:val="26"/>
        </w:rPr>
        <w:t> </w:t>
      </w:r>
      <w:r w:rsidRPr="00BE0C19">
        <w:rPr>
          <w:sz w:val="26"/>
          <w:szCs w:val="26"/>
        </w:rPr>
        <w:t xml:space="preserve">2012 for the amounts overpaid to FirstEnergy; but rather (3) Verizon be awarded a refund for rates it overpaid to FirstEnergy dating back to March 11, 2019, the effective date of the rates established under the new telecom rate methodology; and (4) the Parties be given a 60-day compliance period following the entry of a final Commission order in this case in which to resolve any differences that arise in establishing the specific rates and refund created through the use of the new telecom methodology based on the determinations made in the Recommended Decision and, to the extent that such differences cannot be resolved, can afford themselves of the Commission’s mediation unit for mediation review or request a further expedited evidentiary hearing on the remaining disputed issues.  R.D. at 1, 69-70.  </w:t>
      </w:r>
    </w:p>
    <w:p w14:paraId="10640426" w14:textId="77777777" w:rsidR="00BE0C19" w:rsidRPr="00BE0C19" w:rsidRDefault="00BE0C19" w:rsidP="00A47CDC">
      <w:pPr>
        <w:widowControl/>
        <w:spacing w:line="360" w:lineRule="auto"/>
        <w:ind w:firstLine="1440"/>
        <w:rPr>
          <w:sz w:val="26"/>
          <w:szCs w:val="26"/>
        </w:rPr>
      </w:pPr>
    </w:p>
    <w:p w14:paraId="67FFE0EC" w14:textId="17D14FC0" w:rsidR="00BE0C19" w:rsidRPr="00BE0C19" w:rsidRDefault="00BE0C19" w:rsidP="00A47CDC">
      <w:pPr>
        <w:widowControl/>
        <w:spacing w:line="360" w:lineRule="auto"/>
        <w:ind w:firstLine="1440"/>
        <w:rPr>
          <w:sz w:val="26"/>
          <w:szCs w:val="26"/>
        </w:rPr>
      </w:pPr>
      <w:r w:rsidRPr="00BE0C19">
        <w:rPr>
          <w:sz w:val="26"/>
          <w:szCs w:val="26"/>
        </w:rPr>
        <w:t xml:space="preserve">As previously noted, FirstEnergy and Verizon filed proprietary and non-proprietary versions of their Exceptions on September 22, 2020.  Proprietary and non-proprietary versions of Reply Exceptions were filed by FirstEnergy and Verizon on </w:t>
      </w:r>
      <w:r w:rsidRPr="00BE0C19">
        <w:rPr>
          <w:sz w:val="26"/>
          <w:szCs w:val="26"/>
        </w:rPr>
        <w:lastRenderedPageBreak/>
        <w:t>September 28, 2020.</w:t>
      </w:r>
      <w:r w:rsidR="004A5F2A">
        <w:rPr>
          <w:sz w:val="26"/>
          <w:szCs w:val="26"/>
        </w:rPr>
        <w:t xml:space="preserve">  The Commission’s disposition of the issues in the Exceptions and Reply Exceptions will be addressed in a separate Opinion and Order.  </w:t>
      </w:r>
      <w:r w:rsidRPr="00BE0C19">
        <w:rPr>
          <w:sz w:val="26"/>
          <w:szCs w:val="26"/>
        </w:rPr>
        <w:t xml:space="preserve"> </w:t>
      </w:r>
      <w:r w:rsidR="00DD2774">
        <w:rPr>
          <w:sz w:val="26"/>
          <w:szCs w:val="26"/>
        </w:rPr>
        <w:t xml:space="preserve"> </w:t>
      </w:r>
      <w:r w:rsidRPr="00BE0C19">
        <w:rPr>
          <w:sz w:val="26"/>
          <w:szCs w:val="26"/>
        </w:rPr>
        <w:t xml:space="preserve"> </w:t>
      </w:r>
    </w:p>
    <w:p w14:paraId="5E64B14A" w14:textId="77777777" w:rsidR="00BE0C19" w:rsidRPr="00BE0C19" w:rsidRDefault="00BE0C19" w:rsidP="00A47CDC">
      <w:pPr>
        <w:widowControl/>
        <w:spacing w:line="360" w:lineRule="auto"/>
        <w:ind w:firstLine="1440"/>
        <w:rPr>
          <w:sz w:val="26"/>
          <w:szCs w:val="26"/>
        </w:rPr>
      </w:pPr>
    </w:p>
    <w:p w14:paraId="57F25FAA" w14:textId="42FC156C" w:rsidR="00BE0C19" w:rsidRPr="00BE0C19" w:rsidRDefault="00BE0C19" w:rsidP="00A47CDC">
      <w:pPr>
        <w:widowControl/>
        <w:spacing w:line="360" w:lineRule="auto"/>
        <w:ind w:firstLine="1440"/>
        <w:rPr>
          <w:sz w:val="26"/>
          <w:szCs w:val="26"/>
        </w:rPr>
      </w:pPr>
      <w:r w:rsidRPr="00BE0C19">
        <w:rPr>
          <w:sz w:val="26"/>
          <w:szCs w:val="26"/>
        </w:rPr>
        <w:t xml:space="preserve">On October 15, 2020 FirstEnergy filed </w:t>
      </w:r>
      <w:r w:rsidR="00FA4EF6">
        <w:rPr>
          <w:sz w:val="26"/>
          <w:szCs w:val="26"/>
        </w:rPr>
        <w:t xml:space="preserve">its </w:t>
      </w:r>
      <w:r w:rsidRPr="00BE0C19">
        <w:rPr>
          <w:sz w:val="26"/>
          <w:szCs w:val="26"/>
        </w:rPr>
        <w:t xml:space="preserve">Motion </w:t>
      </w:r>
      <w:r w:rsidR="00FA4EF6">
        <w:rPr>
          <w:sz w:val="26"/>
          <w:szCs w:val="26"/>
        </w:rPr>
        <w:t xml:space="preserve">which </w:t>
      </w:r>
      <w:r w:rsidRPr="00BE0C19">
        <w:rPr>
          <w:sz w:val="26"/>
          <w:szCs w:val="26"/>
        </w:rPr>
        <w:t>request</w:t>
      </w:r>
      <w:r w:rsidR="00FA4EF6">
        <w:rPr>
          <w:sz w:val="26"/>
          <w:szCs w:val="26"/>
        </w:rPr>
        <w:t>s</w:t>
      </w:r>
      <w:r w:rsidRPr="00BE0C19">
        <w:rPr>
          <w:sz w:val="26"/>
          <w:szCs w:val="26"/>
        </w:rPr>
        <w:t xml:space="preserve"> the unsealing of certain proprietary information contained in the testimony, Briefs, Exceptions, and Reply Exceptions submitted by FirstEnergy and by Verizon in this proceeding.  </w:t>
      </w:r>
      <w:r w:rsidR="00AA1624">
        <w:rPr>
          <w:sz w:val="26"/>
        </w:rPr>
        <w:t>On October 27, 2020, Verizon filed its Answer in opposition to the Motion.</w:t>
      </w:r>
    </w:p>
    <w:p w14:paraId="407400D6" w14:textId="77777777" w:rsidR="00BE0C19" w:rsidRDefault="00BE0C19">
      <w:pPr>
        <w:widowControl/>
        <w:tabs>
          <w:tab w:val="left" w:pos="-720"/>
        </w:tabs>
        <w:suppressAutoHyphens/>
        <w:spacing w:line="360" w:lineRule="auto"/>
        <w:ind w:firstLine="1440"/>
        <w:rPr>
          <w:sz w:val="26"/>
          <w:szCs w:val="26"/>
        </w:rPr>
      </w:pPr>
    </w:p>
    <w:p w14:paraId="189A2306" w14:textId="0292C232" w:rsidR="00021A4E" w:rsidRPr="00021A4E" w:rsidRDefault="00021A4E">
      <w:pPr>
        <w:widowControl/>
        <w:spacing w:line="360" w:lineRule="auto"/>
        <w:contextualSpacing/>
        <w:jc w:val="center"/>
        <w:rPr>
          <w:b/>
          <w:sz w:val="26"/>
          <w:szCs w:val="26"/>
        </w:rPr>
      </w:pPr>
      <w:r w:rsidRPr="00021A4E">
        <w:rPr>
          <w:b/>
          <w:sz w:val="26"/>
          <w:szCs w:val="26"/>
        </w:rPr>
        <w:t xml:space="preserve">Discussion </w:t>
      </w:r>
    </w:p>
    <w:p w14:paraId="047F3F35" w14:textId="5BCE994A" w:rsidR="00063855" w:rsidRDefault="00063855">
      <w:pPr>
        <w:widowControl/>
        <w:spacing w:line="360" w:lineRule="auto"/>
        <w:contextualSpacing/>
        <w:rPr>
          <w:bCs/>
          <w:sz w:val="26"/>
          <w:szCs w:val="26"/>
        </w:rPr>
      </w:pPr>
    </w:p>
    <w:p w14:paraId="35502DA7" w14:textId="2A40B4E5" w:rsidR="00AA1624" w:rsidRDefault="00AA1624" w:rsidP="00BD45EC">
      <w:pPr>
        <w:widowControl/>
        <w:spacing w:line="360" w:lineRule="auto"/>
        <w:ind w:firstLine="1440"/>
        <w:rPr>
          <w:sz w:val="26"/>
          <w:szCs w:val="26"/>
        </w:rPr>
      </w:pPr>
      <w:r w:rsidRPr="00AA1624">
        <w:rPr>
          <w:sz w:val="26"/>
          <w:szCs w:val="26"/>
        </w:rPr>
        <w:t xml:space="preserve">We note that any issues not specifically addressed herein have been duly considered and will be denied without further discussion.  It is well settled that the Commission is not required to consider expressly or at length each contention or argument raised by the parties. </w:t>
      </w:r>
      <w:r w:rsidR="00852F75">
        <w:rPr>
          <w:sz w:val="26"/>
          <w:szCs w:val="26"/>
        </w:rPr>
        <w:t xml:space="preserve"> </w:t>
      </w:r>
      <w:hyperlink r:id="rId8" w:history="1">
        <w:r w:rsidRPr="00AA1624">
          <w:rPr>
            <w:i/>
            <w:iCs/>
            <w:sz w:val="26"/>
            <w:szCs w:val="26"/>
          </w:rPr>
          <w:t>Consolidated Rail Corporation v. Pa. PUC</w:t>
        </w:r>
        <w:r w:rsidRPr="00AA1624">
          <w:rPr>
            <w:sz w:val="26"/>
            <w:szCs w:val="26"/>
          </w:rPr>
          <w:t>, 625</w:t>
        </w:r>
        <w:r w:rsidR="005163CB">
          <w:rPr>
            <w:sz w:val="26"/>
            <w:szCs w:val="26"/>
          </w:rPr>
          <w:t> </w:t>
        </w:r>
        <w:r w:rsidRPr="00AA1624">
          <w:rPr>
            <w:sz w:val="26"/>
            <w:szCs w:val="26"/>
          </w:rPr>
          <w:t>A.2d</w:t>
        </w:r>
        <w:r w:rsidR="005163CB">
          <w:rPr>
            <w:sz w:val="26"/>
            <w:szCs w:val="26"/>
          </w:rPr>
          <w:t> </w:t>
        </w:r>
        <w:r w:rsidRPr="00AA1624">
          <w:rPr>
            <w:sz w:val="26"/>
            <w:szCs w:val="26"/>
          </w:rPr>
          <w:t>741 (Pa. Cmwlth. 1993)</w:t>
        </w:r>
      </w:hyperlink>
      <w:r w:rsidRPr="00AA1624">
        <w:rPr>
          <w:sz w:val="26"/>
          <w:szCs w:val="26"/>
        </w:rPr>
        <w:t xml:space="preserve">; </w:t>
      </w:r>
      <w:r w:rsidRPr="00AA1624">
        <w:rPr>
          <w:i/>
          <w:iCs/>
          <w:sz w:val="26"/>
          <w:szCs w:val="26"/>
        </w:rPr>
        <w:t xml:space="preserve">see also, generally, </w:t>
      </w:r>
      <w:hyperlink r:id="rId9" w:history="1">
        <w:r w:rsidRPr="00AA1624">
          <w:rPr>
            <w:i/>
            <w:iCs/>
            <w:sz w:val="26"/>
            <w:szCs w:val="26"/>
          </w:rPr>
          <w:t>University of Pennsylvania v. Pa.</w:t>
        </w:r>
        <w:r w:rsidR="005163CB">
          <w:rPr>
            <w:i/>
            <w:iCs/>
            <w:sz w:val="26"/>
            <w:szCs w:val="26"/>
          </w:rPr>
          <w:t> </w:t>
        </w:r>
        <w:r w:rsidRPr="00AA1624">
          <w:rPr>
            <w:i/>
            <w:iCs/>
            <w:sz w:val="26"/>
            <w:szCs w:val="26"/>
          </w:rPr>
          <w:t>PUC</w:t>
        </w:r>
        <w:r w:rsidRPr="00AA1624">
          <w:rPr>
            <w:sz w:val="26"/>
            <w:szCs w:val="26"/>
          </w:rPr>
          <w:t>, 485</w:t>
        </w:r>
        <w:r w:rsidR="005163CB">
          <w:rPr>
            <w:sz w:val="26"/>
            <w:szCs w:val="26"/>
          </w:rPr>
          <w:t> </w:t>
        </w:r>
        <w:r w:rsidRPr="00AA1624">
          <w:rPr>
            <w:sz w:val="26"/>
            <w:szCs w:val="26"/>
          </w:rPr>
          <w:t>A.2d 1217 (Pa. Cmwlth. 1984)</w:t>
        </w:r>
      </w:hyperlink>
      <w:r w:rsidRPr="00AA1624">
        <w:rPr>
          <w:sz w:val="26"/>
          <w:szCs w:val="26"/>
        </w:rPr>
        <w:t>.</w:t>
      </w:r>
    </w:p>
    <w:p w14:paraId="4ABC9928" w14:textId="77777777" w:rsidR="006E0AE4" w:rsidRDefault="006E0AE4">
      <w:pPr>
        <w:widowControl/>
        <w:spacing w:line="360" w:lineRule="auto"/>
        <w:ind w:firstLine="1440"/>
        <w:rPr>
          <w:sz w:val="26"/>
          <w:szCs w:val="26"/>
        </w:rPr>
      </w:pPr>
    </w:p>
    <w:p w14:paraId="76059B65" w14:textId="40B50F28" w:rsidR="0004412C" w:rsidRPr="0004412C" w:rsidRDefault="0004412C" w:rsidP="00A47CDC">
      <w:pPr>
        <w:pStyle w:val="FootnoteText"/>
        <w:keepNext/>
        <w:keepLines/>
        <w:widowControl/>
        <w:spacing w:line="360" w:lineRule="auto"/>
        <w:ind w:firstLine="1440"/>
        <w:rPr>
          <w:sz w:val="26"/>
          <w:szCs w:val="26"/>
        </w:rPr>
      </w:pPr>
      <w:r w:rsidRPr="0004412C">
        <w:rPr>
          <w:sz w:val="26"/>
          <w:szCs w:val="26"/>
        </w:rPr>
        <w:t>Section 5.365 of our Regulations pertains to the standards for a protective order to limit the disclosure of a trade secret or other confidential information on the public record.  In considering whether to issue a protective order to limit the availability of proprietary information, the Commission should consider, along with other relevant factors, the following:</w:t>
      </w:r>
    </w:p>
    <w:p w14:paraId="50275C9D" w14:textId="77777777" w:rsidR="0004412C" w:rsidRPr="0004412C" w:rsidRDefault="0004412C" w:rsidP="00A47CDC">
      <w:pPr>
        <w:pStyle w:val="FootnoteText"/>
        <w:keepNext/>
        <w:keepLines/>
        <w:widowControl/>
        <w:ind w:firstLine="720"/>
        <w:rPr>
          <w:sz w:val="26"/>
          <w:szCs w:val="26"/>
        </w:rPr>
      </w:pPr>
    </w:p>
    <w:p w14:paraId="1118D4AB" w14:textId="1366DA72" w:rsidR="0004412C" w:rsidRDefault="0004412C">
      <w:pPr>
        <w:keepNext/>
        <w:keepLines/>
        <w:widowControl/>
        <w:ind w:left="1440" w:right="1440"/>
        <w:rPr>
          <w:sz w:val="26"/>
          <w:szCs w:val="26"/>
        </w:rPr>
      </w:pPr>
      <w:r w:rsidRPr="0004412C">
        <w:rPr>
          <w:sz w:val="26"/>
          <w:szCs w:val="26"/>
        </w:rPr>
        <w:t xml:space="preserve">(1) </w:t>
      </w:r>
      <w:r w:rsidR="00377EC5">
        <w:rPr>
          <w:sz w:val="26"/>
          <w:szCs w:val="26"/>
        </w:rPr>
        <w:tab/>
      </w:r>
      <w:r w:rsidRPr="0004412C">
        <w:rPr>
          <w:sz w:val="26"/>
          <w:szCs w:val="26"/>
        </w:rPr>
        <w:t>The extent to which the disclosure would cause unfair economic or competitive damage.</w:t>
      </w:r>
    </w:p>
    <w:p w14:paraId="2993C47E" w14:textId="77777777" w:rsidR="0004412C" w:rsidRPr="0004412C" w:rsidRDefault="0004412C">
      <w:pPr>
        <w:keepNext/>
        <w:keepLines/>
        <w:widowControl/>
        <w:ind w:left="1440" w:right="1440"/>
        <w:rPr>
          <w:sz w:val="26"/>
          <w:szCs w:val="26"/>
        </w:rPr>
      </w:pPr>
    </w:p>
    <w:p w14:paraId="00A3719A" w14:textId="2DDB1F3A" w:rsidR="0004412C" w:rsidRDefault="0004412C" w:rsidP="00A47CDC">
      <w:pPr>
        <w:keepLines/>
        <w:widowControl/>
        <w:ind w:left="1440" w:right="1440"/>
        <w:rPr>
          <w:sz w:val="26"/>
          <w:szCs w:val="26"/>
        </w:rPr>
      </w:pPr>
      <w:r w:rsidRPr="0004412C">
        <w:rPr>
          <w:sz w:val="26"/>
          <w:szCs w:val="26"/>
        </w:rPr>
        <w:t xml:space="preserve">(2) </w:t>
      </w:r>
      <w:r w:rsidR="00377EC5">
        <w:rPr>
          <w:sz w:val="26"/>
          <w:szCs w:val="26"/>
        </w:rPr>
        <w:tab/>
      </w:r>
      <w:r w:rsidRPr="0004412C">
        <w:rPr>
          <w:sz w:val="26"/>
          <w:szCs w:val="26"/>
        </w:rPr>
        <w:t>The extent to which the information is known by others and used in similar activities.</w:t>
      </w:r>
    </w:p>
    <w:p w14:paraId="211B3A42" w14:textId="77777777" w:rsidR="0004412C" w:rsidRPr="0004412C" w:rsidRDefault="0004412C" w:rsidP="00A47CDC">
      <w:pPr>
        <w:keepLines/>
        <w:widowControl/>
        <w:ind w:left="1440" w:right="1440"/>
        <w:rPr>
          <w:sz w:val="26"/>
          <w:szCs w:val="26"/>
        </w:rPr>
      </w:pPr>
    </w:p>
    <w:p w14:paraId="1949CD61" w14:textId="4A49B0C3" w:rsidR="0004412C" w:rsidRDefault="0004412C" w:rsidP="00A47CDC">
      <w:pPr>
        <w:keepLines/>
        <w:widowControl/>
        <w:ind w:left="1440" w:right="1440"/>
        <w:rPr>
          <w:sz w:val="26"/>
          <w:szCs w:val="26"/>
        </w:rPr>
      </w:pPr>
      <w:r w:rsidRPr="0004412C">
        <w:rPr>
          <w:sz w:val="26"/>
          <w:szCs w:val="26"/>
        </w:rPr>
        <w:t xml:space="preserve">(3) </w:t>
      </w:r>
      <w:r w:rsidR="00377EC5">
        <w:rPr>
          <w:sz w:val="26"/>
          <w:szCs w:val="26"/>
        </w:rPr>
        <w:tab/>
      </w:r>
      <w:r w:rsidRPr="0004412C">
        <w:rPr>
          <w:sz w:val="26"/>
          <w:szCs w:val="26"/>
        </w:rPr>
        <w:t>The worth or value of the information to the party and to the party’s competitors.</w:t>
      </w:r>
    </w:p>
    <w:p w14:paraId="2DB428EF" w14:textId="77777777" w:rsidR="0004412C" w:rsidRPr="0004412C" w:rsidRDefault="0004412C" w:rsidP="00A47CDC">
      <w:pPr>
        <w:keepLines/>
        <w:widowControl/>
        <w:ind w:left="1440" w:right="1440"/>
        <w:rPr>
          <w:sz w:val="26"/>
          <w:szCs w:val="26"/>
        </w:rPr>
      </w:pPr>
    </w:p>
    <w:p w14:paraId="3F58D110" w14:textId="080F07A1" w:rsidR="0004412C" w:rsidRDefault="0004412C" w:rsidP="00A47CDC">
      <w:pPr>
        <w:keepLines/>
        <w:widowControl/>
        <w:ind w:left="1440" w:right="1440"/>
        <w:rPr>
          <w:sz w:val="26"/>
          <w:szCs w:val="26"/>
        </w:rPr>
      </w:pPr>
      <w:r w:rsidRPr="0004412C">
        <w:rPr>
          <w:sz w:val="26"/>
          <w:szCs w:val="26"/>
        </w:rPr>
        <w:lastRenderedPageBreak/>
        <w:t xml:space="preserve">(4) </w:t>
      </w:r>
      <w:r w:rsidR="00377EC5">
        <w:rPr>
          <w:sz w:val="26"/>
          <w:szCs w:val="26"/>
        </w:rPr>
        <w:tab/>
      </w:r>
      <w:r w:rsidRPr="0004412C">
        <w:rPr>
          <w:sz w:val="26"/>
          <w:szCs w:val="26"/>
        </w:rPr>
        <w:t>The degree of difficulty and cost of developing the information.</w:t>
      </w:r>
    </w:p>
    <w:p w14:paraId="711864D8" w14:textId="77777777" w:rsidR="0004412C" w:rsidRPr="0004412C" w:rsidRDefault="0004412C">
      <w:pPr>
        <w:keepNext/>
        <w:keepLines/>
        <w:widowControl/>
        <w:ind w:left="1440" w:right="1440"/>
        <w:rPr>
          <w:sz w:val="26"/>
          <w:szCs w:val="26"/>
        </w:rPr>
      </w:pPr>
    </w:p>
    <w:p w14:paraId="4D593B73" w14:textId="43A45659" w:rsidR="0004412C" w:rsidRPr="0004412C" w:rsidRDefault="0004412C">
      <w:pPr>
        <w:keepNext/>
        <w:keepLines/>
        <w:widowControl/>
        <w:ind w:left="1440" w:right="1440"/>
        <w:rPr>
          <w:sz w:val="26"/>
          <w:szCs w:val="26"/>
        </w:rPr>
      </w:pPr>
      <w:r w:rsidRPr="0004412C">
        <w:rPr>
          <w:sz w:val="26"/>
          <w:szCs w:val="26"/>
        </w:rPr>
        <w:t xml:space="preserve">(5) </w:t>
      </w:r>
      <w:r w:rsidR="00377EC5">
        <w:rPr>
          <w:sz w:val="26"/>
          <w:szCs w:val="26"/>
        </w:rPr>
        <w:tab/>
      </w:r>
      <w:r w:rsidRPr="0004412C">
        <w:rPr>
          <w:sz w:val="26"/>
          <w:szCs w:val="26"/>
        </w:rPr>
        <w:t>Other statutes or regulations dealing specifically with disclosure of the information.</w:t>
      </w:r>
    </w:p>
    <w:p w14:paraId="734A8AD5" w14:textId="77777777" w:rsidR="0004412C" w:rsidRPr="0004412C" w:rsidRDefault="0004412C" w:rsidP="005163CB">
      <w:pPr>
        <w:keepNext/>
        <w:keepLines/>
        <w:widowControl/>
        <w:spacing w:line="360" w:lineRule="auto"/>
        <w:ind w:right="1440"/>
        <w:rPr>
          <w:sz w:val="26"/>
          <w:szCs w:val="26"/>
        </w:rPr>
      </w:pPr>
    </w:p>
    <w:p w14:paraId="0FD1A3B8" w14:textId="0DBD0857" w:rsidR="00AA1624" w:rsidRPr="00AA1624" w:rsidRDefault="0004412C" w:rsidP="005163CB">
      <w:pPr>
        <w:widowControl/>
        <w:spacing w:line="360" w:lineRule="auto"/>
        <w:rPr>
          <w:sz w:val="26"/>
          <w:szCs w:val="26"/>
        </w:rPr>
      </w:pPr>
      <w:r w:rsidRPr="0004412C">
        <w:rPr>
          <w:sz w:val="26"/>
          <w:szCs w:val="26"/>
        </w:rPr>
        <w:t>52 Pa. Code § 5.365(a).</w:t>
      </w:r>
    </w:p>
    <w:p w14:paraId="1FDB898C" w14:textId="77777777" w:rsidR="00AA1624" w:rsidRPr="0004412C" w:rsidRDefault="00AA1624" w:rsidP="005163CB">
      <w:pPr>
        <w:widowControl/>
        <w:spacing w:line="360" w:lineRule="auto"/>
        <w:contextualSpacing/>
        <w:rPr>
          <w:bCs/>
          <w:sz w:val="26"/>
          <w:szCs w:val="26"/>
        </w:rPr>
      </w:pPr>
    </w:p>
    <w:p w14:paraId="7B01B2E6" w14:textId="219559E7" w:rsidR="00063855" w:rsidRPr="00063855" w:rsidRDefault="00063855" w:rsidP="005163CB">
      <w:pPr>
        <w:widowControl/>
        <w:spacing w:line="360" w:lineRule="auto"/>
        <w:contextualSpacing/>
        <w:rPr>
          <w:b/>
          <w:sz w:val="26"/>
          <w:szCs w:val="26"/>
        </w:rPr>
      </w:pPr>
      <w:r w:rsidRPr="00063855">
        <w:rPr>
          <w:b/>
          <w:sz w:val="26"/>
          <w:szCs w:val="26"/>
        </w:rPr>
        <w:t>Positions of the Parties</w:t>
      </w:r>
    </w:p>
    <w:p w14:paraId="79A6A81D" w14:textId="77777777" w:rsidR="00063855" w:rsidRDefault="00063855" w:rsidP="005163CB">
      <w:pPr>
        <w:widowControl/>
        <w:spacing w:line="360" w:lineRule="auto"/>
        <w:contextualSpacing/>
        <w:rPr>
          <w:bCs/>
          <w:sz w:val="26"/>
          <w:szCs w:val="26"/>
        </w:rPr>
      </w:pPr>
    </w:p>
    <w:p w14:paraId="3334CF82" w14:textId="5D73D5A2" w:rsidR="00021A4E" w:rsidRPr="00021A4E" w:rsidRDefault="00021A4E" w:rsidP="005163CB">
      <w:pPr>
        <w:widowControl/>
        <w:spacing w:line="360" w:lineRule="auto"/>
        <w:ind w:firstLine="1440"/>
        <w:contextualSpacing/>
        <w:rPr>
          <w:bCs/>
          <w:sz w:val="26"/>
          <w:szCs w:val="26"/>
        </w:rPr>
      </w:pPr>
      <w:r w:rsidRPr="00021A4E">
        <w:rPr>
          <w:bCs/>
          <w:sz w:val="26"/>
          <w:szCs w:val="26"/>
        </w:rPr>
        <w:t xml:space="preserve">On October 15, 2020, FirstEnergy filed its Motion requesting the unsealing of certain proprietary information contained in the testimony, Briefs, Exceptions, and Reply Exceptions submitted by FirstEnergy and by Verizon in this proceeding.  Specifically, FirstEnergy requests the unsealing of the aggregate amount of the annual revenue sought by Verizon and the amount of the refunds sought by Verizon.  FirstEnergy submits that, although this information is currently designated as Proprietary, it should be re-designated as Non-Proprietary because these categories of information relate to the relief paid by the Companies’ Pennsylvania electric service customers.  FirstEnergy argues that the aggregate data cannot be used to reverse calculate the specific rates Verizon pays under the JUAs.  Moreover, FirstEnergy submits that the public release of the information is necessary for the public to be adequately informed of the potential impact of Verizon’s requested relief and </w:t>
      </w:r>
      <w:r w:rsidR="00E360C7">
        <w:rPr>
          <w:bCs/>
          <w:sz w:val="26"/>
          <w:szCs w:val="26"/>
        </w:rPr>
        <w:t>to</w:t>
      </w:r>
      <w:r w:rsidRPr="00021A4E">
        <w:rPr>
          <w:bCs/>
          <w:sz w:val="26"/>
          <w:szCs w:val="26"/>
        </w:rPr>
        <w:t xml:space="preserve"> ensure the interests of the Companies’ customers are adequately considered by the Commission.  Motion at 1-2.  </w:t>
      </w:r>
    </w:p>
    <w:p w14:paraId="0C097EC7" w14:textId="77777777" w:rsidR="00021A4E" w:rsidRPr="00021A4E" w:rsidRDefault="00021A4E">
      <w:pPr>
        <w:widowControl/>
        <w:spacing w:line="360" w:lineRule="auto"/>
        <w:contextualSpacing/>
        <w:rPr>
          <w:bCs/>
          <w:sz w:val="26"/>
          <w:szCs w:val="26"/>
        </w:rPr>
      </w:pPr>
    </w:p>
    <w:p w14:paraId="635155E2" w14:textId="5EAA0DC5" w:rsidR="00021A4E" w:rsidRPr="00021A4E" w:rsidRDefault="00021A4E">
      <w:pPr>
        <w:widowControl/>
        <w:spacing w:line="360" w:lineRule="auto"/>
        <w:ind w:firstLine="1440"/>
        <w:contextualSpacing/>
        <w:rPr>
          <w:bCs/>
          <w:sz w:val="26"/>
          <w:szCs w:val="26"/>
        </w:rPr>
      </w:pPr>
      <w:r w:rsidRPr="00021A4E">
        <w:rPr>
          <w:bCs/>
          <w:sz w:val="26"/>
          <w:szCs w:val="26"/>
        </w:rPr>
        <w:t>FirstEnergy notes that on January 7, 2020, it entered into a Protective Agreement with Verizon as a part of the proceeding before the FCC.  Thereafter, on June</w:t>
      </w:r>
      <w:r w:rsidR="005163CB">
        <w:rPr>
          <w:bCs/>
          <w:sz w:val="26"/>
          <w:szCs w:val="26"/>
        </w:rPr>
        <w:t> </w:t>
      </w:r>
      <w:r w:rsidRPr="00021A4E">
        <w:rPr>
          <w:bCs/>
          <w:sz w:val="26"/>
          <w:szCs w:val="26"/>
        </w:rPr>
        <w:t xml:space="preserve">8, 2020, FirstEnergy and Verizon entered into a Stipulated Protective Agreement with respect to the proceeding before the Commission.  Pursuant to these agreements, the Parties submitted Public and Proprietary versions of their respective Main Briefs and Reply Briefs on July 28, 2020, and August 14, 2020.  After the issuance of the </w:t>
      </w:r>
      <w:r w:rsidRPr="00021A4E">
        <w:rPr>
          <w:bCs/>
          <w:sz w:val="26"/>
          <w:szCs w:val="26"/>
        </w:rPr>
        <w:lastRenderedPageBreak/>
        <w:t xml:space="preserve">Recommended Decision, which was also </w:t>
      </w:r>
      <w:r w:rsidR="00F13066">
        <w:rPr>
          <w:bCs/>
          <w:sz w:val="26"/>
          <w:szCs w:val="26"/>
        </w:rPr>
        <w:t>issued</w:t>
      </w:r>
      <w:r w:rsidRPr="00021A4E">
        <w:rPr>
          <w:bCs/>
          <w:sz w:val="26"/>
          <w:szCs w:val="26"/>
        </w:rPr>
        <w:t xml:space="preserve"> in both Public and Proprietary formats, the Parties filed Public and Proprietary versions of their Exceptions and Replies to Exceptions on September 22, 2020, and September 28, 2020.  </w:t>
      </w:r>
    </w:p>
    <w:p w14:paraId="4258A4C8" w14:textId="77777777" w:rsidR="00021A4E" w:rsidRPr="00021A4E" w:rsidRDefault="00021A4E">
      <w:pPr>
        <w:widowControl/>
        <w:spacing w:line="360" w:lineRule="auto"/>
        <w:contextualSpacing/>
        <w:rPr>
          <w:bCs/>
          <w:sz w:val="26"/>
          <w:szCs w:val="26"/>
        </w:rPr>
      </w:pPr>
    </w:p>
    <w:p w14:paraId="5DB652CA" w14:textId="2E901061" w:rsidR="00021A4E" w:rsidRPr="00021A4E" w:rsidRDefault="00021A4E">
      <w:pPr>
        <w:widowControl/>
        <w:spacing w:line="360" w:lineRule="auto"/>
        <w:ind w:firstLine="1440"/>
        <w:contextualSpacing/>
        <w:rPr>
          <w:bCs/>
          <w:sz w:val="26"/>
          <w:szCs w:val="26"/>
        </w:rPr>
      </w:pPr>
      <w:r w:rsidRPr="00021A4E">
        <w:rPr>
          <w:bCs/>
          <w:sz w:val="26"/>
          <w:szCs w:val="26"/>
        </w:rPr>
        <w:t xml:space="preserve">In its Motion, FirstEnergy argues that, although the </w:t>
      </w:r>
      <w:r w:rsidR="000B792F">
        <w:rPr>
          <w:bCs/>
          <w:sz w:val="26"/>
          <w:szCs w:val="26"/>
        </w:rPr>
        <w:t>Public Utility Code (</w:t>
      </w:r>
      <w:r w:rsidRPr="00021A4E">
        <w:rPr>
          <w:bCs/>
          <w:sz w:val="26"/>
          <w:szCs w:val="26"/>
        </w:rPr>
        <w:t>Code</w:t>
      </w:r>
      <w:r w:rsidR="000B792F">
        <w:rPr>
          <w:bCs/>
          <w:sz w:val="26"/>
          <w:szCs w:val="26"/>
        </w:rPr>
        <w:t>)</w:t>
      </w:r>
      <w:r w:rsidRPr="00021A4E">
        <w:rPr>
          <w:bCs/>
          <w:sz w:val="26"/>
          <w:szCs w:val="26"/>
        </w:rPr>
        <w:t xml:space="preserve"> and the Commission’s Regulations do not specifically address requests by a party to unseal or re-designate certain proprietary information as public, the Commission has analyzed similar requests and determined that it was necessary and appropriate to unseal certain proprietary information.  Motion 7-8 (citing 66 Pa. C.S. § 335(d), 52 Pa. Code §</w:t>
      </w:r>
      <w:r w:rsidR="00377EC5">
        <w:rPr>
          <w:bCs/>
          <w:sz w:val="26"/>
          <w:szCs w:val="26"/>
        </w:rPr>
        <w:t> </w:t>
      </w:r>
      <w:r w:rsidRPr="00021A4E">
        <w:rPr>
          <w:bCs/>
          <w:sz w:val="26"/>
          <w:szCs w:val="26"/>
        </w:rPr>
        <w:t xml:space="preserve">5.365(a) and </w:t>
      </w:r>
      <w:r w:rsidRPr="00021A4E">
        <w:rPr>
          <w:bCs/>
          <w:i/>
          <w:iCs/>
          <w:sz w:val="26"/>
          <w:szCs w:val="26"/>
        </w:rPr>
        <w:t>Lyft, Inc. v. Pa. PUC</w:t>
      </w:r>
      <w:r w:rsidRPr="00021A4E">
        <w:rPr>
          <w:bCs/>
          <w:sz w:val="26"/>
          <w:szCs w:val="26"/>
        </w:rPr>
        <w:t>, 145 A.3d 1235 (Pa. Cmwlth. 2016) (</w:t>
      </w:r>
      <w:r w:rsidRPr="00021A4E">
        <w:rPr>
          <w:bCs/>
          <w:i/>
          <w:iCs/>
          <w:sz w:val="26"/>
          <w:szCs w:val="26"/>
        </w:rPr>
        <w:t>Lyft</w:t>
      </w:r>
      <w:r w:rsidRPr="00A47CDC">
        <w:rPr>
          <w:bCs/>
          <w:sz w:val="26"/>
          <w:szCs w:val="26"/>
        </w:rPr>
        <w:t>)</w:t>
      </w:r>
      <w:r w:rsidRPr="00021A4E">
        <w:rPr>
          <w:bCs/>
          <w:sz w:val="26"/>
          <w:szCs w:val="26"/>
        </w:rPr>
        <w:t>).</w:t>
      </w:r>
      <w:r w:rsidRPr="00021A4E">
        <w:rPr>
          <w:bCs/>
          <w:sz w:val="26"/>
          <w:szCs w:val="26"/>
          <w:vertAlign w:val="superscript"/>
        </w:rPr>
        <w:footnoteReference w:id="5"/>
      </w:r>
      <w:r w:rsidRPr="00021A4E">
        <w:rPr>
          <w:bCs/>
          <w:sz w:val="26"/>
          <w:szCs w:val="26"/>
        </w:rPr>
        <w:t xml:space="preserve">  FirstEnergy contends that this proceeding is similar to </w:t>
      </w:r>
      <w:r w:rsidRPr="00021A4E">
        <w:rPr>
          <w:bCs/>
          <w:i/>
          <w:iCs/>
          <w:sz w:val="26"/>
          <w:szCs w:val="26"/>
        </w:rPr>
        <w:t>Lyft</w:t>
      </w:r>
      <w:r w:rsidRPr="00021A4E">
        <w:rPr>
          <w:bCs/>
          <w:sz w:val="26"/>
          <w:szCs w:val="26"/>
        </w:rPr>
        <w:t xml:space="preserve"> in which the Commission rejected the request to treat certain aggregated data as proprietary under 66</w:t>
      </w:r>
      <w:r w:rsidR="00DD05FD">
        <w:rPr>
          <w:bCs/>
          <w:sz w:val="26"/>
          <w:szCs w:val="26"/>
        </w:rPr>
        <w:t> </w:t>
      </w:r>
      <w:r w:rsidRPr="00021A4E">
        <w:rPr>
          <w:bCs/>
          <w:sz w:val="26"/>
          <w:szCs w:val="26"/>
        </w:rPr>
        <w:t>Pa.</w:t>
      </w:r>
      <w:r w:rsidR="00DD05FD">
        <w:rPr>
          <w:bCs/>
          <w:sz w:val="26"/>
          <w:szCs w:val="26"/>
        </w:rPr>
        <w:t> </w:t>
      </w:r>
      <w:r w:rsidRPr="00021A4E">
        <w:rPr>
          <w:bCs/>
          <w:sz w:val="26"/>
          <w:szCs w:val="26"/>
        </w:rPr>
        <w:t>C.S.</w:t>
      </w:r>
      <w:r w:rsidR="00DD05FD">
        <w:rPr>
          <w:bCs/>
          <w:sz w:val="26"/>
          <w:szCs w:val="26"/>
        </w:rPr>
        <w:t> </w:t>
      </w:r>
      <w:r w:rsidRPr="00021A4E">
        <w:rPr>
          <w:bCs/>
          <w:sz w:val="26"/>
          <w:szCs w:val="26"/>
        </w:rPr>
        <w:t>§</w:t>
      </w:r>
      <w:r w:rsidR="00377EC5">
        <w:rPr>
          <w:bCs/>
          <w:sz w:val="26"/>
          <w:szCs w:val="26"/>
        </w:rPr>
        <w:t> </w:t>
      </w:r>
      <w:r w:rsidRPr="00021A4E">
        <w:rPr>
          <w:bCs/>
          <w:sz w:val="26"/>
          <w:szCs w:val="26"/>
        </w:rPr>
        <w:t xml:space="preserve">335(d) and 52 Pa. Code § 5.365(a).  FirstEnergy asserts that consistent with </w:t>
      </w:r>
      <w:r w:rsidRPr="00021A4E">
        <w:rPr>
          <w:bCs/>
          <w:i/>
          <w:iCs/>
          <w:sz w:val="26"/>
          <w:szCs w:val="26"/>
        </w:rPr>
        <w:t>Lyft</w:t>
      </w:r>
      <w:r w:rsidRPr="00021A4E">
        <w:rPr>
          <w:bCs/>
          <w:sz w:val="26"/>
          <w:szCs w:val="26"/>
        </w:rPr>
        <w:t xml:space="preserve"> the total annual revenue decrease and the total amount of refunds are aggregated data which is generally not the type of data protected pursuant to the Commission’s protective order Regulation.  Additionally, FirstEnergy proffers that aggregated data is not exempt from disclosure under the trade secret exception or other designated exceptions under the Right to Know Law.  Motion at 8-9.</w:t>
      </w:r>
      <w:r w:rsidRPr="00021A4E">
        <w:rPr>
          <w:bCs/>
          <w:sz w:val="26"/>
          <w:szCs w:val="26"/>
          <w:vertAlign w:val="superscript"/>
        </w:rPr>
        <w:footnoteReference w:id="6"/>
      </w:r>
    </w:p>
    <w:p w14:paraId="3692E9D2" w14:textId="77777777" w:rsidR="00021A4E" w:rsidRPr="00021A4E" w:rsidRDefault="00021A4E">
      <w:pPr>
        <w:widowControl/>
        <w:spacing w:line="360" w:lineRule="auto"/>
        <w:ind w:firstLine="1440"/>
        <w:contextualSpacing/>
        <w:rPr>
          <w:bCs/>
          <w:sz w:val="26"/>
          <w:szCs w:val="26"/>
        </w:rPr>
      </w:pPr>
    </w:p>
    <w:p w14:paraId="3D210058" w14:textId="6B63AE7E" w:rsidR="00021A4E" w:rsidRPr="00021A4E" w:rsidRDefault="00021A4E">
      <w:pPr>
        <w:widowControl/>
        <w:spacing w:line="360" w:lineRule="auto"/>
        <w:ind w:firstLine="1440"/>
        <w:contextualSpacing/>
        <w:rPr>
          <w:bCs/>
          <w:sz w:val="26"/>
          <w:szCs w:val="26"/>
        </w:rPr>
      </w:pPr>
      <w:r w:rsidRPr="00021A4E">
        <w:rPr>
          <w:bCs/>
          <w:sz w:val="26"/>
          <w:szCs w:val="26"/>
        </w:rPr>
        <w:t xml:space="preserve">According to FirstEnergy, the rate reductions and refunds sought by Verizon will result in a dollar-for-dollar increase in the Companies’ electric service rates in the next electric distribution service base rate proceedings.  FirstEnergy contends that the potential impact upon the rates of electric service customers is not fully or publicly known or quantified because the information has been treated as proprietary at this </w:t>
      </w:r>
      <w:r w:rsidRPr="00021A4E">
        <w:rPr>
          <w:bCs/>
          <w:sz w:val="26"/>
          <w:szCs w:val="26"/>
        </w:rPr>
        <w:lastRenderedPageBreak/>
        <w:t xml:space="preserve">proceeding.  The Companies submit that the public and their electric service customers are completely unaware of the potential impact of Verizon’s requested relief.  </w:t>
      </w:r>
      <w:r w:rsidRPr="00021A4E">
        <w:rPr>
          <w:bCs/>
          <w:i/>
          <w:iCs/>
          <w:sz w:val="26"/>
          <w:szCs w:val="26"/>
        </w:rPr>
        <w:t>Id</w:t>
      </w:r>
      <w:r w:rsidRPr="00021A4E">
        <w:rPr>
          <w:bCs/>
          <w:sz w:val="26"/>
          <w:szCs w:val="26"/>
        </w:rPr>
        <w:t>.</w:t>
      </w:r>
      <w:r w:rsidR="00BE4BD6">
        <w:rPr>
          <w:bCs/>
          <w:sz w:val="26"/>
          <w:szCs w:val="26"/>
        </w:rPr>
        <w:t> </w:t>
      </w:r>
      <w:r w:rsidRPr="00021A4E">
        <w:rPr>
          <w:bCs/>
          <w:sz w:val="26"/>
          <w:szCs w:val="26"/>
        </w:rPr>
        <w:t>at</w:t>
      </w:r>
      <w:r w:rsidR="00BE4BD6">
        <w:rPr>
          <w:bCs/>
          <w:sz w:val="26"/>
          <w:szCs w:val="26"/>
        </w:rPr>
        <w:t> </w:t>
      </w:r>
      <w:r w:rsidRPr="00021A4E">
        <w:rPr>
          <w:bCs/>
          <w:sz w:val="26"/>
          <w:szCs w:val="26"/>
        </w:rPr>
        <w:t>10</w:t>
      </w:r>
      <w:r w:rsidR="003E3869">
        <w:rPr>
          <w:bCs/>
          <w:sz w:val="26"/>
          <w:szCs w:val="26"/>
        </w:rPr>
        <w:noBreakHyphen/>
      </w:r>
      <w:r w:rsidRPr="00021A4E">
        <w:rPr>
          <w:bCs/>
          <w:sz w:val="26"/>
          <w:szCs w:val="26"/>
        </w:rPr>
        <w:t xml:space="preserve">11.  </w:t>
      </w:r>
    </w:p>
    <w:p w14:paraId="36170EC1" w14:textId="77777777" w:rsidR="00021A4E" w:rsidRPr="00021A4E" w:rsidRDefault="00021A4E">
      <w:pPr>
        <w:widowControl/>
        <w:spacing w:line="360" w:lineRule="auto"/>
        <w:contextualSpacing/>
        <w:rPr>
          <w:bCs/>
          <w:sz w:val="26"/>
          <w:szCs w:val="26"/>
        </w:rPr>
      </w:pPr>
    </w:p>
    <w:p w14:paraId="2D9DD356" w14:textId="77777777" w:rsidR="00021A4E" w:rsidRPr="00021A4E" w:rsidRDefault="00021A4E">
      <w:pPr>
        <w:widowControl/>
        <w:spacing w:line="360" w:lineRule="auto"/>
        <w:ind w:firstLine="1440"/>
        <w:contextualSpacing/>
        <w:rPr>
          <w:bCs/>
          <w:sz w:val="26"/>
          <w:szCs w:val="26"/>
        </w:rPr>
      </w:pPr>
      <w:r w:rsidRPr="00021A4E">
        <w:rPr>
          <w:bCs/>
          <w:sz w:val="26"/>
          <w:szCs w:val="26"/>
        </w:rPr>
        <w:t xml:space="preserve">Furthermore, FirstEnergy argues that none of the other relevant factors identified in Section 5.365(a) of our Regulations justify affording proprietary treatment for the identified information.  First, FirstEnergy contends that disclosure of the information identified by the Companies will not cause unfair economic or competitive damage to Verizon.  According to FirstEnergy, Verizon is seeking a competitively neutral rate and has argued that it attached to FirstEnergy’s poles under comparable terms and conditions to its competitors.  FirstEnergy submits that if the requested rate is competitively neutral then no competitive damage will result from public disclosure of the total annual revenue decrease or the total refunds it seeks.  The Companies submit that Verizon’s requested rate decrease would render the rate it used to pay FirstEnergy as irrelevant.  As such, First Energy continues, public knowledge of the existing rate and the difference between it and any newly ordered rate will not economically or competitively harm Verizon.  Motion at 12-13 (citing 52 Pa. Code § 5.365(a)(1)).  </w:t>
      </w:r>
    </w:p>
    <w:p w14:paraId="1AC16030" w14:textId="77777777" w:rsidR="00021A4E" w:rsidRPr="00021A4E" w:rsidRDefault="00021A4E">
      <w:pPr>
        <w:widowControl/>
        <w:spacing w:line="360" w:lineRule="auto"/>
        <w:contextualSpacing/>
        <w:rPr>
          <w:bCs/>
          <w:sz w:val="26"/>
          <w:szCs w:val="26"/>
        </w:rPr>
      </w:pPr>
    </w:p>
    <w:p w14:paraId="0793D208" w14:textId="77777777" w:rsidR="00021A4E" w:rsidRPr="00021A4E" w:rsidRDefault="00021A4E">
      <w:pPr>
        <w:widowControl/>
        <w:spacing w:line="360" w:lineRule="auto"/>
        <w:ind w:firstLine="1440"/>
        <w:contextualSpacing/>
        <w:rPr>
          <w:bCs/>
          <w:sz w:val="26"/>
          <w:szCs w:val="26"/>
        </w:rPr>
      </w:pPr>
      <w:r w:rsidRPr="00021A4E">
        <w:rPr>
          <w:bCs/>
          <w:sz w:val="26"/>
          <w:szCs w:val="26"/>
        </w:rPr>
        <w:t>Under the second factor, 52 Pa. Code § 5.365(a)(2), FirstEnergy asserts that the extent to which the information is known by others and is used in similar activities does not weigh against the limited disclosure.  Here, FirstEnergy claims it is not requesting the specific rates that Verizon pays under the JUAs to be disclosed.  Instead, it is seeking the unsealing of the overall impacts of Verizon’s requested relief which is the annual reduction in the specific amount Verizon will pay going forward and the total amount of refunds.  According to FirstEnergy, these amounts must become publicly known should the Companies seek Commission approval to defer and record as a regulatory asset the difference in revenues produced from the new rates and existing rates plus carrying charges, and permit the Companies to claim and recover this deferred amount in their next base rate cases.  Motion at 13.</w:t>
      </w:r>
    </w:p>
    <w:p w14:paraId="3FF34D77" w14:textId="77777777" w:rsidR="00021A4E" w:rsidRPr="00021A4E" w:rsidRDefault="00021A4E">
      <w:pPr>
        <w:widowControl/>
        <w:spacing w:line="360" w:lineRule="auto"/>
        <w:ind w:firstLine="1440"/>
        <w:contextualSpacing/>
        <w:rPr>
          <w:bCs/>
          <w:sz w:val="26"/>
          <w:szCs w:val="26"/>
        </w:rPr>
      </w:pPr>
      <w:r w:rsidRPr="00021A4E">
        <w:rPr>
          <w:bCs/>
          <w:sz w:val="26"/>
          <w:szCs w:val="26"/>
        </w:rPr>
        <w:lastRenderedPageBreak/>
        <w:t xml:space="preserve">Under the third factor, FirstEnergy deems the worth or value of the information to Verizon and its competitors as being minimal.  FirstEnergy asserts that there is no competitive value that can be attributed to the public release of the total annual revenue decrease or the requested refund amount.  </w:t>
      </w:r>
      <w:r w:rsidRPr="00021A4E">
        <w:rPr>
          <w:bCs/>
          <w:i/>
          <w:iCs/>
          <w:sz w:val="26"/>
          <w:szCs w:val="26"/>
        </w:rPr>
        <w:t>Id</w:t>
      </w:r>
      <w:r w:rsidRPr="00021A4E">
        <w:rPr>
          <w:bCs/>
          <w:sz w:val="26"/>
          <w:szCs w:val="26"/>
        </w:rPr>
        <w:t>. (citing 52 Pa. Code § 5.365(a)(3)).</w:t>
      </w:r>
    </w:p>
    <w:p w14:paraId="73EFB7A7" w14:textId="77777777" w:rsidR="00021A4E" w:rsidRPr="00021A4E" w:rsidRDefault="00021A4E">
      <w:pPr>
        <w:widowControl/>
        <w:spacing w:line="360" w:lineRule="auto"/>
        <w:contextualSpacing/>
        <w:rPr>
          <w:bCs/>
          <w:sz w:val="26"/>
          <w:szCs w:val="26"/>
        </w:rPr>
      </w:pPr>
    </w:p>
    <w:p w14:paraId="4E657150" w14:textId="77777777" w:rsidR="00021A4E" w:rsidRPr="00021A4E" w:rsidRDefault="00021A4E">
      <w:pPr>
        <w:widowControl/>
        <w:spacing w:line="360" w:lineRule="auto"/>
        <w:ind w:firstLine="1440"/>
        <w:contextualSpacing/>
        <w:rPr>
          <w:bCs/>
          <w:sz w:val="26"/>
          <w:szCs w:val="26"/>
        </w:rPr>
      </w:pPr>
      <w:r w:rsidRPr="00021A4E">
        <w:rPr>
          <w:bCs/>
          <w:sz w:val="26"/>
          <w:szCs w:val="26"/>
        </w:rPr>
        <w:t xml:space="preserve">As to the fourth factor, FirstEnergy contends that the development of the rates that Verizon currently pays under the JUAs and the calculation of the requested refunds are not difficult or costly to develop.  According to FirstEnergy, this information is based on a cost-sharing arrangement contained in each JUA and a comparison of the existing rate calculated under this formula to the calculation of any new rate under the FCC’s rate formulas.  FirstEnergy argues that Verizon did not conduct a special or proprietary study to calculate the annual going forward reduction or its requested refunds.  </w:t>
      </w:r>
      <w:r w:rsidRPr="00021A4E">
        <w:rPr>
          <w:bCs/>
          <w:i/>
          <w:iCs/>
          <w:sz w:val="26"/>
          <w:szCs w:val="26"/>
        </w:rPr>
        <w:t>Id</w:t>
      </w:r>
      <w:r w:rsidRPr="00021A4E">
        <w:rPr>
          <w:bCs/>
          <w:sz w:val="26"/>
          <w:szCs w:val="26"/>
        </w:rPr>
        <w:t>. at 13-14 (citing 52 Pa. Code § 5.365(a)(4)).</w:t>
      </w:r>
    </w:p>
    <w:p w14:paraId="24B8D66B" w14:textId="77777777" w:rsidR="00021A4E" w:rsidRPr="00021A4E" w:rsidRDefault="00021A4E">
      <w:pPr>
        <w:widowControl/>
        <w:spacing w:line="360" w:lineRule="auto"/>
        <w:contextualSpacing/>
        <w:rPr>
          <w:bCs/>
          <w:sz w:val="26"/>
          <w:szCs w:val="26"/>
        </w:rPr>
      </w:pPr>
    </w:p>
    <w:p w14:paraId="62067DDE" w14:textId="708102FF" w:rsidR="00021A4E" w:rsidRPr="00021A4E" w:rsidRDefault="00021A4E">
      <w:pPr>
        <w:widowControl/>
        <w:spacing w:line="360" w:lineRule="auto"/>
        <w:ind w:firstLine="1440"/>
        <w:contextualSpacing/>
        <w:rPr>
          <w:bCs/>
          <w:sz w:val="26"/>
          <w:szCs w:val="26"/>
        </w:rPr>
      </w:pPr>
      <w:r w:rsidRPr="00021A4E">
        <w:rPr>
          <w:bCs/>
          <w:sz w:val="26"/>
          <w:szCs w:val="26"/>
        </w:rPr>
        <w:t xml:space="preserve">Regarding the last factor, FirstEnergy submits that no other statutes or regulations expressly prohibit the disclosure of this information.  </w:t>
      </w:r>
      <w:r w:rsidRPr="00021A4E">
        <w:rPr>
          <w:bCs/>
          <w:i/>
          <w:iCs/>
          <w:sz w:val="26"/>
          <w:szCs w:val="26"/>
        </w:rPr>
        <w:t>Id</w:t>
      </w:r>
      <w:r w:rsidRPr="00021A4E">
        <w:rPr>
          <w:bCs/>
          <w:sz w:val="26"/>
          <w:szCs w:val="26"/>
        </w:rPr>
        <w:t>. at 14 (citing 52</w:t>
      </w:r>
      <w:r w:rsidR="00A5270D">
        <w:rPr>
          <w:bCs/>
          <w:sz w:val="26"/>
          <w:szCs w:val="26"/>
        </w:rPr>
        <w:t> </w:t>
      </w:r>
      <w:r w:rsidRPr="00021A4E">
        <w:rPr>
          <w:bCs/>
          <w:sz w:val="26"/>
          <w:szCs w:val="26"/>
        </w:rPr>
        <w:t>Pa.</w:t>
      </w:r>
      <w:r w:rsidR="00A5270D">
        <w:rPr>
          <w:bCs/>
          <w:sz w:val="26"/>
          <w:szCs w:val="26"/>
        </w:rPr>
        <w:t> </w:t>
      </w:r>
      <w:r w:rsidRPr="00021A4E">
        <w:rPr>
          <w:bCs/>
          <w:sz w:val="26"/>
          <w:szCs w:val="26"/>
        </w:rPr>
        <w:t>Code § 5.365(a)(5)).</w:t>
      </w:r>
    </w:p>
    <w:p w14:paraId="2E1793ED" w14:textId="77777777" w:rsidR="00021A4E" w:rsidRPr="00021A4E" w:rsidRDefault="00021A4E">
      <w:pPr>
        <w:widowControl/>
        <w:spacing w:line="360" w:lineRule="auto"/>
        <w:contextualSpacing/>
        <w:rPr>
          <w:bCs/>
          <w:sz w:val="26"/>
          <w:szCs w:val="26"/>
        </w:rPr>
      </w:pPr>
    </w:p>
    <w:p w14:paraId="5992C29D" w14:textId="77777777" w:rsidR="00021A4E" w:rsidRPr="00021A4E" w:rsidRDefault="00021A4E">
      <w:pPr>
        <w:widowControl/>
        <w:spacing w:line="360" w:lineRule="auto"/>
        <w:ind w:firstLine="1440"/>
        <w:contextualSpacing/>
        <w:rPr>
          <w:bCs/>
          <w:sz w:val="26"/>
          <w:szCs w:val="26"/>
        </w:rPr>
      </w:pPr>
      <w:r w:rsidRPr="00021A4E">
        <w:rPr>
          <w:bCs/>
          <w:sz w:val="26"/>
          <w:szCs w:val="26"/>
        </w:rPr>
        <w:t>In its Answer to the Motion, Verizon objects to the unsealing of the proprietary information arguing it will necessarily disclose sensitive rates and other confidential information by virtue of the existence of other information already in the public record.  Verizon argues that FirstEnergy provides no good reason to disclose any of Verizon’s proprietary information at this late stage of the proceeding.  Because the Commission already has access to the information and the public record discloses everything needed to understand the issues in this proceeding, Verizon submits that the Commission should deny the Motion.  Answer to Motion at 1-2.</w:t>
      </w:r>
    </w:p>
    <w:p w14:paraId="6E40E0DE" w14:textId="77777777" w:rsidR="00021A4E" w:rsidRPr="00021A4E" w:rsidRDefault="00021A4E">
      <w:pPr>
        <w:widowControl/>
        <w:spacing w:line="360" w:lineRule="auto"/>
        <w:contextualSpacing/>
        <w:rPr>
          <w:bCs/>
          <w:sz w:val="26"/>
          <w:szCs w:val="26"/>
        </w:rPr>
      </w:pPr>
    </w:p>
    <w:p w14:paraId="49FF8AB3" w14:textId="77777777" w:rsidR="00021A4E" w:rsidRPr="00021A4E" w:rsidRDefault="00021A4E">
      <w:pPr>
        <w:widowControl/>
        <w:spacing w:line="360" w:lineRule="auto"/>
        <w:ind w:firstLine="1440"/>
        <w:contextualSpacing/>
        <w:rPr>
          <w:bCs/>
          <w:sz w:val="26"/>
          <w:szCs w:val="26"/>
        </w:rPr>
      </w:pPr>
      <w:r w:rsidRPr="00021A4E">
        <w:rPr>
          <w:bCs/>
          <w:sz w:val="26"/>
          <w:szCs w:val="26"/>
        </w:rPr>
        <w:t xml:space="preserve">In support, Verizon asserts that FirstEnergy misrepresents the information its Motion would disclose.  Although FirstEnergy claims that its Motion would only </w:t>
      </w:r>
      <w:r w:rsidRPr="00021A4E">
        <w:rPr>
          <w:bCs/>
          <w:sz w:val="26"/>
          <w:szCs w:val="26"/>
        </w:rPr>
        <w:lastRenderedPageBreak/>
        <w:t xml:space="preserve">reveal the requested refund as a total amount and on an annual basis, Verizon argues that these amounts combined with information in the public record will reveal Verizon’s proprietary annual rental payment to FirstEnergy.  Verizon explains that proprietary information would be revealed because a “refund … will normally be the difference between the amount paid under the unjust and/or unreasonable rate – a confidential number – and the amount that would have been paid under the rate … established by the Commission, plus interest, consistent with the applicable statute of limitations” – a public number.  Answer to Motion at 2-3 (citing 52 Pa. Code § 77.4(a) (incorporating 47 C.F.R. § 1.1407(a)(3))).  As a result, Verizon contends that FirstEnergy’s request to unseal refund amounts is also a request to unseal the total amount Verizon pays FirstEnergy under the proprietary JUAs.  Answer to Motion at 3.  </w:t>
      </w:r>
    </w:p>
    <w:p w14:paraId="6B78DE26" w14:textId="77777777" w:rsidR="00021A4E" w:rsidRPr="00021A4E" w:rsidRDefault="00021A4E">
      <w:pPr>
        <w:widowControl/>
        <w:spacing w:line="360" w:lineRule="auto"/>
        <w:contextualSpacing/>
        <w:rPr>
          <w:bCs/>
          <w:sz w:val="26"/>
          <w:szCs w:val="26"/>
        </w:rPr>
      </w:pPr>
    </w:p>
    <w:p w14:paraId="16EF51F1" w14:textId="77777777" w:rsidR="00021A4E" w:rsidRPr="00021A4E" w:rsidRDefault="00021A4E">
      <w:pPr>
        <w:widowControl/>
        <w:spacing w:line="360" w:lineRule="auto"/>
        <w:ind w:firstLine="1440"/>
        <w:contextualSpacing/>
        <w:rPr>
          <w:bCs/>
          <w:sz w:val="26"/>
          <w:szCs w:val="26"/>
        </w:rPr>
      </w:pPr>
      <w:r w:rsidRPr="00021A4E">
        <w:rPr>
          <w:bCs/>
          <w:sz w:val="26"/>
          <w:szCs w:val="26"/>
        </w:rPr>
        <w:t xml:space="preserve">In addition, Verizon objects to FirstEnergy’s request to release additional categories of confidential information attached as appendices to the Motion.  Verizon asserts that the Companies provide no reason to disclose this competitively sensitive information; rather, FirstEnergy simply proffers that it is not requesting the disclosure of individual rates or the disclosure of information that could be used to back into specific rates Verizon pays under the JUAs.  In contrast, Verizon submits that the additional information sought to be released would permit a straightforward calculation of rates FirstEnergy claims would not be disclosed.  </w:t>
      </w:r>
      <w:r w:rsidRPr="00021A4E">
        <w:rPr>
          <w:bCs/>
          <w:i/>
          <w:iCs/>
          <w:sz w:val="26"/>
          <w:szCs w:val="26"/>
        </w:rPr>
        <w:t>Id.</w:t>
      </w:r>
      <w:r w:rsidRPr="00021A4E">
        <w:rPr>
          <w:bCs/>
          <w:sz w:val="26"/>
          <w:szCs w:val="26"/>
        </w:rPr>
        <w:t xml:space="preserve"> </w:t>
      </w:r>
    </w:p>
    <w:p w14:paraId="76274105" w14:textId="77777777" w:rsidR="00021A4E" w:rsidRPr="00021A4E" w:rsidRDefault="00021A4E">
      <w:pPr>
        <w:widowControl/>
        <w:spacing w:line="360" w:lineRule="auto"/>
        <w:contextualSpacing/>
        <w:rPr>
          <w:bCs/>
          <w:sz w:val="26"/>
          <w:szCs w:val="26"/>
        </w:rPr>
      </w:pPr>
    </w:p>
    <w:p w14:paraId="5AF65F0A" w14:textId="4F6DC690" w:rsidR="00021A4E" w:rsidRPr="00021A4E" w:rsidRDefault="00021A4E">
      <w:pPr>
        <w:widowControl/>
        <w:spacing w:line="360" w:lineRule="auto"/>
        <w:contextualSpacing/>
        <w:rPr>
          <w:bCs/>
          <w:sz w:val="26"/>
          <w:szCs w:val="26"/>
        </w:rPr>
      </w:pPr>
      <w:r w:rsidRPr="00021A4E">
        <w:rPr>
          <w:bCs/>
          <w:sz w:val="26"/>
          <w:szCs w:val="26"/>
        </w:rPr>
        <w:tab/>
      </w:r>
      <w:r w:rsidRPr="00021A4E">
        <w:rPr>
          <w:bCs/>
          <w:sz w:val="26"/>
          <w:szCs w:val="26"/>
        </w:rPr>
        <w:tab/>
        <w:t xml:space="preserve">Furthermore, Verizon argues that the information FirstEnergy seeks to disclose is proprietary to Verizon and public disclosure of it would cause competitive harm.  Verizon asserts that FirstEnergy protects the same information for every other company attached to its utility poles because the information is competitively sensitive.  In support, Verizon avers that FirstEnergy’s Maryland affiliate is currently asking the FCC to keep the same information about Verizon’s Maryland affiliate confidential.  Answer to Motion at 4-5, Exh. A (citing Potomac Edison’s Request for Confidential </w:t>
      </w:r>
      <w:r w:rsidRPr="00021A4E">
        <w:rPr>
          <w:bCs/>
          <w:sz w:val="26"/>
          <w:szCs w:val="26"/>
        </w:rPr>
        <w:lastRenderedPageBreak/>
        <w:t xml:space="preserve">Treatment, </w:t>
      </w:r>
      <w:r w:rsidRPr="00021A4E">
        <w:rPr>
          <w:bCs/>
          <w:i/>
          <w:iCs/>
          <w:sz w:val="26"/>
          <w:szCs w:val="26"/>
        </w:rPr>
        <w:t>Verizon Maryland LLC v. Potomac Edison Co.</w:t>
      </w:r>
      <w:r w:rsidRPr="00021A4E">
        <w:rPr>
          <w:bCs/>
          <w:sz w:val="26"/>
          <w:szCs w:val="26"/>
        </w:rPr>
        <w:t>, FCC Proceeding No. 19-355 (April 27, 2020) (</w:t>
      </w:r>
      <w:r w:rsidRPr="00021A4E">
        <w:rPr>
          <w:bCs/>
          <w:i/>
          <w:iCs/>
          <w:sz w:val="26"/>
          <w:szCs w:val="26"/>
        </w:rPr>
        <w:t>Verizon Maryland Proceeding</w:t>
      </w:r>
      <w:r w:rsidRPr="00021A4E">
        <w:rPr>
          <w:bCs/>
          <w:sz w:val="26"/>
          <w:szCs w:val="26"/>
        </w:rPr>
        <w:t>)</w:t>
      </w:r>
      <w:r w:rsidR="000D6A39">
        <w:rPr>
          <w:bCs/>
          <w:sz w:val="26"/>
          <w:szCs w:val="26"/>
        </w:rPr>
        <w:t>)</w:t>
      </w:r>
      <w:r w:rsidRPr="00021A4E">
        <w:rPr>
          <w:bCs/>
          <w:sz w:val="26"/>
          <w:szCs w:val="26"/>
        </w:rPr>
        <w:t xml:space="preserve">.  </w:t>
      </w:r>
    </w:p>
    <w:p w14:paraId="38A8F726" w14:textId="77777777" w:rsidR="00021A4E" w:rsidRPr="00021A4E" w:rsidRDefault="00021A4E">
      <w:pPr>
        <w:widowControl/>
        <w:spacing w:line="360" w:lineRule="auto"/>
        <w:contextualSpacing/>
        <w:rPr>
          <w:bCs/>
          <w:sz w:val="26"/>
          <w:szCs w:val="26"/>
        </w:rPr>
      </w:pPr>
    </w:p>
    <w:p w14:paraId="451E3197" w14:textId="6B0F7EAB" w:rsidR="00021A4E" w:rsidRPr="00021A4E" w:rsidRDefault="00021A4E">
      <w:pPr>
        <w:widowControl/>
        <w:spacing w:line="360" w:lineRule="auto"/>
        <w:contextualSpacing/>
        <w:rPr>
          <w:bCs/>
          <w:sz w:val="26"/>
          <w:szCs w:val="26"/>
        </w:rPr>
      </w:pPr>
      <w:r w:rsidRPr="00021A4E">
        <w:rPr>
          <w:bCs/>
          <w:sz w:val="26"/>
          <w:szCs w:val="26"/>
        </w:rPr>
        <w:tab/>
      </w:r>
      <w:r w:rsidRPr="00021A4E">
        <w:rPr>
          <w:bCs/>
          <w:sz w:val="26"/>
          <w:szCs w:val="26"/>
        </w:rPr>
        <w:tab/>
        <w:t xml:space="preserve">Verizon also characterizes the Motion as being untethered from the Commission’s Regulations, which do not specifically address a Party’s request to unseal or re-designate proprietary information as public.  Moreover, Verizon objects to FirstEnergy’s last-minute challenge by waiting eleven months to challenge the designation as proprietary.  Verizon contends that Section 5.365(a) of our Regulations authorizes the filing of information under seal when the potential for harm would be substantial and the harm to the party seeking to prevent disclosure outweighs the public’s interest in free and open access to the administrative hearing process.  Indeed, Verizon adds, the Commission has already determined that comparable pole attachment information meets this standard noting that substantial competitive harm would result if the terms and conditions pertaining to pricing information were released to the public.  Answer to Motion at 5-6 (citing </w:t>
      </w:r>
      <w:r w:rsidRPr="00021A4E">
        <w:rPr>
          <w:bCs/>
          <w:i/>
          <w:iCs/>
          <w:sz w:val="26"/>
          <w:szCs w:val="26"/>
        </w:rPr>
        <w:t>PPL Telcom LLC</w:t>
      </w:r>
      <w:r w:rsidR="00A13AE9">
        <w:rPr>
          <w:bCs/>
          <w:sz w:val="26"/>
          <w:szCs w:val="26"/>
        </w:rPr>
        <w:t xml:space="preserve"> (</w:t>
      </w:r>
      <w:r w:rsidR="00A13AE9" w:rsidRPr="006F5B5B">
        <w:rPr>
          <w:bCs/>
          <w:i/>
          <w:iCs/>
          <w:sz w:val="26"/>
          <w:szCs w:val="26"/>
        </w:rPr>
        <w:t>PPL Telcom</w:t>
      </w:r>
      <w:r w:rsidR="00A13AE9">
        <w:rPr>
          <w:bCs/>
          <w:sz w:val="26"/>
          <w:szCs w:val="26"/>
        </w:rPr>
        <w:t>)</w:t>
      </w:r>
      <w:r w:rsidRPr="00021A4E">
        <w:rPr>
          <w:bCs/>
          <w:sz w:val="26"/>
          <w:szCs w:val="26"/>
        </w:rPr>
        <w:t>, Docket No. G</w:t>
      </w:r>
      <w:r w:rsidR="0093667D">
        <w:rPr>
          <w:bCs/>
          <w:sz w:val="26"/>
          <w:szCs w:val="26"/>
        </w:rPr>
        <w:noBreakHyphen/>
      </w:r>
      <w:r w:rsidRPr="00021A4E">
        <w:rPr>
          <w:bCs/>
          <w:sz w:val="26"/>
          <w:szCs w:val="26"/>
        </w:rPr>
        <w:t>00000826, 2005 WL 1037186 (Order entered March 23, 2005)</w:t>
      </w:r>
      <w:r w:rsidR="00A13AE9">
        <w:rPr>
          <w:bCs/>
          <w:sz w:val="26"/>
          <w:szCs w:val="26"/>
        </w:rPr>
        <w:t xml:space="preserve"> </w:t>
      </w:r>
      <w:r w:rsidR="00A13AE9" w:rsidRPr="006F5B5B">
        <w:rPr>
          <w:bCs/>
          <w:i/>
          <w:iCs/>
          <w:sz w:val="26"/>
          <w:szCs w:val="26"/>
        </w:rPr>
        <w:t>(PPL Telcom)</w:t>
      </w:r>
      <w:r w:rsidRPr="00021A4E">
        <w:rPr>
          <w:bCs/>
          <w:sz w:val="26"/>
          <w:szCs w:val="26"/>
        </w:rPr>
        <w:t xml:space="preserve"> at *2).  </w:t>
      </w:r>
    </w:p>
    <w:p w14:paraId="32613DF4" w14:textId="77777777" w:rsidR="00021A4E" w:rsidRPr="00021A4E" w:rsidRDefault="00021A4E">
      <w:pPr>
        <w:widowControl/>
        <w:spacing w:line="360" w:lineRule="auto"/>
        <w:contextualSpacing/>
        <w:rPr>
          <w:bCs/>
          <w:sz w:val="26"/>
          <w:szCs w:val="26"/>
        </w:rPr>
      </w:pPr>
    </w:p>
    <w:p w14:paraId="57929A26" w14:textId="77777777" w:rsidR="00021A4E" w:rsidRPr="00021A4E" w:rsidRDefault="00021A4E">
      <w:pPr>
        <w:widowControl/>
        <w:spacing w:line="360" w:lineRule="auto"/>
        <w:contextualSpacing/>
        <w:rPr>
          <w:bCs/>
          <w:sz w:val="26"/>
          <w:szCs w:val="26"/>
        </w:rPr>
      </w:pPr>
      <w:r w:rsidRPr="00021A4E">
        <w:rPr>
          <w:bCs/>
          <w:sz w:val="26"/>
          <w:szCs w:val="26"/>
        </w:rPr>
        <w:tab/>
      </w:r>
      <w:r w:rsidRPr="00021A4E">
        <w:rPr>
          <w:bCs/>
          <w:sz w:val="26"/>
          <w:szCs w:val="26"/>
        </w:rPr>
        <w:tab/>
        <w:t xml:space="preserve">Furthermore, Verizon argues that confidential treatment is justified under the Commission’s factors identified in Section 5.365(a) of our Regulations.  Specifically, Verizon cites to the arguments made by First Energy’s Maryland affiliate in the </w:t>
      </w:r>
      <w:r w:rsidRPr="00021A4E">
        <w:rPr>
          <w:bCs/>
          <w:i/>
          <w:iCs/>
          <w:sz w:val="26"/>
          <w:szCs w:val="26"/>
        </w:rPr>
        <w:t>Verizon Maryland Proceeding</w:t>
      </w:r>
      <w:r w:rsidRPr="00021A4E">
        <w:rPr>
          <w:bCs/>
          <w:sz w:val="26"/>
          <w:szCs w:val="26"/>
        </w:rPr>
        <w:t>.  According to Verizon, disclosure would cause it competitive harm because it would:</w:t>
      </w:r>
    </w:p>
    <w:p w14:paraId="2E307BD9" w14:textId="77777777" w:rsidR="00021A4E" w:rsidRPr="00021A4E" w:rsidRDefault="00021A4E" w:rsidP="00E02F84">
      <w:pPr>
        <w:widowControl/>
        <w:contextualSpacing/>
        <w:rPr>
          <w:bCs/>
          <w:sz w:val="26"/>
          <w:szCs w:val="26"/>
        </w:rPr>
      </w:pPr>
    </w:p>
    <w:p w14:paraId="150BF7B8" w14:textId="4D7119C4" w:rsidR="00021A4E" w:rsidRDefault="00021A4E" w:rsidP="00A47CDC">
      <w:pPr>
        <w:widowControl/>
        <w:numPr>
          <w:ilvl w:val="0"/>
          <w:numId w:val="1"/>
        </w:numPr>
        <w:ind w:hanging="720"/>
        <w:contextualSpacing/>
        <w:rPr>
          <w:bCs/>
          <w:sz w:val="26"/>
          <w:szCs w:val="26"/>
        </w:rPr>
      </w:pPr>
      <w:r w:rsidRPr="00021A4E">
        <w:rPr>
          <w:bCs/>
          <w:sz w:val="26"/>
          <w:szCs w:val="26"/>
        </w:rPr>
        <w:t>Alert Verizon’s competitors of competitive rate disparity in Pennsylvania and provide opportunities to exploit disparities during deployment decisions.</w:t>
      </w:r>
    </w:p>
    <w:p w14:paraId="06F65EE8" w14:textId="77777777" w:rsidR="003E3869" w:rsidRPr="00021A4E" w:rsidRDefault="003E3869" w:rsidP="00A47CDC">
      <w:pPr>
        <w:widowControl/>
        <w:ind w:left="1440" w:hanging="720"/>
        <w:contextualSpacing/>
        <w:rPr>
          <w:bCs/>
          <w:sz w:val="26"/>
          <w:szCs w:val="26"/>
        </w:rPr>
      </w:pPr>
    </w:p>
    <w:p w14:paraId="072B170D" w14:textId="03048009" w:rsidR="00021A4E" w:rsidRDefault="00021A4E" w:rsidP="00A47CDC">
      <w:pPr>
        <w:widowControl/>
        <w:numPr>
          <w:ilvl w:val="0"/>
          <w:numId w:val="1"/>
        </w:numPr>
        <w:ind w:hanging="720"/>
        <w:contextualSpacing/>
        <w:rPr>
          <w:bCs/>
          <w:sz w:val="26"/>
          <w:szCs w:val="26"/>
        </w:rPr>
      </w:pPr>
      <w:r w:rsidRPr="00021A4E">
        <w:rPr>
          <w:bCs/>
          <w:sz w:val="26"/>
          <w:szCs w:val="26"/>
        </w:rPr>
        <w:t xml:space="preserve">Provide valuable insights regarding the structuring and pricing of leasing operations, allowing competitors to determine the relative weaknesses and strengths in Verizon’s markets. </w:t>
      </w:r>
    </w:p>
    <w:p w14:paraId="56302ACE" w14:textId="77777777" w:rsidR="00AF5265" w:rsidRPr="00021A4E" w:rsidRDefault="00AF5265" w:rsidP="00A47CDC">
      <w:pPr>
        <w:widowControl/>
        <w:ind w:hanging="720"/>
        <w:contextualSpacing/>
        <w:rPr>
          <w:bCs/>
          <w:sz w:val="26"/>
          <w:szCs w:val="26"/>
        </w:rPr>
      </w:pPr>
    </w:p>
    <w:p w14:paraId="1B2012F5" w14:textId="77777777" w:rsidR="00021A4E" w:rsidRPr="00021A4E" w:rsidRDefault="00021A4E" w:rsidP="00A47CDC">
      <w:pPr>
        <w:widowControl/>
        <w:numPr>
          <w:ilvl w:val="0"/>
          <w:numId w:val="1"/>
        </w:numPr>
        <w:ind w:hanging="720"/>
        <w:contextualSpacing/>
        <w:rPr>
          <w:bCs/>
          <w:sz w:val="26"/>
          <w:szCs w:val="26"/>
        </w:rPr>
      </w:pPr>
      <w:r w:rsidRPr="00021A4E">
        <w:rPr>
          <w:bCs/>
          <w:sz w:val="26"/>
          <w:szCs w:val="26"/>
        </w:rPr>
        <w:lastRenderedPageBreak/>
        <w:t xml:space="preserve">Chill and negatively impact Verizon’s relationships and rate negotiations with other electric utilities and allow for the refusal of lower rates than those imposed by FirstEnergy on Verizon.  </w:t>
      </w:r>
    </w:p>
    <w:p w14:paraId="3884148D" w14:textId="77777777" w:rsidR="00021A4E" w:rsidRPr="00021A4E" w:rsidRDefault="00021A4E" w:rsidP="000D2CCB">
      <w:pPr>
        <w:widowControl/>
        <w:spacing w:line="360" w:lineRule="auto"/>
        <w:contextualSpacing/>
        <w:rPr>
          <w:bCs/>
          <w:sz w:val="26"/>
          <w:szCs w:val="26"/>
        </w:rPr>
      </w:pPr>
    </w:p>
    <w:p w14:paraId="3E152D01" w14:textId="77777777" w:rsidR="00021A4E" w:rsidRPr="00021A4E" w:rsidRDefault="00021A4E">
      <w:pPr>
        <w:widowControl/>
        <w:spacing w:line="360" w:lineRule="auto"/>
        <w:contextualSpacing/>
        <w:rPr>
          <w:bCs/>
          <w:sz w:val="26"/>
          <w:szCs w:val="26"/>
        </w:rPr>
      </w:pPr>
      <w:r w:rsidRPr="00021A4E">
        <w:rPr>
          <w:bCs/>
          <w:sz w:val="26"/>
          <w:szCs w:val="26"/>
        </w:rPr>
        <w:t xml:space="preserve">Answer to Motion at 7-8.  </w:t>
      </w:r>
    </w:p>
    <w:p w14:paraId="4D6C59A7" w14:textId="77777777" w:rsidR="00021A4E" w:rsidRPr="00021A4E" w:rsidRDefault="00021A4E">
      <w:pPr>
        <w:widowControl/>
        <w:spacing w:line="360" w:lineRule="auto"/>
        <w:contextualSpacing/>
        <w:rPr>
          <w:bCs/>
          <w:sz w:val="26"/>
          <w:szCs w:val="26"/>
        </w:rPr>
      </w:pPr>
    </w:p>
    <w:p w14:paraId="50B830C9" w14:textId="415A07AE" w:rsidR="00021A4E" w:rsidRPr="00021A4E" w:rsidRDefault="00021A4E">
      <w:pPr>
        <w:widowControl/>
        <w:spacing w:line="360" w:lineRule="auto"/>
        <w:contextualSpacing/>
        <w:rPr>
          <w:bCs/>
          <w:sz w:val="26"/>
          <w:szCs w:val="26"/>
        </w:rPr>
      </w:pPr>
      <w:r w:rsidRPr="00021A4E">
        <w:rPr>
          <w:bCs/>
          <w:sz w:val="26"/>
          <w:szCs w:val="26"/>
        </w:rPr>
        <w:tab/>
      </w:r>
      <w:r w:rsidRPr="00021A4E">
        <w:rPr>
          <w:bCs/>
          <w:sz w:val="26"/>
          <w:szCs w:val="26"/>
        </w:rPr>
        <w:tab/>
        <w:t>As a final matter, Verizon argues that the Commission’s resolution of this case does not require the disclosure of proprietary information.  Verizon contends that the Commission has all the information necessary to issue a final decision considering that proprietary versions of all the pleadings have been filed and that the presiding officer prepared a proprietary version of the Recommended Decision.  Additionally, Verizon asse</w:t>
      </w:r>
      <w:r w:rsidR="000D53F6">
        <w:rPr>
          <w:bCs/>
          <w:sz w:val="26"/>
          <w:szCs w:val="26"/>
        </w:rPr>
        <w:t>r</w:t>
      </w:r>
      <w:r w:rsidRPr="00021A4E">
        <w:rPr>
          <w:bCs/>
          <w:sz w:val="26"/>
          <w:szCs w:val="26"/>
        </w:rPr>
        <w:t>ts that the release of the information is not required for non-parties to understand the dispute and its potential precedential effect.  Verizon submits that this case is only about enforcing the Commission’s pole attachment regulations and cannot be about a broad inquiry into the wisdom of the regulations or their hypothetical impact on other rates or companies.  Verizon adds that this pole attachment proceeding is case-</w:t>
      </w:r>
      <w:proofErr w:type="gramStart"/>
      <w:r w:rsidRPr="00021A4E">
        <w:rPr>
          <w:bCs/>
          <w:sz w:val="26"/>
          <w:szCs w:val="26"/>
        </w:rPr>
        <w:t>specific</w:t>
      </w:r>
      <w:proofErr w:type="gramEnd"/>
      <w:r w:rsidRPr="00021A4E">
        <w:rPr>
          <w:bCs/>
          <w:sz w:val="26"/>
          <w:szCs w:val="26"/>
        </w:rPr>
        <w:t xml:space="preserve"> and it will not determine the impact of the Commission’s Regulations on FirstEnergy’s electric rates or trigger a base rate proceeding for FirstEnergy.  Answer to Motion at 8-9.</w:t>
      </w:r>
    </w:p>
    <w:p w14:paraId="4534760C" w14:textId="77777777" w:rsidR="00021A4E" w:rsidRPr="00021A4E" w:rsidRDefault="00021A4E">
      <w:pPr>
        <w:widowControl/>
        <w:spacing w:line="360" w:lineRule="auto"/>
        <w:contextualSpacing/>
        <w:rPr>
          <w:bCs/>
          <w:sz w:val="26"/>
          <w:szCs w:val="26"/>
        </w:rPr>
      </w:pPr>
    </w:p>
    <w:p w14:paraId="08A17AD6" w14:textId="77777777" w:rsidR="00021A4E" w:rsidRPr="00021A4E" w:rsidRDefault="00021A4E" w:rsidP="00A47CDC">
      <w:pPr>
        <w:keepNext/>
        <w:keepLines/>
        <w:widowControl/>
        <w:spacing w:line="360" w:lineRule="auto"/>
        <w:ind w:left="720" w:hanging="720"/>
        <w:outlineLvl w:val="1"/>
        <w:rPr>
          <w:rFonts w:eastAsiaTheme="majorEastAsia"/>
          <w:b/>
          <w:bCs/>
          <w:sz w:val="26"/>
          <w:szCs w:val="26"/>
        </w:rPr>
      </w:pPr>
      <w:bookmarkStart w:id="5" w:name="_Toc55454288"/>
      <w:r w:rsidRPr="00021A4E">
        <w:rPr>
          <w:rFonts w:eastAsiaTheme="majorEastAsia"/>
          <w:b/>
          <w:bCs/>
          <w:sz w:val="26"/>
          <w:szCs w:val="26"/>
        </w:rPr>
        <w:t>Disposition</w:t>
      </w:r>
      <w:bookmarkEnd w:id="5"/>
    </w:p>
    <w:p w14:paraId="35F21A5E" w14:textId="77777777" w:rsidR="00021A4E" w:rsidRPr="00021A4E" w:rsidRDefault="00021A4E">
      <w:pPr>
        <w:widowControl/>
        <w:spacing w:line="360" w:lineRule="auto"/>
        <w:contextualSpacing/>
        <w:rPr>
          <w:bCs/>
          <w:sz w:val="26"/>
          <w:szCs w:val="26"/>
        </w:rPr>
      </w:pPr>
    </w:p>
    <w:p w14:paraId="23EA4B96" w14:textId="77777777" w:rsidR="00021A4E" w:rsidRPr="00021A4E" w:rsidRDefault="00021A4E">
      <w:pPr>
        <w:widowControl/>
        <w:autoSpaceDE w:val="0"/>
        <w:autoSpaceDN w:val="0"/>
        <w:adjustRightInd w:val="0"/>
        <w:spacing w:line="360" w:lineRule="auto"/>
        <w:ind w:firstLine="1440"/>
        <w:rPr>
          <w:sz w:val="26"/>
          <w:szCs w:val="26"/>
        </w:rPr>
      </w:pPr>
      <w:r w:rsidRPr="00021A4E">
        <w:rPr>
          <w:sz w:val="26"/>
          <w:szCs w:val="26"/>
        </w:rPr>
        <w:t xml:space="preserve">Upon review, we shall deny the Motion.  Ordinarily, Section 5.365(a) of our Regulations applies to a request for the </w:t>
      </w:r>
      <w:r w:rsidRPr="00021A4E">
        <w:rPr>
          <w:i/>
          <w:iCs/>
          <w:sz w:val="26"/>
          <w:szCs w:val="26"/>
        </w:rPr>
        <w:t>issuance</w:t>
      </w:r>
      <w:r w:rsidRPr="00021A4E">
        <w:rPr>
          <w:sz w:val="26"/>
          <w:szCs w:val="26"/>
        </w:rPr>
        <w:t xml:space="preserve"> of a protective order to limit the availability of the public to review proprietary information.  Here, however, the circumstances of FirstEnergy’s request are unique in that the Companies are seeking to unseal and disclose a portion of the evidentiary record during the closing stages of a proceeding after voluntarily agreeing to the restrictions throughout the litigation before the FCC and the Commission.  The Parties have operated under the terms of the Stipulated Protective Agreement filing proprietary versions of their pleadings and </w:t>
      </w:r>
      <w:r w:rsidRPr="00021A4E">
        <w:rPr>
          <w:sz w:val="26"/>
          <w:szCs w:val="26"/>
        </w:rPr>
        <w:lastRenderedPageBreak/>
        <w:t xml:space="preserve">allowing the presiding officer and the Commission access to the information necessary to resolve this litigation and to issue a final decision in this matter.   </w:t>
      </w:r>
    </w:p>
    <w:p w14:paraId="6E627F3F" w14:textId="77777777" w:rsidR="00021A4E" w:rsidRPr="00021A4E" w:rsidRDefault="00021A4E">
      <w:pPr>
        <w:widowControl/>
        <w:autoSpaceDE w:val="0"/>
        <w:autoSpaceDN w:val="0"/>
        <w:adjustRightInd w:val="0"/>
        <w:spacing w:line="360" w:lineRule="auto"/>
        <w:rPr>
          <w:sz w:val="26"/>
          <w:szCs w:val="26"/>
        </w:rPr>
      </w:pPr>
    </w:p>
    <w:p w14:paraId="53B89836" w14:textId="4CB09147" w:rsidR="00021A4E" w:rsidRPr="00021A4E" w:rsidRDefault="00021A4E">
      <w:pPr>
        <w:widowControl/>
        <w:autoSpaceDE w:val="0"/>
        <w:autoSpaceDN w:val="0"/>
        <w:adjustRightInd w:val="0"/>
        <w:spacing w:line="360" w:lineRule="auto"/>
        <w:rPr>
          <w:sz w:val="26"/>
          <w:szCs w:val="26"/>
        </w:rPr>
      </w:pPr>
      <w:r w:rsidRPr="00021A4E">
        <w:rPr>
          <w:sz w:val="26"/>
          <w:szCs w:val="26"/>
        </w:rPr>
        <w:tab/>
      </w:r>
      <w:r w:rsidRPr="00021A4E">
        <w:rPr>
          <w:sz w:val="26"/>
          <w:szCs w:val="26"/>
        </w:rPr>
        <w:tab/>
        <w:t xml:space="preserve">FirstEnergy’s request appears to stem from prospective concerns about using the data in future proceedings such as possible rate proceedings requested by the Companies.  However, FirstEnergy provides no credible argument that the unsealing of the proprietary data at this stage is somehow necessary for the Commission to appreciate the concerns raised by the Companies or for resolving the pole attachment dispute before </w:t>
      </w:r>
      <w:r w:rsidR="00641673">
        <w:rPr>
          <w:sz w:val="26"/>
          <w:szCs w:val="26"/>
        </w:rPr>
        <w:t>the Commission</w:t>
      </w:r>
      <w:r w:rsidRPr="00021A4E">
        <w:rPr>
          <w:sz w:val="26"/>
          <w:szCs w:val="26"/>
        </w:rPr>
        <w:t xml:space="preserve">.  </w:t>
      </w:r>
    </w:p>
    <w:p w14:paraId="6BB42110" w14:textId="77777777" w:rsidR="00021A4E" w:rsidRPr="00021A4E" w:rsidRDefault="00021A4E">
      <w:pPr>
        <w:widowControl/>
        <w:autoSpaceDE w:val="0"/>
        <w:autoSpaceDN w:val="0"/>
        <w:adjustRightInd w:val="0"/>
        <w:spacing w:line="360" w:lineRule="auto"/>
        <w:rPr>
          <w:sz w:val="26"/>
          <w:szCs w:val="26"/>
        </w:rPr>
      </w:pPr>
    </w:p>
    <w:p w14:paraId="78654DA8" w14:textId="2B0D157B" w:rsidR="00021A4E" w:rsidRPr="00021A4E" w:rsidRDefault="00021A4E">
      <w:pPr>
        <w:widowControl/>
        <w:autoSpaceDE w:val="0"/>
        <w:autoSpaceDN w:val="0"/>
        <w:adjustRightInd w:val="0"/>
        <w:spacing w:line="360" w:lineRule="auto"/>
        <w:rPr>
          <w:sz w:val="26"/>
          <w:szCs w:val="26"/>
        </w:rPr>
      </w:pPr>
      <w:r w:rsidRPr="00021A4E">
        <w:rPr>
          <w:sz w:val="26"/>
          <w:szCs w:val="26"/>
        </w:rPr>
        <w:tab/>
      </w:r>
      <w:r w:rsidRPr="00021A4E">
        <w:rPr>
          <w:sz w:val="26"/>
          <w:szCs w:val="26"/>
        </w:rPr>
        <w:tab/>
        <w:t xml:space="preserve">FirstEnergy’s primary claim – that the request pertains to the release of aggregate total revenue decrease and the total refund amount and not to specific rates paid by Verizon under its JUAs – is without merit.  Verizon refutes this claim by showing how the aggregate data can be utilized with publicly available data to calculate commercially sensitive information which the Parties have deemed proprietary under the Stipulated Protective Agreement.  Verizon explains how disclosing the requested total refund amount of </w:t>
      </w:r>
      <w:r w:rsidRPr="00021A4E">
        <w:rPr>
          <w:b/>
          <w:bCs/>
          <w:sz w:val="26"/>
          <w:szCs w:val="26"/>
        </w:rPr>
        <w:t>***</w:t>
      </w:r>
      <w:r w:rsidRPr="00021A4E">
        <w:rPr>
          <w:b/>
          <w:bCs/>
          <w:caps/>
          <w:sz w:val="26"/>
          <w:szCs w:val="26"/>
        </w:rPr>
        <w:t>Begin Proprietary</w:t>
      </w:r>
      <w:r w:rsidRPr="00021A4E">
        <w:rPr>
          <w:b/>
          <w:bCs/>
          <w:sz w:val="26"/>
          <w:szCs w:val="26"/>
        </w:rPr>
        <w:t xml:space="preserve">*** ***END PROPRIETARY*** </w:t>
      </w:r>
      <w:r w:rsidRPr="00021A4E">
        <w:rPr>
          <w:sz w:val="26"/>
          <w:szCs w:val="26"/>
        </w:rPr>
        <w:t>on</w:t>
      </w:r>
      <w:r w:rsidR="007E4FDA">
        <w:rPr>
          <w:sz w:val="26"/>
          <w:szCs w:val="26"/>
        </w:rPr>
        <w:t> </w:t>
      </w:r>
      <w:r w:rsidRPr="00021A4E">
        <w:rPr>
          <w:sz w:val="26"/>
          <w:szCs w:val="26"/>
        </w:rPr>
        <w:t xml:space="preserve">an annual basis of </w:t>
      </w:r>
      <w:r w:rsidRPr="00021A4E">
        <w:rPr>
          <w:b/>
          <w:bCs/>
          <w:sz w:val="26"/>
          <w:szCs w:val="26"/>
        </w:rPr>
        <w:t>***</w:t>
      </w:r>
      <w:r w:rsidRPr="00021A4E">
        <w:rPr>
          <w:b/>
          <w:bCs/>
          <w:caps/>
          <w:sz w:val="26"/>
          <w:szCs w:val="26"/>
        </w:rPr>
        <w:t>Begin Proprietary</w:t>
      </w:r>
      <w:r w:rsidRPr="00021A4E">
        <w:rPr>
          <w:b/>
          <w:bCs/>
          <w:sz w:val="26"/>
          <w:szCs w:val="26"/>
        </w:rPr>
        <w:t xml:space="preserve">*** ***END PROPRIETARY*** </w:t>
      </w:r>
      <w:r w:rsidRPr="00021A4E">
        <w:rPr>
          <w:sz w:val="26"/>
          <w:szCs w:val="26"/>
        </w:rPr>
        <w:t>would reveal Verizon’s annual rental payment to FirstEnergy</w:t>
      </w:r>
      <w:r w:rsidR="00423170">
        <w:rPr>
          <w:sz w:val="26"/>
          <w:szCs w:val="26"/>
        </w:rPr>
        <w:t>,</w:t>
      </w:r>
      <w:r w:rsidRPr="00021A4E">
        <w:rPr>
          <w:sz w:val="26"/>
          <w:szCs w:val="26"/>
        </w:rPr>
        <w:t xml:space="preserve"> which is deemed proprietary.  Applying 47 C.F.R. § 1.1407(a)(3), which the Commission incorporated pursuant to 52 Pa. Code § 77.4(a), a competitor could calculate the difference between the amount paid under the allegedly unjust or unreasonable rate (a confidential number of </w:t>
      </w:r>
      <w:r w:rsidRPr="00021A4E">
        <w:rPr>
          <w:b/>
          <w:bCs/>
          <w:sz w:val="26"/>
          <w:szCs w:val="26"/>
        </w:rPr>
        <w:t>***</w:t>
      </w:r>
      <w:r w:rsidRPr="00021A4E">
        <w:rPr>
          <w:b/>
          <w:bCs/>
          <w:caps/>
          <w:sz w:val="26"/>
          <w:szCs w:val="26"/>
        </w:rPr>
        <w:t>Begin Proprietary</w:t>
      </w:r>
      <w:r w:rsidRPr="00021A4E">
        <w:rPr>
          <w:b/>
          <w:bCs/>
          <w:sz w:val="26"/>
          <w:szCs w:val="26"/>
        </w:rPr>
        <w:t>*** ***END PROPRIETARY***</w:t>
      </w:r>
      <w:r w:rsidR="000F4DEB" w:rsidRPr="006F5B5B">
        <w:rPr>
          <w:sz w:val="26"/>
          <w:szCs w:val="26"/>
        </w:rPr>
        <w:t>)</w:t>
      </w:r>
      <w:r w:rsidRPr="006F5B5B">
        <w:rPr>
          <w:sz w:val="26"/>
          <w:szCs w:val="26"/>
        </w:rPr>
        <w:t xml:space="preserve"> </w:t>
      </w:r>
      <w:r w:rsidRPr="00021A4E">
        <w:rPr>
          <w:sz w:val="26"/>
          <w:szCs w:val="26"/>
        </w:rPr>
        <w:t xml:space="preserve">and the amount that would have been paid under the new telecom rate formula plus interest, a number which Verizon has publicly asserted is $7.55 million.  Answer to Motion at 2-3.  Accordingly, FirstEnergy’s request to unseal the refund amount is also an apparent request to reveal the total amount Verizon pays FirstEnergy under the Parties’ JUAs.  </w:t>
      </w:r>
    </w:p>
    <w:p w14:paraId="61612722" w14:textId="77777777" w:rsidR="00021A4E" w:rsidRPr="00021A4E" w:rsidRDefault="00021A4E">
      <w:pPr>
        <w:widowControl/>
        <w:autoSpaceDE w:val="0"/>
        <w:autoSpaceDN w:val="0"/>
        <w:adjustRightInd w:val="0"/>
        <w:spacing w:line="360" w:lineRule="auto"/>
        <w:rPr>
          <w:sz w:val="26"/>
          <w:szCs w:val="26"/>
        </w:rPr>
      </w:pPr>
    </w:p>
    <w:p w14:paraId="67271BFD" w14:textId="6EF79E01" w:rsidR="00021A4E" w:rsidRDefault="00021A4E" w:rsidP="00BD45EC">
      <w:pPr>
        <w:widowControl/>
        <w:autoSpaceDE w:val="0"/>
        <w:autoSpaceDN w:val="0"/>
        <w:adjustRightInd w:val="0"/>
        <w:spacing w:line="360" w:lineRule="auto"/>
        <w:ind w:firstLine="1440"/>
        <w:rPr>
          <w:sz w:val="26"/>
          <w:szCs w:val="26"/>
        </w:rPr>
      </w:pPr>
      <w:r w:rsidRPr="00021A4E">
        <w:rPr>
          <w:sz w:val="26"/>
          <w:szCs w:val="26"/>
        </w:rPr>
        <w:lastRenderedPageBreak/>
        <w:t xml:space="preserve">Additionally, Verizon has established that the Motion also requests the unsealing of categories of confidential information that can be utilized to reverse calculate specific rates Verizon pays under each of the JUAs.  As an example, Verizon cites to FirstEnergy’s proposal to unseal the fact that the new telecom rate is about </w:t>
      </w:r>
      <w:bookmarkStart w:id="6" w:name="_Hlk55224176"/>
      <w:r w:rsidRPr="00021A4E">
        <w:rPr>
          <w:b/>
          <w:bCs/>
          <w:sz w:val="26"/>
          <w:szCs w:val="26"/>
        </w:rPr>
        <w:t>***</w:t>
      </w:r>
      <w:r w:rsidRPr="00021A4E">
        <w:rPr>
          <w:b/>
          <w:bCs/>
          <w:caps/>
          <w:sz w:val="26"/>
          <w:szCs w:val="26"/>
        </w:rPr>
        <w:t>Begin Proprietary</w:t>
      </w:r>
      <w:r w:rsidRPr="00021A4E">
        <w:rPr>
          <w:b/>
          <w:bCs/>
          <w:sz w:val="26"/>
          <w:szCs w:val="26"/>
        </w:rPr>
        <w:t>*** ***END PROPRIETARY***</w:t>
      </w:r>
      <w:bookmarkEnd w:id="6"/>
      <w:r w:rsidRPr="00021A4E">
        <w:rPr>
          <w:sz w:val="26"/>
          <w:szCs w:val="26"/>
        </w:rPr>
        <w:t xml:space="preserve"> the rate FirstEnergy has been charging Verizon.  Noting that the new telecom rates are public, Verizon contends that multiplying them by the proprietary rate amount would reveal the confidential rates with near precision.  Verizon also argues that FirstEnergy’s request to unseal the specific pole attachment rental amounts Verizon paid the Companies in 2019 would necessarily disclose the confidential rates Verizon pays FirstEnergy.  Submitting that pole attachment rent is a matter of price multiplied by quantity, Verizon explains that the quantity input – the number of shared utility poles – is publicly known.  As such, Verizon continues, revealing the confidential rental amounts would also disclose the confidential rates Verizon pays to First Energy.  In support, Verizon asserts:</w:t>
      </w:r>
    </w:p>
    <w:p w14:paraId="38D0EE2B" w14:textId="77777777" w:rsidR="00AF5265" w:rsidRPr="00021A4E" w:rsidRDefault="00AF5265" w:rsidP="005C54B5">
      <w:pPr>
        <w:widowControl/>
        <w:autoSpaceDE w:val="0"/>
        <w:autoSpaceDN w:val="0"/>
        <w:adjustRightInd w:val="0"/>
        <w:ind w:firstLine="1440"/>
        <w:rPr>
          <w:sz w:val="26"/>
          <w:szCs w:val="26"/>
        </w:rPr>
      </w:pPr>
    </w:p>
    <w:p w14:paraId="0C400719" w14:textId="0A9A018A" w:rsidR="00021A4E" w:rsidRPr="00021A4E" w:rsidRDefault="00021A4E">
      <w:pPr>
        <w:widowControl/>
        <w:autoSpaceDE w:val="0"/>
        <w:autoSpaceDN w:val="0"/>
        <w:adjustRightInd w:val="0"/>
        <w:ind w:left="1440" w:right="1440"/>
        <w:rPr>
          <w:sz w:val="26"/>
          <w:szCs w:val="26"/>
        </w:rPr>
      </w:pPr>
      <w:r w:rsidRPr="00021A4E">
        <w:rPr>
          <w:sz w:val="26"/>
          <w:szCs w:val="26"/>
        </w:rPr>
        <w:t>[S]</w:t>
      </w:r>
      <w:proofErr w:type="spellStart"/>
      <w:r w:rsidRPr="00021A4E">
        <w:rPr>
          <w:sz w:val="26"/>
          <w:szCs w:val="26"/>
        </w:rPr>
        <w:t>tating</w:t>
      </w:r>
      <w:proofErr w:type="spellEnd"/>
      <w:r w:rsidRPr="00021A4E">
        <w:rPr>
          <w:sz w:val="26"/>
          <w:szCs w:val="26"/>
        </w:rPr>
        <w:t xml:space="preserve"> that Verizon paid Met-Ed </w:t>
      </w:r>
      <w:r w:rsidRPr="00021A4E">
        <w:rPr>
          <w:b/>
          <w:bCs/>
          <w:sz w:val="26"/>
          <w:szCs w:val="26"/>
        </w:rPr>
        <w:t>***</w:t>
      </w:r>
      <w:r w:rsidRPr="00021A4E">
        <w:rPr>
          <w:b/>
          <w:bCs/>
          <w:caps/>
          <w:sz w:val="26"/>
          <w:szCs w:val="26"/>
        </w:rPr>
        <w:t>Begin Proprietary</w:t>
      </w:r>
      <w:r w:rsidRPr="00021A4E">
        <w:rPr>
          <w:b/>
          <w:bCs/>
          <w:sz w:val="26"/>
          <w:szCs w:val="26"/>
        </w:rPr>
        <w:t xml:space="preserve">*** ***END PROPRIETARY*** </w:t>
      </w:r>
      <w:r w:rsidRPr="00021A4E">
        <w:rPr>
          <w:sz w:val="26"/>
          <w:szCs w:val="26"/>
        </w:rPr>
        <w:t>in</w:t>
      </w:r>
      <w:r w:rsidR="005F5F94">
        <w:rPr>
          <w:sz w:val="26"/>
          <w:szCs w:val="26"/>
        </w:rPr>
        <w:t> </w:t>
      </w:r>
      <w:r w:rsidRPr="00021A4E">
        <w:rPr>
          <w:sz w:val="26"/>
          <w:szCs w:val="26"/>
        </w:rPr>
        <w:t xml:space="preserve">2019 is the same as stating that Verizon paid about </w:t>
      </w:r>
      <w:r w:rsidRPr="00021A4E">
        <w:rPr>
          <w:b/>
          <w:bCs/>
          <w:sz w:val="26"/>
          <w:szCs w:val="26"/>
        </w:rPr>
        <w:t>***</w:t>
      </w:r>
      <w:r w:rsidRPr="00021A4E">
        <w:rPr>
          <w:b/>
          <w:bCs/>
          <w:caps/>
          <w:sz w:val="26"/>
          <w:szCs w:val="26"/>
        </w:rPr>
        <w:t>Begin Proprietary</w:t>
      </w:r>
      <w:r w:rsidRPr="00021A4E">
        <w:rPr>
          <w:b/>
          <w:bCs/>
          <w:sz w:val="26"/>
          <w:szCs w:val="26"/>
        </w:rPr>
        <w:t xml:space="preserve">*** ***END PROPRIETARY*** </w:t>
      </w:r>
      <w:r w:rsidRPr="00021A4E">
        <w:rPr>
          <w:sz w:val="26"/>
          <w:szCs w:val="26"/>
        </w:rPr>
        <w:t xml:space="preserve">per pole because the parties pay the same effective rate (the exact rate was </w:t>
      </w:r>
      <w:r w:rsidRPr="00021A4E">
        <w:rPr>
          <w:b/>
          <w:bCs/>
          <w:sz w:val="26"/>
          <w:szCs w:val="26"/>
        </w:rPr>
        <w:t>***</w:t>
      </w:r>
      <w:r w:rsidRPr="00021A4E">
        <w:rPr>
          <w:b/>
          <w:bCs/>
          <w:caps/>
          <w:sz w:val="26"/>
          <w:szCs w:val="26"/>
        </w:rPr>
        <w:t>Begin Proprietary</w:t>
      </w:r>
      <w:r w:rsidRPr="00021A4E">
        <w:rPr>
          <w:b/>
          <w:bCs/>
          <w:sz w:val="26"/>
          <w:szCs w:val="26"/>
        </w:rPr>
        <w:t xml:space="preserve">*** ***END PROPRIETARY*** </w:t>
      </w:r>
      <w:r w:rsidRPr="00021A4E">
        <w:rPr>
          <w:sz w:val="26"/>
          <w:szCs w:val="26"/>
        </w:rPr>
        <w:t>per</w:t>
      </w:r>
      <w:r w:rsidR="00104B51">
        <w:rPr>
          <w:sz w:val="26"/>
          <w:szCs w:val="26"/>
        </w:rPr>
        <w:t> </w:t>
      </w:r>
      <w:r w:rsidRPr="00021A4E">
        <w:rPr>
          <w:sz w:val="26"/>
          <w:szCs w:val="26"/>
        </w:rPr>
        <w:t xml:space="preserve">pole).  The effective rate is calculated by dividing Verizon’s total payment by the “net” number of poles Verizon uses (meaning the 129,421 Met-Ed poles used by Verizon less the 30,027 Verizon poles used by Met-Ed) because rent on the overlapping number of poles cancels out: </w:t>
      </w:r>
      <w:r w:rsidRPr="00021A4E">
        <w:rPr>
          <w:b/>
          <w:bCs/>
          <w:sz w:val="26"/>
          <w:szCs w:val="26"/>
        </w:rPr>
        <w:t>***</w:t>
      </w:r>
      <w:r w:rsidRPr="00021A4E">
        <w:rPr>
          <w:b/>
          <w:bCs/>
          <w:caps/>
          <w:sz w:val="26"/>
          <w:szCs w:val="26"/>
        </w:rPr>
        <w:t>Begin Proprietary</w:t>
      </w:r>
      <w:r w:rsidRPr="00021A4E">
        <w:rPr>
          <w:b/>
          <w:bCs/>
          <w:sz w:val="26"/>
          <w:szCs w:val="26"/>
        </w:rPr>
        <w:t xml:space="preserve">*** ***END PROPRIETARY*** </w:t>
      </w:r>
      <w:r w:rsidRPr="00021A4E">
        <w:rPr>
          <w:sz w:val="26"/>
          <w:szCs w:val="26"/>
        </w:rPr>
        <w:t xml:space="preserve"> </w:t>
      </w:r>
      <w:r w:rsidRPr="00021A4E">
        <w:rPr>
          <w:b/>
          <w:bCs/>
          <w:sz w:val="26"/>
          <w:szCs w:val="26"/>
        </w:rPr>
        <w:t>***</w:t>
      </w:r>
      <w:r w:rsidRPr="00021A4E">
        <w:rPr>
          <w:b/>
          <w:bCs/>
          <w:caps/>
          <w:sz w:val="26"/>
          <w:szCs w:val="26"/>
        </w:rPr>
        <w:t>Begin Proprietary</w:t>
      </w:r>
      <w:r w:rsidRPr="00021A4E">
        <w:rPr>
          <w:b/>
          <w:bCs/>
          <w:sz w:val="26"/>
          <w:szCs w:val="26"/>
        </w:rPr>
        <w:t xml:space="preserve">*** </w:t>
      </w:r>
      <w:r w:rsidRPr="00021A4E">
        <w:rPr>
          <w:sz w:val="26"/>
          <w:szCs w:val="26"/>
        </w:rPr>
        <w:t xml:space="preserve"> </w:t>
      </w:r>
      <w:r w:rsidRPr="00021A4E">
        <w:rPr>
          <w:b/>
          <w:bCs/>
          <w:sz w:val="26"/>
          <w:szCs w:val="26"/>
        </w:rPr>
        <w:t xml:space="preserve">***END PROPRIETARY*** </w:t>
      </w:r>
      <w:r w:rsidRPr="00021A4E">
        <w:rPr>
          <w:sz w:val="26"/>
          <w:szCs w:val="26"/>
        </w:rPr>
        <w:t xml:space="preserve">per pole. </w:t>
      </w:r>
    </w:p>
    <w:p w14:paraId="0F5D1251" w14:textId="77777777" w:rsidR="00021A4E" w:rsidRPr="00021A4E" w:rsidRDefault="00021A4E">
      <w:pPr>
        <w:widowControl/>
        <w:autoSpaceDE w:val="0"/>
        <w:autoSpaceDN w:val="0"/>
        <w:adjustRightInd w:val="0"/>
        <w:spacing w:line="360" w:lineRule="auto"/>
        <w:ind w:firstLine="1440"/>
        <w:rPr>
          <w:sz w:val="26"/>
          <w:szCs w:val="26"/>
        </w:rPr>
      </w:pPr>
    </w:p>
    <w:p w14:paraId="009464CD" w14:textId="77777777" w:rsidR="00021A4E" w:rsidRPr="00021A4E" w:rsidRDefault="00021A4E">
      <w:pPr>
        <w:widowControl/>
        <w:autoSpaceDE w:val="0"/>
        <w:autoSpaceDN w:val="0"/>
        <w:adjustRightInd w:val="0"/>
        <w:spacing w:line="360" w:lineRule="auto"/>
        <w:rPr>
          <w:sz w:val="26"/>
          <w:szCs w:val="26"/>
        </w:rPr>
      </w:pPr>
      <w:r w:rsidRPr="00021A4E">
        <w:rPr>
          <w:sz w:val="26"/>
          <w:szCs w:val="26"/>
        </w:rPr>
        <w:lastRenderedPageBreak/>
        <w:t>Answer to Motion at 4, n.14.  Here, we agree with Verizon that, contrary to the representations in the Motion, unsealing the data would allow for the reverse calculation of the rates Verizon pays to FirstEnergy under the JUAs.</w:t>
      </w:r>
      <w:r w:rsidRPr="00021A4E">
        <w:rPr>
          <w:sz w:val="26"/>
          <w:szCs w:val="26"/>
          <w:vertAlign w:val="superscript"/>
        </w:rPr>
        <w:footnoteReference w:id="7"/>
      </w:r>
      <w:r w:rsidRPr="00021A4E">
        <w:rPr>
          <w:sz w:val="26"/>
          <w:szCs w:val="26"/>
        </w:rPr>
        <w:t xml:space="preserve">   </w:t>
      </w:r>
    </w:p>
    <w:p w14:paraId="57EBC8DD" w14:textId="77777777" w:rsidR="00021A4E" w:rsidRPr="00021A4E" w:rsidRDefault="00021A4E">
      <w:pPr>
        <w:widowControl/>
        <w:autoSpaceDE w:val="0"/>
        <w:autoSpaceDN w:val="0"/>
        <w:adjustRightInd w:val="0"/>
        <w:spacing w:line="360" w:lineRule="auto"/>
        <w:rPr>
          <w:sz w:val="26"/>
          <w:szCs w:val="26"/>
        </w:rPr>
      </w:pPr>
    </w:p>
    <w:p w14:paraId="0B85AF90" w14:textId="2CC237AC" w:rsidR="00021A4E" w:rsidRPr="00021A4E" w:rsidRDefault="00021A4E">
      <w:pPr>
        <w:widowControl/>
        <w:autoSpaceDE w:val="0"/>
        <w:autoSpaceDN w:val="0"/>
        <w:adjustRightInd w:val="0"/>
        <w:spacing w:line="360" w:lineRule="auto"/>
        <w:ind w:firstLine="1440"/>
        <w:rPr>
          <w:sz w:val="26"/>
          <w:szCs w:val="26"/>
        </w:rPr>
      </w:pPr>
      <w:r w:rsidRPr="00021A4E">
        <w:rPr>
          <w:sz w:val="26"/>
          <w:szCs w:val="26"/>
        </w:rPr>
        <w:t xml:space="preserve">Verizon has also established that rates paid under similar agreements have traditionally been treated as proprietary due to their commercially sensitive nature.  In </w:t>
      </w:r>
      <w:r w:rsidRPr="00021A4E">
        <w:rPr>
          <w:i/>
          <w:iCs/>
          <w:sz w:val="26"/>
          <w:szCs w:val="26"/>
        </w:rPr>
        <w:t>PPL Telcom</w:t>
      </w:r>
      <w:r w:rsidRPr="00021A4E">
        <w:rPr>
          <w:sz w:val="26"/>
          <w:szCs w:val="26"/>
        </w:rPr>
        <w:t xml:space="preserve"> we addressed whether information contained in a wireless agreement between PPL Electric Utilities Corporation (PPL Electric) and PPL Telcom, which granted PPL Telcom a license to install, operate and maintain wireless equipment on PPL Electric’s facilities, should remain confidential.  PPL Electric argued that the terms and conditions under which PPL Telcom could attach wireless equipment to PPL Electric’s facilities including negotiated pricing information is of a sensitive nature.  We agreed that the release of information regarding the terms and conditions under which PPL Telcom may attach its wireless equipment would enable competitors to formulate a competitive strategy using company-specific and guarded information.  Thus, we concluded that the potential harm to PPL Electric outweighed any benefit the public may receive from the release of the information.  </w:t>
      </w:r>
      <w:r w:rsidRPr="00021A4E">
        <w:rPr>
          <w:i/>
          <w:iCs/>
          <w:sz w:val="26"/>
          <w:szCs w:val="26"/>
        </w:rPr>
        <w:t>PPL Telcom</w:t>
      </w:r>
      <w:r w:rsidRPr="00021A4E">
        <w:rPr>
          <w:sz w:val="26"/>
          <w:szCs w:val="26"/>
        </w:rPr>
        <w:t xml:space="preserve"> at *2.  </w:t>
      </w:r>
    </w:p>
    <w:p w14:paraId="22ACEE1F" w14:textId="77777777" w:rsidR="00021A4E" w:rsidRPr="00021A4E" w:rsidRDefault="00021A4E">
      <w:pPr>
        <w:widowControl/>
        <w:autoSpaceDE w:val="0"/>
        <w:autoSpaceDN w:val="0"/>
        <w:adjustRightInd w:val="0"/>
        <w:spacing w:line="360" w:lineRule="auto"/>
        <w:ind w:firstLine="1440"/>
        <w:rPr>
          <w:sz w:val="26"/>
          <w:szCs w:val="26"/>
        </w:rPr>
      </w:pPr>
    </w:p>
    <w:p w14:paraId="5F37E7B0" w14:textId="77777777" w:rsidR="00021A4E" w:rsidRPr="00021A4E" w:rsidRDefault="00021A4E">
      <w:pPr>
        <w:widowControl/>
        <w:autoSpaceDE w:val="0"/>
        <w:autoSpaceDN w:val="0"/>
        <w:adjustRightInd w:val="0"/>
        <w:spacing w:line="360" w:lineRule="auto"/>
        <w:ind w:firstLine="1440"/>
        <w:rPr>
          <w:sz w:val="26"/>
          <w:szCs w:val="26"/>
        </w:rPr>
      </w:pPr>
      <w:r w:rsidRPr="00021A4E">
        <w:rPr>
          <w:sz w:val="26"/>
          <w:szCs w:val="26"/>
        </w:rPr>
        <w:t xml:space="preserve">Similarly, Verizon has argued that the disclosure of the JUA rates, rental amounts, and requested refunds would cause competitive harm by disclosing cost information to communications competitors.  Specifically, disclosure would alert Verizon’s competitors about rate disparities in Pennsylvania and provide opportunities to exploit the disparities when making deployment decisions.  Verizon also emphasizes that the information would provide competitors with valuable insight into how it structures and prices its leasing operations and would enable competitors to determine the relative </w:t>
      </w:r>
      <w:r w:rsidRPr="00021A4E">
        <w:rPr>
          <w:sz w:val="26"/>
          <w:szCs w:val="26"/>
        </w:rPr>
        <w:lastRenderedPageBreak/>
        <w:t xml:space="preserve">strengths and weaknesses in Verizon’s markets.  Additionally, Verizon contends that the disclosure would negatively impact its relationships and rate negotiations with other electric utilities.  We agree that these circumstances support a finding that the proprietary information set forth in the Parties’ Stipulated Protective Agreement should remain confidential in this proceeding, particularly at this late stage of the litigation.  </w:t>
      </w:r>
    </w:p>
    <w:p w14:paraId="7EC02F43" w14:textId="77777777" w:rsidR="00021A4E" w:rsidRPr="00021A4E" w:rsidRDefault="00021A4E">
      <w:pPr>
        <w:widowControl/>
        <w:autoSpaceDE w:val="0"/>
        <w:autoSpaceDN w:val="0"/>
        <w:adjustRightInd w:val="0"/>
        <w:spacing w:line="360" w:lineRule="auto"/>
        <w:ind w:firstLine="1440"/>
        <w:rPr>
          <w:sz w:val="26"/>
          <w:szCs w:val="26"/>
        </w:rPr>
      </w:pPr>
    </w:p>
    <w:p w14:paraId="2DE225DC" w14:textId="77777777" w:rsidR="00021A4E" w:rsidRPr="00021A4E" w:rsidRDefault="00021A4E">
      <w:pPr>
        <w:widowControl/>
        <w:spacing w:line="360" w:lineRule="auto"/>
        <w:ind w:firstLine="1440"/>
        <w:contextualSpacing/>
        <w:rPr>
          <w:bCs/>
          <w:sz w:val="26"/>
          <w:szCs w:val="26"/>
        </w:rPr>
      </w:pPr>
      <w:r w:rsidRPr="00021A4E">
        <w:rPr>
          <w:sz w:val="26"/>
          <w:szCs w:val="26"/>
        </w:rPr>
        <w:t>This determination does not in any way impact the Commission’s ability to consider the record evidence or to issue a final decision in this proceeding.  Furthermore, our ruling should not be construed as prejudicing the rights of the Parties to address the continued proprietary status of information under the Stipulated Protective Agreement in any future Commission-related proceeding.</w:t>
      </w:r>
    </w:p>
    <w:p w14:paraId="0F80BA94" w14:textId="4DBCF47B" w:rsidR="004B6B92" w:rsidRDefault="004B6B92">
      <w:pPr>
        <w:widowControl/>
        <w:spacing w:after="200" w:line="276" w:lineRule="auto"/>
        <w:rPr>
          <w:b/>
          <w:bCs/>
          <w:sz w:val="26"/>
          <w:szCs w:val="26"/>
        </w:rPr>
      </w:pPr>
    </w:p>
    <w:p w14:paraId="2C3343D9" w14:textId="1695E50C" w:rsidR="004B6B92" w:rsidRDefault="004B6B92">
      <w:pPr>
        <w:widowControl/>
        <w:tabs>
          <w:tab w:val="left" w:pos="-720"/>
        </w:tabs>
        <w:suppressAutoHyphens/>
        <w:spacing w:line="360" w:lineRule="auto"/>
        <w:jc w:val="center"/>
        <w:rPr>
          <w:b/>
          <w:bCs/>
          <w:sz w:val="26"/>
          <w:szCs w:val="26"/>
        </w:rPr>
      </w:pPr>
      <w:r w:rsidRPr="004B6B92">
        <w:rPr>
          <w:b/>
          <w:bCs/>
          <w:sz w:val="26"/>
          <w:szCs w:val="26"/>
        </w:rPr>
        <w:t>Conclusion</w:t>
      </w:r>
    </w:p>
    <w:p w14:paraId="1D57D843" w14:textId="4E1049BF" w:rsidR="004B6B92" w:rsidRDefault="004B6B92">
      <w:pPr>
        <w:widowControl/>
        <w:tabs>
          <w:tab w:val="left" w:pos="-720"/>
        </w:tabs>
        <w:suppressAutoHyphens/>
        <w:spacing w:line="360" w:lineRule="auto"/>
        <w:jc w:val="center"/>
        <w:rPr>
          <w:b/>
          <w:bCs/>
          <w:sz w:val="26"/>
          <w:szCs w:val="26"/>
        </w:rPr>
      </w:pPr>
    </w:p>
    <w:p w14:paraId="22FA128A" w14:textId="5882829A" w:rsidR="004B6B92" w:rsidRPr="004B6B92" w:rsidRDefault="004B6B92">
      <w:pPr>
        <w:widowControl/>
        <w:spacing w:line="360" w:lineRule="auto"/>
        <w:ind w:firstLine="1440"/>
        <w:rPr>
          <w:sz w:val="26"/>
        </w:rPr>
      </w:pPr>
      <w:r>
        <w:rPr>
          <w:b/>
          <w:bCs/>
          <w:sz w:val="26"/>
          <w:szCs w:val="26"/>
        </w:rPr>
        <w:tab/>
      </w:r>
      <w:r>
        <w:rPr>
          <w:sz w:val="26"/>
          <w:szCs w:val="26"/>
        </w:rPr>
        <w:t xml:space="preserve">Upon review, we shall deny the Motion, consistent with this Opinion and Order; </w:t>
      </w:r>
      <w:r w:rsidRPr="004B6B92">
        <w:rPr>
          <w:b/>
          <w:sz w:val="26"/>
          <w:szCs w:val="26"/>
        </w:rPr>
        <w:t>THEREFORE,</w:t>
      </w:r>
    </w:p>
    <w:p w14:paraId="6EA5FB0B" w14:textId="77777777" w:rsidR="004B6B92" w:rsidRPr="004B6B92" w:rsidRDefault="004B6B92">
      <w:pPr>
        <w:widowControl/>
        <w:spacing w:line="360" w:lineRule="auto"/>
        <w:rPr>
          <w:sz w:val="26"/>
        </w:rPr>
      </w:pPr>
    </w:p>
    <w:p w14:paraId="709CB6B3" w14:textId="77777777" w:rsidR="004B6B92" w:rsidRPr="004B6B92" w:rsidRDefault="004B6B92">
      <w:pPr>
        <w:widowControl/>
        <w:spacing w:after="200" w:line="360" w:lineRule="auto"/>
        <w:ind w:firstLine="1440"/>
        <w:contextualSpacing/>
        <w:rPr>
          <w:rFonts w:eastAsiaTheme="minorHAnsi"/>
          <w:b/>
          <w:sz w:val="26"/>
          <w:szCs w:val="26"/>
        </w:rPr>
      </w:pPr>
      <w:r w:rsidRPr="004B6B92">
        <w:rPr>
          <w:rFonts w:eastAsiaTheme="minorHAnsi"/>
          <w:b/>
          <w:sz w:val="26"/>
          <w:szCs w:val="26"/>
        </w:rPr>
        <w:t>IT IS ORDERED:</w:t>
      </w:r>
    </w:p>
    <w:p w14:paraId="61EA0232" w14:textId="21D928B0" w:rsidR="004B6B92" w:rsidRDefault="004B6B92">
      <w:pPr>
        <w:widowControl/>
        <w:tabs>
          <w:tab w:val="left" w:pos="-720"/>
        </w:tabs>
        <w:suppressAutoHyphens/>
        <w:spacing w:line="360" w:lineRule="auto"/>
        <w:rPr>
          <w:sz w:val="26"/>
          <w:szCs w:val="26"/>
        </w:rPr>
      </w:pPr>
    </w:p>
    <w:p w14:paraId="22FA9A24" w14:textId="73F80291" w:rsidR="004B6B92" w:rsidRDefault="004B6B92" w:rsidP="00A47CDC">
      <w:pPr>
        <w:keepNext/>
        <w:widowControl/>
        <w:tabs>
          <w:tab w:val="left" w:pos="-720"/>
        </w:tabs>
        <w:suppressAutoHyphens/>
        <w:spacing w:line="360" w:lineRule="auto"/>
        <w:rPr>
          <w:sz w:val="26"/>
        </w:rPr>
      </w:pPr>
      <w:r>
        <w:rPr>
          <w:sz w:val="26"/>
          <w:szCs w:val="26"/>
        </w:rPr>
        <w:tab/>
      </w:r>
      <w:r>
        <w:rPr>
          <w:sz w:val="26"/>
          <w:szCs w:val="26"/>
        </w:rPr>
        <w:tab/>
        <w:t xml:space="preserve">That the </w:t>
      </w:r>
      <w:r>
        <w:rPr>
          <w:sz w:val="26"/>
        </w:rPr>
        <w:t xml:space="preserve">Motion to Unseal Certain Proprietary Information and Request for Expedited Consideration filed by Metropolitan Edison Company, Pennsylvania Electric </w:t>
      </w:r>
      <w:r>
        <w:rPr>
          <w:sz w:val="26"/>
        </w:rPr>
        <w:lastRenderedPageBreak/>
        <w:t>Company, and Pennsylvania Power Company on October 15, 2020</w:t>
      </w:r>
      <w:r w:rsidR="005A0E69">
        <w:rPr>
          <w:sz w:val="26"/>
        </w:rPr>
        <w:t xml:space="preserve">, is denied consistent with this Opinion and Order.  </w:t>
      </w:r>
    </w:p>
    <w:p w14:paraId="0C8763B9" w14:textId="41096B2D" w:rsidR="005A0E69" w:rsidRDefault="005A0E69" w:rsidP="00A47CDC">
      <w:pPr>
        <w:keepNext/>
        <w:widowControl/>
        <w:tabs>
          <w:tab w:val="left" w:pos="-720"/>
        </w:tabs>
        <w:suppressAutoHyphens/>
        <w:spacing w:line="360" w:lineRule="auto"/>
        <w:rPr>
          <w:sz w:val="26"/>
        </w:rPr>
      </w:pPr>
    </w:p>
    <w:p w14:paraId="4736B28E" w14:textId="07492298" w:rsidR="005A0E69" w:rsidRPr="005A0E69" w:rsidRDefault="002C520E" w:rsidP="005B54B3">
      <w:pPr>
        <w:keepNext/>
        <w:widowControl/>
        <w:spacing w:line="360" w:lineRule="auto"/>
        <w:ind w:firstLine="5040"/>
        <w:rPr>
          <w:sz w:val="26"/>
          <w:szCs w:val="26"/>
        </w:rPr>
      </w:pPr>
      <w:r w:rsidRPr="009F01BA">
        <w:rPr>
          <w:b/>
          <w:noProof/>
        </w:rPr>
        <w:drawing>
          <wp:anchor distT="0" distB="0" distL="114300" distR="114300" simplePos="0" relativeHeight="251659264" behindDoc="1" locked="0" layoutInCell="1" allowOverlap="1" wp14:anchorId="6346807B" wp14:editId="7B012B40">
            <wp:simplePos x="0" y="0"/>
            <wp:positionH relativeFrom="column">
              <wp:posOffset>3009900</wp:posOffset>
            </wp:positionH>
            <wp:positionV relativeFrom="paragraph">
              <wp:posOffset>207645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A0E69" w:rsidRPr="005A0E69">
        <w:rPr>
          <w:b/>
          <w:sz w:val="26"/>
          <w:szCs w:val="26"/>
        </w:rPr>
        <w:t>BY THE COMMISSION,</w:t>
      </w:r>
    </w:p>
    <w:p w14:paraId="186CD039" w14:textId="2CBE2F54" w:rsidR="005A0E69" w:rsidRPr="005A0E69" w:rsidRDefault="005A0E69" w:rsidP="005B54B3">
      <w:pPr>
        <w:keepNext/>
        <w:widowControl/>
        <w:ind w:firstLine="5040"/>
        <w:rPr>
          <w:sz w:val="26"/>
          <w:szCs w:val="26"/>
        </w:rPr>
      </w:pPr>
    </w:p>
    <w:p w14:paraId="217CDDFF" w14:textId="0F2B32D1" w:rsidR="005A0E69" w:rsidRPr="005A0E69" w:rsidRDefault="005A0E69" w:rsidP="005B54B3">
      <w:pPr>
        <w:keepNext/>
        <w:widowControl/>
        <w:ind w:firstLine="5040"/>
        <w:rPr>
          <w:sz w:val="26"/>
          <w:szCs w:val="26"/>
        </w:rPr>
      </w:pPr>
    </w:p>
    <w:p w14:paraId="4E5D3775" w14:textId="77777777" w:rsidR="005A0E69" w:rsidRPr="005A0E69" w:rsidRDefault="005A0E69" w:rsidP="005B54B3">
      <w:pPr>
        <w:keepNext/>
        <w:widowControl/>
        <w:ind w:firstLine="5040"/>
        <w:rPr>
          <w:sz w:val="26"/>
          <w:szCs w:val="26"/>
        </w:rPr>
      </w:pPr>
    </w:p>
    <w:p w14:paraId="692569B4" w14:textId="77777777" w:rsidR="005A0E69" w:rsidRPr="005A0E69" w:rsidRDefault="005A0E69" w:rsidP="005B54B3">
      <w:pPr>
        <w:keepNext/>
        <w:widowControl/>
        <w:ind w:firstLine="5040"/>
        <w:rPr>
          <w:sz w:val="26"/>
          <w:szCs w:val="26"/>
        </w:rPr>
      </w:pPr>
    </w:p>
    <w:p w14:paraId="5B55154D" w14:textId="77777777" w:rsidR="005A0E69" w:rsidRPr="005A0E69" w:rsidRDefault="005A0E69" w:rsidP="005B54B3">
      <w:pPr>
        <w:keepNext/>
        <w:widowControl/>
        <w:ind w:firstLine="5040"/>
        <w:rPr>
          <w:sz w:val="26"/>
          <w:szCs w:val="26"/>
        </w:rPr>
      </w:pPr>
      <w:r w:rsidRPr="005A0E69">
        <w:rPr>
          <w:sz w:val="26"/>
          <w:szCs w:val="26"/>
        </w:rPr>
        <w:t>Rosemary Chiavetta</w:t>
      </w:r>
    </w:p>
    <w:p w14:paraId="6A1F0EED" w14:textId="77777777" w:rsidR="005A0E69" w:rsidRPr="005A0E69" w:rsidRDefault="005A0E69" w:rsidP="005B54B3">
      <w:pPr>
        <w:keepNext/>
        <w:widowControl/>
        <w:ind w:firstLine="5040"/>
        <w:rPr>
          <w:sz w:val="26"/>
          <w:szCs w:val="26"/>
        </w:rPr>
      </w:pPr>
      <w:r w:rsidRPr="005A0E69">
        <w:rPr>
          <w:sz w:val="26"/>
          <w:szCs w:val="26"/>
        </w:rPr>
        <w:t>Secretary</w:t>
      </w:r>
    </w:p>
    <w:p w14:paraId="448C7FC7" w14:textId="77777777" w:rsidR="005A0E69" w:rsidRPr="005A0E69" w:rsidRDefault="005A0E69" w:rsidP="00A47CDC">
      <w:pPr>
        <w:keepNext/>
        <w:widowControl/>
        <w:rPr>
          <w:sz w:val="26"/>
          <w:szCs w:val="26"/>
        </w:rPr>
      </w:pPr>
    </w:p>
    <w:p w14:paraId="5D0EBB6D" w14:textId="77777777" w:rsidR="005A0E69" w:rsidRPr="005A0E69" w:rsidRDefault="005A0E69" w:rsidP="00A47CDC">
      <w:pPr>
        <w:keepNext/>
        <w:widowControl/>
        <w:rPr>
          <w:sz w:val="26"/>
          <w:szCs w:val="26"/>
        </w:rPr>
      </w:pPr>
      <w:r w:rsidRPr="005A0E69">
        <w:rPr>
          <w:sz w:val="26"/>
          <w:szCs w:val="26"/>
        </w:rPr>
        <w:t>(SEAL)</w:t>
      </w:r>
    </w:p>
    <w:p w14:paraId="19391F0A" w14:textId="77777777" w:rsidR="005A0E69" w:rsidRPr="005A0E69" w:rsidRDefault="005A0E69" w:rsidP="00A47CDC">
      <w:pPr>
        <w:keepNext/>
        <w:widowControl/>
        <w:rPr>
          <w:sz w:val="26"/>
          <w:szCs w:val="26"/>
        </w:rPr>
      </w:pPr>
    </w:p>
    <w:p w14:paraId="3F687F53" w14:textId="77777777" w:rsidR="005A0E69" w:rsidRPr="005A0E69" w:rsidRDefault="005A0E69" w:rsidP="00A47CDC">
      <w:pPr>
        <w:keepNext/>
        <w:widowControl/>
        <w:rPr>
          <w:sz w:val="26"/>
          <w:szCs w:val="26"/>
        </w:rPr>
      </w:pPr>
      <w:r w:rsidRPr="005A0E69">
        <w:rPr>
          <w:sz w:val="26"/>
          <w:szCs w:val="26"/>
        </w:rPr>
        <w:t>ORDER ADOPTED:  December 3, 2020</w:t>
      </w:r>
    </w:p>
    <w:p w14:paraId="26E971F0" w14:textId="77777777" w:rsidR="005A0E69" w:rsidRPr="005A0E69" w:rsidRDefault="005A0E69" w:rsidP="00A47CDC">
      <w:pPr>
        <w:keepNext/>
        <w:widowControl/>
        <w:rPr>
          <w:sz w:val="26"/>
          <w:szCs w:val="26"/>
        </w:rPr>
      </w:pPr>
    </w:p>
    <w:p w14:paraId="755133A2" w14:textId="67900F31" w:rsidR="005A0E69" w:rsidRPr="004B6B92" w:rsidRDefault="005A0E69" w:rsidP="00A47CDC">
      <w:pPr>
        <w:keepNext/>
        <w:widowControl/>
        <w:rPr>
          <w:sz w:val="26"/>
          <w:szCs w:val="26"/>
        </w:rPr>
      </w:pPr>
      <w:r w:rsidRPr="005A0E69">
        <w:rPr>
          <w:sz w:val="26"/>
          <w:szCs w:val="26"/>
        </w:rPr>
        <w:t xml:space="preserve">ORDER ENTERED:  </w:t>
      </w:r>
      <w:r w:rsidR="002C520E">
        <w:rPr>
          <w:sz w:val="26"/>
          <w:szCs w:val="26"/>
        </w:rPr>
        <w:t>December 3, 2020</w:t>
      </w:r>
    </w:p>
    <w:sectPr w:rsidR="005A0E69" w:rsidRPr="004B6B92" w:rsidSect="0000702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DB0DB" w14:textId="77777777" w:rsidR="009F5622" w:rsidRDefault="009F5622" w:rsidP="00021A4E">
      <w:r>
        <w:separator/>
      </w:r>
    </w:p>
  </w:endnote>
  <w:endnote w:type="continuationSeparator" w:id="0">
    <w:p w14:paraId="2D072EA4" w14:textId="77777777" w:rsidR="009F5622" w:rsidRDefault="009F5622" w:rsidP="0002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276703"/>
      <w:docPartObj>
        <w:docPartGallery w:val="Page Numbers (Bottom of Page)"/>
        <w:docPartUnique/>
      </w:docPartObj>
    </w:sdtPr>
    <w:sdtEndPr>
      <w:rPr>
        <w:noProof/>
        <w:sz w:val="26"/>
        <w:szCs w:val="26"/>
      </w:rPr>
    </w:sdtEndPr>
    <w:sdtContent>
      <w:p w14:paraId="52F55982" w14:textId="15C34FDF" w:rsidR="00007027" w:rsidRPr="00A47CDC" w:rsidRDefault="00007027" w:rsidP="00A47CDC">
        <w:pPr>
          <w:pStyle w:val="Footer"/>
          <w:jc w:val="center"/>
          <w:rPr>
            <w:sz w:val="26"/>
            <w:szCs w:val="26"/>
          </w:rPr>
        </w:pPr>
        <w:r w:rsidRPr="00A47CDC">
          <w:rPr>
            <w:sz w:val="26"/>
            <w:szCs w:val="26"/>
          </w:rPr>
          <w:fldChar w:fldCharType="begin"/>
        </w:r>
        <w:r w:rsidRPr="000476E1">
          <w:rPr>
            <w:sz w:val="26"/>
            <w:szCs w:val="26"/>
          </w:rPr>
          <w:instrText xml:space="preserve"> PAGE   \* MERGEFORMAT </w:instrText>
        </w:r>
        <w:r w:rsidRPr="00A47CDC">
          <w:rPr>
            <w:sz w:val="26"/>
            <w:szCs w:val="26"/>
          </w:rPr>
          <w:fldChar w:fldCharType="separate"/>
        </w:r>
        <w:r w:rsidRPr="000476E1">
          <w:rPr>
            <w:noProof/>
            <w:sz w:val="26"/>
            <w:szCs w:val="26"/>
          </w:rPr>
          <w:t>2</w:t>
        </w:r>
        <w:r w:rsidRPr="00A47CD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95802" w14:textId="77777777" w:rsidR="009F5622" w:rsidRDefault="009F5622" w:rsidP="00021A4E">
      <w:r>
        <w:separator/>
      </w:r>
    </w:p>
  </w:footnote>
  <w:footnote w:type="continuationSeparator" w:id="0">
    <w:p w14:paraId="42DB0CAC" w14:textId="77777777" w:rsidR="009F5622" w:rsidRDefault="009F5622" w:rsidP="00021A4E">
      <w:r>
        <w:continuationSeparator/>
      </w:r>
    </w:p>
  </w:footnote>
  <w:footnote w:id="1">
    <w:p w14:paraId="084CD94C" w14:textId="77777777" w:rsidR="00BE0C19" w:rsidRPr="00E3406F" w:rsidRDefault="00BE0C19" w:rsidP="00BE0C19">
      <w:pPr>
        <w:pStyle w:val="FootnoteText"/>
        <w:keepNext/>
        <w:keepLines/>
        <w:spacing w:after="120"/>
        <w:ind w:firstLine="720"/>
        <w:rPr>
          <w:sz w:val="26"/>
          <w:szCs w:val="26"/>
        </w:rPr>
      </w:pPr>
      <w:r w:rsidRPr="00E3406F">
        <w:rPr>
          <w:rStyle w:val="FootnoteReference"/>
          <w:sz w:val="26"/>
          <w:szCs w:val="26"/>
        </w:rPr>
        <w:footnoteRef/>
      </w:r>
      <w:r w:rsidRPr="00E3406F">
        <w:rPr>
          <w:sz w:val="26"/>
          <w:szCs w:val="26"/>
        </w:rPr>
        <w:t xml:space="preserve"> </w:t>
      </w:r>
      <w:r w:rsidRPr="00E3406F">
        <w:rPr>
          <w:sz w:val="26"/>
          <w:szCs w:val="26"/>
        </w:rPr>
        <w:tab/>
        <w:t>The Complaint was docketed by the FCC at Proceeding Number 19-354</w:t>
      </w:r>
      <w:r>
        <w:rPr>
          <w:sz w:val="26"/>
          <w:szCs w:val="26"/>
        </w:rPr>
        <w:t xml:space="preserve">, </w:t>
      </w:r>
      <w:r w:rsidRPr="006F55F7">
        <w:rPr>
          <w:sz w:val="26"/>
          <w:szCs w:val="26"/>
        </w:rPr>
        <w:t>Bureau ID No. EB-</w:t>
      </w:r>
      <w:r>
        <w:rPr>
          <w:sz w:val="26"/>
          <w:szCs w:val="26"/>
        </w:rPr>
        <w:t>19-MD-008.</w:t>
      </w:r>
    </w:p>
  </w:footnote>
  <w:footnote w:id="2">
    <w:p w14:paraId="10B6199A" w14:textId="77777777" w:rsidR="001E5F44" w:rsidRPr="00500191" w:rsidRDefault="001E5F44" w:rsidP="009613B9">
      <w:pPr>
        <w:pStyle w:val="FootnoteText"/>
        <w:keepNext/>
        <w:keepLines/>
        <w:ind w:firstLine="720"/>
        <w:rPr>
          <w:sz w:val="26"/>
          <w:szCs w:val="26"/>
        </w:rPr>
      </w:pPr>
      <w:r w:rsidRPr="00500191">
        <w:rPr>
          <w:rStyle w:val="FootnoteReference"/>
          <w:sz w:val="26"/>
          <w:szCs w:val="26"/>
        </w:rPr>
        <w:footnoteRef/>
      </w:r>
      <w:r w:rsidRPr="00500191">
        <w:rPr>
          <w:sz w:val="26"/>
          <w:szCs w:val="26"/>
        </w:rPr>
        <w:t xml:space="preserve"> </w:t>
      </w:r>
      <w:r w:rsidRPr="00500191">
        <w:rPr>
          <w:sz w:val="26"/>
          <w:szCs w:val="26"/>
        </w:rPr>
        <w:tab/>
      </w:r>
      <w:r w:rsidRPr="00500191">
        <w:rPr>
          <w:i/>
          <w:iCs/>
          <w:sz w:val="26"/>
          <w:szCs w:val="26"/>
        </w:rPr>
        <w:t>Implementation of Section 224 of the Act; A National Broadband Plan for Our Future</w:t>
      </w:r>
      <w:r w:rsidRPr="00500191">
        <w:rPr>
          <w:sz w:val="26"/>
          <w:szCs w:val="26"/>
        </w:rPr>
        <w:t>, 26 FCC Rcd 5240, 5331 (Report and Order and Order on Reconsideration</w:t>
      </w:r>
      <w:r>
        <w:rPr>
          <w:sz w:val="26"/>
          <w:szCs w:val="26"/>
        </w:rPr>
        <w:t xml:space="preserve"> dated April 7, 2011</w:t>
      </w:r>
      <w:r w:rsidRPr="00500191">
        <w:rPr>
          <w:sz w:val="26"/>
          <w:szCs w:val="26"/>
        </w:rPr>
        <w:t>) (</w:t>
      </w:r>
      <w:r w:rsidRPr="00500191">
        <w:rPr>
          <w:i/>
          <w:iCs/>
          <w:sz w:val="26"/>
          <w:szCs w:val="26"/>
        </w:rPr>
        <w:t>2011 Pole Attachment Order</w:t>
      </w:r>
      <w:r w:rsidRPr="00500191">
        <w:rPr>
          <w:sz w:val="26"/>
          <w:szCs w:val="26"/>
        </w:rPr>
        <w:t>).</w:t>
      </w:r>
    </w:p>
  </w:footnote>
  <w:footnote w:id="3">
    <w:p w14:paraId="0D12826D" w14:textId="7421B3D8" w:rsidR="009569CD" w:rsidRPr="00C209C6" w:rsidRDefault="009569CD" w:rsidP="009569CD">
      <w:pPr>
        <w:pStyle w:val="FootnoteText"/>
        <w:ind w:firstLine="720"/>
        <w:rPr>
          <w:sz w:val="26"/>
          <w:szCs w:val="26"/>
        </w:rPr>
      </w:pPr>
      <w:r w:rsidRPr="009569CD">
        <w:rPr>
          <w:rStyle w:val="FootnoteReference"/>
          <w:sz w:val="26"/>
          <w:szCs w:val="26"/>
        </w:rPr>
        <w:footnoteRef/>
      </w:r>
      <w:r w:rsidRPr="009569CD">
        <w:rPr>
          <w:sz w:val="26"/>
          <w:szCs w:val="26"/>
        </w:rPr>
        <w:t xml:space="preserve"> </w:t>
      </w:r>
      <w:r w:rsidRPr="009569CD">
        <w:rPr>
          <w:sz w:val="26"/>
          <w:szCs w:val="26"/>
        </w:rPr>
        <w:tab/>
      </w:r>
      <w:r w:rsidR="00341FEC" w:rsidRPr="00C209C6">
        <w:rPr>
          <w:sz w:val="26"/>
          <w:szCs w:val="26"/>
        </w:rPr>
        <w:t>The</w:t>
      </w:r>
      <w:r w:rsidR="00E41FAC" w:rsidRPr="00C209C6">
        <w:rPr>
          <w:sz w:val="26"/>
          <w:szCs w:val="26"/>
        </w:rPr>
        <w:t xml:space="preserve"> summary of these </w:t>
      </w:r>
      <w:r w:rsidR="00341FEC" w:rsidRPr="00C209C6">
        <w:rPr>
          <w:sz w:val="26"/>
          <w:szCs w:val="26"/>
        </w:rPr>
        <w:t xml:space="preserve">discussions and exchanges are </w:t>
      </w:r>
      <w:r w:rsidR="00E41FAC" w:rsidRPr="00C209C6">
        <w:rPr>
          <w:sz w:val="26"/>
          <w:szCs w:val="26"/>
        </w:rPr>
        <w:t>taken</w:t>
      </w:r>
      <w:r w:rsidR="00341FEC" w:rsidRPr="00C209C6">
        <w:rPr>
          <w:sz w:val="26"/>
          <w:szCs w:val="26"/>
        </w:rPr>
        <w:t xml:space="preserve"> from the Recommended Decision at page 3.   </w:t>
      </w:r>
    </w:p>
  </w:footnote>
  <w:footnote w:id="4">
    <w:p w14:paraId="113BACEC" w14:textId="6BE0849A" w:rsidR="00C209C6" w:rsidRPr="00C209C6" w:rsidRDefault="00C209C6" w:rsidP="00C209C6">
      <w:pPr>
        <w:pStyle w:val="FootnoteText"/>
        <w:keepNext/>
        <w:keepLines/>
        <w:ind w:firstLine="720"/>
        <w:rPr>
          <w:sz w:val="26"/>
          <w:szCs w:val="26"/>
        </w:rPr>
      </w:pPr>
      <w:r w:rsidRPr="00C209C6">
        <w:rPr>
          <w:rStyle w:val="FootnoteReference"/>
          <w:sz w:val="26"/>
          <w:szCs w:val="26"/>
        </w:rPr>
        <w:footnoteRef/>
      </w:r>
      <w:r w:rsidRPr="00C209C6">
        <w:rPr>
          <w:sz w:val="26"/>
          <w:szCs w:val="26"/>
        </w:rPr>
        <w:t xml:space="preserve"> </w:t>
      </w:r>
      <w:r>
        <w:rPr>
          <w:sz w:val="26"/>
          <w:szCs w:val="26"/>
        </w:rPr>
        <w:tab/>
      </w:r>
      <w:r w:rsidRPr="00C209C6">
        <w:rPr>
          <w:sz w:val="26"/>
          <w:szCs w:val="26"/>
        </w:rPr>
        <w:t xml:space="preserve">We note there </w:t>
      </w:r>
      <w:r>
        <w:rPr>
          <w:sz w:val="26"/>
          <w:szCs w:val="26"/>
        </w:rPr>
        <w:t xml:space="preserve">is a discrepancy in the dates </w:t>
      </w:r>
      <w:r w:rsidR="004A5F2A">
        <w:rPr>
          <w:sz w:val="26"/>
          <w:szCs w:val="26"/>
        </w:rPr>
        <w:t>which the</w:t>
      </w:r>
      <w:r>
        <w:rPr>
          <w:sz w:val="26"/>
          <w:szCs w:val="26"/>
        </w:rPr>
        <w:t xml:space="preserve"> Complaint </w:t>
      </w:r>
      <w:r w:rsidR="004A5F2A">
        <w:rPr>
          <w:sz w:val="26"/>
          <w:szCs w:val="26"/>
        </w:rPr>
        <w:t>is considered</w:t>
      </w:r>
      <w:r>
        <w:rPr>
          <w:sz w:val="26"/>
          <w:szCs w:val="26"/>
        </w:rPr>
        <w:t xml:space="preserve"> filed with the Commission.  According to the </w:t>
      </w:r>
      <w:r w:rsidRPr="00976E19">
        <w:rPr>
          <w:i/>
          <w:iCs/>
          <w:sz w:val="26"/>
          <w:szCs w:val="26"/>
        </w:rPr>
        <w:t>Scheduling Order</w:t>
      </w:r>
      <w:r>
        <w:rPr>
          <w:sz w:val="26"/>
          <w:szCs w:val="26"/>
        </w:rPr>
        <w:t xml:space="preserve">, the ALJ determined that the filing date for purposes of establishing the time frame for Commission action is </w:t>
      </w:r>
      <w:r w:rsidRPr="00C209C6">
        <w:rPr>
          <w:i/>
          <w:iCs/>
          <w:sz w:val="26"/>
          <w:szCs w:val="26"/>
        </w:rPr>
        <w:t>March 25, 2020</w:t>
      </w:r>
      <w:r>
        <w:rPr>
          <w:sz w:val="26"/>
          <w:szCs w:val="26"/>
        </w:rPr>
        <w:t xml:space="preserve">.  </w:t>
      </w:r>
      <w:r w:rsidRPr="00C209C6">
        <w:rPr>
          <w:i/>
          <w:iCs/>
          <w:sz w:val="26"/>
          <w:szCs w:val="26"/>
        </w:rPr>
        <w:t>Scheduling Order</w:t>
      </w:r>
      <w:r>
        <w:rPr>
          <w:sz w:val="26"/>
          <w:szCs w:val="26"/>
        </w:rPr>
        <w:t xml:space="preserve"> at 4.  However, the Recommended Decision states that th</w:t>
      </w:r>
      <w:r w:rsidR="00FA4EF6">
        <w:rPr>
          <w:sz w:val="26"/>
          <w:szCs w:val="26"/>
        </w:rPr>
        <w:t xml:space="preserve">is </w:t>
      </w:r>
      <w:r>
        <w:rPr>
          <w:sz w:val="26"/>
          <w:szCs w:val="26"/>
        </w:rPr>
        <w:t xml:space="preserve">filing date is </w:t>
      </w:r>
      <w:r w:rsidRPr="00C209C6">
        <w:rPr>
          <w:i/>
          <w:iCs/>
          <w:sz w:val="26"/>
          <w:szCs w:val="26"/>
        </w:rPr>
        <w:t>March 23, 2020</w:t>
      </w:r>
      <w:r>
        <w:rPr>
          <w:sz w:val="26"/>
          <w:szCs w:val="26"/>
        </w:rPr>
        <w:t xml:space="preserve">.  R.D. at 4.  </w:t>
      </w:r>
    </w:p>
  </w:footnote>
  <w:footnote w:id="5">
    <w:p w14:paraId="62201580" w14:textId="019DA3A9" w:rsidR="00021A4E" w:rsidRPr="00324180" w:rsidRDefault="00021A4E" w:rsidP="003E3869">
      <w:pPr>
        <w:pStyle w:val="FootnoteText"/>
        <w:keepNext/>
        <w:keepLines/>
        <w:spacing w:after="120"/>
        <w:ind w:firstLine="720"/>
        <w:rPr>
          <w:sz w:val="26"/>
          <w:szCs w:val="26"/>
        </w:rPr>
      </w:pPr>
      <w:r w:rsidRPr="00324180">
        <w:rPr>
          <w:rStyle w:val="FootnoteReference"/>
          <w:sz w:val="26"/>
          <w:szCs w:val="26"/>
        </w:rPr>
        <w:footnoteRef/>
      </w:r>
      <w:r w:rsidRPr="00324180">
        <w:rPr>
          <w:sz w:val="26"/>
          <w:szCs w:val="26"/>
        </w:rPr>
        <w:t xml:space="preserve"> </w:t>
      </w:r>
      <w:r>
        <w:rPr>
          <w:sz w:val="26"/>
          <w:szCs w:val="26"/>
        </w:rPr>
        <w:tab/>
        <w:t xml:space="preserve">Section 335(d) of the Code pertains generally to the protection of trade secrets and proprietary or privileged information.  </w:t>
      </w:r>
    </w:p>
  </w:footnote>
  <w:footnote w:id="6">
    <w:p w14:paraId="03E5BB07" w14:textId="179C4687" w:rsidR="00021A4E" w:rsidRPr="004211E3" w:rsidRDefault="00021A4E" w:rsidP="00694FC6">
      <w:pPr>
        <w:pStyle w:val="FootnoteText"/>
        <w:keepNext/>
        <w:keepLines/>
        <w:ind w:firstLine="720"/>
        <w:rPr>
          <w:sz w:val="26"/>
          <w:szCs w:val="26"/>
        </w:rPr>
      </w:pPr>
      <w:r w:rsidRPr="004211E3">
        <w:rPr>
          <w:rStyle w:val="FootnoteReference"/>
          <w:sz w:val="26"/>
          <w:szCs w:val="26"/>
        </w:rPr>
        <w:footnoteRef/>
      </w:r>
      <w:r w:rsidRPr="004211E3">
        <w:rPr>
          <w:sz w:val="26"/>
          <w:szCs w:val="26"/>
        </w:rPr>
        <w:t xml:space="preserve"> </w:t>
      </w:r>
      <w:r>
        <w:rPr>
          <w:sz w:val="26"/>
          <w:szCs w:val="26"/>
        </w:rPr>
        <w:tab/>
        <w:t>The Right to Know Law defines aggregated data as a “tabulation of data which relate to broad classes, groups or categories so that it is not possible to distinguish the properties of individuals within those classes, groups or categories.”  65 P.S. §</w:t>
      </w:r>
      <w:r w:rsidR="00B82AB5">
        <w:rPr>
          <w:sz w:val="26"/>
          <w:szCs w:val="26"/>
        </w:rPr>
        <w:t> </w:t>
      </w:r>
      <w:r>
        <w:rPr>
          <w:sz w:val="26"/>
          <w:szCs w:val="26"/>
        </w:rPr>
        <w:t xml:space="preserve">67.102.  </w:t>
      </w:r>
    </w:p>
  </w:footnote>
  <w:footnote w:id="7">
    <w:p w14:paraId="1F44A1C2" w14:textId="77777777" w:rsidR="00021A4E" w:rsidRPr="00BA3F18" w:rsidRDefault="00021A4E" w:rsidP="00E4004B">
      <w:pPr>
        <w:pStyle w:val="FootnoteText"/>
        <w:keepNext/>
        <w:keepLines/>
        <w:ind w:firstLine="720"/>
        <w:rPr>
          <w:sz w:val="26"/>
          <w:szCs w:val="26"/>
        </w:rPr>
      </w:pPr>
      <w:r w:rsidRPr="00BA3F18">
        <w:rPr>
          <w:rStyle w:val="FootnoteReference"/>
          <w:sz w:val="26"/>
          <w:szCs w:val="26"/>
        </w:rPr>
        <w:footnoteRef/>
      </w:r>
      <w:r w:rsidRPr="00BA3F18">
        <w:rPr>
          <w:sz w:val="26"/>
          <w:szCs w:val="26"/>
        </w:rPr>
        <w:t xml:space="preserve"> </w:t>
      </w:r>
      <w:r>
        <w:rPr>
          <w:sz w:val="26"/>
          <w:szCs w:val="26"/>
        </w:rPr>
        <w:tab/>
        <w:t xml:space="preserve">This finding is in contrast to the circumstances in </w:t>
      </w:r>
      <w:r w:rsidRPr="00BA3F18">
        <w:rPr>
          <w:i/>
          <w:iCs/>
          <w:sz w:val="26"/>
          <w:szCs w:val="26"/>
        </w:rPr>
        <w:t>Lyft</w:t>
      </w:r>
      <w:r>
        <w:rPr>
          <w:sz w:val="26"/>
          <w:szCs w:val="26"/>
        </w:rPr>
        <w:t xml:space="preserve"> in which the disclosure of aggregate data could not reveal any proprietary information or details such as references to drivers, customers or specific locations that could prove beneficial to competing transportation network companies.  </w:t>
      </w:r>
      <w:r w:rsidRPr="00BA3F18">
        <w:rPr>
          <w:i/>
          <w:iCs/>
          <w:sz w:val="26"/>
          <w:szCs w:val="26"/>
        </w:rPr>
        <w:t>See Lyft</w:t>
      </w:r>
      <w:r>
        <w:rPr>
          <w:sz w:val="26"/>
          <w:szCs w:val="26"/>
        </w:rPr>
        <w:t>, 145 A.3d at 1243.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04128"/>
    <w:multiLevelType w:val="hybridMultilevel"/>
    <w:tmpl w:val="C1929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80"/>
    <w:rsid w:val="00007027"/>
    <w:rsid w:val="00020520"/>
    <w:rsid w:val="0002083B"/>
    <w:rsid w:val="00021A4E"/>
    <w:rsid w:val="0004412C"/>
    <w:rsid w:val="000476E1"/>
    <w:rsid w:val="00063855"/>
    <w:rsid w:val="000933B1"/>
    <w:rsid w:val="000B792F"/>
    <w:rsid w:val="000D2CCB"/>
    <w:rsid w:val="000D53F6"/>
    <w:rsid w:val="000D6A39"/>
    <w:rsid w:val="000F4DEB"/>
    <w:rsid w:val="00100560"/>
    <w:rsid w:val="00104B51"/>
    <w:rsid w:val="001130A8"/>
    <w:rsid w:val="00126137"/>
    <w:rsid w:val="00175F8E"/>
    <w:rsid w:val="001A020E"/>
    <w:rsid w:val="001E5F44"/>
    <w:rsid w:val="00221267"/>
    <w:rsid w:val="00225EBD"/>
    <w:rsid w:val="00227E5F"/>
    <w:rsid w:val="002545B2"/>
    <w:rsid w:val="002A2A1A"/>
    <w:rsid w:val="002C520E"/>
    <w:rsid w:val="002F7213"/>
    <w:rsid w:val="00341FEC"/>
    <w:rsid w:val="00377EC5"/>
    <w:rsid w:val="003B749D"/>
    <w:rsid w:val="003E3869"/>
    <w:rsid w:val="00423170"/>
    <w:rsid w:val="00485F5D"/>
    <w:rsid w:val="00494D6F"/>
    <w:rsid w:val="004A5F2A"/>
    <w:rsid w:val="004B6B92"/>
    <w:rsid w:val="004C3733"/>
    <w:rsid w:val="005163CB"/>
    <w:rsid w:val="00524FC9"/>
    <w:rsid w:val="00554803"/>
    <w:rsid w:val="005A0E69"/>
    <w:rsid w:val="005A31E2"/>
    <w:rsid w:val="005B54B3"/>
    <w:rsid w:val="005C54B5"/>
    <w:rsid w:val="005F5F94"/>
    <w:rsid w:val="00641673"/>
    <w:rsid w:val="00684E7F"/>
    <w:rsid w:val="00694FC6"/>
    <w:rsid w:val="006E0AE4"/>
    <w:rsid w:val="006F5B5B"/>
    <w:rsid w:val="00711D32"/>
    <w:rsid w:val="00717908"/>
    <w:rsid w:val="00721380"/>
    <w:rsid w:val="00760280"/>
    <w:rsid w:val="007A5AAC"/>
    <w:rsid w:val="007E4FDA"/>
    <w:rsid w:val="007E5DEC"/>
    <w:rsid w:val="007F0C5C"/>
    <w:rsid w:val="00852F75"/>
    <w:rsid w:val="008C2B2E"/>
    <w:rsid w:val="008D1B1E"/>
    <w:rsid w:val="008E3EB8"/>
    <w:rsid w:val="0093667D"/>
    <w:rsid w:val="009569CD"/>
    <w:rsid w:val="009613B9"/>
    <w:rsid w:val="00976E19"/>
    <w:rsid w:val="009F5622"/>
    <w:rsid w:val="00A13AE9"/>
    <w:rsid w:val="00A23134"/>
    <w:rsid w:val="00A238F1"/>
    <w:rsid w:val="00A47CDC"/>
    <w:rsid w:val="00A5270D"/>
    <w:rsid w:val="00AA1624"/>
    <w:rsid w:val="00AC3A0D"/>
    <w:rsid w:val="00AF5265"/>
    <w:rsid w:val="00B12809"/>
    <w:rsid w:val="00B77135"/>
    <w:rsid w:val="00B82AB5"/>
    <w:rsid w:val="00BA660A"/>
    <w:rsid w:val="00BB25C8"/>
    <w:rsid w:val="00BD45EC"/>
    <w:rsid w:val="00BD66E3"/>
    <w:rsid w:val="00BE0C19"/>
    <w:rsid w:val="00BE4BD6"/>
    <w:rsid w:val="00C151CD"/>
    <w:rsid w:val="00C209C6"/>
    <w:rsid w:val="00C8166A"/>
    <w:rsid w:val="00CC4B40"/>
    <w:rsid w:val="00DD05FD"/>
    <w:rsid w:val="00DD2774"/>
    <w:rsid w:val="00E02F84"/>
    <w:rsid w:val="00E148AD"/>
    <w:rsid w:val="00E360C7"/>
    <w:rsid w:val="00E4004B"/>
    <w:rsid w:val="00E41FAC"/>
    <w:rsid w:val="00E720B8"/>
    <w:rsid w:val="00E95253"/>
    <w:rsid w:val="00EA4B2C"/>
    <w:rsid w:val="00EB23A7"/>
    <w:rsid w:val="00F13066"/>
    <w:rsid w:val="00F740A4"/>
    <w:rsid w:val="00F80CD0"/>
    <w:rsid w:val="00F87841"/>
    <w:rsid w:val="00FA4EF6"/>
    <w:rsid w:val="00FD74B9"/>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D0E9"/>
  <w15:chartTrackingRefBased/>
  <w15:docId w15:val="{5880D0E6-9ADF-4C8E-A6BA-F8BCD8B2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80"/>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21A4E"/>
  </w:style>
  <w:style w:type="character" w:customStyle="1" w:styleId="FootnoteTextChar">
    <w:name w:val="Footnote Text Char"/>
    <w:basedOn w:val="DefaultParagraphFont"/>
    <w:link w:val="FootnoteText"/>
    <w:uiPriority w:val="99"/>
    <w:rsid w:val="00021A4E"/>
    <w:rPr>
      <w:rFonts w:ascii="Times New Roman" w:eastAsia="Times New Roman" w:hAnsi="Times New Roman" w:cs="Times New Roman"/>
      <w:sz w:val="20"/>
      <w:szCs w:val="20"/>
    </w:rPr>
  </w:style>
  <w:style w:type="character" w:styleId="FootnoteReference">
    <w:name w:val="footnote reference"/>
    <w:aliases w:val="o,fr,Style 42,(NECG) Footnote Reference,Footnote Reference (EIS),Styl,Style 11,Style 13,Style 15,Style 17,Style 18,Style 19,Style 20,Style 21,Style 24,Style 28,Style 4,Style 5,Style 7,Style 8,fr1,fr2,fr3,o1,o2,o3,footnote text"/>
    <w:uiPriority w:val="99"/>
    <w:qFormat/>
    <w:rsid w:val="00021A4E"/>
    <w:rPr>
      <w:vertAlign w:val="superscript"/>
    </w:rPr>
  </w:style>
  <w:style w:type="paragraph" w:styleId="BalloonText">
    <w:name w:val="Balloon Text"/>
    <w:basedOn w:val="Normal"/>
    <w:link w:val="BalloonTextChar"/>
    <w:uiPriority w:val="99"/>
    <w:semiHidden/>
    <w:unhideWhenUsed/>
    <w:rsid w:val="00BE0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19"/>
    <w:rPr>
      <w:rFonts w:ascii="Segoe UI" w:eastAsia="Times New Roman" w:hAnsi="Segoe UI" w:cs="Segoe UI"/>
      <w:sz w:val="18"/>
      <w:szCs w:val="18"/>
    </w:rPr>
  </w:style>
  <w:style w:type="paragraph" w:styleId="Header">
    <w:name w:val="header"/>
    <w:basedOn w:val="Normal"/>
    <w:link w:val="HeaderChar"/>
    <w:uiPriority w:val="99"/>
    <w:unhideWhenUsed/>
    <w:rsid w:val="00007027"/>
    <w:pPr>
      <w:tabs>
        <w:tab w:val="center" w:pos="4680"/>
        <w:tab w:val="right" w:pos="9360"/>
      </w:tabs>
    </w:pPr>
  </w:style>
  <w:style w:type="character" w:customStyle="1" w:styleId="HeaderChar">
    <w:name w:val="Header Char"/>
    <w:basedOn w:val="DefaultParagraphFont"/>
    <w:link w:val="Header"/>
    <w:uiPriority w:val="99"/>
    <w:rsid w:val="000070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7027"/>
    <w:pPr>
      <w:tabs>
        <w:tab w:val="center" w:pos="4680"/>
        <w:tab w:val="right" w:pos="9360"/>
      </w:tabs>
    </w:pPr>
  </w:style>
  <w:style w:type="character" w:customStyle="1" w:styleId="FooterChar">
    <w:name w:val="Footer Char"/>
    <w:basedOn w:val="DefaultParagraphFont"/>
    <w:link w:val="Footer"/>
    <w:uiPriority w:val="99"/>
    <w:rsid w:val="000070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3EB8"/>
    <w:rPr>
      <w:sz w:val="16"/>
      <w:szCs w:val="16"/>
    </w:rPr>
  </w:style>
  <w:style w:type="paragraph" w:styleId="CommentText">
    <w:name w:val="annotation text"/>
    <w:basedOn w:val="Normal"/>
    <w:link w:val="CommentTextChar"/>
    <w:uiPriority w:val="99"/>
    <w:semiHidden/>
    <w:unhideWhenUsed/>
    <w:rsid w:val="008E3EB8"/>
  </w:style>
  <w:style w:type="character" w:customStyle="1" w:styleId="CommentTextChar">
    <w:name w:val="Comment Text Char"/>
    <w:basedOn w:val="DefaultParagraphFont"/>
    <w:link w:val="CommentText"/>
    <w:uiPriority w:val="99"/>
    <w:semiHidden/>
    <w:rsid w:val="008E3E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EB8"/>
    <w:rPr>
      <w:b/>
      <w:bCs/>
    </w:rPr>
  </w:style>
  <w:style w:type="character" w:customStyle="1" w:styleId="CommentSubjectChar">
    <w:name w:val="Comment Subject Char"/>
    <w:basedOn w:val="CommentTextChar"/>
    <w:link w:val="CommentSubject"/>
    <w:uiPriority w:val="99"/>
    <w:semiHidden/>
    <w:rsid w:val="008E3EB8"/>
    <w:rPr>
      <w:rFonts w:ascii="Times New Roman" w:eastAsia="Times New Roman" w:hAnsi="Times New Roman" w:cs="Times New Roman"/>
      <w:b/>
      <w:bCs/>
      <w:sz w:val="20"/>
      <w:szCs w:val="20"/>
    </w:rPr>
  </w:style>
  <w:style w:type="paragraph" w:styleId="ListParagraph">
    <w:name w:val="List Paragraph"/>
    <w:basedOn w:val="Normal"/>
    <w:uiPriority w:val="34"/>
    <w:qFormat/>
    <w:rsid w:val="00AF5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93103587&amp;pubNum=0000162&amp;originatingDoc=Iee11d204058b11eba650e08c07e5b642&amp;refType=RP&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next.westlaw.com/Link/Document/FullText?findType=Y&amp;serNum=1984161326&amp;pubNum=0000162&amp;originatingDoc=Iee11d204058b11eba650e08c07e5b642&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0C95-5B24-42CB-B4B5-DDEE2441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4958</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Capper, Thomas</dc:creator>
  <cp:keywords/>
  <dc:description/>
  <cp:lastModifiedBy>Sheffer, Ryan</cp:lastModifiedBy>
  <cp:revision>6</cp:revision>
  <dcterms:created xsi:type="dcterms:W3CDTF">2020-11-19T18:49:00Z</dcterms:created>
  <dcterms:modified xsi:type="dcterms:W3CDTF">2020-12-03T16:12:00Z</dcterms:modified>
</cp:coreProperties>
</file>