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7B051" w14:textId="77777777" w:rsidR="0038698E" w:rsidRPr="00B34E15" w:rsidRDefault="0038698E" w:rsidP="008F4672">
      <w:pPr>
        <w:widowControl/>
        <w:suppressAutoHyphens/>
        <w:jc w:val="center"/>
        <w:rPr>
          <w:b/>
          <w:sz w:val="26"/>
          <w:szCs w:val="26"/>
        </w:rPr>
      </w:pPr>
      <w:r w:rsidRPr="00B34E15">
        <w:rPr>
          <w:b/>
          <w:sz w:val="26"/>
          <w:szCs w:val="26"/>
        </w:rPr>
        <w:t>PENNSYLVANIA</w:t>
      </w:r>
    </w:p>
    <w:p w14:paraId="1223F68F" w14:textId="77777777" w:rsidR="0038698E" w:rsidRPr="00B34E15" w:rsidRDefault="0038698E" w:rsidP="008F4672">
      <w:pPr>
        <w:widowControl/>
        <w:suppressAutoHyphens/>
        <w:jc w:val="center"/>
        <w:rPr>
          <w:sz w:val="26"/>
          <w:szCs w:val="26"/>
        </w:rPr>
      </w:pPr>
      <w:r w:rsidRPr="00B34E15">
        <w:rPr>
          <w:b/>
          <w:sz w:val="26"/>
          <w:szCs w:val="26"/>
        </w:rPr>
        <w:t>PUBLIC UTILITY COMMISSION</w:t>
      </w:r>
    </w:p>
    <w:p w14:paraId="08B68B58" w14:textId="00110855" w:rsidR="0038698E" w:rsidRPr="00B34E15" w:rsidRDefault="0038698E" w:rsidP="008F4672">
      <w:pPr>
        <w:widowControl/>
        <w:suppressAutoHyphens/>
        <w:jc w:val="center"/>
        <w:rPr>
          <w:b/>
          <w:sz w:val="26"/>
          <w:szCs w:val="26"/>
        </w:rPr>
      </w:pPr>
      <w:r w:rsidRPr="00B34E15">
        <w:rPr>
          <w:b/>
          <w:sz w:val="26"/>
          <w:szCs w:val="26"/>
        </w:rPr>
        <w:t>Harrisburg, PA 171</w:t>
      </w:r>
      <w:r w:rsidR="00F148E4">
        <w:rPr>
          <w:b/>
          <w:sz w:val="26"/>
          <w:szCs w:val="26"/>
        </w:rPr>
        <w:t>20</w:t>
      </w:r>
    </w:p>
    <w:p w14:paraId="1A40D713" w14:textId="711041CA" w:rsidR="0038698E" w:rsidRDefault="0038698E" w:rsidP="008F4672">
      <w:pPr>
        <w:widowControl/>
        <w:suppressAutoHyphens/>
        <w:rPr>
          <w:sz w:val="26"/>
          <w:szCs w:val="26"/>
        </w:rPr>
      </w:pPr>
    </w:p>
    <w:p w14:paraId="17B8D2C7" w14:textId="77777777" w:rsidR="00B37F11" w:rsidRPr="00B34E15" w:rsidRDefault="00B37F11" w:rsidP="008F4672">
      <w:pPr>
        <w:widowControl/>
        <w:suppressAutoHyphens/>
        <w:rPr>
          <w:sz w:val="26"/>
          <w:szCs w:val="26"/>
        </w:rPr>
      </w:pPr>
    </w:p>
    <w:p w14:paraId="4487B0F8" w14:textId="6B9410AC" w:rsidR="0038698E" w:rsidRPr="00B34E15" w:rsidRDefault="0038698E" w:rsidP="008F4672">
      <w:pPr>
        <w:widowControl/>
        <w:suppressAutoHyphens/>
        <w:jc w:val="right"/>
        <w:rPr>
          <w:sz w:val="26"/>
          <w:szCs w:val="26"/>
        </w:rPr>
      </w:pPr>
      <w:r w:rsidRPr="00B34E15">
        <w:rPr>
          <w:sz w:val="26"/>
          <w:szCs w:val="26"/>
        </w:rPr>
        <w:t xml:space="preserve">Public Meeting held </w:t>
      </w:r>
      <w:r w:rsidR="008B0B7F">
        <w:rPr>
          <w:sz w:val="26"/>
          <w:szCs w:val="26"/>
        </w:rPr>
        <w:t>December 3</w:t>
      </w:r>
      <w:r w:rsidRPr="00B34E15">
        <w:rPr>
          <w:sz w:val="26"/>
          <w:szCs w:val="26"/>
        </w:rPr>
        <w:t>, 20</w:t>
      </w:r>
      <w:r w:rsidR="00B104A2">
        <w:rPr>
          <w:sz w:val="26"/>
          <w:szCs w:val="26"/>
        </w:rPr>
        <w:t>20</w:t>
      </w:r>
    </w:p>
    <w:p w14:paraId="4EB26273" w14:textId="596E1B0C" w:rsidR="0038698E" w:rsidRDefault="0038698E" w:rsidP="008F4672">
      <w:pPr>
        <w:widowControl/>
        <w:suppressAutoHyphens/>
        <w:rPr>
          <w:sz w:val="26"/>
          <w:szCs w:val="26"/>
        </w:rPr>
      </w:pPr>
    </w:p>
    <w:p w14:paraId="7010854E" w14:textId="77777777" w:rsidR="00FE2807" w:rsidRPr="00B34E15" w:rsidRDefault="00FE2807" w:rsidP="008F4672">
      <w:pPr>
        <w:widowControl/>
        <w:suppressAutoHyphens/>
        <w:rPr>
          <w:sz w:val="26"/>
          <w:szCs w:val="26"/>
        </w:rPr>
      </w:pPr>
    </w:p>
    <w:p w14:paraId="2C77AB1F" w14:textId="77777777" w:rsidR="0038698E" w:rsidRPr="00B34E15" w:rsidRDefault="0038698E" w:rsidP="008F4672">
      <w:pPr>
        <w:widowControl/>
        <w:suppressAutoHyphens/>
        <w:rPr>
          <w:sz w:val="26"/>
          <w:szCs w:val="26"/>
        </w:rPr>
      </w:pPr>
      <w:r w:rsidRPr="00B34E15">
        <w:rPr>
          <w:sz w:val="26"/>
          <w:szCs w:val="26"/>
        </w:rPr>
        <w:t>Commissioners Present:</w:t>
      </w:r>
    </w:p>
    <w:p w14:paraId="05EC99D5" w14:textId="77777777" w:rsidR="0038698E" w:rsidRPr="00B34E15" w:rsidRDefault="0038698E" w:rsidP="008F4672">
      <w:pPr>
        <w:widowControl/>
        <w:suppressAutoHyphens/>
        <w:rPr>
          <w:sz w:val="26"/>
          <w:szCs w:val="26"/>
        </w:rPr>
      </w:pPr>
    </w:p>
    <w:p w14:paraId="60D6447D" w14:textId="08750E88" w:rsidR="0038698E" w:rsidRPr="00B34E15" w:rsidRDefault="000D7B91" w:rsidP="008F4672">
      <w:pPr>
        <w:widowControl/>
        <w:ind w:firstLine="720"/>
        <w:rPr>
          <w:sz w:val="26"/>
          <w:szCs w:val="26"/>
        </w:rPr>
      </w:pPr>
      <w:r>
        <w:rPr>
          <w:sz w:val="26"/>
          <w:szCs w:val="26"/>
        </w:rPr>
        <w:t>Gladys Brown Dutrieuille, Chairman</w:t>
      </w:r>
      <w:r w:rsidRPr="00B34E15">
        <w:rPr>
          <w:sz w:val="26"/>
          <w:szCs w:val="26"/>
        </w:rPr>
        <w:t xml:space="preserve"> </w:t>
      </w:r>
    </w:p>
    <w:p w14:paraId="708DE3E4" w14:textId="04BE8F0C" w:rsidR="0038698E" w:rsidRPr="00B34E15" w:rsidRDefault="0038698E" w:rsidP="008F4672">
      <w:pPr>
        <w:widowControl/>
        <w:ind w:firstLine="720"/>
        <w:rPr>
          <w:sz w:val="26"/>
          <w:szCs w:val="26"/>
        </w:rPr>
      </w:pPr>
      <w:r w:rsidRPr="00B34E15">
        <w:rPr>
          <w:sz w:val="26"/>
          <w:szCs w:val="26"/>
        </w:rPr>
        <w:t>David W. Sweet, Vice Chairman</w:t>
      </w:r>
    </w:p>
    <w:p w14:paraId="0E6C8569" w14:textId="42238E2E" w:rsidR="0038698E" w:rsidRDefault="0038698E" w:rsidP="008F4672">
      <w:pPr>
        <w:widowControl/>
        <w:ind w:firstLine="720"/>
        <w:rPr>
          <w:sz w:val="26"/>
          <w:szCs w:val="26"/>
        </w:rPr>
      </w:pPr>
      <w:r w:rsidRPr="00B34E15">
        <w:rPr>
          <w:sz w:val="26"/>
          <w:szCs w:val="26"/>
        </w:rPr>
        <w:t>John F. Coleman, Jr.</w:t>
      </w:r>
    </w:p>
    <w:p w14:paraId="7446D00D" w14:textId="11B0AD5A" w:rsidR="0038698E" w:rsidRDefault="00B01567" w:rsidP="008F4672">
      <w:pPr>
        <w:widowControl/>
        <w:ind w:firstLine="720"/>
        <w:rPr>
          <w:sz w:val="26"/>
          <w:szCs w:val="26"/>
        </w:rPr>
      </w:pPr>
      <w:r>
        <w:rPr>
          <w:sz w:val="26"/>
          <w:szCs w:val="26"/>
        </w:rPr>
        <w:t>Ralph V. Yanora</w:t>
      </w:r>
    </w:p>
    <w:p w14:paraId="6BE16230" w14:textId="44D6FB65" w:rsidR="0038698E" w:rsidRDefault="0038698E" w:rsidP="008F4672">
      <w:pPr>
        <w:widowControl/>
        <w:suppressAutoHyphens/>
        <w:rPr>
          <w:sz w:val="26"/>
          <w:szCs w:val="26"/>
        </w:rPr>
      </w:pPr>
    </w:p>
    <w:p w14:paraId="0677277D" w14:textId="77777777" w:rsidR="00FE2807" w:rsidRPr="00B34E15" w:rsidRDefault="00FE2807" w:rsidP="008F4672">
      <w:pPr>
        <w:widowControl/>
        <w:suppressAutoHyphens/>
        <w:rPr>
          <w:sz w:val="26"/>
          <w:szCs w:val="26"/>
        </w:rPr>
      </w:pPr>
    </w:p>
    <w:p w14:paraId="437C6CBE" w14:textId="57CDA0A1" w:rsidR="00401247" w:rsidRPr="00401247" w:rsidRDefault="008B0B7F" w:rsidP="008F4672">
      <w:pPr>
        <w:widowControl/>
        <w:tabs>
          <w:tab w:val="left" w:pos="-720"/>
        </w:tabs>
        <w:suppressAutoHyphens/>
        <w:jc w:val="both"/>
        <w:rPr>
          <w:spacing w:val="-3"/>
          <w:sz w:val="26"/>
          <w:szCs w:val="26"/>
        </w:rPr>
      </w:pPr>
      <w:r>
        <w:rPr>
          <w:spacing w:val="-3"/>
          <w:sz w:val="26"/>
          <w:szCs w:val="26"/>
        </w:rPr>
        <w:t xml:space="preserve">Verizon Pennsylvania LLC and          </w:t>
      </w:r>
      <w:r w:rsidR="00401247" w:rsidRPr="00401247">
        <w:rPr>
          <w:spacing w:val="-3"/>
          <w:sz w:val="26"/>
          <w:szCs w:val="26"/>
        </w:rPr>
        <w:tab/>
      </w:r>
      <w:r w:rsidR="00401247" w:rsidRPr="00401247">
        <w:rPr>
          <w:spacing w:val="-3"/>
          <w:sz w:val="26"/>
          <w:szCs w:val="26"/>
        </w:rPr>
        <w:tab/>
      </w:r>
      <w:r w:rsidR="00401247" w:rsidRPr="00401247">
        <w:rPr>
          <w:spacing w:val="-3"/>
          <w:sz w:val="26"/>
          <w:szCs w:val="26"/>
        </w:rPr>
        <w:tab/>
      </w:r>
      <w:r w:rsidR="00401247" w:rsidRPr="00401247">
        <w:rPr>
          <w:spacing w:val="-3"/>
          <w:sz w:val="26"/>
          <w:szCs w:val="26"/>
        </w:rPr>
        <w:tab/>
      </w:r>
      <w:r w:rsidR="00401247" w:rsidRPr="00401247">
        <w:rPr>
          <w:spacing w:val="-3"/>
          <w:sz w:val="26"/>
          <w:szCs w:val="26"/>
        </w:rPr>
        <w:tab/>
        <w:t xml:space="preserve">   </w:t>
      </w:r>
      <w:r>
        <w:rPr>
          <w:spacing w:val="-3"/>
          <w:sz w:val="26"/>
          <w:szCs w:val="26"/>
        </w:rPr>
        <w:t>C</w:t>
      </w:r>
      <w:r w:rsidR="00401247" w:rsidRPr="00401247">
        <w:rPr>
          <w:spacing w:val="-3"/>
          <w:sz w:val="26"/>
          <w:szCs w:val="26"/>
        </w:rPr>
        <w:t>-</w:t>
      </w:r>
      <w:r w:rsidR="00401247">
        <w:rPr>
          <w:spacing w:val="-3"/>
          <w:sz w:val="26"/>
          <w:szCs w:val="26"/>
        </w:rPr>
        <w:t>2</w:t>
      </w:r>
      <w:r w:rsidR="00832765">
        <w:rPr>
          <w:spacing w:val="-3"/>
          <w:sz w:val="26"/>
          <w:szCs w:val="26"/>
        </w:rPr>
        <w:t>020-30</w:t>
      </w:r>
      <w:r>
        <w:rPr>
          <w:spacing w:val="-3"/>
          <w:sz w:val="26"/>
          <w:szCs w:val="26"/>
        </w:rPr>
        <w:t>19347</w:t>
      </w:r>
    </w:p>
    <w:p w14:paraId="23FED99B" w14:textId="5B84F23C" w:rsidR="00401247" w:rsidRDefault="008B0B7F" w:rsidP="008F4672">
      <w:pPr>
        <w:widowControl/>
        <w:rPr>
          <w:spacing w:val="-3"/>
          <w:sz w:val="26"/>
          <w:szCs w:val="26"/>
        </w:rPr>
      </w:pPr>
      <w:r>
        <w:rPr>
          <w:spacing w:val="-3"/>
          <w:sz w:val="26"/>
          <w:szCs w:val="26"/>
        </w:rPr>
        <w:t>Verizon North LLC</w:t>
      </w:r>
    </w:p>
    <w:p w14:paraId="164DE1DC" w14:textId="77777777" w:rsidR="00994E10" w:rsidRPr="00401247" w:rsidRDefault="00994E10" w:rsidP="008F4672">
      <w:pPr>
        <w:widowControl/>
        <w:rPr>
          <w:spacing w:val="-3"/>
          <w:sz w:val="26"/>
          <w:szCs w:val="26"/>
        </w:rPr>
      </w:pPr>
    </w:p>
    <w:p w14:paraId="02EECEED" w14:textId="22B9C9D7" w:rsidR="00401247" w:rsidRPr="00401247" w:rsidRDefault="00401247" w:rsidP="008F4672">
      <w:pPr>
        <w:widowControl/>
        <w:tabs>
          <w:tab w:val="left" w:pos="-720"/>
        </w:tabs>
        <w:suppressAutoHyphens/>
        <w:jc w:val="both"/>
        <w:rPr>
          <w:spacing w:val="-3"/>
          <w:sz w:val="26"/>
          <w:szCs w:val="26"/>
        </w:rPr>
      </w:pPr>
      <w:r w:rsidRPr="00401247">
        <w:rPr>
          <w:spacing w:val="-3"/>
          <w:sz w:val="26"/>
          <w:szCs w:val="26"/>
        </w:rPr>
        <w:tab/>
        <w:t>v.</w:t>
      </w:r>
    </w:p>
    <w:p w14:paraId="1E8515BE" w14:textId="77777777" w:rsidR="00401247" w:rsidRPr="00401247" w:rsidRDefault="00401247" w:rsidP="008F4672">
      <w:pPr>
        <w:widowControl/>
        <w:tabs>
          <w:tab w:val="left" w:pos="-720"/>
        </w:tabs>
        <w:suppressAutoHyphens/>
        <w:jc w:val="both"/>
        <w:rPr>
          <w:spacing w:val="-3"/>
          <w:sz w:val="26"/>
          <w:szCs w:val="26"/>
        </w:rPr>
      </w:pPr>
    </w:p>
    <w:p w14:paraId="729FE3FA" w14:textId="0F1A6F92" w:rsidR="00401247" w:rsidRDefault="008B0B7F" w:rsidP="008F4672">
      <w:pPr>
        <w:widowControl/>
        <w:tabs>
          <w:tab w:val="left" w:pos="-720"/>
        </w:tabs>
        <w:suppressAutoHyphens/>
        <w:jc w:val="both"/>
        <w:rPr>
          <w:spacing w:val="-3"/>
          <w:sz w:val="26"/>
          <w:szCs w:val="26"/>
        </w:rPr>
      </w:pPr>
      <w:r>
        <w:rPr>
          <w:spacing w:val="-3"/>
          <w:sz w:val="26"/>
          <w:szCs w:val="26"/>
        </w:rPr>
        <w:t>Metropolitan Edison Company, Pennsylvania</w:t>
      </w:r>
    </w:p>
    <w:p w14:paraId="0436FF32" w14:textId="05B8DFD8" w:rsidR="008B0B7F" w:rsidRPr="00401247" w:rsidRDefault="008B0B7F" w:rsidP="008F4672">
      <w:pPr>
        <w:widowControl/>
        <w:tabs>
          <w:tab w:val="left" w:pos="-720"/>
        </w:tabs>
        <w:suppressAutoHyphens/>
        <w:jc w:val="both"/>
        <w:rPr>
          <w:spacing w:val="-3"/>
          <w:sz w:val="26"/>
          <w:szCs w:val="26"/>
        </w:rPr>
      </w:pPr>
      <w:r>
        <w:rPr>
          <w:spacing w:val="-3"/>
          <w:sz w:val="26"/>
          <w:szCs w:val="26"/>
        </w:rPr>
        <w:t>Electric Company and Penn</w:t>
      </w:r>
      <w:r w:rsidR="00A34EF3">
        <w:rPr>
          <w:spacing w:val="-3"/>
          <w:sz w:val="26"/>
          <w:szCs w:val="26"/>
        </w:rPr>
        <w:t>sylvania</w:t>
      </w:r>
      <w:r>
        <w:rPr>
          <w:spacing w:val="-3"/>
          <w:sz w:val="26"/>
          <w:szCs w:val="26"/>
        </w:rPr>
        <w:t xml:space="preserve"> Power Company</w:t>
      </w:r>
    </w:p>
    <w:p w14:paraId="33E469C3" w14:textId="49F5355B" w:rsidR="00344C68" w:rsidRDefault="00344C68" w:rsidP="008F4672">
      <w:pPr>
        <w:widowControl/>
        <w:rPr>
          <w:b/>
          <w:sz w:val="26"/>
          <w:szCs w:val="26"/>
        </w:rPr>
      </w:pPr>
    </w:p>
    <w:p w14:paraId="5F0CBB59" w14:textId="067C36A1" w:rsidR="00865783" w:rsidRDefault="00865783" w:rsidP="008F4672">
      <w:pPr>
        <w:widowControl/>
        <w:rPr>
          <w:b/>
          <w:sz w:val="26"/>
          <w:szCs w:val="26"/>
        </w:rPr>
      </w:pPr>
    </w:p>
    <w:p w14:paraId="6648642D" w14:textId="0237FA34" w:rsidR="00865783" w:rsidRDefault="00865783" w:rsidP="008F4672">
      <w:pPr>
        <w:widowControl/>
        <w:rPr>
          <w:b/>
          <w:sz w:val="26"/>
          <w:szCs w:val="26"/>
        </w:rPr>
      </w:pPr>
    </w:p>
    <w:p w14:paraId="388646ED" w14:textId="43763DF6" w:rsidR="00865783" w:rsidRDefault="00865783" w:rsidP="008F4672">
      <w:pPr>
        <w:widowControl/>
        <w:jc w:val="center"/>
        <w:rPr>
          <w:b/>
          <w:sz w:val="26"/>
          <w:szCs w:val="26"/>
        </w:rPr>
      </w:pPr>
      <w:r w:rsidRPr="00DF4899">
        <w:rPr>
          <w:b/>
          <w:sz w:val="26"/>
          <w:szCs w:val="26"/>
        </w:rPr>
        <w:t>OPINION AND ORDER</w:t>
      </w:r>
    </w:p>
    <w:p w14:paraId="2A33E1B5" w14:textId="2974FB9B" w:rsidR="00602EC7" w:rsidRDefault="00602EC7" w:rsidP="008F4672">
      <w:pPr>
        <w:widowControl/>
        <w:jc w:val="center"/>
        <w:rPr>
          <w:b/>
          <w:sz w:val="26"/>
          <w:szCs w:val="26"/>
        </w:rPr>
      </w:pPr>
      <w:r>
        <w:rPr>
          <w:b/>
          <w:sz w:val="26"/>
          <w:szCs w:val="26"/>
        </w:rPr>
        <w:t>***</w:t>
      </w:r>
      <w:r w:rsidR="003455BF">
        <w:rPr>
          <w:b/>
          <w:sz w:val="26"/>
          <w:szCs w:val="26"/>
        </w:rPr>
        <w:t>NON-</w:t>
      </w:r>
      <w:r>
        <w:rPr>
          <w:b/>
          <w:sz w:val="26"/>
          <w:szCs w:val="26"/>
        </w:rPr>
        <w:t>PROPRIETARY VERSION***</w:t>
      </w:r>
    </w:p>
    <w:bookmarkStart w:id="0" w:name="_Hlk523834991" w:displacedByCustomXml="next"/>
    <w:sdt>
      <w:sdtPr>
        <w:rPr>
          <w:sz w:val="26"/>
          <w:szCs w:val="26"/>
        </w:rPr>
        <w:id w:val="934635144"/>
        <w:docPartObj>
          <w:docPartGallery w:val="Table of Contents"/>
          <w:docPartUnique/>
        </w:docPartObj>
      </w:sdtPr>
      <w:sdtEndPr>
        <w:rPr>
          <w:noProof/>
        </w:rPr>
      </w:sdtEndPr>
      <w:sdtContent>
        <w:p w14:paraId="24056A15" w14:textId="77777777" w:rsidR="00A32A88" w:rsidRDefault="00A32A88" w:rsidP="008F4672">
          <w:pPr>
            <w:widowControl/>
            <w:spacing w:before="480" w:line="360" w:lineRule="auto"/>
            <w:jc w:val="center"/>
            <w:rPr>
              <w:sz w:val="26"/>
              <w:szCs w:val="26"/>
            </w:rPr>
            <w:sectPr w:rsidR="00A32A88" w:rsidSect="003742CF">
              <w:footerReference w:type="even" r:id="rId11"/>
              <w:footerReference w:type="default" r:id="rId12"/>
              <w:footerReference w:type="first" r:id="rId13"/>
              <w:pgSz w:w="12240" w:h="15840"/>
              <w:pgMar w:top="1440" w:right="1440" w:bottom="1440" w:left="1440" w:header="720" w:footer="720" w:gutter="0"/>
              <w:cols w:space="720"/>
              <w:titlePg/>
              <w:docGrid w:linePitch="360"/>
            </w:sectPr>
          </w:pPr>
        </w:p>
        <w:p w14:paraId="6D81C4A3" w14:textId="082F921F" w:rsidR="005A74D5" w:rsidRPr="0008272C" w:rsidRDefault="005A74D5" w:rsidP="008F4672">
          <w:pPr>
            <w:widowControl/>
            <w:spacing w:before="480" w:line="360" w:lineRule="auto"/>
            <w:jc w:val="center"/>
            <w:rPr>
              <w:b/>
              <w:bCs/>
              <w:sz w:val="26"/>
              <w:szCs w:val="26"/>
              <w:lang w:eastAsia="ja-JP"/>
            </w:rPr>
          </w:pPr>
          <w:r w:rsidRPr="0008272C">
            <w:rPr>
              <w:b/>
              <w:sz w:val="26"/>
              <w:szCs w:val="26"/>
            </w:rPr>
            <w:lastRenderedPageBreak/>
            <w:t>Table of</w:t>
          </w:r>
          <w:r w:rsidRPr="0008272C">
            <w:rPr>
              <w:sz w:val="26"/>
              <w:szCs w:val="26"/>
            </w:rPr>
            <w:t xml:space="preserve"> </w:t>
          </w:r>
          <w:r w:rsidRPr="0008272C">
            <w:rPr>
              <w:b/>
              <w:bCs/>
              <w:sz w:val="26"/>
              <w:szCs w:val="26"/>
              <w:lang w:eastAsia="ja-JP"/>
            </w:rPr>
            <w:t>Contents</w:t>
          </w:r>
        </w:p>
        <w:p w14:paraId="26618FF6" w14:textId="77777777" w:rsidR="005A74D5" w:rsidRPr="0008272C" w:rsidRDefault="005A74D5" w:rsidP="008F4672">
          <w:pPr>
            <w:widowControl/>
            <w:ind w:firstLine="1440"/>
            <w:rPr>
              <w:sz w:val="26"/>
              <w:szCs w:val="26"/>
              <w:lang w:eastAsia="ja-JP"/>
            </w:rPr>
          </w:pPr>
        </w:p>
        <w:p w14:paraId="45E8BFE0" w14:textId="205CC5A4" w:rsidR="00164C56" w:rsidRDefault="005A74D5">
          <w:pPr>
            <w:pStyle w:val="TOC1"/>
            <w:rPr>
              <w:rFonts w:asciiTheme="minorHAnsi" w:eastAsiaTheme="minorEastAsia" w:hAnsiTheme="minorHAnsi" w:cstheme="minorBidi"/>
              <w:noProof/>
              <w:sz w:val="22"/>
              <w:szCs w:val="22"/>
            </w:rPr>
          </w:pPr>
          <w:r w:rsidRPr="0008272C">
            <w:rPr>
              <w:szCs w:val="26"/>
            </w:rPr>
            <w:fldChar w:fldCharType="begin"/>
          </w:r>
          <w:r w:rsidRPr="0008272C">
            <w:rPr>
              <w:szCs w:val="26"/>
            </w:rPr>
            <w:instrText xml:space="preserve"> TOC \o "1-4" \h \z \u </w:instrText>
          </w:r>
          <w:r w:rsidRPr="0008272C">
            <w:rPr>
              <w:szCs w:val="26"/>
            </w:rPr>
            <w:fldChar w:fldCharType="separate"/>
          </w:r>
          <w:hyperlink w:anchor="_Toc59179289" w:history="1">
            <w:r w:rsidR="00164C56" w:rsidRPr="009822AE">
              <w:rPr>
                <w:rStyle w:val="Hyperlink"/>
                <w:noProof/>
              </w:rPr>
              <w:t>I.</w:t>
            </w:r>
            <w:r w:rsidR="00164C56">
              <w:rPr>
                <w:rFonts w:asciiTheme="minorHAnsi" w:eastAsiaTheme="minorEastAsia" w:hAnsiTheme="minorHAnsi" w:cstheme="minorBidi"/>
                <w:noProof/>
                <w:sz w:val="22"/>
                <w:szCs w:val="22"/>
              </w:rPr>
              <w:tab/>
            </w:r>
            <w:r w:rsidR="00164C56" w:rsidRPr="009822AE">
              <w:rPr>
                <w:rStyle w:val="Hyperlink"/>
                <w:noProof/>
              </w:rPr>
              <w:t>Background</w:t>
            </w:r>
            <w:r w:rsidR="00164C56">
              <w:rPr>
                <w:noProof/>
                <w:webHidden/>
              </w:rPr>
              <w:tab/>
            </w:r>
            <w:r w:rsidR="00164C56">
              <w:rPr>
                <w:noProof/>
                <w:webHidden/>
              </w:rPr>
              <w:fldChar w:fldCharType="begin"/>
            </w:r>
            <w:r w:rsidR="00164C56">
              <w:rPr>
                <w:noProof/>
                <w:webHidden/>
              </w:rPr>
              <w:instrText xml:space="preserve"> PAGEREF _Toc59179289 \h </w:instrText>
            </w:r>
            <w:r w:rsidR="00164C56">
              <w:rPr>
                <w:noProof/>
                <w:webHidden/>
              </w:rPr>
            </w:r>
            <w:r w:rsidR="00164C56">
              <w:rPr>
                <w:noProof/>
                <w:webHidden/>
              </w:rPr>
              <w:fldChar w:fldCharType="separate"/>
            </w:r>
            <w:r w:rsidR="00164C56">
              <w:rPr>
                <w:noProof/>
                <w:webHidden/>
              </w:rPr>
              <w:t>1</w:t>
            </w:r>
            <w:r w:rsidR="00164C56">
              <w:rPr>
                <w:noProof/>
                <w:webHidden/>
              </w:rPr>
              <w:fldChar w:fldCharType="end"/>
            </w:r>
          </w:hyperlink>
        </w:p>
        <w:p w14:paraId="0D15CA3F" w14:textId="2D0E37C9" w:rsidR="00164C56" w:rsidRDefault="00C40B91">
          <w:pPr>
            <w:pStyle w:val="TOC2"/>
            <w:rPr>
              <w:rFonts w:asciiTheme="minorHAnsi" w:eastAsiaTheme="minorEastAsia" w:hAnsiTheme="minorHAnsi" w:cstheme="minorBidi"/>
              <w:noProof/>
              <w:sz w:val="22"/>
              <w:szCs w:val="22"/>
            </w:rPr>
          </w:pPr>
          <w:hyperlink w:anchor="_Toc59179290" w:history="1">
            <w:r w:rsidR="00164C56" w:rsidRPr="009822AE">
              <w:rPr>
                <w:rStyle w:val="Hyperlink"/>
                <w:noProof/>
              </w:rPr>
              <w:t>A.</w:t>
            </w:r>
            <w:r w:rsidR="00164C56">
              <w:rPr>
                <w:rFonts w:asciiTheme="minorHAnsi" w:eastAsiaTheme="minorEastAsia" w:hAnsiTheme="minorHAnsi" w:cstheme="minorBidi"/>
                <w:noProof/>
                <w:sz w:val="22"/>
                <w:szCs w:val="22"/>
              </w:rPr>
              <w:tab/>
            </w:r>
            <w:r w:rsidR="00164C56" w:rsidRPr="009822AE">
              <w:rPr>
                <w:rStyle w:val="Hyperlink"/>
                <w:noProof/>
              </w:rPr>
              <w:t>Pole Attachment Agreements</w:t>
            </w:r>
            <w:r w:rsidR="00164C56">
              <w:rPr>
                <w:noProof/>
                <w:webHidden/>
              </w:rPr>
              <w:tab/>
            </w:r>
            <w:r w:rsidR="00164C56">
              <w:rPr>
                <w:noProof/>
                <w:webHidden/>
              </w:rPr>
              <w:fldChar w:fldCharType="begin"/>
            </w:r>
            <w:r w:rsidR="00164C56">
              <w:rPr>
                <w:noProof/>
                <w:webHidden/>
              </w:rPr>
              <w:instrText xml:space="preserve"> PAGEREF _Toc59179290 \h </w:instrText>
            </w:r>
            <w:r w:rsidR="00164C56">
              <w:rPr>
                <w:noProof/>
                <w:webHidden/>
              </w:rPr>
            </w:r>
            <w:r w:rsidR="00164C56">
              <w:rPr>
                <w:noProof/>
                <w:webHidden/>
              </w:rPr>
              <w:fldChar w:fldCharType="separate"/>
            </w:r>
            <w:r w:rsidR="00164C56">
              <w:rPr>
                <w:noProof/>
                <w:webHidden/>
              </w:rPr>
              <w:t>1</w:t>
            </w:r>
            <w:r w:rsidR="00164C56">
              <w:rPr>
                <w:noProof/>
                <w:webHidden/>
              </w:rPr>
              <w:fldChar w:fldCharType="end"/>
            </w:r>
          </w:hyperlink>
        </w:p>
        <w:p w14:paraId="17FC8C82" w14:textId="1810FDC0" w:rsidR="00164C56" w:rsidRDefault="00C40B91">
          <w:pPr>
            <w:pStyle w:val="TOC2"/>
            <w:rPr>
              <w:rFonts w:asciiTheme="minorHAnsi" w:eastAsiaTheme="minorEastAsia" w:hAnsiTheme="minorHAnsi" w:cstheme="minorBidi"/>
              <w:noProof/>
              <w:sz w:val="22"/>
              <w:szCs w:val="22"/>
            </w:rPr>
          </w:pPr>
          <w:hyperlink w:anchor="_Toc59179291" w:history="1">
            <w:r w:rsidR="00164C56" w:rsidRPr="009822AE">
              <w:rPr>
                <w:rStyle w:val="Hyperlink"/>
                <w:noProof/>
              </w:rPr>
              <w:t>B.</w:t>
            </w:r>
            <w:r w:rsidR="00164C56">
              <w:rPr>
                <w:rFonts w:asciiTheme="minorHAnsi" w:eastAsiaTheme="minorEastAsia" w:hAnsiTheme="minorHAnsi" w:cstheme="minorBidi"/>
                <w:noProof/>
                <w:sz w:val="22"/>
                <w:szCs w:val="22"/>
              </w:rPr>
              <w:tab/>
            </w:r>
            <w:r w:rsidR="00164C56" w:rsidRPr="009822AE">
              <w:rPr>
                <w:rStyle w:val="Hyperlink"/>
                <w:noProof/>
              </w:rPr>
              <w:t>History of Pole Attachment Regulation</w:t>
            </w:r>
            <w:r w:rsidR="00164C56">
              <w:rPr>
                <w:noProof/>
                <w:webHidden/>
              </w:rPr>
              <w:tab/>
            </w:r>
            <w:r w:rsidR="00164C56">
              <w:rPr>
                <w:noProof/>
                <w:webHidden/>
              </w:rPr>
              <w:fldChar w:fldCharType="begin"/>
            </w:r>
            <w:r w:rsidR="00164C56">
              <w:rPr>
                <w:noProof/>
                <w:webHidden/>
              </w:rPr>
              <w:instrText xml:space="preserve"> PAGEREF _Toc59179291 \h </w:instrText>
            </w:r>
            <w:r w:rsidR="00164C56">
              <w:rPr>
                <w:noProof/>
                <w:webHidden/>
              </w:rPr>
            </w:r>
            <w:r w:rsidR="00164C56">
              <w:rPr>
                <w:noProof/>
                <w:webHidden/>
              </w:rPr>
              <w:fldChar w:fldCharType="separate"/>
            </w:r>
            <w:r w:rsidR="00164C56">
              <w:rPr>
                <w:noProof/>
                <w:webHidden/>
              </w:rPr>
              <w:t>3</w:t>
            </w:r>
            <w:r w:rsidR="00164C56">
              <w:rPr>
                <w:noProof/>
                <w:webHidden/>
              </w:rPr>
              <w:fldChar w:fldCharType="end"/>
            </w:r>
          </w:hyperlink>
        </w:p>
        <w:p w14:paraId="4EA724DA" w14:textId="40F7C9D6" w:rsidR="00164C56" w:rsidRDefault="00C40B91">
          <w:pPr>
            <w:pStyle w:val="TOC1"/>
            <w:rPr>
              <w:rFonts w:asciiTheme="minorHAnsi" w:eastAsiaTheme="minorEastAsia" w:hAnsiTheme="minorHAnsi" w:cstheme="minorBidi"/>
              <w:noProof/>
              <w:sz w:val="22"/>
              <w:szCs w:val="22"/>
            </w:rPr>
          </w:pPr>
          <w:hyperlink w:anchor="_Toc59179292" w:history="1">
            <w:r w:rsidR="00164C56" w:rsidRPr="009822AE">
              <w:rPr>
                <w:rStyle w:val="Hyperlink"/>
                <w:noProof/>
              </w:rPr>
              <w:t>II.</w:t>
            </w:r>
            <w:r w:rsidR="00164C56">
              <w:rPr>
                <w:rFonts w:asciiTheme="minorHAnsi" w:eastAsiaTheme="minorEastAsia" w:hAnsiTheme="minorHAnsi" w:cstheme="minorBidi"/>
                <w:noProof/>
                <w:sz w:val="22"/>
                <w:szCs w:val="22"/>
              </w:rPr>
              <w:tab/>
            </w:r>
            <w:r w:rsidR="00164C56" w:rsidRPr="009822AE">
              <w:rPr>
                <w:rStyle w:val="Hyperlink"/>
                <w:noProof/>
              </w:rPr>
              <w:t>History of Proceeding</w:t>
            </w:r>
            <w:r w:rsidR="00164C56">
              <w:rPr>
                <w:noProof/>
                <w:webHidden/>
              </w:rPr>
              <w:tab/>
            </w:r>
            <w:r w:rsidR="00164C56">
              <w:rPr>
                <w:noProof/>
                <w:webHidden/>
              </w:rPr>
              <w:fldChar w:fldCharType="begin"/>
            </w:r>
            <w:r w:rsidR="00164C56">
              <w:rPr>
                <w:noProof/>
                <w:webHidden/>
              </w:rPr>
              <w:instrText xml:space="preserve"> PAGEREF _Toc59179292 \h </w:instrText>
            </w:r>
            <w:r w:rsidR="00164C56">
              <w:rPr>
                <w:noProof/>
                <w:webHidden/>
              </w:rPr>
            </w:r>
            <w:r w:rsidR="00164C56">
              <w:rPr>
                <w:noProof/>
                <w:webHidden/>
              </w:rPr>
              <w:fldChar w:fldCharType="separate"/>
            </w:r>
            <w:r w:rsidR="00164C56">
              <w:rPr>
                <w:noProof/>
                <w:webHidden/>
              </w:rPr>
              <w:t>6</w:t>
            </w:r>
            <w:r w:rsidR="00164C56">
              <w:rPr>
                <w:noProof/>
                <w:webHidden/>
              </w:rPr>
              <w:fldChar w:fldCharType="end"/>
            </w:r>
          </w:hyperlink>
        </w:p>
        <w:p w14:paraId="7D3D9FED" w14:textId="02EFC784" w:rsidR="00164C56" w:rsidRDefault="00C40B91">
          <w:pPr>
            <w:pStyle w:val="TOC2"/>
            <w:rPr>
              <w:rFonts w:asciiTheme="minorHAnsi" w:eastAsiaTheme="minorEastAsia" w:hAnsiTheme="minorHAnsi" w:cstheme="minorBidi"/>
              <w:noProof/>
              <w:sz w:val="22"/>
              <w:szCs w:val="22"/>
            </w:rPr>
          </w:pPr>
          <w:hyperlink w:anchor="_Toc59179293" w:history="1">
            <w:r w:rsidR="00164C56" w:rsidRPr="009822AE">
              <w:rPr>
                <w:rStyle w:val="Hyperlink"/>
                <w:noProof/>
              </w:rPr>
              <w:t>A.</w:t>
            </w:r>
            <w:r w:rsidR="00164C56">
              <w:rPr>
                <w:rFonts w:asciiTheme="minorHAnsi" w:eastAsiaTheme="minorEastAsia" w:hAnsiTheme="minorHAnsi" w:cstheme="minorBidi"/>
                <w:noProof/>
                <w:sz w:val="22"/>
                <w:szCs w:val="22"/>
              </w:rPr>
              <w:tab/>
            </w:r>
            <w:r w:rsidR="00164C56" w:rsidRPr="009822AE">
              <w:rPr>
                <w:rStyle w:val="Hyperlink"/>
                <w:noProof/>
              </w:rPr>
              <w:t>Before the FCC</w:t>
            </w:r>
            <w:r w:rsidR="00164C56">
              <w:rPr>
                <w:noProof/>
                <w:webHidden/>
              </w:rPr>
              <w:tab/>
            </w:r>
            <w:r w:rsidR="00164C56">
              <w:rPr>
                <w:noProof/>
                <w:webHidden/>
              </w:rPr>
              <w:fldChar w:fldCharType="begin"/>
            </w:r>
            <w:r w:rsidR="00164C56">
              <w:rPr>
                <w:noProof/>
                <w:webHidden/>
              </w:rPr>
              <w:instrText xml:space="preserve"> PAGEREF _Toc59179293 \h </w:instrText>
            </w:r>
            <w:r w:rsidR="00164C56">
              <w:rPr>
                <w:noProof/>
                <w:webHidden/>
              </w:rPr>
            </w:r>
            <w:r w:rsidR="00164C56">
              <w:rPr>
                <w:noProof/>
                <w:webHidden/>
              </w:rPr>
              <w:fldChar w:fldCharType="separate"/>
            </w:r>
            <w:r w:rsidR="00164C56">
              <w:rPr>
                <w:noProof/>
                <w:webHidden/>
              </w:rPr>
              <w:t>6</w:t>
            </w:r>
            <w:r w:rsidR="00164C56">
              <w:rPr>
                <w:noProof/>
                <w:webHidden/>
              </w:rPr>
              <w:fldChar w:fldCharType="end"/>
            </w:r>
          </w:hyperlink>
        </w:p>
        <w:p w14:paraId="402D340B" w14:textId="3CD85896" w:rsidR="00164C56" w:rsidRDefault="00C40B91">
          <w:pPr>
            <w:pStyle w:val="TOC2"/>
            <w:rPr>
              <w:rFonts w:asciiTheme="minorHAnsi" w:eastAsiaTheme="minorEastAsia" w:hAnsiTheme="minorHAnsi" w:cstheme="minorBidi"/>
              <w:noProof/>
              <w:sz w:val="22"/>
              <w:szCs w:val="22"/>
            </w:rPr>
          </w:pPr>
          <w:hyperlink w:anchor="_Toc59179294" w:history="1">
            <w:r w:rsidR="00164C56" w:rsidRPr="009822AE">
              <w:rPr>
                <w:rStyle w:val="Hyperlink"/>
                <w:noProof/>
              </w:rPr>
              <w:t>B.</w:t>
            </w:r>
            <w:r w:rsidR="00164C56">
              <w:rPr>
                <w:rFonts w:asciiTheme="minorHAnsi" w:eastAsiaTheme="minorEastAsia" w:hAnsiTheme="minorHAnsi" w:cstheme="minorBidi"/>
                <w:noProof/>
                <w:sz w:val="22"/>
                <w:szCs w:val="22"/>
              </w:rPr>
              <w:tab/>
            </w:r>
            <w:r w:rsidR="00164C56" w:rsidRPr="009822AE">
              <w:rPr>
                <w:rStyle w:val="Hyperlink"/>
                <w:noProof/>
              </w:rPr>
              <w:t>Before the Commission</w:t>
            </w:r>
            <w:r w:rsidR="00164C56">
              <w:rPr>
                <w:noProof/>
                <w:webHidden/>
              </w:rPr>
              <w:tab/>
            </w:r>
            <w:r w:rsidR="00164C56">
              <w:rPr>
                <w:noProof/>
                <w:webHidden/>
              </w:rPr>
              <w:fldChar w:fldCharType="begin"/>
            </w:r>
            <w:r w:rsidR="00164C56">
              <w:rPr>
                <w:noProof/>
                <w:webHidden/>
              </w:rPr>
              <w:instrText xml:space="preserve"> PAGEREF _Toc59179294 \h </w:instrText>
            </w:r>
            <w:r w:rsidR="00164C56">
              <w:rPr>
                <w:noProof/>
                <w:webHidden/>
              </w:rPr>
            </w:r>
            <w:r w:rsidR="00164C56">
              <w:rPr>
                <w:noProof/>
                <w:webHidden/>
              </w:rPr>
              <w:fldChar w:fldCharType="separate"/>
            </w:r>
            <w:r w:rsidR="00164C56">
              <w:rPr>
                <w:noProof/>
                <w:webHidden/>
              </w:rPr>
              <w:t>7</w:t>
            </w:r>
            <w:r w:rsidR="00164C56">
              <w:rPr>
                <w:noProof/>
                <w:webHidden/>
              </w:rPr>
              <w:fldChar w:fldCharType="end"/>
            </w:r>
          </w:hyperlink>
        </w:p>
        <w:p w14:paraId="21326809" w14:textId="080C64AE" w:rsidR="00164C56" w:rsidRDefault="00C40B91">
          <w:pPr>
            <w:pStyle w:val="TOC1"/>
            <w:rPr>
              <w:rFonts w:asciiTheme="minorHAnsi" w:eastAsiaTheme="minorEastAsia" w:hAnsiTheme="minorHAnsi" w:cstheme="minorBidi"/>
              <w:noProof/>
              <w:sz w:val="22"/>
              <w:szCs w:val="22"/>
            </w:rPr>
          </w:pPr>
          <w:hyperlink w:anchor="_Toc59179295" w:history="1">
            <w:r w:rsidR="00164C56" w:rsidRPr="009822AE">
              <w:rPr>
                <w:rStyle w:val="Hyperlink"/>
                <w:noProof/>
              </w:rPr>
              <w:t>III.</w:t>
            </w:r>
            <w:r w:rsidR="00164C56">
              <w:rPr>
                <w:rFonts w:asciiTheme="minorHAnsi" w:eastAsiaTheme="minorEastAsia" w:hAnsiTheme="minorHAnsi" w:cstheme="minorBidi"/>
                <w:noProof/>
                <w:sz w:val="22"/>
                <w:szCs w:val="22"/>
              </w:rPr>
              <w:tab/>
            </w:r>
            <w:r w:rsidR="00164C56" w:rsidRPr="009822AE">
              <w:rPr>
                <w:rStyle w:val="Hyperlink"/>
                <w:noProof/>
              </w:rPr>
              <w:t>Discussion</w:t>
            </w:r>
            <w:r w:rsidR="00164C56">
              <w:rPr>
                <w:noProof/>
                <w:webHidden/>
              </w:rPr>
              <w:tab/>
            </w:r>
            <w:r w:rsidR="00164C56">
              <w:rPr>
                <w:noProof/>
                <w:webHidden/>
              </w:rPr>
              <w:fldChar w:fldCharType="begin"/>
            </w:r>
            <w:r w:rsidR="00164C56">
              <w:rPr>
                <w:noProof/>
                <w:webHidden/>
              </w:rPr>
              <w:instrText xml:space="preserve"> PAGEREF _Toc59179295 \h </w:instrText>
            </w:r>
            <w:r w:rsidR="00164C56">
              <w:rPr>
                <w:noProof/>
                <w:webHidden/>
              </w:rPr>
            </w:r>
            <w:r w:rsidR="00164C56">
              <w:rPr>
                <w:noProof/>
                <w:webHidden/>
              </w:rPr>
              <w:fldChar w:fldCharType="separate"/>
            </w:r>
            <w:r w:rsidR="00164C56">
              <w:rPr>
                <w:noProof/>
                <w:webHidden/>
              </w:rPr>
              <w:t>10</w:t>
            </w:r>
            <w:r w:rsidR="00164C56">
              <w:rPr>
                <w:noProof/>
                <w:webHidden/>
              </w:rPr>
              <w:fldChar w:fldCharType="end"/>
            </w:r>
          </w:hyperlink>
        </w:p>
        <w:p w14:paraId="25CDD32C" w14:textId="017292E4" w:rsidR="00164C56" w:rsidRDefault="00C40B91">
          <w:pPr>
            <w:pStyle w:val="TOC2"/>
            <w:rPr>
              <w:rFonts w:asciiTheme="minorHAnsi" w:eastAsiaTheme="minorEastAsia" w:hAnsiTheme="minorHAnsi" w:cstheme="minorBidi"/>
              <w:noProof/>
              <w:sz w:val="22"/>
              <w:szCs w:val="22"/>
            </w:rPr>
          </w:pPr>
          <w:hyperlink w:anchor="_Toc59179296" w:history="1">
            <w:r w:rsidR="00164C56" w:rsidRPr="009822AE">
              <w:rPr>
                <w:rStyle w:val="Hyperlink"/>
                <w:noProof/>
              </w:rPr>
              <w:t>A.</w:t>
            </w:r>
            <w:r w:rsidR="00164C56">
              <w:rPr>
                <w:rFonts w:asciiTheme="minorHAnsi" w:eastAsiaTheme="minorEastAsia" w:hAnsiTheme="minorHAnsi" w:cstheme="minorBidi"/>
                <w:noProof/>
                <w:sz w:val="22"/>
                <w:szCs w:val="22"/>
              </w:rPr>
              <w:tab/>
            </w:r>
            <w:r w:rsidR="00164C56" w:rsidRPr="009822AE">
              <w:rPr>
                <w:rStyle w:val="Hyperlink"/>
                <w:noProof/>
              </w:rPr>
              <w:t>Application of Appropriate Legal Standards</w:t>
            </w:r>
            <w:r w:rsidR="00164C56">
              <w:rPr>
                <w:noProof/>
                <w:webHidden/>
              </w:rPr>
              <w:tab/>
            </w:r>
            <w:r w:rsidR="00164C56">
              <w:rPr>
                <w:noProof/>
                <w:webHidden/>
              </w:rPr>
              <w:fldChar w:fldCharType="begin"/>
            </w:r>
            <w:r w:rsidR="00164C56">
              <w:rPr>
                <w:noProof/>
                <w:webHidden/>
              </w:rPr>
              <w:instrText xml:space="preserve"> PAGEREF _Toc59179296 \h </w:instrText>
            </w:r>
            <w:r w:rsidR="00164C56">
              <w:rPr>
                <w:noProof/>
                <w:webHidden/>
              </w:rPr>
            </w:r>
            <w:r w:rsidR="00164C56">
              <w:rPr>
                <w:noProof/>
                <w:webHidden/>
              </w:rPr>
              <w:fldChar w:fldCharType="separate"/>
            </w:r>
            <w:r w:rsidR="00164C56">
              <w:rPr>
                <w:noProof/>
                <w:webHidden/>
              </w:rPr>
              <w:t>11</w:t>
            </w:r>
            <w:r w:rsidR="00164C56">
              <w:rPr>
                <w:noProof/>
                <w:webHidden/>
              </w:rPr>
              <w:fldChar w:fldCharType="end"/>
            </w:r>
          </w:hyperlink>
        </w:p>
        <w:p w14:paraId="642B17C6" w14:textId="60BFCEDC" w:rsidR="00164C56" w:rsidRDefault="00C40B91">
          <w:pPr>
            <w:pStyle w:val="TOC3"/>
            <w:rPr>
              <w:rFonts w:asciiTheme="minorHAnsi" w:eastAsiaTheme="minorEastAsia" w:hAnsiTheme="minorHAnsi" w:cstheme="minorBidi"/>
              <w:noProof/>
              <w:sz w:val="22"/>
              <w:szCs w:val="22"/>
            </w:rPr>
          </w:pPr>
          <w:hyperlink w:anchor="_Toc59179297" w:history="1">
            <w:r w:rsidR="00164C56" w:rsidRPr="009822AE">
              <w:rPr>
                <w:rStyle w:val="Hyperlink"/>
                <w:noProof/>
              </w:rPr>
              <w:t>1.</w:t>
            </w:r>
            <w:r w:rsidR="00164C56">
              <w:rPr>
                <w:rFonts w:asciiTheme="minorHAnsi" w:eastAsiaTheme="minorEastAsia" w:hAnsiTheme="minorHAnsi" w:cstheme="minorBidi"/>
                <w:noProof/>
                <w:sz w:val="22"/>
                <w:szCs w:val="22"/>
              </w:rPr>
              <w:tab/>
            </w:r>
            <w:r w:rsidR="00164C56" w:rsidRPr="009822AE">
              <w:rPr>
                <w:rStyle w:val="Hyperlink"/>
                <w:noProof/>
              </w:rPr>
              <w:t>Recommended Decision</w:t>
            </w:r>
            <w:r w:rsidR="00164C56">
              <w:rPr>
                <w:noProof/>
                <w:webHidden/>
              </w:rPr>
              <w:tab/>
            </w:r>
            <w:r w:rsidR="00164C56">
              <w:rPr>
                <w:noProof/>
                <w:webHidden/>
              </w:rPr>
              <w:fldChar w:fldCharType="begin"/>
            </w:r>
            <w:r w:rsidR="00164C56">
              <w:rPr>
                <w:noProof/>
                <w:webHidden/>
              </w:rPr>
              <w:instrText xml:space="preserve"> PAGEREF _Toc59179297 \h </w:instrText>
            </w:r>
            <w:r w:rsidR="00164C56">
              <w:rPr>
                <w:noProof/>
                <w:webHidden/>
              </w:rPr>
            </w:r>
            <w:r w:rsidR="00164C56">
              <w:rPr>
                <w:noProof/>
                <w:webHidden/>
              </w:rPr>
              <w:fldChar w:fldCharType="separate"/>
            </w:r>
            <w:r w:rsidR="00164C56">
              <w:rPr>
                <w:noProof/>
                <w:webHidden/>
              </w:rPr>
              <w:t>11</w:t>
            </w:r>
            <w:r w:rsidR="00164C56">
              <w:rPr>
                <w:noProof/>
                <w:webHidden/>
              </w:rPr>
              <w:fldChar w:fldCharType="end"/>
            </w:r>
          </w:hyperlink>
        </w:p>
        <w:p w14:paraId="643BEA22" w14:textId="1FB11694" w:rsidR="00164C56" w:rsidRDefault="00C40B91">
          <w:pPr>
            <w:pStyle w:val="TOC3"/>
            <w:rPr>
              <w:rFonts w:asciiTheme="minorHAnsi" w:eastAsiaTheme="minorEastAsia" w:hAnsiTheme="minorHAnsi" w:cstheme="minorBidi"/>
              <w:noProof/>
              <w:sz w:val="22"/>
              <w:szCs w:val="22"/>
            </w:rPr>
          </w:pPr>
          <w:hyperlink w:anchor="_Toc59179298" w:history="1">
            <w:r w:rsidR="00164C56" w:rsidRPr="009822AE">
              <w:rPr>
                <w:rStyle w:val="Hyperlink"/>
                <w:noProof/>
              </w:rPr>
              <w:t>2.</w:t>
            </w:r>
            <w:r w:rsidR="00164C56">
              <w:rPr>
                <w:rFonts w:asciiTheme="minorHAnsi" w:eastAsiaTheme="minorEastAsia" w:hAnsiTheme="minorHAnsi" w:cstheme="minorBidi"/>
                <w:noProof/>
                <w:sz w:val="22"/>
                <w:szCs w:val="22"/>
              </w:rPr>
              <w:tab/>
            </w:r>
            <w:r w:rsidR="00164C56" w:rsidRPr="009822AE">
              <w:rPr>
                <w:rStyle w:val="Hyperlink"/>
                <w:noProof/>
              </w:rPr>
              <w:t>Exceptions and Replies (FirstEnergy Exception Nos. 1-3)</w:t>
            </w:r>
            <w:r w:rsidR="00164C56">
              <w:rPr>
                <w:noProof/>
                <w:webHidden/>
              </w:rPr>
              <w:tab/>
            </w:r>
            <w:r w:rsidR="00164C56">
              <w:rPr>
                <w:noProof/>
                <w:webHidden/>
              </w:rPr>
              <w:fldChar w:fldCharType="begin"/>
            </w:r>
            <w:r w:rsidR="00164C56">
              <w:rPr>
                <w:noProof/>
                <w:webHidden/>
              </w:rPr>
              <w:instrText xml:space="preserve"> PAGEREF _Toc59179298 \h </w:instrText>
            </w:r>
            <w:r w:rsidR="00164C56">
              <w:rPr>
                <w:noProof/>
                <w:webHidden/>
              </w:rPr>
            </w:r>
            <w:r w:rsidR="00164C56">
              <w:rPr>
                <w:noProof/>
                <w:webHidden/>
              </w:rPr>
              <w:fldChar w:fldCharType="separate"/>
            </w:r>
            <w:r w:rsidR="00164C56">
              <w:rPr>
                <w:noProof/>
                <w:webHidden/>
              </w:rPr>
              <w:t>19</w:t>
            </w:r>
            <w:r w:rsidR="00164C56">
              <w:rPr>
                <w:noProof/>
                <w:webHidden/>
              </w:rPr>
              <w:fldChar w:fldCharType="end"/>
            </w:r>
          </w:hyperlink>
        </w:p>
        <w:p w14:paraId="69920712" w14:textId="1845A3B6" w:rsidR="00164C56" w:rsidRDefault="00C40B91">
          <w:pPr>
            <w:pStyle w:val="TOC3"/>
            <w:rPr>
              <w:rFonts w:asciiTheme="minorHAnsi" w:eastAsiaTheme="minorEastAsia" w:hAnsiTheme="minorHAnsi" w:cstheme="minorBidi"/>
              <w:noProof/>
              <w:sz w:val="22"/>
              <w:szCs w:val="22"/>
            </w:rPr>
          </w:pPr>
          <w:hyperlink w:anchor="_Toc59179299" w:history="1">
            <w:r w:rsidR="00164C56" w:rsidRPr="009822AE">
              <w:rPr>
                <w:rStyle w:val="Hyperlink"/>
                <w:noProof/>
              </w:rPr>
              <w:t>3.</w:t>
            </w:r>
            <w:r w:rsidR="00164C56">
              <w:rPr>
                <w:rFonts w:asciiTheme="minorHAnsi" w:eastAsiaTheme="minorEastAsia" w:hAnsiTheme="minorHAnsi" w:cstheme="minorBidi"/>
                <w:noProof/>
                <w:sz w:val="22"/>
                <w:szCs w:val="22"/>
              </w:rPr>
              <w:tab/>
            </w:r>
            <w:r w:rsidR="00164C56" w:rsidRPr="009822AE">
              <w:rPr>
                <w:rStyle w:val="Hyperlink"/>
                <w:noProof/>
              </w:rPr>
              <w:t>Disposition</w:t>
            </w:r>
            <w:r w:rsidR="00164C56">
              <w:rPr>
                <w:noProof/>
                <w:webHidden/>
              </w:rPr>
              <w:tab/>
            </w:r>
            <w:r w:rsidR="00164C56">
              <w:rPr>
                <w:noProof/>
                <w:webHidden/>
              </w:rPr>
              <w:fldChar w:fldCharType="begin"/>
            </w:r>
            <w:r w:rsidR="00164C56">
              <w:rPr>
                <w:noProof/>
                <w:webHidden/>
              </w:rPr>
              <w:instrText xml:space="preserve"> PAGEREF _Toc59179299 \h </w:instrText>
            </w:r>
            <w:r w:rsidR="00164C56">
              <w:rPr>
                <w:noProof/>
                <w:webHidden/>
              </w:rPr>
            </w:r>
            <w:r w:rsidR="00164C56">
              <w:rPr>
                <w:noProof/>
                <w:webHidden/>
              </w:rPr>
              <w:fldChar w:fldCharType="separate"/>
            </w:r>
            <w:r w:rsidR="00164C56">
              <w:rPr>
                <w:noProof/>
                <w:webHidden/>
              </w:rPr>
              <w:t>21</w:t>
            </w:r>
            <w:r w:rsidR="00164C56">
              <w:rPr>
                <w:noProof/>
                <w:webHidden/>
              </w:rPr>
              <w:fldChar w:fldCharType="end"/>
            </w:r>
          </w:hyperlink>
        </w:p>
        <w:p w14:paraId="22262CE2" w14:textId="643F60A1" w:rsidR="00164C56" w:rsidRDefault="00C40B91">
          <w:pPr>
            <w:pStyle w:val="TOC2"/>
            <w:rPr>
              <w:rFonts w:asciiTheme="minorHAnsi" w:eastAsiaTheme="minorEastAsia" w:hAnsiTheme="minorHAnsi" w:cstheme="minorBidi"/>
              <w:noProof/>
              <w:sz w:val="22"/>
              <w:szCs w:val="22"/>
            </w:rPr>
          </w:pPr>
          <w:hyperlink w:anchor="_Toc59179300" w:history="1">
            <w:r w:rsidR="00164C56" w:rsidRPr="009822AE">
              <w:rPr>
                <w:rStyle w:val="Hyperlink"/>
                <w:noProof/>
              </w:rPr>
              <w:t>B.</w:t>
            </w:r>
            <w:r w:rsidR="00164C56">
              <w:rPr>
                <w:rFonts w:asciiTheme="minorHAnsi" w:eastAsiaTheme="minorEastAsia" w:hAnsiTheme="minorHAnsi" w:cstheme="minorBidi"/>
                <w:noProof/>
                <w:sz w:val="22"/>
                <w:szCs w:val="22"/>
              </w:rPr>
              <w:tab/>
            </w:r>
            <w:r w:rsidR="00164C56" w:rsidRPr="009822AE">
              <w:rPr>
                <w:rStyle w:val="Hyperlink"/>
                <w:noProof/>
              </w:rPr>
              <w:t>Verizon’s Entitlement to the New Telecom Rate Under the Code, Commission and FCC Regulations and Precedent</w:t>
            </w:r>
            <w:r w:rsidR="00164C56">
              <w:rPr>
                <w:noProof/>
                <w:webHidden/>
              </w:rPr>
              <w:tab/>
            </w:r>
            <w:r w:rsidR="00164C56">
              <w:rPr>
                <w:noProof/>
                <w:webHidden/>
              </w:rPr>
              <w:fldChar w:fldCharType="begin"/>
            </w:r>
            <w:r w:rsidR="00164C56">
              <w:rPr>
                <w:noProof/>
                <w:webHidden/>
              </w:rPr>
              <w:instrText xml:space="preserve"> PAGEREF _Toc59179300 \h </w:instrText>
            </w:r>
            <w:r w:rsidR="00164C56">
              <w:rPr>
                <w:noProof/>
                <w:webHidden/>
              </w:rPr>
            </w:r>
            <w:r w:rsidR="00164C56">
              <w:rPr>
                <w:noProof/>
                <w:webHidden/>
              </w:rPr>
              <w:fldChar w:fldCharType="separate"/>
            </w:r>
            <w:r w:rsidR="00164C56">
              <w:rPr>
                <w:noProof/>
                <w:webHidden/>
              </w:rPr>
              <w:t>23</w:t>
            </w:r>
            <w:r w:rsidR="00164C56">
              <w:rPr>
                <w:noProof/>
                <w:webHidden/>
              </w:rPr>
              <w:fldChar w:fldCharType="end"/>
            </w:r>
          </w:hyperlink>
        </w:p>
        <w:p w14:paraId="2D94B0CC" w14:textId="7758E4D9" w:rsidR="00164C56" w:rsidRDefault="00C40B91">
          <w:pPr>
            <w:pStyle w:val="TOC3"/>
            <w:rPr>
              <w:rFonts w:asciiTheme="minorHAnsi" w:eastAsiaTheme="minorEastAsia" w:hAnsiTheme="minorHAnsi" w:cstheme="minorBidi"/>
              <w:noProof/>
              <w:sz w:val="22"/>
              <w:szCs w:val="22"/>
            </w:rPr>
          </w:pPr>
          <w:hyperlink w:anchor="_Toc59179301" w:history="1">
            <w:r w:rsidR="00164C56" w:rsidRPr="009822AE">
              <w:rPr>
                <w:rStyle w:val="Hyperlink"/>
                <w:noProof/>
              </w:rPr>
              <w:t>1.</w:t>
            </w:r>
            <w:r w:rsidR="00164C56">
              <w:rPr>
                <w:rFonts w:asciiTheme="minorHAnsi" w:eastAsiaTheme="minorEastAsia" w:hAnsiTheme="minorHAnsi" w:cstheme="minorBidi"/>
                <w:noProof/>
                <w:sz w:val="22"/>
                <w:szCs w:val="22"/>
              </w:rPr>
              <w:tab/>
            </w:r>
            <w:r w:rsidR="00164C56" w:rsidRPr="009822AE">
              <w:rPr>
                <w:rStyle w:val="Hyperlink"/>
                <w:noProof/>
              </w:rPr>
              <w:t>Recommended Decision</w:t>
            </w:r>
            <w:r w:rsidR="00164C56">
              <w:rPr>
                <w:noProof/>
                <w:webHidden/>
              </w:rPr>
              <w:tab/>
            </w:r>
            <w:r w:rsidR="00164C56">
              <w:rPr>
                <w:noProof/>
                <w:webHidden/>
              </w:rPr>
              <w:fldChar w:fldCharType="begin"/>
            </w:r>
            <w:r w:rsidR="00164C56">
              <w:rPr>
                <w:noProof/>
                <w:webHidden/>
              </w:rPr>
              <w:instrText xml:space="preserve"> PAGEREF _Toc59179301 \h </w:instrText>
            </w:r>
            <w:r w:rsidR="00164C56">
              <w:rPr>
                <w:noProof/>
                <w:webHidden/>
              </w:rPr>
            </w:r>
            <w:r w:rsidR="00164C56">
              <w:rPr>
                <w:noProof/>
                <w:webHidden/>
              </w:rPr>
              <w:fldChar w:fldCharType="separate"/>
            </w:r>
            <w:r w:rsidR="00164C56">
              <w:rPr>
                <w:noProof/>
                <w:webHidden/>
              </w:rPr>
              <w:t>23</w:t>
            </w:r>
            <w:r w:rsidR="00164C56">
              <w:rPr>
                <w:noProof/>
                <w:webHidden/>
              </w:rPr>
              <w:fldChar w:fldCharType="end"/>
            </w:r>
          </w:hyperlink>
        </w:p>
        <w:p w14:paraId="3C4F3BA8" w14:textId="1357F3CB" w:rsidR="00164C56" w:rsidRDefault="00C40B91">
          <w:pPr>
            <w:pStyle w:val="TOC3"/>
            <w:rPr>
              <w:rFonts w:asciiTheme="minorHAnsi" w:eastAsiaTheme="minorEastAsia" w:hAnsiTheme="minorHAnsi" w:cstheme="minorBidi"/>
              <w:noProof/>
              <w:sz w:val="22"/>
              <w:szCs w:val="22"/>
            </w:rPr>
          </w:pPr>
          <w:hyperlink w:anchor="_Toc59179302" w:history="1">
            <w:r w:rsidR="00164C56" w:rsidRPr="009822AE">
              <w:rPr>
                <w:rStyle w:val="Hyperlink"/>
                <w:noProof/>
              </w:rPr>
              <w:t>2.</w:t>
            </w:r>
            <w:r w:rsidR="00164C56">
              <w:rPr>
                <w:rFonts w:asciiTheme="minorHAnsi" w:eastAsiaTheme="minorEastAsia" w:hAnsiTheme="minorHAnsi" w:cstheme="minorBidi"/>
                <w:noProof/>
                <w:sz w:val="22"/>
                <w:szCs w:val="22"/>
              </w:rPr>
              <w:tab/>
            </w:r>
            <w:r w:rsidR="00164C56" w:rsidRPr="009822AE">
              <w:rPr>
                <w:rStyle w:val="Hyperlink"/>
                <w:noProof/>
              </w:rPr>
              <w:t>Exceptions and Replies (FirstEnergy Exception Nos. 4-6)</w:t>
            </w:r>
            <w:r w:rsidR="00164C56">
              <w:rPr>
                <w:noProof/>
                <w:webHidden/>
              </w:rPr>
              <w:tab/>
            </w:r>
            <w:r w:rsidR="00164C56">
              <w:rPr>
                <w:noProof/>
                <w:webHidden/>
              </w:rPr>
              <w:fldChar w:fldCharType="begin"/>
            </w:r>
            <w:r w:rsidR="00164C56">
              <w:rPr>
                <w:noProof/>
                <w:webHidden/>
              </w:rPr>
              <w:instrText xml:space="preserve"> PAGEREF _Toc59179302 \h </w:instrText>
            </w:r>
            <w:r w:rsidR="00164C56">
              <w:rPr>
                <w:noProof/>
                <w:webHidden/>
              </w:rPr>
            </w:r>
            <w:r w:rsidR="00164C56">
              <w:rPr>
                <w:noProof/>
                <w:webHidden/>
              </w:rPr>
              <w:fldChar w:fldCharType="separate"/>
            </w:r>
            <w:r w:rsidR="00164C56">
              <w:rPr>
                <w:noProof/>
                <w:webHidden/>
              </w:rPr>
              <w:t>27</w:t>
            </w:r>
            <w:r w:rsidR="00164C56">
              <w:rPr>
                <w:noProof/>
                <w:webHidden/>
              </w:rPr>
              <w:fldChar w:fldCharType="end"/>
            </w:r>
          </w:hyperlink>
        </w:p>
        <w:p w14:paraId="46B062B0" w14:textId="4A287DAF" w:rsidR="00164C56" w:rsidRDefault="00C40B91" w:rsidP="00164C56">
          <w:pPr>
            <w:pStyle w:val="TOC4"/>
            <w:rPr>
              <w:rFonts w:asciiTheme="minorHAnsi" w:eastAsiaTheme="minorEastAsia" w:hAnsiTheme="minorHAnsi" w:cstheme="minorBidi"/>
              <w:noProof/>
              <w:sz w:val="22"/>
              <w:szCs w:val="22"/>
            </w:rPr>
          </w:pPr>
          <w:hyperlink w:anchor="_Toc59179303" w:history="1">
            <w:r w:rsidR="00164C56" w:rsidRPr="009822AE">
              <w:rPr>
                <w:rStyle w:val="Hyperlink"/>
                <w:noProof/>
              </w:rPr>
              <w:t>a.</w:t>
            </w:r>
            <w:r w:rsidR="00164C56">
              <w:rPr>
                <w:rFonts w:asciiTheme="minorHAnsi" w:eastAsiaTheme="minorEastAsia" w:hAnsiTheme="minorHAnsi" w:cstheme="minorBidi"/>
                <w:noProof/>
                <w:sz w:val="22"/>
                <w:szCs w:val="22"/>
              </w:rPr>
              <w:tab/>
            </w:r>
            <w:r w:rsidR="00164C56" w:rsidRPr="009822AE">
              <w:rPr>
                <w:rStyle w:val="Hyperlink"/>
                <w:noProof/>
              </w:rPr>
              <w:t>Did the ALJ Err by Ignoring FCC Precedent in the Resolution of</w:t>
            </w:r>
            <w:r w:rsidR="00164C56">
              <w:rPr>
                <w:rStyle w:val="Hyperlink"/>
                <w:noProof/>
              </w:rPr>
              <w:t> </w:t>
            </w:r>
            <w:r w:rsidR="00164C56" w:rsidRPr="009822AE">
              <w:rPr>
                <w:rStyle w:val="Hyperlink"/>
                <w:noProof/>
              </w:rPr>
              <w:t>this Proceeding?  (FirstEnergy Exception No. 4)</w:t>
            </w:r>
            <w:r w:rsidR="00164C56">
              <w:rPr>
                <w:noProof/>
                <w:webHidden/>
              </w:rPr>
              <w:tab/>
            </w:r>
            <w:r w:rsidR="00164C56">
              <w:rPr>
                <w:noProof/>
                <w:webHidden/>
              </w:rPr>
              <w:fldChar w:fldCharType="begin"/>
            </w:r>
            <w:r w:rsidR="00164C56">
              <w:rPr>
                <w:noProof/>
                <w:webHidden/>
              </w:rPr>
              <w:instrText xml:space="preserve"> PAGEREF _Toc59179303 \h </w:instrText>
            </w:r>
            <w:r w:rsidR="00164C56">
              <w:rPr>
                <w:noProof/>
                <w:webHidden/>
              </w:rPr>
            </w:r>
            <w:r w:rsidR="00164C56">
              <w:rPr>
                <w:noProof/>
                <w:webHidden/>
              </w:rPr>
              <w:fldChar w:fldCharType="separate"/>
            </w:r>
            <w:r w:rsidR="00164C56">
              <w:rPr>
                <w:noProof/>
                <w:webHidden/>
              </w:rPr>
              <w:t>27</w:t>
            </w:r>
            <w:r w:rsidR="00164C56">
              <w:rPr>
                <w:noProof/>
                <w:webHidden/>
              </w:rPr>
              <w:fldChar w:fldCharType="end"/>
            </w:r>
          </w:hyperlink>
        </w:p>
        <w:p w14:paraId="77C6DECA" w14:textId="111C2176" w:rsidR="00164C56" w:rsidRDefault="00C40B91" w:rsidP="00164C56">
          <w:pPr>
            <w:pStyle w:val="TOC4"/>
            <w:rPr>
              <w:rFonts w:asciiTheme="minorHAnsi" w:eastAsiaTheme="minorEastAsia" w:hAnsiTheme="minorHAnsi" w:cstheme="minorBidi"/>
              <w:noProof/>
              <w:sz w:val="22"/>
              <w:szCs w:val="22"/>
            </w:rPr>
          </w:pPr>
          <w:hyperlink w:anchor="_Toc59179304" w:history="1">
            <w:r w:rsidR="00164C56" w:rsidRPr="009822AE">
              <w:rPr>
                <w:rStyle w:val="Hyperlink"/>
                <w:noProof/>
              </w:rPr>
              <w:t>b.</w:t>
            </w:r>
            <w:r w:rsidR="00164C56">
              <w:rPr>
                <w:rFonts w:asciiTheme="minorHAnsi" w:eastAsiaTheme="minorEastAsia" w:hAnsiTheme="minorHAnsi" w:cstheme="minorBidi"/>
                <w:noProof/>
                <w:sz w:val="22"/>
                <w:szCs w:val="22"/>
              </w:rPr>
              <w:tab/>
            </w:r>
            <w:r w:rsidR="00164C56" w:rsidRPr="009822AE">
              <w:rPr>
                <w:rStyle w:val="Hyperlink"/>
                <w:noProof/>
              </w:rPr>
              <w:t>Did the ALJ Err by Concluding that the Joint Use Agreements were “Entered into or Renewed” After the Effective Date of 47 C.F.R. § 1.1413?  (FirstEnergy Exception No. 5)</w:t>
            </w:r>
            <w:r w:rsidR="00164C56">
              <w:rPr>
                <w:noProof/>
                <w:webHidden/>
              </w:rPr>
              <w:tab/>
            </w:r>
            <w:r w:rsidR="00164C56">
              <w:rPr>
                <w:noProof/>
                <w:webHidden/>
              </w:rPr>
              <w:fldChar w:fldCharType="begin"/>
            </w:r>
            <w:r w:rsidR="00164C56">
              <w:rPr>
                <w:noProof/>
                <w:webHidden/>
              </w:rPr>
              <w:instrText xml:space="preserve"> PAGEREF _Toc59179304 \h </w:instrText>
            </w:r>
            <w:r w:rsidR="00164C56">
              <w:rPr>
                <w:noProof/>
                <w:webHidden/>
              </w:rPr>
            </w:r>
            <w:r w:rsidR="00164C56">
              <w:rPr>
                <w:noProof/>
                <w:webHidden/>
              </w:rPr>
              <w:fldChar w:fldCharType="separate"/>
            </w:r>
            <w:r w:rsidR="00164C56">
              <w:rPr>
                <w:noProof/>
                <w:webHidden/>
              </w:rPr>
              <w:t>29</w:t>
            </w:r>
            <w:r w:rsidR="00164C56">
              <w:rPr>
                <w:noProof/>
                <w:webHidden/>
              </w:rPr>
              <w:fldChar w:fldCharType="end"/>
            </w:r>
          </w:hyperlink>
        </w:p>
        <w:p w14:paraId="235DD7F5" w14:textId="61755175" w:rsidR="00164C56" w:rsidRDefault="00C40B91" w:rsidP="00164C56">
          <w:pPr>
            <w:pStyle w:val="TOC4"/>
            <w:rPr>
              <w:rFonts w:asciiTheme="minorHAnsi" w:eastAsiaTheme="minorEastAsia" w:hAnsiTheme="minorHAnsi" w:cstheme="minorBidi"/>
              <w:noProof/>
              <w:sz w:val="22"/>
              <w:szCs w:val="22"/>
            </w:rPr>
          </w:pPr>
          <w:hyperlink w:anchor="_Toc59179305" w:history="1">
            <w:r w:rsidR="00164C56" w:rsidRPr="009822AE">
              <w:rPr>
                <w:rStyle w:val="Hyperlink"/>
                <w:noProof/>
              </w:rPr>
              <w:t>c.</w:t>
            </w:r>
            <w:r w:rsidR="00164C56">
              <w:rPr>
                <w:rFonts w:asciiTheme="minorHAnsi" w:eastAsiaTheme="minorEastAsia" w:hAnsiTheme="minorHAnsi" w:cstheme="minorBidi"/>
                <w:noProof/>
                <w:sz w:val="22"/>
                <w:szCs w:val="22"/>
              </w:rPr>
              <w:tab/>
            </w:r>
            <w:r w:rsidR="00164C56" w:rsidRPr="009822AE">
              <w:rPr>
                <w:rStyle w:val="Hyperlink"/>
                <w:noProof/>
              </w:rPr>
              <w:t>Did the ALJ Err by Concluding that FirstEnergy Failed to Demonstrate that Verizon Receives Quantifiable Material Advantages Under the Joint Use Agreements?  (FirstEnergy Exception No. 6)</w:t>
            </w:r>
            <w:r w:rsidR="00164C56">
              <w:rPr>
                <w:noProof/>
                <w:webHidden/>
              </w:rPr>
              <w:tab/>
            </w:r>
            <w:r w:rsidR="00164C56">
              <w:rPr>
                <w:noProof/>
                <w:webHidden/>
              </w:rPr>
              <w:fldChar w:fldCharType="begin"/>
            </w:r>
            <w:r w:rsidR="00164C56">
              <w:rPr>
                <w:noProof/>
                <w:webHidden/>
              </w:rPr>
              <w:instrText xml:space="preserve"> PAGEREF _Toc59179305 \h </w:instrText>
            </w:r>
            <w:r w:rsidR="00164C56">
              <w:rPr>
                <w:noProof/>
                <w:webHidden/>
              </w:rPr>
            </w:r>
            <w:r w:rsidR="00164C56">
              <w:rPr>
                <w:noProof/>
                <w:webHidden/>
              </w:rPr>
              <w:fldChar w:fldCharType="separate"/>
            </w:r>
            <w:r w:rsidR="00164C56">
              <w:rPr>
                <w:noProof/>
                <w:webHidden/>
              </w:rPr>
              <w:t>32</w:t>
            </w:r>
            <w:r w:rsidR="00164C56">
              <w:rPr>
                <w:noProof/>
                <w:webHidden/>
              </w:rPr>
              <w:fldChar w:fldCharType="end"/>
            </w:r>
          </w:hyperlink>
        </w:p>
        <w:p w14:paraId="62328D1F" w14:textId="60DEDE13" w:rsidR="00164C56" w:rsidRDefault="00C40B91">
          <w:pPr>
            <w:pStyle w:val="TOC3"/>
            <w:rPr>
              <w:rFonts w:asciiTheme="minorHAnsi" w:eastAsiaTheme="minorEastAsia" w:hAnsiTheme="minorHAnsi" w:cstheme="minorBidi"/>
              <w:noProof/>
              <w:sz w:val="22"/>
              <w:szCs w:val="22"/>
            </w:rPr>
          </w:pPr>
          <w:hyperlink w:anchor="_Toc59179306" w:history="1">
            <w:r w:rsidR="00164C56" w:rsidRPr="009822AE">
              <w:rPr>
                <w:rStyle w:val="Hyperlink"/>
                <w:noProof/>
              </w:rPr>
              <w:t>3.</w:t>
            </w:r>
            <w:r w:rsidR="00164C56">
              <w:rPr>
                <w:rFonts w:asciiTheme="minorHAnsi" w:eastAsiaTheme="minorEastAsia" w:hAnsiTheme="minorHAnsi" w:cstheme="minorBidi"/>
                <w:noProof/>
                <w:sz w:val="22"/>
                <w:szCs w:val="22"/>
              </w:rPr>
              <w:tab/>
            </w:r>
            <w:r w:rsidR="00164C56" w:rsidRPr="009822AE">
              <w:rPr>
                <w:rStyle w:val="Hyperlink"/>
                <w:noProof/>
              </w:rPr>
              <w:t>Disposition</w:t>
            </w:r>
            <w:r w:rsidR="00164C56">
              <w:rPr>
                <w:noProof/>
                <w:webHidden/>
              </w:rPr>
              <w:tab/>
            </w:r>
            <w:r w:rsidR="00164C56">
              <w:rPr>
                <w:noProof/>
                <w:webHidden/>
              </w:rPr>
              <w:fldChar w:fldCharType="begin"/>
            </w:r>
            <w:r w:rsidR="00164C56">
              <w:rPr>
                <w:noProof/>
                <w:webHidden/>
              </w:rPr>
              <w:instrText xml:space="preserve"> PAGEREF _Toc59179306 \h </w:instrText>
            </w:r>
            <w:r w:rsidR="00164C56">
              <w:rPr>
                <w:noProof/>
                <w:webHidden/>
              </w:rPr>
            </w:r>
            <w:r w:rsidR="00164C56">
              <w:rPr>
                <w:noProof/>
                <w:webHidden/>
              </w:rPr>
              <w:fldChar w:fldCharType="separate"/>
            </w:r>
            <w:r w:rsidR="00164C56">
              <w:rPr>
                <w:noProof/>
                <w:webHidden/>
              </w:rPr>
              <w:t>35</w:t>
            </w:r>
            <w:r w:rsidR="00164C56">
              <w:rPr>
                <w:noProof/>
                <w:webHidden/>
              </w:rPr>
              <w:fldChar w:fldCharType="end"/>
            </w:r>
          </w:hyperlink>
        </w:p>
        <w:p w14:paraId="485CC42A" w14:textId="79345404" w:rsidR="00164C56" w:rsidRDefault="00C40B91">
          <w:pPr>
            <w:pStyle w:val="TOC2"/>
            <w:rPr>
              <w:rFonts w:asciiTheme="minorHAnsi" w:eastAsiaTheme="minorEastAsia" w:hAnsiTheme="minorHAnsi" w:cstheme="minorBidi"/>
              <w:noProof/>
              <w:sz w:val="22"/>
              <w:szCs w:val="22"/>
            </w:rPr>
          </w:pPr>
          <w:hyperlink w:anchor="_Toc59179307" w:history="1">
            <w:r w:rsidR="00164C56" w:rsidRPr="009822AE">
              <w:rPr>
                <w:rStyle w:val="Hyperlink"/>
                <w:noProof/>
              </w:rPr>
              <w:t>C.</w:t>
            </w:r>
            <w:r w:rsidR="00164C56">
              <w:rPr>
                <w:rFonts w:asciiTheme="minorHAnsi" w:eastAsiaTheme="minorEastAsia" w:hAnsiTheme="minorHAnsi" w:cstheme="minorBidi"/>
                <w:noProof/>
                <w:sz w:val="22"/>
                <w:szCs w:val="22"/>
              </w:rPr>
              <w:tab/>
            </w:r>
            <w:r w:rsidR="00164C56" w:rsidRPr="009822AE">
              <w:rPr>
                <w:rStyle w:val="Hyperlink"/>
                <w:noProof/>
              </w:rPr>
              <w:t>Lawful Rates Going Forward Under Existing Joint Use Agreements.</w:t>
            </w:r>
            <w:r w:rsidR="00164C56">
              <w:rPr>
                <w:noProof/>
                <w:webHidden/>
              </w:rPr>
              <w:tab/>
            </w:r>
            <w:r w:rsidR="00164C56">
              <w:rPr>
                <w:noProof/>
                <w:webHidden/>
              </w:rPr>
              <w:fldChar w:fldCharType="begin"/>
            </w:r>
            <w:r w:rsidR="00164C56">
              <w:rPr>
                <w:noProof/>
                <w:webHidden/>
              </w:rPr>
              <w:instrText xml:space="preserve"> PAGEREF _Toc59179307 \h </w:instrText>
            </w:r>
            <w:r w:rsidR="00164C56">
              <w:rPr>
                <w:noProof/>
                <w:webHidden/>
              </w:rPr>
            </w:r>
            <w:r w:rsidR="00164C56">
              <w:rPr>
                <w:noProof/>
                <w:webHidden/>
              </w:rPr>
              <w:fldChar w:fldCharType="separate"/>
            </w:r>
            <w:r w:rsidR="00164C56">
              <w:rPr>
                <w:noProof/>
                <w:webHidden/>
              </w:rPr>
              <w:t>42</w:t>
            </w:r>
            <w:r w:rsidR="00164C56">
              <w:rPr>
                <w:noProof/>
                <w:webHidden/>
              </w:rPr>
              <w:fldChar w:fldCharType="end"/>
            </w:r>
          </w:hyperlink>
        </w:p>
        <w:p w14:paraId="29DE5A4C" w14:textId="3796C3AD" w:rsidR="00164C56" w:rsidRDefault="00C40B91">
          <w:pPr>
            <w:pStyle w:val="TOC3"/>
            <w:rPr>
              <w:rFonts w:asciiTheme="minorHAnsi" w:eastAsiaTheme="minorEastAsia" w:hAnsiTheme="minorHAnsi" w:cstheme="minorBidi"/>
              <w:noProof/>
              <w:sz w:val="22"/>
              <w:szCs w:val="22"/>
            </w:rPr>
          </w:pPr>
          <w:hyperlink w:anchor="_Toc59179308" w:history="1">
            <w:r w:rsidR="00164C56" w:rsidRPr="009822AE">
              <w:rPr>
                <w:rStyle w:val="Hyperlink"/>
                <w:noProof/>
              </w:rPr>
              <w:t>1.</w:t>
            </w:r>
            <w:r w:rsidR="00164C56">
              <w:rPr>
                <w:rFonts w:asciiTheme="minorHAnsi" w:eastAsiaTheme="minorEastAsia" w:hAnsiTheme="minorHAnsi" w:cstheme="minorBidi"/>
                <w:noProof/>
                <w:sz w:val="22"/>
                <w:szCs w:val="22"/>
              </w:rPr>
              <w:tab/>
            </w:r>
            <w:r w:rsidR="00164C56" w:rsidRPr="009822AE">
              <w:rPr>
                <w:rStyle w:val="Hyperlink"/>
                <w:noProof/>
              </w:rPr>
              <w:t>Recommended Decision</w:t>
            </w:r>
            <w:r w:rsidR="00164C56">
              <w:rPr>
                <w:noProof/>
                <w:webHidden/>
              </w:rPr>
              <w:tab/>
            </w:r>
            <w:r w:rsidR="00164C56">
              <w:rPr>
                <w:noProof/>
                <w:webHidden/>
              </w:rPr>
              <w:fldChar w:fldCharType="begin"/>
            </w:r>
            <w:r w:rsidR="00164C56">
              <w:rPr>
                <w:noProof/>
                <w:webHidden/>
              </w:rPr>
              <w:instrText xml:space="preserve"> PAGEREF _Toc59179308 \h </w:instrText>
            </w:r>
            <w:r w:rsidR="00164C56">
              <w:rPr>
                <w:noProof/>
                <w:webHidden/>
              </w:rPr>
            </w:r>
            <w:r w:rsidR="00164C56">
              <w:rPr>
                <w:noProof/>
                <w:webHidden/>
              </w:rPr>
              <w:fldChar w:fldCharType="separate"/>
            </w:r>
            <w:r w:rsidR="00164C56">
              <w:rPr>
                <w:noProof/>
                <w:webHidden/>
              </w:rPr>
              <w:t>42</w:t>
            </w:r>
            <w:r w:rsidR="00164C56">
              <w:rPr>
                <w:noProof/>
                <w:webHidden/>
              </w:rPr>
              <w:fldChar w:fldCharType="end"/>
            </w:r>
          </w:hyperlink>
        </w:p>
        <w:p w14:paraId="523AE3AF" w14:textId="168EB73D" w:rsidR="00164C56" w:rsidRDefault="00C40B91">
          <w:pPr>
            <w:pStyle w:val="TOC3"/>
            <w:rPr>
              <w:rFonts w:asciiTheme="minorHAnsi" w:eastAsiaTheme="minorEastAsia" w:hAnsiTheme="minorHAnsi" w:cstheme="minorBidi"/>
              <w:noProof/>
              <w:sz w:val="22"/>
              <w:szCs w:val="22"/>
            </w:rPr>
          </w:pPr>
          <w:hyperlink w:anchor="_Toc59179309" w:history="1">
            <w:r w:rsidR="00164C56" w:rsidRPr="009822AE">
              <w:rPr>
                <w:rStyle w:val="Hyperlink"/>
                <w:noProof/>
              </w:rPr>
              <w:t>2.</w:t>
            </w:r>
            <w:r w:rsidR="00164C56">
              <w:rPr>
                <w:rFonts w:asciiTheme="minorHAnsi" w:eastAsiaTheme="minorEastAsia" w:hAnsiTheme="minorHAnsi" w:cstheme="minorBidi"/>
                <w:noProof/>
                <w:sz w:val="22"/>
                <w:szCs w:val="22"/>
              </w:rPr>
              <w:tab/>
            </w:r>
            <w:r w:rsidR="00164C56" w:rsidRPr="009822AE">
              <w:rPr>
                <w:rStyle w:val="Hyperlink"/>
                <w:noProof/>
              </w:rPr>
              <w:t>Exceptions and Replies (FirstEnergy Exception Nos. 7-10)</w:t>
            </w:r>
            <w:r w:rsidR="00164C56">
              <w:rPr>
                <w:noProof/>
                <w:webHidden/>
              </w:rPr>
              <w:tab/>
            </w:r>
            <w:r w:rsidR="00164C56">
              <w:rPr>
                <w:noProof/>
                <w:webHidden/>
              </w:rPr>
              <w:fldChar w:fldCharType="begin"/>
            </w:r>
            <w:r w:rsidR="00164C56">
              <w:rPr>
                <w:noProof/>
                <w:webHidden/>
              </w:rPr>
              <w:instrText xml:space="preserve"> PAGEREF _Toc59179309 \h </w:instrText>
            </w:r>
            <w:r w:rsidR="00164C56">
              <w:rPr>
                <w:noProof/>
                <w:webHidden/>
              </w:rPr>
            </w:r>
            <w:r w:rsidR="00164C56">
              <w:rPr>
                <w:noProof/>
                <w:webHidden/>
              </w:rPr>
              <w:fldChar w:fldCharType="separate"/>
            </w:r>
            <w:r w:rsidR="00164C56">
              <w:rPr>
                <w:noProof/>
                <w:webHidden/>
              </w:rPr>
              <w:t>44</w:t>
            </w:r>
            <w:r w:rsidR="00164C56">
              <w:rPr>
                <w:noProof/>
                <w:webHidden/>
              </w:rPr>
              <w:fldChar w:fldCharType="end"/>
            </w:r>
          </w:hyperlink>
        </w:p>
        <w:p w14:paraId="383D94C1" w14:textId="0848F214" w:rsidR="00164C56" w:rsidRDefault="00C40B91" w:rsidP="00164C56">
          <w:pPr>
            <w:pStyle w:val="TOC4"/>
            <w:rPr>
              <w:rFonts w:asciiTheme="minorHAnsi" w:eastAsiaTheme="minorEastAsia" w:hAnsiTheme="minorHAnsi" w:cstheme="minorBidi"/>
              <w:noProof/>
              <w:sz w:val="22"/>
              <w:szCs w:val="22"/>
            </w:rPr>
          </w:pPr>
          <w:hyperlink w:anchor="_Toc59179310" w:history="1">
            <w:r w:rsidR="00164C56" w:rsidRPr="009822AE">
              <w:rPr>
                <w:rStyle w:val="Hyperlink"/>
                <w:noProof/>
              </w:rPr>
              <w:t>a.</w:t>
            </w:r>
            <w:r w:rsidR="00164C56">
              <w:rPr>
                <w:rFonts w:asciiTheme="minorHAnsi" w:eastAsiaTheme="minorEastAsia" w:hAnsiTheme="minorHAnsi" w:cstheme="minorBidi"/>
                <w:noProof/>
                <w:sz w:val="22"/>
                <w:szCs w:val="22"/>
              </w:rPr>
              <w:tab/>
            </w:r>
            <w:r w:rsidR="00164C56" w:rsidRPr="009822AE">
              <w:rPr>
                <w:rStyle w:val="Hyperlink"/>
                <w:noProof/>
              </w:rPr>
              <w:t>Did the ALJ Err by Inserting the New Telecom Rates into the Joint</w:t>
            </w:r>
            <w:r w:rsidR="00A927B4">
              <w:rPr>
                <w:rStyle w:val="Hyperlink"/>
                <w:noProof/>
              </w:rPr>
              <w:t> </w:t>
            </w:r>
            <w:r w:rsidR="00164C56" w:rsidRPr="009822AE">
              <w:rPr>
                <w:rStyle w:val="Hyperlink"/>
                <w:noProof/>
              </w:rPr>
              <w:t>Use Agreements?  (FirstEnergy Exception No. 7)</w:t>
            </w:r>
            <w:r w:rsidR="00164C56">
              <w:rPr>
                <w:noProof/>
                <w:webHidden/>
              </w:rPr>
              <w:tab/>
            </w:r>
            <w:r w:rsidR="00164C56">
              <w:rPr>
                <w:noProof/>
                <w:webHidden/>
              </w:rPr>
              <w:fldChar w:fldCharType="begin"/>
            </w:r>
            <w:r w:rsidR="00164C56">
              <w:rPr>
                <w:noProof/>
                <w:webHidden/>
              </w:rPr>
              <w:instrText xml:space="preserve"> PAGEREF _Toc59179310 \h </w:instrText>
            </w:r>
            <w:r w:rsidR="00164C56">
              <w:rPr>
                <w:noProof/>
                <w:webHidden/>
              </w:rPr>
            </w:r>
            <w:r w:rsidR="00164C56">
              <w:rPr>
                <w:noProof/>
                <w:webHidden/>
              </w:rPr>
              <w:fldChar w:fldCharType="separate"/>
            </w:r>
            <w:r w:rsidR="00164C56">
              <w:rPr>
                <w:noProof/>
                <w:webHidden/>
              </w:rPr>
              <w:t>44</w:t>
            </w:r>
            <w:r w:rsidR="00164C56">
              <w:rPr>
                <w:noProof/>
                <w:webHidden/>
              </w:rPr>
              <w:fldChar w:fldCharType="end"/>
            </w:r>
          </w:hyperlink>
        </w:p>
        <w:p w14:paraId="2D808456" w14:textId="5CC5DBD7" w:rsidR="00164C56" w:rsidRDefault="00C40B91" w:rsidP="00164C56">
          <w:pPr>
            <w:pStyle w:val="TOC4"/>
            <w:rPr>
              <w:rFonts w:asciiTheme="minorHAnsi" w:eastAsiaTheme="minorEastAsia" w:hAnsiTheme="minorHAnsi" w:cstheme="minorBidi"/>
              <w:noProof/>
              <w:sz w:val="22"/>
              <w:szCs w:val="22"/>
            </w:rPr>
          </w:pPr>
          <w:hyperlink w:anchor="_Toc59179311" w:history="1">
            <w:r w:rsidR="00164C56" w:rsidRPr="009822AE">
              <w:rPr>
                <w:rStyle w:val="Hyperlink"/>
                <w:noProof/>
              </w:rPr>
              <w:t>b.</w:t>
            </w:r>
            <w:r w:rsidR="00164C56">
              <w:rPr>
                <w:rFonts w:asciiTheme="minorHAnsi" w:eastAsiaTheme="minorEastAsia" w:hAnsiTheme="minorHAnsi" w:cstheme="minorBidi"/>
                <w:noProof/>
                <w:sz w:val="22"/>
                <w:szCs w:val="22"/>
              </w:rPr>
              <w:tab/>
            </w:r>
            <w:r w:rsidR="00164C56" w:rsidRPr="009822AE">
              <w:rPr>
                <w:rStyle w:val="Hyperlink"/>
                <w:noProof/>
              </w:rPr>
              <w:t>Did the ALJ Err by Rejecting the Unrebutted Actual Inputs into</w:t>
            </w:r>
            <w:r w:rsidR="00164C56">
              <w:rPr>
                <w:rStyle w:val="Hyperlink"/>
                <w:noProof/>
              </w:rPr>
              <w:t> </w:t>
            </w:r>
            <w:r w:rsidR="00164C56" w:rsidRPr="009822AE">
              <w:rPr>
                <w:rStyle w:val="Hyperlink"/>
                <w:noProof/>
              </w:rPr>
              <w:t>the</w:t>
            </w:r>
            <w:r w:rsidR="00164C56">
              <w:rPr>
                <w:rStyle w:val="Hyperlink"/>
                <w:noProof/>
              </w:rPr>
              <w:t> </w:t>
            </w:r>
            <w:r w:rsidR="00164C56" w:rsidRPr="009822AE">
              <w:rPr>
                <w:rStyle w:val="Hyperlink"/>
                <w:noProof/>
              </w:rPr>
              <w:t>FCC Rate Formulas Prepared by FirstEnergy?  (FirstEnergy Exception No. 8)</w:t>
            </w:r>
            <w:r w:rsidR="00164C56">
              <w:rPr>
                <w:noProof/>
                <w:webHidden/>
              </w:rPr>
              <w:tab/>
            </w:r>
            <w:r w:rsidR="00164C56">
              <w:rPr>
                <w:noProof/>
                <w:webHidden/>
              </w:rPr>
              <w:fldChar w:fldCharType="begin"/>
            </w:r>
            <w:r w:rsidR="00164C56">
              <w:rPr>
                <w:noProof/>
                <w:webHidden/>
              </w:rPr>
              <w:instrText xml:space="preserve"> PAGEREF _Toc59179311 \h </w:instrText>
            </w:r>
            <w:r w:rsidR="00164C56">
              <w:rPr>
                <w:noProof/>
                <w:webHidden/>
              </w:rPr>
            </w:r>
            <w:r w:rsidR="00164C56">
              <w:rPr>
                <w:noProof/>
                <w:webHidden/>
              </w:rPr>
              <w:fldChar w:fldCharType="separate"/>
            </w:r>
            <w:r w:rsidR="00164C56">
              <w:rPr>
                <w:noProof/>
                <w:webHidden/>
              </w:rPr>
              <w:t>45</w:t>
            </w:r>
            <w:r w:rsidR="00164C56">
              <w:rPr>
                <w:noProof/>
                <w:webHidden/>
              </w:rPr>
              <w:fldChar w:fldCharType="end"/>
            </w:r>
          </w:hyperlink>
        </w:p>
        <w:p w14:paraId="36619103" w14:textId="7DBBCBF1" w:rsidR="00164C56" w:rsidRDefault="00C40B91" w:rsidP="00164C56">
          <w:pPr>
            <w:pStyle w:val="TOC4"/>
            <w:rPr>
              <w:rFonts w:asciiTheme="minorHAnsi" w:eastAsiaTheme="minorEastAsia" w:hAnsiTheme="minorHAnsi" w:cstheme="minorBidi"/>
              <w:noProof/>
              <w:sz w:val="22"/>
              <w:szCs w:val="22"/>
            </w:rPr>
          </w:pPr>
          <w:hyperlink w:anchor="_Toc59179312" w:history="1">
            <w:r w:rsidR="00164C56" w:rsidRPr="009822AE">
              <w:rPr>
                <w:rStyle w:val="Hyperlink"/>
                <w:noProof/>
              </w:rPr>
              <w:t>c.</w:t>
            </w:r>
            <w:r w:rsidR="00164C56">
              <w:rPr>
                <w:rFonts w:asciiTheme="minorHAnsi" w:eastAsiaTheme="minorEastAsia" w:hAnsiTheme="minorHAnsi" w:cstheme="minorBidi"/>
                <w:noProof/>
                <w:sz w:val="22"/>
                <w:szCs w:val="22"/>
              </w:rPr>
              <w:tab/>
            </w:r>
            <w:r w:rsidR="00164C56" w:rsidRPr="009822AE">
              <w:rPr>
                <w:rStyle w:val="Hyperlink"/>
                <w:noProof/>
              </w:rPr>
              <w:t xml:space="preserve">Did the ALJ Err by Failing to Determine the Current Cost of Capital in Computing the Rates Under the Joint Use Agreements? </w:t>
            </w:r>
            <w:r w:rsidR="00164C56">
              <w:rPr>
                <w:rStyle w:val="Hyperlink"/>
                <w:noProof/>
              </w:rPr>
              <w:t> </w:t>
            </w:r>
            <w:r w:rsidR="00164C56" w:rsidRPr="009822AE">
              <w:rPr>
                <w:rStyle w:val="Hyperlink"/>
                <w:noProof/>
              </w:rPr>
              <w:t>(FirstEnergy Exception No. 9)</w:t>
            </w:r>
            <w:r w:rsidR="00164C56">
              <w:rPr>
                <w:noProof/>
                <w:webHidden/>
              </w:rPr>
              <w:tab/>
            </w:r>
            <w:r w:rsidR="00164C56">
              <w:rPr>
                <w:noProof/>
                <w:webHidden/>
              </w:rPr>
              <w:fldChar w:fldCharType="begin"/>
            </w:r>
            <w:r w:rsidR="00164C56">
              <w:rPr>
                <w:noProof/>
                <w:webHidden/>
              </w:rPr>
              <w:instrText xml:space="preserve"> PAGEREF _Toc59179312 \h </w:instrText>
            </w:r>
            <w:r w:rsidR="00164C56">
              <w:rPr>
                <w:noProof/>
                <w:webHidden/>
              </w:rPr>
            </w:r>
            <w:r w:rsidR="00164C56">
              <w:rPr>
                <w:noProof/>
                <w:webHidden/>
              </w:rPr>
              <w:fldChar w:fldCharType="separate"/>
            </w:r>
            <w:r w:rsidR="00164C56">
              <w:rPr>
                <w:noProof/>
                <w:webHidden/>
              </w:rPr>
              <w:t>48</w:t>
            </w:r>
            <w:r w:rsidR="00164C56">
              <w:rPr>
                <w:noProof/>
                <w:webHidden/>
              </w:rPr>
              <w:fldChar w:fldCharType="end"/>
            </w:r>
          </w:hyperlink>
        </w:p>
        <w:p w14:paraId="5804FBA7" w14:textId="4AB12E21" w:rsidR="00164C56" w:rsidRDefault="00C40B91" w:rsidP="00164C56">
          <w:pPr>
            <w:pStyle w:val="TOC4"/>
            <w:rPr>
              <w:rFonts w:asciiTheme="minorHAnsi" w:eastAsiaTheme="minorEastAsia" w:hAnsiTheme="minorHAnsi" w:cstheme="minorBidi"/>
              <w:noProof/>
              <w:sz w:val="22"/>
              <w:szCs w:val="22"/>
            </w:rPr>
          </w:pPr>
          <w:hyperlink w:anchor="_Toc59179313" w:history="1">
            <w:r w:rsidR="00164C56" w:rsidRPr="009822AE">
              <w:rPr>
                <w:rStyle w:val="Hyperlink"/>
                <w:noProof/>
              </w:rPr>
              <w:t>d.</w:t>
            </w:r>
            <w:r w:rsidR="00164C56">
              <w:rPr>
                <w:rFonts w:asciiTheme="minorHAnsi" w:eastAsiaTheme="minorEastAsia" w:hAnsiTheme="minorHAnsi" w:cstheme="minorBidi"/>
                <w:noProof/>
                <w:sz w:val="22"/>
                <w:szCs w:val="22"/>
              </w:rPr>
              <w:tab/>
            </w:r>
            <w:r w:rsidR="00164C56" w:rsidRPr="009822AE">
              <w:rPr>
                <w:rStyle w:val="Hyperlink"/>
                <w:noProof/>
              </w:rPr>
              <w:t>Did the ALJ Err by Making Inconsistent Rulings on the Correct Rates Going Forward?  (FirstEnergy Exception No. 10)</w:t>
            </w:r>
            <w:r w:rsidR="00164C56">
              <w:rPr>
                <w:noProof/>
                <w:webHidden/>
              </w:rPr>
              <w:tab/>
            </w:r>
            <w:r w:rsidR="00164C56">
              <w:rPr>
                <w:noProof/>
                <w:webHidden/>
              </w:rPr>
              <w:fldChar w:fldCharType="begin"/>
            </w:r>
            <w:r w:rsidR="00164C56">
              <w:rPr>
                <w:noProof/>
                <w:webHidden/>
              </w:rPr>
              <w:instrText xml:space="preserve"> PAGEREF _Toc59179313 \h </w:instrText>
            </w:r>
            <w:r w:rsidR="00164C56">
              <w:rPr>
                <w:noProof/>
                <w:webHidden/>
              </w:rPr>
            </w:r>
            <w:r w:rsidR="00164C56">
              <w:rPr>
                <w:noProof/>
                <w:webHidden/>
              </w:rPr>
              <w:fldChar w:fldCharType="separate"/>
            </w:r>
            <w:r w:rsidR="00164C56">
              <w:rPr>
                <w:noProof/>
                <w:webHidden/>
              </w:rPr>
              <w:t>49</w:t>
            </w:r>
            <w:r w:rsidR="00164C56">
              <w:rPr>
                <w:noProof/>
                <w:webHidden/>
              </w:rPr>
              <w:fldChar w:fldCharType="end"/>
            </w:r>
          </w:hyperlink>
        </w:p>
        <w:p w14:paraId="52370E28" w14:textId="08BAEEC5" w:rsidR="00164C56" w:rsidRDefault="00C40B91">
          <w:pPr>
            <w:pStyle w:val="TOC3"/>
            <w:rPr>
              <w:rFonts w:asciiTheme="minorHAnsi" w:eastAsiaTheme="minorEastAsia" w:hAnsiTheme="minorHAnsi" w:cstheme="minorBidi"/>
              <w:noProof/>
              <w:sz w:val="22"/>
              <w:szCs w:val="22"/>
            </w:rPr>
          </w:pPr>
          <w:hyperlink w:anchor="_Toc59179314" w:history="1">
            <w:r w:rsidR="00164C56" w:rsidRPr="009822AE">
              <w:rPr>
                <w:rStyle w:val="Hyperlink"/>
                <w:noProof/>
              </w:rPr>
              <w:t>3.</w:t>
            </w:r>
            <w:r w:rsidR="00164C56">
              <w:rPr>
                <w:rFonts w:asciiTheme="minorHAnsi" w:eastAsiaTheme="minorEastAsia" w:hAnsiTheme="minorHAnsi" w:cstheme="minorBidi"/>
                <w:noProof/>
                <w:sz w:val="22"/>
                <w:szCs w:val="22"/>
              </w:rPr>
              <w:tab/>
            </w:r>
            <w:r w:rsidR="00164C56" w:rsidRPr="009822AE">
              <w:rPr>
                <w:rStyle w:val="Hyperlink"/>
                <w:noProof/>
              </w:rPr>
              <w:t>Disposition</w:t>
            </w:r>
            <w:r w:rsidR="00164C56">
              <w:rPr>
                <w:noProof/>
                <w:webHidden/>
              </w:rPr>
              <w:tab/>
            </w:r>
            <w:r w:rsidR="00164C56">
              <w:rPr>
                <w:noProof/>
                <w:webHidden/>
              </w:rPr>
              <w:fldChar w:fldCharType="begin"/>
            </w:r>
            <w:r w:rsidR="00164C56">
              <w:rPr>
                <w:noProof/>
                <w:webHidden/>
              </w:rPr>
              <w:instrText xml:space="preserve"> PAGEREF _Toc59179314 \h </w:instrText>
            </w:r>
            <w:r w:rsidR="00164C56">
              <w:rPr>
                <w:noProof/>
                <w:webHidden/>
              </w:rPr>
            </w:r>
            <w:r w:rsidR="00164C56">
              <w:rPr>
                <w:noProof/>
                <w:webHidden/>
              </w:rPr>
              <w:fldChar w:fldCharType="separate"/>
            </w:r>
            <w:r w:rsidR="00164C56">
              <w:rPr>
                <w:noProof/>
                <w:webHidden/>
              </w:rPr>
              <w:t>50</w:t>
            </w:r>
            <w:r w:rsidR="00164C56">
              <w:rPr>
                <w:noProof/>
                <w:webHidden/>
              </w:rPr>
              <w:fldChar w:fldCharType="end"/>
            </w:r>
          </w:hyperlink>
        </w:p>
        <w:p w14:paraId="2527023A" w14:textId="7584C90F" w:rsidR="00164C56" w:rsidRDefault="00C40B91">
          <w:pPr>
            <w:pStyle w:val="TOC2"/>
            <w:rPr>
              <w:rFonts w:asciiTheme="minorHAnsi" w:eastAsiaTheme="minorEastAsia" w:hAnsiTheme="minorHAnsi" w:cstheme="minorBidi"/>
              <w:noProof/>
              <w:sz w:val="22"/>
              <w:szCs w:val="22"/>
            </w:rPr>
          </w:pPr>
          <w:hyperlink w:anchor="_Toc59179315" w:history="1">
            <w:r w:rsidR="00164C56" w:rsidRPr="009822AE">
              <w:rPr>
                <w:rStyle w:val="Hyperlink"/>
                <w:noProof/>
              </w:rPr>
              <w:t>D.</w:t>
            </w:r>
            <w:r w:rsidR="00164C56">
              <w:rPr>
                <w:rFonts w:asciiTheme="minorHAnsi" w:eastAsiaTheme="minorEastAsia" w:hAnsiTheme="minorHAnsi" w:cstheme="minorBidi"/>
                <w:noProof/>
                <w:sz w:val="22"/>
                <w:szCs w:val="22"/>
              </w:rPr>
              <w:tab/>
            </w:r>
            <w:r w:rsidR="00164C56" w:rsidRPr="009822AE">
              <w:rPr>
                <w:rStyle w:val="Hyperlink"/>
                <w:noProof/>
              </w:rPr>
              <w:t>Appropriateness of Refunds/Refund Period</w:t>
            </w:r>
            <w:r w:rsidR="00164C56">
              <w:rPr>
                <w:noProof/>
                <w:webHidden/>
              </w:rPr>
              <w:tab/>
            </w:r>
            <w:r w:rsidR="00164C56">
              <w:rPr>
                <w:noProof/>
                <w:webHidden/>
              </w:rPr>
              <w:fldChar w:fldCharType="begin"/>
            </w:r>
            <w:r w:rsidR="00164C56">
              <w:rPr>
                <w:noProof/>
                <w:webHidden/>
              </w:rPr>
              <w:instrText xml:space="preserve"> PAGEREF _Toc59179315 \h </w:instrText>
            </w:r>
            <w:r w:rsidR="00164C56">
              <w:rPr>
                <w:noProof/>
                <w:webHidden/>
              </w:rPr>
            </w:r>
            <w:r w:rsidR="00164C56">
              <w:rPr>
                <w:noProof/>
                <w:webHidden/>
              </w:rPr>
              <w:fldChar w:fldCharType="separate"/>
            </w:r>
            <w:r w:rsidR="00164C56">
              <w:rPr>
                <w:noProof/>
                <w:webHidden/>
              </w:rPr>
              <w:t>55</w:t>
            </w:r>
            <w:r w:rsidR="00164C56">
              <w:rPr>
                <w:noProof/>
                <w:webHidden/>
              </w:rPr>
              <w:fldChar w:fldCharType="end"/>
            </w:r>
          </w:hyperlink>
        </w:p>
        <w:p w14:paraId="648D41E9" w14:textId="0C6553D5" w:rsidR="00164C56" w:rsidRDefault="00C40B91">
          <w:pPr>
            <w:pStyle w:val="TOC3"/>
            <w:rPr>
              <w:rFonts w:asciiTheme="minorHAnsi" w:eastAsiaTheme="minorEastAsia" w:hAnsiTheme="minorHAnsi" w:cstheme="minorBidi"/>
              <w:noProof/>
              <w:sz w:val="22"/>
              <w:szCs w:val="22"/>
            </w:rPr>
          </w:pPr>
          <w:hyperlink w:anchor="_Toc59179316" w:history="1">
            <w:r w:rsidR="00164C56" w:rsidRPr="009822AE">
              <w:rPr>
                <w:rStyle w:val="Hyperlink"/>
                <w:noProof/>
              </w:rPr>
              <w:t>1.</w:t>
            </w:r>
            <w:r w:rsidR="00164C56">
              <w:rPr>
                <w:rFonts w:asciiTheme="minorHAnsi" w:eastAsiaTheme="minorEastAsia" w:hAnsiTheme="minorHAnsi" w:cstheme="minorBidi"/>
                <w:noProof/>
                <w:sz w:val="22"/>
                <w:szCs w:val="22"/>
              </w:rPr>
              <w:tab/>
            </w:r>
            <w:r w:rsidR="00164C56" w:rsidRPr="009822AE">
              <w:rPr>
                <w:rStyle w:val="Hyperlink"/>
                <w:noProof/>
              </w:rPr>
              <w:t>Recommended Decision</w:t>
            </w:r>
            <w:r w:rsidR="00164C56">
              <w:rPr>
                <w:noProof/>
                <w:webHidden/>
              </w:rPr>
              <w:tab/>
            </w:r>
            <w:r w:rsidR="00164C56">
              <w:rPr>
                <w:noProof/>
                <w:webHidden/>
              </w:rPr>
              <w:fldChar w:fldCharType="begin"/>
            </w:r>
            <w:r w:rsidR="00164C56">
              <w:rPr>
                <w:noProof/>
                <w:webHidden/>
              </w:rPr>
              <w:instrText xml:space="preserve"> PAGEREF _Toc59179316 \h </w:instrText>
            </w:r>
            <w:r w:rsidR="00164C56">
              <w:rPr>
                <w:noProof/>
                <w:webHidden/>
              </w:rPr>
            </w:r>
            <w:r w:rsidR="00164C56">
              <w:rPr>
                <w:noProof/>
                <w:webHidden/>
              </w:rPr>
              <w:fldChar w:fldCharType="separate"/>
            </w:r>
            <w:r w:rsidR="00164C56">
              <w:rPr>
                <w:noProof/>
                <w:webHidden/>
              </w:rPr>
              <w:t>55</w:t>
            </w:r>
            <w:r w:rsidR="00164C56">
              <w:rPr>
                <w:noProof/>
                <w:webHidden/>
              </w:rPr>
              <w:fldChar w:fldCharType="end"/>
            </w:r>
          </w:hyperlink>
        </w:p>
        <w:p w14:paraId="1A26757E" w14:textId="6DAE0B6C" w:rsidR="00164C56" w:rsidRDefault="00C40B91">
          <w:pPr>
            <w:pStyle w:val="TOC3"/>
            <w:rPr>
              <w:rFonts w:asciiTheme="minorHAnsi" w:eastAsiaTheme="minorEastAsia" w:hAnsiTheme="minorHAnsi" w:cstheme="minorBidi"/>
              <w:noProof/>
              <w:sz w:val="22"/>
              <w:szCs w:val="22"/>
            </w:rPr>
          </w:pPr>
          <w:hyperlink w:anchor="_Toc59179317" w:history="1">
            <w:r w:rsidR="00164C56" w:rsidRPr="009822AE">
              <w:rPr>
                <w:rStyle w:val="Hyperlink"/>
                <w:noProof/>
              </w:rPr>
              <w:t>2.</w:t>
            </w:r>
            <w:r w:rsidR="00164C56">
              <w:rPr>
                <w:rFonts w:asciiTheme="minorHAnsi" w:eastAsiaTheme="minorEastAsia" w:hAnsiTheme="minorHAnsi" w:cstheme="minorBidi"/>
                <w:noProof/>
                <w:sz w:val="22"/>
                <w:szCs w:val="22"/>
              </w:rPr>
              <w:tab/>
            </w:r>
            <w:r w:rsidR="00164C56" w:rsidRPr="009822AE">
              <w:rPr>
                <w:rStyle w:val="Hyperlink"/>
                <w:noProof/>
              </w:rPr>
              <w:t>Exceptions and Replies (FirstEnergy Exception Nos. 12-13; Verizon Exception No. 1)</w:t>
            </w:r>
            <w:r w:rsidR="00164C56">
              <w:rPr>
                <w:noProof/>
                <w:webHidden/>
              </w:rPr>
              <w:tab/>
            </w:r>
            <w:r w:rsidR="00164C56">
              <w:rPr>
                <w:noProof/>
                <w:webHidden/>
              </w:rPr>
              <w:fldChar w:fldCharType="begin"/>
            </w:r>
            <w:r w:rsidR="00164C56">
              <w:rPr>
                <w:noProof/>
                <w:webHidden/>
              </w:rPr>
              <w:instrText xml:space="preserve"> PAGEREF _Toc59179317 \h </w:instrText>
            </w:r>
            <w:r w:rsidR="00164C56">
              <w:rPr>
                <w:noProof/>
                <w:webHidden/>
              </w:rPr>
            </w:r>
            <w:r w:rsidR="00164C56">
              <w:rPr>
                <w:noProof/>
                <w:webHidden/>
              </w:rPr>
              <w:fldChar w:fldCharType="separate"/>
            </w:r>
            <w:r w:rsidR="00164C56">
              <w:rPr>
                <w:noProof/>
                <w:webHidden/>
              </w:rPr>
              <w:t>58</w:t>
            </w:r>
            <w:r w:rsidR="00164C56">
              <w:rPr>
                <w:noProof/>
                <w:webHidden/>
              </w:rPr>
              <w:fldChar w:fldCharType="end"/>
            </w:r>
          </w:hyperlink>
        </w:p>
        <w:p w14:paraId="50762130" w14:textId="3F59EA6A" w:rsidR="00164C56" w:rsidRDefault="00C40B91">
          <w:pPr>
            <w:pStyle w:val="TOC3"/>
            <w:rPr>
              <w:rFonts w:asciiTheme="minorHAnsi" w:eastAsiaTheme="minorEastAsia" w:hAnsiTheme="minorHAnsi" w:cstheme="minorBidi"/>
              <w:noProof/>
              <w:sz w:val="22"/>
              <w:szCs w:val="22"/>
            </w:rPr>
          </w:pPr>
          <w:hyperlink w:anchor="_Toc59179318" w:history="1">
            <w:r w:rsidR="00164C56" w:rsidRPr="009822AE">
              <w:rPr>
                <w:rStyle w:val="Hyperlink"/>
                <w:noProof/>
              </w:rPr>
              <w:t>3.</w:t>
            </w:r>
            <w:r w:rsidR="00164C56">
              <w:rPr>
                <w:rFonts w:asciiTheme="minorHAnsi" w:eastAsiaTheme="minorEastAsia" w:hAnsiTheme="minorHAnsi" w:cstheme="minorBidi"/>
                <w:noProof/>
                <w:sz w:val="22"/>
                <w:szCs w:val="22"/>
              </w:rPr>
              <w:tab/>
            </w:r>
            <w:r w:rsidR="00164C56" w:rsidRPr="009822AE">
              <w:rPr>
                <w:rStyle w:val="Hyperlink"/>
                <w:noProof/>
              </w:rPr>
              <w:t>Disposition</w:t>
            </w:r>
            <w:r w:rsidR="00164C56">
              <w:rPr>
                <w:noProof/>
                <w:webHidden/>
              </w:rPr>
              <w:tab/>
            </w:r>
            <w:r w:rsidR="00164C56">
              <w:rPr>
                <w:noProof/>
                <w:webHidden/>
              </w:rPr>
              <w:fldChar w:fldCharType="begin"/>
            </w:r>
            <w:r w:rsidR="00164C56">
              <w:rPr>
                <w:noProof/>
                <w:webHidden/>
              </w:rPr>
              <w:instrText xml:space="preserve"> PAGEREF _Toc59179318 \h </w:instrText>
            </w:r>
            <w:r w:rsidR="00164C56">
              <w:rPr>
                <w:noProof/>
                <w:webHidden/>
              </w:rPr>
            </w:r>
            <w:r w:rsidR="00164C56">
              <w:rPr>
                <w:noProof/>
                <w:webHidden/>
              </w:rPr>
              <w:fldChar w:fldCharType="separate"/>
            </w:r>
            <w:r w:rsidR="00164C56">
              <w:rPr>
                <w:noProof/>
                <w:webHidden/>
              </w:rPr>
              <w:t>64</w:t>
            </w:r>
            <w:r w:rsidR="00164C56">
              <w:rPr>
                <w:noProof/>
                <w:webHidden/>
              </w:rPr>
              <w:fldChar w:fldCharType="end"/>
            </w:r>
          </w:hyperlink>
        </w:p>
        <w:p w14:paraId="5EE4140A" w14:textId="0035B12B" w:rsidR="00164C56" w:rsidRDefault="00C40B91">
          <w:pPr>
            <w:pStyle w:val="TOC2"/>
            <w:rPr>
              <w:rFonts w:asciiTheme="minorHAnsi" w:eastAsiaTheme="minorEastAsia" w:hAnsiTheme="minorHAnsi" w:cstheme="minorBidi"/>
              <w:noProof/>
              <w:sz w:val="22"/>
              <w:szCs w:val="22"/>
            </w:rPr>
          </w:pPr>
          <w:hyperlink w:anchor="_Toc59179319" w:history="1">
            <w:r w:rsidR="00164C56" w:rsidRPr="009822AE">
              <w:rPr>
                <w:rStyle w:val="Hyperlink"/>
                <w:noProof/>
              </w:rPr>
              <w:t>E.</w:t>
            </w:r>
            <w:r w:rsidR="00164C56">
              <w:rPr>
                <w:rFonts w:asciiTheme="minorHAnsi" w:eastAsiaTheme="minorEastAsia" w:hAnsiTheme="minorHAnsi" w:cstheme="minorBidi"/>
                <w:noProof/>
                <w:sz w:val="22"/>
                <w:szCs w:val="22"/>
              </w:rPr>
              <w:tab/>
            </w:r>
            <w:r w:rsidR="00164C56" w:rsidRPr="009822AE">
              <w:rPr>
                <w:rStyle w:val="Hyperlink"/>
                <w:noProof/>
              </w:rPr>
              <w:t>ALJ’s Recommended 60-Day Compliance Period</w:t>
            </w:r>
            <w:r w:rsidR="00164C56">
              <w:rPr>
                <w:noProof/>
                <w:webHidden/>
              </w:rPr>
              <w:tab/>
            </w:r>
            <w:r w:rsidR="00164C56">
              <w:rPr>
                <w:noProof/>
                <w:webHidden/>
              </w:rPr>
              <w:fldChar w:fldCharType="begin"/>
            </w:r>
            <w:r w:rsidR="00164C56">
              <w:rPr>
                <w:noProof/>
                <w:webHidden/>
              </w:rPr>
              <w:instrText xml:space="preserve"> PAGEREF _Toc59179319 \h </w:instrText>
            </w:r>
            <w:r w:rsidR="00164C56">
              <w:rPr>
                <w:noProof/>
                <w:webHidden/>
              </w:rPr>
            </w:r>
            <w:r w:rsidR="00164C56">
              <w:rPr>
                <w:noProof/>
                <w:webHidden/>
              </w:rPr>
              <w:fldChar w:fldCharType="separate"/>
            </w:r>
            <w:r w:rsidR="00164C56">
              <w:rPr>
                <w:noProof/>
                <w:webHidden/>
              </w:rPr>
              <w:t>68</w:t>
            </w:r>
            <w:r w:rsidR="00164C56">
              <w:rPr>
                <w:noProof/>
                <w:webHidden/>
              </w:rPr>
              <w:fldChar w:fldCharType="end"/>
            </w:r>
          </w:hyperlink>
        </w:p>
        <w:p w14:paraId="6EE1A928" w14:textId="4CB747DD" w:rsidR="00164C56" w:rsidRDefault="00C40B91">
          <w:pPr>
            <w:pStyle w:val="TOC3"/>
            <w:rPr>
              <w:rFonts w:asciiTheme="minorHAnsi" w:eastAsiaTheme="minorEastAsia" w:hAnsiTheme="minorHAnsi" w:cstheme="minorBidi"/>
              <w:noProof/>
              <w:sz w:val="22"/>
              <w:szCs w:val="22"/>
            </w:rPr>
          </w:pPr>
          <w:hyperlink w:anchor="_Toc59179320" w:history="1">
            <w:r w:rsidR="00164C56" w:rsidRPr="009822AE">
              <w:rPr>
                <w:rStyle w:val="Hyperlink"/>
                <w:noProof/>
              </w:rPr>
              <w:t>1.</w:t>
            </w:r>
            <w:r w:rsidR="00164C56">
              <w:rPr>
                <w:rFonts w:asciiTheme="minorHAnsi" w:eastAsiaTheme="minorEastAsia" w:hAnsiTheme="minorHAnsi" w:cstheme="minorBidi"/>
                <w:noProof/>
                <w:sz w:val="22"/>
                <w:szCs w:val="22"/>
              </w:rPr>
              <w:tab/>
            </w:r>
            <w:r w:rsidR="00164C56" w:rsidRPr="009822AE">
              <w:rPr>
                <w:rStyle w:val="Hyperlink"/>
                <w:noProof/>
              </w:rPr>
              <w:t>Recommended Decision</w:t>
            </w:r>
            <w:r w:rsidR="00164C56">
              <w:rPr>
                <w:noProof/>
                <w:webHidden/>
              </w:rPr>
              <w:tab/>
            </w:r>
            <w:r w:rsidR="00164C56">
              <w:rPr>
                <w:noProof/>
                <w:webHidden/>
              </w:rPr>
              <w:fldChar w:fldCharType="begin"/>
            </w:r>
            <w:r w:rsidR="00164C56">
              <w:rPr>
                <w:noProof/>
                <w:webHidden/>
              </w:rPr>
              <w:instrText xml:space="preserve"> PAGEREF _Toc59179320 \h </w:instrText>
            </w:r>
            <w:r w:rsidR="00164C56">
              <w:rPr>
                <w:noProof/>
                <w:webHidden/>
              </w:rPr>
            </w:r>
            <w:r w:rsidR="00164C56">
              <w:rPr>
                <w:noProof/>
                <w:webHidden/>
              </w:rPr>
              <w:fldChar w:fldCharType="separate"/>
            </w:r>
            <w:r w:rsidR="00164C56">
              <w:rPr>
                <w:noProof/>
                <w:webHidden/>
              </w:rPr>
              <w:t>68</w:t>
            </w:r>
            <w:r w:rsidR="00164C56">
              <w:rPr>
                <w:noProof/>
                <w:webHidden/>
              </w:rPr>
              <w:fldChar w:fldCharType="end"/>
            </w:r>
          </w:hyperlink>
        </w:p>
        <w:p w14:paraId="62236874" w14:textId="7094FD33" w:rsidR="00164C56" w:rsidRDefault="00C40B91">
          <w:pPr>
            <w:pStyle w:val="TOC3"/>
            <w:rPr>
              <w:rFonts w:asciiTheme="minorHAnsi" w:eastAsiaTheme="minorEastAsia" w:hAnsiTheme="minorHAnsi" w:cstheme="minorBidi"/>
              <w:noProof/>
              <w:sz w:val="22"/>
              <w:szCs w:val="22"/>
            </w:rPr>
          </w:pPr>
          <w:hyperlink w:anchor="_Toc59179321" w:history="1">
            <w:r w:rsidR="00164C56" w:rsidRPr="009822AE">
              <w:rPr>
                <w:rStyle w:val="Hyperlink"/>
                <w:noProof/>
              </w:rPr>
              <w:t>2.</w:t>
            </w:r>
            <w:r w:rsidR="00164C56">
              <w:rPr>
                <w:rFonts w:asciiTheme="minorHAnsi" w:eastAsiaTheme="minorEastAsia" w:hAnsiTheme="minorHAnsi" w:cstheme="minorBidi"/>
                <w:noProof/>
                <w:sz w:val="22"/>
                <w:szCs w:val="22"/>
              </w:rPr>
              <w:tab/>
            </w:r>
            <w:r w:rsidR="00164C56" w:rsidRPr="009822AE">
              <w:rPr>
                <w:rStyle w:val="Hyperlink"/>
                <w:noProof/>
              </w:rPr>
              <w:t>Exceptions and Replies (FirstEnergy Exception No. 11; Verizon Exception No. 2)</w:t>
            </w:r>
            <w:r w:rsidR="00164C56">
              <w:rPr>
                <w:noProof/>
                <w:webHidden/>
              </w:rPr>
              <w:tab/>
            </w:r>
            <w:r w:rsidR="00164C56">
              <w:rPr>
                <w:noProof/>
                <w:webHidden/>
              </w:rPr>
              <w:fldChar w:fldCharType="begin"/>
            </w:r>
            <w:r w:rsidR="00164C56">
              <w:rPr>
                <w:noProof/>
                <w:webHidden/>
              </w:rPr>
              <w:instrText xml:space="preserve"> PAGEREF _Toc59179321 \h </w:instrText>
            </w:r>
            <w:r w:rsidR="00164C56">
              <w:rPr>
                <w:noProof/>
                <w:webHidden/>
              </w:rPr>
            </w:r>
            <w:r w:rsidR="00164C56">
              <w:rPr>
                <w:noProof/>
                <w:webHidden/>
              </w:rPr>
              <w:fldChar w:fldCharType="separate"/>
            </w:r>
            <w:r w:rsidR="00164C56">
              <w:rPr>
                <w:noProof/>
                <w:webHidden/>
              </w:rPr>
              <w:t>68</w:t>
            </w:r>
            <w:r w:rsidR="00164C56">
              <w:rPr>
                <w:noProof/>
                <w:webHidden/>
              </w:rPr>
              <w:fldChar w:fldCharType="end"/>
            </w:r>
          </w:hyperlink>
        </w:p>
        <w:p w14:paraId="036B0CFA" w14:textId="56BE881C" w:rsidR="00164C56" w:rsidRDefault="00C40B91">
          <w:pPr>
            <w:pStyle w:val="TOC3"/>
            <w:rPr>
              <w:rFonts w:asciiTheme="minorHAnsi" w:eastAsiaTheme="minorEastAsia" w:hAnsiTheme="minorHAnsi" w:cstheme="minorBidi"/>
              <w:noProof/>
              <w:sz w:val="22"/>
              <w:szCs w:val="22"/>
            </w:rPr>
          </w:pPr>
          <w:hyperlink w:anchor="_Toc59179322" w:history="1">
            <w:r w:rsidR="00164C56" w:rsidRPr="009822AE">
              <w:rPr>
                <w:rStyle w:val="Hyperlink"/>
                <w:noProof/>
              </w:rPr>
              <w:t>3.</w:t>
            </w:r>
            <w:r w:rsidR="00164C56">
              <w:rPr>
                <w:rFonts w:asciiTheme="minorHAnsi" w:eastAsiaTheme="minorEastAsia" w:hAnsiTheme="minorHAnsi" w:cstheme="minorBidi"/>
                <w:noProof/>
                <w:sz w:val="22"/>
                <w:szCs w:val="22"/>
              </w:rPr>
              <w:tab/>
            </w:r>
            <w:r w:rsidR="00164C56" w:rsidRPr="009822AE">
              <w:rPr>
                <w:rStyle w:val="Hyperlink"/>
                <w:noProof/>
              </w:rPr>
              <w:t>Disposition</w:t>
            </w:r>
            <w:r w:rsidR="00164C56">
              <w:rPr>
                <w:noProof/>
                <w:webHidden/>
              </w:rPr>
              <w:tab/>
            </w:r>
            <w:r w:rsidR="00164C56">
              <w:rPr>
                <w:noProof/>
                <w:webHidden/>
              </w:rPr>
              <w:fldChar w:fldCharType="begin"/>
            </w:r>
            <w:r w:rsidR="00164C56">
              <w:rPr>
                <w:noProof/>
                <w:webHidden/>
              </w:rPr>
              <w:instrText xml:space="preserve"> PAGEREF _Toc59179322 \h </w:instrText>
            </w:r>
            <w:r w:rsidR="00164C56">
              <w:rPr>
                <w:noProof/>
                <w:webHidden/>
              </w:rPr>
            </w:r>
            <w:r w:rsidR="00164C56">
              <w:rPr>
                <w:noProof/>
                <w:webHidden/>
              </w:rPr>
              <w:fldChar w:fldCharType="separate"/>
            </w:r>
            <w:r w:rsidR="00164C56">
              <w:rPr>
                <w:noProof/>
                <w:webHidden/>
              </w:rPr>
              <w:t>71</w:t>
            </w:r>
            <w:r w:rsidR="00164C56">
              <w:rPr>
                <w:noProof/>
                <w:webHidden/>
              </w:rPr>
              <w:fldChar w:fldCharType="end"/>
            </w:r>
          </w:hyperlink>
        </w:p>
        <w:p w14:paraId="3CDD7656" w14:textId="327F2979" w:rsidR="00164C56" w:rsidRDefault="00C40B91">
          <w:pPr>
            <w:pStyle w:val="TOC2"/>
            <w:rPr>
              <w:rFonts w:asciiTheme="minorHAnsi" w:eastAsiaTheme="minorEastAsia" w:hAnsiTheme="minorHAnsi" w:cstheme="minorBidi"/>
              <w:noProof/>
              <w:sz w:val="22"/>
              <w:szCs w:val="22"/>
            </w:rPr>
          </w:pPr>
          <w:hyperlink w:anchor="_Toc59179323" w:history="1">
            <w:r w:rsidR="00164C56" w:rsidRPr="009822AE">
              <w:rPr>
                <w:rStyle w:val="Hyperlink"/>
                <w:noProof/>
              </w:rPr>
              <w:t>F.</w:t>
            </w:r>
            <w:r w:rsidR="00164C56">
              <w:rPr>
                <w:rFonts w:asciiTheme="minorHAnsi" w:eastAsiaTheme="minorEastAsia" w:hAnsiTheme="minorHAnsi" w:cstheme="minorBidi"/>
                <w:noProof/>
                <w:sz w:val="22"/>
                <w:szCs w:val="22"/>
              </w:rPr>
              <w:tab/>
            </w:r>
            <w:r w:rsidR="00164C56" w:rsidRPr="009822AE">
              <w:rPr>
                <w:rStyle w:val="Hyperlink"/>
                <w:noProof/>
              </w:rPr>
              <w:t>FirstEnergy’s Alternative Proposal to Use the Old Telecom Rate, Should</w:t>
            </w:r>
            <w:r w:rsidR="00164C56">
              <w:rPr>
                <w:rStyle w:val="Hyperlink"/>
                <w:noProof/>
              </w:rPr>
              <w:t> </w:t>
            </w:r>
            <w:r w:rsidR="00164C56" w:rsidRPr="009822AE">
              <w:rPr>
                <w:rStyle w:val="Hyperlink"/>
                <w:noProof/>
              </w:rPr>
              <w:t>the Commission Deem it Necessary to Revise the Joint Use Agreements</w:t>
            </w:r>
            <w:r w:rsidR="00164C56">
              <w:rPr>
                <w:noProof/>
                <w:webHidden/>
              </w:rPr>
              <w:tab/>
            </w:r>
            <w:r w:rsidR="00164C56">
              <w:rPr>
                <w:noProof/>
                <w:webHidden/>
              </w:rPr>
              <w:fldChar w:fldCharType="begin"/>
            </w:r>
            <w:r w:rsidR="00164C56">
              <w:rPr>
                <w:noProof/>
                <w:webHidden/>
              </w:rPr>
              <w:instrText xml:space="preserve"> PAGEREF _Toc59179323 \h </w:instrText>
            </w:r>
            <w:r w:rsidR="00164C56">
              <w:rPr>
                <w:noProof/>
                <w:webHidden/>
              </w:rPr>
            </w:r>
            <w:r w:rsidR="00164C56">
              <w:rPr>
                <w:noProof/>
                <w:webHidden/>
              </w:rPr>
              <w:fldChar w:fldCharType="separate"/>
            </w:r>
            <w:r w:rsidR="00164C56">
              <w:rPr>
                <w:noProof/>
                <w:webHidden/>
              </w:rPr>
              <w:t>71</w:t>
            </w:r>
            <w:r w:rsidR="00164C56">
              <w:rPr>
                <w:noProof/>
                <w:webHidden/>
              </w:rPr>
              <w:fldChar w:fldCharType="end"/>
            </w:r>
          </w:hyperlink>
        </w:p>
        <w:p w14:paraId="17119ED5" w14:textId="2950DA14" w:rsidR="00164C56" w:rsidRDefault="00C40B91">
          <w:pPr>
            <w:pStyle w:val="TOC3"/>
            <w:rPr>
              <w:rFonts w:asciiTheme="minorHAnsi" w:eastAsiaTheme="minorEastAsia" w:hAnsiTheme="minorHAnsi" w:cstheme="minorBidi"/>
              <w:noProof/>
              <w:sz w:val="22"/>
              <w:szCs w:val="22"/>
            </w:rPr>
          </w:pPr>
          <w:hyperlink w:anchor="_Toc59179324" w:history="1">
            <w:r w:rsidR="00164C56" w:rsidRPr="009822AE">
              <w:rPr>
                <w:rStyle w:val="Hyperlink"/>
                <w:noProof/>
              </w:rPr>
              <w:t>1.</w:t>
            </w:r>
            <w:r w:rsidR="00164C56">
              <w:rPr>
                <w:rFonts w:asciiTheme="minorHAnsi" w:eastAsiaTheme="minorEastAsia" w:hAnsiTheme="minorHAnsi" w:cstheme="minorBidi"/>
                <w:noProof/>
                <w:sz w:val="22"/>
                <w:szCs w:val="22"/>
              </w:rPr>
              <w:tab/>
            </w:r>
            <w:r w:rsidR="00164C56" w:rsidRPr="009822AE">
              <w:rPr>
                <w:rStyle w:val="Hyperlink"/>
                <w:noProof/>
              </w:rPr>
              <w:t>Recommended Decision</w:t>
            </w:r>
            <w:r w:rsidR="00164C56">
              <w:rPr>
                <w:noProof/>
                <w:webHidden/>
              </w:rPr>
              <w:tab/>
            </w:r>
            <w:r w:rsidR="00164C56">
              <w:rPr>
                <w:noProof/>
                <w:webHidden/>
              </w:rPr>
              <w:fldChar w:fldCharType="begin"/>
            </w:r>
            <w:r w:rsidR="00164C56">
              <w:rPr>
                <w:noProof/>
                <w:webHidden/>
              </w:rPr>
              <w:instrText xml:space="preserve"> PAGEREF _Toc59179324 \h </w:instrText>
            </w:r>
            <w:r w:rsidR="00164C56">
              <w:rPr>
                <w:noProof/>
                <w:webHidden/>
              </w:rPr>
            </w:r>
            <w:r w:rsidR="00164C56">
              <w:rPr>
                <w:noProof/>
                <w:webHidden/>
              </w:rPr>
              <w:fldChar w:fldCharType="separate"/>
            </w:r>
            <w:r w:rsidR="00164C56">
              <w:rPr>
                <w:noProof/>
                <w:webHidden/>
              </w:rPr>
              <w:t>71</w:t>
            </w:r>
            <w:r w:rsidR="00164C56">
              <w:rPr>
                <w:noProof/>
                <w:webHidden/>
              </w:rPr>
              <w:fldChar w:fldCharType="end"/>
            </w:r>
          </w:hyperlink>
        </w:p>
        <w:p w14:paraId="1A06FFD6" w14:textId="69E4C55B" w:rsidR="00164C56" w:rsidRDefault="00C40B91">
          <w:pPr>
            <w:pStyle w:val="TOC3"/>
            <w:rPr>
              <w:rFonts w:asciiTheme="minorHAnsi" w:eastAsiaTheme="minorEastAsia" w:hAnsiTheme="minorHAnsi" w:cstheme="minorBidi"/>
              <w:noProof/>
              <w:sz w:val="22"/>
              <w:szCs w:val="22"/>
            </w:rPr>
          </w:pPr>
          <w:hyperlink w:anchor="_Toc59179325" w:history="1">
            <w:r w:rsidR="00164C56" w:rsidRPr="009822AE">
              <w:rPr>
                <w:rStyle w:val="Hyperlink"/>
                <w:noProof/>
              </w:rPr>
              <w:t>2.</w:t>
            </w:r>
            <w:r w:rsidR="00164C56">
              <w:rPr>
                <w:rFonts w:asciiTheme="minorHAnsi" w:eastAsiaTheme="minorEastAsia" w:hAnsiTheme="minorHAnsi" w:cstheme="minorBidi"/>
                <w:noProof/>
                <w:sz w:val="22"/>
                <w:szCs w:val="22"/>
              </w:rPr>
              <w:tab/>
            </w:r>
            <w:r w:rsidR="00164C56" w:rsidRPr="009822AE">
              <w:rPr>
                <w:rStyle w:val="Hyperlink"/>
                <w:noProof/>
              </w:rPr>
              <w:t>Exceptions and Replies (FirstEnergy Exception No. 14)</w:t>
            </w:r>
            <w:r w:rsidR="00164C56">
              <w:rPr>
                <w:noProof/>
                <w:webHidden/>
              </w:rPr>
              <w:tab/>
            </w:r>
            <w:r w:rsidR="00164C56">
              <w:rPr>
                <w:noProof/>
                <w:webHidden/>
              </w:rPr>
              <w:fldChar w:fldCharType="begin"/>
            </w:r>
            <w:r w:rsidR="00164C56">
              <w:rPr>
                <w:noProof/>
                <w:webHidden/>
              </w:rPr>
              <w:instrText xml:space="preserve"> PAGEREF _Toc59179325 \h </w:instrText>
            </w:r>
            <w:r w:rsidR="00164C56">
              <w:rPr>
                <w:noProof/>
                <w:webHidden/>
              </w:rPr>
            </w:r>
            <w:r w:rsidR="00164C56">
              <w:rPr>
                <w:noProof/>
                <w:webHidden/>
              </w:rPr>
              <w:fldChar w:fldCharType="separate"/>
            </w:r>
            <w:r w:rsidR="00164C56">
              <w:rPr>
                <w:noProof/>
                <w:webHidden/>
              </w:rPr>
              <w:t>72</w:t>
            </w:r>
            <w:r w:rsidR="00164C56">
              <w:rPr>
                <w:noProof/>
                <w:webHidden/>
              </w:rPr>
              <w:fldChar w:fldCharType="end"/>
            </w:r>
          </w:hyperlink>
        </w:p>
        <w:p w14:paraId="19917FE6" w14:textId="69FB158C" w:rsidR="00164C56" w:rsidRDefault="00C40B91">
          <w:pPr>
            <w:pStyle w:val="TOC3"/>
            <w:rPr>
              <w:rFonts w:asciiTheme="minorHAnsi" w:eastAsiaTheme="minorEastAsia" w:hAnsiTheme="minorHAnsi" w:cstheme="minorBidi"/>
              <w:noProof/>
              <w:sz w:val="22"/>
              <w:szCs w:val="22"/>
            </w:rPr>
          </w:pPr>
          <w:hyperlink w:anchor="_Toc59179326" w:history="1">
            <w:r w:rsidR="00164C56" w:rsidRPr="009822AE">
              <w:rPr>
                <w:rStyle w:val="Hyperlink"/>
                <w:noProof/>
              </w:rPr>
              <w:t>3.</w:t>
            </w:r>
            <w:r w:rsidR="00164C56">
              <w:rPr>
                <w:rFonts w:asciiTheme="minorHAnsi" w:eastAsiaTheme="minorEastAsia" w:hAnsiTheme="minorHAnsi" w:cstheme="minorBidi"/>
                <w:noProof/>
                <w:sz w:val="22"/>
                <w:szCs w:val="22"/>
              </w:rPr>
              <w:tab/>
            </w:r>
            <w:r w:rsidR="00164C56" w:rsidRPr="009822AE">
              <w:rPr>
                <w:rStyle w:val="Hyperlink"/>
                <w:noProof/>
              </w:rPr>
              <w:t>Disposition</w:t>
            </w:r>
            <w:r w:rsidR="00164C56">
              <w:rPr>
                <w:noProof/>
                <w:webHidden/>
              </w:rPr>
              <w:tab/>
            </w:r>
            <w:r w:rsidR="00164C56">
              <w:rPr>
                <w:noProof/>
                <w:webHidden/>
              </w:rPr>
              <w:fldChar w:fldCharType="begin"/>
            </w:r>
            <w:r w:rsidR="00164C56">
              <w:rPr>
                <w:noProof/>
                <w:webHidden/>
              </w:rPr>
              <w:instrText xml:space="preserve"> PAGEREF _Toc59179326 \h </w:instrText>
            </w:r>
            <w:r w:rsidR="00164C56">
              <w:rPr>
                <w:noProof/>
                <w:webHidden/>
              </w:rPr>
            </w:r>
            <w:r w:rsidR="00164C56">
              <w:rPr>
                <w:noProof/>
                <w:webHidden/>
              </w:rPr>
              <w:fldChar w:fldCharType="separate"/>
            </w:r>
            <w:r w:rsidR="00164C56">
              <w:rPr>
                <w:noProof/>
                <w:webHidden/>
              </w:rPr>
              <w:t>73</w:t>
            </w:r>
            <w:r w:rsidR="00164C56">
              <w:rPr>
                <w:noProof/>
                <w:webHidden/>
              </w:rPr>
              <w:fldChar w:fldCharType="end"/>
            </w:r>
          </w:hyperlink>
        </w:p>
        <w:p w14:paraId="7DE45525" w14:textId="139CE937" w:rsidR="00164C56" w:rsidRDefault="00C40B91">
          <w:pPr>
            <w:pStyle w:val="TOC2"/>
            <w:rPr>
              <w:rFonts w:asciiTheme="minorHAnsi" w:eastAsiaTheme="minorEastAsia" w:hAnsiTheme="minorHAnsi" w:cstheme="minorBidi"/>
              <w:noProof/>
              <w:sz w:val="22"/>
              <w:szCs w:val="22"/>
            </w:rPr>
          </w:pPr>
          <w:hyperlink w:anchor="_Toc59179327" w:history="1">
            <w:r w:rsidR="00164C56" w:rsidRPr="009822AE">
              <w:rPr>
                <w:rStyle w:val="Hyperlink"/>
                <w:noProof/>
              </w:rPr>
              <w:t>G.</w:t>
            </w:r>
            <w:r w:rsidR="00164C56">
              <w:rPr>
                <w:rFonts w:asciiTheme="minorHAnsi" w:eastAsiaTheme="minorEastAsia" w:hAnsiTheme="minorHAnsi" w:cstheme="minorBidi"/>
                <w:noProof/>
                <w:sz w:val="22"/>
                <w:szCs w:val="22"/>
              </w:rPr>
              <w:tab/>
            </w:r>
            <w:r w:rsidR="00164C56" w:rsidRPr="009822AE">
              <w:rPr>
                <w:rStyle w:val="Hyperlink"/>
                <w:noProof/>
              </w:rPr>
              <w:t>FirstEnergy’s Deferral Proposal</w:t>
            </w:r>
            <w:r w:rsidR="00164C56">
              <w:rPr>
                <w:noProof/>
                <w:webHidden/>
              </w:rPr>
              <w:tab/>
            </w:r>
            <w:r w:rsidR="00164C56">
              <w:rPr>
                <w:noProof/>
                <w:webHidden/>
              </w:rPr>
              <w:fldChar w:fldCharType="begin"/>
            </w:r>
            <w:r w:rsidR="00164C56">
              <w:rPr>
                <w:noProof/>
                <w:webHidden/>
              </w:rPr>
              <w:instrText xml:space="preserve"> PAGEREF _Toc59179327 \h </w:instrText>
            </w:r>
            <w:r w:rsidR="00164C56">
              <w:rPr>
                <w:noProof/>
                <w:webHidden/>
              </w:rPr>
            </w:r>
            <w:r w:rsidR="00164C56">
              <w:rPr>
                <w:noProof/>
                <w:webHidden/>
              </w:rPr>
              <w:fldChar w:fldCharType="separate"/>
            </w:r>
            <w:r w:rsidR="00164C56">
              <w:rPr>
                <w:noProof/>
                <w:webHidden/>
              </w:rPr>
              <w:t>73</w:t>
            </w:r>
            <w:r w:rsidR="00164C56">
              <w:rPr>
                <w:noProof/>
                <w:webHidden/>
              </w:rPr>
              <w:fldChar w:fldCharType="end"/>
            </w:r>
          </w:hyperlink>
        </w:p>
        <w:p w14:paraId="3BA36E4B" w14:textId="539854C5" w:rsidR="00164C56" w:rsidRDefault="00C40B91">
          <w:pPr>
            <w:pStyle w:val="TOC3"/>
            <w:rPr>
              <w:rFonts w:asciiTheme="minorHAnsi" w:eastAsiaTheme="minorEastAsia" w:hAnsiTheme="minorHAnsi" w:cstheme="minorBidi"/>
              <w:noProof/>
              <w:sz w:val="22"/>
              <w:szCs w:val="22"/>
            </w:rPr>
          </w:pPr>
          <w:hyperlink w:anchor="_Toc59179328" w:history="1">
            <w:r w:rsidR="00164C56" w:rsidRPr="009822AE">
              <w:rPr>
                <w:rStyle w:val="Hyperlink"/>
                <w:noProof/>
              </w:rPr>
              <w:t>1.</w:t>
            </w:r>
            <w:r w:rsidR="00164C56">
              <w:rPr>
                <w:rFonts w:asciiTheme="minorHAnsi" w:eastAsiaTheme="minorEastAsia" w:hAnsiTheme="minorHAnsi" w:cstheme="minorBidi"/>
                <w:noProof/>
                <w:sz w:val="22"/>
                <w:szCs w:val="22"/>
              </w:rPr>
              <w:tab/>
            </w:r>
            <w:r w:rsidR="00164C56" w:rsidRPr="009822AE">
              <w:rPr>
                <w:rStyle w:val="Hyperlink"/>
                <w:noProof/>
              </w:rPr>
              <w:t>Recommended Decision</w:t>
            </w:r>
            <w:r w:rsidR="00164C56">
              <w:rPr>
                <w:noProof/>
                <w:webHidden/>
              </w:rPr>
              <w:tab/>
            </w:r>
            <w:r w:rsidR="00164C56">
              <w:rPr>
                <w:noProof/>
                <w:webHidden/>
              </w:rPr>
              <w:fldChar w:fldCharType="begin"/>
            </w:r>
            <w:r w:rsidR="00164C56">
              <w:rPr>
                <w:noProof/>
                <w:webHidden/>
              </w:rPr>
              <w:instrText xml:space="preserve"> PAGEREF _Toc59179328 \h </w:instrText>
            </w:r>
            <w:r w:rsidR="00164C56">
              <w:rPr>
                <w:noProof/>
                <w:webHidden/>
              </w:rPr>
            </w:r>
            <w:r w:rsidR="00164C56">
              <w:rPr>
                <w:noProof/>
                <w:webHidden/>
              </w:rPr>
              <w:fldChar w:fldCharType="separate"/>
            </w:r>
            <w:r w:rsidR="00164C56">
              <w:rPr>
                <w:noProof/>
                <w:webHidden/>
              </w:rPr>
              <w:t>73</w:t>
            </w:r>
            <w:r w:rsidR="00164C56">
              <w:rPr>
                <w:noProof/>
                <w:webHidden/>
              </w:rPr>
              <w:fldChar w:fldCharType="end"/>
            </w:r>
          </w:hyperlink>
        </w:p>
        <w:p w14:paraId="07CB04D9" w14:textId="13659605" w:rsidR="00164C56" w:rsidRDefault="00C40B91">
          <w:pPr>
            <w:pStyle w:val="TOC3"/>
            <w:rPr>
              <w:rFonts w:asciiTheme="minorHAnsi" w:eastAsiaTheme="minorEastAsia" w:hAnsiTheme="minorHAnsi" w:cstheme="minorBidi"/>
              <w:noProof/>
              <w:sz w:val="22"/>
              <w:szCs w:val="22"/>
            </w:rPr>
          </w:pPr>
          <w:hyperlink w:anchor="_Toc59179329" w:history="1">
            <w:r w:rsidR="00164C56" w:rsidRPr="009822AE">
              <w:rPr>
                <w:rStyle w:val="Hyperlink"/>
                <w:noProof/>
              </w:rPr>
              <w:t>2.</w:t>
            </w:r>
            <w:r w:rsidR="00164C56">
              <w:rPr>
                <w:rFonts w:asciiTheme="minorHAnsi" w:eastAsiaTheme="minorEastAsia" w:hAnsiTheme="minorHAnsi" w:cstheme="minorBidi"/>
                <w:noProof/>
                <w:sz w:val="22"/>
                <w:szCs w:val="22"/>
              </w:rPr>
              <w:tab/>
            </w:r>
            <w:r w:rsidR="00164C56" w:rsidRPr="009822AE">
              <w:rPr>
                <w:rStyle w:val="Hyperlink"/>
                <w:noProof/>
              </w:rPr>
              <w:t>Exceptions and Replies (FirstEnergy Exception No. 15)</w:t>
            </w:r>
            <w:r w:rsidR="00164C56">
              <w:rPr>
                <w:noProof/>
                <w:webHidden/>
              </w:rPr>
              <w:tab/>
            </w:r>
            <w:r w:rsidR="00164C56">
              <w:rPr>
                <w:noProof/>
                <w:webHidden/>
              </w:rPr>
              <w:fldChar w:fldCharType="begin"/>
            </w:r>
            <w:r w:rsidR="00164C56">
              <w:rPr>
                <w:noProof/>
                <w:webHidden/>
              </w:rPr>
              <w:instrText xml:space="preserve"> PAGEREF _Toc59179329 \h </w:instrText>
            </w:r>
            <w:r w:rsidR="00164C56">
              <w:rPr>
                <w:noProof/>
                <w:webHidden/>
              </w:rPr>
            </w:r>
            <w:r w:rsidR="00164C56">
              <w:rPr>
                <w:noProof/>
                <w:webHidden/>
              </w:rPr>
              <w:fldChar w:fldCharType="separate"/>
            </w:r>
            <w:r w:rsidR="00164C56">
              <w:rPr>
                <w:noProof/>
                <w:webHidden/>
              </w:rPr>
              <w:t>74</w:t>
            </w:r>
            <w:r w:rsidR="00164C56">
              <w:rPr>
                <w:noProof/>
                <w:webHidden/>
              </w:rPr>
              <w:fldChar w:fldCharType="end"/>
            </w:r>
          </w:hyperlink>
        </w:p>
        <w:p w14:paraId="1285A4E5" w14:textId="68C3CD50" w:rsidR="00164C56" w:rsidRDefault="00C40B91">
          <w:pPr>
            <w:pStyle w:val="TOC3"/>
            <w:rPr>
              <w:rFonts w:asciiTheme="minorHAnsi" w:eastAsiaTheme="minorEastAsia" w:hAnsiTheme="minorHAnsi" w:cstheme="minorBidi"/>
              <w:noProof/>
              <w:sz w:val="22"/>
              <w:szCs w:val="22"/>
            </w:rPr>
          </w:pPr>
          <w:hyperlink w:anchor="_Toc59179330" w:history="1">
            <w:r w:rsidR="00164C56" w:rsidRPr="009822AE">
              <w:rPr>
                <w:rStyle w:val="Hyperlink"/>
                <w:noProof/>
              </w:rPr>
              <w:t>3.</w:t>
            </w:r>
            <w:r w:rsidR="00164C56">
              <w:rPr>
                <w:rFonts w:asciiTheme="minorHAnsi" w:eastAsiaTheme="minorEastAsia" w:hAnsiTheme="minorHAnsi" w:cstheme="minorBidi"/>
                <w:noProof/>
                <w:sz w:val="22"/>
                <w:szCs w:val="22"/>
              </w:rPr>
              <w:tab/>
            </w:r>
            <w:r w:rsidR="00164C56" w:rsidRPr="009822AE">
              <w:rPr>
                <w:rStyle w:val="Hyperlink"/>
                <w:noProof/>
              </w:rPr>
              <w:t>Disposition</w:t>
            </w:r>
            <w:r w:rsidR="00164C56">
              <w:rPr>
                <w:noProof/>
                <w:webHidden/>
              </w:rPr>
              <w:tab/>
            </w:r>
            <w:r w:rsidR="00164C56">
              <w:rPr>
                <w:noProof/>
                <w:webHidden/>
              </w:rPr>
              <w:fldChar w:fldCharType="begin"/>
            </w:r>
            <w:r w:rsidR="00164C56">
              <w:rPr>
                <w:noProof/>
                <w:webHidden/>
              </w:rPr>
              <w:instrText xml:space="preserve"> PAGEREF _Toc59179330 \h </w:instrText>
            </w:r>
            <w:r w:rsidR="00164C56">
              <w:rPr>
                <w:noProof/>
                <w:webHidden/>
              </w:rPr>
            </w:r>
            <w:r w:rsidR="00164C56">
              <w:rPr>
                <w:noProof/>
                <w:webHidden/>
              </w:rPr>
              <w:fldChar w:fldCharType="separate"/>
            </w:r>
            <w:r w:rsidR="00164C56">
              <w:rPr>
                <w:noProof/>
                <w:webHidden/>
              </w:rPr>
              <w:t>75</w:t>
            </w:r>
            <w:r w:rsidR="00164C56">
              <w:rPr>
                <w:noProof/>
                <w:webHidden/>
              </w:rPr>
              <w:fldChar w:fldCharType="end"/>
            </w:r>
          </w:hyperlink>
        </w:p>
        <w:p w14:paraId="2C13912D" w14:textId="61F5F56D" w:rsidR="00164C56" w:rsidRDefault="00C40B91">
          <w:pPr>
            <w:pStyle w:val="TOC2"/>
            <w:rPr>
              <w:rFonts w:asciiTheme="minorHAnsi" w:eastAsiaTheme="minorEastAsia" w:hAnsiTheme="minorHAnsi" w:cstheme="minorBidi"/>
              <w:noProof/>
              <w:sz w:val="22"/>
              <w:szCs w:val="22"/>
            </w:rPr>
          </w:pPr>
          <w:hyperlink w:anchor="_Toc59179331" w:history="1">
            <w:r w:rsidR="00164C56" w:rsidRPr="009822AE">
              <w:rPr>
                <w:rStyle w:val="Hyperlink"/>
                <w:noProof/>
              </w:rPr>
              <w:t>H.</w:t>
            </w:r>
            <w:r w:rsidR="00164C56">
              <w:rPr>
                <w:rFonts w:asciiTheme="minorHAnsi" w:eastAsiaTheme="minorEastAsia" w:hAnsiTheme="minorHAnsi" w:cstheme="minorBidi"/>
                <w:noProof/>
                <w:sz w:val="22"/>
                <w:szCs w:val="22"/>
              </w:rPr>
              <w:tab/>
            </w:r>
            <w:r w:rsidR="00164C56" w:rsidRPr="009822AE">
              <w:rPr>
                <w:rStyle w:val="Hyperlink"/>
                <w:noProof/>
              </w:rPr>
              <w:t>ALJ’s Determination that FirstEnergy Does Not Possess and Did Not Leverage Bargaining Power Over Verizon During Rate Negotiations</w:t>
            </w:r>
            <w:r w:rsidR="00164C56">
              <w:rPr>
                <w:noProof/>
                <w:webHidden/>
              </w:rPr>
              <w:tab/>
            </w:r>
            <w:r w:rsidR="00164C56">
              <w:rPr>
                <w:noProof/>
                <w:webHidden/>
              </w:rPr>
              <w:fldChar w:fldCharType="begin"/>
            </w:r>
            <w:r w:rsidR="00164C56">
              <w:rPr>
                <w:noProof/>
                <w:webHidden/>
              </w:rPr>
              <w:instrText xml:space="preserve"> PAGEREF _Toc59179331 \h </w:instrText>
            </w:r>
            <w:r w:rsidR="00164C56">
              <w:rPr>
                <w:noProof/>
                <w:webHidden/>
              </w:rPr>
            </w:r>
            <w:r w:rsidR="00164C56">
              <w:rPr>
                <w:noProof/>
                <w:webHidden/>
              </w:rPr>
              <w:fldChar w:fldCharType="separate"/>
            </w:r>
            <w:r w:rsidR="00164C56">
              <w:rPr>
                <w:noProof/>
                <w:webHidden/>
              </w:rPr>
              <w:t>75</w:t>
            </w:r>
            <w:r w:rsidR="00164C56">
              <w:rPr>
                <w:noProof/>
                <w:webHidden/>
              </w:rPr>
              <w:fldChar w:fldCharType="end"/>
            </w:r>
          </w:hyperlink>
        </w:p>
        <w:p w14:paraId="05B536BB" w14:textId="7B10445C" w:rsidR="00164C56" w:rsidRDefault="00C40B91">
          <w:pPr>
            <w:pStyle w:val="TOC3"/>
            <w:rPr>
              <w:rFonts w:asciiTheme="minorHAnsi" w:eastAsiaTheme="minorEastAsia" w:hAnsiTheme="minorHAnsi" w:cstheme="minorBidi"/>
              <w:noProof/>
              <w:sz w:val="22"/>
              <w:szCs w:val="22"/>
            </w:rPr>
          </w:pPr>
          <w:hyperlink w:anchor="_Toc59179332" w:history="1">
            <w:r w:rsidR="00164C56" w:rsidRPr="009822AE">
              <w:rPr>
                <w:rStyle w:val="Hyperlink"/>
                <w:noProof/>
              </w:rPr>
              <w:t>1.</w:t>
            </w:r>
            <w:r w:rsidR="00164C56">
              <w:rPr>
                <w:rFonts w:asciiTheme="minorHAnsi" w:eastAsiaTheme="minorEastAsia" w:hAnsiTheme="minorHAnsi" w:cstheme="minorBidi"/>
                <w:noProof/>
                <w:sz w:val="22"/>
                <w:szCs w:val="22"/>
              </w:rPr>
              <w:tab/>
            </w:r>
            <w:r w:rsidR="00164C56" w:rsidRPr="009822AE">
              <w:rPr>
                <w:rStyle w:val="Hyperlink"/>
                <w:noProof/>
              </w:rPr>
              <w:t>Recommended Decision</w:t>
            </w:r>
            <w:r w:rsidR="00164C56">
              <w:rPr>
                <w:noProof/>
                <w:webHidden/>
              </w:rPr>
              <w:tab/>
            </w:r>
            <w:r w:rsidR="00164C56">
              <w:rPr>
                <w:noProof/>
                <w:webHidden/>
              </w:rPr>
              <w:fldChar w:fldCharType="begin"/>
            </w:r>
            <w:r w:rsidR="00164C56">
              <w:rPr>
                <w:noProof/>
                <w:webHidden/>
              </w:rPr>
              <w:instrText xml:space="preserve"> PAGEREF _Toc59179332 \h </w:instrText>
            </w:r>
            <w:r w:rsidR="00164C56">
              <w:rPr>
                <w:noProof/>
                <w:webHidden/>
              </w:rPr>
            </w:r>
            <w:r w:rsidR="00164C56">
              <w:rPr>
                <w:noProof/>
                <w:webHidden/>
              </w:rPr>
              <w:fldChar w:fldCharType="separate"/>
            </w:r>
            <w:r w:rsidR="00164C56">
              <w:rPr>
                <w:noProof/>
                <w:webHidden/>
              </w:rPr>
              <w:t>75</w:t>
            </w:r>
            <w:r w:rsidR="00164C56">
              <w:rPr>
                <w:noProof/>
                <w:webHidden/>
              </w:rPr>
              <w:fldChar w:fldCharType="end"/>
            </w:r>
          </w:hyperlink>
        </w:p>
        <w:p w14:paraId="14014D12" w14:textId="2367708F" w:rsidR="00164C56" w:rsidRDefault="00C40B91">
          <w:pPr>
            <w:pStyle w:val="TOC3"/>
            <w:rPr>
              <w:rFonts w:asciiTheme="minorHAnsi" w:eastAsiaTheme="minorEastAsia" w:hAnsiTheme="minorHAnsi" w:cstheme="minorBidi"/>
              <w:noProof/>
              <w:sz w:val="22"/>
              <w:szCs w:val="22"/>
            </w:rPr>
          </w:pPr>
          <w:hyperlink w:anchor="_Toc59179333" w:history="1">
            <w:r w:rsidR="00164C56" w:rsidRPr="009822AE">
              <w:rPr>
                <w:rStyle w:val="Hyperlink"/>
                <w:noProof/>
              </w:rPr>
              <w:t>2.</w:t>
            </w:r>
            <w:r w:rsidR="00164C56">
              <w:rPr>
                <w:rFonts w:asciiTheme="minorHAnsi" w:eastAsiaTheme="minorEastAsia" w:hAnsiTheme="minorHAnsi" w:cstheme="minorBidi"/>
                <w:noProof/>
                <w:sz w:val="22"/>
                <w:szCs w:val="22"/>
              </w:rPr>
              <w:tab/>
            </w:r>
            <w:r w:rsidR="00164C56" w:rsidRPr="009822AE">
              <w:rPr>
                <w:rStyle w:val="Hyperlink"/>
                <w:noProof/>
              </w:rPr>
              <w:t>Exceptions and Replies (Verizon Exception No. 3)</w:t>
            </w:r>
            <w:r w:rsidR="00164C56">
              <w:rPr>
                <w:noProof/>
                <w:webHidden/>
              </w:rPr>
              <w:tab/>
            </w:r>
            <w:r w:rsidR="00164C56">
              <w:rPr>
                <w:noProof/>
                <w:webHidden/>
              </w:rPr>
              <w:fldChar w:fldCharType="begin"/>
            </w:r>
            <w:r w:rsidR="00164C56">
              <w:rPr>
                <w:noProof/>
                <w:webHidden/>
              </w:rPr>
              <w:instrText xml:space="preserve"> PAGEREF _Toc59179333 \h </w:instrText>
            </w:r>
            <w:r w:rsidR="00164C56">
              <w:rPr>
                <w:noProof/>
                <w:webHidden/>
              </w:rPr>
            </w:r>
            <w:r w:rsidR="00164C56">
              <w:rPr>
                <w:noProof/>
                <w:webHidden/>
              </w:rPr>
              <w:fldChar w:fldCharType="separate"/>
            </w:r>
            <w:r w:rsidR="00164C56">
              <w:rPr>
                <w:noProof/>
                <w:webHidden/>
              </w:rPr>
              <w:t>76</w:t>
            </w:r>
            <w:r w:rsidR="00164C56">
              <w:rPr>
                <w:noProof/>
                <w:webHidden/>
              </w:rPr>
              <w:fldChar w:fldCharType="end"/>
            </w:r>
          </w:hyperlink>
        </w:p>
        <w:p w14:paraId="10F67AAB" w14:textId="6B4703C5" w:rsidR="00164C56" w:rsidRDefault="00C40B91">
          <w:pPr>
            <w:pStyle w:val="TOC3"/>
            <w:rPr>
              <w:rFonts w:asciiTheme="minorHAnsi" w:eastAsiaTheme="minorEastAsia" w:hAnsiTheme="minorHAnsi" w:cstheme="minorBidi"/>
              <w:noProof/>
              <w:sz w:val="22"/>
              <w:szCs w:val="22"/>
            </w:rPr>
          </w:pPr>
          <w:hyperlink w:anchor="_Toc59179334" w:history="1">
            <w:r w:rsidR="00164C56" w:rsidRPr="009822AE">
              <w:rPr>
                <w:rStyle w:val="Hyperlink"/>
                <w:noProof/>
              </w:rPr>
              <w:t>3.</w:t>
            </w:r>
            <w:r w:rsidR="00164C56">
              <w:rPr>
                <w:rFonts w:asciiTheme="minorHAnsi" w:eastAsiaTheme="minorEastAsia" w:hAnsiTheme="minorHAnsi" w:cstheme="minorBidi"/>
                <w:noProof/>
                <w:sz w:val="22"/>
                <w:szCs w:val="22"/>
              </w:rPr>
              <w:tab/>
            </w:r>
            <w:r w:rsidR="00164C56" w:rsidRPr="009822AE">
              <w:rPr>
                <w:rStyle w:val="Hyperlink"/>
                <w:noProof/>
              </w:rPr>
              <w:t>Disposition</w:t>
            </w:r>
            <w:r w:rsidR="00164C56">
              <w:rPr>
                <w:noProof/>
                <w:webHidden/>
              </w:rPr>
              <w:tab/>
            </w:r>
            <w:r w:rsidR="00164C56">
              <w:rPr>
                <w:noProof/>
                <w:webHidden/>
              </w:rPr>
              <w:fldChar w:fldCharType="begin"/>
            </w:r>
            <w:r w:rsidR="00164C56">
              <w:rPr>
                <w:noProof/>
                <w:webHidden/>
              </w:rPr>
              <w:instrText xml:space="preserve"> PAGEREF _Toc59179334 \h </w:instrText>
            </w:r>
            <w:r w:rsidR="00164C56">
              <w:rPr>
                <w:noProof/>
                <w:webHidden/>
              </w:rPr>
            </w:r>
            <w:r w:rsidR="00164C56">
              <w:rPr>
                <w:noProof/>
                <w:webHidden/>
              </w:rPr>
              <w:fldChar w:fldCharType="separate"/>
            </w:r>
            <w:r w:rsidR="00164C56">
              <w:rPr>
                <w:noProof/>
                <w:webHidden/>
              </w:rPr>
              <w:t>79</w:t>
            </w:r>
            <w:r w:rsidR="00164C56">
              <w:rPr>
                <w:noProof/>
                <w:webHidden/>
              </w:rPr>
              <w:fldChar w:fldCharType="end"/>
            </w:r>
          </w:hyperlink>
        </w:p>
        <w:p w14:paraId="4CC2016A" w14:textId="5366D1CF" w:rsidR="005A74D5" w:rsidRDefault="00C40B91" w:rsidP="007B6369">
          <w:pPr>
            <w:pStyle w:val="TOC1"/>
            <w:rPr>
              <w:noProof/>
              <w:szCs w:val="26"/>
            </w:rPr>
          </w:pPr>
          <w:hyperlink w:anchor="_Toc59179335" w:history="1">
            <w:r w:rsidR="00164C56" w:rsidRPr="009822AE">
              <w:rPr>
                <w:rStyle w:val="Hyperlink"/>
                <w:noProof/>
              </w:rPr>
              <w:t>IV.</w:t>
            </w:r>
            <w:r w:rsidR="00164C56">
              <w:rPr>
                <w:rFonts w:asciiTheme="minorHAnsi" w:eastAsiaTheme="minorEastAsia" w:hAnsiTheme="minorHAnsi" w:cstheme="minorBidi"/>
                <w:noProof/>
                <w:sz w:val="22"/>
                <w:szCs w:val="22"/>
              </w:rPr>
              <w:tab/>
            </w:r>
            <w:r w:rsidR="00164C56" w:rsidRPr="009822AE">
              <w:rPr>
                <w:rStyle w:val="Hyperlink"/>
                <w:noProof/>
              </w:rPr>
              <w:t>Conclusion</w:t>
            </w:r>
            <w:r w:rsidR="00164C56">
              <w:rPr>
                <w:noProof/>
                <w:webHidden/>
              </w:rPr>
              <w:tab/>
            </w:r>
            <w:r w:rsidR="00164C56">
              <w:rPr>
                <w:noProof/>
                <w:webHidden/>
              </w:rPr>
              <w:fldChar w:fldCharType="begin"/>
            </w:r>
            <w:r w:rsidR="00164C56">
              <w:rPr>
                <w:noProof/>
                <w:webHidden/>
              </w:rPr>
              <w:instrText xml:space="preserve"> PAGEREF _Toc59179335 \h </w:instrText>
            </w:r>
            <w:r w:rsidR="00164C56">
              <w:rPr>
                <w:noProof/>
                <w:webHidden/>
              </w:rPr>
            </w:r>
            <w:r w:rsidR="00164C56">
              <w:rPr>
                <w:noProof/>
                <w:webHidden/>
              </w:rPr>
              <w:fldChar w:fldCharType="separate"/>
            </w:r>
            <w:r w:rsidR="00164C56">
              <w:rPr>
                <w:noProof/>
                <w:webHidden/>
              </w:rPr>
              <w:t>79</w:t>
            </w:r>
            <w:r w:rsidR="00164C56">
              <w:rPr>
                <w:noProof/>
                <w:webHidden/>
              </w:rPr>
              <w:fldChar w:fldCharType="end"/>
            </w:r>
          </w:hyperlink>
          <w:r w:rsidR="005A74D5" w:rsidRPr="0008272C">
            <w:rPr>
              <w:szCs w:val="26"/>
            </w:rPr>
            <w:fldChar w:fldCharType="end"/>
          </w:r>
        </w:p>
      </w:sdtContent>
    </w:sdt>
    <w:bookmarkEnd w:id="0" w:displacedByCustomXml="prev"/>
    <w:p w14:paraId="7C58F892" w14:textId="77777777" w:rsidR="00A32A88" w:rsidRDefault="00A32A88" w:rsidP="008F4672">
      <w:pPr>
        <w:widowControl/>
        <w:spacing w:line="360" w:lineRule="auto"/>
        <w:rPr>
          <w:b/>
          <w:sz w:val="26"/>
          <w:szCs w:val="26"/>
        </w:rPr>
        <w:sectPr w:rsidR="00A32A88" w:rsidSect="00A32A88">
          <w:pgSz w:w="12240" w:h="15840"/>
          <w:pgMar w:top="1440" w:right="1440" w:bottom="1440" w:left="1440" w:header="720" w:footer="720" w:gutter="0"/>
          <w:pgNumType w:fmt="lowerRoman" w:start="1"/>
          <w:cols w:space="720"/>
          <w:titlePg/>
          <w:docGrid w:linePitch="360"/>
        </w:sectPr>
      </w:pPr>
    </w:p>
    <w:p w14:paraId="7A0F3CB7" w14:textId="693522CD" w:rsidR="00CE01AD" w:rsidRPr="00A57018" w:rsidRDefault="00CE01AD" w:rsidP="00A57018">
      <w:pPr>
        <w:widowControl/>
        <w:spacing w:line="360" w:lineRule="auto"/>
        <w:rPr>
          <w:b/>
          <w:sz w:val="26"/>
          <w:szCs w:val="26"/>
        </w:rPr>
      </w:pPr>
      <w:r w:rsidRPr="00A57018">
        <w:rPr>
          <w:b/>
          <w:sz w:val="26"/>
          <w:szCs w:val="26"/>
        </w:rPr>
        <w:lastRenderedPageBreak/>
        <w:t>BY THE COMMISSION:</w:t>
      </w:r>
    </w:p>
    <w:p w14:paraId="467B9228" w14:textId="77777777" w:rsidR="00275807" w:rsidRPr="00A57018" w:rsidRDefault="00275807" w:rsidP="00A57018">
      <w:pPr>
        <w:widowControl/>
        <w:spacing w:line="360" w:lineRule="auto"/>
        <w:rPr>
          <w:b/>
          <w:sz w:val="26"/>
          <w:szCs w:val="26"/>
        </w:rPr>
      </w:pPr>
    </w:p>
    <w:p w14:paraId="1A872CC6" w14:textId="448CFC53" w:rsidR="007D482A" w:rsidRPr="00A57018" w:rsidRDefault="000F1318" w:rsidP="00A57018">
      <w:pPr>
        <w:widowControl/>
        <w:tabs>
          <w:tab w:val="left" w:pos="-720"/>
        </w:tabs>
        <w:suppressAutoHyphens/>
        <w:spacing w:line="360" w:lineRule="auto"/>
        <w:ind w:firstLine="1440"/>
        <w:rPr>
          <w:sz w:val="26"/>
          <w:szCs w:val="26"/>
        </w:rPr>
      </w:pPr>
      <w:bookmarkStart w:id="1" w:name="_Hlk54681843"/>
      <w:r w:rsidRPr="00A57018">
        <w:rPr>
          <w:sz w:val="26"/>
          <w:szCs w:val="26"/>
        </w:rPr>
        <w:t xml:space="preserve">Before the </w:t>
      </w:r>
      <w:r w:rsidR="005C7928" w:rsidRPr="00A57018">
        <w:rPr>
          <w:sz w:val="26"/>
          <w:szCs w:val="26"/>
        </w:rPr>
        <w:t xml:space="preserve">Pennsylvania Public Utility </w:t>
      </w:r>
      <w:r w:rsidRPr="00A57018">
        <w:rPr>
          <w:sz w:val="26"/>
          <w:szCs w:val="26"/>
        </w:rPr>
        <w:t xml:space="preserve">Commission </w:t>
      </w:r>
      <w:r w:rsidR="005C7928" w:rsidRPr="00A57018">
        <w:rPr>
          <w:sz w:val="26"/>
          <w:szCs w:val="26"/>
        </w:rPr>
        <w:t xml:space="preserve">(Commission) </w:t>
      </w:r>
      <w:r w:rsidRPr="00A57018">
        <w:rPr>
          <w:sz w:val="26"/>
          <w:szCs w:val="26"/>
        </w:rPr>
        <w:t>for co</w:t>
      </w:r>
      <w:r w:rsidR="00893951" w:rsidRPr="00A57018">
        <w:rPr>
          <w:sz w:val="26"/>
          <w:szCs w:val="26"/>
        </w:rPr>
        <w:t xml:space="preserve">nsideration and </w:t>
      </w:r>
      <w:bookmarkStart w:id="2" w:name="_Hlk37835909"/>
      <w:r w:rsidR="00893951" w:rsidRPr="00A57018">
        <w:rPr>
          <w:sz w:val="26"/>
          <w:szCs w:val="26"/>
        </w:rPr>
        <w:t>disposition</w:t>
      </w:r>
      <w:r w:rsidR="00D340F2" w:rsidRPr="00A57018">
        <w:rPr>
          <w:sz w:val="26"/>
          <w:szCs w:val="26"/>
        </w:rPr>
        <w:t xml:space="preserve"> </w:t>
      </w:r>
      <w:bookmarkStart w:id="3" w:name="_Hlk54175764"/>
      <w:r w:rsidR="00BB4285" w:rsidRPr="00A57018">
        <w:rPr>
          <w:sz w:val="26"/>
          <w:szCs w:val="26"/>
        </w:rPr>
        <w:t>are the Exceptions of Metropolitan Edison Company (Met</w:t>
      </w:r>
      <w:r w:rsidR="00A57018" w:rsidRPr="00A57018">
        <w:rPr>
          <w:sz w:val="26"/>
          <w:szCs w:val="26"/>
        </w:rPr>
        <w:noBreakHyphen/>
      </w:r>
      <w:r w:rsidR="00BB4285" w:rsidRPr="00A57018">
        <w:rPr>
          <w:sz w:val="26"/>
          <w:szCs w:val="26"/>
        </w:rPr>
        <w:t xml:space="preserve">Ed), Pennsylvania Electric Company (Penelec), and Pennsylvania Power Company (Penn Power) (collectively, </w:t>
      </w:r>
      <w:r w:rsidR="00EE1847" w:rsidRPr="00A57018">
        <w:rPr>
          <w:sz w:val="26"/>
          <w:szCs w:val="26"/>
        </w:rPr>
        <w:t>FirstEnergy or the Companies</w:t>
      </w:r>
      <w:r w:rsidR="00BB4285" w:rsidRPr="00A57018">
        <w:rPr>
          <w:sz w:val="26"/>
          <w:szCs w:val="26"/>
        </w:rPr>
        <w:t>)</w:t>
      </w:r>
      <w:r w:rsidR="00EE1847" w:rsidRPr="00A57018">
        <w:rPr>
          <w:sz w:val="26"/>
          <w:szCs w:val="26"/>
        </w:rPr>
        <w:t xml:space="preserve"> and Verizon Pennsylvania LLC and Verizon North LLC (collectively, Verizon) filed on September 22, 2020, to the Recommended Decision (R.D.) of </w:t>
      </w:r>
      <w:r w:rsidR="00B757B7" w:rsidRPr="00A57018">
        <w:rPr>
          <w:sz w:val="26"/>
          <w:szCs w:val="26"/>
        </w:rPr>
        <w:t xml:space="preserve">Deputy Chief </w:t>
      </w:r>
      <w:r w:rsidR="00EE1847" w:rsidRPr="00A57018">
        <w:rPr>
          <w:sz w:val="26"/>
          <w:szCs w:val="26"/>
        </w:rPr>
        <w:t xml:space="preserve">Administrative Law Judge (ALJ) Joel H. Cheskis, issued September 15, 2020, relative to the above-captioned proceeding.  Replies to Exceptions were filed </w:t>
      </w:r>
      <w:r w:rsidR="00490435" w:rsidRPr="00A57018">
        <w:rPr>
          <w:sz w:val="26"/>
          <w:szCs w:val="26"/>
        </w:rPr>
        <w:t>by FirstEnergy and Verizon</w:t>
      </w:r>
      <w:r w:rsidR="00500B5A" w:rsidRPr="00A57018">
        <w:rPr>
          <w:sz w:val="26"/>
          <w:szCs w:val="26"/>
        </w:rPr>
        <w:t xml:space="preserve"> on September 28, 2020</w:t>
      </w:r>
      <w:r w:rsidR="00490435" w:rsidRPr="00A57018">
        <w:rPr>
          <w:sz w:val="26"/>
          <w:szCs w:val="26"/>
        </w:rPr>
        <w:t xml:space="preserve">.  </w:t>
      </w:r>
      <w:r w:rsidR="00500B5A" w:rsidRPr="00A57018">
        <w:rPr>
          <w:sz w:val="26"/>
          <w:szCs w:val="26"/>
        </w:rPr>
        <w:t xml:space="preserve">  </w:t>
      </w:r>
    </w:p>
    <w:bookmarkEnd w:id="1"/>
    <w:bookmarkEnd w:id="2"/>
    <w:bookmarkEnd w:id="3"/>
    <w:p w14:paraId="75A59337" w14:textId="0B41B7A5" w:rsidR="00326EBF" w:rsidRPr="00A57018" w:rsidRDefault="00326EBF" w:rsidP="00A57018">
      <w:pPr>
        <w:widowControl/>
        <w:tabs>
          <w:tab w:val="left" w:pos="-720"/>
        </w:tabs>
        <w:suppressAutoHyphens/>
        <w:spacing w:line="360" w:lineRule="auto"/>
        <w:rPr>
          <w:sz w:val="26"/>
          <w:szCs w:val="26"/>
        </w:rPr>
      </w:pPr>
    </w:p>
    <w:p w14:paraId="2BA113F9" w14:textId="05E69AD7" w:rsidR="00317685" w:rsidRPr="00A57018" w:rsidRDefault="00317685" w:rsidP="00A57018">
      <w:pPr>
        <w:widowControl/>
        <w:spacing w:line="360" w:lineRule="auto"/>
        <w:ind w:firstLine="1440"/>
        <w:rPr>
          <w:sz w:val="26"/>
          <w:szCs w:val="26"/>
        </w:rPr>
      </w:pPr>
      <w:r w:rsidRPr="00A57018">
        <w:rPr>
          <w:sz w:val="26"/>
          <w:szCs w:val="26"/>
        </w:rPr>
        <w:t xml:space="preserve">For the reasons stated, </w:t>
      </w:r>
      <w:r w:rsidRPr="00A57018">
        <w:rPr>
          <w:i/>
          <w:sz w:val="26"/>
          <w:szCs w:val="26"/>
        </w:rPr>
        <w:t>infra</w:t>
      </w:r>
      <w:r w:rsidRPr="00A57018">
        <w:rPr>
          <w:sz w:val="26"/>
          <w:szCs w:val="26"/>
        </w:rPr>
        <w:t>, we shall</w:t>
      </w:r>
      <w:r w:rsidR="00741734" w:rsidRPr="00A57018">
        <w:rPr>
          <w:sz w:val="26"/>
          <w:szCs w:val="26"/>
        </w:rPr>
        <w:t xml:space="preserve">: (1) </w:t>
      </w:r>
      <w:r w:rsidR="0062235E" w:rsidRPr="00A57018">
        <w:rPr>
          <w:sz w:val="26"/>
          <w:szCs w:val="26"/>
        </w:rPr>
        <w:t>grant, in part, and deny, in part, t</w:t>
      </w:r>
      <w:r w:rsidRPr="00A57018">
        <w:rPr>
          <w:sz w:val="26"/>
          <w:szCs w:val="26"/>
        </w:rPr>
        <w:t xml:space="preserve">he Exceptions filed by </w:t>
      </w:r>
      <w:r w:rsidR="00114D57" w:rsidRPr="00A57018">
        <w:rPr>
          <w:sz w:val="26"/>
          <w:szCs w:val="26"/>
        </w:rPr>
        <w:t>FirstEnergy and Verizon</w:t>
      </w:r>
      <w:r w:rsidR="00741734" w:rsidRPr="00A57018">
        <w:rPr>
          <w:sz w:val="26"/>
          <w:szCs w:val="26"/>
        </w:rPr>
        <w:t>;</w:t>
      </w:r>
      <w:r w:rsidR="00114D57" w:rsidRPr="00A57018">
        <w:rPr>
          <w:sz w:val="26"/>
          <w:szCs w:val="26"/>
        </w:rPr>
        <w:t xml:space="preserve"> and</w:t>
      </w:r>
      <w:r w:rsidR="00741734" w:rsidRPr="00A57018">
        <w:rPr>
          <w:sz w:val="26"/>
          <w:szCs w:val="26"/>
        </w:rPr>
        <w:t xml:space="preserve"> (</w:t>
      </w:r>
      <w:r w:rsidR="0062235E" w:rsidRPr="00A57018">
        <w:rPr>
          <w:sz w:val="26"/>
          <w:szCs w:val="26"/>
        </w:rPr>
        <w:t>2</w:t>
      </w:r>
      <w:r w:rsidR="00741734" w:rsidRPr="00A57018">
        <w:rPr>
          <w:sz w:val="26"/>
          <w:szCs w:val="26"/>
        </w:rPr>
        <w:t>)</w:t>
      </w:r>
      <w:r w:rsidRPr="00A57018">
        <w:rPr>
          <w:sz w:val="26"/>
          <w:szCs w:val="26"/>
        </w:rPr>
        <w:t xml:space="preserve"> </w:t>
      </w:r>
      <w:r w:rsidR="0062235E" w:rsidRPr="00A57018">
        <w:rPr>
          <w:sz w:val="26"/>
          <w:szCs w:val="26"/>
        </w:rPr>
        <w:t>adopt</w:t>
      </w:r>
      <w:r w:rsidR="0064148C" w:rsidRPr="00A57018">
        <w:rPr>
          <w:sz w:val="26"/>
          <w:szCs w:val="26"/>
        </w:rPr>
        <w:t xml:space="preserve"> </w:t>
      </w:r>
      <w:r w:rsidRPr="00A57018">
        <w:rPr>
          <w:sz w:val="26"/>
          <w:szCs w:val="26"/>
        </w:rPr>
        <w:t>the ALJ</w:t>
      </w:r>
      <w:r w:rsidR="00114D57" w:rsidRPr="00A57018">
        <w:rPr>
          <w:sz w:val="26"/>
          <w:szCs w:val="26"/>
        </w:rPr>
        <w:t>’s</w:t>
      </w:r>
      <w:r w:rsidRPr="00A57018">
        <w:rPr>
          <w:sz w:val="26"/>
          <w:szCs w:val="26"/>
        </w:rPr>
        <w:t xml:space="preserve"> Recommended Decision, as modified, consistent with this Opinion and Order</w:t>
      </w:r>
      <w:r w:rsidR="00741734" w:rsidRPr="00A57018">
        <w:rPr>
          <w:sz w:val="26"/>
          <w:szCs w:val="26"/>
        </w:rPr>
        <w:t xml:space="preserve">. </w:t>
      </w:r>
    </w:p>
    <w:p w14:paraId="4915A124" w14:textId="77777777" w:rsidR="003643A3" w:rsidRPr="00A57018" w:rsidRDefault="003643A3" w:rsidP="00A57018">
      <w:pPr>
        <w:widowControl/>
        <w:tabs>
          <w:tab w:val="left" w:pos="-720"/>
        </w:tabs>
        <w:suppressAutoHyphens/>
        <w:spacing w:line="360" w:lineRule="auto"/>
        <w:rPr>
          <w:sz w:val="26"/>
          <w:szCs w:val="26"/>
        </w:rPr>
      </w:pPr>
    </w:p>
    <w:p w14:paraId="6422F3F1" w14:textId="00C76E24" w:rsidR="00B00BC3" w:rsidRPr="00A57018" w:rsidRDefault="007357EB" w:rsidP="00A57018">
      <w:pPr>
        <w:pStyle w:val="Heading1"/>
        <w:ind w:left="0" w:firstLine="0"/>
        <w:rPr>
          <w:szCs w:val="26"/>
        </w:rPr>
      </w:pPr>
      <w:bookmarkStart w:id="4" w:name="_Toc59179289"/>
      <w:r w:rsidRPr="00A57018">
        <w:rPr>
          <w:szCs w:val="26"/>
        </w:rPr>
        <w:t>Background</w:t>
      </w:r>
      <w:bookmarkEnd w:id="4"/>
    </w:p>
    <w:p w14:paraId="05273036" w14:textId="4B71456F" w:rsidR="00082034" w:rsidRPr="00A57018" w:rsidRDefault="00082034" w:rsidP="00A57018">
      <w:pPr>
        <w:widowControl/>
        <w:spacing w:line="360" w:lineRule="auto"/>
        <w:rPr>
          <w:sz w:val="26"/>
          <w:szCs w:val="26"/>
        </w:rPr>
      </w:pPr>
    </w:p>
    <w:p w14:paraId="5381878B" w14:textId="550754CB" w:rsidR="00082034" w:rsidRPr="00A57018" w:rsidRDefault="00082034" w:rsidP="00A57018">
      <w:pPr>
        <w:pStyle w:val="Heading2"/>
        <w:widowControl/>
      </w:pPr>
      <w:bookmarkStart w:id="5" w:name="_Toc59179290"/>
      <w:bookmarkStart w:id="6" w:name="_Hlk54780064"/>
      <w:r w:rsidRPr="00A57018">
        <w:t>Pole Attachment Agreements</w:t>
      </w:r>
      <w:bookmarkEnd w:id="5"/>
    </w:p>
    <w:bookmarkEnd w:id="6"/>
    <w:p w14:paraId="154CD19B" w14:textId="0A88FE45" w:rsidR="00082034" w:rsidRPr="00A57018" w:rsidRDefault="00082034" w:rsidP="00A57018">
      <w:pPr>
        <w:widowControl/>
        <w:spacing w:line="360" w:lineRule="auto"/>
        <w:rPr>
          <w:sz w:val="26"/>
          <w:szCs w:val="26"/>
        </w:rPr>
      </w:pPr>
    </w:p>
    <w:p w14:paraId="448F51AB" w14:textId="5D79F61E" w:rsidR="00082034" w:rsidRPr="00A57018" w:rsidRDefault="006451DD" w:rsidP="00A57018">
      <w:pPr>
        <w:widowControl/>
        <w:spacing w:line="360" w:lineRule="auto"/>
        <w:ind w:firstLine="1440"/>
        <w:rPr>
          <w:sz w:val="26"/>
          <w:szCs w:val="26"/>
        </w:rPr>
      </w:pPr>
      <w:r w:rsidRPr="00A57018">
        <w:rPr>
          <w:sz w:val="26"/>
          <w:szCs w:val="26"/>
        </w:rPr>
        <w:t>T</w:t>
      </w:r>
      <w:r w:rsidR="00AD2D0D" w:rsidRPr="00A57018">
        <w:rPr>
          <w:sz w:val="26"/>
          <w:szCs w:val="26"/>
        </w:rPr>
        <w:t xml:space="preserve">his proceeding involves </w:t>
      </w:r>
      <w:r w:rsidRPr="00A57018">
        <w:rPr>
          <w:sz w:val="26"/>
          <w:szCs w:val="26"/>
        </w:rPr>
        <w:t xml:space="preserve">a dispute over </w:t>
      </w:r>
      <w:r w:rsidR="00AD2D0D" w:rsidRPr="00A57018">
        <w:rPr>
          <w:sz w:val="26"/>
          <w:szCs w:val="26"/>
        </w:rPr>
        <w:t>the rates paid by a Pennsylvania incumbent local exchange carrier (ILEC) attach</w:t>
      </w:r>
      <w:r w:rsidRPr="00A57018">
        <w:rPr>
          <w:sz w:val="26"/>
          <w:szCs w:val="26"/>
        </w:rPr>
        <w:t>ing</w:t>
      </w:r>
      <w:r w:rsidR="00AD2D0D" w:rsidRPr="00A57018">
        <w:rPr>
          <w:sz w:val="26"/>
          <w:szCs w:val="26"/>
        </w:rPr>
        <w:t xml:space="preserve"> </w:t>
      </w:r>
      <w:r w:rsidRPr="00A57018">
        <w:rPr>
          <w:sz w:val="26"/>
          <w:szCs w:val="26"/>
        </w:rPr>
        <w:t xml:space="preserve">its physical facilities </w:t>
      </w:r>
      <w:r w:rsidR="00AD2D0D" w:rsidRPr="00A57018">
        <w:rPr>
          <w:sz w:val="26"/>
          <w:szCs w:val="26"/>
        </w:rPr>
        <w:t>to poles owned by a jurisdictional electric distribution company (EDC).  ILECs, wh</w:t>
      </w:r>
      <w:r w:rsidRPr="00A57018">
        <w:rPr>
          <w:sz w:val="26"/>
          <w:szCs w:val="26"/>
        </w:rPr>
        <w:t>ich</w:t>
      </w:r>
      <w:r w:rsidR="00AD2D0D" w:rsidRPr="00A57018">
        <w:rPr>
          <w:sz w:val="26"/>
          <w:szCs w:val="26"/>
        </w:rPr>
        <w:t xml:space="preserve"> are also pole owners, historically have attached to electric utility poles by way of </w:t>
      </w:r>
      <w:r w:rsidR="00F16233" w:rsidRPr="00A57018">
        <w:rPr>
          <w:sz w:val="26"/>
          <w:szCs w:val="26"/>
        </w:rPr>
        <w:t>J</w:t>
      </w:r>
      <w:r w:rsidR="00AD2D0D" w:rsidRPr="00A57018">
        <w:rPr>
          <w:sz w:val="26"/>
          <w:szCs w:val="26"/>
        </w:rPr>
        <w:t xml:space="preserve">oint </w:t>
      </w:r>
      <w:r w:rsidR="00F16233" w:rsidRPr="00A57018">
        <w:rPr>
          <w:sz w:val="26"/>
          <w:szCs w:val="26"/>
        </w:rPr>
        <w:t>U</w:t>
      </w:r>
      <w:r w:rsidR="00AD2D0D" w:rsidRPr="00A57018">
        <w:rPr>
          <w:sz w:val="26"/>
          <w:szCs w:val="26"/>
        </w:rPr>
        <w:t xml:space="preserve">se </w:t>
      </w:r>
      <w:r w:rsidR="00F16233" w:rsidRPr="00A57018">
        <w:rPr>
          <w:sz w:val="26"/>
          <w:szCs w:val="26"/>
        </w:rPr>
        <w:t>A</w:t>
      </w:r>
      <w:r w:rsidR="00AD2D0D" w:rsidRPr="00A57018">
        <w:rPr>
          <w:sz w:val="26"/>
          <w:szCs w:val="26"/>
        </w:rPr>
        <w:t>greements</w:t>
      </w:r>
      <w:r w:rsidR="00566690" w:rsidRPr="00A57018">
        <w:rPr>
          <w:sz w:val="26"/>
          <w:szCs w:val="26"/>
        </w:rPr>
        <w:t xml:space="preserve"> (JUAs)</w:t>
      </w:r>
      <w:r w:rsidR="00AD2D0D" w:rsidRPr="00A57018">
        <w:rPr>
          <w:sz w:val="26"/>
          <w:szCs w:val="26"/>
        </w:rPr>
        <w:t xml:space="preserve">, while cable companies, </w:t>
      </w:r>
      <w:r w:rsidR="002C6E4B" w:rsidRPr="00A57018">
        <w:rPr>
          <w:sz w:val="26"/>
          <w:szCs w:val="26"/>
        </w:rPr>
        <w:t xml:space="preserve">competitive local exchange carriers </w:t>
      </w:r>
      <w:r w:rsidR="002C6E4B" w:rsidRPr="00A57018">
        <w:rPr>
          <w:sz w:val="26"/>
          <w:szCs w:val="26"/>
        </w:rPr>
        <w:lastRenderedPageBreak/>
        <w:t>(CLECs) and other third-party non-pole-owning entities have attached to electric utility poles by way of third-party attachment agreements.</w:t>
      </w:r>
      <w:r w:rsidR="00CD6A08" w:rsidRPr="00A57018">
        <w:rPr>
          <w:rStyle w:val="FootnoteReference"/>
          <w:sz w:val="26"/>
          <w:szCs w:val="26"/>
        </w:rPr>
        <w:footnoteReference w:id="2"/>
      </w:r>
      <w:r w:rsidR="002C6E4B" w:rsidRPr="00A57018">
        <w:rPr>
          <w:sz w:val="26"/>
          <w:szCs w:val="26"/>
        </w:rPr>
        <w:t xml:space="preserve">  </w:t>
      </w:r>
    </w:p>
    <w:p w14:paraId="439973EF" w14:textId="71016C57" w:rsidR="00F16233" w:rsidRPr="00A57018" w:rsidRDefault="00F16233" w:rsidP="00A57018">
      <w:pPr>
        <w:widowControl/>
        <w:spacing w:line="360" w:lineRule="auto"/>
        <w:ind w:firstLine="1440"/>
        <w:rPr>
          <w:sz w:val="26"/>
          <w:szCs w:val="26"/>
        </w:rPr>
      </w:pPr>
    </w:p>
    <w:p w14:paraId="5EA6419C" w14:textId="2A19A753" w:rsidR="00F16233" w:rsidRPr="00A57018" w:rsidRDefault="00F16233" w:rsidP="00A57018">
      <w:pPr>
        <w:widowControl/>
        <w:spacing w:line="360" w:lineRule="auto"/>
        <w:ind w:firstLine="1440"/>
        <w:rPr>
          <w:sz w:val="26"/>
          <w:szCs w:val="26"/>
        </w:rPr>
      </w:pPr>
      <w:r w:rsidRPr="00A57018">
        <w:rPr>
          <w:sz w:val="26"/>
          <w:szCs w:val="26"/>
        </w:rPr>
        <w:t xml:space="preserve">There are ten </w:t>
      </w:r>
      <w:r w:rsidR="00566690" w:rsidRPr="00A57018">
        <w:rPr>
          <w:sz w:val="26"/>
          <w:szCs w:val="26"/>
        </w:rPr>
        <w:t>JUAs</w:t>
      </w:r>
      <w:r w:rsidRPr="00A57018">
        <w:rPr>
          <w:sz w:val="26"/>
          <w:szCs w:val="26"/>
        </w:rPr>
        <w:t xml:space="preserve"> executed between FirstEnergy and Verizon (</w:t>
      </w:r>
      <w:r w:rsidRPr="00A57018">
        <w:rPr>
          <w:i/>
          <w:iCs/>
          <w:sz w:val="26"/>
          <w:szCs w:val="26"/>
        </w:rPr>
        <w:t>i.e.</w:t>
      </w:r>
      <w:r w:rsidRPr="00A57018">
        <w:rPr>
          <w:sz w:val="26"/>
          <w:szCs w:val="26"/>
        </w:rPr>
        <w:t xml:space="preserve">, Verizon’s predecessors) at issue in this case.  </w:t>
      </w:r>
      <w:r w:rsidRPr="00A57018">
        <w:rPr>
          <w:i/>
          <w:iCs/>
          <w:sz w:val="26"/>
          <w:szCs w:val="26"/>
        </w:rPr>
        <w:t>See</w:t>
      </w:r>
      <w:r w:rsidRPr="00A57018">
        <w:rPr>
          <w:sz w:val="26"/>
          <w:szCs w:val="26"/>
        </w:rPr>
        <w:t xml:space="preserve"> FirstEnergy St.</w:t>
      </w:r>
      <w:r w:rsidR="003674AD" w:rsidRPr="00A57018">
        <w:rPr>
          <w:sz w:val="26"/>
          <w:szCs w:val="26"/>
        </w:rPr>
        <w:t xml:space="preserve"> No.</w:t>
      </w:r>
      <w:r w:rsidRPr="00A57018">
        <w:rPr>
          <w:sz w:val="26"/>
          <w:szCs w:val="26"/>
        </w:rPr>
        <w:t xml:space="preserve"> 1-R at 7; Verizon </w:t>
      </w:r>
      <w:r w:rsidR="006451DD" w:rsidRPr="00A57018">
        <w:rPr>
          <w:sz w:val="26"/>
          <w:szCs w:val="26"/>
        </w:rPr>
        <w:t xml:space="preserve">St. No. 1.0, </w:t>
      </w:r>
      <w:r w:rsidRPr="00A57018">
        <w:rPr>
          <w:sz w:val="26"/>
          <w:szCs w:val="26"/>
        </w:rPr>
        <w:t>Exh</w:t>
      </w:r>
      <w:r w:rsidR="00DD34A0" w:rsidRPr="00A57018">
        <w:rPr>
          <w:sz w:val="26"/>
          <w:szCs w:val="26"/>
        </w:rPr>
        <w:t>.</w:t>
      </w:r>
      <w:r w:rsidRPr="00A57018">
        <w:rPr>
          <w:sz w:val="26"/>
          <w:szCs w:val="26"/>
        </w:rPr>
        <w:t xml:space="preserve"> SCM-2.  Specifically, </w:t>
      </w:r>
      <w:r w:rsidR="006451DD" w:rsidRPr="00A57018">
        <w:rPr>
          <w:sz w:val="26"/>
          <w:szCs w:val="26"/>
        </w:rPr>
        <w:t xml:space="preserve">Met-Ed and Verizon executed five agreements </w:t>
      </w:r>
      <w:r w:rsidRPr="00A57018">
        <w:rPr>
          <w:sz w:val="26"/>
          <w:szCs w:val="26"/>
        </w:rPr>
        <w:t>between 1967 and 1973</w:t>
      </w:r>
      <w:r w:rsidR="00487058" w:rsidRPr="00A57018">
        <w:rPr>
          <w:sz w:val="26"/>
          <w:szCs w:val="26"/>
        </w:rPr>
        <w:t xml:space="preserve">, </w:t>
      </w:r>
      <w:r w:rsidR="006451DD" w:rsidRPr="00A57018">
        <w:rPr>
          <w:sz w:val="26"/>
          <w:szCs w:val="26"/>
        </w:rPr>
        <w:t xml:space="preserve">Penelec and Verizon executed four agreements </w:t>
      </w:r>
      <w:r w:rsidR="00487058" w:rsidRPr="00A57018">
        <w:rPr>
          <w:sz w:val="26"/>
          <w:szCs w:val="26"/>
        </w:rPr>
        <w:t>b</w:t>
      </w:r>
      <w:r w:rsidRPr="00A57018">
        <w:rPr>
          <w:sz w:val="26"/>
          <w:szCs w:val="26"/>
        </w:rPr>
        <w:t>etween 1958 through 1988</w:t>
      </w:r>
      <w:r w:rsidR="00487058" w:rsidRPr="00A57018">
        <w:rPr>
          <w:sz w:val="26"/>
          <w:szCs w:val="26"/>
        </w:rPr>
        <w:t>, and i</w:t>
      </w:r>
      <w:r w:rsidRPr="00A57018">
        <w:rPr>
          <w:sz w:val="26"/>
          <w:szCs w:val="26"/>
        </w:rPr>
        <w:t xml:space="preserve">n 1979, Penn Power and Verizon executed one agreement.  FirstEnergy St. </w:t>
      </w:r>
      <w:r w:rsidR="003674AD" w:rsidRPr="00A57018">
        <w:rPr>
          <w:sz w:val="26"/>
          <w:szCs w:val="26"/>
        </w:rPr>
        <w:t xml:space="preserve">No. </w:t>
      </w:r>
      <w:r w:rsidRPr="00A57018">
        <w:rPr>
          <w:sz w:val="26"/>
          <w:szCs w:val="26"/>
        </w:rPr>
        <w:t xml:space="preserve">1-R at </w:t>
      </w:r>
      <w:r w:rsidR="00487058" w:rsidRPr="00A57018">
        <w:rPr>
          <w:sz w:val="26"/>
          <w:szCs w:val="26"/>
        </w:rPr>
        <w:t>7-</w:t>
      </w:r>
      <w:r w:rsidRPr="00A57018">
        <w:rPr>
          <w:sz w:val="26"/>
          <w:szCs w:val="26"/>
        </w:rPr>
        <w:t>8.</w:t>
      </w:r>
    </w:p>
    <w:p w14:paraId="52AE080A" w14:textId="797755C6" w:rsidR="00AB12F7" w:rsidRPr="00A57018" w:rsidRDefault="00AB12F7" w:rsidP="00A57018">
      <w:pPr>
        <w:widowControl/>
        <w:spacing w:line="360" w:lineRule="auto"/>
        <w:ind w:firstLine="1440"/>
        <w:rPr>
          <w:sz w:val="26"/>
          <w:szCs w:val="26"/>
        </w:rPr>
      </w:pPr>
    </w:p>
    <w:p w14:paraId="72228D94" w14:textId="2E78AD4D" w:rsidR="00AB12F7" w:rsidRPr="00A57018" w:rsidRDefault="00AB12F7" w:rsidP="00A57018">
      <w:pPr>
        <w:widowControl/>
        <w:spacing w:line="360" w:lineRule="auto"/>
        <w:ind w:firstLine="1440"/>
        <w:rPr>
          <w:sz w:val="26"/>
          <w:szCs w:val="26"/>
        </w:rPr>
      </w:pPr>
      <w:r w:rsidRPr="00A57018">
        <w:rPr>
          <w:sz w:val="26"/>
          <w:szCs w:val="26"/>
        </w:rPr>
        <w:t xml:space="preserve">Under each of the </w:t>
      </w:r>
      <w:r w:rsidR="00566690" w:rsidRPr="00A57018">
        <w:rPr>
          <w:sz w:val="26"/>
          <w:szCs w:val="26"/>
        </w:rPr>
        <w:t>JUAs</w:t>
      </w:r>
      <w:r w:rsidRPr="00A57018">
        <w:rPr>
          <w:sz w:val="26"/>
          <w:szCs w:val="26"/>
        </w:rPr>
        <w:t xml:space="preserve">, the parties are charged reciprocal rates per pole, which are netted during each invoice period based on the number of poles owned by each party.  Under the Penelec and Penn Power </w:t>
      </w:r>
      <w:r w:rsidR="00566690" w:rsidRPr="00A57018">
        <w:rPr>
          <w:sz w:val="26"/>
          <w:szCs w:val="26"/>
        </w:rPr>
        <w:t>JUAs</w:t>
      </w:r>
      <w:r w:rsidRPr="00A57018">
        <w:rPr>
          <w:sz w:val="26"/>
          <w:szCs w:val="26"/>
        </w:rPr>
        <w:t>, each party pays a per pole rate for use of the other party’s poles.</w:t>
      </w:r>
      <w:r w:rsidR="00DD34A0" w:rsidRPr="00A57018">
        <w:rPr>
          <w:rStyle w:val="FootnoteReference"/>
          <w:sz w:val="26"/>
          <w:szCs w:val="26"/>
        </w:rPr>
        <w:footnoteReference w:id="3"/>
      </w:r>
      <w:r w:rsidR="00DD34A0" w:rsidRPr="00A57018">
        <w:rPr>
          <w:sz w:val="26"/>
          <w:szCs w:val="26"/>
        </w:rPr>
        <w:t xml:space="preserve"> </w:t>
      </w:r>
      <w:r w:rsidRPr="00A57018">
        <w:rPr>
          <w:sz w:val="26"/>
          <w:szCs w:val="26"/>
        </w:rPr>
        <w:t xml:space="preserve"> In contrast, under the Met</w:t>
      </w:r>
      <w:r w:rsidR="00495279" w:rsidRPr="00A57018">
        <w:rPr>
          <w:sz w:val="26"/>
          <w:szCs w:val="26"/>
        </w:rPr>
        <w:t>-</w:t>
      </w:r>
      <w:r w:rsidRPr="00A57018">
        <w:rPr>
          <w:sz w:val="26"/>
          <w:szCs w:val="26"/>
        </w:rPr>
        <w:t xml:space="preserve">Ed </w:t>
      </w:r>
      <w:r w:rsidR="00566690" w:rsidRPr="00A57018">
        <w:rPr>
          <w:sz w:val="26"/>
          <w:szCs w:val="26"/>
        </w:rPr>
        <w:t>JUA</w:t>
      </w:r>
      <w:r w:rsidRPr="00A57018">
        <w:rPr>
          <w:sz w:val="26"/>
          <w:szCs w:val="26"/>
        </w:rPr>
        <w:t>, Met-Ed charges Verizon an “annual Deficiency Rate rental fee” for so-called “deficiency poles,” which is the</w:t>
      </w:r>
      <w:r w:rsidR="00DD34A0" w:rsidRPr="00A57018">
        <w:rPr>
          <w:sz w:val="26"/>
          <w:szCs w:val="26"/>
        </w:rPr>
        <w:t xml:space="preserve"> difference between the number of joint use poles Verizon owns (19%) and the higher number of joint use poles Verizon would own if Verizon owned 45% of the joint use poles.</w:t>
      </w:r>
      <w:r w:rsidR="00DD34A0" w:rsidRPr="00A57018">
        <w:rPr>
          <w:rStyle w:val="FootnoteReference"/>
          <w:sz w:val="26"/>
          <w:szCs w:val="26"/>
        </w:rPr>
        <w:footnoteReference w:id="4"/>
      </w:r>
      <w:r w:rsidR="00DD34A0" w:rsidRPr="00A57018">
        <w:rPr>
          <w:sz w:val="26"/>
          <w:szCs w:val="26"/>
        </w:rPr>
        <w:t xml:space="preserve">  For comparative purposes, the annual Deficiency Rate rental fee Met-Ed charges can be converted into “reciprocal” per-pole rental rates, based on the assumption that </w:t>
      </w:r>
      <w:r w:rsidR="00DD34A0" w:rsidRPr="00A57018">
        <w:rPr>
          <w:sz w:val="26"/>
          <w:szCs w:val="26"/>
        </w:rPr>
        <w:lastRenderedPageBreak/>
        <w:t>both parties charge the same per-pole rental rate for use of the other party’s poles.</w:t>
      </w:r>
      <w:r w:rsidR="001372E6" w:rsidRPr="00A57018">
        <w:rPr>
          <w:sz w:val="26"/>
          <w:szCs w:val="26"/>
        </w:rPr>
        <w:t xml:space="preserve">  </w:t>
      </w:r>
      <w:r w:rsidR="001372E6" w:rsidRPr="00A57018">
        <w:rPr>
          <w:i/>
          <w:iCs/>
          <w:sz w:val="26"/>
          <w:szCs w:val="26"/>
        </w:rPr>
        <w:t>See</w:t>
      </w:r>
      <w:r w:rsidR="001372E6" w:rsidRPr="00A57018">
        <w:rPr>
          <w:sz w:val="26"/>
          <w:szCs w:val="26"/>
        </w:rPr>
        <w:t xml:space="preserve"> </w:t>
      </w:r>
      <w:r w:rsidR="005E5159" w:rsidRPr="00A57018">
        <w:rPr>
          <w:sz w:val="26"/>
          <w:szCs w:val="26"/>
        </w:rPr>
        <w:t xml:space="preserve">Verizon </w:t>
      </w:r>
      <w:r w:rsidR="006451DD" w:rsidRPr="00A57018">
        <w:rPr>
          <w:sz w:val="26"/>
          <w:szCs w:val="26"/>
        </w:rPr>
        <w:t xml:space="preserve">St. No. 1.1, </w:t>
      </w:r>
      <w:r w:rsidR="005E5159" w:rsidRPr="00A57018">
        <w:rPr>
          <w:sz w:val="26"/>
          <w:szCs w:val="26"/>
        </w:rPr>
        <w:t>Exh. SCM-8 at 3</w:t>
      </w:r>
      <w:r w:rsidR="00DD34A0" w:rsidRPr="00A57018">
        <w:rPr>
          <w:sz w:val="26"/>
          <w:szCs w:val="26"/>
        </w:rPr>
        <w:t>.</w:t>
      </w:r>
    </w:p>
    <w:p w14:paraId="1738DDBE" w14:textId="77777777" w:rsidR="004C739D" w:rsidRPr="00A57018" w:rsidRDefault="004C739D" w:rsidP="00A57018">
      <w:pPr>
        <w:widowControl/>
        <w:spacing w:line="360" w:lineRule="auto"/>
        <w:ind w:firstLine="1440"/>
        <w:rPr>
          <w:sz w:val="26"/>
          <w:szCs w:val="26"/>
        </w:rPr>
      </w:pPr>
    </w:p>
    <w:p w14:paraId="660CB5B0" w14:textId="42745584" w:rsidR="00DD34A0" w:rsidRPr="00A57018" w:rsidRDefault="00014DF9" w:rsidP="00A57018">
      <w:pPr>
        <w:widowControl/>
        <w:spacing w:line="360" w:lineRule="auto"/>
        <w:ind w:firstLine="1440"/>
        <w:rPr>
          <w:sz w:val="26"/>
          <w:szCs w:val="26"/>
        </w:rPr>
      </w:pPr>
      <w:r w:rsidRPr="00A57018">
        <w:rPr>
          <w:sz w:val="26"/>
          <w:szCs w:val="26"/>
        </w:rPr>
        <w:t xml:space="preserve">The </w:t>
      </w:r>
      <w:r w:rsidR="006451DD" w:rsidRPr="00A57018">
        <w:rPr>
          <w:sz w:val="26"/>
          <w:szCs w:val="26"/>
        </w:rPr>
        <w:t>P</w:t>
      </w:r>
      <w:r w:rsidRPr="00A57018">
        <w:rPr>
          <w:sz w:val="26"/>
          <w:szCs w:val="26"/>
        </w:rPr>
        <w:t xml:space="preserve">arties negotiated an MOU to amend the Penn Power </w:t>
      </w:r>
      <w:r w:rsidR="00566690" w:rsidRPr="00A57018">
        <w:rPr>
          <w:sz w:val="26"/>
          <w:szCs w:val="26"/>
        </w:rPr>
        <w:t>JUA</w:t>
      </w:r>
      <w:r w:rsidRPr="00A57018">
        <w:rPr>
          <w:sz w:val="26"/>
          <w:szCs w:val="26"/>
        </w:rPr>
        <w:t xml:space="preserve"> in 1999.  FirstEnergy St. </w:t>
      </w:r>
      <w:r w:rsidR="003674AD" w:rsidRPr="00A57018">
        <w:rPr>
          <w:sz w:val="26"/>
          <w:szCs w:val="26"/>
        </w:rPr>
        <w:t xml:space="preserve">No. </w:t>
      </w:r>
      <w:r w:rsidRPr="00A57018">
        <w:rPr>
          <w:sz w:val="26"/>
          <w:szCs w:val="26"/>
        </w:rPr>
        <w:t>1-R at 8.  In 2009, Met-Ed and Penelec and Verizon negotiated an MOU for each of their J</w:t>
      </w:r>
      <w:r w:rsidR="00566690" w:rsidRPr="00A57018">
        <w:rPr>
          <w:sz w:val="26"/>
          <w:szCs w:val="26"/>
        </w:rPr>
        <w:t>UAs</w:t>
      </w:r>
      <w:r w:rsidRPr="00A57018">
        <w:rPr>
          <w:sz w:val="26"/>
          <w:szCs w:val="26"/>
        </w:rPr>
        <w:t xml:space="preserve">.  </w:t>
      </w:r>
      <w:r w:rsidR="003674AD" w:rsidRPr="00A57018">
        <w:rPr>
          <w:i/>
          <w:iCs/>
          <w:sz w:val="26"/>
          <w:szCs w:val="26"/>
        </w:rPr>
        <w:t>Id</w:t>
      </w:r>
      <w:r w:rsidRPr="00A57018">
        <w:rPr>
          <w:sz w:val="26"/>
          <w:szCs w:val="26"/>
        </w:rPr>
        <w:t xml:space="preserve">.  In 2009, the </w:t>
      </w:r>
      <w:r w:rsidR="006451DD" w:rsidRPr="00A57018">
        <w:rPr>
          <w:sz w:val="26"/>
          <w:szCs w:val="26"/>
        </w:rPr>
        <w:t>P</w:t>
      </w:r>
      <w:r w:rsidRPr="00A57018">
        <w:rPr>
          <w:sz w:val="26"/>
          <w:szCs w:val="26"/>
        </w:rPr>
        <w:t xml:space="preserve">arties renegotiated the rates under the </w:t>
      </w:r>
      <w:r w:rsidR="00566690" w:rsidRPr="00A57018">
        <w:rPr>
          <w:sz w:val="26"/>
          <w:szCs w:val="26"/>
        </w:rPr>
        <w:t>JUAs</w:t>
      </w:r>
      <w:r w:rsidRPr="00A57018">
        <w:rPr>
          <w:sz w:val="26"/>
          <w:szCs w:val="26"/>
        </w:rPr>
        <w:t xml:space="preserve">. </w:t>
      </w:r>
      <w:r w:rsidRPr="00A57018">
        <w:rPr>
          <w:i/>
          <w:sz w:val="26"/>
          <w:szCs w:val="26"/>
        </w:rPr>
        <w:t xml:space="preserve"> </w:t>
      </w:r>
      <w:r w:rsidR="006451DD" w:rsidRPr="00A57018">
        <w:rPr>
          <w:i/>
          <w:sz w:val="26"/>
          <w:szCs w:val="26"/>
        </w:rPr>
        <w:t xml:space="preserve">Id. </w:t>
      </w:r>
      <w:r w:rsidR="006451DD" w:rsidRPr="00A57018">
        <w:rPr>
          <w:sz w:val="26"/>
          <w:szCs w:val="26"/>
        </w:rPr>
        <w:t xml:space="preserve">at 10. </w:t>
      </w:r>
    </w:p>
    <w:p w14:paraId="3DA69D5F" w14:textId="77777777" w:rsidR="00082034" w:rsidRPr="00A57018" w:rsidRDefault="00082034" w:rsidP="00A57018">
      <w:pPr>
        <w:widowControl/>
        <w:spacing w:line="360" w:lineRule="auto"/>
        <w:rPr>
          <w:sz w:val="26"/>
          <w:szCs w:val="26"/>
        </w:rPr>
      </w:pPr>
    </w:p>
    <w:p w14:paraId="72CAEC25" w14:textId="492802BA" w:rsidR="00082034" w:rsidRPr="00A57018" w:rsidRDefault="00082034" w:rsidP="00A57018">
      <w:pPr>
        <w:pStyle w:val="Heading2"/>
        <w:widowControl/>
      </w:pPr>
      <w:bookmarkStart w:id="7" w:name="_Toc59179291"/>
      <w:r w:rsidRPr="00A57018">
        <w:t>History of Pole Attachment Regulation</w:t>
      </w:r>
      <w:bookmarkEnd w:id="7"/>
    </w:p>
    <w:p w14:paraId="6C20DDEC" w14:textId="43EE9242" w:rsidR="0097340E" w:rsidRPr="00A57018" w:rsidRDefault="0097340E" w:rsidP="00A57018">
      <w:pPr>
        <w:widowControl/>
        <w:spacing w:line="360" w:lineRule="auto"/>
        <w:rPr>
          <w:sz w:val="26"/>
          <w:szCs w:val="26"/>
        </w:rPr>
      </w:pPr>
    </w:p>
    <w:p w14:paraId="326DBAA1" w14:textId="60EB334B" w:rsidR="0097340E" w:rsidRPr="00A57018" w:rsidRDefault="00525E2B" w:rsidP="00A57018">
      <w:pPr>
        <w:widowControl/>
        <w:spacing w:line="360" w:lineRule="auto"/>
        <w:ind w:firstLine="1440"/>
        <w:rPr>
          <w:sz w:val="26"/>
          <w:szCs w:val="26"/>
        </w:rPr>
      </w:pPr>
      <w:r w:rsidRPr="00A57018">
        <w:rPr>
          <w:sz w:val="26"/>
          <w:szCs w:val="26"/>
        </w:rPr>
        <w:t>In 1978, the United States Congress passed the Pole Attachment Act</w:t>
      </w:r>
      <w:r w:rsidR="00CC29BB" w:rsidRPr="00A57018">
        <w:rPr>
          <w:sz w:val="26"/>
          <w:szCs w:val="26"/>
        </w:rPr>
        <w:t xml:space="preserve"> (PAA)</w:t>
      </w:r>
      <w:r w:rsidRPr="00A57018">
        <w:rPr>
          <w:sz w:val="26"/>
          <w:szCs w:val="26"/>
        </w:rPr>
        <w:t>, which added Section 224 to the Communications Act of 1934.  Under Section</w:t>
      </w:r>
      <w:r w:rsidR="00213652">
        <w:rPr>
          <w:sz w:val="26"/>
          <w:szCs w:val="26"/>
        </w:rPr>
        <w:t> </w:t>
      </w:r>
      <w:r w:rsidRPr="00A57018">
        <w:rPr>
          <w:sz w:val="26"/>
          <w:szCs w:val="26"/>
        </w:rPr>
        <w:t xml:space="preserve">224, the FCC was provided the authority to regulate the rates, terms and conditions of pole attachment agreements involving cable television providers.  However, neither the </w:t>
      </w:r>
      <w:r w:rsidR="006451DD" w:rsidRPr="00A57018">
        <w:rPr>
          <w:sz w:val="26"/>
          <w:szCs w:val="26"/>
        </w:rPr>
        <w:t>PAA</w:t>
      </w:r>
      <w:r w:rsidRPr="00A57018">
        <w:rPr>
          <w:sz w:val="26"/>
          <w:szCs w:val="26"/>
        </w:rPr>
        <w:t xml:space="preserve"> nor the formula rate established thereunder (</w:t>
      </w:r>
      <w:r w:rsidRPr="00A57018">
        <w:rPr>
          <w:i/>
          <w:iCs/>
          <w:sz w:val="26"/>
          <w:szCs w:val="26"/>
        </w:rPr>
        <w:t>i.e.</w:t>
      </w:r>
      <w:r w:rsidRPr="00A57018">
        <w:rPr>
          <w:sz w:val="26"/>
          <w:szCs w:val="26"/>
        </w:rPr>
        <w:t xml:space="preserve">, the “cable rate formula”) was applicable to the rates charged under </w:t>
      </w:r>
      <w:r w:rsidR="00027780" w:rsidRPr="00A57018">
        <w:rPr>
          <w:sz w:val="26"/>
          <w:szCs w:val="26"/>
        </w:rPr>
        <w:t xml:space="preserve">the </w:t>
      </w:r>
      <w:r w:rsidR="00566690" w:rsidRPr="00A57018">
        <w:rPr>
          <w:sz w:val="26"/>
          <w:szCs w:val="26"/>
        </w:rPr>
        <w:t>JUAs</w:t>
      </w:r>
      <w:r w:rsidRPr="00A57018">
        <w:rPr>
          <w:sz w:val="26"/>
          <w:szCs w:val="26"/>
        </w:rPr>
        <w:t xml:space="preserve"> between ILECs and electric utilities.</w:t>
      </w:r>
    </w:p>
    <w:p w14:paraId="159AF78D" w14:textId="7517A799" w:rsidR="00525E2B" w:rsidRPr="00A57018" w:rsidRDefault="00525E2B" w:rsidP="00A57018">
      <w:pPr>
        <w:widowControl/>
        <w:spacing w:line="360" w:lineRule="auto"/>
        <w:ind w:firstLine="1440"/>
        <w:rPr>
          <w:sz w:val="26"/>
          <w:szCs w:val="26"/>
        </w:rPr>
      </w:pPr>
    </w:p>
    <w:p w14:paraId="7E565E84" w14:textId="6A1220A3" w:rsidR="00FD4E30" w:rsidRPr="00A57018" w:rsidRDefault="00525E2B" w:rsidP="00FD4E30">
      <w:pPr>
        <w:widowControl/>
        <w:spacing w:line="360" w:lineRule="auto"/>
        <w:ind w:firstLine="1440"/>
        <w:rPr>
          <w:sz w:val="26"/>
          <w:szCs w:val="26"/>
        </w:rPr>
      </w:pPr>
      <w:r w:rsidRPr="00A57018">
        <w:rPr>
          <w:sz w:val="26"/>
          <w:szCs w:val="26"/>
        </w:rPr>
        <w:t>Congress thereafter passed the Telecommunications Act of 1996</w:t>
      </w:r>
      <w:r w:rsidR="006451DD" w:rsidRPr="00A57018">
        <w:rPr>
          <w:sz w:val="26"/>
          <w:szCs w:val="26"/>
        </w:rPr>
        <w:t xml:space="preserve"> (TA96)</w:t>
      </w:r>
      <w:r w:rsidR="00CC29BB" w:rsidRPr="00A57018">
        <w:rPr>
          <w:rStyle w:val="FootnoteReference"/>
          <w:sz w:val="26"/>
          <w:szCs w:val="26"/>
        </w:rPr>
        <w:footnoteReference w:id="5"/>
      </w:r>
      <w:r w:rsidRPr="00A57018">
        <w:rPr>
          <w:sz w:val="26"/>
          <w:szCs w:val="26"/>
        </w:rPr>
        <w:t xml:space="preserve"> and granted providers of telecommunications services (other than </w:t>
      </w:r>
      <w:r w:rsidR="0098188E" w:rsidRPr="00A57018">
        <w:rPr>
          <w:sz w:val="26"/>
          <w:szCs w:val="26"/>
        </w:rPr>
        <w:t xml:space="preserve">the </w:t>
      </w:r>
      <w:r w:rsidRPr="00A57018">
        <w:rPr>
          <w:sz w:val="26"/>
          <w:szCs w:val="26"/>
        </w:rPr>
        <w:t xml:space="preserve">ILECs) with non-discriminatory access to poles, conduit and rights-of-way owned or controlled by electric utilities and </w:t>
      </w:r>
      <w:r w:rsidR="0098188E" w:rsidRPr="00A57018">
        <w:rPr>
          <w:sz w:val="26"/>
          <w:szCs w:val="26"/>
        </w:rPr>
        <w:t xml:space="preserve">the </w:t>
      </w:r>
      <w:r w:rsidRPr="00A57018">
        <w:rPr>
          <w:sz w:val="26"/>
          <w:szCs w:val="26"/>
        </w:rPr>
        <w:t>ILECs.</w:t>
      </w:r>
      <w:r w:rsidR="00A56672" w:rsidRPr="00A57018">
        <w:rPr>
          <w:sz w:val="26"/>
          <w:szCs w:val="26"/>
        </w:rPr>
        <w:t xml:space="preserve">  </w:t>
      </w:r>
      <w:r w:rsidRPr="00A57018">
        <w:rPr>
          <w:sz w:val="26"/>
          <w:szCs w:val="26"/>
        </w:rPr>
        <w:t>FirstEnergy St.</w:t>
      </w:r>
      <w:r w:rsidR="00A56672" w:rsidRPr="00A57018">
        <w:rPr>
          <w:sz w:val="26"/>
          <w:szCs w:val="26"/>
        </w:rPr>
        <w:t xml:space="preserve"> No.</w:t>
      </w:r>
      <w:r w:rsidRPr="00A57018">
        <w:rPr>
          <w:sz w:val="26"/>
          <w:szCs w:val="26"/>
        </w:rPr>
        <w:t xml:space="preserve"> 2-R</w:t>
      </w:r>
      <w:r w:rsidR="00A56672" w:rsidRPr="00A57018">
        <w:rPr>
          <w:sz w:val="26"/>
          <w:szCs w:val="26"/>
        </w:rPr>
        <w:t xml:space="preserve"> at 5</w:t>
      </w:r>
      <w:r w:rsidRPr="00A57018">
        <w:rPr>
          <w:sz w:val="26"/>
          <w:szCs w:val="26"/>
        </w:rPr>
        <w:t>.</w:t>
      </w:r>
      <w:r w:rsidR="00A56672" w:rsidRPr="00A57018">
        <w:rPr>
          <w:sz w:val="26"/>
          <w:szCs w:val="26"/>
        </w:rPr>
        <w:t xml:space="preserve">  </w:t>
      </w:r>
      <w:r w:rsidRPr="00A57018">
        <w:rPr>
          <w:sz w:val="26"/>
          <w:szCs w:val="26"/>
        </w:rPr>
        <w:t>Such providers were known as CLECs.</w:t>
      </w:r>
      <w:r w:rsidR="00A56672" w:rsidRPr="00A57018">
        <w:rPr>
          <w:sz w:val="26"/>
          <w:szCs w:val="26"/>
        </w:rPr>
        <w:t xml:space="preserve"> </w:t>
      </w:r>
      <w:r w:rsidRPr="00A57018">
        <w:rPr>
          <w:sz w:val="26"/>
          <w:szCs w:val="26"/>
        </w:rPr>
        <w:t xml:space="preserve"> However, neither </w:t>
      </w:r>
      <w:r w:rsidR="006451DD" w:rsidRPr="00A57018">
        <w:rPr>
          <w:sz w:val="26"/>
          <w:szCs w:val="26"/>
        </w:rPr>
        <w:t>TA</w:t>
      </w:r>
      <w:r w:rsidRPr="00A57018">
        <w:rPr>
          <w:sz w:val="26"/>
          <w:szCs w:val="26"/>
        </w:rPr>
        <w:t>96</w:t>
      </w:r>
      <w:r w:rsidR="00A56672" w:rsidRPr="00A57018">
        <w:rPr>
          <w:sz w:val="26"/>
          <w:szCs w:val="26"/>
        </w:rPr>
        <w:t xml:space="preserve"> </w:t>
      </w:r>
      <w:r w:rsidRPr="00A57018">
        <w:rPr>
          <w:sz w:val="26"/>
          <w:szCs w:val="26"/>
        </w:rPr>
        <w:t>nor the CLEC formula rate (</w:t>
      </w:r>
      <w:r w:rsidRPr="00A57018">
        <w:rPr>
          <w:i/>
          <w:iCs/>
          <w:sz w:val="26"/>
          <w:szCs w:val="26"/>
        </w:rPr>
        <w:t>i.e.</w:t>
      </w:r>
      <w:r w:rsidRPr="00A57018">
        <w:rPr>
          <w:sz w:val="26"/>
          <w:szCs w:val="26"/>
        </w:rPr>
        <w:t>, the “old telecom rate”) established thereunder was applicable to</w:t>
      </w:r>
      <w:r w:rsidR="00A56672" w:rsidRPr="00A57018">
        <w:rPr>
          <w:sz w:val="26"/>
          <w:szCs w:val="26"/>
        </w:rPr>
        <w:t xml:space="preserve"> </w:t>
      </w:r>
      <w:r w:rsidR="0098188E" w:rsidRPr="00A57018">
        <w:rPr>
          <w:sz w:val="26"/>
          <w:szCs w:val="26"/>
        </w:rPr>
        <w:t xml:space="preserve">the </w:t>
      </w:r>
      <w:r w:rsidR="00566690" w:rsidRPr="00A57018">
        <w:rPr>
          <w:sz w:val="26"/>
          <w:szCs w:val="26"/>
        </w:rPr>
        <w:t>JUAs</w:t>
      </w:r>
      <w:r w:rsidRPr="00A57018">
        <w:rPr>
          <w:sz w:val="26"/>
          <w:szCs w:val="26"/>
        </w:rPr>
        <w:t xml:space="preserve"> between </w:t>
      </w:r>
      <w:r w:rsidR="0098188E" w:rsidRPr="00A57018">
        <w:rPr>
          <w:sz w:val="26"/>
          <w:szCs w:val="26"/>
        </w:rPr>
        <w:t>the</w:t>
      </w:r>
      <w:r w:rsidRPr="00A57018">
        <w:rPr>
          <w:sz w:val="26"/>
          <w:szCs w:val="26"/>
        </w:rPr>
        <w:t xml:space="preserve"> ILECs and electric utilities. </w:t>
      </w:r>
      <w:r w:rsidR="00FD4E30">
        <w:rPr>
          <w:sz w:val="26"/>
          <w:szCs w:val="26"/>
        </w:rPr>
        <w:t xml:space="preserve"> </w:t>
      </w:r>
      <w:r w:rsidR="00FD4E30" w:rsidRPr="00D20711">
        <w:rPr>
          <w:sz w:val="26"/>
          <w:szCs w:val="26"/>
        </w:rPr>
        <w:t xml:space="preserve">From 1996 through this year, the Commission deferred to the </w:t>
      </w:r>
      <w:r w:rsidR="00F4152C" w:rsidRPr="00A57018">
        <w:rPr>
          <w:sz w:val="26"/>
          <w:szCs w:val="26"/>
        </w:rPr>
        <w:t xml:space="preserve">Federal </w:t>
      </w:r>
      <w:r w:rsidR="00F4152C" w:rsidRPr="00A57018">
        <w:rPr>
          <w:sz w:val="26"/>
          <w:szCs w:val="26"/>
        </w:rPr>
        <w:lastRenderedPageBreak/>
        <w:t xml:space="preserve">Communications Commission (FCC) </w:t>
      </w:r>
      <w:r w:rsidR="00FD4E30" w:rsidRPr="00D20711">
        <w:rPr>
          <w:sz w:val="26"/>
          <w:szCs w:val="26"/>
        </w:rPr>
        <w:t>for the regulation and rates governing pole attachments following TA-96.</w:t>
      </w:r>
    </w:p>
    <w:p w14:paraId="3978C903" w14:textId="69C4535A" w:rsidR="00A56672" w:rsidRPr="00A57018" w:rsidRDefault="00A56672" w:rsidP="00A57018">
      <w:pPr>
        <w:widowControl/>
        <w:spacing w:line="360" w:lineRule="auto"/>
        <w:ind w:firstLine="1440"/>
        <w:rPr>
          <w:sz w:val="26"/>
          <w:szCs w:val="26"/>
        </w:rPr>
      </w:pPr>
    </w:p>
    <w:p w14:paraId="21B11824" w14:textId="0EB8FF51" w:rsidR="00082034" w:rsidRPr="00A57018" w:rsidRDefault="00A56672" w:rsidP="00A57018">
      <w:pPr>
        <w:widowControl/>
        <w:spacing w:line="360" w:lineRule="auto"/>
        <w:ind w:firstLine="1440"/>
        <w:rPr>
          <w:sz w:val="26"/>
          <w:szCs w:val="26"/>
        </w:rPr>
      </w:pPr>
      <w:r w:rsidRPr="00A57018">
        <w:rPr>
          <w:sz w:val="26"/>
          <w:szCs w:val="26"/>
        </w:rPr>
        <w:t xml:space="preserve">In 2011, the FCC issued the </w:t>
      </w:r>
      <w:r w:rsidRPr="00A57018">
        <w:rPr>
          <w:i/>
          <w:iCs/>
          <w:sz w:val="26"/>
          <w:szCs w:val="26"/>
        </w:rPr>
        <w:t>2011</w:t>
      </w:r>
      <w:r w:rsidR="00213652">
        <w:rPr>
          <w:i/>
          <w:iCs/>
          <w:sz w:val="26"/>
          <w:szCs w:val="26"/>
        </w:rPr>
        <w:t> </w:t>
      </w:r>
      <w:r w:rsidRPr="00A57018">
        <w:rPr>
          <w:i/>
          <w:iCs/>
          <w:sz w:val="26"/>
          <w:szCs w:val="26"/>
        </w:rPr>
        <w:t>Pole Attachment Order</w:t>
      </w:r>
      <w:r w:rsidRPr="00A57018">
        <w:rPr>
          <w:sz w:val="26"/>
          <w:szCs w:val="26"/>
        </w:rPr>
        <w:t>,</w:t>
      </w:r>
      <w:r w:rsidR="002619DB" w:rsidRPr="002619DB">
        <w:rPr>
          <w:rStyle w:val="FootnoteReference"/>
          <w:sz w:val="26"/>
          <w:szCs w:val="26"/>
        </w:rPr>
        <w:t xml:space="preserve"> </w:t>
      </w:r>
      <w:r w:rsidR="002619DB" w:rsidRPr="00213652">
        <w:rPr>
          <w:rStyle w:val="FootnoteReference"/>
          <w:sz w:val="26"/>
          <w:szCs w:val="26"/>
        </w:rPr>
        <w:footnoteReference w:id="6"/>
      </w:r>
      <w:r w:rsidR="002619DB">
        <w:rPr>
          <w:rStyle w:val="FootnoteReference"/>
          <w:sz w:val="26"/>
          <w:szCs w:val="26"/>
        </w:rPr>
        <w:t xml:space="preserve"> </w:t>
      </w:r>
      <w:r w:rsidRPr="00A57018">
        <w:rPr>
          <w:sz w:val="26"/>
          <w:szCs w:val="26"/>
        </w:rPr>
        <w:t>which: (1) created the “new telecom rate” by reducing the apportionment of common pole costs included in the “old telecom rate” formula, such that it was based on incremental costs rather than fully allocated costs; and (2)</w:t>
      </w:r>
      <w:r w:rsidR="00213652">
        <w:rPr>
          <w:sz w:val="26"/>
          <w:szCs w:val="26"/>
        </w:rPr>
        <w:t> </w:t>
      </w:r>
      <w:r w:rsidRPr="00A57018">
        <w:rPr>
          <w:sz w:val="26"/>
          <w:szCs w:val="26"/>
        </w:rPr>
        <w:t xml:space="preserve">reinterpreted Section 224 and concluded that the ILECs “are entitled to rates, terms and conditions that are ‘just and reasonable’ in accordance with section 224(b)(1).”  FirstEnergy St. No. 2-R at 9-10 (citing </w:t>
      </w:r>
      <w:r w:rsidRPr="00A57018">
        <w:rPr>
          <w:i/>
          <w:iCs/>
          <w:sz w:val="26"/>
          <w:szCs w:val="26"/>
        </w:rPr>
        <w:t xml:space="preserve">2011 Pole Attachment Order </w:t>
      </w:r>
      <w:r w:rsidRPr="00A57018">
        <w:rPr>
          <w:sz w:val="26"/>
          <w:szCs w:val="26"/>
        </w:rPr>
        <w:t xml:space="preserve">at </w:t>
      </w:r>
      <w:r w:rsidRPr="00A57018">
        <w:rPr>
          <w:i/>
          <w:iCs/>
          <w:sz w:val="26"/>
          <w:szCs w:val="26"/>
        </w:rPr>
        <w:t xml:space="preserve">¶¶ </w:t>
      </w:r>
      <w:r w:rsidRPr="00A57018">
        <w:rPr>
          <w:sz w:val="26"/>
          <w:szCs w:val="26"/>
        </w:rPr>
        <w:t>149, 202, 207, and 216).  Importantly, the FCC undertook these actions as a policy matter to reduce pole attachment rates for CLECs (i.e., non</w:t>
      </w:r>
      <w:r w:rsidR="0096215E">
        <w:rPr>
          <w:sz w:val="26"/>
          <w:szCs w:val="26"/>
        </w:rPr>
        <w:t>-</w:t>
      </w:r>
      <w:r w:rsidRPr="00A57018">
        <w:rPr>
          <w:sz w:val="26"/>
          <w:szCs w:val="26"/>
        </w:rPr>
        <w:t xml:space="preserve">pole-owning entities) in order to spur greater broadband deployment.  </w:t>
      </w:r>
      <w:r w:rsidRPr="00A57018">
        <w:rPr>
          <w:i/>
          <w:iCs/>
          <w:sz w:val="26"/>
          <w:szCs w:val="26"/>
        </w:rPr>
        <w:t>See 2011 Pole Attachment</w:t>
      </w:r>
      <w:r w:rsidRPr="00A57018">
        <w:rPr>
          <w:sz w:val="26"/>
          <w:szCs w:val="26"/>
        </w:rPr>
        <w:t xml:space="preserve"> </w:t>
      </w:r>
      <w:r w:rsidRPr="00A57018">
        <w:rPr>
          <w:i/>
          <w:iCs/>
          <w:sz w:val="26"/>
          <w:szCs w:val="26"/>
        </w:rPr>
        <w:t xml:space="preserve">Order </w:t>
      </w:r>
      <w:r w:rsidRPr="00A57018">
        <w:rPr>
          <w:sz w:val="26"/>
          <w:szCs w:val="26"/>
        </w:rPr>
        <w:t xml:space="preserve">at </w:t>
      </w:r>
      <w:r w:rsidRPr="00A57018">
        <w:rPr>
          <w:i/>
          <w:iCs/>
          <w:sz w:val="26"/>
          <w:szCs w:val="26"/>
        </w:rPr>
        <w:t xml:space="preserve">¶¶ </w:t>
      </w:r>
      <w:r w:rsidRPr="00A57018">
        <w:rPr>
          <w:sz w:val="26"/>
          <w:szCs w:val="26"/>
        </w:rPr>
        <w:t xml:space="preserve">133-134.  </w:t>
      </w:r>
    </w:p>
    <w:p w14:paraId="60C76A89" w14:textId="77777777" w:rsidR="007E700E" w:rsidRPr="00A57018" w:rsidRDefault="007E700E" w:rsidP="00A57018">
      <w:pPr>
        <w:widowControl/>
        <w:spacing w:line="360" w:lineRule="auto"/>
        <w:ind w:firstLine="1440"/>
        <w:rPr>
          <w:sz w:val="26"/>
          <w:szCs w:val="26"/>
        </w:rPr>
      </w:pPr>
    </w:p>
    <w:p w14:paraId="61795F0D" w14:textId="53A8DD0C" w:rsidR="00082034" w:rsidRPr="00A57018" w:rsidRDefault="00F53B35" w:rsidP="00A57018">
      <w:pPr>
        <w:widowControl/>
        <w:spacing w:line="360" w:lineRule="auto"/>
        <w:ind w:firstLine="1440"/>
        <w:rPr>
          <w:sz w:val="26"/>
          <w:szCs w:val="26"/>
        </w:rPr>
      </w:pPr>
      <w:r w:rsidRPr="00A57018">
        <w:rPr>
          <w:sz w:val="26"/>
          <w:szCs w:val="26"/>
        </w:rPr>
        <w:t xml:space="preserve">In 2018, the FCC issued further guidance regarding its review of </w:t>
      </w:r>
      <w:r w:rsidR="00737D7C" w:rsidRPr="00A57018">
        <w:rPr>
          <w:sz w:val="26"/>
          <w:szCs w:val="26"/>
        </w:rPr>
        <w:t xml:space="preserve">the </w:t>
      </w:r>
      <w:r w:rsidR="00566690" w:rsidRPr="00A57018">
        <w:rPr>
          <w:sz w:val="26"/>
          <w:szCs w:val="26"/>
        </w:rPr>
        <w:t>JUAs</w:t>
      </w:r>
      <w:r w:rsidRPr="00A57018">
        <w:rPr>
          <w:sz w:val="26"/>
          <w:szCs w:val="26"/>
        </w:rPr>
        <w:t xml:space="preserve"> between </w:t>
      </w:r>
      <w:r w:rsidR="00737D7C" w:rsidRPr="00A57018">
        <w:rPr>
          <w:sz w:val="26"/>
          <w:szCs w:val="26"/>
        </w:rPr>
        <w:t xml:space="preserve">the </w:t>
      </w:r>
      <w:r w:rsidRPr="00A57018">
        <w:rPr>
          <w:sz w:val="26"/>
          <w:szCs w:val="26"/>
        </w:rPr>
        <w:t>ILECs and electric utilities.</w:t>
      </w:r>
      <w:r w:rsidR="00500191" w:rsidRPr="00A57018">
        <w:rPr>
          <w:sz w:val="26"/>
          <w:szCs w:val="26"/>
        </w:rPr>
        <w:t xml:space="preserve">  </w:t>
      </w:r>
      <w:r w:rsidR="00CB0BF1" w:rsidRPr="00A57018">
        <w:rPr>
          <w:i/>
          <w:iCs/>
          <w:sz w:val="26"/>
          <w:szCs w:val="26"/>
        </w:rPr>
        <w:t>In the Matter of A</w:t>
      </w:r>
      <w:r w:rsidR="00500191" w:rsidRPr="00A57018">
        <w:rPr>
          <w:i/>
          <w:iCs/>
          <w:sz w:val="26"/>
          <w:szCs w:val="26"/>
        </w:rPr>
        <w:t>ccelerating Wireline Broadband Deployment</w:t>
      </w:r>
      <w:r w:rsidR="00500191" w:rsidRPr="00A57018">
        <w:rPr>
          <w:sz w:val="26"/>
          <w:szCs w:val="26"/>
        </w:rPr>
        <w:t>, 33 FCC Rcd 7705 (Third Report and Order and Declaratory Ruling dated August 3, 2018) (</w:t>
      </w:r>
      <w:bookmarkStart w:id="8" w:name="_Hlk55127580"/>
      <w:r w:rsidR="00500191" w:rsidRPr="00A57018">
        <w:rPr>
          <w:i/>
          <w:iCs/>
          <w:sz w:val="26"/>
          <w:szCs w:val="26"/>
        </w:rPr>
        <w:t>2018 Pole Attachment Order</w:t>
      </w:r>
      <w:bookmarkEnd w:id="8"/>
      <w:r w:rsidR="00CF753A" w:rsidRPr="00A57018">
        <w:rPr>
          <w:sz w:val="26"/>
          <w:szCs w:val="26"/>
        </w:rPr>
        <w:t>).</w:t>
      </w:r>
      <w:r w:rsidRPr="00A57018">
        <w:rPr>
          <w:sz w:val="26"/>
          <w:szCs w:val="26"/>
        </w:rPr>
        <w:t xml:space="preserve">  Therein, it distinguished between “new,” “newly-renewed” and “newly-negotiated” agreements and existing agreements and established certain rebuttal presumptions regarding the rates, </w:t>
      </w:r>
      <w:proofErr w:type="gramStart"/>
      <w:r w:rsidRPr="00A57018">
        <w:rPr>
          <w:sz w:val="26"/>
          <w:szCs w:val="26"/>
        </w:rPr>
        <w:t>terms</w:t>
      </w:r>
      <w:proofErr w:type="gramEnd"/>
      <w:r w:rsidRPr="00A57018">
        <w:rPr>
          <w:sz w:val="26"/>
          <w:szCs w:val="26"/>
        </w:rPr>
        <w:t xml:space="preserve"> and conditions for the former.</w:t>
      </w:r>
      <w:r w:rsidR="00FD4E30">
        <w:rPr>
          <w:sz w:val="26"/>
          <w:szCs w:val="26"/>
        </w:rPr>
        <w:t xml:space="preserve">  </w:t>
      </w:r>
      <w:r w:rsidR="00FD4E30" w:rsidRPr="00D20711">
        <w:rPr>
          <w:sz w:val="26"/>
          <w:szCs w:val="26"/>
        </w:rPr>
        <w:t>As previously stated, the governance of pole attachments was controlled by the FCC, given the Commission’s deference to the FCC on pole attachments in 1996.</w:t>
      </w:r>
      <w:r w:rsidR="00FD4E30">
        <w:rPr>
          <w:sz w:val="26"/>
          <w:szCs w:val="26"/>
        </w:rPr>
        <w:t xml:space="preserve">  </w:t>
      </w:r>
    </w:p>
    <w:p w14:paraId="3AE62ACF" w14:textId="771DF886" w:rsidR="00082034" w:rsidRPr="00A57018" w:rsidRDefault="00082034" w:rsidP="00A57018">
      <w:pPr>
        <w:widowControl/>
        <w:spacing w:line="360" w:lineRule="auto"/>
        <w:rPr>
          <w:sz w:val="26"/>
          <w:szCs w:val="26"/>
        </w:rPr>
      </w:pPr>
    </w:p>
    <w:p w14:paraId="53D4326D" w14:textId="79DB5B91" w:rsidR="00B417A4" w:rsidRPr="00A57018" w:rsidRDefault="006451DD" w:rsidP="00A57018">
      <w:pPr>
        <w:widowControl/>
        <w:spacing w:line="360" w:lineRule="auto"/>
        <w:ind w:firstLine="1440"/>
        <w:rPr>
          <w:sz w:val="26"/>
          <w:szCs w:val="26"/>
        </w:rPr>
      </w:pPr>
      <w:r w:rsidRPr="00A57018">
        <w:rPr>
          <w:sz w:val="26"/>
          <w:szCs w:val="26"/>
        </w:rPr>
        <w:t>On</w:t>
      </w:r>
      <w:r w:rsidR="00B417A4" w:rsidRPr="00A57018">
        <w:rPr>
          <w:sz w:val="26"/>
          <w:szCs w:val="26"/>
        </w:rPr>
        <w:t xml:space="preserve"> July 13, 2018, the Commission issued a Notice of Proposed Rulemaking to begin the assertion of Commission jurisdiction over pole attachments </w:t>
      </w:r>
      <w:r w:rsidR="00B417A4" w:rsidRPr="00A57018">
        <w:rPr>
          <w:sz w:val="26"/>
          <w:szCs w:val="26"/>
        </w:rPr>
        <w:lastRenderedPageBreak/>
        <w:t>pursuant to TA96.</w:t>
      </w:r>
      <w:r w:rsidR="00CC29BB" w:rsidRPr="00A57018">
        <w:rPr>
          <w:sz w:val="26"/>
          <w:szCs w:val="26"/>
        </w:rPr>
        <w:t xml:space="preserve">  </w:t>
      </w:r>
      <w:r w:rsidRPr="00A57018">
        <w:rPr>
          <w:i/>
          <w:iCs/>
          <w:sz w:val="26"/>
          <w:szCs w:val="26"/>
        </w:rPr>
        <w:t>Assumption of Commission Jurisdiction Over Pole Attachments from the Federal Communications Commission</w:t>
      </w:r>
      <w:r w:rsidRPr="00A57018">
        <w:rPr>
          <w:sz w:val="26"/>
          <w:szCs w:val="26"/>
        </w:rPr>
        <w:t xml:space="preserve"> -- </w:t>
      </w:r>
      <w:r w:rsidRPr="00A57018">
        <w:rPr>
          <w:i/>
          <w:iCs/>
          <w:sz w:val="26"/>
          <w:szCs w:val="26"/>
        </w:rPr>
        <w:t>Notice of Proposed Rulemaking</w:t>
      </w:r>
      <w:r w:rsidRPr="00A57018">
        <w:rPr>
          <w:sz w:val="26"/>
          <w:szCs w:val="26"/>
        </w:rPr>
        <w:t>, Docket No. L-2018-3002672 (Order entered July 13, 2018) (</w:t>
      </w:r>
      <w:r w:rsidRPr="00A57018">
        <w:rPr>
          <w:i/>
          <w:iCs/>
          <w:sz w:val="26"/>
          <w:szCs w:val="26"/>
        </w:rPr>
        <w:t>NPRM Order</w:t>
      </w:r>
      <w:r w:rsidRPr="00A57018">
        <w:rPr>
          <w:sz w:val="26"/>
          <w:szCs w:val="26"/>
        </w:rPr>
        <w:t>).</w:t>
      </w:r>
      <w:r w:rsidR="00CC4475" w:rsidRPr="00A57018">
        <w:rPr>
          <w:sz w:val="26"/>
          <w:szCs w:val="26"/>
        </w:rPr>
        <w:t xml:space="preserve">  </w:t>
      </w:r>
      <w:r w:rsidR="00B417A4" w:rsidRPr="00A57018">
        <w:rPr>
          <w:sz w:val="26"/>
          <w:szCs w:val="26"/>
        </w:rPr>
        <w:t>TA96 provides that the</w:t>
      </w:r>
      <w:r w:rsidR="00CC29BB" w:rsidRPr="00A57018">
        <w:rPr>
          <w:sz w:val="26"/>
          <w:szCs w:val="26"/>
        </w:rPr>
        <w:t xml:space="preserve"> </w:t>
      </w:r>
      <w:r w:rsidR="00B417A4" w:rsidRPr="00A57018">
        <w:rPr>
          <w:sz w:val="26"/>
          <w:szCs w:val="26"/>
        </w:rPr>
        <w:t xml:space="preserve">FCC regulates pole attachments by default but contains procedures by which states may reverse preempt FCC jurisdiction over pole attachments.  As the Commission stated in the opening of </w:t>
      </w:r>
      <w:r w:rsidRPr="00A57018">
        <w:rPr>
          <w:sz w:val="26"/>
          <w:szCs w:val="26"/>
        </w:rPr>
        <w:t xml:space="preserve">the </w:t>
      </w:r>
      <w:r w:rsidR="00B417A4" w:rsidRPr="00A57018">
        <w:rPr>
          <w:i/>
          <w:iCs/>
          <w:sz w:val="26"/>
          <w:szCs w:val="26"/>
        </w:rPr>
        <w:t>NPRM</w:t>
      </w:r>
      <w:r w:rsidRPr="00A57018">
        <w:rPr>
          <w:i/>
          <w:iCs/>
          <w:sz w:val="26"/>
          <w:szCs w:val="26"/>
        </w:rPr>
        <w:t xml:space="preserve"> Order</w:t>
      </w:r>
      <w:r w:rsidR="00B417A4" w:rsidRPr="00A57018">
        <w:rPr>
          <w:sz w:val="26"/>
          <w:szCs w:val="26"/>
        </w:rPr>
        <w:t>, recent public demand for ubiquitous access to wireline and wireless data technology has increased the need for more streamlined pole attachment procedures in Pennsylvania</w:t>
      </w:r>
      <w:r w:rsidR="00CC29BB" w:rsidRPr="00A57018">
        <w:rPr>
          <w:sz w:val="26"/>
          <w:szCs w:val="26"/>
        </w:rPr>
        <w:t>.</w:t>
      </w:r>
    </w:p>
    <w:p w14:paraId="138A201A" w14:textId="77777777" w:rsidR="00B417A4" w:rsidRPr="00A57018" w:rsidRDefault="00B417A4" w:rsidP="00A57018">
      <w:pPr>
        <w:widowControl/>
        <w:spacing w:line="360" w:lineRule="auto"/>
        <w:rPr>
          <w:sz w:val="26"/>
          <w:szCs w:val="26"/>
        </w:rPr>
      </w:pPr>
    </w:p>
    <w:p w14:paraId="1E60914C" w14:textId="11107D46" w:rsidR="00082034" w:rsidRPr="00A57018" w:rsidRDefault="00F53B35" w:rsidP="00A57018">
      <w:pPr>
        <w:widowControl/>
        <w:spacing w:line="360" w:lineRule="auto"/>
        <w:ind w:firstLine="1440"/>
        <w:rPr>
          <w:i/>
          <w:iCs/>
          <w:sz w:val="26"/>
          <w:szCs w:val="26"/>
        </w:rPr>
      </w:pPr>
      <w:r w:rsidRPr="00A57018">
        <w:rPr>
          <w:sz w:val="26"/>
          <w:szCs w:val="26"/>
        </w:rPr>
        <w:t xml:space="preserve">On September 3, 2019, the Commission entered its Final Rulemaking Order in </w:t>
      </w:r>
      <w:r w:rsidRPr="00A57018">
        <w:rPr>
          <w:i/>
          <w:iCs/>
          <w:sz w:val="26"/>
          <w:szCs w:val="26"/>
        </w:rPr>
        <w:t>Assumption of Commission Jurisdiction Over Pole Attachments from the Federal Communications Commission</w:t>
      </w:r>
      <w:r w:rsidRPr="00A57018">
        <w:rPr>
          <w:sz w:val="26"/>
          <w:szCs w:val="26"/>
        </w:rPr>
        <w:t>, Docket No. L-2018-3002672 (Order entered September</w:t>
      </w:r>
      <w:r w:rsidR="00213652">
        <w:rPr>
          <w:sz w:val="26"/>
          <w:szCs w:val="26"/>
        </w:rPr>
        <w:t> </w:t>
      </w:r>
      <w:r w:rsidRPr="00A57018">
        <w:rPr>
          <w:sz w:val="26"/>
          <w:szCs w:val="26"/>
        </w:rPr>
        <w:t>3,</w:t>
      </w:r>
      <w:r w:rsidR="00213652">
        <w:rPr>
          <w:sz w:val="26"/>
          <w:szCs w:val="26"/>
        </w:rPr>
        <w:t> </w:t>
      </w:r>
      <w:r w:rsidRPr="00A57018">
        <w:rPr>
          <w:sz w:val="26"/>
          <w:szCs w:val="26"/>
        </w:rPr>
        <w:t>2019) (</w:t>
      </w:r>
      <w:r w:rsidRPr="00A57018">
        <w:rPr>
          <w:i/>
          <w:iCs/>
          <w:sz w:val="26"/>
          <w:szCs w:val="26"/>
        </w:rPr>
        <w:t>2019 Final Rulemaking Order</w:t>
      </w:r>
      <w:r w:rsidRPr="00A57018">
        <w:rPr>
          <w:sz w:val="26"/>
          <w:szCs w:val="26"/>
        </w:rPr>
        <w:t>).  Therein the Commission reverse preempted the FCC’s regulation of pole attachments</w:t>
      </w:r>
      <w:r w:rsidRPr="00A57018">
        <w:rPr>
          <w:i/>
          <w:iCs/>
          <w:sz w:val="26"/>
          <w:szCs w:val="26"/>
        </w:rPr>
        <w:t xml:space="preserve"> </w:t>
      </w:r>
      <w:r w:rsidRPr="00A57018">
        <w:rPr>
          <w:sz w:val="26"/>
          <w:szCs w:val="26"/>
        </w:rPr>
        <w:t xml:space="preserve">(including </w:t>
      </w:r>
      <w:r w:rsidR="004837B9" w:rsidRPr="00A57018">
        <w:rPr>
          <w:sz w:val="26"/>
          <w:szCs w:val="26"/>
        </w:rPr>
        <w:t xml:space="preserve">the </w:t>
      </w:r>
      <w:r w:rsidR="00566690" w:rsidRPr="00A57018">
        <w:rPr>
          <w:sz w:val="26"/>
          <w:szCs w:val="26"/>
        </w:rPr>
        <w:t>JUAs</w:t>
      </w:r>
      <w:r w:rsidRPr="00A57018">
        <w:rPr>
          <w:sz w:val="26"/>
          <w:szCs w:val="26"/>
        </w:rPr>
        <w:t xml:space="preserve"> between </w:t>
      </w:r>
      <w:r w:rsidR="004837B9" w:rsidRPr="00A57018">
        <w:rPr>
          <w:sz w:val="26"/>
          <w:szCs w:val="26"/>
        </w:rPr>
        <w:t>the</w:t>
      </w:r>
      <w:r w:rsidRPr="00A57018">
        <w:rPr>
          <w:sz w:val="26"/>
          <w:szCs w:val="26"/>
        </w:rPr>
        <w:t xml:space="preserve"> ILECs and electric utilities), in order to better balance the</w:t>
      </w:r>
      <w:r w:rsidRPr="00A57018">
        <w:rPr>
          <w:i/>
          <w:iCs/>
          <w:sz w:val="26"/>
          <w:szCs w:val="26"/>
        </w:rPr>
        <w:t xml:space="preserve"> </w:t>
      </w:r>
      <w:r w:rsidRPr="00A57018">
        <w:rPr>
          <w:sz w:val="26"/>
          <w:szCs w:val="26"/>
        </w:rPr>
        <w:t>interests of attachers, electric utilities and electric utility ratepayers in Pennsylvania while</w:t>
      </w:r>
      <w:r w:rsidRPr="00A57018">
        <w:rPr>
          <w:i/>
          <w:iCs/>
          <w:sz w:val="26"/>
          <w:szCs w:val="26"/>
        </w:rPr>
        <w:t xml:space="preserve"> </w:t>
      </w:r>
      <w:r w:rsidRPr="00A57018">
        <w:rPr>
          <w:sz w:val="26"/>
          <w:szCs w:val="26"/>
        </w:rPr>
        <w:t>furthering broadband deployment in Pennsylvania.</w:t>
      </w:r>
    </w:p>
    <w:p w14:paraId="2589579A" w14:textId="77777777" w:rsidR="00F53B35" w:rsidRPr="00A57018" w:rsidRDefault="00F53B35" w:rsidP="00A57018">
      <w:pPr>
        <w:widowControl/>
        <w:spacing w:line="360" w:lineRule="auto"/>
        <w:rPr>
          <w:sz w:val="26"/>
          <w:szCs w:val="26"/>
        </w:rPr>
      </w:pPr>
    </w:p>
    <w:p w14:paraId="26055B50" w14:textId="1CD5B10F" w:rsidR="00D20711" w:rsidRDefault="00CD6A08" w:rsidP="00A57018">
      <w:pPr>
        <w:widowControl/>
        <w:spacing w:line="360" w:lineRule="auto"/>
        <w:ind w:firstLine="1440"/>
        <w:rPr>
          <w:sz w:val="26"/>
          <w:szCs w:val="26"/>
        </w:rPr>
      </w:pPr>
      <w:r w:rsidRPr="00A57018">
        <w:rPr>
          <w:sz w:val="26"/>
          <w:szCs w:val="26"/>
        </w:rPr>
        <w:t>On March 18, 2020,</w:t>
      </w:r>
      <w:r w:rsidR="007A3157" w:rsidRPr="00A57018">
        <w:rPr>
          <w:sz w:val="26"/>
          <w:szCs w:val="26"/>
        </w:rPr>
        <w:t xml:space="preserve"> pursuant to its </w:t>
      </w:r>
      <w:bookmarkStart w:id="9" w:name="_Hlk55195598"/>
      <w:r w:rsidR="007A3157" w:rsidRPr="00A57018">
        <w:rPr>
          <w:i/>
          <w:iCs/>
          <w:sz w:val="26"/>
          <w:szCs w:val="26"/>
        </w:rPr>
        <w:t>2019 Final Rulemaking Order</w:t>
      </w:r>
      <w:bookmarkEnd w:id="9"/>
      <w:r w:rsidR="007A3157" w:rsidRPr="00A57018">
        <w:rPr>
          <w:sz w:val="26"/>
          <w:szCs w:val="26"/>
        </w:rPr>
        <w:t>,</w:t>
      </w:r>
      <w:r w:rsidRPr="00A57018">
        <w:rPr>
          <w:sz w:val="26"/>
          <w:szCs w:val="26"/>
        </w:rPr>
        <w:t xml:space="preserve"> the Commission</w:t>
      </w:r>
      <w:r w:rsidR="007C5E99" w:rsidRPr="00A57018">
        <w:rPr>
          <w:sz w:val="26"/>
          <w:szCs w:val="26"/>
        </w:rPr>
        <w:t xml:space="preserve"> </w:t>
      </w:r>
      <w:r w:rsidRPr="00A57018">
        <w:rPr>
          <w:sz w:val="26"/>
          <w:szCs w:val="26"/>
        </w:rPr>
        <w:t xml:space="preserve">certified to the </w:t>
      </w:r>
      <w:r w:rsidR="00EE596C" w:rsidRPr="00A57018">
        <w:rPr>
          <w:sz w:val="26"/>
          <w:szCs w:val="26"/>
        </w:rPr>
        <w:t>FCC</w:t>
      </w:r>
      <w:r w:rsidRPr="00A57018">
        <w:rPr>
          <w:sz w:val="26"/>
          <w:szCs w:val="26"/>
        </w:rPr>
        <w:t xml:space="preserve"> that pursuant to 47 U.S.C. § 224(c) and to the extent authorized by the Code, 66 Pa.</w:t>
      </w:r>
      <w:r w:rsidR="00EE596C" w:rsidRPr="00A57018">
        <w:rPr>
          <w:sz w:val="26"/>
          <w:szCs w:val="26"/>
        </w:rPr>
        <w:t xml:space="preserve"> </w:t>
      </w:r>
      <w:r w:rsidRPr="00A57018">
        <w:rPr>
          <w:sz w:val="26"/>
          <w:szCs w:val="26"/>
        </w:rPr>
        <w:t>C.S. § 101</w:t>
      </w:r>
      <w:r w:rsidR="00AD47D5" w:rsidRPr="00A57018">
        <w:rPr>
          <w:sz w:val="26"/>
          <w:szCs w:val="26"/>
        </w:rPr>
        <w:t>,</w:t>
      </w:r>
      <w:r w:rsidRPr="00A57018">
        <w:rPr>
          <w:sz w:val="26"/>
          <w:szCs w:val="26"/>
        </w:rPr>
        <w:t xml:space="preserve"> </w:t>
      </w:r>
      <w:r w:rsidRPr="00A57018">
        <w:rPr>
          <w:i/>
          <w:iCs/>
          <w:sz w:val="26"/>
          <w:szCs w:val="26"/>
        </w:rPr>
        <w:t>et seq.</w:t>
      </w:r>
      <w:r w:rsidRPr="00A57018">
        <w:rPr>
          <w:sz w:val="26"/>
          <w:szCs w:val="26"/>
        </w:rPr>
        <w:t>, the Commission has assumed jurisdiction over disputes addressing the rates, terms, and conditions of pole attachments.  The Commission’s pole attachment regulations are in 52 Pa. Code Chapter 77.</w:t>
      </w:r>
    </w:p>
    <w:p w14:paraId="4CF655E1" w14:textId="77777777" w:rsidR="00D20711" w:rsidRDefault="00D20711">
      <w:pPr>
        <w:widowControl/>
        <w:rPr>
          <w:sz w:val="26"/>
          <w:szCs w:val="26"/>
        </w:rPr>
      </w:pPr>
      <w:r>
        <w:rPr>
          <w:sz w:val="26"/>
          <w:szCs w:val="26"/>
        </w:rPr>
        <w:br w:type="page"/>
      </w:r>
    </w:p>
    <w:p w14:paraId="694800AA" w14:textId="510FAA67" w:rsidR="002B0C7E" w:rsidRPr="00A57018" w:rsidRDefault="007357EB" w:rsidP="00A57018">
      <w:pPr>
        <w:pStyle w:val="Heading1"/>
        <w:ind w:left="0" w:firstLine="0"/>
        <w:rPr>
          <w:szCs w:val="26"/>
        </w:rPr>
      </w:pPr>
      <w:bookmarkStart w:id="10" w:name="_Toc59179292"/>
      <w:r w:rsidRPr="00A57018">
        <w:rPr>
          <w:szCs w:val="26"/>
        </w:rPr>
        <w:lastRenderedPageBreak/>
        <w:t>History of Proceeding</w:t>
      </w:r>
      <w:bookmarkEnd w:id="10"/>
    </w:p>
    <w:p w14:paraId="610903EA" w14:textId="31E80153" w:rsidR="0009201B" w:rsidRPr="00A57018" w:rsidRDefault="0009201B" w:rsidP="00A57018">
      <w:pPr>
        <w:widowControl/>
        <w:spacing w:line="360" w:lineRule="auto"/>
        <w:rPr>
          <w:sz w:val="26"/>
          <w:szCs w:val="26"/>
        </w:rPr>
      </w:pPr>
    </w:p>
    <w:p w14:paraId="2C879469" w14:textId="05390F46" w:rsidR="0009201B" w:rsidRPr="00A57018" w:rsidRDefault="0009201B" w:rsidP="00A57018">
      <w:pPr>
        <w:pStyle w:val="Heading2"/>
        <w:widowControl/>
        <w:numPr>
          <w:ilvl w:val="0"/>
          <w:numId w:val="20"/>
        </w:numPr>
        <w:ind w:hanging="720"/>
      </w:pPr>
      <w:bookmarkStart w:id="11" w:name="_Toc59179293"/>
      <w:r w:rsidRPr="00A57018">
        <w:t>Before the FCC</w:t>
      </w:r>
      <w:bookmarkEnd w:id="11"/>
    </w:p>
    <w:p w14:paraId="790BA70D" w14:textId="2E395B7E" w:rsidR="0009201B" w:rsidRPr="00A57018" w:rsidRDefault="0009201B" w:rsidP="00A57018">
      <w:pPr>
        <w:widowControl/>
        <w:spacing w:line="360" w:lineRule="auto"/>
        <w:rPr>
          <w:sz w:val="26"/>
          <w:szCs w:val="26"/>
        </w:rPr>
      </w:pPr>
    </w:p>
    <w:p w14:paraId="6977B734" w14:textId="67BA2EA4" w:rsidR="0009201B" w:rsidRPr="00A57018" w:rsidRDefault="00CF3A9C" w:rsidP="00A57018">
      <w:pPr>
        <w:widowControl/>
        <w:spacing w:line="360" w:lineRule="auto"/>
        <w:ind w:firstLine="1440"/>
        <w:rPr>
          <w:sz w:val="26"/>
          <w:szCs w:val="26"/>
        </w:rPr>
      </w:pPr>
      <w:r w:rsidRPr="00A57018">
        <w:rPr>
          <w:sz w:val="26"/>
          <w:szCs w:val="26"/>
        </w:rPr>
        <w:t xml:space="preserve">Verizon initially filed </w:t>
      </w:r>
      <w:r w:rsidR="00C058C2" w:rsidRPr="00A57018">
        <w:rPr>
          <w:sz w:val="26"/>
          <w:szCs w:val="26"/>
        </w:rPr>
        <w:t>proprietary and non-proprietary versions of its</w:t>
      </w:r>
      <w:r w:rsidRPr="00A57018">
        <w:rPr>
          <w:sz w:val="26"/>
          <w:szCs w:val="26"/>
        </w:rPr>
        <w:t xml:space="preserve"> Formal Complaint (Complaint) against FirstEnergy with the FCC on November</w:t>
      </w:r>
      <w:r w:rsidR="00213652">
        <w:rPr>
          <w:sz w:val="26"/>
          <w:szCs w:val="26"/>
        </w:rPr>
        <w:t> </w:t>
      </w:r>
      <w:r w:rsidRPr="00A57018">
        <w:rPr>
          <w:sz w:val="26"/>
          <w:szCs w:val="26"/>
        </w:rPr>
        <w:t>2</w:t>
      </w:r>
      <w:r w:rsidR="00192540" w:rsidRPr="00A57018">
        <w:rPr>
          <w:sz w:val="26"/>
          <w:szCs w:val="26"/>
        </w:rPr>
        <w:t>0</w:t>
      </w:r>
      <w:r w:rsidRPr="00A57018">
        <w:rPr>
          <w:sz w:val="26"/>
          <w:szCs w:val="26"/>
        </w:rPr>
        <w:t>,</w:t>
      </w:r>
      <w:r w:rsidR="00213652">
        <w:rPr>
          <w:sz w:val="26"/>
          <w:szCs w:val="26"/>
        </w:rPr>
        <w:t> </w:t>
      </w:r>
      <w:r w:rsidRPr="00A57018">
        <w:rPr>
          <w:sz w:val="26"/>
          <w:szCs w:val="26"/>
        </w:rPr>
        <w:t>2019</w:t>
      </w:r>
      <w:r w:rsidR="00192540" w:rsidRPr="00A57018">
        <w:rPr>
          <w:sz w:val="26"/>
          <w:szCs w:val="26"/>
        </w:rPr>
        <w:t>.</w:t>
      </w:r>
      <w:r w:rsidR="00E3406F" w:rsidRPr="00A57018">
        <w:rPr>
          <w:rStyle w:val="FootnoteReference"/>
          <w:sz w:val="26"/>
          <w:szCs w:val="26"/>
        </w:rPr>
        <w:footnoteReference w:id="7"/>
      </w:r>
      <w:r w:rsidR="005C3C5E" w:rsidRPr="00A57018">
        <w:rPr>
          <w:sz w:val="26"/>
          <w:szCs w:val="26"/>
        </w:rPr>
        <w:t xml:space="preserve">  In its Compl</w:t>
      </w:r>
      <w:r w:rsidR="00AD47D5" w:rsidRPr="00A57018">
        <w:rPr>
          <w:sz w:val="26"/>
          <w:szCs w:val="26"/>
        </w:rPr>
        <w:t>ai</w:t>
      </w:r>
      <w:r w:rsidR="005C3C5E" w:rsidRPr="00A57018">
        <w:rPr>
          <w:sz w:val="26"/>
          <w:szCs w:val="26"/>
        </w:rPr>
        <w:t>nt Verizon asserted that the negotiated rates charged by FirstEnergy under their several J</w:t>
      </w:r>
      <w:r w:rsidR="00566690" w:rsidRPr="00A57018">
        <w:rPr>
          <w:sz w:val="26"/>
          <w:szCs w:val="26"/>
        </w:rPr>
        <w:t>UAs</w:t>
      </w:r>
      <w:r w:rsidR="005C3C5E" w:rsidRPr="00A57018">
        <w:rPr>
          <w:sz w:val="26"/>
          <w:szCs w:val="26"/>
        </w:rPr>
        <w:t xml:space="preserve"> are “unjust and unreasonable” under Section 224 of the PAA</w:t>
      </w:r>
      <w:r w:rsidR="00AD47D5" w:rsidRPr="00A57018">
        <w:rPr>
          <w:sz w:val="26"/>
          <w:szCs w:val="26"/>
        </w:rPr>
        <w:t>,</w:t>
      </w:r>
      <w:r w:rsidR="005C3C5E" w:rsidRPr="00A57018">
        <w:rPr>
          <w:sz w:val="26"/>
          <w:szCs w:val="26"/>
        </w:rPr>
        <w:t xml:space="preserve"> 47 U.S.C. § 224.  </w:t>
      </w:r>
      <w:r w:rsidR="00E23538" w:rsidRPr="00A57018">
        <w:rPr>
          <w:sz w:val="26"/>
          <w:szCs w:val="26"/>
        </w:rPr>
        <w:t xml:space="preserve">The Complaint further asserted that the rates in the </w:t>
      </w:r>
      <w:r w:rsidR="00566690" w:rsidRPr="00A57018">
        <w:rPr>
          <w:sz w:val="26"/>
          <w:szCs w:val="26"/>
        </w:rPr>
        <w:t>JUAs</w:t>
      </w:r>
      <w:r w:rsidR="00E23538" w:rsidRPr="00A57018">
        <w:rPr>
          <w:sz w:val="26"/>
          <w:szCs w:val="26"/>
        </w:rPr>
        <w:t xml:space="preserve"> should be similar to the rate charged by FirstEnergy to cable companies and CLECs under pole attachment license agreements (</w:t>
      </w:r>
      <w:r w:rsidR="00E23538" w:rsidRPr="00A57018">
        <w:rPr>
          <w:i/>
          <w:iCs/>
          <w:sz w:val="26"/>
          <w:szCs w:val="26"/>
        </w:rPr>
        <w:t>i.e.</w:t>
      </w:r>
      <w:r w:rsidR="00E23538" w:rsidRPr="00A57018">
        <w:rPr>
          <w:sz w:val="26"/>
          <w:szCs w:val="26"/>
        </w:rPr>
        <w:t>, the “new telecom rate”), and that Verizon is entitled to refunds reflecting the difference between this rate and the amount charged by FirstEnergy to Verizon under the J</w:t>
      </w:r>
      <w:r w:rsidR="00566690" w:rsidRPr="00A57018">
        <w:rPr>
          <w:sz w:val="26"/>
          <w:szCs w:val="26"/>
        </w:rPr>
        <w:t>UAs</w:t>
      </w:r>
      <w:r w:rsidR="00E23538" w:rsidRPr="00A57018">
        <w:rPr>
          <w:sz w:val="26"/>
          <w:szCs w:val="26"/>
        </w:rPr>
        <w:t xml:space="preserve"> since</w:t>
      </w:r>
      <w:r w:rsidR="00E83D1B" w:rsidRPr="00A57018">
        <w:rPr>
          <w:sz w:val="26"/>
          <w:szCs w:val="26"/>
        </w:rPr>
        <w:t xml:space="preserve"> </w:t>
      </w:r>
      <w:r w:rsidR="00335D37" w:rsidRPr="00A57018">
        <w:rPr>
          <w:sz w:val="26"/>
          <w:szCs w:val="26"/>
        </w:rPr>
        <w:t xml:space="preserve">the </w:t>
      </w:r>
      <w:r w:rsidR="00E83D1B" w:rsidRPr="00A57018">
        <w:rPr>
          <w:sz w:val="26"/>
          <w:szCs w:val="26"/>
        </w:rPr>
        <w:t>July 12,</w:t>
      </w:r>
      <w:r w:rsidR="00E23538" w:rsidRPr="00A57018">
        <w:rPr>
          <w:sz w:val="26"/>
          <w:szCs w:val="26"/>
        </w:rPr>
        <w:t xml:space="preserve"> 2011</w:t>
      </w:r>
      <w:r w:rsidR="00E83D1B" w:rsidRPr="00A57018">
        <w:rPr>
          <w:sz w:val="26"/>
          <w:szCs w:val="26"/>
        </w:rPr>
        <w:t xml:space="preserve"> effective date of the </w:t>
      </w:r>
      <w:r w:rsidR="00E83D1B" w:rsidRPr="00A57018">
        <w:rPr>
          <w:i/>
          <w:iCs/>
          <w:sz w:val="26"/>
          <w:szCs w:val="26"/>
        </w:rPr>
        <w:t>2011 Pole Attachment Order</w:t>
      </w:r>
      <w:r w:rsidR="00E83D1B" w:rsidRPr="00A57018">
        <w:rPr>
          <w:sz w:val="26"/>
          <w:szCs w:val="26"/>
        </w:rPr>
        <w:t>, plus interest</w:t>
      </w:r>
      <w:r w:rsidR="00E23538" w:rsidRPr="00A57018">
        <w:rPr>
          <w:sz w:val="26"/>
          <w:szCs w:val="26"/>
        </w:rPr>
        <w:t xml:space="preserve">.  Complaint at 1.  </w:t>
      </w:r>
    </w:p>
    <w:p w14:paraId="46A2072F" w14:textId="50FA6293" w:rsidR="005C61F3" w:rsidRPr="00A57018" w:rsidRDefault="005C61F3" w:rsidP="00A57018">
      <w:pPr>
        <w:widowControl/>
        <w:spacing w:line="360" w:lineRule="auto"/>
        <w:ind w:firstLine="1440"/>
        <w:rPr>
          <w:sz w:val="26"/>
          <w:szCs w:val="26"/>
        </w:rPr>
      </w:pPr>
    </w:p>
    <w:p w14:paraId="30A48CB3" w14:textId="2E54AEAB" w:rsidR="005C61F3" w:rsidRDefault="005C61F3" w:rsidP="00A57018">
      <w:pPr>
        <w:widowControl/>
        <w:spacing w:line="360" w:lineRule="auto"/>
        <w:ind w:firstLine="1440"/>
        <w:rPr>
          <w:sz w:val="26"/>
          <w:szCs w:val="26"/>
        </w:rPr>
      </w:pPr>
      <w:r w:rsidRPr="00A57018">
        <w:rPr>
          <w:sz w:val="26"/>
          <w:szCs w:val="26"/>
        </w:rPr>
        <w:t xml:space="preserve">On February 3, 2020, FirstEnergy filed </w:t>
      </w:r>
      <w:r w:rsidR="00C058C2" w:rsidRPr="00A57018">
        <w:rPr>
          <w:sz w:val="26"/>
          <w:szCs w:val="26"/>
        </w:rPr>
        <w:t>proprietary and non-proprietary versions of its</w:t>
      </w:r>
      <w:r w:rsidRPr="00A57018">
        <w:rPr>
          <w:sz w:val="26"/>
          <w:szCs w:val="26"/>
        </w:rPr>
        <w:t xml:space="preserve"> Answer to Verizon’s Complaint, arguing that Verizon’s Complaint is unfounded, and should either be dismissed or the relief requested should be denied.  FirstEnergy argued, among other things, that Verizon was required to terminate its existing </w:t>
      </w:r>
      <w:r w:rsidR="00566690" w:rsidRPr="00A57018">
        <w:rPr>
          <w:sz w:val="26"/>
          <w:szCs w:val="26"/>
        </w:rPr>
        <w:t>JUAs</w:t>
      </w:r>
      <w:r w:rsidRPr="00A57018">
        <w:rPr>
          <w:sz w:val="26"/>
          <w:szCs w:val="26"/>
        </w:rPr>
        <w:t xml:space="preserve"> with FirstEnergy before filing the Complaint but failed to do so.  FirstEnergy also argued that Verizon has misinterpreted FCC rulings and that failed negotiations with FirstEnergy led to the Complaint being filed.  FirstEnergy also argued that Verizon has misconstrued the relevant facts, including whether one party has bargaining leverage over another.  FirstEnergy added that, to the extent the case moves forward, any analysis of the rates between FirstEnergy and Verizon should be prospective </w:t>
      </w:r>
      <w:r w:rsidRPr="00A57018">
        <w:rPr>
          <w:sz w:val="26"/>
          <w:szCs w:val="26"/>
        </w:rPr>
        <w:lastRenderedPageBreak/>
        <w:t>in effect only.  FirstEnergy averred multiple affirmative defenses in its answer and provided specific responses to the averments made by Verizon in its Complaint.</w:t>
      </w:r>
    </w:p>
    <w:p w14:paraId="01BD9DFB" w14:textId="77777777" w:rsidR="00FD4E30" w:rsidRPr="00A57018" w:rsidRDefault="00FD4E30" w:rsidP="00A57018">
      <w:pPr>
        <w:widowControl/>
        <w:spacing w:line="360" w:lineRule="auto"/>
        <w:ind w:firstLine="1440"/>
        <w:rPr>
          <w:sz w:val="26"/>
          <w:szCs w:val="26"/>
        </w:rPr>
      </w:pPr>
    </w:p>
    <w:p w14:paraId="11BFFB0A" w14:textId="4B0F1D00" w:rsidR="000A0AF0" w:rsidRPr="00A57018" w:rsidRDefault="000A0AF0" w:rsidP="00FA0506">
      <w:pPr>
        <w:widowControl/>
        <w:autoSpaceDE w:val="0"/>
        <w:autoSpaceDN w:val="0"/>
        <w:adjustRightInd w:val="0"/>
        <w:spacing w:line="360" w:lineRule="auto"/>
        <w:ind w:firstLine="1440"/>
        <w:rPr>
          <w:sz w:val="26"/>
          <w:szCs w:val="26"/>
        </w:rPr>
      </w:pPr>
      <w:r w:rsidRPr="00A57018">
        <w:rPr>
          <w:sz w:val="26"/>
          <w:szCs w:val="26"/>
        </w:rPr>
        <w:t xml:space="preserve">On March 3, 2020, Verizon filed </w:t>
      </w:r>
      <w:r w:rsidR="004E7A9E" w:rsidRPr="00A57018">
        <w:rPr>
          <w:sz w:val="26"/>
          <w:szCs w:val="26"/>
        </w:rPr>
        <w:t>proprietary and non-proprietary versions of its R</w:t>
      </w:r>
      <w:r w:rsidRPr="00A57018">
        <w:rPr>
          <w:sz w:val="26"/>
          <w:szCs w:val="26"/>
        </w:rPr>
        <w:t xml:space="preserve">eply to FirstEnergy’s Answer and a denial of FirstEnergy’s affirmative defenses, maintaining its contention that </w:t>
      </w:r>
      <w:r w:rsidR="00A05FB6" w:rsidRPr="00A57018">
        <w:rPr>
          <w:sz w:val="26"/>
          <w:szCs w:val="26"/>
        </w:rPr>
        <w:t xml:space="preserve">Verizon is entitled to just and reasonable pole attachment rates and that it is entitled to a refund of what it believes it has been overcharged by FirstEnergy.  </w:t>
      </w:r>
    </w:p>
    <w:p w14:paraId="7C2CD9F6" w14:textId="77777777" w:rsidR="000A0AF0" w:rsidRPr="00A57018" w:rsidRDefault="000A0AF0" w:rsidP="00FA0506">
      <w:pPr>
        <w:widowControl/>
        <w:autoSpaceDE w:val="0"/>
        <w:autoSpaceDN w:val="0"/>
        <w:adjustRightInd w:val="0"/>
        <w:spacing w:line="360" w:lineRule="auto"/>
        <w:ind w:firstLine="1440"/>
        <w:rPr>
          <w:sz w:val="26"/>
          <w:szCs w:val="26"/>
        </w:rPr>
      </w:pPr>
    </w:p>
    <w:p w14:paraId="372EFE47" w14:textId="6F54B532" w:rsidR="00CF3A9C" w:rsidRPr="00A57018" w:rsidRDefault="00DD3665" w:rsidP="00FA0506">
      <w:pPr>
        <w:widowControl/>
        <w:autoSpaceDE w:val="0"/>
        <w:autoSpaceDN w:val="0"/>
        <w:adjustRightInd w:val="0"/>
        <w:spacing w:line="360" w:lineRule="auto"/>
        <w:ind w:firstLine="1440"/>
        <w:rPr>
          <w:sz w:val="26"/>
          <w:szCs w:val="26"/>
        </w:rPr>
      </w:pPr>
      <w:r w:rsidRPr="00A57018">
        <w:rPr>
          <w:sz w:val="26"/>
          <w:szCs w:val="26"/>
        </w:rPr>
        <w:t xml:space="preserve">On March 18, 2020, the </w:t>
      </w:r>
      <w:r w:rsidR="00AF177F" w:rsidRPr="00A57018">
        <w:rPr>
          <w:sz w:val="26"/>
          <w:szCs w:val="26"/>
        </w:rPr>
        <w:t>P</w:t>
      </w:r>
      <w:r w:rsidRPr="00A57018">
        <w:rPr>
          <w:sz w:val="26"/>
          <w:szCs w:val="26"/>
        </w:rPr>
        <w:t xml:space="preserve">arties submitted a Joint Statement in the FCC proceeding.  The Joint Statement included certain </w:t>
      </w:r>
      <w:r w:rsidR="000049CD" w:rsidRPr="00A57018">
        <w:rPr>
          <w:sz w:val="26"/>
          <w:szCs w:val="26"/>
        </w:rPr>
        <w:t>s</w:t>
      </w:r>
      <w:r w:rsidRPr="00A57018">
        <w:rPr>
          <w:sz w:val="26"/>
          <w:szCs w:val="26"/>
        </w:rPr>
        <w:t xml:space="preserve">tipulated </w:t>
      </w:r>
      <w:r w:rsidR="000049CD" w:rsidRPr="00A57018">
        <w:rPr>
          <w:sz w:val="26"/>
          <w:szCs w:val="26"/>
        </w:rPr>
        <w:t>f</w:t>
      </w:r>
      <w:r w:rsidRPr="00A57018">
        <w:rPr>
          <w:sz w:val="26"/>
          <w:szCs w:val="26"/>
        </w:rPr>
        <w:t xml:space="preserve">acts, which were reproduced in the appendix to FirstEnergy’s Main Brief.  </w:t>
      </w:r>
      <w:r w:rsidRPr="00A57018">
        <w:rPr>
          <w:i/>
          <w:iCs/>
          <w:sz w:val="26"/>
          <w:szCs w:val="26"/>
        </w:rPr>
        <w:t>See</w:t>
      </w:r>
      <w:r w:rsidRPr="00A57018">
        <w:rPr>
          <w:sz w:val="26"/>
          <w:szCs w:val="26"/>
        </w:rPr>
        <w:t xml:space="preserve"> FirstEnergy M.B., Appendix A at ¶¶ 2-10.  </w:t>
      </w:r>
    </w:p>
    <w:p w14:paraId="405E6976" w14:textId="5453B761" w:rsidR="0009201B" w:rsidRPr="00A57018" w:rsidRDefault="0009201B" w:rsidP="00FA0506">
      <w:pPr>
        <w:widowControl/>
        <w:spacing w:line="360" w:lineRule="auto"/>
        <w:rPr>
          <w:sz w:val="26"/>
          <w:szCs w:val="26"/>
        </w:rPr>
      </w:pPr>
    </w:p>
    <w:p w14:paraId="5C9E574D" w14:textId="35780D81" w:rsidR="00295A20" w:rsidRPr="00A57018" w:rsidRDefault="00295A20" w:rsidP="00FA0506">
      <w:pPr>
        <w:widowControl/>
        <w:spacing w:line="360" w:lineRule="auto"/>
        <w:ind w:firstLine="1440"/>
        <w:rPr>
          <w:i/>
          <w:iCs/>
          <w:sz w:val="26"/>
          <w:szCs w:val="26"/>
        </w:rPr>
      </w:pPr>
      <w:r w:rsidRPr="00A57018">
        <w:rPr>
          <w:sz w:val="26"/>
          <w:szCs w:val="26"/>
        </w:rPr>
        <w:t xml:space="preserve">During the pendency of the Complaint proceeding before the FCC, the Commission, as indicated above, reassumed jurisdiction over the rates set forth in the </w:t>
      </w:r>
      <w:r w:rsidR="00566690" w:rsidRPr="00A57018">
        <w:rPr>
          <w:sz w:val="26"/>
          <w:szCs w:val="26"/>
        </w:rPr>
        <w:t>JUAs</w:t>
      </w:r>
      <w:r w:rsidRPr="00A57018">
        <w:rPr>
          <w:sz w:val="26"/>
          <w:szCs w:val="26"/>
        </w:rPr>
        <w:t xml:space="preserve">.  </w:t>
      </w:r>
      <w:r w:rsidR="00234A33" w:rsidRPr="00A57018">
        <w:rPr>
          <w:sz w:val="26"/>
          <w:szCs w:val="26"/>
        </w:rPr>
        <w:t>On March 23, 2020, t</w:t>
      </w:r>
      <w:r w:rsidRPr="00A57018">
        <w:rPr>
          <w:sz w:val="26"/>
          <w:szCs w:val="26"/>
        </w:rPr>
        <w:t xml:space="preserve">he FCC transferred the Complaint to the Commission.  </w:t>
      </w:r>
      <w:r w:rsidRPr="00A57018">
        <w:rPr>
          <w:i/>
          <w:iCs/>
          <w:sz w:val="26"/>
          <w:szCs w:val="26"/>
        </w:rPr>
        <w:t>In the Matter of Verizon Pennsylvania LLC and Verizon North LLC v. Metropolitan Edison Company, Pennsylvania Electric Company and Pennsylvania Power Company</w:t>
      </w:r>
      <w:r w:rsidRPr="00A57018">
        <w:rPr>
          <w:sz w:val="26"/>
          <w:szCs w:val="26"/>
        </w:rPr>
        <w:t>, Proceeding Number 19-354; Bureau ID Number EB-19-MD-008 (Order dated March</w:t>
      </w:r>
      <w:r w:rsidR="00213652">
        <w:rPr>
          <w:sz w:val="26"/>
          <w:szCs w:val="26"/>
        </w:rPr>
        <w:t> </w:t>
      </w:r>
      <w:r w:rsidRPr="00A57018">
        <w:rPr>
          <w:sz w:val="26"/>
          <w:szCs w:val="26"/>
        </w:rPr>
        <w:t>23,</w:t>
      </w:r>
      <w:r w:rsidR="00213652">
        <w:rPr>
          <w:sz w:val="26"/>
          <w:szCs w:val="26"/>
        </w:rPr>
        <w:t> </w:t>
      </w:r>
      <w:r w:rsidRPr="00A57018">
        <w:rPr>
          <w:sz w:val="26"/>
          <w:szCs w:val="26"/>
        </w:rPr>
        <w:t>2020) (</w:t>
      </w:r>
      <w:r w:rsidRPr="00A57018">
        <w:rPr>
          <w:i/>
          <w:iCs/>
          <w:sz w:val="26"/>
          <w:szCs w:val="26"/>
        </w:rPr>
        <w:t>Transfer Order</w:t>
      </w:r>
      <w:r w:rsidRPr="00A57018">
        <w:rPr>
          <w:sz w:val="26"/>
          <w:szCs w:val="26"/>
        </w:rPr>
        <w:t>).</w:t>
      </w:r>
      <w:r w:rsidR="000D0735" w:rsidRPr="00A57018">
        <w:rPr>
          <w:sz w:val="26"/>
          <w:szCs w:val="26"/>
        </w:rPr>
        <w:t xml:space="preserve">  Thereafter, the matter was transferred to the Commission and referred to the Office of Administrative Law Judge for adjudication.  ALJ Cheskis was assigned as the presiding officer.</w:t>
      </w:r>
    </w:p>
    <w:p w14:paraId="32F14DF2" w14:textId="77777777" w:rsidR="00295A20" w:rsidRPr="00A57018" w:rsidRDefault="00295A20" w:rsidP="00A57018">
      <w:pPr>
        <w:widowControl/>
        <w:spacing w:line="360" w:lineRule="auto"/>
        <w:rPr>
          <w:sz w:val="26"/>
          <w:szCs w:val="26"/>
        </w:rPr>
      </w:pPr>
    </w:p>
    <w:p w14:paraId="619FE570" w14:textId="31F555CD" w:rsidR="0009201B" w:rsidRPr="00A57018" w:rsidRDefault="0009201B" w:rsidP="00A57018">
      <w:pPr>
        <w:pStyle w:val="Heading2"/>
        <w:widowControl/>
      </w:pPr>
      <w:bookmarkStart w:id="12" w:name="_Toc59179294"/>
      <w:r w:rsidRPr="00A57018">
        <w:t>Before the Commission</w:t>
      </w:r>
      <w:bookmarkEnd w:id="12"/>
    </w:p>
    <w:p w14:paraId="57ACE3E3" w14:textId="5157C574" w:rsidR="002B0C7E" w:rsidRPr="00A57018" w:rsidRDefault="002B0C7E" w:rsidP="00A57018">
      <w:pPr>
        <w:widowControl/>
        <w:spacing w:line="360" w:lineRule="auto"/>
        <w:rPr>
          <w:sz w:val="26"/>
          <w:szCs w:val="26"/>
        </w:rPr>
      </w:pPr>
    </w:p>
    <w:p w14:paraId="2F3ECFD4" w14:textId="59AAEA2C" w:rsidR="00DD3665" w:rsidRPr="00A57018" w:rsidRDefault="00197B7F" w:rsidP="00A57018">
      <w:pPr>
        <w:widowControl/>
        <w:spacing w:line="360" w:lineRule="auto"/>
        <w:ind w:firstLine="1440"/>
        <w:rPr>
          <w:sz w:val="26"/>
          <w:szCs w:val="26"/>
        </w:rPr>
      </w:pPr>
      <w:r w:rsidRPr="00A57018">
        <w:rPr>
          <w:sz w:val="26"/>
          <w:szCs w:val="26"/>
        </w:rPr>
        <w:t>As a result of the ongoing COVID-19 pandemic and i</w:t>
      </w:r>
      <w:r w:rsidR="000C6025" w:rsidRPr="00A57018">
        <w:rPr>
          <w:sz w:val="26"/>
          <w:szCs w:val="26"/>
        </w:rPr>
        <w:t>n recognition of the time constraints on pole attachment cases articulated in Chapter 77 of the Commission’s Regulations</w:t>
      </w:r>
      <w:r w:rsidR="004D2600" w:rsidRPr="00A57018">
        <w:rPr>
          <w:sz w:val="26"/>
          <w:szCs w:val="26"/>
        </w:rPr>
        <w:t xml:space="preserve">, </w:t>
      </w:r>
      <w:r w:rsidR="000C6025" w:rsidRPr="00A57018">
        <w:rPr>
          <w:sz w:val="26"/>
          <w:szCs w:val="26"/>
        </w:rPr>
        <w:t xml:space="preserve">an informal, off-the-record conference call was held on March 26, 2020 </w:t>
      </w:r>
      <w:r w:rsidR="000C6025" w:rsidRPr="00A57018">
        <w:rPr>
          <w:sz w:val="26"/>
          <w:szCs w:val="26"/>
        </w:rPr>
        <w:lastRenderedPageBreak/>
        <w:t>with the attorneys for Verizon and FirstEnergy, as well as from the Commission’s Mediation Unit, to discuss procedural issues related to this case.</w:t>
      </w:r>
      <w:r w:rsidR="004D2600" w:rsidRPr="00A57018">
        <w:rPr>
          <w:sz w:val="26"/>
          <w:szCs w:val="26"/>
        </w:rPr>
        <w:t xml:space="preserve">  During the call, a discussion was held regarding when the regulatory time constraint for this case starts given that the formal complaint was filed by Verizon in November 2019 at the FCC</w:t>
      </w:r>
      <w:r w:rsidR="00213652">
        <w:rPr>
          <w:sz w:val="26"/>
          <w:szCs w:val="26"/>
        </w:rPr>
        <w:t>,</w:t>
      </w:r>
      <w:r w:rsidR="004D2600" w:rsidRPr="00A57018">
        <w:rPr>
          <w:sz w:val="26"/>
          <w:szCs w:val="26"/>
        </w:rPr>
        <w:t xml:space="preserve"> but the Commission did not establish jurisdiction over pole attachment issues until March</w:t>
      </w:r>
      <w:r w:rsidR="00E046D6" w:rsidRPr="00A57018">
        <w:rPr>
          <w:sz w:val="26"/>
          <w:szCs w:val="26"/>
        </w:rPr>
        <w:t> </w:t>
      </w:r>
      <w:r w:rsidR="004D2600" w:rsidRPr="00A57018">
        <w:rPr>
          <w:sz w:val="26"/>
          <w:szCs w:val="26"/>
        </w:rPr>
        <w:t xml:space="preserve">2020.  </w:t>
      </w:r>
    </w:p>
    <w:p w14:paraId="003184CC" w14:textId="3F05149D" w:rsidR="00DD3665" w:rsidRPr="00A57018" w:rsidRDefault="00DD3665" w:rsidP="00A57018">
      <w:pPr>
        <w:widowControl/>
        <w:spacing w:line="360" w:lineRule="auto"/>
        <w:rPr>
          <w:sz w:val="26"/>
          <w:szCs w:val="26"/>
        </w:rPr>
      </w:pPr>
    </w:p>
    <w:p w14:paraId="40F49883" w14:textId="4B3C060B" w:rsidR="000C6025" w:rsidRPr="00A57018" w:rsidRDefault="00714A30" w:rsidP="00A57018">
      <w:pPr>
        <w:widowControl/>
        <w:spacing w:line="360" w:lineRule="auto"/>
        <w:ind w:firstLine="1440"/>
        <w:rPr>
          <w:sz w:val="26"/>
          <w:szCs w:val="26"/>
        </w:rPr>
      </w:pPr>
      <w:r w:rsidRPr="00A57018">
        <w:rPr>
          <w:sz w:val="26"/>
          <w:szCs w:val="26"/>
        </w:rPr>
        <w:t>A scheduling order was issued on April 14, 2020</w:t>
      </w:r>
      <w:r w:rsidR="000D0735" w:rsidRPr="00A57018">
        <w:rPr>
          <w:sz w:val="26"/>
          <w:szCs w:val="26"/>
        </w:rPr>
        <w:t xml:space="preserve"> (</w:t>
      </w:r>
      <w:r w:rsidR="000D0735" w:rsidRPr="00A57018">
        <w:rPr>
          <w:i/>
          <w:iCs/>
          <w:sz w:val="26"/>
          <w:szCs w:val="26"/>
        </w:rPr>
        <w:t>Scheduling Order</w:t>
      </w:r>
      <w:r w:rsidR="000D0735" w:rsidRPr="00A57018">
        <w:rPr>
          <w:sz w:val="26"/>
          <w:szCs w:val="26"/>
        </w:rPr>
        <w:t>)</w:t>
      </w:r>
      <w:r w:rsidRPr="00A57018">
        <w:rPr>
          <w:sz w:val="26"/>
          <w:szCs w:val="26"/>
        </w:rPr>
        <w:t xml:space="preserve">, memorializing the resolution of the procedural disagreements between Verizon and </w:t>
      </w:r>
      <w:proofErr w:type="gramStart"/>
      <w:r w:rsidRPr="00A57018">
        <w:rPr>
          <w:sz w:val="26"/>
          <w:szCs w:val="26"/>
        </w:rPr>
        <w:t>FirstEnergy</w:t>
      </w:r>
      <w:proofErr w:type="gramEnd"/>
      <w:r w:rsidRPr="00A57018">
        <w:rPr>
          <w:sz w:val="26"/>
          <w:szCs w:val="26"/>
        </w:rPr>
        <w:t xml:space="preserve"> and establishing a procedural schedule for this case.  Of note, it was determined that the Complaint would be considered filed as of March 23, 2020 for purposes of commencing the time frame within which the Commission must act on this case and that good cause existed for this case to be concluded within 270 days, as allowed for in Chapter 77 of the Commission’s Regulations.  52 Pa. Code § 77.5(c).  A litigation schedule was established so that the case would be completed within 270 days.</w:t>
      </w:r>
      <w:r w:rsidR="000D0735" w:rsidRPr="00A57018">
        <w:rPr>
          <w:sz w:val="26"/>
          <w:szCs w:val="26"/>
          <w:vertAlign w:val="superscript"/>
        </w:rPr>
        <w:t xml:space="preserve"> </w:t>
      </w:r>
      <w:r w:rsidR="000D0735" w:rsidRPr="00A57018">
        <w:rPr>
          <w:sz w:val="26"/>
          <w:szCs w:val="26"/>
          <w:vertAlign w:val="superscript"/>
        </w:rPr>
        <w:footnoteReference w:id="8"/>
      </w:r>
    </w:p>
    <w:p w14:paraId="436120CA" w14:textId="022B7A16" w:rsidR="000C6025" w:rsidRPr="00A57018" w:rsidRDefault="000C6025" w:rsidP="00A57018">
      <w:pPr>
        <w:widowControl/>
        <w:spacing w:line="360" w:lineRule="auto"/>
        <w:rPr>
          <w:sz w:val="26"/>
          <w:szCs w:val="26"/>
        </w:rPr>
      </w:pPr>
    </w:p>
    <w:p w14:paraId="1A1F8A37" w14:textId="3F5B1C27" w:rsidR="00CF3A9C" w:rsidRPr="00A57018" w:rsidRDefault="00002767" w:rsidP="00A57018">
      <w:pPr>
        <w:widowControl/>
        <w:spacing w:line="360" w:lineRule="auto"/>
        <w:ind w:firstLine="1440"/>
        <w:rPr>
          <w:sz w:val="26"/>
          <w:szCs w:val="26"/>
        </w:rPr>
      </w:pPr>
      <w:r w:rsidRPr="00A57018">
        <w:rPr>
          <w:sz w:val="26"/>
          <w:szCs w:val="26"/>
        </w:rPr>
        <w:t xml:space="preserve">In light of the continued interruption of normal operations as a result of the COVID-19 pandemic, additional informal, off-the-record conference calls with the </w:t>
      </w:r>
      <w:r w:rsidR="000D0735" w:rsidRPr="00A57018">
        <w:rPr>
          <w:sz w:val="26"/>
          <w:szCs w:val="26"/>
        </w:rPr>
        <w:t>P</w:t>
      </w:r>
      <w:r w:rsidRPr="00A57018">
        <w:rPr>
          <w:sz w:val="26"/>
          <w:szCs w:val="26"/>
        </w:rPr>
        <w:t>arties, the mediation unit and the presiding officer were held on June 2, 2020 and June</w:t>
      </w:r>
      <w:r w:rsidR="00213652">
        <w:rPr>
          <w:sz w:val="26"/>
          <w:szCs w:val="26"/>
        </w:rPr>
        <w:t> </w:t>
      </w:r>
      <w:r w:rsidRPr="00A57018">
        <w:rPr>
          <w:sz w:val="26"/>
          <w:szCs w:val="26"/>
        </w:rPr>
        <w:t>5, 2020 to discuss logistics for the evidentiary hearings scheduled for June</w:t>
      </w:r>
      <w:r w:rsidR="00213652">
        <w:rPr>
          <w:sz w:val="26"/>
          <w:szCs w:val="26"/>
        </w:rPr>
        <w:t> </w:t>
      </w:r>
      <w:r w:rsidRPr="00A57018">
        <w:rPr>
          <w:sz w:val="26"/>
          <w:szCs w:val="26"/>
        </w:rPr>
        <w:t>15</w:t>
      </w:r>
      <w:r w:rsidR="00213652">
        <w:rPr>
          <w:sz w:val="26"/>
          <w:szCs w:val="26"/>
        </w:rPr>
        <w:noBreakHyphen/>
      </w:r>
      <w:r w:rsidRPr="00A57018">
        <w:rPr>
          <w:sz w:val="26"/>
          <w:szCs w:val="26"/>
        </w:rPr>
        <w:t>19,</w:t>
      </w:r>
      <w:r w:rsidR="00213652">
        <w:rPr>
          <w:sz w:val="26"/>
          <w:szCs w:val="26"/>
        </w:rPr>
        <w:t> </w:t>
      </w:r>
      <w:r w:rsidRPr="00A57018">
        <w:rPr>
          <w:sz w:val="26"/>
          <w:szCs w:val="26"/>
        </w:rPr>
        <w:t xml:space="preserve">2020. As a result of those conversations, the </w:t>
      </w:r>
      <w:r w:rsidR="000D0735" w:rsidRPr="00A57018">
        <w:rPr>
          <w:sz w:val="26"/>
          <w:szCs w:val="26"/>
        </w:rPr>
        <w:t>P</w:t>
      </w:r>
      <w:r w:rsidRPr="00A57018">
        <w:rPr>
          <w:sz w:val="26"/>
          <w:szCs w:val="26"/>
        </w:rPr>
        <w:t xml:space="preserve">arties agreed to various modifications to the original scheduling order.  Most significantly, the </w:t>
      </w:r>
      <w:r w:rsidR="000D0735" w:rsidRPr="00A57018">
        <w:rPr>
          <w:sz w:val="26"/>
          <w:szCs w:val="26"/>
        </w:rPr>
        <w:t>P</w:t>
      </w:r>
      <w:r w:rsidRPr="00A57018">
        <w:rPr>
          <w:sz w:val="26"/>
          <w:szCs w:val="26"/>
        </w:rPr>
        <w:t xml:space="preserve">arties agreed that the in-person hearings scheduled would be cancelled and the proceeding would become </w:t>
      </w:r>
      <w:r w:rsidRPr="00A57018">
        <w:rPr>
          <w:sz w:val="26"/>
          <w:szCs w:val="26"/>
        </w:rPr>
        <w:lastRenderedPageBreak/>
        <w:t xml:space="preserve">“paper-only,” meaning that, in addition to other agreed upon modifications, additional rounds of pre-served testimony would be allowed, the pre-served written testimony would be admitted into the record of the proceeding via stipulation and cross examination would be waived.  Next, the </w:t>
      </w:r>
      <w:r w:rsidR="000D0735" w:rsidRPr="00A57018">
        <w:rPr>
          <w:sz w:val="26"/>
          <w:szCs w:val="26"/>
        </w:rPr>
        <w:t>P</w:t>
      </w:r>
      <w:r w:rsidRPr="00A57018">
        <w:rPr>
          <w:sz w:val="26"/>
          <w:szCs w:val="26"/>
        </w:rPr>
        <w:t xml:space="preserve">arties would submit briefs in support of their legal arguments. The </w:t>
      </w:r>
      <w:r w:rsidR="00D602CF" w:rsidRPr="00A57018">
        <w:rPr>
          <w:sz w:val="26"/>
          <w:szCs w:val="26"/>
        </w:rPr>
        <w:t>P</w:t>
      </w:r>
      <w:r w:rsidRPr="00A57018">
        <w:rPr>
          <w:sz w:val="26"/>
          <w:szCs w:val="26"/>
        </w:rPr>
        <w:t>arties confirmed their agreement via email dated June 8, 2020.</w:t>
      </w:r>
      <w:r w:rsidR="000D0735" w:rsidRPr="00A57018">
        <w:rPr>
          <w:sz w:val="26"/>
          <w:szCs w:val="26"/>
        </w:rPr>
        <w:t xml:space="preserve">  R.D.</w:t>
      </w:r>
      <w:r w:rsidR="00213652">
        <w:rPr>
          <w:sz w:val="26"/>
          <w:szCs w:val="26"/>
        </w:rPr>
        <w:t> </w:t>
      </w:r>
      <w:r w:rsidR="000D0735" w:rsidRPr="00A57018">
        <w:rPr>
          <w:sz w:val="26"/>
          <w:szCs w:val="26"/>
        </w:rPr>
        <w:t>at</w:t>
      </w:r>
      <w:r w:rsidR="00213652">
        <w:rPr>
          <w:sz w:val="26"/>
          <w:szCs w:val="26"/>
        </w:rPr>
        <w:t> </w:t>
      </w:r>
      <w:r w:rsidR="000D0735" w:rsidRPr="00A57018">
        <w:rPr>
          <w:sz w:val="26"/>
          <w:szCs w:val="26"/>
        </w:rPr>
        <w:t>5.</w:t>
      </w:r>
      <w:r w:rsidR="00D602CF" w:rsidRPr="00A57018">
        <w:rPr>
          <w:sz w:val="26"/>
          <w:szCs w:val="26"/>
        </w:rPr>
        <w:t xml:space="preserve"> </w:t>
      </w:r>
    </w:p>
    <w:p w14:paraId="7E978149" w14:textId="673CE138" w:rsidR="00002767" w:rsidRPr="00A57018" w:rsidRDefault="00002767" w:rsidP="00A57018">
      <w:pPr>
        <w:widowControl/>
        <w:spacing w:line="360" w:lineRule="auto"/>
        <w:rPr>
          <w:sz w:val="26"/>
          <w:szCs w:val="26"/>
        </w:rPr>
      </w:pPr>
    </w:p>
    <w:p w14:paraId="25990E97" w14:textId="226C2281" w:rsidR="00002767" w:rsidRPr="00A57018" w:rsidRDefault="00002767" w:rsidP="00A57018">
      <w:pPr>
        <w:widowControl/>
        <w:spacing w:line="360" w:lineRule="auto"/>
        <w:ind w:firstLine="1440"/>
        <w:rPr>
          <w:sz w:val="26"/>
          <w:szCs w:val="26"/>
        </w:rPr>
      </w:pPr>
      <w:r w:rsidRPr="00A57018">
        <w:rPr>
          <w:sz w:val="26"/>
          <w:szCs w:val="26"/>
        </w:rPr>
        <w:t xml:space="preserve">A second scheduling order was issued on June 8, 2020 memorializing the </w:t>
      </w:r>
      <w:r w:rsidR="000D0735" w:rsidRPr="00A57018">
        <w:rPr>
          <w:sz w:val="26"/>
          <w:szCs w:val="26"/>
        </w:rPr>
        <w:t>P</w:t>
      </w:r>
      <w:r w:rsidRPr="00A57018">
        <w:rPr>
          <w:sz w:val="26"/>
          <w:szCs w:val="26"/>
        </w:rPr>
        <w:t>arties’ agreement to the revised procedural schedule and other procedural matters.</w:t>
      </w:r>
    </w:p>
    <w:p w14:paraId="30B19976" w14:textId="28590009" w:rsidR="00002767" w:rsidRPr="00A57018" w:rsidRDefault="00002767" w:rsidP="00A57018">
      <w:pPr>
        <w:widowControl/>
        <w:spacing w:line="360" w:lineRule="auto"/>
        <w:rPr>
          <w:sz w:val="26"/>
          <w:szCs w:val="26"/>
        </w:rPr>
      </w:pPr>
    </w:p>
    <w:p w14:paraId="79632DA3" w14:textId="163B52A6" w:rsidR="00002767" w:rsidRPr="00A57018" w:rsidRDefault="00002767" w:rsidP="00A57018">
      <w:pPr>
        <w:widowControl/>
        <w:spacing w:line="360" w:lineRule="auto"/>
        <w:ind w:firstLine="1440"/>
        <w:rPr>
          <w:sz w:val="26"/>
          <w:szCs w:val="26"/>
        </w:rPr>
      </w:pPr>
      <w:r w:rsidRPr="00A57018">
        <w:rPr>
          <w:sz w:val="26"/>
          <w:szCs w:val="26"/>
        </w:rPr>
        <w:t xml:space="preserve">On July 7, 2020, the </w:t>
      </w:r>
      <w:r w:rsidR="000D0735" w:rsidRPr="00A57018">
        <w:rPr>
          <w:sz w:val="26"/>
          <w:szCs w:val="26"/>
        </w:rPr>
        <w:t>P</w:t>
      </w:r>
      <w:r w:rsidRPr="00A57018">
        <w:rPr>
          <w:sz w:val="26"/>
          <w:szCs w:val="26"/>
        </w:rPr>
        <w:t xml:space="preserve">arties submitted a joint motion to admit stipulated items into the record.  The Recommended Decision granted that motion, and the </w:t>
      </w:r>
      <w:r w:rsidR="00D602CF" w:rsidRPr="00A57018">
        <w:rPr>
          <w:sz w:val="26"/>
          <w:szCs w:val="26"/>
        </w:rPr>
        <w:t>P</w:t>
      </w:r>
      <w:r w:rsidRPr="00A57018">
        <w:rPr>
          <w:sz w:val="26"/>
          <w:szCs w:val="26"/>
        </w:rPr>
        <w:t>arties were directed to ensure that the Commission’s Secretary’s Bureau has the necessary hard copies of the documents for inclusion in the Commission’s file.</w:t>
      </w:r>
      <w:r w:rsidR="000D0735" w:rsidRPr="00A57018">
        <w:rPr>
          <w:sz w:val="26"/>
          <w:szCs w:val="26"/>
        </w:rPr>
        <w:t xml:space="preserve">  R.D. at 6.</w:t>
      </w:r>
    </w:p>
    <w:p w14:paraId="03D4EEEA" w14:textId="1ADE27E7" w:rsidR="00002767" w:rsidRPr="00A57018" w:rsidRDefault="00002767" w:rsidP="00A57018">
      <w:pPr>
        <w:widowControl/>
        <w:spacing w:line="360" w:lineRule="auto"/>
        <w:ind w:firstLine="1440"/>
        <w:rPr>
          <w:sz w:val="26"/>
          <w:szCs w:val="26"/>
        </w:rPr>
      </w:pPr>
    </w:p>
    <w:p w14:paraId="57AD98CA" w14:textId="28A228CC" w:rsidR="00002767" w:rsidRPr="00A57018" w:rsidRDefault="00002767" w:rsidP="00A57018">
      <w:pPr>
        <w:widowControl/>
        <w:spacing w:line="360" w:lineRule="auto"/>
        <w:ind w:firstLine="1440"/>
        <w:rPr>
          <w:sz w:val="26"/>
          <w:szCs w:val="26"/>
        </w:rPr>
      </w:pPr>
      <w:r w:rsidRPr="00A57018">
        <w:rPr>
          <w:sz w:val="26"/>
          <w:szCs w:val="26"/>
        </w:rPr>
        <w:t xml:space="preserve">Pursuant to the second scheduling order, </w:t>
      </w:r>
      <w:r w:rsidR="000B48C4" w:rsidRPr="00A57018">
        <w:rPr>
          <w:sz w:val="26"/>
          <w:szCs w:val="26"/>
        </w:rPr>
        <w:t xml:space="preserve">proprietary and non-proprietary versions of </w:t>
      </w:r>
      <w:r w:rsidRPr="00A57018">
        <w:rPr>
          <w:sz w:val="26"/>
          <w:szCs w:val="26"/>
        </w:rPr>
        <w:t>Main Briefs and Reply Briefs were filed by both Verizon and FirstEnergy on July 28, 2020 and August 14, 2020, respectively.  The record in this case closed on August 14, 2020, the date Reply Briefs were filed.</w:t>
      </w:r>
    </w:p>
    <w:p w14:paraId="0B4DADE2" w14:textId="3E147A50" w:rsidR="00B757B7" w:rsidRPr="00A57018" w:rsidRDefault="00B757B7" w:rsidP="00A57018">
      <w:pPr>
        <w:widowControl/>
        <w:spacing w:line="360" w:lineRule="auto"/>
        <w:ind w:firstLine="1440"/>
        <w:rPr>
          <w:sz w:val="26"/>
          <w:szCs w:val="26"/>
        </w:rPr>
      </w:pPr>
    </w:p>
    <w:p w14:paraId="32A52648" w14:textId="17A3E81D" w:rsidR="00B757B7" w:rsidRPr="00A57018" w:rsidRDefault="00B757B7" w:rsidP="00A57018">
      <w:pPr>
        <w:widowControl/>
        <w:spacing w:line="360" w:lineRule="auto"/>
        <w:ind w:firstLine="1440"/>
        <w:rPr>
          <w:sz w:val="26"/>
          <w:szCs w:val="26"/>
        </w:rPr>
      </w:pPr>
      <w:r w:rsidRPr="00A57018">
        <w:rPr>
          <w:sz w:val="26"/>
          <w:szCs w:val="26"/>
        </w:rPr>
        <w:t>On September 15, 2020, the Commission issued the ALJ’s Recommended Decision, in which ALJ Cheskis</w:t>
      </w:r>
      <w:r w:rsidR="00032281" w:rsidRPr="00A57018">
        <w:rPr>
          <w:sz w:val="26"/>
          <w:szCs w:val="26"/>
        </w:rPr>
        <w:t xml:space="preserve"> found that Verizon satisfied its burden of proof to demonstrate that it is entitled to a rebuttable presumption to have its rates to attach to the utility poles set by the “new telecom rate” methodology under the FCC’s regulations recently adopted by the Commission and FirstEnergy has not satisfied its burden to rebut that presumption.  </w:t>
      </w:r>
      <w:r w:rsidR="004D4912" w:rsidRPr="00A57018">
        <w:rPr>
          <w:sz w:val="26"/>
          <w:szCs w:val="26"/>
        </w:rPr>
        <w:t>Therefore, the ALJ recommended that: (1) the Complaint be granted to the extent that the rates paid by Verizon to FirstEnergy to attach to FirstEnergy’s poles will be set going forward based on the “new telecom rate” methodology;</w:t>
      </w:r>
      <w:r w:rsidR="0046761E" w:rsidRPr="00A57018">
        <w:rPr>
          <w:sz w:val="26"/>
          <w:szCs w:val="26"/>
        </w:rPr>
        <w:t xml:space="preserve"> </w:t>
      </w:r>
      <w:r w:rsidR="004D4912" w:rsidRPr="00A57018">
        <w:rPr>
          <w:sz w:val="26"/>
          <w:szCs w:val="26"/>
        </w:rPr>
        <w:t xml:space="preserve">(2) the Complaint be denied with regard to Verizon’s request for refunds going back to </w:t>
      </w:r>
      <w:r w:rsidR="004D4912" w:rsidRPr="00A57018">
        <w:rPr>
          <w:sz w:val="26"/>
          <w:szCs w:val="26"/>
        </w:rPr>
        <w:lastRenderedPageBreak/>
        <w:t>July</w:t>
      </w:r>
      <w:r w:rsidR="00213652">
        <w:rPr>
          <w:sz w:val="26"/>
          <w:szCs w:val="26"/>
        </w:rPr>
        <w:t> </w:t>
      </w:r>
      <w:r w:rsidR="004D4912" w:rsidRPr="00A57018">
        <w:rPr>
          <w:sz w:val="26"/>
          <w:szCs w:val="26"/>
        </w:rPr>
        <w:t>201</w:t>
      </w:r>
      <w:r w:rsidR="00F6468C" w:rsidRPr="00A57018">
        <w:rPr>
          <w:sz w:val="26"/>
          <w:szCs w:val="26"/>
        </w:rPr>
        <w:t>1</w:t>
      </w:r>
      <w:r w:rsidR="004D4912" w:rsidRPr="00A57018">
        <w:rPr>
          <w:sz w:val="26"/>
          <w:szCs w:val="26"/>
        </w:rPr>
        <w:t xml:space="preserve"> for the amounts overpaid to FirstEnergy</w:t>
      </w:r>
      <w:r w:rsidR="0046761E" w:rsidRPr="00A57018">
        <w:rPr>
          <w:sz w:val="26"/>
          <w:szCs w:val="26"/>
        </w:rPr>
        <w:t>; but rather (3) Verizon be awarded a refund for rates it overpaid to FirstEnergy dating back to March 11, 2019, the effective date of the rates established under the new telecom rate methodology</w:t>
      </w:r>
      <w:r w:rsidR="008206C7" w:rsidRPr="00A57018">
        <w:rPr>
          <w:sz w:val="26"/>
          <w:szCs w:val="26"/>
        </w:rPr>
        <w:t xml:space="preserve">; and (4) the Parties be given a 60-day compliance period following the entry of a final Commission order to resolve any differences that arise in establishing the specific rates and </w:t>
      </w:r>
      <w:r w:rsidR="00FF6DE5">
        <w:rPr>
          <w:sz w:val="26"/>
          <w:szCs w:val="26"/>
        </w:rPr>
        <w:t xml:space="preserve">the </w:t>
      </w:r>
      <w:r w:rsidR="008206C7" w:rsidRPr="00A57018">
        <w:rPr>
          <w:sz w:val="26"/>
          <w:szCs w:val="26"/>
        </w:rPr>
        <w:t xml:space="preserve">refund based on the determinations made in the Recommended Decision and, to the extent that such differences cannot be resolved, </w:t>
      </w:r>
      <w:r w:rsidR="00FF6DE5">
        <w:rPr>
          <w:sz w:val="26"/>
          <w:szCs w:val="26"/>
        </w:rPr>
        <w:t>to</w:t>
      </w:r>
      <w:r w:rsidR="00FF6DE5" w:rsidRPr="00A57018">
        <w:rPr>
          <w:sz w:val="26"/>
          <w:szCs w:val="26"/>
        </w:rPr>
        <w:t xml:space="preserve"> </w:t>
      </w:r>
      <w:r w:rsidR="008206C7" w:rsidRPr="00A57018">
        <w:rPr>
          <w:sz w:val="26"/>
          <w:szCs w:val="26"/>
        </w:rPr>
        <w:t>afford the</w:t>
      </w:r>
      <w:r w:rsidR="0010003D">
        <w:rPr>
          <w:sz w:val="26"/>
          <w:szCs w:val="26"/>
        </w:rPr>
        <w:t xml:space="preserve"> Parties</w:t>
      </w:r>
      <w:r w:rsidR="0010003D" w:rsidRPr="00A57018">
        <w:rPr>
          <w:sz w:val="26"/>
          <w:szCs w:val="26"/>
        </w:rPr>
        <w:t xml:space="preserve"> </w:t>
      </w:r>
      <w:r w:rsidR="008206C7" w:rsidRPr="00A57018">
        <w:rPr>
          <w:sz w:val="26"/>
          <w:szCs w:val="26"/>
        </w:rPr>
        <w:t>of the Commission’s mediation unit for mediation review or request a further expedited evidentiary hearing on the remaining disputed issues.</w:t>
      </w:r>
      <w:r w:rsidR="00947D07" w:rsidRPr="00A57018">
        <w:rPr>
          <w:sz w:val="26"/>
          <w:szCs w:val="26"/>
        </w:rPr>
        <w:t xml:space="preserve">  </w:t>
      </w:r>
      <w:r w:rsidR="004D4912" w:rsidRPr="00A57018">
        <w:rPr>
          <w:sz w:val="26"/>
          <w:szCs w:val="26"/>
        </w:rPr>
        <w:t>R.D. at 1</w:t>
      </w:r>
      <w:r w:rsidR="00116942" w:rsidRPr="00A57018">
        <w:rPr>
          <w:sz w:val="26"/>
          <w:szCs w:val="26"/>
        </w:rPr>
        <w:t xml:space="preserve">, 69-70.  </w:t>
      </w:r>
    </w:p>
    <w:p w14:paraId="158BA5AE" w14:textId="295FC122" w:rsidR="00B757B7" w:rsidRPr="00A57018" w:rsidRDefault="00B757B7" w:rsidP="00A57018">
      <w:pPr>
        <w:widowControl/>
        <w:spacing w:line="360" w:lineRule="auto"/>
        <w:ind w:firstLine="1440"/>
        <w:rPr>
          <w:sz w:val="26"/>
          <w:szCs w:val="26"/>
        </w:rPr>
      </w:pPr>
    </w:p>
    <w:p w14:paraId="5980F351" w14:textId="7C5EA02D" w:rsidR="00B757B7" w:rsidRPr="00A57018" w:rsidRDefault="00AB173D" w:rsidP="00A57018">
      <w:pPr>
        <w:widowControl/>
        <w:spacing w:line="360" w:lineRule="auto"/>
        <w:ind w:firstLine="1440"/>
        <w:rPr>
          <w:sz w:val="26"/>
          <w:szCs w:val="26"/>
        </w:rPr>
      </w:pPr>
      <w:r w:rsidRPr="00A57018">
        <w:rPr>
          <w:sz w:val="26"/>
          <w:szCs w:val="26"/>
        </w:rPr>
        <w:t>As previously noted, FirstEnergy and Verizon filed</w:t>
      </w:r>
      <w:r w:rsidR="000B48C4" w:rsidRPr="00A57018">
        <w:rPr>
          <w:sz w:val="26"/>
          <w:szCs w:val="26"/>
        </w:rPr>
        <w:t xml:space="preserve"> proprietary and non-proprietary versions of their</w:t>
      </w:r>
      <w:r w:rsidRPr="00A57018">
        <w:rPr>
          <w:sz w:val="26"/>
          <w:szCs w:val="26"/>
        </w:rPr>
        <w:t xml:space="preserve"> Exceptions on September 22, 2020.  </w:t>
      </w:r>
      <w:r w:rsidR="000B48C4" w:rsidRPr="00A57018">
        <w:rPr>
          <w:sz w:val="26"/>
          <w:szCs w:val="26"/>
        </w:rPr>
        <w:t xml:space="preserve">Proprietary and non-proprietary versions of </w:t>
      </w:r>
      <w:r w:rsidRPr="00A57018">
        <w:rPr>
          <w:sz w:val="26"/>
          <w:szCs w:val="26"/>
        </w:rPr>
        <w:t xml:space="preserve">Reply Exceptions were filed by FirstEnergy and Verizon on September 28, 2020.  </w:t>
      </w:r>
    </w:p>
    <w:p w14:paraId="79D869EF" w14:textId="185D2911" w:rsidR="00AB173D" w:rsidRPr="00A57018" w:rsidRDefault="00AB173D" w:rsidP="00A57018">
      <w:pPr>
        <w:widowControl/>
        <w:spacing w:line="360" w:lineRule="auto"/>
        <w:ind w:firstLine="1440"/>
        <w:rPr>
          <w:sz w:val="26"/>
          <w:szCs w:val="26"/>
        </w:rPr>
      </w:pPr>
    </w:p>
    <w:p w14:paraId="6357FB62" w14:textId="14FE5AD3" w:rsidR="000B61CE" w:rsidRPr="00A57018" w:rsidRDefault="00985A18" w:rsidP="00213652">
      <w:pPr>
        <w:widowControl/>
        <w:spacing w:line="360" w:lineRule="auto"/>
        <w:ind w:firstLine="1440"/>
        <w:rPr>
          <w:sz w:val="26"/>
          <w:szCs w:val="26"/>
        </w:rPr>
      </w:pPr>
      <w:r w:rsidRPr="00A57018">
        <w:rPr>
          <w:sz w:val="26"/>
          <w:szCs w:val="26"/>
        </w:rPr>
        <w:t>On October 15, 2020</w:t>
      </w:r>
      <w:r w:rsidR="00CC4919" w:rsidRPr="00A57018">
        <w:rPr>
          <w:sz w:val="26"/>
          <w:szCs w:val="26"/>
        </w:rPr>
        <w:t>,</w:t>
      </w:r>
      <w:r w:rsidR="00854322" w:rsidRPr="00A57018">
        <w:rPr>
          <w:sz w:val="26"/>
          <w:szCs w:val="26"/>
        </w:rPr>
        <w:t xml:space="preserve"> FirstEnergy filed a Motion to Unseal Certain Proprietary Information and Request for Expedited Consideration</w:t>
      </w:r>
      <w:r w:rsidR="000D0735" w:rsidRPr="00A57018">
        <w:rPr>
          <w:sz w:val="26"/>
          <w:szCs w:val="26"/>
        </w:rPr>
        <w:t xml:space="preserve"> (Motion)</w:t>
      </w:r>
      <w:r w:rsidR="00D03C40" w:rsidRPr="00A57018">
        <w:rPr>
          <w:sz w:val="26"/>
          <w:szCs w:val="26"/>
        </w:rPr>
        <w:t xml:space="preserve">.  In its Motion, FirstEnergy requested the unsealing of certain proprietary information contained in the testimony, Briefs, Exceptions, and Reply Exceptions submitted by FirstEnergy and by Verizon in this proceeding.  </w:t>
      </w:r>
      <w:r w:rsidR="000D0735" w:rsidRPr="00A57018">
        <w:rPr>
          <w:sz w:val="26"/>
          <w:szCs w:val="26"/>
        </w:rPr>
        <w:t xml:space="preserve">On October 27, 2020, Verizon filed its Answer in opposition to the Motion.  By Order entered December 3, 2020, the Commission </w:t>
      </w:r>
      <w:r w:rsidR="0062235E" w:rsidRPr="00A57018">
        <w:rPr>
          <w:sz w:val="26"/>
          <w:szCs w:val="26"/>
        </w:rPr>
        <w:t>denied</w:t>
      </w:r>
      <w:r w:rsidR="000D0735" w:rsidRPr="00A57018">
        <w:rPr>
          <w:sz w:val="26"/>
          <w:szCs w:val="26"/>
        </w:rPr>
        <w:t xml:space="preserve"> the Motion.</w:t>
      </w:r>
    </w:p>
    <w:p w14:paraId="441C959E" w14:textId="3E08DBEF" w:rsidR="0062235E" w:rsidRPr="00213652" w:rsidRDefault="0062235E" w:rsidP="00213652">
      <w:pPr>
        <w:widowControl/>
        <w:spacing w:line="360" w:lineRule="auto"/>
        <w:rPr>
          <w:bCs/>
          <w:sz w:val="26"/>
          <w:szCs w:val="26"/>
        </w:rPr>
      </w:pPr>
    </w:p>
    <w:p w14:paraId="4713DCC0" w14:textId="43470405" w:rsidR="00672A3B" w:rsidRPr="00A57018" w:rsidRDefault="008A6E39" w:rsidP="00213652">
      <w:pPr>
        <w:pStyle w:val="Heading1"/>
        <w:ind w:left="0" w:firstLine="0"/>
        <w:rPr>
          <w:szCs w:val="26"/>
        </w:rPr>
      </w:pPr>
      <w:bookmarkStart w:id="13" w:name="_Toc59179295"/>
      <w:r w:rsidRPr="00A57018">
        <w:rPr>
          <w:szCs w:val="26"/>
        </w:rPr>
        <w:t>Discussion</w:t>
      </w:r>
      <w:bookmarkEnd w:id="13"/>
    </w:p>
    <w:p w14:paraId="079362C0" w14:textId="38633A1A" w:rsidR="00672A3B" w:rsidRPr="00A57018" w:rsidRDefault="00672A3B" w:rsidP="00213652">
      <w:pPr>
        <w:widowControl/>
        <w:spacing w:line="360" w:lineRule="auto"/>
        <w:rPr>
          <w:sz w:val="26"/>
          <w:szCs w:val="26"/>
        </w:rPr>
      </w:pPr>
    </w:p>
    <w:p w14:paraId="7418258F" w14:textId="77777777" w:rsidR="00D20711" w:rsidRDefault="00343C9A" w:rsidP="00F06E66">
      <w:pPr>
        <w:widowControl/>
        <w:autoSpaceDE w:val="0"/>
        <w:autoSpaceDN w:val="0"/>
        <w:adjustRightInd w:val="0"/>
        <w:spacing w:line="360" w:lineRule="auto"/>
        <w:ind w:firstLine="1440"/>
        <w:rPr>
          <w:rFonts w:eastAsia="Calibri"/>
          <w:color w:val="000000"/>
          <w:sz w:val="26"/>
          <w:szCs w:val="26"/>
        </w:rPr>
      </w:pPr>
      <w:r w:rsidRPr="00A57018">
        <w:rPr>
          <w:rFonts w:eastAsia="Calibri"/>
          <w:sz w:val="26"/>
          <w:szCs w:val="26"/>
        </w:rPr>
        <w:t xml:space="preserve">Before addressing the Exceptions, we note that any issue or Exception that we do not specifically address shall be deemed to have been duly considered and denied without further discussion.  The Commission is not required to consider expressly or at length each contention or argument raised by the parties.  </w:t>
      </w:r>
      <w:hyperlink r:id="rId14" w:history="1">
        <w:r w:rsidRPr="00A57018">
          <w:rPr>
            <w:rFonts w:eastAsia="Calibri"/>
            <w:i/>
            <w:iCs/>
            <w:color w:val="000000"/>
            <w:sz w:val="26"/>
            <w:szCs w:val="26"/>
          </w:rPr>
          <w:t xml:space="preserve">Consolidated Rail Corp. v. </w:t>
        </w:r>
        <w:r w:rsidRPr="00A57018">
          <w:rPr>
            <w:rFonts w:eastAsia="Calibri"/>
            <w:i/>
            <w:iCs/>
            <w:color w:val="000000"/>
            <w:sz w:val="26"/>
            <w:szCs w:val="26"/>
          </w:rPr>
          <w:lastRenderedPageBreak/>
          <w:t>Pa. PUC</w:t>
        </w:r>
        <w:r w:rsidRPr="00F06E66">
          <w:rPr>
            <w:rFonts w:eastAsia="Calibri"/>
            <w:color w:val="000000"/>
            <w:sz w:val="26"/>
            <w:szCs w:val="26"/>
          </w:rPr>
          <w:t>,</w:t>
        </w:r>
        <w:r w:rsidRPr="00A57018">
          <w:rPr>
            <w:rFonts w:eastAsia="Calibri"/>
            <w:i/>
            <w:iCs/>
            <w:color w:val="000000"/>
            <w:sz w:val="26"/>
            <w:szCs w:val="26"/>
          </w:rPr>
          <w:t xml:space="preserve"> </w:t>
        </w:r>
        <w:r w:rsidRPr="00A57018">
          <w:rPr>
            <w:rFonts w:eastAsia="Calibri"/>
            <w:color w:val="000000"/>
            <w:sz w:val="26"/>
            <w:szCs w:val="26"/>
          </w:rPr>
          <w:t>625 A.2d 741 (Pa. Cmwlth. 1993);</w:t>
        </w:r>
      </w:hyperlink>
      <w:r w:rsidRPr="00A57018">
        <w:rPr>
          <w:rFonts w:eastAsia="Calibri"/>
          <w:color w:val="000000"/>
          <w:sz w:val="26"/>
          <w:szCs w:val="26"/>
        </w:rPr>
        <w:t xml:space="preserve"> </w:t>
      </w:r>
      <w:r w:rsidRPr="00A57018">
        <w:rPr>
          <w:rFonts w:eastAsia="Calibri"/>
          <w:i/>
          <w:iCs/>
          <w:color w:val="000000"/>
          <w:sz w:val="26"/>
          <w:szCs w:val="26"/>
        </w:rPr>
        <w:t xml:space="preserve">see also, generally, </w:t>
      </w:r>
      <w:hyperlink r:id="rId15" w:history="1">
        <w:r w:rsidRPr="00A57018">
          <w:rPr>
            <w:rFonts w:eastAsia="Calibri"/>
            <w:i/>
            <w:iCs/>
            <w:color w:val="000000"/>
            <w:sz w:val="26"/>
            <w:szCs w:val="26"/>
          </w:rPr>
          <w:t>University of Pennsylvania v. Pa. PUC</w:t>
        </w:r>
        <w:r w:rsidRPr="00A57018">
          <w:rPr>
            <w:rFonts w:eastAsia="Calibri"/>
            <w:color w:val="000000"/>
            <w:sz w:val="26"/>
            <w:szCs w:val="26"/>
          </w:rPr>
          <w:t>, 485 A.2d 1217 (Pa. Cmwlth. 1984).</w:t>
        </w:r>
      </w:hyperlink>
      <w:r w:rsidR="00B71177" w:rsidRPr="00A57018">
        <w:rPr>
          <w:rStyle w:val="FootnoteReference"/>
          <w:sz w:val="26"/>
          <w:szCs w:val="26"/>
        </w:rPr>
        <w:footnoteReference w:id="9"/>
      </w:r>
      <w:r w:rsidR="00FD4E30">
        <w:rPr>
          <w:rFonts w:eastAsia="Calibri"/>
          <w:color w:val="000000"/>
          <w:sz w:val="26"/>
          <w:szCs w:val="26"/>
        </w:rPr>
        <w:t xml:space="preserve">  </w:t>
      </w:r>
      <w:r w:rsidR="00FD4E30" w:rsidRPr="00D20711">
        <w:rPr>
          <w:rFonts w:eastAsia="Calibri"/>
          <w:color w:val="000000"/>
          <w:sz w:val="26"/>
          <w:szCs w:val="26"/>
        </w:rPr>
        <w:t xml:space="preserve">We also adopt the disposition of the ALJ set forth in the Recommended Decision except for the modifications </w:t>
      </w:r>
      <w:r w:rsidR="00267E47" w:rsidRPr="00D20711">
        <w:rPr>
          <w:rFonts w:eastAsia="Calibri"/>
          <w:color w:val="000000"/>
          <w:sz w:val="26"/>
          <w:szCs w:val="26"/>
        </w:rPr>
        <w:t xml:space="preserve">to </w:t>
      </w:r>
      <w:r w:rsidR="00EA2006">
        <w:rPr>
          <w:rFonts w:eastAsia="Calibri"/>
          <w:color w:val="000000"/>
          <w:sz w:val="26"/>
          <w:szCs w:val="26"/>
        </w:rPr>
        <w:t xml:space="preserve">the following issues: </w:t>
      </w:r>
      <w:r w:rsidR="00267E47">
        <w:rPr>
          <w:rFonts w:eastAsia="Calibri"/>
          <w:color w:val="000000"/>
          <w:sz w:val="26"/>
          <w:szCs w:val="26"/>
        </w:rPr>
        <w:t xml:space="preserve"> Legal Standard</w:t>
      </w:r>
      <w:r w:rsidR="00947A10">
        <w:rPr>
          <w:rFonts w:eastAsia="Calibri"/>
          <w:color w:val="000000"/>
          <w:sz w:val="26"/>
          <w:szCs w:val="26"/>
        </w:rPr>
        <w:t xml:space="preserve"> – Burden of Proof</w:t>
      </w:r>
      <w:r w:rsidR="001479D3">
        <w:rPr>
          <w:rFonts w:eastAsia="Calibri"/>
          <w:color w:val="000000"/>
          <w:sz w:val="26"/>
          <w:szCs w:val="26"/>
        </w:rPr>
        <w:t>;</w:t>
      </w:r>
      <w:r w:rsidR="00267E47">
        <w:rPr>
          <w:rFonts w:eastAsia="Calibri"/>
          <w:color w:val="000000"/>
          <w:sz w:val="26"/>
          <w:szCs w:val="26"/>
        </w:rPr>
        <w:t xml:space="preserve"> Entitlement to the New Telecom Rate</w:t>
      </w:r>
      <w:r w:rsidR="00947A10">
        <w:rPr>
          <w:rFonts w:eastAsia="Calibri"/>
          <w:color w:val="000000"/>
          <w:sz w:val="26"/>
          <w:szCs w:val="26"/>
        </w:rPr>
        <w:t xml:space="preserve"> – Whether the </w:t>
      </w:r>
      <w:r w:rsidR="00EA2006">
        <w:rPr>
          <w:rFonts w:eastAsia="Calibri"/>
          <w:color w:val="000000"/>
          <w:sz w:val="26"/>
          <w:szCs w:val="26"/>
        </w:rPr>
        <w:t>JUAs</w:t>
      </w:r>
      <w:r w:rsidR="00947A10">
        <w:rPr>
          <w:rFonts w:eastAsia="Calibri"/>
          <w:color w:val="000000"/>
          <w:sz w:val="26"/>
          <w:szCs w:val="26"/>
        </w:rPr>
        <w:t xml:space="preserve"> were renewed after the effective date of FCC’s “new telecom rate” methodology</w:t>
      </w:r>
      <w:r w:rsidR="001479D3">
        <w:rPr>
          <w:rFonts w:eastAsia="Calibri"/>
          <w:color w:val="000000"/>
          <w:sz w:val="26"/>
          <w:szCs w:val="26"/>
        </w:rPr>
        <w:t>;</w:t>
      </w:r>
      <w:r w:rsidR="00267E47">
        <w:rPr>
          <w:rFonts w:eastAsia="Calibri"/>
          <w:color w:val="000000"/>
          <w:sz w:val="26"/>
          <w:szCs w:val="26"/>
        </w:rPr>
        <w:t xml:space="preserve"> Entitlement to the New Telecom Rate</w:t>
      </w:r>
      <w:r w:rsidR="00EA2006">
        <w:rPr>
          <w:rFonts w:eastAsia="Calibri"/>
          <w:color w:val="000000"/>
          <w:sz w:val="26"/>
          <w:szCs w:val="26"/>
        </w:rPr>
        <w:t xml:space="preserve"> – Whether </w:t>
      </w:r>
      <w:r w:rsidR="00EA2006">
        <w:rPr>
          <w:rFonts w:eastAsiaTheme="minorHAnsi"/>
          <w:sz w:val="26"/>
          <w:szCs w:val="26"/>
        </w:rPr>
        <w:t>Verizon receives material advantages under the JUAs</w:t>
      </w:r>
      <w:r w:rsidR="00F4152C">
        <w:rPr>
          <w:rFonts w:eastAsia="Calibri"/>
          <w:color w:val="000000"/>
          <w:sz w:val="26"/>
          <w:szCs w:val="26"/>
        </w:rPr>
        <w:t>;</w:t>
      </w:r>
      <w:r w:rsidR="00267E47">
        <w:rPr>
          <w:rFonts w:eastAsia="Calibri"/>
          <w:color w:val="000000"/>
          <w:sz w:val="26"/>
          <w:szCs w:val="26"/>
        </w:rPr>
        <w:t xml:space="preserve"> Inserting the New Telecom Rate into the Existing Agreements </w:t>
      </w:r>
      <w:r w:rsidR="00EA2006">
        <w:rPr>
          <w:rFonts w:eastAsia="Calibri"/>
          <w:color w:val="000000"/>
          <w:sz w:val="26"/>
          <w:szCs w:val="26"/>
        </w:rPr>
        <w:t xml:space="preserve">– </w:t>
      </w:r>
      <w:r w:rsidR="00267E47">
        <w:rPr>
          <w:rFonts w:eastAsia="Calibri"/>
          <w:color w:val="000000"/>
          <w:sz w:val="26"/>
          <w:szCs w:val="26"/>
        </w:rPr>
        <w:t>Current Cost of Capital in Computing Rates under the Agreement, Rulings of the Correct Rates Going Forward and 60-Day Compliance Period to Calculate New Rates</w:t>
      </w:r>
      <w:r w:rsidR="00F4152C">
        <w:rPr>
          <w:rFonts w:eastAsia="Calibri"/>
          <w:color w:val="000000"/>
          <w:sz w:val="26"/>
          <w:szCs w:val="26"/>
        </w:rPr>
        <w:t>;</w:t>
      </w:r>
      <w:r w:rsidR="00267E47">
        <w:rPr>
          <w:rFonts w:eastAsia="Calibri"/>
          <w:color w:val="000000"/>
          <w:sz w:val="26"/>
          <w:szCs w:val="26"/>
        </w:rPr>
        <w:t xml:space="preserve"> </w:t>
      </w:r>
      <w:r w:rsidR="00F4152C">
        <w:rPr>
          <w:rFonts w:eastAsia="Calibri"/>
          <w:color w:val="000000"/>
          <w:sz w:val="26"/>
          <w:szCs w:val="26"/>
        </w:rPr>
        <w:t xml:space="preserve">and </w:t>
      </w:r>
      <w:r w:rsidR="00267E47">
        <w:rPr>
          <w:rFonts w:eastAsia="Calibri"/>
          <w:color w:val="000000"/>
          <w:sz w:val="26"/>
          <w:szCs w:val="26"/>
        </w:rPr>
        <w:t>Refunds</w:t>
      </w:r>
      <w:r w:rsidR="00EA2006" w:rsidRPr="00EA2006">
        <w:rPr>
          <w:rFonts w:eastAsia="Calibri"/>
          <w:color w:val="000000"/>
          <w:sz w:val="26"/>
          <w:szCs w:val="26"/>
        </w:rPr>
        <w:t xml:space="preserve"> </w:t>
      </w:r>
      <w:r w:rsidR="00EA2006">
        <w:rPr>
          <w:rFonts w:eastAsia="Calibri"/>
          <w:color w:val="000000"/>
          <w:sz w:val="26"/>
          <w:szCs w:val="26"/>
        </w:rPr>
        <w:t>–</w:t>
      </w:r>
      <w:r w:rsidR="00267E47">
        <w:rPr>
          <w:rFonts w:eastAsia="Calibri"/>
          <w:color w:val="000000"/>
          <w:sz w:val="26"/>
          <w:szCs w:val="26"/>
        </w:rPr>
        <w:t xml:space="preserve"> Calculation of the Refund Period and Accrued Interest</w:t>
      </w:r>
      <w:r w:rsidR="00A40F97">
        <w:rPr>
          <w:rFonts w:eastAsia="Calibri"/>
          <w:color w:val="000000"/>
          <w:sz w:val="26"/>
          <w:szCs w:val="26"/>
        </w:rPr>
        <w:t xml:space="preserve"> as </w:t>
      </w:r>
      <w:r w:rsidR="00FD4E30" w:rsidRPr="00D20711">
        <w:rPr>
          <w:rFonts w:eastAsia="Calibri"/>
          <w:color w:val="000000"/>
          <w:sz w:val="26"/>
          <w:szCs w:val="26"/>
        </w:rPr>
        <w:t>set forth in this Opinion and Order.</w:t>
      </w:r>
    </w:p>
    <w:p w14:paraId="4A9CBB51" w14:textId="7B2C7883" w:rsidR="00FD09CB" w:rsidRDefault="00FD4E30" w:rsidP="00F06E66">
      <w:pPr>
        <w:widowControl/>
        <w:autoSpaceDE w:val="0"/>
        <w:autoSpaceDN w:val="0"/>
        <w:adjustRightInd w:val="0"/>
        <w:spacing w:line="360" w:lineRule="auto"/>
        <w:ind w:firstLine="1440"/>
        <w:rPr>
          <w:rFonts w:eastAsia="Calibri"/>
          <w:color w:val="000000"/>
          <w:sz w:val="26"/>
          <w:szCs w:val="26"/>
        </w:rPr>
      </w:pPr>
      <w:r>
        <w:rPr>
          <w:rFonts w:eastAsia="Calibri"/>
          <w:color w:val="000000"/>
          <w:sz w:val="26"/>
          <w:szCs w:val="26"/>
        </w:rPr>
        <w:t xml:space="preserve"> </w:t>
      </w:r>
    </w:p>
    <w:p w14:paraId="2486B8F8" w14:textId="4494B58C" w:rsidR="002863A0" w:rsidRPr="00A57018" w:rsidRDefault="00A86DC0" w:rsidP="00F06E66">
      <w:pPr>
        <w:pStyle w:val="Heading2"/>
        <w:widowControl/>
        <w:numPr>
          <w:ilvl w:val="0"/>
          <w:numId w:val="15"/>
        </w:numPr>
        <w:ind w:hanging="720"/>
      </w:pPr>
      <w:bookmarkStart w:id="14" w:name="_Toc59179296"/>
      <w:r w:rsidRPr="00A57018">
        <w:t>Application of Appropriate Legal Standards</w:t>
      </w:r>
      <w:bookmarkEnd w:id="14"/>
    </w:p>
    <w:p w14:paraId="7F3F03C1" w14:textId="77777777" w:rsidR="00A86DC0" w:rsidRPr="00A57018" w:rsidRDefault="00A86DC0" w:rsidP="00F06E66">
      <w:pPr>
        <w:widowControl/>
        <w:spacing w:line="360" w:lineRule="auto"/>
        <w:rPr>
          <w:sz w:val="26"/>
          <w:szCs w:val="26"/>
        </w:rPr>
      </w:pPr>
      <w:bookmarkStart w:id="15" w:name="_Hlk36450586"/>
    </w:p>
    <w:p w14:paraId="03D948C7" w14:textId="0E6EEC48" w:rsidR="00100C1D" w:rsidRPr="00A57018" w:rsidRDefault="00A86DC0" w:rsidP="00F06E66">
      <w:pPr>
        <w:pStyle w:val="Heading3"/>
        <w:numPr>
          <w:ilvl w:val="0"/>
          <w:numId w:val="16"/>
        </w:numPr>
        <w:ind w:left="1440" w:hanging="720"/>
      </w:pPr>
      <w:bookmarkStart w:id="16" w:name="_Toc59179297"/>
      <w:bookmarkStart w:id="17" w:name="_Hlk37136395"/>
      <w:bookmarkStart w:id="18" w:name="_Hlk54871577"/>
      <w:r w:rsidRPr="00A57018">
        <w:t>Recommended Decision</w:t>
      </w:r>
      <w:bookmarkEnd w:id="16"/>
    </w:p>
    <w:p w14:paraId="506B4918" w14:textId="7B5392B7" w:rsidR="0052661C" w:rsidRPr="00A57018" w:rsidRDefault="0052661C" w:rsidP="00F06E66">
      <w:pPr>
        <w:widowControl/>
        <w:spacing w:line="360" w:lineRule="auto"/>
        <w:rPr>
          <w:sz w:val="26"/>
          <w:szCs w:val="26"/>
        </w:rPr>
      </w:pPr>
    </w:p>
    <w:p w14:paraId="3885C1B4" w14:textId="3E113C65" w:rsidR="0052661C" w:rsidRPr="00A57018" w:rsidRDefault="0052661C" w:rsidP="00F06E66">
      <w:pPr>
        <w:widowControl/>
        <w:spacing w:line="360" w:lineRule="auto"/>
        <w:ind w:firstLine="1440"/>
        <w:textAlignment w:val="baseline"/>
        <w:rPr>
          <w:color w:val="000000"/>
          <w:sz w:val="26"/>
          <w:szCs w:val="26"/>
        </w:rPr>
      </w:pPr>
      <w:r w:rsidRPr="00A57018">
        <w:rPr>
          <w:color w:val="000000"/>
          <w:sz w:val="26"/>
          <w:szCs w:val="26"/>
        </w:rPr>
        <w:t xml:space="preserve">In his Recommended Decision, the ALJ noted that Verizon and FirstEnergy each contend that the other Party bears the burden of proof in this case.  However, the ALJ found that Verizon has the initial burden of proof as the complainant. </w:t>
      </w:r>
      <w:r w:rsidR="00B93766" w:rsidRPr="00A57018">
        <w:rPr>
          <w:color w:val="000000"/>
          <w:sz w:val="26"/>
          <w:szCs w:val="26"/>
        </w:rPr>
        <w:t xml:space="preserve"> </w:t>
      </w:r>
      <w:r w:rsidRPr="00A57018">
        <w:rPr>
          <w:color w:val="000000"/>
          <w:sz w:val="26"/>
          <w:szCs w:val="26"/>
        </w:rPr>
        <w:t xml:space="preserve">Next, the ALJ </w:t>
      </w:r>
      <w:r w:rsidRPr="00A57018">
        <w:rPr>
          <w:color w:val="000000"/>
          <w:sz w:val="26"/>
          <w:szCs w:val="26"/>
        </w:rPr>
        <w:lastRenderedPageBreak/>
        <w:t>explained that FirstEnergy has the burden to rebut Verizon’s burden of proof.  The ALJ reasoned that when determining whether pole attachment rates are just and reasonable and in accordance with the provisions of the Code, the Commission has indicated that it will use the rules and regulations set forth by the FCC.  Both the FCC’s and Commission’s standards to be applied to pole attachment cases exist mutually and not exclusively.  R.D. at 18.</w:t>
      </w:r>
    </w:p>
    <w:p w14:paraId="7E64E2F7" w14:textId="77777777" w:rsidR="0052661C" w:rsidRPr="00A57018" w:rsidRDefault="0052661C" w:rsidP="00A57018">
      <w:pPr>
        <w:widowControl/>
        <w:spacing w:line="360" w:lineRule="auto"/>
        <w:ind w:firstLine="1440"/>
        <w:textAlignment w:val="baseline"/>
        <w:rPr>
          <w:color w:val="000000"/>
          <w:sz w:val="26"/>
          <w:szCs w:val="26"/>
        </w:rPr>
      </w:pPr>
    </w:p>
    <w:p w14:paraId="7F640FFE" w14:textId="77777777" w:rsidR="0052661C" w:rsidRPr="00A57018" w:rsidRDefault="0052661C" w:rsidP="00A57018">
      <w:pPr>
        <w:keepNext/>
        <w:widowControl/>
        <w:spacing w:line="360" w:lineRule="auto"/>
        <w:ind w:left="1440"/>
        <w:textAlignment w:val="baseline"/>
        <w:rPr>
          <w:color w:val="000000"/>
          <w:sz w:val="26"/>
          <w:szCs w:val="26"/>
        </w:rPr>
      </w:pPr>
      <w:r w:rsidRPr="00A57018">
        <w:rPr>
          <w:color w:val="000000"/>
          <w:sz w:val="26"/>
          <w:szCs w:val="26"/>
        </w:rPr>
        <w:t>Citing to Chapter 77 of the Commission’s Regulations, the ALJ noted:</w:t>
      </w:r>
    </w:p>
    <w:p w14:paraId="3CC683A0" w14:textId="77777777" w:rsidR="0052661C" w:rsidRPr="00A57018" w:rsidRDefault="0052661C" w:rsidP="00FA0506">
      <w:pPr>
        <w:keepNext/>
        <w:widowControl/>
        <w:textAlignment w:val="baseline"/>
        <w:rPr>
          <w:color w:val="000000"/>
          <w:sz w:val="26"/>
          <w:szCs w:val="26"/>
        </w:rPr>
      </w:pPr>
    </w:p>
    <w:p w14:paraId="26B470CF" w14:textId="77777777" w:rsidR="0052661C" w:rsidRPr="00A57018" w:rsidRDefault="0052661C" w:rsidP="00A57018">
      <w:pPr>
        <w:keepNext/>
        <w:widowControl/>
        <w:tabs>
          <w:tab w:val="left" w:pos="2304"/>
        </w:tabs>
        <w:ind w:left="1440" w:right="1440"/>
        <w:textAlignment w:val="baseline"/>
        <w:rPr>
          <w:color w:val="000000"/>
          <w:sz w:val="26"/>
          <w:szCs w:val="26"/>
        </w:rPr>
      </w:pPr>
      <w:r w:rsidRPr="00A57018">
        <w:rPr>
          <w:color w:val="000000"/>
          <w:sz w:val="26"/>
          <w:szCs w:val="26"/>
        </w:rPr>
        <w:t>(a)</w:t>
      </w:r>
      <w:r w:rsidRPr="00A57018">
        <w:rPr>
          <w:color w:val="000000"/>
          <w:sz w:val="26"/>
          <w:szCs w:val="26"/>
        </w:rPr>
        <w:tab/>
        <w:t xml:space="preserve">This chapter adopts the rates, </w:t>
      </w:r>
      <w:proofErr w:type="gramStart"/>
      <w:r w:rsidRPr="00A57018">
        <w:rPr>
          <w:color w:val="000000"/>
          <w:sz w:val="26"/>
          <w:szCs w:val="26"/>
        </w:rPr>
        <w:t>terms</w:t>
      </w:r>
      <w:proofErr w:type="gramEnd"/>
      <w:r w:rsidRPr="00A57018">
        <w:rPr>
          <w:color w:val="000000"/>
          <w:sz w:val="26"/>
          <w:szCs w:val="26"/>
        </w:rPr>
        <w:t xml:space="preserve"> and conditions of access to and use of utility poles, ducts, conduits and rights-of-way to the full extent provided for in 47 U.S.C. § 224 and 47 CFR Chapter I, Subchapter A, Part 1, Subpart J (relating to pole attachment complaint procedures), inclusive of future changes as those regulations may be amended.</w:t>
      </w:r>
    </w:p>
    <w:p w14:paraId="73588D50" w14:textId="77777777" w:rsidR="0052661C" w:rsidRPr="00A57018" w:rsidRDefault="0052661C" w:rsidP="00A57018">
      <w:pPr>
        <w:widowControl/>
        <w:tabs>
          <w:tab w:val="left" w:pos="2304"/>
        </w:tabs>
        <w:spacing w:line="360" w:lineRule="auto"/>
        <w:ind w:left="1656"/>
        <w:textAlignment w:val="baseline"/>
        <w:rPr>
          <w:color w:val="000000"/>
          <w:sz w:val="26"/>
          <w:szCs w:val="26"/>
        </w:rPr>
      </w:pPr>
    </w:p>
    <w:p w14:paraId="60381091" w14:textId="6C91C9D7" w:rsidR="0052661C" w:rsidRPr="00A57018" w:rsidRDefault="0052661C" w:rsidP="00A57018">
      <w:pPr>
        <w:widowControl/>
        <w:spacing w:line="360" w:lineRule="auto"/>
        <w:textAlignment w:val="baseline"/>
        <w:rPr>
          <w:color w:val="000000"/>
          <w:sz w:val="26"/>
          <w:szCs w:val="26"/>
        </w:rPr>
      </w:pPr>
      <w:r w:rsidRPr="00A57018">
        <w:rPr>
          <w:color w:val="000000"/>
          <w:sz w:val="26"/>
          <w:szCs w:val="26"/>
        </w:rPr>
        <w:t xml:space="preserve">52 Pa. Code § 77.4(a).  In reverse pre-empting the FCC on pole attachment issues, the ALJ emphasized that the Commission has also determined that “persons and entities subject to this chapter may utilize the mediation, formal </w:t>
      </w:r>
      <w:proofErr w:type="gramStart"/>
      <w:r w:rsidRPr="00A57018">
        <w:rPr>
          <w:color w:val="000000"/>
          <w:sz w:val="26"/>
          <w:szCs w:val="26"/>
        </w:rPr>
        <w:t>complaint</w:t>
      </w:r>
      <w:proofErr w:type="gramEnd"/>
      <w:r w:rsidRPr="00A57018">
        <w:rPr>
          <w:color w:val="000000"/>
          <w:sz w:val="26"/>
          <w:szCs w:val="26"/>
        </w:rPr>
        <w:t xml:space="preserve"> and adjudicative procedures under 52 Pa. Code Chapters 1, 3 and 5 ... of the Commission’s regulations to resolve disputes or terminate controversies.”  R.D. at 18 (quoting 52 Pa. Code § 77.5(a)).  Additionally, the Commission has also determined that “[w]hen exercising authority under this chapter the Commission will consider Federal Communications Commission orders promulgating and interpreting Federal pole attachment rules and Federal court decisions reviewing those rules and interpretations as persuasive authority . . . .”  </w:t>
      </w:r>
      <w:r w:rsidRPr="00A57018">
        <w:rPr>
          <w:i/>
          <w:iCs/>
          <w:color w:val="000000"/>
          <w:sz w:val="26"/>
          <w:szCs w:val="26"/>
        </w:rPr>
        <w:t>Id</w:t>
      </w:r>
      <w:r w:rsidRPr="00A57018">
        <w:rPr>
          <w:color w:val="000000"/>
          <w:sz w:val="26"/>
          <w:szCs w:val="26"/>
        </w:rPr>
        <w:t>.</w:t>
      </w:r>
      <w:r w:rsidR="00F06E66">
        <w:rPr>
          <w:color w:val="000000"/>
          <w:sz w:val="26"/>
          <w:szCs w:val="26"/>
        </w:rPr>
        <w:t> </w:t>
      </w:r>
      <w:r w:rsidRPr="00A57018">
        <w:rPr>
          <w:color w:val="000000"/>
          <w:sz w:val="26"/>
          <w:szCs w:val="26"/>
        </w:rPr>
        <w:t>(quoting 52 Pa. Code § 77.5(c)).</w:t>
      </w:r>
    </w:p>
    <w:p w14:paraId="79884198" w14:textId="77777777" w:rsidR="005D3285" w:rsidRPr="00A57018" w:rsidRDefault="005D3285" w:rsidP="00A57018">
      <w:pPr>
        <w:widowControl/>
        <w:rPr>
          <w:sz w:val="26"/>
          <w:szCs w:val="26"/>
        </w:rPr>
      </w:pPr>
    </w:p>
    <w:p w14:paraId="499B752F" w14:textId="77777777" w:rsidR="005D3285" w:rsidRPr="00A57018" w:rsidRDefault="005D3285" w:rsidP="00A57018">
      <w:pPr>
        <w:widowControl/>
        <w:rPr>
          <w:sz w:val="26"/>
          <w:szCs w:val="26"/>
        </w:rPr>
      </w:pPr>
    </w:p>
    <w:p w14:paraId="19412C45" w14:textId="6ACACE02" w:rsidR="0052661C" w:rsidRPr="00A57018" w:rsidRDefault="0052661C" w:rsidP="00A57018">
      <w:pPr>
        <w:widowControl/>
        <w:spacing w:line="360" w:lineRule="auto"/>
        <w:ind w:firstLine="1440"/>
        <w:textAlignment w:val="baseline"/>
        <w:rPr>
          <w:color w:val="000000"/>
          <w:sz w:val="26"/>
          <w:szCs w:val="26"/>
        </w:rPr>
      </w:pPr>
      <w:r w:rsidRPr="00A57018">
        <w:rPr>
          <w:color w:val="000000"/>
          <w:sz w:val="26"/>
          <w:szCs w:val="26"/>
        </w:rPr>
        <w:t xml:space="preserve">As a result, the ALJ determined that the procedural rules to be followed in this case are set forth in Chapters 1, 3 and 5 of our Regulations, 52 Pa. Code Chps. 1, 3 and 5.  However, the ALJ reasoned that for purposes of determining the substantive issues in a pole attachment case such as in this proceeding, the FCC’s regulations coexist </w:t>
      </w:r>
      <w:r w:rsidRPr="00A57018">
        <w:rPr>
          <w:color w:val="000000"/>
          <w:sz w:val="26"/>
          <w:szCs w:val="26"/>
        </w:rPr>
        <w:lastRenderedPageBreak/>
        <w:t xml:space="preserve">with the Code.  In support, the ALJ referenced our </w:t>
      </w:r>
      <w:r w:rsidRPr="00A57018">
        <w:rPr>
          <w:i/>
          <w:iCs/>
          <w:color w:val="000000"/>
          <w:sz w:val="26"/>
          <w:szCs w:val="26"/>
        </w:rPr>
        <w:t xml:space="preserve">2019 Final Rulemaking Order </w:t>
      </w:r>
      <w:r w:rsidRPr="00A57018">
        <w:rPr>
          <w:color w:val="000000"/>
          <w:sz w:val="26"/>
          <w:szCs w:val="26"/>
        </w:rPr>
        <w:t xml:space="preserve">in which we incorporated the FCC’s rules and regulations governing pole attachment cases, with federal court decisions reviewing those rules and interpretations being persuasive, when making such determinations.  R.D. at 19.  </w:t>
      </w:r>
    </w:p>
    <w:p w14:paraId="744C069D" w14:textId="77777777" w:rsidR="0052661C" w:rsidRPr="00A57018" w:rsidRDefault="0052661C" w:rsidP="00A57018">
      <w:pPr>
        <w:widowControl/>
        <w:spacing w:line="360" w:lineRule="auto"/>
        <w:ind w:firstLine="1440"/>
        <w:textAlignment w:val="baseline"/>
        <w:rPr>
          <w:color w:val="000000"/>
          <w:sz w:val="26"/>
          <w:szCs w:val="26"/>
        </w:rPr>
      </w:pPr>
    </w:p>
    <w:p w14:paraId="23A6B40A" w14:textId="77777777" w:rsidR="0052661C" w:rsidRPr="00A57018" w:rsidRDefault="0052661C" w:rsidP="00FA0506">
      <w:pPr>
        <w:keepNext/>
        <w:widowControl/>
        <w:spacing w:line="360" w:lineRule="auto"/>
        <w:ind w:firstLine="1440"/>
        <w:textAlignment w:val="baseline"/>
        <w:rPr>
          <w:color w:val="000000"/>
          <w:sz w:val="26"/>
          <w:szCs w:val="26"/>
        </w:rPr>
      </w:pPr>
      <w:r w:rsidRPr="00A57018">
        <w:rPr>
          <w:color w:val="000000"/>
          <w:sz w:val="26"/>
          <w:szCs w:val="26"/>
        </w:rPr>
        <w:t>The ALJ cited to our rationale in asserting jurisdiction over pole attachments as follows:</w:t>
      </w:r>
    </w:p>
    <w:p w14:paraId="4D55B8FA" w14:textId="77777777" w:rsidR="0052661C" w:rsidRPr="00A57018" w:rsidRDefault="0052661C" w:rsidP="00FA0506">
      <w:pPr>
        <w:keepNext/>
        <w:widowControl/>
        <w:ind w:firstLine="1440"/>
        <w:textAlignment w:val="baseline"/>
        <w:rPr>
          <w:color w:val="000000"/>
          <w:sz w:val="26"/>
          <w:szCs w:val="26"/>
        </w:rPr>
      </w:pPr>
    </w:p>
    <w:p w14:paraId="6CA62463" w14:textId="525A71F2" w:rsidR="0052661C" w:rsidRPr="00A57018" w:rsidRDefault="0052661C" w:rsidP="00FA0506">
      <w:pPr>
        <w:keepNext/>
        <w:widowControl/>
        <w:ind w:left="1440" w:right="1440"/>
        <w:textAlignment w:val="baseline"/>
        <w:rPr>
          <w:color w:val="000000"/>
          <w:sz w:val="26"/>
          <w:szCs w:val="26"/>
        </w:rPr>
      </w:pPr>
      <w:r w:rsidRPr="00A57018">
        <w:rPr>
          <w:color w:val="000000"/>
          <w:sz w:val="26"/>
          <w:szCs w:val="26"/>
        </w:rPr>
        <w:t xml:space="preserve">Prior to this determination today, the Commission provided an Annex to its [Notice of Proposed Rulemaking] to establish Chapter 77, </w:t>
      </w:r>
      <w:r w:rsidRPr="00A57018">
        <w:rPr>
          <w:i/>
          <w:color w:val="000000"/>
          <w:sz w:val="26"/>
          <w:szCs w:val="26"/>
        </w:rPr>
        <w:t>Pole Attachments</w:t>
      </w:r>
      <w:r w:rsidRPr="00A57018">
        <w:rPr>
          <w:color w:val="000000"/>
          <w:sz w:val="26"/>
          <w:szCs w:val="26"/>
        </w:rPr>
        <w:t xml:space="preserve">, to Title 52 of the Pennsylvania Code. In our initial assertion of jurisdiction over pole attachments, </w:t>
      </w:r>
      <w:r w:rsidRPr="00A57018">
        <w:rPr>
          <w:b/>
          <w:color w:val="000000"/>
          <w:sz w:val="26"/>
          <w:szCs w:val="26"/>
        </w:rPr>
        <w:t>the Commission will adopt, in whole, the FCC’s regulatory regime for pole attachment complaint procedures at Subject J as of the effective date of Chapter</w:t>
      </w:r>
      <w:r w:rsidR="00FA0506">
        <w:rPr>
          <w:b/>
          <w:color w:val="000000"/>
          <w:sz w:val="26"/>
          <w:szCs w:val="26"/>
        </w:rPr>
        <w:t> </w:t>
      </w:r>
      <w:r w:rsidRPr="00A57018">
        <w:rPr>
          <w:b/>
          <w:color w:val="000000"/>
          <w:sz w:val="26"/>
          <w:szCs w:val="26"/>
        </w:rPr>
        <w:t>77</w:t>
      </w:r>
      <w:r w:rsidRPr="00A57018">
        <w:rPr>
          <w:color w:val="000000"/>
          <w:sz w:val="26"/>
          <w:szCs w:val="26"/>
        </w:rPr>
        <w:t>.  This will avoid a multi-year delay in claiming jurisdiction and will uphold the status quo, which will avoid regulatory uncertainty and will promote broadband investment across Pennsylvania.</w:t>
      </w:r>
    </w:p>
    <w:p w14:paraId="3CCED470" w14:textId="77777777" w:rsidR="0052661C" w:rsidRPr="00A57018" w:rsidRDefault="0052661C" w:rsidP="00A57018">
      <w:pPr>
        <w:widowControl/>
        <w:ind w:left="1440" w:right="1440"/>
        <w:textAlignment w:val="baseline"/>
        <w:rPr>
          <w:color w:val="000000"/>
          <w:sz w:val="26"/>
          <w:szCs w:val="26"/>
        </w:rPr>
      </w:pPr>
    </w:p>
    <w:p w14:paraId="65B8AADF" w14:textId="77777777" w:rsidR="0052661C" w:rsidRPr="00A57018" w:rsidRDefault="0052661C" w:rsidP="00A57018">
      <w:pPr>
        <w:widowControl/>
        <w:ind w:left="1440" w:right="1440"/>
        <w:textAlignment w:val="baseline"/>
        <w:rPr>
          <w:color w:val="000000"/>
          <w:sz w:val="26"/>
          <w:szCs w:val="26"/>
        </w:rPr>
      </w:pPr>
      <w:r w:rsidRPr="00A57018">
        <w:rPr>
          <w:color w:val="000000"/>
          <w:sz w:val="26"/>
          <w:szCs w:val="26"/>
        </w:rPr>
        <w:t xml:space="preserve">In response to IRRC’s suggested language change regarding the reference to the FCC’s rules, and for reasons elaborated below, the Commission will amend 52 Pa. Code § 77.1 to reference Subpart J.  </w:t>
      </w:r>
      <w:r w:rsidRPr="00A57018">
        <w:rPr>
          <w:b/>
          <w:color w:val="000000"/>
          <w:sz w:val="26"/>
          <w:szCs w:val="26"/>
        </w:rPr>
        <w:t xml:space="preserve">This will allow the Commission’s regulations to exist in parity with the FCC’s regulations </w:t>
      </w:r>
      <w:r w:rsidRPr="00A57018">
        <w:rPr>
          <w:color w:val="000000"/>
          <w:sz w:val="26"/>
          <w:szCs w:val="26"/>
        </w:rPr>
        <w:t>and will provide greater certainty to the public about the scope and application of the federal rules.</w:t>
      </w:r>
    </w:p>
    <w:p w14:paraId="78801336" w14:textId="77777777" w:rsidR="0052661C" w:rsidRPr="00A57018" w:rsidRDefault="0052661C" w:rsidP="00A57018">
      <w:pPr>
        <w:widowControl/>
        <w:spacing w:line="360" w:lineRule="auto"/>
        <w:jc w:val="both"/>
        <w:textAlignment w:val="baseline"/>
        <w:rPr>
          <w:color w:val="000000"/>
          <w:sz w:val="26"/>
          <w:szCs w:val="26"/>
        </w:rPr>
      </w:pPr>
    </w:p>
    <w:p w14:paraId="646DF587" w14:textId="4CAAAFEF" w:rsidR="0052661C" w:rsidRPr="00A57018" w:rsidRDefault="0052661C" w:rsidP="00A57018">
      <w:pPr>
        <w:widowControl/>
        <w:spacing w:line="360" w:lineRule="auto"/>
        <w:textAlignment w:val="baseline"/>
        <w:rPr>
          <w:color w:val="000000"/>
          <w:sz w:val="26"/>
          <w:szCs w:val="26"/>
        </w:rPr>
      </w:pPr>
      <w:r w:rsidRPr="00A57018">
        <w:rPr>
          <w:color w:val="000000"/>
          <w:sz w:val="26"/>
          <w:szCs w:val="26"/>
        </w:rPr>
        <w:t xml:space="preserve">R.D. at 19 (quoting </w:t>
      </w:r>
      <w:bookmarkStart w:id="19" w:name="_Hlk55409193"/>
      <w:r w:rsidRPr="00A57018">
        <w:rPr>
          <w:i/>
          <w:iCs/>
          <w:color w:val="000000"/>
          <w:sz w:val="26"/>
          <w:szCs w:val="26"/>
        </w:rPr>
        <w:t>2019</w:t>
      </w:r>
      <w:r w:rsidRPr="00A57018">
        <w:rPr>
          <w:color w:val="000000"/>
          <w:sz w:val="26"/>
          <w:szCs w:val="26"/>
        </w:rPr>
        <w:t xml:space="preserve"> </w:t>
      </w:r>
      <w:r w:rsidRPr="00A57018">
        <w:rPr>
          <w:i/>
          <w:iCs/>
          <w:color w:val="000000"/>
          <w:sz w:val="26"/>
          <w:szCs w:val="26"/>
        </w:rPr>
        <w:t>Final Rulemaking Order</w:t>
      </w:r>
      <w:r w:rsidRPr="00A57018">
        <w:rPr>
          <w:color w:val="000000"/>
          <w:sz w:val="26"/>
          <w:szCs w:val="26"/>
        </w:rPr>
        <w:t xml:space="preserve"> at 10 </w:t>
      </w:r>
      <w:bookmarkEnd w:id="19"/>
      <w:r w:rsidRPr="00A57018">
        <w:rPr>
          <w:color w:val="000000"/>
          <w:sz w:val="26"/>
          <w:szCs w:val="26"/>
        </w:rPr>
        <w:t xml:space="preserve">(emphasis added by the ALJ)).  Similarly, in discussing the adoption of FCC regulations in Section 77.4 of our Regulations and the possibility of cases reverting back to the FCC if the Commission does not act on them in a timely manner, the ALJ noted our explanation that, “[w]hile the Commission does not anticipate losing jurisdiction over specific complaints in this manner, should it occur, parties will apply the same substantive rules in either venue.  </w:t>
      </w:r>
      <w:r w:rsidRPr="00A57018">
        <w:rPr>
          <w:color w:val="000000"/>
          <w:sz w:val="26"/>
          <w:szCs w:val="26"/>
        </w:rPr>
        <w:lastRenderedPageBreak/>
        <w:t xml:space="preserve">This is yet another reason why parity between the Pennsylvania and federal rules benefits stakeholders.”  R.D. at 19 (quoting </w:t>
      </w:r>
      <w:bookmarkStart w:id="20" w:name="_Hlk55454513"/>
      <w:r w:rsidRPr="00A57018">
        <w:rPr>
          <w:i/>
          <w:iCs/>
          <w:color w:val="000000"/>
          <w:sz w:val="26"/>
          <w:szCs w:val="26"/>
        </w:rPr>
        <w:t>2019 Final Rulemaking Order</w:t>
      </w:r>
      <w:r w:rsidRPr="00A57018">
        <w:rPr>
          <w:color w:val="000000"/>
          <w:sz w:val="26"/>
          <w:szCs w:val="26"/>
        </w:rPr>
        <w:t xml:space="preserve"> at 25). </w:t>
      </w:r>
    </w:p>
    <w:bookmarkEnd w:id="20"/>
    <w:p w14:paraId="69712012" w14:textId="77777777" w:rsidR="0052661C" w:rsidRPr="00A57018" w:rsidRDefault="0052661C" w:rsidP="00A57018">
      <w:pPr>
        <w:widowControl/>
        <w:spacing w:line="360" w:lineRule="auto"/>
        <w:textAlignment w:val="baseline"/>
        <w:rPr>
          <w:color w:val="000000"/>
          <w:sz w:val="26"/>
          <w:szCs w:val="26"/>
        </w:rPr>
      </w:pPr>
    </w:p>
    <w:p w14:paraId="33E83F30" w14:textId="77777777" w:rsidR="0052661C" w:rsidRPr="00A57018" w:rsidRDefault="0052661C" w:rsidP="00A57018">
      <w:pPr>
        <w:keepNext/>
        <w:widowControl/>
        <w:spacing w:line="360" w:lineRule="auto"/>
        <w:ind w:firstLine="1440"/>
        <w:textAlignment w:val="baseline"/>
        <w:rPr>
          <w:color w:val="000000"/>
          <w:sz w:val="26"/>
          <w:szCs w:val="26"/>
          <w:u w:val="single"/>
        </w:rPr>
      </w:pPr>
      <w:r w:rsidRPr="00A57018">
        <w:rPr>
          <w:color w:val="000000"/>
          <w:sz w:val="26"/>
          <w:szCs w:val="26"/>
        </w:rPr>
        <w:t>The ALJ further highlighted the Commission’s intent to coordinate with the federal standards:</w:t>
      </w:r>
    </w:p>
    <w:p w14:paraId="6FCCD672" w14:textId="77777777" w:rsidR="0052661C" w:rsidRPr="00A57018" w:rsidRDefault="0052661C" w:rsidP="00F06E66">
      <w:pPr>
        <w:keepNext/>
        <w:widowControl/>
        <w:ind w:left="1440" w:right="1440"/>
        <w:textAlignment w:val="baseline"/>
        <w:rPr>
          <w:color w:val="000000"/>
          <w:sz w:val="26"/>
          <w:szCs w:val="26"/>
        </w:rPr>
      </w:pPr>
    </w:p>
    <w:p w14:paraId="204BD498" w14:textId="77777777" w:rsidR="0052661C" w:rsidRPr="00A57018" w:rsidRDefault="0052661C" w:rsidP="00A57018">
      <w:pPr>
        <w:keepNext/>
        <w:widowControl/>
        <w:ind w:left="1440" w:right="1440"/>
        <w:textAlignment w:val="baseline"/>
        <w:rPr>
          <w:color w:val="000000"/>
          <w:sz w:val="26"/>
          <w:szCs w:val="26"/>
        </w:rPr>
      </w:pPr>
      <w:r w:rsidRPr="00A57018">
        <w:rPr>
          <w:color w:val="000000"/>
          <w:sz w:val="26"/>
          <w:szCs w:val="26"/>
        </w:rPr>
        <w:t>In any event, adopting the FCC’s regulations provides certainty that Pennsylvania’s pole attachment regulations conform to the base-line federal standards required to retain state authority over pole attachments.  Adoption of the federal rules, including the proposed mechanism for adopting future changes to those rules, supports the cooperative state-federal goal of deployment of broadband across the Commonwealth, while also considering the safety, adequacy, and reliability of electric service in a manner that is consistent with due process... [I]f the Commission deems it appropriate to diverge from the federal regulations, it would initiate a rulemaking that would be subject to public comment.</w:t>
      </w:r>
    </w:p>
    <w:p w14:paraId="18278464" w14:textId="77777777" w:rsidR="0052661C" w:rsidRPr="00A57018" w:rsidRDefault="0052661C" w:rsidP="00A57018">
      <w:pPr>
        <w:widowControl/>
        <w:spacing w:line="360" w:lineRule="auto"/>
        <w:textAlignment w:val="baseline"/>
        <w:rPr>
          <w:color w:val="000000"/>
          <w:sz w:val="26"/>
          <w:szCs w:val="26"/>
        </w:rPr>
      </w:pPr>
    </w:p>
    <w:p w14:paraId="3F0EBA82" w14:textId="3D634599" w:rsidR="0052661C" w:rsidRPr="00A57018" w:rsidRDefault="0052661C" w:rsidP="00F06E66">
      <w:pPr>
        <w:widowControl/>
        <w:spacing w:line="360" w:lineRule="auto"/>
        <w:textAlignment w:val="baseline"/>
        <w:rPr>
          <w:color w:val="000000"/>
          <w:sz w:val="26"/>
          <w:szCs w:val="26"/>
        </w:rPr>
      </w:pPr>
      <w:r w:rsidRPr="00A57018">
        <w:rPr>
          <w:color w:val="000000"/>
          <w:sz w:val="26"/>
          <w:szCs w:val="26"/>
        </w:rPr>
        <w:t xml:space="preserve">R.D. at 20 (quoting </w:t>
      </w:r>
      <w:r w:rsidRPr="00A57018">
        <w:rPr>
          <w:i/>
          <w:iCs/>
          <w:color w:val="000000"/>
          <w:sz w:val="26"/>
          <w:szCs w:val="26"/>
        </w:rPr>
        <w:t>2019 Final Rulemaking Order</w:t>
      </w:r>
      <w:r w:rsidRPr="00A57018">
        <w:rPr>
          <w:color w:val="000000"/>
          <w:sz w:val="26"/>
          <w:szCs w:val="26"/>
        </w:rPr>
        <w:t xml:space="preserve"> at 27-28). </w:t>
      </w:r>
    </w:p>
    <w:p w14:paraId="3315E053" w14:textId="77777777" w:rsidR="0052661C" w:rsidRPr="00A57018" w:rsidRDefault="0052661C" w:rsidP="00F06E66">
      <w:pPr>
        <w:widowControl/>
        <w:spacing w:line="360" w:lineRule="auto"/>
        <w:ind w:firstLine="1440"/>
        <w:textAlignment w:val="baseline"/>
        <w:rPr>
          <w:color w:val="000000"/>
          <w:sz w:val="26"/>
          <w:szCs w:val="26"/>
        </w:rPr>
      </w:pPr>
    </w:p>
    <w:p w14:paraId="694B947C" w14:textId="47E02DD2" w:rsidR="0052661C" w:rsidRPr="00A57018" w:rsidRDefault="0052661C" w:rsidP="00F06E66">
      <w:pPr>
        <w:widowControl/>
        <w:spacing w:line="360" w:lineRule="auto"/>
        <w:ind w:firstLine="1440"/>
        <w:textAlignment w:val="baseline"/>
        <w:rPr>
          <w:color w:val="000000"/>
          <w:sz w:val="26"/>
          <w:szCs w:val="26"/>
        </w:rPr>
      </w:pPr>
      <w:r w:rsidRPr="00A57018">
        <w:rPr>
          <w:color w:val="000000"/>
          <w:sz w:val="26"/>
          <w:szCs w:val="26"/>
        </w:rPr>
        <w:t>Applying this analysis, the ALJ determined that both Verizon and FirstEnergy are correct in their arguments regarding the legal standard to be applied to this case.  The Commission’s Regulations at Chapter 77 incorporate the FCC’s regulations in 47 C.F.R. Chapter I, Subchapter A, Part 1, Subpart J.  These regulations, the ALJ continued, exist in addition to, not in place of, the Commission’s existing Regulations and the Code, where relevant.  He also noted that in the</w:t>
      </w:r>
      <w:r w:rsidRPr="00A57018">
        <w:rPr>
          <w:i/>
          <w:iCs/>
          <w:color w:val="000000"/>
          <w:sz w:val="26"/>
          <w:szCs w:val="26"/>
        </w:rPr>
        <w:t xml:space="preserve"> 2019</w:t>
      </w:r>
      <w:r w:rsidRPr="00A57018">
        <w:rPr>
          <w:color w:val="000000"/>
          <w:sz w:val="26"/>
          <w:szCs w:val="26"/>
        </w:rPr>
        <w:t xml:space="preserve"> </w:t>
      </w:r>
      <w:r w:rsidRPr="00A57018">
        <w:rPr>
          <w:i/>
          <w:iCs/>
          <w:color w:val="000000"/>
          <w:sz w:val="26"/>
          <w:szCs w:val="26"/>
        </w:rPr>
        <w:t>Final Rulemaking Order,</w:t>
      </w:r>
      <w:r w:rsidRPr="00A57018">
        <w:rPr>
          <w:color w:val="000000"/>
          <w:sz w:val="26"/>
          <w:szCs w:val="26"/>
        </w:rPr>
        <w:t xml:space="preserve"> the Commission could have reiterated verbatim the FCC’s rules and regulations on pole attachments that it was adopting but, instead, chose to incorporate those rules and regulations by reference.  R.D. at 20.  </w:t>
      </w:r>
    </w:p>
    <w:p w14:paraId="138C4C11" w14:textId="77777777" w:rsidR="0052661C" w:rsidRPr="00A57018" w:rsidRDefault="0052661C" w:rsidP="00A57018">
      <w:pPr>
        <w:widowControl/>
        <w:spacing w:line="360" w:lineRule="auto"/>
        <w:ind w:firstLine="1440"/>
        <w:textAlignment w:val="baseline"/>
        <w:rPr>
          <w:color w:val="000000"/>
          <w:sz w:val="26"/>
          <w:szCs w:val="26"/>
        </w:rPr>
      </w:pPr>
    </w:p>
    <w:p w14:paraId="084ED4B0" w14:textId="685EB08D" w:rsidR="0052661C" w:rsidRDefault="0052661C" w:rsidP="00A57018">
      <w:pPr>
        <w:widowControl/>
        <w:spacing w:line="360" w:lineRule="auto"/>
        <w:ind w:firstLine="1440"/>
        <w:textAlignment w:val="baseline"/>
        <w:rPr>
          <w:color w:val="000000"/>
          <w:sz w:val="26"/>
          <w:szCs w:val="26"/>
        </w:rPr>
      </w:pPr>
      <w:r w:rsidRPr="00A57018">
        <w:rPr>
          <w:color w:val="000000"/>
          <w:sz w:val="26"/>
          <w:szCs w:val="26"/>
        </w:rPr>
        <w:t xml:space="preserve">Therefore, in this case, the ALJ found that Verizon, as the </w:t>
      </w:r>
      <w:r w:rsidR="00343D01" w:rsidRPr="00A57018">
        <w:rPr>
          <w:color w:val="000000"/>
          <w:sz w:val="26"/>
          <w:szCs w:val="26"/>
        </w:rPr>
        <w:t>C</w:t>
      </w:r>
      <w:r w:rsidRPr="00A57018">
        <w:rPr>
          <w:color w:val="000000"/>
          <w:sz w:val="26"/>
          <w:szCs w:val="26"/>
        </w:rPr>
        <w:t xml:space="preserve">omplainant, has the initial burden of proof.  To meet its initial burden of proof, Verizon has argued that </w:t>
      </w:r>
      <w:r w:rsidRPr="00A57018">
        <w:rPr>
          <w:color w:val="000000"/>
          <w:sz w:val="26"/>
          <w:szCs w:val="26"/>
        </w:rPr>
        <w:lastRenderedPageBreak/>
        <w:t xml:space="preserve">“the Commission’s regulations presume Verizon must be charged the following properly calculated new telecom rates,” citing to Section 1.1413(b) in support of its position. </w:t>
      </w:r>
      <w:r w:rsidR="00343D01" w:rsidRPr="00A57018">
        <w:rPr>
          <w:color w:val="000000"/>
          <w:sz w:val="26"/>
          <w:szCs w:val="26"/>
        </w:rPr>
        <w:t xml:space="preserve"> </w:t>
      </w:r>
      <w:r w:rsidRPr="00A57018">
        <w:rPr>
          <w:color w:val="000000"/>
          <w:sz w:val="26"/>
          <w:szCs w:val="26"/>
        </w:rPr>
        <w:t>Section 1.1413 of the FCC’s regulations provides:</w:t>
      </w:r>
    </w:p>
    <w:p w14:paraId="13A80CDB" w14:textId="77777777" w:rsidR="00684962" w:rsidRPr="00A57018" w:rsidRDefault="00684962" w:rsidP="00A57018">
      <w:pPr>
        <w:widowControl/>
        <w:spacing w:line="360" w:lineRule="auto"/>
        <w:ind w:firstLine="1440"/>
        <w:textAlignment w:val="baseline"/>
        <w:rPr>
          <w:color w:val="000000"/>
          <w:sz w:val="26"/>
          <w:szCs w:val="26"/>
        </w:rPr>
      </w:pPr>
    </w:p>
    <w:p w14:paraId="28EDD62A" w14:textId="7D3F4026" w:rsidR="0052661C" w:rsidRPr="00A57018" w:rsidRDefault="0052661C" w:rsidP="00A57018">
      <w:pPr>
        <w:widowControl/>
        <w:ind w:left="1440" w:right="1440"/>
        <w:textAlignment w:val="baseline"/>
        <w:rPr>
          <w:b/>
          <w:color w:val="000000"/>
          <w:sz w:val="26"/>
          <w:szCs w:val="26"/>
        </w:rPr>
      </w:pPr>
      <w:r w:rsidRPr="00A57018">
        <w:rPr>
          <w:b/>
          <w:color w:val="000000"/>
          <w:sz w:val="26"/>
          <w:szCs w:val="26"/>
        </w:rPr>
        <w:t>§ 1.1413  Complaints by incumbent local exchange carriers</w:t>
      </w:r>
      <w:r w:rsidR="00FA0506">
        <w:rPr>
          <w:b/>
          <w:color w:val="000000"/>
          <w:sz w:val="26"/>
          <w:szCs w:val="26"/>
        </w:rPr>
        <w:t>.</w:t>
      </w:r>
    </w:p>
    <w:p w14:paraId="473DDB01" w14:textId="77777777" w:rsidR="0052661C" w:rsidRPr="00A57018" w:rsidRDefault="0052661C" w:rsidP="00A57018">
      <w:pPr>
        <w:widowControl/>
        <w:tabs>
          <w:tab w:val="left" w:pos="3096"/>
        </w:tabs>
        <w:ind w:left="1440" w:right="1440" w:firstLine="1440"/>
        <w:textAlignment w:val="baseline"/>
        <w:rPr>
          <w:b/>
          <w:color w:val="000000"/>
          <w:sz w:val="26"/>
          <w:szCs w:val="26"/>
        </w:rPr>
      </w:pPr>
    </w:p>
    <w:p w14:paraId="2B0795B9" w14:textId="26E317E1" w:rsidR="0052661C" w:rsidRPr="00A57018" w:rsidRDefault="0052661C" w:rsidP="00A57018">
      <w:pPr>
        <w:widowControl/>
        <w:tabs>
          <w:tab w:val="left" w:pos="2376"/>
        </w:tabs>
        <w:ind w:left="1440" w:right="1440"/>
        <w:textAlignment w:val="baseline"/>
        <w:rPr>
          <w:color w:val="000000"/>
          <w:sz w:val="26"/>
          <w:szCs w:val="26"/>
        </w:rPr>
      </w:pPr>
      <w:r w:rsidRPr="00A57018">
        <w:rPr>
          <w:color w:val="000000"/>
          <w:sz w:val="26"/>
          <w:szCs w:val="26"/>
        </w:rPr>
        <w:t>(b)</w:t>
      </w:r>
      <w:r w:rsidRPr="00A57018">
        <w:rPr>
          <w:color w:val="000000"/>
          <w:sz w:val="26"/>
          <w:szCs w:val="26"/>
        </w:rPr>
        <w:tab/>
        <w:t>In complaint proceedings challenging utility pole attachment rates, terms and conditions for pole attachment contracts entered into or renewed after the effective date of this section, there is a presumption that an incumbent local exchange carrier (or an association of incumbent local exchange carriers) is similarly situated to an attached that is a telecommunications carrier (as defined in 47 U.S.C. §</w:t>
      </w:r>
      <w:r w:rsidR="00F06E66">
        <w:rPr>
          <w:color w:val="000000"/>
          <w:sz w:val="26"/>
          <w:szCs w:val="26"/>
        </w:rPr>
        <w:t> </w:t>
      </w:r>
      <w:r w:rsidRPr="00A57018">
        <w:rPr>
          <w:color w:val="000000"/>
          <w:sz w:val="26"/>
          <w:szCs w:val="26"/>
        </w:rPr>
        <w:t>251(a)(5)) or a cable television system providing telecommunications services for purposes of obtaining comparable rates, terms or conditions. In such complaint proceedings challenging pole attachment rates, there is a presumption that incumbent local exchange carriers (or an association of incumbent local exchange carriers) may be charged no higher than the rate determined in accordance with § 1.1406(d)(2).  A utility can rebut either or both of the two presumptions in this paragraph (b) with clear and convincing evidence that the incumbent local exchange carrier receives benefits under its pole attachment agreement with a utility that materially advantages the incumbent local exchange carrier over other telecommunications carriers or cable television systems providing telecommunications services on the same poles.</w:t>
      </w:r>
    </w:p>
    <w:p w14:paraId="5D07A44F" w14:textId="77777777" w:rsidR="0052661C" w:rsidRPr="00A57018" w:rsidRDefault="0052661C" w:rsidP="00A57018">
      <w:pPr>
        <w:widowControl/>
        <w:spacing w:line="360" w:lineRule="auto"/>
        <w:textAlignment w:val="baseline"/>
        <w:rPr>
          <w:color w:val="000000"/>
          <w:sz w:val="26"/>
          <w:szCs w:val="26"/>
        </w:rPr>
      </w:pPr>
    </w:p>
    <w:p w14:paraId="09375D31" w14:textId="7E4AB83D" w:rsidR="0052661C" w:rsidRPr="00A57018" w:rsidRDefault="0052661C" w:rsidP="00A57018">
      <w:pPr>
        <w:widowControl/>
        <w:spacing w:line="360" w:lineRule="auto"/>
        <w:textAlignment w:val="baseline"/>
        <w:rPr>
          <w:color w:val="000000"/>
          <w:sz w:val="26"/>
          <w:szCs w:val="26"/>
        </w:rPr>
      </w:pPr>
      <w:r w:rsidRPr="00A57018">
        <w:rPr>
          <w:color w:val="000000"/>
          <w:sz w:val="26"/>
          <w:szCs w:val="26"/>
        </w:rPr>
        <w:t>47 C.F.R. § 1.1413(b).</w:t>
      </w:r>
      <w:r w:rsidRPr="00A57018">
        <w:rPr>
          <w:color w:val="000000"/>
          <w:sz w:val="26"/>
          <w:szCs w:val="26"/>
          <w:vertAlign w:val="superscript"/>
        </w:rPr>
        <w:footnoteReference w:id="10"/>
      </w:r>
    </w:p>
    <w:p w14:paraId="138AEC08" w14:textId="77777777" w:rsidR="0052661C" w:rsidRPr="00A57018" w:rsidRDefault="0052661C" w:rsidP="00A57018">
      <w:pPr>
        <w:widowControl/>
        <w:spacing w:line="360" w:lineRule="auto"/>
        <w:textAlignment w:val="baseline"/>
        <w:rPr>
          <w:color w:val="000000"/>
          <w:sz w:val="26"/>
          <w:szCs w:val="26"/>
        </w:rPr>
      </w:pPr>
    </w:p>
    <w:p w14:paraId="2BFEE942" w14:textId="77777777" w:rsidR="0052661C" w:rsidRPr="00A57018" w:rsidRDefault="0052661C" w:rsidP="00A57018">
      <w:pPr>
        <w:keepNext/>
        <w:widowControl/>
        <w:spacing w:line="360" w:lineRule="auto"/>
        <w:ind w:firstLine="1440"/>
        <w:textAlignment w:val="baseline"/>
        <w:rPr>
          <w:color w:val="000000"/>
          <w:sz w:val="26"/>
          <w:szCs w:val="26"/>
        </w:rPr>
      </w:pPr>
      <w:r w:rsidRPr="00A57018">
        <w:rPr>
          <w:color w:val="000000"/>
          <w:sz w:val="26"/>
          <w:szCs w:val="26"/>
        </w:rPr>
        <w:lastRenderedPageBreak/>
        <w:t>Section 1.1406(d)(2) provides a complicated formula that will be applied for determining the maximum just and reasonable rate.  With respect to attachments to poles by any telecommunications carrier or cable operator providing telecommunications services, the maximum just and reasonable rate is the higher of rates set by two formulas. 47 C.F.R. § 1.1406(d)(2).  The formula in § 1.1406(d)(2)(i) is:</w:t>
      </w:r>
    </w:p>
    <w:p w14:paraId="6D475540" w14:textId="77777777" w:rsidR="0052661C" w:rsidRPr="00A57018" w:rsidRDefault="0052661C" w:rsidP="00F06E66">
      <w:pPr>
        <w:keepNext/>
        <w:widowControl/>
        <w:ind w:firstLine="1440"/>
        <w:textAlignment w:val="baseline"/>
        <w:rPr>
          <w:color w:val="000000"/>
          <w:sz w:val="26"/>
          <w:szCs w:val="26"/>
        </w:rPr>
      </w:pPr>
    </w:p>
    <w:p w14:paraId="649E7501" w14:textId="77777777" w:rsidR="0052661C" w:rsidRPr="00A57018" w:rsidRDefault="0052661C" w:rsidP="00A57018">
      <w:pPr>
        <w:keepNext/>
        <w:widowControl/>
        <w:ind w:left="1440" w:right="1440"/>
        <w:textAlignment w:val="baseline"/>
        <w:rPr>
          <w:color w:val="000000"/>
          <w:sz w:val="26"/>
          <w:szCs w:val="26"/>
        </w:rPr>
      </w:pPr>
      <w:r w:rsidRPr="00A57018">
        <w:rPr>
          <w:color w:val="000000"/>
          <w:sz w:val="26"/>
          <w:szCs w:val="26"/>
        </w:rPr>
        <w:t xml:space="preserve">Rate = Space Factor x Cost </w:t>
      </w:r>
      <w:r w:rsidRPr="00A57018">
        <w:rPr>
          <w:color w:val="000000"/>
          <w:sz w:val="26"/>
          <w:szCs w:val="26"/>
        </w:rPr>
        <w:br/>
      </w:r>
    </w:p>
    <w:p w14:paraId="2DFB91D6" w14:textId="77777777" w:rsidR="0052661C" w:rsidRPr="00A57018" w:rsidRDefault="0052661C" w:rsidP="00A57018">
      <w:pPr>
        <w:widowControl/>
        <w:ind w:left="1440" w:right="1440"/>
        <w:textAlignment w:val="baseline"/>
        <w:rPr>
          <w:color w:val="000000"/>
          <w:sz w:val="26"/>
          <w:szCs w:val="26"/>
        </w:rPr>
      </w:pPr>
      <w:r w:rsidRPr="00A57018">
        <w:rPr>
          <w:color w:val="000000"/>
          <w:sz w:val="26"/>
          <w:szCs w:val="26"/>
        </w:rPr>
        <w:t>Where Cost</w:t>
      </w:r>
    </w:p>
    <w:p w14:paraId="27169CDB" w14:textId="77777777" w:rsidR="0052661C" w:rsidRPr="00A57018" w:rsidRDefault="0052661C" w:rsidP="00A57018">
      <w:pPr>
        <w:widowControl/>
        <w:ind w:left="1440" w:right="1440"/>
        <w:textAlignment w:val="baseline"/>
        <w:rPr>
          <w:color w:val="000000"/>
          <w:sz w:val="26"/>
          <w:szCs w:val="26"/>
        </w:rPr>
      </w:pPr>
    </w:p>
    <w:p w14:paraId="298C366E" w14:textId="4EB3AC78" w:rsidR="0052661C" w:rsidRPr="00A57018" w:rsidRDefault="0052661C" w:rsidP="00A57018">
      <w:pPr>
        <w:widowControl/>
        <w:ind w:left="1440" w:right="1440"/>
        <w:textAlignment w:val="baseline"/>
        <w:rPr>
          <w:color w:val="000000"/>
          <w:sz w:val="26"/>
          <w:szCs w:val="26"/>
        </w:rPr>
      </w:pPr>
      <w:r w:rsidRPr="00A57018">
        <w:rPr>
          <w:color w:val="000000"/>
          <w:sz w:val="26"/>
          <w:szCs w:val="26"/>
        </w:rPr>
        <w:t>in Service Areas where the number of Attaching Entities is 5</w:t>
      </w:r>
      <w:r w:rsidR="00F06E66">
        <w:rPr>
          <w:color w:val="000000"/>
          <w:sz w:val="26"/>
          <w:szCs w:val="26"/>
        </w:rPr>
        <w:t> </w:t>
      </w:r>
      <w:r w:rsidRPr="00A57018">
        <w:rPr>
          <w:color w:val="000000"/>
          <w:sz w:val="26"/>
          <w:szCs w:val="26"/>
        </w:rPr>
        <w:t>= 0.66 x (Net Cost of a Bare Pole x Carrying Charge Rate)</w:t>
      </w:r>
    </w:p>
    <w:p w14:paraId="0310EEA2" w14:textId="77777777" w:rsidR="0052661C" w:rsidRPr="00A57018" w:rsidRDefault="0052661C" w:rsidP="00A57018">
      <w:pPr>
        <w:widowControl/>
        <w:ind w:left="1440" w:right="1440"/>
        <w:textAlignment w:val="baseline"/>
        <w:rPr>
          <w:color w:val="000000"/>
          <w:sz w:val="26"/>
          <w:szCs w:val="26"/>
        </w:rPr>
      </w:pPr>
    </w:p>
    <w:p w14:paraId="3B9F7A12" w14:textId="50640552" w:rsidR="0052661C" w:rsidRPr="00A57018" w:rsidRDefault="0052661C" w:rsidP="00A57018">
      <w:pPr>
        <w:widowControl/>
        <w:ind w:left="1440" w:right="1440"/>
        <w:textAlignment w:val="baseline"/>
        <w:rPr>
          <w:color w:val="000000"/>
          <w:sz w:val="26"/>
          <w:szCs w:val="26"/>
        </w:rPr>
      </w:pPr>
      <w:r w:rsidRPr="00A57018">
        <w:rPr>
          <w:color w:val="000000"/>
          <w:sz w:val="26"/>
          <w:szCs w:val="26"/>
        </w:rPr>
        <w:t>in Service Areas where the number of Attaching Entities is 4</w:t>
      </w:r>
      <w:r w:rsidR="00F06E66">
        <w:rPr>
          <w:color w:val="000000"/>
          <w:sz w:val="26"/>
          <w:szCs w:val="26"/>
        </w:rPr>
        <w:t> </w:t>
      </w:r>
      <w:r w:rsidRPr="00A57018">
        <w:rPr>
          <w:color w:val="000000"/>
          <w:sz w:val="26"/>
          <w:szCs w:val="26"/>
        </w:rPr>
        <w:t>= 0.56 x (Net Cost of a Bare Pole x Carrying Charge Rate)</w:t>
      </w:r>
    </w:p>
    <w:p w14:paraId="701AC760" w14:textId="77777777" w:rsidR="0052661C" w:rsidRPr="00A57018" w:rsidRDefault="0052661C" w:rsidP="00A57018">
      <w:pPr>
        <w:widowControl/>
        <w:ind w:left="1440" w:right="1440"/>
        <w:textAlignment w:val="baseline"/>
        <w:rPr>
          <w:color w:val="000000"/>
          <w:sz w:val="26"/>
          <w:szCs w:val="26"/>
        </w:rPr>
      </w:pPr>
    </w:p>
    <w:p w14:paraId="4E5F9F9E" w14:textId="5FB19629" w:rsidR="0052661C" w:rsidRPr="00A57018" w:rsidRDefault="0052661C" w:rsidP="00A57018">
      <w:pPr>
        <w:widowControl/>
        <w:ind w:left="1440" w:right="1440"/>
        <w:textAlignment w:val="baseline"/>
        <w:rPr>
          <w:color w:val="000000"/>
          <w:sz w:val="26"/>
          <w:szCs w:val="26"/>
        </w:rPr>
      </w:pPr>
      <w:r w:rsidRPr="00A57018">
        <w:rPr>
          <w:color w:val="000000"/>
          <w:sz w:val="26"/>
          <w:szCs w:val="26"/>
        </w:rPr>
        <w:t>in Service Areas where the number of Attaching Entities is 3</w:t>
      </w:r>
      <w:r w:rsidR="00F06E66">
        <w:rPr>
          <w:color w:val="000000"/>
          <w:sz w:val="26"/>
          <w:szCs w:val="26"/>
        </w:rPr>
        <w:t> </w:t>
      </w:r>
      <w:r w:rsidRPr="00A57018">
        <w:rPr>
          <w:color w:val="000000"/>
          <w:sz w:val="26"/>
          <w:szCs w:val="26"/>
        </w:rPr>
        <w:t>= 0.44 x (Net Cost of a Bare Pole x Carrying Charge Rate)</w:t>
      </w:r>
    </w:p>
    <w:p w14:paraId="457B400C" w14:textId="77777777" w:rsidR="0052661C" w:rsidRPr="00A57018" w:rsidRDefault="0052661C" w:rsidP="00A57018">
      <w:pPr>
        <w:widowControl/>
        <w:ind w:left="1440" w:right="1440"/>
        <w:textAlignment w:val="baseline"/>
        <w:rPr>
          <w:color w:val="000000"/>
          <w:sz w:val="26"/>
          <w:szCs w:val="26"/>
        </w:rPr>
      </w:pPr>
    </w:p>
    <w:p w14:paraId="2454E96C" w14:textId="6ADECABE" w:rsidR="0052661C" w:rsidRPr="00A57018" w:rsidRDefault="0052661C" w:rsidP="00A57018">
      <w:pPr>
        <w:widowControl/>
        <w:ind w:left="1440" w:right="1440"/>
        <w:textAlignment w:val="baseline"/>
        <w:rPr>
          <w:color w:val="000000"/>
          <w:sz w:val="26"/>
          <w:szCs w:val="26"/>
        </w:rPr>
      </w:pPr>
      <w:r w:rsidRPr="00A57018">
        <w:rPr>
          <w:color w:val="000000"/>
          <w:sz w:val="26"/>
          <w:szCs w:val="26"/>
        </w:rPr>
        <w:t>in Service Areas where the number of Attaching Entities is 2</w:t>
      </w:r>
      <w:r w:rsidR="00F06E66">
        <w:rPr>
          <w:color w:val="000000"/>
          <w:sz w:val="26"/>
          <w:szCs w:val="26"/>
        </w:rPr>
        <w:t> </w:t>
      </w:r>
      <w:r w:rsidRPr="00A57018">
        <w:rPr>
          <w:color w:val="000000"/>
          <w:sz w:val="26"/>
          <w:szCs w:val="26"/>
        </w:rPr>
        <w:t>= 0.31 x (Net Cost of a Bare Pole x Carrying Charge Rate)</w:t>
      </w:r>
    </w:p>
    <w:p w14:paraId="688B9EA3" w14:textId="77777777" w:rsidR="0052661C" w:rsidRPr="00A57018" w:rsidRDefault="0052661C" w:rsidP="00A57018">
      <w:pPr>
        <w:widowControl/>
        <w:ind w:left="1440" w:right="1440"/>
        <w:textAlignment w:val="baseline"/>
        <w:rPr>
          <w:color w:val="000000"/>
          <w:sz w:val="26"/>
          <w:szCs w:val="26"/>
        </w:rPr>
      </w:pPr>
    </w:p>
    <w:p w14:paraId="4F51BB37" w14:textId="72D2359D" w:rsidR="0052661C" w:rsidRDefault="0052661C" w:rsidP="00A57018">
      <w:pPr>
        <w:widowControl/>
        <w:ind w:left="1440" w:right="1440"/>
        <w:textAlignment w:val="baseline"/>
        <w:rPr>
          <w:color w:val="000000"/>
          <w:sz w:val="26"/>
          <w:szCs w:val="26"/>
        </w:rPr>
      </w:pPr>
      <w:r w:rsidRPr="00A57018">
        <w:rPr>
          <w:color w:val="000000"/>
          <w:sz w:val="26"/>
          <w:szCs w:val="26"/>
        </w:rPr>
        <w:t>in Service Areas where the number of Attaching Entities is not a whole number = N x (Net Cost of a Bare Pole x Carrying Charge Rate), where N is interpolated from the cost allocator associated with the nearest whole numbers above and below the number of Attaching Entities.</w:t>
      </w:r>
    </w:p>
    <w:p w14:paraId="055FCD09" w14:textId="77777777" w:rsidR="00FA0506" w:rsidRPr="00A57018" w:rsidRDefault="00FA0506" w:rsidP="00FA0506">
      <w:pPr>
        <w:widowControl/>
        <w:ind w:left="1440" w:right="1440"/>
        <w:textAlignment w:val="baseline"/>
        <w:rPr>
          <w:color w:val="000000"/>
          <w:sz w:val="26"/>
          <w:szCs w:val="26"/>
        </w:rPr>
      </w:pPr>
    </w:p>
    <w:p w14:paraId="0D880B52" w14:textId="77777777" w:rsidR="0052661C" w:rsidRPr="00A57018" w:rsidRDefault="0052661C" w:rsidP="00A57018">
      <w:pPr>
        <w:widowControl/>
        <w:ind w:left="1440" w:right="1440"/>
        <w:textAlignment w:val="baseline"/>
        <w:rPr>
          <w:color w:val="000000"/>
          <w:sz w:val="26"/>
          <w:szCs w:val="26"/>
        </w:rPr>
      </w:pPr>
    </w:p>
    <w:p w14:paraId="3726F034" w14:textId="77777777" w:rsidR="0052661C" w:rsidRPr="00A57018" w:rsidRDefault="0052661C" w:rsidP="00A57018">
      <w:pPr>
        <w:widowControl/>
        <w:ind w:left="1440" w:right="1440"/>
        <w:textAlignment w:val="baseline"/>
        <w:rPr>
          <w:color w:val="000000"/>
          <w:sz w:val="26"/>
          <w:szCs w:val="26"/>
        </w:rPr>
      </w:pPr>
      <w:r w:rsidRPr="00A57018">
        <w:rPr>
          <w:noProof/>
          <w:color w:val="000000"/>
          <w:sz w:val="26"/>
          <w:szCs w:val="26"/>
        </w:rPr>
        <w:drawing>
          <wp:inline distT="0" distB="0" distL="0" distR="0" wp14:anchorId="61088F5D" wp14:editId="2070D32E">
            <wp:extent cx="4108450" cy="10096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08450" cy="1009650"/>
                    </a:xfrm>
                    <a:prstGeom prst="rect">
                      <a:avLst/>
                    </a:prstGeom>
                    <a:noFill/>
                    <a:ln>
                      <a:noFill/>
                    </a:ln>
                  </pic:spPr>
                </pic:pic>
              </a:graphicData>
            </a:graphic>
          </wp:inline>
        </w:drawing>
      </w:r>
    </w:p>
    <w:p w14:paraId="6BD9C332" w14:textId="77777777" w:rsidR="0052661C" w:rsidRPr="00A57018" w:rsidRDefault="0052661C" w:rsidP="00A57018">
      <w:pPr>
        <w:widowControl/>
        <w:ind w:left="1440" w:right="1440"/>
        <w:textAlignment w:val="baseline"/>
        <w:rPr>
          <w:color w:val="000000"/>
          <w:sz w:val="26"/>
          <w:szCs w:val="26"/>
        </w:rPr>
      </w:pPr>
    </w:p>
    <w:p w14:paraId="36002BCE" w14:textId="77777777" w:rsidR="0052661C" w:rsidRPr="00A57018" w:rsidRDefault="0052661C" w:rsidP="00A57018">
      <w:pPr>
        <w:widowControl/>
        <w:spacing w:line="360" w:lineRule="auto"/>
        <w:ind w:firstLine="1440"/>
        <w:textAlignment w:val="baseline"/>
        <w:rPr>
          <w:color w:val="000000"/>
          <w:sz w:val="26"/>
          <w:szCs w:val="26"/>
        </w:rPr>
      </w:pPr>
    </w:p>
    <w:p w14:paraId="3F9D5C05" w14:textId="77777777" w:rsidR="0052661C" w:rsidRPr="00A57018" w:rsidRDefault="0052661C" w:rsidP="00A57018">
      <w:pPr>
        <w:keepNext/>
        <w:widowControl/>
        <w:spacing w:line="360" w:lineRule="auto"/>
        <w:textAlignment w:val="baseline"/>
        <w:rPr>
          <w:rFonts w:eastAsia="PMingLiU"/>
          <w:noProof/>
          <w:sz w:val="26"/>
          <w:szCs w:val="26"/>
        </w:rPr>
      </w:pPr>
      <w:r w:rsidRPr="00A57018">
        <w:rPr>
          <w:color w:val="000000"/>
          <w:sz w:val="26"/>
          <w:szCs w:val="26"/>
        </w:rPr>
        <w:lastRenderedPageBreak/>
        <w:t>The formula in § 1.1406(d)(2)(ii) is:</w:t>
      </w:r>
      <w:r w:rsidRPr="00A57018">
        <w:rPr>
          <w:rFonts w:eastAsia="PMingLiU"/>
          <w:noProof/>
          <w:sz w:val="26"/>
          <w:szCs w:val="26"/>
        </w:rPr>
        <w:t xml:space="preserve"> </w:t>
      </w:r>
    </w:p>
    <w:p w14:paraId="12E01206" w14:textId="77777777" w:rsidR="0052661C" w:rsidRPr="00A57018" w:rsidRDefault="0052661C" w:rsidP="00A57018">
      <w:pPr>
        <w:keepNext/>
        <w:widowControl/>
        <w:spacing w:line="360" w:lineRule="auto"/>
        <w:textAlignment w:val="baseline"/>
        <w:rPr>
          <w:rFonts w:eastAsia="PMingLiU"/>
          <w:noProof/>
          <w:sz w:val="26"/>
          <w:szCs w:val="26"/>
        </w:rPr>
      </w:pPr>
    </w:p>
    <w:p w14:paraId="39201A5D" w14:textId="77777777" w:rsidR="0052661C" w:rsidRPr="00A57018" w:rsidRDefault="0052661C" w:rsidP="00A57018">
      <w:pPr>
        <w:keepNext/>
        <w:widowControl/>
        <w:spacing w:line="360" w:lineRule="auto"/>
        <w:jc w:val="center"/>
        <w:textAlignment w:val="baseline"/>
        <w:rPr>
          <w:color w:val="000000"/>
          <w:sz w:val="26"/>
          <w:szCs w:val="26"/>
        </w:rPr>
      </w:pPr>
      <w:r w:rsidRPr="00A57018">
        <w:rPr>
          <w:rFonts w:eastAsia="PMingLiU"/>
          <w:noProof/>
          <w:sz w:val="26"/>
          <w:szCs w:val="26"/>
        </w:rPr>
        <w:drawing>
          <wp:inline distT="0" distB="0" distL="0" distR="0" wp14:anchorId="236250DF" wp14:editId="0DC54798">
            <wp:extent cx="4508500" cy="1676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08500" cy="1676400"/>
                    </a:xfrm>
                    <a:prstGeom prst="rect">
                      <a:avLst/>
                    </a:prstGeom>
                    <a:noFill/>
                    <a:ln>
                      <a:noFill/>
                    </a:ln>
                  </pic:spPr>
                </pic:pic>
              </a:graphicData>
            </a:graphic>
          </wp:inline>
        </w:drawing>
      </w:r>
    </w:p>
    <w:p w14:paraId="1FA045BE" w14:textId="77777777" w:rsidR="0052661C" w:rsidRPr="00A57018" w:rsidRDefault="0052661C" w:rsidP="00FA0506">
      <w:pPr>
        <w:keepNext/>
        <w:widowControl/>
        <w:spacing w:line="480" w:lineRule="auto"/>
        <w:ind w:firstLine="1440"/>
        <w:textAlignment w:val="baseline"/>
        <w:rPr>
          <w:rFonts w:eastAsia="PMingLiU"/>
          <w:sz w:val="26"/>
          <w:szCs w:val="26"/>
        </w:rPr>
      </w:pPr>
    </w:p>
    <w:p w14:paraId="62A04956" w14:textId="77777777" w:rsidR="0052661C" w:rsidRPr="00A57018" w:rsidRDefault="0052661C" w:rsidP="00A57018">
      <w:pPr>
        <w:widowControl/>
        <w:spacing w:line="360" w:lineRule="auto"/>
        <w:ind w:firstLine="1440"/>
        <w:textAlignment w:val="baseline"/>
        <w:rPr>
          <w:color w:val="000000"/>
          <w:sz w:val="26"/>
          <w:szCs w:val="26"/>
        </w:rPr>
      </w:pPr>
      <w:r w:rsidRPr="00A57018">
        <w:rPr>
          <w:color w:val="000000"/>
          <w:sz w:val="26"/>
          <w:szCs w:val="26"/>
        </w:rPr>
        <w:t>In applying the initial burden of proof in this case to Verizon, the ALJ stated that the Complaint proceeds under Section 1.1413 which gives Verizon the burden of proof to demonstrate that the joint use agreements are renewed or entered into after the effective date of Section 1.1413.  To the extent that Verizon can satisfy this burden, the burden then shifts to FirstEnergy to prove that Verizon has received material advantages as a result of the joint use agreements.  R.D. at 22.</w:t>
      </w:r>
    </w:p>
    <w:p w14:paraId="13F98B8A" w14:textId="77777777" w:rsidR="008B1B8E" w:rsidRPr="00A57018" w:rsidRDefault="008B1B8E" w:rsidP="00A57018">
      <w:pPr>
        <w:widowControl/>
        <w:spacing w:line="360" w:lineRule="auto"/>
        <w:ind w:firstLine="1440"/>
        <w:textAlignment w:val="baseline"/>
        <w:rPr>
          <w:color w:val="000000"/>
          <w:sz w:val="26"/>
          <w:szCs w:val="26"/>
        </w:rPr>
      </w:pPr>
    </w:p>
    <w:p w14:paraId="0501B11A" w14:textId="3B359086" w:rsidR="0052661C" w:rsidRDefault="0052661C" w:rsidP="00A57018">
      <w:pPr>
        <w:widowControl/>
        <w:spacing w:line="360" w:lineRule="auto"/>
        <w:ind w:firstLine="1440"/>
        <w:textAlignment w:val="baseline"/>
        <w:rPr>
          <w:color w:val="000000"/>
          <w:sz w:val="26"/>
          <w:szCs w:val="26"/>
        </w:rPr>
      </w:pPr>
      <w:r w:rsidRPr="00A57018">
        <w:rPr>
          <w:color w:val="000000"/>
          <w:sz w:val="26"/>
          <w:szCs w:val="26"/>
        </w:rPr>
        <w:t xml:space="preserve">The ALJ found this approach to be consistent with Section 332(a) of the Code that provides that the party seeking relief from the Commission has the burden of proof. </w:t>
      </w:r>
      <w:r w:rsidR="003905A1" w:rsidRPr="00A57018">
        <w:rPr>
          <w:color w:val="000000"/>
          <w:sz w:val="26"/>
          <w:szCs w:val="26"/>
        </w:rPr>
        <w:t xml:space="preserve"> </w:t>
      </w:r>
      <w:r w:rsidRPr="00A57018">
        <w:rPr>
          <w:color w:val="000000"/>
          <w:sz w:val="26"/>
          <w:szCs w:val="26"/>
        </w:rPr>
        <w:t xml:space="preserve">66 Pa. C.S. § 332(a).  As with most complaint cases, as a matter of law, a complainant must show that the named utility is responsible or accountable for the problem described in the complaint in order to prevail.  </w:t>
      </w:r>
      <w:r w:rsidRPr="00A57018">
        <w:rPr>
          <w:i/>
          <w:iCs/>
          <w:color w:val="000000"/>
          <w:sz w:val="26"/>
          <w:szCs w:val="26"/>
        </w:rPr>
        <w:t>Patterson v. Bell Tel. Co. of Pa.</w:t>
      </w:r>
      <w:r w:rsidRPr="00A57018">
        <w:rPr>
          <w:color w:val="000000"/>
          <w:sz w:val="26"/>
          <w:szCs w:val="26"/>
        </w:rPr>
        <w:t>, 72 Pa. P.U.C. 196 (1990).</w:t>
      </w:r>
      <w:r w:rsidR="00F73822" w:rsidRPr="00A57018">
        <w:rPr>
          <w:color w:val="000000"/>
          <w:sz w:val="26"/>
          <w:szCs w:val="26"/>
        </w:rPr>
        <w:t xml:space="preserve">  </w:t>
      </w:r>
      <w:r w:rsidRPr="00A57018">
        <w:rPr>
          <w:color w:val="000000"/>
          <w:sz w:val="26"/>
          <w:szCs w:val="26"/>
        </w:rPr>
        <w:t>The ALJ reiterated the burden of proof requirements which means a duty to establish a fact by a preponderance of the evidence, or evidence more convincing, by even the smallest degree, than the evidence presented by the other party.</w:t>
      </w:r>
      <w:r w:rsidRPr="00A57018">
        <w:rPr>
          <w:rFonts w:eastAsiaTheme="minorHAnsi"/>
          <w:i/>
          <w:sz w:val="26"/>
          <w:szCs w:val="26"/>
        </w:rPr>
        <w:t xml:space="preserve">  Se-Ling Hosiery, Inc. v. Margulies</w:t>
      </w:r>
      <w:r w:rsidRPr="00A57018">
        <w:rPr>
          <w:rFonts w:eastAsiaTheme="minorHAnsi"/>
          <w:sz w:val="26"/>
          <w:szCs w:val="26"/>
        </w:rPr>
        <w:t xml:space="preserve">, 364 Pa. 45, 70 A.2d 854 (1950). </w:t>
      </w:r>
      <w:r w:rsidRPr="00A57018">
        <w:rPr>
          <w:color w:val="000000"/>
          <w:sz w:val="26"/>
          <w:szCs w:val="26"/>
        </w:rPr>
        <w:t xml:space="preserve"> The ALJ emphasized that the offense must be a violation of the Code, the Commission’s </w:t>
      </w:r>
      <w:proofErr w:type="gramStart"/>
      <w:r w:rsidRPr="00A57018">
        <w:rPr>
          <w:color w:val="000000"/>
          <w:sz w:val="26"/>
          <w:szCs w:val="26"/>
        </w:rPr>
        <w:t>Regulations</w:t>
      </w:r>
      <w:proofErr w:type="gramEnd"/>
      <w:r w:rsidRPr="00A57018">
        <w:rPr>
          <w:color w:val="000000"/>
          <w:sz w:val="26"/>
          <w:szCs w:val="26"/>
        </w:rPr>
        <w:t xml:space="preserve"> or an outstanding order of the Commission.  R.D. at 22-23 (citing 66</w:t>
      </w:r>
      <w:r w:rsidR="00F06E66">
        <w:rPr>
          <w:color w:val="000000"/>
          <w:sz w:val="26"/>
          <w:szCs w:val="26"/>
        </w:rPr>
        <w:t> </w:t>
      </w:r>
      <w:r w:rsidRPr="00A57018">
        <w:rPr>
          <w:color w:val="000000"/>
          <w:sz w:val="26"/>
          <w:szCs w:val="26"/>
        </w:rPr>
        <w:t>Pa.</w:t>
      </w:r>
      <w:r w:rsidR="00F06E66">
        <w:rPr>
          <w:color w:val="000000"/>
          <w:sz w:val="26"/>
          <w:szCs w:val="26"/>
        </w:rPr>
        <w:t> </w:t>
      </w:r>
      <w:r w:rsidRPr="00A57018">
        <w:rPr>
          <w:color w:val="000000"/>
          <w:sz w:val="26"/>
          <w:szCs w:val="26"/>
        </w:rPr>
        <w:t>C.S.</w:t>
      </w:r>
      <w:r w:rsidR="00F06E66">
        <w:rPr>
          <w:color w:val="000000"/>
          <w:sz w:val="26"/>
          <w:szCs w:val="26"/>
        </w:rPr>
        <w:t> </w:t>
      </w:r>
      <w:r w:rsidRPr="00A57018">
        <w:rPr>
          <w:color w:val="000000"/>
          <w:sz w:val="26"/>
          <w:szCs w:val="26"/>
        </w:rPr>
        <w:t>§ 701).</w:t>
      </w:r>
    </w:p>
    <w:p w14:paraId="2529F080" w14:textId="4A7DA90B" w:rsidR="0052661C" w:rsidRPr="00A57018" w:rsidRDefault="0052661C" w:rsidP="00A57018">
      <w:pPr>
        <w:widowControl/>
        <w:spacing w:line="360" w:lineRule="auto"/>
        <w:ind w:firstLine="1440"/>
        <w:textAlignment w:val="baseline"/>
        <w:rPr>
          <w:color w:val="000000"/>
          <w:sz w:val="26"/>
          <w:szCs w:val="26"/>
        </w:rPr>
      </w:pPr>
      <w:r w:rsidRPr="00A57018">
        <w:rPr>
          <w:color w:val="000000"/>
          <w:sz w:val="26"/>
          <w:szCs w:val="26"/>
        </w:rPr>
        <w:lastRenderedPageBreak/>
        <w:t xml:space="preserve">The ALJ further emphasized that with all complaint cases, if a complainant establishes a </w:t>
      </w:r>
      <w:r w:rsidRPr="00A57018">
        <w:rPr>
          <w:i/>
          <w:color w:val="000000"/>
          <w:sz w:val="26"/>
          <w:szCs w:val="26"/>
        </w:rPr>
        <w:t xml:space="preserve">prima facie </w:t>
      </w:r>
      <w:r w:rsidRPr="00A57018">
        <w:rPr>
          <w:color w:val="000000"/>
          <w:sz w:val="26"/>
          <w:szCs w:val="26"/>
        </w:rPr>
        <w:t>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R.D.</w:t>
      </w:r>
      <w:r w:rsidR="00F06E66">
        <w:rPr>
          <w:color w:val="000000"/>
          <w:sz w:val="26"/>
          <w:szCs w:val="26"/>
        </w:rPr>
        <w:t> </w:t>
      </w:r>
      <w:r w:rsidRPr="00A57018">
        <w:rPr>
          <w:color w:val="000000"/>
          <w:sz w:val="26"/>
          <w:szCs w:val="26"/>
        </w:rPr>
        <w:t>at</w:t>
      </w:r>
      <w:r w:rsidR="00F06E66">
        <w:rPr>
          <w:color w:val="000000"/>
          <w:sz w:val="26"/>
          <w:szCs w:val="26"/>
        </w:rPr>
        <w:t> </w:t>
      </w:r>
      <w:r w:rsidRPr="00A57018">
        <w:rPr>
          <w:color w:val="000000"/>
          <w:sz w:val="26"/>
          <w:szCs w:val="26"/>
        </w:rPr>
        <w:t xml:space="preserve">23 (citing in part </w:t>
      </w:r>
      <w:r w:rsidRPr="00A57018">
        <w:rPr>
          <w:i/>
          <w:iCs/>
          <w:color w:val="000000"/>
          <w:sz w:val="26"/>
          <w:szCs w:val="26"/>
        </w:rPr>
        <w:t>Milkie v. Pa. PUC</w:t>
      </w:r>
      <w:r w:rsidRPr="00A57018">
        <w:rPr>
          <w:color w:val="000000"/>
          <w:sz w:val="26"/>
          <w:szCs w:val="26"/>
        </w:rPr>
        <w:t>, 768 A.2d 1217 (Pa. Cmwlth. 2001)</w:t>
      </w:r>
      <w:r w:rsidR="009873CB" w:rsidRPr="00A57018">
        <w:rPr>
          <w:color w:val="000000"/>
          <w:sz w:val="26"/>
          <w:szCs w:val="26"/>
        </w:rPr>
        <w:t xml:space="preserve"> (</w:t>
      </w:r>
      <w:r w:rsidR="009873CB" w:rsidRPr="00A57018">
        <w:rPr>
          <w:i/>
          <w:iCs/>
          <w:color w:val="000000"/>
          <w:sz w:val="26"/>
          <w:szCs w:val="26"/>
        </w:rPr>
        <w:t>Milkie</w:t>
      </w:r>
      <w:r w:rsidRPr="00A57018">
        <w:rPr>
          <w:color w:val="000000"/>
          <w:sz w:val="26"/>
          <w:szCs w:val="26"/>
        </w:rPr>
        <w:t>)</w:t>
      </w:r>
      <w:r w:rsidR="000656F2" w:rsidRPr="00A57018">
        <w:rPr>
          <w:color w:val="000000"/>
          <w:sz w:val="26"/>
          <w:szCs w:val="26"/>
        </w:rPr>
        <w:t>)</w:t>
      </w:r>
      <w:r w:rsidRPr="00A57018">
        <w:rPr>
          <w:color w:val="000000"/>
          <w:sz w:val="26"/>
          <w:szCs w:val="26"/>
        </w:rPr>
        <w:t>.  The ALJ explained that the decisions of the Commission must be supported by substantial evidence, which is such relevant evidence that a reasonable mind might accept as adequate to support a conclusion.  More is required than a mere trace of evidence or a suspicion of the existence of a fact sought to be established.</w:t>
      </w:r>
      <w:r w:rsidR="00064998" w:rsidRPr="00A57018">
        <w:rPr>
          <w:color w:val="000000"/>
          <w:sz w:val="26"/>
          <w:szCs w:val="26"/>
        </w:rPr>
        <w:t xml:space="preserve">  </w:t>
      </w:r>
      <w:r w:rsidRPr="00A57018">
        <w:rPr>
          <w:color w:val="000000"/>
          <w:sz w:val="26"/>
          <w:szCs w:val="26"/>
        </w:rPr>
        <w:t xml:space="preserve">R.D. at 23 (citing in part </w:t>
      </w:r>
      <w:r w:rsidRPr="00A57018">
        <w:rPr>
          <w:i/>
          <w:iCs/>
          <w:color w:val="000000"/>
          <w:sz w:val="26"/>
          <w:szCs w:val="26"/>
        </w:rPr>
        <w:t>Norfolk &amp; Western Ry. Co. v. Pa. PUC</w:t>
      </w:r>
      <w:r w:rsidRPr="00A57018">
        <w:rPr>
          <w:color w:val="000000"/>
          <w:sz w:val="26"/>
          <w:szCs w:val="26"/>
        </w:rPr>
        <w:t>, 489 Pa. 109, 413 A.2d 1037 (1980)).</w:t>
      </w:r>
    </w:p>
    <w:p w14:paraId="54FC2FB9" w14:textId="77777777" w:rsidR="0052661C" w:rsidRPr="00A57018" w:rsidRDefault="0052661C" w:rsidP="00A57018">
      <w:pPr>
        <w:widowControl/>
        <w:spacing w:line="360" w:lineRule="auto"/>
        <w:ind w:firstLine="1440"/>
        <w:textAlignment w:val="baseline"/>
        <w:rPr>
          <w:color w:val="000000"/>
          <w:sz w:val="26"/>
          <w:szCs w:val="26"/>
        </w:rPr>
      </w:pPr>
    </w:p>
    <w:p w14:paraId="69BFA226" w14:textId="66124602" w:rsidR="0052661C" w:rsidRPr="00A57018" w:rsidRDefault="0052661C" w:rsidP="00A57018">
      <w:pPr>
        <w:widowControl/>
        <w:spacing w:line="360" w:lineRule="auto"/>
        <w:ind w:firstLine="1440"/>
        <w:textAlignment w:val="baseline"/>
        <w:rPr>
          <w:color w:val="000000"/>
          <w:sz w:val="26"/>
          <w:szCs w:val="26"/>
        </w:rPr>
      </w:pPr>
      <w:r w:rsidRPr="00A57018">
        <w:rPr>
          <w:color w:val="000000"/>
          <w:sz w:val="26"/>
          <w:szCs w:val="26"/>
        </w:rPr>
        <w:t>The ALJ also found that FirstEnergy is correct in its assertion that other provisions of the Code apply to this proceeding.  Specifically, FirstEnergy argued that the Companies’ pole attachment rates charged to Verizon must also be consistent with Sections 508, 1301, 1304, 1309 and 1312 of the Code.  The ALJ agreed that these sections of the Code coexist with the FCC’s pole attachment regulations that the Commission has adopted</w:t>
      </w:r>
      <w:r w:rsidR="00F06E66">
        <w:rPr>
          <w:color w:val="000000"/>
          <w:sz w:val="26"/>
          <w:szCs w:val="26"/>
        </w:rPr>
        <w:t>,</w:t>
      </w:r>
      <w:r w:rsidRPr="00A57018">
        <w:rPr>
          <w:color w:val="000000"/>
          <w:sz w:val="26"/>
          <w:szCs w:val="26"/>
        </w:rPr>
        <w:t xml:space="preserve"> and the outcome of this proceeding must also be examined with these statutes in mind.  Thus, the ALJ determined that the pole attachment rates FirstEnergy charges Verizon must be both consistent with the FCC’s pole attachment regulations as adopted by the Commission, and the relevant provisions of the Code such as Sections 1301 and 1309 that require that “every rate made, demanded or received by any public utility, or by any two or more public utilities, shall be just and reasonable, and in conformity with regulations or orders of the Commission.”  R.D. at 23-24 (quoting 66</w:t>
      </w:r>
      <w:r w:rsidR="00F06E66">
        <w:rPr>
          <w:color w:val="000000"/>
          <w:sz w:val="26"/>
          <w:szCs w:val="26"/>
        </w:rPr>
        <w:t> </w:t>
      </w:r>
      <w:r w:rsidRPr="00A57018">
        <w:rPr>
          <w:color w:val="000000"/>
          <w:sz w:val="26"/>
          <w:szCs w:val="26"/>
        </w:rPr>
        <w:t>Pa. C.S. § 1301(a)).</w:t>
      </w:r>
    </w:p>
    <w:p w14:paraId="77BC72C1" w14:textId="77777777" w:rsidR="0052661C" w:rsidRPr="00A57018" w:rsidRDefault="0052661C" w:rsidP="00A57018">
      <w:pPr>
        <w:widowControl/>
        <w:spacing w:line="360" w:lineRule="auto"/>
        <w:ind w:firstLine="1440"/>
        <w:textAlignment w:val="baseline"/>
        <w:rPr>
          <w:color w:val="000000"/>
          <w:sz w:val="26"/>
          <w:szCs w:val="26"/>
        </w:rPr>
      </w:pPr>
    </w:p>
    <w:p w14:paraId="138B45FC" w14:textId="4A22C165" w:rsidR="0052661C" w:rsidRPr="00A57018" w:rsidRDefault="0052661C" w:rsidP="00F06E66">
      <w:pPr>
        <w:widowControl/>
        <w:spacing w:line="360" w:lineRule="auto"/>
        <w:ind w:firstLine="1440"/>
        <w:textAlignment w:val="baseline"/>
        <w:rPr>
          <w:color w:val="000000"/>
          <w:sz w:val="26"/>
          <w:szCs w:val="26"/>
        </w:rPr>
      </w:pPr>
      <w:r w:rsidRPr="00A57018">
        <w:rPr>
          <w:color w:val="000000"/>
          <w:sz w:val="26"/>
          <w:szCs w:val="26"/>
        </w:rPr>
        <w:lastRenderedPageBreak/>
        <w:t xml:space="preserve">In summary, the ALJ ruled that Verizon bears the initial burden of proof in this proceeding.  Verizon must demonstrate that FirstEnergy’s pole attachment rates violate the Code, a Commission order or </w:t>
      </w:r>
      <w:r w:rsidR="00B81C78" w:rsidRPr="00A57018">
        <w:rPr>
          <w:color w:val="000000"/>
          <w:sz w:val="26"/>
          <w:szCs w:val="26"/>
        </w:rPr>
        <w:t>R</w:t>
      </w:r>
      <w:r w:rsidRPr="00A57018">
        <w:rPr>
          <w:color w:val="000000"/>
          <w:sz w:val="26"/>
          <w:szCs w:val="26"/>
        </w:rPr>
        <w:t>egulation or a Commission-approved tariff of FirstEnergy.  The ALJ emphasized that this includes not only Chapter 13 of the Code, but also Chapter 77 of the Commission’s Regulations, which incorporates by reference the FCC’s pole attachment regulations.  The ALJ stated that Verizon can meet its initial burden under Section 1.1413 of the FCC’s regulations by showing that the joint use agreements were renewed or entered into after the effective date of that Section.  If Verizon can demonstrate that the joint use agreements were renewed after the effective date of Section 1.1413, the burden then shifts to FirstEnergy to determine that its rates are just and reasonable because Verizon receives material advantages under the joint use agreements.  R.D. at 24.</w:t>
      </w:r>
    </w:p>
    <w:bookmarkEnd w:id="15"/>
    <w:bookmarkEnd w:id="17"/>
    <w:p w14:paraId="310FD7F6" w14:textId="0CE20585" w:rsidR="00300ABE" w:rsidRPr="00A57018" w:rsidRDefault="00300ABE" w:rsidP="00F06E66">
      <w:pPr>
        <w:pStyle w:val="Heading4"/>
        <w:widowControl/>
        <w:numPr>
          <w:ilvl w:val="0"/>
          <w:numId w:val="0"/>
        </w:numPr>
      </w:pPr>
    </w:p>
    <w:p w14:paraId="2F0637E2" w14:textId="173FD9D5" w:rsidR="0099221B" w:rsidRPr="00A57018" w:rsidRDefault="0099221B" w:rsidP="00F06E66">
      <w:pPr>
        <w:pStyle w:val="Heading3"/>
        <w:ind w:left="1440" w:hanging="720"/>
      </w:pPr>
      <w:bookmarkStart w:id="21" w:name="_Toc59179298"/>
      <w:r w:rsidRPr="00A57018">
        <w:t>Except</w:t>
      </w:r>
      <w:r w:rsidR="00C12041" w:rsidRPr="00A57018">
        <w:t>ions and Replies (FirstEnergy Exception Nos. 1-3)</w:t>
      </w:r>
      <w:bookmarkEnd w:id="21"/>
    </w:p>
    <w:p w14:paraId="1C4F2B08" w14:textId="55A5AF0F" w:rsidR="0099221B" w:rsidRPr="00A57018" w:rsidRDefault="0099221B" w:rsidP="00F06E66">
      <w:pPr>
        <w:pStyle w:val="Heading4"/>
        <w:widowControl/>
        <w:numPr>
          <w:ilvl w:val="0"/>
          <w:numId w:val="0"/>
        </w:numPr>
        <w:ind w:left="2160"/>
      </w:pPr>
    </w:p>
    <w:p w14:paraId="2A808738" w14:textId="1C09FB8D" w:rsidR="00602EC7" w:rsidRPr="00A57018" w:rsidRDefault="00602EC7" w:rsidP="00F06E66">
      <w:pPr>
        <w:widowControl/>
        <w:spacing w:line="360" w:lineRule="auto"/>
        <w:ind w:firstLine="1440"/>
        <w:rPr>
          <w:rFonts w:eastAsia="PMingLiU"/>
          <w:sz w:val="26"/>
          <w:szCs w:val="26"/>
        </w:rPr>
      </w:pPr>
      <w:r w:rsidRPr="00A57018">
        <w:rPr>
          <w:rFonts w:eastAsia="PMingLiU"/>
          <w:sz w:val="26"/>
          <w:szCs w:val="26"/>
        </w:rPr>
        <w:t xml:space="preserve">In its </w:t>
      </w:r>
      <w:r w:rsidR="00697514" w:rsidRPr="00A57018">
        <w:rPr>
          <w:rFonts w:eastAsia="PMingLiU"/>
          <w:sz w:val="26"/>
          <w:szCs w:val="26"/>
        </w:rPr>
        <w:t xml:space="preserve">first three Exceptions, FirstEnergy contends that </w:t>
      </w:r>
      <w:r w:rsidR="00C050CE" w:rsidRPr="00A57018">
        <w:rPr>
          <w:rFonts w:eastAsia="PMingLiU"/>
          <w:sz w:val="26"/>
          <w:szCs w:val="26"/>
        </w:rPr>
        <w:t xml:space="preserve">the </w:t>
      </w:r>
      <w:r w:rsidR="00EA747A" w:rsidRPr="00A57018">
        <w:rPr>
          <w:rFonts w:eastAsia="PMingLiU"/>
          <w:sz w:val="26"/>
          <w:szCs w:val="26"/>
        </w:rPr>
        <w:t xml:space="preserve">Recommended </w:t>
      </w:r>
      <w:r w:rsidR="0059530F" w:rsidRPr="00A57018">
        <w:rPr>
          <w:rFonts w:eastAsia="PMingLiU"/>
          <w:sz w:val="26"/>
          <w:szCs w:val="26"/>
        </w:rPr>
        <w:t xml:space="preserve">Decision failed to apply the </w:t>
      </w:r>
      <w:r w:rsidR="00151B00" w:rsidRPr="00A57018">
        <w:rPr>
          <w:rFonts w:eastAsia="PMingLiU"/>
          <w:sz w:val="26"/>
          <w:szCs w:val="26"/>
        </w:rPr>
        <w:t>correct legal standard</w:t>
      </w:r>
      <w:r w:rsidR="000F1A00" w:rsidRPr="00A57018">
        <w:rPr>
          <w:rFonts w:eastAsia="PMingLiU"/>
          <w:sz w:val="26"/>
          <w:szCs w:val="26"/>
        </w:rPr>
        <w:t>s</w:t>
      </w:r>
      <w:r w:rsidR="00151B00" w:rsidRPr="00A57018">
        <w:rPr>
          <w:rFonts w:eastAsia="PMingLiU"/>
          <w:sz w:val="26"/>
          <w:szCs w:val="26"/>
        </w:rPr>
        <w:t>.</w:t>
      </w:r>
      <w:r w:rsidR="00183F59" w:rsidRPr="00A57018">
        <w:rPr>
          <w:rStyle w:val="FootnoteReference"/>
          <w:rFonts w:eastAsia="PMingLiU"/>
          <w:sz w:val="26"/>
          <w:szCs w:val="26"/>
        </w:rPr>
        <w:footnoteReference w:id="11"/>
      </w:r>
      <w:r w:rsidR="00EA747A" w:rsidRPr="00A57018">
        <w:rPr>
          <w:rFonts w:eastAsia="PMingLiU"/>
          <w:sz w:val="26"/>
          <w:szCs w:val="26"/>
        </w:rPr>
        <w:t xml:space="preserve"> </w:t>
      </w:r>
      <w:r w:rsidR="00151B00" w:rsidRPr="00A57018">
        <w:rPr>
          <w:rFonts w:eastAsia="PMingLiU"/>
          <w:sz w:val="26"/>
          <w:szCs w:val="26"/>
        </w:rPr>
        <w:t xml:space="preserve"> </w:t>
      </w:r>
      <w:r w:rsidR="00183F59" w:rsidRPr="00A57018">
        <w:rPr>
          <w:rFonts w:eastAsia="PMingLiU"/>
          <w:sz w:val="26"/>
          <w:szCs w:val="26"/>
        </w:rPr>
        <w:t xml:space="preserve">As to </w:t>
      </w:r>
      <w:r w:rsidRPr="00A57018">
        <w:rPr>
          <w:rFonts w:eastAsia="PMingLiU"/>
          <w:sz w:val="26"/>
          <w:szCs w:val="26"/>
        </w:rPr>
        <w:t xml:space="preserve">Exception No. 1, FirstEnergy argues that the ALJ failed to apply the Code and controlling Pennsylvania appellate precedent to Verizon’s Complaint by improperly determining that FCC regulations are controlling.  FirstEnergy asserts that the Recommended Decision unlawfully holds that the Commission prejudged the determination of just and reasonable rates in the </w:t>
      </w:r>
      <w:r w:rsidR="00806615" w:rsidRPr="00A57018">
        <w:rPr>
          <w:rFonts w:eastAsia="PMingLiU"/>
          <w:i/>
          <w:iCs/>
          <w:sz w:val="26"/>
          <w:szCs w:val="26"/>
        </w:rPr>
        <w:t>2019</w:t>
      </w:r>
      <w:r w:rsidR="00F06E66">
        <w:rPr>
          <w:rFonts w:eastAsia="PMingLiU"/>
          <w:i/>
          <w:iCs/>
          <w:sz w:val="26"/>
          <w:szCs w:val="26"/>
        </w:rPr>
        <w:t> </w:t>
      </w:r>
      <w:r w:rsidRPr="00A57018">
        <w:rPr>
          <w:rFonts w:eastAsia="PMingLiU"/>
          <w:i/>
          <w:iCs/>
          <w:sz w:val="26"/>
          <w:szCs w:val="26"/>
        </w:rPr>
        <w:t>Final Rulemaking Order</w:t>
      </w:r>
      <w:r w:rsidRPr="00A57018">
        <w:rPr>
          <w:rFonts w:eastAsia="PMingLiU"/>
          <w:sz w:val="26"/>
          <w:szCs w:val="26"/>
        </w:rPr>
        <w:t xml:space="preserve">.  FirstEnergy also contends that the R.D. applies the FCC’s regulations in a manner that exceeds the Commission’s statutory authority.  </w:t>
      </w:r>
      <w:r w:rsidRPr="00A57018">
        <w:rPr>
          <w:rFonts w:eastAsia="PMingLiU"/>
          <w:sz w:val="26"/>
          <w:szCs w:val="26"/>
        </w:rPr>
        <w:lastRenderedPageBreak/>
        <w:t xml:space="preserve">Additionally, it argues that the statutory authority under Chapter 13 of the Code and appellate caselaw require application of cost of service standards and that the Commission cannot simply defer to FCC regulations.  FirstEnergy Exc. at 9-12.  </w:t>
      </w:r>
    </w:p>
    <w:p w14:paraId="0D57F759" w14:textId="77777777" w:rsidR="008F4672" w:rsidRPr="00A57018" w:rsidRDefault="008F4672" w:rsidP="00A57018">
      <w:pPr>
        <w:widowControl/>
        <w:spacing w:line="360" w:lineRule="auto"/>
        <w:ind w:firstLine="1440"/>
        <w:rPr>
          <w:rFonts w:eastAsia="PMingLiU"/>
          <w:sz w:val="26"/>
          <w:szCs w:val="26"/>
        </w:rPr>
      </w:pPr>
    </w:p>
    <w:p w14:paraId="0FEE574A" w14:textId="65843D0C" w:rsidR="00602EC7" w:rsidRPr="00A57018" w:rsidRDefault="00602EC7" w:rsidP="00A57018">
      <w:pPr>
        <w:widowControl/>
        <w:spacing w:line="360" w:lineRule="auto"/>
        <w:ind w:firstLine="1440"/>
        <w:rPr>
          <w:rFonts w:eastAsia="PMingLiU"/>
          <w:sz w:val="26"/>
          <w:szCs w:val="26"/>
        </w:rPr>
      </w:pPr>
      <w:r w:rsidRPr="00A57018">
        <w:rPr>
          <w:rFonts w:eastAsia="PMingLiU"/>
          <w:sz w:val="26"/>
          <w:szCs w:val="26"/>
        </w:rPr>
        <w:t xml:space="preserve">In response to Exception No. 1, Verizon argues that FirstEnergy’s arguments are at odds with the plain language of the R.D. and that the ALJ resolved the case under the Code, the Commission’s Regulations, and judicial precedent.  Verizon asserts that it is an attempt to relitigate the proper </w:t>
      </w:r>
      <w:r w:rsidR="008D17F2" w:rsidRPr="00A57018">
        <w:rPr>
          <w:rFonts w:eastAsia="PMingLiU"/>
          <w:i/>
          <w:iCs/>
          <w:sz w:val="26"/>
          <w:szCs w:val="26"/>
        </w:rPr>
        <w:t>2019</w:t>
      </w:r>
      <w:r w:rsidR="008D17F2" w:rsidRPr="00A57018">
        <w:rPr>
          <w:rFonts w:eastAsia="PMingLiU"/>
          <w:sz w:val="26"/>
          <w:szCs w:val="26"/>
        </w:rPr>
        <w:t xml:space="preserve"> </w:t>
      </w:r>
      <w:r w:rsidRPr="00A57018">
        <w:rPr>
          <w:rFonts w:eastAsia="PMingLiU"/>
          <w:i/>
          <w:iCs/>
          <w:sz w:val="26"/>
          <w:szCs w:val="26"/>
        </w:rPr>
        <w:t>Final Rulemaking Order</w:t>
      </w:r>
      <w:r w:rsidRPr="00A57018">
        <w:rPr>
          <w:rFonts w:eastAsia="PMingLiU"/>
          <w:sz w:val="26"/>
          <w:szCs w:val="26"/>
        </w:rPr>
        <w:t xml:space="preserve"> which was grounded in undisputed statutory authority.  Verizon R. Exc. at 2-4.</w:t>
      </w:r>
    </w:p>
    <w:p w14:paraId="4597770B" w14:textId="77777777" w:rsidR="00602EC7" w:rsidRPr="00A57018" w:rsidRDefault="00602EC7" w:rsidP="00A57018">
      <w:pPr>
        <w:widowControl/>
        <w:spacing w:line="360" w:lineRule="auto"/>
        <w:ind w:firstLine="1440"/>
        <w:rPr>
          <w:rFonts w:eastAsia="PMingLiU"/>
          <w:sz w:val="26"/>
          <w:szCs w:val="26"/>
        </w:rPr>
      </w:pPr>
    </w:p>
    <w:p w14:paraId="5EBEAD92" w14:textId="77777777" w:rsidR="00602EC7" w:rsidRPr="00A57018" w:rsidRDefault="00602EC7" w:rsidP="00A57018">
      <w:pPr>
        <w:widowControl/>
        <w:spacing w:line="360" w:lineRule="auto"/>
        <w:ind w:firstLine="1440"/>
        <w:contextualSpacing/>
        <w:rPr>
          <w:rFonts w:eastAsia="PMingLiU"/>
          <w:sz w:val="26"/>
          <w:szCs w:val="26"/>
        </w:rPr>
      </w:pPr>
      <w:r w:rsidRPr="00A57018">
        <w:rPr>
          <w:rFonts w:eastAsia="PMingLiU"/>
          <w:sz w:val="26"/>
          <w:szCs w:val="26"/>
        </w:rPr>
        <w:t>In its Exception No. 2, FirstEnergy argues that the ALJ improperly declined to conduct any analysis of the rates Verizon currently pays or the new telecom rate under traditional ratemaking standards pursuant to the Code or Pennsylvania precedent.  It contends that the ALJ rejected as irrelevant evidence pertaining to whether rates are unjust and unreasonable because the requirement does not appear in the FCC’s regulations adopted by the Commission.  FirstEnergy Exc. at 13-14.</w:t>
      </w:r>
    </w:p>
    <w:p w14:paraId="5415AC4E" w14:textId="77777777" w:rsidR="00602EC7" w:rsidRPr="00A57018" w:rsidRDefault="00602EC7" w:rsidP="00A57018">
      <w:pPr>
        <w:widowControl/>
        <w:spacing w:line="360" w:lineRule="auto"/>
        <w:ind w:firstLine="1440"/>
        <w:contextualSpacing/>
        <w:rPr>
          <w:rFonts w:eastAsia="PMingLiU"/>
          <w:sz w:val="26"/>
          <w:szCs w:val="26"/>
        </w:rPr>
      </w:pPr>
    </w:p>
    <w:p w14:paraId="5E800640" w14:textId="77777777" w:rsidR="00602EC7" w:rsidRPr="00A57018" w:rsidRDefault="00602EC7" w:rsidP="00A57018">
      <w:pPr>
        <w:widowControl/>
        <w:spacing w:line="360" w:lineRule="auto"/>
        <w:ind w:firstLine="1440"/>
        <w:contextualSpacing/>
        <w:rPr>
          <w:rFonts w:eastAsia="PMingLiU"/>
          <w:sz w:val="26"/>
          <w:szCs w:val="26"/>
        </w:rPr>
      </w:pPr>
      <w:r w:rsidRPr="00A57018">
        <w:rPr>
          <w:rFonts w:eastAsia="PMingLiU"/>
          <w:sz w:val="26"/>
          <w:szCs w:val="26"/>
        </w:rPr>
        <w:t>Verizon responds that the Commission’s Regulations regarding pole attachments are binding law and that the Commission cannot adopt FirstEnergy’s alternate ratemaking methodology without a new rulemaking.  Verizon also asserts that FirstEnergy’s approach would frustrate the Commission’s efforts, through the asserted jurisdiction over pole attachments, to lower and unify pole attachment rates to promote broadband deployment.  Verizon also contends it offered evidence pertaining to the cost of common equity for use in calculating pole attachment rates.  Verizon R. Exc. at 4-5.</w:t>
      </w:r>
    </w:p>
    <w:p w14:paraId="707C9DE3" w14:textId="77777777" w:rsidR="00602EC7" w:rsidRPr="00A57018" w:rsidRDefault="00602EC7" w:rsidP="00A57018">
      <w:pPr>
        <w:widowControl/>
        <w:spacing w:line="360" w:lineRule="auto"/>
        <w:ind w:firstLine="1440"/>
        <w:contextualSpacing/>
        <w:rPr>
          <w:rFonts w:eastAsia="PMingLiU"/>
          <w:sz w:val="26"/>
          <w:szCs w:val="26"/>
        </w:rPr>
      </w:pPr>
    </w:p>
    <w:p w14:paraId="77C20918" w14:textId="77777777" w:rsidR="00602EC7" w:rsidRPr="00A57018" w:rsidRDefault="00602EC7" w:rsidP="00A57018">
      <w:pPr>
        <w:widowControl/>
        <w:spacing w:line="360" w:lineRule="auto"/>
        <w:ind w:firstLine="1440"/>
        <w:contextualSpacing/>
        <w:rPr>
          <w:rFonts w:eastAsia="PMingLiU"/>
          <w:sz w:val="26"/>
          <w:szCs w:val="26"/>
        </w:rPr>
      </w:pPr>
      <w:r w:rsidRPr="00A57018">
        <w:rPr>
          <w:rFonts w:eastAsia="PMingLiU"/>
          <w:sz w:val="26"/>
          <w:szCs w:val="26"/>
        </w:rPr>
        <w:t xml:space="preserve">In FirstEnergy Exception No. 3, the Companies argue that the ALJ’s finding disregards the interests of its electric ratepayers.  FirstEnergy contends that any rate reductions under the JUAs will go directly to Verizon’s shareholders without any assurance that the reduction will actually benefit broadband services in Pennsylvania.  </w:t>
      </w:r>
      <w:r w:rsidRPr="00A57018">
        <w:rPr>
          <w:rFonts w:eastAsia="PMingLiU"/>
          <w:sz w:val="26"/>
          <w:szCs w:val="26"/>
        </w:rPr>
        <w:lastRenderedPageBreak/>
        <w:t>Also, FirstEnergy proffers that any associated loss of revenue will impact the rates paid by its electric ratepayers.  FirstEnergy Exc. at 14-15.</w:t>
      </w:r>
    </w:p>
    <w:p w14:paraId="69E3D2D4" w14:textId="77777777" w:rsidR="00602EC7" w:rsidRPr="00A57018" w:rsidRDefault="00602EC7" w:rsidP="00A57018">
      <w:pPr>
        <w:widowControl/>
        <w:spacing w:line="360" w:lineRule="auto"/>
        <w:ind w:firstLine="1440"/>
        <w:contextualSpacing/>
        <w:rPr>
          <w:rFonts w:eastAsia="PMingLiU"/>
          <w:sz w:val="26"/>
          <w:szCs w:val="26"/>
        </w:rPr>
      </w:pPr>
    </w:p>
    <w:p w14:paraId="5039B2A8" w14:textId="08E4B9E0" w:rsidR="00146324" w:rsidRPr="00A57018" w:rsidRDefault="00602EC7" w:rsidP="00A57018">
      <w:pPr>
        <w:widowControl/>
        <w:spacing w:line="360" w:lineRule="auto"/>
        <w:ind w:firstLine="1440"/>
        <w:rPr>
          <w:sz w:val="26"/>
          <w:szCs w:val="26"/>
        </w:rPr>
      </w:pPr>
      <w:r w:rsidRPr="00A57018">
        <w:rPr>
          <w:rFonts w:eastAsia="PMingLiU"/>
          <w:sz w:val="26"/>
          <w:szCs w:val="26"/>
        </w:rPr>
        <w:t>In response, Verizon argues that the R.D. correctly enforces the federal rules which are now the Commission’s Regulations and provide</w:t>
      </w:r>
      <w:r w:rsidR="00E56F44" w:rsidRPr="00A57018">
        <w:rPr>
          <w:rFonts w:eastAsia="PMingLiU"/>
          <w:sz w:val="26"/>
          <w:szCs w:val="26"/>
        </w:rPr>
        <w:t>s</w:t>
      </w:r>
      <w:r w:rsidRPr="00A57018">
        <w:rPr>
          <w:rFonts w:eastAsia="PMingLiU"/>
          <w:sz w:val="26"/>
          <w:szCs w:val="26"/>
        </w:rPr>
        <w:t xml:space="preserve"> a balanced approach among pole owners, attachers, and the telecommunications, electric and cable industries in a predictable manner.  Verizon also argues that the amount of the revenue loss when compared with FirstEnergy’s annual operating revenues would not trigger a base rate proceeding.  According to Verizon, the new telecom rate will fully compensate FirstEnergy while ensuring low, uniform and cost-based rates to advance the Commission’s deployment objectives.  Verizon R. Exc. at 5-7.</w:t>
      </w:r>
    </w:p>
    <w:p w14:paraId="01E69DB0" w14:textId="77777777" w:rsidR="00146324" w:rsidRPr="00A57018" w:rsidRDefault="00146324" w:rsidP="00A57018">
      <w:pPr>
        <w:widowControl/>
        <w:spacing w:line="360" w:lineRule="auto"/>
        <w:rPr>
          <w:sz w:val="26"/>
          <w:szCs w:val="26"/>
        </w:rPr>
      </w:pPr>
    </w:p>
    <w:p w14:paraId="60C2232D" w14:textId="77777777" w:rsidR="00285D18" w:rsidRPr="00A57018" w:rsidRDefault="0099221B" w:rsidP="00A57018">
      <w:pPr>
        <w:pStyle w:val="Heading3"/>
        <w:ind w:left="1440" w:hanging="720"/>
      </w:pPr>
      <w:bookmarkStart w:id="22" w:name="_Toc59179299"/>
      <w:r w:rsidRPr="00A57018">
        <w:t>Disposition</w:t>
      </w:r>
      <w:bookmarkEnd w:id="22"/>
    </w:p>
    <w:bookmarkEnd w:id="18"/>
    <w:p w14:paraId="1D8966A5" w14:textId="14DE38F6" w:rsidR="00285D18" w:rsidRPr="00A57018" w:rsidRDefault="00285D18" w:rsidP="00A57018">
      <w:pPr>
        <w:pStyle w:val="Heading3"/>
        <w:numPr>
          <w:ilvl w:val="0"/>
          <w:numId w:val="0"/>
        </w:numPr>
        <w:contextualSpacing w:val="0"/>
      </w:pPr>
    </w:p>
    <w:p w14:paraId="50BC6786" w14:textId="3820FD7B" w:rsidR="00FD4E30" w:rsidRPr="00A57018" w:rsidRDefault="00FD4E30" w:rsidP="00FD4E30">
      <w:pPr>
        <w:pStyle w:val="FootnoteText"/>
        <w:spacing w:line="360" w:lineRule="auto"/>
        <w:ind w:firstLine="1440"/>
        <w:rPr>
          <w:sz w:val="26"/>
          <w:szCs w:val="26"/>
        </w:rPr>
      </w:pPr>
      <w:r w:rsidRPr="00684962">
        <w:rPr>
          <w:sz w:val="26"/>
          <w:szCs w:val="26"/>
        </w:rPr>
        <w:t>Regarding the applicable burden of proof, we do not believe it is accurate to state that Verizon has the “initial” burden of proof in this case that shifts to First Energy if that initial burden is met.</w:t>
      </w:r>
      <w:r>
        <w:rPr>
          <w:sz w:val="26"/>
          <w:szCs w:val="26"/>
        </w:rPr>
        <w:t xml:space="preserve">  </w:t>
      </w:r>
      <w:r w:rsidR="009873CB" w:rsidRPr="00A57018">
        <w:rPr>
          <w:rFonts w:eastAsiaTheme="minorHAnsi"/>
          <w:sz w:val="26"/>
          <w:szCs w:val="26"/>
        </w:rPr>
        <w:t xml:space="preserve">Pennsylvania law is clear that </w:t>
      </w:r>
      <w:r w:rsidR="009873CB" w:rsidRPr="00A57018">
        <w:rPr>
          <w:rFonts w:eastAsiaTheme="minorHAnsi"/>
          <w:sz w:val="26"/>
          <w:szCs w:val="26"/>
          <w:shd w:val="clear" w:color="auto" w:fill="FFFFFF"/>
        </w:rPr>
        <w:t>as the complaining party, Verizon has the burden of proof in this case.</w:t>
      </w:r>
      <w:r w:rsidR="009873CB" w:rsidRPr="00A57018">
        <w:rPr>
          <w:rFonts w:eastAsiaTheme="minorHAnsi"/>
          <w:sz w:val="26"/>
          <w:szCs w:val="26"/>
          <w:shd w:val="clear" w:color="auto" w:fill="FFFFFF"/>
          <w:vertAlign w:val="superscript"/>
        </w:rPr>
        <w:t xml:space="preserve"> </w:t>
      </w:r>
      <w:r w:rsidR="009873CB" w:rsidRPr="00A57018">
        <w:rPr>
          <w:sz w:val="26"/>
          <w:szCs w:val="26"/>
        </w:rPr>
        <w:t xml:space="preserve"> </w:t>
      </w:r>
      <w:r w:rsidR="00231021" w:rsidRPr="00A57018">
        <w:rPr>
          <w:i/>
          <w:iCs/>
          <w:sz w:val="26"/>
          <w:szCs w:val="26"/>
        </w:rPr>
        <w:t>See</w:t>
      </w:r>
      <w:r w:rsidR="00231021" w:rsidRPr="00A57018">
        <w:rPr>
          <w:sz w:val="26"/>
          <w:szCs w:val="26"/>
        </w:rPr>
        <w:t xml:space="preserve"> </w:t>
      </w:r>
      <w:r w:rsidR="009873CB" w:rsidRPr="00A57018">
        <w:rPr>
          <w:sz w:val="26"/>
          <w:szCs w:val="26"/>
        </w:rPr>
        <w:t>66 Pa. C.S. §</w:t>
      </w:r>
      <w:r w:rsidR="00717F7E" w:rsidRPr="00A57018">
        <w:rPr>
          <w:sz w:val="26"/>
          <w:szCs w:val="26"/>
        </w:rPr>
        <w:t> </w:t>
      </w:r>
      <w:r w:rsidR="009873CB" w:rsidRPr="00A57018">
        <w:rPr>
          <w:sz w:val="26"/>
          <w:szCs w:val="26"/>
        </w:rPr>
        <w:t>332(a)</w:t>
      </w:r>
      <w:r w:rsidR="00231021" w:rsidRPr="00A57018">
        <w:rPr>
          <w:sz w:val="26"/>
          <w:szCs w:val="26"/>
        </w:rPr>
        <w:t xml:space="preserve"> (providing </w:t>
      </w:r>
      <w:r w:rsidR="009873CB" w:rsidRPr="00A57018">
        <w:rPr>
          <w:sz w:val="26"/>
          <w:szCs w:val="26"/>
        </w:rPr>
        <w:t>that the party seeking relief from the Commission has the burden of proof</w:t>
      </w:r>
      <w:r w:rsidR="00231021" w:rsidRPr="00A57018">
        <w:rPr>
          <w:sz w:val="26"/>
          <w:szCs w:val="26"/>
        </w:rPr>
        <w:t>)</w:t>
      </w:r>
      <w:r w:rsidR="009873CB" w:rsidRPr="00A57018">
        <w:rPr>
          <w:sz w:val="26"/>
          <w:szCs w:val="26"/>
        </w:rPr>
        <w:t>.</w:t>
      </w:r>
      <w:r>
        <w:rPr>
          <w:sz w:val="26"/>
          <w:szCs w:val="26"/>
        </w:rPr>
        <w:t xml:space="preserve">  </w:t>
      </w:r>
      <w:r w:rsidRPr="00D61DAB">
        <w:rPr>
          <w:sz w:val="26"/>
          <w:szCs w:val="26"/>
        </w:rPr>
        <w:t>Pennsylvania law is equally clear that the burden of proof stays with Verizon, as the burden of proof in a case never shifts.</w:t>
      </w:r>
      <w:r>
        <w:t xml:space="preserve">  </w:t>
      </w:r>
      <w:r w:rsidRPr="00684962">
        <w:rPr>
          <w:sz w:val="26"/>
          <w:szCs w:val="26"/>
        </w:rPr>
        <w:t>Rather, it is the burden of production or going forward with the evidence that can shift in a case.</w:t>
      </w:r>
      <w:r w:rsidRPr="00684962">
        <w:rPr>
          <w:rStyle w:val="FootnoteReference"/>
          <w:sz w:val="26"/>
          <w:szCs w:val="26"/>
        </w:rPr>
        <w:footnoteReference w:id="12"/>
      </w:r>
      <w:r>
        <w:rPr>
          <w:sz w:val="26"/>
          <w:szCs w:val="26"/>
        </w:rPr>
        <w:t xml:space="preserve">  </w:t>
      </w:r>
    </w:p>
    <w:p w14:paraId="1688D2D4" w14:textId="77777777" w:rsidR="009873CB" w:rsidRPr="00A57018" w:rsidRDefault="009873CB" w:rsidP="00A57018">
      <w:pPr>
        <w:widowControl/>
        <w:spacing w:line="360" w:lineRule="auto"/>
        <w:ind w:firstLine="720"/>
        <w:rPr>
          <w:rFonts w:eastAsiaTheme="minorHAnsi"/>
          <w:sz w:val="26"/>
          <w:szCs w:val="26"/>
          <w:shd w:val="clear" w:color="auto" w:fill="FFFFFF"/>
        </w:rPr>
      </w:pPr>
    </w:p>
    <w:p w14:paraId="1BD72AEB" w14:textId="3752BC79" w:rsidR="00A83798" w:rsidRPr="00A57018" w:rsidRDefault="009873CB" w:rsidP="00A57018">
      <w:pPr>
        <w:widowControl/>
        <w:spacing w:line="360" w:lineRule="auto"/>
        <w:ind w:firstLine="1440"/>
        <w:rPr>
          <w:sz w:val="26"/>
          <w:szCs w:val="26"/>
        </w:rPr>
      </w:pPr>
      <w:r w:rsidRPr="00A57018">
        <w:rPr>
          <w:rFonts w:eastAsiaTheme="minorHAnsi"/>
          <w:sz w:val="26"/>
          <w:szCs w:val="26"/>
          <w:shd w:val="clear" w:color="auto" w:fill="FFFFFF"/>
        </w:rPr>
        <w:t xml:space="preserve">Regarding the burden of production, Section 1.1413(b) of the FCC’s pole attachment rules adopted by this Commission establishes that for pole attachment </w:t>
      </w:r>
      <w:r w:rsidRPr="00A57018">
        <w:rPr>
          <w:rFonts w:eastAsiaTheme="minorHAnsi"/>
          <w:sz w:val="26"/>
          <w:szCs w:val="26"/>
          <w:shd w:val="clear" w:color="auto" w:fill="FFFFFF"/>
        </w:rPr>
        <w:lastRenderedPageBreak/>
        <w:t xml:space="preserve">agreements entered into or renewed after March 11, 2019, an ILEC receives a rebuttable presumption that the FCC’s “new telecom rate” methodology applies.  A utility can then rebut this presumption by providing clear and convincing evidence that new rates materially advantage the </w:t>
      </w:r>
      <w:r w:rsidR="00231021" w:rsidRPr="00A57018">
        <w:rPr>
          <w:rFonts w:eastAsiaTheme="minorHAnsi"/>
          <w:sz w:val="26"/>
          <w:szCs w:val="26"/>
          <w:shd w:val="clear" w:color="auto" w:fill="FFFFFF"/>
        </w:rPr>
        <w:t>ILEC</w:t>
      </w:r>
      <w:r w:rsidRPr="00A57018">
        <w:rPr>
          <w:rFonts w:eastAsiaTheme="minorHAnsi"/>
          <w:sz w:val="26"/>
          <w:szCs w:val="26"/>
          <w:shd w:val="clear" w:color="auto" w:fill="FFFFFF"/>
        </w:rPr>
        <w:t xml:space="preserve"> over other telecommunications carriers or cable television systems providing telecommunications services on the same poles.  </w:t>
      </w:r>
      <w:r w:rsidR="00231021" w:rsidRPr="00A57018">
        <w:rPr>
          <w:sz w:val="26"/>
          <w:szCs w:val="26"/>
        </w:rPr>
        <w:t xml:space="preserve">47 C.F.R. </w:t>
      </w:r>
    </w:p>
    <w:p w14:paraId="1A0CBF0C" w14:textId="6E254A91" w:rsidR="009873CB" w:rsidRPr="00A57018" w:rsidRDefault="00231021" w:rsidP="00A57018">
      <w:pPr>
        <w:widowControl/>
        <w:spacing w:line="360" w:lineRule="auto"/>
        <w:rPr>
          <w:rFonts w:eastAsiaTheme="minorHAnsi"/>
          <w:sz w:val="26"/>
          <w:szCs w:val="26"/>
          <w:shd w:val="clear" w:color="auto" w:fill="FFFFFF"/>
        </w:rPr>
      </w:pPr>
      <w:r w:rsidRPr="00A57018">
        <w:rPr>
          <w:sz w:val="26"/>
          <w:szCs w:val="26"/>
        </w:rPr>
        <w:t>§ 1.1413(b)</w:t>
      </w:r>
    </w:p>
    <w:p w14:paraId="7609F364" w14:textId="77777777" w:rsidR="009873CB" w:rsidRPr="00A57018" w:rsidRDefault="009873CB" w:rsidP="00A57018">
      <w:pPr>
        <w:widowControl/>
        <w:spacing w:line="360" w:lineRule="auto"/>
        <w:rPr>
          <w:rFonts w:eastAsiaTheme="minorHAnsi"/>
          <w:sz w:val="26"/>
          <w:szCs w:val="26"/>
          <w:shd w:val="clear" w:color="auto" w:fill="FFFFFF"/>
        </w:rPr>
      </w:pPr>
    </w:p>
    <w:p w14:paraId="76CB40D4" w14:textId="2B0234D5" w:rsidR="009873CB" w:rsidRPr="00A57018" w:rsidRDefault="009873CB" w:rsidP="00A57018">
      <w:pPr>
        <w:widowControl/>
        <w:spacing w:line="360" w:lineRule="auto"/>
        <w:ind w:firstLine="1440"/>
        <w:rPr>
          <w:rFonts w:eastAsiaTheme="minorHAnsi"/>
          <w:sz w:val="26"/>
          <w:szCs w:val="26"/>
        </w:rPr>
      </w:pPr>
      <w:r w:rsidRPr="00A57018">
        <w:rPr>
          <w:rFonts w:eastAsiaTheme="minorHAnsi"/>
          <w:sz w:val="26"/>
          <w:szCs w:val="26"/>
          <w:shd w:val="clear" w:color="auto" w:fill="FFFFFF"/>
        </w:rPr>
        <w:t xml:space="preserve">Applying these rules to this case, Verizon has the burden of proof that FirstEnergy’s existing pole attachment rates warrant a refund because they are unjust and unreasonable in violation of applicable law.  For Verizon to receive the benefit of the rebuttable presumption that the FCC’s new, lower pole attachment rates apply, Verizon must show that </w:t>
      </w:r>
      <w:r w:rsidRPr="00A57018">
        <w:rPr>
          <w:rFonts w:eastAsiaTheme="minorHAnsi"/>
          <w:sz w:val="26"/>
          <w:szCs w:val="26"/>
        </w:rPr>
        <w:t xml:space="preserve">the JUAs were entered into or renewed after March 11, 2019.  If Verizon meets this evidentiary burden, the burden of production then switches to FirstEnergy to produce clear and convincing evidence that Verizon has received material advantages from the JUAs. </w:t>
      </w:r>
      <w:r w:rsidR="00FF5E07" w:rsidRPr="00A57018">
        <w:rPr>
          <w:rFonts w:eastAsiaTheme="minorHAnsi"/>
          <w:sz w:val="26"/>
          <w:szCs w:val="26"/>
        </w:rPr>
        <w:t xml:space="preserve"> Thus, we shall modify the Recommended Decision </w:t>
      </w:r>
      <w:r w:rsidR="00E63E76" w:rsidRPr="00684962">
        <w:rPr>
          <w:rFonts w:eastAsiaTheme="minorHAnsi"/>
          <w:sz w:val="26"/>
          <w:szCs w:val="26"/>
        </w:rPr>
        <w:t xml:space="preserve">on these issues </w:t>
      </w:r>
      <w:r w:rsidR="005C61CA" w:rsidRPr="00684962">
        <w:rPr>
          <w:rFonts w:eastAsiaTheme="minorHAnsi"/>
          <w:sz w:val="26"/>
          <w:szCs w:val="26"/>
        </w:rPr>
        <w:t>to</w:t>
      </w:r>
      <w:r w:rsidR="00E63E76" w:rsidRPr="00684962">
        <w:rPr>
          <w:rFonts w:eastAsiaTheme="minorHAnsi"/>
          <w:sz w:val="26"/>
          <w:szCs w:val="26"/>
        </w:rPr>
        <w:t xml:space="preserve"> provide clarity going forward</w:t>
      </w:r>
      <w:r w:rsidR="00FF5E07" w:rsidRPr="00684962">
        <w:rPr>
          <w:rFonts w:eastAsiaTheme="minorHAnsi"/>
          <w:sz w:val="26"/>
          <w:szCs w:val="26"/>
        </w:rPr>
        <w:t>.</w:t>
      </w:r>
      <w:r w:rsidR="00FF5E07" w:rsidRPr="00A57018">
        <w:rPr>
          <w:rFonts w:eastAsiaTheme="minorHAnsi"/>
          <w:sz w:val="26"/>
          <w:szCs w:val="26"/>
        </w:rPr>
        <w:t xml:space="preserve">  </w:t>
      </w:r>
    </w:p>
    <w:p w14:paraId="58E65C69" w14:textId="18741C83" w:rsidR="00231021" w:rsidRPr="00A57018" w:rsidRDefault="00231021" w:rsidP="00A57018">
      <w:pPr>
        <w:widowControl/>
        <w:spacing w:line="360" w:lineRule="auto"/>
        <w:ind w:firstLine="1440"/>
        <w:rPr>
          <w:rFonts w:eastAsiaTheme="minorHAnsi"/>
          <w:sz w:val="26"/>
          <w:szCs w:val="26"/>
        </w:rPr>
      </w:pPr>
    </w:p>
    <w:p w14:paraId="22476821" w14:textId="77777777" w:rsidR="00684962" w:rsidRDefault="00231021" w:rsidP="00A57018">
      <w:pPr>
        <w:widowControl/>
        <w:spacing w:line="360" w:lineRule="auto"/>
        <w:ind w:firstLine="1440"/>
        <w:rPr>
          <w:rFonts w:eastAsiaTheme="minorHAnsi"/>
          <w:sz w:val="26"/>
          <w:szCs w:val="26"/>
        </w:rPr>
      </w:pPr>
      <w:r w:rsidRPr="00A57018">
        <w:rPr>
          <w:rFonts w:eastAsiaTheme="minorHAnsi"/>
          <w:sz w:val="26"/>
          <w:szCs w:val="26"/>
        </w:rPr>
        <w:t xml:space="preserve">Other than </w:t>
      </w:r>
      <w:r w:rsidR="00E63E76" w:rsidRPr="00684962">
        <w:rPr>
          <w:rFonts w:eastAsiaTheme="minorHAnsi"/>
          <w:sz w:val="26"/>
          <w:szCs w:val="26"/>
        </w:rPr>
        <w:t>these clarifying modifications</w:t>
      </w:r>
      <w:r w:rsidR="00FF5E07" w:rsidRPr="00A57018">
        <w:rPr>
          <w:rFonts w:eastAsiaTheme="minorHAnsi"/>
          <w:sz w:val="26"/>
          <w:szCs w:val="26"/>
        </w:rPr>
        <w:t xml:space="preserve"> as to the applicable burden of proof, we find no error in the ALJ’s discussion of the appropriate legal standards to be applied in this proceeding as set forth on pages 18-24 of the Recommended Decision.  Accordingly, we shall deny FirstEnergy’s Exception Nos. 1-3 which attribute error to the legal standards discussion. </w:t>
      </w:r>
    </w:p>
    <w:p w14:paraId="4DC94742" w14:textId="77777777" w:rsidR="00684962" w:rsidRDefault="00684962">
      <w:pPr>
        <w:widowControl/>
        <w:rPr>
          <w:rFonts w:eastAsiaTheme="minorHAnsi"/>
          <w:sz w:val="26"/>
          <w:szCs w:val="26"/>
        </w:rPr>
      </w:pPr>
      <w:r>
        <w:rPr>
          <w:rFonts w:eastAsiaTheme="minorHAnsi"/>
          <w:sz w:val="26"/>
          <w:szCs w:val="26"/>
        </w:rPr>
        <w:br w:type="page"/>
      </w:r>
    </w:p>
    <w:p w14:paraId="45EC4506" w14:textId="4725B6C8" w:rsidR="00DA2034" w:rsidRPr="00A57018" w:rsidRDefault="006431AE" w:rsidP="00A57018">
      <w:pPr>
        <w:pStyle w:val="Heading2"/>
        <w:keepNext w:val="0"/>
        <w:keepLines w:val="0"/>
        <w:widowControl/>
        <w:spacing w:line="240" w:lineRule="auto"/>
      </w:pPr>
      <w:bookmarkStart w:id="23" w:name="_Toc59179300"/>
      <w:r w:rsidRPr="00A57018">
        <w:lastRenderedPageBreak/>
        <w:t>Verizon’s Entitlement to the New Telecom Rate Under</w:t>
      </w:r>
      <w:r w:rsidR="0039246C" w:rsidRPr="00A57018">
        <w:t xml:space="preserve"> the Code,</w:t>
      </w:r>
      <w:r w:rsidRPr="00A57018">
        <w:t xml:space="preserve"> Commission and FCC Regulations and Precedent</w:t>
      </w:r>
      <w:bookmarkEnd w:id="23"/>
    </w:p>
    <w:p w14:paraId="5F305810" w14:textId="479274CD" w:rsidR="00DA2034" w:rsidRPr="00A57018" w:rsidRDefault="00DA2034" w:rsidP="00A927B4">
      <w:pPr>
        <w:widowControl/>
        <w:spacing w:line="480" w:lineRule="auto"/>
        <w:rPr>
          <w:sz w:val="26"/>
          <w:szCs w:val="26"/>
        </w:rPr>
      </w:pPr>
    </w:p>
    <w:p w14:paraId="475F1B02" w14:textId="77777777" w:rsidR="006431AE" w:rsidRPr="00A57018" w:rsidRDefault="006431AE" w:rsidP="00A57018">
      <w:pPr>
        <w:pStyle w:val="Heading3"/>
        <w:numPr>
          <w:ilvl w:val="0"/>
          <w:numId w:val="21"/>
        </w:numPr>
        <w:ind w:left="1440" w:hanging="720"/>
      </w:pPr>
      <w:bookmarkStart w:id="24" w:name="_Toc59179301"/>
      <w:r w:rsidRPr="00A57018">
        <w:t>Recommended Decision</w:t>
      </w:r>
      <w:bookmarkEnd w:id="24"/>
    </w:p>
    <w:p w14:paraId="269BF0FF" w14:textId="0F7C601C" w:rsidR="006431AE" w:rsidRPr="00A57018" w:rsidRDefault="006431AE" w:rsidP="00A57018">
      <w:pPr>
        <w:pStyle w:val="Heading4"/>
        <w:widowControl/>
        <w:numPr>
          <w:ilvl w:val="0"/>
          <w:numId w:val="0"/>
        </w:numPr>
        <w:ind w:left="2160"/>
      </w:pPr>
    </w:p>
    <w:p w14:paraId="4661504F" w14:textId="6F1D6277" w:rsidR="005F5AEB" w:rsidRPr="00A57018" w:rsidRDefault="005F5AEB" w:rsidP="00A57018">
      <w:pPr>
        <w:widowControl/>
        <w:spacing w:line="360" w:lineRule="auto"/>
        <w:ind w:firstLine="1440"/>
        <w:rPr>
          <w:rFonts w:eastAsiaTheme="minorHAnsi"/>
          <w:sz w:val="26"/>
          <w:szCs w:val="26"/>
        </w:rPr>
      </w:pPr>
      <w:r w:rsidRPr="00A57018">
        <w:rPr>
          <w:sz w:val="26"/>
          <w:szCs w:val="26"/>
        </w:rPr>
        <w:t xml:space="preserve">In his Recommended Decision, ALJ </w:t>
      </w:r>
      <w:r w:rsidRPr="00A57018">
        <w:rPr>
          <w:rFonts w:eastAsiaTheme="minorHAnsi"/>
          <w:sz w:val="26"/>
          <w:szCs w:val="26"/>
        </w:rPr>
        <w:t>Cheskis found that the record evidence demonstrated that the current pole attachment rates FirstEnergy is charging Verizon under the J</w:t>
      </w:r>
      <w:r w:rsidR="00566690" w:rsidRPr="00A57018">
        <w:rPr>
          <w:rFonts w:eastAsiaTheme="minorHAnsi"/>
          <w:sz w:val="26"/>
          <w:szCs w:val="26"/>
        </w:rPr>
        <w:t>UAs</w:t>
      </w:r>
      <w:r w:rsidRPr="00A57018">
        <w:rPr>
          <w:rFonts w:eastAsiaTheme="minorHAnsi"/>
          <w:sz w:val="26"/>
          <w:szCs w:val="26"/>
        </w:rPr>
        <w:t xml:space="preserve"> are unjust and unreasonable and are therefore in violation of the Code and the Commission’s orders and Regulations because they were not set using the new telecom rate</w:t>
      </w:r>
      <w:r w:rsidR="00DF0A15" w:rsidRPr="00A57018">
        <w:rPr>
          <w:rFonts w:eastAsiaTheme="minorHAnsi"/>
          <w:sz w:val="26"/>
          <w:szCs w:val="26"/>
        </w:rPr>
        <w:t xml:space="preserve"> presumption in the Commission’s Regulations, adopting</w:t>
      </w:r>
      <w:r w:rsidRPr="00A57018">
        <w:rPr>
          <w:rFonts w:eastAsiaTheme="minorHAnsi"/>
          <w:sz w:val="26"/>
          <w:szCs w:val="26"/>
        </w:rPr>
        <w:t xml:space="preserve"> Section</w:t>
      </w:r>
      <w:r w:rsidR="00EB097E">
        <w:rPr>
          <w:rFonts w:eastAsiaTheme="minorHAnsi"/>
          <w:sz w:val="26"/>
          <w:szCs w:val="26"/>
        </w:rPr>
        <w:t> </w:t>
      </w:r>
      <w:r w:rsidRPr="00A57018">
        <w:rPr>
          <w:rFonts w:eastAsiaTheme="minorHAnsi"/>
          <w:sz w:val="26"/>
          <w:szCs w:val="26"/>
        </w:rPr>
        <w:t>1.1406(d)(2) of the FCC’s regulations.</w:t>
      </w:r>
      <w:r w:rsidRPr="00A57018">
        <w:rPr>
          <w:rStyle w:val="FootnoteReference"/>
          <w:rFonts w:eastAsiaTheme="minorHAnsi"/>
          <w:sz w:val="26"/>
          <w:szCs w:val="26"/>
        </w:rPr>
        <w:footnoteReference w:id="13"/>
      </w:r>
      <w:r w:rsidRPr="00A57018">
        <w:rPr>
          <w:rFonts w:eastAsiaTheme="minorHAnsi"/>
          <w:sz w:val="26"/>
          <w:szCs w:val="26"/>
        </w:rPr>
        <w:t xml:space="preserve">  R.D. at 50.  </w:t>
      </w:r>
    </w:p>
    <w:p w14:paraId="6ECE5F85" w14:textId="7E3369A6" w:rsidR="00515BAA" w:rsidRPr="00A57018" w:rsidRDefault="00515BAA" w:rsidP="00A57018">
      <w:pPr>
        <w:widowControl/>
        <w:spacing w:line="360" w:lineRule="auto"/>
        <w:ind w:firstLine="1440"/>
        <w:rPr>
          <w:rFonts w:eastAsiaTheme="minorHAnsi"/>
          <w:sz w:val="26"/>
          <w:szCs w:val="26"/>
        </w:rPr>
      </w:pPr>
    </w:p>
    <w:p w14:paraId="54A16921" w14:textId="32E3A78B" w:rsidR="00515BAA" w:rsidRPr="00A57018" w:rsidRDefault="00515BAA" w:rsidP="00A57018">
      <w:pPr>
        <w:widowControl/>
        <w:spacing w:line="360" w:lineRule="auto"/>
        <w:ind w:firstLine="1440"/>
        <w:rPr>
          <w:sz w:val="26"/>
          <w:szCs w:val="26"/>
        </w:rPr>
      </w:pPr>
      <w:r w:rsidRPr="00A57018">
        <w:rPr>
          <w:sz w:val="26"/>
          <w:szCs w:val="26"/>
        </w:rPr>
        <w:t>As an initial matter, the ALJ explained that through the addition of Chapter</w:t>
      </w:r>
      <w:r w:rsidR="00EB097E">
        <w:rPr>
          <w:sz w:val="26"/>
          <w:szCs w:val="26"/>
        </w:rPr>
        <w:t> </w:t>
      </w:r>
      <w:r w:rsidRPr="00A57018">
        <w:rPr>
          <w:sz w:val="26"/>
          <w:szCs w:val="26"/>
        </w:rPr>
        <w:t>77 to the Commission’s Regulations, the Commission has adopted “the rates</w:t>
      </w:r>
      <w:r w:rsidR="00B44E51">
        <w:rPr>
          <w:sz w:val="26"/>
          <w:szCs w:val="26"/>
        </w:rPr>
        <w:t>,</w:t>
      </w:r>
      <w:r w:rsidRPr="00A57018">
        <w:rPr>
          <w:sz w:val="26"/>
          <w:szCs w:val="26"/>
        </w:rPr>
        <w:t xml:space="preserve"> terms, and conditions of access to and use of utility poles, ducts, and conduits and rights-of-way to the full extent provided for in 47 U.S.C. § 224 and 47 C.F.R. Chapter I, Subchapter A, Part</w:t>
      </w:r>
      <w:r w:rsidR="00EB097E">
        <w:rPr>
          <w:sz w:val="26"/>
          <w:szCs w:val="26"/>
        </w:rPr>
        <w:t xml:space="preserve"> </w:t>
      </w:r>
      <w:r w:rsidRPr="00A57018">
        <w:rPr>
          <w:sz w:val="26"/>
          <w:szCs w:val="26"/>
        </w:rPr>
        <w:t>1, Subpart J (relating to pole attachment complaint procedures), inclusive of future changes as those regulations may be amended.”  R.D. at 41.  As such, the ALJ reasoned that</w:t>
      </w:r>
      <w:r w:rsidR="001338C6" w:rsidRPr="00A57018">
        <w:rPr>
          <w:sz w:val="26"/>
          <w:szCs w:val="26"/>
        </w:rPr>
        <w:t>, through the Commission’s</w:t>
      </w:r>
      <w:r w:rsidR="00CB0BF1" w:rsidRPr="00A57018">
        <w:rPr>
          <w:sz w:val="26"/>
          <w:szCs w:val="26"/>
        </w:rPr>
        <w:t xml:space="preserve"> </w:t>
      </w:r>
      <w:r w:rsidR="001338C6" w:rsidRPr="00A57018">
        <w:rPr>
          <w:i/>
          <w:iCs/>
          <w:sz w:val="26"/>
          <w:szCs w:val="26"/>
        </w:rPr>
        <w:t>2019 Final Rulemaking Order</w:t>
      </w:r>
      <w:r w:rsidR="001338C6" w:rsidRPr="00A57018">
        <w:rPr>
          <w:sz w:val="26"/>
          <w:szCs w:val="26"/>
        </w:rPr>
        <w:t xml:space="preserve">, </w:t>
      </w:r>
      <w:r w:rsidR="00CB0BF1" w:rsidRPr="00A57018">
        <w:rPr>
          <w:sz w:val="26"/>
          <w:szCs w:val="26"/>
        </w:rPr>
        <w:t>47</w:t>
      </w:r>
      <w:r w:rsidR="00EB097E">
        <w:rPr>
          <w:sz w:val="26"/>
          <w:szCs w:val="26"/>
        </w:rPr>
        <w:t> </w:t>
      </w:r>
      <w:r w:rsidR="00CB0BF1" w:rsidRPr="00A57018">
        <w:rPr>
          <w:sz w:val="26"/>
          <w:szCs w:val="26"/>
        </w:rPr>
        <w:t>C.F.R. § 1.1413 is now</w:t>
      </w:r>
      <w:r w:rsidRPr="00A57018">
        <w:rPr>
          <w:sz w:val="26"/>
          <w:szCs w:val="26"/>
        </w:rPr>
        <w:t xml:space="preserve"> Pennsylvania law; </w:t>
      </w:r>
      <w:r w:rsidR="008B307C" w:rsidRPr="00A57018">
        <w:rPr>
          <w:sz w:val="26"/>
          <w:szCs w:val="26"/>
        </w:rPr>
        <w:t xml:space="preserve">and </w:t>
      </w:r>
      <w:r w:rsidRPr="00A57018">
        <w:rPr>
          <w:sz w:val="26"/>
          <w:szCs w:val="26"/>
        </w:rPr>
        <w:t>therefore, the fact that Verizon’s Complaint does not allege any violation of the Code or Commission order or Regulation, as FirstEnergy argue</w:t>
      </w:r>
      <w:r w:rsidR="001338C6" w:rsidRPr="00A57018">
        <w:rPr>
          <w:sz w:val="26"/>
          <w:szCs w:val="26"/>
        </w:rPr>
        <w:t>d</w:t>
      </w:r>
      <w:r w:rsidR="008B307C" w:rsidRPr="00A57018">
        <w:rPr>
          <w:sz w:val="26"/>
          <w:szCs w:val="26"/>
        </w:rPr>
        <w:t>,</w:t>
      </w:r>
      <w:r w:rsidRPr="00A57018">
        <w:rPr>
          <w:sz w:val="26"/>
          <w:szCs w:val="26"/>
        </w:rPr>
        <w:t xml:space="preserve"> is without merit.  R.D. at 46-47.  </w:t>
      </w:r>
      <w:r w:rsidR="00AC4F68" w:rsidRPr="00A57018">
        <w:rPr>
          <w:sz w:val="26"/>
          <w:szCs w:val="26"/>
        </w:rPr>
        <w:t>As explained above, b</w:t>
      </w:r>
      <w:r w:rsidR="000404F6" w:rsidRPr="00A57018">
        <w:rPr>
          <w:sz w:val="26"/>
          <w:szCs w:val="26"/>
        </w:rPr>
        <w:t xml:space="preserve">y adopting Section 1.1413 of the FCC’s regulations the ALJ reasoned that the Commission has determined that pole attachment rates that satisfy Section 1.1413 are both just and reasonable and non-discriminatory as provided for under Sections 1301 and 1304 of the Code, respectively.  R.D. at 47 (citing 66 Pa. C.S. §§ 1301 and 1304).  </w:t>
      </w:r>
      <w:r w:rsidR="00436AB1" w:rsidRPr="00A57018">
        <w:rPr>
          <w:sz w:val="26"/>
          <w:szCs w:val="26"/>
        </w:rPr>
        <w:t>Therefore</w:t>
      </w:r>
      <w:r w:rsidR="00945633" w:rsidRPr="00A57018">
        <w:rPr>
          <w:sz w:val="26"/>
          <w:szCs w:val="26"/>
        </w:rPr>
        <w:t>,</w:t>
      </w:r>
      <w:r w:rsidR="00436AB1" w:rsidRPr="00A57018">
        <w:rPr>
          <w:sz w:val="26"/>
          <w:szCs w:val="26"/>
        </w:rPr>
        <w:t xml:space="preserve"> by </w:t>
      </w:r>
      <w:r w:rsidR="00436AB1" w:rsidRPr="00A57018">
        <w:rPr>
          <w:sz w:val="26"/>
          <w:szCs w:val="26"/>
        </w:rPr>
        <w:lastRenderedPageBreak/>
        <w:t xml:space="preserve">averring in its Complaint filed with the FCC that FirstEnergy’s pole attachment rates violate Section 1.1413 of the FCC’s regulations, Verizon did aver a violation of the Commission’s Regulation.  </w:t>
      </w:r>
      <w:r w:rsidR="00945633" w:rsidRPr="00A57018">
        <w:rPr>
          <w:i/>
          <w:iCs/>
          <w:sz w:val="26"/>
          <w:szCs w:val="26"/>
        </w:rPr>
        <w:t>Id.</w:t>
      </w:r>
      <w:r w:rsidR="00945633" w:rsidRPr="00A57018">
        <w:rPr>
          <w:sz w:val="26"/>
          <w:szCs w:val="26"/>
        </w:rPr>
        <w:t xml:space="preserve">  </w:t>
      </w:r>
    </w:p>
    <w:p w14:paraId="20498580" w14:textId="77777777" w:rsidR="005F5AEB" w:rsidRPr="00A57018" w:rsidRDefault="005F5AEB" w:rsidP="00A57018">
      <w:pPr>
        <w:widowControl/>
        <w:spacing w:line="360" w:lineRule="auto"/>
        <w:rPr>
          <w:sz w:val="26"/>
          <w:szCs w:val="26"/>
        </w:rPr>
      </w:pPr>
    </w:p>
    <w:p w14:paraId="317FC067" w14:textId="7726BB46" w:rsidR="00D7514D" w:rsidRPr="00A57018" w:rsidRDefault="005207BB" w:rsidP="00A57018">
      <w:pPr>
        <w:widowControl/>
        <w:spacing w:line="360" w:lineRule="auto"/>
        <w:ind w:firstLine="1440"/>
        <w:rPr>
          <w:sz w:val="26"/>
          <w:szCs w:val="26"/>
        </w:rPr>
      </w:pPr>
      <w:r w:rsidRPr="00A57018">
        <w:rPr>
          <w:sz w:val="26"/>
          <w:szCs w:val="26"/>
        </w:rPr>
        <w:t>T</w:t>
      </w:r>
      <w:r w:rsidR="00292BF4" w:rsidRPr="00A57018">
        <w:rPr>
          <w:sz w:val="26"/>
          <w:szCs w:val="26"/>
        </w:rPr>
        <w:t xml:space="preserve">he ALJ found that the Parties’ arguments tendered two main questions: (1) whether the </w:t>
      </w:r>
      <w:r w:rsidR="00566690" w:rsidRPr="00A57018">
        <w:rPr>
          <w:sz w:val="26"/>
          <w:szCs w:val="26"/>
        </w:rPr>
        <w:t>JUAs</w:t>
      </w:r>
      <w:r w:rsidR="00292BF4" w:rsidRPr="00A57018">
        <w:rPr>
          <w:sz w:val="26"/>
          <w:szCs w:val="26"/>
        </w:rPr>
        <w:t xml:space="preserve"> between Verizon and FirstEnergy were “entered into or renewed” after the effective date of the FCC’s implementing regulation, </w:t>
      </w:r>
      <w:bookmarkStart w:id="25" w:name="_Hlk55199742"/>
      <w:r w:rsidR="00292BF4" w:rsidRPr="00A57018">
        <w:rPr>
          <w:sz w:val="26"/>
          <w:szCs w:val="26"/>
        </w:rPr>
        <w:t>47 C.F.R. § 1.1413</w:t>
      </w:r>
      <w:bookmarkEnd w:id="25"/>
      <w:r w:rsidR="00292BF4" w:rsidRPr="00A57018">
        <w:rPr>
          <w:sz w:val="26"/>
          <w:szCs w:val="26"/>
        </w:rPr>
        <w:t>(b), which was March 11, 2019</w:t>
      </w:r>
      <w:r w:rsidR="00134A4C" w:rsidRPr="00A57018">
        <w:rPr>
          <w:sz w:val="26"/>
          <w:szCs w:val="26"/>
        </w:rPr>
        <w:t>;</w:t>
      </w:r>
      <w:r w:rsidR="00292BF4" w:rsidRPr="00A57018">
        <w:rPr>
          <w:sz w:val="26"/>
          <w:szCs w:val="26"/>
        </w:rPr>
        <w:t xml:space="preserve"> and, if so, (2) whether the J</w:t>
      </w:r>
      <w:r w:rsidR="00566690" w:rsidRPr="00A57018">
        <w:rPr>
          <w:sz w:val="26"/>
          <w:szCs w:val="26"/>
        </w:rPr>
        <w:t>UAs</w:t>
      </w:r>
      <w:r w:rsidR="00292BF4" w:rsidRPr="00A57018">
        <w:rPr>
          <w:sz w:val="26"/>
          <w:szCs w:val="26"/>
        </w:rPr>
        <w:t xml:space="preserve"> provide Ver</w:t>
      </w:r>
      <w:r w:rsidR="00E70136" w:rsidRPr="00A57018">
        <w:rPr>
          <w:sz w:val="26"/>
          <w:szCs w:val="26"/>
        </w:rPr>
        <w:t>iz</w:t>
      </w:r>
      <w:r w:rsidR="00292BF4" w:rsidRPr="00A57018">
        <w:rPr>
          <w:sz w:val="26"/>
          <w:szCs w:val="26"/>
        </w:rPr>
        <w:t>on material advantages over other similarly situated providers.</w:t>
      </w:r>
      <w:r w:rsidR="00CF794B" w:rsidRPr="00A57018">
        <w:rPr>
          <w:sz w:val="26"/>
          <w:szCs w:val="26"/>
        </w:rPr>
        <w:t xml:space="preserve">  R.D. at 41-42.  </w:t>
      </w:r>
      <w:r w:rsidR="001E00CA" w:rsidRPr="00A57018">
        <w:rPr>
          <w:sz w:val="26"/>
          <w:szCs w:val="26"/>
        </w:rPr>
        <w:t>Pages twenty-four through fifty of the ALJ</w:t>
      </w:r>
      <w:r w:rsidR="006462E3" w:rsidRPr="00A57018">
        <w:rPr>
          <w:sz w:val="26"/>
          <w:szCs w:val="26"/>
        </w:rPr>
        <w:t>’s</w:t>
      </w:r>
      <w:r w:rsidR="001E00CA" w:rsidRPr="00A57018">
        <w:rPr>
          <w:sz w:val="26"/>
          <w:szCs w:val="26"/>
        </w:rPr>
        <w:t xml:space="preserve"> Recommended Decision contain </w:t>
      </w:r>
      <w:r w:rsidR="006462E3" w:rsidRPr="00A57018">
        <w:rPr>
          <w:sz w:val="26"/>
          <w:szCs w:val="26"/>
        </w:rPr>
        <w:t>his</w:t>
      </w:r>
      <w:r w:rsidR="001E00CA" w:rsidRPr="00A57018">
        <w:rPr>
          <w:sz w:val="26"/>
          <w:szCs w:val="26"/>
        </w:rPr>
        <w:t xml:space="preserve"> discussion and findings concerning these issues.  </w:t>
      </w:r>
    </w:p>
    <w:p w14:paraId="2EEE300C" w14:textId="77777777" w:rsidR="003F4BA3" w:rsidRPr="00A57018" w:rsidRDefault="003F4BA3" w:rsidP="00A57018">
      <w:pPr>
        <w:widowControl/>
        <w:spacing w:line="360" w:lineRule="auto"/>
        <w:rPr>
          <w:sz w:val="26"/>
          <w:szCs w:val="26"/>
        </w:rPr>
      </w:pPr>
    </w:p>
    <w:p w14:paraId="15AB55DE" w14:textId="038D0A32" w:rsidR="00D7514D" w:rsidRPr="00A57018" w:rsidRDefault="008224BD" w:rsidP="00A57018">
      <w:pPr>
        <w:widowControl/>
        <w:spacing w:line="360" w:lineRule="auto"/>
        <w:ind w:firstLine="1440"/>
        <w:rPr>
          <w:sz w:val="26"/>
          <w:szCs w:val="26"/>
        </w:rPr>
      </w:pPr>
      <w:r w:rsidRPr="00A57018">
        <w:rPr>
          <w:sz w:val="26"/>
          <w:szCs w:val="26"/>
        </w:rPr>
        <w:t>T</w:t>
      </w:r>
      <w:r w:rsidR="000378E3" w:rsidRPr="00A57018">
        <w:rPr>
          <w:sz w:val="26"/>
          <w:szCs w:val="26"/>
        </w:rPr>
        <w:t xml:space="preserve">he ALJ agreed with Verizon’s contention that </w:t>
      </w:r>
      <w:r w:rsidR="00AC23B9" w:rsidRPr="00A57018">
        <w:rPr>
          <w:sz w:val="26"/>
          <w:szCs w:val="26"/>
        </w:rPr>
        <w:t>because FirstEnergy failed to justify its rental rates, the just and reasonable rate is a properly calculated new telecom rate under the presumption adopted in 2018 and the principle of competitive neutrality adopted in 2011.</w:t>
      </w:r>
      <w:r w:rsidR="00B42164" w:rsidRPr="00A57018">
        <w:rPr>
          <w:rStyle w:val="FootnoteReference"/>
          <w:sz w:val="26"/>
          <w:szCs w:val="26"/>
        </w:rPr>
        <w:footnoteReference w:id="14"/>
      </w:r>
      <w:r w:rsidR="00AC23B9" w:rsidRPr="00A57018">
        <w:rPr>
          <w:sz w:val="26"/>
          <w:szCs w:val="26"/>
        </w:rPr>
        <w:t xml:space="preserve">  </w:t>
      </w:r>
    </w:p>
    <w:p w14:paraId="54CCE28D" w14:textId="531C1283" w:rsidR="00204691" w:rsidRPr="00A57018" w:rsidRDefault="00204691" w:rsidP="00A57018">
      <w:pPr>
        <w:widowControl/>
        <w:spacing w:line="360" w:lineRule="auto"/>
        <w:ind w:firstLine="1440"/>
        <w:rPr>
          <w:sz w:val="26"/>
          <w:szCs w:val="26"/>
        </w:rPr>
      </w:pPr>
    </w:p>
    <w:p w14:paraId="3E3C9D48" w14:textId="77777777" w:rsidR="00BC3A33" w:rsidRPr="00A57018" w:rsidRDefault="00204691" w:rsidP="00A57018">
      <w:pPr>
        <w:widowControl/>
        <w:spacing w:line="360" w:lineRule="auto"/>
        <w:ind w:firstLine="1440"/>
        <w:rPr>
          <w:sz w:val="26"/>
          <w:szCs w:val="26"/>
        </w:rPr>
      </w:pPr>
      <w:r w:rsidRPr="00A57018">
        <w:rPr>
          <w:sz w:val="26"/>
          <w:szCs w:val="26"/>
        </w:rPr>
        <w:t xml:space="preserve">The ALJ supplemented his discussion of the issue by acknowledging arguments presented by FirstEnergy; however, the ALJ ultimately agreed with Verizon’s opposing arguments.  Specifically, </w:t>
      </w:r>
      <w:r w:rsidR="004736F7" w:rsidRPr="00A57018">
        <w:rPr>
          <w:sz w:val="26"/>
          <w:szCs w:val="26"/>
        </w:rPr>
        <w:t xml:space="preserve">the ALJ agreed with Verizon’s contention that the </w:t>
      </w:r>
      <w:r w:rsidR="004736F7" w:rsidRPr="00A57018">
        <w:rPr>
          <w:sz w:val="26"/>
          <w:szCs w:val="26"/>
        </w:rPr>
        <w:lastRenderedPageBreak/>
        <w:t xml:space="preserve">automatic renewal provision </w:t>
      </w:r>
      <w:r w:rsidR="00996F50" w:rsidRPr="00A57018">
        <w:rPr>
          <w:sz w:val="26"/>
          <w:szCs w:val="26"/>
        </w:rPr>
        <w:t>of the J</w:t>
      </w:r>
      <w:r w:rsidR="00566690" w:rsidRPr="00A57018">
        <w:rPr>
          <w:sz w:val="26"/>
          <w:szCs w:val="26"/>
        </w:rPr>
        <w:t>UAs</w:t>
      </w:r>
      <w:r w:rsidR="00996F50" w:rsidRPr="00A57018">
        <w:rPr>
          <w:sz w:val="26"/>
          <w:szCs w:val="26"/>
        </w:rPr>
        <w:t xml:space="preserve"> </w:t>
      </w:r>
      <w:r w:rsidR="004736F7" w:rsidRPr="00A57018">
        <w:rPr>
          <w:sz w:val="26"/>
          <w:szCs w:val="26"/>
        </w:rPr>
        <w:t>complies with the “entered into or renewed” requirement of 47 C.F.R. § 1.1413; and therefore, to the extent that an agreement continues until terminated after an initial term, as is the case here, the agreement is automatically renewed and eligible for the new telecom rate presumption.</w:t>
      </w:r>
      <w:r w:rsidR="008A0E6C" w:rsidRPr="00A57018">
        <w:rPr>
          <w:rStyle w:val="FootnoteReference"/>
          <w:sz w:val="26"/>
          <w:szCs w:val="26"/>
        </w:rPr>
        <w:footnoteReference w:id="15"/>
      </w:r>
      <w:r w:rsidR="004736F7" w:rsidRPr="00A57018">
        <w:rPr>
          <w:sz w:val="26"/>
          <w:szCs w:val="26"/>
        </w:rPr>
        <w:t xml:space="preserve">  </w:t>
      </w:r>
    </w:p>
    <w:p w14:paraId="76FF1CE1" w14:textId="05A24BA5" w:rsidR="00204691" w:rsidRPr="00A57018" w:rsidRDefault="00133704" w:rsidP="00A57018">
      <w:pPr>
        <w:widowControl/>
        <w:spacing w:line="360" w:lineRule="auto"/>
        <w:rPr>
          <w:sz w:val="26"/>
          <w:szCs w:val="26"/>
        </w:rPr>
      </w:pPr>
      <w:r w:rsidRPr="00A57018">
        <w:rPr>
          <w:sz w:val="26"/>
          <w:szCs w:val="26"/>
        </w:rPr>
        <w:t>R.D. at 42</w:t>
      </w:r>
      <w:r w:rsidR="008F4672" w:rsidRPr="00A57018">
        <w:rPr>
          <w:sz w:val="26"/>
          <w:szCs w:val="26"/>
        </w:rPr>
        <w:noBreakHyphen/>
      </w:r>
      <w:r w:rsidRPr="00A57018">
        <w:rPr>
          <w:sz w:val="26"/>
          <w:szCs w:val="26"/>
        </w:rPr>
        <w:t xml:space="preserve">43.  </w:t>
      </w:r>
    </w:p>
    <w:p w14:paraId="4E5B0836" w14:textId="53C2C70A" w:rsidR="00133704" w:rsidRPr="00A57018" w:rsidRDefault="00133704" w:rsidP="00A57018">
      <w:pPr>
        <w:widowControl/>
        <w:spacing w:line="360" w:lineRule="auto"/>
        <w:ind w:firstLine="1440"/>
        <w:rPr>
          <w:sz w:val="26"/>
          <w:szCs w:val="26"/>
        </w:rPr>
      </w:pPr>
    </w:p>
    <w:p w14:paraId="725AA24C" w14:textId="048980D0" w:rsidR="00133704" w:rsidRPr="00A57018" w:rsidRDefault="00133704" w:rsidP="00A57018">
      <w:pPr>
        <w:widowControl/>
        <w:spacing w:line="360" w:lineRule="auto"/>
        <w:ind w:firstLine="1440"/>
        <w:rPr>
          <w:sz w:val="26"/>
          <w:szCs w:val="26"/>
        </w:rPr>
      </w:pPr>
      <w:r w:rsidRPr="00A57018">
        <w:rPr>
          <w:sz w:val="26"/>
          <w:szCs w:val="26"/>
        </w:rPr>
        <w:t>Having found that the J</w:t>
      </w:r>
      <w:r w:rsidR="00566690" w:rsidRPr="00A57018">
        <w:rPr>
          <w:sz w:val="26"/>
          <w:szCs w:val="26"/>
        </w:rPr>
        <w:t>UAs</w:t>
      </w:r>
      <w:r w:rsidRPr="00A57018">
        <w:rPr>
          <w:sz w:val="26"/>
          <w:szCs w:val="26"/>
        </w:rPr>
        <w:t xml:space="preserve"> at issue in this proceeding are eligible for the new telecom rate presumption, the ALJ moved on to answer the second main question of whether FirstEnergy has rebutted that presumption by demonstrating that Verizon receives “material advantages” under those agreements that benefit Verizon compared to other telecommunications carriers or cable television systems providing telecommunications service on the same poles.</w:t>
      </w:r>
      <w:r w:rsidR="00B47B1D" w:rsidRPr="00A57018">
        <w:rPr>
          <w:rStyle w:val="FootnoteReference"/>
          <w:sz w:val="26"/>
          <w:szCs w:val="26"/>
        </w:rPr>
        <w:footnoteReference w:id="16"/>
      </w:r>
    </w:p>
    <w:p w14:paraId="4CB29416" w14:textId="79E7DF90" w:rsidR="00734A12" w:rsidRPr="00A57018" w:rsidRDefault="00734A12" w:rsidP="00A57018">
      <w:pPr>
        <w:widowControl/>
        <w:spacing w:line="360" w:lineRule="auto"/>
        <w:ind w:firstLine="1440"/>
        <w:rPr>
          <w:sz w:val="26"/>
          <w:szCs w:val="26"/>
        </w:rPr>
      </w:pPr>
    </w:p>
    <w:p w14:paraId="4CAD910E" w14:textId="45E666D3" w:rsidR="000914C5" w:rsidRPr="00A57018" w:rsidRDefault="00125C4A" w:rsidP="00A57018">
      <w:pPr>
        <w:widowControl/>
        <w:spacing w:line="360" w:lineRule="auto"/>
        <w:ind w:firstLine="1440"/>
        <w:rPr>
          <w:sz w:val="26"/>
          <w:szCs w:val="26"/>
        </w:rPr>
      </w:pPr>
      <w:r w:rsidRPr="00A57018">
        <w:rPr>
          <w:sz w:val="26"/>
          <w:szCs w:val="26"/>
        </w:rPr>
        <w:t>The ALJ concluded that the record evidence demonstrated that FirstEnergy has failed to prove by a preponderance of the evidence that it has rebutted the</w:t>
      </w:r>
      <w:r w:rsidR="003A660A" w:rsidRPr="00A57018">
        <w:rPr>
          <w:sz w:val="26"/>
          <w:szCs w:val="26"/>
        </w:rPr>
        <w:t xml:space="preserve"> </w:t>
      </w:r>
      <w:r w:rsidRPr="00A57018">
        <w:rPr>
          <w:sz w:val="26"/>
          <w:szCs w:val="26"/>
        </w:rPr>
        <w:t>presumption that Verizon has demonstrated it is entitled to by showing that the J</w:t>
      </w:r>
      <w:r w:rsidR="00566690" w:rsidRPr="00A57018">
        <w:rPr>
          <w:sz w:val="26"/>
          <w:szCs w:val="26"/>
        </w:rPr>
        <w:t>UAs</w:t>
      </w:r>
      <w:r w:rsidRPr="00A57018">
        <w:rPr>
          <w:sz w:val="26"/>
          <w:szCs w:val="26"/>
        </w:rPr>
        <w:t xml:space="preserve"> provide Verizon material advantages under 47 C.F.R. § 1.1413.  </w:t>
      </w:r>
      <w:r w:rsidR="000914C5" w:rsidRPr="00A57018">
        <w:rPr>
          <w:sz w:val="26"/>
          <w:szCs w:val="26"/>
        </w:rPr>
        <w:t xml:space="preserve">The ALJ </w:t>
      </w:r>
      <w:r w:rsidR="003A660A" w:rsidRPr="00A57018">
        <w:rPr>
          <w:sz w:val="26"/>
          <w:szCs w:val="26"/>
        </w:rPr>
        <w:t xml:space="preserve">found that </w:t>
      </w:r>
      <w:r w:rsidR="000914C5" w:rsidRPr="00A57018">
        <w:rPr>
          <w:sz w:val="26"/>
          <w:szCs w:val="26"/>
        </w:rPr>
        <w:t>the advantages FirstEnergy claims materially benefit Verizon are outweighed by the disadvantages that Verizon has demonstrated it faces as a result of the J</w:t>
      </w:r>
      <w:r w:rsidR="00566690" w:rsidRPr="00A57018">
        <w:rPr>
          <w:sz w:val="26"/>
          <w:szCs w:val="26"/>
        </w:rPr>
        <w:t>UAs</w:t>
      </w:r>
      <w:r w:rsidR="000914C5" w:rsidRPr="00A57018">
        <w:rPr>
          <w:sz w:val="26"/>
          <w:szCs w:val="26"/>
        </w:rPr>
        <w:t xml:space="preserve">.  </w:t>
      </w:r>
      <w:r w:rsidR="001A2B9B" w:rsidRPr="00A57018">
        <w:rPr>
          <w:sz w:val="26"/>
          <w:szCs w:val="26"/>
        </w:rPr>
        <w:t>Most notably</w:t>
      </w:r>
      <w:r w:rsidR="00FB5AD9" w:rsidRPr="00A57018">
        <w:rPr>
          <w:sz w:val="26"/>
          <w:szCs w:val="26"/>
        </w:rPr>
        <w:t>:</w:t>
      </w:r>
      <w:r w:rsidR="001A2B9B" w:rsidRPr="00A57018">
        <w:rPr>
          <w:sz w:val="26"/>
          <w:szCs w:val="26"/>
        </w:rPr>
        <w:t xml:space="preserve">(1) the terms and conditions in the </w:t>
      </w:r>
      <w:r w:rsidR="00566690" w:rsidRPr="00A57018">
        <w:rPr>
          <w:sz w:val="26"/>
          <w:szCs w:val="26"/>
        </w:rPr>
        <w:t>JUAs</w:t>
      </w:r>
      <w:r w:rsidR="001A2B9B" w:rsidRPr="00A57018">
        <w:rPr>
          <w:sz w:val="26"/>
          <w:szCs w:val="26"/>
        </w:rPr>
        <w:t xml:space="preserve"> are reciprocal, meaning Verizon must provide FirstEnergy access to </w:t>
      </w:r>
      <w:r w:rsidR="00345AFF" w:rsidRPr="00A57018">
        <w:rPr>
          <w:sz w:val="26"/>
          <w:szCs w:val="26"/>
        </w:rPr>
        <w:t xml:space="preserve">approximately </w:t>
      </w:r>
      <w:r w:rsidR="001A2B9B" w:rsidRPr="00A57018">
        <w:rPr>
          <w:sz w:val="26"/>
          <w:szCs w:val="26"/>
        </w:rPr>
        <w:t xml:space="preserve">110,000 of Verizon’s joint use poles under </w:t>
      </w:r>
      <w:r w:rsidR="001A2B9B" w:rsidRPr="00A57018">
        <w:rPr>
          <w:sz w:val="26"/>
          <w:szCs w:val="26"/>
        </w:rPr>
        <w:lastRenderedPageBreak/>
        <w:t>the same terms and conditions that apply to Verizon’s use of FirstEnergy’s poles</w:t>
      </w:r>
      <w:r w:rsidR="00345AFF" w:rsidRPr="00A57018">
        <w:rPr>
          <w:sz w:val="26"/>
          <w:szCs w:val="26"/>
        </w:rPr>
        <w:t xml:space="preserve"> (</w:t>
      </w:r>
      <w:r w:rsidR="001A2B9B" w:rsidRPr="00A57018">
        <w:rPr>
          <w:sz w:val="26"/>
          <w:szCs w:val="26"/>
        </w:rPr>
        <w:t>Verizon</w:t>
      </w:r>
      <w:r w:rsidR="00345AFF" w:rsidRPr="00A57018">
        <w:rPr>
          <w:sz w:val="26"/>
          <w:szCs w:val="26"/>
        </w:rPr>
        <w:t xml:space="preserve"> must maintain these poles as its</w:t>
      </w:r>
      <w:r w:rsidR="001A2B9B" w:rsidRPr="00A57018">
        <w:rPr>
          <w:sz w:val="26"/>
          <w:szCs w:val="26"/>
        </w:rPr>
        <w:t xml:space="preserve"> competitors do not</w:t>
      </w:r>
      <w:r w:rsidR="00345AFF" w:rsidRPr="00A57018">
        <w:rPr>
          <w:sz w:val="26"/>
          <w:szCs w:val="26"/>
        </w:rPr>
        <w:t>)</w:t>
      </w:r>
      <w:r w:rsidR="005E3B3A" w:rsidRPr="00A57018">
        <w:rPr>
          <w:sz w:val="26"/>
          <w:szCs w:val="26"/>
        </w:rPr>
        <w:t>;</w:t>
      </w:r>
      <w:r w:rsidR="001A2B9B" w:rsidRPr="00A57018">
        <w:rPr>
          <w:sz w:val="26"/>
          <w:szCs w:val="26"/>
        </w:rPr>
        <w:t xml:space="preserve"> and (2) Verizon has no statutory right to nondiscriminatory pole access, as its competitors do.  R.D. at 44-45.  </w:t>
      </w:r>
    </w:p>
    <w:p w14:paraId="3303860B" w14:textId="77777777" w:rsidR="00BC3A33" w:rsidRPr="00A57018" w:rsidRDefault="00BC3A33" w:rsidP="00A57018">
      <w:pPr>
        <w:widowControl/>
        <w:spacing w:line="360" w:lineRule="auto"/>
        <w:ind w:firstLine="1440"/>
        <w:rPr>
          <w:sz w:val="26"/>
          <w:szCs w:val="26"/>
        </w:rPr>
      </w:pPr>
    </w:p>
    <w:p w14:paraId="3F2D977E" w14:textId="560AB563" w:rsidR="00D7514D" w:rsidRPr="00A57018" w:rsidRDefault="000E266C" w:rsidP="00A57018">
      <w:pPr>
        <w:widowControl/>
        <w:spacing w:line="360" w:lineRule="auto"/>
        <w:ind w:firstLine="1440"/>
        <w:rPr>
          <w:sz w:val="26"/>
          <w:szCs w:val="26"/>
        </w:rPr>
      </w:pPr>
      <w:r w:rsidRPr="00A57018">
        <w:rPr>
          <w:sz w:val="26"/>
          <w:szCs w:val="26"/>
        </w:rPr>
        <w:t xml:space="preserve">Additionally, the ALJ found that the concepts of cost of common equity, cost of service and fully allocated cost-based rates are secondary to the FCC’s pole attachment regulations adopted by this Commission; and therefore, any loss of revenue FirstEnergy experiences as a result of charging Verizon the new telecom rate must be recouped elsewhere.  The ALJ explained that such issues can be addressed in FirstEnergy’s next base rate proceeding where these additional concepts and case precedent can be fully vetted.  R.D. at 48.  </w:t>
      </w:r>
    </w:p>
    <w:p w14:paraId="73DD7B54" w14:textId="12D13E4E" w:rsidR="00782541" w:rsidRPr="00A57018" w:rsidRDefault="00782541" w:rsidP="00A57018">
      <w:pPr>
        <w:widowControl/>
        <w:spacing w:line="360" w:lineRule="auto"/>
        <w:ind w:firstLine="1440"/>
        <w:rPr>
          <w:sz w:val="26"/>
          <w:szCs w:val="26"/>
        </w:rPr>
      </w:pPr>
    </w:p>
    <w:p w14:paraId="004FE253" w14:textId="50815796" w:rsidR="00782541" w:rsidRPr="00A57018" w:rsidRDefault="00782541" w:rsidP="00A57018">
      <w:pPr>
        <w:widowControl/>
        <w:spacing w:line="360" w:lineRule="auto"/>
        <w:ind w:firstLine="1440"/>
        <w:rPr>
          <w:sz w:val="26"/>
          <w:szCs w:val="26"/>
        </w:rPr>
      </w:pPr>
      <w:bookmarkStart w:id="26" w:name="_Hlk55284519"/>
      <w:r w:rsidRPr="00A57018">
        <w:rPr>
          <w:sz w:val="26"/>
          <w:szCs w:val="26"/>
        </w:rPr>
        <w:t>The ALJ noted the additional issues raised by the Parties, not relevant to the key issues in this case, unnecessarily complicate the issues and take the focus away from whether the requirements in Section 1.1413, as adopted by the Commission have been satisfied.  For example, Verizon’s argument that FirstEnergy’s three-to-one pole ownership advantage provides superior bargaining power simply complicates the issue</w:t>
      </w:r>
      <w:r w:rsidR="000D36F1" w:rsidRPr="00A57018">
        <w:rPr>
          <w:sz w:val="26"/>
          <w:szCs w:val="26"/>
        </w:rPr>
        <w:t>s, and is meritless, since the purpose of the J</w:t>
      </w:r>
      <w:r w:rsidR="00053825" w:rsidRPr="00A57018">
        <w:rPr>
          <w:sz w:val="26"/>
          <w:szCs w:val="26"/>
        </w:rPr>
        <w:t>UAs</w:t>
      </w:r>
      <w:r w:rsidR="000D36F1" w:rsidRPr="00A57018">
        <w:rPr>
          <w:sz w:val="26"/>
          <w:szCs w:val="26"/>
        </w:rPr>
        <w:t xml:space="preserve"> is to ensure Verizon and FirstEnergy work together to provide safe and adequate utility services and just and reasonable rates to as many Pennsylvanians as possible while deploying broadband services.  Therefore, it cannot be said that one has leverage over the other based on the number of poles each own.  R.D. at 49.  </w:t>
      </w:r>
    </w:p>
    <w:bookmarkEnd w:id="26"/>
    <w:p w14:paraId="37ADE194" w14:textId="24B3B014" w:rsidR="009249CF" w:rsidRPr="00A57018" w:rsidRDefault="009249CF" w:rsidP="00A57018">
      <w:pPr>
        <w:widowControl/>
        <w:spacing w:line="360" w:lineRule="auto"/>
        <w:ind w:firstLine="1440"/>
        <w:rPr>
          <w:sz w:val="26"/>
          <w:szCs w:val="26"/>
        </w:rPr>
      </w:pPr>
    </w:p>
    <w:p w14:paraId="1C76A36B" w14:textId="722D1A8B" w:rsidR="009249CF" w:rsidRPr="00A57018" w:rsidRDefault="009249CF" w:rsidP="00A57018">
      <w:pPr>
        <w:widowControl/>
        <w:spacing w:line="360" w:lineRule="auto"/>
        <w:ind w:firstLine="1440"/>
        <w:rPr>
          <w:sz w:val="26"/>
          <w:szCs w:val="26"/>
        </w:rPr>
      </w:pPr>
      <w:r w:rsidRPr="00A57018">
        <w:rPr>
          <w:sz w:val="26"/>
          <w:szCs w:val="26"/>
        </w:rPr>
        <w:t>The ALJ</w:t>
      </w:r>
      <w:r w:rsidR="00511D43" w:rsidRPr="00A57018">
        <w:rPr>
          <w:sz w:val="26"/>
          <w:szCs w:val="26"/>
        </w:rPr>
        <w:t xml:space="preserve"> further</w:t>
      </w:r>
      <w:r w:rsidRPr="00A57018">
        <w:rPr>
          <w:sz w:val="26"/>
          <w:szCs w:val="26"/>
        </w:rPr>
        <w:t xml:space="preserve"> supp</w:t>
      </w:r>
      <w:r w:rsidR="00511D43" w:rsidRPr="00A57018">
        <w:rPr>
          <w:sz w:val="26"/>
          <w:szCs w:val="26"/>
        </w:rPr>
        <w:t>orted</w:t>
      </w:r>
      <w:r w:rsidRPr="00A57018">
        <w:rPr>
          <w:sz w:val="26"/>
          <w:szCs w:val="26"/>
        </w:rPr>
        <w:t xml:space="preserve"> his discussion</w:t>
      </w:r>
      <w:r w:rsidR="00511D43" w:rsidRPr="00A57018">
        <w:rPr>
          <w:sz w:val="26"/>
          <w:szCs w:val="26"/>
        </w:rPr>
        <w:t xml:space="preserve"> and findings with the following statements, aligning his recommendation with the Commission’s goals:</w:t>
      </w:r>
    </w:p>
    <w:p w14:paraId="74DE3BBC" w14:textId="77777777" w:rsidR="00511D43" w:rsidRPr="00A57018" w:rsidRDefault="00511D43" w:rsidP="00EB097E">
      <w:pPr>
        <w:widowControl/>
        <w:ind w:firstLine="1440"/>
        <w:rPr>
          <w:sz w:val="26"/>
          <w:szCs w:val="26"/>
        </w:rPr>
      </w:pPr>
    </w:p>
    <w:p w14:paraId="06B0610F" w14:textId="6D80F330" w:rsidR="00511D43" w:rsidRPr="00A57018" w:rsidRDefault="00511D43" w:rsidP="00A57018">
      <w:pPr>
        <w:widowControl/>
        <w:ind w:left="1440" w:right="1440"/>
        <w:rPr>
          <w:sz w:val="26"/>
          <w:szCs w:val="26"/>
        </w:rPr>
      </w:pPr>
      <w:r w:rsidRPr="00A57018">
        <w:rPr>
          <w:sz w:val="26"/>
          <w:szCs w:val="26"/>
        </w:rPr>
        <w:t xml:space="preserve">This determination is consistent with the Commission’s goal in its Final Rulemaking Order that reverse pre-empting the FCC’s pole attachment authority will help to promote the deployment of broadband services in Pennsylvania. </w:t>
      </w:r>
      <w:r w:rsidR="009613AC" w:rsidRPr="00A57018">
        <w:rPr>
          <w:sz w:val="26"/>
          <w:szCs w:val="26"/>
        </w:rPr>
        <w:t xml:space="preserve"> </w:t>
      </w:r>
      <w:r w:rsidRPr="00A57018">
        <w:rPr>
          <w:sz w:val="26"/>
          <w:szCs w:val="26"/>
        </w:rPr>
        <w:t xml:space="preserve">As </w:t>
      </w:r>
      <w:r w:rsidRPr="00A57018">
        <w:rPr>
          <w:sz w:val="26"/>
          <w:szCs w:val="26"/>
        </w:rPr>
        <w:lastRenderedPageBreak/>
        <w:t>discussed above, the Commission has noted that reverse pre-empting the FCC’s jurisdiction over pole attachments “is a natural outgrowth of the goals of Chapter 30 of the Public Utility Code, which is intended to promote and encourage the provision of advanced telecommunications services and broadband deployment in the Commonwealth” and that “its assertion of jurisdiction over pole attachments will assist in spurring investment in, and access to, physical infrastructure used to deliver essential broadband access service to end-user customers.”  The use of the new telecom rate will help to achieve these goals and, with lower pole attachment rates ordered through this decision, help Verizon increase its deployment of broadband services throughout Pennsylvania.</w:t>
      </w:r>
    </w:p>
    <w:p w14:paraId="22C91CF5" w14:textId="39B2D301" w:rsidR="00D7514D" w:rsidRPr="00A57018" w:rsidRDefault="00D7514D" w:rsidP="00EB097E">
      <w:pPr>
        <w:widowControl/>
        <w:spacing w:line="360" w:lineRule="auto"/>
        <w:rPr>
          <w:sz w:val="26"/>
          <w:szCs w:val="26"/>
        </w:rPr>
      </w:pPr>
    </w:p>
    <w:p w14:paraId="1C55AEFF" w14:textId="3BFE79D7" w:rsidR="00511D43" w:rsidRPr="00A57018" w:rsidRDefault="00511D43" w:rsidP="00FA0506">
      <w:pPr>
        <w:widowControl/>
        <w:spacing w:line="360" w:lineRule="auto"/>
        <w:rPr>
          <w:sz w:val="26"/>
          <w:szCs w:val="26"/>
        </w:rPr>
      </w:pPr>
      <w:r w:rsidRPr="00A57018">
        <w:rPr>
          <w:sz w:val="26"/>
          <w:szCs w:val="26"/>
        </w:rPr>
        <w:t xml:space="preserve">R.D. at 50.  </w:t>
      </w:r>
    </w:p>
    <w:p w14:paraId="4884C336" w14:textId="77777777" w:rsidR="00D7514D" w:rsidRPr="00A57018" w:rsidRDefault="00D7514D" w:rsidP="00FA0506">
      <w:pPr>
        <w:widowControl/>
        <w:spacing w:line="360" w:lineRule="auto"/>
        <w:rPr>
          <w:sz w:val="26"/>
          <w:szCs w:val="26"/>
        </w:rPr>
      </w:pPr>
    </w:p>
    <w:p w14:paraId="4779353D" w14:textId="58D61792" w:rsidR="006431AE" w:rsidRPr="00A57018" w:rsidRDefault="006431AE" w:rsidP="00FA0506">
      <w:pPr>
        <w:pStyle w:val="Heading3"/>
        <w:ind w:left="1440" w:hanging="720"/>
      </w:pPr>
      <w:bookmarkStart w:id="27" w:name="_Toc59179302"/>
      <w:r w:rsidRPr="00A57018">
        <w:t>Exceptions and Replies</w:t>
      </w:r>
      <w:r w:rsidR="00C12041" w:rsidRPr="00A57018">
        <w:t xml:space="preserve"> (FirstEnergy Exception Nos. 4-6)</w:t>
      </w:r>
      <w:bookmarkEnd w:id="27"/>
    </w:p>
    <w:p w14:paraId="0FFC2D65" w14:textId="044154AE" w:rsidR="006431AE" w:rsidRPr="00A57018" w:rsidRDefault="006431AE" w:rsidP="00FA0506">
      <w:pPr>
        <w:pStyle w:val="Heading4"/>
        <w:widowControl/>
        <w:numPr>
          <w:ilvl w:val="0"/>
          <w:numId w:val="0"/>
        </w:numPr>
        <w:ind w:left="2160"/>
      </w:pPr>
    </w:p>
    <w:p w14:paraId="595A4391" w14:textId="6F61F4EE" w:rsidR="00D7514D" w:rsidRPr="00A57018" w:rsidRDefault="00D7514D" w:rsidP="00FA0506">
      <w:pPr>
        <w:widowControl/>
        <w:spacing w:line="360" w:lineRule="auto"/>
        <w:ind w:firstLine="1440"/>
        <w:rPr>
          <w:sz w:val="26"/>
          <w:szCs w:val="26"/>
        </w:rPr>
      </w:pPr>
      <w:r w:rsidRPr="00A57018">
        <w:rPr>
          <w:sz w:val="26"/>
          <w:szCs w:val="26"/>
        </w:rPr>
        <w:t>FirstEnergy’s second set of Exceptions challenges the ALJ’s determination that the new telecom rate is the just and reasonable competitively neutral rate because</w:t>
      </w:r>
      <w:r w:rsidR="00F840B6" w:rsidRPr="00A57018">
        <w:rPr>
          <w:sz w:val="26"/>
          <w:szCs w:val="26"/>
        </w:rPr>
        <w:t>: (1)</w:t>
      </w:r>
      <w:r w:rsidR="00EB097E">
        <w:rPr>
          <w:sz w:val="26"/>
          <w:szCs w:val="26"/>
        </w:rPr>
        <w:t> </w:t>
      </w:r>
      <w:r w:rsidR="00F840B6" w:rsidRPr="00A57018">
        <w:rPr>
          <w:sz w:val="26"/>
          <w:szCs w:val="26"/>
        </w:rPr>
        <w:t>the J</w:t>
      </w:r>
      <w:r w:rsidR="00053825" w:rsidRPr="00A57018">
        <w:rPr>
          <w:sz w:val="26"/>
          <w:szCs w:val="26"/>
        </w:rPr>
        <w:t>UAs</w:t>
      </w:r>
      <w:r w:rsidR="00F840B6" w:rsidRPr="00A57018">
        <w:rPr>
          <w:sz w:val="26"/>
          <w:szCs w:val="26"/>
        </w:rPr>
        <w:t xml:space="preserve"> were renewed after the effective date of </w:t>
      </w:r>
      <w:r w:rsidR="0051650C" w:rsidRPr="00A57018">
        <w:rPr>
          <w:sz w:val="26"/>
          <w:szCs w:val="26"/>
        </w:rPr>
        <w:t xml:space="preserve">the FCC’s implementing regulation, </w:t>
      </w:r>
      <w:r w:rsidR="00F840B6" w:rsidRPr="00A57018">
        <w:rPr>
          <w:sz w:val="26"/>
          <w:szCs w:val="26"/>
        </w:rPr>
        <w:t>47 C.F.R. § 1.1413(b)</w:t>
      </w:r>
      <w:r w:rsidR="005F3B51" w:rsidRPr="00A57018">
        <w:rPr>
          <w:sz w:val="26"/>
          <w:szCs w:val="26"/>
        </w:rPr>
        <w:t>, which was March 11, 2019</w:t>
      </w:r>
      <w:r w:rsidR="00A165D3" w:rsidRPr="00A57018">
        <w:rPr>
          <w:sz w:val="26"/>
          <w:szCs w:val="26"/>
        </w:rPr>
        <w:t>;</w:t>
      </w:r>
      <w:r w:rsidR="005F3B51" w:rsidRPr="00A57018">
        <w:rPr>
          <w:sz w:val="26"/>
          <w:szCs w:val="26"/>
        </w:rPr>
        <w:t xml:space="preserve"> and (2) </w:t>
      </w:r>
      <w:r w:rsidRPr="00A57018">
        <w:rPr>
          <w:sz w:val="26"/>
          <w:szCs w:val="26"/>
        </w:rPr>
        <w:t>FirstEnergy does not provide Ver</w:t>
      </w:r>
      <w:r w:rsidR="005F3B51" w:rsidRPr="00A57018">
        <w:rPr>
          <w:sz w:val="26"/>
          <w:szCs w:val="26"/>
        </w:rPr>
        <w:t>iz</w:t>
      </w:r>
      <w:r w:rsidRPr="00A57018">
        <w:rPr>
          <w:sz w:val="26"/>
          <w:szCs w:val="26"/>
        </w:rPr>
        <w:t>on a net material advantage under the J</w:t>
      </w:r>
      <w:r w:rsidR="00053825" w:rsidRPr="00A57018">
        <w:rPr>
          <w:sz w:val="26"/>
          <w:szCs w:val="26"/>
        </w:rPr>
        <w:t>UAs</w:t>
      </w:r>
      <w:r w:rsidRPr="00A57018">
        <w:rPr>
          <w:sz w:val="26"/>
          <w:szCs w:val="26"/>
        </w:rPr>
        <w:t xml:space="preserve"> as compared to the terms and conditions it provides Verizon’s competitors.  R.D. at 9 (Finding of Fact No. 15)</w:t>
      </w:r>
      <w:r w:rsidR="009F6107" w:rsidRPr="00A57018">
        <w:rPr>
          <w:sz w:val="26"/>
          <w:szCs w:val="26"/>
        </w:rPr>
        <w:t xml:space="preserve"> and 42</w:t>
      </w:r>
      <w:r w:rsidRPr="00A57018">
        <w:rPr>
          <w:sz w:val="26"/>
          <w:szCs w:val="26"/>
        </w:rPr>
        <w:t xml:space="preserve">; FirstEnergy Exc. at 15-27.  </w:t>
      </w:r>
    </w:p>
    <w:p w14:paraId="640BD572" w14:textId="591542E8" w:rsidR="00D7514D" w:rsidRPr="00A57018" w:rsidRDefault="00D7514D" w:rsidP="00EB097E">
      <w:pPr>
        <w:widowControl/>
        <w:spacing w:line="360" w:lineRule="auto"/>
        <w:rPr>
          <w:sz w:val="26"/>
          <w:szCs w:val="26"/>
        </w:rPr>
      </w:pPr>
    </w:p>
    <w:p w14:paraId="1FB4AC81" w14:textId="2BB26FCE" w:rsidR="0042511C" w:rsidRPr="00A57018" w:rsidRDefault="00BA2907" w:rsidP="00A57018">
      <w:pPr>
        <w:pStyle w:val="Heading4"/>
        <w:widowControl/>
        <w:spacing w:line="240" w:lineRule="auto"/>
      </w:pPr>
      <w:bookmarkStart w:id="28" w:name="_Toc59179303"/>
      <w:r w:rsidRPr="00A57018">
        <w:t xml:space="preserve">Did the ALJ </w:t>
      </w:r>
      <w:r w:rsidR="00EB097E">
        <w:t>E</w:t>
      </w:r>
      <w:r w:rsidRPr="00A57018">
        <w:t xml:space="preserve">rr by </w:t>
      </w:r>
      <w:r w:rsidR="00EB097E">
        <w:t>I</w:t>
      </w:r>
      <w:r w:rsidRPr="00A57018">
        <w:t xml:space="preserve">gnoring FCC </w:t>
      </w:r>
      <w:r w:rsidR="00EB097E">
        <w:t>P</w:t>
      </w:r>
      <w:r w:rsidRPr="00A57018">
        <w:t xml:space="preserve">recedent in the </w:t>
      </w:r>
      <w:r w:rsidR="00EB097E">
        <w:t>R</w:t>
      </w:r>
      <w:r w:rsidRPr="00A57018">
        <w:t xml:space="preserve">esolution of this </w:t>
      </w:r>
      <w:r w:rsidR="00EB097E">
        <w:t>P</w:t>
      </w:r>
      <w:r w:rsidRPr="00A57018">
        <w:t xml:space="preserve">roceeding? </w:t>
      </w:r>
      <w:r w:rsidR="006C2F32" w:rsidRPr="00A57018">
        <w:t xml:space="preserve"> </w:t>
      </w:r>
      <w:r w:rsidRPr="00A57018">
        <w:t>(FirstEnergy Exception No. 4)</w:t>
      </w:r>
      <w:bookmarkEnd w:id="28"/>
    </w:p>
    <w:p w14:paraId="0DE38830" w14:textId="6CEC4B0A" w:rsidR="0051650C" w:rsidRPr="00A57018" w:rsidRDefault="0051650C" w:rsidP="00EB097E">
      <w:pPr>
        <w:widowControl/>
        <w:spacing w:line="480" w:lineRule="auto"/>
        <w:rPr>
          <w:sz w:val="26"/>
          <w:szCs w:val="26"/>
        </w:rPr>
      </w:pPr>
    </w:p>
    <w:p w14:paraId="4007A1EA" w14:textId="3FCADE0A" w:rsidR="0051650C" w:rsidRPr="00A57018" w:rsidRDefault="002F3986" w:rsidP="00A57018">
      <w:pPr>
        <w:widowControl/>
        <w:spacing w:line="360" w:lineRule="auto"/>
        <w:ind w:firstLine="1440"/>
        <w:rPr>
          <w:sz w:val="26"/>
          <w:szCs w:val="26"/>
        </w:rPr>
      </w:pPr>
      <w:r w:rsidRPr="00A57018">
        <w:rPr>
          <w:sz w:val="26"/>
          <w:szCs w:val="26"/>
        </w:rPr>
        <w:t xml:space="preserve">In its </w:t>
      </w:r>
      <w:r w:rsidR="005D28A3" w:rsidRPr="00A57018">
        <w:rPr>
          <w:sz w:val="26"/>
          <w:szCs w:val="26"/>
        </w:rPr>
        <w:t>fourth</w:t>
      </w:r>
      <w:r w:rsidRPr="00A57018">
        <w:rPr>
          <w:sz w:val="26"/>
          <w:szCs w:val="26"/>
        </w:rPr>
        <w:t xml:space="preserve"> Exception, FirstEnergy </w:t>
      </w:r>
      <w:r w:rsidR="00BB4061" w:rsidRPr="00A57018">
        <w:rPr>
          <w:sz w:val="26"/>
          <w:szCs w:val="26"/>
        </w:rPr>
        <w:t>argues that the ALJ ignored FCC precedent</w:t>
      </w:r>
      <w:r w:rsidR="00375AC7" w:rsidRPr="00A57018">
        <w:rPr>
          <w:sz w:val="26"/>
          <w:szCs w:val="26"/>
        </w:rPr>
        <w:t>, which it claims has “repeatedly [ ] rejected the relief sought by Verizon.</w:t>
      </w:r>
      <w:r w:rsidR="00B44E51">
        <w:rPr>
          <w:sz w:val="26"/>
          <w:szCs w:val="26"/>
        </w:rPr>
        <w:t>”</w:t>
      </w:r>
      <w:r w:rsidR="00375AC7" w:rsidRPr="00A57018">
        <w:rPr>
          <w:sz w:val="26"/>
          <w:szCs w:val="26"/>
        </w:rPr>
        <w:t xml:space="preserve">  FirstEnergy cites to three specific FCC decisions: (1)</w:t>
      </w:r>
      <w:r w:rsidR="00706663" w:rsidRPr="00A57018">
        <w:rPr>
          <w:sz w:val="26"/>
          <w:szCs w:val="26"/>
        </w:rPr>
        <w:t xml:space="preserve"> </w:t>
      </w:r>
      <w:r w:rsidR="00706663" w:rsidRPr="00A57018">
        <w:rPr>
          <w:i/>
          <w:iCs/>
          <w:sz w:val="26"/>
          <w:szCs w:val="26"/>
        </w:rPr>
        <w:t>BellSouth Telecommunications, LLC d/b/a</w:t>
      </w:r>
      <w:r w:rsidR="00C665AA" w:rsidRPr="00A57018">
        <w:rPr>
          <w:i/>
          <w:iCs/>
          <w:sz w:val="26"/>
          <w:szCs w:val="26"/>
        </w:rPr>
        <w:t xml:space="preserve"> AT&amp;T Florida v. Florida Power and Light Company</w:t>
      </w:r>
      <w:r w:rsidR="00C665AA" w:rsidRPr="00A57018">
        <w:rPr>
          <w:sz w:val="26"/>
          <w:szCs w:val="26"/>
        </w:rPr>
        <w:t xml:space="preserve">, Proceeding No. 19-187; </w:t>
      </w:r>
      <w:r w:rsidR="00C665AA" w:rsidRPr="00A57018">
        <w:rPr>
          <w:sz w:val="26"/>
          <w:szCs w:val="26"/>
        </w:rPr>
        <w:lastRenderedPageBreak/>
        <w:t>Bureau ID No. EB-19-MD</w:t>
      </w:r>
      <w:r w:rsidR="001708F7" w:rsidRPr="00A57018">
        <w:rPr>
          <w:sz w:val="26"/>
          <w:szCs w:val="26"/>
        </w:rPr>
        <w:t>-</w:t>
      </w:r>
      <w:r w:rsidR="00C665AA" w:rsidRPr="00A57018">
        <w:rPr>
          <w:sz w:val="26"/>
          <w:szCs w:val="26"/>
        </w:rPr>
        <w:t>006 (Memorandum Opinion and Order adopted May</w:t>
      </w:r>
      <w:r w:rsidR="00EB097E">
        <w:rPr>
          <w:sz w:val="26"/>
          <w:szCs w:val="26"/>
        </w:rPr>
        <w:t> </w:t>
      </w:r>
      <w:r w:rsidR="00C665AA" w:rsidRPr="00A57018">
        <w:rPr>
          <w:sz w:val="26"/>
          <w:szCs w:val="26"/>
        </w:rPr>
        <w:t>20,</w:t>
      </w:r>
      <w:r w:rsidR="00EB097E">
        <w:rPr>
          <w:sz w:val="26"/>
          <w:szCs w:val="26"/>
        </w:rPr>
        <w:t> </w:t>
      </w:r>
      <w:r w:rsidR="00C665AA" w:rsidRPr="00A57018">
        <w:rPr>
          <w:sz w:val="26"/>
          <w:szCs w:val="26"/>
        </w:rPr>
        <w:t>2020) (</w:t>
      </w:r>
      <w:bookmarkStart w:id="29" w:name="_Hlk56681721"/>
      <w:r w:rsidR="00CB0433" w:rsidRPr="00A57018">
        <w:rPr>
          <w:i/>
          <w:iCs/>
          <w:sz w:val="26"/>
          <w:szCs w:val="26"/>
        </w:rPr>
        <w:t>FPL 2020 Order</w:t>
      </w:r>
      <w:bookmarkEnd w:id="29"/>
      <w:r w:rsidR="00C665AA" w:rsidRPr="00A57018">
        <w:rPr>
          <w:sz w:val="26"/>
          <w:szCs w:val="26"/>
        </w:rPr>
        <w:t xml:space="preserve">); (2) </w:t>
      </w:r>
      <w:r w:rsidR="001708F7" w:rsidRPr="00A57018">
        <w:rPr>
          <w:i/>
          <w:iCs/>
          <w:sz w:val="26"/>
          <w:szCs w:val="26"/>
        </w:rPr>
        <w:t>Verizon Virginia, LLC and Verizon South, Inc</w:t>
      </w:r>
      <w:r w:rsidR="00CB0433" w:rsidRPr="00A57018">
        <w:rPr>
          <w:i/>
          <w:iCs/>
          <w:sz w:val="26"/>
          <w:szCs w:val="26"/>
        </w:rPr>
        <w:t>.</w:t>
      </w:r>
      <w:r w:rsidR="001708F7" w:rsidRPr="00A57018">
        <w:rPr>
          <w:i/>
          <w:iCs/>
          <w:sz w:val="26"/>
          <w:szCs w:val="26"/>
        </w:rPr>
        <w:t xml:space="preserve"> v. Virginia Electric and Power Company d/b/a Dominion Virginia Power</w:t>
      </w:r>
      <w:r w:rsidR="001708F7" w:rsidRPr="00A57018">
        <w:rPr>
          <w:sz w:val="26"/>
          <w:szCs w:val="26"/>
        </w:rPr>
        <w:t>, Proceeding No.</w:t>
      </w:r>
      <w:r w:rsidR="00EB097E">
        <w:rPr>
          <w:sz w:val="26"/>
          <w:szCs w:val="26"/>
        </w:rPr>
        <w:t> </w:t>
      </w:r>
      <w:r w:rsidR="001708F7" w:rsidRPr="00A57018">
        <w:rPr>
          <w:sz w:val="26"/>
          <w:szCs w:val="26"/>
        </w:rPr>
        <w:t xml:space="preserve">15-190; Bureau ID No. EB-15-MD-006, 32 FCC Rcd 3750, 2017 FCC LEXIS 1304 (2017) </w:t>
      </w:r>
      <w:r w:rsidR="001708F7" w:rsidRPr="00A57018">
        <w:rPr>
          <w:i/>
          <w:iCs/>
          <w:sz w:val="26"/>
          <w:szCs w:val="26"/>
        </w:rPr>
        <w:t>(Dominion Order</w:t>
      </w:r>
      <w:r w:rsidR="001708F7" w:rsidRPr="00A57018">
        <w:rPr>
          <w:sz w:val="26"/>
          <w:szCs w:val="26"/>
        </w:rPr>
        <w:t xml:space="preserve">); and (3) </w:t>
      </w:r>
      <w:r w:rsidR="00CB0433" w:rsidRPr="00A57018">
        <w:rPr>
          <w:i/>
          <w:sz w:val="26"/>
          <w:szCs w:val="26"/>
        </w:rPr>
        <w:t>Verizon Florida LLC v. Florida Power and Light Company</w:t>
      </w:r>
      <w:r w:rsidR="00CB0433" w:rsidRPr="00A57018">
        <w:rPr>
          <w:sz w:val="26"/>
          <w:szCs w:val="26"/>
        </w:rPr>
        <w:t>, Proceeding No. 14-216, Bureau ID No. EB-14-MD-003, 2015 LEXIS 441, 30</w:t>
      </w:r>
      <w:r w:rsidR="00EB097E">
        <w:rPr>
          <w:sz w:val="26"/>
          <w:szCs w:val="26"/>
        </w:rPr>
        <w:t> </w:t>
      </w:r>
      <w:r w:rsidR="00CB0433" w:rsidRPr="00A57018">
        <w:rPr>
          <w:sz w:val="26"/>
          <w:szCs w:val="26"/>
        </w:rPr>
        <w:t>FCC Rcd 1140 (</w:t>
      </w:r>
      <w:r w:rsidR="00CB0433" w:rsidRPr="00A57018">
        <w:rPr>
          <w:i/>
          <w:iCs/>
          <w:sz w:val="26"/>
          <w:szCs w:val="26"/>
        </w:rPr>
        <w:t>FPL 2015 Order</w:t>
      </w:r>
      <w:r w:rsidR="00CB0433" w:rsidRPr="00A57018">
        <w:rPr>
          <w:sz w:val="26"/>
          <w:szCs w:val="26"/>
        </w:rPr>
        <w:t>)</w:t>
      </w:r>
      <w:r w:rsidR="00E547BC" w:rsidRPr="00A57018">
        <w:rPr>
          <w:sz w:val="26"/>
          <w:szCs w:val="26"/>
        </w:rPr>
        <w:t xml:space="preserve">.  FirstEnergy Exc. at 16.  </w:t>
      </w:r>
      <w:r w:rsidR="00B17C23" w:rsidRPr="00A57018">
        <w:rPr>
          <w:sz w:val="26"/>
          <w:szCs w:val="26"/>
        </w:rPr>
        <w:t xml:space="preserve">FirstEnergy contends that in each of these three cases, regarding rates an ILEC pays an electric utility under </w:t>
      </w:r>
      <w:r w:rsidR="000D34C9" w:rsidRPr="00A57018">
        <w:rPr>
          <w:sz w:val="26"/>
          <w:szCs w:val="26"/>
        </w:rPr>
        <w:t xml:space="preserve">the </w:t>
      </w:r>
      <w:r w:rsidR="00053825" w:rsidRPr="00A57018">
        <w:rPr>
          <w:sz w:val="26"/>
          <w:szCs w:val="26"/>
        </w:rPr>
        <w:t>JUAs</w:t>
      </w:r>
      <w:r w:rsidR="00B17C23" w:rsidRPr="00A57018">
        <w:rPr>
          <w:sz w:val="26"/>
          <w:szCs w:val="26"/>
        </w:rPr>
        <w:t xml:space="preserve">, the FCC has rejected </w:t>
      </w:r>
      <w:r w:rsidR="000D34C9" w:rsidRPr="00A57018">
        <w:rPr>
          <w:sz w:val="26"/>
          <w:szCs w:val="26"/>
        </w:rPr>
        <w:t xml:space="preserve">the </w:t>
      </w:r>
      <w:r w:rsidR="00B17C23" w:rsidRPr="00A57018">
        <w:rPr>
          <w:sz w:val="26"/>
          <w:szCs w:val="26"/>
        </w:rPr>
        <w:t xml:space="preserve">ILEC’s requests to insert the new telecom rate into a </w:t>
      </w:r>
      <w:r w:rsidR="00053825" w:rsidRPr="00A57018">
        <w:rPr>
          <w:sz w:val="26"/>
          <w:szCs w:val="26"/>
        </w:rPr>
        <w:t>JUA</w:t>
      </w:r>
      <w:r w:rsidR="00B17C23" w:rsidRPr="00A57018">
        <w:rPr>
          <w:sz w:val="26"/>
          <w:szCs w:val="26"/>
        </w:rPr>
        <w:t xml:space="preserve"> that was not a new agreement</w:t>
      </w:r>
      <w:r w:rsidR="00C83842" w:rsidRPr="00A57018">
        <w:rPr>
          <w:sz w:val="26"/>
          <w:szCs w:val="26"/>
        </w:rPr>
        <w:t>.  FirstEnergy argues that the ALJ failed to distinguish or even cite to these decisions in his disposition of this case</w:t>
      </w:r>
      <w:r w:rsidR="00E86ECB" w:rsidRPr="00A57018">
        <w:rPr>
          <w:sz w:val="26"/>
          <w:szCs w:val="26"/>
        </w:rPr>
        <w:t>, and in doing so ignore</w:t>
      </w:r>
      <w:r w:rsidR="007B2235" w:rsidRPr="00A57018">
        <w:rPr>
          <w:sz w:val="26"/>
          <w:szCs w:val="26"/>
        </w:rPr>
        <w:t>d</w:t>
      </w:r>
      <w:r w:rsidR="00E86ECB" w:rsidRPr="00A57018">
        <w:rPr>
          <w:sz w:val="26"/>
          <w:szCs w:val="26"/>
        </w:rPr>
        <w:t xml:space="preserve"> the fact that the relief that Verizon seeks is completely unsupported by any prior FCC decision</w:t>
      </w:r>
      <w:r w:rsidR="00C83842" w:rsidRPr="00A57018">
        <w:rPr>
          <w:sz w:val="26"/>
          <w:szCs w:val="26"/>
        </w:rPr>
        <w:t>.</w:t>
      </w:r>
      <w:r w:rsidR="004772C4" w:rsidRPr="00A57018">
        <w:rPr>
          <w:sz w:val="26"/>
          <w:szCs w:val="26"/>
        </w:rPr>
        <w:t xml:space="preserve">  </w:t>
      </w:r>
      <w:r w:rsidR="00E86ECB" w:rsidRPr="00A57018">
        <w:rPr>
          <w:sz w:val="26"/>
          <w:szCs w:val="26"/>
        </w:rPr>
        <w:t xml:space="preserve">FirstEnergy Exc. at 16-17.  </w:t>
      </w:r>
    </w:p>
    <w:p w14:paraId="7757CCD2" w14:textId="217ABC4B" w:rsidR="00175B51" w:rsidRPr="00A57018" w:rsidRDefault="00175B51" w:rsidP="00A57018">
      <w:pPr>
        <w:widowControl/>
        <w:spacing w:line="360" w:lineRule="auto"/>
        <w:rPr>
          <w:sz w:val="26"/>
          <w:szCs w:val="26"/>
        </w:rPr>
      </w:pPr>
    </w:p>
    <w:p w14:paraId="61AE7CDE" w14:textId="173BE92F" w:rsidR="001F5CC4" w:rsidRPr="00A57018" w:rsidRDefault="00AE605E" w:rsidP="00A57018">
      <w:pPr>
        <w:widowControl/>
        <w:spacing w:line="360" w:lineRule="auto"/>
        <w:ind w:firstLine="1440"/>
        <w:rPr>
          <w:sz w:val="26"/>
          <w:szCs w:val="26"/>
        </w:rPr>
      </w:pPr>
      <w:r w:rsidRPr="00A57018">
        <w:rPr>
          <w:sz w:val="26"/>
          <w:szCs w:val="26"/>
        </w:rPr>
        <w:t>In its Reply Exceptions, Verizon retorts that the ALJ</w:t>
      </w:r>
      <w:r w:rsidR="00B81E13" w:rsidRPr="00A57018">
        <w:rPr>
          <w:sz w:val="26"/>
          <w:szCs w:val="26"/>
        </w:rPr>
        <w:t xml:space="preserve"> has not ignored these FCC decision</w:t>
      </w:r>
      <w:r w:rsidR="002F0AD0" w:rsidRPr="00A57018">
        <w:rPr>
          <w:sz w:val="26"/>
          <w:szCs w:val="26"/>
        </w:rPr>
        <w:t>s</w:t>
      </w:r>
      <w:r w:rsidR="00B81E13" w:rsidRPr="00A57018">
        <w:rPr>
          <w:sz w:val="26"/>
          <w:szCs w:val="26"/>
        </w:rPr>
        <w:t xml:space="preserve">, as FirstEnergy has claimed, but considered them and provided recommendations consistent with them, and that FirstEnergy’s attempts to prove otherwise misrepresent FCC precedent.  Verizon R. Exc. at 7-8.  Specifically, </w:t>
      </w:r>
      <w:r w:rsidR="008F2C8F" w:rsidRPr="00A57018">
        <w:rPr>
          <w:sz w:val="26"/>
          <w:szCs w:val="26"/>
        </w:rPr>
        <w:t xml:space="preserve">Verizon asserts that </w:t>
      </w:r>
      <w:r w:rsidR="00E04FE3" w:rsidRPr="00A57018">
        <w:rPr>
          <w:sz w:val="26"/>
          <w:szCs w:val="26"/>
        </w:rPr>
        <w:t>since the</w:t>
      </w:r>
      <w:r w:rsidR="00431C64" w:rsidRPr="00A57018">
        <w:rPr>
          <w:sz w:val="26"/>
          <w:szCs w:val="26"/>
        </w:rPr>
        <w:t xml:space="preserve"> date the</w:t>
      </w:r>
      <w:r w:rsidR="00E04FE3" w:rsidRPr="00A57018">
        <w:rPr>
          <w:sz w:val="26"/>
          <w:szCs w:val="26"/>
        </w:rPr>
        <w:t xml:space="preserve"> Commission ass</w:t>
      </w:r>
      <w:r w:rsidR="00431C64" w:rsidRPr="00A57018">
        <w:rPr>
          <w:sz w:val="26"/>
          <w:szCs w:val="26"/>
        </w:rPr>
        <w:t>umed</w:t>
      </w:r>
      <w:r w:rsidR="00E04FE3" w:rsidRPr="00A57018">
        <w:rPr>
          <w:sz w:val="26"/>
          <w:szCs w:val="26"/>
        </w:rPr>
        <w:t xml:space="preserve"> jurisdiction</w:t>
      </w:r>
      <w:r w:rsidR="00431C64" w:rsidRPr="00A57018">
        <w:rPr>
          <w:sz w:val="26"/>
          <w:szCs w:val="26"/>
        </w:rPr>
        <w:t xml:space="preserve"> over pole attachments,</w:t>
      </w:r>
      <w:r w:rsidR="00044227" w:rsidRPr="00A57018">
        <w:rPr>
          <w:sz w:val="26"/>
          <w:szCs w:val="26"/>
        </w:rPr>
        <w:t xml:space="preserve"> </w:t>
      </w:r>
      <w:r w:rsidR="00CD5D3E" w:rsidRPr="00A57018">
        <w:rPr>
          <w:sz w:val="26"/>
          <w:szCs w:val="26"/>
        </w:rPr>
        <w:t>March 11, 2019, the effective date of the FCC’s implementing regulation, 47 C.F.R. §</w:t>
      </w:r>
      <w:r w:rsidR="00BC3A33" w:rsidRPr="00A57018">
        <w:rPr>
          <w:sz w:val="26"/>
          <w:szCs w:val="26"/>
        </w:rPr>
        <w:t> </w:t>
      </w:r>
      <w:r w:rsidR="00CD5D3E" w:rsidRPr="00A57018">
        <w:rPr>
          <w:sz w:val="26"/>
          <w:szCs w:val="26"/>
        </w:rPr>
        <w:t>1.1413(b)</w:t>
      </w:r>
      <w:r w:rsidR="00431C64" w:rsidRPr="00A57018">
        <w:rPr>
          <w:sz w:val="26"/>
          <w:szCs w:val="26"/>
        </w:rPr>
        <w:t xml:space="preserve">, the FCC has not yet decided a case under the new telecom rate presumption.  Verizon R. Exc. at 7.  </w:t>
      </w:r>
    </w:p>
    <w:p w14:paraId="5B6F889D" w14:textId="77777777" w:rsidR="001F5CC4" w:rsidRPr="00A57018" w:rsidRDefault="001F5CC4" w:rsidP="00A57018">
      <w:pPr>
        <w:widowControl/>
        <w:spacing w:line="360" w:lineRule="auto"/>
        <w:ind w:firstLine="1440"/>
        <w:rPr>
          <w:sz w:val="26"/>
          <w:szCs w:val="26"/>
        </w:rPr>
      </w:pPr>
    </w:p>
    <w:p w14:paraId="7BE63046" w14:textId="0D09EF2F" w:rsidR="00F25402" w:rsidRPr="00A57018" w:rsidRDefault="00431C64" w:rsidP="00A57018">
      <w:pPr>
        <w:widowControl/>
        <w:spacing w:line="360" w:lineRule="auto"/>
        <w:ind w:firstLine="1440"/>
        <w:rPr>
          <w:sz w:val="26"/>
          <w:szCs w:val="26"/>
        </w:rPr>
      </w:pPr>
      <w:r w:rsidRPr="00A57018">
        <w:rPr>
          <w:sz w:val="26"/>
          <w:szCs w:val="26"/>
        </w:rPr>
        <w:t xml:space="preserve">Secondly, </w:t>
      </w:r>
      <w:bookmarkStart w:id="30" w:name="_Hlk57991060"/>
      <w:r w:rsidRPr="00A57018">
        <w:rPr>
          <w:sz w:val="26"/>
          <w:szCs w:val="26"/>
        </w:rPr>
        <w:t xml:space="preserve">Verizon contends that </w:t>
      </w:r>
      <w:r w:rsidR="00690441" w:rsidRPr="00A57018">
        <w:rPr>
          <w:sz w:val="26"/>
          <w:szCs w:val="26"/>
        </w:rPr>
        <w:t>the three decision</w:t>
      </w:r>
      <w:r w:rsidR="0006583B" w:rsidRPr="00A57018">
        <w:rPr>
          <w:sz w:val="26"/>
          <w:szCs w:val="26"/>
        </w:rPr>
        <w:t>s</w:t>
      </w:r>
      <w:r w:rsidR="00690441" w:rsidRPr="00A57018">
        <w:rPr>
          <w:sz w:val="26"/>
          <w:szCs w:val="26"/>
        </w:rPr>
        <w:t>, upon which FirstEnergy’s argument relies, are interim decisions, for which a final decision was not (or has not yet been) issued.</w:t>
      </w:r>
      <w:r w:rsidR="00F25402" w:rsidRPr="00A57018">
        <w:rPr>
          <w:sz w:val="26"/>
          <w:szCs w:val="26"/>
        </w:rPr>
        <w:t xml:space="preserve">  Verizon R. Exc. at 8. </w:t>
      </w:r>
      <w:r w:rsidR="00690441" w:rsidRPr="00A57018">
        <w:rPr>
          <w:sz w:val="26"/>
          <w:szCs w:val="26"/>
        </w:rPr>
        <w:t xml:space="preserve"> </w:t>
      </w:r>
      <w:r w:rsidR="002D2C74" w:rsidRPr="00A57018">
        <w:rPr>
          <w:sz w:val="26"/>
          <w:szCs w:val="26"/>
        </w:rPr>
        <w:t xml:space="preserve">Furthermore, Verizon asserts that </w:t>
      </w:r>
      <w:r w:rsidR="002D2C74" w:rsidRPr="00A57018">
        <w:rPr>
          <w:sz w:val="26"/>
          <w:szCs w:val="26"/>
        </w:rPr>
        <w:lastRenderedPageBreak/>
        <w:t>FirstEnergy</w:t>
      </w:r>
      <w:r w:rsidR="00F25402" w:rsidRPr="00A57018">
        <w:rPr>
          <w:sz w:val="26"/>
          <w:szCs w:val="26"/>
        </w:rPr>
        <w:t xml:space="preserve"> presented a conflicting</w:t>
      </w:r>
      <w:r w:rsidR="002D2C74" w:rsidRPr="00A57018">
        <w:rPr>
          <w:sz w:val="26"/>
          <w:szCs w:val="26"/>
        </w:rPr>
        <w:t xml:space="preserve"> argument in its Briefs</w:t>
      </w:r>
      <w:bookmarkEnd w:id="30"/>
      <w:r w:rsidR="00162C5B" w:rsidRPr="00A57018">
        <w:rPr>
          <w:sz w:val="26"/>
          <w:szCs w:val="26"/>
        </w:rPr>
        <w:t>;</w:t>
      </w:r>
      <w:r w:rsidR="00F25402" w:rsidRPr="00A57018">
        <w:rPr>
          <w:rStyle w:val="FootnoteReference"/>
          <w:sz w:val="26"/>
          <w:szCs w:val="26"/>
        </w:rPr>
        <w:footnoteReference w:id="17"/>
      </w:r>
      <w:r w:rsidR="00162C5B" w:rsidRPr="00A57018">
        <w:rPr>
          <w:sz w:val="26"/>
          <w:szCs w:val="26"/>
        </w:rPr>
        <w:t xml:space="preserve"> however,</w:t>
      </w:r>
      <w:r w:rsidR="00D40DEE" w:rsidRPr="00A57018">
        <w:rPr>
          <w:sz w:val="26"/>
          <w:szCs w:val="26"/>
        </w:rPr>
        <w:t xml:space="preserve"> despite FirstEnergy’s sudden “about-face,” the ALJ nonetheless discusse</w:t>
      </w:r>
      <w:r w:rsidR="00945D39" w:rsidRPr="00A57018">
        <w:rPr>
          <w:sz w:val="26"/>
          <w:szCs w:val="26"/>
        </w:rPr>
        <w:t>d</w:t>
      </w:r>
      <w:r w:rsidR="00D40DEE" w:rsidRPr="00A57018">
        <w:rPr>
          <w:sz w:val="26"/>
          <w:szCs w:val="26"/>
        </w:rPr>
        <w:t xml:space="preserve"> the cases and FirstEnergy’s arguments about them.  </w:t>
      </w:r>
      <w:r w:rsidR="00D40DEE" w:rsidRPr="00A57018">
        <w:rPr>
          <w:i/>
          <w:iCs/>
          <w:sz w:val="26"/>
          <w:szCs w:val="26"/>
        </w:rPr>
        <w:t>Id</w:t>
      </w:r>
      <w:r w:rsidR="00D40DEE" w:rsidRPr="00A57018">
        <w:rPr>
          <w:sz w:val="26"/>
          <w:szCs w:val="26"/>
        </w:rPr>
        <w:t>. (citing R.D. at 30</w:t>
      </w:r>
      <w:r w:rsidR="00162C5B" w:rsidRPr="00A57018">
        <w:rPr>
          <w:sz w:val="26"/>
          <w:szCs w:val="26"/>
        </w:rPr>
        <w:t xml:space="preserve"> (“First Energy argued that even if the Commission relies on FCC precedent…”), 34 (“Verizon also refuted FirstEnergy’s argument about a different electric utility’s agreement with a different ILEC” in a different FCC pole attachment complaint proceeding)</w:t>
      </w:r>
      <w:r w:rsidR="00942F94" w:rsidRPr="00A57018">
        <w:rPr>
          <w:sz w:val="26"/>
          <w:szCs w:val="26"/>
        </w:rPr>
        <w:t>)</w:t>
      </w:r>
      <w:r w:rsidR="00162C5B" w:rsidRPr="00A57018">
        <w:rPr>
          <w:sz w:val="26"/>
          <w:szCs w:val="26"/>
        </w:rPr>
        <w:t xml:space="preserve">.  </w:t>
      </w:r>
      <w:r w:rsidR="00CA2B2E" w:rsidRPr="00A57018">
        <w:rPr>
          <w:sz w:val="26"/>
          <w:szCs w:val="26"/>
        </w:rPr>
        <w:t xml:space="preserve">Verizon posits that FirstEnergy’s conflicting argument in its Briefs arose </w:t>
      </w:r>
      <w:r w:rsidR="00050B87" w:rsidRPr="00A57018">
        <w:rPr>
          <w:sz w:val="26"/>
          <w:szCs w:val="26"/>
        </w:rPr>
        <w:t>based</w:t>
      </w:r>
      <w:r w:rsidR="00CA2B2E" w:rsidRPr="00A57018">
        <w:rPr>
          <w:sz w:val="26"/>
          <w:szCs w:val="26"/>
        </w:rPr>
        <w:t xml:space="preserve"> </w:t>
      </w:r>
      <w:r w:rsidR="00050B87" w:rsidRPr="00A57018">
        <w:rPr>
          <w:sz w:val="26"/>
          <w:szCs w:val="26"/>
        </w:rPr>
        <w:t xml:space="preserve">on the following </w:t>
      </w:r>
      <w:r w:rsidR="00CA2B2E" w:rsidRPr="00A57018">
        <w:rPr>
          <w:sz w:val="26"/>
          <w:szCs w:val="26"/>
        </w:rPr>
        <w:t>reason:</w:t>
      </w:r>
    </w:p>
    <w:p w14:paraId="54F92DF7" w14:textId="7665482D" w:rsidR="00CA2B2E" w:rsidRPr="00A57018" w:rsidRDefault="00CA2B2E" w:rsidP="00EB097E">
      <w:pPr>
        <w:widowControl/>
        <w:ind w:firstLine="1440"/>
        <w:rPr>
          <w:sz w:val="26"/>
          <w:szCs w:val="26"/>
        </w:rPr>
      </w:pPr>
    </w:p>
    <w:p w14:paraId="268ED252" w14:textId="229E6FB6" w:rsidR="00CA2B2E" w:rsidRPr="00A57018" w:rsidRDefault="00CA2B2E" w:rsidP="00A57018">
      <w:pPr>
        <w:widowControl/>
        <w:ind w:left="1440" w:right="1440"/>
        <w:rPr>
          <w:sz w:val="26"/>
          <w:szCs w:val="26"/>
        </w:rPr>
      </w:pPr>
      <w:r w:rsidRPr="00A57018">
        <w:rPr>
          <w:sz w:val="26"/>
          <w:szCs w:val="26"/>
        </w:rPr>
        <w:t xml:space="preserve">Two of the decisions expressly invalidate joint use agreement rates as “unjust and unreasonable” and all three emphasize that “competitive neutrality counsels in favor of affording [I]LECs </w:t>
      </w:r>
      <w:r w:rsidRPr="00A57018">
        <w:rPr>
          <w:i/>
          <w:iCs/>
          <w:sz w:val="26"/>
          <w:szCs w:val="26"/>
        </w:rPr>
        <w:t>the same rate</w:t>
      </w:r>
      <w:r w:rsidRPr="00A57018">
        <w:rPr>
          <w:sz w:val="26"/>
          <w:szCs w:val="26"/>
        </w:rPr>
        <w:t xml:space="preserve"> as the comparable [broadband] provider,’ </w:t>
      </w:r>
      <w:r w:rsidRPr="00A57018">
        <w:rPr>
          <w:i/>
          <w:iCs/>
          <w:sz w:val="26"/>
          <w:szCs w:val="26"/>
        </w:rPr>
        <w:t>i.e., the New Telecom Rate</w:t>
      </w:r>
      <w:r w:rsidRPr="00A57018">
        <w:rPr>
          <w:sz w:val="26"/>
          <w:szCs w:val="26"/>
        </w:rPr>
        <w:t>” where, as here, “FirstEnergy does not provide Verizon a net material competitive advantage under the joint use agreements.”</w:t>
      </w:r>
    </w:p>
    <w:p w14:paraId="738D4D73" w14:textId="548EE6E7" w:rsidR="00CA2B2E" w:rsidRPr="00A57018" w:rsidRDefault="00CA2B2E" w:rsidP="00A57018">
      <w:pPr>
        <w:widowControl/>
        <w:spacing w:line="360" w:lineRule="auto"/>
        <w:rPr>
          <w:sz w:val="26"/>
          <w:szCs w:val="26"/>
        </w:rPr>
      </w:pPr>
    </w:p>
    <w:p w14:paraId="777B7C33" w14:textId="49E1A6E9" w:rsidR="00F25402" w:rsidRPr="00A57018" w:rsidRDefault="00CA2B2E" w:rsidP="00A57018">
      <w:pPr>
        <w:widowControl/>
        <w:spacing w:line="360" w:lineRule="auto"/>
        <w:rPr>
          <w:sz w:val="26"/>
          <w:szCs w:val="26"/>
        </w:rPr>
      </w:pPr>
      <w:r w:rsidRPr="00A57018">
        <w:rPr>
          <w:sz w:val="26"/>
          <w:szCs w:val="26"/>
        </w:rPr>
        <w:t>Verizon R. Exc. at 8 (</w:t>
      </w:r>
      <w:r w:rsidR="00E96DFF" w:rsidRPr="00A57018">
        <w:rPr>
          <w:rFonts w:eastAsiaTheme="minorHAnsi"/>
          <w:sz w:val="26"/>
          <w:szCs w:val="26"/>
        </w:rPr>
        <w:t xml:space="preserve">citations omitted).  </w:t>
      </w:r>
    </w:p>
    <w:p w14:paraId="716B53D3" w14:textId="0871806F" w:rsidR="00E63E76" w:rsidRPr="00A57018" w:rsidRDefault="00E63E76" w:rsidP="00A57018">
      <w:pPr>
        <w:widowControl/>
        <w:spacing w:line="360" w:lineRule="auto"/>
        <w:rPr>
          <w:sz w:val="26"/>
          <w:szCs w:val="26"/>
        </w:rPr>
      </w:pPr>
      <w:r>
        <w:rPr>
          <w:sz w:val="26"/>
          <w:szCs w:val="26"/>
        </w:rPr>
        <w:tab/>
      </w:r>
      <w:r>
        <w:rPr>
          <w:sz w:val="26"/>
          <w:szCs w:val="26"/>
        </w:rPr>
        <w:tab/>
      </w:r>
    </w:p>
    <w:p w14:paraId="7E36F00A" w14:textId="5CE7ABC6" w:rsidR="00BA2907" w:rsidRPr="00A57018" w:rsidRDefault="00BA2907" w:rsidP="00A57018">
      <w:pPr>
        <w:pStyle w:val="Heading4"/>
        <w:widowControl/>
        <w:spacing w:line="240" w:lineRule="auto"/>
      </w:pPr>
      <w:bookmarkStart w:id="31" w:name="_Toc59179304"/>
      <w:r w:rsidRPr="00A57018">
        <w:t xml:space="preserve">Did the ALJ </w:t>
      </w:r>
      <w:r w:rsidR="00EB097E">
        <w:t>E</w:t>
      </w:r>
      <w:r w:rsidRPr="00A57018">
        <w:t xml:space="preserve">rr by </w:t>
      </w:r>
      <w:r w:rsidR="00EB097E">
        <w:t>C</w:t>
      </w:r>
      <w:r w:rsidRPr="00A57018">
        <w:t>oncluding that the Joint Use Agreements were “</w:t>
      </w:r>
      <w:r w:rsidR="00EB097E">
        <w:t>E</w:t>
      </w:r>
      <w:r w:rsidRPr="00A57018">
        <w:t xml:space="preserve">ntered into or </w:t>
      </w:r>
      <w:r w:rsidR="00EB097E">
        <w:t>R</w:t>
      </w:r>
      <w:r w:rsidRPr="00A57018">
        <w:t xml:space="preserve">enewed” </w:t>
      </w:r>
      <w:r w:rsidR="00EB097E">
        <w:t>A</w:t>
      </w:r>
      <w:r w:rsidRPr="00A57018">
        <w:t xml:space="preserve">fter the </w:t>
      </w:r>
      <w:r w:rsidR="00EB097E">
        <w:t>E</w:t>
      </w:r>
      <w:r w:rsidRPr="00A57018">
        <w:t xml:space="preserve">ffective </w:t>
      </w:r>
      <w:r w:rsidR="00EB097E">
        <w:t>D</w:t>
      </w:r>
      <w:r w:rsidRPr="00A57018">
        <w:t>ate of 47</w:t>
      </w:r>
      <w:r w:rsidR="00EB097E">
        <w:t> </w:t>
      </w:r>
      <w:r w:rsidRPr="00A57018">
        <w:t xml:space="preserve">C.F.R. § 1.1413? </w:t>
      </w:r>
      <w:r w:rsidR="006C2F32" w:rsidRPr="00A57018">
        <w:t xml:space="preserve"> </w:t>
      </w:r>
      <w:r w:rsidRPr="00A57018">
        <w:t>(FirstEnergy Exception No. 5)</w:t>
      </w:r>
      <w:bookmarkEnd w:id="31"/>
    </w:p>
    <w:p w14:paraId="68598095" w14:textId="4CA6B35D" w:rsidR="00BA2907" w:rsidRPr="00A57018" w:rsidRDefault="00BA2907" w:rsidP="00EB097E">
      <w:pPr>
        <w:widowControl/>
        <w:spacing w:line="480" w:lineRule="auto"/>
        <w:rPr>
          <w:sz w:val="26"/>
          <w:szCs w:val="26"/>
        </w:rPr>
      </w:pPr>
    </w:p>
    <w:p w14:paraId="1D5D7649" w14:textId="77777777" w:rsidR="001D3E61" w:rsidRPr="00A57018" w:rsidRDefault="00637A8B" w:rsidP="00A57018">
      <w:pPr>
        <w:widowControl/>
        <w:spacing w:line="360" w:lineRule="auto"/>
        <w:ind w:firstLine="1440"/>
        <w:rPr>
          <w:sz w:val="26"/>
          <w:szCs w:val="26"/>
        </w:rPr>
      </w:pPr>
      <w:r w:rsidRPr="00A57018">
        <w:rPr>
          <w:sz w:val="26"/>
          <w:szCs w:val="26"/>
        </w:rPr>
        <w:t>In its fifth Exception, FirstEnergy excepts to the ALJ’s determination that</w:t>
      </w:r>
      <w:r w:rsidR="0005600A" w:rsidRPr="00A57018">
        <w:rPr>
          <w:sz w:val="26"/>
          <w:szCs w:val="26"/>
        </w:rPr>
        <w:t xml:space="preserve"> the J</w:t>
      </w:r>
      <w:r w:rsidR="00053825" w:rsidRPr="00A57018">
        <w:rPr>
          <w:sz w:val="26"/>
          <w:szCs w:val="26"/>
        </w:rPr>
        <w:t>UAs</w:t>
      </w:r>
      <w:r w:rsidR="0005600A" w:rsidRPr="00A57018">
        <w:rPr>
          <w:sz w:val="26"/>
          <w:szCs w:val="26"/>
        </w:rPr>
        <w:t xml:space="preserve"> at issue were “entered into or renewed” after the effective date of 47 C.F.R. </w:t>
      </w:r>
    </w:p>
    <w:p w14:paraId="323BCB75" w14:textId="0558DAD3" w:rsidR="00BA2907" w:rsidRDefault="0005600A" w:rsidP="00A57018">
      <w:pPr>
        <w:widowControl/>
        <w:spacing w:line="360" w:lineRule="auto"/>
        <w:rPr>
          <w:sz w:val="26"/>
          <w:szCs w:val="26"/>
        </w:rPr>
      </w:pPr>
      <w:r w:rsidRPr="00A57018">
        <w:rPr>
          <w:sz w:val="26"/>
          <w:szCs w:val="26"/>
        </w:rPr>
        <w:t>§ 1.1413(b).  As such, FirstEnergy contends that the ALJ “erroneously concludes that ‘the new telecom rate presumption in the Commission’s [R]egulations, adopting the FCC’s regulations, applies’ to the Joint Use Agreements at issue.”  FirstEnergy Exc. at</w:t>
      </w:r>
      <w:r w:rsidR="00EB097E">
        <w:rPr>
          <w:sz w:val="26"/>
          <w:szCs w:val="26"/>
        </w:rPr>
        <w:t> </w:t>
      </w:r>
      <w:r w:rsidRPr="00A57018">
        <w:rPr>
          <w:sz w:val="26"/>
          <w:szCs w:val="26"/>
        </w:rPr>
        <w:t>17-18 (citing R.D. at 40-4</w:t>
      </w:r>
      <w:r w:rsidR="008A4042" w:rsidRPr="00A57018">
        <w:rPr>
          <w:sz w:val="26"/>
          <w:szCs w:val="26"/>
        </w:rPr>
        <w:t>3</w:t>
      </w:r>
      <w:r w:rsidRPr="00A57018">
        <w:rPr>
          <w:sz w:val="26"/>
          <w:szCs w:val="26"/>
        </w:rPr>
        <w:t xml:space="preserve">).  </w:t>
      </w:r>
    </w:p>
    <w:p w14:paraId="63C776AB" w14:textId="23D97A6F" w:rsidR="00977EBA" w:rsidRPr="00A57018" w:rsidRDefault="00423DA1" w:rsidP="00A57018">
      <w:pPr>
        <w:widowControl/>
        <w:spacing w:line="360" w:lineRule="auto"/>
        <w:ind w:firstLine="1440"/>
        <w:rPr>
          <w:sz w:val="26"/>
          <w:szCs w:val="26"/>
        </w:rPr>
      </w:pPr>
      <w:r w:rsidRPr="00A57018">
        <w:rPr>
          <w:sz w:val="26"/>
          <w:szCs w:val="26"/>
        </w:rPr>
        <w:lastRenderedPageBreak/>
        <w:t>FirstEnergy disagrees with the ALJ’s reasoning that a</w:t>
      </w:r>
      <w:r w:rsidR="00977EBA" w:rsidRPr="00A57018">
        <w:rPr>
          <w:sz w:val="26"/>
          <w:szCs w:val="26"/>
        </w:rPr>
        <w:t>lthough the initial terms of the J</w:t>
      </w:r>
      <w:r w:rsidR="00053825" w:rsidRPr="00A57018">
        <w:rPr>
          <w:sz w:val="26"/>
          <w:szCs w:val="26"/>
        </w:rPr>
        <w:t>UAs</w:t>
      </w:r>
      <w:r w:rsidR="00977EBA" w:rsidRPr="00A57018">
        <w:rPr>
          <w:sz w:val="26"/>
          <w:szCs w:val="26"/>
        </w:rPr>
        <w:t xml:space="preserve"> all expired in 1993,</w:t>
      </w:r>
      <w:r w:rsidR="008473BF" w:rsidRPr="00A57018">
        <w:rPr>
          <w:rStyle w:val="FootnoteReference"/>
          <w:sz w:val="26"/>
          <w:szCs w:val="26"/>
        </w:rPr>
        <w:footnoteReference w:id="18"/>
      </w:r>
      <w:r w:rsidR="00977EBA" w:rsidRPr="00A57018">
        <w:rPr>
          <w:sz w:val="26"/>
          <w:szCs w:val="26"/>
        </w:rPr>
        <w:t xml:space="preserve"> the provision stating the agreements “shall continue”</w:t>
      </w:r>
      <w:r w:rsidR="00515AB5" w:rsidRPr="00A57018">
        <w:rPr>
          <w:rStyle w:val="FootnoteReference"/>
          <w:sz w:val="26"/>
          <w:szCs w:val="26"/>
        </w:rPr>
        <w:footnoteReference w:id="19"/>
      </w:r>
      <w:r w:rsidR="00977EBA" w:rsidRPr="00A57018">
        <w:rPr>
          <w:sz w:val="26"/>
          <w:szCs w:val="26"/>
        </w:rPr>
        <w:t xml:space="preserve"> thereafter means each J</w:t>
      </w:r>
      <w:r w:rsidR="00053825" w:rsidRPr="00A57018">
        <w:rPr>
          <w:sz w:val="26"/>
          <w:szCs w:val="26"/>
        </w:rPr>
        <w:t>UA</w:t>
      </w:r>
      <w:r w:rsidR="00977EBA" w:rsidRPr="00A57018">
        <w:rPr>
          <w:sz w:val="26"/>
          <w:szCs w:val="26"/>
        </w:rPr>
        <w:t xml:space="preserve"> “automatically renews and extends” the agreement, rendering them subject to the </w:t>
      </w:r>
      <w:r w:rsidR="00977EBA" w:rsidRPr="00A57018">
        <w:rPr>
          <w:i/>
          <w:iCs/>
          <w:sz w:val="26"/>
          <w:szCs w:val="26"/>
        </w:rPr>
        <w:t>2018 Pole Attachment Order</w:t>
      </w:r>
      <w:r w:rsidR="00977EBA" w:rsidRPr="00A57018">
        <w:rPr>
          <w:sz w:val="26"/>
          <w:szCs w:val="26"/>
        </w:rPr>
        <w:t>’s presumption.</w:t>
      </w:r>
      <w:r w:rsidR="004D3875" w:rsidRPr="00A57018">
        <w:rPr>
          <w:rStyle w:val="FootnoteReference"/>
          <w:sz w:val="26"/>
          <w:szCs w:val="26"/>
        </w:rPr>
        <w:footnoteReference w:id="20"/>
      </w:r>
      <w:r w:rsidR="00977EBA" w:rsidRPr="00A57018">
        <w:rPr>
          <w:sz w:val="26"/>
          <w:szCs w:val="26"/>
        </w:rPr>
        <w:t xml:space="preserve">  </w:t>
      </w:r>
      <w:r w:rsidR="0022086B" w:rsidRPr="00A57018">
        <w:rPr>
          <w:sz w:val="26"/>
          <w:szCs w:val="26"/>
        </w:rPr>
        <w:t xml:space="preserve">FirstEnergy Exc. at 18-19. </w:t>
      </w:r>
    </w:p>
    <w:p w14:paraId="028B4F5E" w14:textId="1FEE374A" w:rsidR="00072441" w:rsidRPr="00A57018" w:rsidRDefault="00072441" w:rsidP="00A57018">
      <w:pPr>
        <w:widowControl/>
        <w:spacing w:line="360" w:lineRule="auto"/>
        <w:ind w:firstLine="1440"/>
        <w:rPr>
          <w:sz w:val="26"/>
          <w:szCs w:val="26"/>
        </w:rPr>
      </w:pPr>
    </w:p>
    <w:p w14:paraId="49184C73" w14:textId="06E2AA2E" w:rsidR="00054B5D" w:rsidRPr="00A57018" w:rsidRDefault="00054B5D" w:rsidP="00A57018">
      <w:pPr>
        <w:widowControl/>
        <w:spacing w:line="360" w:lineRule="auto"/>
        <w:ind w:firstLine="1440"/>
        <w:rPr>
          <w:sz w:val="26"/>
          <w:szCs w:val="26"/>
        </w:rPr>
      </w:pPr>
      <w:r w:rsidRPr="00A57018">
        <w:rPr>
          <w:sz w:val="26"/>
          <w:szCs w:val="26"/>
        </w:rPr>
        <w:t>First Energy’s main argument in excepting to the ALJ’s conclusion on this issue</w:t>
      </w:r>
      <w:r w:rsidR="00F05B6B" w:rsidRPr="00A57018">
        <w:rPr>
          <w:sz w:val="26"/>
          <w:szCs w:val="26"/>
        </w:rPr>
        <w:t xml:space="preserve"> opposes</w:t>
      </w:r>
      <w:r w:rsidR="003D1C92" w:rsidRPr="00A57018">
        <w:rPr>
          <w:sz w:val="26"/>
          <w:szCs w:val="26"/>
        </w:rPr>
        <w:t xml:space="preserve"> the idea that the J</w:t>
      </w:r>
      <w:r w:rsidR="00053825" w:rsidRPr="00A57018">
        <w:rPr>
          <w:sz w:val="26"/>
          <w:szCs w:val="26"/>
        </w:rPr>
        <w:t>UA</w:t>
      </w:r>
      <w:r w:rsidR="003D1C92" w:rsidRPr="00A57018">
        <w:rPr>
          <w:sz w:val="26"/>
          <w:szCs w:val="26"/>
        </w:rPr>
        <w:t>s should be considered “newly renewed” because they allegedly contain an automatic renewal provision and asserts</w:t>
      </w:r>
      <w:r w:rsidRPr="00A57018">
        <w:rPr>
          <w:sz w:val="26"/>
          <w:szCs w:val="26"/>
        </w:rPr>
        <w:t xml:space="preserve"> that the </w:t>
      </w:r>
      <w:r w:rsidR="003D1C92" w:rsidRPr="00A57018">
        <w:rPr>
          <w:i/>
          <w:iCs/>
          <w:sz w:val="26"/>
          <w:szCs w:val="26"/>
        </w:rPr>
        <w:t>2018 Pole Attachment Order</w:t>
      </w:r>
      <w:r w:rsidR="003D1C92" w:rsidRPr="00A57018">
        <w:rPr>
          <w:sz w:val="26"/>
          <w:szCs w:val="26"/>
        </w:rPr>
        <w:t xml:space="preserve">’s </w:t>
      </w:r>
      <w:r w:rsidRPr="00A57018">
        <w:rPr>
          <w:sz w:val="26"/>
          <w:szCs w:val="26"/>
        </w:rPr>
        <w:t>presumption should only apply if FirstEnergy chooses to take “some action” after March 11, 2019 to “trigger” the presumption</w:t>
      </w:r>
      <w:r w:rsidR="00F05B6B" w:rsidRPr="00A57018">
        <w:rPr>
          <w:sz w:val="26"/>
          <w:szCs w:val="26"/>
        </w:rPr>
        <w:t>, which FirstEnergy asserted it has not</w:t>
      </w:r>
      <w:r w:rsidRPr="00A57018">
        <w:rPr>
          <w:sz w:val="26"/>
          <w:szCs w:val="26"/>
        </w:rPr>
        <w:t xml:space="preserve">.  </w:t>
      </w:r>
      <w:r w:rsidR="003D1C92" w:rsidRPr="00A57018">
        <w:rPr>
          <w:sz w:val="26"/>
          <w:szCs w:val="26"/>
        </w:rPr>
        <w:t xml:space="preserve">FirstEnergy Exc. at 17-18; </w:t>
      </w:r>
      <w:r w:rsidR="00F05B6B" w:rsidRPr="00A57018">
        <w:rPr>
          <w:sz w:val="26"/>
          <w:szCs w:val="26"/>
        </w:rPr>
        <w:t xml:space="preserve">FirstEnergy M.B. at 64-65.  </w:t>
      </w:r>
    </w:p>
    <w:p w14:paraId="77200C62" w14:textId="77777777" w:rsidR="00054B5D" w:rsidRPr="00A57018" w:rsidRDefault="00054B5D" w:rsidP="00A57018">
      <w:pPr>
        <w:widowControl/>
        <w:spacing w:line="360" w:lineRule="auto"/>
        <w:ind w:firstLine="1440"/>
        <w:rPr>
          <w:sz w:val="26"/>
          <w:szCs w:val="26"/>
        </w:rPr>
      </w:pPr>
    </w:p>
    <w:p w14:paraId="10CBC417" w14:textId="625AAE36" w:rsidR="00072441" w:rsidRPr="00A57018" w:rsidRDefault="00054B5D" w:rsidP="00A57018">
      <w:pPr>
        <w:widowControl/>
        <w:spacing w:line="360" w:lineRule="auto"/>
        <w:ind w:firstLine="1440"/>
        <w:rPr>
          <w:sz w:val="26"/>
          <w:szCs w:val="26"/>
        </w:rPr>
      </w:pPr>
      <w:r w:rsidRPr="00A57018">
        <w:rPr>
          <w:sz w:val="26"/>
          <w:szCs w:val="26"/>
        </w:rPr>
        <w:t xml:space="preserve">FirstEnergy </w:t>
      </w:r>
      <w:r w:rsidR="00761881" w:rsidRPr="00A57018">
        <w:rPr>
          <w:sz w:val="26"/>
          <w:szCs w:val="26"/>
        </w:rPr>
        <w:t>maintains</w:t>
      </w:r>
      <w:r w:rsidRPr="00A57018">
        <w:rPr>
          <w:sz w:val="26"/>
          <w:szCs w:val="26"/>
        </w:rPr>
        <w:t xml:space="preserve"> that the ALJ’s i</w:t>
      </w:r>
      <w:r w:rsidR="00761881" w:rsidRPr="00A57018">
        <w:rPr>
          <w:sz w:val="26"/>
          <w:szCs w:val="26"/>
        </w:rPr>
        <w:t xml:space="preserve">nterpretation simply </w:t>
      </w:r>
      <w:r w:rsidRPr="00A57018">
        <w:rPr>
          <w:sz w:val="26"/>
          <w:szCs w:val="26"/>
        </w:rPr>
        <w:t>attempts to read the word “continue” out of the J</w:t>
      </w:r>
      <w:r w:rsidR="00053825" w:rsidRPr="00A57018">
        <w:rPr>
          <w:sz w:val="26"/>
          <w:szCs w:val="26"/>
        </w:rPr>
        <w:t>UAs</w:t>
      </w:r>
      <w:r w:rsidRPr="00A57018">
        <w:rPr>
          <w:sz w:val="26"/>
          <w:szCs w:val="26"/>
        </w:rPr>
        <w:t xml:space="preserve"> and replace it with </w:t>
      </w:r>
      <w:r w:rsidR="007C5D59" w:rsidRPr="00A57018">
        <w:rPr>
          <w:sz w:val="26"/>
          <w:szCs w:val="26"/>
        </w:rPr>
        <w:t xml:space="preserve">the term </w:t>
      </w:r>
      <w:r w:rsidRPr="00A57018">
        <w:rPr>
          <w:sz w:val="26"/>
          <w:szCs w:val="26"/>
        </w:rPr>
        <w:t>“renew</w:t>
      </w:r>
      <w:r w:rsidR="00761881" w:rsidRPr="00A57018">
        <w:rPr>
          <w:sz w:val="26"/>
          <w:szCs w:val="26"/>
        </w:rPr>
        <w:t>.”</w:t>
      </w:r>
      <w:r w:rsidR="007C5D59" w:rsidRPr="00A57018">
        <w:rPr>
          <w:sz w:val="26"/>
          <w:szCs w:val="26"/>
        </w:rPr>
        <w:t xml:space="preserve">  </w:t>
      </w:r>
      <w:r w:rsidR="00507929" w:rsidRPr="00A57018">
        <w:rPr>
          <w:sz w:val="26"/>
          <w:szCs w:val="26"/>
        </w:rPr>
        <w:t>In a similar manner</w:t>
      </w:r>
      <w:r w:rsidR="00761881" w:rsidRPr="00A57018">
        <w:rPr>
          <w:sz w:val="26"/>
          <w:szCs w:val="26"/>
        </w:rPr>
        <w:t xml:space="preserve">, FirstEnergy </w:t>
      </w:r>
      <w:r w:rsidR="007C5D59" w:rsidRPr="00A57018">
        <w:rPr>
          <w:sz w:val="26"/>
          <w:szCs w:val="26"/>
        </w:rPr>
        <w:t xml:space="preserve">argues that the ALJ’s interpretation attempts to read additional words into Section 1.1413(b) of the FCC’s regulations, as the word “continue” does not appear, but clearly states that the presumptions set forth only apply to agreements that </w:t>
      </w:r>
      <w:r w:rsidR="007C5D59" w:rsidRPr="00A57018">
        <w:rPr>
          <w:sz w:val="26"/>
          <w:szCs w:val="26"/>
        </w:rPr>
        <w:lastRenderedPageBreak/>
        <w:t>were “entered into or renewed after the effective date” of this regulation.  FirstEnergy contends that the ALJ’s interpretation effectively t</w:t>
      </w:r>
      <w:r w:rsidR="004F6EB8" w:rsidRPr="00A57018">
        <w:rPr>
          <w:sz w:val="26"/>
          <w:szCs w:val="26"/>
        </w:rPr>
        <w:t>r</w:t>
      </w:r>
      <w:r w:rsidR="007C5D59" w:rsidRPr="00A57018">
        <w:rPr>
          <w:sz w:val="26"/>
          <w:szCs w:val="26"/>
        </w:rPr>
        <w:t xml:space="preserve">ies to revise language to achieve a specific result.  FirstEnergy Exc. at 18.  </w:t>
      </w:r>
    </w:p>
    <w:p w14:paraId="2D160392" w14:textId="4093CB23" w:rsidR="00507929" w:rsidRPr="00A57018" w:rsidRDefault="00507929" w:rsidP="00A57018">
      <w:pPr>
        <w:widowControl/>
        <w:spacing w:line="360" w:lineRule="auto"/>
        <w:ind w:firstLine="1440"/>
        <w:rPr>
          <w:sz w:val="26"/>
          <w:szCs w:val="26"/>
        </w:rPr>
      </w:pPr>
    </w:p>
    <w:p w14:paraId="00E4C20E" w14:textId="37CA5CD6" w:rsidR="00507929" w:rsidRPr="00A57018" w:rsidRDefault="00D846B2" w:rsidP="00A57018">
      <w:pPr>
        <w:widowControl/>
        <w:spacing w:line="360" w:lineRule="auto"/>
        <w:ind w:firstLine="1440"/>
        <w:rPr>
          <w:sz w:val="26"/>
          <w:szCs w:val="26"/>
        </w:rPr>
      </w:pPr>
      <w:r w:rsidRPr="00A57018">
        <w:rPr>
          <w:sz w:val="26"/>
          <w:szCs w:val="26"/>
        </w:rPr>
        <w:t xml:space="preserve">In its Reply Exceptions, Verizon </w:t>
      </w:r>
      <w:r w:rsidR="00ED6C2C" w:rsidRPr="00A57018">
        <w:rPr>
          <w:sz w:val="26"/>
          <w:szCs w:val="26"/>
        </w:rPr>
        <w:t>notes that FirstEnergy’s argument is undermined by the rulemaking comments it filed with the Commission, where it stated:</w:t>
      </w:r>
    </w:p>
    <w:p w14:paraId="695858ED" w14:textId="7D587E78" w:rsidR="00ED6C2C" w:rsidRPr="00A57018" w:rsidRDefault="00ED6C2C" w:rsidP="00EB097E">
      <w:pPr>
        <w:widowControl/>
        <w:ind w:firstLine="1440"/>
        <w:rPr>
          <w:sz w:val="26"/>
          <w:szCs w:val="26"/>
        </w:rPr>
      </w:pPr>
    </w:p>
    <w:p w14:paraId="46F8C3E5" w14:textId="6E8A92BB" w:rsidR="00ED6C2C" w:rsidRPr="00A57018" w:rsidRDefault="00ED6C2C" w:rsidP="00A57018">
      <w:pPr>
        <w:widowControl/>
        <w:ind w:left="1440" w:right="1440"/>
        <w:rPr>
          <w:sz w:val="26"/>
          <w:szCs w:val="26"/>
        </w:rPr>
      </w:pPr>
      <w:r w:rsidRPr="00A57018">
        <w:rPr>
          <w:sz w:val="26"/>
          <w:szCs w:val="26"/>
        </w:rPr>
        <w:t xml:space="preserve">The FCC’s regulations provide new lower rates for [ILECs] – primarily traditional telephone utility companies -- that extend not only to new pole attachment agreements but also to existing agreements that are “renewed” after the effective date of the new regulations.  </w:t>
      </w:r>
      <w:r w:rsidRPr="00A57018">
        <w:rPr>
          <w:b/>
          <w:bCs/>
          <w:sz w:val="26"/>
          <w:szCs w:val="26"/>
        </w:rPr>
        <w:t>Since the initial term of most existing</w:t>
      </w:r>
      <w:r w:rsidRPr="00A57018">
        <w:rPr>
          <w:sz w:val="26"/>
          <w:szCs w:val="26"/>
        </w:rPr>
        <w:t xml:space="preserve"> </w:t>
      </w:r>
      <w:r w:rsidRPr="00A57018">
        <w:rPr>
          <w:b/>
          <w:bCs/>
          <w:sz w:val="26"/>
          <w:szCs w:val="26"/>
        </w:rPr>
        <w:t>joint use agreements have expired and are operating on year-to-year</w:t>
      </w:r>
      <w:r w:rsidRPr="00A57018">
        <w:rPr>
          <w:sz w:val="26"/>
          <w:szCs w:val="26"/>
        </w:rPr>
        <w:t xml:space="preserve"> </w:t>
      </w:r>
      <w:r w:rsidRPr="00A57018">
        <w:rPr>
          <w:b/>
          <w:bCs/>
          <w:sz w:val="26"/>
          <w:szCs w:val="26"/>
        </w:rPr>
        <w:t>renewals, this means that within a year most joint use agreements will be</w:t>
      </w:r>
      <w:r w:rsidRPr="00A57018">
        <w:rPr>
          <w:sz w:val="26"/>
          <w:szCs w:val="26"/>
        </w:rPr>
        <w:t xml:space="preserve"> </w:t>
      </w:r>
      <w:r w:rsidRPr="00A57018">
        <w:rPr>
          <w:b/>
          <w:bCs/>
          <w:sz w:val="26"/>
          <w:szCs w:val="26"/>
        </w:rPr>
        <w:t xml:space="preserve">subject to the new rate rules.  </w:t>
      </w:r>
      <w:r w:rsidRPr="00A57018">
        <w:rPr>
          <w:sz w:val="26"/>
          <w:szCs w:val="26"/>
        </w:rPr>
        <w:t xml:space="preserve">For any such new and “renewed” agreements, the ILEC would be presumed to get the FCC’s new lower rate… </w:t>
      </w:r>
    </w:p>
    <w:p w14:paraId="23C778C8" w14:textId="3089DAA1" w:rsidR="00ED6C2C" w:rsidRPr="00A57018" w:rsidRDefault="00ED6C2C" w:rsidP="00A57018">
      <w:pPr>
        <w:widowControl/>
        <w:spacing w:line="360" w:lineRule="auto"/>
        <w:rPr>
          <w:sz w:val="26"/>
          <w:szCs w:val="26"/>
        </w:rPr>
      </w:pPr>
    </w:p>
    <w:p w14:paraId="33952091" w14:textId="7444E74B" w:rsidR="00ED6C2C" w:rsidRPr="00A57018" w:rsidRDefault="00ED6C2C" w:rsidP="00A57018">
      <w:pPr>
        <w:widowControl/>
        <w:spacing w:line="360" w:lineRule="auto"/>
        <w:rPr>
          <w:sz w:val="26"/>
          <w:szCs w:val="26"/>
        </w:rPr>
      </w:pPr>
      <w:r w:rsidRPr="00A57018">
        <w:rPr>
          <w:sz w:val="26"/>
          <w:szCs w:val="26"/>
        </w:rPr>
        <w:t>Verizon R. Exc. at 9 (citing FirstEnergy Rulemaking Comments at 8).</w:t>
      </w:r>
      <w:r w:rsidR="00BC6032" w:rsidRPr="00A57018">
        <w:rPr>
          <w:sz w:val="26"/>
          <w:szCs w:val="26"/>
        </w:rPr>
        <w:t xml:space="preserve">  Verizon notes that the J</w:t>
      </w:r>
      <w:r w:rsidR="00053825" w:rsidRPr="00A57018">
        <w:rPr>
          <w:sz w:val="26"/>
          <w:szCs w:val="26"/>
        </w:rPr>
        <w:t>UAs</w:t>
      </w:r>
      <w:r w:rsidR="00BC6032" w:rsidRPr="00A57018">
        <w:rPr>
          <w:sz w:val="26"/>
          <w:szCs w:val="26"/>
        </w:rPr>
        <w:t xml:space="preserve"> at issue fall squarely within this category of agreements.  </w:t>
      </w:r>
      <w:r w:rsidR="00BC6032" w:rsidRPr="00A57018">
        <w:rPr>
          <w:i/>
          <w:iCs/>
          <w:sz w:val="26"/>
          <w:szCs w:val="26"/>
        </w:rPr>
        <w:t>Id</w:t>
      </w:r>
      <w:r w:rsidR="00BC6032" w:rsidRPr="00A57018">
        <w:rPr>
          <w:sz w:val="26"/>
          <w:szCs w:val="26"/>
        </w:rPr>
        <w:t>.</w:t>
      </w:r>
    </w:p>
    <w:p w14:paraId="353AFC66" w14:textId="249D336A" w:rsidR="00ED6C2C" w:rsidRPr="00A57018" w:rsidRDefault="00ED6C2C" w:rsidP="00A57018">
      <w:pPr>
        <w:widowControl/>
        <w:spacing w:line="360" w:lineRule="auto"/>
        <w:ind w:firstLine="1440"/>
        <w:rPr>
          <w:sz w:val="26"/>
          <w:szCs w:val="26"/>
        </w:rPr>
      </w:pPr>
    </w:p>
    <w:p w14:paraId="3DCA3662" w14:textId="4DDC516F" w:rsidR="00ED6C2C" w:rsidRPr="00A57018" w:rsidRDefault="00750C40" w:rsidP="00A57018">
      <w:pPr>
        <w:widowControl/>
        <w:spacing w:line="360" w:lineRule="auto"/>
        <w:ind w:firstLine="1440"/>
        <w:rPr>
          <w:sz w:val="26"/>
          <w:szCs w:val="26"/>
        </w:rPr>
      </w:pPr>
      <w:r w:rsidRPr="00A57018">
        <w:rPr>
          <w:sz w:val="26"/>
          <w:szCs w:val="26"/>
        </w:rPr>
        <w:t>Verizon supports the ALJ’s findings, asserting that the Recommended Decision correctly determined that the presumption applies since the J</w:t>
      </w:r>
      <w:r w:rsidR="00053825" w:rsidRPr="00A57018">
        <w:rPr>
          <w:sz w:val="26"/>
          <w:szCs w:val="26"/>
        </w:rPr>
        <w:t>UAs</w:t>
      </w:r>
      <w:r w:rsidRPr="00A57018">
        <w:rPr>
          <w:sz w:val="26"/>
          <w:szCs w:val="26"/>
        </w:rPr>
        <w:t xml:space="preserve"> automatically renewed in the last year because they “continued” to govern</w:t>
      </w:r>
      <w:r w:rsidR="00053825" w:rsidRPr="00A57018">
        <w:rPr>
          <w:sz w:val="26"/>
          <w:szCs w:val="26"/>
        </w:rPr>
        <w:t xml:space="preserve">, </w:t>
      </w:r>
      <w:r w:rsidRPr="00A57018">
        <w:rPr>
          <w:sz w:val="26"/>
          <w:szCs w:val="26"/>
        </w:rPr>
        <w:t>absent termination.  Verizon R. Exc. at 10.  Verizon reiterates the ALJ’s conclusions:</w:t>
      </w:r>
    </w:p>
    <w:p w14:paraId="49C72DA8" w14:textId="792F6BEE" w:rsidR="00750C40" w:rsidRPr="00A57018" w:rsidRDefault="00750C40" w:rsidP="00EB097E">
      <w:pPr>
        <w:widowControl/>
        <w:ind w:firstLine="1440"/>
        <w:rPr>
          <w:sz w:val="26"/>
          <w:szCs w:val="26"/>
        </w:rPr>
      </w:pPr>
    </w:p>
    <w:p w14:paraId="2B4C8ADD" w14:textId="5DE6EA79" w:rsidR="00750C40" w:rsidRPr="00A57018" w:rsidRDefault="00750C40" w:rsidP="00A57018">
      <w:pPr>
        <w:widowControl/>
        <w:ind w:left="1440" w:right="1440"/>
        <w:rPr>
          <w:sz w:val="26"/>
          <w:szCs w:val="26"/>
        </w:rPr>
      </w:pPr>
      <w:r w:rsidRPr="00A57018">
        <w:rPr>
          <w:sz w:val="26"/>
          <w:szCs w:val="26"/>
        </w:rPr>
        <w:t xml:space="preserve">FirstEnergy’s contrary arguments are “overly technical and formalistic” and would render the presumption incapable of achieving its purpose.  As the RD explains, the presumption “was designed to eliminate outdated rate disparities in the existing agreements in an effort to promote broadband deployment and the deployment of other advanced technologies.”  And so the presumption must apply to the many joint use agreements that automatically renew </w:t>
      </w:r>
      <w:r w:rsidRPr="00A57018">
        <w:rPr>
          <w:sz w:val="26"/>
          <w:szCs w:val="26"/>
        </w:rPr>
        <w:lastRenderedPageBreak/>
        <w:t>following an initial term, because they are the agreements that contain the outdated rate disparities.</w:t>
      </w:r>
    </w:p>
    <w:p w14:paraId="74A6EABE" w14:textId="428882A5" w:rsidR="00507929" w:rsidRPr="00A57018" w:rsidRDefault="00507929" w:rsidP="00A57018">
      <w:pPr>
        <w:widowControl/>
        <w:spacing w:line="360" w:lineRule="auto"/>
        <w:ind w:firstLine="1440"/>
        <w:rPr>
          <w:sz w:val="26"/>
          <w:szCs w:val="26"/>
        </w:rPr>
      </w:pPr>
    </w:p>
    <w:p w14:paraId="0A08C518" w14:textId="126A20E2" w:rsidR="00507929" w:rsidRPr="00A57018" w:rsidRDefault="00750C40" w:rsidP="00A57018">
      <w:pPr>
        <w:widowControl/>
        <w:spacing w:line="360" w:lineRule="auto"/>
        <w:rPr>
          <w:sz w:val="26"/>
          <w:szCs w:val="26"/>
        </w:rPr>
      </w:pPr>
      <w:r w:rsidRPr="00A57018">
        <w:rPr>
          <w:sz w:val="26"/>
          <w:szCs w:val="26"/>
        </w:rPr>
        <w:t xml:space="preserve">Verizon R. Exc. at 9-10 (citing </w:t>
      </w:r>
      <w:r w:rsidR="00B04B2B" w:rsidRPr="00A57018">
        <w:rPr>
          <w:sz w:val="26"/>
          <w:szCs w:val="26"/>
        </w:rPr>
        <w:t>R.D. at 42-43).</w:t>
      </w:r>
    </w:p>
    <w:p w14:paraId="626ADCFB" w14:textId="77777777" w:rsidR="00703F02" w:rsidRPr="00A57018" w:rsidRDefault="00703F02" w:rsidP="00A57018">
      <w:pPr>
        <w:widowControl/>
        <w:spacing w:line="360" w:lineRule="auto"/>
        <w:rPr>
          <w:sz w:val="26"/>
          <w:szCs w:val="26"/>
        </w:rPr>
      </w:pPr>
    </w:p>
    <w:p w14:paraId="18BC78E4" w14:textId="6C2884F1" w:rsidR="00BA2907" w:rsidRPr="00A57018" w:rsidRDefault="005706B1" w:rsidP="00A57018">
      <w:pPr>
        <w:pStyle w:val="Heading4"/>
        <w:widowControl/>
        <w:spacing w:line="240" w:lineRule="auto"/>
      </w:pPr>
      <w:bookmarkStart w:id="32" w:name="_Toc59179305"/>
      <w:r w:rsidRPr="00A57018">
        <w:t xml:space="preserve">Did the ALJ </w:t>
      </w:r>
      <w:r w:rsidR="00EB097E">
        <w:t>E</w:t>
      </w:r>
      <w:r w:rsidRPr="00A57018">
        <w:t xml:space="preserve">rr by </w:t>
      </w:r>
      <w:r w:rsidR="00EB097E">
        <w:t>C</w:t>
      </w:r>
      <w:r w:rsidRPr="00A57018">
        <w:t xml:space="preserve">oncluding that FirstEnergy </w:t>
      </w:r>
      <w:r w:rsidR="00EB097E">
        <w:t>F</w:t>
      </w:r>
      <w:r w:rsidRPr="00A57018">
        <w:t xml:space="preserve">ailed to </w:t>
      </w:r>
      <w:r w:rsidR="00EB097E">
        <w:t>D</w:t>
      </w:r>
      <w:r w:rsidRPr="00A57018">
        <w:t xml:space="preserve">emonstrate that Verizon </w:t>
      </w:r>
      <w:r w:rsidR="00EB097E">
        <w:t>R</w:t>
      </w:r>
      <w:r w:rsidRPr="00A57018">
        <w:t xml:space="preserve">eceives </w:t>
      </w:r>
      <w:r w:rsidR="00EB097E">
        <w:t>Q</w:t>
      </w:r>
      <w:r w:rsidRPr="00A57018">
        <w:t xml:space="preserve">uantifiable </w:t>
      </w:r>
      <w:r w:rsidR="00EB097E">
        <w:t>M</w:t>
      </w:r>
      <w:r w:rsidRPr="00A57018">
        <w:t xml:space="preserve">aterial </w:t>
      </w:r>
      <w:r w:rsidR="00EB097E">
        <w:t>A</w:t>
      </w:r>
      <w:r w:rsidRPr="00A57018">
        <w:t xml:space="preserve">dvantages </w:t>
      </w:r>
      <w:r w:rsidR="00EB097E">
        <w:t>U</w:t>
      </w:r>
      <w:r w:rsidRPr="00A57018">
        <w:t xml:space="preserve">nder the Joint Use Agreements? </w:t>
      </w:r>
      <w:r w:rsidR="006C2F32" w:rsidRPr="00A57018">
        <w:t xml:space="preserve"> </w:t>
      </w:r>
      <w:r w:rsidRPr="00A57018">
        <w:t>(FirstEnergy Exception No. 6)</w:t>
      </w:r>
      <w:bookmarkEnd w:id="32"/>
    </w:p>
    <w:p w14:paraId="05828D7E" w14:textId="2D94E26A" w:rsidR="0042511C" w:rsidRPr="00A57018" w:rsidRDefault="0042511C" w:rsidP="00EB097E">
      <w:pPr>
        <w:widowControl/>
        <w:spacing w:line="480" w:lineRule="auto"/>
        <w:rPr>
          <w:sz w:val="26"/>
          <w:szCs w:val="26"/>
        </w:rPr>
      </w:pPr>
    </w:p>
    <w:p w14:paraId="5E9B4941" w14:textId="23EB6F2E" w:rsidR="00024EE8" w:rsidRPr="00A57018" w:rsidRDefault="00024EE8" w:rsidP="00A57018">
      <w:pPr>
        <w:widowControl/>
        <w:spacing w:line="360" w:lineRule="auto"/>
        <w:ind w:firstLine="1440"/>
        <w:rPr>
          <w:sz w:val="26"/>
          <w:szCs w:val="26"/>
        </w:rPr>
      </w:pPr>
      <w:r w:rsidRPr="00A57018">
        <w:rPr>
          <w:sz w:val="26"/>
          <w:szCs w:val="26"/>
        </w:rPr>
        <w:t xml:space="preserve">In its sixth Exception, FirstEnergy maintains that it has demonstrated that Verizon receives substantial material advantages under the JUAs, and therefore, is not entitled to the presumptions that it is similarly situated to its competitors or should receive the new telecom rate.  FirstEnergy Exc. at 21.  </w:t>
      </w:r>
    </w:p>
    <w:p w14:paraId="06561F9A" w14:textId="77777777" w:rsidR="00024EE8" w:rsidRPr="00A57018" w:rsidRDefault="00024EE8" w:rsidP="00A57018">
      <w:pPr>
        <w:widowControl/>
        <w:spacing w:line="360" w:lineRule="auto"/>
        <w:ind w:firstLine="1440"/>
        <w:rPr>
          <w:sz w:val="26"/>
          <w:szCs w:val="26"/>
        </w:rPr>
      </w:pPr>
    </w:p>
    <w:p w14:paraId="31071A62" w14:textId="77777777" w:rsidR="00024EE8" w:rsidRPr="00A57018" w:rsidRDefault="00024EE8" w:rsidP="00A57018">
      <w:pPr>
        <w:widowControl/>
        <w:spacing w:line="360" w:lineRule="auto"/>
        <w:ind w:firstLine="1440"/>
        <w:rPr>
          <w:sz w:val="26"/>
          <w:szCs w:val="26"/>
        </w:rPr>
      </w:pPr>
      <w:r w:rsidRPr="00A57018">
        <w:rPr>
          <w:sz w:val="26"/>
          <w:szCs w:val="26"/>
        </w:rPr>
        <w:t>FirstEnergy contends that the ALJ’s finding on this issue warrants reversal for four specific reasons.  To begin, FirstEnergy argues that a contributing factor inhibiting it from meeting its burden of proof on this issue was the limited discovery available in this proceeding, making it impossible to quantify the value of net material competitive benefits FirstEnergy provides Verizon under the JUAs.  FirstEnergy claims the only way for it to demonstrate that Verizon experiences cost-savings or revenue benefits in comparison to its competitors is by obtaining information that is exclusively within Verizon’s control.  FirstEnergy Exc. at 21-23.</w:t>
      </w:r>
    </w:p>
    <w:p w14:paraId="788BE75B" w14:textId="77777777" w:rsidR="00024EE8" w:rsidRPr="00A57018" w:rsidRDefault="00024EE8" w:rsidP="00A57018">
      <w:pPr>
        <w:widowControl/>
        <w:spacing w:line="360" w:lineRule="auto"/>
        <w:ind w:firstLine="1440"/>
        <w:rPr>
          <w:sz w:val="26"/>
          <w:szCs w:val="26"/>
        </w:rPr>
      </w:pPr>
    </w:p>
    <w:p w14:paraId="2A379262" w14:textId="77777777" w:rsidR="00024EE8" w:rsidRPr="00A57018" w:rsidRDefault="00024EE8" w:rsidP="00A57018">
      <w:pPr>
        <w:widowControl/>
        <w:spacing w:line="360" w:lineRule="auto"/>
        <w:ind w:firstLine="1440"/>
        <w:rPr>
          <w:sz w:val="26"/>
          <w:szCs w:val="26"/>
        </w:rPr>
      </w:pPr>
      <w:r w:rsidRPr="00A57018">
        <w:rPr>
          <w:sz w:val="26"/>
          <w:szCs w:val="26"/>
        </w:rPr>
        <w:t xml:space="preserve">Second, FirstEnergy contends that the ALJ erred by simply rejecting all of the material advantages identified by FirstEnergy.  FirstEnergy argues that the evidentiary record demonstrates that Verizon receives numerous material benefits including obtaining a speed-to-market advantage, not paying certain up-front work costs, avoiding attachment application fees, occupying better locations on the Companies’ poles.  FirstEnergy Exc. at 23-24 (citing FirstEnergy R.B. at 34-35).  According to </w:t>
      </w:r>
      <w:r w:rsidRPr="00A57018">
        <w:rPr>
          <w:sz w:val="26"/>
          <w:szCs w:val="26"/>
        </w:rPr>
        <w:lastRenderedPageBreak/>
        <w:t>FirstEnergy, these benefits are not available to its competitors and the ALJ acknowledged that FirstEnergy “is giving Verizon the benefits of a first-class airline seat at coach prices.”  FirstEnergy Exc. at 23 (quoting R.D. at 50).  Moreover, FirstEnergy contends that the ALJ failed to conduct even a cursory analysis of the fundamental differences of the advantages Verizon receives under the JUAs compared with the third-party license agreements of competitors who attach to the Companies’ poles.  FirstEnergy Exc. at 24.</w:t>
      </w:r>
    </w:p>
    <w:p w14:paraId="30F78B0D" w14:textId="77777777" w:rsidR="00024EE8" w:rsidRPr="00A57018" w:rsidRDefault="00024EE8" w:rsidP="00A57018">
      <w:pPr>
        <w:widowControl/>
        <w:spacing w:line="360" w:lineRule="auto"/>
        <w:ind w:firstLine="1440"/>
        <w:rPr>
          <w:sz w:val="26"/>
          <w:szCs w:val="26"/>
        </w:rPr>
      </w:pPr>
    </w:p>
    <w:p w14:paraId="239E3636" w14:textId="77777777" w:rsidR="00024EE8" w:rsidRPr="00A57018" w:rsidRDefault="00024EE8" w:rsidP="00A57018">
      <w:pPr>
        <w:widowControl/>
        <w:spacing w:line="360" w:lineRule="auto"/>
        <w:ind w:firstLine="1440"/>
        <w:rPr>
          <w:sz w:val="26"/>
          <w:szCs w:val="26"/>
        </w:rPr>
      </w:pPr>
      <w:r w:rsidRPr="00A57018">
        <w:rPr>
          <w:sz w:val="26"/>
          <w:szCs w:val="26"/>
        </w:rPr>
        <w:t xml:space="preserve">Third, FirstEnergy proffers that the ALJ erred in considering the alleged disadvantages that Verizon receives under the JUAs as a pole owner.  Specifically, FirstEnergy references the statement that Verizon has 110,000 joint use poles of its own that it shares with the Companies which Verizon’s competitors do not have to maintain.  FirstEnergy Exc. at 24-25 (citing R.D. at 45).  According to FirstEnergy, this purported disadvantage has nothing to do with Verizon’s status as an attacher under the JUAs; it is only relevant to its status as a pole owner.  FirstEnergy emphasizes that the </w:t>
      </w:r>
      <w:r w:rsidRPr="00A57018">
        <w:rPr>
          <w:i/>
          <w:iCs/>
          <w:sz w:val="26"/>
          <w:szCs w:val="26"/>
        </w:rPr>
        <w:t>2018 Pole Attachment Order</w:t>
      </w:r>
      <w:r w:rsidRPr="00A57018">
        <w:rPr>
          <w:sz w:val="26"/>
          <w:szCs w:val="26"/>
        </w:rPr>
        <w:t xml:space="preserve"> makes clear that the relevant comparison is whether an ILEC as a pole attaching entity receives some material benefits under a JUA in comparison to their competitors as attaching entities under third-party agreements.  FirstEnergy submits that Verizon’s costs as a pole owner are irrelevant to the comparison of its costs as an attacher to other non-pole-owning attachers and, thus, the R.D. erred in concluding these costs offset the benefits Verizon receives under the JUAs.  FirstEnergy Exc. at 25.</w:t>
      </w:r>
    </w:p>
    <w:p w14:paraId="079269D9" w14:textId="77777777" w:rsidR="00024EE8" w:rsidRPr="00A57018" w:rsidRDefault="00024EE8" w:rsidP="00A57018">
      <w:pPr>
        <w:widowControl/>
        <w:spacing w:line="360" w:lineRule="auto"/>
        <w:ind w:firstLine="1440"/>
        <w:rPr>
          <w:sz w:val="26"/>
          <w:szCs w:val="26"/>
        </w:rPr>
      </w:pPr>
    </w:p>
    <w:p w14:paraId="16F34E1A" w14:textId="1A151034" w:rsidR="00024EE8" w:rsidRPr="00A57018" w:rsidRDefault="00024EE8" w:rsidP="00A57018">
      <w:pPr>
        <w:widowControl/>
        <w:spacing w:line="360" w:lineRule="auto"/>
        <w:ind w:firstLine="1440"/>
        <w:rPr>
          <w:sz w:val="26"/>
          <w:szCs w:val="26"/>
        </w:rPr>
      </w:pPr>
      <w:r w:rsidRPr="00A57018">
        <w:rPr>
          <w:sz w:val="26"/>
          <w:szCs w:val="26"/>
        </w:rPr>
        <w:t xml:space="preserve">In its fourth argument, FirstEnergy asserts that the ALJ failed to consider or analyze the FCC’s recent decision in the </w:t>
      </w:r>
      <w:r w:rsidRPr="00A57018">
        <w:rPr>
          <w:i/>
          <w:iCs/>
          <w:sz w:val="26"/>
          <w:szCs w:val="26"/>
        </w:rPr>
        <w:t>FPL 2020 Order</w:t>
      </w:r>
      <w:r w:rsidRPr="00A57018">
        <w:rPr>
          <w:sz w:val="26"/>
          <w:szCs w:val="26"/>
        </w:rPr>
        <w:t xml:space="preserve"> which identified benefits pertinent to rebutting the presumption established under the FCC’s regulations.  Specifically, FirstEnergy contends that the </w:t>
      </w:r>
      <w:r w:rsidRPr="00A57018">
        <w:rPr>
          <w:i/>
          <w:iCs/>
          <w:sz w:val="26"/>
          <w:szCs w:val="26"/>
        </w:rPr>
        <w:t>FPL 2020 Order</w:t>
      </w:r>
      <w:r w:rsidRPr="00A57018">
        <w:rPr>
          <w:sz w:val="26"/>
          <w:szCs w:val="26"/>
        </w:rPr>
        <w:t xml:space="preserve"> recognized the following benefits as a material advantage for an ILEC pole attacher: guaranteed access, reservation of space, ILEC not subject to inspection fees, and ILEC not subject to license preparation and administrative fees.  Additionally, FirstEnergy emphasized that these benefits did not </w:t>
      </w:r>
      <w:r w:rsidRPr="00A57018">
        <w:rPr>
          <w:sz w:val="26"/>
          <w:szCs w:val="26"/>
        </w:rPr>
        <w:lastRenderedPageBreak/>
        <w:t>contain or require an analysis of the quantification of an associated dollar amount for each benefit.  FirstEnergy Exc. at 26-27.</w:t>
      </w:r>
    </w:p>
    <w:p w14:paraId="340056D0" w14:textId="77777777" w:rsidR="00BC3A33" w:rsidRPr="00A57018" w:rsidRDefault="00BC3A33" w:rsidP="00A57018">
      <w:pPr>
        <w:widowControl/>
        <w:spacing w:line="360" w:lineRule="auto"/>
        <w:ind w:firstLine="1440"/>
        <w:rPr>
          <w:sz w:val="26"/>
          <w:szCs w:val="26"/>
        </w:rPr>
      </w:pPr>
    </w:p>
    <w:p w14:paraId="3DE72B19" w14:textId="0C0F3279" w:rsidR="00024EE8" w:rsidRPr="00A57018" w:rsidRDefault="00024EE8" w:rsidP="00A57018">
      <w:pPr>
        <w:widowControl/>
        <w:spacing w:line="360" w:lineRule="auto"/>
        <w:ind w:firstLine="1440"/>
        <w:rPr>
          <w:sz w:val="26"/>
          <w:szCs w:val="26"/>
        </w:rPr>
      </w:pPr>
      <w:r w:rsidRPr="00A57018">
        <w:rPr>
          <w:sz w:val="26"/>
          <w:szCs w:val="26"/>
        </w:rPr>
        <w:t xml:space="preserve">In its Replies, Verizon retorts that the discovery process is not to blame for FirstEnergy’s evidentiary failures, explaining that FirstEnergy has access to all the relevant evidence needed to meet its burden of proof.  For instance, if FirstEnergy incurred an unreimbursed cost because it provided Verizon a net material competitive advantage under its JUAs as compared to its license agreements, FirstEnergy would have the relevant data to substantiate it.  Furthermore, Verizon argues that “FirstEnergy propounded discovery when this case was pending at the FCC and was allowed to take unlimited discovery after this case was transferred to the Commission.  It filed two motions to compel; each was correctly denied and neither sought the information FirstEnergy now complains about in its sixth exception.”  Verizon R. Exc. at 12.   </w:t>
      </w:r>
    </w:p>
    <w:p w14:paraId="3E0FF551" w14:textId="77777777" w:rsidR="00BC3A33" w:rsidRPr="00A57018" w:rsidRDefault="00BC3A33" w:rsidP="00A57018">
      <w:pPr>
        <w:widowControl/>
        <w:spacing w:line="360" w:lineRule="auto"/>
        <w:ind w:firstLine="1440"/>
        <w:rPr>
          <w:sz w:val="26"/>
          <w:szCs w:val="26"/>
        </w:rPr>
      </w:pPr>
    </w:p>
    <w:p w14:paraId="3F637D4A" w14:textId="77777777" w:rsidR="00024EE8" w:rsidRPr="00A57018" w:rsidRDefault="00024EE8" w:rsidP="00A57018">
      <w:pPr>
        <w:widowControl/>
        <w:spacing w:line="360" w:lineRule="auto"/>
        <w:ind w:firstLine="1440"/>
        <w:rPr>
          <w:sz w:val="26"/>
          <w:szCs w:val="26"/>
        </w:rPr>
      </w:pPr>
      <w:r w:rsidRPr="00A57018">
        <w:rPr>
          <w:sz w:val="26"/>
          <w:szCs w:val="26"/>
        </w:rPr>
        <w:t xml:space="preserve">Verizon also denies each of the contentions that it receives material advantages under the JUAs regarding alleged speed-to-market advantages, up-front work costs, application fees, and location and reservation space on the poles.  Additionally, Verizon submits that Section 1.413(b) adopted by the Commission presumes that JUAs and license agreements are comparable and should include the same new telecom rate absent proof otherwise.  Verizon asserts that FirstEnergy failed to provide such contrary proof and the ALJ correctly applied the new telecom rate.  Verizon R. Exc. at 13-15.  </w:t>
      </w:r>
    </w:p>
    <w:p w14:paraId="66CA4D22" w14:textId="77777777" w:rsidR="00024EE8" w:rsidRPr="00A57018" w:rsidRDefault="00024EE8" w:rsidP="00A57018">
      <w:pPr>
        <w:widowControl/>
        <w:spacing w:line="360" w:lineRule="auto"/>
        <w:ind w:firstLine="1440"/>
        <w:rPr>
          <w:sz w:val="26"/>
          <w:szCs w:val="26"/>
        </w:rPr>
      </w:pPr>
      <w:r w:rsidRPr="00A57018">
        <w:rPr>
          <w:sz w:val="26"/>
          <w:szCs w:val="26"/>
        </w:rPr>
        <w:t xml:space="preserve">  </w:t>
      </w:r>
    </w:p>
    <w:p w14:paraId="79FDF59A" w14:textId="44C6B63E" w:rsidR="00024EE8" w:rsidRPr="00A57018" w:rsidRDefault="00024EE8" w:rsidP="00A57018">
      <w:pPr>
        <w:widowControl/>
        <w:spacing w:line="360" w:lineRule="auto"/>
        <w:ind w:firstLine="1440"/>
        <w:rPr>
          <w:sz w:val="26"/>
          <w:szCs w:val="26"/>
        </w:rPr>
      </w:pPr>
      <w:r w:rsidRPr="00A57018">
        <w:rPr>
          <w:sz w:val="26"/>
          <w:szCs w:val="26"/>
        </w:rPr>
        <w:t xml:space="preserve">Verizon challenges the competitive advantages proffered by FirstEnergy, arguing that FirstEnergy’s efforts to justify its pole attachment rates under the standard set forth in the </w:t>
      </w:r>
      <w:r w:rsidRPr="00A57018">
        <w:rPr>
          <w:i/>
          <w:iCs/>
          <w:sz w:val="26"/>
          <w:szCs w:val="26"/>
        </w:rPr>
        <w:t>2018 Pole Attachment Order</w:t>
      </w:r>
      <w:r w:rsidRPr="00A57018">
        <w:rPr>
          <w:sz w:val="26"/>
          <w:szCs w:val="26"/>
        </w:rPr>
        <w:t xml:space="preserve"> do not survive scrutiny.  Verizon contends that FirstEnergy fails to distinguish Verizon from its competitors or prove that a competitive advantage justifies a substantially higher annual rate per pole.  Verizon claims that FirstEnergy also failed to account for any unique disadvantages that apply to </w:t>
      </w:r>
      <w:r w:rsidRPr="00A57018">
        <w:rPr>
          <w:sz w:val="26"/>
          <w:szCs w:val="26"/>
        </w:rPr>
        <w:lastRenderedPageBreak/>
        <w:t xml:space="preserve">Verizon under the JUAs as compared to license agreements, such as Verizon’s unique pole ownership costs.  Verizon R. Exc. at 15-16.  </w:t>
      </w:r>
    </w:p>
    <w:p w14:paraId="1EC41680" w14:textId="77777777" w:rsidR="00024EE8" w:rsidRPr="00A57018" w:rsidRDefault="00024EE8" w:rsidP="00A57018">
      <w:pPr>
        <w:widowControl/>
        <w:spacing w:line="360" w:lineRule="auto"/>
        <w:ind w:firstLine="1440"/>
        <w:rPr>
          <w:sz w:val="26"/>
          <w:szCs w:val="26"/>
        </w:rPr>
      </w:pPr>
    </w:p>
    <w:p w14:paraId="1E1A00E0" w14:textId="005E2007" w:rsidR="003250B0" w:rsidRPr="00A57018" w:rsidRDefault="00024EE8" w:rsidP="00A57018">
      <w:pPr>
        <w:widowControl/>
        <w:spacing w:line="360" w:lineRule="auto"/>
        <w:ind w:firstLine="1440"/>
        <w:rPr>
          <w:sz w:val="26"/>
          <w:szCs w:val="26"/>
        </w:rPr>
      </w:pPr>
      <w:r w:rsidRPr="00A57018">
        <w:rPr>
          <w:sz w:val="26"/>
          <w:szCs w:val="26"/>
        </w:rPr>
        <w:t xml:space="preserve">Furthermore, Verizon distinguishes the </w:t>
      </w:r>
      <w:r w:rsidRPr="00A57018">
        <w:rPr>
          <w:i/>
          <w:iCs/>
          <w:sz w:val="26"/>
          <w:szCs w:val="26"/>
        </w:rPr>
        <w:t>FPL 2020 Order</w:t>
      </w:r>
      <w:r w:rsidRPr="00A57018">
        <w:rPr>
          <w:sz w:val="26"/>
          <w:szCs w:val="26"/>
        </w:rPr>
        <w:t xml:space="preserve"> as an interim decision and one which did not decide whether benefits were net material competitive advantages sufficient to rebut the new telecom rate presumption.  Verizon R. Exc. at 16.</w:t>
      </w:r>
    </w:p>
    <w:p w14:paraId="4DE3DD8E" w14:textId="77777777" w:rsidR="000B5C04" w:rsidRPr="00A57018" w:rsidRDefault="000B5C04" w:rsidP="00A57018">
      <w:pPr>
        <w:widowControl/>
        <w:spacing w:line="360" w:lineRule="auto"/>
        <w:rPr>
          <w:sz w:val="26"/>
          <w:szCs w:val="26"/>
        </w:rPr>
      </w:pPr>
    </w:p>
    <w:p w14:paraId="58663310" w14:textId="164A4B48" w:rsidR="006431AE" w:rsidRPr="00A57018" w:rsidRDefault="006431AE" w:rsidP="00A57018">
      <w:pPr>
        <w:pStyle w:val="Heading3"/>
        <w:ind w:left="1440" w:hanging="720"/>
      </w:pPr>
      <w:bookmarkStart w:id="33" w:name="_Toc59179306"/>
      <w:r w:rsidRPr="00A57018">
        <w:t>Disposition</w:t>
      </w:r>
      <w:bookmarkEnd w:id="33"/>
      <w:r w:rsidR="00382FBA">
        <w:t xml:space="preserve">  </w:t>
      </w:r>
    </w:p>
    <w:p w14:paraId="5897BD94" w14:textId="189CBA59" w:rsidR="006431AE" w:rsidRPr="00A57018" w:rsidRDefault="006431AE" w:rsidP="00A57018">
      <w:pPr>
        <w:widowControl/>
        <w:spacing w:line="360" w:lineRule="auto"/>
        <w:rPr>
          <w:sz w:val="26"/>
          <w:szCs w:val="26"/>
        </w:rPr>
      </w:pPr>
    </w:p>
    <w:p w14:paraId="1B419E7D" w14:textId="3A928F65" w:rsidR="001C2266" w:rsidRDefault="001C2266" w:rsidP="00A57018">
      <w:pPr>
        <w:widowControl/>
        <w:spacing w:line="360" w:lineRule="auto"/>
        <w:ind w:firstLine="1440"/>
        <w:rPr>
          <w:sz w:val="26"/>
          <w:szCs w:val="26"/>
        </w:rPr>
      </w:pPr>
      <w:r w:rsidRPr="00684962">
        <w:rPr>
          <w:sz w:val="26"/>
          <w:szCs w:val="26"/>
        </w:rPr>
        <w:t xml:space="preserve">We generally agree with the ALJ’s disposition of the issues relating to his determination that the </w:t>
      </w:r>
      <w:r w:rsidR="00991A28" w:rsidRPr="00684962">
        <w:rPr>
          <w:sz w:val="26"/>
          <w:szCs w:val="26"/>
        </w:rPr>
        <w:t>“</w:t>
      </w:r>
      <w:r w:rsidRPr="00684962">
        <w:rPr>
          <w:sz w:val="26"/>
          <w:szCs w:val="26"/>
        </w:rPr>
        <w:t>new telecom rate</w:t>
      </w:r>
      <w:r w:rsidR="00991A28" w:rsidRPr="00684962">
        <w:rPr>
          <w:sz w:val="26"/>
          <w:szCs w:val="26"/>
        </w:rPr>
        <w:t>”</w:t>
      </w:r>
      <w:r w:rsidRPr="00684962">
        <w:rPr>
          <w:sz w:val="26"/>
          <w:szCs w:val="26"/>
        </w:rPr>
        <w:t xml:space="preserve"> is </w:t>
      </w:r>
      <w:r w:rsidR="00813D17" w:rsidRPr="00684962">
        <w:rPr>
          <w:sz w:val="26"/>
          <w:szCs w:val="26"/>
        </w:rPr>
        <w:t>applicable</w:t>
      </w:r>
      <w:r w:rsidR="00632445" w:rsidRPr="00684962">
        <w:rPr>
          <w:sz w:val="26"/>
          <w:szCs w:val="26"/>
        </w:rPr>
        <w:t xml:space="preserve"> under the Code, Commission and FCC regulations, and precedent</w:t>
      </w:r>
      <w:r w:rsidRPr="00684962">
        <w:rPr>
          <w:sz w:val="26"/>
          <w:szCs w:val="26"/>
        </w:rPr>
        <w:t xml:space="preserve"> except as specifically</w:t>
      </w:r>
      <w:r w:rsidR="00813D17" w:rsidRPr="00684962">
        <w:rPr>
          <w:sz w:val="26"/>
          <w:szCs w:val="26"/>
        </w:rPr>
        <w:t xml:space="preserve"> </w:t>
      </w:r>
      <w:r w:rsidRPr="00684962">
        <w:rPr>
          <w:sz w:val="26"/>
          <w:szCs w:val="26"/>
        </w:rPr>
        <w:t>addressed in this Opinion and Order.</w:t>
      </w:r>
    </w:p>
    <w:p w14:paraId="5A49B7F0" w14:textId="77777777" w:rsidR="001C2266" w:rsidRDefault="001C2266" w:rsidP="00A57018">
      <w:pPr>
        <w:widowControl/>
        <w:spacing w:line="360" w:lineRule="auto"/>
        <w:ind w:firstLine="1440"/>
        <w:rPr>
          <w:sz w:val="26"/>
          <w:szCs w:val="26"/>
        </w:rPr>
      </w:pPr>
    </w:p>
    <w:p w14:paraId="4FA5949D" w14:textId="7A8C0488" w:rsidR="00A94D02" w:rsidRPr="00A57018" w:rsidRDefault="00947A10" w:rsidP="000C0E84">
      <w:pPr>
        <w:widowControl/>
        <w:spacing w:line="360" w:lineRule="auto"/>
        <w:ind w:firstLine="1440"/>
        <w:rPr>
          <w:sz w:val="26"/>
          <w:szCs w:val="26"/>
        </w:rPr>
      </w:pPr>
      <w:r>
        <w:rPr>
          <w:sz w:val="26"/>
          <w:szCs w:val="26"/>
        </w:rPr>
        <w:t xml:space="preserve">Regarding </w:t>
      </w:r>
      <w:r w:rsidR="00A94D02" w:rsidRPr="00A57018">
        <w:rPr>
          <w:sz w:val="26"/>
          <w:szCs w:val="26"/>
        </w:rPr>
        <w:t xml:space="preserve">FirstEnergy Exception No. 4, we reject the argument that the ALJ ignored applicable FCC precedent.  </w:t>
      </w:r>
      <w:r w:rsidR="009519A2" w:rsidRPr="00A57018">
        <w:rPr>
          <w:sz w:val="26"/>
          <w:szCs w:val="26"/>
        </w:rPr>
        <w:t xml:space="preserve">In </w:t>
      </w:r>
      <w:r w:rsidR="00196987" w:rsidRPr="00A57018">
        <w:rPr>
          <w:sz w:val="26"/>
          <w:szCs w:val="26"/>
        </w:rPr>
        <w:t>the</w:t>
      </w:r>
      <w:r w:rsidR="009519A2" w:rsidRPr="00A57018">
        <w:rPr>
          <w:sz w:val="26"/>
          <w:szCs w:val="26"/>
        </w:rPr>
        <w:t xml:space="preserve"> </w:t>
      </w:r>
      <w:r w:rsidR="009519A2" w:rsidRPr="00A57018">
        <w:rPr>
          <w:i/>
          <w:iCs/>
          <w:sz w:val="26"/>
          <w:szCs w:val="26"/>
        </w:rPr>
        <w:t>2019 Final Rulemaking Order</w:t>
      </w:r>
      <w:r w:rsidR="009519A2" w:rsidRPr="00A57018">
        <w:rPr>
          <w:sz w:val="26"/>
          <w:szCs w:val="26"/>
        </w:rPr>
        <w:t xml:space="preserve">, we explained that FCC </w:t>
      </w:r>
      <w:r w:rsidR="0036530A" w:rsidRPr="00A57018">
        <w:rPr>
          <w:sz w:val="26"/>
          <w:szCs w:val="26"/>
        </w:rPr>
        <w:t>orders</w:t>
      </w:r>
      <w:r w:rsidR="009519A2" w:rsidRPr="00A57018">
        <w:rPr>
          <w:sz w:val="26"/>
          <w:szCs w:val="26"/>
        </w:rPr>
        <w:t xml:space="preserve"> and court decisions interpretating those orders </w:t>
      </w:r>
      <w:r w:rsidR="0036530A" w:rsidRPr="00A57018">
        <w:rPr>
          <w:sz w:val="26"/>
          <w:szCs w:val="26"/>
        </w:rPr>
        <w:t xml:space="preserve">will be </w:t>
      </w:r>
      <w:r w:rsidR="009A224A" w:rsidRPr="00A57018">
        <w:rPr>
          <w:sz w:val="26"/>
          <w:szCs w:val="26"/>
        </w:rPr>
        <w:t xml:space="preserve">considered </w:t>
      </w:r>
      <w:r w:rsidR="0036530A" w:rsidRPr="00A57018">
        <w:rPr>
          <w:sz w:val="26"/>
          <w:szCs w:val="26"/>
        </w:rPr>
        <w:t xml:space="preserve">persuasive and not controlling precedent.  </w:t>
      </w:r>
      <w:r w:rsidR="009A224A" w:rsidRPr="00A57018">
        <w:rPr>
          <w:sz w:val="26"/>
          <w:szCs w:val="26"/>
        </w:rPr>
        <w:t>We noted that such an interpretation leaves room for us to develop precedent relevant to broadband deployment throughout and applicable to the Commonwealth</w:t>
      </w:r>
      <w:r w:rsidR="001C2266">
        <w:rPr>
          <w:sz w:val="26"/>
          <w:szCs w:val="26"/>
        </w:rPr>
        <w:t xml:space="preserve"> </w:t>
      </w:r>
      <w:r w:rsidR="001C2266" w:rsidRPr="00684962">
        <w:rPr>
          <w:sz w:val="26"/>
          <w:szCs w:val="26"/>
        </w:rPr>
        <w:t>but in a manner that also reflects Pennsylvania law</w:t>
      </w:r>
      <w:r w:rsidR="009A224A" w:rsidRPr="00A57018">
        <w:rPr>
          <w:sz w:val="26"/>
          <w:szCs w:val="26"/>
        </w:rPr>
        <w:t>.  Although we recognized the usefulness of acknowledging FCC practice and experience interpreting its pole attachment rules, we emphasized our anticipation of challenges to the federal rules that may come before us and which have yet to be adjudicated on the federal level.  Similarly, we noted potential differences in interpretation</w:t>
      </w:r>
      <w:r w:rsidR="00F06F99" w:rsidRPr="00A57018">
        <w:rPr>
          <w:sz w:val="26"/>
          <w:szCs w:val="26"/>
        </w:rPr>
        <w:t xml:space="preserve"> by the FCC</w:t>
      </w:r>
      <w:r w:rsidR="00A328B4" w:rsidRPr="00A57018">
        <w:rPr>
          <w:sz w:val="26"/>
          <w:szCs w:val="26"/>
        </w:rPr>
        <w:t>,</w:t>
      </w:r>
      <w:r w:rsidR="00F06F99" w:rsidRPr="00A57018">
        <w:rPr>
          <w:sz w:val="26"/>
          <w:szCs w:val="26"/>
        </w:rPr>
        <w:t xml:space="preserve"> which is responsible for developing a nationwide scheme</w:t>
      </w:r>
      <w:r w:rsidR="00A328B4" w:rsidRPr="00A57018">
        <w:rPr>
          <w:sz w:val="26"/>
          <w:szCs w:val="26"/>
        </w:rPr>
        <w:t>,</w:t>
      </w:r>
      <w:r w:rsidR="00F06F99" w:rsidRPr="00A57018">
        <w:rPr>
          <w:sz w:val="26"/>
          <w:szCs w:val="26"/>
        </w:rPr>
        <w:t xml:space="preserve"> </w:t>
      </w:r>
      <w:r w:rsidR="00A328B4" w:rsidRPr="00A57018">
        <w:rPr>
          <w:sz w:val="26"/>
          <w:szCs w:val="26"/>
        </w:rPr>
        <w:t>that</w:t>
      </w:r>
      <w:r w:rsidR="00F06F99" w:rsidRPr="00A57018">
        <w:rPr>
          <w:sz w:val="26"/>
          <w:szCs w:val="26"/>
        </w:rPr>
        <w:t xml:space="preserve"> may not align with Pennsylvania interests.  </w:t>
      </w:r>
      <w:r w:rsidR="00A328B4" w:rsidRPr="00A57018">
        <w:rPr>
          <w:i/>
          <w:iCs/>
          <w:sz w:val="26"/>
          <w:szCs w:val="26"/>
        </w:rPr>
        <w:t>2019 Final Rulemaking Order</w:t>
      </w:r>
      <w:r w:rsidR="00A328B4" w:rsidRPr="00A57018">
        <w:rPr>
          <w:sz w:val="26"/>
          <w:szCs w:val="26"/>
        </w:rPr>
        <w:t xml:space="preserve"> at 50.  </w:t>
      </w:r>
    </w:p>
    <w:p w14:paraId="4ADEBEBE" w14:textId="664599AB" w:rsidR="00202A0E" w:rsidRPr="00A57018" w:rsidRDefault="00202A0E" w:rsidP="00A57018">
      <w:pPr>
        <w:widowControl/>
        <w:spacing w:line="360" w:lineRule="auto"/>
        <w:ind w:firstLine="1440"/>
        <w:rPr>
          <w:sz w:val="26"/>
          <w:szCs w:val="26"/>
        </w:rPr>
      </w:pPr>
    </w:p>
    <w:p w14:paraId="17252CDC" w14:textId="05B2C431" w:rsidR="00412786" w:rsidRPr="00A57018" w:rsidRDefault="00D51463" w:rsidP="00A57018">
      <w:pPr>
        <w:widowControl/>
        <w:spacing w:line="360" w:lineRule="auto"/>
        <w:ind w:firstLine="1440"/>
        <w:rPr>
          <w:sz w:val="26"/>
          <w:szCs w:val="26"/>
        </w:rPr>
      </w:pPr>
      <w:r>
        <w:rPr>
          <w:sz w:val="26"/>
          <w:szCs w:val="26"/>
        </w:rPr>
        <w:t xml:space="preserve">We also note that </w:t>
      </w:r>
      <w:r w:rsidR="00202A0E" w:rsidRPr="00A57018">
        <w:rPr>
          <w:sz w:val="26"/>
          <w:szCs w:val="26"/>
        </w:rPr>
        <w:t xml:space="preserve">we promulgated Section 77.5(c) of our Regulations, </w:t>
      </w:r>
      <w:r w:rsidR="00376241" w:rsidRPr="00A57018">
        <w:rPr>
          <w:sz w:val="26"/>
          <w:szCs w:val="26"/>
        </w:rPr>
        <w:t>which provide</w:t>
      </w:r>
      <w:r w:rsidR="003B0205" w:rsidRPr="00A57018">
        <w:rPr>
          <w:sz w:val="26"/>
          <w:szCs w:val="26"/>
        </w:rPr>
        <w:t>s</w:t>
      </w:r>
      <w:r w:rsidR="00412786" w:rsidRPr="00A57018">
        <w:rPr>
          <w:sz w:val="26"/>
          <w:szCs w:val="26"/>
        </w:rPr>
        <w:t xml:space="preserve"> that FCC orders promulgating and interpreting Federal pole attachment </w:t>
      </w:r>
      <w:r w:rsidR="00412786" w:rsidRPr="00A57018">
        <w:rPr>
          <w:sz w:val="26"/>
          <w:szCs w:val="26"/>
        </w:rPr>
        <w:lastRenderedPageBreak/>
        <w:t>rules and Federal court decisions reviewing those rules and interpretations will be considered as persuasive authority.  52 Pa. Code § 77.5(c).  Additionally, we concluded that:</w:t>
      </w:r>
    </w:p>
    <w:p w14:paraId="32682A5C" w14:textId="77777777" w:rsidR="00412786" w:rsidRPr="00A57018" w:rsidRDefault="00412786" w:rsidP="00292854">
      <w:pPr>
        <w:widowControl/>
        <w:ind w:firstLine="1440"/>
        <w:rPr>
          <w:sz w:val="26"/>
          <w:szCs w:val="26"/>
        </w:rPr>
      </w:pPr>
    </w:p>
    <w:p w14:paraId="75848210" w14:textId="361D35B0" w:rsidR="005A6530" w:rsidRPr="00A57018" w:rsidRDefault="00412786" w:rsidP="00A57018">
      <w:pPr>
        <w:widowControl/>
        <w:ind w:left="1440" w:right="1440"/>
        <w:rPr>
          <w:sz w:val="26"/>
          <w:szCs w:val="26"/>
        </w:rPr>
      </w:pPr>
      <w:r w:rsidRPr="00A57018">
        <w:rPr>
          <w:sz w:val="26"/>
          <w:szCs w:val="26"/>
        </w:rPr>
        <w:t>O</w:t>
      </w:r>
      <w:r w:rsidR="005A6530" w:rsidRPr="00A57018">
        <w:rPr>
          <w:sz w:val="26"/>
          <w:szCs w:val="26"/>
        </w:rPr>
        <w:t xml:space="preserve">ur language in Section 77.5(c) does not preclude the Commission from using its discretion to form separate interpretations to benefit the Commonwealth.  </w:t>
      </w:r>
      <w:r w:rsidR="005A6530" w:rsidRPr="00A57018">
        <w:rPr>
          <w:i/>
          <w:iCs/>
          <w:sz w:val="26"/>
          <w:szCs w:val="26"/>
        </w:rPr>
        <w:t>FCC orders are persuasive, meaning that they do not establish binding precedent that the Commission would follow regardless of whether any particular application would be rational under a set of given circumstances</w:t>
      </w:r>
      <w:r w:rsidR="005A6530" w:rsidRPr="00A57018">
        <w:rPr>
          <w:sz w:val="26"/>
          <w:szCs w:val="26"/>
        </w:rPr>
        <w:t>.</w:t>
      </w:r>
    </w:p>
    <w:p w14:paraId="65B48E27" w14:textId="67A3D336" w:rsidR="00A328B4" w:rsidRPr="00A57018" w:rsidRDefault="00A328B4" w:rsidP="00A57018">
      <w:pPr>
        <w:widowControl/>
        <w:spacing w:line="360" w:lineRule="auto"/>
        <w:ind w:firstLine="1440"/>
        <w:rPr>
          <w:sz w:val="26"/>
          <w:szCs w:val="26"/>
        </w:rPr>
      </w:pPr>
    </w:p>
    <w:p w14:paraId="38629DA4" w14:textId="1BCF7CCA" w:rsidR="00146324" w:rsidRPr="00A57018" w:rsidRDefault="00412786" w:rsidP="00A57018">
      <w:pPr>
        <w:widowControl/>
        <w:spacing w:line="360" w:lineRule="auto"/>
        <w:rPr>
          <w:sz w:val="26"/>
          <w:szCs w:val="26"/>
        </w:rPr>
      </w:pPr>
      <w:r w:rsidRPr="00A57018">
        <w:rPr>
          <w:i/>
          <w:iCs/>
          <w:sz w:val="26"/>
          <w:szCs w:val="26"/>
        </w:rPr>
        <w:t>2019 Final Rulemaking Order</w:t>
      </w:r>
      <w:r w:rsidR="00C97FE5" w:rsidRPr="00A57018">
        <w:rPr>
          <w:sz w:val="26"/>
          <w:szCs w:val="26"/>
        </w:rPr>
        <w:t xml:space="preserve"> at 51 (emphasis added).</w:t>
      </w:r>
    </w:p>
    <w:p w14:paraId="01F2FFEB" w14:textId="77777777" w:rsidR="000B55AD" w:rsidRPr="00A57018" w:rsidRDefault="000B55AD" w:rsidP="00A57018">
      <w:pPr>
        <w:widowControl/>
        <w:spacing w:line="360" w:lineRule="auto"/>
        <w:rPr>
          <w:sz w:val="26"/>
          <w:szCs w:val="26"/>
        </w:rPr>
      </w:pPr>
    </w:p>
    <w:p w14:paraId="0EA7C149" w14:textId="022BB219" w:rsidR="00C97FE5" w:rsidRPr="00A57018" w:rsidRDefault="00C97FE5" w:rsidP="00A57018">
      <w:pPr>
        <w:widowControl/>
        <w:spacing w:line="360" w:lineRule="auto"/>
        <w:rPr>
          <w:color w:val="000000"/>
          <w:sz w:val="26"/>
          <w:szCs w:val="26"/>
        </w:rPr>
      </w:pPr>
      <w:r w:rsidRPr="00A57018">
        <w:rPr>
          <w:sz w:val="26"/>
          <w:szCs w:val="26"/>
        </w:rPr>
        <w:tab/>
      </w:r>
      <w:r w:rsidRPr="00A57018">
        <w:rPr>
          <w:sz w:val="26"/>
          <w:szCs w:val="26"/>
        </w:rPr>
        <w:tab/>
        <w:t xml:space="preserve">In the Recommended Decision, the ALJ </w:t>
      </w:r>
      <w:r w:rsidRPr="00A57018">
        <w:rPr>
          <w:color w:val="000000"/>
          <w:sz w:val="26"/>
          <w:szCs w:val="26"/>
        </w:rPr>
        <w:t xml:space="preserve">determined that a strict reading of Section 1.1413 of the FCC regulations requires a rejection of FirstEnergy’s arguments that Verizon is not entitled to the new telecom rate.  The ALJ explained that </w:t>
      </w:r>
      <w:r w:rsidR="00490691" w:rsidRPr="00A57018">
        <w:rPr>
          <w:color w:val="000000"/>
          <w:sz w:val="26"/>
          <w:szCs w:val="26"/>
        </w:rPr>
        <w:t xml:space="preserve">such </w:t>
      </w:r>
      <w:r w:rsidRPr="00A57018">
        <w:rPr>
          <w:color w:val="000000"/>
          <w:sz w:val="26"/>
          <w:szCs w:val="26"/>
        </w:rPr>
        <w:t xml:space="preserve">a reading of Section 1.1413 is supported by the </w:t>
      </w:r>
      <w:r w:rsidRPr="00A57018">
        <w:rPr>
          <w:i/>
          <w:iCs/>
          <w:color w:val="000000"/>
          <w:sz w:val="26"/>
          <w:szCs w:val="26"/>
        </w:rPr>
        <w:t>2019 Final Rulemaking Order</w:t>
      </w:r>
      <w:r w:rsidR="0020114E" w:rsidRPr="00A57018">
        <w:rPr>
          <w:color w:val="000000"/>
          <w:sz w:val="26"/>
          <w:szCs w:val="26"/>
        </w:rPr>
        <w:t xml:space="preserve"> and that </w:t>
      </w:r>
      <w:r w:rsidR="00490691" w:rsidRPr="00A57018">
        <w:rPr>
          <w:color w:val="000000"/>
          <w:sz w:val="26"/>
          <w:szCs w:val="26"/>
        </w:rPr>
        <w:t>this</w:t>
      </w:r>
      <w:r w:rsidR="008F1FE8" w:rsidRPr="00A57018">
        <w:rPr>
          <w:color w:val="000000"/>
          <w:sz w:val="26"/>
          <w:szCs w:val="26"/>
        </w:rPr>
        <w:t xml:space="preserve"> interpretation</w:t>
      </w:r>
      <w:r w:rsidRPr="00A57018">
        <w:rPr>
          <w:color w:val="000000"/>
          <w:sz w:val="26"/>
          <w:szCs w:val="26"/>
        </w:rPr>
        <w:t xml:space="preserve"> of Section 1.1413 helps simplify the issues in this case.</w:t>
      </w:r>
      <w:r w:rsidR="005F7629" w:rsidRPr="00A57018">
        <w:rPr>
          <w:color w:val="000000"/>
          <w:sz w:val="26"/>
          <w:szCs w:val="26"/>
        </w:rPr>
        <w:t xml:space="preserve">  </w:t>
      </w:r>
      <w:r w:rsidRPr="00A57018">
        <w:rPr>
          <w:color w:val="000000"/>
          <w:sz w:val="26"/>
          <w:szCs w:val="26"/>
        </w:rPr>
        <w:t xml:space="preserve">R.D. at 46, 49.  </w:t>
      </w:r>
      <w:r w:rsidR="00C11A60" w:rsidRPr="00A57018">
        <w:rPr>
          <w:color w:val="000000"/>
          <w:sz w:val="26"/>
          <w:szCs w:val="26"/>
        </w:rPr>
        <w:t xml:space="preserve">Here, </w:t>
      </w:r>
      <w:r w:rsidR="00FA26F5" w:rsidRPr="00A57018">
        <w:rPr>
          <w:color w:val="000000"/>
          <w:sz w:val="26"/>
          <w:szCs w:val="26"/>
        </w:rPr>
        <w:t xml:space="preserve">we find that </w:t>
      </w:r>
      <w:r w:rsidR="00C11A60" w:rsidRPr="00A57018">
        <w:rPr>
          <w:color w:val="000000"/>
          <w:sz w:val="26"/>
          <w:szCs w:val="26"/>
        </w:rPr>
        <w:t xml:space="preserve">the ALJ’s recommendation was consistent with </w:t>
      </w:r>
      <w:r w:rsidR="00FA26F5" w:rsidRPr="00A57018">
        <w:rPr>
          <w:color w:val="000000"/>
          <w:sz w:val="26"/>
          <w:szCs w:val="26"/>
        </w:rPr>
        <w:t xml:space="preserve">our guidance in </w:t>
      </w:r>
      <w:r w:rsidR="00C11A60" w:rsidRPr="00A57018">
        <w:rPr>
          <w:color w:val="000000"/>
          <w:sz w:val="26"/>
          <w:szCs w:val="26"/>
        </w:rPr>
        <w:t xml:space="preserve">the </w:t>
      </w:r>
      <w:bookmarkStart w:id="34" w:name="_Hlk58226090"/>
      <w:r w:rsidR="00C11A60" w:rsidRPr="00A57018">
        <w:rPr>
          <w:i/>
          <w:iCs/>
          <w:color w:val="000000"/>
          <w:sz w:val="26"/>
          <w:szCs w:val="26"/>
        </w:rPr>
        <w:t>2019 Final Rulemaking Order</w:t>
      </w:r>
      <w:r w:rsidR="00FA26F5" w:rsidRPr="00A57018">
        <w:rPr>
          <w:color w:val="000000"/>
          <w:sz w:val="26"/>
          <w:szCs w:val="26"/>
        </w:rPr>
        <w:t xml:space="preserve"> </w:t>
      </w:r>
      <w:bookmarkEnd w:id="34"/>
      <w:r w:rsidR="00FA26F5" w:rsidRPr="00A57018">
        <w:rPr>
          <w:color w:val="000000"/>
          <w:sz w:val="26"/>
          <w:szCs w:val="26"/>
        </w:rPr>
        <w:t>that FCC orders would not be binding on the Commission</w:t>
      </w:r>
      <w:r w:rsidR="00C11A60" w:rsidRPr="00A57018">
        <w:rPr>
          <w:color w:val="000000"/>
          <w:sz w:val="26"/>
          <w:szCs w:val="26"/>
        </w:rPr>
        <w:t xml:space="preserve">.  Moreover, considering that the three decisions </w:t>
      </w:r>
      <w:r w:rsidR="00C11A60" w:rsidRPr="00A57018">
        <w:rPr>
          <w:sz w:val="26"/>
          <w:szCs w:val="26"/>
        </w:rPr>
        <w:t xml:space="preserve">upon which FirstEnergy’s argument relies </w:t>
      </w:r>
      <w:r w:rsidR="00FA26F5" w:rsidRPr="00A57018">
        <w:rPr>
          <w:sz w:val="26"/>
          <w:szCs w:val="26"/>
        </w:rPr>
        <w:t>–</w:t>
      </w:r>
      <w:r w:rsidR="00C11A60" w:rsidRPr="00A57018">
        <w:rPr>
          <w:sz w:val="26"/>
          <w:szCs w:val="26"/>
        </w:rPr>
        <w:t xml:space="preserve"> </w:t>
      </w:r>
      <w:r w:rsidR="00C11A60" w:rsidRPr="00A57018">
        <w:rPr>
          <w:i/>
          <w:iCs/>
          <w:sz w:val="26"/>
          <w:szCs w:val="26"/>
        </w:rPr>
        <w:t>FPL 2020 Order</w:t>
      </w:r>
      <w:r w:rsidR="00C11A60" w:rsidRPr="00A57018">
        <w:rPr>
          <w:sz w:val="26"/>
          <w:szCs w:val="26"/>
        </w:rPr>
        <w:t xml:space="preserve">, </w:t>
      </w:r>
      <w:r w:rsidR="00FA26F5" w:rsidRPr="00A57018">
        <w:rPr>
          <w:i/>
          <w:iCs/>
          <w:sz w:val="26"/>
          <w:szCs w:val="26"/>
        </w:rPr>
        <w:t>Dominion Order</w:t>
      </w:r>
      <w:r w:rsidR="00FA26F5" w:rsidRPr="00A57018">
        <w:rPr>
          <w:sz w:val="26"/>
          <w:szCs w:val="26"/>
        </w:rPr>
        <w:t xml:space="preserve">, and </w:t>
      </w:r>
      <w:r w:rsidR="00FA26F5" w:rsidRPr="00A57018">
        <w:rPr>
          <w:i/>
          <w:iCs/>
          <w:sz w:val="26"/>
          <w:szCs w:val="26"/>
        </w:rPr>
        <w:t>FPL 2015 Order</w:t>
      </w:r>
      <w:r w:rsidR="00FA26F5" w:rsidRPr="00A57018">
        <w:rPr>
          <w:sz w:val="26"/>
          <w:szCs w:val="26"/>
        </w:rPr>
        <w:t xml:space="preserve"> – appear to have been </w:t>
      </w:r>
      <w:r w:rsidR="00C11A60" w:rsidRPr="00A57018">
        <w:rPr>
          <w:sz w:val="26"/>
          <w:szCs w:val="26"/>
        </w:rPr>
        <w:t>interim decisions</w:t>
      </w:r>
      <w:r w:rsidR="00FA26F5" w:rsidRPr="00A57018">
        <w:rPr>
          <w:sz w:val="26"/>
          <w:szCs w:val="26"/>
        </w:rPr>
        <w:t xml:space="preserve"> and that the Companies</w:t>
      </w:r>
      <w:r w:rsidR="00490691" w:rsidRPr="00A57018">
        <w:rPr>
          <w:sz w:val="26"/>
          <w:szCs w:val="26"/>
        </w:rPr>
        <w:t xml:space="preserve"> distinguished and discounted the relevance of each of these cases,</w:t>
      </w:r>
      <w:r w:rsidR="00490691" w:rsidRPr="00A57018">
        <w:rPr>
          <w:rStyle w:val="FootnoteReference"/>
          <w:sz w:val="26"/>
          <w:szCs w:val="26"/>
        </w:rPr>
        <w:footnoteReference w:id="21"/>
      </w:r>
      <w:r w:rsidR="00490691" w:rsidRPr="00A57018">
        <w:rPr>
          <w:sz w:val="26"/>
          <w:szCs w:val="26"/>
        </w:rPr>
        <w:t xml:space="preserve"> we find no error in the ALJ’s interpretation </w:t>
      </w:r>
      <w:r w:rsidR="00D3479F">
        <w:rPr>
          <w:sz w:val="26"/>
          <w:szCs w:val="26"/>
        </w:rPr>
        <w:t xml:space="preserve">in </w:t>
      </w:r>
      <w:r w:rsidR="00490691" w:rsidRPr="00A57018">
        <w:rPr>
          <w:sz w:val="26"/>
          <w:szCs w:val="26"/>
        </w:rPr>
        <w:t>Section 1.141</w:t>
      </w:r>
      <w:r w:rsidR="007209DD">
        <w:rPr>
          <w:sz w:val="26"/>
          <w:szCs w:val="26"/>
        </w:rPr>
        <w:t>3</w:t>
      </w:r>
      <w:r w:rsidR="00C11A60" w:rsidRPr="00A57018">
        <w:rPr>
          <w:sz w:val="26"/>
          <w:szCs w:val="26"/>
        </w:rPr>
        <w:t xml:space="preserve">.  </w:t>
      </w:r>
      <w:r w:rsidR="00780C3F" w:rsidRPr="00A57018">
        <w:rPr>
          <w:sz w:val="26"/>
          <w:szCs w:val="26"/>
        </w:rPr>
        <w:t>Accordingly, we shall deny FirstEnergy Exception No. 4.</w:t>
      </w:r>
    </w:p>
    <w:p w14:paraId="402A2041" w14:textId="009BEBBA" w:rsidR="00C97FE5" w:rsidRPr="00A57018" w:rsidRDefault="00C97FE5" w:rsidP="00A57018">
      <w:pPr>
        <w:widowControl/>
        <w:spacing w:line="360" w:lineRule="auto"/>
        <w:rPr>
          <w:color w:val="000000"/>
          <w:sz w:val="26"/>
          <w:szCs w:val="26"/>
        </w:rPr>
      </w:pPr>
    </w:p>
    <w:p w14:paraId="216BCB66" w14:textId="67D9C6FE" w:rsidR="00711CF5" w:rsidRPr="00A57018" w:rsidRDefault="00A93C04" w:rsidP="00A57018">
      <w:pPr>
        <w:widowControl/>
        <w:spacing w:line="360" w:lineRule="auto"/>
        <w:ind w:firstLine="720"/>
        <w:rPr>
          <w:rFonts w:eastAsiaTheme="minorHAnsi"/>
          <w:sz w:val="26"/>
          <w:szCs w:val="26"/>
        </w:rPr>
      </w:pPr>
      <w:r w:rsidRPr="00A57018">
        <w:rPr>
          <w:color w:val="000000"/>
          <w:sz w:val="26"/>
          <w:szCs w:val="26"/>
        </w:rPr>
        <w:lastRenderedPageBreak/>
        <w:tab/>
        <w:t>Upon review, we shall also deny FirstEnergy Exception No. 5</w:t>
      </w:r>
      <w:r w:rsidR="001C2266">
        <w:rPr>
          <w:color w:val="000000"/>
          <w:sz w:val="26"/>
          <w:szCs w:val="26"/>
        </w:rPr>
        <w:t xml:space="preserve"> relating to whether the JUAs were renewed after the effective date </w:t>
      </w:r>
      <w:r w:rsidR="001C2266" w:rsidRPr="00257BB2">
        <w:rPr>
          <w:color w:val="000000"/>
          <w:sz w:val="26"/>
          <w:szCs w:val="26"/>
        </w:rPr>
        <w:t xml:space="preserve">of </w:t>
      </w:r>
      <w:r w:rsidR="001C2266" w:rsidRPr="00257BB2">
        <w:rPr>
          <w:sz w:val="26"/>
          <w:szCs w:val="26"/>
        </w:rPr>
        <w:t>47 C.F.R. § 1.1413</w:t>
      </w:r>
      <w:r w:rsidRPr="00A57018">
        <w:rPr>
          <w:color w:val="000000"/>
          <w:sz w:val="26"/>
          <w:szCs w:val="26"/>
        </w:rPr>
        <w:t xml:space="preserve">.  </w:t>
      </w:r>
      <w:r w:rsidRPr="00A57018">
        <w:rPr>
          <w:rFonts w:eastAsiaTheme="minorHAnsi"/>
          <w:sz w:val="26"/>
          <w:szCs w:val="26"/>
          <w:shd w:val="clear" w:color="auto" w:fill="FFFFFF"/>
        </w:rPr>
        <w:t xml:space="preserve">Under the FCC’s regulations adopted by the Commission, in complaint proceedings challenging pole attachment rates for contracts entered into or renewed after March 11, 2019, there is a rebuttable presumption that an ILEC may be charged no higher than the rate determined in accordance with Section 1.1406(d)(2) of the FCC’s rules.  </w:t>
      </w:r>
      <w:r w:rsidRPr="00A57018">
        <w:rPr>
          <w:rFonts w:eastAsiaTheme="minorHAnsi"/>
          <w:bCs/>
          <w:sz w:val="26"/>
          <w:szCs w:val="26"/>
        </w:rPr>
        <w:t xml:space="preserve">The Recommended Decision determined that </w:t>
      </w:r>
      <w:r w:rsidRPr="00A57018">
        <w:rPr>
          <w:rFonts w:eastAsiaTheme="minorHAnsi"/>
          <w:sz w:val="26"/>
          <w:szCs w:val="26"/>
        </w:rPr>
        <w:t>this rebuttable presumption</w:t>
      </w:r>
      <w:r w:rsidRPr="00A57018">
        <w:rPr>
          <w:rFonts w:eastAsiaTheme="minorHAnsi"/>
          <w:sz w:val="26"/>
          <w:szCs w:val="26"/>
          <w:shd w:val="clear" w:color="auto" w:fill="FFFFFF"/>
        </w:rPr>
        <w:t xml:space="preserve"> </w:t>
      </w:r>
      <w:r w:rsidRPr="00A57018">
        <w:rPr>
          <w:rFonts w:eastAsiaTheme="minorHAnsi"/>
          <w:sz w:val="26"/>
          <w:szCs w:val="26"/>
        </w:rPr>
        <w:t xml:space="preserve">applies to the JUAs in this proceeding.  In making this determination, the ALJ found that initial terms of each agreement have expired and that the JUAs have been automatically extended and will continue as evergreen contracts until terminated.  Thus, the ALJ found that the JUAs were entered into and renewed after the effective date of Section 1.1413(b).  </w:t>
      </w:r>
    </w:p>
    <w:p w14:paraId="638E3E11" w14:textId="77777777" w:rsidR="00711CF5" w:rsidRPr="00A57018" w:rsidRDefault="00711CF5" w:rsidP="00A57018">
      <w:pPr>
        <w:widowControl/>
        <w:spacing w:line="360" w:lineRule="auto"/>
        <w:ind w:firstLine="720"/>
        <w:rPr>
          <w:rFonts w:eastAsiaTheme="minorHAnsi"/>
          <w:sz w:val="26"/>
          <w:szCs w:val="26"/>
        </w:rPr>
      </w:pPr>
    </w:p>
    <w:p w14:paraId="184F8E5E" w14:textId="5F58B747" w:rsidR="00A93C04" w:rsidRPr="001C2266" w:rsidRDefault="001C2266" w:rsidP="00A50334">
      <w:pPr>
        <w:widowControl/>
        <w:spacing w:line="360" w:lineRule="auto"/>
        <w:ind w:firstLine="1440"/>
        <w:rPr>
          <w:rFonts w:eastAsiaTheme="minorHAnsi"/>
          <w:sz w:val="26"/>
          <w:szCs w:val="26"/>
        </w:rPr>
      </w:pPr>
      <w:r w:rsidRPr="00A57018">
        <w:rPr>
          <w:rFonts w:eastAsiaTheme="minorHAnsi"/>
          <w:sz w:val="26"/>
          <w:szCs w:val="26"/>
        </w:rPr>
        <w:t xml:space="preserve">We agree with this disposition.  </w:t>
      </w:r>
      <w:r w:rsidR="00711CF5" w:rsidRPr="00A57018">
        <w:rPr>
          <w:rFonts w:eastAsiaTheme="minorHAnsi"/>
          <w:sz w:val="26"/>
          <w:szCs w:val="26"/>
          <w:shd w:val="clear" w:color="auto" w:fill="FFFFFF"/>
        </w:rPr>
        <w:t>A</w:t>
      </w:r>
      <w:r w:rsidR="00A93C04" w:rsidRPr="00A57018">
        <w:rPr>
          <w:rFonts w:eastAsiaTheme="minorHAnsi"/>
          <w:sz w:val="26"/>
          <w:szCs w:val="26"/>
          <w:shd w:val="clear" w:color="auto" w:fill="FFFFFF"/>
        </w:rPr>
        <w:t xml:space="preserve"> “renewed” contract as that term is used in Section 1.1413(b) of the FCC’s </w:t>
      </w:r>
      <w:r w:rsidR="00711CF5" w:rsidRPr="00A57018">
        <w:rPr>
          <w:rFonts w:eastAsiaTheme="minorHAnsi"/>
          <w:sz w:val="26"/>
          <w:szCs w:val="26"/>
          <w:shd w:val="clear" w:color="auto" w:fill="FFFFFF"/>
        </w:rPr>
        <w:t>regulations</w:t>
      </w:r>
      <w:r w:rsidR="00A93C04" w:rsidRPr="00A57018">
        <w:rPr>
          <w:rFonts w:eastAsiaTheme="minorHAnsi"/>
          <w:sz w:val="26"/>
          <w:szCs w:val="26"/>
          <w:shd w:val="clear" w:color="auto" w:fill="FFFFFF"/>
        </w:rPr>
        <w:t xml:space="preserve"> includes one that is in evergreen status after March 11, 2019.  </w:t>
      </w:r>
      <w:r>
        <w:rPr>
          <w:rFonts w:eastAsiaTheme="minorHAnsi"/>
          <w:sz w:val="26"/>
          <w:szCs w:val="26"/>
        </w:rPr>
        <w:t>Upon review</w:t>
      </w:r>
      <w:r w:rsidR="00A93C04" w:rsidRPr="00A57018">
        <w:rPr>
          <w:rFonts w:eastAsiaTheme="minorHAnsi"/>
          <w:sz w:val="26"/>
          <w:szCs w:val="26"/>
        </w:rPr>
        <w:t>, the ten JUAs in this case are evergreen contracts.</w:t>
      </w:r>
      <w:r w:rsidR="00A93C04" w:rsidRPr="00A57018">
        <w:rPr>
          <w:rFonts w:eastAsiaTheme="minorHAnsi"/>
          <w:sz w:val="26"/>
          <w:szCs w:val="26"/>
          <w:vertAlign w:val="superscript"/>
        </w:rPr>
        <w:footnoteReference w:id="22"/>
      </w:r>
      <w:r w:rsidR="00A93C04" w:rsidRPr="00A57018">
        <w:rPr>
          <w:rFonts w:eastAsiaTheme="minorHAnsi"/>
          <w:sz w:val="26"/>
          <w:szCs w:val="26"/>
        </w:rPr>
        <w:t xml:space="preserve">  As evergreen contracts, they were extended indefinitely upon the expiration of their original 1-year or 5-year terms until terminated by one of the parties, which has not occurred with any of the agreements.</w:t>
      </w:r>
      <w:r w:rsidR="00A93C04" w:rsidRPr="00A57018">
        <w:rPr>
          <w:rFonts w:eastAsiaTheme="minorHAnsi"/>
          <w:sz w:val="26"/>
          <w:szCs w:val="26"/>
          <w:vertAlign w:val="superscript"/>
        </w:rPr>
        <w:footnoteReference w:id="23"/>
      </w:r>
      <w:r w:rsidR="00A93C04" w:rsidRPr="00A57018">
        <w:rPr>
          <w:rFonts w:eastAsiaTheme="minorHAnsi"/>
          <w:sz w:val="26"/>
          <w:szCs w:val="26"/>
        </w:rPr>
        <w:t xml:space="preserve">  Thus, the JUAs were evergreen contracts </w:t>
      </w:r>
      <w:r w:rsidR="00A93C04" w:rsidRPr="00A57018">
        <w:rPr>
          <w:rFonts w:eastAsiaTheme="minorHAnsi"/>
          <w:sz w:val="26"/>
          <w:szCs w:val="26"/>
          <w:shd w:val="clear" w:color="auto" w:fill="FFFFFF"/>
        </w:rPr>
        <w:t>after March 11, 2019, which means that “new telecom rate” presumption applies in this case.</w:t>
      </w:r>
    </w:p>
    <w:p w14:paraId="3F15707C" w14:textId="77777777" w:rsidR="00A93C04" w:rsidRPr="00A57018" w:rsidRDefault="00A93C04" w:rsidP="00A57018">
      <w:pPr>
        <w:widowControl/>
        <w:spacing w:line="360" w:lineRule="auto"/>
        <w:rPr>
          <w:rFonts w:eastAsiaTheme="minorHAnsi"/>
          <w:sz w:val="26"/>
          <w:szCs w:val="26"/>
          <w:shd w:val="clear" w:color="auto" w:fill="FFFFFF"/>
        </w:rPr>
      </w:pPr>
    </w:p>
    <w:p w14:paraId="348911B3" w14:textId="697C0EBC" w:rsidR="00A93C04" w:rsidRPr="00A57018" w:rsidRDefault="00A93C04" w:rsidP="00A57018">
      <w:pPr>
        <w:widowControl/>
        <w:spacing w:line="360" w:lineRule="auto"/>
        <w:ind w:firstLine="1440"/>
        <w:rPr>
          <w:rFonts w:eastAsiaTheme="minorHAnsi"/>
          <w:sz w:val="26"/>
          <w:szCs w:val="26"/>
        </w:rPr>
      </w:pPr>
      <w:r w:rsidRPr="00A57018">
        <w:rPr>
          <w:rFonts w:eastAsiaTheme="minorHAnsi"/>
          <w:sz w:val="26"/>
          <w:szCs w:val="26"/>
        </w:rPr>
        <w:t xml:space="preserve">Our disposition is consistent with applicable state and federal law.  The proposed resolution of this issue is consistent with the Commission’s authority under </w:t>
      </w:r>
      <w:r w:rsidRPr="00A57018">
        <w:rPr>
          <w:rFonts w:eastAsiaTheme="minorHAnsi"/>
          <w:sz w:val="26"/>
          <w:szCs w:val="26"/>
        </w:rPr>
        <w:lastRenderedPageBreak/>
        <w:t xml:space="preserve">Section 508 of the Code and with Commission precedent on evergreen contracts; namely, the </w:t>
      </w:r>
      <w:r w:rsidRPr="00A57018">
        <w:rPr>
          <w:rFonts w:eastAsiaTheme="minorHAnsi"/>
          <w:i/>
          <w:iCs/>
          <w:sz w:val="26"/>
          <w:szCs w:val="26"/>
        </w:rPr>
        <w:t xml:space="preserve">DEBM </w:t>
      </w:r>
      <w:r w:rsidRPr="00A57018">
        <w:rPr>
          <w:rFonts w:eastAsiaTheme="minorHAnsi"/>
          <w:sz w:val="26"/>
          <w:szCs w:val="26"/>
        </w:rPr>
        <w:t xml:space="preserve">decision in which the Commission concluded </w:t>
      </w:r>
      <w:r w:rsidRPr="00A57018">
        <w:rPr>
          <w:sz w:val="26"/>
          <w:szCs w:val="26"/>
        </w:rPr>
        <w:t>that contracts continuing or extending indefinitely until one of the parties terminated the agreement were evergreen contracts.  Finally, the proposed resolution of this issue is consistent with</w:t>
      </w:r>
      <w:r w:rsidRPr="00A57018">
        <w:rPr>
          <w:rFonts w:eastAsiaTheme="minorHAnsi"/>
          <w:sz w:val="26"/>
          <w:szCs w:val="26"/>
        </w:rPr>
        <w:t xml:space="preserve"> federal law, including relevant FCC precedent that treats evergreen contracts as renewed contracts under Section 1.1413(b) of the FCC’s rules, which triggers the application of the rebuttable presumption in favor of new, lower pole attachment rates.</w:t>
      </w:r>
      <w:r w:rsidRPr="00A57018">
        <w:rPr>
          <w:rFonts w:eastAsiaTheme="minorHAnsi"/>
          <w:sz w:val="26"/>
          <w:szCs w:val="26"/>
          <w:shd w:val="clear" w:color="auto" w:fill="FFFFFF"/>
          <w:vertAlign w:val="superscript"/>
        </w:rPr>
        <w:footnoteReference w:id="24"/>
      </w:r>
    </w:p>
    <w:p w14:paraId="0EEF33D1" w14:textId="09A38523" w:rsidR="00F048A1" w:rsidRPr="00A57018" w:rsidRDefault="00F048A1" w:rsidP="00A57018">
      <w:pPr>
        <w:widowControl/>
        <w:spacing w:line="360" w:lineRule="auto"/>
        <w:ind w:firstLine="1440"/>
        <w:rPr>
          <w:rFonts w:eastAsiaTheme="minorHAnsi"/>
          <w:sz w:val="26"/>
          <w:szCs w:val="26"/>
        </w:rPr>
      </w:pPr>
    </w:p>
    <w:p w14:paraId="31C5C4FF" w14:textId="6EC253FD" w:rsidR="00F048A1" w:rsidRPr="00A57018" w:rsidRDefault="00F048A1" w:rsidP="00A57018">
      <w:pPr>
        <w:widowControl/>
        <w:spacing w:line="360" w:lineRule="auto"/>
        <w:ind w:firstLine="1440"/>
        <w:rPr>
          <w:rFonts w:eastAsiaTheme="minorHAnsi"/>
          <w:sz w:val="26"/>
          <w:szCs w:val="26"/>
        </w:rPr>
      </w:pPr>
      <w:r w:rsidRPr="00A57018">
        <w:rPr>
          <w:rFonts w:eastAsiaTheme="minorHAnsi"/>
          <w:sz w:val="26"/>
          <w:szCs w:val="26"/>
        </w:rPr>
        <w:t>Regarding FirstEnergy Exception No. 6</w:t>
      </w:r>
      <w:r w:rsidR="00B46369">
        <w:rPr>
          <w:rFonts w:eastAsiaTheme="minorHAnsi"/>
          <w:sz w:val="26"/>
          <w:szCs w:val="26"/>
        </w:rPr>
        <w:t xml:space="preserve"> relating to whether Verizon receives material advantages under the JUAs</w:t>
      </w:r>
      <w:r w:rsidRPr="00A57018">
        <w:rPr>
          <w:rFonts w:eastAsiaTheme="minorHAnsi"/>
          <w:sz w:val="26"/>
          <w:szCs w:val="26"/>
        </w:rPr>
        <w:t>, we agree with the ALJ’s finding that the Companies failed to rebut the presumption under Section 1.1413(b) of the FCC regulations.  Specifically, the Recommended Decision determined that based on the record evidence, FirstEnergy has failed to show Verizon receives benefits under the JUAs that materially advantage it over other entities providing telecommunications services on the same poles.  Thus, the ALJ concluded that FirstEnergy has failed to rebut the presumption that Verizon is entitled to the new pole attachment rates.</w:t>
      </w:r>
    </w:p>
    <w:p w14:paraId="0B233A70" w14:textId="77777777" w:rsidR="00F048A1" w:rsidRPr="00A57018" w:rsidRDefault="00F048A1" w:rsidP="00A57018">
      <w:pPr>
        <w:widowControl/>
        <w:spacing w:line="360" w:lineRule="auto"/>
        <w:ind w:firstLine="720"/>
        <w:rPr>
          <w:rFonts w:eastAsiaTheme="minorHAnsi"/>
          <w:sz w:val="26"/>
          <w:szCs w:val="26"/>
        </w:rPr>
      </w:pPr>
    </w:p>
    <w:p w14:paraId="34097A03" w14:textId="18AF227D" w:rsidR="004C0FEB" w:rsidRPr="00A57018" w:rsidRDefault="00F048A1" w:rsidP="00A57018">
      <w:pPr>
        <w:widowControl/>
        <w:spacing w:line="360" w:lineRule="auto"/>
        <w:ind w:firstLine="1440"/>
        <w:rPr>
          <w:rFonts w:eastAsiaTheme="minorHAnsi"/>
          <w:sz w:val="26"/>
          <w:szCs w:val="26"/>
        </w:rPr>
      </w:pPr>
      <w:r w:rsidRPr="00A57018">
        <w:rPr>
          <w:rFonts w:eastAsiaTheme="minorHAnsi"/>
          <w:sz w:val="26"/>
          <w:szCs w:val="26"/>
        </w:rPr>
        <w:t xml:space="preserve">Based on the record evidence in this case, we agree that FirstEnergy failed to rebut the presumption </w:t>
      </w:r>
      <w:r w:rsidR="00335968" w:rsidRPr="00A57018">
        <w:rPr>
          <w:rFonts w:eastAsiaTheme="minorHAnsi"/>
          <w:sz w:val="26"/>
          <w:szCs w:val="26"/>
        </w:rPr>
        <w:t xml:space="preserve">that </w:t>
      </w:r>
      <w:r w:rsidRPr="00A57018">
        <w:rPr>
          <w:rFonts w:eastAsiaTheme="minorHAnsi"/>
          <w:sz w:val="26"/>
          <w:szCs w:val="26"/>
        </w:rPr>
        <w:t xml:space="preserve">Verizon is entitled to the new, lower pole attachment rates.  </w:t>
      </w:r>
      <w:r w:rsidR="000F0D7D" w:rsidRPr="00A57018">
        <w:rPr>
          <w:rFonts w:eastAsiaTheme="minorHAnsi"/>
          <w:sz w:val="26"/>
          <w:szCs w:val="26"/>
        </w:rPr>
        <w:t xml:space="preserve">Here, Verizon established that the new telecom rate is the just and reasonable competitively neutral rate because FirstEnergy does not provide Verizon a net neutral advantage under the JUAs as compared to the terms and conditions it provides Verizon’s competitors.  The ALJ determined, and we agree, that the JUAs are comparable to </w:t>
      </w:r>
      <w:r w:rsidR="000F0D7D" w:rsidRPr="00A57018">
        <w:rPr>
          <w:rFonts w:eastAsiaTheme="minorHAnsi"/>
          <w:sz w:val="26"/>
          <w:szCs w:val="26"/>
        </w:rPr>
        <w:lastRenderedPageBreak/>
        <w:t xml:space="preserve">FirstEnergy’s </w:t>
      </w:r>
      <w:r w:rsidR="004C0FEB" w:rsidRPr="00A57018">
        <w:rPr>
          <w:rFonts w:eastAsiaTheme="minorHAnsi"/>
          <w:sz w:val="26"/>
          <w:szCs w:val="26"/>
        </w:rPr>
        <w:t>license agreements with Verizon’s competitors because Verizon, like its competitors, must bear the costs associated with placing, maintaining, rearranging, transferring, and removing its attachments; make a written application for space on FirstEnergy’s poles; comply with FirstEnergy’s construction specifications; and accommodate third parties attached to FirstEnergy’s poles.  See R.D. at 9</w:t>
      </w:r>
      <w:r w:rsidR="00D87939" w:rsidRPr="00A57018">
        <w:rPr>
          <w:rFonts w:eastAsiaTheme="minorHAnsi"/>
          <w:sz w:val="26"/>
          <w:szCs w:val="26"/>
        </w:rPr>
        <w:t xml:space="preserve"> </w:t>
      </w:r>
      <w:r w:rsidR="004C0FEB" w:rsidRPr="00A57018">
        <w:rPr>
          <w:rFonts w:eastAsiaTheme="minorHAnsi"/>
          <w:sz w:val="26"/>
          <w:szCs w:val="26"/>
        </w:rPr>
        <w:t>(citing Verizon St. No. 1.0, Exh</w:t>
      </w:r>
      <w:r w:rsidR="00D87939" w:rsidRPr="00A57018">
        <w:rPr>
          <w:rFonts w:eastAsiaTheme="minorHAnsi"/>
          <w:sz w:val="26"/>
          <w:szCs w:val="26"/>
        </w:rPr>
        <w:t>s.</w:t>
      </w:r>
      <w:r w:rsidR="004C0FEB" w:rsidRPr="00A57018">
        <w:rPr>
          <w:rFonts w:eastAsiaTheme="minorHAnsi"/>
          <w:sz w:val="26"/>
          <w:szCs w:val="26"/>
        </w:rPr>
        <w:t xml:space="preserve"> </w:t>
      </w:r>
      <w:r w:rsidR="00D87939" w:rsidRPr="00A57018">
        <w:rPr>
          <w:rFonts w:eastAsiaTheme="minorHAnsi"/>
          <w:sz w:val="26"/>
          <w:szCs w:val="26"/>
        </w:rPr>
        <w:t xml:space="preserve">SCM-1 and </w:t>
      </w:r>
      <w:r w:rsidR="004C0FEB" w:rsidRPr="00A57018">
        <w:rPr>
          <w:rFonts w:eastAsiaTheme="minorHAnsi"/>
          <w:sz w:val="26"/>
          <w:szCs w:val="26"/>
        </w:rPr>
        <w:t xml:space="preserve">SCM-2).  </w:t>
      </w:r>
    </w:p>
    <w:p w14:paraId="023E4CF0" w14:textId="2B1A3847" w:rsidR="00D87939" w:rsidRPr="00A57018" w:rsidRDefault="00D87939" w:rsidP="00A57018">
      <w:pPr>
        <w:widowControl/>
        <w:spacing w:line="360" w:lineRule="auto"/>
        <w:ind w:firstLine="1440"/>
        <w:rPr>
          <w:rFonts w:eastAsiaTheme="minorHAnsi"/>
          <w:sz w:val="26"/>
          <w:szCs w:val="26"/>
        </w:rPr>
      </w:pPr>
    </w:p>
    <w:p w14:paraId="27EDD244" w14:textId="01F0CB61" w:rsidR="00D87939" w:rsidRPr="00A57018" w:rsidRDefault="00D87939" w:rsidP="00A57018">
      <w:pPr>
        <w:widowControl/>
        <w:spacing w:line="360" w:lineRule="auto"/>
        <w:ind w:firstLine="1440"/>
        <w:rPr>
          <w:rFonts w:eastAsiaTheme="minorHAnsi"/>
          <w:sz w:val="26"/>
          <w:szCs w:val="26"/>
        </w:rPr>
      </w:pPr>
      <w:r w:rsidRPr="00A57018">
        <w:rPr>
          <w:rFonts w:eastAsiaTheme="minorHAnsi"/>
          <w:sz w:val="26"/>
          <w:szCs w:val="26"/>
        </w:rPr>
        <w:t xml:space="preserve">Furthermore, the ALJ appropriately considered </w:t>
      </w:r>
      <w:r w:rsidR="00151A14" w:rsidRPr="00A57018">
        <w:rPr>
          <w:rFonts w:eastAsiaTheme="minorHAnsi"/>
          <w:sz w:val="26"/>
          <w:szCs w:val="26"/>
        </w:rPr>
        <w:t>the advantages and disadvantages advanced by the Parties, but concluded that, overall, the material advantages proffered by FirstEnergy, are outweighed by the disadvantages</w:t>
      </w:r>
      <w:r w:rsidR="00F0613F" w:rsidRPr="00A57018">
        <w:rPr>
          <w:rFonts w:eastAsiaTheme="minorHAnsi"/>
          <w:sz w:val="26"/>
          <w:szCs w:val="26"/>
        </w:rPr>
        <w:t xml:space="preserve"> experienced by Verizon</w:t>
      </w:r>
      <w:r w:rsidR="00151A14" w:rsidRPr="00A57018">
        <w:rPr>
          <w:rFonts w:eastAsiaTheme="minorHAnsi"/>
          <w:sz w:val="26"/>
          <w:szCs w:val="26"/>
        </w:rPr>
        <w:t xml:space="preserve">.  For example, the ALJ rejected FirstEnergy’s argument that Verizon is materially advantaged because Verizon can overlash its existing facilities to reach new customers.  The ALJ reasoned that any benefit received for overlashing is a result of Verizon placing its original facilities on the poles in the first place.  </w:t>
      </w:r>
      <w:r w:rsidR="00A15EEB" w:rsidRPr="00A57018">
        <w:rPr>
          <w:rFonts w:eastAsiaTheme="minorHAnsi"/>
          <w:sz w:val="26"/>
          <w:szCs w:val="26"/>
        </w:rPr>
        <w:t xml:space="preserve">The ALJ explained that </w:t>
      </w:r>
      <w:r w:rsidR="00151A14" w:rsidRPr="00A57018">
        <w:rPr>
          <w:rFonts w:eastAsiaTheme="minorHAnsi"/>
          <w:sz w:val="26"/>
          <w:szCs w:val="26"/>
        </w:rPr>
        <w:t xml:space="preserve">Verizon’s actions </w:t>
      </w:r>
      <w:r w:rsidR="00BC35BA" w:rsidRPr="00A57018">
        <w:rPr>
          <w:rFonts w:eastAsiaTheme="minorHAnsi"/>
          <w:sz w:val="26"/>
          <w:szCs w:val="26"/>
        </w:rPr>
        <w:t xml:space="preserve">in this regard </w:t>
      </w:r>
      <w:r w:rsidR="00151A14" w:rsidRPr="00A57018">
        <w:rPr>
          <w:rFonts w:eastAsiaTheme="minorHAnsi"/>
          <w:sz w:val="26"/>
          <w:szCs w:val="26"/>
        </w:rPr>
        <w:t xml:space="preserve">should not prevent it </w:t>
      </w:r>
      <w:r w:rsidR="00A15EEB" w:rsidRPr="00A57018">
        <w:rPr>
          <w:rFonts w:eastAsiaTheme="minorHAnsi"/>
          <w:sz w:val="26"/>
          <w:szCs w:val="26"/>
        </w:rPr>
        <w:t xml:space="preserve">from obtaining the new telecom rate; rather Verizon should be commended </w:t>
      </w:r>
      <w:r w:rsidR="00F820A3" w:rsidRPr="00A57018">
        <w:rPr>
          <w:rFonts w:eastAsiaTheme="minorHAnsi"/>
          <w:sz w:val="26"/>
          <w:szCs w:val="26"/>
        </w:rPr>
        <w:t xml:space="preserve">for </w:t>
      </w:r>
      <w:r w:rsidR="00A15EEB" w:rsidRPr="00A57018">
        <w:rPr>
          <w:rFonts w:eastAsiaTheme="minorHAnsi"/>
          <w:sz w:val="26"/>
          <w:szCs w:val="26"/>
        </w:rPr>
        <w:t xml:space="preserve">utilizing its existing facilities to benefit existing customers by overlashing.  Additionally, the ALJ found </w:t>
      </w:r>
      <w:r w:rsidR="00F820A3" w:rsidRPr="00A57018">
        <w:rPr>
          <w:rFonts w:eastAsiaTheme="minorHAnsi"/>
          <w:sz w:val="26"/>
          <w:szCs w:val="26"/>
        </w:rPr>
        <w:t xml:space="preserve">FirstEnergy’s claim that Verizon can simply “notify and attach” to FirstEnergy’s poles as being insufficient to rebut Verizon’s presumption to receiving the new telecom rate.  </w:t>
      </w:r>
      <w:r w:rsidR="00335968" w:rsidRPr="00A57018">
        <w:rPr>
          <w:rFonts w:eastAsiaTheme="minorHAnsi"/>
          <w:sz w:val="26"/>
          <w:szCs w:val="26"/>
        </w:rPr>
        <w:t>The</w:t>
      </w:r>
      <w:r w:rsidR="00D035DC" w:rsidRPr="00A57018">
        <w:rPr>
          <w:rFonts w:eastAsiaTheme="minorHAnsi"/>
          <w:sz w:val="26"/>
          <w:szCs w:val="26"/>
        </w:rPr>
        <w:t xml:space="preserve"> ALJ </w:t>
      </w:r>
      <w:r w:rsidR="00335968" w:rsidRPr="00A57018">
        <w:rPr>
          <w:rFonts w:eastAsiaTheme="minorHAnsi"/>
          <w:sz w:val="26"/>
          <w:szCs w:val="26"/>
        </w:rPr>
        <w:t xml:space="preserve">also </w:t>
      </w:r>
      <w:r w:rsidR="00D035DC" w:rsidRPr="00A57018">
        <w:rPr>
          <w:rFonts w:eastAsiaTheme="minorHAnsi"/>
          <w:sz w:val="26"/>
          <w:szCs w:val="26"/>
        </w:rPr>
        <w:t xml:space="preserve">correctly reasoned that the field audit costs that Verizon forgoes in relation to its competitors, citing the per pole yearly cost, fails to overcome the presumption under Section 1.1413.  </w:t>
      </w:r>
      <w:r w:rsidR="00335968" w:rsidRPr="00A57018">
        <w:rPr>
          <w:rFonts w:eastAsiaTheme="minorHAnsi"/>
          <w:sz w:val="26"/>
          <w:szCs w:val="26"/>
        </w:rPr>
        <w:t>Moreover, t</w:t>
      </w:r>
      <w:r w:rsidR="00D035DC" w:rsidRPr="00A57018">
        <w:rPr>
          <w:rFonts w:eastAsiaTheme="minorHAnsi"/>
          <w:sz w:val="26"/>
          <w:szCs w:val="26"/>
        </w:rPr>
        <w:t xml:space="preserve">he ALJ discounted the purported material advantage related to FirstEnergy’s vegetation management program.  Explaining that vegetation management around poles and wires benefits all attachers, the ALJ logically explained that such a program cannot be considered as a material advantage to one particular attacher.  </w:t>
      </w:r>
      <w:r w:rsidR="00F820A3" w:rsidRPr="00A57018">
        <w:rPr>
          <w:rFonts w:eastAsiaTheme="minorHAnsi"/>
          <w:sz w:val="26"/>
          <w:szCs w:val="26"/>
        </w:rPr>
        <w:t>R.D. at 44</w:t>
      </w:r>
      <w:r w:rsidR="00D035DC" w:rsidRPr="00A57018">
        <w:rPr>
          <w:rFonts w:eastAsiaTheme="minorHAnsi"/>
          <w:sz w:val="26"/>
          <w:szCs w:val="26"/>
        </w:rPr>
        <w:t>-45</w:t>
      </w:r>
      <w:r w:rsidR="00F820A3" w:rsidRPr="00A57018">
        <w:rPr>
          <w:rFonts w:eastAsiaTheme="minorHAnsi"/>
          <w:sz w:val="26"/>
          <w:szCs w:val="26"/>
        </w:rPr>
        <w:t xml:space="preserve">.  </w:t>
      </w:r>
    </w:p>
    <w:p w14:paraId="6F21BFB8" w14:textId="7CC4DC58" w:rsidR="00151A14" w:rsidRPr="00A57018" w:rsidRDefault="00151A14" w:rsidP="00A57018">
      <w:pPr>
        <w:widowControl/>
        <w:spacing w:line="360" w:lineRule="auto"/>
        <w:ind w:firstLine="1440"/>
        <w:rPr>
          <w:rFonts w:eastAsiaTheme="minorHAnsi"/>
          <w:sz w:val="26"/>
          <w:szCs w:val="26"/>
        </w:rPr>
      </w:pPr>
    </w:p>
    <w:p w14:paraId="018B460E" w14:textId="12A45FE0" w:rsidR="007C1585" w:rsidRPr="00A57018" w:rsidRDefault="007C1585" w:rsidP="00A57018">
      <w:pPr>
        <w:widowControl/>
        <w:spacing w:line="360" w:lineRule="auto"/>
        <w:ind w:firstLine="1440"/>
        <w:rPr>
          <w:rFonts w:eastAsiaTheme="minorHAnsi"/>
          <w:sz w:val="26"/>
          <w:szCs w:val="26"/>
        </w:rPr>
      </w:pPr>
      <w:r w:rsidRPr="00A57018">
        <w:rPr>
          <w:rFonts w:eastAsiaTheme="minorHAnsi"/>
          <w:sz w:val="26"/>
          <w:szCs w:val="26"/>
        </w:rPr>
        <w:t>Furthermore, t</w:t>
      </w:r>
      <w:r w:rsidR="00382A2A" w:rsidRPr="00A57018">
        <w:rPr>
          <w:rFonts w:eastAsiaTheme="minorHAnsi"/>
          <w:sz w:val="26"/>
          <w:szCs w:val="26"/>
        </w:rPr>
        <w:t xml:space="preserve">he ALJ </w:t>
      </w:r>
      <w:r w:rsidR="0095746F" w:rsidRPr="00A57018">
        <w:rPr>
          <w:rFonts w:eastAsiaTheme="minorHAnsi"/>
          <w:sz w:val="26"/>
          <w:szCs w:val="26"/>
        </w:rPr>
        <w:t xml:space="preserve">emphasized the disadvantages Verizon experiences as a result of the existing JUAs.  </w:t>
      </w:r>
    </w:p>
    <w:p w14:paraId="631AABC5" w14:textId="77777777" w:rsidR="007C1585" w:rsidRPr="00A57018" w:rsidRDefault="007C1585" w:rsidP="00292854">
      <w:pPr>
        <w:widowControl/>
        <w:ind w:firstLine="1440"/>
        <w:rPr>
          <w:rFonts w:eastAsiaTheme="minorHAnsi"/>
          <w:sz w:val="26"/>
          <w:szCs w:val="26"/>
        </w:rPr>
      </w:pPr>
    </w:p>
    <w:p w14:paraId="5CF1BD9A" w14:textId="100B67F6" w:rsidR="007C1585" w:rsidRPr="00A57018" w:rsidRDefault="007C1585" w:rsidP="00A57018">
      <w:pPr>
        <w:widowControl/>
        <w:ind w:left="1440" w:right="1440"/>
        <w:rPr>
          <w:rFonts w:eastAsiaTheme="minorHAnsi"/>
          <w:sz w:val="26"/>
          <w:szCs w:val="26"/>
        </w:rPr>
      </w:pPr>
      <w:r w:rsidRPr="00A57018">
        <w:rPr>
          <w:rFonts w:eastAsiaTheme="minorHAnsi"/>
          <w:sz w:val="26"/>
          <w:szCs w:val="26"/>
        </w:rPr>
        <w:lastRenderedPageBreak/>
        <w:t xml:space="preserve">The [JUAs] disadvantage Verizon as compared to its competitors because, among other things, unlike its competitors, Verizon must </w:t>
      </w:r>
      <w:r w:rsidR="009452DD" w:rsidRPr="00A57018">
        <w:rPr>
          <w:rFonts w:eastAsiaTheme="minorHAnsi"/>
          <w:sz w:val="26"/>
          <w:szCs w:val="26"/>
        </w:rPr>
        <w:t>“</w:t>
      </w:r>
      <w:r w:rsidRPr="00A57018">
        <w:rPr>
          <w:rFonts w:eastAsiaTheme="minorHAnsi"/>
          <w:sz w:val="26"/>
          <w:szCs w:val="26"/>
        </w:rPr>
        <w:t>at its sole expense</w:t>
      </w:r>
      <w:r w:rsidR="009452DD" w:rsidRPr="00A57018">
        <w:rPr>
          <w:rFonts w:eastAsiaTheme="minorHAnsi"/>
          <w:sz w:val="26"/>
          <w:szCs w:val="26"/>
        </w:rPr>
        <w:t>”</w:t>
      </w:r>
      <w:r w:rsidRPr="00A57018">
        <w:rPr>
          <w:rFonts w:eastAsiaTheme="minorHAnsi"/>
          <w:sz w:val="26"/>
          <w:szCs w:val="26"/>
        </w:rPr>
        <w:t xml:space="preserve"> determine the condition of more than 110,000 joint use poles that it owns and shares with FirstEnergy, keep them </w:t>
      </w:r>
      <w:r w:rsidR="009452DD" w:rsidRPr="00A57018">
        <w:rPr>
          <w:rFonts w:eastAsiaTheme="minorHAnsi"/>
          <w:sz w:val="26"/>
          <w:szCs w:val="26"/>
        </w:rPr>
        <w:t>“</w:t>
      </w:r>
      <w:r w:rsidRPr="00A57018">
        <w:rPr>
          <w:rFonts w:eastAsiaTheme="minorHAnsi"/>
          <w:sz w:val="26"/>
          <w:szCs w:val="26"/>
        </w:rPr>
        <w:t>in a safe and serviceable condition,</w:t>
      </w:r>
      <w:r w:rsidR="009452DD" w:rsidRPr="00A57018">
        <w:rPr>
          <w:rFonts w:eastAsiaTheme="minorHAnsi"/>
          <w:sz w:val="26"/>
          <w:szCs w:val="26"/>
        </w:rPr>
        <w:t>”</w:t>
      </w:r>
      <w:r w:rsidRPr="00A57018">
        <w:rPr>
          <w:rFonts w:eastAsiaTheme="minorHAnsi"/>
          <w:sz w:val="26"/>
          <w:szCs w:val="26"/>
        </w:rPr>
        <w:t xml:space="preserve"> and replace or repair its poles as they become defective. </w:t>
      </w:r>
    </w:p>
    <w:p w14:paraId="4320DEA8" w14:textId="77777777" w:rsidR="007C1585" w:rsidRPr="00A57018" w:rsidRDefault="007C1585" w:rsidP="00A57018">
      <w:pPr>
        <w:widowControl/>
        <w:spacing w:line="360" w:lineRule="auto"/>
        <w:ind w:firstLine="1440"/>
        <w:rPr>
          <w:rFonts w:eastAsiaTheme="minorHAnsi"/>
          <w:sz w:val="26"/>
          <w:szCs w:val="26"/>
        </w:rPr>
      </w:pPr>
    </w:p>
    <w:p w14:paraId="1FFB1754" w14:textId="39CF6AA4" w:rsidR="007C1585" w:rsidRPr="00A57018" w:rsidRDefault="007C1585" w:rsidP="00A57018">
      <w:pPr>
        <w:widowControl/>
        <w:spacing w:line="360" w:lineRule="auto"/>
        <w:rPr>
          <w:rFonts w:eastAsiaTheme="minorHAnsi"/>
          <w:sz w:val="26"/>
          <w:szCs w:val="26"/>
        </w:rPr>
      </w:pPr>
      <w:r w:rsidRPr="00A57018">
        <w:rPr>
          <w:rFonts w:eastAsiaTheme="minorHAnsi"/>
          <w:sz w:val="26"/>
          <w:szCs w:val="26"/>
        </w:rPr>
        <w:t xml:space="preserve">R.D. at 10 (citing Verizon St. No. 1.0, Exh. SCM-1).  </w:t>
      </w:r>
    </w:p>
    <w:p w14:paraId="00055F73" w14:textId="692B7061" w:rsidR="0095746F" w:rsidRPr="00A57018" w:rsidRDefault="0095746F" w:rsidP="00A57018">
      <w:pPr>
        <w:widowControl/>
        <w:spacing w:line="360" w:lineRule="auto"/>
        <w:ind w:firstLine="1440"/>
        <w:rPr>
          <w:rFonts w:eastAsiaTheme="minorHAnsi"/>
          <w:sz w:val="26"/>
          <w:szCs w:val="26"/>
        </w:rPr>
      </w:pPr>
    </w:p>
    <w:p w14:paraId="42831C85" w14:textId="5765BDF6" w:rsidR="0095746F" w:rsidRDefault="00B869FA" w:rsidP="00A57018">
      <w:pPr>
        <w:widowControl/>
        <w:spacing w:line="360" w:lineRule="auto"/>
        <w:ind w:firstLine="1440"/>
        <w:rPr>
          <w:rFonts w:eastAsiaTheme="minorHAnsi"/>
          <w:sz w:val="26"/>
          <w:szCs w:val="26"/>
        </w:rPr>
      </w:pPr>
      <w:r w:rsidRPr="00A57018">
        <w:rPr>
          <w:rFonts w:eastAsiaTheme="minorHAnsi"/>
          <w:sz w:val="26"/>
          <w:szCs w:val="26"/>
        </w:rPr>
        <w:t xml:space="preserve">In addition to the well-reasoned analysis by the ALJ, we note that Verizon has set forth sufficient evidence to show that FirstEnergy does not provide Verizon a material net advantage under the JUAs.  For example, Verizon presented evidence that it does not incur fewer make-ready costs than its competitors and lacks any competitive advantage with respect to application fees because FirstEnergy does not charge application fees to Verizon or other attachers.  </w:t>
      </w:r>
      <w:r w:rsidRPr="00A57018">
        <w:rPr>
          <w:rFonts w:eastAsiaTheme="minorHAnsi"/>
          <w:i/>
          <w:sz w:val="26"/>
          <w:szCs w:val="26"/>
        </w:rPr>
        <w:t>See</w:t>
      </w:r>
      <w:r w:rsidRPr="00A57018">
        <w:rPr>
          <w:rFonts w:eastAsiaTheme="minorHAnsi"/>
          <w:sz w:val="26"/>
          <w:szCs w:val="26"/>
        </w:rPr>
        <w:t xml:space="preserve"> Verizon R.B. at 21</w:t>
      </w:r>
      <w:r w:rsidR="00C26F8E" w:rsidRPr="00A57018">
        <w:rPr>
          <w:rFonts w:eastAsiaTheme="minorHAnsi"/>
          <w:sz w:val="26"/>
          <w:szCs w:val="26"/>
        </w:rPr>
        <w:t>-22</w:t>
      </w:r>
      <w:r w:rsidRPr="00A57018">
        <w:rPr>
          <w:rFonts w:eastAsiaTheme="minorHAnsi"/>
          <w:sz w:val="26"/>
          <w:szCs w:val="26"/>
        </w:rPr>
        <w:t>, 25</w:t>
      </w:r>
      <w:r w:rsidR="00D958A5" w:rsidRPr="00A57018">
        <w:rPr>
          <w:rFonts w:eastAsiaTheme="minorHAnsi"/>
          <w:sz w:val="26"/>
          <w:szCs w:val="26"/>
        </w:rPr>
        <w:t>.</w:t>
      </w:r>
      <w:r w:rsidR="007D26B4" w:rsidRPr="00A57018">
        <w:rPr>
          <w:rStyle w:val="FootnoteReference"/>
          <w:rFonts w:eastAsiaTheme="minorHAnsi"/>
          <w:sz w:val="26"/>
          <w:szCs w:val="26"/>
        </w:rPr>
        <w:footnoteReference w:id="25"/>
      </w:r>
      <w:r w:rsidR="004502B3" w:rsidRPr="00A57018">
        <w:rPr>
          <w:rFonts w:eastAsiaTheme="minorHAnsi"/>
          <w:sz w:val="26"/>
          <w:szCs w:val="26"/>
        </w:rPr>
        <w:t xml:space="preserve">  </w:t>
      </w:r>
      <w:r w:rsidR="00301F6C" w:rsidRPr="00A57018">
        <w:rPr>
          <w:rFonts w:eastAsiaTheme="minorHAnsi"/>
          <w:sz w:val="26"/>
          <w:szCs w:val="26"/>
        </w:rPr>
        <w:t xml:space="preserve">Verizon also provided evidence that the location of Verizon’s facilities on the Companies’ poles does not provide a competitive advantage, highlighting instead the various disadvantages such as exposure to more damage from oversized vehicles, </w:t>
      </w:r>
      <w:proofErr w:type="gramStart"/>
      <w:r w:rsidR="00301F6C" w:rsidRPr="00A57018">
        <w:rPr>
          <w:rFonts w:eastAsiaTheme="minorHAnsi"/>
          <w:sz w:val="26"/>
          <w:szCs w:val="26"/>
        </w:rPr>
        <w:t>vandalism</w:t>
      </w:r>
      <w:proofErr w:type="gramEnd"/>
      <w:r w:rsidR="00301F6C" w:rsidRPr="00A57018">
        <w:rPr>
          <w:rFonts w:eastAsiaTheme="minorHAnsi"/>
          <w:sz w:val="26"/>
          <w:szCs w:val="26"/>
        </w:rPr>
        <w:t xml:space="preserve"> and similar hazards.  </w:t>
      </w:r>
      <w:r w:rsidR="00301F6C" w:rsidRPr="00A57018">
        <w:rPr>
          <w:rFonts w:eastAsiaTheme="minorHAnsi"/>
          <w:i/>
          <w:sz w:val="26"/>
          <w:szCs w:val="26"/>
        </w:rPr>
        <w:t>See</w:t>
      </w:r>
      <w:r w:rsidR="00301F6C" w:rsidRPr="00A57018">
        <w:rPr>
          <w:rFonts w:eastAsiaTheme="minorHAnsi"/>
          <w:sz w:val="26"/>
          <w:szCs w:val="26"/>
        </w:rPr>
        <w:t xml:space="preserve"> Verizon M.B. at 50-51.</w:t>
      </w:r>
      <w:r w:rsidR="00934B26" w:rsidRPr="00A57018">
        <w:rPr>
          <w:rStyle w:val="FootnoteReference"/>
          <w:rFonts w:eastAsiaTheme="minorHAnsi"/>
          <w:sz w:val="26"/>
          <w:szCs w:val="26"/>
        </w:rPr>
        <w:footnoteReference w:id="26"/>
      </w:r>
      <w:r w:rsidR="00301F6C" w:rsidRPr="00A57018">
        <w:rPr>
          <w:rFonts w:eastAsiaTheme="minorHAnsi"/>
          <w:sz w:val="26"/>
          <w:szCs w:val="26"/>
        </w:rPr>
        <w:t xml:space="preserve">  Moreover, Verizon established that it does not </w:t>
      </w:r>
      <w:r w:rsidR="00301F6C" w:rsidRPr="00A57018">
        <w:rPr>
          <w:rFonts w:eastAsiaTheme="minorHAnsi"/>
          <w:sz w:val="26"/>
          <w:szCs w:val="26"/>
        </w:rPr>
        <w:lastRenderedPageBreak/>
        <w:t xml:space="preserve">receive reserved space on FirstEnergy’s poles under the terms of the JUAs. </w:t>
      </w:r>
      <w:r w:rsidR="00301F6C" w:rsidRPr="00A57018">
        <w:rPr>
          <w:rFonts w:eastAsiaTheme="minorHAnsi"/>
          <w:i/>
          <w:sz w:val="26"/>
          <w:szCs w:val="26"/>
        </w:rPr>
        <w:t xml:space="preserve"> See </w:t>
      </w:r>
      <w:r w:rsidR="00301F6C" w:rsidRPr="00A57018">
        <w:rPr>
          <w:rFonts w:eastAsiaTheme="minorHAnsi"/>
          <w:sz w:val="26"/>
          <w:szCs w:val="26"/>
        </w:rPr>
        <w:t>Verizon St. No. 1.1 at 29.</w:t>
      </w:r>
      <w:r w:rsidR="00CD55C3" w:rsidRPr="00A57018">
        <w:rPr>
          <w:rStyle w:val="FootnoteReference"/>
          <w:rFonts w:eastAsiaTheme="minorHAnsi"/>
          <w:sz w:val="26"/>
          <w:szCs w:val="26"/>
        </w:rPr>
        <w:footnoteReference w:id="27"/>
      </w:r>
      <w:r w:rsidR="00301F6C" w:rsidRPr="00A57018">
        <w:rPr>
          <w:rFonts w:eastAsiaTheme="minorHAnsi"/>
          <w:sz w:val="26"/>
          <w:szCs w:val="26"/>
        </w:rPr>
        <w:t xml:space="preserve">  </w:t>
      </w:r>
    </w:p>
    <w:p w14:paraId="753575C8" w14:textId="77777777" w:rsidR="00684962" w:rsidRPr="00A57018" w:rsidRDefault="00684962" w:rsidP="00A57018">
      <w:pPr>
        <w:widowControl/>
        <w:spacing w:line="360" w:lineRule="auto"/>
        <w:ind w:firstLine="1440"/>
        <w:rPr>
          <w:rFonts w:eastAsiaTheme="minorHAnsi"/>
          <w:sz w:val="26"/>
          <w:szCs w:val="26"/>
        </w:rPr>
      </w:pPr>
    </w:p>
    <w:p w14:paraId="5A90A887" w14:textId="3A4BC786" w:rsidR="007409FC" w:rsidRDefault="00335968" w:rsidP="00A57018">
      <w:pPr>
        <w:widowControl/>
        <w:spacing w:line="360" w:lineRule="auto"/>
        <w:ind w:firstLine="1440"/>
        <w:rPr>
          <w:rFonts w:eastAsiaTheme="minorHAnsi"/>
          <w:sz w:val="26"/>
          <w:szCs w:val="26"/>
        </w:rPr>
      </w:pPr>
      <w:r w:rsidRPr="00A57018">
        <w:rPr>
          <w:rFonts w:eastAsiaTheme="minorHAnsi"/>
          <w:sz w:val="26"/>
          <w:szCs w:val="26"/>
        </w:rPr>
        <w:t>In contrast,</w:t>
      </w:r>
      <w:r w:rsidR="007409FC" w:rsidRPr="00A57018">
        <w:rPr>
          <w:rFonts w:eastAsiaTheme="minorHAnsi"/>
          <w:sz w:val="26"/>
          <w:szCs w:val="26"/>
        </w:rPr>
        <w:t xml:space="preserve"> FirstEnergy did not attempt t</w:t>
      </w:r>
      <w:r w:rsidR="007D26B4" w:rsidRPr="00A57018">
        <w:rPr>
          <w:rFonts w:eastAsiaTheme="minorHAnsi"/>
          <w:sz w:val="26"/>
          <w:szCs w:val="26"/>
        </w:rPr>
        <w:t>o</w:t>
      </w:r>
      <w:r w:rsidR="005716A3" w:rsidRPr="00A57018">
        <w:rPr>
          <w:rFonts w:eastAsiaTheme="minorHAnsi"/>
          <w:sz w:val="26"/>
          <w:szCs w:val="26"/>
        </w:rPr>
        <w:t xml:space="preserve"> rebut the presumption </w:t>
      </w:r>
      <w:r w:rsidR="007D26B4" w:rsidRPr="00A57018">
        <w:rPr>
          <w:rFonts w:eastAsiaTheme="minorHAnsi"/>
          <w:sz w:val="26"/>
          <w:szCs w:val="26"/>
        </w:rPr>
        <w:t>by entering</w:t>
      </w:r>
      <w:r w:rsidR="00FA0BCA" w:rsidRPr="00A57018">
        <w:rPr>
          <w:rFonts w:eastAsiaTheme="minorHAnsi"/>
          <w:sz w:val="26"/>
          <w:szCs w:val="26"/>
        </w:rPr>
        <w:t xml:space="preserve"> into evidence </w:t>
      </w:r>
      <w:r w:rsidR="007409FC" w:rsidRPr="00A57018">
        <w:rPr>
          <w:rFonts w:eastAsiaTheme="minorHAnsi"/>
          <w:sz w:val="26"/>
          <w:szCs w:val="26"/>
        </w:rPr>
        <w:t xml:space="preserve">its license agreements with Verizon’s competitors and offering a comparison of their terms to those in the JUAs in this proceeding.  Rather, the only </w:t>
      </w:r>
      <w:r w:rsidR="00057482" w:rsidRPr="00A57018">
        <w:rPr>
          <w:rFonts w:eastAsiaTheme="minorHAnsi"/>
          <w:sz w:val="26"/>
          <w:szCs w:val="26"/>
        </w:rPr>
        <w:t>evidence of FirstEnergy’s license agreements w</w:t>
      </w:r>
      <w:r w:rsidR="00292854">
        <w:rPr>
          <w:rFonts w:eastAsiaTheme="minorHAnsi"/>
          <w:sz w:val="26"/>
          <w:szCs w:val="26"/>
        </w:rPr>
        <w:t>as</w:t>
      </w:r>
      <w:r w:rsidR="00057482" w:rsidRPr="00A57018">
        <w:rPr>
          <w:rFonts w:eastAsiaTheme="minorHAnsi"/>
          <w:sz w:val="26"/>
          <w:szCs w:val="26"/>
        </w:rPr>
        <w:t xml:space="preserve"> provided by Verizon.  </w:t>
      </w:r>
      <w:r w:rsidR="00057482" w:rsidRPr="00A57018">
        <w:rPr>
          <w:rFonts w:eastAsiaTheme="minorHAnsi"/>
          <w:i/>
          <w:sz w:val="26"/>
          <w:szCs w:val="26"/>
        </w:rPr>
        <w:t>See</w:t>
      </w:r>
      <w:r w:rsidR="00057482" w:rsidRPr="00A57018">
        <w:rPr>
          <w:rFonts w:eastAsiaTheme="minorHAnsi"/>
          <w:sz w:val="26"/>
          <w:szCs w:val="26"/>
        </w:rPr>
        <w:t xml:space="preserve"> Verizon St. No. 1.0, Exh. SCM-3 at VZ00505-530.  Th</w:t>
      </w:r>
      <w:r w:rsidR="00925D9C" w:rsidRPr="00A57018">
        <w:rPr>
          <w:rFonts w:eastAsiaTheme="minorHAnsi"/>
          <w:sz w:val="26"/>
          <w:szCs w:val="26"/>
        </w:rPr>
        <w:t>us, the</w:t>
      </w:r>
      <w:r w:rsidR="00057482" w:rsidRPr="00A57018">
        <w:rPr>
          <w:rFonts w:eastAsiaTheme="minorHAnsi"/>
          <w:sz w:val="26"/>
          <w:szCs w:val="26"/>
        </w:rPr>
        <w:t xml:space="preserve"> evidence </w:t>
      </w:r>
      <w:r w:rsidR="00925D9C" w:rsidRPr="00A57018">
        <w:rPr>
          <w:rFonts w:eastAsiaTheme="minorHAnsi"/>
          <w:sz w:val="26"/>
          <w:szCs w:val="26"/>
        </w:rPr>
        <w:t>in record</w:t>
      </w:r>
      <w:r w:rsidR="00057482" w:rsidRPr="00A57018">
        <w:rPr>
          <w:rFonts w:eastAsiaTheme="minorHAnsi"/>
          <w:sz w:val="26"/>
          <w:szCs w:val="26"/>
        </w:rPr>
        <w:t xml:space="preserve"> </w:t>
      </w:r>
      <w:r w:rsidRPr="00A57018">
        <w:rPr>
          <w:rFonts w:eastAsiaTheme="minorHAnsi"/>
          <w:sz w:val="26"/>
          <w:szCs w:val="26"/>
        </w:rPr>
        <w:t>provides support for</w:t>
      </w:r>
      <w:r w:rsidR="00057482" w:rsidRPr="00A57018">
        <w:rPr>
          <w:rFonts w:eastAsiaTheme="minorHAnsi"/>
          <w:sz w:val="26"/>
          <w:szCs w:val="26"/>
        </w:rPr>
        <w:t xml:space="preserve"> the arguments that Verizon and its competitors attach to FirstEnergy’s poles on materially comparable terms and conditions. </w:t>
      </w:r>
      <w:r w:rsidR="00057482" w:rsidRPr="00A57018">
        <w:rPr>
          <w:rFonts w:eastAsiaTheme="minorHAnsi"/>
          <w:i/>
          <w:sz w:val="26"/>
          <w:szCs w:val="26"/>
        </w:rPr>
        <w:t xml:space="preserve"> </w:t>
      </w:r>
      <w:r w:rsidR="0067406D" w:rsidRPr="00A57018">
        <w:rPr>
          <w:rFonts w:eastAsiaTheme="minorHAnsi"/>
          <w:i/>
          <w:sz w:val="26"/>
          <w:szCs w:val="26"/>
        </w:rPr>
        <w:t>See</w:t>
      </w:r>
      <w:r w:rsidR="0067406D" w:rsidRPr="00A57018">
        <w:rPr>
          <w:rFonts w:eastAsiaTheme="minorHAnsi"/>
          <w:sz w:val="26"/>
          <w:szCs w:val="26"/>
        </w:rPr>
        <w:t xml:space="preserve"> Verizon M.B. at 38-51, Verizon R.B. at 19-26.</w:t>
      </w:r>
      <w:r w:rsidR="005716A3" w:rsidRPr="00A57018">
        <w:rPr>
          <w:rFonts w:eastAsiaTheme="minorHAnsi"/>
          <w:sz w:val="26"/>
          <w:szCs w:val="26"/>
        </w:rPr>
        <w:t xml:space="preserve"> </w:t>
      </w:r>
    </w:p>
    <w:p w14:paraId="08322538" w14:textId="77777777" w:rsidR="00A50334" w:rsidRPr="00A57018" w:rsidRDefault="00A50334" w:rsidP="00A57018">
      <w:pPr>
        <w:widowControl/>
        <w:spacing w:line="360" w:lineRule="auto"/>
        <w:ind w:firstLine="1440"/>
        <w:rPr>
          <w:rFonts w:eastAsiaTheme="minorHAnsi"/>
          <w:sz w:val="26"/>
          <w:szCs w:val="26"/>
        </w:rPr>
      </w:pPr>
    </w:p>
    <w:p w14:paraId="3FE411DA" w14:textId="1DAE1441" w:rsidR="00A93C04" w:rsidRDefault="00F0613F" w:rsidP="00292854">
      <w:pPr>
        <w:widowControl/>
        <w:spacing w:line="360" w:lineRule="auto"/>
        <w:ind w:firstLine="1440"/>
        <w:rPr>
          <w:rFonts w:eastAsiaTheme="minorHAnsi"/>
          <w:sz w:val="26"/>
          <w:szCs w:val="26"/>
        </w:rPr>
      </w:pPr>
      <w:r w:rsidRPr="00A57018">
        <w:rPr>
          <w:rFonts w:eastAsiaTheme="minorHAnsi"/>
          <w:sz w:val="26"/>
          <w:szCs w:val="26"/>
        </w:rPr>
        <w:t xml:space="preserve">Accordingly, we agree with the ALJ that FirstEnergy has failed to demonstrate by a preponderance of the evidence that Verizon receives material advantages under the JUAs sufficient to rebut Verizon’s demonstration that it is entitled to the new telecom rates when attaching to the Companies’ poles.  </w:t>
      </w:r>
      <w:r w:rsidR="00F048A1" w:rsidRPr="00A57018">
        <w:rPr>
          <w:rFonts w:eastAsiaTheme="minorHAnsi"/>
          <w:sz w:val="26"/>
          <w:szCs w:val="26"/>
        </w:rPr>
        <w:t xml:space="preserve">However, we do not agree with the dictum in the </w:t>
      </w:r>
      <w:r w:rsidRPr="00A57018">
        <w:rPr>
          <w:rFonts w:eastAsiaTheme="minorHAnsi"/>
          <w:sz w:val="26"/>
          <w:szCs w:val="26"/>
        </w:rPr>
        <w:t xml:space="preserve">Recommended </w:t>
      </w:r>
      <w:r w:rsidR="00F048A1" w:rsidRPr="00A57018">
        <w:rPr>
          <w:rFonts w:eastAsiaTheme="minorHAnsi"/>
          <w:sz w:val="26"/>
          <w:szCs w:val="26"/>
        </w:rPr>
        <w:t xml:space="preserve">Decision, which is contrary to the conclusion </w:t>
      </w:r>
      <w:r w:rsidRPr="00A57018">
        <w:rPr>
          <w:rFonts w:eastAsiaTheme="minorHAnsi"/>
          <w:sz w:val="26"/>
          <w:szCs w:val="26"/>
        </w:rPr>
        <w:t>therein</w:t>
      </w:r>
      <w:r w:rsidR="00F048A1" w:rsidRPr="00A57018">
        <w:rPr>
          <w:rFonts w:eastAsiaTheme="minorHAnsi"/>
          <w:sz w:val="26"/>
          <w:szCs w:val="26"/>
        </w:rPr>
        <w:t xml:space="preserve">, that by applying the FCC’s new pole attachments rates </w:t>
      </w:r>
      <w:r w:rsidRPr="00A57018">
        <w:rPr>
          <w:rFonts w:eastAsiaTheme="minorHAnsi"/>
          <w:sz w:val="26"/>
          <w:szCs w:val="26"/>
        </w:rPr>
        <w:t>“the Commission is</w:t>
      </w:r>
      <w:r w:rsidR="00F048A1" w:rsidRPr="00A57018">
        <w:rPr>
          <w:rFonts w:eastAsiaTheme="minorHAnsi"/>
          <w:sz w:val="26"/>
          <w:szCs w:val="26"/>
        </w:rPr>
        <w:t xml:space="preserve"> giving Verizon the benefits of a first-class airline seat at coach prices.</w:t>
      </w:r>
      <w:r w:rsidRPr="00A57018">
        <w:rPr>
          <w:rFonts w:eastAsiaTheme="minorHAnsi"/>
          <w:sz w:val="26"/>
          <w:szCs w:val="26"/>
        </w:rPr>
        <w:t xml:space="preserve">”  </w:t>
      </w:r>
      <w:r w:rsidRPr="00A57018">
        <w:rPr>
          <w:rFonts w:eastAsiaTheme="minorHAnsi"/>
          <w:i/>
          <w:sz w:val="26"/>
          <w:szCs w:val="26"/>
        </w:rPr>
        <w:t>See</w:t>
      </w:r>
      <w:r w:rsidRPr="00A57018">
        <w:rPr>
          <w:rFonts w:eastAsiaTheme="minorHAnsi"/>
          <w:sz w:val="26"/>
          <w:szCs w:val="26"/>
        </w:rPr>
        <w:t xml:space="preserve"> R.D. at 50.</w:t>
      </w:r>
      <w:r w:rsidR="00F048A1" w:rsidRPr="00A57018">
        <w:rPr>
          <w:rFonts w:eastAsiaTheme="minorHAnsi"/>
          <w:sz w:val="26"/>
          <w:szCs w:val="26"/>
        </w:rPr>
        <w:t xml:space="preserve">  In this </w:t>
      </w:r>
      <w:r w:rsidRPr="00A57018">
        <w:rPr>
          <w:rFonts w:eastAsiaTheme="minorHAnsi"/>
          <w:sz w:val="26"/>
          <w:szCs w:val="26"/>
        </w:rPr>
        <w:t>Opinion and Order</w:t>
      </w:r>
      <w:r w:rsidR="00F048A1" w:rsidRPr="00A57018">
        <w:rPr>
          <w:rFonts w:eastAsiaTheme="minorHAnsi"/>
          <w:sz w:val="26"/>
          <w:szCs w:val="26"/>
        </w:rPr>
        <w:t xml:space="preserve">, we are applying applicable law and in accordance with that </w:t>
      </w:r>
      <w:r w:rsidR="00F048A1" w:rsidRPr="00A57018">
        <w:rPr>
          <w:rFonts w:eastAsiaTheme="minorHAnsi"/>
          <w:sz w:val="26"/>
          <w:szCs w:val="26"/>
        </w:rPr>
        <w:lastRenderedPageBreak/>
        <w:t>law, determining resulting rates.  Therefore, we reject this unnecessary and unsupported statement</w:t>
      </w:r>
      <w:r w:rsidRPr="00A57018">
        <w:rPr>
          <w:rFonts w:eastAsiaTheme="minorHAnsi"/>
          <w:sz w:val="26"/>
          <w:szCs w:val="26"/>
        </w:rPr>
        <w:t xml:space="preserve"> and shall modify the Recommended Decision to remove this reference.  </w:t>
      </w:r>
    </w:p>
    <w:p w14:paraId="4724A861" w14:textId="77777777" w:rsidR="005C159E" w:rsidRDefault="005C159E" w:rsidP="00292854">
      <w:pPr>
        <w:widowControl/>
        <w:spacing w:line="360" w:lineRule="auto"/>
        <w:ind w:firstLine="1440"/>
        <w:rPr>
          <w:rFonts w:eastAsiaTheme="minorHAnsi"/>
          <w:sz w:val="26"/>
          <w:szCs w:val="26"/>
        </w:rPr>
      </w:pPr>
    </w:p>
    <w:p w14:paraId="6D8E17C9" w14:textId="34554FC0" w:rsidR="004A61EA" w:rsidRPr="00A57018" w:rsidRDefault="005C159E" w:rsidP="00B57D93">
      <w:pPr>
        <w:widowControl/>
        <w:spacing w:line="360" w:lineRule="auto"/>
        <w:ind w:firstLine="1440"/>
        <w:rPr>
          <w:rFonts w:eastAsiaTheme="minorHAnsi"/>
          <w:sz w:val="26"/>
          <w:szCs w:val="26"/>
        </w:rPr>
      </w:pPr>
      <w:r>
        <w:rPr>
          <w:rFonts w:eastAsiaTheme="minorHAnsi"/>
          <w:sz w:val="26"/>
          <w:szCs w:val="26"/>
        </w:rPr>
        <w:t xml:space="preserve">Lastly, as discussed in more detail blow, </w:t>
      </w:r>
      <w:r w:rsidR="004A61EA">
        <w:rPr>
          <w:rFonts w:eastAsiaTheme="minorHAnsi"/>
          <w:sz w:val="26"/>
          <w:szCs w:val="26"/>
        </w:rPr>
        <w:t xml:space="preserve">we conclude that the Recommended Decision properly dismissed Verizon’s argument that FirstEnergy has superior bargaining power because of the three-to-one pole ownership advantage. </w:t>
      </w:r>
    </w:p>
    <w:p w14:paraId="296A180E" w14:textId="791FFAE4" w:rsidR="00C97FE5" w:rsidRPr="00A57018" w:rsidRDefault="00C97FE5" w:rsidP="00B57D93">
      <w:pPr>
        <w:widowControl/>
        <w:spacing w:line="360" w:lineRule="auto"/>
        <w:rPr>
          <w:sz w:val="26"/>
          <w:szCs w:val="26"/>
        </w:rPr>
      </w:pPr>
    </w:p>
    <w:p w14:paraId="4C68D5AF" w14:textId="6194A8C9" w:rsidR="00C73092" w:rsidRPr="00A57018" w:rsidRDefault="0039246C" w:rsidP="00B57D93">
      <w:pPr>
        <w:pStyle w:val="Heading2"/>
        <w:widowControl/>
      </w:pPr>
      <w:bookmarkStart w:id="38" w:name="_Toc59179307"/>
      <w:r w:rsidRPr="00A57018">
        <w:t>Lawful Rates Going Forward Under Existing Joint Use Agreements</w:t>
      </w:r>
      <w:r w:rsidR="006503AF">
        <w:t>.</w:t>
      </w:r>
      <w:bookmarkEnd w:id="38"/>
      <w:r w:rsidR="006503AF">
        <w:t xml:space="preserve">  </w:t>
      </w:r>
    </w:p>
    <w:p w14:paraId="57FD1296" w14:textId="17791661" w:rsidR="00285D18" w:rsidRPr="00A57018" w:rsidRDefault="00285D18" w:rsidP="00B57D93">
      <w:pPr>
        <w:widowControl/>
        <w:spacing w:line="360" w:lineRule="auto"/>
        <w:rPr>
          <w:b/>
          <w:bCs/>
          <w:sz w:val="26"/>
          <w:szCs w:val="26"/>
        </w:rPr>
      </w:pPr>
    </w:p>
    <w:p w14:paraId="2BE3ECFB" w14:textId="709CBA7D" w:rsidR="0039246C" w:rsidRPr="00A57018" w:rsidRDefault="0039246C" w:rsidP="00B57D93">
      <w:pPr>
        <w:pStyle w:val="Heading3"/>
        <w:numPr>
          <w:ilvl w:val="0"/>
          <w:numId w:val="22"/>
        </w:numPr>
        <w:ind w:left="1440" w:hanging="720"/>
      </w:pPr>
      <w:bookmarkStart w:id="39" w:name="_Toc59179308"/>
      <w:bookmarkStart w:id="40" w:name="_Hlk54872520"/>
      <w:r w:rsidRPr="00A57018">
        <w:t>Recommended Decision</w:t>
      </w:r>
      <w:bookmarkEnd w:id="39"/>
    </w:p>
    <w:p w14:paraId="47AB4E5D" w14:textId="25C4164C" w:rsidR="00E007E8" w:rsidRPr="00A57018" w:rsidRDefault="00E007E8" w:rsidP="00B57D93">
      <w:pPr>
        <w:widowControl/>
        <w:spacing w:line="360" w:lineRule="auto"/>
        <w:rPr>
          <w:sz w:val="26"/>
          <w:szCs w:val="26"/>
        </w:rPr>
      </w:pPr>
    </w:p>
    <w:p w14:paraId="4D889FD5" w14:textId="1B509DE1" w:rsidR="00D34351" w:rsidRPr="00A57018" w:rsidRDefault="0035109F" w:rsidP="00B57D93">
      <w:pPr>
        <w:widowControl/>
        <w:spacing w:line="360" w:lineRule="auto"/>
        <w:ind w:firstLine="1440"/>
        <w:rPr>
          <w:sz w:val="26"/>
          <w:szCs w:val="26"/>
        </w:rPr>
      </w:pPr>
      <w:r w:rsidRPr="00A57018">
        <w:rPr>
          <w:sz w:val="26"/>
          <w:szCs w:val="26"/>
        </w:rPr>
        <w:t>As discussed in the previous section, the ALJ concluded that substantial record evidence exists demonstrating that the current pole attachment rates that FirstEnergy charges Verizon are unjust and unreasonable under the J</w:t>
      </w:r>
      <w:r w:rsidR="00053825" w:rsidRPr="00A57018">
        <w:rPr>
          <w:sz w:val="26"/>
          <w:szCs w:val="26"/>
        </w:rPr>
        <w:t>UAs</w:t>
      </w:r>
      <w:r w:rsidRPr="00A57018">
        <w:rPr>
          <w:sz w:val="26"/>
          <w:szCs w:val="26"/>
        </w:rPr>
        <w:t xml:space="preserve"> because they are not determined using the new telecom rate, pursuant to Sections 1.1413(b) and 1.1406(d)(2) of the FCC’s regulations, as adopted by the Commission in Section 77.4 of the Commission’s Regulations.  Consistent with </w:t>
      </w:r>
      <w:r w:rsidR="00E43775" w:rsidRPr="00A57018">
        <w:rPr>
          <w:sz w:val="26"/>
          <w:szCs w:val="26"/>
        </w:rPr>
        <w:t>this finding and recognition that t</w:t>
      </w:r>
      <w:r w:rsidR="00E007E8" w:rsidRPr="00A57018">
        <w:rPr>
          <w:sz w:val="26"/>
          <w:szCs w:val="26"/>
        </w:rPr>
        <w:t xml:space="preserve">he </w:t>
      </w:r>
      <w:r w:rsidR="00D73694" w:rsidRPr="00A57018">
        <w:rPr>
          <w:sz w:val="26"/>
          <w:szCs w:val="26"/>
        </w:rPr>
        <w:t>new telecom rate formula sets fully compensatory per-pole rates using a pole owner’s prior-year reported cost data and presumptive inputs that are in the Commission’s Regulations</w:t>
      </w:r>
      <w:r w:rsidR="00E43775" w:rsidRPr="00A57018">
        <w:rPr>
          <w:sz w:val="26"/>
          <w:szCs w:val="26"/>
        </w:rPr>
        <w:t xml:space="preserve"> (</w:t>
      </w:r>
      <w:r w:rsidR="00D73694" w:rsidRPr="00A57018">
        <w:rPr>
          <w:i/>
          <w:iCs/>
          <w:sz w:val="26"/>
          <w:szCs w:val="26"/>
        </w:rPr>
        <w:t xml:space="preserve">See </w:t>
      </w:r>
      <w:bookmarkStart w:id="41" w:name="_Hlk55210207"/>
      <w:r w:rsidR="00D73694" w:rsidRPr="00A57018">
        <w:rPr>
          <w:sz w:val="26"/>
          <w:szCs w:val="26"/>
        </w:rPr>
        <w:t>52 Pa. Code § 77.4(a</w:t>
      </w:r>
      <w:bookmarkEnd w:id="41"/>
      <w:r w:rsidR="00D73694" w:rsidRPr="00A57018">
        <w:rPr>
          <w:sz w:val="26"/>
          <w:szCs w:val="26"/>
        </w:rPr>
        <w:t>) (incorporating 47 C.F.R. §§ 1.1406(d)(2), 1.1409, 1.1410)</w:t>
      </w:r>
      <w:r w:rsidR="00952A58">
        <w:rPr>
          <w:sz w:val="26"/>
          <w:szCs w:val="26"/>
        </w:rPr>
        <w:t>)</w:t>
      </w:r>
      <w:r w:rsidR="00E43775" w:rsidRPr="00A57018">
        <w:rPr>
          <w:sz w:val="26"/>
          <w:szCs w:val="26"/>
        </w:rPr>
        <w:t>, t</w:t>
      </w:r>
      <w:r w:rsidR="003C19D7" w:rsidRPr="00A57018">
        <w:rPr>
          <w:sz w:val="26"/>
          <w:szCs w:val="26"/>
        </w:rPr>
        <w:t>he ALJ found that the “properly calculated new telecom rates for Verizon’s use of FirstEnergy’s poles” during the years for which relevant cost data is available are:</w:t>
      </w:r>
    </w:p>
    <w:p w14:paraId="532F4D4F" w14:textId="77777777" w:rsidR="003C19D7" w:rsidRPr="00A57018" w:rsidRDefault="003C19D7" w:rsidP="003F4E4A">
      <w:pPr>
        <w:widowControl/>
        <w:ind w:firstLine="1440"/>
        <w:rPr>
          <w:sz w:val="26"/>
          <w:szCs w:val="26"/>
        </w:rPr>
      </w:pPr>
    </w:p>
    <w:tbl>
      <w:tblPr>
        <w:tblW w:w="0" w:type="auto"/>
        <w:tblInd w:w="6" w:type="dxa"/>
        <w:tblLayout w:type="fixed"/>
        <w:tblCellMar>
          <w:left w:w="0" w:type="dxa"/>
          <w:right w:w="0" w:type="dxa"/>
        </w:tblCellMar>
        <w:tblLook w:val="0000" w:firstRow="0" w:lastRow="0" w:firstColumn="0" w:lastColumn="0" w:noHBand="0" w:noVBand="0"/>
      </w:tblPr>
      <w:tblGrid>
        <w:gridCol w:w="1944"/>
        <w:gridCol w:w="878"/>
        <w:gridCol w:w="884"/>
        <w:gridCol w:w="878"/>
        <w:gridCol w:w="878"/>
        <w:gridCol w:w="879"/>
        <w:gridCol w:w="883"/>
        <w:gridCol w:w="878"/>
        <w:gridCol w:w="879"/>
        <w:gridCol w:w="887"/>
      </w:tblGrid>
      <w:tr w:rsidR="003C19D7" w:rsidRPr="00A57018" w14:paraId="4DAC1960" w14:textId="77777777" w:rsidTr="00F07E48">
        <w:trPr>
          <w:trHeight w:hRule="exact" w:val="374"/>
        </w:trPr>
        <w:tc>
          <w:tcPr>
            <w:tcW w:w="9868" w:type="dxa"/>
            <w:gridSpan w:val="10"/>
            <w:tcBorders>
              <w:top w:val="single" w:sz="5" w:space="0" w:color="000000"/>
              <w:left w:val="single" w:sz="5" w:space="0" w:color="000000"/>
              <w:bottom w:val="single" w:sz="5" w:space="0" w:color="000000"/>
              <w:right w:val="single" w:sz="5" w:space="0" w:color="000000"/>
            </w:tcBorders>
            <w:vAlign w:val="center"/>
          </w:tcPr>
          <w:p w14:paraId="7345892B" w14:textId="5129A1CF" w:rsidR="003C19D7" w:rsidRPr="00A57018" w:rsidRDefault="003C19D7" w:rsidP="00A57018">
            <w:pPr>
              <w:widowControl/>
              <w:spacing w:before="76" w:after="58" w:line="226" w:lineRule="exact"/>
              <w:ind w:right="1666"/>
              <w:jc w:val="right"/>
              <w:textAlignment w:val="baseline"/>
              <w:rPr>
                <w:rFonts w:eastAsia="Calibri"/>
                <w:b/>
                <w:color w:val="000000"/>
                <w:sz w:val="26"/>
                <w:szCs w:val="26"/>
              </w:rPr>
            </w:pPr>
            <w:r w:rsidRPr="00A57018">
              <w:rPr>
                <w:rFonts w:eastAsia="Calibri"/>
                <w:b/>
                <w:color w:val="000000"/>
                <w:sz w:val="26"/>
                <w:szCs w:val="26"/>
              </w:rPr>
              <w:t>New Telecom Rates for Verizon’s Use of FirstEnergy’s Poles (per pole)</w:t>
            </w:r>
          </w:p>
        </w:tc>
      </w:tr>
      <w:tr w:rsidR="003C19D7" w:rsidRPr="00A57018" w14:paraId="3D89D41D" w14:textId="77777777" w:rsidTr="00F07E48">
        <w:trPr>
          <w:trHeight w:hRule="exact" w:val="370"/>
        </w:trPr>
        <w:tc>
          <w:tcPr>
            <w:tcW w:w="1944" w:type="dxa"/>
            <w:tcBorders>
              <w:top w:val="single" w:sz="5" w:space="0" w:color="000000"/>
              <w:left w:val="single" w:sz="5" w:space="0" w:color="000000"/>
              <w:bottom w:val="single" w:sz="5" w:space="0" w:color="000000"/>
              <w:right w:val="single" w:sz="5" w:space="0" w:color="000000"/>
            </w:tcBorders>
            <w:vAlign w:val="center"/>
          </w:tcPr>
          <w:p w14:paraId="5E56614C" w14:textId="77777777" w:rsidR="003C19D7" w:rsidRPr="00A57018" w:rsidRDefault="003C19D7" w:rsidP="00A57018">
            <w:pPr>
              <w:widowControl/>
              <w:spacing w:before="72" w:after="64" w:line="224" w:lineRule="exact"/>
              <w:ind w:left="129"/>
              <w:textAlignment w:val="baseline"/>
              <w:rPr>
                <w:rFonts w:eastAsia="Calibri"/>
                <w:b/>
                <w:color w:val="000000"/>
                <w:sz w:val="26"/>
                <w:szCs w:val="26"/>
              </w:rPr>
            </w:pPr>
            <w:r w:rsidRPr="00A57018">
              <w:rPr>
                <w:rFonts w:eastAsia="Calibri"/>
                <w:b/>
                <w:color w:val="000000"/>
                <w:sz w:val="26"/>
                <w:szCs w:val="26"/>
              </w:rPr>
              <w:t>Rental Year</w:t>
            </w:r>
          </w:p>
        </w:tc>
        <w:tc>
          <w:tcPr>
            <w:tcW w:w="878" w:type="dxa"/>
            <w:tcBorders>
              <w:top w:val="single" w:sz="5" w:space="0" w:color="000000"/>
              <w:left w:val="single" w:sz="5" w:space="0" w:color="000000"/>
              <w:bottom w:val="single" w:sz="5" w:space="0" w:color="000000"/>
              <w:right w:val="single" w:sz="5" w:space="0" w:color="000000"/>
            </w:tcBorders>
            <w:vAlign w:val="center"/>
          </w:tcPr>
          <w:p w14:paraId="32DF9041" w14:textId="77777777" w:rsidR="003C19D7" w:rsidRPr="00A57018" w:rsidRDefault="003C19D7" w:rsidP="00A57018">
            <w:pPr>
              <w:widowControl/>
              <w:spacing w:before="72" w:after="64" w:line="224" w:lineRule="exact"/>
              <w:ind w:right="200"/>
              <w:jc w:val="right"/>
              <w:textAlignment w:val="baseline"/>
              <w:rPr>
                <w:rFonts w:eastAsia="Calibri"/>
                <w:b/>
                <w:color w:val="000000"/>
                <w:sz w:val="26"/>
                <w:szCs w:val="26"/>
              </w:rPr>
            </w:pPr>
            <w:r w:rsidRPr="00A57018">
              <w:rPr>
                <w:rFonts w:eastAsia="Calibri"/>
                <w:b/>
                <w:color w:val="000000"/>
                <w:sz w:val="26"/>
                <w:szCs w:val="26"/>
              </w:rPr>
              <w:t>2011</w:t>
            </w:r>
          </w:p>
        </w:tc>
        <w:tc>
          <w:tcPr>
            <w:tcW w:w="884" w:type="dxa"/>
            <w:tcBorders>
              <w:top w:val="single" w:sz="5" w:space="0" w:color="000000"/>
              <w:left w:val="single" w:sz="5" w:space="0" w:color="000000"/>
              <w:bottom w:val="single" w:sz="5" w:space="0" w:color="000000"/>
              <w:right w:val="single" w:sz="5" w:space="0" w:color="000000"/>
            </w:tcBorders>
            <w:vAlign w:val="center"/>
          </w:tcPr>
          <w:p w14:paraId="45ADD9D1" w14:textId="77777777" w:rsidR="003C19D7" w:rsidRPr="00A57018" w:rsidRDefault="003C19D7" w:rsidP="00A57018">
            <w:pPr>
              <w:widowControl/>
              <w:spacing w:before="72" w:after="64" w:line="224" w:lineRule="exact"/>
              <w:ind w:right="201"/>
              <w:jc w:val="right"/>
              <w:textAlignment w:val="baseline"/>
              <w:rPr>
                <w:rFonts w:eastAsia="Calibri"/>
                <w:b/>
                <w:color w:val="000000"/>
                <w:sz w:val="26"/>
                <w:szCs w:val="26"/>
              </w:rPr>
            </w:pPr>
            <w:r w:rsidRPr="00A57018">
              <w:rPr>
                <w:rFonts w:eastAsia="Calibri"/>
                <w:b/>
                <w:color w:val="000000"/>
                <w:sz w:val="26"/>
                <w:szCs w:val="26"/>
              </w:rPr>
              <w:t>2012</w:t>
            </w:r>
          </w:p>
        </w:tc>
        <w:tc>
          <w:tcPr>
            <w:tcW w:w="878" w:type="dxa"/>
            <w:tcBorders>
              <w:top w:val="single" w:sz="5" w:space="0" w:color="000000"/>
              <w:left w:val="single" w:sz="5" w:space="0" w:color="000000"/>
              <w:bottom w:val="single" w:sz="5" w:space="0" w:color="000000"/>
              <w:right w:val="single" w:sz="5" w:space="0" w:color="000000"/>
            </w:tcBorders>
            <w:vAlign w:val="center"/>
          </w:tcPr>
          <w:p w14:paraId="3989F65A" w14:textId="77777777" w:rsidR="003C19D7" w:rsidRPr="00A57018" w:rsidRDefault="003C19D7" w:rsidP="00A57018">
            <w:pPr>
              <w:widowControl/>
              <w:spacing w:before="72" w:after="64" w:line="224" w:lineRule="exact"/>
              <w:ind w:right="201"/>
              <w:jc w:val="right"/>
              <w:textAlignment w:val="baseline"/>
              <w:rPr>
                <w:rFonts w:eastAsia="Calibri"/>
                <w:b/>
                <w:color w:val="000000"/>
                <w:sz w:val="26"/>
                <w:szCs w:val="26"/>
              </w:rPr>
            </w:pPr>
            <w:r w:rsidRPr="00A57018">
              <w:rPr>
                <w:rFonts w:eastAsia="Calibri"/>
                <w:b/>
                <w:color w:val="000000"/>
                <w:sz w:val="26"/>
                <w:szCs w:val="26"/>
              </w:rPr>
              <w:t>2013</w:t>
            </w:r>
          </w:p>
        </w:tc>
        <w:tc>
          <w:tcPr>
            <w:tcW w:w="878" w:type="dxa"/>
            <w:tcBorders>
              <w:top w:val="single" w:sz="5" w:space="0" w:color="000000"/>
              <w:left w:val="single" w:sz="5" w:space="0" w:color="000000"/>
              <w:bottom w:val="single" w:sz="5" w:space="0" w:color="000000"/>
              <w:right w:val="single" w:sz="5" w:space="0" w:color="000000"/>
            </w:tcBorders>
            <w:vAlign w:val="center"/>
          </w:tcPr>
          <w:p w14:paraId="7CBCA2D9" w14:textId="77777777" w:rsidR="003C19D7" w:rsidRPr="00A57018" w:rsidRDefault="003C19D7" w:rsidP="00A57018">
            <w:pPr>
              <w:widowControl/>
              <w:spacing w:before="72" w:after="64" w:line="224" w:lineRule="exact"/>
              <w:ind w:right="205"/>
              <w:jc w:val="right"/>
              <w:textAlignment w:val="baseline"/>
              <w:rPr>
                <w:rFonts w:eastAsia="Calibri"/>
                <w:b/>
                <w:color w:val="000000"/>
                <w:sz w:val="26"/>
                <w:szCs w:val="26"/>
              </w:rPr>
            </w:pPr>
            <w:r w:rsidRPr="00A57018">
              <w:rPr>
                <w:rFonts w:eastAsia="Calibri"/>
                <w:b/>
                <w:color w:val="000000"/>
                <w:sz w:val="26"/>
                <w:szCs w:val="26"/>
              </w:rPr>
              <w:t>2014</w:t>
            </w:r>
          </w:p>
        </w:tc>
        <w:tc>
          <w:tcPr>
            <w:tcW w:w="879" w:type="dxa"/>
            <w:tcBorders>
              <w:top w:val="single" w:sz="5" w:space="0" w:color="000000"/>
              <w:left w:val="single" w:sz="5" w:space="0" w:color="000000"/>
              <w:bottom w:val="single" w:sz="5" w:space="0" w:color="000000"/>
              <w:right w:val="single" w:sz="5" w:space="0" w:color="000000"/>
            </w:tcBorders>
            <w:vAlign w:val="center"/>
          </w:tcPr>
          <w:p w14:paraId="6BC05BF6" w14:textId="77777777" w:rsidR="003C19D7" w:rsidRPr="00A57018" w:rsidRDefault="003C19D7" w:rsidP="00A57018">
            <w:pPr>
              <w:widowControl/>
              <w:spacing w:before="72" w:after="64" w:line="224" w:lineRule="exact"/>
              <w:ind w:right="201"/>
              <w:jc w:val="right"/>
              <w:textAlignment w:val="baseline"/>
              <w:rPr>
                <w:rFonts w:eastAsia="Calibri"/>
                <w:b/>
                <w:color w:val="000000"/>
                <w:sz w:val="26"/>
                <w:szCs w:val="26"/>
              </w:rPr>
            </w:pPr>
            <w:r w:rsidRPr="00A57018">
              <w:rPr>
                <w:rFonts w:eastAsia="Calibri"/>
                <w:b/>
                <w:color w:val="000000"/>
                <w:sz w:val="26"/>
                <w:szCs w:val="26"/>
              </w:rPr>
              <w:t>2015</w:t>
            </w:r>
          </w:p>
        </w:tc>
        <w:tc>
          <w:tcPr>
            <w:tcW w:w="883" w:type="dxa"/>
            <w:tcBorders>
              <w:top w:val="single" w:sz="5" w:space="0" w:color="000000"/>
              <w:left w:val="single" w:sz="5" w:space="0" w:color="000000"/>
              <w:bottom w:val="single" w:sz="5" w:space="0" w:color="000000"/>
              <w:right w:val="single" w:sz="5" w:space="0" w:color="000000"/>
            </w:tcBorders>
            <w:vAlign w:val="center"/>
          </w:tcPr>
          <w:p w14:paraId="4D94D365" w14:textId="77777777" w:rsidR="003C19D7" w:rsidRPr="00A57018" w:rsidRDefault="003C19D7" w:rsidP="00A57018">
            <w:pPr>
              <w:widowControl/>
              <w:spacing w:before="72" w:after="64" w:line="224" w:lineRule="exact"/>
              <w:ind w:right="201"/>
              <w:jc w:val="right"/>
              <w:textAlignment w:val="baseline"/>
              <w:rPr>
                <w:rFonts w:eastAsia="Calibri"/>
                <w:b/>
                <w:color w:val="000000"/>
                <w:sz w:val="26"/>
                <w:szCs w:val="26"/>
              </w:rPr>
            </w:pPr>
            <w:r w:rsidRPr="00A57018">
              <w:rPr>
                <w:rFonts w:eastAsia="Calibri"/>
                <w:b/>
                <w:color w:val="000000"/>
                <w:sz w:val="26"/>
                <w:szCs w:val="26"/>
              </w:rPr>
              <w:t>2016</w:t>
            </w:r>
          </w:p>
        </w:tc>
        <w:tc>
          <w:tcPr>
            <w:tcW w:w="878" w:type="dxa"/>
            <w:tcBorders>
              <w:top w:val="single" w:sz="5" w:space="0" w:color="000000"/>
              <w:left w:val="single" w:sz="5" w:space="0" w:color="000000"/>
              <w:bottom w:val="single" w:sz="5" w:space="0" w:color="000000"/>
              <w:right w:val="single" w:sz="5" w:space="0" w:color="000000"/>
            </w:tcBorders>
            <w:vAlign w:val="center"/>
          </w:tcPr>
          <w:p w14:paraId="617E9A3D" w14:textId="77777777" w:rsidR="003C19D7" w:rsidRPr="00A57018" w:rsidRDefault="003C19D7" w:rsidP="00A57018">
            <w:pPr>
              <w:widowControl/>
              <w:spacing w:before="72" w:after="64" w:line="224" w:lineRule="exact"/>
              <w:ind w:right="200"/>
              <w:jc w:val="right"/>
              <w:textAlignment w:val="baseline"/>
              <w:rPr>
                <w:rFonts w:eastAsia="Calibri"/>
                <w:b/>
                <w:color w:val="000000"/>
                <w:sz w:val="26"/>
                <w:szCs w:val="26"/>
              </w:rPr>
            </w:pPr>
            <w:r w:rsidRPr="00A57018">
              <w:rPr>
                <w:rFonts w:eastAsia="Calibri"/>
                <w:b/>
                <w:color w:val="000000"/>
                <w:sz w:val="26"/>
                <w:szCs w:val="26"/>
              </w:rPr>
              <w:t>2017</w:t>
            </w:r>
          </w:p>
        </w:tc>
        <w:tc>
          <w:tcPr>
            <w:tcW w:w="879" w:type="dxa"/>
            <w:tcBorders>
              <w:top w:val="single" w:sz="5" w:space="0" w:color="000000"/>
              <w:left w:val="single" w:sz="5" w:space="0" w:color="000000"/>
              <w:bottom w:val="single" w:sz="5" w:space="0" w:color="000000"/>
              <w:right w:val="single" w:sz="5" w:space="0" w:color="000000"/>
            </w:tcBorders>
            <w:vAlign w:val="center"/>
          </w:tcPr>
          <w:p w14:paraId="50EFFA1D" w14:textId="77777777" w:rsidR="003C19D7" w:rsidRPr="00A57018" w:rsidRDefault="003C19D7" w:rsidP="00A57018">
            <w:pPr>
              <w:widowControl/>
              <w:spacing w:before="72" w:after="64" w:line="224" w:lineRule="exact"/>
              <w:ind w:right="201"/>
              <w:jc w:val="right"/>
              <w:textAlignment w:val="baseline"/>
              <w:rPr>
                <w:rFonts w:eastAsia="Calibri"/>
                <w:b/>
                <w:color w:val="000000"/>
                <w:sz w:val="26"/>
                <w:szCs w:val="26"/>
              </w:rPr>
            </w:pPr>
            <w:r w:rsidRPr="00A57018">
              <w:rPr>
                <w:rFonts w:eastAsia="Calibri"/>
                <w:b/>
                <w:color w:val="000000"/>
                <w:sz w:val="26"/>
                <w:szCs w:val="26"/>
              </w:rPr>
              <w:t>2018</w:t>
            </w:r>
          </w:p>
        </w:tc>
        <w:tc>
          <w:tcPr>
            <w:tcW w:w="887" w:type="dxa"/>
            <w:tcBorders>
              <w:top w:val="single" w:sz="5" w:space="0" w:color="000000"/>
              <w:left w:val="single" w:sz="5" w:space="0" w:color="000000"/>
              <w:bottom w:val="single" w:sz="5" w:space="0" w:color="000000"/>
              <w:right w:val="single" w:sz="5" w:space="0" w:color="000000"/>
            </w:tcBorders>
            <w:vAlign w:val="center"/>
          </w:tcPr>
          <w:p w14:paraId="215B1037" w14:textId="77777777" w:rsidR="003C19D7" w:rsidRPr="00A57018" w:rsidRDefault="003C19D7" w:rsidP="00A57018">
            <w:pPr>
              <w:widowControl/>
              <w:spacing w:before="72" w:after="64" w:line="224" w:lineRule="exact"/>
              <w:ind w:right="210"/>
              <w:jc w:val="right"/>
              <w:textAlignment w:val="baseline"/>
              <w:rPr>
                <w:rFonts w:eastAsia="Calibri"/>
                <w:b/>
                <w:color w:val="000000"/>
                <w:sz w:val="26"/>
                <w:szCs w:val="26"/>
              </w:rPr>
            </w:pPr>
            <w:r w:rsidRPr="00A57018">
              <w:rPr>
                <w:rFonts w:eastAsia="Calibri"/>
                <w:b/>
                <w:color w:val="000000"/>
                <w:sz w:val="26"/>
                <w:szCs w:val="26"/>
              </w:rPr>
              <w:t>2019</w:t>
            </w:r>
          </w:p>
        </w:tc>
      </w:tr>
      <w:tr w:rsidR="003C19D7" w:rsidRPr="00A57018" w14:paraId="03CB1FA4" w14:textId="77777777" w:rsidTr="00F07E48">
        <w:trPr>
          <w:trHeight w:hRule="exact" w:val="370"/>
        </w:trPr>
        <w:tc>
          <w:tcPr>
            <w:tcW w:w="1944" w:type="dxa"/>
            <w:tcBorders>
              <w:top w:val="single" w:sz="5" w:space="0" w:color="000000"/>
              <w:left w:val="single" w:sz="5" w:space="0" w:color="000000"/>
              <w:bottom w:val="single" w:sz="5" w:space="0" w:color="000000"/>
              <w:right w:val="single" w:sz="5" w:space="0" w:color="000000"/>
            </w:tcBorders>
            <w:vAlign w:val="center"/>
          </w:tcPr>
          <w:p w14:paraId="6B9B36F9" w14:textId="77777777" w:rsidR="003C19D7" w:rsidRPr="00A57018" w:rsidRDefault="003C19D7" w:rsidP="00A57018">
            <w:pPr>
              <w:widowControl/>
              <w:spacing w:before="68" w:after="66" w:line="230" w:lineRule="exact"/>
              <w:ind w:left="129"/>
              <w:textAlignment w:val="baseline"/>
              <w:rPr>
                <w:rFonts w:eastAsia="Calibri"/>
                <w:color w:val="000000"/>
                <w:sz w:val="26"/>
                <w:szCs w:val="26"/>
              </w:rPr>
            </w:pPr>
            <w:r w:rsidRPr="00A57018">
              <w:rPr>
                <w:rFonts w:eastAsia="Calibri"/>
                <w:color w:val="000000"/>
                <w:sz w:val="26"/>
                <w:szCs w:val="26"/>
              </w:rPr>
              <w:t>Met-Ed poles</w:t>
            </w:r>
          </w:p>
        </w:tc>
        <w:tc>
          <w:tcPr>
            <w:tcW w:w="878" w:type="dxa"/>
            <w:tcBorders>
              <w:top w:val="single" w:sz="5" w:space="0" w:color="000000"/>
              <w:left w:val="single" w:sz="5" w:space="0" w:color="000000"/>
              <w:bottom w:val="single" w:sz="5" w:space="0" w:color="000000"/>
              <w:right w:val="single" w:sz="5" w:space="0" w:color="000000"/>
            </w:tcBorders>
            <w:vAlign w:val="center"/>
          </w:tcPr>
          <w:p w14:paraId="3C98D183" w14:textId="77777777" w:rsidR="003C19D7" w:rsidRPr="00A57018" w:rsidRDefault="003C19D7" w:rsidP="00A57018">
            <w:pPr>
              <w:widowControl/>
              <w:tabs>
                <w:tab w:val="decimal" w:pos="504"/>
              </w:tabs>
              <w:spacing w:before="68" w:after="81" w:line="215" w:lineRule="exact"/>
              <w:textAlignment w:val="baseline"/>
              <w:rPr>
                <w:rFonts w:eastAsia="Calibri"/>
                <w:color w:val="000000"/>
                <w:sz w:val="26"/>
                <w:szCs w:val="26"/>
              </w:rPr>
            </w:pPr>
            <w:r w:rsidRPr="00A57018">
              <w:rPr>
                <w:rFonts w:eastAsia="Calibri"/>
                <w:color w:val="000000"/>
                <w:sz w:val="26"/>
                <w:szCs w:val="26"/>
              </w:rPr>
              <w:t>$8.29</w:t>
            </w:r>
          </w:p>
        </w:tc>
        <w:tc>
          <w:tcPr>
            <w:tcW w:w="884" w:type="dxa"/>
            <w:tcBorders>
              <w:top w:val="single" w:sz="5" w:space="0" w:color="000000"/>
              <w:left w:val="single" w:sz="5" w:space="0" w:color="000000"/>
              <w:bottom w:val="single" w:sz="5" w:space="0" w:color="000000"/>
              <w:right w:val="single" w:sz="5" w:space="0" w:color="000000"/>
            </w:tcBorders>
            <w:vAlign w:val="center"/>
          </w:tcPr>
          <w:p w14:paraId="4DAA6D86" w14:textId="77777777" w:rsidR="003C19D7" w:rsidRPr="00A57018" w:rsidRDefault="003C19D7" w:rsidP="00A57018">
            <w:pPr>
              <w:widowControl/>
              <w:tabs>
                <w:tab w:val="decimal" w:pos="504"/>
              </w:tabs>
              <w:spacing w:before="68" w:after="81" w:line="215" w:lineRule="exact"/>
              <w:textAlignment w:val="baseline"/>
              <w:rPr>
                <w:rFonts w:eastAsia="Calibri"/>
                <w:color w:val="000000"/>
                <w:sz w:val="26"/>
                <w:szCs w:val="26"/>
              </w:rPr>
            </w:pPr>
            <w:r w:rsidRPr="00A57018">
              <w:rPr>
                <w:rFonts w:eastAsia="Calibri"/>
                <w:color w:val="000000"/>
                <w:sz w:val="26"/>
                <w:szCs w:val="26"/>
              </w:rPr>
              <w:t>$9.87</w:t>
            </w:r>
          </w:p>
        </w:tc>
        <w:tc>
          <w:tcPr>
            <w:tcW w:w="878" w:type="dxa"/>
            <w:tcBorders>
              <w:top w:val="single" w:sz="5" w:space="0" w:color="000000"/>
              <w:left w:val="single" w:sz="5" w:space="0" w:color="000000"/>
              <w:bottom w:val="single" w:sz="5" w:space="0" w:color="000000"/>
              <w:right w:val="single" w:sz="5" w:space="0" w:color="000000"/>
            </w:tcBorders>
            <w:vAlign w:val="center"/>
          </w:tcPr>
          <w:p w14:paraId="1E388CD7" w14:textId="77777777" w:rsidR="003C19D7" w:rsidRPr="00A57018" w:rsidRDefault="003C19D7" w:rsidP="00A57018">
            <w:pPr>
              <w:widowControl/>
              <w:tabs>
                <w:tab w:val="decimal" w:pos="504"/>
              </w:tabs>
              <w:spacing w:before="68" w:after="81" w:line="215" w:lineRule="exact"/>
              <w:textAlignment w:val="baseline"/>
              <w:rPr>
                <w:rFonts w:eastAsia="Calibri"/>
                <w:color w:val="000000"/>
                <w:sz w:val="26"/>
                <w:szCs w:val="26"/>
              </w:rPr>
            </w:pPr>
            <w:r w:rsidRPr="00A57018">
              <w:rPr>
                <w:rFonts w:eastAsia="Calibri"/>
                <w:color w:val="000000"/>
                <w:sz w:val="26"/>
                <w:szCs w:val="26"/>
              </w:rPr>
              <w:t>$10.07</w:t>
            </w:r>
          </w:p>
        </w:tc>
        <w:tc>
          <w:tcPr>
            <w:tcW w:w="878" w:type="dxa"/>
            <w:tcBorders>
              <w:top w:val="single" w:sz="5" w:space="0" w:color="000000"/>
              <w:left w:val="single" w:sz="5" w:space="0" w:color="000000"/>
              <w:bottom w:val="single" w:sz="5" w:space="0" w:color="000000"/>
              <w:right w:val="single" w:sz="5" w:space="0" w:color="000000"/>
            </w:tcBorders>
            <w:vAlign w:val="center"/>
          </w:tcPr>
          <w:p w14:paraId="7A7FE1CE" w14:textId="77777777" w:rsidR="003C19D7" w:rsidRPr="00A57018" w:rsidRDefault="003C19D7" w:rsidP="00A57018">
            <w:pPr>
              <w:widowControl/>
              <w:tabs>
                <w:tab w:val="decimal" w:pos="504"/>
              </w:tabs>
              <w:spacing w:before="68" w:after="81" w:line="215" w:lineRule="exact"/>
              <w:textAlignment w:val="baseline"/>
              <w:rPr>
                <w:rFonts w:eastAsia="Calibri"/>
                <w:color w:val="000000"/>
                <w:sz w:val="26"/>
                <w:szCs w:val="26"/>
              </w:rPr>
            </w:pPr>
            <w:r w:rsidRPr="00A57018">
              <w:rPr>
                <w:rFonts w:eastAsia="Calibri"/>
                <w:color w:val="000000"/>
                <w:sz w:val="26"/>
                <w:szCs w:val="26"/>
              </w:rPr>
              <w:t>$5.02</w:t>
            </w:r>
          </w:p>
        </w:tc>
        <w:tc>
          <w:tcPr>
            <w:tcW w:w="879" w:type="dxa"/>
            <w:tcBorders>
              <w:top w:val="single" w:sz="5" w:space="0" w:color="000000"/>
              <w:left w:val="single" w:sz="5" w:space="0" w:color="000000"/>
              <w:bottom w:val="single" w:sz="5" w:space="0" w:color="000000"/>
              <w:right w:val="single" w:sz="5" w:space="0" w:color="000000"/>
            </w:tcBorders>
            <w:vAlign w:val="center"/>
          </w:tcPr>
          <w:p w14:paraId="1706838A" w14:textId="77777777" w:rsidR="003C19D7" w:rsidRPr="00A57018" w:rsidRDefault="003C19D7" w:rsidP="00A57018">
            <w:pPr>
              <w:widowControl/>
              <w:tabs>
                <w:tab w:val="decimal" w:pos="504"/>
              </w:tabs>
              <w:spacing w:before="68" w:after="81" w:line="215" w:lineRule="exact"/>
              <w:textAlignment w:val="baseline"/>
              <w:rPr>
                <w:rFonts w:eastAsia="Calibri"/>
                <w:color w:val="000000"/>
                <w:sz w:val="26"/>
                <w:szCs w:val="26"/>
              </w:rPr>
            </w:pPr>
            <w:r w:rsidRPr="00A57018">
              <w:rPr>
                <w:rFonts w:eastAsia="Calibri"/>
                <w:color w:val="000000"/>
                <w:sz w:val="26"/>
                <w:szCs w:val="26"/>
              </w:rPr>
              <w:t>$9.35</w:t>
            </w:r>
          </w:p>
        </w:tc>
        <w:tc>
          <w:tcPr>
            <w:tcW w:w="883" w:type="dxa"/>
            <w:tcBorders>
              <w:top w:val="single" w:sz="5" w:space="0" w:color="000000"/>
              <w:left w:val="single" w:sz="5" w:space="0" w:color="000000"/>
              <w:bottom w:val="single" w:sz="5" w:space="0" w:color="000000"/>
              <w:right w:val="single" w:sz="5" w:space="0" w:color="000000"/>
            </w:tcBorders>
            <w:vAlign w:val="center"/>
          </w:tcPr>
          <w:p w14:paraId="6FF10797" w14:textId="77777777" w:rsidR="003C19D7" w:rsidRPr="00A57018" w:rsidRDefault="003C19D7" w:rsidP="00A57018">
            <w:pPr>
              <w:widowControl/>
              <w:tabs>
                <w:tab w:val="decimal" w:pos="504"/>
              </w:tabs>
              <w:spacing w:before="68" w:after="81" w:line="215" w:lineRule="exact"/>
              <w:textAlignment w:val="baseline"/>
              <w:rPr>
                <w:rFonts w:eastAsia="Calibri"/>
                <w:color w:val="000000"/>
                <w:sz w:val="26"/>
                <w:szCs w:val="26"/>
              </w:rPr>
            </w:pPr>
            <w:r w:rsidRPr="00A57018">
              <w:rPr>
                <w:rFonts w:eastAsia="Calibri"/>
                <w:color w:val="000000"/>
                <w:sz w:val="26"/>
                <w:szCs w:val="26"/>
              </w:rPr>
              <w:t>$8.79</w:t>
            </w:r>
          </w:p>
        </w:tc>
        <w:tc>
          <w:tcPr>
            <w:tcW w:w="878" w:type="dxa"/>
            <w:tcBorders>
              <w:top w:val="single" w:sz="5" w:space="0" w:color="000000"/>
              <w:left w:val="single" w:sz="5" w:space="0" w:color="000000"/>
              <w:bottom w:val="single" w:sz="5" w:space="0" w:color="000000"/>
              <w:right w:val="single" w:sz="5" w:space="0" w:color="000000"/>
            </w:tcBorders>
            <w:vAlign w:val="center"/>
          </w:tcPr>
          <w:p w14:paraId="0CBD307B" w14:textId="77777777" w:rsidR="003C19D7" w:rsidRPr="00A57018" w:rsidRDefault="003C19D7" w:rsidP="00A57018">
            <w:pPr>
              <w:widowControl/>
              <w:tabs>
                <w:tab w:val="decimal" w:pos="504"/>
              </w:tabs>
              <w:spacing w:before="68" w:after="81" w:line="215" w:lineRule="exact"/>
              <w:textAlignment w:val="baseline"/>
              <w:rPr>
                <w:rFonts w:eastAsia="Calibri"/>
                <w:color w:val="000000"/>
                <w:sz w:val="26"/>
                <w:szCs w:val="26"/>
              </w:rPr>
            </w:pPr>
            <w:r w:rsidRPr="00A57018">
              <w:rPr>
                <w:rFonts w:eastAsia="Calibri"/>
                <w:color w:val="000000"/>
                <w:sz w:val="26"/>
                <w:szCs w:val="26"/>
              </w:rPr>
              <w:t>$9.55</w:t>
            </w:r>
          </w:p>
        </w:tc>
        <w:tc>
          <w:tcPr>
            <w:tcW w:w="879" w:type="dxa"/>
            <w:tcBorders>
              <w:top w:val="single" w:sz="5" w:space="0" w:color="000000"/>
              <w:left w:val="single" w:sz="5" w:space="0" w:color="000000"/>
              <w:bottom w:val="single" w:sz="5" w:space="0" w:color="000000"/>
              <w:right w:val="single" w:sz="5" w:space="0" w:color="000000"/>
            </w:tcBorders>
            <w:vAlign w:val="center"/>
          </w:tcPr>
          <w:p w14:paraId="50F9A5A4" w14:textId="77777777" w:rsidR="003C19D7" w:rsidRPr="00A57018" w:rsidRDefault="003C19D7" w:rsidP="00A57018">
            <w:pPr>
              <w:widowControl/>
              <w:tabs>
                <w:tab w:val="decimal" w:pos="504"/>
              </w:tabs>
              <w:spacing w:before="68" w:after="81" w:line="215" w:lineRule="exact"/>
              <w:textAlignment w:val="baseline"/>
              <w:rPr>
                <w:rFonts w:eastAsia="Calibri"/>
                <w:color w:val="000000"/>
                <w:sz w:val="26"/>
                <w:szCs w:val="26"/>
              </w:rPr>
            </w:pPr>
            <w:r w:rsidRPr="00A57018">
              <w:rPr>
                <w:rFonts w:eastAsia="Calibri"/>
                <w:color w:val="000000"/>
                <w:sz w:val="26"/>
                <w:szCs w:val="26"/>
              </w:rPr>
              <w:t>$12.20</w:t>
            </w:r>
          </w:p>
        </w:tc>
        <w:tc>
          <w:tcPr>
            <w:tcW w:w="887" w:type="dxa"/>
            <w:tcBorders>
              <w:top w:val="single" w:sz="5" w:space="0" w:color="000000"/>
              <w:left w:val="single" w:sz="5" w:space="0" w:color="000000"/>
              <w:bottom w:val="single" w:sz="5" w:space="0" w:color="000000"/>
              <w:right w:val="single" w:sz="5" w:space="0" w:color="000000"/>
            </w:tcBorders>
            <w:vAlign w:val="center"/>
          </w:tcPr>
          <w:p w14:paraId="14545EF2" w14:textId="77777777" w:rsidR="003C19D7" w:rsidRPr="00A57018" w:rsidRDefault="003C19D7" w:rsidP="00A57018">
            <w:pPr>
              <w:widowControl/>
              <w:tabs>
                <w:tab w:val="decimal" w:pos="504"/>
              </w:tabs>
              <w:spacing w:before="68" w:after="81" w:line="215" w:lineRule="exact"/>
              <w:textAlignment w:val="baseline"/>
              <w:rPr>
                <w:rFonts w:eastAsia="Calibri"/>
                <w:color w:val="000000"/>
                <w:sz w:val="26"/>
                <w:szCs w:val="26"/>
              </w:rPr>
            </w:pPr>
            <w:r w:rsidRPr="00A57018">
              <w:rPr>
                <w:rFonts w:eastAsia="Calibri"/>
                <w:color w:val="000000"/>
                <w:sz w:val="26"/>
                <w:szCs w:val="26"/>
              </w:rPr>
              <w:t>$13.83</w:t>
            </w:r>
          </w:p>
        </w:tc>
      </w:tr>
      <w:tr w:rsidR="003C19D7" w:rsidRPr="00A57018" w14:paraId="1D45E6BB" w14:textId="77777777" w:rsidTr="00F07E48">
        <w:trPr>
          <w:trHeight w:hRule="exact" w:val="369"/>
        </w:trPr>
        <w:tc>
          <w:tcPr>
            <w:tcW w:w="1944" w:type="dxa"/>
            <w:tcBorders>
              <w:top w:val="single" w:sz="5" w:space="0" w:color="000000"/>
              <w:left w:val="single" w:sz="5" w:space="0" w:color="000000"/>
              <w:bottom w:val="single" w:sz="5" w:space="0" w:color="000000"/>
              <w:right w:val="single" w:sz="5" w:space="0" w:color="000000"/>
            </w:tcBorders>
            <w:vAlign w:val="center"/>
          </w:tcPr>
          <w:p w14:paraId="2289931F" w14:textId="77777777" w:rsidR="003C19D7" w:rsidRPr="00A57018" w:rsidRDefault="003C19D7" w:rsidP="00A57018">
            <w:pPr>
              <w:widowControl/>
              <w:spacing w:before="68" w:after="57" w:line="229" w:lineRule="exact"/>
              <w:ind w:left="129"/>
              <w:textAlignment w:val="baseline"/>
              <w:rPr>
                <w:rFonts w:eastAsia="Calibri"/>
                <w:color w:val="000000"/>
                <w:sz w:val="26"/>
                <w:szCs w:val="26"/>
              </w:rPr>
            </w:pPr>
            <w:r w:rsidRPr="00A57018">
              <w:rPr>
                <w:rFonts w:eastAsia="Calibri"/>
                <w:color w:val="000000"/>
                <w:sz w:val="26"/>
                <w:szCs w:val="26"/>
              </w:rPr>
              <w:t>Penelec poles</w:t>
            </w:r>
          </w:p>
        </w:tc>
        <w:tc>
          <w:tcPr>
            <w:tcW w:w="878" w:type="dxa"/>
            <w:tcBorders>
              <w:top w:val="single" w:sz="5" w:space="0" w:color="000000"/>
              <w:left w:val="single" w:sz="5" w:space="0" w:color="000000"/>
              <w:bottom w:val="single" w:sz="5" w:space="0" w:color="000000"/>
              <w:right w:val="single" w:sz="5" w:space="0" w:color="000000"/>
            </w:tcBorders>
            <w:vAlign w:val="center"/>
          </w:tcPr>
          <w:p w14:paraId="12DDDD1D" w14:textId="77777777" w:rsidR="003C19D7" w:rsidRPr="00A57018" w:rsidRDefault="003C19D7" w:rsidP="00A57018">
            <w:pPr>
              <w:widowControl/>
              <w:tabs>
                <w:tab w:val="decimal" w:pos="504"/>
              </w:tabs>
              <w:spacing w:before="68" w:after="71" w:line="215" w:lineRule="exact"/>
              <w:textAlignment w:val="baseline"/>
              <w:rPr>
                <w:rFonts w:eastAsia="Calibri"/>
                <w:color w:val="000000"/>
                <w:sz w:val="26"/>
                <w:szCs w:val="26"/>
              </w:rPr>
            </w:pPr>
            <w:r w:rsidRPr="00A57018">
              <w:rPr>
                <w:rFonts w:eastAsia="Calibri"/>
                <w:color w:val="000000"/>
                <w:sz w:val="26"/>
                <w:szCs w:val="26"/>
              </w:rPr>
              <w:t>$6.43</w:t>
            </w:r>
          </w:p>
        </w:tc>
        <w:tc>
          <w:tcPr>
            <w:tcW w:w="884" w:type="dxa"/>
            <w:tcBorders>
              <w:top w:val="single" w:sz="5" w:space="0" w:color="000000"/>
              <w:left w:val="single" w:sz="5" w:space="0" w:color="000000"/>
              <w:bottom w:val="single" w:sz="5" w:space="0" w:color="000000"/>
              <w:right w:val="single" w:sz="5" w:space="0" w:color="000000"/>
            </w:tcBorders>
            <w:vAlign w:val="center"/>
          </w:tcPr>
          <w:p w14:paraId="647854A2" w14:textId="77777777" w:rsidR="003C19D7" w:rsidRPr="00A57018" w:rsidRDefault="003C19D7" w:rsidP="00A57018">
            <w:pPr>
              <w:widowControl/>
              <w:tabs>
                <w:tab w:val="decimal" w:pos="504"/>
              </w:tabs>
              <w:spacing w:before="68" w:after="71" w:line="215" w:lineRule="exact"/>
              <w:textAlignment w:val="baseline"/>
              <w:rPr>
                <w:rFonts w:eastAsia="Calibri"/>
                <w:color w:val="000000"/>
                <w:sz w:val="26"/>
                <w:szCs w:val="26"/>
              </w:rPr>
            </w:pPr>
            <w:r w:rsidRPr="00A57018">
              <w:rPr>
                <w:rFonts w:eastAsia="Calibri"/>
                <w:color w:val="000000"/>
                <w:sz w:val="26"/>
                <w:szCs w:val="26"/>
              </w:rPr>
              <w:t>$6.79</w:t>
            </w:r>
          </w:p>
        </w:tc>
        <w:tc>
          <w:tcPr>
            <w:tcW w:w="878" w:type="dxa"/>
            <w:tcBorders>
              <w:top w:val="single" w:sz="5" w:space="0" w:color="000000"/>
              <w:left w:val="single" w:sz="5" w:space="0" w:color="000000"/>
              <w:bottom w:val="single" w:sz="5" w:space="0" w:color="000000"/>
              <w:right w:val="single" w:sz="5" w:space="0" w:color="000000"/>
            </w:tcBorders>
            <w:vAlign w:val="center"/>
          </w:tcPr>
          <w:p w14:paraId="7753C668" w14:textId="77777777" w:rsidR="003C19D7" w:rsidRPr="00A57018" w:rsidRDefault="003C19D7" w:rsidP="00A57018">
            <w:pPr>
              <w:widowControl/>
              <w:tabs>
                <w:tab w:val="decimal" w:pos="504"/>
              </w:tabs>
              <w:spacing w:before="68" w:after="71" w:line="215" w:lineRule="exact"/>
              <w:textAlignment w:val="baseline"/>
              <w:rPr>
                <w:rFonts w:eastAsia="Calibri"/>
                <w:color w:val="000000"/>
                <w:sz w:val="26"/>
                <w:szCs w:val="26"/>
              </w:rPr>
            </w:pPr>
            <w:r w:rsidRPr="00A57018">
              <w:rPr>
                <w:rFonts w:eastAsia="Calibri"/>
                <w:color w:val="000000"/>
                <w:sz w:val="26"/>
                <w:szCs w:val="26"/>
              </w:rPr>
              <w:t>$7.18</w:t>
            </w:r>
          </w:p>
        </w:tc>
        <w:tc>
          <w:tcPr>
            <w:tcW w:w="878" w:type="dxa"/>
            <w:tcBorders>
              <w:top w:val="single" w:sz="5" w:space="0" w:color="000000"/>
              <w:left w:val="single" w:sz="5" w:space="0" w:color="000000"/>
              <w:bottom w:val="single" w:sz="5" w:space="0" w:color="000000"/>
              <w:right w:val="single" w:sz="5" w:space="0" w:color="000000"/>
            </w:tcBorders>
            <w:vAlign w:val="center"/>
          </w:tcPr>
          <w:p w14:paraId="63EF71C6" w14:textId="77777777" w:rsidR="003C19D7" w:rsidRPr="00A57018" w:rsidRDefault="003C19D7" w:rsidP="00A57018">
            <w:pPr>
              <w:widowControl/>
              <w:tabs>
                <w:tab w:val="decimal" w:pos="504"/>
              </w:tabs>
              <w:spacing w:before="68" w:after="71" w:line="215" w:lineRule="exact"/>
              <w:textAlignment w:val="baseline"/>
              <w:rPr>
                <w:rFonts w:eastAsia="Calibri"/>
                <w:color w:val="000000"/>
                <w:sz w:val="26"/>
                <w:szCs w:val="26"/>
              </w:rPr>
            </w:pPr>
            <w:r w:rsidRPr="00A57018">
              <w:rPr>
                <w:rFonts w:eastAsia="Calibri"/>
                <w:color w:val="000000"/>
                <w:sz w:val="26"/>
                <w:szCs w:val="26"/>
              </w:rPr>
              <w:t>$5.21</w:t>
            </w:r>
          </w:p>
        </w:tc>
        <w:tc>
          <w:tcPr>
            <w:tcW w:w="879" w:type="dxa"/>
            <w:tcBorders>
              <w:top w:val="single" w:sz="5" w:space="0" w:color="000000"/>
              <w:left w:val="single" w:sz="5" w:space="0" w:color="000000"/>
              <w:bottom w:val="single" w:sz="5" w:space="0" w:color="000000"/>
              <w:right w:val="single" w:sz="5" w:space="0" w:color="000000"/>
            </w:tcBorders>
            <w:vAlign w:val="center"/>
          </w:tcPr>
          <w:p w14:paraId="73ECABA4" w14:textId="77777777" w:rsidR="003C19D7" w:rsidRPr="00A57018" w:rsidRDefault="003C19D7" w:rsidP="00A57018">
            <w:pPr>
              <w:widowControl/>
              <w:tabs>
                <w:tab w:val="decimal" w:pos="504"/>
              </w:tabs>
              <w:spacing w:before="68" w:after="71" w:line="215" w:lineRule="exact"/>
              <w:textAlignment w:val="baseline"/>
              <w:rPr>
                <w:rFonts w:eastAsia="Calibri"/>
                <w:color w:val="000000"/>
                <w:sz w:val="26"/>
                <w:szCs w:val="26"/>
              </w:rPr>
            </w:pPr>
            <w:r w:rsidRPr="00A57018">
              <w:rPr>
                <w:rFonts w:eastAsia="Calibri"/>
                <w:color w:val="000000"/>
                <w:sz w:val="26"/>
                <w:szCs w:val="26"/>
              </w:rPr>
              <w:t>$6.96</w:t>
            </w:r>
          </w:p>
        </w:tc>
        <w:tc>
          <w:tcPr>
            <w:tcW w:w="883" w:type="dxa"/>
            <w:tcBorders>
              <w:top w:val="single" w:sz="5" w:space="0" w:color="000000"/>
              <w:left w:val="single" w:sz="5" w:space="0" w:color="000000"/>
              <w:bottom w:val="single" w:sz="5" w:space="0" w:color="000000"/>
              <w:right w:val="single" w:sz="5" w:space="0" w:color="000000"/>
            </w:tcBorders>
            <w:vAlign w:val="center"/>
          </w:tcPr>
          <w:p w14:paraId="5981B64D" w14:textId="77777777" w:rsidR="003C19D7" w:rsidRPr="00A57018" w:rsidRDefault="003C19D7" w:rsidP="00A57018">
            <w:pPr>
              <w:widowControl/>
              <w:tabs>
                <w:tab w:val="decimal" w:pos="504"/>
              </w:tabs>
              <w:spacing w:before="68" w:after="71" w:line="215" w:lineRule="exact"/>
              <w:textAlignment w:val="baseline"/>
              <w:rPr>
                <w:rFonts w:eastAsia="Calibri"/>
                <w:color w:val="000000"/>
                <w:sz w:val="26"/>
                <w:szCs w:val="26"/>
              </w:rPr>
            </w:pPr>
            <w:r w:rsidRPr="00A57018">
              <w:rPr>
                <w:rFonts w:eastAsia="Calibri"/>
                <w:color w:val="000000"/>
                <w:sz w:val="26"/>
                <w:szCs w:val="26"/>
              </w:rPr>
              <w:t>$7.18</w:t>
            </w:r>
          </w:p>
        </w:tc>
        <w:tc>
          <w:tcPr>
            <w:tcW w:w="878" w:type="dxa"/>
            <w:tcBorders>
              <w:top w:val="single" w:sz="5" w:space="0" w:color="000000"/>
              <w:left w:val="single" w:sz="5" w:space="0" w:color="000000"/>
              <w:bottom w:val="single" w:sz="5" w:space="0" w:color="000000"/>
              <w:right w:val="single" w:sz="5" w:space="0" w:color="000000"/>
            </w:tcBorders>
            <w:vAlign w:val="center"/>
          </w:tcPr>
          <w:p w14:paraId="603B8E66" w14:textId="77777777" w:rsidR="003C19D7" w:rsidRPr="00A57018" w:rsidRDefault="003C19D7" w:rsidP="00A57018">
            <w:pPr>
              <w:widowControl/>
              <w:tabs>
                <w:tab w:val="decimal" w:pos="504"/>
              </w:tabs>
              <w:spacing w:before="68" w:after="71" w:line="215" w:lineRule="exact"/>
              <w:textAlignment w:val="baseline"/>
              <w:rPr>
                <w:rFonts w:eastAsia="Calibri"/>
                <w:color w:val="000000"/>
                <w:sz w:val="26"/>
                <w:szCs w:val="26"/>
              </w:rPr>
            </w:pPr>
            <w:r w:rsidRPr="00A57018">
              <w:rPr>
                <w:rFonts w:eastAsia="Calibri"/>
                <w:color w:val="000000"/>
                <w:sz w:val="26"/>
                <w:szCs w:val="26"/>
              </w:rPr>
              <w:t>$7.49</w:t>
            </w:r>
          </w:p>
        </w:tc>
        <w:tc>
          <w:tcPr>
            <w:tcW w:w="879" w:type="dxa"/>
            <w:tcBorders>
              <w:top w:val="single" w:sz="5" w:space="0" w:color="000000"/>
              <w:left w:val="single" w:sz="5" w:space="0" w:color="000000"/>
              <w:bottom w:val="single" w:sz="5" w:space="0" w:color="000000"/>
              <w:right w:val="single" w:sz="5" w:space="0" w:color="000000"/>
            </w:tcBorders>
            <w:vAlign w:val="center"/>
          </w:tcPr>
          <w:p w14:paraId="67D2C481" w14:textId="77777777" w:rsidR="003C19D7" w:rsidRPr="00A57018" w:rsidRDefault="003C19D7" w:rsidP="00A57018">
            <w:pPr>
              <w:widowControl/>
              <w:tabs>
                <w:tab w:val="decimal" w:pos="504"/>
              </w:tabs>
              <w:spacing w:before="68" w:after="71" w:line="215" w:lineRule="exact"/>
              <w:textAlignment w:val="baseline"/>
              <w:rPr>
                <w:rFonts w:eastAsia="Calibri"/>
                <w:color w:val="000000"/>
                <w:sz w:val="26"/>
                <w:szCs w:val="26"/>
              </w:rPr>
            </w:pPr>
            <w:r w:rsidRPr="00A57018">
              <w:rPr>
                <w:rFonts w:eastAsia="Calibri"/>
                <w:color w:val="000000"/>
                <w:sz w:val="26"/>
                <w:szCs w:val="26"/>
              </w:rPr>
              <w:t>$10.49</w:t>
            </w:r>
          </w:p>
        </w:tc>
        <w:tc>
          <w:tcPr>
            <w:tcW w:w="887" w:type="dxa"/>
            <w:tcBorders>
              <w:top w:val="single" w:sz="5" w:space="0" w:color="000000"/>
              <w:left w:val="single" w:sz="5" w:space="0" w:color="000000"/>
              <w:bottom w:val="single" w:sz="5" w:space="0" w:color="000000"/>
              <w:right w:val="single" w:sz="5" w:space="0" w:color="000000"/>
            </w:tcBorders>
            <w:vAlign w:val="center"/>
          </w:tcPr>
          <w:p w14:paraId="1BC986D2" w14:textId="77777777" w:rsidR="003C19D7" w:rsidRPr="00A57018" w:rsidRDefault="003C19D7" w:rsidP="00A57018">
            <w:pPr>
              <w:widowControl/>
              <w:tabs>
                <w:tab w:val="decimal" w:pos="504"/>
              </w:tabs>
              <w:spacing w:before="68" w:after="71" w:line="215" w:lineRule="exact"/>
              <w:textAlignment w:val="baseline"/>
              <w:rPr>
                <w:rFonts w:eastAsia="Calibri"/>
                <w:color w:val="000000"/>
                <w:sz w:val="26"/>
                <w:szCs w:val="26"/>
              </w:rPr>
            </w:pPr>
            <w:r w:rsidRPr="00A57018">
              <w:rPr>
                <w:rFonts w:eastAsia="Calibri"/>
                <w:color w:val="000000"/>
                <w:sz w:val="26"/>
                <w:szCs w:val="26"/>
              </w:rPr>
              <w:t>$9.07</w:t>
            </w:r>
          </w:p>
        </w:tc>
      </w:tr>
      <w:tr w:rsidR="003C19D7" w:rsidRPr="00A57018" w14:paraId="5D657B4E" w14:textId="77777777" w:rsidTr="00F07E48">
        <w:trPr>
          <w:trHeight w:hRule="exact" w:val="375"/>
        </w:trPr>
        <w:tc>
          <w:tcPr>
            <w:tcW w:w="1944" w:type="dxa"/>
            <w:tcBorders>
              <w:top w:val="single" w:sz="5" w:space="0" w:color="000000"/>
              <w:left w:val="single" w:sz="5" w:space="0" w:color="000000"/>
              <w:bottom w:val="single" w:sz="5" w:space="0" w:color="000000"/>
              <w:right w:val="single" w:sz="5" w:space="0" w:color="000000"/>
            </w:tcBorders>
            <w:vAlign w:val="center"/>
          </w:tcPr>
          <w:p w14:paraId="1DB14F81" w14:textId="77777777" w:rsidR="003C19D7" w:rsidRPr="00A57018" w:rsidRDefault="003C19D7" w:rsidP="00A57018">
            <w:pPr>
              <w:widowControl/>
              <w:spacing w:before="69" w:after="76" w:line="229" w:lineRule="exact"/>
              <w:ind w:left="129"/>
              <w:textAlignment w:val="baseline"/>
              <w:rPr>
                <w:rFonts w:eastAsia="Calibri"/>
                <w:color w:val="000000"/>
                <w:sz w:val="26"/>
                <w:szCs w:val="26"/>
              </w:rPr>
            </w:pPr>
            <w:r w:rsidRPr="00A57018">
              <w:rPr>
                <w:rFonts w:eastAsia="Calibri"/>
                <w:color w:val="000000"/>
                <w:sz w:val="26"/>
                <w:szCs w:val="26"/>
              </w:rPr>
              <w:t>Penn Power poles</w:t>
            </w:r>
          </w:p>
        </w:tc>
        <w:tc>
          <w:tcPr>
            <w:tcW w:w="878" w:type="dxa"/>
            <w:tcBorders>
              <w:top w:val="single" w:sz="5" w:space="0" w:color="000000"/>
              <w:left w:val="single" w:sz="5" w:space="0" w:color="000000"/>
              <w:bottom w:val="single" w:sz="5" w:space="0" w:color="000000"/>
              <w:right w:val="single" w:sz="5" w:space="0" w:color="000000"/>
            </w:tcBorders>
            <w:vAlign w:val="center"/>
          </w:tcPr>
          <w:p w14:paraId="3643CADA" w14:textId="77777777" w:rsidR="003C19D7" w:rsidRPr="00A57018" w:rsidRDefault="003C19D7" w:rsidP="00A57018">
            <w:pPr>
              <w:widowControl/>
              <w:tabs>
                <w:tab w:val="decimal" w:pos="504"/>
              </w:tabs>
              <w:spacing w:before="69" w:after="91" w:line="214" w:lineRule="exact"/>
              <w:textAlignment w:val="baseline"/>
              <w:rPr>
                <w:rFonts w:eastAsia="Calibri"/>
                <w:color w:val="000000"/>
                <w:sz w:val="26"/>
                <w:szCs w:val="26"/>
              </w:rPr>
            </w:pPr>
            <w:r w:rsidRPr="00A57018">
              <w:rPr>
                <w:rFonts w:eastAsia="Calibri"/>
                <w:color w:val="000000"/>
                <w:sz w:val="26"/>
                <w:szCs w:val="26"/>
              </w:rPr>
              <w:t>$7.30</w:t>
            </w:r>
          </w:p>
        </w:tc>
        <w:tc>
          <w:tcPr>
            <w:tcW w:w="884" w:type="dxa"/>
            <w:tcBorders>
              <w:top w:val="single" w:sz="5" w:space="0" w:color="000000"/>
              <w:left w:val="single" w:sz="5" w:space="0" w:color="000000"/>
              <w:bottom w:val="single" w:sz="5" w:space="0" w:color="000000"/>
              <w:right w:val="single" w:sz="5" w:space="0" w:color="000000"/>
            </w:tcBorders>
            <w:vAlign w:val="center"/>
          </w:tcPr>
          <w:p w14:paraId="61C9CF81" w14:textId="77777777" w:rsidR="003C19D7" w:rsidRPr="00A57018" w:rsidRDefault="003C19D7" w:rsidP="00A57018">
            <w:pPr>
              <w:widowControl/>
              <w:tabs>
                <w:tab w:val="decimal" w:pos="504"/>
              </w:tabs>
              <w:spacing w:before="69" w:after="91" w:line="214" w:lineRule="exact"/>
              <w:textAlignment w:val="baseline"/>
              <w:rPr>
                <w:rFonts w:eastAsia="Calibri"/>
                <w:color w:val="000000"/>
                <w:sz w:val="26"/>
                <w:szCs w:val="26"/>
              </w:rPr>
            </w:pPr>
            <w:r w:rsidRPr="00A57018">
              <w:rPr>
                <w:rFonts w:eastAsia="Calibri"/>
                <w:color w:val="000000"/>
                <w:sz w:val="26"/>
                <w:szCs w:val="26"/>
              </w:rPr>
              <w:t>$8.47</w:t>
            </w:r>
          </w:p>
        </w:tc>
        <w:tc>
          <w:tcPr>
            <w:tcW w:w="878" w:type="dxa"/>
            <w:tcBorders>
              <w:top w:val="single" w:sz="5" w:space="0" w:color="000000"/>
              <w:left w:val="single" w:sz="5" w:space="0" w:color="000000"/>
              <w:bottom w:val="single" w:sz="5" w:space="0" w:color="000000"/>
              <w:right w:val="single" w:sz="5" w:space="0" w:color="000000"/>
            </w:tcBorders>
            <w:vAlign w:val="center"/>
          </w:tcPr>
          <w:p w14:paraId="162A7E8D" w14:textId="77777777" w:rsidR="003C19D7" w:rsidRPr="00A57018" w:rsidRDefault="003C19D7" w:rsidP="00A57018">
            <w:pPr>
              <w:widowControl/>
              <w:tabs>
                <w:tab w:val="decimal" w:pos="504"/>
              </w:tabs>
              <w:spacing w:before="69" w:after="91" w:line="214" w:lineRule="exact"/>
              <w:textAlignment w:val="baseline"/>
              <w:rPr>
                <w:rFonts w:eastAsia="Calibri"/>
                <w:color w:val="000000"/>
                <w:sz w:val="26"/>
                <w:szCs w:val="26"/>
              </w:rPr>
            </w:pPr>
            <w:r w:rsidRPr="00A57018">
              <w:rPr>
                <w:rFonts w:eastAsia="Calibri"/>
                <w:color w:val="000000"/>
                <w:sz w:val="26"/>
                <w:szCs w:val="26"/>
              </w:rPr>
              <w:t>$8.51</w:t>
            </w:r>
          </w:p>
        </w:tc>
        <w:tc>
          <w:tcPr>
            <w:tcW w:w="878" w:type="dxa"/>
            <w:tcBorders>
              <w:top w:val="single" w:sz="5" w:space="0" w:color="000000"/>
              <w:left w:val="single" w:sz="5" w:space="0" w:color="000000"/>
              <w:bottom w:val="single" w:sz="5" w:space="0" w:color="000000"/>
              <w:right w:val="single" w:sz="5" w:space="0" w:color="000000"/>
            </w:tcBorders>
            <w:vAlign w:val="center"/>
          </w:tcPr>
          <w:p w14:paraId="7745B645" w14:textId="77777777" w:rsidR="003C19D7" w:rsidRPr="00A57018" w:rsidRDefault="003C19D7" w:rsidP="00A57018">
            <w:pPr>
              <w:widowControl/>
              <w:tabs>
                <w:tab w:val="decimal" w:pos="504"/>
              </w:tabs>
              <w:spacing w:before="69" w:after="91" w:line="214" w:lineRule="exact"/>
              <w:textAlignment w:val="baseline"/>
              <w:rPr>
                <w:rFonts w:eastAsia="Calibri"/>
                <w:color w:val="000000"/>
                <w:sz w:val="26"/>
                <w:szCs w:val="26"/>
              </w:rPr>
            </w:pPr>
            <w:r w:rsidRPr="00A57018">
              <w:rPr>
                <w:rFonts w:eastAsia="Calibri"/>
                <w:color w:val="000000"/>
                <w:sz w:val="26"/>
                <w:szCs w:val="26"/>
              </w:rPr>
              <w:t>$8.21</w:t>
            </w:r>
          </w:p>
        </w:tc>
        <w:tc>
          <w:tcPr>
            <w:tcW w:w="879" w:type="dxa"/>
            <w:tcBorders>
              <w:top w:val="single" w:sz="5" w:space="0" w:color="000000"/>
              <w:left w:val="single" w:sz="5" w:space="0" w:color="000000"/>
              <w:bottom w:val="single" w:sz="5" w:space="0" w:color="000000"/>
              <w:right w:val="single" w:sz="5" w:space="0" w:color="000000"/>
            </w:tcBorders>
            <w:vAlign w:val="center"/>
          </w:tcPr>
          <w:p w14:paraId="486E671B" w14:textId="77777777" w:rsidR="003C19D7" w:rsidRPr="00A57018" w:rsidRDefault="003C19D7" w:rsidP="00A57018">
            <w:pPr>
              <w:widowControl/>
              <w:tabs>
                <w:tab w:val="decimal" w:pos="504"/>
              </w:tabs>
              <w:spacing w:before="69" w:after="91" w:line="214" w:lineRule="exact"/>
              <w:textAlignment w:val="baseline"/>
              <w:rPr>
                <w:rFonts w:eastAsia="Calibri"/>
                <w:color w:val="000000"/>
                <w:sz w:val="26"/>
                <w:szCs w:val="26"/>
              </w:rPr>
            </w:pPr>
            <w:r w:rsidRPr="00A57018">
              <w:rPr>
                <w:rFonts w:eastAsia="Calibri"/>
                <w:color w:val="000000"/>
                <w:sz w:val="26"/>
                <w:szCs w:val="26"/>
              </w:rPr>
              <w:t>$8.94</w:t>
            </w:r>
          </w:p>
        </w:tc>
        <w:tc>
          <w:tcPr>
            <w:tcW w:w="883" w:type="dxa"/>
            <w:tcBorders>
              <w:top w:val="single" w:sz="5" w:space="0" w:color="000000"/>
              <w:left w:val="single" w:sz="5" w:space="0" w:color="000000"/>
              <w:bottom w:val="single" w:sz="5" w:space="0" w:color="000000"/>
              <w:right w:val="single" w:sz="5" w:space="0" w:color="000000"/>
            </w:tcBorders>
            <w:vAlign w:val="center"/>
          </w:tcPr>
          <w:p w14:paraId="4E766255" w14:textId="77777777" w:rsidR="003C19D7" w:rsidRPr="00A57018" w:rsidRDefault="003C19D7" w:rsidP="00A57018">
            <w:pPr>
              <w:widowControl/>
              <w:tabs>
                <w:tab w:val="decimal" w:pos="504"/>
              </w:tabs>
              <w:spacing w:before="69" w:after="91" w:line="214" w:lineRule="exact"/>
              <w:textAlignment w:val="baseline"/>
              <w:rPr>
                <w:rFonts w:eastAsia="Calibri"/>
                <w:color w:val="000000"/>
                <w:sz w:val="26"/>
                <w:szCs w:val="26"/>
              </w:rPr>
            </w:pPr>
            <w:r w:rsidRPr="00A57018">
              <w:rPr>
                <w:rFonts w:eastAsia="Calibri"/>
                <w:color w:val="000000"/>
                <w:sz w:val="26"/>
                <w:szCs w:val="26"/>
              </w:rPr>
              <w:t>$9.40</w:t>
            </w:r>
          </w:p>
        </w:tc>
        <w:tc>
          <w:tcPr>
            <w:tcW w:w="878" w:type="dxa"/>
            <w:tcBorders>
              <w:top w:val="single" w:sz="5" w:space="0" w:color="000000"/>
              <w:left w:val="single" w:sz="5" w:space="0" w:color="000000"/>
              <w:bottom w:val="single" w:sz="5" w:space="0" w:color="000000"/>
              <w:right w:val="single" w:sz="5" w:space="0" w:color="000000"/>
            </w:tcBorders>
            <w:vAlign w:val="center"/>
          </w:tcPr>
          <w:p w14:paraId="2EA72375" w14:textId="77777777" w:rsidR="003C19D7" w:rsidRPr="00A57018" w:rsidRDefault="003C19D7" w:rsidP="00A57018">
            <w:pPr>
              <w:widowControl/>
              <w:tabs>
                <w:tab w:val="decimal" w:pos="504"/>
              </w:tabs>
              <w:spacing w:before="69" w:after="91" w:line="214" w:lineRule="exact"/>
              <w:textAlignment w:val="baseline"/>
              <w:rPr>
                <w:rFonts w:eastAsia="Calibri"/>
                <w:color w:val="000000"/>
                <w:sz w:val="26"/>
                <w:szCs w:val="26"/>
              </w:rPr>
            </w:pPr>
            <w:r w:rsidRPr="00A57018">
              <w:rPr>
                <w:rFonts w:eastAsia="Calibri"/>
                <w:color w:val="000000"/>
                <w:sz w:val="26"/>
                <w:szCs w:val="26"/>
              </w:rPr>
              <w:t>$9.08</w:t>
            </w:r>
          </w:p>
        </w:tc>
        <w:tc>
          <w:tcPr>
            <w:tcW w:w="879" w:type="dxa"/>
            <w:tcBorders>
              <w:top w:val="single" w:sz="5" w:space="0" w:color="000000"/>
              <w:left w:val="single" w:sz="5" w:space="0" w:color="000000"/>
              <w:bottom w:val="single" w:sz="5" w:space="0" w:color="000000"/>
              <w:right w:val="single" w:sz="5" w:space="0" w:color="000000"/>
            </w:tcBorders>
            <w:vAlign w:val="center"/>
          </w:tcPr>
          <w:p w14:paraId="5D080B68" w14:textId="77777777" w:rsidR="003C19D7" w:rsidRPr="00A57018" w:rsidRDefault="003C19D7" w:rsidP="00A57018">
            <w:pPr>
              <w:widowControl/>
              <w:tabs>
                <w:tab w:val="decimal" w:pos="504"/>
              </w:tabs>
              <w:spacing w:before="69" w:after="91" w:line="214" w:lineRule="exact"/>
              <w:textAlignment w:val="baseline"/>
              <w:rPr>
                <w:rFonts w:eastAsia="Calibri"/>
                <w:color w:val="000000"/>
                <w:sz w:val="26"/>
                <w:szCs w:val="26"/>
              </w:rPr>
            </w:pPr>
            <w:r w:rsidRPr="00A57018">
              <w:rPr>
                <w:rFonts w:eastAsia="Calibri"/>
                <w:color w:val="000000"/>
                <w:sz w:val="26"/>
                <w:szCs w:val="26"/>
              </w:rPr>
              <w:t>$11.18</w:t>
            </w:r>
          </w:p>
        </w:tc>
        <w:tc>
          <w:tcPr>
            <w:tcW w:w="887" w:type="dxa"/>
            <w:tcBorders>
              <w:top w:val="single" w:sz="5" w:space="0" w:color="000000"/>
              <w:left w:val="single" w:sz="5" w:space="0" w:color="000000"/>
              <w:bottom w:val="single" w:sz="5" w:space="0" w:color="000000"/>
              <w:right w:val="single" w:sz="5" w:space="0" w:color="000000"/>
            </w:tcBorders>
            <w:vAlign w:val="center"/>
          </w:tcPr>
          <w:p w14:paraId="18AA6EB3" w14:textId="77777777" w:rsidR="003C19D7" w:rsidRPr="00A57018" w:rsidRDefault="003C19D7" w:rsidP="00A57018">
            <w:pPr>
              <w:widowControl/>
              <w:tabs>
                <w:tab w:val="decimal" w:pos="504"/>
              </w:tabs>
              <w:spacing w:before="69" w:after="91" w:line="214" w:lineRule="exact"/>
              <w:textAlignment w:val="baseline"/>
              <w:rPr>
                <w:rFonts w:eastAsia="Calibri"/>
                <w:color w:val="000000"/>
                <w:sz w:val="26"/>
                <w:szCs w:val="26"/>
              </w:rPr>
            </w:pPr>
            <w:r w:rsidRPr="00A57018">
              <w:rPr>
                <w:rFonts w:eastAsia="Calibri"/>
                <w:color w:val="000000"/>
                <w:sz w:val="26"/>
                <w:szCs w:val="26"/>
              </w:rPr>
              <w:t>$11.80</w:t>
            </w:r>
          </w:p>
        </w:tc>
      </w:tr>
    </w:tbl>
    <w:p w14:paraId="0112FD6E" w14:textId="5091154A" w:rsidR="003C19D7" w:rsidRPr="00A57018" w:rsidRDefault="003C19D7" w:rsidP="00A57018">
      <w:pPr>
        <w:widowControl/>
        <w:spacing w:line="360" w:lineRule="auto"/>
        <w:ind w:firstLine="1440"/>
        <w:rPr>
          <w:sz w:val="26"/>
          <w:szCs w:val="26"/>
        </w:rPr>
      </w:pPr>
    </w:p>
    <w:p w14:paraId="04B3376F" w14:textId="77777777" w:rsidR="00E43775" w:rsidRPr="00A57018" w:rsidRDefault="003C19D7" w:rsidP="00A57018">
      <w:pPr>
        <w:widowControl/>
        <w:spacing w:line="360" w:lineRule="auto"/>
        <w:rPr>
          <w:sz w:val="26"/>
          <w:szCs w:val="26"/>
        </w:rPr>
      </w:pPr>
      <w:r w:rsidRPr="00A57018">
        <w:rPr>
          <w:sz w:val="26"/>
          <w:szCs w:val="26"/>
        </w:rPr>
        <w:t>R.D. at 8-9 (Finding of Fact No. 11).</w:t>
      </w:r>
      <w:r w:rsidR="00E321F8" w:rsidRPr="00A57018">
        <w:rPr>
          <w:sz w:val="26"/>
          <w:szCs w:val="26"/>
        </w:rPr>
        <w:t xml:space="preserve">  </w:t>
      </w:r>
    </w:p>
    <w:p w14:paraId="68EA97CA" w14:textId="10646E17" w:rsidR="003C19D7" w:rsidRPr="00A57018" w:rsidRDefault="00E321F8" w:rsidP="00A57018">
      <w:pPr>
        <w:widowControl/>
        <w:spacing w:line="360" w:lineRule="auto"/>
        <w:ind w:firstLine="1440"/>
        <w:rPr>
          <w:sz w:val="26"/>
          <w:szCs w:val="26"/>
        </w:rPr>
      </w:pPr>
      <w:r w:rsidRPr="00A57018">
        <w:rPr>
          <w:sz w:val="26"/>
          <w:szCs w:val="26"/>
        </w:rPr>
        <w:lastRenderedPageBreak/>
        <w:t>The Recommended Decision then provided that “the rates going forward” will be “the same” (meaning they will be calculated in the same manner when the relevant cost data becomes available</w:t>
      </w:r>
      <w:r w:rsidR="0060164D" w:rsidRPr="00A57018">
        <w:rPr>
          <w:rStyle w:val="FootnoteReference"/>
          <w:sz w:val="26"/>
          <w:szCs w:val="26"/>
        </w:rPr>
        <w:footnoteReference w:id="28"/>
      </w:r>
      <w:r w:rsidRPr="00A57018">
        <w:rPr>
          <w:sz w:val="26"/>
          <w:szCs w:val="26"/>
        </w:rPr>
        <w:t>).  R.D. at 66, 69 (“The rates that Verizon pays FirstEnergy to attach to its poles will be determined using the new telecom rate methodology going forward.”)</w:t>
      </w:r>
      <w:r w:rsidR="0049595B" w:rsidRPr="00A57018">
        <w:rPr>
          <w:sz w:val="26"/>
          <w:szCs w:val="26"/>
        </w:rPr>
        <w:t>; R.D. at 56 (“[G]oing forward, the rates that First Energy charges Verizon to attach to its poles should be determined based on the new telecom rates.”)</w:t>
      </w:r>
      <w:r w:rsidRPr="00A57018">
        <w:rPr>
          <w:sz w:val="26"/>
          <w:szCs w:val="26"/>
        </w:rPr>
        <w:t xml:space="preserve">.  </w:t>
      </w:r>
      <w:r w:rsidR="004953CD" w:rsidRPr="00A57018">
        <w:rPr>
          <w:sz w:val="26"/>
          <w:szCs w:val="26"/>
        </w:rPr>
        <w:t xml:space="preserve">The ALJ explained that doing so would be consistent with Section 1.1407(a)(2) of the FCC’s regulations adopted by the Commission through the </w:t>
      </w:r>
      <w:r w:rsidR="004953CD" w:rsidRPr="00A57018">
        <w:rPr>
          <w:i/>
          <w:iCs/>
          <w:sz w:val="26"/>
          <w:szCs w:val="26"/>
        </w:rPr>
        <w:t>2019 Final Rulemaking Order</w:t>
      </w:r>
      <w:r w:rsidR="004953CD" w:rsidRPr="00A57018">
        <w:rPr>
          <w:sz w:val="26"/>
          <w:szCs w:val="26"/>
        </w:rPr>
        <w:t>.</w:t>
      </w:r>
      <w:r w:rsidR="004953CD" w:rsidRPr="00A57018">
        <w:rPr>
          <w:rStyle w:val="FootnoteReference"/>
          <w:sz w:val="26"/>
          <w:szCs w:val="26"/>
        </w:rPr>
        <w:footnoteReference w:id="29"/>
      </w:r>
      <w:r w:rsidR="00AD1072" w:rsidRPr="00A57018">
        <w:rPr>
          <w:sz w:val="26"/>
          <w:szCs w:val="26"/>
        </w:rPr>
        <w:t xml:space="preserve">  The ALJ concluded that the new telecom rate should therefore be substituted into the J</w:t>
      </w:r>
      <w:r w:rsidR="00053825" w:rsidRPr="00A57018">
        <w:rPr>
          <w:sz w:val="26"/>
          <w:szCs w:val="26"/>
        </w:rPr>
        <w:t>UAs</w:t>
      </w:r>
      <w:r w:rsidR="00AD1072" w:rsidRPr="00A57018">
        <w:rPr>
          <w:sz w:val="26"/>
          <w:szCs w:val="26"/>
        </w:rPr>
        <w:t xml:space="preserve"> and govern Verizon’s attachment to FirstEnergy’s poles going forward.  R.D. at 56-57.  </w:t>
      </w:r>
    </w:p>
    <w:p w14:paraId="0CE2D7C8" w14:textId="757CDE0F" w:rsidR="005B2FF0" w:rsidRPr="00A57018" w:rsidRDefault="005B2FF0" w:rsidP="00A57018">
      <w:pPr>
        <w:widowControl/>
        <w:spacing w:line="360" w:lineRule="auto"/>
        <w:ind w:firstLine="1440"/>
        <w:rPr>
          <w:sz w:val="26"/>
          <w:szCs w:val="26"/>
        </w:rPr>
      </w:pPr>
    </w:p>
    <w:p w14:paraId="711FB5E9" w14:textId="45DD65FA" w:rsidR="004E12F7" w:rsidRPr="00A57018" w:rsidRDefault="005B2FF0" w:rsidP="00A57018">
      <w:pPr>
        <w:widowControl/>
        <w:spacing w:line="360" w:lineRule="auto"/>
        <w:ind w:firstLine="1440"/>
        <w:rPr>
          <w:sz w:val="26"/>
          <w:szCs w:val="26"/>
        </w:rPr>
      </w:pPr>
      <w:r w:rsidRPr="00A57018">
        <w:rPr>
          <w:sz w:val="26"/>
          <w:szCs w:val="26"/>
        </w:rPr>
        <w:t xml:space="preserve">The ALJ added that since FirstEnergy should have been charging Verizon the new telecom rate as of March 11, 2019, Verizon will be entitled to refunds beginning </w:t>
      </w:r>
      <w:r w:rsidRPr="00A57018">
        <w:rPr>
          <w:sz w:val="26"/>
          <w:szCs w:val="26"/>
        </w:rPr>
        <w:lastRenderedPageBreak/>
        <w:t xml:space="preserve">with that date, as discussed below.  The ALJ stated that to the </w:t>
      </w:r>
      <w:r w:rsidR="004E12F7" w:rsidRPr="00A57018">
        <w:rPr>
          <w:sz w:val="26"/>
          <w:szCs w:val="26"/>
        </w:rPr>
        <w:t>extent that FirstEnergy wishes to defer and record as a regulatory asset the difference between the existing rates and the new rates and recover the difference in its next base rate case, FirstEnergy is free to make such an argument during its next base rate proceeding.</w:t>
      </w:r>
      <w:r w:rsidRPr="00A57018">
        <w:rPr>
          <w:sz w:val="26"/>
          <w:szCs w:val="26"/>
        </w:rPr>
        <w:t xml:space="preserve">  R.D. at 59.  </w:t>
      </w:r>
    </w:p>
    <w:p w14:paraId="62071354" w14:textId="77777777" w:rsidR="0039246C" w:rsidRPr="00A57018" w:rsidRDefault="0039246C" w:rsidP="00A57018">
      <w:pPr>
        <w:pStyle w:val="Heading4"/>
        <w:widowControl/>
        <w:numPr>
          <w:ilvl w:val="0"/>
          <w:numId w:val="0"/>
        </w:numPr>
      </w:pPr>
    </w:p>
    <w:p w14:paraId="447D558E" w14:textId="6760E0A4" w:rsidR="0039246C" w:rsidRPr="00A57018" w:rsidRDefault="0039246C" w:rsidP="00A57018">
      <w:pPr>
        <w:pStyle w:val="Heading3"/>
        <w:ind w:left="1440" w:hanging="720"/>
      </w:pPr>
      <w:bookmarkStart w:id="43" w:name="_Toc59179309"/>
      <w:r w:rsidRPr="00A57018">
        <w:t>Exceptions and Replies</w:t>
      </w:r>
      <w:r w:rsidR="00C12041" w:rsidRPr="00A57018">
        <w:t xml:space="preserve"> (FirstEnergy Exception Nos. 7-10)</w:t>
      </w:r>
      <w:bookmarkEnd w:id="43"/>
    </w:p>
    <w:p w14:paraId="174812D6" w14:textId="2D180F35" w:rsidR="0039246C" w:rsidRPr="00A57018" w:rsidRDefault="0039246C" w:rsidP="00A57018">
      <w:pPr>
        <w:pStyle w:val="Heading4"/>
        <w:widowControl/>
        <w:numPr>
          <w:ilvl w:val="0"/>
          <w:numId w:val="0"/>
        </w:numPr>
        <w:ind w:left="2160"/>
      </w:pPr>
    </w:p>
    <w:p w14:paraId="0F0C2299" w14:textId="63400387" w:rsidR="00146324" w:rsidRPr="00A57018" w:rsidRDefault="006C2F32" w:rsidP="00A57018">
      <w:pPr>
        <w:pStyle w:val="Heading4"/>
        <w:widowControl/>
        <w:numPr>
          <w:ilvl w:val="0"/>
          <w:numId w:val="32"/>
        </w:numPr>
        <w:spacing w:line="240" w:lineRule="auto"/>
        <w:ind w:left="2160" w:hanging="720"/>
      </w:pPr>
      <w:bookmarkStart w:id="44" w:name="_Toc59179310"/>
      <w:r w:rsidRPr="00A57018">
        <w:t xml:space="preserve">Did the ALJ </w:t>
      </w:r>
      <w:r w:rsidR="00292854">
        <w:t>E</w:t>
      </w:r>
      <w:r w:rsidRPr="00A57018">
        <w:t xml:space="preserve">rr by </w:t>
      </w:r>
      <w:r w:rsidR="00292854">
        <w:t>I</w:t>
      </w:r>
      <w:r w:rsidRPr="00A57018">
        <w:t xml:space="preserve">nserting the </w:t>
      </w:r>
      <w:r w:rsidR="00292854">
        <w:t>N</w:t>
      </w:r>
      <w:r w:rsidRPr="00A57018">
        <w:t xml:space="preserve">ew </w:t>
      </w:r>
      <w:r w:rsidR="00292854">
        <w:t>T</w:t>
      </w:r>
      <w:r w:rsidRPr="00A57018">
        <w:t xml:space="preserve">elecom </w:t>
      </w:r>
      <w:r w:rsidR="00292854">
        <w:t>R</w:t>
      </w:r>
      <w:r w:rsidRPr="00A57018">
        <w:t>ates into the Joint Use Agreements?  (FirstEnergy Exception No. 7)</w:t>
      </w:r>
      <w:bookmarkEnd w:id="44"/>
    </w:p>
    <w:p w14:paraId="653F37D8" w14:textId="125597FD" w:rsidR="00146324" w:rsidRPr="00A57018" w:rsidRDefault="00146324" w:rsidP="00292854">
      <w:pPr>
        <w:widowControl/>
        <w:spacing w:line="480" w:lineRule="auto"/>
        <w:rPr>
          <w:sz w:val="26"/>
          <w:szCs w:val="26"/>
        </w:rPr>
      </w:pPr>
    </w:p>
    <w:p w14:paraId="05E66D2F" w14:textId="57047F51" w:rsidR="007850C1" w:rsidRPr="00A57018" w:rsidRDefault="0043334E" w:rsidP="00A57018">
      <w:pPr>
        <w:widowControl/>
        <w:spacing w:line="360" w:lineRule="auto"/>
        <w:ind w:firstLine="1440"/>
        <w:rPr>
          <w:sz w:val="26"/>
          <w:szCs w:val="26"/>
        </w:rPr>
      </w:pPr>
      <w:r w:rsidRPr="00A57018">
        <w:rPr>
          <w:sz w:val="26"/>
          <w:szCs w:val="26"/>
        </w:rPr>
        <w:t xml:space="preserve">In its third set of Exceptions, FirstEnergy again cites to previously postulated arguments delineated in its testimony and briefs and opines that the ALJ </w:t>
      </w:r>
      <w:r w:rsidR="007850C1" w:rsidRPr="00A57018">
        <w:rPr>
          <w:sz w:val="26"/>
          <w:szCs w:val="26"/>
        </w:rPr>
        <w:t xml:space="preserve">simply ignored its argument that the JUAs are fundamentally different from FirstEnergy’s pole attachment license agreements and, therefore, it is not appropriate to use the new telecom rate formula to determine the rates Verizon pays FirstEnergy under the JUAs going forward.  FirstEnergy posits that the ALJ compounded this error through his: (1) rejection of FirstEnergy’s calculated inputs in favor of less credible calculations offered by Verizon, and (2) inconsistent rulings on the correct rates going forward.  FirstEnergy Exc. at 27-31.  </w:t>
      </w:r>
    </w:p>
    <w:p w14:paraId="71E9DED5" w14:textId="77777777" w:rsidR="000C3348" w:rsidRPr="00A57018" w:rsidRDefault="000C3348" w:rsidP="00A57018">
      <w:pPr>
        <w:widowControl/>
        <w:spacing w:line="360" w:lineRule="auto"/>
        <w:rPr>
          <w:sz w:val="26"/>
          <w:szCs w:val="26"/>
        </w:rPr>
      </w:pPr>
    </w:p>
    <w:p w14:paraId="587F9327" w14:textId="4471FDD7" w:rsidR="008201D4" w:rsidRPr="00A57018" w:rsidRDefault="00E0459F" w:rsidP="00A57018">
      <w:pPr>
        <w:widowControl/>
        <w:spacing w:line="360" w:lineRule="auto"/>
        <w:ind w:firstLine="1440"/>
        <w:rPr>
          <w:sz w:val="26"/>
          <w:szCs w:val="26"/>
        </w:rPr>
      </w:pPr>
      <w:r w:rsidRPr="00A57018">
        <w:rPr>
          <w:sz w:val="26"/>
          <w:szCs w:val="26"/>
        </w:rPr>
        <w:t xml:space="preserve">In its Exception No. 7, FirstEnergy </w:t>
      </w:r>
      <w:r w:rsidR="00296672" w:rsidRPr="00A57018">
        <w:rPr>
          <w:sz w:val="26"/>
          <w:szCs w:val="26"/>
        </w:rPr>
        <w:t>explain</w:t>
      </w:r>
      <w:r w:rsidR="00C82523" w:rsidRPr="00A57018">
        <w:rPr>
          <w:sz w:val="26"/>
          <w:szCs w:val="26"/>
        </w:rPr>
        <w:t>s</w:t>
      </w:r>
      <w:r w:rsidR="00296672" w:rsidRPr="00A57018">
        <w:rPr>
          <w:sz w:val="26"/>
          <w:szCs w:val="26"/>
        </w:rPr>
        <w:t xml:space="preserve"> that the JUAs are fundamentally cost-sharing agreements that were negotiated on the basis of Verizon and FirstEnergy sharing in the fully allocated costs of owning a given pole.  The new telecom rate</w:t>
      </w:r>
      <w:r w:rsidR="00D0426F" w:rsidRPr="00A57018">
        <w:rPr>
          <w:sz w:val="26"/>
          <w:szCs w:val="26"/>
        </w:rPr>
        <w:t>, however</w:t>
      </w:r>
      <w:r w:rsidR="00C848BD" w:rsidRPr="00A57018">
        <w:rPr>
          <w:sz w:val="26"/>
          <w:szCs w:val="26"/>
        </w:rPr>
        <w:t>,</w:t>
      </w:r>
      <w:r w:rsidR="00D0426F" w:rsidRPr="00A57018">
        <w:rPr>
          <w:sz w:val="26"/>
          <w:szCs w:val="26"/>
        </w:rPr>
        <w:t xml:space="preserve"> is an incremental cost-based rate, which eliminates the allocation of common costs associated with common space; it is not a fully allocated cost-based rate.  FirstEnergy maintains that the problem with Verizon’s request is that it inserts an incremental cost-based rate into agreements that are fundamentally not designed around the sharing of incremental costs.  Thus, FirstEnergy contends that to</w:t>
      </w:r>
      <w:r w:rsidR="008201D4" w:rsidRPr="00A57018">
        <w:rPr>
          <w:sz w:val="26"/>
          <w:szCs w:val="26"/>
        </w:rPr>
        <w:t xml:space="preserve"> the extent that the Commission seeks to replace the exi</w:t>
      </w:r>
      <w:r w:rsidR="00DF7DC7" w:rsidRPr="00A57018">
        <w:rPr>
          <w:sz w:val="26"/>
          <w:szCs w:val="26"/>
        </w:rPr>
        <w:t>s</w:t>
      </w:r>
      <w:r w:rsidR="008201D4" w:rsidRPr="00A57018">
        <w:rPr>
          <w:sz w:val="26"/>
          <w:szCs w:val="26"/>
        </w:rPr>
        <w:t xml:space="preserve">ting cost-sharing agreement and impose the new </w:t>
      </w:r>
      <w:r w:rsidR="008201D4" w:rsidRPr="00A57018">
        <w:rPr>
          <w:sz w:val="26"/>
          <w:szCs w:val="26"/>
        </w:rPr>
        <w:lastRenderedPageBreak/>
        <w:t xml:space="preserve">telecom rate in the pole attachment agreements between Verizon and FirstEnergy for reasons of “competitive neutrality,” it should order the </w:t>
      </w:r>
      <w:r w:rsidR="00450855" w:rsidRPr="00A57018">
        <w:rPr>
          <w:sz w:val="26"/>
          <w:szCs w:val="26"/>
        </w:rPr>
        <w:t>P</w:t>
      </w:r>
      <w:r w:rsidR="008201D4" w:rsidRPr="00A57018">
        <w:rPr>
          <w:sz w:val="26"/>
          <w:szCs w:val="26"/>
        </w:rPr>
        <w:t>arties to use FirstEnergy’s standard third-party attacher license agreement for Verizon’s attachments to FirstEnergy’s poles.</w:t>
      </w:r>
      <w:r w:rsidR="00D0426F" w:rsidRPr="00A57018">
        <w:rPr>
          <w:sz w:val="26"/>
          <w:szCs w:val="26"/>
        </w:rPr>
        <w:t xml:space="preserve"> </w:t>
      </w:r>
      <w:r w:rsidR="008201D4" w:rsidRPr="00A57018">
        <w:rPr>
          <w:sz w:val="26"/>
          <w:szCs w:val="26"/>
        </w:rPr>
        <w:t xml:space="preserve"> In this regard, </w:t>
      </w:r>
      <w:r w:rsidR="00D0426F" w:rsidRPr="00A57018">
        <w:rPr>
          <w:sz w:val="26"/>
          <w:szCs w:val="26"/>
        </w:rPr>
        <w:t xml:space="preserve">FirstEnergy argues </w:t>
      </w:r>
      <w:r w:rsidR="008201D4" w:rsidRPr="00A57018">
        <w:rPr>
          <w:sz w:val="26"/>
          <w:szCs w:val="26"/>
        </w:rPr>
        <w:t>Verizon would receive the new telecom rate (</w:t>
      </w:r>
      <w:r w:rsidR="008201D4" w:rsidRPr="00A57018">
        <w:rPr>
          <w:i/>
          <w:iCs/>
          <w:sz w:val="26"/>
          <w:szCs w:val="26"/>
        </w:rPr>
        <w:t>i.e</w:t>
      </w:r>
      <w:r w:rsidR="008201D4" w:rsidRPr="00A57018">
        <w:rPr>
          <w:sz w:val="26"/>
          <w:szCs w:val="26"/>
        </w:rPr>
        <w:t>., the same rate Verizon’s competitors pay FirstEnergy to attach to FirstEnergy’s poles) under truly comparable terms and conditions to its competitors.</w:t>
      </w:r>
      <w:r w:rsidR="00D0426F" w:rsidRPr="00A57018">
        <w:rPr>
          <w:sz w:val="26"/>
          <w:szCs w:val="26"/>
        </w:rPr>
        <w:t xml:space="preserve">  FirstEnergy Exc. at 27 (citing FirstEnergy M.B. at 81-82 (describing the </w:t>
      </w:r>
      <w:r w:rsidR="00167647" w:rsidRPr="00A57018">
        <w:rPr>
          <w:sz w:val="26"/>
          <w:szCs w:val="26"/>
        </w:rPr>
        <w:t xml:space="preserve">purported </w:t>
      </w:r>
      <w:r w:rsidR="00D0426F" w:rsidRPr="00A57018">
        <w:rPr>
          <w:sz w:val="26"/>
          <w:szCs w:val="26"/>
        </w:rPr>
        <w:t>fundamental differences between the JUAs and third-party attacher license agreements); FirstEnergy R.B. at 16).</w:t>
      </w:r>
    </w:p>
    <w:p w14:paraId="510CDD00" w14:textId="75872BD4" w:rsidR="00D0426F" w:rsidRPr="00A57018" w:rsidRDefault="00D0426F" w:rsidP="00A57018">
      <w:pPr>
        <w:widowControl/>
        <w:spacing w:line="360" w:lineRule="auto"/>
        <w:ind w:firstLine="1440"/>
        <w:rPr>
          <w:sz w:val="26"/>
          <w:szCs w:val="26"/>
        </w:rPr>
      </w:pPr>
    </w:p>
    <w:p w14:paraId="5DA95442" w14:textId="013757A7" w:rsidR="00D0426F" w:rsidRPr="00A57018" w:rsidRDefault="00246D23" w:rsidP="00A57018">
      <w:pPr>
        <w:widowControl/>
        <w:spacing w:line="360" w:lineRule="auto"/>
        <w:ind w:firstLine="1440"/>
        <w:rPr>
          <w:sz w:val="26"/>
          <w:szCs w:val="26"/>
        </w:rPr>
      </w:pPr>
      <w:r w:rsidRPr="00A57018">
        <w:rPr>
          <w:sz w:val="26"/>
          <w:szCs w:val="26"/>
        </w:rPr>
        <w:t xml:space="preserve">In reply, Verizon cites to Section 77.4(a) of the Commission’s Regulations, which it argues presumes the lawful rate under the existing JUAs is the new telecom rate.  Verizon argues that FirstEnergy previously admitted that </w:t>
      </w:r>
      <w:r w:rsidR="00451724" w:rsidRPr="00A57018">
        <w:rPr>
          <w:sz w:val="26"/>
          <w:szCs w:val="26"/>
        </w:rPr>
        <w:t>the FCC “explicitly stated” the new telecom rate presumption in its regulations will apply “to existing contracts,” and since the Commission already decided that Verizon can be “in no worse position…than if the Commission did not assume jurisdiction,” the new telecom rate presumption is correctly applied to the JUAs.  Therefore, Verizon asserts that FirstEnergy’s seventh Exception, based on the contention that</w:t>
      </w:r>
      <w:r w:rsidR="00650641" w:rsidRPr="00A57018">
        <w:rPr>
          <w:sz w:val="26"/>
          <w:szCs w:val="26"/>
        </w:rPr>
        <w:t xml:space="preserve"> the new telecom rate cannot be obtained through the existing JUAs</w:t>
      </w:r>
      <w:r w:rsidR="00451724" w:rsidRPr="00A57018">
        <w:rPr>
          <w:sz w:val="26"/>
          <w:szCs w:val="26"/>
        </w:rPr>
        <w:t xml:space="preserve"> simply</w:t>
      </w:r>
      <w:r w:rsidR="00650641" w:rsidRPr="00A57018">
        <w:rPr>
          <w:sz w:val="26"/>
          <w:szCs w:val="26"/>
        </w:rPr>
        <w:t xml:space="preserve"> because they are</w:t>
      </w:r>
      <w:r w:rsidR="00451724" w:rsidRPr="00A57018">
        <w:rPr>
          <w:sz w:val="26"/>
          <w:szCs w:val="26"/>
        </w:rPr>
        <w:t xml:space="preserve"> different from license agreements</w:t>
      </w:r>
      <w:r w:rsidR="00650641" w:rsidRPr="00A57018">
        <w:rPr>
          <w:sz w:val="26"/>
          <w:szCs w:val="26"/>
        </w:rPr>
        <w:t xml:space="preserve">, should be rejected.  Verizon R. Exc. at 17-18.  </w:t>
      </w:r>
    </w:p>
    <w:p w14:paraId="06311FE8" w14:textId="60270D53" w:rsidR="00146324" w:rsidRPr="00A57018" w:rsidRDefault="00146324" w:rsidP="00A57018">
      <w:pPr>
        <w:widowControl/>
        <w:spacing w:line="360" w:lineRule="auto"/>
        <w:rPr>
          <w:sz w:val="26"/>
          <w:szCs w:val="26"/>
        </w:rPr>
      </w:pPr>
    </w:p>
    <w:p w14:paraId="55371845" w14:textId="2BE81EB9" w:rsidR="006C2F32" w:rsidRPr="00A57018" w:rsidRDefault="006C2F32" w:rsidP="00FA0506">
      <w:pPr>
        <w:pStyle w:val="Heading4"/>
        <w:widowControl/>
        <w:spacing w:line="240" w:lineRule="auto"/>
        <w:ind w:right="90"/>
      </w:pPr>
      <w:bookmarkStart w:id="45" w:name="_Toc59179311"/>
      <w:r w:rsidRPr="00A57018">
        <w:t xml:space="preserve">Did the ALJ </w:t>
      </w:r>
      <w:r w:rsidR="00292854">
        <w:t>E</w:t>
      </w:r>
      <w:r w:rsidRPr="00A57018">
        <w:t xml:space="preserve">rr by </w:t>
      </w:r>
      <w:r w:rsidR="00292854">
        <w:t>R</w:t>
      </w:r>
      <w:r w:rsidRPr="00A57018">
        <w:t xml:space="preserve">ejecting the </w:t>
      </w:r>
      <w:r w:rsidR="00292854">
        <w:t>U</w:t>
      </w:r>
      <w:r w:rsidRPr="00A57018">
        <w:t xml:space="preserve">nrebutted </w:t>
      </w:r>
      <w:r w:rsidR="00292854">
        <w:t>A</w:t>
      </w:r>
      <w:r w:rsidRPr="00A57018">
        <w:t xml:space="preserve">ctual </w:t>
      </w:r>
      <w:r w:rsidR="00292854">
        <w:t>I</w:t>
      </w:r>
      <w:r w:rsidRPr="00A57018">
        <w:t xml:space="preserve">nputs into the FCC </w:t>
      </w:r>
      <w:r w:rsidR="00292854">
        <w:t>R</w:t>
      </w:r>
      <w:r w:rsidRPr="00A57018">
        <w:t xml:space="preserve">ate </w:t>
      </w:r>
      <w:r w:rsidR="00292854">
        <w:t>F</w:t>
      </w:r>
      <w:r w:rsidRPr="00A57018">
        <w:t xml:space="preserve">ormulas </w:t>
      </w:r>
      <w:r w:rsidR="00292854">
        <w:t>P</w:t>
      </w:r>
      <w:r w:rsidRPr="00A57018">
        <w:t>repared by FirstEnergy?  (FirstEnergy Exception No. 8)</w:t>
      </w:r>
      <w:bookmarkEnd w:id="45"/>
    </w:p>
    <w:p w14:paraId="62DAE540" w14:textId="0EBFFF60" w:rsidR="006C2F32" w:rsidRPr="00A57018" w:rsidRDefault="006C2F32" w:rsidP="00292854">
      <w:pPr>
        <w:widowControl/>
        <w:spacing w:line="480" w:lineRule="auto"/>
        <w:rPr>
          <w:sz w:val="26"/>
          <w:szCs w:val="26"/>
        </w:rPr>
      </w:pPr>
    </w:p>
    <w:p w14:paraId="76B4BD8B" w14:textId="1DEE0252" w:rsidR="006C2F32" w:rsidRPr="00A57018" w:rsidRDefault="009D0F1B" w:rsidP="00A57018">
      <w:pPr>
        <w:widowControl/>
        <w:spacing w:line="360" w:lineRule="auto"/>
        <w:ind w:firstLine="1440"/>
        <w:rPr>
          <w:sz w:val="26"/>
          <w:szCs w:val="26"/>
        </w:rPr>
      </w:pPr>
      <w:r w:rsidRPr="00A57018">
        <w:rPr>
          <w:sz w:val="26"/>
          <w:szCs w:val="26"/>
        </w:rPr>
        <w:t>In its eighth Exception, FirstEnergy maintains its argument that the Commission should forgo</w:t>
      </w:r>
      <w:r w:rsidR="00C2467E" w:rsidRPr="00A57018">
        <w:rPr>
          <w:sz w:val="26"/>
          <w:szCs w:val="26"/>
        </w:rPr>
        <w:t xml:space="preserve"> the FCC’s presumed inputs in favor of FirstEnergy’s calculated inputs for purposes of establishing a new rate, in part because the actual </w:t>
      </w:r>
      <w:r w:rsidR="00C2467E" w:rsidRPr="00A57018">
        <w:rPr>
          <w:sz w:val="26"/>
          <w:szCs w:val="26"/>
        </w:rPr>
        <w:lastRenderedPageBreak/>
        <w:t xml:space="preserve">conditions in FirstEnergy’s service territories significantly differ from the FCC’s presumed inputs.  </w:t>
      </w:r>
      <w:r w:rsidR="004230D2" w:rsidRPr="00A57018">
        <w:rPr>
          <w:sz w:val="26"/>
          <w:szCs w:val="26"/>
        </w:rPr>
        <w:t xml:space="preserve">FirstEnergy Exc. at 28.  </w:t>
      </w:r>
    </w:p>
    <w:p w14:paraId="48D1DECA" w14:textId="365CC359" w:rsidR="002A4BD9" w:rsidRPr="00A57018" w:rsidRDefault="002A4BD9" w:rsidP="00A57018">
      <w:pPr>
        <w:widowControl/>
        <w:spacing w:line="360" w:lineRule="auto"/>
        <w:ind w:firstLine="1440"/>
        <w:rPr>
          <w:sz w:val="26"/>
          <w:szCs w:val="26"/>
        </w:rPr>
      </w:pPr>
    </w:p>
    <w:p w14:paraId="57209F6F" w14:textId="56EA8932" w:rsidR="000A136B" w:rsidRPr="00A57018" w:rsidRDefault="002A4BD9" w:rsidP="00A57018">
      <w:pPr>
        <w:widowControl/>
        <w:spacing w:line="360" w:lineRule="auto"/>
        <w:ind w:firstLine="1440"/>
        <w:rPr>
          <w:sz w:val="26"/>
          <w:szCs w:val="26"/>
        </w:rPr>
      </w:pPr>
      <w:r w:rsidRPr="00A57018">
        <w:rPr>
          <w:sz w:val="26"/>
          <w:szCs w:val="26"/>
        </w:rPr>
        <w:t xml:space="preserve">First Energy </w:t>
      </w:r>
      <w:r w:rsidR="00EC6AE8" w:rsidRPr="00A57018">
        <w:rPr>
          <w:sz w:val="26"/>
          <w:szCs w:val="26"/>
        </w:rPr>
        <w:t>argue</w:t>
      </w:r>
      <w:r w:rsidR="00FF1905" w:rsidRPr="00A57018">
        <w:rPr>
          <w:sz w:val="26"/>
          <w:szCs w:val="26"/>
        </w:rPr>
        <w:t xml:space="preserve">s </w:t>
      </w:r>
      <w:r w:rsidR="00EC6AE8" w:rsidRPr="00A57018">
        <w:rPr>
          <w:sz w:val="26"/>
          <w:szCs w:val="26"/>
        </w:rPr>
        <w:t>that the ALJ erred by rejecting its rebuttal of the FCC’s presumptive inputs for use in calculating rates, such as pole height, space occupied, unusable space, and average number of attaching entities.</w:t>
      </w:r>
      <w:r w:rsidR="00EC4125" w:rsidRPr="00A57018">
        <w:rPr>
          <w:rStyle w:val="FootnoteReference"/>
          <w:sz w:val="26"/>
          <w:szCs w:val="26"/>
        </w:rPr>
        <w:footnoteReference w:id="30"/>
      </w:r>
      <w:r w:rsidR="00E332C1" w:rsidRPr="00A57018">
        <w:rPr>
          <w:sz w:val="26"/>
          <w:szCs w:val="26"/>
        </w:rPr>
        <w:t xml:space="preserve">  </w:t>
      </w:r>
      <w:r w:rsidR="007F2F12" w:rsidRPr="00A57018">
        <w:rPr>
          <w:sz w:val="26"/>
          <w:szCs w:val="26"/>
        </w:rPr>
        <w:t xml:space="preserve">Specifically, </w:t>
      </w:r>
      <w:r w:rsidR="00E332C1" w:rsidRPr="00A57018">
        <w:rPr>
          <w:sz w:val="26"/>
          <w:szCs w:val="26"/>
        </w:rPr>
        <w:t xml:space="preserve">FirstEnergy </w:t>
      </w:r>
      <w:r w:rsidR="007F2F12" w:rsidRPr="00A57018">
        <w:rPr>
          <w:sz w:val="26"/>
          <w:szCs w:val="26"/>
        </w:rPr>
        <w:t>notes</w:t>
      </w:r>
      <w:r w:rsidR="00FF1905" w:rsidRPr="00A57018">
        <w:rPr>
          <w:sz w:val="26"/>
          <w:szCs w:val="26"/>
        </w:rPr>
        <w:t xml:space="preserve"> </w:t>
      </w:r>
      <w:r w:rsidR="00E332C1" w:rsidRPr="00A57018">
        <w:rPr>
          <w:sz w:val="26"/>
          <w:szCs w:val="26"/>
        </w:rPr>
        <w:t xml:space="preserve">that, contrary to the </w:t>
      </w:r>
      <w:r w:rsidR="00FF1905" w:rsidRPr="00A57018">
        <w:rPr>
          <w:sz w:val="26"/>
          <w:szCs w:val="26"/>
        </w:rPr>
        <w:t>ALJ’s findings, it has successfully rebutted the FCC’s presumption</w:t>
      </w:r>
      <w:r w:rsidR="007F2F12" w:rsidRPr="00A57018">
        <w:rPr>
          <w:sz w:val="26"/>
          <w:szCs w:val="26"/>
        </w:rPr>
        <w:t>s</w:t>
      </w:r>
      <w:r w:rsidR="00FF1905" w:rsidRPr="00A57018">
        <w:rPr>
          <w:sz w:val="26"/>
          <w:szCs w:val="26"/>
        </w:rPr>
        <w:t xml:space="preserve"> </w:t>
      </w:r>
      <w:r w:rsidR="007F2F12" w:rsidRPr="00A57018">
        <w:rPr>
          <w:sz w:val="26"/>
          <w:szCs w:val="26"/>
        </w:rPr>
        <w:t>that the average number of attaching entities is 5 (demonstrating rather that there are approximately 3 attachments on each of its poles)</w:t>
      </w:r>
      <w:r w:rsidR="004230D2" w:rsidRPr="00A57018">
        <w:rPr>
          <w:sz w:val="26"/>
          <w:szCs w:val="26"/>
        </w:rPr>
        <w:t xml:space="preserve"> and that Verizon occupies on average 1 foot of space (demonstrating that each attachment occupies approximately 1.3</w:t>
      </w:r>
      <w:r w:rsidR="00292854">
        <w:rPr>
          <w:sz w:val="26"/>
          <w:szCs w:val="26"/>
        </w:rPr>
        <w:t> </w:t>
      </w:r>
      <w:r w:rsidR="004230D2" w:rsidRPr="00A57018">
        <w:rPr>
          <w:sz w:val="26"/>
          <w:szCs w:val="26"/>
        </w:rPr>
        <w:t>feet of space</w:t>
      </w:r>
      <w:r w:rsidR="00DE5FCE" w:rsidRPr="00A57018">
        <w:rPr>
          <w:sz w:val="26"/>
          <w:szCs w:val="26"/>
        </w:rPr>
        <w:t>)</w:t>
      </w:r>
      <w:r w:rsidR="004230D2" w:rsidRPr="00A57018">
        <w:rPr>
          <w:sz w:val="26"/>
          <w:szCs w:val="26"/>
        </w:rPr>
        <w:t xml:space="preserve">.  </w:t>
      </w:r>
      <w:r w:rsidR="004230D2" w:rsidRPr="00A57018">
        <w:rPr>
          <w:i/>
          <w:iCs/>
          <w:sz w:val="26"/>
          <w:szCs w:val="26"/>
        </w:rPr>
        <w:t>Id.</w:t>
      </w:r>
      <w:r w:rsidR="004230D2" w:rsidRPr="00A57018">
        <w:rPr>
          <w:sz w:val="26"/>
          <w:szCs w:val="26"/>
        </w:rPr>
        <w:t xml:space="preserve">  </w:t>
      </w:r>
      <w:r w:rsidR="00875458" w:rsidRPr="00A57018">
        <w:rPr>
          <w:sz w:val="26"/>
          <w:szCs w:val="26"/>
        </w:rPr>
        <w:t xml:space="preserve">FirstEnergy excepts to the ALJ’s adoption of Verizon’s position </w:t>
      </w:r>
      <w:r w:rsidR="000A136B" w:rsidRPr="00A57018">
        <w:rPr>
          <w:sz w:val="26"/>
          <w:szCs w:val="26"/>
        </w:rPr>
        <w:t>that FirstEnergy’s study was motivated by</w:t>
      </w:r>
      <w:r w:rsidR="00244614" w:rsidRPr="00A57018">
        <w:rPr>
          <w:sz w:val="26"/>
          <w:szCs w:val="26"/>
        </w:rPr>
        <w:t>, and prepared during the course of,</w:t>
      </w:r>
      <w:r w:rsidR="000A136B" w:rsidRPr="00A57018">
        <w:rPr>
          <w:sz w:val="26"/>
          <w:szCs w:val="26"/>
        </w:rPr>
        <w:t xml:space="preserve"> litigation and is not reliable due to the small sample size and certain alleged errors.  FirstEnergy Exc. at</w:t>
      </w:r>
      <w:r w:rsidR="00AD3729" w:rsidRPr="00A57018">
        <w:rPr>
          <w:sz w:val="26"/>
          <w:szCs w:val="26"/>
        </w:rPr>
        <w:t> </w:t>
      </w:r>
      <w:r w:rsidR="000A136B" w:rsidRPr="00A57018">
        <w:rPr>
          <w:sz w:val="26"/>
          <w:szCs w:val="26"/>
        </w:rPr>
        <w:t>28-29.</w:t>
      </w:r>
    </w:p>
    <w:p w14:paraId="736D88B9" w14:textId="32E3FF9C" w:rsidR="000A136B" w:rsidRPr="00A57018" w:rsidRDefault="000A136B" w:rsidP="00A57018">
      <w:pPr>
        <w:widowControl/>
        <w:spacing w:line="360" w:lineRule="auto"/>
        <w:ind w:firstLine="1440"/>
        <w:rPr>
          <w:sz w:val="26"/>
          <w:szCs w:val="26"/>
        </w:rPr>
      </w:pPr>
    </w:p>
    <w:p w14:paraId="6FD1CE86" w14:textId="6FED0D93" w:rsidR="004D44BB" w:rsidRPr="00A57018" w:rsidRDefault="004D44BB" w:rsidP="00A57018">
      <w:pPr>
        <w:widowControl/>
        <w:spacing w:line="360" w:lineRule="auto"/>
        <w:ind w:firstLine="1440"/>
        <w:rPr>
          <w:sz w:val="26"/>
          <w:szCs w:val="26"/>
        </w:rPr>
      </w:pPr>
      <w:r w:rsidRPr="00A57018">
        <w:rPr>
          <w:sz w:val="26"/>
          <w:szCs w:val="26"/>
        </w:rPr>
        <w:t>FirstEnergy argues that the fact that its study was prepared during the course of litigation is irrelevant and should not invalidate its credibility.  FirstEnergy Exc.</w:t>
      </w:r>
      <w:r w:rsidR="00292854">
        <w:rPr>
          <w:sz w:val="26"/>
          <w:szCs w:val="26"/>
        </w:rPr>
        <w:t> </w:t>
      </w:r>
      <w:r w:rsidRPr="00A57018">
        <w:rPr>
          <w:sz w:val="26"/>
          <w:szCs w:val="26"/>
        </w:rPr>
        <w:t xml:space="preserve">at 29.  </w:t>
      </w:r>
      <w:r w:rsidR="008D736A" w:rsidRPr="00A57018">
        <w:rPr>
          <w:sz w:val="26"/>
          <w:szCs w:val="26"/>
        </w:rPr>
        <w:t xml:space="preserve">Further, </w:t>
      </w:r>
      <w:r w:rsidR="005272BE" w:rsidRPr="00A57018">
        <w:rPr>
          <w:sz w:val="26"/>
          <w:szCs w:val="26"/>
        </w:rPr>
        <w:t xml:space="preserve">FirstEnergy contends that the size of the sample used is likewise irrelevant because the “incontrovertible fact is that the validity of the sample, including </w:t>
      </w:r>
      <w:r w:rsidR="005272BE" w:rsidRPr="00A57018">
        <w:rPr>
          <w:sz w:val="26"/>
          <w:szCs w:val="26"/>
        </w:rPr>
        <w:lastRenderedPageBreak/>
        <w:t xml:space="preserve">all attributes verified, is substantially above the industry-accepted standard for accuracy,” and that “even after counting the actual alleged errors identified by Verizon, the sample still has a </w:t>
      </w:r>
      <w:r w:rsidR="005272BE" w:rsidRPr="00A57018">
        <w:rPr>
          <w:i/>
          <w:iCs/>
          <w:sz w:val="26"/>
          <w:szCs w:val="26"/>
        </w:rPr>
        <w:t>99.30% accuracy rate</w:t>
      </w:r>
      <w:r w:rsidR="005272BE" w:rsidRPr="00A57018">
        <w:rPr>
          <w:sz w:val="26"/>
          <w:szCs w:val="26"/>
        </w:rPr>
        <w:t>.”  FirstEnergy Exc. at 28 (citing FirstEnergy St. No.</w:t>
      </w:r>
      <w:r w:rsidR="00292854">
        <w:rPr>
          <w:sz w:val="26"/>
          <w:szCs w:val="26"/>
        </w:rPr>
        <w:t> </w:t>
      </w:r>
      <w:r w:rsidR="005272BE" w:rsidRPr="00A57018">
        <w:rPr>
          <w:sz w:val="26"/>
          <w:szCs w:val="26"/>
        </w:rPr>
        <w:t>6</w:t>
      </w:r>
      <w:r w:rsidR="00292854">
        <w:rPr>
          <w:sz w:val="26"/>
          <w:szCs w:val="26"/>
        </w:rPr>
        <w:noBreakHyphen/>
      </w:r>
      <w:r w:rsidR="005272BE" w:rsidRPr="00A57018">
        <w:rPr>
          <w:sz w:val="26"/>
          <w:szCs w:val="26"/>
        </w:rPr>
        <w:t>RJ at 4-5).</w:t>
      </w:r>
    </w:p>
    <w:p w14:paraId="29D34FAC" w14:textId="77777777" w:rsidR="001A3E7D" w:rsidRPr="00A57018" w:rsidRDefault="001A3E7D" w:rsidP="00A57018">
      <w:pPr>
        <w:widowControl/>
        <w:spacing w:line="360" w:lineRule="auto"/>
        <w:ind w:firstLine="1440"/>
        <w:rPr>
          <w:sz w:val="26"/>
          <w:szCs w:val="26"/>
        </w:rPr>
      </w:pPr>
    </w:p>
    <w:p w14:paraId="3BC8828B" w14:textId="15646F88" w:rsidR="000F0B76" w:rsidRPr="00A57018" w:rsidRDefault="00066502" w:rsidP="00A57018">
      <w:pPr>
        <w:widowControl/>
        <w:spacing w:line="360" w:lineRule="auto"/>
        <w:ind w:firstLine="1440"/>
        <w:rPr>
          <w:sz w:val="26"/>
          <w:szCs w:val="26"/>
        </w:rPr>
      </w:pPr>
      <w:r w:rsidRPr="00A57018">
        <w:rPr>
          <w:sz w:val="26"/>
          <w:szCs w:val="26"/>
        </w:rPr>
        <w:t>In response, Verizon supports the ALJ’s finding, stating that FirstEnergy’s inputs were not rejected by the ALJ based solely on the fact that they were produced during litigation, but because</w:t>
      </w:r>
      <w:r w:rsidR="003A78C5" w:rsidRPr="00A57018">
        <w:rPr>
          <w:sz w:val="26"/>
          <w:szCs w:val="26"/>
        </w:rPr>
        <w:t xml:space="preserve"> FirstEnergy did not provide “probative direct evidence.”</w:t>
      </w:r>
      <w:r w:rsidR="003A78C5" w:rsidRPr="00A57018">
        <w:rPr>
          <w:rStyle w:val="FootnoteReference"/>
          <w:sz w:val="26"/>
          <w:szCs w:val="26"/>
        </w:rPr>
        <w:footnoteReference w:id="31"/>
      </w:r>
      <w:r w:rsidR="003A3FEC" w:rsidRPr="00A57018">
        <w:rPr>
          <w:sz w:val="26"/>
          <w:szCs w:val="26"/>
        </w:rPr>
        <w:t xml:space="preserve">  </w:t>
      </w:r>
      <w:r w:rsidR="008732C4" w:rsidRPr="00A57018">
        <w:rPr>
          <w:sz w:val="26"/>
          <w:szCs w:val="26"/>
        </w:rPr>
        <w:t>Verizon explain</w:t>
      </w:r>
      <w:r w:rsidR="00C822EC" w:rsidRPr="00A57018">
        <w:rPr>
          <w:sz w:val="26"/>
          <w:szCs w:val="26"/>
        </w:rPr>
        <w:t>s</w:t>
      </w:r>
      <w:r w:rsidR="008732C4" w:rsidRPr="00A57018">
        <w:rPr>
          <w:sz w:val="26"/>
          <w:szCs w:val="26"/>
        </w:rPr>
        <w:t xml:space="preserve"> that FirstEnergy had not entered any data into evidence, only a summary of the results of its hurried and litigation-motivated review of, at most,</w:t>
      </w:r>
      <w:r w:rsidR="0065192A" w:rsidRPr="00A57018">
        <w:rPr>
          <w:sz w:val="26"/>
          <w:szCs w:val="26"/>
        </w:rPr>
        <w:t xml:space="preserve"> </w:t>
      </w:r>
      <w:r w:rsidR="0065192A" w:rsidRPr="00A57018">
        <w:rPr>
          <w:b/>
          <w:bCs/>
          <w:sz w:val="26"/>
          <w:szCs w:val="26"/>
        </w:rPr>
        <w:t xml:space="preserve">***BEGIN PROPRIETARY*** </w:t>
      </w:r>
      <w:r w:rsidR="008732C4" w:rsidRPr="00A57018">
        <w:rPr>
          <w:sz w:val="26"/>
          <w:szCs w:val="26"/>
        </w:rPr>
        <w:t xml:space="preserve"> </w:t>
      </w:r>
      <w:r w:rsidR="0065192A" w:rsidRPr="00A57018">
        <w:rPr>
          <w:b/>
          <w:bCs/>
          <w:sz w:val="26"/>
          <w:szCs w:val="26"/>
        </w:rPr>
        <w:t xml:space="preserve">***END PROPRIETARY*** </w:t>
      </w:r>
      <w:r w:rsidR="008732C4" w:rsidRPr="00A57018">
        <w:rPr>
          <w:sz w:val="26"/>
          <w:szCs w:val="26"/>
        </w:rPr>
        <w:t>percent of the poles</w:t>
      </w:r>
      <w:r w:rsidR="003455BF">
        <w:rPr>
          <w:sz w:val="26"/>
          <w:szCs w:val="26"/>
        </w:rPr>
        <w:t> </w:t>
      </w:r>
      <w:r w:rsidR="008732C4" w:rsidRPr="00A57018">
        <w:rPr>
          <w:sz w:val="26"/>
          <w:szCs w:val="26"/>
        </w:rPr>
        <w:t xml:space="preserve">shared by the Parties in Pennsylvania, including poles </w:t>
      </w:r>
      <w:r w:rsidR="00B46369">
        <w:rPr>
          <w:sz w:val="26"/>
          <w:szCs w:val="26"/>
        </w:rPr>
        <w:t xml:space="preserve">to </w:t>
      </w:r>
      <w:r w:rsidR="008732C4" w:rsidRPr="00A57018">
        <w:rPr>
          <w:sz w:val="26"/>
          <w:szCs w:val="26"/>
        </w:rPr>
        <w:t>which Verizon is not attached.  Moreover, Verizon adds that FirstEnergy’s hurried review produced data with so many admitted errors that FirstEnergy conceded they reduce the “confidence level” of the reported results.</w:t>
      </w:r>
      <w:r w:rsidR="007D4666" w:rsidRPr="00A57018">
        <w:rPr>
          <w:sz w:val="26"/>
          <w:szCs w:val="26"/>
        </w:rPr>
        <w:t xml:space="preserve">  Verizon R. Exc. at 18 (citing Verizon St. No. 1.1 at 50-59; Verizon St. No. 1.2 at 34-42; Verizon St. No. 2.1 at 23-30; Verizon St. No. 2.2 at 18-19; Verizon St. No. 3.1 at 35-42; Verizon St. No. 3.2 at 16-17).  Therefore, Verizon asserts that since FirstEnergy’s study should not be considered sufficient evidence to rebut the </w:t>
      </w:r>
      <w:r w:rsidR="00B46369">
        <w:rPr>
          <w:sz w:val="26"/>
          <w:szCs w:val="26"/>
        </w:rPr>
        <w:t>FCC</w:t>
      </w:r>
      <w:r w:rsidR="00B46369" w:rsidRPr="00A57018">
        <w:rPr>
          <w:sz w:val="26"/>
          <w:szCs w:val="26"/>
        </w:rPr>
        <w:t xml:space="preserve">’s </w:t>
      </w:r>
      <w:r w:rsidR="007D4666" w:rsidRPr="00A57018">
        <w:rPr>
          <w:sz w:val="26"/>
          <w:szCs w:val="26"/>
        </w:rPr>
        <w:t xml:space="preserve">presumptions, the properly calculated new telecom rates must use the </w:t>
      </w:r>
      <w:r w:rsidR="00B46369">
        <w:rPr>
          <w:sz w:val="26"/>
          <w:szCs w:val="26"/>
        </w:rPr>
        <w:t>FCC</w:t>
      </w:r>
      <w:r w:rsidR="00B46369" w:rsidRPr="00A57018">
        <w:rPr>
          <w:sz w:val="26"/>
          <w:szCs w:val="26"/>
        </w:rPr>
        <w:t xml:space="preserve">’s </w:t>
      </w:r>
      <w:r w:rsidR="007D4666" w:rsidRPr="00A57018">
        <w:rPr>
          <w:sz w:val="26"/>
          <w:szCs w:val="26"/>
        </w:rPr>
        <w:t xml:space="preserve">presumptive inputs.  </w:t>
      </w:r>
    </w:p>
    <w:p w14:paraId="7BEE13FC" w14:textId="77777777" w:rsidR="000F0B76" w:rsidRPr="00A57018" w:rsidRDefault="000F0B76" w:rsidP="00A57018">
      <w:pPr>
        <w:widowControl/>
        <w:spacing w:line="360" w:lineRule="auto"/>
        <w:rPr>
          <w:sz w:val="26"/>
          <w:szCs w:val="26"/>
        </w:rPr>
      </w:pPr>
    </w:p>
    <w:p w14:paraId="221EB091" w14:textId="5C588EBB" w:rsidR="006C2F32" w:rsidRPr="00A57018" w:rsidRDefault="006C2F32" w:rsidP="00292854">
      <w:pPr>
        <w:pStyle w:val="Heading4"/>
        <w:widowControl/>
        <w:spacing w:line="240" w:lineRule="auto"/>
      </w:pPr>
      <w:bookmarkStart w:id="48" w:name="_Toc59179312"/>
      <w:r w:rsidRPr="00A57018">
        <w:lastRenderedPageBreak/>
        <w:t xml:space="preserve">Did the ALJ </w:t>
      </w:r>
      <w:r w:rsidR="00292854">
        <w:t>E</w:t>
      </w:r>
      <w:r w:rsidRPr="00A57018">
        <w:t xml:space="preserve">rr by </w:t>
      </w:r>
      <w:r w:rsidR="00292854">
        <w:t>F</w:t>
      </w:r>
      <w:r w:rsidRPr="00A57018">
        <w:t xml:space="preserve">ailing to </w:t>
      </w:r>
      <w:r w:rsidR="00292854">
        <w:t>D</w:t>
      </w:r>
      <w:r w:rsidRPr="00A57018">
        <w:t xml:space="preserve">etermine the </w:t>
      </w:r>
      <w:r w:rsidR="00292854">
        <w:t>C</w:t>
      </w:r>
      <w:r w:rsidRPr="00A57018">
        <w:t xml:space="preserve">urrent </w:t>
      </w:r>
      <w:r w:rsidR="00292854">
        <w:t>C</w:t>
      </w:r>
      <w:r w:rsidRPr="00A57018">
        <w:t xml:space="preserve">ost of </w:t>
      </w:r>
      <w:r w:rsidR="00292854">
        <w:t>C</w:t>
      </w:r>
      <w:r w:rsidRPr="00A57018">
        <w:t xml:space="preserve">apital in </w:t>
      </w:r>
      <w:r w:rsidR="00292854">
        <w:t>C</w:t>
      </w:r>
      <w:r w:rsidRPr="00A57018">
        <w:t xml:space="preserve">omputing the </w:t>
      </w:r>
      <w:r w:rsidR="00292854">
        <w:t>R</w:t>
      </w:r>
      <w:r w:rsidRPr="00A57018">
        <w:t xml:space="preserve">ates </w:t>
      </w:r>
      <w:r w:rsidR="00292854">
        <w:t>U</w:t>
      </w:r>
      <w:r w:rsidRPr="00A57018">
        <w:t>nder the Joint Use Agreements?  (FirstEnergy Exception No. 9)</w:t>
      </w:r>
      <w:bookmarkEnd w:id="48"/>
    </w:p>
    <w:p w14:paraId="179FF96D" w14:textId="07A77416" w:rsidR="006C2F32" w:rsidRPr="00A57018" w:rsidRDefault="006C2F32" w:rsidP="00292854">
      <w:pPr>
        <w:keepNext/>
        <w:widowControl/>
        <w:spacing w:line="480" w:lineRule="auto"/>
        <w:rPr>
          <w:sz w:val="26"/>
          <w:szCs w:val="26"/>
        </w:rPr>
      </w:pPr>
    </w:p>
    <w:p w14:paraId="05F9DFEC" w14:textId="14DE3D6C" w:rsidR="005A28AC" w:rsidRPr="00A57018" w:rsidRDefault="00AE085E" w:rsidP="00292854">
      <w:pPr>
        <w:keepNext/>
        <w:widowControl/>
        <w:spacing w:line="360" w:lineRule="auto"/>
        <w:ind w:firstLine="1440"/>
        <w:rPr>
          <w:sz w:val="26"/>
          <w:szCs w:val="26"/>
        </w:rPr>
      </w:pPr>
      <w:r w:rsidRPr="00A57018">
        <w:rPr>
          <w:sz w:val="26"/>
          <w:szCs w:val="26"/>
        </w:rPr>
        <w:t>In addition to FirstEnergy’s objections to the ALJ’s</w:t>
      </w:r>
      <w:r w:rsidR="00F43008" w:rsidRPr="00A57018">
        <w:rPr>
          <w:sz w:val="26"/>
          <w:szCs w:val="26"/>
        </w:rPr>
        <w:t xml:space="preserve"> reliance on the FCC’s presumptive inputs</w:t>
      </w:r>
      <w:r w:rsidR="005A28AC" w:rsidRPr="00A57018">
        <w:rPr>
          <w:sz w:val="26"/>
          <w:szCs w:val="26"/>
        </w:rPr>
        <w:t xml:space="preserve">, FirstEnergy </w:t>
      </w:r>
      <w:r w:rsidR="005035A4" w:rsidRPr="00A57018">
        <w:rPr>
          <w:sz w:val="26"/>
          <w:szCs w:val="26"/>
        </w:rPr>
        <w:t xml:space="preserve">argues that the ALJ should have denied </w:t>
      </w:r>
      <w:r w:rsidR="005A28AC" w:rsidRPr="00A57018">
        <w:rPr>
          <w:sz w:val="26"/>
          <w:szCs w:val="26"/>
        </w:rPr>
        <w:t xml:space="preserve">Verizon’s Complaint due to its complete failure to </w:t>
      </w:r>
      <w:r w:rsidR="00A33622" w:rsidRPr="00A57018">
        <w:rPr>
          <w:sz w:val="26"/>
          <w:szCs w:val="26"/>
        </w:rPr>
        <w:t>present any evidence regarding the current cost of capital</w:t>
      </w:r>
      <w:r w:rsidR="0066250D" w:rsidRPr="00A57018">
        <w:rPr>
          <w:sz w:val="26"/>
          <w:szCs w:val="26"/>
        </w:rPr>
        <w:t xml:space="preserve"> in computing the rates under the JUAs</w:t>
      </w:r>
      <w:r w:rsidR="00A33622" w:rsidRPr="00A57018">
        <w:rPr>
          <w:sz w:val="26"/>
          <w:szCs w:val="26"/>
        </w:rPr>
        <w:t xml:space="preserve">.  FirstEnergy excepts to the ALJ’s recommendation on this issue, which is delineated in its Exception No. 9.  FirstEnergy Exc. at 29-30.  </w:t>
      </w:r>
    </w:p>
    <w:p w14:paraId="778E028D" w14:textId="1E04CBB1" w:rsidR="00A33622" w:rsidRPr="00A57018" w:rsidRDefault="00A33622" w:rsidP="00A57018">
      <w:pPr>
        <w:widowControl/>
        <w:spacing w:line="360" w:lineRule="auto"/>
        <w:ind w:firstLine="1440"/>
        <w:rPr>
          <w:sz w:val="26"/>
          <w:szCs w:val="26"/>
        </w:rPr>
      </w:pPr>
    </w:p>
    <w:p w14:paraId="437693FB" w14:textId="3B57C837" w:rsidR="007C4F19" w:rsidRPr="00A57018" w:rsidRDefault="00A33622" w:rsidP="00A57018">
      <w:pPr>
        <w:widowControl/>
        <w:spacing w:line="360" w:lineRule="auto"/>
        <w:ind w:firstLine="1440"/>
        <w:rPr>
          <w:sz w:val="26"/>
          <w:szCs w:val="26"/>
        </w:rPr>
      </w:pPr>
      <w:r w:rsidRPr="00A57018">
        <w:rPr>
          <w:sz w:val="26"/>
          <w:szCs w:val="26"/>
        </w:rPr>
        <w:t>FirstEnergy maintains</w:t>
      </w:r>
      <w:r w:rsidR="00C53087" w:rsidRPr="00A57018">
        <w:rPr>
          <w:sz w:val="26"/>
          <w:szCs w:val="26"/>
        </w:rPr>
        <w:t xml:space="preserve"> that Verizon presented no evidence regarding the cost of capital, including the cost of common equity.  </w:t>
      </w:r>
      <w:r w:rsidR="00C53087" w:rsidRPr="00A57018">
        <w:rPr>
          <w:i/>
          <w:iCs/>
          <w:sz w:val="26"/>
          <w:szCs w:val="26"/>
        </w:rPr>
        <w:t>Id</w:t>
      </w:r>
      <w:r w:rsidR="00C53087" w:rsidRPr="00A57018">
        <w:rPr>
          <w:sz w:val="26"/>
          <w:szCs w:val="26"/>
        </w:rPr>
        <w:t xml:space="preserve">.  </w:t>
      </w:r>
      <w:r w:rsidR="00283E16" w:rsidRPr="00A57018">
        <w:rPr>
          <w:sz w:val="26"/>
          <w:szCs w:val="26"/>
        </w:rPr>
        <w:t>As explained by FirstEnergy, the determination of the cost of common equity capital is a fundamental element of ratemaking and provides the standard for determining whether current rates are just and reasonable</w:t>
      </w:r>
      <w:r w:rsidR="007C4F19" w:rsidRPr="00A57018">
        <w:rPr>
          <w:sz w:val="26"/>
          <w:szCs w:val="26"/>
        </w:rPr>
        <w:t>.  FirstEnergy Exc. at 29 (citing FirstEnergy M.B. at 41-43).  The FCC’s rate formulas (set forth on pages 21-22 of the R.D.) necessarily require the cost of capital to be known in order to calculate a rate.  FirstEnergy</w:t>
      </w:r>
      <w:r w:rsidR="00E96E63" w:rsidRPr="00A57018">
        <w:rPr>
          <w:sz w:val="26"/>
          <w:szCs w:val="26"/>
        </w:rPr>
        <w:t xml:space="preserve"> explains</w:t>
      </w:r>
      <w:r w:rsidR="007C4F19" w:rsidRPr="00A57018">
        <w:rPr>
          <w:sz w:val="26"/>
          <w:szCs w:val="26"/>
        </w:rPr>
        <w:t xml:space="preserve"> that, although the ALJ acknowledges the utter lack of evidence presented by Verizon regarding the current cost of capital, </w:t>
      </w:r>
      <w:r w:rsidR="00E96E63" w:rsidRPr="00A57018">
        <w:rPr>
          <w:sz w:val="26"/>
          <w:szCs w:val="26"/>
        </w:rPr>
        <w:t xml:space="preserve">he accepted Verizon’s argument that the cost of capital factor used in the FCC rate formula should be current, erroneously rejecting FirstEnergy’s arguments.  FirstEnergy argues that the ALJ’s findings on this issue are arbitrary, capricious, and violate FirstEnergy’s due process rights.  FirstEnergy Exc. at 29-30.  </w:t>
      </w:r>
    </w:p>
    <w:p w14:paraId="26CD7EF6" w14:textId="77777777" w:rsidR="007C4F19" w:rsidRPr="00A57018" w:rsidRDefault="007C4F19" w:rsidP="00A57018">
      <w:pPr>
        <w:widowControl/>
        <w:spacing w:line="360" w:lineRule="auto"/>
        <w:ind w:firstLine="1440"/>
        <w:rPr>
          <w:sz w:val="26"/>
          <w:szCs w:val="26"/>
        </w:rPr>
      </w:pPr>
    </w:p>
    <w:p w14:paraId="5FB9236B" w14:textId="7012752C" w:rsidR="002C3FD9" w:rsidRPr="00A57018" w:rsidRDefault="0060067F" w:rsidP="00A57018">
      <w:pPr>
        <w:widowControl/>
        <w:spacing w:line="360" w:lineRule="auto"/>
        <w:ind w:firstLine="1440"/>
        <w:rPr>
          <w:sz w:val="26"/>
          <w:szCs w:val="26"/>
        </w:rPr>
      </w:pPr>
      <w:r w:rsidRPr="00A57018">
        <w:rPr>
          <w:sz w:val="26"/>
          <w:szCs w:val="26"/>
        </w:rPr>
        <w:t>Verizon retorts that FirstEnergy’s ninth Exception, arguing that Verizon “complete</w:t>
      </w:r>
      <w:r w:rsidR="00DA36EB" w:rsidRPr="00A57018">
        <w:rPr>
          <w:sz w:val="26"/>
          <w:szCs w:val="26"/>
        </w:rPr>
        <w:t xml:space="preserve">[ly] fail[ed] to present any evidence regarding the current cost of capital,” is confusing and wrong.  Verizon R. Exc. at 19 (citing FirstEnergy Exc. at 29).  </w:t>
      </w:r>
      <w:r w:rsidR="00BA071E" w:rsidRPr="00A57018">
        <w:rPr>
          <w:sz w:val="26"/>
          <w:szCs w:val="26"/>
        </w:rPr>
        <w:t>Verizon explains that in developing its</w:t>
      </w:r>
      <w:r w:rsidR="000369A4" w:rsidRPr="00A57018">
        <w:rPr>
          <w:sz w:val="26"/>
          <w:szCs w:val="26"/>
        </w:rPr>
        <w:t xml:space="preserve"> new telecom rates, it used the most current information available</w:t>
      </w:r>
      <w:r w:rsidR="00F36B46" w:rsidRPr="00A57018">
        <w:rPr>
          <w:sz w:val="26"/>
          <w:szCs w:val="26"/>
        </w:rPr>
        <w:t>, which it offered into evidence</w:t>
      </w:r>
      <w:r w:rsidR="000369A4" w:rsidRPr="00A57018">
        <w:rPr>
          <w:sz w:val="26"/>
          <w:szCs w:val="26"/>
        </w:rPr>
        <w:t xml:space="preserve">, as opposed to outdated cost of capital values set </w:t>
      </w:r>
      <w:r w:rsidR="000369A4" w:rsidRPr="00A57018">
        <w:rPr>
          <w:sz w:val="26"/>
          <w:szCs w:val="26"/>
        </w:rPr>
        <w:lastRenderedPageBreak/>
        <w:t xml:space="preserve">in 2007, 1988 and possibly earlier, as suggested by FirstEnergy.  Verizon maintains that </w:t>
      </w:r>
      <w:r w:rsidR="002C3FD9" w:rsidRPr="00A57018">
        <w:rPr>
          <w:sz w:val="26"/>
          <w:szCs w:val="26"/>
        </w:rPr>
        <w:t>FirstEnergy’s approach ignores the Companies’ current rate of return, in particular, its cost of equity component.</w:t>
      </w:r>
      <w:r w:rsidR="00112882" w:rsidRPr="00A57018">
        <w:rPr>
          <w:sz w:val="26"/>
          <w:szCs w:val="26"/>
        </w:rPr>
        <w:t xml:space="preserve">  </w:t>
      </w:r>
      <w:r w:rsidR="0060094D" w:rsidRPr="00A57018">
        <w:rPr>
          <w:sz w:val="26"/>
          <w:szCs w:val="26"/>
        </w:rPr>
        <w:t xml:space="preserve">Verizon R. Exc. at 19. </w:t>
      </w:r>
      <w:r w:rsidR="002C3FD9" w:rsidRPr="00A57018">
        <w:rPr>
          <w:sz w:val="26"/>
          <w:szCs w:val="26"/>
        </w:rPr>
        <w:t xml:space="preserve"> </w:t>
      </w:r>
      <w:r w:rsidR="0060094D" w:rsidRPr="00A57018">
        <w:rPr>
          <w:sz w:val="26"/>
          <w:szCs w:val="26"/>
        </w:rPr>
        <w:t xml:space="preserve">Therefore, Verizon asserts that the ALJ correctly found Verizon’s rate calculations are correct under the Commission’s Regulations and “agree[s] with Verizon that…the cost of capital should be current.”  </w:t>
      </w:r>
      <w:r w:rsidR="0060094D" w:rsidRPr="00A57018">
        <w:rPr>
          <w:i/>
          <w:iCs/>
          <w:sz w:val="26"/>
          <w:szCs w:val="26"/>
        </w:rPr>
        <w:t>Id</w:t>
      </w:r>
      <w:r w:rsidR="0060094D" w:rsidRPr="00A57018">
        <w:rPr>
          <w:sz w:val="26"/>
          <w:szCs w:val="26"/>
        </w:rPr>
        <w:t xml:space="preserve">. (citing R.D. at 8-9, 57).  </w:t>
      </w:r>
    </w:p>
    <w:p w14:paraId="0F26184A" w14:textId="77777777" w:rsidR="00D770F0" w:rsidRPr="00A57018" w:rsidRDefault="00D770F0" w:rsidP="00A57018">
      <w:pPr>
        <w:widowControl/>
        <w:spacing w:line="360" w:lineRule="auto"/>
        <w:ind w:firstLine="1440"/>
        <w:rPr>
          <w:sz w:val="26"/>
          <w:szCs w:val="26"/>
        </w:rPr>
      </w:pPr>
    </w:p>
    <w:p w14:paraId="50F3CB3F" w14:textId="000C4246" w:rsidR="006C2F32" w:rsidRPr="00A57018" w:rsidRDefault="006C2F32" w:rsidP="00A57018">
      <w:pPr>
        <w:pStyle w:val="Heading4"/>
        <w:widowControl/>
        <w:spacing w:line="240" w:lineRule="auto"/>
      </w:pPr>
      <w:bookmarkStart w:id="49" w:name="_Toc59179313"/>
      <w:r w:rsidRPr="00A57018">
        <w:t xml:space="preserve">Did the ALJ </w:t>
      </w:r>
      <w:r w:rsidR="009716A5">
        <w:t>E</w:t>
      </w:r>
      <w:r w:rsidRPr="00A57018">
        <w:t xml:space="preserve">rr by </w:t>
      </w:r>
      <w:r w:rsidR="009716A5">
        <w:t>M</w:t>
      </w:r>
      <w:r w:rsidRPr="00A57018">
        <w:t xml:space="preserve">aking </w:t>
      </w:r>
      <w:r w:rsidR="009716A5">
        <w:t>I</w:t>
      </w:r>
      <w:r w:rsidRPr="00A57018">
        <w:t xml:space="preserve">nconsistent </w:t>
      </w:r>
      <w:r w:rsidR="009716A5">
        <w:t>R</w:t>
      </w:r>
      <w:r w:rsidRPr="00A57018">
        <w:t xml:space="preserve">ulings on the </w:t>
      </w:r>
      <w:r w:rsidR="009716A5">
        <w:t>C</w:t>
      </w:r>
      <w:r w:rsidRPr="00A57018">
        <w:t xml:space="preserve">orrect </w:t>
      </w:r>
      <w:r w:rsidR="009716A5">
        <w:t>R</w:t>
      </w:r>
      <w:r w:rsidRPr="00A57018">
        <w:t xml:space="preserve">ates </w:t>
      </w:r>
      <w:r w:rsidR="009716A5">
        <w:t>G</w:t>
      </w:r>
      <w:r w:rsidRPr="00A57018">
        <w:t xml:space="preserve">oing </w:t>
      </w:r>
      <w:r w:rsidR="009716A5">
        <w:t>F</w:t>
      </w:r>
      <w:r w:rsidRPr="00A57018">
        <w:t>orward?  (FirstEnergy Exception No. 10)</w:t>
      </w:r>
      <w:bookmarkEnd w:id="49"/>
    </w:p>
    <w:p w14:paraId="429B1556" w14:textId="0B84E815" w:rsidR="006C2F32" w:rsidRPr="00A57018" w:rsidRDefault="006C2F32" w:rsidP="009716A5">
      <w:pPr>
        <w:widowControl/>
        <w:spacing w:line="480" w:lineRule="auto"/>
        <w:rPr>
          <w:sz w:val="26"/>
          <w:szCs w:val="26"/>
        </w:rPr>
      </w:pPr>
    </w:p>
    <w:p w14:paraId="04C8348D" w14:textId="4269C81B" w:rsidR="006C2F32" w:rsidRPr="00A57018" w:rsidRDefault="009313FB" w:rsidP="00A57018">
      <w:pPr>
        <w:widowControl/>
        <w:spacing w:line="360" w:lineRule="auto"/>
        <w:ind w:firstLine="1440"/>
        <w:rPr>
          <w:sz w:val="26"/>
          <w:szCs w:val="26"/>
        </w:rPr>
      </w:pPr>
      <w:r w:rsidRPr="00A57018">
        <w:rPr>
          <w:sz w:val="26"/>
          <w:szCs w:val="26"/>
        </w:rPr>
        <w:t xml:space="preserve">In its Exception No. 10, FirstEnergy contends that the ALJ “render[ed] contradictory findings and conclusions regarding the new rate [he] recommend[ed] Verizon should pay going forward.”  </w:t>
      </w:r>
      <w:r w:rsidR="0055314B" w:rsidRPr="00A57018">
        <w:rPr>
          <w:sz w:val="26"/>
          <w:szCs w:val="26"/>
        </w:rPr>
        <w:t xml:space="preserve">FirstEnergy Exc. at 30.  </w:t>
      </w:r>
    </w:p>
    <w:p w14:paraId="78184C5A" w14:textId="6F2E864D" w:rsidR="002F70B3" w:rsidRPr="00A57018" w:rsidRDefault="002F70B3" w:rsidP="00A57018">
      <w:pPr>
        <w:widowControl/>
        <w:spacing w:line="360" w:lineRule="auto"/>
        <w:rPr>
          <w:sz w:val="26"/>
          <w:szCs w:val="26"/>
        </w:rPr>
      </w:pPr>
    </w:p>
    <w:p w14:paraId="66E337A6" w14:textId="453163D5" w:rsidR="0055314B" w:rsidRPr="00A57018" w:rsidRDefault="0055314B" w:rsidP="00A57018">
      <w:pPr>
        <w:widowControl/>
        <w:spacing w:line="360" w:lineRule="auto"/>
        <w:ind w:firstLine="1440"/>
        <w:rPr>
          <w:sz w:val="26"/>
          <w:szCs w:val="26"/>
        </w:rPr>
      </w:pPr>
      <w:r w:rsidRPr="00A57018">
        <w:rPr>
          <w:sz w:val="26"/>
          <w:szCs w:val="26"/>
        </w:rPr>
        <w:t xml:space="preserve">FirstEnergy explains that </w:t>
      </w:r>
      <w:r w:rsidR="008215CF" w:rsidRPr="00A57018">
        <w:rPr>
          <w:sz w:val="26"/>
          <w:szCs w:val="26"/>
        </w:rPr>
        <w:t xml:space="preserve">the ALJ set forth the properly calculated new telecom rates for Verizon’s use of FirstEnergy’s poles in Finding of Fact No. 11, yet subsequently accepts Verizon’s argument that factors used in calculating the new telecom rate going forward, such as the cost of capital, should be current, which lead to the ALJ recommending a compliance period during which time a larger investigation should be conducted to properly determine all inputs when establishing the specific rates going forward.  </w:t>
      </w:r>
      <w:r w:rsidR="00DF4572" w:rsidRPr="00A57018">
        <w:rPr>
          <w:sz w:val="26"/>
          <w:szCs w:val="26"/>
        </w:rPr>
        <w:t xml:space="preserve">FirstEnergy contends that Verizon’s rate calculations cannot credibly be found to be the appropriate rate going forward, where the ALJ simultaneously concluded that additional investigation into the new telecom rate formula inputs is necessary.  </w:t>
      </w:r>
      <w:r w:rsidR="008E53D8" w:rsidRPr="00A57018">
        <w:rPr>
          <w:sz w:val="26"/>
          <w:szCs w:val="26"/>
        </w:rPr>
        <w:t xml:space="preserve">FirstEnergy Exc. at 30-31 (citing R.D. at 8-9, 57).  </w:t>
      </w:r>
      <w:r w:rsidR="006E29FC" w:rsidRPr="00A57018">
        <w:rPr>
          <w:sz w:val="26"/>
          <w:szCs w:val="26"/>
        </w:rPr>
        <w:t xml:space="preserve">Therefore, based on this inconsistency, </w:t>
      </w:r>
      <w:r w:rsidR="006E29FC" w:rsidRPr="00A57018">
        <w:rPr>
          <w:i/>
          <w:iCs/>
          <w:sz w:val="26"/>
          <w:szCs w:val="26"/>
        </w:rPr>
        <w:t>inter alia</w:t>
      </w:r>
      <w:r w:rsidR="006E29FC" w:rsidRPr="00A57018">
        <w:rPr>
          <w:sz w:val="26"/>
          <w:szCs w:val="26"/>
        </w:rPr>
        <w:t xml:space="preserve">, FirstEnergy asserts that Verizon’s calculations of the new telecom rates going forward should be rejected and the Recommended Decision should be reversed on this issue.  FirstEnergy Exc. at 31.  </w:t>
      </w:r>
    </w:p>
    <w:p w14:paraId="61A08DAB" w14:textId="6767C457" w:rsidR="006E29FC" w:rsidRPr="00A57018" w:rsidRDefault="006E29FC" w:rsidP="00A57018">
      <w:pPr>
        <w:widowControl/>
        <w:spacing w:line="360" w:lineRule="auto"/>
        <w:ind w:firstLine="1440"/>
        <w:rPr>
          <w:sz w:val="26"/>
          <w:szCs w:val="26"/>
        </w:rPr>
      </w:pPr>
    </w:p>
    <w:p w14:paraId="12E43B0A" w14:textId="61E5A071" w:rsidR="006E29FC" w:rsidRPr="00A57018" w:rsidRDefault="00A82C49" w:rsidP="00A57018">
      <w:pPr>
        <w:widowControl/>
        <w:spacing w:line="360" w:lineRule="auto"/>
        <w:ind w:firstLine="1440"/>
        <w:rPr>
          <w:sz w:val="26"/>
          <w:szCs w:val="26"/>
        </w:rPr>
      </w:pPr>
      <w:r w:rsidRPr="00A57018">
        <w:rPr>
          <w:sz w:val="26"/>
          <w:szCs w:val="26"/>
        </w:rPr>
        <w:lastRenderedPageBreak/>
        <w:t xml:space="preserve">Contrary to FirstEnergy’s assertions, Verizon argues that there are no inconsistencies in the ALJ’s findings.  </w:t>
      </w:r>
      <w:r w:rsidR="00BF368A" w:rsidRPr="00A57018">
        <w:rPr>
          <w:sz w:val="26"/>
          <w:szCs w:val="26"/>
        </w:rPr>
        <w:t>The ALJ simply correctly determined the “properly calculated new telecom rate for Verizon’s use of FirstEnergy’s p</w:t>
      </w:r>
      <w:r w:rsidR="00610A6D" w:rsidRPr="00A57018">
        <w:rPr>
          <w:sz w:val="26"/>
          <w:szCs w:val="26"/>
        </w:rPr>
        <w:t>o</w:t>
      </w:r>
      <w:r w:rsidR="00BF368A" w:rsidRPr="00A57018">
        <w:rPr>
          <w:sz w:val="26"/>
          <w:szCs w:val="26"/>
        </w:rPr>
        <w:t>les” for the 2011 through 2019 rental</w:t>
      </w:r>
      <w:r w:rsidR="00F56A33" w:rsidRPr="00A57018">
        <w:rPr>
          <w:sz w:val="26"/>
          <w:szCs w:val="26"/>
        </w:rPr>
        <w:t xml:space="preserve"> years, based on the available cost data, and required new telecom rates going forward to be calculated in “the same” manner using “current” data.  Verizon</w:t>
      </w:r>
      <w:r w:rsidR="00035DDE" w:rsidRPr="00A57018">
        <w:rPr>
          <w:sz w:val="26"/>
          <w:szCs w:val="26"/>
        </w:rPr>
        <w:t xml:space="preserve"> R.</w:t>
      </w:r>
      <w:r w:rsidR="00F56A33" w:rsidRPr="00A57018">
        <w:rPr>
          <w:sz w:val="26"/>
          <w:szCs w:val="26"/>
        </w:rPr>
        <w:t xml:space="preserve"> Exc. at 19-20 (citing R.D. at 8-9, 57, 66).  </w:t>
      </w:r>
      <w:r w:rsidR="00035DDE" w:rsidRPr="00A57018">
        <w:rPr>
          <w:sz w:val="26"/>
          <w:szCs w:val="26"/>
        </w:rPr>
        <w:t>Verizon explains that the ALJ’s recommendation on this matter is consistent with the Commission’s Regulations, which require FirstEnergy to charge Verizon’s competitors annually calculated new telecom rates using FirstEnergy’s prior-year reported cost data.  Verizon R. Exc. at 20.</w:t>
      </w:r>
    </w:p>
    <w:p w14:paraId="59ECD0B3" w14:textId="77777777" w:rsidR="006C2F32" w:rsidRPr="00A57018" w:rsidRDefault="006C2F32" w:rsidP="00A57018">
      <w:pPr>
        <w:widowControl/>
        <w:spacing w:line="360" w:lineRule="auto"/>
        <w:rPr>
          <w:sz w:val="26"/>
          <w:szCs w:val="26"/>
        </w:rPr>
      </w:pPr>
    </w:p>
    <w:p w14:paraId="430764F3" w14:textId="77777777" w:rsidR="0039246C" w:rsidRPr="00A57018" w:rsidRDefault="0039246C" w:rsidP="00A57018">
      <w:pPr>
        <w:pStyle w:val="Heading3"/>
        <w:ind w:left="1440" w:hanging="720"/>
      </w:pPr>
      <w:bookmarkStart w:id="50" w:name="_Toc59179314"/>
      <w:r w:rsidRPr="00A57018">
        <w:t>Disposition</w:t>
      </w:r>
      <w:bookmarkEnd w:id="50"/>
    </w:p>
    <w:bookmarkEnd w:id="40"/>
    <w:p w14:paraId="1B5C45E2" w14:textId="036A9D25" w:rsidR="00285D18" w:rsidRPr="00A57018" w:rsidRDefault="00285D18" w:rsidP="00A57018">
      <w:pPr>
        <w:keepNext/>
        <w:keepLines/>
        <w:widowControl/>
        <w:spacing w:line="360" w:lineRule="auto"/>
        <w:rPr>
          <w:b/>
          <w:bCs/>
          <w:sz w:val="26"/>
          <w:szCs w:val="26"/>
        </w:rPr>
      </w:pPr>
    </w:p>
    <w:p w14:paraId="5302437B" w14:textId="2A3FE3DE" w:rsidR="00167647" w:rsidRDefault="00086999" w:rsidP="00086999">
      <w:pPr>
        <w:widowControl/>
        <w:spacing w:line="360" w:lineRule="auto"/>
        <w:rPr>
          <w:sz w:val="26"/>
          <w:szCs w:val="26"/>
        </w:rPr>
      </w:pPr>
      <w:bookmarkStart w:id="51" w:name="_Hlk58494668"/>
      <w:bookmarkStart w:id="52" w:name="_Hlk58493870"/>
      <w:r>
        <w:rPr>
          <w:sz w:val="26"/>
          <w:szCs w:val="26"/>
        </w:rPr>
        <w:tab/>
      </w:r>
      <w:r w:rsidR="005B7293">
        <w:rPr>
          <w:sz w:val="26"/>
          <w:szCs w:val="26"/>
        </w:rPr>
        <w:tab/>
      </w:r>
      <w:r w:rsidRPr="00684962">
        <w:rPr>
          <w:sz w:val="26"/>
          <w:szCs w:val="26"/>
        </w:rPr>
        <w:t>I</w:t>
      </w:r>
      <w:r w:rsidR="00167647" w:rsidRPr="00684962">
        <w:rPr>
          <w:sz w:val="26"/>
          <w:szCs w:val="26"/>
        </w:rPr>
        <w:t>n considering the record evidence and arguments before us, along with the Exceptions and Reply Exceptions of the Parties, regarding FirstEnergy Exception No. 7</w:t>
      </w:r>
      <w:r w:rsidR="00A37E5A" w:rsidRPr="00684962">
        <w:rPr>
          <w:sz w:val="26"/>
          <w:szCs w:val="26"/>
        </w:rPr>
        <w:t xml:space="preserve"> relating to insertion of the </w:t>
      </w:r>
      <w:r w:rsidR="00EC5699" w:rsidRPr="00684962">
        <w:rPr>
          <w:sz w:val="26"/>
          <w:szCs w:val="26"/>
        </w:rPr>
        <w:t>“</w:t>
      </w:r>
      <w:r w:rsidR="00A37E5A" w:rsidRPr="00684962">
        <w:rPr>
          <w:sz w:val="26"/>
          <w:szCs w:val="26"/>
        </w:rPr>
        <w:t>new telecom rate</w:t>
      </w:r>
      <w:r w:rsidR="00EC5699" w:rsidRPr="00684962">
        <w:rPr>
          <w:sz w:val="26"/>
          <w:szCs w:val="26"/>
        </w:rPr>
        <w:t>”</w:t>
      </w:r>
      <w:r w:rsidR="00A37E5A" w:rsidRPr="00684962">
        <w:rPr>
          <w:sz w:val="26"/>
          <w:szCs w:val="26"/>
        </w:rPr>
        <w:t xml:space="preserve"> into the existing JUAs</w:t>
      </w:r>
      <w:r w:rsidR="00167647" w:rsidRPr="00684962">
        <w:rPr>
          <w:sz w:val="26"/>
          <w:szCs w:val="26"/>
        </w:rPr>
        <w:t xml:space="preserve">, we shall adopt the ALJ’s recommendation that the just and reasonable rate for Verizon’s use of FirstEnergy’s poles, under the JUAs, is the competitively neutral new telecom rate required by the Commission’s Regulations.  As previously explained, </w:t>
      </w:r>
      <w:r w:rsidR="00C91AF3" w:rsidRPr="00C91AF3">
        <w:rPr>
          <w:sz w:val="26"/>
          <w:szCs w:val="26"/>
        </w:rPr>
        <w:t xml:space="preserve">Verizon has demonstrated that it is entitled to the new telecom rate under the FCC’s regulations that the Commission has adopted because the </w:t>
      </w:r>
      <w:r w:rsidR="00C91AF3">
        <w:rPr>
          <w:sz w:val="26"/>
          <w:szCs w:val="26"/>
        </w:rPr>
        <w:t>JUAs</w:t>
      </w:r>
      <w:r w:rsidR="00C91AF3" w:rsidRPr="00C91AF3">
        <w:rPr>
          <w:sz w:val="26"/>
          <w:szCs w:val="26"/>
        </w:rPr>
        <w:t xml:space="preserve"> were renewed after March 11, 2019 and because First Energy failed to rebut this presumption by showing that the joint use agreements provide Verizon material advantages. </w:t>
      </w:r>
    </w:p>
    <w:p w14:paraId="701592B6" w14:textId="77777777" w:rsidR="00086999" w:rsidRPr="00086999" w:rsidRDefault="00086999" w:rsidP="00086999">
      <w:pPr>
        <w:widowControl/>
        <w:spacing w:line="360" w:lineRule="auto"/>
        <w:rPr>
          <w:b/>
          <w:bCs/>
          <w:sz w:val="26"/>
          <w:szCs w:val="26"/>
          <w:highlight w:val="yellow"/>
        </w:rPr>
      </w:pPr>
    </w:p>
    <w:p w14:paraId="18E39676" w14:textId="147366EA" w:rsidR="00167647" w:rsidRPr="00684962" w:rsidRDefault="00167647" w:rsidP="00A57018">
      <w:pPr>
        <w:widowControl/>
        <w:spacing w:line="360" w:lineRule="auto"/>
        <w:ind w:firstLine="1440"/>
        <w:rPr>
          <w:sz w:val="26"/>
          <w:szCs w:val="26"/>
        </w:rPr>
      </w:pPr>
      <w:r w:rsidRPr="00684962">
        <w:rPr>
          <w:sz w:val="26"/>
          <w:szCs w:val="26"/>
        </w:rPr>
        <w:t>Accordingly, we shall deny FirstEnergy Exception No. 7.</w:t>
      </w:r>
      <w:bookmarkEnd w:id="51"/>
      <w:r w:rsidRPr="00684962">
        <w:rPr>
          <w:sz w:val="26"/>
          <w:szCs w:val="26"/>
        </w:rPr>
        <w:t xml:space="preserve"> </w:t>
      </w:r>
      <w:bookmarkEnd w:id="52"/>
      <w:r w:rsidRPr="00684962">
        <w:rPr>
          <w:sz w:val="26"/>
          <w:szCs w:val="26"/>
        </w:rPr>
        <w:t xml:space="preserve"> </w:t>
      </w:r>
    </w:p>
    <w:p w14:paraId="7063A899" w14:textId="44892637" w:rsidR="003447B5" w:rsidRPr="00A57018" w:rsidRDefault="003447B5" w:rsidP="00A57018">
      <w:pPr>
        <w:widowControl/>
        <w:spacing w:line="360" w:lineRule="auto"/>
        <w:ind w:firstLine="1440"/>
        <w:rPr>
          <w:sz w:val="26"/>
          <w:szCs w:val="26"/>
        </w:rPr>
      </w:pPr>
    </w:p>
    <w:p w14:paraId="7B0DCCC6" w14:textId="1798BB47" w:rsidR="003447B5" w:rsidRPr="00A57018" w:rsidRDefault="003447B5" w:rsidP="00A57018">
      <w:pPr>
        <w:widowControl/>
        <w:spacing w:line="360" w:lineRule="auto"/>
        <w:ind w:firstLine="1440"/>
        <w:rPr>
          <w:sz w:val="26"/>
          <w:szCs w:val="26"/>
        </w:rPr>
      </w:pPr>
      <w:r w:rsidRPr="00A57018">
        <w:rPr>
          <w:sz w:val="26"/>
          <w:szCs w:val="26"/>
        </w:rPr>
        <w:t>Regarding FirstEnergy Exception No. 8</w:t>
      </w:r>
      <w:r w:rsidR="00A37E5A">
        <w:rPr>
          <w:sz w:val="26"/>
          <w:szCs w:val="26"/>
        </w:rPr>
        <w:t xml:space="preserve"> relating to FirstEnergy’s proposed rate inputs</w:t>
      </w:r>
      <w:r w:rsidRPr="00A57018">
        <w:rPr>
          <w:sz w:val="26"/>
          <w:szCs w:val="26"/>
        </w:rPr>
        <w:t>, we find that the ALJ properly rejected the Companies’ attempt to rebut the use of the FCC’s presumptive inputs in calculating the new telecom rates.  Specifically, t</w:t>
      </w:r>
      <w:r w:rsidRPr="00A57018">
        <w:rPr>
          <w:color w:val="000000"/>
          <w:sz w:val="26"/>
          <w:szCs w:val="26"/>
        </w:rPr>
        <w:t xml:space="preserve">he ALJ found the data used to calculate the new telecom rates should not be data quickly </w:t>
      </w:r>
      <w:r w:rsidRPr="00A57018">
        <w:rPr>
          <w:color w:val="000000"/>
          <w:sz w:val="26"/>
          <w:szCs w:val="26"/>
        </w:rPr>
        <w:lastRenderedPageBreak/>
        <w:t>gathered during a review of a small set of poles in response to litigation.  R.D. at 57.</w:t>
      </w:r>
      <w:r w:rsidRPr="00A57018">
        <w:rPr>
          <w:rStyle w:val="FootnoteReference"/>
          <w:color w:val="000000"/>
          <w:sz w:val="26"/>
          <w:szCs w:val="26"/>
        </w:rPr>
        <w:footnoteReference w:id="32"/>
      </w:r>
      <w:r w:rsidRPr="00A57018">
        <w:rPr>
          <w:color w:val="000000"/>
          <w:sz w:val="26"/>
          <w:szCs w:val="26"/>
        </w:rPr>
        <w:t xml:space="preserve">  </w:t>
      </w:r>
      <w:r w:rsidRPr="00A57018">
        <w:rPr>
          <w:sz w:val="26"/>
          <w:szCs w:val="26"/>
        </w:rPr>
        <w:t>We agree with the findings of the ALJ that FirstEnergy did not provide probative direct evidence sufficient to forgo the rate calculation inputs in the FCC regulations.  Indeed, FirstEnergy’s calculations, based on outdated rates of return and a limited, flawed, and skewed data set, are insufficient to rebut the FCC’s presumptions and substitute for the default inputs required by the regulations.  Accordingly, we shall deny FirstEnergy Exception No. 8.</w:t>
      </w:r>
    </w:p>
    <w:p w14:paraId="5B75B6BF" w14:textId="77777777" w:rsidR="003447B5" w:rsidRPr="00A57018" w:rsidRDefault="003447B5" w:rsidP="00A57018">
      <w:pPr>
        <w:widowControl/>
        <w:spacing w:line="360" w:lineRule="auto"/>
        <w:ind w:firstLine="1440"/>
        <w:rPr>
          <w:sz w:val="26"/>
          <w:szCs w:val="26"/>
        </w:rPr>
      </w:pPr>
    </w:p>
    <w:p w14:paraId="7E9096AC" w14:textId="3FD5B2A4" w:rsidR="00A37E5A" w:rsidRDefault="003447B5" w:rsidP="00A37E5A">
      <w:pPr>
        <w:widowControl/>
        <w:spacing w:line="360" w:lineRule="auto"/>
        <w:ind w:firstLine="1440"/>
        <w:rPr>
          <w:sz w:val="26"/>
          <w:szCs w:val="26"/>
        </w:rPr>
      </w:pPr>
      <w:r w:rsidRPr="00A57018">
        <w:rPr>
          <w:sz w:val="26"/>
          <w:szCs w:val="26"/>
        </w:rPr>
        <w:t>Next, we shall address FirstEnergy Exception Nos. 9 and 10</w:t>
      </w:r>
      <w:r w:rsidR="00A37E5A">
        <w:rPr>
          <w:sz w:val="26"/>
          <w:szCs w:val="26"/>
        </w:rPr>
        <w:t xml:space="preserve"> addressing the cost of capital in computing the rates and the proper rates going forward</w:t>
      </w:r>
      <w:r w:rsidRPr="00A57018">
        <w:rPr>
          <w:sz w:val="26"/>
          <w:szCs w:val="26"/>
        </w:rPr>
        <w:t>.</w:t>
      </w:r>
      <w:r w:rsidR="00086999">
        <w:rPr>
          <w:sz w:val="26"/>
          <w:szCs w:val="26"/>
        </w:rPr>
        <w:t xml:space="preserve">  </w:t>
      </w:r>
      <w:r w:rsidR="00B17B7C">
        <w:rPr>
          <w:sz w:val="26"/>
          <w:szCs w:val="26"/>
        </w:rPr>
        <w:t xml:space="preserve">The </w:t>
      </w:r>
      <w:r w:rsidR="00086999">
        <w:rPr>
          <w:sz w:val="26"/>
          <w:szCs w:val="26"/>
        </w:rPr>
        <w:t>P</w:t>
      </w:r>
      <w:r w:rsidR="00B17B7C">
        <w:rPr>
          <w:sz w:val="26"/>
          <w:szCs w:val="26"/>
        </w:rPr>
        <w:t xml:space="preserve">arties claim that there are errors in the specific calculations, and they dispute what date should apply if the rebuttable presumption regarding the new pole attachment rates is determined to apply to this dispute.  </w:t>
      </w:r>
      <w:r w:rsidR="00A37E5A" w:rsidRPr="00081E8F">
        <w:rPr>
          <w:sz w:val="26"/>
          <w:szCs w:val="26"/>
        </w:rPr>
        <w:t xml:space="preserve">The Recommended Decision on these matters determines that the cost of capital used in determining the new pole attachment rate should be the cost of capital as of March 19, 2019, ostensibly because of the effective date of the FCC’s </w:t>
      </w:r>
      <w:r w:rsidR="001071E7" w:rsidRPr="00081E8F">
        <w:rPr>
          <w:sz w:val="26"/>
          <w:szCs w:val="26"/>
        </w:rPr>
        <w:t>“</w:t>
      </w:r>
      <w:r w:rsidR="00A37E5A" w:rsidRPr="00081E8F">
        <w:rPr>
          <w:sz w:val="26"/>
          <w:szCs w:val="26"/>
        </w:rPr>
        <w:t>new telecom rate</w:t>
      </w:r>
      <w:r w:rsidR="001071E7" w:rsidRPr="00081E8F">
        <w:rPr>
          <w:sz w:val="26"/>
          <w:szCs w:val="26"/>
        </w:rPr>
        <w:t>”</w:t>
      </w:r>
      <w:r w:rsidR="00A37E5A" w:rsidRPr="00081E8F">
        <w:rPr>
          <w:sz w:val="26"/>
          <w:szCs w:val="26"/>
        </w:rPr>
        <w:t xml:space="preserve"> methodology.  The Recommended Decision on these issues further recommends a 60-day compliance phase during which a further investigation would be conducted to properly address determine all inputs when establishing rate going forward and a refund created through the use of the </w:t>
      </w:r>
      <w:r w:rsidR="001071E7" w:rsidRPr="00081E8F">
        <w:rPr>
          <w:sz w:val="26"/>
          <w:szCs w:val="26"/>
        </w:rPr>
        <w:t>“</w:t>
      </w:r>
      <w:r w:rsidR="00A37E5A" w:rsidRPr="00081E8F">
        <w:rPr>
          <w:sz w:val="26"/>
          <w:szCs w:val="26"/>
        </w:rPr>
        <w:t>new telecom rate</w:t>
      </w:r>
      <w:r w:rsidR="001071E7" w:rsidRPr="00081E8F">
        <w:rPr>
          <w:sz w:val="26"/>
          <w:szCs w:val="26"/>
        </w:rPr>
        <w:t>”</w:t>
      </w:r>
      <w:r w:rsidR="00A37E5A" w:rsidRPr="00081E8F">
        <w:rPr>
          <w:sz w:val="26"/>
          <w:szCs w:val="26"/>
        </w:rPr>
        <w:t xml:space="preserve"> methodology for pole attachments.</w:t>
      </w:r>
      <w:r w:rsidR="00A37E5A">
        <w:rPr>
          <w:sz w:val="26"/>
          <w:szCs w:val="26"/>
        </w:rPr>
        <w:t xml:space="preserve">  </w:t>
      </w:r>
    </w:p>
    <w:p w14:paraId="25A0B2CF" w14:textId="77777777" w:rsidR="003447B5" w:rsidRPr="00A57018" w:rsidRDefault="003447B5" w:rsidP="00A57018">
      <w:pPr>
        <w:widowControl/>
        <w:spacing w:line="360" w:lineRule="auto"/>
        <w:ind w:firstLine="1440"/>
        <w:rPr>
          <w:sz w:val="26"/>
          <w:szCs w:val="26"/>
        </w:rPr>
      </w:pPr>
    </w:p>
    <w:p w14:paraId="75CB830C" w14:textId="3EEF6566" w:rsidR="003447B5" w:rsidRDefault="00A37E5A" w:rsidP="00A57018">
      <w:pPr>
        <w:widowControl/>
        <w:spacing w:line="360" w:lineRule="auto"/>
        <w:ind w:firstLine="1440"/>
        <w:rPr>
          <w:color w:val="000000"/>
          <w:spacing w:val="-1"/>
          <w:sz w:val="24"/>
          <w:szCs w:val="24"/>
        </w:rPr>
      </w:pPr>
      <w:r w:rsidRPr="00A37E5A">
        <w:rPr>
          <w:color w:val="000000"/>
          <w:spacing w:val="-1"/>
          <w:sz w:val="26"/>
          <w:szCs w:val="26"/>
        </w:rPr>
        <w:t xml:space="preserve">Upon review, we adopt Verizon’s pole attachments rate inputs to calculate the </w:t>
      </w:r>
      <w:r w:rsidR="001071E7">
        <w:rPr>
          <w:color w:val="000000"/>
          <w:spacing w:val="-1"/>
          <w:sz w:val="26"/>
          <w:szCs w:val="26"/>
        </w:rPr>
        <w:t>“</w:t>
      </w:r>
      <w:r w:rsidRPr="00A37E5A">
        <w:rPr>
          <w:color w:val="000000"/>
          <w:spacing w:val="-1"/>
          <w:sz w:val="26"/>
          <w:szCs w:val="26"/>
        </w:rPr>
        <w:t>new telecom rate.</w:t>
      </w:r>
      <w:r w:rsidR="001071E7">
        <w:rPr>
          <w:color w:val="000000"/>
          <w:spacing w:val="-1"/>
          <w:sz w:val="26"/>
          <w:szCs w:val="26"/>
        </w:rPr>
        <w:t>”</w:t>
      </w:r>
      <w:r w:rsidRPr="00A37E5A">
        <w:rPr>
          <w:color w:val="000000"/>
          <w:spacing w:val="-1"/>
          <w:sz w:val="26"/>
          <w:szCs w:val="26"/>
        </w:rPr>
        <w:t xml:space="preserve">  We believe the record is sufficient to determine the correct pole attachment rates going forward.  The record shows that Verizon relied upon the Commission’s Quarterly Earnings Report from the 2</w:t>
      </w:r>
      <w:r w:rsidRPr="00A37E5A">
        <w:rPr>
          <w:color w:val="000000"/>
          <w:spacing w:val="-1"/>
          <w:sz w:val="26"/>
          <w:szCs w:val="26"/>
          <w:vertAlign w:val="superscript"/>
        </w:rPr>
        <w:t>nd</w:t>
      </w:r>
      <w:r w:rsidRPr="00A37E5A">
        <w:rPr>
          <w:color w:val="000000"/>
          <w:spacing w:val="-1"/>
          <w:sz w:val="26"/>
          <w:szCs w:val="26"/>
        </w:rPr>
        <w:t xml:space="preserve"> quarter of 2017 to propose a 9.55% </w:t>
      </w:r>
      <w:r w:rsidRPr="00A37E5A">
        <w:rPr>
          <w:color w:val="000000"/>
          <w:spacing w:val="-1"/>
          <w:sz w:val="26"/>
          <w:szCs w:val="26"/>
        </w:rPr>
        <w:lastRenderedPageBreak/>
        <w:t>rate of return as the basis for its cost of capital.  The Commission’s Quarterly Earnings Reports are reasonable, and in this case, persuasive vehicles to establish a cost of capital.  In this case, a reasonable proposed rate of return is already in the record and should be used.</w:t>
      </w:r>
      <w:r w:rsidRPr="00A37E5A">
        <w:rPr>
          <w:rStyle w:val="FootnoteReference"/>
          <w:spacing w:val="-1"/>
          <w:sz w:val="26"/>
          <w:szCs w:val="26"/>
        </w:rPr>
        <w:footnoteReference w:id="33"/>
      </w:r>
      <w:r>
        <w:rPr>
          <w:color w:val="000000"/>
          <w:spacing w:val="-1"/>
          <w:sz w:val="24"/>
          <w:szCs w:val="24"/>
        </w:rPr>
        <w:t xml:space="preserve">  </w:t>
      </w:r>
    </w:p>
    <w:p w14:paraId="0111C6DD" w14:textId="77777777" w:rsidR="00086999" w:rsidRPr="00A57018" w:rsidRDefault="00086999" w:rsidP="00A57018">
      <w:pPr>
        <w:widowControl/>
        <w:spacing w:line="360" w:lineRule="auto"/>
        <w:ind w:firstLine="1440"/>
        <w:rPr>
          <w:sz w:val="26"/>
          <w:szCs w:val="26"/>
        </w:rPr>
      </w:pPr>
    </w:p>
    <w:p w14:paraId="1B6F698F" w14:textId="32C6030B" w:rsidR="003447B5" w:rsidRPr="00A57018" w:rsidRDefault="003447B5" w:rsidP="00A57018">
      <w:pPr>
        <w:widowControl/>
        <w:spacing w:line="360" w:lineRule="auto"/>
        <w:ind w:firstLine="1440"/>
        <w:rPr>
          <w:sz w:val="26"/>
          <w:szCs w:val="26"/>
        </w:rPr>
      </w:pPr>
      <w:r w:rsidRPr="00A57018">
        <w:rPr>
          <w:sz w:val="26"/>
          <w:szCs w:val="26"/>
        </w:rPr>
        <w:t>FirstEnergy argued that Verizon’s rate calculations should be rejected because they contain several notable errors such as: (1) an incorrect allocation of accumulated deferred taxes; (2) incorrect pole counts; (3) incorrect rates of return; and (4) incorrect pole heights.  See R.D. at 54 (citing FirstEnergy M.B. at 89).</w:t>
      </w:r>
      <w:r w:rsidR="001071E7">
        <w:rPr>
          <w:sz w:val="26"/>
          <w:szCs w:val="26"/>
        </w:rPr>
        <w:t xml:space="preserve">  We reject these arguments.</w:t>
      </w:r>
      <w:r w:rsidRPr="00A57018">
        <w:rPr>
          <w:sz w:val="26"/>
          <w:szCs w:val="26"/>
        </w:rPr>
        <w:t xml:space="preserve"> </w:t>
      </w:r>
    </w:p>
    <w:p w14:paraId="1C3152B7" w14:textId="77777777" w:rsidR="003447B5" w:rsidRPr="00A57018" w:rsidRDefault="003447B5" w:rsidP="00A57018">
      <w:pPr>
        <w:widowControl/>
        <w:spacing w:line="360" w:lineRule="auto"/>
        <w:ind w:firstLine="1440"/>
        <w:rPr>
          <w:sz w:val="26"/>
          <w:szCs w:val="26"/>
        </w:rPr>
      </w:pPr>
    </w:p>
    <w:p w14:paraId="2B3F0010" w14:textId="77777777" w:rsidR="003447B5" w:rsidRPr="00A57018" w:rsidRDefault="003447B5" w:rsidP="00A57018">
      <w:pPr>
        <w:widowControl/>
        <w:spacing w:line="360" w:lineRule="auto"/>
        <w:ind w:firstLine="1440"/>
        <w:rPr>
          <w:sz w:val="26"/>
          <w:szCs w:val="26"/>
        </w:rPr>
      </w:pPr>
      <w:r w:rsidRPr="00A57018">
        <w:rPr>
          <w:sz w:val="26"/>
          <w:szCs w:val="26"/>
        </w:rPr>
        <w:t xml:space="preserve">First, FirstEnergy argued that Verizon erred in its allocation of accumulated deferred income taxes.  Verizon allocates accumulated deferred income taxes in proportion to depreciated investment (gross investment less accumulated depreciation), while FirstEnergy allocates in proportion to original (gross) investment.  Verizon’s approach is consistent with similar regulatory approaches.  Furthermore, use of original (gross) investment produces a difference in rates measured only in pennies.  </w:t>
      </w:r>
    </w:p>
    <w:p w14:paraId="2AF22787" w14:textId="77777777" w:rsidR="003447B5" w:rsidRPr="00A57018" w:rsidRDefault="003447B5" w:rsidP="00A57018">
      <w:pPr>
        <w:widowControl/>
        <w:spacing w:line="360" w:lineRule="auto"/>
        <w:ind w:firstLine="1440"/>
        <w:rPr>
          <w:sz w:val="26"/>
          <w:szCs w:val="26"/>
        </w:rPr>
      </w:pPr>
    </w:p>
    <w:p w14:paraId="26E324FC" w14:textId="77777777" w:rsidR="003447B5" w:rsidRPr="00A57018" w:rsidRDefault="003447B5" w:rsidP="00A57018">
      <w:pPr>
        <w:widowControl/>
        <w:spacing w:line="360" w:lineRule="auto"/>
        <w:ind w:firstLine="1440"/>
        <w:rPr>
          <w:sz w:val="26"/>
          <w:szCs w:val="26"/>
        </w:rPr>
      </w:pPr>
      <w:r w:rsidRPr="00A57018">
        <w:rPr>
          <w:sz w:val="26"/>
          <w:szCs w:val="26"/>
        </w:rPr>
        <w:t xml:space="preserve">Second, FirstEnergy argued that Verizon used an incorrect pole count.  Verizon explained that it calculated rates using pole count information provided by FirstEnergy in May 2018.  </w:t>
      </w:r>
      <w:r w:rsidRPr="00A57018">
        <w:rPr>
          <w:i/>
          <w:iCs/>
          <w:sz w:val="26"/>
          <w:szCs w:val="26"/>
        </w:rPr>
        <w:t>See</w:t>
      </w:r>
      <w:r w:rsidRPr="00A57018">
        <w:rPr>
          <w:sz w:val="26"/>
          <w:szCs w:val="26"/>
        </w:rPr>
        <w:t xml:space="preserve"> Complaint, Exh. 28.  FirstEnergy challenged the use of these pole counts, proposing that slightly higher distribution pole count values be used as follows:</w:t>
      </w:r>
    </w:p>
    <w:p w14:paraId="730EA133" w14:textId="77777777" w:rsidR="003447B5" w:rsidRPr="00A57018" w:rsidRDefault="003447B5" w:rsidP="00A57018">
      <w:pPr>
        <w:widowControl/>
        <w:spacing w:line="360" w:lineRule="auto"/>
        <w:ind w:firstLine="1440"/>
        <w:rPr>
          <w:sz w:val="26"/>
          <w:szCs w:val="26"/>
        </w:rPr>
      </w:pPr>
    </w:p>
    <w:p w14:paraId="134B1093" w14:textId="07BF03F5" w:rsidR="003447B5" w:rsidRDefault="003447B5" w:rsidP="00A57018">
      <w:pPr>
        <w:pStyle w:val="ListParagraph"/>
        <w:keepNext/>
        <w:keepLines/>
        <w:widowControl/>
        <w:rPr>
          <w:b/>
          <w:bCs/>
          <w:sz w:val="26"/>
          <w:szCs w:val="26"/>
        </w:rPr>
      </w:pPr>
      <w:bookmarkStart w:id="53" w:name="_Hlk58494216"/>
      <w:r w:rsidRPr="00A57018">
        <w:rPr>
          <w:b/>
          <w:bCs/>
          <w:sz w:val="26"/>
          <w:szCs w:val="26"/>
        </w:rPr>
        <w:lastRenderedPageBreak/>
        <w:t>***BEGIN PROPRIETARY***</w:t>
      </w:r>
      <w:bookmarkEnd w:id="53"/>
    </w:p>
    <w:p w14:paraId="460788AC" w14:textId="2A1310F1" w:rsidR="003455BF" w:rsidRDefault="003455BF" w:rsidP="00A57018">
      <w:pPr>
        <w:pStyle w:val="ListParagraph"/>
        <w:keepNext/>
        <w:keepLines/>
        <w:widowControl/>
        <w:rPr>
          <w:b/>
          <w:bCs/>
          <w:sz w:val="26"/>
          <w:szCs w:val="26"/>
        </w:rPr>
      </w:pPr>
    </w:p>
    <w:p w14:paraId="387DBAF4" w14:textId="4A79EE78" w:rsidR="003455BF" w:rsidRDefault="003455BF" w:rsidP="00A57018">
      <w:pPr>
        <w:pStyle w:val="ListParagraph"/>
        <w:keepNext/>
        <w:keepLines/>
        <w:widowControl/>
        <w:rPr>
          <w:b/>
          <w:bCs/>
          <w:sz w:val="26"/>
          <w:szCs w:val="26"/>
        </w:rPr>
      </w:pPr>
    </w:p>
    <w:p w14:paraId="42BE448A" w14:textId="18583EE6" w:rsidR="003455BF" w:rsidRDefault="003455BF" w:rsidP="00A57018">
      <w:pPr>
        <w:pStyle w:val="ListParagraph"/>
        <w:keepNext/>
        <w:keepLines/>
        <w:widowControl/>
        <w:rPr>
          <w:b/>
          <w:bCs/>
          <w:sz w:val="26"/>
          <w:szCs w:val="26"/>
        </w:rPr>
      </w:pPr>
    </w:p>
    <w:p w14:paraId="0C71AC17" w14:textId="7FE39A1C" w:rsidR="003455BF" w:rsidRDefault="003455BF" w:rsidP="00A57018">
      <w:pPr>
        <w:pStyle w:val="ListParagraph"/>
        <w:keepNext/>
        <w:keepLines/>
        <w:widowControl/>
        <w:rPr>
          <w:b/>
          <w:bCs/>
          <w:sz w:val="26"/>
          <w:szCs w:val="26"/>
        </w:rPr>
      </w:pPr>
    </w:p>
    <w:p w14:paraId="599C275F" w14:textId="569F4373" w:rsidR="003455BF" w:rsidRDefault="003455BF" w:rsidP="00A57018">
      <w:pPr>
        <w:pStyle w:val="ListParagraph"/>
        <w:keepNext/>
        <w:keepLines/>
        <w:widowControl/>
        <w:rPr>
          <w:b/>
          <w:bCs/>
          <w:sz w:val="26"/>
          <w:szCs w:val="26"/>
        </w:rPr>
      </w:pPr>
    </w:p>
    <w:p w14:paraId="36EB67BF" w14:textId="7FF7E379" w:rsidR="003455BF" w:rsidRDefault="003455BF" w:rsidP="00A57018">
      <w:pPr>
        <w:pStyle w:val="ListParagraph"/>
        <w:keepNext/>
        <w:keepLines/>
        <w:widowControl/>
        <w:rPr>
          <w:b/>
          <w:bCs/>
          <w:sz w:val="26"/>
          <w:szCs w:val="26"/>
        </w:rPr>
      </w:pPr>
    </w:p>
    <w:p w14:paraId="63DE9809" w14:textId="6D7B6D81" w:rsidR="003455BF" w:rsidRDefault="003455BF" w:rsidP="00A57018">
      <w:pPr>
        <w:pStyle w:val="ListParagraph"/>
        <w:keepNext/>
        <w:keepLines/>
        <w:widowControl/>
        <w:rPr>
          <w:b/>
          <w:bCs/>
          <w:sz w:val="26"/>
          <w:szCs w:val="26"/>
        </w:rPr>
      </w:pPr>
    </w:p>
    <w:p w14:paraId="66E7F960" w14:textId="77777777" w:rsidR="003455BF" w:rsidRPr="00A57018" w:rsidRDefault="003455BF" w:rsidP="00A57018">
      <w:pPr>
        <w:pStyle w:val="ListParagraph"/>
        <w:keepNext/>
        <w:keepLines/>
        <w:widowControl/>
        <w:rPr>
          <w:b/>
          <w:bCs/>
          <w:sz w:val="26"/>
          <w:szCs w:val="26"/>
        </w:rPr>
      </w:pPr>
    </w:p>
    <w:p w14:paraId="29A55054" w14:textId="77777777" w:rsidR="003447B5" w:rsidRPr="00A57018" w:rsidRDefault="003447B5" w:rsidP="00A57018">
      <w:pPr>
        <w:pStyle w:val="ListParagraph"/>
        <w:keepNext/>
        <w:keepLines/>
        <w:widowControl/>
        <w:rPr>
          <w:b/>
          <w:bCs/>
          <w:sz w:val="26"/>
          <w:szCs w:val="26"/>
        </w:rPr>
      </w:pPr>
      <w:r w:rsidRPr="00A57018">
        <w:rPr>
          <w:b/>
          <w:bCs/>
          <w:sz w:val="26"/>
          <w:szCs w:val="26"/>
        </w:rPr>
        <w:t>***END PROPRIETARY***</w:t>
      </w:r>
    </w:p>
    <w:p w14:paraId="46078287" w14:textId="77777777" w:rsidR="003447B5" w:rsidRPr="00A57018" w:rsidRDefault="003447B5" w:rsidP="00A57018">
      <w:pPr>
        <w:widowControl/>
        <w:spacing w:line="360" w:lineRule="auto"/>
        <w:rPr>
          <w:sz w:val="26"/>
          <w:szCs w:val="26"/>
        </w:rPr>
      </w:pPr>
    </w:p>
    <w:p w14:paraId="292750FB" w14:textId="77777777" w:rsidR="003447B5" w:rsidRPr="00A57018" w:rsidRDefault="003447B5" w:rsidP="00A57018">
      <w:pPr>
        <w:widowControl/>
        <w:spacing w:line="360" w:lineRule="auto"/>
        <w:rPr>
          <w:sz w:val="26"/>
          <w:szCs w:val="26"/>
        </w:rPr>
      </w:pPr>
      <w:r w:rsidRPr="00A57018">
        <w:rPr>
          <w:i/>
          <w:iCs/>
          <w:sz w:val="26"/>
          <w:szCs w:val="26"/>
        </w:rPr>
        <w:t>See</w:t>
      </w:r>
      <w:r w:rsidRPr="00A57018">
        <w:rPr>
          <w:i/>
          <w:sz w:val="26"/>
          <w:szCs w:val="26"/>
        </w:rPr>
        <w:t xml:space="preserve"> </w:t>
      </w:r>
      <w:r w:rsidRPr="00A57018">
        <w:rPr>
          <w:sz w:val="26"/>
          <w:szCs w:val="26"/>
        </w:rPr>
        <w:t>Complaint, Exh. B at VZ00067, VZ00077, and VZ00087; Answer, Attachment G at FE00090, FE00095, and FE00100.</w:t>
      </w:r>
    </w:p>
    <w:p w14:paraId="645A8226" w14:textId="77777777" w:rsidR="003447B5" w:rsidRPr="00A57018" w:rsidRDefault="003447B5" w:rsidP="00A57018">
      <w:pPr>
        <w:widowControl/>
        <w:spacing w:line="360" w:lineRule="auto"/>
        <w:rPr>
          <w:sz w:val="26"/>
          <w:szCs w:val="26"/>
        </w:rPr>
      </w:pPr>
    </w:p>
    <w:p w14:paraId="7F3FEB41" w14:textId="750B3EE7" w:rsidR="003447B5" w:rsidRPr="00A57018" w:rsidRDefault="003447B5" w:rsidP="00A57018">
      <w:pPr>
        <w:widowControl/>
        <w:spacing w:line="360" w:lineRule="auto"/>
        <w:ind w:firstLine="1440"/>
        <w:rPr>
          <w:sz w:val="26"/>
          <w:szCs w:val="26"/>
        </w:rPr>
      </w:pPr>
      <w:r w:rsidRPr="00A57018">
        <w:rPr>
          <w:sz w:val="26"/>
          <w:szCs w:val="26"/>
        </w:rPr>
        <w:t xml:space="preserve">Upon review, the use of Verizon’s values appears to be reasonable and favors FirstEnergy, given that FirstEnergy’s new numbers would produce a marginally lower rate than Verizon calculated, due to the modest increase FirstEnergy proposes in the number of poles.  For example, as shown above, Verizon used </w:t>
      </w:r>
      <w:r w:rsidRPr="00A57018">
        <w:rPr>
          <w:b/>
          <w:bCs/>
          <w:sz w:val="26"/>
          <w:szCs w:val="26"/>
        </w:rPr>
        <w:t xml:space="preserve">***BEGIN PROPRIETARY*** </w:t>
      </w:r>
      <w:r w:rsidRPr="00A57018">
        <w:rPr>
          <w:sz w:val="26"/>
          <w:szCs w:val="26"/>
        </w:rPr>
        <w:t xml:space="preserve"> </w:t>
      </w:r>
      <w:r w:rsidRPr="00A57018">
        <w:rPr>
          <w:b/>
          <w:bCs/>
          <w:sz w:val="26"/>
          <w:szCs w:val="26"/>
        </w:rPr>
        <w:t xml:space="preserve">***END PROPRIETARY*** </w:t>
      </w:r>
      <w:r w:rsidRPr="00A57018">
        <w:rPr>
          <w:sz w:val="26"/>
          <w:szCs w:val="26"/>
        </w:rPr>
        <w:t>total distribution poles when</w:t>
      </w:r>
      <w:r w:rsidR="003455BF">
        <w:rPr>
          <w:sz w:val="26"/>
          <w:szCs w:val="26"/>
        </w:rPr>
        <w:t> </w:t>
      </w:r>
      <w:r w:rsidRPr="00A57018">
        <w:rPr>
          <w:sz w:val="26"/>
          <w:szCs w:val="26"/>
        </w:rPr>
        <w:t xml:space="preserve">calculating rates for use of Met-Ed’s poles and FirstEnergy used </w:t>
      </w:r>
      <w:r w:rsidRPr="00A57018">
        <w:rPr>
          <w:b/>
          <w:bCs/>
          <w:sz w:val="26"/>
          <w:szCs w:val="26"/>
        </w:rPr>
        <w:t xml:space="preserve">***BEGIN PROPRIETARY*** </w:t>
      </w:r>
      <w:r w:rsidRPr="00A57018">
        <w:rPr>
          <w:sz w:val="26"/>
          <w:szCs w:val="26"/>
        </w:rPr>
        <w:t xml:space="preserve"> </w:t>
      </w:r>
      <w:r w:rsidRPr="00A57018">
        <w:rPr>
          <w:b/>
          <w:bCs/>
          <w:sz w:val="26"/>
          <w:szCs w:val="26"/>
        </w:rPr>
        <w:t>***END PROPRIETARY***</w:t>
      </w:r>
      <w:r w:rsidRPr="00A57018">
        <w:rPr>
          <w:sz w:val="26"/>
          <w:szCs w:val="26"/>
        </w:rPr>
        <w:t>.  Because relevant investment</w:t>
      </w:r>
      <w:r w:rsidR="003455BF">
        <w:rPr>
          <w:sz w:val="26"/>
          <w:szCs w:val="26"/>
        </w:rPr>
        <w:t> </w:t>
      </w:r>
      <w:r w:rsidRPr="00A57018">
        <w:rPr>
          <w:sz w:val="26"/>
          <w:szCs w:val="26"/>
        </w:rPr>
        <w:t>is</w:t>
      </w:r>
      <w:r w:rsidR="003455BF">
        <w:rPr>
          <w:sz w:val="26"/>
          <w:szCs w:val="26"/>
        </w:rPr>
        <w:t> </w:t>
      </w:r>
      <w:r w:rsidRPr="00A57018">
        <w:rPr>
          <w:sz w:val="26"/>
          <w:szCs w:val="26"/>
        </w:rPr>
        <w:t xml:space="preserve">divided by total distribution poles, the use of Verizon’s lower value for total distribution poles results in a higher net investment per pole and a higher new telecom rental rate for use of Met-Ed’s poles.  Verizon’s input is therefore conservative and generally favors FirstEnergy by increasing the resulting new telecom rate Verizon would pay FirstEnergy.  </w:t>
      </w:r>
    </w:p>
    <w:p w14:paraId="52311BB1" w14:textId="77777777" w:rsidR="003447B5" w:rsidRPr="00A57018" w:rsidRDefault="003447B5" w:rsidP="00A57018">
      <w:pPr>
        <w:widowControl/>
        <w:spacing w:line="360" w:lineRule="auto"/>
        <w:ind w:firstLine="1440"/>
        <w:rPr>
          <w:sz w:val="26"/>
          <w:szCs w:val="26"/>
        </w:rPr>
      </w:pPr>
    </w:p>
    <w:p w14:paraId="4100318A" w14:textId="2206B75F" w:rsidR="003447B5" w:rsidRPr="00086999" w:rsidRDefault="003447B5" w:rsidP="00A57018">
      <w:pPr>
        <w:widowControl/>
        <w:spacing w:line="360" w:lineRule="auto"/>
        <w:ind w:firstLine="1440"/>
        <w:rPr>
          <w:sz w:val="26"/>
          <w:szCs w:val="26"/>
        </w:rPr>
      </w:pPr>
      <w:r w:rsidRPr="00081E8F">
        <w:rPr>
          <w:sz w:val="26"/>
          <w:szCs w:val="26"/>
        </w:rPr>
        <w:t xml:space="preserve">Next, FirstEnergy argued that Verizon used an incorrect rate of return, advocating for the use of older rate of return values last approved by the Commission in 2007 and 1988.  FirstEnergy relies on rates of return set in 2007 for Met-Ed (7.53%) and Penelec (7.92%) and in 1988 for Penn Power (11.14 %) simply because they are the rates of return most recently approved by the Commission.  The following compares </w:t>
      </w:r>
      <w:r w:rsidRPr="00081E8F">
        <w:rPr>
          <w:sz w:val="26"/>
          <w:szCs w:val="26"/>
        </w:rPr>
        <w:lastRenderedPageBreak/>
        <w:t>FirstEnergy’s requested rates of return to the rates of return utilized in Verizon’s calculations:</w:t>
      </w:r>
    </w:p>
    <w:p w14:paraId="3F79459D" w14:textId="77777777" w:rsidR="003447B5" w:rsidRPr="00086999" w:rsidRDefault="003447B5" w:rsidP="009716A5">
      <w:pPr>
        <w:widowControl/>
        <w:ind w:firstLine="1440"/>
        <w:rPr>
          <w:sz w:val="26"/>
          <w:szCs w:val="26"/>
        </w:rPr>
      </w:pPr>
    </w:p>
    <w:tbl>
      <w:tblPr>
        <w:tblStyle w:val="TableGrid"/>
        <w:tblW w:w="9450" w:type="dxa"/>
        <w:tblInd w:w="-5" w:type="dxa"/>
        <w:tblLook w:val="04A0" w:firstRow="1" w:lastRow="0" w:firstColumn="1" w:lastColumn="0" w:noHBand="0" w:noVBand="1"/>
      </w:tblPr>
      <w:tblGrid>
        <w:gridCol w:w="1507"/>
        <w:gridCol w:w="2813"/>
        <w:gridCol w:w="3330"/>
        <w:gridCol w:w="1800"/>
      </w:tblGrid>
      <w:tr w:rsidR="003447B5" w:rsidRPr="001D7FC2" w14:paraId="1E9C5761" w14:textId="77777777" w:rsidTr="00301288">
        <w:trPr>
          <w:trHeight w:val="1034"/>
        </w:trPr>
        <w:tc>
          <w:tcPr>
            <w:tcW w:w="1507" w:type="dxa"/>
          </w:tcPr>
          <w:p w14:paraId="2A7060A4" w14:textId="77777777" w:rsidR="003447B5" w:rsidRPr="00086999" w:rsidRDefault="003447B5" w:rsidP="00A57018">
            <w:pPr>
              <w:widowControl/>
              <w:rPr>
                <w:sz w:val="26"/>
                <w:szCs w:val="26"/>
              </w:rPr>
            </w:pPr>
          </w:p>
        </w:tc>
        <w:tc>
          <w:tcPr>
            <w:tcW w:w="2813" w:type="dxa"/>
            <w:vAlign w:val="center"/>
          </w:tcPr>
          <w:p w14:paraId="34384DCB" w14:textId="77777777" w:rsidR="003447B5" w:rsidRPr="00086999" w:rsidRDefault="003447B5" w:rsidP="00A57018">
            <w:pPr>
              <w:widowControl/>
              <w:jc w:val="center"/>
              <w:rPr>
                <w:sz w:val="26"/>
                <w:szCs w:val="26"/>
              </w:rPr>
            </w:pPr>
            <w:r w:rsidRPr="00086999">
              <w:rPr>
                <w:sz w:val="26"/>
                <w:szCs w:val="26"/>
              </w:rPr>
              <w:t>Verizon’s Calculated ROR for Rental Year 2019</w:t>
            </w:r>
          </w:p>
          <w:p w14:paraId="6F0D32E5" w14:textId="77777777" w:rsidR="003447B5" w:rsidRPr="00086999" w:rsidRDefault="003447B5" w:rsidP="00A57018">
            <w:pPr>
              <w:widowControl/>
              <w:jc w:val="center"/>
              <w:rPr>
                <w:sz w:val="26"/>
                <w:szCs w:val="26"/>
              </w:rPr>
            </w:pPr>
            <w:r w:rsidRPr="00086999">
              <w:rPr>
                <w:sz w:val="26"/>
                <w:szCs w:val="26"/>
              </w:rPr>
              <w:t>(Ref. Verizon Exh. C-4)</w:t>
            </w:r>
          </w:p>
        </w:tc>
        <w:tc>
          <w:tcPr>
            <w:tcW w:w="3330" w:type="dxa"/>
            <w:vAlign w:val="center"/>
          </w:tcPr>
          <w:p w14:paraId="68666656" w14:textId="77777777" w:rsidR="003447B5" w:rsidRPr="00086999" w:rsidRDefault="003447B5" w:rsidP="00A57018">
            <w:pPr>
              <w:widowControl/>
              <w:jc w:val="center"/>
              <w:rPr>
                <w:sz w:val="26"/>
                <w:szCs w:val="26"/>
              </w:rPr>
            </w:pPr>
            <w:r w:rsidRPr="00086999">
              <w:rPr>
                <w:sz w:val="26"/>
                <w:szCs w:val="26"/>
              </w:rPr>
              <w:t>FirstEnergy’s Proposed ROR</w:t>
            </w:r>
          </w:p>
          <w:p w14:paraId="3B70E7DB" w14:textId="77777777" w:rsidR="003447B5" w:rsidRPr="00086999" w:rsidRDefault="003447B5" w:rsidP="00A57018">
            <w:pPr>
              <w:widowControl/>
              <w:jc w:val="center"/>
              <w:rPr>
                <w:sz w:val="26"/>
                <w:szCs w:val="26"/>
              </w:rPr>
            </w:pPr>
            <w:r w:rsidRPr="00086999">
              <w:rPr>
                <w:sz w:val="26"/>
                <w:szCs w:val="26"/>
              </w:rPr>
              <w:t>(Ref. Answer, Attachment G at FE00090, FE00095 FE00100)</w:t>
            </w:r>
          </w:p>
        </w:tc>
        <w:tc>
          <w:tcPr>
            <w:tcW w:w="1800" w:type="dxa"/>
            <w:vAlign w:val="center"/>
          </w:tcPr>
          <w:p w14:paraId="757B84A3" w14:textId="77777777" w:rsidR="003447B5" w:rsidRPr="00086999" w:rsidRDefault="003447B5" w:rsidP="00A57018">
            <w:pPr>
              <w:widowControl/>
              <w:jc w:val="center"/>
              <w:rPr>
                <w:sz w:val="26"/>
                <w:szCs w:val="26"/>
              </w:rPr>
            </w:pPr>
            <w:r w:rsidRPr="00086999">
              <w:rPr>
                <w:sz w:val="26"/>
                <w:szCs w:val="26"/>
              </w:rPr>
              <w:t>FirstEnergy’s Requested ROR in its 2016 Base Rate Cases</w:t>
            </w:r>
          </w:p>
        </w:tc>
      </w:tr>
      <w:tr w:rsidR="003447B5" w:rsidRPr="001D7FC2" w14:paraId="0E808AF9" w14:textId="77777777" w:rsidTr="00301288">
        <w:trPr>
          <w:trHeight w:val="404"/>
        </w:trPr>
        <w:tc>
          <w:tcPr>
            <w:tcW w:w="1507" w:type="dxa"/>
            <w:vAlign w:val="center"/>
          </w:tcPr>
          <w:p w14:paraId="6ED0E8F2" w14:textId="77777777" w:rsidR="003447B5" w:rsidRPr="00086999" w:rsidRDefault="003447B5" w:rsidP="00A57018">
            <w:pPr>
              <w:widowControl/>
              <w:jc w:val="center"/>
              <w:rPr>
                <w:sz w:val="26"/>
                <w:szCs w:val="26"/>
              </w:rPr>
            </w:pPr>
            <w:r w:rsidRPr="00086999">
              <w:rPr>
                <w:sz w:val="26"/>
                <w:szCs w:val="26"/>
              </w:rPr>
              <w:t>Met-Ed</w:t>
            </w:r>
          </w:p>
        </w:tc>
        <w:tc>
          <w:tcPr>
            <w:tcW w:w="2813" w:type="dxa"/>
            <w:vAlign w:val="center"/>
          </w:tcPr>
          <w:p w14:paraId="5F857B68" w14:textId="77777777" w:rsidR="003447B5" w:rsidRPr="00086999" w:rsidRDefault="003447B5" w:rsidP="00A57018">
            <w:pPr>
              <w:widowControl/>
              <w:jc w:val="center"/>
              <w:rPr>
                <w:sz w:val="26"/>
                <w:szCs w:val="26"/>
              </w:rPr>
            </w:pPr>
            <w:r w:rsidRPr="00086999">
              <w:rPr>
                <w:sz w:val="26"/>
                <w:szCs w:val="26"/>
              </w:rPr>
              <w:t>7.45%</w:t>
            </w:r>
          </w:p>
        </w:tc>
        <w:tc>
          <w:tcPr>
            <w:tcW w:w="3330" w:type="dxa"/>
            <w:vAlign w:val="center"/>
          </w:tcPr>
          <w:p w14:paraId="1EDC296A" w14:textId="77777777" w:rsidR="003447B5" w:rsidRPr="00086999" w:rsidRDefault="003447B5" w:rsidP="00A57018">
            <w:pPr>
              <w:widowControl/>
              <w:jc w:val="center"/>
              <w:rPr>
                <w:sz w:val="26"/>
                <w:szCs w:val="26"/>
              </w:rPr>
            </w:pPr>
            <w:r w:rsidRPr="00086999">
              <w:rPr>
                <w:sz w:val="26"/>
                <w:szCs w:val="26"/>
              </w:rPr>
              <w:t>7.53% (R-00061366) (2007)</w:t>
            </w:r>
          </w:p>
        </w:tc>
        <w:tc>
          <w:tcPr>
            <w:tcW w:w="1800" w:type="dxa"/>
            <w:vAlign w:val="center"/>
          </w:tcPr>
          <w:p w14:paraId="7F2D78CF" w14:textId="77777777" w:rsidR="003447B5" w:rsidRPr="00086999" w:rsidRDefault="003447B5" w:rsidP="00A57018">
            <w:pPr>
              <w:widowControl/>
              <w:jc w:val="center"/>
              <w:rPr>
                <w:sz w:val="26"/>
                <w:szCs w:val="26"/>
              </w:rPr>
            </w:pPr>
            <w:r w:rsidRPr="00086999">
              <w:rPr>
                <w:sz w:val="26"/>
                <w:szCs w:val="26"/>
              </w:rPr>
              <w:t>8.14%</w:t>
            </w:r>
          </w:p>
        </w:tc>
      </w:tr>
      <w:tr w:rsidR="003447B5" w:rsidRPr="001D7FC2" w14:paraId="5563DDE5" w14:textId="77777777" w:rsidTr="00301288">
        <w:trPr>
          <w:trHeight w:val="431"/>
        </w:trPr>
        <w:tc>
          <w:tcPr>
            <w:tcW w:w="1507" w:type="dxa"/>
            <w:vAlign w:val="center"/>
          </w:tcPr>
          <w:p w14:paraId="746029FA" w14:textId="77777777" w:rsidR="003447B5" w:rsidRPr="00086999" w:rsidRDefault="003447B5" w:rsidP="00A57018">
            <w:pPr>
              <w:widowControl/>
              <w:jc w:val="center"/>
              <w:rPr>
                <w:sz w:val="26"/>
                <w:szCs w:val="26"/>
              </w:rPr>
            </w:pPr>
            <w:r w:rsidRPr="00086999">
              <w:rPr>
                <w:sz w:val="26"/>
                <w:szCs w:val="26"/>
              </w:rPr>
              <w:t>Penelec</w:t>
            </w:r>
          </w:p>
        </w:tc>
        <w:tc>
          <w:tcPr>
            <w:tcW w:w="2813" w:type="dxa"/>
            <w:vAlign w:val="center"/>
          </w:tcPr>
          <w:p w14:paraId="28374C84" w14:textId="77777777" w:rsidR="003447B5" w:rsidRPr="00086999" w:rsidRDefault="003447B5" w:rsidP="00A57018">
            <w:pPr>
              <w:widowControl/>
              <w:jc w:val="center"/>
              <w:rPr>
                <w:sz w:val="26"/>
                <w:szCs w:val="26"/>
              </w:rPr>
            </w:pPr>
            <w:r w:rsidRPr="00086999">
              <w:rPr>
                <w:sz w:val="26"/>
                <w:szCs w:val="26"/>
              </w:rPr>
              <w:t>7.66%</w:t>
            </w:r>
          </w:p>
        </w:tc>
        <w:tc>
          <w:tcPr>
            <w:tcW w:w="3330" w:type="dxa"/>
            <w:vAlign w:val="center"/>
          </w:tcPr>
          <w:p w14:paraId="6C7F1E9F" w14:textId="77777777" w:rsidR="003447B5" w:rsidRPr="00086999" w:rsidRDefault="003447B5" w:rsidP="00A57018">
            <w:pPr>
              <w:widowControl/>
              <w:jc w:val="center"/>
              <w:rPr>
                <w:sz w:val="26"/>
                <w:szCs w:val="26"/>
              </w:rPr>
            </w:pPr>
            <w:r w:rsidRPr="00086999">
              <w:rPr>
                <w:sz w:val="26"/>
                <w:szCs w:val="26"/>
              </w:rPr>
              <w:t>7.92% (R-00061367) (2007)</w:t>
            </w:r>
          </w:p>
        </w:tc>
        <w:tc>
          <w:tcPr>
            <w:tcW w:w="1800" w:type="dxa"/>
            <w:vAlign w:val="center"/>
          </w:tcPr>
          <w:p w14:paraId="63C69C37" w14:textId="77777777" w:rsidR="003447B5" w:rsidRPr="00086999" w:rsidRDefault="003447B5" w:rsidP="00A57018">
            <w:pPr>
              <w:widowControl/>
              <w:jc w:val="center"/>
              <w:rPr>
                <w:sz w:val="26"/>
                <w:szCs w:val="26"/>
              </w:rPr>
            </w:pPr>
            <w:r w:rsidRPr="00086999">
              <w:rPr>
                <w:sz w:val="26"/>
                <w:szCs w:val="26"/>
              </w:rPr>
              <w:t>8.58%</w:t>
            </w:r>
          </w:p>
        </w:tc>
      </w:tr>
      <w:tr w:rsidR="003447B5" w:rsidRPr="001D7FC2" w14:paraId="728BD3BF" w14:textId="77777777" w:rsidTr="00301288">
        <w:trPr>
          <w:trHeight w:val="449"/>
        </w:trPr>
        <w:tc>
          <w:tcPr>
            <w:tcW w:w="1507" w:type="dxa"/>
            <w:vAlign w:val="center"/>
          </w:tcPr>
          <w:p w14:paraId="734473F4" w14:textId="77777777" w:rsidR="003447B5" w:rsidRPr="00086999" w:rsidRDefault="003447B5" w:rsidP="00A57018">
            <w:pPr>
              <w:widowControl/>
              <w:jc w:val="center"/>
              <w:rPr>
                <w:sz w:val="26"/>
                <w:szCs w:val="26"/>
              </w:rPr>
            </w:pPr>
            <w:r w:rsidRPr="00086999">
              <w:rPr>
                <w:sz w:val="26"/>
                <w:szCs w:val="26"/>
              </w:rPr>
              <w:t>Penn Power</w:t>
            </w:r>
          </w:p>
        </w:tc>
        <w:tc>
          <w:tcPr>
            <w:tcW w:w="2813" w:type="dxa"/>
            <w:vAlign w:val="center"/>
          </w:tcPr>
          <w:p w14:paraId="242148B6" w14:textId="77777777" w:rsidR="003447B5" w:rsidRPr="00086999" w:rsidRDefault="003447B5" w:rsidP="00A57018">
            <w:pPr>
              <w:widowControl/>
              <w:jc w:val="center"/>
              <w:rPr>
                <w:sz w:val="26"/>
                <w:szCs w:val="26"/>
              </w:rPr>
            </w:pPr>
            <w:r w:rsidRPr="00086999">
              <w:rPr>
                <w:sz w:val="26"/>
                <w:szCs w:val="26"/>
              </w:rPr>
              <w:t>7.72%</w:t>
            </w:r>
          </w:p>
        </w:tc>
        <w:tc>
          <w:tcPr>
            <w:tcW w:w="3330" w:type="dxa"/>
            <w:vAlign w:val="center"/>
          </w:tcPr>
          <w:p w14:paraId="2BEF2557" w14:textId="77777777" w:rsidR="003447B5" w:rsidRPr="00086999" w:rsidRDefault="003447B5" w:rsidP="00A57018">
            <w:pPr>
              <w:widowControl/>
              <w:jc w:val="center"/>
              <w:rPr>
                <w:sz w:val="26"/>
                <w:szCs w:val="26"/>
              </w:rPr>
            </w:pPr>
            <w:r w:rsidRPr="00086999">
              <w:rPr>
                <w:sz w:val="26"/>
                <w:szCs w:val="26"/>
              </w:rPr>
              <w:t>11.14% (R-870732) (1988)</w:t>
            </w:r>
          </w:p>
        </w:tc>
        <w:tc>
          <w:tcPr>
            <w:tcW w:w="1800" w:type="dxa"/>
            <w:vAlign w:val="center"/>
          </w:tcPr>
          <w:p w14:paraId="10784F6D" w14:textId="77777777" w:rsidR="003447B5" w:rsidRPr="00086999" w:rsidRDefault="003447B5" w:rsidP="00A57018">
            <w:pPr>
              <w:widowControl/>
              <w:jc w:val="center"/>
              <w:rPr>
                <w:sz w:val="26"/>
                <w:szCs w:val="26"/>
              </w:rPr>
            </w:pPr>
            <w:r w:rsidRPr="00086999">
              <w:rPr>
                <w:sz w:val="26"/>
                <w:szCs w:val="26"/>
              </w:rPr>
              <w:t>8.70%</w:t>
            </w:r>
          </w:p>
        </w:tc>
      </w:tr>
    </w:tbl>
    <w:p w14:paraId="79474DB4" w14:textId="77777777" w:rsidR="003447B5" w:rsidRPr="00086999" w:rsidRDefault="003447B5" w:rsidP="00A57018">
      <w:pPr>
        <w:widowControl/>
        <w:spacing w:line="360" w:lineRule="auto"/>
        <w:rPr>
          <w:sz w:val="26"/>
          <w:szCs w:val="26"/>
          <w:highlight w:val="yellow"/>
        </w:rPr>
      </w:pPr>
    </w:p>
    <w:p w14:paraId="3F7CF464" w14:textId="79BCE697" w:rsidR="003447B5" w:rsidRPr="00A57018" w:rsidRDefault="00DA48B4" w:rsidP="00A57018">
      <w:pPr>
        <w:widowControl/>
        <w:spacing w:line="360" w:lineRule="auto"/>
        <w:rPr>
          <w:sz w:val="26"/>
          <w:szCs w:val="26"/>
        </w:rPr>
      </w:pPr>
      <w:r w:rsidRPr="00081E8F">
        <w:rPr>
          <w:sz w:val="26"/>
          <w:szCs w:val="26"/>
        </w:rPr>
        <w:t xml:space="preserve">However, as previously discussed, </w:t>
      </w:r>
      <w:r>
        <w:rPr>
          <w:color w:val="000000"/>
          <w:spacing w:val="-1"/>
          <w:sz w:val="26"/>
          <w:szCs w:val="26"/>
        </w:rPr>
        <w:t xml:space="preserve">Verizon </w:t>
      </w:r>
      <w:r w:rsidR="00413574">
        <w:rPr>
          <w:color w:val="000000"/>
          <w:spacing w:val="-1"/>
          <w:sz w:val="26"/>
          <w:szCs w:val="26"/>
        </w:rPr>
        <w:t>relied on the</w:t>
      </w:r>
      <w:r w:rsidR="00413574" w:rsidRPr="00A37E5A">
        <w:rPr>
          <w:color w:val="000000"/>
          <w:spacing w:val="-1"/>
          <w:sz w:val="26"/>
          <w:szCs w:val="26"/>
        </w:rPr>
        <w:t xml:space="preserve"> Commission’s Quarterly Earnings Reports</w:t>
      </w:r>
      <w:r w:rsidR="00413574">
        <w:rPr>
          <w:color w:val="000000"/>
          <w:spacing w:val="-1"/>
          <w:sz w:val="26"/>
          <w:szCs w:val="26"/>
        </w:rPr>
        <w:t xml:space="preserve"> from the 2</w:t>
      </w:r>
      <w:r w:rsidR="00413574" w:rsidRPr="00092283">
        <w:rPr>
          <w:color w:val="000000"/>
          <w:spacing w:val="-1"/>
          <w:sz w:val="26"/>
          <w:szCs w:val="26"/>
          <w:vertAlign w:val="superscript"/>
        </w:rPr>
        <w:t>nd</w:t>
      </w:r>
      <w:r w:rsidR="00413574">
        <w:rPr>
          <w:color w:val="000000"/>
          <w:spacing w:val="-1"/>
          <w:sz w:val="26"/>
          <w:szCs w:val="26"/>
        </w:rPr>
        <w:t xml:space="preserve"> Quarter 2017 in proposing a</w:t>
      </w:r>
      <w:r w:rsidRPr="00A37E5A">
        <w:rPr>
          <w:color w:val="000000"/>
          <w:spacing w:val="-1"/>
          <w:sz w:val="26"/>
          <w:szCs w:val="26"/>
        </w:rPr>
        <w:t xml:space="preserve"> 9.55% rate of return as the basis for its cost of capital.  </w:t>
      </w:r>
      <w:r w:rsidRPr="00081E8F">
        <w:rPr>
          <w:sz w:val="26"/>
          <w:szCs w:val="26"/>
        </w:rPr>
        <w:t xml:space="preserve">In contrast, </w:t>
      </w:r>
      <w:r w:rsidR="003447B5" w:rsidRPr="00081E8F">
        <w:rPr>
          <w:sz w:val="26"/>
          <w:szCs w:val="26"/>
        </w:rPr>
        <w:t>FirstEnergy’s proposed rate of return values</w:t>
      </w:r>
      <w:r w:rsidRPr="00081E8F">
        <w:rPr>
          <w:sz w:val="26"/>
          <w:szCs w:val="26"/>
        </w:rPr>
        <w:t xml:space="preserve"> are outdated and</w:t>
      </w:r>
      <w:r w:rsidR="003447B5" w:rsidRPr="00081E8F">
        <w:rPr>
          <w:sz w:val="26"/>
          <w:szCs w:val="26"/>
        </w:rPr>
        <w:t xml:space="preserve"> would inappropriately allow FirstEnergy to recover at a higher rate of return on its poles</w:t>
      </w:r>
      <w:r w:rsidR="00413574" w:rsidRPr="00081E8F">
        <w:rPr>
          <w:sz w:val="26"/>
          <w:szCs w:val="26"/>
        </w:rPr>
        <w:t xml:space="preserve"> than we believe is reasonable under the circumstances</w:t>
      </w:r>
      <w:r w:rsidR="003447B5" w:rsidRPr="00081E8F">
        <w:rPr>
          <w:sz w:val="26"/>
          <w:szCs w:val="26"/>
        </w:rPr>
        <w:t>.  Therefore, in our view, Verizon’s rate of return input in the rate formula is reasonable.</w:t>
      </w:r>
      <w:r w:rsidR="003447B5" w:rsidRPr="00081E8F">
        <w:rPr>
          <w:rStyle w:val="FootnoteReference"/>
          <w:sz w:val="26"/>
          <w:szCs w:val="26"/>
        </w:rPr>
        <w:footnoteReference w:id="34"/>
      </w:r>
    </w:p>
    <w:p w14:paraId="37B87FDD" w14:textId="77777777" w:rsidR="003447B5" w:rsidRPr="00A57018" w:rsidRDefault="003447B5" w:rsidP="00A57018">
      <w:pPr>
        <w:widowControl/>
        <w:spacing w:line="360" w:lineRule="auto"/>
        <w:rPr>
          <w:sz w:val="26"/>
          <w:szCs w:val="26"/>
        </w:rPr>
      </w:pPr>
    </w:p>
    <w:p w14:paraId="22B64FC4" w14:textId="77777777" w:rsidR="001071E7" w:rsidRDefault="003447B5" w:rsidP="001071E7">
      <w:pPr>
        <w:widowControl/>
        <w:spacing w:line="360" w:lineRule="auto"/>
        <w:ind w:firstLine="1440"/>
        <w:rPr>
          <w:sz w:val="26"/>
          <w:szCs w:val="26"/>
        </w:rPr>
      </w:pPr>
      <w:r w:rsidRPr="00A57018">
        <w:rPr>
          <w:sz w:val="26"/>
          <w:szCs w:val="26"/>
        </w:rPr>
        <w:lastRenderedPageBreak/>
        <w:t xml:space="preserve">Last, FirstEnergy argued that Verizon used an incorrect pole height, contending that a departure from the FCC’s presumptive inputs for average number of attaching entities, space occupied, unusable space, and pole height is justified because FirstEnergy claimed the conditions in its service territory are significantly different from the FCC’s presumed inputs.  However, we agree with Verizon that FirstEnergy has not provided “probative direct evidence” sufficient to rebut the FCC’s presumptions regarding pole height.  Moreover, to the extent that deployment of advanced networks for voice and broadband services may trigger the need for additional or higher poles, the FCC’s conclusions properly reflect consideration of that probability.  </w:t>
      </w:r>
    </w:p>
    <w:p w14:paraId="17E5ADED" w14:textId="42EA9960" w:rsidR="003D2ED2" w:rsidRDefault="003D2ED2" w:rsidP="001071E7">
      <w:pPr>
        <w:widowControl/>
        <w:spacing w:line="360" w:lineRule="auto"/>
        <w:ind w:firstLine="1440"/>
        <w:rPr>
          <w:color w:val="FF0000"/>
          <w:sz w:val="26"/>
          <w:szCs w:val="26"/>
        </w:rPr>
      </w:pPr>
    </w:p>
    <w:p w14:paraId="5C8BED3C" w14:textId="63B1A46D" w:rsidR="003447B5" w:rsidRPr="001071E7" w:rsidRDefault="003D2ED2" w:rsidP="001071E7">
      <w:pPr>
        <w:widowControl/>
        <w:spacing w:line="360" w:lineRule="auto"/>
        <w:ind w:firstLine="1440"/>
        <w:rPr>
          <w:sz w:val="26"/>
          <w:szCs w:val="26"/>
        </w:rPr>
      </w:pPr>
      <w:r w:rsidRPr="00D20711">
        <w:rPr>
          <w:sz w:val="26"/>
          <w:szCs w:val="26"/>
        </w:rPr>
        <w:t>Finally,</w:t>
      </w:r>
      <w:r>
        <w:rPr>
          <w:color w:val="FF0000"/>
          <w:sz w:val="26"/>
          <w:szCs w:val="26"/>
        </w:rPr>
        <w:t xml:space="preserve"> </w:t>
      </w:r>
      <w:r w:rsidR="001071E7" w:rsidRPr="001071E7">
        <w:rPr>
          <w:color w:val="000000"/>
          <w:spacing w:val="-1"/>
          <w:sz w:val="26"/>
          <w:szCs w:val="26"/>
        </w:rPr>
        <w:t xml:space="preserve">we do not believe that a compliance period is necessary or relevant here, given the sufficiency of the evidentiary record to determine the correct pole attachment rates and our rejection of </w:t>
      </w:r>
      <w:r w:rsidR="001071E7" w:rsidRPr="001071E7">
        <w:rPr>
          <w:color w:val="000000"/>
          <w:sz w:val="26"/>
          <w:szCs w:val="26"/>
        </w:rPr>
        <w:t xml:space="preserve">FirstEnergy’s criticisms of the Verizon rate inputs and calculation.  </w:t>
      </w:r>
      <w:r w:rsidR="003447B5" w:rsidRPr="00A57018">
        <w:rPr>
          <w:sz w:val="26"/>
          <w:szCs w:val="26"/>
        </w:rPr>
        <w:t xml:space="preserve">Accordingly, we shall deny FirstEnergy’s Exception Nos. 9 and 10 to the extent that FirstEnergy objects to Verizon’s calculations of the new telecom rates going forward and the ALJ’s acceptance and approval of such calculations, including his recommendation that the new telecom rates, as calculated by Verizon, should be substituted into the existing </w:t>
      </w:r>
      <w:proofErr w:type="gramStart"/>
      <w:r w:rsidR="003447B5" w:rsidRPr="00A57018">
        <w:rPr>
          <w:sz w:val="26"/>
          <w:szCs w:val="26"/>
        </w:rPr>
        <w:t>JUAs</w:t>
      </w:r>
      <w:proofErr w:type="gramEnd"/>
      <w:r w:rsidR="003447B5" w:rsidRPr="00A57018">
        <w:rPr>
          <w:sz w:val="26"/>
          <w:szCs w:val="26"/>
        </w:rPr>
        <w:t xml:space="preserve"> and govern Verizon’s attachment to FirstEnergy’s poles going forward</w:t>
      </w:r>
      <w:r w:rsidR="003447B5" w:rsidRPr="009716A5">
        <w:rPr>
          <w:sz w:val="26"/>
          <w:szCs w:val="26"/>
        </w:rPr>
        <w:t>.</w:t>
      </w:r>
    </w:p>
    <w:p w14:paraId="2DA8F308" w14:textId="77777777" w:rsidR="00146324" w:rsidRPr="00A57018" w:rsidRDefault="00146324" w:rsidP="00A57018">
      <w:pPr>
        <w:keepNext/>
        <w:keepLines/>
        <w:widowControl/>
        <w:spacing w:line="360" w:lineRule="auto"/>
        <w:rPr>
          <w:b/>
          <w:bCs/>
          <w:sz w:val="26"/>
          <w:szCs w:val="26"/>
        </w:rPr>
      </w:pPr>
    </w:p>
    <w:p w14:paraId="2E50E7A2" w14:textId="21C79328" w:rsidR="0039246C" w:rsidRPr="00A57018" w:rsidRDefault="001B1A77" w:rsidP="00A57018">
      <w:pPr>
        <w:pStyle w:val="Heading2"/>
        <w:widowControl/>
      </w:pPr>
      <w:bookmarkStart w:id="54" w:name="_Toc59179315"/>
      <w:r w:rsidRPr="00A57018">
        <w:t>Appropriateness of Refunds/Refund Period</w:t>
      </w:r>
      <w:bookmarkEnd w:id="54"/>
    </w:p>
    <w:p w14:paraId="3A4A1F29" w14:textId="77777777" w:rsidR="0039246C" w:rsidRPr="00A57018" w:rsidRDefault="0039246C" w:rsidP="00A57018">
      <w:pPr>
        <w:keepNext/>
        <w:keepLines/>
        <w:widowControl/>
        <w:spacing w:line="360" w:lineRule="auto"/>
        <w:rPr>
          <w:b/>
          <w:bCs/>
          <w:sz w:val="26"/>
          <w:szCs w:val="26"/>
        </w:rPr>
      </w:pPr>
    </w:p>
    <w:p w14:paraId="02F7BCA4" w14:textId="77777777" w:rsidR="001B1A77" w:rsidRPr="00A57018" w:rsidRDefault="001B1A77" w:rsidP="00A57018">
      <w:pPr>
        <w:pStyle w:val="Heading3"/>
        <w:numPr>
          <w:ilvl w:val="0"/>
          <w:numId w:val="23"/>
        </w:numPr>
        <w:ind w:left="1440" w:hanging="720"/>
      </w:pPr>
      <w:bookmarkStart w:id="55" w:name="_Toc59179316"/>
      <w:bookmarkStart w:id="56" w:name="_Hlk54872796"/>
      <w:r w:rsidRPr="00A57018">
        <w:t>Recommended Decision</w:t>
      </w:r>
      <w:bookmarkEnd w:id="55"/>
    </w:p>
    <w:p w14:paraId="750C832B" w14:textId="1427AA37" w:rsidR="001B1A77" w:rsidRPr="00A57018" w:rsidRDefault="001B1A77" w:rsidP="00A57018">
      <w:pPr>
        <w:pStyle w:val="Heading4"/>
        <w:widowControl/>
        <w:numPr>
          <w:ilvl w:val="0"/>
          <w:numId w:val="0"/>
        </w:numPr>
        <w:ind w:left="2160"/>
      </w:pPr>
    </w:p>
    <w:p w14:paraId="08E1ED9F" w14:textId="30DF2360" w:rsidR="00CB2E99" w:rsidRPr="00A57018" w:rsidRDefault="00CB2E99" w:rsidP="00A57018">
      <w:pPr>
        <w:widowControl/>
        <w:spacing w:line="360" w:lineRule="auto"/>
        <w:ind w:firstLine="1440"/>
        <w:rPr>
          <w:sz w:val="26"/>
          <w:szCs w:val="26"/>
        </w:rPr>
      </w:pPr>
      <w:r w:rsidRPr="00A57018">
        <w:rPr>
          <w:sz w:val="26"/>
          <w:szCs w:val="26"/>
        </w:rPr>
        <w:t>Having found that (1) the pole attachment rates that FirstEnergy is currently charging Verizon under the J</w:t>
      </w:r>
      <w:r w:rsidR="00053825" w:rsidRPr="00A57018">
        <w:rPr>
          <w:sz w:val="26"/>
          <w:szCs w:val="26"/>
        </w:rPr>
        <w:t>UAs</w:t>
      </w:r>
      <w:r w:rsidRPr="00A57018">
        <w:rPr>
          <w:sz w:val="26"/>
          <w:szCs w:val="26"/>
        </w:rPr>
        <w:t xml:space="preserve"> are unjust and unreasonable, and (2) the pole attachment rates that FirstEnergy charges Verizon going forward should be set using the new telecom rate methodology, the ALJ </w:t>
      </w:r>
      <w:r w:rsidR="00120B40" w:rsidRPr="00A57018">
        <w:rPr>
          <w:sz w:val="26"/>
          <w:szCs w:val="26"/>
        </w:rPr>
        <w:t>then next det</w:t>
      </w:r>
      <w:r w:rsidR="000412FD" w:rsidRPr="00A57018">
        <w:rPr>
          <w:sz w:val="26"/>
          <w:szCs w:val="26"/>
        </w:rPr>
        <w:t xml:space="preserve">ermined </w:t>
      </w:r>
      <w:r w:rsidRPr="00A57018">
        <w:rPr>
          <w:sz w:val="26"/>
          <w:szCs w:val="26"/>
        </w:rPr>
        <w:t>whether the Commission should award refunds to Verizon and, if so, how much.</w:t>
      </w:r>
      <w:r w:rsidR="002650F8" w:rsidRPr="00A57018">
        <w:rPr>
          <w:sz w:val="26"/>
          <w:szCs w:val="26"/>
        </w:rPr>
        <w:t xml:space="preserve">  Pages sixty through sixty-nine of </w:t>
      </w:r>
      <w:r w:rsidR="002650F8" w:rsidRPr="00A57018">
        <w:rPr>
          <w:sz w:val="26"/>
          <w:szCs w:val="26"/>
        </w:rPr>
        <w:lastRenderedPageBreak/>
        <w:t>the ALJ’s Recommended Decision contain his discussion and findings concerning the issuance and appropriate level of refunds</w:t>
      </w:r>
      <w:r w:rsidR="00A55D0F" w:rsidRPr="00A57018">
        <w:rPr>
          <w:sz w:val="26"/>
          <w:szCs w:val="26"/>
        </w:rPr>
        <w:t xml:space="preserve"> that should be granted to Verizon.  </w:t>
      </w:r>
    </w:p>
    <w:p w14:paraId="68182336" w14:textId="010BCC47" w:rsidR="00A55D0F" w:rsidRPr="00A57018" w:rsidRDefault="00A55D0F" w:rsidP="00A57018">
      <w:pPr>
        <w:widowControl/>
        <w:spacing w:line="360" w:lineRule="auto"/>
        <w:ind w:firstLine="1440"/>
        <w:rPr>
          <w:sz w:val="26"/>
          <w:szCs w:val="26"/>
        </w:rPr>
      </w:pPr>
    </w:p>
    <w:p w14:paraId="3CA8645C" w14:textId="682663AC" w:rsidR="00A55D0F" w:rsidRPr="00A57018" w:rsidRDefault="00C52374" w:rsidP="00A57018">
      <w:pPr>
        <w:widowControl/>
        <w:spacing w:line="360" w:lineRule="auto"/>
        <w:ind w:firstLine="1440"/>
        <w:rPr>
          <w:sz w:val="26"/>
          <w:szCs w:val="26"/>
        </w:rPr>
      </w:pPr>
      <w:r w:rsidRPr="00A57018">
        <w:rPr>
          <w:sz w:val="26"/>
          <w:szCs w:val="26"/>
        </w:rPr>
        <w:t>The ALJ found that the record evidence in this proceeding demonstrates that Verizon is entitled to a refund of amounts Verizon paid FirstEnergy in excess of the new telecom rates from March 11, 2019 to the present</w:t>
      </w:r>
      <w:r w:rsidR="00EF5A8B" w:rsidRPr="00A57018">
        <w:rPr>
          <w:sz w:val="26"/>
          <w:szCs w:val="26"/>
        </w:rPr>
        <w:t>, or approximately 18 months ago</w:t>
      </w:r>
      <w:r w:rsidR="00011A26" w:rsidRPr="00A57018">
        <w:rPr>
          <w:sz w:val="26"/>
          <w:szCs w:val="26"/>
        </w:rPr>
        <w:t xml:space="preserve"> (March 2019 to September 2020)</w:t>
      </w:r>
      <w:r w:rsidRPr="00A57018">
        <w:rPr>
          <w:sz w:val="26"/>
          <w:szCs w:val="26"/>
        </w:rPr>
        <w:t xml:space="preserve">.  The ALJ noted that as of September 2020, this amount is approximately </w:t>
      </w:r>
      <w:bookmarkStart w:id="57" w:name="_Hlk55292663"/>
      <w:r w:rsidR="00136FA7" w:rsidRPr="00A57018">
        <w:rPr>
          <w:b/>
          <w:bCs/>
          <w:sz w:val="26"/>
          <w:szCs w:val="26"/>
        </w:rPr>
        <w:t>***BEGIN PROPRIETARY***</w:t>
      </w:r>
      <w:r w:rsidR="00E0313E" w:rsidRPr="00A57018">
        <w:rPr>
          <w:sz w:val="26"/>
          <w:szCs w:val="26"/>
        </w:rPr>
        <w:t xml:space="preserve"> </w:t>
      </w:r>
      <w:bookmarkStart w:id="58" w:name="_Hlk55292701"/>
      <w:bookmarkEnd w:id="57"/>
      <w:r w:rsidR="0086638E" w:rsidRPr="00A57018">
        <w:rPr>
          <w:b/>
          <w:bCs/>
          <w:sz w:val="26"/>
          <w:szCs w:val="26"/>
        </w:rPr>
        <w:t>***END PROPRIETARY***</w:t>
      </w:r>
      <w:bookmarkEnd w:id="58"/>
      <w:r w:rsidR="00CD10EB" w:rsidRPr="00A57018">
        <w:rPr>
          <w:rStyle w:val="FootnoteReference"/>
          <w:sz w:val="26"/>
          <w:szCs w:val="26"/>
        </w:rPr>
        <w:footnoteReference w:id="35"/>
      </w:r>
      <w:r w:rsidR="0086638E">
        <w:rPr>
          <w:sz w:val="26"/>
          <w:szCs w:val="26"/>
        </w:rPr>
        <w:t> </w:t>
      </w:r>
      <w:r w:rsidRPr="00A57018">
        <w:rPr>
          <w:sz w:val="26"/>
          <w:szCs w:val="26"/>
        </w:rPr>
        <w:t xml:space="preserve">with an additional </w:t>
      </w:r>
      <w:r w:rsidR="00E0313E" w:rsidRPr="00A57018">
        <w:rPr>
          <w:b/>
          <w:bCs/>
          <w:sz w:val="26"/>
          <w:szCs w:val="26"/>
        </w:rPr>
        <w:t>***BEGIN PROPRIETARY***</w:t>
      </w:r>
      <w:r w:rsidR="00E0313E" w:rsidRPr="00A57018">
        <w:rPr>
          <w:sz w:val="26"/>
          <w:szCs w:val="26"/>
        </w:rPr>
        <w:t xml:space="preserve"> </w:t>
      </w:r>
      <w:r w:rsidRPr="00A57018">
        <w:rPr>
          <w:sz w:val="26"/>
          <w:szCs w:val="26"/>
        </w:rPr>
        <w:t xml:space="preserve"> </w:t>
      </w:r>
      <w:r w:rsidR="00E0313E" w:rsidRPr="00A57018">
        <w:rPr>
          <w:b/>
          <w:bCs/>
          <w:sz w:val="26"/>
          <w:szCs w:val="26"/>
        </w:rPr>
        <w:t>***END</w:t>
      </w:r>
      <w:r w:rsidR="0086638E">
        <w:rPr>
          <w:b/>
          <w:bCs/>
          <w:sz w:val="26"/>
          <w:szCs w:val="26"/>
        </w:rPr>
        <w:t> </w:t>
      </w:r>
      <w:r w:rsidR="00E0313E" w:rsidRPr="00A57018">
        <w:rPr>
          <w:b/>
          <w:bCs/>
          <w:sz w:val="26"/>
          <w:szCs w:val="26"/>
        </w:rPr>
        <w:t>PROPRIETARY***</w:t>
      </w:r>
      <w:r w:rsidR="00FF6AA0" w:rsidRPr="00A57018">
        <w:rPr>
          <w:rStyle w:val="FootnoteReference"/>
          <w:sz w:val="26"/>
          <w:szCs w:val="26"/>
        </w:rPr>
        <w:footnoteReference w:id="36"/>
      </w:r>
      <w:r w:rsidR="00E0313E" w:rsidRPr="00A57018">
        <w:rPr>
          <w:b/>
          <w:bCs/>
          <w:sz w:val="26"/>
          <w:szCs w:val="26"/>
        </w:rPr>
        <w:t xml:space="preserve"> </w:t>
      </w:r>
      <w:r w:rsidRPr="00A57018">
        <w:rPr>
          <w:sz w:val="26"/>
          <w:szCs w:val="26"/>
        </w:rPr>
        <w:t>due per month beyond September 2020 until the refund is paid.</w:t>
      </w:r>
      <w:r w:rsidR="006549AB" w:rsidRPr="00A57018">
        <w:rPr>
          <w:sz w:val="26"/>
          <w:szCs w:val="26"/>
        </w:rPr>
        <w:t xml:space="preserve">  The ALJ found this level of refund appropriate</w:t>
      </w:r>
      <w:r w:rsidR="00015C97" w:rsidRPr="00A57018">
        <w:rPr>
          <w:sz w:val="26"/>
          <w:szCs w:val="26"/>
        </w:rPr>
        <w:t>,</w:t>
      </w:r>
      <w:r w:rsidR="006549AB" w:rsidRPr="00A57018">
        <w:rPr>
          <w:sz w:val="26"/>
          <w:szCs w:val="26"/>
        </w:rPr>
        <w:t xml:space="preserve"> in lieu of that requested by Verizon</w:t>
      </w:r>
      <w:r w:rsidR="00015C97" w:rsidRPr="00A57018">
        <w:rPr>
          <w:sz w:val="26"/>
          <w:szCs w:val="26"/>
        </w:rPr>
        <w:t>,</w:t>
      </w:r>
      <w:r w:rsidR="00EF5A8B" w:rsidRPr="00A57018">
        <w:rPr>
          <w:sz w:val="26"/>
          <w:szCs w:val="26"/>
        </w:rPr>
        <w:t xml:space="preserve"> by prorating the </w:t>
      </w:r>
      <w:bookmarkStart w:id="60" w:name="_Hlk55292805"/>
      <w:r w:rsidR="00E0313E" w:rsidRPr="00A57018">
        <w:rPr>
          <w:b/>
          <w:bCs/>
          <w:sz w:val="26"/>
          <w:szCs w:val="26"/>
        </w:rPr>
        <w:t>***BEGIN PROPRIETARY***</w:t>
      </w:r>
      <w:r w:rsidR="00E0313E" w:rsidRPr="00A57018">
        <w:rPr>
          <w:sz w:val="26"/>
          <w:szCs w:val="26"/>
        </w:rPr>
        <w:t xml:space="preserve"> </w:t>
      </w:r>
      <w:bookmarkEnd w:id="60"/>
      <w:r w:rsidR="0086638E">
        <w:rPr>
          <w:sz w:val="26"/>
          <w:szCs w:val="26"/>
        </w:rPr>
        <w:t xml:space="preserve"> </w:t>
      </w:r>
      <w:r w:rsidR="00E0313E" w:rsidRPr="00A57018">
        <w:rPr>
          <w:b/>
          <w:bCs/>
          <w:sz w:val="26"/>
          <w:szCs w:val="26"/>
        </w:rPr>
        <w:t xml:space="preserve">***END PROPRIETARY*** </w:t>
      </w:r>
      <w:r w:rsidR="00011A26" w:rsidRPr="00A57018">
        <w:rPr>
          <w:sz w:val="26"/>
          <w:szCs w:val="26"/>
        </w:rPr>
        <w:t>that</w:t>
      </w:r>
      <w:r w:rsidR="00104AB9" w:rsidRPr="00A57018">
        <w:rPr>
          <w:sz w:val="26"/>
          <w:szCs w:val="26"/>
        </w:rPr>
        <w:t xml:space="preserve"> Verizon</w:t>
      </w:r>
      <w:r w:rsidR="00011A26" w:rsidRPr="00A57018">
        <w:rPr>
          <w:sz w:val="26"/>
          <w:szCs w:val="26"/>
        </w:rPr>
        <w:t xml:space="preserve"> </w:t>
      </w:r>
      <w:r w:rsidR="000960CA" w:rsidRPr="00A57018">
        <w:rPr>
          <w:sz w:val="26"/>
          <w:szCs w:val="26"/>
        </w:rPr>
        <w:t xml:space="preserve">claimed </w:t>
      </w:r>
      <w:r w:rsidR="00011A26" w:rsidRPr="00A57018">
        <w:rPr>
          <w:sz w:val="26"/>
          <w:szCs w:val="26"/>
        </w:rPr>
        <w:t>it is owed since July 2011, or approximately 112 months ago (July 2011 to September 2020).</w:t>
      </w:r>
      <w:r w:rsidR="00104AB9" w:rsidRPr="00A57018">
        <w:rPr>
          <w:sz w:val="26"/>
          <w:szCs w:val="26"/>
        </w:rPr>
        <w:t xml:space="preserve">  </w:t>
      </w:r>
      <w:r w:rsidR="00D07E44" w:rsidRPr="00A57018">
        <w:rPr>
          <w:sz w:val="26"/>
          <w:szCs w:val="26"/>
        </w:rPr>
        <w:t xml:space="preserve">R.D. at 66.  </w:t>
      </w:r>
    </w:p>
    <w:p w14:paraId="25BF9BAA" w14:textId="42C396C2" w:rsidR="00D07E44" w:rsidRPr="00A57018" w:rsidRDefault="00D07E44" w:rsidP="00B57D93">
      <w:pPr>
        <w:widowControl/>
        <w:spacing w:line="360" w:lineRule="auto"/>
        <w:ind w:firstLine="1440"/>
        <w:rPr>
          <w:sz w:val="26"/>
          <w:szCs w:val="26"/>
        </w:rPr>
      </w:pPr>
    </w:p>
    <w:p w14:paraId="647B6DAF" w14:textId="2F96DD66" w:rsidR="00D07E44" w:rsidRPr="00A57018" w:rsidRDefault="00283FEF" w:rsidP="00A57018">
      <w:pPr>
        <w:widowControl/>
        <w:spacing w:line="360" w:lineRule="auto"/>
        <w:ind w:firstLine="1440"/>
        <w:rPr>
          <w:sz w:val="26"/>
          <w:szCs w:val="26"/>
        </w:rPr>
      </w:pPr>
      <w:r w:rsidRPr="00A57018">
        <w:rPr>
          <w:sz w:val="26"/>
          <w:szCs w:val="26"/>
        </w:rPr>
        <w:t xml:space="preserve">In determining the appropriate level of refunds due to Verizon, the ALJ rejected Verizon’s argument that it is entitled to refunds from July 12, 2011 (the effective date of the FCC’s </w:t>
      </w:r>
      <w:r w:rsidRPr="00A57018">
        <w:rPr>
          <w:i/>
          <w:iCs/>
          <w:sz w:val="26"/>
          <w:szCs w:val="26"/>
        </w:rPr>
        <w:t>2011 Pole Attachment Order</w:t>
      </w:r>
      <w:r w:rsidRPr="00A57018">
        <w:rPr>
          <w:sz w:val="26"/>
          <w:szCs w:val="26"/>
        </w:rPr>
        <w:t xml:space="preserve"> and found that Verizon is instead entitled to refunds from March 11, 2019 (the effective date of Section 1.1413) because Verizon was not entitled to the lower rates under the Commission’s Regulations until March</w:t>
      </w:r>
      <w:r w:rsidR="009716A5">
        <w:rPr>
          <w:sz w:val="26"/>
          <w:szCs w:val="26"/>
        </w:rPr>
        <w:t> </w:t>
      </w:r>
      <w:r w:rsidRPr="00A57018">
        <w:rPr>
          <w:sz w:val="26"/>
          <w:szCs w:val="26"/>
        </w:rPr>
        <w:t>11,</w:t>
      </w:r>
      <w:r w:rsidR="009716A5">
        <w:rPr>
          <w:sz w:val="26"/>
          <w:szCs w:val="26"/>
        </w:rPr>
        <w:t> </w:t>
      </w:r>
      <w:r w:rsidRPr="00A57018">
        <w:rPr>
          <w:sz w:val="26"/>
          <w:szCs w:val="26"/>
        </w:rPr>
        <w:t>2019.  The ALJ noted that</w:t>
      </w:r>
      <w:r w:rsidR="008F2C8F" w:rsidRPr="00A57018">
        <w:rPr>
          <w:sz w:val="26"/>
          <w:szCs w:val="26"/>
        </w:rPr>
        <w:t xml:space="preserve"> under</w:t>
      </w:r>
      <w:r w:rsidRPr="00A57018">
        <w:rPr>
          <w:sz w:val="26"/>
          <w:szCs w:val="26"/>
        </w:rPr>
        <w:t xml:space="preserve"> a strict reading of the FCC’s regulations as adopted by the Commission in the </w:t>
      </w:r>
      <w:r w:rsidRPr="00A57018">
        <w:rPr>
          <w:i/>
          <w:iCs/>
          <w:sz w:val="26"/>
          <w:szCs w:val="26"/>
        </w:rPr>
        <w:t>2019 Final Rulemaking Order</w:t>
      </w:r>
      <w:r w:rsidRPr="00A57018">
        <w:rPr>
          <w:sz w:val="26"/>
          <w:szCs w:val="26"/>
        </w:rPr>
        <w:t xml:space="preserve"> and considering the Commission’s determination that the FCC’s </w:t>
      </w:r>
      <w:r w:rsidRPr="00A57018">
        <w:rPr>
          <w:i/>
          <w:iCs/>
          <w:sz w:val="26"/>
          <w:szCs w:val="26"/>
        </w:rPr>
        <w:t>2011 Pole Attachment Order</w:t>
      </w:r>
      <w:r w:rsidRPr="00A57018">
        <w:rPr>
          <w:sz w:val="26"/>
          <w:szCs w:val="26"/>
        </w:rPr>
        <w:t xml:space="preserve"> as only persuasive authority, not mandatory authority, the appropriate effective date of the new telecom rate is March 11, 2019.</w:t>
      </w:r>
      <w:r w:rsidR="00C97CE7" w:rsidRPr="00A57018">
        <w:rPr>
          <w:sz w:val="26"/>
          <w:szCs w:val="26"/>
        </w:rPr>
        <w:t xml:space="preserve">  R.D. at 65-67.  </w:t>
      </w:r>
    </w:p>
    <w:p w14:paraId="0A171809" w14:textId="59CDD76A" w:rsidR="00EF1720" w:rsidRPr="00A57018" w:rsidRDefault="00954273" w:rsidP="00A57018">
      <w:pPr>
        <w:keepNext/>
        <w:widowControl/>
        <w:spacing w:line="360" w:lineRule="auto"/>
        <w:ind w:firstLine="1440"/>
        <w:rPr>
          <w:sz w:val="26"/>
          <w:szCs w:val="26"/>
        </w:rPr>
      </w:pPr>
      <w:r w:rsidRPr="00A57018">
        <w:rPr>
          <w:sz w:val="26"/>
          <w:szCs w:val="26"/>
        </w:rPr>
        <w:lastRenderedPageBreak/>
        <w:t xml:space="preserve">Similarly, the ALJ rejected FirstEnergy’s argument that Verizon is not entitled to any refund </w:t>
      </w:r>
      <w:r w:rsidR="00403310" w:rsidRPr="00A57018">
        <w:rPr>
          <w:sz w:val="26"/>
          <w:szCs w:val="26"/>
        </w:rPr>
        <w:t>associated with the rates it pays under the JUAs because doing so would grant refunds based on a contract revision, not a tariff rate, which is impermissible under Section 508 of the Code</w:t>
      </w:r>
      <w:r w:rsidR="00C10C3B" w:rsidRPr="00A57018">
        <w:rPr>
          <w:sz w:val="26"/>
          <w:szCs w:val="26"/>
        </w:rPr>
        <w:t>, 66 Pa. C.S. § 508</w:t>
      </w:r>
      <w:r w:rsidR="00403310" w:rsidRPr="00A57018">
        <w:rPr>
          <w:sz w:val="26"/>
          <w:szCs w:val="26"/>
        </w:rPr>
        <w:t xml:space="preserve">.  R.D. at </w:t>
      </w:r>
      <w:r w:rsidR="00426401" w:rsidRPr="00A57018">
        <w:rPr>
          <w:sz w:val="26"/>
          <w:szCs w:val="26"/>
        </w:rPr>
        <w:t>67.</w:t>
      </w:r>
      <w:r w:rsidR="00403310" w:rsidRPr="00A57018">
        <w:rPr>
          <w:sz w:val="26"/>
          <w:szCs w:val="26"/>
        </w:rPr>
        <w:t xml:space="preserve">  FirstEnergy contended that the Commission can only reform contracts, such as the JUAs, on a prospective basis.  FirstEnergy M.B. at 91-93.</w:t>
      </w:r>
      <w:r w:rsidR="00D10878" w:rsidRPr="00A57018">
        <w:rPr>
          <w:sz w:val="26"/>
          <w:szCs w:val="26"/>
        </w:rPr>
        <w:t xml:space="preserve">  </w:t>
      </w:r>
      <w:r w:rsidR="00896CD0" w:rsidRPr="00A57018">
        <w:rPr>
          <w:sz w:val="26"/>
          <w:szCs w:val="26"/>
        </w:rPr>
        <w:t xml:space="preserve">The ALJ noted that providing a refund in this case is consistent with Section 1.1407 of the FCC’s regulations, as adopted by the Commission through the </w:t>
      </w:r>
      <w:r w:rsidR="00896CD0" w:rsidRPr="00A57018">
        <w:rPr>
          <w:i/>
          <w:iCs/>
          <w:sz w:val="26"/>
          <w:szCs w:val="26"/>
        </w:rPr>
        <w:t>2019 Final Rulemaking Order</w:t>
      </w:r>
      <w:r w:rsidR="00896CD0" w:rsidRPr="00A57018">
        <w:rPr>
          <w:sz w:val="26"/>
          <w:szCs w:val="26"/>
        </w:rPr>
        <w:t>,</w:t>
      </w:r>
      <w:r w:rsidRPr="00A57018">
        <w:rPr>
          <w:sz w:val="26"/>
          <w:szCs w:val="26"/>
        </w:rPr>
        <w:t xml:space="preserve"> which </w:t>
      </w:r>
      <w:r w:rsidR="00D10878" w:rsidRPr="00A57018">
        <w:rPr>
          <w:sz w:val="26"/>
          <w:szCs w:val="26"/>
        </w:rPr>
        <w:t>is not limited to tariffed rates only</w:t>
      </w:r>
      <w:r w:rsidRPr="00A57018">
        <w:rPr>
          <w:sz w:val="26"/>
          <w:szCs w:val="26"/>
        </w:rPr>
        <w:t>,</w:t>
      </w:r>
      <w:r w:rsidR="00896CD0" w:rsidRPr="00A57018">
        <w:rPr>
          <w:sz w:val="26"/>
          <w:szCs w:val="26"/>
        </w:rPr>
        <w:t xml:space="preserve"> </w:t>
      </w:r>
      <w:r w:rsidR="009569AE" w:rsidRPr="00A57018">
        <w:rPr>
          <w:sz w:val="26"/>
          <w:szCs w:val="26"/>
        </w:rPr>
        <w:t>and Section 1312 of the Code,</w:t>
      </w:r>
      <w:r w:rsidRPr="00A57018">
        <w:rPr>
          <w:sz w:val="26"/>
          <w:szCs w:val="26"/>
        </w:rPr>
        <w:t xml:space="preserve"> allowing refunds within four years of filing a complaint,</w:t>
      </w:r>
      <w:r w:rsidR="001E02BD" w:rsidRPr="00A57018">
        <w:rPr>
          <w:sz w:val="26"/>
          <w:szCs w:val="26"/>
          <w:vertAlign w:val="superscript"/>
        </w:rPr>
        <w:t xml:space="preserve"> </w:t>
      </w:r>
      <w:r w:rsidR="001E02BD" w:rsidRPr="00A57018">
        <w:rPr>
          <w:sz w:val="26"/>
          <w:szCs w:val="26"/>
          <w:vertAlign w:val="superscript"/>
        </w:rPr>
        <w:footnoteReference w:id="37"/>
      </w:r>
      <w:r w:rsidR="009569AE" w:rsidRPr="00A57018">
        <w:rPr>
          <w:sz w:val="26"/>
          <w:szCs w:val="26"/>
        </w:rPr>
        <w:t xml:space="preserve"> which provide:</w:t>
      </w:r>
    </w:p>
    <w:p w14:paraId="4F37C6A0" w14:textId="37612F97" w:rsidR="00D34351" w:rsidRPr="00A57018" w:rsidRDefault="00D34351" w:rsidP="00A57018">
      <w:pPr>
        <w:keepNext/>
        <w:widowControl/>
        <w:rPr>
          <w:b/>
          <w:color w:val="000000"/>
          <w:sz w:val="26"/>
          <w:szCs w:val="26"/>
        </w:rPr>
      </w:pPr>
      <w:bookmarkStart w:id="61" w:name="_Hlk55219541"/>
    </w:p>
    <w:p w14:paraId="0D351042" w14:textId="2E174ED3" w:rsidR="00377E71" w:rsidRPr="00A57018" w:rsidRDefault="00377E71" w:rsidP="00A57018">
      <w:pPr>
        <w:keepNext/>
        <w:widowControl/>
        <w:ind w:left="1440" w:right="1440"/>
        <w:textAlignment w:val="baseline"/>
        <w:rPr>
          <w:b/>
          <w:color w:val="000000"/>
          <w:sz w:val="26"/>
          <w:szCs w:val="26"/>
        </w:rPr>
      </w:pPr>
      <w:r w:rsidRPr="00A57018">
        <w:rPr>
          <w:b/>
          <w:color w:val="000000"/>
          <w:sz w:val="26"/>
          <w:szCs w:val="26"/>
        </w:rPr>
        <w:t>§ 1.1407 Remedies.</w:t>
      </w:r>
    </w:p>
    <w:p w14:paraId="260CB94B" w14:textId="77777777" w:rsidR="00377E71" w:rsidRPr="00A57018" w:rsidRDefault="00377E71" w:rsidP="00A57018">
      <w:pPr>
        <w:keepNext/>
        <w:widowControl/>
        <w:ind w:left="1440" w:right="1440"/>
        <w:textAlignment w:val="baseline"/>
        <w:rPr>
          <w:b/>
          <w:color w:val="000000"/>
          <w:sz w:val="26"/>
          <w:szCs w:val="26"/>
        </w:rPr>
      </w:pPr>
    </w:p>
    <w:p w14:paraId="47BD66DA" w14:textId="14CD4609" w:rsidR="00377E71" w:rsidRPr="00A57018" w:rsidRDefault="00377E71" w:rsidP="00A57018">
      <w:pPr>
        <w:pStyle w:val="ListParagraph"/>
        <w:widowControl/>
        <w:numPr>
          <w:ilvl w:val="0"/>
          <w:numId w:val="29"/>
        </w:numPr>
        <w:ind w:left="2160" w:right="1440" w:hanging="720"/>
        <w:textAlignment w:val="baseline"/>
        <w:rPr>
          <w:color w:val="000000"/>
          <w:sz w:val="26"/>
          <w:szCs w:val="26"/>
        </w:rPr>
      </w:pPr>
      <w:r w:rsidRPr="00A57018">
        <w:rPr>
          <w:color w:val="000000"/>
          <w:sz w:val="26"/>
          <w:szCs w:val="26"/>
        </w:rPr>
        <w:t xml:space="preserve">If the Commission determines that the rate, </w:t>
      </w:r>
      <w:proofErr w:type="gramStart"/>
      <w:r w:rsidRPr="00A57018">
        <w:rPr>
          <w:color w:val="000000"/>
          <w:sz w:val="26"/>
          <w:szCs w:val="26"/>
        </w:rPr>
        <w:t>term</w:t>
      </w:r>
      <w:proofErr w:type="gramEnd"/>
      <w:r w:rsidRPr="00A57018">
        <w:rPr>
          <w:color w:val="000000"/>
          <w:sz w:val="26"/>
          <w:szCs w:val="26"/>
        </w:rPr>
        <w:t xml:space="preserve"> or condition complained of is not just and reasonable, it may prescribe a just and reasonable rate, term or condition and may:</w:t>
      </w:r>
    </w:p>
    <w:bookmarkEnd w:id="61"/>
    <w:p w14:paraId="3E105D04" w14:textId="77777777" w:rsidR="00377E71" w:rsidRPr="00A57018" w:rsidRDefault="00377E71" w:rsidP="00A57018">
      <w:pPr>
        <w:pStyle w:val="ListParagraph"/>
        <w:widowControl/>
        <w:ind w:left="1800" w:right="1440"/>
        <w:textAlignment w:val="baseline"/>
        <w:rPr>
          <w:color w:val="000000"/>
          <w:sz w:val="26"/>
          <w:szCs w:val="26"/>
        </w:rPr>
      </w:pPr>
    </w:p>
    <w:p w14:paraId="481F9FD9" w14:textId="6AC47FAB" w:rsidR="00377E71" w:rsidRPr="00A57018" w:rsidRDefault="00377E71" w:rsidP="00A57018">
      <w:pPr>
        <w:widowControl/>
        <w:numPr>
          <w:ilvl w:val="0"/>
          <w:numId w:val="28"/>
        </w:numPr>
        <w:tabs>
          <w:tab w:val="clear" w:pos="360"/>
        </w:tabs>
        <w:ind w:left="2880" w:right="1440" w:hanging="720"/>
        <w:textAlignment w:val="baseline"/>
        <w:rPr>
          <w:color w:val="000000"/>
          <w:sz w:val="26"/>
          <w:szCs w:val="26"/>
        </w:rPr>
      </w:pPr>
      <w:r w:rsidRPr="00A57018">
        <w:rPr>
          <w:color w:val="000000"/>
          <w:sz w:val="26"/>
          <w:szCs w:val="26"/>
        </w:rPr>
        <w:t xml:space="preserve">Terminate the unjust and/or unreasonable rate, </w:t>
      </w:r>
      <w:r w:rsidRPr="00A57018">
        <w:rPr>
          <w:color w:val="000000"/>
          <w:sz w:val="26"/>
          <w:szCs w:val="26"/>
        </w:rPr>
        <w:br/>
        <w:t>term or condition;</w:t>
      </w:r>
    </w:p>
    <w:p w14:paraId="0F62B04B" w14:textId="77777777" w:rsidR="00377E71" w:rsidRPr="00A57018" w:rsidRDefault="00377E71" w:rsidP="00A57018">
      <w:pPr>
        <w:widowControl/>
        <w:tabs>
          <w:tab w:val="left" w:pos="2736"/>
        </w:tabs>
        <w:ind w:left="2160" w:right="1440"/>
        <w:textAlignment w:val="baseline"/>
        <w:rPr>
          <w:color w:val="000000"/>
          <w:sz w:val="26"/>
          <w:szCs w:val="26"/>
        </w:rPr>
      </w:pPr>
    </w:p>
    <w:p w14:paraId="00441BD5" w14:textId="573CB063" w:rsidR="00377E71" w:rsidRPr="00A57018" w:rsidRDefault="00377E71" w:rsidP="00A57018">
      <w:pPr>
        <w:widowControl/>
        <w:numPr>
          <w:ilvl w:val="0"/>
          <w:numId w:val="28"/>
        </w:numPr>
        <w:tabs>
          <w:tab w:val="clear" w:pos="360"/>
        </w:tabs>
        <w:ind w:left="2880" w:right="1440" w:hanging="720"/>
        <w:textAlignment w:val="baseline"/>
        <w:rPr>
          <w:color w:val="000000"/>
          <w:sz w:val="26"/>
          <w:szCs w:val="26"/>
        </w:rPr>
      </w:pPr>
      <w:r w:rsidRPr="00A57018">
        <w:rPr>
          <w:color w:val="000000"/>
          <w:sz w:val="26"/>
          <w:szCs w:val="26"/>
        </w:rPr>
        <w:t>Substitute in the pole attachment agreement the just and reasonable rate, term or condition established by the Commission; and/or</w:t>
      </w:r>
    </w:p>
    <w:p w14:paraId="4E47B9F4" w14:textId="77777777" w:rsidR="00377E71" w:rsidRPr="00A57018" w:rsidRDefault="00377E71" w:rsidP="00A57018">
      <w:pPr>
        <w:widowControl/>
        <w:tabs>
          <w:tab w:val="left" w:pos="2736"/>
        </w:tabs>
        <w:ind w:right="1440"/>
        <w:textAlignment w:val="baseline"/>
        <w:rPr>
          <w:color w:val="000000"/>
          <w:sz w:val="26"/>
          <w:szCs w:val="26"/>
        </w:rPr>
      </w:pPr>
    </w:p>
    <w:p w14:paraId="089A35B9" w14:textId="532CEAF9" w:rsidR="003A476E" w:rsidRPr="00A57018" w:rsidRDefault="00377E71" w:rsidP="00A57018">
      <w:pPr>
        <w:widowControl/>
        <w:numPr>
          <w:ilvl w:val="0"/>
          <w:numId w:val="28"/>
        </w:numPr>
        <w:tabs>
          <w:tab w:val="clear" w:pos="360"/>
        </w:tabs>
        <w:ind w:left="2880" w:right="1440" w:hanging="720"/>
        <w:textAlignment w:val="baseline"/>
        <w:rPr>
          <w:color w:val="000000"/>
          <w:sz w:val="26"/>
          <w:szCs w:val="26"/>
        </w:rPr>
      </w:pPr>
      <w:r w:rsidRPr="00A57018">
        <w:rPr>
          <w:color w:val="000000"/>
          <w:sz w:val="26"/>
          <w:szCs w:val="26"/>
        </w:rPr>
        <w:t>Order a refund, or payment, if appropriate. The refund or payment will normally be the difference between the amount paid under the unjust and/or unreasonable rate, term or condition, and the amount that would have been paid under the rate, term or condition established by the Commission, plus interest, consistent with the applicable statute of limitations</w:t>
      </w:r>
      <w:r w:rsidR="00FA0506">
        <w:rPr>
          <w:color w:val="000000"/>
          <w:sz w:val="26"/>
          <w:szCs w:val="26"/>
        </w:rPr>
        <w:t>.</w:t>
      </w:r>
    </w:p>
    <w:p w14:paraId="55B425D8" w14:textId="73E5613F" w:rsidR="003A476E" w:rsidRPr="00A57018" w:rsidRDefault="003A476E" w:rsidP="009716A5">
      <w:pPr>
        <w:widowControl/>
        <w:spacing w:line="360" w:lineRule="auto"/>
        <w:rPr>
          <w:sz w:val="26"/>
          <w:szCs w:val="26"/>
        </w:rPr>
      </w:pPr>
    </w:p>
    <w:p w14:paraId="41D09643" w14:textId="12FF2F8A" w:rsidR="00377E71" w:rsidRPr="00A57018" w:rsidRDefault="00377E71" w:rsidP="00A57018">
      <w:pPr>
        <w:widowControl/>
        <w:rPr>
          <w:sz w:val="26"/>
          <w:szCs w:val="26"/>
        </w:rPr>
      </w:pPr>
      <w:r w:rsidRPr="00A57018">
        <w:rPr>
          <w:i/>
          <w:iCs/>
          <w:sz w:val="26"/>
          <w:szCs w:val="26"/>
        </w:rPr>
        <w:t>See</w:t>
      </w:r>
      <w:r w:rsidRPr="00A57018">
        <w:rPr>
          <w:sz w:val="26"/>
          <w:szCs w:val="26"/>
        </w:rPr>
        <w:t xml:space="preserve"> 52 Pa. Code § 77.4(a) (incorporating 47 C.F.R. § 1.1407(a)(1)-(3)</w:t>
      </w:r>
      <w:r w:rsidR="00F450DE" w:rsidRPr="00A57018">
        <w:rPr>
          <w:sz w:val="26"/>
          <w:szCs w:val="26"/>
        </w:rPr>
        <w:t>)</w:t>
      </w:r>
      <w:r w:rsidRPr="00A57018">
        <w:rPr>
          <w:sz w:val="26"/>
          <w:szCs w:val="26"/>
        </w:rPr>
        <w:t>.</w:t>
      </w:r>
    </w:p>
    <w:p w14:paraId="7DE05411" w14:textId="5D8E0CC8" w:rsidR="008B1262" w:rsidRPr="00A57018" w:rsidRDefault="008B1262" w:rsidP="00A57018">
      <w:pPr>
        <w:widowControl/>
        <w:ind w:left="1440" w:right="1440"/>
        <w:textAlignment w:val="baseline"/>
        <w:rPr>
          <w:b/>
          <w:color w:val="000000"/>
          <w:sz w:val="26"/>
          <w:szCs w:val="26"/>
        </w:rPr>
      </w:pPr>
      <w:r w:rsidRPr="00A57018">
        <w:rPr>
          <w:b/>
          <w:color w:val="000000"/>
          <w:sz w:val="26"/>
          <w:szCs w:val="26"/>
        </w:rPr>
        <w:lastRenderedPageBreak/>
        <w:t>§ 1312 Refunds.</w:t>
      </w:r>
    </w:p>
    <w:p w14:paraId="7CFEA2C4" w14:textId="77777777" w:rsidR="008B1262" w:rsidRPr="00A57018" w:rsidRDefault="008B1262" w:rsidP="00A57018">
      <w:pPr>
        <w:widowControl/>
        <w:ind w:right="1440"/>
        <w:rPr>
          <w:color w:val="000000"/>
          <w:sz w:val="26"/>
          <w:szCs w:val="26"/>
        </w:rPr>
      </w:pPr>
    </w:p>
    <w:p w14:paraId="4FB739A1" w14:textId="73748D8E" w:rsidR="008B1262" w:rsidRPr="00A57018" w:rsidRDefault="008B1262" w:rsidP="00A57018">
      <w:pPr>
        <w:widowControl/>
        <w:numPr>
          <w:ilvl w:val="0"/>
          <w:numId w:val="31"/>
        </w:numPr>
        <w:ind w:left="1440" w:right="1440"/>
        <w:rPr>
          <w:color w:val="000000"/>
          <w:sz w:val="26"/>
          <w:szCs w:val="26"/>
        </w:rPr>
      </w:pPr>
      <w:r w:rsidRPr="00A57018">
        <w:rPr>
          <w:b/>
          <w:bCs/>
          <w:color w:val="000000"/>
          <w:sz w:val="26"/>
          <w:szCs w:val="26"/>
        </w:rPr>
        <w:t>(a)</w:t>
      </w:r>
      <w:r w:rsidRPr="00A57018">
        <w:rPr>
          <w:b/>
          <w:bCs/>
          <w:color w:val="000000"/>
          <w:sz w:val="26"/>
          <w:szCs w:val="26"/>
        </w:rPr>
        <w:tab/>
      </w:r>
      <w:r w:rsidRPr="00A57018">
        <w:rPr>
          <w:b/>
          <w:bCs/>
          <w:i/>
          <w:iCs/>
          <w:color w:val="000000"/>
          <w:sz w:val="26"/>
          <w:szCs w:val="26"/>
        </w:rPr>
        <w:t xml:space="preserve">General rule. </w:t>
      </w:r>
      <w:r w:rsidRPr="00A57018">
        <w:rPr>
          <w:b/>
          <w:bCs/>
          <w:color w:val="000000"/>
          <w:sz w:val="26"/>
          <w:szCs w:val="26"/>
        </w:rPr>
        <w:t xml:space="preserve">— </w:t>
      </w:r>
      <w:r w:rsidRPr="00A57018">
        <w:rPr>
          <w:color w:val="000000"/>
          <w:sz w:val="26"/>
          <w:szCs w:val="26"/>
        </w:rPr>
        <w:t xml:space="preserve">If, in any proceeding involving rates, the commission shall determine that any rate received by a public utility was unjust or unreasonable, or was in violation of any regulation or order of the commission, or was in excess of the applicable rate contained in an existing and effective tariff of such public utility, the commission shall have the power and authority to make an order requiring the public utility to refund the amount of any excess paid by any patron, in consequence of such unlawful collection, within four years prior to the date of the filing of the complaint, together with interest at the legal rate from the date of each such excessive payment. . . . </w:t>
      </w:r>
    </w:p>
    <w:p w14:paraId="4616C938" w14:textId="733240B5" w:rsidR="00BE4750" w:rsidRPr="00A57018" w:rsidRDefault="00BE4750" w:rsidP="009716A5">
      <w:pPr>
        <w:widowControl/>
        <w:spacing w:line="360" w:lineRule="auto"/>
        <w:rPr>
          <w:sz w:val="26"/>
          <w:szCs w:val="26"/>
        </w:rPr>
      </w:pPr>
    </w:p>
    <w:p w14:paraId="69E95803" w14:textId="0E84FB85" w:rsidR="00BE4750" w:rsidRPr="00A57018" w:rsidRDefault="008B1262" w:rsidP="00A57018">
      <w:pPr>
        <w:widowControl/>
        <w:spacing w:line="360" w:lineRule="auto"/>
        <w:rPr>
          <w:sz w:val="26"/>
          <w:szCs w:val="26"/>
        </w:rPr>
      </w:pPr>
      <w:r w:rsidRPr="00A57018">
        <w:rPr>
          <w:sz w:val="26"/>
          <w:szCs w:val="26"/>
        </w:rPr>
        <w:t xml:space="preserve">66 Pa. C.S. § 1312(a).  </w:t>
      </w:r>
    </w:p>
    <w:p w14:paraId="1EB1C9D4" w14:textId="77777777" w:rsidR="00B27354" w:rsidRPr="00A57018" w:rsidRDefault="00B27354" w:rsidP="00A57018">
      <w:pPr>
        <w:widowControl/>
        <w:spacing w:line="360" w:lineRule="auto"/>
        <w:rPr>
          <w:sz w:val="26"/>
          <w:szCs w:val="26"/>
        </w:rPr>
      </w:pPr>
    </w:p>
    <w:p w14:paraId="7C10ED2D" w14:textId="6609954E" w:rsidR="001B1A77" w:rsidRPr="00A57018" w:rsidRDefault="001B1A77" w:rsidP="00A57018">
      <w:pPr>
        <w:pStyle w:val="Heading3"/>
        <w:spacing w:line="240" w:lineRule="auto"/>
        <w:ind w:left="1440" w:hanging="720"/>
      </w:pPr>
      <w:bookmarkStart w:id="62" w:name="_Toc59179317"/>
      <w:r w:rsidRPr="00A57018">
        <w:t>Exceptions and Replies</w:t>
      </w:r>
      <w:r w:rsidR="00C12041" w:rsidRPr="00A57018">
        <w:t xml:space="preserve"> (FirstEnergy Exception Nos. 12-13; Verizon</w:t>
      </w:r>
      <w:r w:rsidR="009716A5">
        <w:t> </w:t>
      </w:r>
      <w:r w:rsidR="00C12041" w:rsidRPr="00A57018">
        <w:t>Exception No. 1)</w:t>
      </w:r>
      <w:bookmarkEnd w:id="62"/>
    </w:p>
    <w:p w14:paraId="4F9CCBD1" w14:textId="1EFC6714" w:rsidR="00196679" w:rsidRPr="00A57018" w:rsidRDefault="00196679" w:rsidP="009716A5">
      <w:pPr>
        <w:widowControl/>
        <w:spacing w:line="480" w:lineRule="auto"/>
        <w:rPr>
          <w:sz w:val="26"/>
          <w:szCs w:val="26"/>
        </w:rPr>
      </w:pPr>
    </w:p>
    <w:p w14:paraId="5DB6983A" w14:textId="21A9B4E3" w:rsidR="00D93BED" w:rsidRPr="00A57018" w:rsidRDefault="00DC0621" w:rsidP="00A57018">
      <w:pPr>
        <w:widowControl/>
        <w:spacing w:line="360" w:lineRule="auto"/>
        <w:ind w:firstLine="1440"/>
        <w:rPr>
          <w:sz w:val="26"/>
          <w:szCs w:val="26"/>
        </w:rPr>
      </w:pPr>
      <w:r w:rsidRPr="00A57018">
        <w:rPr>
          <w:sz w:val="26"/>
          <w:szCs w:val="26"/>
        </w:rPr>
        <w:t xml:space="preserve">In its </w:t>
      </w:r>
      <w:r w:rsidR="009F0FF2" w:rsidRPr="00A57018">
        <w:rPr>
          <w:sz w:val="26"/>
          <w:szCs w:val="26"/>
        </w:rPr>
        <w:t>t</w:t>
      </w:r>
      <w:r w:rsidRPr="00A57018">
        <w:rPr>
          <w:sz w:val="26"/>
          <w:szCs w:val="26"/>
        </w:rPr>
        <w:t xml:space="preserve">welfth Exception, FirstEnergy maintains that Section 508 of the Code precludes the Commission from granting any refunds in this case, arguing that Section 508 is the only provision of the Code which provides the Commission with the authority to revise a public utility contract, such as the JUAs, and </w:t>
      </w:r>
      <w:r w:rsidR="007572B7" w:rsidRPr="00A57018">
        <w:rPr>
          <w:sz w:val="26"/>
          <w:szCs w:val="26"/>
        </w:rPr>
        <w:t xml:space="preserve">that such revisions can only be applied prospectively.  </w:t>
      </w:r>
      <w:r w:rsidR="001602DA" w:rsidRPr="00A57018">
        <w:rPr>
          <w:sz w:val="26"/>
          <w:szCs w:val="26"/>
        </w:rPr>
        <w:t>Therefore, FirstEnergy submits that the ALJ erroneously recommended refunds back from March 11, 2019 (</w:t>
      </w:r>
      <w:r w:rsidR="001602DA" w:rsidRPr="00A57018">
        <w:rPr>
          <w:i/>
          <w:iCs/>
          <w:sz w:val="26"/>
          <w:szCs w:val="26"/>
        </w:rPr>
        <w:t>i.e</w:t>
      </w:r>
      <w:r w:rsidR="004203DA" w:rsidRPr="00A57018">
        <w:rPr>
          <w:i/>
          <w:iCs/>
          <w:sz w:val="26"/>
          <w:szCs w:val="26"/>
        </w:rPr>
        <w:t>.</w:t>
      </w:r>
      <w:r w:rsidR="001602DA" w:rsidRPr="00A57018">
        <w:rPr>
          <w:sz w:val="26"/>
          <w:szCs w:val="26"/>
        </w:rPr>
        <w:t xml:space="preserve">, the effective date of 47 C.F.R. </w:t>
      </w:r>
    </w:p>
    <w:p w14:paraId="09EB3829" w14:textId="2253DA69" w:rsidR="005F1FC6" w:rsidRPr="00A57018" w:rsidRDefault="001602DA" w:rsidP="00A57018">
      <w:pPr>
        <w:widowControl/>
        <w:spacing w:line="360" w:lineRule="auto"/>
        <w:rPr>
          <w:sz w:val="26"/>
          <w:szCs w:val="26"/>
        </w:rPr>
      </w:pPr>
      <w:r w:rsidRPr="00A57018">
        <w:rPr>
          <w:sz w:val="26"/>
          <w:szCs w:val="26"/>
        </w:rPr>
        <w:t>§ 1.1413)</w:t>
      </w:r>
      <w:r w:rsidR="00A03E78" w:rsidRPr="00A57018">
        <w:rPr>
          <w:sz w:val="26"/>
          <w:szCs w:val="26"/>
        </w:rPr>
        <w:t xml:space="preserve"> by failing to explain how the FCC’s regulations can </w:t>
      </w:r>
      <w:r w:rsidR="001930C5" w:rsidRPr="00A57018">
        <w:rPr>
          <w:sz w:val="26"/>
          <w:szCs w:val="26"/>
        </w:rPr>
        <w:t>be given precedence over</w:t>
      </w:r>
      <w:r w:rsidR="00A03E78" w:rsidRPr="00A57018">
        <w:rPr>
          <w:sz w:val="26"/>
          <w:szCs w:val="26"/>
        </w:rPr>
        <w:t xml:space="preserve"> the plain language of the Code.</w:t>
      </w:r>
      <w:r w:rsidR="00585552" w:rsidRPr="00A57018">
        <w:rPr>
          <w:sz w:val="26"/>
          <w:szCs w:val="26"/>
        </w:rPr>
        <w:t xml:space="preserve">  FirstEnergy Exc. at 33-34.</w:t>
      </w:r>
    </w:p>
    <w:p w14:paraId="4FFD3281" w14:textId="052E8F07" w:rsidR="00585552" w:rsidRPr="00A57018" w:rsidRDefault="00585552" w:rsidP="00A57018">
      <w:pPr>
        <w:widowControl/>
        <w:spacing w:line="360" w:lineRule="auto"/>
        <w:ind w:firstLine="1440"/>
        <w:rPr>
          <w:sz w:val="26"/>
          <w:szCs w:val="26"/>
        </w:rPr>
      </w:pPr>
    </w:p>
    <w:p w14:paraId="6631BC9C" w14:textId="042BBD6F" w:rsidR="006E1BD5" w:rsidRPr="00A57018" w:rsidRDefault="0019749F" w:rsidP="00A57018">
      <w:pPr>
        <w:widowControl/>
        <w:spacing w:line="360" w:lineRule="auto"/>
        <w:ind w:firstLine="1440"/>
        <w:rPr>
          <w:sz w:val="26"/>
          <w:szCs w:val="26"/>
        </w:rPr>
      </w:pPr>
      <w:r w:rsidRPr="00A57018">
        <w:rPr>
          <w:sz w:val="26"/>
          <w:szCs w:val="26"/>
        </w:rPr>
        <w:t>In reply, Verizon</w:t>
      </w:r>
      <w:r w:rsidR="00F814EF" w:rsidRPr="00A57018">
        <w:rPr>
          <w:sz w:val="26"/>
          <w:szCs w:val="26"/>
        </w:rPr>
        <w:t xml:space="preserve"> asserts that the Commission’s Regulations provide for refunds of all amounts unlawfully collected during the applicable statute of limitations, plus interest.  Verizon maintains the following argument:</w:t>
      </w:r>
    </w:p>
    <w:p w14:paraId="335CE6E4" w14:textId="0E128AF4" w:rsidR="00F814EF" w:rsidRPr="00A57018" w:rsidRDefault="00F814EF" w:rsidP="009716A5">
      <w:pPr>
        <w:widowControl/>
        <w:rPr>
          <w:sz w:val="26"/>
          <w:szCs w:val="26"/>
        </w:rPr>
      </w:pPr>
    </w:p>
    <w:p w14:paraId="7BD6EFEB" w14:textId="770C89EA" w:rsidR="00F814EF" w:rsidRPr="00A57018" w:rsidRDefault="00F814EF" w:rsidP="00A57018">
      <w:pPr>
        <w:widowControl/>
        <w:ind w:left="1440" w:right="1440"/>
        <w:rPr>
          <w:sz w:val="26"/>
          <w:szCs w:val="26"/>
        </w:rPr>
      </w:pPr>
      <w:r w:rsidRPr="00A57018">
        <w:rPr>
          <w:sz w:val="26"/>
          <w:szCs w:val="26"/>
        </w:rPr>
        <w:lastRenderedPageBreak/>
        <w:t>Under its pole attachment regulations, the Commission may “[t]erminate the unjust and/or unreasonable rate,” “[s]ubstitute in the pole attachment agreement the just</w:t>
      </w:r>
      <w:r w:rsidR="00BC2CFB" w:rsidRPr="00A57018">
        <w:rPr>
          <w:sz w:val="26"/>
          <w:szCs w:val="26"/>
        </w:rPr>
        <w:t xml:space="preserve"> and reasonable rate…established by the Commission,” </w:t>
      </w:r>
      <w:r w:rsidR="00BC2CFB" w:rsidRPr="00A57018">
        <w:rPr>
          <w:i/>
          <w:iCs/>
          <w:sz w:val="26"/>
          <w:szCs w:val="26"/>
        </w:rPr>
        <w:t>and</w:t>
      </w:r>
      <w:r w:rsidR="00BC2CFB" w:rsidRPr="00A57018">
        <w:rPr>
          <w:sz w:val="26"/>
          <w:szCs w:val="26"/>
        </w:rPr>
        <w:t xml:space="preserve"> “[o]rder a refund.”</w:t>
      </w:r>
      <w:r w:rsidR="00191C77" w:rsidRPr="00A57018">
        <w:rPr>
          <w:sz w:val="26"/>
          <w:szCs w:val="26"/>
        </w:rPr>
        <w:t xml:space="preserve">  Under the Public Utility Code, the Commission may “determine and prescribe, by findings and order, the just, reasonable, and equitable obligations, terms, and conditions” of contracts </w:t>
      </w:r>
      <w:r w:rsidR="00191C77" w:rsidRPr="00A57018">
        <w:rPr>
          <w:i/>
          <w:iCs/>
          <w:sz w:val="26"/>
          <w:szCs w:val="26"/>
        </w:rPr>
        <w:t>and</w:t>
      </w:r>
      <w:r w:rsidR="00191C77" w:rsidRPr="00A57018">
        <w:rPr>
          <w:sz w:val="26"/>
          <w:szCs w:val="26"/>
        </w:rPr>
        <w:t xml:space="preserve"> refund “the amount of any excess paid…together with interest…” in “ any proceeding involving rates.”  Section 1312 is not limited to tariffed rates; it applies to “any rate received by a public utility” that was “unjust or unreasonable” or in violation of a Commission “regulation.” </w:t>
      </w:r>
    </w:p>
    <w:p w14:paraId="4799408F" w14:textId="162C54C7" w:rsidR="00585552" w:rsidRPr="00A57018" w:rsidRDefault="00585552" w:rsidP="00A57018">
      <w:pPr>
        <w:widowControl/>
        <w:spacing w:line="360" w:lineRule="auto"/>
        <w:ind w:firstLine="1440"/>
        <w:rPr>
          <w:sz w:val="26"/>
          <w:szCs w:val="26"/>
        </w:rPr>
      </w:pPr>
    </w:p>
    <w:p w14:paraId="3DBD2232" w14:textId="16162EF4" w:rsidR="00BC2CFB" w:rsidRPr="00A57018" w:rsidRDefault="00BC2CFB" w:rsidP="00A57018">
      <w:pPr>
        <w:widowControl/>
        <w:spacing w:line="360" w:lineRule="auto"/>
        <w:rPr>
          <w:sz w:val="26"/>
          <w:szCs w:val="26"/>
        </w:rPr>
      </w:pPr>
      <w:r w:rsidRPr="00A57018">
        <w:rPr>
          <w:sz w:val="26"/>
          <w:szCs w:val="26"/>
        </w:rPr>
        <w:t>Verizon R. Exc. at 21-22 (citing 52 Pa. Code § 77.4 (a)</w:t>
      </w:r>
      <w:r w:rsidR="00191C77" w:rsidRPr="00A57018">
        <w:rPr>
          <w:sz w:val="26"/>
          <w:szCs w:val="26"/>
        </w:rPr>
        <w:t>; 66 Pa. C.S. §§ 508, 1312(a)).</w:t>
      </w:r>
    </w:p>
    <w:p w14:paraId="59AA168E" w14:textId="77777777" w:rsidR="00BC2CFB" w:rsidRPr="00A57018" w:rsidRDefault="00BC2CFB" w:rsidP="00A57018">
      <w:pPr>
        <w:widowControl/>
        <w:spacing w:line="360" w:lineRule="auto"/>
        <w:rPr>
          <w:sz w:val="26"/>
          <w:szCs w:val="26"/>
        </w:rPr>
      </w:pPr>
    </w:p>
    <w:p w14:paraId="7A472803" w14:textId="6E738A51" w:rsidR="006E1BD5" w:rsidRPr="00A57018" w:rsidRDefault="009F0FF2" w:rsidP="00A57018">
      <w:pPr>
        <w:widowControl/>
        <w:spacing w:line="360" w:lineRule="auto"/>
        <w:ind w:firstLine="1440"/>
        <w:rPr>
          <w:sz w:val="26"/>
          <w:szCs w:val="26"/>
        </w:rPr>
      </w:pPr>
      <w:r w:rsidRPr="00A57018">
        <w:rPr>
          <w:sz w:val="26"/>
          <w:szCs w:val="26"/>
        </w:rPr>
        <w:t>FirstEnergy’s thirteenth Exception</w:t>
      </w:r>
      <w:r w:rsidR="006E1BD5" w:rsidRPr="00A57018">
        <w:rPr>
          <w:sz w:val="26"/>
          <w:szCs w:val="26"/>
        </w:rPr>
        <w:t xml:space="preserve"> submits that the ALJ has compounded his fundamental error of awarding Verizon refunds by failing to make a final determination as to the new rate going forward</w:t>
      </w:r>
      <w:r w:rsidR="00B634C6" w:rsidRPr="00A57018">
        <w:rPr>
          <w:sz w:val="26"/>
          <w:szCs w:val="26"/>
        </w:rPr>
        <w:t xml:space="preserve">, </w:t>
      </w:r>
      <w:r w:rsidR="00EA4251" w:rsidRPr="00A57018">
        <w:rPr>
          <w:sz w:val="26"/>
          <w:szCs w:val="26"/>
        </w:rPr>
        <w:t>but</w:t>
      </w:r>
      <w:r w:rsidR="00AB0C76" w:rsidRPr="00A57018">
        <w:rPr>
          <w:sz w:val="26"/>
          <w:szCs w:val="26"/>
        </w:rPr>
        <w:t xml:space="preserve"> </w:t>
      </w:r>
      <w:r w:rsidR="00B634C6" w:rsidRPr="00A57018">
        <w:rPr>
          <w:sz w:val="26"/>
          <w:szCs w:val="26"/>
        </w:rPr>
        <w:t>simply</w:t>
      </w:r>
      <w:r w:rsidR="00EA4251" w:rsidRPr="00A57018">
        <w:rPr>
          <w:sz w:val="26"/>
          <w:szCs w:val="26"/>
        </w:rPr>
        <w:t xml:space="preserve"> accepted and</w:t>
      </w:r>
      <w:r w:rsidR="00B634C6" w:rsidRPr="00A57018">
        <w:rPr>
          <w:sz w:val="26"/>
          <w:szCs w:val="26"/>
        </w:rPr>
        <w:t xml:space="preserve"> prorat</w:t>
      </w:r>
      <w:r w:rsidR="00EA4251" w:rsidRPr="00A57018">
        <w:rPr>
          <w:sz w:val="26"/>
          <w:szCs w:val="26"/>
        </w:rPr>
        <w:t>ed Verizon’s requested refund amount of</w:t>
      </w:r>
      <w:r w:rsidR="00B634C6" w:rsidRPr="00A57018">
        <w:rPr>
          <w:sz w:val="26"/>
          <w:szCs w:val="26"/>
        </w:rPr>
        <w:t xml:space="preserve"> </w:t>
      </w:r>
      <w:r w:rsidR="00B634C6" w:rsidRPr="00A57018">
        <w:rPr>
          <w:b/>
          <w:bCs/>
          <w:sz w:val="26"/>
          <w:szCs w:val="26"/>
        </w:rPr>
        <w:t>***BEGIN PROPRIETARY***</w:t>
      </w:r>
      <w:r w:rsidR="00B634C6" w:rsidRPr="00A57018">
        <w:rPr>
          <w:sz w:val="26"/>
          <w:szCs w:val="26"/>
        </w:rPr>
        <w:t xml:space="preserve"> </w:t>
      </w:r>
      <w:r w:rsidR="00B634C6" w:rsidRPr="00A57018">
        <w:rPr>
          <w:b/>
          <w:bCs/>
          <w:sz w:val="26"/>
          <w:szCs w:val="26"/>
        </w:rPr>
        <w:t>***END</w:t>
      </w:r>
      <w:r w:rsidR="00D94D92">
        <w:rPr>
          <w:b/>
          <w:bCs/>
          <w:sz w:val="26"/>
          <w:szCs w:val="26"/>
        </w:rPr>
        <w:t> </w:t>
      </w:r>
      <w:r w:rsidR="00B634C6" w:rsidRPr="00A57018">
        <w:rPr>
          <w:b/>
          <w:bCs/>
          <w:sz w:val="26"/>
          <w:szCs w:val="26"/>
        </w:rPr>
        <w:t>PROPRIETARY***</w:t>
      </w:r>
      <w:r w:rsidR="00B634C6" w:rsidRPr="00A57018">
        <w:rPr>
          <w:sz w:val="26"/>
          <w:szCs w:val="26"/>
        </w:rPr>
        <w:t>.</w:t>
      </w:r>
      <w:r w:rsidR="00AB0C76" w:rsidRPr="00A57018">
        <w:rPr>
          <w:sz w:val="26"/>
          <w:szCs w:val="26"/>
        </w:rPr>
        <w:t xml:space="preserve">  </w:t>
      </w:r>
      <w:r w:rsidR="00A90879" w:rsidRPr="00A57018">
        <w:rPr>
          <w:sz w:val="26"/>
          <w:szCs w:val="26"/>
        </w:rPr>
        <w:t xml:space="preserve">FirstEnergy Exc. at 34-36.  </w:t>
      </w:r>
    </w:p>
    <w:p w14:paraId="11EF1F52" w14:textId="1D914151" w:rsidR="00F737C1" w:rsidRPr="00A57018" w:rsidRDefault="00F737C1" w:rsidP="00A57018">
      <w:pPr>
        <w:widowControl/>
        <w:spacing w:line="360" w:lineRule="auto"/>
        <w:ind w:firstLine="1440"/>
        <w:rPr>
          <w:sz w:val="26"/>
          <w:szCs w:val="26"/>
        </w:rPr>
      </w:pPr>
    </w:p>
    <w:p w14:paraId="68838090" w14:textId="1E539051" w:rsidR="00F737C1" w:rsidRDefault="00F737C1" w:rsidP="00A57018">
      <w:pPr>
        <w:widowControl/>
        <w:spacing w:line="360" w:lineRule="auto"/>
        <w:ind w:firstLine="1440"/>
        <w:rPr>
          <w:sz w:val="26"/>
          <w:szCs w:val="26"/>
        </w:rPr>
      </w:pPr>
      <w:r w:rsidRPr="00A57018">
        <w:rPr>
          <w:sz w:val="26"/>
          <w:szCs w:val="26"/>
        </w:rPr>
        <w:t xml:space="preserve">FirstEnergy notes that Section 1312(a) of the Code states that “[t]he [C]ommission shall state in any refund order </w:t>
      </w:r>
      <w:r w:rsidRPr="00A57018">
        <w:rPr>
          <w:i/>
          <w:iCs/>
          <w:sz w:val="26"/>
          <w:szCs w:val="26"/>
        </w:rPr>
        <w:t>the exact amount to be paid</w:t>
      </w:r>
      <w:r w:rsidRPr="00A57018">
        <w:rPr>
          <w:sz w:val="26"/>
          <w:szCs w:val="26"/>
        </w:rPr>
        <w:t xml:space="preserve">, the reasonable time within which payment shall be made, and </w:t>
      </w:r>
      <w:r w:rsidRPr="00A57018">
        <w:rPr>
          <w:i/>
          <w:iCs/>
          <w:sz w:val="26"/>
          <w:szCs w:val="26"/>
        </w:rPr>
        <w:t>shall make findings upon pertinent questions of fact</w:t>
      </w:r>
      <w:r w:rsidRPr="00A57018">
        <w:rPr>
          <w:sz w:val="26"/>
          <w:szCs w:val="26"/>
        </w:rPr>
        <w:t xml:space="preserve">.”  FirstEnergy Exc. at 35 (citing 66 Pa. C.S. § 1312(a) (emphasis added)).  </w:t>
      </w:r>
      <w:r w:rsidR="0077677E" w:rsidRPr="00A57018">
        <w:rPr>
          <w:sz w:val="26"/>
          <w:szCs w:val="26"/>
        </w:rPr>
        <w:t>FirstEnergy argue</w:t>
      </w:r>
      <w:r w:rsidR="00AF7FB6" w:rsidRPr="00A57018">
        <w:rPr>
          <w:sz w:val="26"/>
          <w:szCs w:val="26"/>
        </w:rPr>
        <w:t>s</w:t>
      </w:r>
      <w:r w:rsidR="0077677E" w:rsidRPr="00A57018">
        <w:rPr>
          <w:sz w:val="26"/>
          <w:szCs w:val="26"/>
        </w:rPr>
        <w:t xml:space="preserve"> that the ALJ’s</w:t>
      </w:r>
      <w:r w:rsidR="00177185" w:rsidRPr="00A57018">
        <w:rPr>
          <w:sz w:val="26"/>
          <w:szCs w:val="26"/>
        </w:rPr>
        <w:t xml:space="preserve"> refund</w:t>
      </w:r>
      <w:r w:rsidR="0077677E" w:rsidRPr="00A57018">
        <w:rPr>
          <w:sz w:val="26"/>
          <w:szCs w:val="26"/>
        </w:rPr>
        <w:t xml:space="preserve"> recommendation fails to satisfy the requirements of Section 1312(a) in three ways: (1) </w:t>
      </w:r>
      <w:r w:rsidR="00A03952" w:rsidRPr="00A57018">
        <w:rPr>
          <w:sz w:val="26"/>
          <w:szCs w:val="26"/>
        </w:rPr>
        <w:t xml:space="preserve">through </w:t>
      </w:r>
      <w:r w:rsidR="00AF7FB6" w:rsidRPr="00A57018">
        <w:rPr>
          <w:sz w:val="26"/>
          <w:szCs w:val="26"/>
        </w:rPr>
        <w:t>the imposition of a 60-day compliance period to discuss the calculation of new telecom rates and overpayments</w:t>
      </w:r>
      <w:r w:rsidR="00A03952" w:rsidRPr="00A57018">
        <w:rPr>
          <w:sz w:val="26"/>
          <w:szCs w:val="26"/>
        </w:rPr>
        <w:t>, the ALJ failed</w:t>
      </w:r>
      <w:r w:rsidR="00187395" w:rsidRPr="00A57018">
        <w:rPr>
          <w:sz w:val="26"/>
          <w:szCs w:val="26"/>
        </w:rPr>
        <w:t xml:space="preserve"> to actually establish a new rate that Verizon must pay going forward; (2)</w:t>
      </w:r>
      <w:r w:rsidR="009716A5">
        <w:rPr>
          <w:sz w:val="26"/>
          <w:szCs w:val="26"/>
        </w:rPr>
        <w:t> </w:t>
      </w:r>
      <w:r w:rsidR="00346B35" w:rsidRPr="00A57018">
        <w:rPr>
          <w:sz w:val="26"/>
          <w:szCs w:val="26"/>
        </w:rPr>
        <w:t>because the ALJ focused solely on the rates paid by Verizon to attach to FirstEnergy’s poles</w:t>
      </w:r>
      <w:r w:rsidR="00CB4AEE" w:rsidRPr="00A57018">
        <w:rPr>
          <w:sz w:val="26"/>
          <w:szCs w:val="26"/>
        </w:rPr>
        <w:t>, overlooking the nature of a reciprocal rate</w:t>
      </w:r>
      <w:r w:rsidR="00346B35" w:rsidRPr="00A57018">
        <w:rPr>
          <w:sz w:val="26"/>
          <w:szCs w:val="26"/>
        </w:rPr>
        <w:t>, no refund amount can be calculated based upon the record in this proceeding</w:t>
      </w:r>
      <w:r w:rsidR="00CB4AEE" w:rsidRPr="00A57018">
        <w:rPr>
          <w:sz w:val="26"/>
          <w:szCs w:val="26"/>
        </w:rPr>
        <w:t xml:space="preserve">; and (3) </w:t>
      </w:r>
      <w:r w:rsidR="00EF2378" w:rsidRPr="00A57018">
        <w:rPr>
          <w:sz w:val="26"/>
          <w:szCs w:val="26"/>
        </w:rPr>
        <w:t xml:space="preserve">the inclusion of a 60-day compliance </w:t>
      </w:r>
      <w:r w:rsidR="00EF2378" w:rsidRPr="00A57018">
        <w:rPr>
          <w:sz w:val="26"/>
          <w:szCs w:val="26"/>
        </w:rPr>
        <w:lastRenderedPageBreak/>
        <w:t>period, throughout which FirstEnergy will continue to accrue interest on the refunds it may be ordered to pay</w:t>
      </w:r>
      <w:r w:rsidR="00481DB0" w:rsidRPr="00A57018">
        <w:rPr>
          <w:sz w:val="26"/>
          <w:szCs w:val="26"/>
        </w:rPr>
        <w:t>,</w:t>
      </w:r>
      <w:r w:rsidR="00481DB0" w:rsidRPr="00A57018">
        <w:rPr>
          <w:rStyle w:val="FootnoteReference"/>
          <w:sz w:val="26"/>
          <w:szCs w:val="26"/>
        </w:rPr>
        <w:footnoteReference w:id="38"/>
      </w:r>
      <w:r w:rsidR="00EF2378" w:rsidRPr="00A57018">
        <w:rPr>
          <w:sz w:val="26"/>
          <w:szCs w:val="26"/>
        </w:rPr>
        <w:t xml:space="preserve"> </w:t>
      </w:r>
      <w:r w:rsidR="00481DB0" w:rsidRPr="00A57018">
        <w:rPr>
          <w:sz w:val="26"/>
          <w:szCs w:val="26"/>
        </w:rPr>
        <w:t xml:space="preserve">produces an unreasonable result by allowing Verizon an additional opportunity and incentive to “stonewall” rate negotiations, and as a result, extract a greater refund amount than it would otherwise receive without the compliance period.  FirstEnergy Exc. at 35-36.  </w:t>
      </w:r>
    </w:p>
    <w:p w14:paraId="06D4373D" w14:textId="77777777" w:rsidR="00A0341E" w:rsidRPr="00A57018" w:rsidRDefault="00A0341E" w:rsidP="00A57018">
      <w:pPr>
        <w:widowControl/>
        <w:spacing w:line="360" w:lineRule="auto"/>
        <w:ind w:firstLine="1440"/>
        <w:rPr>
          <w:sz w:val="26"/>
          <w:szCs w:val="26"/>
        </w:rPr>
      </w:pPr>
    </w:p>
    <w:p w14:paraId="29C1B64A" w14:textId="69F3AF1D" w:rsidR="00585552" w:rsidRPr="00A57018" w:rsidRDefault="00A10499" w:rsidP="00A57018">
      <w:pPr>
        <w:widowControl/>
        <w:spacing w:line="360" w:lineRule="auto"/>
        <w:ind w:firstLine="1440"/>
        <w:rPr>
          <w:sz w:val="26"/>
          <w:szCs w:val="26"/>
        </w:rPr>
      </w:pPr>
      <w:r w:rsidRPr="00A57018">
        <w:rPr>
          <w:sz w:val="26"/>
          <w:szCs w:val="26"/>
        </w:rPr>
        <w:t xml:space="preserve">Contrary to FirstEnergy’s assertions, Verizon contends that, although the exact new telecom rate for a future year cannot yet be calculated, the ALJ set prospective new telecom rate as they must be set – by requiring compliance with the Commission’s cost-based new telecom rate formula.  Verizon R. Exc. at 23 (citing R.D. at 75-76 (Ordering Paragraph No. 5)).  As Verizon notes, FirstEnergy’s draft license agreement states that future rates will be determined using the “FCC annual rate formula” and FirstEnergy, in fact, charges many of Verizon’s competitors pole attachment rates that change each year as its pole costs change.  Verizon R. Exc. at 23 (citing </w:t>
      </w:r>
      <w:r w:rsidR="00AE7C0B" w:rsidRPr="00A57018">
        <w:rPr>
          <w:sz w:val="26"/>
          <w:szCs w:val="26"/>
        </w:rPr>
        <w:t xml:space="preserve">Verizon </w:t>
      </w:r>
      <w:r w:rsidR="005035A4" w:rsidRPr="00A57018">
        <w:rPr>
          <w:sz w:val="26"/>
          <w:szCs w:val="26"/>
        </w:rPr>
        <w:t>St. No.</w:t>
      </w:r>
      <w:r w:rsidR="009716A5">
        <w:rPr>
          <w:sz w:val="26"/>
          <w:szCs w:val="26"/>
        </w:rPr>
        <w:t> </w:t>
      </w:r>
      <w:r w:rsidR="005035A4" w:rsidRPr="00A57018">
        <w:rPr>
          <w:sz w:val="26"/>
          <w:szCs w:val="26"/>
        </w:rPr>
        <w:t xml:space="preserve">1, </w:t>
      </w:r>
      <w:r w:rsidR="00AE7C0B" w:rsidRPr="00A57018">
        <w:rPr>
          <w:sz w:val="26"/>
          <w:szCs w:val="26"/>
        </w:rPr>
        <w:t xml:space="preserve">Exh. SCM-3 at VZ00498 (FCC Exh. 13); Verizon Exh. MSC-20 (rates charged by FirstEnergy)).  </w:t>
      </w:r>
    </w:p>
    <w:p w14:paraId="434FFC15" w14:textId="6E869641" w:rsidR="003F0484" w:rsidRPr="00A57018" w:rsidRDefault="003F0484" w:rsidP="00A57018">
      <w:pPr>
        <w:widowControl/>
        <w:spacing w:line="360" w:lineRule="auto"/>
        <w:ind w:firstLine="1440"/>
        <w:rPr>
          <w:sz w:val="26"/>
          <w:szCs w:val="26"/>
        </w:rPr>
      </w:pPr>
    </w:p>
    <w:p w14:paraId="3C3F39A5" w14:textId="1C9B42EB" w:rsidR="003F0484" w:rsidRPr="00A57018" w:rsidRDefault="004F402F" w:rsidP="00A57018">
      <w:pPr>
        <w:widowControl/>
        <w:spacing w:line="360" w:lineRule="auto"/>
        <w:ind w:firstLine="1440"/>
        <w:rPr>
          <w:sz w:val="26"/>
          <w:szCs w:val="26"/>
        </w:rPr>
      </w:pPr>
      <w:r w:rsidRPr="00A57018">
        <w:rPr>
          <w:sz w:val="26"/>
          <w:szCs w:val="26"/>
        </w:rPr>
        <w:t>Furthermore, Verizon argues that the refund amount was calculated using properly calculated new telecom rates for both Verizon’s use of FirstEnergy’s poles and for FirstEnergy’s use of Verizon’s poles</w:t>
      </w:r>
      <w:r w:rsidR="00930351" w:rsidRPr="00A57018">
        <w:rPr>
          <w:sz w:val="26"/>
          <w:szCs w:val="26"/>
        </w:rPr>
        <w:t>; as such, FirstEnergy’s claim</w:t>
      </w:r>
      <w:r w:rsidR="009A5BF0" w:rsidRPr="00A57018">
        <w:rPr>
          <w:sz w:val="26"/>
          <w:szCs w:val="26"/>
        </w:rPr>
        <w:t xml:space="preserve"> that Verizon’s refund calculation does not consider modifying the rate FirstEnergy pays is</w:t>
      </w:r>
      <w:r w:rsidR="00930351" w:rsidRPr="00A57018">
        <w:rPr>
          <w:sz w:val="26"/>
          <w:szCs w:val="26"/>
        </w:rPr>
        <w:t xml:space="preserve"> unfounded</w:t>
      </w:r>
      <w:r w:rsidRPr="00A57018">
        <w:rPr>
          <w:sz w:val="26"/>
          <w:szCs w:val="26"/>
        </w:rPr>
        <w:t xml:space="preserve">.  Verizon R. Exc. at 22-23 (citing Verizon R.B. at 39-40).  </w:t>
      </w:r>
      <w:r w:rsidR="00542302" w:rsidRPr="00A57018">
        <w:rPr>
          <w:sz w:val="26"/>
          <w:szCs w:val="26"/>
        </w:rPr>
        <w:t xml:space="preserve">Verizon, however, adds that it agrees with FirstEnergy that the final order should expressly provide that the refund “will be calculated ‘together with interest at the legal rate.’”  Verizon R. Exc. at 23 (citing FirstEnergy Exc. at 36 (quoting 66 Pa. C.S. § 1312(a))).  </w:t>
      </w:r>
    </w:p>
    <w:p w14:paraId="1C07BD0E" w14:textId="6D1953B7" w:rsidR="005F1FC6" w:rsidRPr="00A57018" w:rsidRDefault="005F1FC6" w:rsidP="00A57018">
      <w:pPr>
        <w:widowControl/>
        <w:spacing w:line="360" w:lineRule="auto"/>
        <w:rPr>
          <w:sz w:val="26"/>
          <w:szCs w:val="26"/>
        </w:rPr>
      </w:pPr>
    </w:p>
    <w:p w14:paraId="7FAD8884" w14:textId="55576579" w:rsidR="005F1FC6" w:rsidRPr="00A57018" w:rsidRDefault="001828CB" w:rsidP="00A57018">
      <w:pPr>
        <w:widowControl/>
        <w:spacing w:line="360" w:lineRule="auto"/>
        <w:ind w:firstLine="1440"/>
        <w:rPr>
          <w:sz w:val="26"/>
          <w:szCs w:val="26"/>
        </w:rPr>
      </w:pPr>
      <w:r w:rsidRPr="00A57018">
        <w:rPr>
          <w:sz w:val="26"/>
          <w:szCs w:val="26"/>
        </w:rPr>
        <w:lastRenderedPageBreak/>
        <w:t>Verizon adds, in its</w:t>
      </w:r>
      <w:r w:rsidR="00196EFE" w:rsidRPr="00A57018">
        <w:rPr>
          <w:sz w:val="26"/>
          <w:szCs w:val="26"/>
        </w:rPr>
        <w:t xml:space="preserve"> first Exception, </w:t>
      </w:r>
      <w:r w:rsidRPr="00A57018">
        <w:rPr>
          <w:sz w:val="26"/>
          <w:szCs w:val="26"/>
        </w:rPr>
        <w:t>that not only sh</w:t>
      </w:r>
      <w:r w:rsidR="009275C4" w:rsidRPr="00A57018">
        <w:rPr>
          <w:sz w:val="26"/>
          <w:szCs w:val="26"/>
        </w:rPr>
        <w:t>ould the ALJ’s recommendation be corrected to award interest associated with the overpayment amount</w:t>
      </w:r>
      <w:r w:rsidR="00C67A83" w:rsidRPr="00A57018">
        <w:rPr>
          <w:sz w:val="26"/>
          <w:szCs w:val="26"/>
        </w:rPr>
        <w:t xml:space="preserve"> at the legal rate</w:t>
      </w:r>
      <w:r w:rsidR="009571AE" w:rsidRPr="00A57018">
        <w:rPr>
          <w:sz w:val="26"/>
          <w:szCs w:val="26"/>
        </w:rPr>
        <w:t xml:space="preserve"> of</w:t>
      </w:r>
      <w:r w:rsidR="00C67A83" w:rsidRPr="00A57018">
        <w:rPr>
          <w:sz w:val="26"/>
          <w:szCs w:val="26"/>
        </w:rPr>
        <w:t xml:space="preserve"> six percent</w:t>
      </w:r>
      <w:r w:rsidR="009275C4" w:rsidRPr="00A57018">
        <w:rPr>
          <w:sz w:val="26"/>
          <w:szCs w:val="26"/>
        </w:rPr>
        <w:t>, but the ALJ</w:t>
      </w:r>
      <w:r w:rsidR="0058153E" w:rsidRPr="00A57018">
        <w:rPr>
          <w:sz w:val="26"/>
          <w:szCs w:val="26"/>
        </w:rPr>
        <w:t xml:space="preserve"> incorrectly limited the</w:t>
      </w:r>
      <w:r w:rsidR="002826DD" w:rsidRPr="00A57018">
        <w:rPr>
          <w:sz w:val="26"/>
          <w:szCs w:val="26"/>
        </w:rPr>
        <w:t xml:space="preserve"> principal</w:t>
      </w:r>
      <w:r w:rsidR="0058153E" w:rsidRPr="00A57018">
        <w:rPr>
          <w:sz w:val="26"/>
          <w:szCs w:val="26"/>
        </w:rPr>
        <w:t xml:space="preserve"> refund </w:t>
      </w:r>
      <w:r w:rsidR="002826DD" w:rsidRPr="00A57018">
        <w:rPr>
          <w:sz w:val="26"/>
          <w:szCs w:val="26"/>
        </w:rPr>
        <w:t xml:space="preserve">amount </w:t>
      </w:r>
      <w:r w:rsidR="0058153E" w:rsidRPr="00A57018">
        <w:rPr>
          <w:sz w:val="26"/>
          <w:szCs w:val="26"/>
        </w:rPr>
        <w:t xml:space="preserve">to </w:t>
      </w:r>
      <w:r w:rsidR="0058153E" w:rsidRPr="00A57018">
        <w:rPr>
          <w:b/>
          <w:bCs/>
          <w:sz w:val="26"/>
          <w:szCs w:val="26"/>
        </w:rPr>
        <w:t>***BEGIN PROPRIETARY***</w:t>
      </w:r>
      <w:r w:rsidR="0058153E" w:rsidRPr="00A57018">
        <w:rPr>
          <w:sz w:val="26"/>
          <w:szCs w:val="26"/>
        </w:rPr>
        <w:t xml:space="preserve"> </w:t>
      </w:r>
      <w:r w:rsidR="0058153E" w:rsidRPr="00A57018">
        <w:rPr>
          <w:b/>
          <w:bCs/>
          <w:sz w:val="26"/>
          <w:szCs w:val="26"/>
        </w:rPr>
        <w:t>***END PROPRIETARY***</w:t>
      </w:r>
      <w:r w:rsidR="0058153E" w:rsidRPr="00A57018">
        <w:rPr>
          <w:sz w:val="26"/>
          <w:szCs w:val="26"/>
        </w:rPr>
        <w:t xml:space="preserve"> </w:t>
      </w:r>
      <w:r w:rsidR="00D94D92">
        <w:rPr>
          <w:sz w:val="26"/>
          <w:szCs w:val="26"/>
        </w:rPr>
        <w:t> </w:t>
      </w:r>
      <w:r w:rsidR="0058153E" w:rsidRPr="00A57018">
        <w:rPr>
          <w:sz w:val="26"/>
          <w:szCs w:val="26"/>
        </w:rPr>
        <w:t>in</w:t>
      </w:r>
      <w:r w:rsidR="00D94D92">
        <w:rPr>
          <w:sz w:val="26"/>
          <w:szCs w:val="26"/>
        </w:rPr>
        <w:t> </w:t>
      </w:r>
      <w:r w:rsidR="0058153E" w:rsidRPr="00A57018">
        <w:rPr>
          <w:sz w:val="26"/>
          <w:szCs w:val="26"/>
        </w:rPr>
        <w:t>lieu</w:t>
      </w:r>
      <w:r w:rsidR="00D94D92">
        <w:rPr>
          <w:sz w:val="26"/>
          <w:szCs w:val="26"/>
        </w:rPr>
        <w:t> </w:t>
      </w:r>
      <w:r w:rsidR="0058153E" w:rsidRPr="00A57018">
        <w:rPr>
          <w:sz w:val="26"/>
          <w:szCs w:val="26"/>
        </w:rPr>
        <w:t>of</w:t>
      </w:r>
      <w:r w:rsidR="00D94D92">
        <w:rPr>
          <w:sz w:val="26"/>
          <w:szCs w:val="26"/>
        </w:rPr>
        <w:t> </w:t>
      </w:r>
      <w:r w:rsidR="006A3541" w:rsidRPr="00A57018">
        <w:rPr>
          <w:sz w:val="26"/>
          <w:szCs w:val="26"/>
        </w:rPr>
        <w:t>Verizon’s</w:t>
      </w:r>
      <w:r w:rsidR="0058153E" w:rsidRPr="00A57018">
        <w:rPr>
          <w:sz w:val="26"/>
          <w:szCs w:val="26"/>
        </w:rPr>
        <w:t xml:space="preserve"> requested </w:t>
      </w:r>
      <w:r w:rsidR="0058153E" w:rsidRPr="00A57018">
        <w:rPr>
          <w:b/>
          <w:bCs/>
          <w:sz w:val="26"/>
          <w:szCs w:val="26"/>
        </w:rPr>
        <w:t>***BEGIN PROPRIETARY***</w:t>
      </w:r>
      <w:r w:rsidR="0058153E" w:rsidRPr="00A57018">
        <w:rPr>
          <w:sz w:val="26"/>
          <w:szCs w:val="26"/>
        </w:rPr>
        <w:t xml:space="preserve">   </w:t>
      </w:r>
      <w:r w:rsidR="0058153E" w:rsidRPr="00A57018">
        <w:rPr>
          <w:b/>
          <w:bCs/>
          <w:sz w:val="26"/>
          <w:szCs w:val="26"/>
        </w:rPr>
        <w:t>***END PROPRIETARY***</w:t>
      </w:r>
      <w:r w:rsidR="002826DD" w:rsidRPr="00A57018">
        <w:rPr>
          <w:sz w:val="26"/>
          <w:szCs w:val="26"/>
        </w:rPr>
        <w:t xml:space="preserve"> by neglecting to apply the applicable statute</w:t>
      </w:r>
      <w:r w:rsidR="00D94D92">
        <w:rPr>
          <w:sz w:val="26"/>
          <w:szCs w:val="26"/>
        </w:rPr>
        <w:t> </w:t>
      </w:r>
      <w:r w:rsidR="002826DD" w:rsidRPr="00A57018">
        <w:rPr>
          <w:sz w:val="26"/>
          <w:szCs w:val="26"/>
        </w:rPr>
        <w:t>of</w:t>
      </w:r>
      <w:r w:rsidR="00D94D92">
        <w:rPr>
          <w:sz w:val="26"/>
          <w:szCs w:val="26"/>
        </w:rPr>
        <w:t> </w:t>
      </w:r>
      <w:r w:rsidR="002826DD" w:rsidRPr="00A57018">
        <w:rPr>
          <w:sz w:val="26"/>
          <w:szCs w:val="26"/>
        </w:rPr>
        <w:t xml:space="preserve">limitations, which extends back to the effective date of the </w:t>
      </w:r>
      <w:r w:rsidR="002826DD" w:rsidRPr="00A57018">
        <w:rPr>
          <w:i/>
          <w:iCs/>
          <w:sz w:val="26"/>
          <w:szCs w:val="26"/>
        </w:rPr>
        <w:t>2011 Pole Attachment Order</w:t>
      </w:r>
      <w:r w:rsidR="002826DD" w:rsidRPr="00A57018">
        <w:rPr>
          <w:sz w:val="26"/>
          <w:szCs w:val="26"/>
        </w:rPr>
        <w:t>.</w:t>
      </w:r>
      <w:r w:rsidR="00590B44" w:rsidRPr="00A57018">
        <w:rPr>
          <w:sz w:val="26"/>
          <w:szCs w:val="26"/>
        </w:rPr>
        <w:t xml:space="preserve">  Verizon Exc. at 6-11.  </w:t>
      </w:r>
    </w:p>
    <w:p w14:paraId="3C69D816" w14:textId="43939FDB" w:rsidR="00196EFE" w:rsidRPr="00A57018" w:rsidRDefault="00196EFE" w:rsidP="00A57018">
      <w:pPr>
        <w:widowControl/>
        <w:spacing w:line="360" w:lineRule="auto"/>
        <w:rPr>
          <w:sz w:val="26"/>
          <w:szCs w:val="26"/>
        </w:rPr>
      </w:pPr>
    </w:p>
    <w:p w14:paraId="11686290" w14:textId="4491DEDA" w:rsidR="00196EFE" w:rsidRDefault="0038624D" w:rsidP="00A57018">
      <w:pPr>
        <w:widowControl/>
        <w:spacing w:line="360" w:lineRule="auto"/>
        <w:ind w:firstLine="1440"/>
        <w:rPr>
          <w:sz w:val="26"/>
          <w:szCs w:val="26"/>
        </w:rPr>
      </w:pPr>
      <w:r w:rsidRPr="00A57018">
        <w:rPr>
          <w:sz w:val="26"/>
          <w:szCs w:val="26"/>
        </w:rPr>
        <w:t>Verizon contends that the ALJ limited the refund period, recommending relief only as of March 11, 2019, instead of July 12, 2011, based on the following legal error.</w:t>
      </w:r>
    </w:p>
    <w:p w14:paraId="2B1F1994" w14:textId="77777777" w:rsidR="009716A5" w:rsidRPr="00A57018" w:rsidRDefault="009716A5" w:rsidP="009716A5">
      <w:pPr>
        <w:widowControl/>
        <w:ind w:firstLine="1440"/>
        <w:rPr>
          <w:sz w:val="26"/>
          <w:szCs w:val="26"/>
        </w:rPr>
      </w:pPr>
    </w:p>
    <w:p w14:paraId="6993D7B2" w14:textId="3C1F36C2" w:rsidR="002826DD" w:rsidRPr="00A57018" w:rsidRDefault="0038624D" w:rsidP="00A57018">
      <w:pPr>
        <w:widowControl/>
        <w:ind w:left="1440" w:right="1440"/>
        <w:rPr>
          <w:sz w:val="26"/>
          <w:szCs w:val="26"/>
        </w:rPr>
      </w:pPr>
      <w:r w:rsidRPr="00A57018">
        <w:rPr>
          <w:sz w:val="26"/>
          <w:szCs w:val="26"/>
        </w:rPr>
        <w:t xml:space="preserve">[I]t incorrectly reads the Commission’s [R]egulations to require FirstEnergy to charge Verizon competitively neutral pole attachment rates only beginning March 11, 2019.  But applicable law required those just and reasonable rates as of July 12, 2011.  The Commission’s [R]egulations incorporate “the full extent” of the rate requirements of 47 U.S.C. § 224, and the Commission has pledged to enforce that statute.  The Commission, the RD, Verizon, and FirstEnergy all agree that, as of mid-2011, “ILECs [we]er entitled to rates, terms and conditions that are ‘just and reasonable’ in accordance with section 224(b)(1).”  </w:t>
      </w:r>
    </w:p>
    <w:p w14:paraId="1484800E" w14:textId="3A3148D1" w:rsidR="00D903BE" w:rsidRPr="00A57018" w:rsidRDefault="00D903BE" w:rsidP="00A57018">
      <w:pPr>
        <w:widowControl/>
        <w:ind w:left="1440" w:right="1440"/>
        <w:rPr>
          <w:sz w:val="26"/>
          <w:szCs w:val="26"/>
        </w:rPr>
      </w:pPr>
    </w:p>
    <w:p w14:paraId="0FC34874" w14:textId="16CE7B1F" w:rsidR="00D903BE" w:rsidRPr="00A57018" w:rsidRDefault="00D903BE" w:rsidP="00A57018">
      <w:pPr>
        <w:widowControl/>
        <w:ind w:left="1440" w:right="1440" w:firstLine="720"/>
        <w:rPr>
          <w:sz w:val="26"/>
          <w:szCs w:val="26"/>
        </w:rPr>
      </w:pPr>
      <w:r w:rsidRPr="00A57018">
        <w:rPr>
          <w:sz w:val="26"/>
          <w:szCs w:val="26"/>
        </w:rPr>
        <w:t>The March 2019 date cited in the RD is the effective date of a subsequent regulation that sought to accelerate the realization of the just and reasonable rate mandated nearly eight years earlier by making a procedural change.</w:t>
      </w:r>
    </w:p>
    <w:p w14:paraId="0A560737" w14:textId="215F903D" w:rsidR="00715FA5" w:rsidRPr="00A57018" w:rsidRDefault="00715FA5" w:rsidP="00A57018">
      <w:pPr>
        <w:widowControl/>
        <w:ind w:left="1440" w:right="1440" w:firstLine="720"/>
        <w:rPr>
          <w:sz w:val="26"/>
          <w:szCs w:val="26"/>
        </w:rPr>
      </w:pPr>
    </w:p>
    <w:p w14:paraId="6A2D4408" w14:textId="4BF2723B" w:rsidR="00715FA5" w:rsidRPr="00A57018" w:rsidRDefault="00715FA5" w:rsidP="00A57018">
      <w:pPr>
        <w:widowControl/>
        <w:ind w:left="1440" w:right="1440"/>
        <w:jc w:val="center"/>
        <w:rPr>
          <w:sz w:val="26"/>
          <w:szCs w:val="26"/>
        </w:rPr>
      </w:pPr>
      <w:r w:rsidRPr="00A57018">
        <w:rPr>
          <w:sz w:val="26"/>
          <w:szCs w:val="26"/>
        </w:rPr>
        <w:t>*</w:t>
      </w:r>
      <w:r w:rsidR="007F53DC" w:rsidRPr="00A57018">
        <w:rPr>
          <w:sz w:val="26"/>
          <w:szCs w:val="26"/>
        </w:rPr>
        <w:t xml:space="preserve">  </w:t>
      </w:r>
      <w:r w:rsidRPr="00A57018">
        <w:rPr>
          <w:sz w:val="26"/>
          <w:szCs w:val="26"/>
        </w:rPr>
        <w:t xml:space="preserve"> * </w:t>
      </w:r>
      <w:r w:rsidR="007F53DC" w:rsidRPr="00A57018">
        <w:rPr>
          <w:sz w:val="26"/>
          <w:szCs w:val="26"/>
        </w:rPr>
        <w:t xml:space="preserve">  </w:t>
      </w:r>
      <w:r w:rsidRPr="00A57018">
        <w:rPr>
          <w:sz w:val="26"/>
          <w:szCs w:val="26"/>
        </w:rPr>
        <w:t>*</w:t>
      </w:r>
    </w:p>
    <w:p w14:paraId="0CA1A83E" w14:textId="77777777" w:rsidR="00715FA5" w:rsidRPr="00A57018" w:rsidRDefault="00715FA5" w:rsidP="00A57018">
      <w:pPr>
        <w:widowControl/>
        <w:ind w:left="1440" w:right="1440" w:firstLine="720"/>
        <w:rPr>
          <w:sz w:val="26"/>
          <w:szCs w:val="26"/>
        </w:rPr>
      </w:pPr>
    </w:p>
    <w:p w14:paraId="0D67C76B" w14:textId="162B57F1" w:rsidR="00715FA5" w:rsidRPr="00A57018" w:rsidRDefault="00715FA5" w:rsidP="00A57018">
      <w:pPr>
        <w:widowControl/>
        <w:ind w:left="1440" w:right="1440" w:firstLine="720"/>
        <w:rPr>
          <w:sz w:val="26"/>
          <w:szCs w:val="26"/>
        </w:rPr>
      </w:pPr>
      <w:r w:rsidRPr="00A57018">
        <w:rPr>
          <w:sz w:val="26"/>
          <w:szCs w:val="26"/>
        </w:rPr>
        <w:t xml:space="preserve">But the March 2019 regulation left the remedy in place for prior unlawful conduct: refunds “will normally be the difference between the amount paid under the unjust and/or unreasonable rate ... and the amount that would have been </w:t>
      </w:r>
      <w:r w:rsidRPr="00A57018">
        <w:rPr>
          <w:sz w:val="26"/>
          <w:szCs w:val="26"/>
        </w:rPr>
        <w:lastRenderedPageBreak/>
        <w:t xml:space="preserve">paid under the rate ... established by the Commission, plus interest, </w:t>
      </w:r>
      <w:r w:rsidRPr="00A57018">
        <w:rPr>
          <w:i/>
          <w:iCs/>
          <w:sz w:val="26"/>
          <w:szCs w:val="26"/>
        </w:rPr>
        <w:t>consistent with the applicable statute of limitations.</w:t>
      </w:r>
      <w:r w:rsidRPr="00A57018">
        <w:rPr>
          <w:sz w:val="26"/>
          <w:szCs w:val="26"/>
        </w:rPr>
        <w:t>”</w:t>
      </w:r>
    </w:p>
    <w:p w14:paraId="4FD1A29D" w14:textId="30DD317A" w:rsidR="002826DD" w:rsidRPr="00A57018" w:rsidRDefault="002826DD" w:rsidP="00AA6601">
      <w:pPr>
        <w:widowControl/>
        <w:spacing w:line="360" w:lineRule="auto"/>
        <w:rPr>
          <w:sz w:val="26"/>
          <w:szCs w:val="26"/>
        </w:rPr>
      </w:pPr>
    </w:p>
    <w:p w14:paraId="30BFD83C" w14:textId="2F41C7ED" w:rsidR="0038624D" w:rsidRPr="00A57018" w:rsidRDefault="0038624D" w:rsidP="00AA6601">
      <w:pPr>
        <w:widowControl/>
        <w:spacing w:line="360" w:lineRule="auto"/>
        <w:rPr>
          <w:sz w:val="26"/>
          <w:szCs w:val="26"/>
        </w:rPr>
      </w:pPr>
      <w:r w:rsidRPr="00A57018">
        <w:rPr>
          <w:sz w:val="26"/>
          <w:szCs w:val="26"/>
        </w:rPr>
        <w:t xml:space="preserve">Verizon Exc. at </w:t>
      </w:r>
      <w:r w:rsidR="002854BE" w:rsidRPr="00A57018">
        <w:rPr>
          <w:sz w:val="26"/>
          <w:szCs w:val="26"/>
        </w:rPr>
        <w:t xml:space="preserve">7 (citations omitted).  </w:t>
      </w:r>
    </w:p>
    <w:p w14:paraId="099F94EF" w14:textId="4A215364" w:rsidR="002854BE" w:rsidRPr="00A57018" w:rsidRDefault="002854BE" w:rsidP="00AA6601">
      <w:pPr>
        <w:widowControl/>
        <w:spacing w:line="360" w:lineRule="auto"/>
        <w:rPr>
          <w:sz w:val="26"/>
          <w:szCs w:val="26"/>
        </w:rPr>
      </w:pPr>
    </w:p>
    <w:p w14:paraId="7B88F080" w14:textId="64D523B3" w:rsidR="002854BE" w:rsidRPr="00A57018" w:rsidRDefault="00C070CC" w:rsidP="00AA6601">
      <w:pPr>
        <w:widowControl/>
        <w:spacing w:line="360" w:lineRule="auto"/>
        <w:ind w:firstLine="1440"/>
        <w:rPr>
          <w:sz w:val="26"/>
          <w:szCs w:val="26"/>
        </w:rPr>
      </w:pPr>
      <w:r w:rsidRPr="00A57018">
        <w:rPr>
          <w:sz w:val="26"/>
          <w:szCs w:val="26"/>
        </w:rPr>
        <w:t>Verizon argues that the JUAs are within Pennsylvania’s continuing contract doctrine an</w:t>
      </w:r>
      <w:r w:rsidR="00BB262D" w:rsidRPr="00A57018">
        <w:rPr>
          <w:sz w:val="26"/>
          <w:szCs w:val="26"/>
        </w:rPr>
        <w:t xml:space="preserve">d, as such, </w:t>
      </w:r>
      <w:r w:rsidRPr="00A57018">
        <w:rPr>
          <w:sz w:val="26"/>
          <w:szCs w:val="26"/>
        </w:rPr>
        <w:t>damages are available for all time periods covered by the JUAs, plus a four-year period following their termination.  Therefore, the continuing contract doctrine extends the refund period under the applicable statute of limitations back to July</w:t>
      </w:r>
      <w:r w:rsidR="009716A5">
        <w:rPr>
          <w:sz w:val="26"/>
          <w:szCs w:val="26"/>
        </w:rPr>
        <w:t> </w:t>
      </w:r>
      <w:r w:rsidRPr="00A57018">
        <w:rPr>
          <w:sz w:val="26"/>
          <w:szCs w:val="26"/>
        </w:rPr>
        <w:t xml:space="preserve">12, 2011 because the Parties’ contracts govern today because they are continuing contracts.  Furthermore, Verizon adds that the FCC previously found Verizon “entitled to a refund of overpayments made” under an unjust and unreasonable pole attachment provision “dating back as far as the July 12, 2011 effective date” of the </w:t>
      </w:r>
      <w:r w:rsidRPr="00A57018">
        <w:rPr>
          <w:i/>
          <w:iCs/>
          <w:sz w:val="26"/>
          <w:szCs w:val="26"/>
        </w:rPr>
        <w:t xml:space="preserve">2011 Pole </w:t>
      </w:r>
      <w:r w:rsidR="00196848">
        <w:rPr>
          <w:i/>
          <w:iCs/>
          <w:sz w:val="26"/>
          <w:szCs w:val="26"/>
        </w:rPr>
        <w:t>A</w:t>
      </w:r>
      <w:r w:rsidRPr="00A57018">
        <w:rPr>
          <w:i/>
          <w:iCs/>
          <w:sz w:val="26"/>
          <w:szCs w:val="26"/>
        </w:rPr>
        <w:t>ttachment Order</w:t>
      </w:r>
      <w:r w:rsidRPr="00A57018">
        <w:rPr>
          <w:sz w:val="26"/>
          <w:szCs w:val="26"/>
        </w:rPr>
        <w:t>, and since the Commission already decided that Verizon can be “in no worse position</w:t>
      </w:r>
      <w:r w:rsidR="00F35128" w:rsidRPr="00A57018">
        <w:rPr>
          <w:sz w:val="26"/>
          <w:szCs w:val="26"/>
        </w:rPr>
        <w:t xml:space="preserve">…than if the Commission did not assume jurisdiction,” Pennsylvanians deserve the same remedy.  Verizon Exc. at 8-9 (citing </w:t>
      </w:r>
      <w:r w:rsidR="00F35128" w:rsidRPr="00A57018">
        <w:rPr>
          <w:i/>
          <w:iCs/>
          <w:sz w:val="26"/>
          <w:szCs w:val="26"/>
        </w:rPr>
        <w:t>Dominion Order</w:t>
      </w:r>
      <w:r w:rsidR="00F35128" w:rsidRPr="00A57018">
        <w:rPr>
          <w:sz w:val="26"/>
          <w:szCs w:val="26"/>
        </w:rPr>
        <w:t>, 32 FCC Rcd at</w:t>
      </w:r>
      <w:r w:rsidR="009716A5">
        <w:rPr>
          <w:sz w:val="26"/>
          <w:szCs w:val="26"/>
        </w:rPr>
        <w:t> </w:t>
      </w:r>
      <w:r w:rsidR="00F35128" w:rsidRPr="00A57018">
        <w:rPr>
          <w:sz w:val="26"/>
          <w:szCs w:val="26"/>
        </w:rPr>
        <w:t xml:space="preserve">3761-64; </w:t>
      </w:r>
      <w:r w:rsidR="00F35128" w:rsidRPr="00A57018">
        <w:rPr>
          <w:i/>
          <w:iCs/>
          <w:sz w:val="26"/>
          <w:szCs w:val="26"/>
        </w:rPr>
        <w:t>2019 Final Rulemaking Order</w:t>
      </w:r>
      <w:r w:rsidR="00F35128" w:rsidRPr="00A57018">
        <w:rPr>
          <w:sz w:val="26"/>
          <w:szCs w:val="26"/>
        </w:rPr>
        <w:t xml:space="preserve"> at 25).  </w:t>
      </w:r>
    </w:p>
    <w:p w14:paraId="305F6847" w14:textId="57302869" w:rsidR="00F35128" w:rsidRPr="00A57018" w:rsidRDefault="00F35128" w:rsidP="00A57018">
      <w:pPr>
        <w:widowControl/>
        <w:spacing w:line="360" w:lineRule="auto"/>
        <w:ind w:firstLine="1440"/>
        <w:rPr>
          <w:sz w:val="26"/>
          <w:szCs w:val="26"/>
        </w:rPr>
      </w:pPr>
    </w:p>
    <w:p w14:paraId="6D8B1BF5" w14:textId="14DCC60D" w:rsidR="00F35128" w:rsidRPr="00A57018" w:rsidRDefault="00CC5745" w:rsidP="00A57018">
      <w:pPr>
        <w:widowControl/>
        <w:spacing w:line="360" w:lineRule="auto"/>
        <w:ind w:firstLine="1440"/>
        <w:rPr>
          <w:sz w:val="26"/>
          <w:szCs w:val="26"/>
        </w:rPr>
      </w:pPr>
      <w:r w:rsidRPr="00A57018">
        <w:rPr>
          <w:sz w:val="26"/>
          <w:szCs w:val="26"/>
        </w:rPr>
        <w:t>Although Verizon maintains its position that all time periods since the July</w:t>
      </w:r>
      <w:r w:rsidR="009716A5">
        <w:rPr>
          <w:sz w:val="26"/>
          <w:szCs w:val="26"/>
        </w:rPr>
        <w:t> </w:t>
      </w:r>
      <w:r w:rsidRPr="00A57018">
        <w:rPr>
          <w:sz w:val="26"/>
          <w:szCs w:val="26"/>
        </w:rPr>
        <w:t>12, 2011</w:t>
      </w:r>
      <w:r w:rsidR="00DF7C51" w:rsidRPr="00A57018">
        <w:rPr>
          <w:sz w:val="26"/>
          <w:szCs w:val="26"/>
        </w:rPr>
        <w:t>,</w:t>
      </w:r>
      <w:r w:rsidRPr="00A57018">
        <w:rPr>
          <w:sz w:val="26"/>
          <w:szCs w:val="26"/>
        </w:rPr>
        <w:t xml:space="preserve"> effective date of the </w:t>
      </w:r>
      <w:r w:rsidRPr="00A57018">
        <w:rPr>
          <w:i/>
          <w:iCs/>
          <w:sz w:val="26"/>
          <w:szCs w:val="26"/>
        </w:rPr>
        <w:t>2011 Pole Attachment Order</w:t>
      </w:r>
      <w:r w:rsidRPr="00A57018">
        <w:rPr>
          <w:sz w:val="26"/>
          <w:szCs w:val="26"/>
        </w:rPr>
        <w:t xml:space="preserve"> are covered by the applicable statute of limitations in this case, Verizon acknowledges the ALJ’s reliance on Section 1312(a) of the Code, which establishes a four</w:t>
      </w:r>
      <w:r w:rsidR="00DF7C51" w:rsidRPr="00A57018">
        <w:rPr>
          <w:sz w:val="26"/>
          <w:szCs w:val="26"/>
        </w:rPr>
        <w:t>-</w:t>
      </w:r>
      <w:r w:rsidRPr="00A57018">
        <w:rPr>
          <w:sz w:val="26"/>
          <w:szCs w:val="26"/>
        </w:rPr>
        <w:t>year statute of limitations that terminates a party’s right to seek refunds beyond four years prior to the date of the filing of a complaint.  Therefore, Verizon contends that at a minimum, the Recommended Decision should be revised for internal consistency to require a four-year refund period</w:t>
      </w:r>
      <w:r w:rsidR="00084B93" w:rsidRPr="00A57018">
        <w:rPr>
          <w:sz w:val="26"/>
          <w:szCs w:val="26"/>
        </w:rPr>
        <w:t xml:space="preserve"> back to November 2015 instead of cutting them off </w:t>
      </w:r>
      <w:proofErr w:type="gramStart"/>
      <w:r w:rsidR="00084B93" w:rsidRPr="00A57018">
        <w:rPr>
          <w:sz w:val="26"/>
          <w:szCs w:val="26"/>
        </w:rPr>
        <w:t>at</w:t>
      </w:r>
      <w:proofErr w:type="gramEnd"/>
      <w:r w:rsidR="00084B93" w:rsidRPr="00A57018">
        <w:rPr>
          <w:sz w:val="26"/>
          <w:szCs w:val="26"/>
        </w:rPr>
        <w:t xml:space="preserve"> March 11, 2019</w:t>
      </w:r>
      <w:r w:rsidRPr="00A57018">
        <w:rPr>
          <w:sz w:val="26"/>
          <w:szCs w:val="26"/>
        </w:rPr>
        <w:t xml:space="preserve">, under which </w:t>
      </w:r>
      <w:r w:rsidRPr="00A57018">
        <w:rPr>
          <w:sz w:val="26"/>
          <w:szCs w:val="26"/>
        </w:rPr>
        <w:lastRenderedPageBreak/>
        <w:t xml:space="preserve">FirstEnergy would refund </w:t>
      </w:r>
      <w:bookmarkStart w:id="63" w:name="_Hlk56168320"/>
      <w:r w:rsidR="000E596B" w:rsidRPr="00A57018">
        <w:rPr>
          <w:b/>
          <w:bCs/>
          <w:sz w:val="26"/>
          <w:szCs w:val="26"/>
        </w:rPr>
        <w:t>***BEGIN PROPRIETARY***</w:t>
      </w:r>
      <w:bookmarkEnd w:id="63"/>
      <w:r w:rsidR="000E596B" w:rsidRPr="00A57018">
        <w:rPr>
          <w:sz w:val="26"/>
          <w:szCs w:val="26"/>
        </w:rPr>
        <w:t xml:space="preserve"> </w:t>
      </w:r>
      <w:bookmarkStart w:id="64" w:name="_Hlk56168384"/>
      <w:r w:rsidR="000E596B" w:rsidRPr="00A57018">
        <w:rPr>
          <w:b/>
          <w:bCs/>
          <w:sz w:val="26"/>
          <w:szCs w:val="26"/>
        </w:rPr>
        <w:t>***END PROPRIETARY***</w:t>
      </w:r>
      <w:bookmarkEnd w:id="64"/>
      <w:r w:rsidR="00DF7C51" w:rsidRPr="00A57018">
        <w:rPr>
          <w:rStyle w:val="FootnoteReference"/>
          <w:sz w:val="26"/>
          <w:szCs w:val="26"/>
        </w:rPr>
        <w:footnoteReference w:id="39"/>
      </w:r>
      <w:r w:rsidRPr="00A57018">
        <w:rPr>
          <w:sz w:val="26"/>
          <w:szCs w:val="26"/>
        </w:rPr>
        <w:t xml:space="preserve"> Verizon Exc. at </w:t>
      </w:r>
      <w:r w:rsidR="00084B93" w:rsidRPr="00A57018">
        <w:rPr>
          <w:sz w:val="26"/>
          <w:szCs w:val="26"/>
        </w:rPr>
        <w:t xml:space="preserve">9-10.  </w:t>
      </w:r>
    </w:p>
    <w:p w14:paraId="2C3370E9" w14:textId="697B508A" w:rsidR="002826DD" w:rsidRPr="00A57018" w:rsidRDefault="002826DD" w:rsidP="00A57018">
      <w:pPr>
        <w:widowControl/>
        <w:spacing w:line="360" w:lineRule="auto"/>
        <w:rPr>
          <w:sz w:val="26"/>
          <w:szCs w:val="26"/>
        </w:rPr>
      </w:pPr>
    </w:p>
    <w:p w14:paraId="33C730E3" w14:textId="1541527B" w:rsidR="008675B3" w:rsidRPr="00A57018" w:rsidRDefault="006327D8" w:rsidP="00A57018">
      <w:pPr>
        <w:widowControl/>
        <w:spacing w:line="360" w:lineRule="auto"/>
        <w:ind w:firstLine="1440"/>
        <w:rPr>
          <w:sz w:val="26"/>
          <w:szCs w:val="26"/>
        </w:rPr>
      </w:pPr>
      <w:r w:rsidRPr="00A57018">
        <w:rPr>
          <w:sz w:val="26"/>
          <w:szCs w:val="26"/>
        </w:rPr>
        <w:t>In response, FirstEnergy maintains that</w:t>
      </w:r>
      <w:r w:rsidR="008675B3" w:rsidRPr="00A57018">
        <w:rPr>
          <w:sz w:val="26"/>
          <w:szCs w:val="26"/>
        </w:rPr>
        <w:t xml:space="preserve"> Verizon’s claim that the Commission should award refunds reaching back</w:t>
      </w:r>
      <w:r w:rsidRPr="00A57018">
        <w:rPr>
          <w:sz w:val="26"/>
          <w:szCs w:val="26"/>
        </w:rPr>
        <w:t xml:space="preserve"> </w:t>
      </w:r>
      <w:r w:rsidR="008675B3" w:rsidRPr="00A57018">
        <w:rPr>
          <w:sz w:val="26"/>
          <w:szCs w:val="26"/>
        </w:rPr>
        <w:t>to July 2011 is completely contrary to the Code</w:t>
      </w:r>
      <w:r w:rsidR="00E8413F" w:rsidRPr="00A57018">
        <w:rPr>
          <w:sz w:val="26"/>
          <w:szCs w:val="26"/>
        </w:rPr>
        <w:t>.  FirstEnergy R. Exc. at 9-10 (citing 66 Pa. C.S. §§ 508, 1312(a)).</w:t>
      </w:r>
      <w:r w:rsidRPr="00A57018">
        <w:rPr>
          <w:sz w:val="26"/>
          <w:szCs w:val="26"/>
        </w:rPr>
        <w:t xml:space="preserve">  </w:t>
      </w:r>
      <w:r w:rsidR="009C0F55" w:rsidRPr="00A57018">
        <w:rPr>
          <w:sz w:val="26"/>
          <w:szCs w:val="26"/>
        </w:rPr>
        <w:t>FirstEnergy argues that the general contract principles that Verizon asserts apply and govern the Commission’s calculations of refunds in this case, conflict with</w:t>
      </w:r>
      <w:r w:rsidR="000A1C76" w:rsidRPr="00A57018">
        <w:rPr>
          <w:sz w:val="26"/>
          <w:szCs w:val="26"/>
        </w:rPr>
        <w:t xml:space="preserve"> Section 508 of the Code, under which changes to contracts can only be applied prospectively.</w:t>
      </w:r>
      <w:r w:rsidR="00B621CB" w:rsidRPr="00A57018">
        <w:rPr>
          <w:rStyle w:val="FootnoteReference"/>
          <w:sz w:val="26"/>
          <w:szCs w:val="26"/>
        </w:rPr>
        <w:footnoteReference w:id="40"/>
      </w:r>
      <w:r w:rsidR="000A1C76" w:rsidRPr="00A57018">
        <w:rPr>
          <w:sz w:val="26"/>
          <w:szCs w:val="26"/>
        </w:rPr>
        <w:t xml:space="preserve">  </w:t>
      </w:r>
      <w:r w:rsidR="00F2624E" w:rsidRPr="00A57018">
        <w:rPr>
          <w:sz w:val="26"/>
          <w:szCs w:val="26"/>
        </w:rPr>
        <w:t xml:space="preserve">Moreover, FirstEnergy asserts that, a “general contract” is not at issue here, but rather, what is at issue is a contract under which a public utility charges a “rate” for a “service” which affects the public interest.  FirstEnergy R. Exc. at 10.  </w:t>
      </w:r>
    </w:p>
    <w:p w14:paraId="7EDF8C63" w14:textId="61199BD6" w:rsidR="00AE6128" w:rsidRPr="00A57018" w:rsidRDefault="00AE6128" w:rsidP="00A57018">
      <w:pPr>
        <w:widowControl/>
        <w:spacing w:line="360" w:lineRule="auto"/>
        <w:ind w:firstLine="1440"/>
        <w:rPr>
          <w:sz w:val="26"/>
          <w:szCs w:val="26"/>
        </w:rPr>
      </w:pPr>
    </w:p>
    <w:p w14:paraId="2E7C53E9" w14:textId="597D5555" w:rsidR="00AE6128" w:rsidRPr="00A57018" w:rsidRDefault="00AE6128" w:rsidP="00A57018">
      <w:pPr>
        <w:widowControl/>
        <w:spacing w:line="360" w:lineRule="auto"/>
        <w:ind w:firstLine="1440"/>
        <w:rPr>
          <w:sz w:val="26"/>
          <w:szCs w:val="26"/>
        </w:rPr>
      </w:pPr>
      <w:r w:rsidRPr="00A57018">
        <w:rPr>
          <w:sz w:val="26"/>
          <w:szCs w:val="26"/>
        </w:rPr>
        <w:t xml:space="preserve">FirstEnergy renews its argument that </w:t>
      </w:r>
      <w:r w:rsidR="003A5AC0" w:rsidRPr="00A57018">
        <w:rPr>
          <w:sz w:val="26"/>
          <w:szCs w:val="26"/>
        </w:rPr>
        <w:t xml:space="preserve">the FCC has never held that an ILEC is entitled to the new telecom rate under an existing joint use agreement, such as the JUAs at issue here.  </w:t>
      </w:r>
      <w:r w:rsidR="00F16A9F" w:rsidRPr="00A57018">
        <w:rPr>
          <w:sz w:val="26"/>
          <w:szCs w:val="26"/>
        </w:rPr>
        <w:t xml:space="preserve">FirstEnergy reiterates its interpretation of the principle of “competitive neutrality” in the context of this proceeding, and </w:t>
      </w:r>
      <w:r w:rsidR="00633635" w:rsidRPr="00A57018">
        <w:rPr>
          <w:sz w:val="26"/>
          <w:szCs w:val="26"/>
        </w:rPr>
        <w:t>contends</w:t>
      </w:r>
      <w:r w:rsidR="00F16A9F" w:rsidRPr="00A57018">
        <w:rPr>
          <w:sz w:val="26"/>
          <w:szCs w:val="26"/>
        </w:rPr>
        <w:t xml:space="preserve"> that Verizon’s assertion that an award of refunds is necessary to “remove the incentive for similarly </w:t>
      </w:r>
      <w:r w:rsidR="00F16A9F" w:rsidRPr="00A57018">
        <w:rPr>
          <w:sz w:val="26"/>
          <w:szCs w:val="26"/>
        </w:rPr>
        <w:lastRenderedPageBreak/>
        <w:t>situated protracted and costly disputes will encourage the industry to comply with the Commission’s regulations” does not demonstrate that refunds should be awarded</w:t>
      </w:r>
      <w:r w:rsidR="00132357" w:rsidRPr="00A57018">
        <w:rPr>
          <w:sz w:val="26"/>
          <w:szCs w:val="26"/>
        </w:rPr>
        <w:t xml:space="preserve"> in this proceeding</w:t>
      </w:r>
      <w:r w:rsidR="00F16A9F" w:rsidRPr="00A57018">
        <w:rPr>
          <w:sz w:val="26"/>
          <w:szCs w:val="26"/>
        </w:rPr>
        <w:t>, since</w:t>
      </w:r>
      <w:r w:rsidR="00132357" w:rsidRPr="00A57018">
        <w:rPr>
          <w:sz w:val="26"/>
          <w:szCs w:val="26"/>
        </w:rPr>
        <w:t xml:space="preserve">, as </w:t>
      </w:r>
      <w:r w:rsidR="0055200C" w:rsidRPr="00A57018">
        <w:rPr>
          <w:sz w:val="26"/>
          <w:szCs w:val="26"/>
        </w:rPr>
        <w:t>FirstEnergy claims</w:t>
      </w:r>
      <w:r w:rsidR="00132357" w:rsidRPr="00A57018">
        <w:rPr>
          <w:sz w:val="26"/>
          <w:szCs w:val="26"/>
        </w:rPr>
        <w:t>, Verizon attaches to FirstEnergy’s poles under terms and conditions that are not materially comparable to the terms and conditions in FirstEnergy’s license agreements.</w:t>
      </w:r>
      <w:r w:rsidR="00C66421" w:rsidRPr="00A57018">
        <w:rPr>
          <w:sz w:val="26"/>
          <w:szCs w:val="26"/>
        </w:rPr>
        <w:t xml:space="preserve">  FirstEnergy R. Exc. at 7-8.  </w:t>
      </w:r>
    </w:p>
    <w:p w14:paraId="75861C67" w14:textId="3E6DACF1" w:rsidR="008675B3" w:rsidRPr="00A57018" w:rsidRDefault="008675B3" w:rsidP="00A57018">
      <w:pPr>
        <w:widowControl/>
        <w:spacing w:line="360" w:lineRule="auto"/>
        <w:rPr>
          <w:sz w:val="26"/>
          <w:szCs w:val="26"/>
        </w:rPr>
      </w:pPr>
    </w:p>
    <w:p w14:paraId="0132E079" w14:textId="2A5700A9" w:rsidR="003A5AC0" w:rsidRPr="00A57018" w:rsidRDefault="00A82C69" w:rsidP="00A57018">
      <w:pPr>
        <w:widowControl/>
        <w:spacing w:line="360" w:lineRule="auto"/>
        <w:ind w:firstLine="1440"/>
        <w:rPr>
          <w:sz w:val="26"/>
          <w:szCs w:val="26"/>
        </w:rPr>
      </w:pPr>
      <w:r w:rsidRPr="00A57018">
        <w:rPr>
          <w:sz w:val="26"/>
          <w:szCs w:val="26"/>
        </w:rPr>
        <w:t>FirstEnerg</w:t>
      </w:r>
      <w:r w:rsidR="000C72D0" w:rsidRPr="00A57018">
        <w:rPr>
          <w:sz w:val="26"/>
          <w:szCs w:val="26"/>
        </w:rPr>
        <w:t>y’s Reply Exceptions</w:t>
      </w:r>
      <w:r w:rsidRPr="00A57018">
        <w:rPr>
          <w:sz w:val="26"/>
          <w:szCs w:val="26"/>
        </w:rPr>
        <w:t xml:space="preserve"> further maintain that the Commission should not award rate relief because Verizon did not make a good faith effort to resolve</w:t>
      </w:r>
      <w:r w:rsidR="000C72D0" w:rsidRPr="00A57018">
        <w:rPr>
          <w:sz w:val="26"/>
          <w:szCs w:val="26"/>
        </w:rPr>
        <w:t xml:space="preserve"> </w:t>
      </w:r>
      <w:r w:rsidRPr="00A57018">
        <w:rPr>
          <w:sz w:val="26"/>
          <w:szCs w:val="26"/>
        </w:rPr>
        <w:t>this dispute prior to seeking relief from the Commission</w:t>
      </w:r>
      <w:r w:rsidR="000C72D0" w:rsidRPr="00A57018">
        <w:rPr>
          <w:sz w:val="26"/>
          <w:szCs w:val="26"/>
        </w:rPr>
        <w:t>, and therefore, FirstEnergy should not be penalized for Verizon’s delay filing a complaint.</w:t>
      </w:r>
      <w:r w:rsidR="00F5241A" w:rsidRPr="00A57018">
        <w:rPr>
          <w:sz w:val="26"/>
          <w:szCs w:val="26"/>
        </w:rPr>
        <w:t xml:space="preserve">  FirstEnergy R. Exc. at</w:t>
      </w:r>
      <w:r w:rsidR="00765B4D" w:rsidRPr="00A57018">
        <w:rPr>
          <w:sz w:val="26"/>
          <w:szCs w:val="26"/>
        </w:rPr>
        <w:t> </w:t>
      </w:r>
      <w:r w:rsidR="00F5241A" w:rsidRPr="00A57018">
        <w:rPr>
          <w:sz w:val="26"/>
          <w:szCs w:val="26"/>
        </w:rPr>
        <w:t>8</w:t>
      </w:r>
      <w:r w:rsidR="00765B4D" w:rsidRPr="00A57018">
        <w:rPr>
          <w:sz w:val="26"/>
          <w:szCs w:val="26"/>
        </w:rPr>
        <w:noBreakHyphen/>
      </w:r>
      <w:r w:rsidR="00F5241A" w:rsidRPr="00A57018">
        <w:rPr>
          <w:sz w:val="26"/>
          <w:szCs w:val="26"/>
        </w:rPr>
        <w:t xml:space="preserve">9.  </w:t>
      </w:r>
    </w:p>
    <w:p w14:paraId="5D74286B" w14:textId="4C3F78DF" w:rsidR="0075232D" w:rsidRPr="00A57018" w:rsidRDefault="0075232D" w:rsidP="00A57018">
      <w:pPr>
        <w:widowControl/>
        <w:spacing w:line="360" w:lineRule="auto"/>
        <w:rPr>
          <w:sz w:val="26"/>
          <w:szCs w:val="26"/>
        </w:rPr>
      </w:pPr>
    </w:p>
    <w:p w14:paraId="3A0CE159" w14:textId="6821BA05" w:rsidR="0075232D" w:rsidRPr="00A57018" w:rsidRDefault="0075232D" w:rsidP="00A57018">
      <w:pPr>
        <w:widowControl/>
        <w:spacing w:line="360" w:lineRule="auto"/>
        <w:ind w:firstLine="1440"/>
        <w:rPr>
          <w:sz w:val="26"/>
          <w:szCs w:val="26"/>
        </w:rPr>
      </w:pPr>
      <w:r w:rsidRPr="00A57018">
        <w:rPr>
          <w:sz w:val="26"/>
          <w:szCs w:val="26"/>
        </w:rPr>
        <w:t xml:space="preserve">Lastly, FirstEnergy argues that Verizon’s claim that “[a] full and complete award is critical to achieve the Commission’s objectives” is meritless because the rate relief that Verizon seeks will only benefit the Commission’s objectives to accelerate and expand broadband </w:t>
      </w:r>
      <w:proofErr w:type="gramStart"/>
      <w:r w:rsidRPr="00A57018">
        <w:rPr>
          <w:sz w:val="26"/>
          <w:szCs w:val="26"/>
        </w:rPr>
        <w:t>deployment, if</w:t>
      </w:r>
      <w:proofErr w:type="gramEnd"/>
      <w:r w:rsidRPr="00A57018">
        <w:rPr>
          <w:i/>
          <w:iCs/>
          <w:sz w:val="26"/>
          <w:szCs w:val="26"/>
        </w:rPr>
        <w:t xml:space="preserve"> </w:t>
      </w:r>
      <w:r w:rsidRPr="00A57018">
        <w:rPr>
          <w:sz w:val="26"/>
          <w:szCs w:val="26"/>
        </w:rPr>
        <w:t xml:space="preserve">Verizon uses the refunded amounts for incremental investments in broadband deployment.  FirstEnergy R. Exc. at 10-11.  </w:t>
      </w:r>
    </w:p>
    <w:p w14:paraId="60C24D61" w14:textId="77777777" w:rsidR="000C72D0" w:rsidRPr="00A57018" w:rsidRDefault="000C72D0" w:rsidP="00A57018">
      <w:pPr>
        <w:widowControl/>
        <w:spacing w:line="360" w:lineRule="auto"/>
        <w:rPr>
          <w:sz w:val="26"/>
          <w:szCs w:val="26"/>
        </w:rPr>
      </w:pPr>
    </w:p>
    <w:p w14:paraId="171BF822" w14:textId="0BD585B2" w:rsidR="001B1A77" w:rsidRDefault="001B1A77" w:rsidP="00B57D93">
      <w:pPr>
        <w:pStyle w:val="Heading3"/>
        <w:ind w:left="1440" w:hanging="720"/>
      </w:pPr>
      <w:bookmarkStart w:id="65" w:name="_Toc59179318"/>
      <w:r w:rsidRPr="00A57018">
        <w:t>Disposition</w:t>
      </w:r>
      <w:bookmarkEnd w:id="65"/>
    </w:p>
    <w:p w14:paraId="1976AF0B" w14:textId="77777777" w:rsidR="00B57D93" w:rsidRPr="00B57D93" w:rsidRDefault="00B57D93" w:rsidP="00B57D93"/>
    <w:bookmarkEnd w:id="56"/>
    <w:p w14:paraId="305B7837" w14:textId="019C52D0" w:rsidR="00103A36" w:rsidRPr="00081E8F" w:rsidRDefault="003D1BF4" w:rsidP="00B57D93">
      <w:pPr>
        <w:widowControl/>
        <w:spacing w:line="360" w:lineRule="auto"/>
        <w:ind w:firstLine="1440"/>
        <w:rPr>
          <w:sz w:val="26"/>
          <w:szCs w:val="26"/>
        </w:rPr>
      </w:pPr>
      <w:r w:rsidRPr="00081E8F">
        <w:rPr>
          <w:sz w:val="26"/>
          <w:szCs w:val="26"/>
        </w:rPr>
        <w:t xml:space="preserve">As an initial matter, we note that </w:t>
      </w:r>
      <w:r w:rsidR="00A0341E" w:rsidRPr="00081E8F">
        <w:rPr>
          <w:sz w:val="26"/>
          <w:szCs w:val="26"/>
        </w:rPr>
        <w:t xml:space="preserve">in </w:t>
      </w:r>
      <w:r w:rsidR="00103A36" w:rsidRPr="00081E8F">
        <w:rPr>
          <w:sz w:val="26"/>
          <w:szCs w:val="26"/>
        </w:rPr>
        <w:t>FirstEnergy</w:t>
      </w:r>
      <w:r w:rsidRPr="00081E8F">
        <w:rPr>
          <w:sz w:val="26"/>
          <w:szCs w:val="26"/>
        </w:rPr>
        <w:t xml:space="preserve">’s </w:t>
      </w:r>
      <w:r w:rsidR="00103A36" w:rsidRPr="00081E8F">
        <w:rPr>
          <w:sz w:val="26"/>
          <w:szCs w:val="26"/>
        </w:rPr>
        <w:t>Exception No. 12</w:t>
      </w:r>
      <w:r w:rsidR="00155980" w:rsidRPr="00081E8F">
        <w:rPr>
          <w:sz w:val="26"/>
          <w:szCs w:val="26"/>
        </w:rPr>
        <w:t xml:space="preserve"> relating to refunds</w:t>
      </w:r>
      <w:r w:rsidR="00103A36" w:rsidRPr="00081E8F">
        <w:rPr>
          <w:sz w:val="26"/>
          <w:szCs w:val="26"/>
        </w:rPr>
        <w:t xml:space="preserve">, the Companies object to the ALJ’s rejection of the argument that </w:t>
      </w:r>
      <w:r w:rsidR="00103A36" w:rsidRPr="00081E8F">
        <w:rPr>
          <w:color w:val="000000"/>
          <w:sz w:val="26"/>
          <w:szCs w:val="26"/>
        </w:rPr>
        <w:t>Verizon is not entitled to any refund because under Section</w:t>
      </w:r>
      <w:r w:rsidR="008006E6" w:rsidRPr="00081E8F">
        <w:rPr>
          <w:color w:val="000000"/>
          <w:sz w:val="26"/>
          <w:szCs w:val="26"/>
        </w:rPr>
        <w:t> </w:t>
      </w:r>
      <w:r w:rsidR="00103A36" w:rsidRPr="00081E8F">
        <w:rPr>
          <w:color w:val="000000"/>
          <w:sz w:val="26"/>
          <w:szCs w:val="26"/>
        </w:rPr>
        <w:t>508 of the Code</w:t>
      </w:r>
      <w:r w:rsidR="00820686" w:rsidRPr="00081E8F">
        <w:rPr>
          <w:color w:val="000000"/>
          <w:sz w:val="26"/>
          <w:szCs w:val="26"/>
        </w:rPr>
        <w:t>,</w:t>
      </w:r>
      <w:r w:rsidR="00103A36" w:rsidRPr="00081E8F">
        <w:rPr>
          <w:color w:val="000000"/>
          <w:sz w:val="26"/>
          <w:szCs w:val="26"/>
        </w:rPr>
        <w:t xml:space="preserve"> the Commission can only reform contracts on a prospective basis.  According to FirstEnergy, the rates contained in the </w:t>
      </w:r>
      <w:r w:rsidR="00301288" w:rsidRPr="00081E8F">
        <w:rPr>
          <w:color w:val="000000"/>
          <w:sz w:val="26"/>
          <w:szCs w:val="26"/>
        </w:rPr>
        <w:t>JUAs</w:t>
      </w:r>
      <w:r w:rsidR="00103A36" w:rsidRPr="00081E8F">
        <w:rPr>
          <w:color w:val="000000"/>
          <w:sz w:val="26"/>
          <w:szCs w:val="26"/>
        </w:rPr>
        <w:t xml:space="preserve"> are contained in a contract and not in any FirstEnergy tariff and </w:t>
      </w:r>
      <w:r w:rsidR="00103A36" w:rsidRPr="00081E8F">
        <w:rPr>
          <w:color w:val="000000"/>
          <w:sz w:val="26"/>
          <w:szCs w:val="26"/>
        </w:rPr>
        <w:lastRenderedPageBreak/>
        <w:t>that sidestepping the Section 508 limitations by awarding refunds would be an unlawful and constitutional error.</w:t>
      </w:r>
      <w:r w:rsidR="00103A36" w:rsidRPr="00081E8F">
        <w:rPr>
          <w:rStyle w:val="FootnoteReference"/>
          <w:color w:val="000000"/>
          <w:sz w:val="26"/>
          <w:szCs w:val="26"/>
        </w:rPr>
        <w:footnoteReference w:id="41"/>
      </w:r>
      <w:r w:rsidR="00103A36" w:rsidRPr="00081E8F">
        <w:rPr>
          <w:color w:val="000000"/>
          <w:sz w:val="26"/>
          <w:szCs w:val="26"/>
        </w:rPr>
        <w:t xml:space="preserve"> </w:t>
      </w:r>
      <w:r w:rsidR="00103A36" w:rsidRPr="00081E8F">
        <w:rPr>
          <w:sz w:val="26"/>
          <w:szCs w:val="26"/>
        </w:rPr>
        <w:t xml:space="preserve"> We agree with the ALJ’s resolution of this issue.</w:t>
      </w:r>
    </w:p>
    <w:p w14:paraId="11481101" w14:textId="77777777" w:rsidR="00081E8F" w:rsidRPr="00081E8F" w:rsidRDefault="00081E8F" w:rsidP="00B57D93">
      <w:pPr>
        <w:widowControl/>
        <w:spacing w:line="360" w:lineRule="auto"/>
        <w:ind w:firstLine="1440"/>
        <w:rPr>
          <w:sz w:val="26"/>
          <w:szCs w:val="26"/>
        </w:rPr>
      </w:pPr>
    </w:p>
    <w:p w14:paraId="2E1CE51D" w14:textId="75CE9571" w:rsidR="00103A36" w:rsidRPr="00081E8F" w:rsidRDefault="00103A36" w:rsidP="00B57D93">
      <w:pPr>
        <w:widowControl/>
        <w:spacing w:line="360" w:lineRule="auto"/>
        <w:ind w:firstLine="1440"/>
        <w:rPr>
          <w:sz w:val="26"/>
          <w:szCs w:val="26"/>
        </w:rPr>
      </w:pPr>
      <w:r w:rsidRPr="00081E8F">
        <w:rPr>
          <w:sz w:val="26"/>
          <w:szCs w:val="26"/>
        </w:rPr>
        <w:t xml:space="preserve">We find that the ALJ applied the correct legal standard for evaluating whether a refund is appropriate in this proceeding.  </w:t>
      </w:r>
      <w:r w:rsidR="006F4033" w:rsidRPr="00081E8F">
        <w:rPr>
          <w:color w:val="000000"/>
          <w:sz w:val="26"/>
          <w:szCs w:val="26"/>
        </w:rPr>
        <w:t xml:space="preserve">Here, </w:t>
      </w:r>
      <w:r w:rsidR="006F4033" w:rsidRPr="00081E8F">
        <w:rPr>
          <w:sz w:val="26"/>
          <w:szCs w:val="26"/>
        </w:rPr>
        <w:t xml:space="preserve">the Commission adopted Section 1.1407 of the FCC’s rules, which authorizes the termination of unjust and unreasonable rates and permits the ordering of refunds for such rates.  </w:t>
      </w:r>
      <w:r w:rsidRPr="00081E8F">
        <w:rPr>
          <w:sz w:val="26"/>
          <w:szCs w:val="26"/>
        </w:rPr>
        <w:t>In his disposition, t</w:t>
      </w:r>
      <w:r w:rsidRPr="00081E8F">
        <w:rPr>
          <w:color w:val="000000"/>
          <w:sz w:val="26"/>
          <w:szCs w:val="26"/>
        </w:rPr>
        <w:t xml:space="preserve">he ALJ explained that Section 1.1407 of the FCC regulations is not limited to tariff rates only.  Rather, Section 1.1407 refers generally to “the rate, term or condition complained of” and does not require that the rate be a tariffed rate.  </w:t>
      </w:r>
      <w:r w:rsidR="006F4033" w:rsidRPr="00081E8F">
        <w:rPr>
          <w:color w:val="000000"/>
          <w:sz w:val="26"/>
          <w:szCs w:val="26"/>
        </w:rPr>
        <w:t>R</w:t>
      </w:r>
      <w:r w:rsidR="00D20711" w:rsidRPr="00081E8F">
        <w:rPr>
          <w:color w:val="000000"/>
          <w:sz w:val="26"/>
          <w:szCs w:val="26"/>
        </w:rPr>
        <w:t>.</w:t>
      </w:r>
      <w:r w:rsidR="006F4033" w:rsidRPr="00081E8F">
        <w:rPr>
          <w:color w:val="000000"/>
          <w:sz w:val="26"/>
          <w:szCs w:val="26"/>
        </w:rPr>
        <w:t>D</w:t>
      </w:r>
      <w:r w:rsidR="00D20711" w:rsidRPr="00081E8F">
        <w:rPr>
          <w:color w:val="000000"/>
          <w:sz w:val="26"/>
          <w:szCs w:val="26"/>
        </w:rPr>
        <w:t>.</w:t>
      </w:r>
      <w:r w:rsidR="006F4033" w:rsidRPr="00081E8F">
        <w:rPr>
          <w:color w:val="000000"/>
          <w:sz w:val="26"/>
          <w:szCs w:val="26"/>
        </w:rPr>
        <w:t xml:space="preserve"> at 67.  </w:t>
      </w:r>
      <w:r w:rsidRPr="00081E8F">
        <w:rPr>
          <w:sz w:val="26"/>
          <w:szCs w:val="26"/>
        </w:rPr>
        <w:t>The ALJ also explained that providing a refund is consistent with Section 1312 of the Code, which is not limited to tariffed rates.  R.D. at 64-65.</w:t>
      </w:r>
    </w:p>
    <w:p w14:paraId="258E53CB" w14:textId="77777777" w:rsidR="00103A36" w:rsidRPr="00081E8F" w:rsidRDefault="00103A36" w:rsidP="00B57D93">
      <w:pPr>
        <w:widowControl/>
        <w:spacing w:line="360" w:lineRule="auto"/>
        <w:ind w:firstLine="1440"/>
        <w:rPr>
          <w:sz w:val="26"/>
          <w:szCs w:val="26"/>
        </w:rPr>
      </w:pPr>
    </w:p>
    <w:p w14:paraId="60314672" w14:textId="3BDB7D5D" w:rsidR="00103A36" w:rsidRPr="00A57018" w:rsidRDefault="006B52F3" w:rsidP="00B57D93">
      <w:pPr>
        <w:widowControl/>
        <w:spacing w:line="360" w:lineRule="auto"/>
        <w:ind w:firstLine="1440"/>
        <w:rPr>
          <w:color w:val="000000"/>
          <w:sz w:val="26"/>
          <w:szCs w:val="26"/>
        </w:rPr>
      </w:pPr>
      <w:r w:rsidRPr="00081E8F">
        <w:rPr>
          <w:sz w:val="26"/>
          <w:szCs w:val="26"/>
        </w:rPr>
        <w:t xml:space="preserve">The </w:t>
      </w:r>
      <w:r w:rsidR="00103A36" w:rsidRPr="00081E8F">
        <w:rPr>
          <w:sz w:val="26"/>
          <w:szCs w:val="26"/>
        </w:rPr>
        <w:t xml:space="preserve">ALJ </w:t>
      </w:r>
      <w:r w:rsidRPr="00081E8F">
        <w:rPr>
          <w:sz w:val="26"/>
          <w:szCs w:val="26"/>
        </w:rPr>
        <w:t xml:space="preserve">properly </w:t>
      </w:r>
      <w:r w:rsidR="00103A36" w:rsidRPr="00081E8F">
        <w:rPr>
          <w:sz w:val="26"/>
          <w:szCs w:val="26"/>
        </w:rPr>
        <w:t xml:space="preserve">rejected FirstEnergy’s argument that </w:t>
      </w:r>
      <w:r w:rsidR="00103A36" w:rsidRPr="00081E8F">
        <w:rPr>
          <w:color w:val="000000"/>
          <w:sz w:val="26"/>
          <w:szCs w:val="26"/>
        </w:rPr>
        <w:t xml:space="preserve">Verizon is not entitled to any refund under Section 508 of the Code.  Again, the ALJ appropriately explained that Section 1.1407 of the FCC regulations expansively refers to “the rate, term or condition complained of” and does not require that the rate be a tariffed rate.  By relying on Section 1.1407 and emphasizing the consistency of this FCC regulation with Section 1312 of the Code, the ALJ acknowledged that the Commission has the authority </w:t>
      </w:r>
      <w:r w:rsidR="00103A36" w:rsidRPr="00081E8F">
        <w:rPr>
          <w:color w:val="000000"/>
          <w:sz w:val="26"/>
          <w:szCs w:val="26"/>
        </w:rPr>
        <w:lastRenderedPageBreak/>
        <w:t xml:space="preserve">to award refunds of amounts previously collected in violation of law.  Thus, we find no error in </w:t>
      </w:r>
      <w:r w:rsidR="00440BA1" w:rsidRPr="00081E8F">
        <w:rPr>
          <w:color w:val="000000"/>
          <w:sz w:val="26"/>
          <w:szCs w:val="26"/>
        </w:rPr>
        <w:t xml:space="preserve">the </w:t>
      </w:r>
      <w:r w:rsidR="00103A36" w:rsidRPr="00081E8F">
        <w:rPr>
          <w:color w:val="000000"/>
          <w:sz w:val="26"/>
          <w:szCs w:val="26"/>
        </w:rPr>
        <w:t>ALJ’s recommendation and shall deny FirstEnergy Exception No. 12</w:t>
      </w:r>
      <w:r w:rsidR="00103A36" w:rsidRPr="00B57D93">
        <w:rPr>
          <w:color w:val="000000"/>
          <w:sz w:val="26"/>
          <w:szCs w:val="26"/>
        </w:rPr>
        <w:t>.</w:t>
      </w:r>
      <w:r w:rsidR="00103A36" w:rsidRPr="00A57018">
        <w:rPr>
          <w:color w:val="000000"/>
          <w:sz w:val="26"/>
          <w:szCs w:val="26"/>
        </w:rPr>
        <w:t xml:space="preserve">  </w:t>
      </w:r>
    </w:p>
    <w:p w14:paraId="5D6869FD" w14:textId="77777777" w:rsidR="00103A36" w:rsidRPr="00A57018" w:rsidRDefault="00103A36" w:rsidP="00B57D93">
      <w:pPr>
        <w:widowControl/>
        <w:spacing w:line="360" w:lineRule="auto"/>
        <w:ind w:firstLine="1440"/>
        <w:rPr>
          <w:color w:val="000000"/>
          <w:sz w:val="26"/>
          <w:szCs w:val="26"/>
        </w:rPr>
      </w:pPr>
    </w:p>
    <w:p w14:paraId="09B7024E" w14:textId="60BF5C89" w:rsidR="00103A36" w:rsidRPr="00A57018" w:rsidRDefault="00103A36" w:rsidP="00B57D93">
      <w:pPr>
        <w:widowControl/>
        <w:spacing w:line="360" w:lineRule="auto"/>
        <w:ind w:firstLine="1440"/>
        <w:rPr>
          <w:rFonts w:eastAsiaTheme="minorHAnsi"/>
          <w:sz w:val="26"/>
          <w:szCs w:val="26"/>
        </w:rPr>
      </w:pPr>
      <w:r w:rsidRPr="00A57018">
        <w:rPr>
          <w:rFonts w:eastAsiaTheme="minorHAnsi"/>
          <w:sz w:val="26"/>
          <w:szCs w:val="26"/>
        </w:rPr>
        <w:t>Next, we address FirstEnergy Exception No. 13 and Verizon Exc. No. 1</w:t>
      </w:r>
      <w:r w:rsidR="00155980">
        <w:rPr>
          <w:rFonts w:eastAsiaTheme="minorHAnsi"/>
          <w:sz w:val="26"/>
          <w:szCs w:val="26"/>
        </w:rPr>
        <w:t xml:space="preserve"> relating to the refund period and the applicability of interest</w:t>
      </w:r>
      <w:r w:rsidRPr="00A57018">
        <w:rPr>
          <w:rFonts w:eastAsiaTheme="minorHAnsi"/>
          <w:sz w:val="26"/>
          <w:szCs w:val="26"/>
        </w:rPr>
        <w:t>.  The Recommended Decision calculated the refund award by prorating the amount sought in Verizon’s Complaint from the effective date of the relevant FCC regulations on March</w:t>
      </w:r>
      <w:r w:rsidR="008006E6">
        <w:rPr>
          <w:rFonts w:eastAsiaTheme="minorHAnsi"/>
          <w:sz w:val="26"/>
          <w:szCs w:val="26"/>
        </w:rPr>
        <w:t> </w:t>
      </w:r>
      <w:r w:rsidRPr="00A57018">
        <w:rPr>
          <w:rFonts w:eastAsiaTheme="minorHAnsi"/>
          <w:sz w:val="26"/>
          <w:szCs w:val="26"/>
        </w:rPr>
        <w:t>11, 2019, to the time of the issuance of the R.D.  The Recommended Decision further recommended that to the extent the Parties disagree with the refund calculations, such issues could be raised during the recommended 60-day compliance period.  At the same time, the Recommended Decision determined that Verizon is entitled to a refund of the amounts Verizon paid FirstEnergy in excess of the “new telecom rate” from March</w:t>
      </w:r>
      <w:r w:rsidR="008006E6">
        <w:rPr>
          <w:rFonts w:eastAsiaTheme="minorHAnsi"/>
          <w:sz w:val="26"/>
          <w:szCs w:val="26"/>
        </w:rPr>
        <w:t> </w:t>
      </w:r>
      <w:r w:rsidRPr="00A57018">
        <w:rPr>
          <w:rFonts w:eastAsiaTheme="minorHAnsi"/>
          <w:sz w:val="26"/>
          <w:szCs w:val="26"/>
        </w:rPr>
        <w:t xml:space="preserve">11, 2019, to the present, but denied Verizon’s Complaint to the extent that it requests earlier refunds.  R.D. at </w:t>
      </w:r>
      <w:r w:rsidR="0022086B" w:rsidRPr="00A57018">
        <w:rPr>
          <w:rFonts w:eastAsiaTheme="minorHAnsi"/>
          <w:sz w:val="26"/>
          <w:szCs w:val="26"/>
        </w:rPr>
        <w:t xml:space="preserve">69. </w:t>
      </w:r>
    </w:p>
    <w:p w14:paraId="4CE01352" w14:textId="77777777" w:rsidR="00103A36" w:rsidRPr="00A57018" w:rsidRDefault="00103A36" w:rsidP="00A57018">
      <w:pPr>
        <w:widowControl/>
        <w:spacing w:line="360" w:lineRule="auto"/>
        <w:ind w:firstLine="720"/>
        <w:rPr>
          <w:rFonts w:eastAsiaTheme="minorHAnsi"/>
          <w:sz w:val="26"/>
          <w:szCs w:val="26"/>
        </w:rPr>
      </w:pPr>
    </w:p>
    <w:p w14:paraId="4B521857" w14:textId="77777777" w:rsidR="00103A36" w:rsidRPr="00A57018" w:rsidRDefault="00103A36" w:rsidP="00A57018">
      <w:pPr>
        <w:widowControl/>
        <w:spacing w:line="360" w:lineRule="auto"/>
        <w:ind w:firstLine="1440"/>
        <w:rPr>
          <w:rFonts w:eastAsiaTheme="minorHAnsi"/>
          <w:sz w:val="26"/>
          <w:szCs w:val="26"/>
        </w:rPr>
      </w:pPr>
      <w:r w:rsidRPr="00A57018">
        <w:rPr>
          <w:rFonts w:eastAsiaTheme="minorHAnsi"/>
          <w:sz w:val="26"/>
          <w:szCs w:val="26"/>
        </w:rPr>
        <w:t>The Parties dispute what date, if any, should be used to apply the new, lower pole attachment rates and calculate the refund owed in this case.  Verizon alleges that the FCC’s new, lower pole attachment rates apply under its existing JUAs with FirstEnergy and that it should have the benefit of the lower pole attachment rates going back to 2011.  First Energy alleges that the FCC’s new pole attachment rates do not apply to its existing JUAs with Verizon and that FirstEnergy is entitled to receive compensation in accordance with existing, higher pole attachment rates.</w:t>
      </w:r>
      <w:r w:rsidRPr="00A57018">
        <w:rPr>
          <w:rFonts w:eastAsiaTheme="minorHAnsi"/>
          <w:sz w:val="26"/>
          <w:szCs w:val="26"/>
          <w:vertAlign w:val="superscript"/>
        </w:rPr>
        <w:footnoteReference w:id="42"/>
      </w:r>
      <w:r w:rsidRPr="00A57018">
        <w:rPr>
          <w:rFonts w:eastAsiaTheme="minorHAnsi"/>
          <w:sz w:val="26"/>
          <w:szCs w:val="26"/>
        </w:rPr>
        <w:t xml:space="preserve">  </w:t>
      </w:r>
    </w:p>
    <w:p w14:paraId="277C9C7F" w14:textId="77777777" w:rsidR="00103A36" w:rsidRPr="00A57018" w:rsidRDefault="00103A36" w:rsidP="00A57018">
      <w:pPr>
        <w:widowControl/>
        <w:spacing w:line="360" w:lineRule="auto"/>
        <w:ind w:firstLine="720"/>
        <w:rPr>
          <w:rFonts w:eastAsiaTheme="minorHAnsi"/>
          <w:sz w:val="26"/>
          <w:szCs w:val="26"/>
        </w:rPr>
      </w:pPr>
    </w:p>
    <w:p w14:paraId="728C7446" w14:textId="77777777" w:rsidR="00103A36" w:rsidRPr="00A57018" w:rsidRDefault="00103A36" w:rsidP="00B57D93">
      <w:pPr>
        <w:widowControl/>
        <w:spacing w:line="360" w:lineRule="auto"/>
        <w:ind w:firstLine="1440"/>
        <w:rPr>
          <w:rFonts w:eastAsiaTheme="minorHAnsi"/>
          <w:sz w:val="26"/>
          <w:szCs w:val="26"/>
        </w:rPr>
      </w:pPr>
      <w:r w:rsidRPr="00A57018">
        <w:rPr>
          <w:rFonts w:eastAsiaTheme="minorHAnsi"/>
          <w:sz w:val="26"/>
          <w:szCs w:val="26"/>
        </w:rPr>
        <w:lastRenderedPageBreak/>
        <w:t>We agree with the decision to direct a refund to Verizon but believe the refund should be prorated from November 20, 2019, which was the date Verizon filed its Complaint at the FCC.  As such, we shall establish November 20, 2019, as the effective date on which the new pole attachment rates were applicable under the ten evergreen JUAs between Verizon and FirstEnergy.  In addition, we direct that the refund include interest.</w:t>
      </w:r>
      <w:r w:rsidRPr="00A57018">
        <w:rPr>
          <w:rFonts w:eastAsiaTheme="minorHAnsi"/>
          <w:sz w:val="26"/>
          <w:szCs w:val="26"/>
          <w:vertAlign w:val="superscript"/>
        </w:rPr>
        <w:footnoteReference w:id="43"/>
      </w:r>
      <w:r w:rsidRPr="00A57018">
        <w:rPr>
          <w:rFonts w:eastAsiaTheme="minorHAnsi"/>
          <w:sz w:val="26"/>
          <w:szCs w:val="26"/>
        </w:rPr>
        <w:t xml:space="preserve">  Moreover, as discussed below, we do not agree that a 60-day compliance period is necessary as the Parties may apply inputs that result from this Opinion and Order to develop appropriate rates.  </w:t>
      </w:r>
    </w:p>
    <w:p w14:paraId="11558DDB" w14:textId="77777777" w:rsidR="00103A36" w:rsidRPr="00A57018" w:rsidRDefault="00103A36" w:rsidP="00B57D93">
      <w:pPr>
        <w:widowControl/>
        <w:spacing w:line="360" w:lineRule="auto"/>
        <w:ind w:firstLine="1440"/>
        <w:rPr>
          <w:rFonts w:eastAsiaTheme="minorHAnsi"/>
          <w:sz w:val="26"/>
          <w:szCs w:val="26"/>
        </w:rPr>
      </w:pPr>
    </w:p>
    <w:p w14:paraId="1A2FB7BE" w14:textId="66861AAC" w:rsidR="00103A36" w:rsidRPr="00A57018" w:rsidRDefault="00103A36" w:rsidP="00B57D93">
      <w:pPr>
        <w:widowControl/>
        <w:spacing w:line="360" w:lineRule="auto"/>
        <w:ind w:firstLine="1440"/>
        <w:rPr>
          <w:rFonts w:eastAsiaTheme="minorHAnsi"/>
          <w:sz w:val="26"/>
          <w:szCs w:val="26"/>
          <w:shd w:val="clear" w:color="auto" w:fill="FFFFFF"/>
        </w:rPr>
      </w:pPr>
      <w:r w:rsidRPr="00A57018">
        <w:rPr>
          <w:rFonts w:eastAsiaTheme="minorHAnsi"/>
          <w:sz w:val="26"/>
          <w:szCs w:val="26"/>
          <w:shd w:val="clear" w:color="auto" w:fill="FFFFFF"/>
        </w:rPr>
        <w:t xml:space="preserve">The alternative dates for the application of a lower pole attachment rate are </w:t>
      </w:r>
      <w:r w:rsidR="003F0BAF" w:rsidRPr="00A57018">
        <w:rPr>
          <w:rFonts w:eastAsiaTheme="minorHAnsi"/>
          <w:sz w:val="26"/>
          <w:szCs w:val="26"/>
          <w:shd w:val="clear" w:color="auto" w:fill="FFFFFF"/>
        </w:rPr>
        <w:t xml:space="preserve">July </w:t>
      </w:r>
      <w:r w:rsidRPr="00A57018">
        <w:rPr>
          <w:rFonts w:eastAsiaTheme="minorHAnsi"/>
          <w:sz w:val="26"/>
          <w:szCs w:val="26"/>
          <w:shd w:val="clear" w:color="auto" w:fill="FFFFFF"/>
        </w:rPr>
        <w:t xml:space="preserve">2011, November 2015, or March 11, 2019.  However, we find it is inappropriate to direct a refund in this case back to 2011 or 2015 when considering </w:t>
      </w:r>
      <w:r w:rsidR="00E863F4" w:rsidRPr="00A57018">
        <w:rPr>
          <w:rFonts w:eastAsiaTheme="minorHAnsi"/>
          <w:sz w:val="26"/>
          <w:szCs w:val="26"/>
          <w:shd w:val="clear" w:color="auto" w:fill="FFFFFF"/>
        </w:rPr>
        <w:t xml:space="preserve">that </w:t>
      </w:r>
      <w:r w:rsidRPr="00A57018">
        <w:rPr>
          <w:rFonts w:eastAsiaTheme="minorHAnsi"/>
          <w:sz w:val="26"/>
          <w:szCs w:val="26"/>
          <w:shd w:val="clear" w:color="auto" w:fill="FFFFFF"/>
        </w:rPr>
        <w:t>the relevant FCC regulation was not effective until March 11, 2019.  By the same token, the March</w:t>
      </w:r>
      <w:r w:rsidR="008006E6">
        <w:rPr>
          <w:rFonts w:eastAsiaTheme="minorHAnsi"/>
          <w:sz w:val="26"/>
          <w:szCs w:val="26"/>
          <w:shd w:val="clear" w:color="auto" w:fill="FFFFFF"/>
        </w:rPr>
        <w:t> </w:t>
      </w:r>
      <w:r w:rsidRPr="00A57018">
        <w:rPr>
          <w:rFonts w:eastAsiaTheme="minorHAnsi"/>
          <w:sz w:val="26"/>
          <w:szCs w:val="26"/>
          <w:shd w:val="clear" w:color="auto" w:fill="FFFFFF"/>
        </w:rPr>
        <w:t>11,</w:t>
      </w:r>
      <w:r w:rsidR="008006E6">
        <w:rPr>
          <w:rFonts w:eastAsiaTheme="minorHAnsi"/>
          <w:sz w:val="26"/>
          <w:szCs w:val="26"/>
          <w:shd w:val="clear" w:color="auto" w:fill="FFFFFF"/>
        </w:rPr>
        <w:t> </w:t>
      </w:r>
      <w:r w:rsidRPr="00A57018">
        <w:rPr>
          <w:rFonts w:eastAsiaTheme="minorHAnsi"/>
          <w:sz w:val="26"/>
          <w:szCs w:val="26"/>
          <w:shd w:val="clear" w:color="auto" w:fill="FFFFFF"/>
        </w:rPr>
        <w:t>2019, effective date is not the appropriate refund date either, given that Verizon never formally challenged those rates until November 20, 2019.  Using a prior effective date other than November 20, 2019, would mean applying the new rates during a period when the Parties were still engaged in good-faith efforts to negotiate the applicability of the rebuttable presumption and the new rates.  Moreover, the March</w:t>
      </w:r>
      <w:r w:rsidR="00955F50">
        <w:rPr>
          <w:rFonts w:eastAsiaTheme="minorHAnsi"/>
          <w:sz w:val="26"/>
          <w:szCs w:val="26"/>
          <w:shd w:val="clear" w:color="auto" w:fill="FFFFFF"/>
        </w:rPr>
        <w:t> </w:t>
      </w:r>
      <w:r w:rsidRPr="00A57018">
        <w:rPr>
          <w:rFonts w:eastAsiaTheme="minorHAnsi"/>
          <w:sz w:val="26"/>
          <w:szCs w:val="26"/>
          <w:shd w:val="clear" w:color="auto" w:fill="FFFFFF"/>
        </w:rPr>
        <w:t>11,</w:t>
      </w:r>
      <w:r w:rsidR="00955F50">
        <w:rPr>
          <w:rFonts w:eastAsiaTheme="minorHAnsi"/>
          <w:sz w:val="26"/>
          <w:szCs w:val="26"/>
          <w:shd w:val="clear" w:color="auto" w:fill="FFFFFF"/>
        </w:rPr>
        <w:t> </w:t>
      </w:r>
      <w:r w:rsidRPr="00A57018">
        <w:rPr>
          <w:rFonts w:eastAsiaTheme="minorHAnsi"/>
          <w:sz w:val="26"/>
          <w:szCs w:val="26"/>
          <w:shd w:val="clear" w:color="auto" w:fill="FFFFFF"/>
        </w:rPr>
        <w:t xml:space="preserve">2019, date controls whether an ILEC has a rebuttable presumption that the FCC’s new pole attachment rates apply under an existing contract or, in other words, </w:t>
      </w:r>
      <w:r w:rsidRPr="00A57018">
        <w:rPr>
          <w:rFonts w:eastAsiaTheme="minorHAnsi"/>
          <w:i/>
          <w:iCs/>
          <w:sz w:val="26"/>
          <w:szCs w:val="26"/>
          <w:shd w:val="clear" w:color="auto" w:fill="FFFFFF"/>
        </w:rPr>
        <w:t xml:space="preserve">whether </w:t>
      </w:r>
      <w:r w:rsidRPr="00A57018">
        <w:rPr>
          <w:rFonts w:eastAsiaTheme="minorHAnsi"/>
          <w:sz w:val="26"/>
          <w:szCs w:val="26"/>
          <w:shd w:val="clear" w:color="auto" w:fill="FFFFFF"/>
        </w:rPr>
        <w:t xml:space="preserve">the new rates apply.  However, the March 11, 2019, date does not necessarily control </w:t>
      </w:r>
      <w:r w:rsidRPr="00A57018">
        <w:rPr>
          <w:rFonts w:eastAsiaTheme="minorHAnsi"/>
          <w:i/>
          <w:iCs/>
          <w:sz w:val="26"/>
          <w:szCs w:val="26"/>
          <w:shd w:val="clear" w:color="auto" w:fill="FFFFFF"/>
        </w:rPr>
        <w:t xml:space="preserve">when </w:t>
      </w:r>
      <w:r w:rsidRPr="00A57018">
        <w:rPr>
          <w:rFonts w:eastAsiaTheme="minorHAnsi"/>
          <w:sz w:val="26"/>
          <w:szCs w:val="26"/>
          <w:shd w:val="clear" w:color="auto" w:fill="FFFFFF"/>
        </w:rPr>
        <w:t>the new rates are effective.</w:t>
      </w:r>
    </w:p>
    <w:p w14:paraId="33A8BBCE" w14:textId="77777777" w:rsidR="00103A36" w:rsidRPr="00A57018" w:rsidRDefault="00103A36" w:rsidP="00A57018">
      <w:pPr>
        <w:widowControl/>
        <w:spacing w:line="360" w:lineRule="auto"/>
        <w:ind w:firstLine="1440"/>
        <w:rPr>
          <w:rFonts w:eastAsiaTheme="minorHAnsi"/>
          <w:sz w:val="26"/>
          <w:szCs w:val="26"/>
          <w:shd w:val="clear" w:color="auto" w:fill="FFFFFF"/>
        </w:rPr>
      </w:pPr>
    </w:p>
    <w:p w14:paraId="6B39A81F" w14:textId="41BA36D0" w:rsidR="00103A36" w:rsidRDefault="00103A36" w:rsidP="00A57018">
      <w:pPr>
        <w:widowControl/>
        <w:spacing w:line="360" w:lineRule="auto"/>
        <w:ind w:firstLine="1440"/>
        <w:rPr>
          <w:rFonts w:eastAsiaTheme="minorHAnsi"/>
          <w:sz w:val="26"/>
          <w:szCs w:val="26"/>
          <w:shd w:val="clear" w:color="auto" w:fill="FFFFFF"/>
        </w:rPr>
      </w:pPr>
      <w:r w:rsidRPr="00A57018">
        <w:rPr>
          <w:rFonts w:eastAsiaTheme="minorHAnsi"/>
          <w:sz w:val="26"/>
          <w:szCs w:val="26"/>
          <w:shd w:val="clear" w:color="auto" w:fill="FFFFFF"/>
        </w:rPr>
        <w:lastRenderedPageBreak/>
        <w:t>Accordingly, we shall grant, in part, and deny, in part, FirstEnergy Exception No. 12 and Verizon Exception No. 1 and shall modify the Recommended Decision consistent with this Opinion and Order</w:t>
      </w:r>
      <w:r w:rsidRPr="00955F50">
        <w:rPr>
          <w:rFonts w:eastAsiaTheme="minorHAnsi"/>
          <w:sz w:val="26"/>
          <w:szCs w:val="26"/>
          <w:shd w:val="clear" w:color="auto" w:fill="FFFFFF"/>
        </w:rPr>
        <w:t>.</w:t>
      </w:r>
      <w:r w:rsidRPr="00A57018">
        <w:rPr>
          <w:rFonts w:eastAsiaTheme="minorHAnsi"/>
          <w:sz w:val="26"/>
          <w:szCs w:val="26"/>
          <w:shd w:val="clear" w:color="auto" w:fill="FFFFFF"/>
        </w:rPr>
        <w:t xml:space="preserve">  </w:t>
      </w:r>
    </w:p>
    <w:p w14:paraId="1FD5ACD8" w14:textId="77777777" w:rsidR="00955F50" w:rsidRPr="00A57018" w:rsidRDefault="00955F50" w:rsidP="00A57018">
      <w:pPr>
        <w:widowControl/>
        <w:spacing w:line="360" w:lineRule="auto"/>
        <w:ind w:firstLine="1440"/>
        <w:rPr>
          <w:rFonts w:eastAsiaTheme="minorHAnsi"/>
          <w:sz w:val="26"/>
          <w:szCs w:val="26"/>
        </w:rPr>
      </w:pPr>
    </w:p>
    <w:p w14:paraId="5F9C9FBA" w14:textId="7441C20F" w:rsidR="009F458C" w:rsidRPr="00A57018" w:rsidRDefault="009F458C" w:rsidP="00A57018">
      <w:pPr>
        <w:pStyle w:val="Heading2"/>
        <w:widowControl/>
      </w:pPr>
      <w:bookmarkStart w:id="66" w:name="_Toc59179319"/>
      <w:r w:rsidRPr="00A57018">
        <w:t>ALJ’s Recommended 60-Day Compliance Period</w:t>
      </w:r>
      <w:bookmarkEnd w:id="66"/>
    </w:p>
    <w:p w14:paraId="41DEEF00" w14:textId="2083B9BB" w:rsidR="001B1A77" w:rsidRPr="00A57018" w:rsidRDefault="001B1A77" w:rsidP="00A57018">
      <w:pPr>
        <w:keepNext/>
        <w:keepLines/>
        <w:widowControl/>
        <w:spacing w:line="360" w:lineRule="auto"/>
        <w:rPr>
          <w:b/>
          <w:bCs/>
          <w:sz w:val="26"/>
          <w:szCs w:val="26"/>
        </w:rPr>
      </w:pPr>
    </w:p>
    <w:p w14:paraId="3085EE7F" w14:textId="77777777" w:rsidR="009F458C" w:rsidRPr="00A57018" w:rsidRDefault="009F458C" w:rsidP="00A57018">
      <w:pPr>
        <w:pStyle w:val="Heading3"/>
        <w:numPr>
          <w:ilvl w:val="0"/>
          <w:numId w:val="24"/>
        </w:numPr>
        <w:ind w:left="1440" w:hanging="720"/>
      </w:pPr>
      <w:bookmarkStart w:id="67" w:name="_Toc59179320"/>
      <w:r w:rsidRPr="00A57018">
        <w:t>Recommended Decision</w:t>
      </w:r>
      <w:bookmarkEnd w:id="67"/>
    </w:p>
    <w:p w14:paraId="1D1B43D3" w14:textId="46029135" w:rsidR="009F458C" w:rsidRPr="00A57018" w:rsidRDefault="009F458C" w:rsidP="00A57018">
      <w:pPr>
        <w:pStyle w:val="Heading4"/>
        <w:widowControl/>
        <w:numPr>
          <w:ilvl w:val="0"/>
          <w:numId w:val="0"/>
        </w:numPr>
        <w:ind w:left="2160"/>
      </w:pPr>
    </w:p>
    <w:p w14:paraId="58E2C0AC" w14:textId="48B3BF79" w:rsidR="00C331AA" w:rsidRPr="00A57018" w:rsidRDefault="00C331AA" w:rsidP="00A57018">
      <w:pPr>
        <w:widowControl/>
        <w:spacing w:line="360" w:lineRule="auto"/>
        <w:ind w:firstLine="1440"/>
        <w:rPr>
          <w:sz w:val="26"/>
          <w:szCs w:val="26"/>
        </w:rPr>
      </w:pPr>
      <w:r w:rsidRPr="00A57018">
        <w:rPr>
          <w:sz w:val="26"/>
          <w:szCs w:val="26"/>
        </w:rPr>
        <w:t>As part of the ALJ’s Recommended Decision, he recommended the Parties be given a 60-day compliance period following the entry of a final Commission order in this case during which time a larger investigation should be conducted to properly determine all inputs when establishing the specific rates going forward and refund created through the use of the new telecom methodology based on the determinations made in the Recommended Decision.  Additionally, to the extent that such difference cannot be resolved, the ALJ recommended the Parties afford themselves of the Commission’s mediation unit for mediation review or request a further expedited evidentiary hearing on the remaining disputed issues.  R.D. at 57, 59</w:t>
      </w:r>
      <w:r w:rsidR="005537D7" w:rsidRPr="00A57018">
        <w:rPr>
          <w:sz w:val="26"/>
          <w:szCs w:val="26"/>
        </w:rPr>
        <w:t>-60</w:t>
      </w:r>
      <w:r w:rsidRPr="00A57018">
        <w:rPr>
          <w:sz w:val="26"/>
          <w:szCs w:val="26"/>
        </w:rPr>
        <w:t xml:space="preserve">, 66, 68-70.  </w:t>
      </w:r>
    </w:p>
    <w:p w14:paraId="5653BF82" w14:textId="77777777" w:rsidR="00C30E86" w:rsidRPr="00A57018" w:rsidRDefault="00C30E86" w:rsidP="00A57018">
      <w:pPr>
        <w:widowControl/>
        <w:spacing w:line="360" w:lineRule="auto"/>
        <w:rPr>
          <w:sz w:val="26"/>
          <w:szCs w:val="26"/>
        </w:rPr>
      </w:pPr>
    </w:p>
    <w:p w14:paraId="3A05A648" w14:textId="09B92184" w:rsidR="009F458C" w:rsidRPr="00A57018" w:rsidRDefault="009F458C" w:rsidP="00A57018">
      <w:pPr>
        <w:pStyle w:val="Heading3"/>
        <w:spacing w:line="240" w:lineRule="auto"/>
        <w:ind w:left="1440" w:hanging="720"/>
      </w:pPr>
      <w:bookmarkStart w:id="68" w:name="_Toc59179321"/>
      <w:r w:rsidRPr="00A57018">
        <w:t>Exceptions and Replies</w:t>
      </w:r>
      <w:r w:rsidR="00C12041" w:rsidRPr="00A57018">
        <w:t xml:space="preserve"> (FirstEnergy Exception No. 11; Verizon Exception No. 2)</w:t>
      </w:r>
      <w:bookmarkEnd w:id="68"/>
    </w:p>
    <w:p w14:paraId="05C8ED94" w14:textId="739E81F9" w:rsidR="009F458C" w:rsidRPr="00A57018" w:rsidRDefault="009F458C" w:rsidP="00955F50">
      <w:pPr>
        <w:pStyle w:val="Heading4"/>
        <w:widowControl/>
        <w:numPr>
          <w:ilvl w:val="0"/>
          <w:numId w:val="0"/>
        </w:numPr>
        <w:spacing w:line="480" w:lineRule="auto"/>
        <w:ind w:left="2160"/>
        <w:rPr>
          <w:b w:val="0"/>
          <w:bCs w:val="0"/>
        </w:rPr>
      </w:pPr>
    </w:p>
    <w:p w14:paraId="22ED312F" w14:textId="3297C702" w:rsidR="00827BFD" w:rsidRPr="00A57018" w:rsidRDefault="00AD256B" w:rsidP="00A57018">
      <w:pPr>
        <w:widowControl/>
        <w:spacing w:line="360" w:lineRule="auto"/>
        <w:ind w:firstLine="1440"/>
        <w:rPr>
          <w:sz w:val="26"/>
          <w:szCs w:val="26"/>
        </w:rPr>
      </w:pPr>
      <w:r w:rsidRPr="00A57018">
        <w:rPr>
          <w:sz w:val="26"/>
          <w:szCs w:val="26"/>
        </w:rPr>
        <w:t xml:space="preserve">Both </w:t>
      </w:r>
      <w:r w:rsidR="00827BFD" w:rsidRPr="00A57018">
        <w:rPr>
          <w:sz w:val="26"/>
          <w:szCs w:val="26"/>
        </w:rPr>
        <w:t>FirstEnergy and Verizon agree</w:t>
      </w:r>
      <w:r w:rsidRPr="00A57018">
        <w:rPr>
          <w:sz w:val="26"/>
          <w:szCs w:val="26"/>
        </w:rPr>
        <w:t xml:space="preserve"> that the ALJ’s inclusion of a 60-day compliance period </w:t>
      </w:r>
      <w:bookmarkStart w:id="69" w:name="_Hlk56075262"/>
      <w:r w:rsidRPr="00A57018">
        <w:rPr>
          <w:sz w:val="26"/>
          <w:szCs w:val="26"/>
        </w:rPr>
        <w:t>to discuss the calculation of new telecom rates and overpayments</w:t>
      </w:r>
      <w:bookmarkEnd w:id="69"/>
      <w:r w:rsidRPr="00A57018">
        <w:rPr>
          <w:sz w:val="26"/>
          <w:szCs w:val="26"/>
        </w:rPr>
        <w:t xml:space="preserve"> is not necessary or </w:t>
      </w:r>
      <w:r w:rsidR="009B61D2" w:rsidRPr="00A57018">
        <w:rPr>
          <w:sz w:val="26"/>
          <w:szCs w:val="26"/>
        </w:rPr>
        <w:t>proper but</w:t>
      </w:r>
      <w:r w:rsidRPr="00A57018">
        <w:rPr>
          <w:sz w:val="26"/>
          <w:szCs w:val="26"/>
        </w:rPr>
        <w:t xml:space="preserve"> disagree about the reason</w:t>
      </w:r>
      <w:r w:rsidR="009B61D2" w:rsidRPr="00A57018">
        <w:rPr>
          <w:sz w:val="26"/>
          <w:szCs w:val="26"/>
        </w:rPr>
        <w:t>s</w:t>
      </w:r>
      <w:r w:rsidRPr="00A57018">
        <w:rPr>
          <w:sz w:val="26"/>
          <w:szCs w:val="26"/>
        </w:rPr>
        <w:t xml:space="preserve"> why.  </w:t>
      </w:r>
      <w:r w:rsidR="00DB00A3" w:rsidRPr="00A57018">
        <w:rPr>
          <w:i/>
          <w:iCs/>
          <w:sz w:val="26"/>
          <w:szCs w:val="26"/>
        </w:rPr>
        <w:t>See</w:t>
      </w:r>
      <w:r w:rsidR="00DB00A3" w:rsidRPr="00A57018">
        <w:rPr>
          <w:sz w:val="26"/>
          <w:szCs w:val="26"/>
        </w:rPr>
        <w:t xml:space="preserve"> FirstEnergy Exc. at</w:t>
      </w:r>
      <w:r w:rsidR="00955F50">
        <w:rPr>
          <w:sz w:val="26"/>
          <w:szCs w:val="26"/>
        </w:rPr>
        <w:t> </w:t>
      </w:r>
      <w:r w:rsidR="00DB00A3" w:rsidRPr="00A57018">
        <w:rPr>
          <w:sz w:val="26"/>
          <w:szCs w:val="26"/>
        </w:rPr>
        <w:t>32</w:t>
      </w:r>
      <w:r w:rsidR="00955F50">
        <w:rPr>
          <w:sz w:val="26"/>
          <w:szCs w:val="26"/>
        </w:rPr>
        <w:noBreakHyphen/>
      </w:r>
      <w:r w:rsidR="00DB00A3" w:rsidRPr="00A57018">
        <w:rPr>
          <w:sz w:val="26"/>
          <w:szCs w:val="26"/>
        </w:rPr>
        <w:t>33; Verizon Exc. at 11-14.</w:t>
      </w:r>
    </w:p>
    <w:p w14:paraId="07023DBE" w14:textId="77777777" w:rsidR="00765B4D" w:rsidRPr="00A57018" w:rsidRDefault="00765B4D" w:rsidP="00A57018">
      <w:pPr>
        <w:widowControl/>
        <w:spacing w:line="360" w:lineRule="auto"/>
        <w:ind w:firstLine="1440"/>
        <w:rPr>
          <w:i/>
          <w:iCs/>
          <w:sz w:val="26"/>
          <w:szCs w:val="26"/>
        </w:rPr>
      </w:pPr>
    </w:p>
    <w:p w14:paraId="480BCCCC" w14:textId="203F54E5" w:rsidR="00C673A4" w:rsidRPr="00A57018" w:rsidRDefault="00C673A4" w:rsidP="00A57018">
      <w:pPr>
        <w:widowControl/>
        <w:spacing w:line="360" w:lineRule="auto"/>
        <w:ind w:firstLine="1440"/>
        <w:rPr>
          <w:sz w:val="26"/>
          <w:szCs w:val="26"/>
        </w:rPr>
      </w:pPr>
      <w:r w:rsidRPr="00A57018">
        <w:rPr>
          <w:sz w:val="26"/>
          <w:szCs w:val="26"/>
        </w:rPr>
        <w:t>Both Parties contend that the Commission should decide this case based on the actual record evidence presented</w:t>
      </w:r>
      <w:r w:rsidR="0033141D" w:rsidRPr="00A57018">
        <w:rPr>
          <w:sz w:val="26"/>
          <w:szCs w:val="26"/>
        </w:rPr>
        <w:t xml:space="preserve">, and neither Party should be able “to present additional evidence and additional arguments regarding the inputs into the FCC’s new </w:t>
      </w:r>
      <w:r w:rsidR="0033141D" w:rsidRPr="00A57018">
        <w:rPr>
          <w:sz w:val="26"/>
          <w:szCs w:val="26"/>
        </w:rPr>
        <w:lastRenderedPageBreak/>
        <w:t xml:space="preserve">telecom formula rate that it could have, and should have, presented during the course of this proceeding.”  Verizon R. Exc. at 20 (citing FirstEnergy Exc. at 32).  </w:t>
      </w:r>
      <w:r w:rsidR="00705DA9" w:rsidRPr="00A57018">
        <w:rPr>
          <w:sz w:val="26"/>
          <w:szCs w:val="26"/>
        </w:rPr>
        <w:t>In its eleventh Exception, FirstEnergy argues that the deferred issues</w:t>
      </w:r>
      <w:r w:rsidR="00EF5A0A" w:rsidRPr="00A57018">
        <w:rPr>
          <w:sz w:val="26"/>
          <w:szCs w:val="26"/>
        </w:rPr>
        <w:t xml:space="preserve">, those which the 60-day compliance period would provide for “further investigation” of, arose where Verizon, the party with the ultimate burden of proof, failed to present sufficient evidence; therefore, rather than providing additional time for investigation of these factors, FirstEnergy contends </w:t>
      </w:r>
      <w:r w:rsidR="00DF6FEC" w:rsidRPr="00A57018">
        <w:rPr>
          <w:sz w:val="26"/>
          <w:szCs w:val="26"/>
        </w:rPr>
        <w:t>that the ALJ should have denied the Complaint because “without such evidence it is impossible for Verizon to prove that FirstEnergy’s current pole attachment rates are unjust and unreasonable and that Verizon’s calculations of the new telecom rates are just and reasonable under the Public Utility Code and Pennsylvania law</w:t>
      </w:r>
      <w:r w:rsidR="00EF5A0A" w:rsidRPr="00A57018">
        <w:rPr>
          <w:sz w:val="26"/>
          <w:szCs w:val="26"/>
        </w:rPr>
        <w:t>.</w:t>
      </w:r>
      <w:r w:rsidR="00FD3BCB" w:rsidRPr="00A57018">
        <w:rPr>
          <w:sz w:val="26"/>
          <w:szCs w:val="26"/>
        </w:rPr>
        <w:t>”</w:t>
      </w:r>
      <w:r w:rsidR="00DF6FEC" w:rsidRPr="00A57018">
        <w:rPr>
          <w:sz w:val="26"/>
          <w:szCs w:val="26"/>
        </w:rPr>
        <w:t xml:space="preserve">  FirstEnergy Exc. at</w:t>
      </w:r>
      <w:r w:rsidR="00955F50">
        <w:rPr>
          <w:sz w:val="26"/>
          <w:szCs w:val="26"/>
        </w:rPr>
        <w:t> </w:t>
      </w:r>
      <w:r w:rsidR="00DF6FEC" w:rsidRPr="00A57018">
        <w:rPr>
          <w:sz w:val="26"/>
          <w:szCs w:val="26"/>
        </w:rPr>
        <w:t>32</w:t>
      </w:r>
      <w:r w:rsidR="00FD3BCB" w:rsidRPr="00A57018">
        <w:rPr>
          <w:sz w:val="26"/>
          <w:szCs w:val="26"/>
        </w:rPr>
        <w:t>; FirstEnergy R. Exc. at 12.</w:t>
      </w:r>
      <w:r w:rsidR="00915508" w:rsidRPr="00A57018">
        <w:rPr>
          <w:sz w:val="26"/>
          <w:szCs w:val="26"/>
        </w:rPr>
        <w:t xml:space="preserve">  FirstEnergy adds that, should Verizon’s Complaint not be denied in its entirety, the Commission should use the inputs presented by FirstEnergy in its calculation of rates.</w:t>
      </w:r>
      <w:r w:rsidR="00915508" w:rsidRPr="00A57018">
        <w:rPr>
          <w:rStyle w:val="FootnoteReference"/>
          <w:sz w:val="26"/>
          <w:szCs w:val="26"/>
        </w:rPr>
        <w:footnoteReference w:id="44"/>
      </w:r>
      <w:r w:rsidR="00915508" w:rsidRPr="00A57018">
        <w:rPr>
          <w:sz w:val="26"/>
          <w:szCs w:val="26"/>
        </w:rPr>
        <w:t xml:space="preserve">  </w:t>
      </w:r>
    </w:p>
    <w:p w14:paraId="167FDE49" w14:textId="427F53BC" w:rsidR="00B44369" w:rsidRPr="00A57018" w:rsidRDefault="00B44369" w:rsidP="00A57018">
      <w:pPr>
        <w:widowControl/>
        <w:spacing w:line="360" w:lineRule="auto"/>
        <w:ind w:firstLine="1440"/>
        <w:rPr>
          <w:sz w:val="26"/>
          <w:szCs w:val="26"/>
        </w:rPr>
      </w:pPr>
    </w:p>
    <w:p w14:paraId="29BC3C7F" w14:textId="45BFCC27" w:rsidR="00B44369" w:rsidRPr="00A57018" w:rsidRDefault="00DF7C51" w:rsidP="00A57018">
      <w:pPr>
        <w:widowControl/>
        <w:spacing w:line="360" w:lineRule="auto"/>
        <w:ind w:firstLine="1440"/>
        <w:rPr>
          <w:sz w:val="26"/>
          <w:szCs w:val="26"/>
        </w:rPr>
      </w:pPr>
      <w:r w:rsidRPr="00A57018">
        <w:rPr>
          <w:sz w:val="26"/>
          <w:szCs w:val="26"/>
        </w:rPr>
        <w:t>In contrast</w:t>
      </w:r>
      <w:r w:rsidR="00B44369" w:rsidRPr="00A57018">
        <w:rPr>
          <w:sz w:val="26"/>
          <w:szCs w:val="26"/>
        </w:rPr>
        <w:t xml:space="preserve">, </w:t>
      </w:r>
      <w:r w:rsidR="009519CC" w:rsidRPr="00A57018">
        <w:rPr>
          <w:sz w:val="26"/>
          <w:szCs w:val="26"/>
        </w:rPr>
        <w:t>Verizon argues that FirstEnergy is wrong when it argues the compliance period would be used to remedy some deficiency in Verizon’s rate calculations, as the ALJ already found Verizon’s rate calculations to be the “properly calculated new telecom rates for Verizon’s use of FirstEnergy’s poles”</w:t>
      </w:r>
      <w:r w:rsidR="00DA6975" w:rsidRPr="00A57018">
        <w:rPr>
          <w:sz w:val="26"/>
          <w:szCs w:val="26"/>
        </w:rPr>
        <w:t xml:space="preserve"> and set the refund amount using those rates.  Verizon Exc. at 11-12 (citing R.D. at 8-10, Findings of Fact No. 11, 19).  </w:t>
      </w:r>
      <w:r w:rsidR="002E5EA4" w:rsidRPr="00A57018">
        <w:rPr>
          <w:sz w:val="26"/>
          <w:szCs w:val="26"/>
        </w:rPr>
        <w:t xml:space="preserve">Verizon contends that </w:t>
      </w:r>
      <w:r w:rsidR="006257BA" w:rsidRPr="00A57018">
        <w:rPr>
          <w:sz w:val="26"/>
          <w:szCs w:val="26"/>
        </w:rPr>
        <w:t xml:space="preserve">its new telecom rate and overpayment calculations are the only rate calculations in evidence that comply with the Commission’s Regulations and are supported by direct, surrebuttal, and surrejoinder testimony.  Verizon Exc. at 12 (citing Verizon St. </w:t>
      </w:r>
      <w:r w:rsidR="0098107C" w:rsidRPr="00A57018">
        <w:rPr>
          <w:sz w:val="26"/>
          <w:szCs w:val="26"/>
        </w:rPr>
        <w:t xml:space="preserve">No. </w:t>
      </w:r>
      <w:r w:rsidR="006257BA" w:rsidRPr="00A57018">
        <w:rPr>
          <w:sz w:val="26"/>
          <w:szCs w:val="26"/>
        </w:rPr>
        <w:t>2.0 at 4, Exh. MSC-1; Verizon St.</w:t>
      </w:r>
      <w:r w:rsidR="0098107C" w:rsidRPr="00A57018">
        <w:rPr>
          <w:sz w:val="26"/>
          <w:szCs w:val="26"/>
        </w:rPr>
        <w:t xml:space="preserve"> No.</w:t>
      </w:r>
      <w:r w:rsidR="006257BA" w:rsidRPr="00A57018">
        <w:rPr>
          <w:sz w:val="26"/>
          <w:szCs w:val="26"/>
        </w:rPr>
        <w:t xml:space="preserve"> 2.1 at 8-31; Verizon St.</w:t>
      </w:r>
      <w:r w:rsidR="0098107C" w:rsidRPr="00A57018">
        <w:rPr>
          <w:sz w:val="26"/>
          <w:szCs w:val="26"/>
        </w:rPr>
        <w:t xml:space="preserve"> No.</w:t>
      </w:r>
      <w:r w:rsidR="006257BA" w:rsidRPr="00A57018">
        <w:rPr>
          <w:sz w:val="26"/>
          <w:szCs w:val="26"/>
        </w:rPr>
        <w:t xml:space="preserve"> 2.2 at 18-19</w:t>
      </w:r>
      <w:r w:rsidR="000D6696" w:rsidRPr="00A57018">
        <w:rPr>
          <w:sz w:val="26"/>
          <w:szCs w:val="26"/>
        </w:rPr>
        <w:t>)</w:t>
      </w:r>
      <w:r w:rsidR="006257BA" w:rsidRPr="00A57018">
        <w:rPr>
          <w:sz w:val="26"/>
          <w:szCs w:val="26"/>
        </w:rPr>
        <w:t>.</w:t>
      </w:r>
      <w:r w:rsidR="0098107C" w:rsidRPr="00A57018">
        <w:rPr>
          <w:sz w:val="26"/>
          <w:szCs w:val="26"/>
        </w:rPr>
        <w:t xml:space="preserve"> </w:t>
      </w:r>
      <w:r w:rsidR="006257BA" w:rsidRPr="00A57018">
        <w:rPr>
          <w:sz w:val="26"/>
          <w:szCs w:val="26"/>
        </w:rPr>
        <w:t xml:space="preserve"> In contrast, Verizon indicated that FirstEnergy summarily stated that slightly different (and at times lower) new telecom rates should apply; however, </w:t>
      </w:r>
      <w:r w:rsidR="006257BA" w:rsidRPr="00A57018">
        <w:rPr>
          <w:sz w:val="26"/>
          <w:szCs w:val="26"/>
        </w:rPr>
        <w:lastRenderedPageBreak/>
        <w:t xml:space="preserve">FirstEnergy did not enter its calculations into evidence, fully address Verizon’s calculations, or respond to much of Verizon’s testimony explaining the consistency of Verizon’s rate calculations with the Commission’s Regulations.  Verizon Exc. at 12; Verizon R. Exc. at 20-21.  </w:t>
      </w:r>
    </w:p>
    <w:p w14:paraId="56AAB0BA" w14:textId="6D4AA403" w:rsidR="002950AE" w:rsidRPr="00A57018" w:rsidRDefault="002950AE" w:rsidP="00A57018">
      <w:pPr>
        <w:widowControl/>
        <w:spacing w:line="360" w:lineRule="auto"/>
        <w:ind w:firstLine="1440"/>
        <w:rPr>
          <w:sz w:val="26"/>
          <w:szCs w:val="26"/>
        </w:rPr>
      </w:pPr>
    </w:p>
    <w:p w14:paraId="6382FC20" w14:textId="5C8E7E7B" w:rsidR="002950AE" w:rsidRPr="00A57018" w:rsidRDefault="002950AE" w:rsidP="00A57018">
      <w:pPr>
        <w:widowControl/>
        <w:spacing w:line="360" w:lineRule="auto"/>
        <w:ind w:firstLine="1440"/>
        <w:rPr>
          <w:sz w:val="26"/>
          <w:szCs w:val="26"/>
        </w:rPr>
      </w:pPr>
      <w:r w:rsidRPr="00A57018">
        <w:rPr>
          <w:sz w:val="26"/>
          <w:szCs w:val="26"/>
        </w:rPr>
        <w:t>Verizon continues by asserting that the ALJ’s recommended compliance period would violate the Commission’s Regulations, which require “final action” by December</w:t>
      </w:r>
      <w:r w:rsidR="002E2629" w:rsidRPr="00A57018">
        <w:rPr>
          <w:sz w:val="26"/>
          <w:szCs w:val="26"/>
        </w:rPr>
        <w:t xml:space="preserve"> 2020</w:t>
      </w:r>
      <w:r w:rsidRPr="00A57018">
        <w:rPr>
          <w:sz w:val="26"/>
          <w:szCs w:val="26"/>
        </w:rPr>
        <w:t>.</w:t>
      </w:r>
      <w:r w:rsidR="002E2629" w:rsidRPr="00A57018">
        <w:rPr>
          <w:sz w:val="26"/>
          <w:szCs w:val="26"/>
        </w:rPr>
        <w:t xml:space="preserve">  Verizon Exc. at 13-14 (citing R.D. at 1 (“The Commission must act on this Recommended Decision no later than its Public Meeting on December 17, 2020.”); </w:t>
      </w:r>
      <w:r w:rsidR="002E2629" w:rsidRPr="00A57018">
        <w:rPr>
          <w:i/>
          <w:iCs/>
          <w:sz w:val="26"/>
          <w:szCs w:val="26"/>
        </w:rPr>
        <w:t>see also</w:t>
      </w:r>
      <w:r w:rsidR="002E2629" w:rsidRPr="00A57018">
        <w:rPr>
          <w:sz w:val="26"/>
          <w:szCs w:val="26"/>
        </w:rPr>
        <w:t xml:space="preserve"> 52 Pa. Code § 77.5(d); 47 U.S.C. § 224(c)(3)(b)(ii)).  </w:t>
      </w:r>
      <w:r w:rsidRPr="00A57018">
        <w:rPr>
          <w:sz w:val="26"/>
          <w:szCs w:val="26"/>
        </w:rPr>
        <w:t>Verizon contends that it would also give FirstEnergy another opportunity, after nearly a decade of delay, to stall the required pole attachment rate reductions and add costs and burdens to this litigation contrary to the Commission’s efforts to streamline, simplify, and reduce the costs of pole attachment litigation.</w:t>
      </w:r>
      <w:r w:rsidR="004F2BBB" w:rsidRPr="00A57018">
        <w:rPr>
          <w:sz w:val="26"/>
          <w:szCs w:val="26"/>
        </w:rPr>
        <w:t xml:space="preserve">  Verizon Exc. at 12-13 (citing </w:t>
      </w:r>
      <w:r w:rsidR="004F2BBB" w:rsidRPr="00A57018">
        <w:rPr>
          <w:i/>
          <w:iCs/>
          <w:sz w:val="26"/>
          <w:szCs w:val="26"/>
        </w:rPr>
        <w:t xml:space="preserve">2019 Final Rulemaking Order </w:t>
      </w:r>
      <w:r w:rsidR="004F2BBB" w:rsidRPr="00A57018">
        <w:rPr>
          <w:sz w:val="26"/>
          <w:szCs w:val="26"/>
        </w:rPr>
        <w:t>at 26 (“The Commission acknowledges how critical it is to provide regulatory certainty rather than additional burdens and expenses where broadband investment is contemplated and desired.”)</w:t>
      </w:r>
      <w:r w:rsidR="00250751" w:rsidRPr="00A57018">
        <w:rPr>
          <w:sz w:val="26"/>
          <w:szCs w:val="26"/>
        </w:rPr>
        <w:t xml:space="preserve">; </w:t>
      </w:r>
      <w:r w:rsidR="00250751" w:rsidRPr="00A57018">
        <w:rPr>
          <w:i/>
          <w:iCs/>
          <w:sz w:val="26"/>
          <w:szCs w:val="26"/>
        </w:rPr>
        <w:t>2019 Final Rulemaking Order</w:t>
      </w:r>
      <w:r w:rsidR="00250751" w:rsidRPr="00A57018">
        <w:rPr>
          <w:sz w:val="26"/>
          <w:szCs w:val="26"/>
        </w:rPr>
        <w:t xml:space="preserve"> at 6 (“The Commission believes its assertion of jurisdiction over pole attachments will assist in spurring investment in, and access to, physical infrastructure used to deliver essential broadband access service to end-user customers by reducing the time and resources spent on disputes ... as compared to the FCC.”)</w:t>
      </w:r>
      <w:r w:rsidR="004F2BBB" w:rsidRPr="00A57018">
        <w:rPr>
          <w:sz w:val="26"/>
          <w:szCs w:val="26"/>
        </w:rPr>
        <w:t>).</w:t>
      </w:r>
    </w:p>
    <w:p w14:paraId="4A0DAFA9" w14:textId="1108395A" w:rsidR="0097046D" w:rsidRPr="00A57018" w:rsidRDefault="0097046D" w:rsidP="00A57018">
      <w:pPr>
        <w:widowControl/>
        <w:spacing w:line="360" w:lineRule="auto"/>
        <w:ind w:firstLine="1440"/>
        <w:rPr>
          <w:sz w:val="26"/>
          <w:szCs w:val="26"/>
        </w:rPr>
      </w:pPr>
    </w:p>
    <w:p w14:paraId="77C380DE" w14:textId="448DEB5F" w:rsidR="003B3B11" w:rsidRPr="00A57018" w:rsidRDefault="003B3B11" w:rsidP="00AA6601">
      <w:pPr>
        <w:widowControl/>
        <w:spacing w:line="360" w:lineRule="auto"/>
        <w:ind w:firstLine="1440"/>
        <w:rPr>
          <w:sz w:val="26"/>
          <w:szCs w:val="26"/>
        </w:rPr>
      </w:pPr>
      <w:r w:rsidRPr="00A57018">
        <w:rPr>
          <w:sz w:val="26"/>
          <w:szCs w:val="26"/>
        </w:rPr>
        <w:t>FirstEnergy co</w:t>
      </w:r>
      <w:r w:rsidR="00825FDC" w:rsidRPr="00A57018">
        <w:rPr>
          <w:sz w:val="26"/>
          <w:szCs w:val="26"/>
        </w:rPr>
        <w:t>ncludes</w:t>
      </w:r>
      <w:r w:rsidRPr="00A57018">
        <w:rPr>
          <w:sz w:val="26"/>
          <w:szCs w:val="26"/>
        </w:rPr>
        <w:t xml:space="preserve"> its exception to the ALJ’s recommendation by arguing that 60-days is simply an unrealistic timeframe to expect both Parties to complete comprehensive reviews and reach a determination regarding the actual cost of capital to be used in the FCC’s new telecom rate formula.  FirstEnergy Exc. at 33.  </w:t>
      </w:r>
    </w:p>
    <w:p w14:paraId="79CD5C2A" w14:textId="7C074FCD" w:rsidR="00827BFD" w:rsidRPr="00A57018" w:rsidRDefault="00827BFD" w:rsidP="00AA6601">
      <w:pPr>
        <w:widowControl/>
        <w:spacing w:line="360" w:lineRule="auto"/>
        <w:rPr>
          <w:sz w:val="26"/>
          <w:szCs w:val="26"/>
        </w:rPr>
      </w:pPr>
    </w:p>
    <w:p w14:paraId="7878FDEB" w14:textId="6A07CC35" w:rsidR="001B1A77" w:rsidRPr="00A57018" w:rsidRDefault="009F458C" w:rsidP="00B57D93">
      <w:pPr>
        <w:pStyle w:val="Heading3"/>
        <w:keepNext/>
        <w:ind w:left="1440" w:hanging="720"/>
      </w:pPr>
      <w:bookmarkStart w:id="70" w:name="_Toc59179322"/>
      <w:r w:rsidRPr="00A57018">
        <w:lastRenderedPageBreak/>
        <w:t>Disposition</w:t>
      </w:r>
      <w:bookmarkEnd w:id="70"/>
    </w:p>
    <w:p w14:paraId="159B8A51" w14:textId="19D5E957" w:rsidR="00146324" w:rsidRPr="00A57018" w:rsidRDefault="00146324" w:rsidP="00B57D93">
      <w:pPr>
        <w:keepNext/>
        <w:widowControl/>
        <w:spacing w:line="360" w:lineRule="auto"/>
        <w:rPr>
          <w:sz w:val="26"/>
          <w:szCs w:val="26"/>
        </w:rPr>
      </w:pPr>
    </w:p>
    <w:p w14:paraId="3E65611C" w14:textId="44637CC8" w:rsidR="00146324" w:rsidRDefault="006C36CF" w:rsidP="00B57D93">
      <w:pPr>
        <w:keepNext/>
        <w:widowControl/>
        <w:spacing w:line="360" w:lineRule="auto"/>
        <w:ind w:left="90" w:firstLine="1350"/>
        <w:rPr>
          <w:sz w:val="26"/>
          <w:szCs w:val="26"/>
        </w:rPr>
      </w:pPr>
      <w:r w:rsidRPr="00A57018">
        <w:rPr>
          <w:sz w:val="26"/>
          <w:szCs w:val="26"/>
        </w:rPr>
        <w:t xml:space="preserve">The ALJ recommended a 60-day compliance phase during which a further investigation would be conducted to properly determine all inputs when establishing rates going forward and a refund created through the use of the “new telecom rate” methodology for pole attachments.  </w:t>
      </w:r>
      <w:r w:rsidR="00641FC6" w:rsidRPr="00081E8F">
        <w:rPr>
          <w:sz w:val="26"/>
          <w:szCs w:val="26"/>
        </w:rPr>
        <w:t>We see no need for a 60-day compliance period for the reasons set out above and reject the ALJ’s recommendation to that effect.</w:t>
      </w:r>
      <w:r w:rsidR="00641FC6">
        <w:rPr>
          <w:sz w:val="26"/>
          <w:szCs w:val="26"/>
        </w:rPr>
        <w:t xml:space="preserve">  </w:t>
      </w:r>
      <w:r w:rsidRPr="00A57018">
        <w:rPr>
          <w:sz w:val="26"/>
          <w:szCs w:val="26"/>
        </w:rPr>
        <w:t xml:space="preserve">Accordingly, we shall grant FirstEnergy Exception No. 11 and Verizon Exception No. 2 to the extent that the </w:t>
      </w:r>
      <w:r w:rsidR="00B72988" w:rsidRPr="00A57018">
        <w:rPr>
          <w:sz w:val="26"/>
          <w:szCs w:val="26"/>
        </w:rPr>
        <w:t>P</w:t>
      </w:r>
      <w:r w:rsidRPr="00A57018">
        <w:rPr>
          <w:sz w:val="26"/>
          <w:szCs w:val="26"/>
        </w:rPr>
        <w:t>arties object to the ALJ’s inclusion of a 60-day compliance period to discuss the calculations of new telecom rates and overpayments because such a compliance period is simply unnecessary</w:t>
      </w:r>
      <w:r w:rsidRPr="00955F50">
        <w:rPr>
          <w:sz w:val="26"/>
          <w:szCs w:val="26"/>
        </w:rPr>
        <w:t>.</w:t>
      </w:r>
    </w:p>
    <w:p w14:paraId="46FCD848" w14:textId="77777777" w:rsidR="00F00458" w:rsidRPr="00A57018" w:rsidRDefault="00F00458" w:rsidP="00AA6601">
      <w:pPr>
        <w:widowControl/>
        <w:spacing w:line="360" w:lineRule="auto"/>
        <w:ind w:left="90" w:firstLine="1350"/>
        <w:rPr>
          <w:sz w:val="26"/>
          <w:szCs w:val="26"/>
        </w:rPr>
      </w:pPr>
    </w:p>
    <w:p w14:paraId="2C12F21C" w14:textId="7E27CDC1" w:rsidR="001F7640" w:rsidRPr="00A57018" w:rsidRDefault="009F458C" w:rsidP="00A57018">
      <w:pPr>
        <w:pStyle w:val="Heading2"/>
        <w:widowControl/>
        <w:spacing w:line="240" w:lineRule="auto"/>
      </w:pPr>
      <w:bookmarkStart w:id="71" w:name="_Toc59179323"/>
      <w:bookmarkStart w:id="72" w:name="_Hlk54873378"/>
      <w:r w:rsidRPr="00A57018">
        <w:t>FirstEnergy’s Alternative Proposal to Use the Old Telecom Rate, Should the Commission Deem it Necessary to Revise the Joint Use Agreements</w:t>
      </w:r>
      <w:bookmarkEnd w:id="71"/>
    </w:p>
    <w:p w14:paraId="614F6395" w14:textId="19F1B305" w:rsidR="00832765" w:rsidRPr="00A57018" w:rsidRDefault="00832765" w:rsidP="00955F50">
      <w:pPr>
        <w:keepNext/>
        <w:keepLines/>
        <w:widowControl/>
        <w:spacing w:line="480" w:lineRule="auto"/>
        <w:rPr>
          <w:sz w:val="26"/>
          <w:szCs w:val="26"/>
        </w:rPr>
      </w:pPr>
    </w:p>
    <w:p w14:paraId="0A4F66DE" w14:textId="77777777" w:rsidR="009F458C" w:rsidRPr="00A57018" w:rsidRDefault="009F458C" w:rsidP="00A57018">
      <w:pPr>
        <w:pStyle w:val="Heading3"/>
        <w:numPr>
          <w:ilvl w:val="0"/>
          <w:numId w:val="25"/>
        </w:numPr>
        <w:ind w:left="1440" w:hanging="720"/>
      </w:pPr>
      <w:bookmarkStart w:id="73" w:name="_Toc59179324"/>
      <w:bookmarkStart w:id="74" w:name="_Hlk54873385"/>
      <w:r w:rsidRPr="00A57018">
        <w:t>Recommended Decision</w:t>
      </w:r>
      <w:bookmarkEnd w:id="73"/>
    </w:p>
    <w:p w14:paraId="2329FBA3" w14:textId="09312A94" w:rsidR="009F458C" w:rsidRPr="00955F50" w:rsidRDefault="009F458C" w:rsidP="00B57D93">
      <w:pPr>
        <w:pStyle w:val="Heading4"/>
        <w:widowControl/>
        <w:numPr>
          <w:ilvl w:val="0"/>
          <w:numId w:val="0"/>
        </w:numPr>
        <w:rPr>
          <w:b w:val="0"/>
          <w:bCs w:val="0"/>
        </w:rPr>
      </w:pPr>
    </w:p>
    <w:p w14:paraId="6D1E6A2C" w14:textId="199837C0" w:rsidR="00771E85" w:rsidRPr="00A57018" w:rsidRDefault="0038086E" w:rsidP="00A57018">
      <w:pPr>
        <w:widowControl/>
        <w:spacing w:line="360" w:lineRule="auto"/>
        <w:ind w:firstLine="1440"/>
        <w:rPr>
          <w:sz w:val="26"/>
          <w:szCs w:val="26"/>
        </w:rPr>
      </w:pPr>
      <w:r w:rsidRPr="00A57018">
        <w:rPr>
          <w:sz w:val="26"/>
          <w:szCs w:val="26"/>
        </w:rPr>
        <w:t>The ALJ rejected FirstEnergy’s alternative proposal to adopt the FCC’s “old telecom rate</w:t>
      </w:r>
      <w:r w:rsidR="00D86D6F" w:rsidRPr="00A57018">
        <w:rPr>
          <w:sz w:val="26"/>
          <w:szCs w:val="26"/>
        </w:rPr>
        <w:t>”</w:t>
      </w:r>
      <w:r w:rsidR="00F76D64" w:rsidRPr="00A57018">
        <w:rPr>
          <w:sz w:val="26"/>
          <w:szCs w:val="26"/>
        </w:rPr>
        <w:t xml:space="preserve"> instead of the “new telecom rate,” if the Commission decides that the existing rates under the J</w:t>
      </w:r>
      <w:r w:rsidR="00053825" w:rsidRPr="00A57018">
        <w:rPr>
          <w:sz w:val="26"/>
          <w:szCs w:val="26"/>
        </w:rPr>
        <w:t>UAs</w:t>
      </w:r>
      <w:r w:rsidR="00F76D64" w:rsidRPr="00A57018">
        <w:rPr>
          <w:sz w:val="26"/>
          <w:szCs w:val="26"/>
        </w:rPr>
        <w:t xml:space="preserve"> are not just and reasonable.  R.D. at 57.</w:t>
      </w:r>
      <w:r w:rsidR="002C552E" w:rsidRPr="00A57018">
        <w:rPr>
          <w:sz w:val="26"/>
          <w:szCs w:val="26"/>
        </w:rPr>
        <w:t xml:space="preserve">  FirstEnergy </w:t>
      </w:r>
      <w:r w:rsidR="00771E85" w:rsidRPr="00A57018">
        <w:rPr>
          <w:sz w:val="26"/>
          <w:szCs w:val="26"/>
        </w:rPr>
        <w:t>argued</w:t>
      </w:r>
      <w:r w:rsidR="002C552E" w:rsidRPr="00A57018">
        <w:rPr>
          <w:sz w:val="26"/>
          <w:szCs w:val="26"/>
        </w:rPr>
        <w:t xml:space="preserve">, </w:t>
      </w:r>
      <w:r w:rsidR="00771E85" w:rsidRPr="00A57018">
        <w:rPr>
          <w:sz w:val="26"/>
          <w:szCs w:val="26"/>
        </w:rPr>
        <w:t>that to the extent that the Commission determines the current rates are unjust and unreasonable, or sets new rates on policy grounds, the Commission should not simply insert the incremental-cost-based new telecom rate into the existing J</w:t>
      </w:r>
      <w:r w:rsidR="00053825" w:rsidRPr="00A57018">
        <w:rPr>
          <w:sz w:val="26"/>
          <w:szCs w:val="26"/>
        </w:rPr>
        <w:t>UAs</w:t>
      </w:r>
      <w:r w:rsidR="00771E85" w:rsidRPr="00A57018">
        <w:rPr>
          <w:sz w:val="26"/>
          <w:szCs w:val="26"/>
        </w:rPr>
        <w:t>, but should adopt the “old telecom rates</w:t>
      </w:r>
      <w:r w:rsidR="00D0618C" w:rsidRPr="00A57018">
        <w:rPr>
          <w:sz w:val="26"/>
          <w:szCs w:val="26"/>
        </w:rPr>
        <w:t>,</w:t>
      </w:r>
      <w:r w:rsidR="00771E85" w:rsidRPr="00A57018">
        <w:rPr>
          <w:sz w:val="26"/>
          <w:szCs w:val="26"/>
        </w:rPr>
        <w:t>” as calculated by FirstEnergy, which it describes as a “middle ground” between the existing rates and the new telecom rates.  FirstEnergy M.B. at 83-84.</w:t>
      </w:r>
      <w:r w:rsidR="00D13BE6" w:rsidRPr="00A57018">
        <w:rPr>
          <w:sz w:val="26"/>
          <w:szCs w:val="26"/>
        </w:rPr>
        <w:t xml:space="preserve">  The “old telecom rate” is established using the following formula:</w:t>
      </w:r>
    </w:p>
    <w:p w14:paraId="2712F201" w14:textId="08D17B74" w:rsidR="00D13BE6" w:rsidRPr="00A57018" w:rsidRDefault="00D13BE6" w:rsidP="00A57018">
      <w:pPr>
        <w:widowControl/>
        <w:spacing w:line="360" w:lineRule="auto"/>
        <w:rPr>
          <w:sz w:val="26"/>
          <w:szCs w:val="26"/>
        </w:rPr>
      </w:pPr>
    </w:p>
    <w:p w14:paraId="139A129C" w14:textId="5AF1FC52" w:rsidR="00D13BE6" w:rsidRPr="00A57018" w:rsidRDefault="00D13BE6" w:rsidP="00A57018">
      <w:pPr>
        <w:widowControl/>
        <w:spacing w:line="360" w:lineRule="auto"/>
        <w:jc w:val="center"/>
        <w:rPr>
          <w:sz w:val="26"/>
          <w:szCs w:val="26"/>
        </w:rPr>
      </w:pPr>
      <w:r w:rsidRPr="00A57018">
        <w:rPr>
          <w:rFonts w:eastAsia="PMingLiU"/>
          <w:noProof/>
          <w:sz w:val="26"/>
          <w:szCs w:val="26"/>
        </w:rPr>
        <w:lastRenderedPageBreak/>
        <w:drawing>
          <wp:inline distT="0" distB="0" distL="0" distR="0" wp14:anchorId="1069AC7C" wp14:editId="410ACA98">
            <wp:extent cx="5078095" cy="148399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18"/>
                    <a:stretch>
                      <a:fillRect/>
                    </a:stretch>
                  </pic:blipFill>
                  <pic:spPr>
                    <a:xfrm>
                      <a:off x="0" y="0"/>
                      <a:ext cx="5078095" cy="1483995"/>
                    </a:xfrm>
                    <a:prstGeom prst="rect">
                      <a:avLst/>
                    </a:prstGeom>
                  </pic:spPr>
                </pic:pic>
              </a:graphicData>
            </a:graphic>
          </wp:inline>
        </w:drawing>
      </w:r>
    </w:p>
    <w:p w14:paraId="6713DF2F" w14:textId="35B17FD6" w:rsidR="00D13BE6" w:rsidRPr="00A57018" w:rsidRDefault="00D13BE6" w:rsidP="00955F50">
      <w:pPr>
        <w:widowControl/>
        <w:rPr>
          <w:sz w:val="26"/>
          <w:szCs w:val="26"/>
        </w:rPr>
      </w:pPr>
    </w:p>
    <w:p w14:paraId="7581F986" w14:textId="3F8D6B00" w:rsidR="00D13BE6" w:rsidRPr="00A57018" w:rsidRDefault="00D13BE6" w:rsidP="00A57018">
      <w:pPr>
        <w:widowControl/>
        <w:spacing w:line="360" w:lineRule="auto"/>
        <w:rPr>
          <w:sz w:val="26"/>
          <w:szCs w:val="26"/>
        </w:rPr>
      </w:pPr>
      <w:r w:rsidRPr="00A57018">
        <w:rPr>
          <w:sz w:val="26"/>
          <w:szCs w:val="26"/>
        </w:rPr>
        <w:t>FirstEnergy M.B. at 84.</w:t>
      </w:r>
    </w:p>
    <w:p w14:paraId="2F4EBED6" w14:textId="77777777" w:rsidR="00765B4D" w:rsidRPr="00A57018" w:rsidRDefault="00765B4D" w:rsidP="00A57018">
      <w:pPr>
        <w:widowControl/>
        <w:spacing w:line="360" w:lineRule="auto"/>
        <w:rPr>
          <w:sz w:val="26"/>
          <w:szCs w:val="26"/>
        </w:rPr>
      </w:pPr>
    </w:p>
    <w:p w14:paraId="6F60B306" w14:textId="5F6EC6AB" w:rsidR="00D13BE6" w:rsidRPr="00A57018" w:rsidRDefault="005F0857" w:rsidP="00B57D93">
      <w:pPr>
        <w:widowControl/>
        <w:spacing w:line="360" w:lineRule="auto"/>
        <w:ind w:firstLine="1440"/>
        <w:rPr>
          <w:sz w:val="26"/>
          <w:szCs w:val="26"/>
        </w:rPr>
      </w:pPr>
      <w:r w:rsidRPr="00A57018">
        <w:rPr>
          <w:sz w:val="26"/>
          <w:szCs w:val="26"/>
        </w:rPr>
        <w:t xml:space="preserve">The ALJ reiterated his finding that the new telecom rate methodology set forth in Section 1.1406(d)(2) of the FCC’s regulations, and adopted by the Commission in Section 77.4 of the Commission’s Regulations, is the just and reasonable rate that should be used when determining the rate Verizon pays FirstEnergy to attach to its poles.  </w:t>
      </w:r>
      <w:r w:rsidR="00FD3719" w:rsidRPr="00A57018">
        <w:rPr>
          <w:sz w:val="26"/>
          <w:szCs w:val="26"/>
        </w:rPr>
        <w:t xml:space="preserve">Therefore, the ALJ explained that to use the old telecom rate because FirstEnergy believes that it constitutes a middle ground between the existing rates and the new telecom rate, is not reasonable when it is the new telecom rate that is the just and reasonable rate.  R.D. at 58-59.  </w:t>
      </w:r>
    </w:p>
    <w:p w14:paraId="6785F683" w14:textId="0F049D83" w:rsidR="0038086E" w:rsidRPr="00A57018" w:rsidRDefault="0038086E" w:rsidP="00B57D93">
      <w:pPr>
        <w:widowControl/>
        <w:spacing w:line="360" w:lineRule="auto"/>
        <w:rPr>
          <w:sz w:val="26"/>
          <w:szCs w:val="26"/>
        </w:rPr>
      </w:pPr>
    </w:p>
    <w:p w14:paraId="1CA75D68" w14:textId="0AED82E9" w:rsidR="009F458C" w:rsidRPr="00A57018" w:rsidRDefault="009F458C" w:rsidP="00B57D93">
      <w:pPr>
        <w:pStyle w:val="Heading3"/>
        <w:ind w:left="1440" w:hanging="720"/>
      </w:pPr>
      <w:bookmarkStart w:id="75" w:name="_Toc59179325"/>
      <w:r w:rsidRPr="00A57018">
        <w:t>Exceptions and Replies</w:t>
      </w:r>
      <w:r w:rsidR="00C12041" w:rsidRPr="00A57018">
        <w:t xml:space="preserve"> (FirstEnergy Exception No. 14)</w:t>
      </w:r>
      <w:bookmarkEnd w:id="75"/>
    </w:p>
    <w:p w14:paraId="5BB7134E" w14:textId="291A6778" w:rsidR="009F458C" w:rsidRPr="00B57D93" w:rsidRDefault="009F458C" w:rsidP="00B57D93">
      <w:pPr>
        <w:pStyle w:val="Heading4"/>
        <w:widowControl/>
        <w:numPr>
          <w:ilvl w:val="0"/>
          <w:numId w:val="0"/>
        </w:numPr>
        <w:rPr>
          <w:b w:val="0"/>
          <w:bCs w:val="0"/>
        </w:rPr>
      </w:pPr>
    </w:p>
    <w:p w14:paraId="7816074E" w14:textId="6547DF72" w:rsidR="00E51998" w:rsidRPr="00A57018" w:rsidRDefault="00E34227" w:rsidP="00B57D93">
      <w:pPr>
        <w:widowControl/>
        <w:spacing w:line="360" w:lineRule="auto"/>
        <w:ind w:firstLine="1440"/>
        <w:rPr>
          <w:sz w:val="26"/>
          <w:szCs w:val="26"/>
        </w:rPr>
      </w:pPr>
      <w:r w:rsidRPr="00A57018">
        <w:rPr>
          <w:sz w:val="26"/>
          <w:szCs w:val="26"/>
        </w:rPr>
        <w:t>In FirstEnergy’s fourteen</w:t>
      </w:r>
      <w:r w:rsidR="00AE0534" w:rsidRPr="00A57018">
        <w:rPr>
          <w:sz w:val="26"/>
          <w:szCs w:val="26"/>
        </w:rPr>
        <w:t>th</w:t>
      </w:r>
      <w:r w:rsidRPr="00A57018">
        <w:rPr>
          <w:sz w:val="26"/>
          <w:szCs w:val="26"/>
        </w:rPr>
        <w:t xml:space="preserve"> Exception, it </w:t>
      </w:r>
      <w:r w:rsidR="00296ACF" w:rsidRPr="00A57018">
        <w:rPr>
          <w:sz w:val="26"/>
          <w:szCs w:val="26"/>
        </w:rPr>
        <w:t>reiterates its argument that</w:t>
      </w:r>
      <w:r w:rsidR="00E51998" w:rsidRPr="00A57018">
        <w:rPr>
          <w:sz w:val="26"/>
          <w:szCs w:val="26"/>
        </w:rPr>
        <w:t xml:space="preserve"> Verizon has failed to demonstrate that it is entitled to the new telecom rate</w:t>
      </w:r>
      <w:r w:rsidR="00296ACF" w:rsidRPr="00A57018">
        <w:rPr>
          <w:sz w:val="26"/>
          <w:szCs w:val="26"/>
        </w:rPr>
        <w:t>,</w:t>
      </w:r>
      <w:r w:rsidR="00E51998" w:rsidRPr="00A57018">
        <w:rPr>
          <w:sz w:val="26"/>
          <w:szCs w:val="26"/>
        </w:rPr>
        <w:t xml:space="preserve"> and as such, “consistent with the 2018 Pole Attachment Order, the R</w:t>
      </w:r>
      <w:r w:rsidR="00DF7C51" w:rsidRPr="00A57018">
        <w:rPr>
          <w:sz w:val="26"/>
          <w:szCs w:val="26"/>
        </w:rPr>
        <w:t>.</w:t>
      </w:r>
      <w:r w:rsidR="00E51998" w:rsidRPr="00A57018">
        <w:rPr>
          <w:sz w:val="26"/>
          <w:szCs w:val="26"/>
        </w:rPr>
        <w:t>D</w:t>
      </w:r>
      <w:r w:rsidR="00DF7C51" w:rsidRPr="00A57018">
        <w:rPr>
          <w:sz w:val="26"/>
          <w:szCs w:val="26"/>
        </w:rPr>
        <w:t>.</w:t>
      </w:r>
      <w:r w:rsidR="00296ACF" w:rsidRPr="00A57018">
        <w:rPr>
          <w:sz w:val="26"/>
          <w:szCs w:val="26"/>
        </w:rPr>
        <w:t xml:space="preserve"> </w:t>
      </w:r>
      <w:r w:rsidR="00E51998" w:rsidRPr="00A57018">
        <w:rPr>
          <w:sz w:val="26"/>
          <w:szCs w:val="26"/>
        </w:rPr>
        <w:t xml:space="preserve">should have left it ‘to the parties to negotiate the appropriate rate or tradeoffs to account for such additional benefits,’ with the maximum rate being no more than the old telecom rate.”  FirstEnergy Exc. at 37 (citing FirstEnergy M.B. at 52; </w:t>
      </w:r>
      <w:r w:rsidR="00E51998" w:rsidRPr="00A57018">
        <w:rPr>
          <w:i/>
          <w:sz w:val="26"/>
          <w:szCs w:val="26"/>
        </w:rPr>
        <w:t>2018 Pole Attachment Order</w:t>
      </w:r>
      <w:r w:rsidR="00E51998" w:rsidRPr="00A57018">
        <w:rPr>
          <w:sz w:val="26"/>
          <w:szCs w:val="26"/>
        </w:rPr>
        <w:t xml:space="preserve"> at ¶¶ 128-129).  </w:t>
      </w:r>
    </w:p>
    <w:p w14:paraId="6076C87C" w14:textId="77777777" w:rsidR="00E51998" w:rsidRPr="00A57018" w:rsidRDefault="00E51998" w:rsidP="00A57018">
      <w:pPr>
        <w:widowControl/>
        <w:spacing w:line="360" w:lineRule="auto"/>
        <w:ind w:firstLine="1440"/>
        <w:rPr>
          <w:sz w:val="26"/>
          <w:szCs w:val="26"/>
        </w:rPr>
      </w:pPr>
    </w:p>
    <w:p w14:paraId="52D76DCB" w14:textId="4446031B" w:rsidR="00AE1086" w:rsidRPr="00A57018" w:rsidRDefault="00AE1086" w:rsidP="00AA6601">
      <w:pPr>
        <w:widowControl/>
        <w:spacing w:line="360" w:lineRule="auto"/>
        <w:ind w:firstLine="1440"/>
        <w:rPr>
          <w:sz w:val="26"/>
          <w:szCs w:val="26"/>
        </w:rPr>
      </w:pPr>
      <w:r w:rsidRPr="00A57018">
        <w:rPr>
          <w:sz w:val="26"/>
          <w:szCs w:val="26"/>
        </w:rPr>
        <w:t>In reply, Verizon maintains that, should</w:t>
      </w:r>
      <w:r w:rsidR="00296ACF" w:rsidRPr="00A57018">
        <w:rPr>
          <w:sz w:val="26"/>
          <w:szCs w:val="26"/>
        </w:rPr>
        <w:t xml:space="preserve"> the Commission decide to revise the rates Verizon pays under the JUAs,</w:t>
      </w:r>
      <w:r w:rsidRPr="00A57018">
        <w:rPr>
          <w:sz w:val="26"/>
          <w:szCs w:val="26"/>
        </w:rPr>
        <w:t xml:space="preserve"> the Commission does not have the option, under its binding Regulations to require Verizon </w:t>
      </w:r>
      <w:r w:rsidR="00356686" w:rsidRPr="00A57018">
        <w:rPr>
          <w:sz w:val="26"/>
          <w:szCs w:val="26"/>
        </w:rPr>
        <w:t xml:space="preserve">to </w:t>
      </w:r>
      <w:r w:rsidRPr="00A57018">
        <w:rPr>
          <w:sz w:val="26"/>
          <w:szCs w:val="26"/>
        </w:rPr>
        <w:t xml:space="preserve">pay a higher rate than the new telecom rate </w:t>
      </w:r>
      <w:r w:rsidRPr="00A57018">
        <w:rPr>
          <w:sz w:val="26"/>
          <w:szCs w:val="26"/>
        </w:rPr>
        <w:lastRenderedPageBreak/>
        <w:t xml:space="preserve">(the so-called “old telecom” rate) as a “compromise result.”  Verizon adds that it would be unwise </w:t>
      </w:r>
      <w:r w:rsidR="00A10BE2" w:rsidRPr="00A57018">
        <w:rPr>
          <w:sz w:val="26"/>
          <w:szCs w:val="26"/>
        </w:rPr>
        <w:t xml:space="preserve">to </w:t>
      </w:r>
      <w:r w:rsidRPr="00A57018">
        <w:rPr>
          <w:sz w:val="26"/>
          <w:szCs w:val="26"/>
        </w:rPr>
        <w:t>do so and would perpetuate the non-cost-based rate differences that deter infrastructure investment in Pennsylvania.  Therefore, Verizon contends that the new telecom rate must apply.  Verizon R. Exc. at 23-24.</w:t>
      </w:r>
    </w:p>
    <w:p w14:paraId="595AE5FB" w14:textId="53A40FA1" w:rsidR="005F1FC6" w:rsidRPr="00A57018" w:rsidRDefault="00296ACF" w:rsidP="00AA6601">
      <w:pPr>
        <w:widowControl/>
        <w:spacing w:line="360" w:lineRule="auto"/>
        <w:ind w:firstLine="1440"/>
        <w:rPr>
          <w:sz w:val="26"/>
          <w:szCs w:val="26"/>
        </w:rPr>
      </w:pPr>
      <w:r w:rsidRPr="00A57018">
        <w:rPr>
          <w:sz w:val="26"/>
          <w:szCs w:val="26"/>
        </w:rPr>
        <w:t xml:space="preserve"> </w:t>
      </w:r>
    </w:p>
    <w:p w14:paraId="196C7DD7" w14:textId="77777777" w:rsidR="009F458C" w:rsidRPr="00A57018" w:rsidRDefault="009F458C" w:rsidP="00AA6601">
      <w:pPr>
        <w:pStyle w:val="Heading3"/>
        <w:ind w:left="1440" w:hanging="720"/>
      </w:pPr>
      <w:bookmarkStart w:id="76" w:name="_Toc59179326"/>
      <w:r w:rsidRPr="00A57018">
        <w:t>Disposition</w:t>
      </w:r>
      <w:bookmarkEnd w:id="76"/>
    </w:p>
    <w:bookmarkEnd w:id="72"/>
    <w:bookmarkEnd w:id="74"/>
    <w:p w14:paraId="1B76AB12" w14:textId="77777777" w:rsidR="00D34351" w:rsidRPr="00A57018" w:rsidRDefault="00D34351" w:rsidP="00AA6601">
      <w:pPr>
        <w:keepNext/>
        <w:keepLines/>
        <w:widowControl/>
        <w:spacing w:line="360" w:lineRule="auto"/>
        <w:rPr>
          <w:sz w:val="26"/>
          <w:szCs w:val="26"/>
          <w:highlight w:val="green"/>
        </w:rPr>
      </w:pPr>
    </w:p>
    <w:p w14:paraId="1BA37DFF" w14:textId="6D0216F9" w:rsidR="00D34351" w:rsidRDefault="00D34351" w:rsidP="00AA6601">
      <w:pPr>
        <w:widowControl/>
        <w:spacing w:line="360" w:lineRule="auto"/>
        <w:ind w:firstLine="1440"/>
        <w:rPr>
          <w:color w:val="000000"/>
          <w:sz w:val="26"/>
          <w:szCs w:val="26"/>
        </w:rPr>
      </w:pPr>
      <w:r w:rsidRPr="00A57018">
        <w:rPr>
          <w:sz w:val="26"/>
          <w:szCs w:val="26"/>
        </w:rPr>
        <w:t>Upon review, we find that t</w:t>
      </w:r>
      <w:r w:rsidRPr="00A57018">
        <w:rPr>
          <w:color w:val="000000"/>
          <w:sz w:val="26"/>
          <w:szCs w:val="26"/>
        </w:rPr>
        <w:t xml:space="preserve">he ALJ correctly determined that the old telecom rate cannot be used because the new telecom rate is the just and reasonable rate under Chapter 77 of our Regulations which incorporates the FCC regulations.  Specifically, as discussed above, the record evidence demonstrates that the ALJ properly utilized the new telecom rate </w:t>
      </w:r>
      <w:r w:rsidRPr="00A57018">
        <w:rPr>
          <w:sz w:val="26"/>
          <w:szCs w:val="26"/>
        </w:rPr>
        <w:t>because FirstEnergy did not rebut the presumption under Section 1.1413(b) of the FCC regulations</w:t>
      </w:r>
      <w:r w:rsidRPr="00A57018">
        <w:rPr>
          <w:color w:val="000000"/>
          <w:sz w:val="26"/>
          <w:szCs w:val="26"/>
        </w:rPr>
        <w:t>.  Accordingly, we shall deny FirstEnergy Exception No. 14.</w:t>
      </w:r>
    </w:p>
    <w:p w14:paraId="04383FFA" w14:textId="77777777" w:rsidR="00F00458" w:rsidRPr="00A57018" w:rsidRDefault="00F00458" w:rsidP="00AA6601">
      <w:pPr>
        <w:widowControl/>
        <w:spacing w:line="360" w:lineRule="auto"/>
        <w:ind w:firstLine="1440"/>
        <w:rPr>
          <w:sz w:val="26"/>
          <w:szCs w:val="26"/>
        </w:rPr>
      </w:pPr>
    </w:p>
    <w:p w14:paraId="13B665DE" w14:textId="36BE84CF" w:rsidR="00832765" w:rsidRPr="00A57018" w:rsidRDefault="00173A4E" w:rsidP="00AA6601">
      <w:pPr>
        <w:pStyle w:val="Heading2"/>
        <w:widowControl/>
      </w:pPr>
      <w:bookmarkStart w:id="77" w:name="_Toc59179327"/>
      <w:r w:rsidRPr="00A57018">
        <w:t>FirstEnergy’s Deferral Proposal</w:t>
      </w:r>
      <w:bookmarkEnd w:id="77"/>
    </w:p>
    <w:p w14:paraId="633FAFAE" w14:textId="1D438466" w:rsidR="00381179" w:rsidRPr="00A57018" w:rsidRDefault="00381179" w:rsidP="00AA6601">
      <w:pPr>
        <w:keepNext/>
        <w:keepLines/>
        <w:widowControl/>
        <w:spacing w:line="360" w:lineRule="auto"/>
        <w:rPr>
          <w:sz w:val="26"/>
          <w:szCs w:val="26"/>
        </w:rPr>
      </w:pPr>
    </w:p>
    <w:p w14:paraId="1083BADE" w14:textId="77777777" w:rsidR="00173A4E" w:rsidRPr="00A57018" w:rsidRDefault="00173A4E" w:rsidP="00AA6601">
      <w:pPr>
        <w:pStyle w:val="Heading3"/>
        <w:numPr>
          <w:ilvl w:val="0"/>
          <w:numId w:val="26"/>
        </w:numPr>
        <w:ind w:left="1440" w:hanging="720"/>
      </w:pPr>
      <w:bookmarkStart w:id="78" w:name="_Toc59179328"/>
      <w:bookmarkStart w:id="79" w:name="_Hlk54873481"/>
      <w:r w:rsidRPr="00A57018">
        <w:t>Recommended Decision</w:t>
      </w:r>
      <w:bookmarkEnd w:id="78"/>
    </w:p>
    <w:p w14:paraId="28A4943E" w14:textId="622CB633" w:rsidR="00173A4E" w:rsidRPr="00A57018" w:rsidRDefault="00173A4E" w:rsidP="00AA6601">
      <w:pPr>
        <w:pStyle w:val="Heading4"/>
        <w:widowControl/>
        <w:numPr>
          <w:ilvl w:val="0"/>
          <w:numId w:val="0"/>
        </w:numPr>
        <w:ind w:left="2160"/>
      </w:pPr>
    </w:p>
    <w:p w14:paraId="68569CE4" w14:textId="63A26AA1" w:rsidR="00CE5749" w:rsidRPr="00A57018" w:rsidRDefault="00FB279E" w:rsidP="00AA6601">
      <w:pPr>
        <w:widowControl/>
        <w:spacing w:line="360" w:lineRule="auto"/>
        <w:ind w:firstLine="1440"/>
        <w:rPr>
          <w:sz w:val="26"/>
          <w:szCs w:val="26"/>
        </w:rPr>
      </w:pPr>
      <w:r w:rsidRPr="00A57018">
        <w:rPr>
          <w:sz w:val="26"/>
          <w:szCs w:val="26"/>
        </w:rPr>
        <w:t>As previously noted, the ALJ recommended that FirstEnergy’s base rate arguments be deferred for its next base rate proceeding.  R.D. at 59.</w:t>
      </w:r>
      <w:r w:rsidR="00F07E48" w:rsidRPr="00A57018">
        <w:rPr>
          <w:sz w:val="26"/>
          <w:szCs w:val="26"/>
        </w:rPr>
        <w:t xml:space="preserve">  The ALJ explained that although the </w:t>
      </w:r>
      <w:r w:rsidR="006B0584" w:rsidRPr="00A57018">
        <w:rPr>
          <w:sz w:val="26"/>
          <w:szCs w:val="26"/>
        </w:rPr>
        <w:t xml:space="preserve">rate base/rate of return form of regulation that FirstEnergy relies on must be viewed in light of the alternative form of regulation which Verizon operates under and through (the FCC’s pole attachment regulations adopted by the Commission through its </w:t>
      </w:r>
      <w:r w:rsidR="006B0584" w:rsidRPr="00A57018">
        <w:rPr>
          <w:i/>
          <w:iCs/>
          <w:sz w:val="26"/>
          <w:szCs w:val="26"/>
        </w:rPr>
        <w:t>2019 Final Rulemaking Order</w:t>
      </w:r>
      <w:r w:rsidR="006B0584" w:rsidRPr="00A57018">
        <w:rPr>
          <w:sz w:val="26"/>
          <w:szCs w:val="26"/>
        </w:rPr>
        <w:t xml:space="preserve">), this is not to say that FirstEnergy should suffer a lower return on its investment or not receive its guaranteed rate of return </w:t>
      </w:r>
      <w:bookmarkStart w:id="80" w:name="_Hlk55455676"/>
      <w:r w:rsidR="006B0584" w:rsidRPr="00A57018">
        <w:rPr>
          <w:sz w:val="26"/>
          <w:szCs w:val="26"/>
        </w:rPr>
        <w:t>as a result of using the new telecom rate methodology to determine the rates FirstEnergy can charge Verizon to attach to its poles</w:t>
      </w:r>
      <w:bookmarkEnd w:id="80"/>
      <w:r w:rsidR="006B0584" w:rsidRPr="00A57018">
        <w:rPr>
          <w:sz w:val="26"/>
          <w:szCs w:val="26"/>
        </w:rPr>
        <w:t xml:space="preserve">.  Therefore, the ALJ reasoned that FirstEnergy was free to make the argument that it should be permitted to “record as a regulatory asset the </w:t>
      </w:r>
      <w:r w:rsidR="006B0584" w:rsidRPr="00A57018">
        <w:rPr>
          <w:sz w:val="26"/>
          <w:szCs w:val="26"/>
        </w:rPr>
        <w:lastRenderedPageBreak/>
        <w:t xml:space="preserve">difference between the existing rates and the new rates and recover the difference in its next base rate case” as a part of its next base rate proceeding, </w:t>
      </w:r>
      <w:r w:rsidR="007F376B" w:rsidRPr="00A57018">
        <w:rPr>
          <w:sz w:val="26"/>
          <w:szCs w:val="26"/>
        </w:rPr>
        <w:t>“</w:t>
      </w:r>
      <w:r w:rsidR="006B0584" w:rsidRPr="00A57018">
        <w:rPr>
          <w:sz w:val="26"/>
          <w:szCs w:val="26"/>
        </w:rPr>
        <w:t>where these additional concepts and case precedent can be fully vetted.</w:t>
      </w:r>
      <w:r w:rsidR="007F376B" w:rsidRPr="00A57018">
        <w:rPr>
          <w:sz w:val="26"/>
          <w:szCs w:val="26"/>
        </w:rPr>
        <w:t>”</w:t>
      </w:r>
      <w:r w:rsidR="006B0584" w:rsidRPr="00A57018">
        <w:rPr>
          <w:sz w:val="26"/>
          <w:szCs w:val="26"/>
        </w:rPr>
        <w:t xml:space="preserve">  R.D. at 48, 59.  </w:t>
      </w:r>
    </w:p>
    <w:p w14:paraId="37559DEA" w14:textId="77777777" w:rsidR="00CE5749" w:rsidRPr="00A57018" w:rsidRDefault="00CE5749" w:rsidP="00A57018">
      <w:pPr>
        <w:widowControl/>
        <w:spacing w:line="360" w:lineRule="auto"/>
        <w:rPr>
          <w:sz w:val="26"/>
          <w:szCs w:val="26"/>
        </w:rPr>
      </w:pPr>
    </w:p>
    <w:p w14:paraId="4CD7CDD6" w14:textId="1B9A612E" w:rsidR="00173A4E" w:rsidRPr="00A57018" w:rsidRDefault="00173A4E" w:rsidP="00A57018">
      <w:pPr>
        <w:pStyle w:val="Heading3"/>
        <w:ind w:left="1440" w:hanging="720"/>
      </w:pPr>
      <w:bookmarkStart w:id="81" w:name="_Toc59179329"/>
      <w:r w:rsidRPr="00A57018">
        <w:t>Exceptions and Replies</w:t>
      </w:r>
      <w:r w:rsidR="00C12041" w:rsidRPr="00A57018">
        <w:t xml:space="preserve"> (FirstEnergy Exception No. 15)</w:t>
      </w:r>
      <w:bookmarkEnd w:id="81"/>
    </w:p>
    <w:p w14:paraId="0E00773E" w14:textId="17A10D47" w:rsidR="00173A4E" w:rsidRPr="00A57018" w:rsidRDefault="00173A4E" w:rsidP="00A57018">
      <w:pPr>
        <w:pStyle w:val="Heading4"/>
        <w:widowControl/>
        <w:numPr>
          <w:ilvl w:val="0"/>
          <w:numId w:val="0"/>
        </w:numPr>
        <w:ind w:left="2160"/>
      </w:pPr>
    </w:p>
    <w:p w14:paraId="1887099A" w14:textId="11DECF34" w:rsidR="000C1B11" w:rsidRDefault="001E413F" w:rsidP="00A57018">
      <w:pPr>
        <w:widowControl/>
        <w:spacing w:line="360" w:lineRule="auto"/>
        <w:ind w:firstLine="1440"/>
        <w:rPr>
          <w:sz w:val="26"/>
          <w:szCs w:val="26"/>
        </w:rPr>
      </w:pPr>
      <w:r w:rsidRPr="00A57018">
        <w:rPr>
          <w:sz w:val="26"/>
          <w:szCs w:val="26"/>
        </w:rPr>
        <w:t xml:space="preserve">In its fifteenth Exception, FirstEnergy excepts to the ALJ’s recommendation based on the allegation that he overlooked FirstEnergy’s proposal to defer and record as a regulatory asset the difference in revenues produced from new rates and existing rates plus carrying charges and permit </w:t>
      </w:r>
      <w:r w:rsidR="001C2636" w:rsidRPr="00A57018">
        <w:rPr>
          <w:sz w:val="26"/>
          <w:szCs w:val="26"/>
        </w:rPr>
        <w:t>the Companies</w:t>
      </w:r>
      <w:r w:rsidRPr="00A57018">
        <w:rPr>
          <w:sz w:val="26"/>
          <w:szCs w:val="26"/>
        </w:rPr>
        <w:t xml:space="preserve"> to claim and recover this deferred amount in their next base rate case.  FirstEnergy contends that in order to </w:t>
      </w:r>
      <w:r w:rsidR="006F6159" w:rsidRPr="00A57018">
        <w:rPr>
          <w:sz w:val="26"/>
          <w:szCs w:val="26"/>
        </w:rPr>
        <w:t>compensate for the negative impact Verizon’s proposed rate reduction would have on the</w:t>
      </w:r>
      <w:r w:rsidR="001C2636" w:rsidRPr="00A57018">
        <w:rPr>
          <w:sz w:val="26"/>
          <w:szCs w:val="26"/>
        </w:rPr>
        <w:t xml:space="preserve"> Companies</w:t>
      </w:r>
      <w:r w:rsidR="006F6159" w:rsidRPr="00A57018">
        <w:rPr>
          <w:sz w:val="26"/>
          <w:szCs w:val="26"/>
        </w:rPr>
        <w:t xml:space="preserve">’ opportunity to earn a fair rate of return on their investment in the joint-use poles, the Recommended Decision should be modified to clearly reflect FirstEnergy’s deferral proposal.  FirstEnergy Exc. at 38-39.  </w:t>
      </w:r>
    </w:p>
    <w:p w14:paraId="2BBFB14B" w14:textId="77777777" w:rsidR="00F00458" w:rsidRPr="00A57018" w:rsidRDefault="00F00458" w:rsidP="00A57018">
      <w:pPr>
        <w:widowControl/>
        <w:spacing w:line="360" w:lineRule="auto"/>
        <w:ind w:firstLine="1440"/>
        <w:rPr>
          <w:sz w:val="26"/>
          <w:szCs w:val="26"/>
        </w:rPr>
      </w:pPr>
    </w:p>
    <w:p w14:paraId="3165E2D8" w14:textId="17412ED7" w:rsidR="00D34351" w:rsidRDefault="007F6586" w:rsidP="00AA6601">
      <w:pPr>
        <w:widowControl/>
        <w:spacing w:line="360" w:lineRule="auto"/>
        <w:ind w:firstLine="1440"/>
        <w:rPr>
          <w:sz w:val="26"/>
          <w:szCs w:val="26"/>
        </w:rPr>
      </w:pPr>
      <w:r w:rsidRPr="00A57018">
        <w:rPr>
          <w:sz w:val="26"/>
          <w:szCs w:val="26"/>
        </w:rPr>
        <w:t>In reply, Verizon contends that there is no need to prematurely resolve an issue that has nothing to do with the lawful pole attachment rates required by the Commission</w:t>
      </w:r>
      <w:r w:rsidR="00780B1A" w:rsidRPr="00A57018">
        <w:rPr>
          <w:sz w:val="26"/>
          <w:szCs w:val="26"/>
        </w:rPr>
        <w:t>’s</w:t>
      </w:r>
      <w:r w:rsidRPr="00A57018">
        <w:rPr>
          <w:sz w:val="26"/>
          <w:szCs w:val="26"/>
        </w:rPr>
        <w:t xml:space="preserve"> Regulations, especially when it has been shown that the ALJ’s recommendation would have a nominal impact </w:t>
      </w:r>
      <w:r w:rsidR="001B6FBE" w:rsidRPr="00A57018">
        <w:rPr>
          <w:sz w:val="26"/>
          <w:szCs w:val="26"/>
        </w:rPr>
        <w:t xml:space="preserve">on </w:t>
      </w:r>
      <w:r w:rsidRPr="00A57018">
        <w:rPr>
          <w:sz w:val="26"/>
          <w:szCs w:val="26"/>
        </w:rPr>
        <w:t>base rates, since the overpayments at issue</w:t>
      </w:r>
      <w:r w:rsidR="00BD4563" w:rsidRPr="00A57018">
        <w:rPr>
          <w:sz w:val="26"/>
          <w:szCs w:val="26"/>
        </w:rPr>
        <w:t xml:space="preserve"> only</w:t>
      </w:r>
      <w:r w:rsidRPr="00A57018">
        <w:rPr>
          <w:sz w:val="26"/>
          <w:szCs w:val="26"/>
        </w:rPr>
        <w:t xml:space="preserve"> average about </w:t>
      </w:r>
      <w:r w:rsidRPr="00A57018">
        <w:rPr>
          <w:b/>
          <w:bCs/>
          <w:sz w:val="26"/>
          <w:szCs w:val="26"/>
        </w:rPr>
        <w:t>***BEGIN PROPRIETARY***</w:t>
      </w:r>
      <w:r w:rsidR="00B57D93">
        <w:rPr>
          <w:sz w:val="26"/>
          <w:szCs w:val="26"/>
        </w:rPr>
        <w:t xml:space="preserve"> </w:t>
      </w:r>
      <w:r w:rsidRPr="00A57018">
        <w:rPr>
          <w:b/>
          <w:bCs/>
          <w:sz w:val="26"/>
          <w:szCs w:val="26"/>
        </w:rPr>
        <w:t>***END PROPRIETARY***</w:t>
      </w:r>
      <w:r w:rsidR="008B1B17" w:rsidRPr="00A57018">
        <w:rPr>
          <w:b/>
          <w:bCs/>
          <w:sz w:val="26"/>
          <w:szCs w:val="26"/>
        </w:rPr>
        <w:t xml:space="preserve"> </w:t>
      </w:r>
      <w:r w:rsidR="008B1B17" w:rsidRPr="00A57018">
        <w:rPr>
          <w:sz w:val="26"/>
          <w:szCs w:val="26"/>
        </w:rPr>
        <w:t xml:space="preserve">percent of FirstEnergy’s annual operating revenues.  Verizon R. Exc. at 24-25.  </w:t>
      </w:r>
      <w:r w:rsidR="00D72A14" w:rsidRPr="00A57018">
        <w:rPr>
          <w:sz w:val="26"/>
          <w:szCs w:val="26"/>
        </w:rPr>
        <w:t xml:space="preserve">However, if </w:t>
      </w:r>
      <w:r w:rsidR="00281304" w:rsidRPr="00A57018">
        <w:rPr>
          <w:sz w:val="26"/>
          <w:szCs w:val="26"/>
        </w:rPr>
        <w:t xml:space="preserve">FirstEnergy finds </w:t>
      </w:r>
      <w:r w:rsidR="00D72A14" w:rsidRPr="00A57018">
        <w:rPr>
          <w:sz w:val="26"/>
          <w:szCs w:val="26"/>
        </w:rPr>
        <w:t xml:space="preserve">that, as a result of using the new telecom rate methodology to determine the rates FirstEnergy can charge Verizon to attach to its poles, an increase in base rates is warranted, the Recommended Decision “still gives FirstEnergy the opportunity to argue about whether it may recover the difference between its unlawful rates and the lawful rates </w:t>
      </w:r>
      <w:r w:rsidR="0061325B" w:rsidRPr="00A57018">
        <w:rPr>
          <w:sz w:val="26"/>
          <w:szCs w:val="26"/>
        </w:rPr>
        <w:t>‘</w:t>
      </w:r>
      <w:r w:rsidR="00D72A14" w:rsidRPr="00A57018">
        <w:rPr>
          <w:sz w:val="26"/>
          <w:szCs w:val="26"/>
        </w:rPr>
        <w:t>in First Energy’s next base rate proceeding where these additional concepts and case precedent can be fully vetted.</w:t>
      </w:r>
      <w:r w:rsidR="0061325B" w:rsidRPr="00A57018">
        <w:rPr>
          <w:sz w:val="26"/>
          <w:szCs w:val="26"/>
        </w:rPr>
        <w:t>’</w:t>
      </w:r>
      <w:r w:rsidR="00D72A14" w:rsidRPr="00A57018">
        <w:rPr>
          <w:sz w:val="26"/>
          <w:szCs w:val="26"/>
        </w:rPr>
        <w:t>”  Verizon R. Exc. at 24 (citing R.D. at 48).</w:t>
      </w:r>
    </w:p>
    <w:p w14:paraId="42EB3999" w14:textId="77777777" w:rsidR="00173A4E" w:rsidRPr="00A57018" w:rsidRDefault="00173A4E" w:rsidP="00AA6601">
      <w:pPr>
        <w:pStyle w:val="Heading3"/>
        <w:ind w:left="1440" w:hanging="720"/>
      </w:pPr>
      <w:bookmarkStart w:id="82" w:name="_Toc59179330"/>
      <w:r w:rsidRPr="00A57018">
        <w:lastRenderedPageBreak/>
        <w:t>Disposition</w:t>
      </w:r>
      <w:bookmarkEnd w:id="82"/>
    </w:p>
    <w:bookmarkEnd w:id="79"/>
    <w:p w14:paraId="423AFCE5" w14:textId="6B377B5F" w:rsidR="00381179" w:rsidRPr="00A57018" w:rsidRDefault="00381179" w:rsidP="00AA6601">
      <w:pPr>
        <w:widowControl/>
        <w:spacing w:line="360" w:lineRule="auto"/>
        <w:rPr>
          <w:sz w:val="26"/>
          <w:szCs w:val="26"/>
        </w:rPr>
      </w:pPr>
    </w:p>
    <w:p w14:paraId="4A84E50C" w14:textId="08AAD23D" w:rsidR="00146324" w:rsidRDefault="001C0732" w:rsidP="00AA6601">
      <w:pPr>
        <w:widowControl/>
        <w:spacing w:line="360" w:lineRule="auto"/>
        <w:ind w:firstLine="1440"/>
        <w:rPr>
          <w:color w:val="000000"/>
          <w:sz w:val="26"/>
          <w:szCs w:val="26"/>
        </w:rPr>
      </w:pPr>
      <w:r w:rsidRPr="00A57018">
        <w:rPr>
          <w:color w:val="000000"/>
          <w:sz w:val="26"/>
          <w:szCs w:val="26"/>
        </w:rPr>
        <w:t>In the Recommended Decision, the AL</w:t>
      </w:r>
      <w:r w:rsidR="00B36E78" w:rsidRPr="00A57018">
        <w:rPr>
          <w:color w:val="000000"/>
          <w:sz w:val="26"/>
          <w:szCs w:val="26"/>
        </w:rPr>
        <w:t>J</w:t>
      </w:r>
      <w:r w:rsidRPr="00A57018">
        <w:rPr>
          <w:color w:val="000000"/>
          <w:sz w:val="26"/>
          <w:szCs w:val="26"/>
        </w:rPr>
        <w:t xml:space="preserve"> determined that FirstEnergy should have been charging Verizon the new telecom rate and </w:t>
      </w:r>
      <w:r w:rsidR="00B36E78" w:rsidRPr="00A57018">
        <w:rPr>
          <w:color w:val="000000"/>
          <w:sz w:val="26"/>
          <w:szCs w:val="26"/>
        </w:rPr>
        <w:t xml:space="preserve">that </w:t>
      </w:r>
      <w:r w:rsidRPr="00A57018">
        <w:rPr>
          <w:color w:val="000000"/>
          <w:sz w:val="26"/>
          <w:szCs w:val="26"/>
        </w:rPr>
        <w:t xml:space="preserve">the Companies are free to make the argument that they should be permitted to record as a regulatory asset the difference in revenues produced from the existing rates and the new rates and recover the difference in their next base rate cases.  </w:t>
      </w:r>
      <w:r w:rsidR="00B36E78" w:rsidRPr="00A57018">
        <w:rPr>
          <w:color w:val="000000"/>
          <w:sz w:val="26"/>
          <w:szCs w:val="26"/>
        </w:rPr>
        <w:t xml:space="preserve">We find no error in the ALJ’s statement that FirstEnergy’s base rate arguments can be deferred to the Companies’ next base </w:t>
      </w:r>
      <w:r w:rsidR="00647690">
        <w:rPr>
          <w:color w:val="000000"/>
          <w:sz w:val="26"/>
          <w:szCs w:val="26"/>
        </w:rPr>
        <w:t xml:space="preserve">rate </w:t>
      </w:r>
      <w:r w:rsidR="00B36E78" w:rsidRPr="00A57018">
        <w:rPr>
          <w:color w:val="000000"/>
          <w:sz w:val="26"/>
          <w:szCs w:val="26"/>
        </w:rPr>
        <w:t xml:space="preserve">proceedings where the issues can be fully vetted.  Moreover, it is not clear from the evidence of record whether our decision in this Opinion and Order would necessarily trigger a base rate proceeding or a rate increase for any of the Companies.  Thus, we shall not prejudge this issue in this proceeding.  Accordingly, we shall deny FirstEnergy Exception No. 15.  </w:t>
      </w:r>
    </w:p>
    <w:p w14:paraId="1C501726" w14:textId="77777777" w:rsidR="00F00458" w:rsidRPr="00A57018" w:rsidRDefault="00F00458" w:rsidP="00AA6601">
      <w:pPr>
        <w:widowControl/>
        <w:spacing w:line="360" w:lineRule="auto"/>
        <w:ind w:firstLine="1440"/>
        <w:rPr>
          <w:sz w:val="26"/>
          <w:szCs w:val="26"/>
        </w:rPr>
      </w:pPr>
    </w:p>
    <w:p w14:paraId="477CAF6B" w14:textId="503874CC" w:rsidR="00945657" w:rsidRPr="00A57018" w:rsidRDefault="00945657" w:rsidP="00A57018">
      <w:pPr>
        <w:pStyle w:val="Heading2"/>
        <w:widowControl/>
        <w:spacing w:line="240" w:lineRule="auto"/>
      </w:pPr>
      <w:bookmarkStart w:id="83" w:name="_Toc59179331"/>
      <w:r w:rsidRPr="00A57018">
        <w:t>ALJ’s Determination that FirstEnergy Does Not Possess and Did Not Leverage Bargaining Power Over Verizon During Rate Negotiations</w:t>
      </w:r>
      <w:bookmarkEnd w:id="83"/>
    </w:p>
    <w:p w14:paraId="0A8A0F9E" w14:textId="4D3DAC7A" w:rsidR="00381179" w:rsidRPr="00A57018" w:rsidRDefault="00381179" w:rsidP="007D50B6">
      <w:pPr>
        <w:keepNext/>
        <w:keepLines/>
        <w:widowControl/>
        <w:spacing w:line="480" w:lineRule="auto"/>
        <w:rPr>
          <w:sz w:val="26"/>
          <w:szCs w:val="26"/>
        </w:rPr>
      </w:pPr>
    </w:p>
    <w:p w14:paraId="0E99EBD2" w14:textId="77777777" w:rsidR="00945657" w:rsidRPr="00A57018" w:rsidRDefault="00945657" w:rsidP="00A57018">
      <w:pPr>
        <w:pStyle w:val="Heading3"/>
        <w:numPr>
          <w:ilvl w:val="0"/>
          <w:numId w:val="27"/>
        </w:numPr>
        <w:ind w:left="1440" w:hanging="720"/>
      </w:pPr>
      <w:bookmarkStart w:id="84" w:name="_Toc59179332"/>
      <w:r w:rsidRPr="00A57018">
        <w:t>Recommended Decision</w:t>
      </w:r>
      <w:bookmarkEnd w:id="84"/>
    </w:p>
    <w:p w14:paraId="41F87DE1" w14:textId="7EA9B919" w:rsidR="00945657" w:rsidRPr="007D50B6" w:rsidRDefault="00945657" w:rsidP="00A57018">
      <w:pPr>
        <w:pStyle w:val="Heading4"/>
        <w:widowControl/>
        <w:numPr>
          <w:ilvl w:val="0"/>
          <w:numId w:val="0"/>
        </w:numPr>
        <w:ind w:left="2160"/>
        <w:rPr>
          <w:b w:val="0"/>
          <w:bCs w:val="0"/>
        </w:rPr>
      </w:pPr>
    </w:p>
    <w:p w14:paraId="502EE60C" w14:textId="46C4587B" w:rsidR="00CE147C" w:rsidRPr="00A57018" w:rsidRDefault="00CE147C" w:rsidP="00A57018">
      <w:pPr>
        <w:widowControl/>
        <w:spacing w:line="360" w:lineRule="auto"/>
        <w:ind w:firstLine="1440"/>
        <w:rPr>
          <w:sz w:val="26"/>
          <w:szCs w:val="26"/>
        </w:rPr>
      </w:pPr>
      <w:r w:rsidRPr="00A57018">
        <w:rPr>
          <w:sz w:val="26"/>
          <w:szCs w:val="26"/>
        </w:rPr>
        <w:t>As previously noted, the Parties introduced additional issues as part of this proceeding, which the ALJ deemed not relevant to the key issues in this case.  One of these being Verizon’s argument that FirstEnergy’s three-to-one pole ownership advantage provides superior bargaining power</w:t>
      </w:r>
      <w:r w:rsidR="00214A4E" w:rsidRPr="00A57018">
        <w:rPr>
          <w:sz w:val="26"/>
          <w:szCs w:val="26"/>
        </w:rPr>
        <w:t xml:space="preserve"> to impose and continue charging unreasonably high pole attachment rates.  R.D. at 49.  The ALJ found that ILECs do not need to prove an electric utility has superior bargaining power to obtain just and reasonable rates.  As the ALJ explained, the Commission’s Regulations “</w:t>
      </w:r>
      <w:r w:rsidR="003D5CDF" w:rsidRPr="00A57018">
        <w:rPr>
          <w:sz w:val="26"/>
          <w:szCs w:val="26"/>
        </w:rPr>
        <w:t>simplify [</w:t>
      </w:r>
      <w:r w:rsidR="00214A4E" w:rsidRPr="00A57018">
        <w:rPr>
          <w:sz w:val="26"/>
          <w:szCs w:val="26"/>
        </w:rPr>
        <w:t xml:space="preserve"> ] the issues in this case” by presuming the just and reasonable rate is the new telecom rate regardless of an inquiry into bargaining power.  </w:t>
      </w:r>
      <w:r w:rsidR="00214A4E" w:rsidRPr="00A57018">
        <w:rPr>
          <w:i/>
          <w:iCs/>
          <w:sz w:val="26"/>
          <w:szCs w:val="26"/>
        </w:rPr>
        <w:t>Id</w:t>
      </w:r>
      <w:r w:rsidR="00214A4E" w:rsidRPr="00A57018">
        <w:rPr>
          <w:sz w:val="26"/>
          <w:szCs w:val="26"/>
        </w:rPr>
        <w:t xml:space="preserve">.  </w:t>
      </w:r>
      <w:r w:rsidR="00C10E5A" w:rsidRPr="00A57018">
        <w:rPr>
          <w:sz w:val="26"/>
          <w:szCs w:val="26"/>
        </w:rPr>
        <w:t>The ALJ stated that “</w:t>
      </w:r>
      <w:r w:rsidR="00996A70" w:rsidRPr="00A57018">
        <w:rPr>
          <w:sz w:val="26"/>
          <w:szCs w:val="26"/>
        </w:rPr>
        <w:t>[s]</w:t>
      </w:r>
      <w:r w:rsidR="00C10E5A" w:rsidRPr="00A57018">
        <w:rPr>
          <w:sz w:val="26"/>
          <w:szCs w:val="26"/>
        </w:rPr>
        <w:t xml:space="preserve">ince both Verizon and FirstEnergy own poles and provide access to the other through separate pole </w:t>
      </w:r>
      <w:r w:rsidR="00C10E5A" w:rsidRPr="00A57018">
        <w:rPr>
          <w:sz w:val="26"/>
          <w:szCs w:val="26"/>
        </w:rPr>
        <w:lastRenderedPageBreak/>
        <w:t>attachment agreements, it cannot be said that one has bargaining power or leverage over the other based on the number of poles each owns.</w:t>
      </w:r>
      <w:r w:rsidR="00996A70" w:rsidRPr="00A57018">
        <w:rPr>
          <w:sz w:val="26"/>
          <w:szCs w:val="26"/>
        </w:rPr>
        <w:t xml:space="preserve">”  The ALJ goes on to explain that “[t]he purpose of the pole attachment agreement is to ensure Verizon and First Energy work together to provide safe and adequate utility services and just and reasonable rates to as many Pennsylvanians as possible while deploying broadband services.  Either party losing the opportunity to do this would be unfortunate.  Considering bargaining power of one party over the other unnecessarily complicates the issues in this case and takes the focus away from whether the requirements in Section 1.1413, as adopted by the Commission, have been satisfied.”  </w:t>
      </w:r>
      <w:r w:rsidR="00996A70" w:rsidRPr="00A57018">
        <w:rPr>
          <w:i/>
          <w:iCs/>
          <w:sz w:val="26"/>
          <w:szCs w:val="26"/>
        </w:rPr>
        <w:t>Id</w:t>
      </w:r>
      <w:r w:rsidR="00996A70" w:rsidRPr="00A57018">
        <w:rPr>
          <w:sz w:val="26"/>
          <w:szCs w:val="26"/>
        </w:rPr>
        <w:t xml:space="preserve">.  </w:t>
      </w:r>
    </w:p>
    <w:p w14:paraId="2BD0D8F0" w14:textId="77777777" w:rsidR="00CE147C" w:rsidRPr="00A57018" w:rsidRDefault="00CE147C" w:rsidP="00A57018">
      <w:pPr>
        <w:widowControl/>
        <w:spacing w:line="360" w:lineRule="auto"/>
        <w:rPr>
          <w:sz w:val="26"/>
          <w:szCs w:val="26"/>
        </w:rPr>
      </w:pPr>
    </w:p>
    <w:p w14:paraId="7501E91E" w14:textId="4628CDE3" w:rsidR="00945657" w:rsidRPr="00A57018" w:rsidRDefault="00945657" w:rsidP="00A57018">
      <w:pPr>
        <w:pStyle w:val="Heading3"/>
        <w:ind w:left="1440" w:hanging="720"/>
      </w:pPr>
      <w:bookmarkStart w:id="85" w:name="_Toc59179333"/>
      <w:r w:rsidRPr="00A57018">
        <w:t>Exceptions and Replies</w:t>
      </w:r>
      <w:r w:rsidR="00C12041" w:rsidRPr="00A57018">
        <w:t xml:space="preserve"> (Verizon Exception No. 3)</w:t>
      </w:r>
      <w:bookmarkEnd w:id="85"/>
    </w:p>
    <w:p w14:paraId="65590F92" w14:textId="7373E477" w:rsidR="00945657" w:rsidRPr="00A57018" w:rsidRDefault="00945657" w:rsidP="00A57018">
      <w:pPr>
        <w:pStyle w:val="Heading4"/>
        <w:widowControl/>
        <w:numPr>
          <w:ilvl w:val="0"/>
          <w:numId w:val="0"/>
        </w:numPr>
        <w:ind w:left="2160"/>
      </w:pPr>
    </w:p>
    <w:p w14:paraId="40109BCC" w14:textId="4F1F26AC" w:rsidR="00FF1255" w:rsidRPr="00A57018" w:rsidRDefault="00157379" w:rsidP="00A57018">
      <w:pPr>
        <w:widowControl/>
        <w:spacing w:line="360" w:lineRule="auto"/>
        <w:ind w:firstLine="1440"/>
        <w:rPr>
          <w:sz w:val="26"/>
          <w:szCs w:val="26"/>
        </w:rPr>
      </w:pPr>
      <w:r w:rsidRPr="00A57018">
        <w:rPr>
          <w:sz w:val="26"/>
          <w:szCs w:val="26"/>
        </w:rPr>
        <w:t xml:space="preserve">Verizon agrees with the Recommended Decision to the extent that the ALJ found that ILECs do not need to prove an electric utility has superior bargaining power to obtain just and reasonable rates; however, Verizon argues that the Recommended Decision goes too far in reaching its conclusion, </w:t>
      </w:r>
      <w:r w:rsidR="001B456F" w:rsidRPr="00A57018">
        <w:rPr>
          <w:sz w:val="26"/>
          <w:szCs w:val="26"/>
        </w:rPr>
        <w:t xml:space="preserve">by </w:t>
      </w:r>
      <w:r w:rsidRPr="00A57018">
        <w:rPr>
          <w:sz w:val="26"/>
          <w:szCs w:val="26"/>
        </w:rPr>
        <w:t>stating that “First Energy does not p</w:t>
      </w:r>
      <w:r w:rsidR="00E14777" w:rsidRPr="00A57018">
        <w:rPr>
          <w:sz w:val="26"/>
          <w:szCs w:val="26"/>
        </w:rPr>
        <w:t>ossess</w:t>
      </w:r>
      <w:r w:rsidRPr="00A57018">
        <w:rPr>
          <w:sz w:val="26"/>
          <w:szCs w:val="26"/>
        </w:rPr>
        <w:t xml:space="preserve"> or leverage bargaining power during rate negotiations because, among other things, owning more poles than Verizon do</w:t>
      </w:r>
      <w:r w:rsidR="00E346CB" w:rsidRPr="00A57018">
        <w:rPr>
          <w:sz w:val="26"/>
          <w:szCs w:val="26"/>
        </w:rPr>
        <w:t>es</w:t>
      </w:r>
      <w:r w:rsidRPr="00A57018">
        <w:rPr>
          <w:sz w:val="26"/>
          <w:szCs w:val="26"/>
        </w:rPr>
        <w:t xml:space="preserve"> not give First Energy bargaining power and Verizon has less costly alternatives.”  Verizon Exc. at 14-15 (citing</w:t>
      </w:r>
      <w:r w:rsidR="00B7712A" w:rsidRPr="00A57018">
        <w:rPr>
          <w:sz w:val="26"/>
          <w:szCs w:val="26"/>
        </w:rPr>
        <w:t xml:space="preserve"> </w:t>
      </w:r>
      <w:r w:rsidRPr="00A57018">
        <w:rPr>
          <w:sz w:val="26"/>
          <w:szCs w:val="26"/>
        </w:rPr>
        <w:t>R.D. at 49).</w:t>
      </w:r>
      <w:r w:rsidR="00207452" w:rsidRPr="00A57018">
        <w:rPr>
          <w:sz w:val="26"/>
          <w:szCs w:val="26"/>
        </w:rPr>
        <w:t xml:space="preserve">  </w:t>
      </w:r>
      <w:r w:rsidR="00D408DF" w:rsidRPr="00A57018">
        <w:rPr>
          <w:sz w:val="26"/>
          <w:szCs w:val="26"/>
        </w:rPr>
        <w:t>Therefore, Verizon submits that, since the Commission need not take a position on bargaining power in this case,</w:t>
      </w:r>
      <w:r w:rsidR="0090060E" w:rsidRPr="00A57018">
        <w:rPr>
          <w:rStyle w:val="FootnoteReference"/>
          <w:sz w:val="26"/>
          <w:szCs w:val="26"/>
        </w:rPr>
        <w:footnoteReference w:id="45"/>
      </w:r>
      <w:r w:rsidR="00D408DF" w:rsidRPr="00A57018">
        <w:rPr>
          <w:sz w:val="26"/>
          <w:szCs w:val="26"/>
        </w:rPr>
        <w:t xml:space="preserve"> the Commission should delete the contrary and incorrect conclusion from its final order.  Verizon Exc. at 17.  </w:t>
      </w:r>
    </w:p>
    <w:p w14:paraId="474C51C5" w14:textId="77777777" w:rsidR="00534AF9" w:rsidRPr="00A57018" w:rsidRDefault="00534AF9" w:rsidP="00A57018">
      <w:pPr>
        <w:widowControl/>
        <w:spacing w:line="360" w:lineRule="auto"/>
        <w:rPr>
          <w:sz w:val="26"/>
          <w:szCs w:val="26"/>
        </w:rPr>
      </w:pPr>
    </w:p>
    <w:p w14:paraId="5B39366F" w14:textId="6549D192" w:rsidR="000B438F" w:rsidRPr="00A57018" w:rsidRDefault="000B438F" w:rsidP="00A57018">
      <w:pPr>
        <w:widowControl/>
        <w:spacing w:line="360" w:lineRule="auto"/>
        <w:ind w:firstLine="1440"/>
        <w:rPr>
          <w:sz w:val="26"/>
          <w:szCs w:val="26"/>
        </w:rPr>
      </w:pPr>
      <w:r w:rsidRPr="00A57018">
        <w:rPr>
          <w:sz w:val="26"/>
          <w:szCs w:val="26"/>
        </w:rPr>
        <w:t>As an overarching argument, FirstEnergy claim</w:t>
      </w:r>
      <w:r w:rsidR="000E6894" w:rsidRPr="00A57018">
        <w:rPr>
          <w:sz w:val="26"/>
          <w:szCs w:val="26"/>
        </w:rPr>
        <w:t>ed</w:t>
      </w:r>
      <w:r w:rsidR="00154EB5" w:rsidRPr="00A57018">
        <w:rPr>
          <w:sz w:val="26"/>
          <w:szCs w:val="26"/>
        </w:rPr>
        <w:t xml:space="preserve"> that its pole ownership majority does not show bargaining power because, absent joint use, it would be </w:t>
      </w:r>
      <w:r w:rsidR="00154EB5" w:rsidRPr="00A57018">
        <w:rPr>
          <w:sz w:val="26"/>
          <w:szCs w:val="26"/>
        </w:rPr>
        <w:lastRenderedPageBreak/>
        <w:t xml:space="preserve">economically and legally difficult for FirstEnergy to deploy its facilities elsewhere.  </w:t>
      </w:r>
      <w:r w:rsidRPr="00A57018">
        <w:rPr>
          <w:sz w:val="26"/>
          <w:szCs w:val="26"/>
        </w:rPr>
        <w:t xml:space="preserve">FirstEnergy M.B. at 71-72.  Verizon notes that the FCC has rejected this argument based on “standard economic theories.”  </w:t>
      </w:r>
      <w:r w:rsidR="004753D6" w:rsidRPr="00A57018">
        <w:rPr>
          <w:sz w:val="26"/>
          <w:szCs w:val="26"/>
        </w:rPr>
        <w:t xml:space="preserve">In its </w:t>
      </w:r>
      <w:r w:rsidR="004753D6" w:rsidRPr="00A57018">
        <w:rPr>
          <w:i/>
          <w:iCs/>
          <w:sz w:val="26"/>
          <w:szCs w:val="26"/>
        </w:rPr>
        <w:t>2011 Pole Attachment Order</w:t>
      </w:r>
      <w:r w:rsidR="004753D6" w:rsidRPr="00A57018">
        <w:rPr>
          <w:sz w:val="26"/>
          <w:szCs w:val="26"/>
        </w:rPr>
        <w:t xml:space="preserve">, the FCC stated that “[s]tandard economic theories of bargaining predict that each party will consider its best alternative to a negotiated agreement when negotiating.”  Verizon Exc. at 15 (citing </w:t>
      </w:r>
      <w:r w:rsidR="004753D6" w:rsidRPr="00A57018">
        <w:rPr>
          <w:i/>
          <w:iCs/>
          <w:sz w:val="26"/>
          <w:szCs w:val="26"/>
        </w:rPr>
        <w:t>2011</w:t>
      </w:r>
      <w:r w:rsidR="007D50B6">
        <w:rPr>
          <w:i/>
          <w:iCs/>
          <w:sz w:val="26"/>
          <w:szCs w:val="26"/>
        </w:rPr>
        <w:t> </w:t>
      </w:r>
      <w:r w:rsidR="004753D6" w:rsidRPr="00A57018">
        <w:rPr>
          <w:i/>
          <w:iCs/>
          <w:sz w:val="26"/>
          <w:szCs w:val="26"/>
        </w:rPr>
        <w:t>Pole Attachment Order</w:t>
      </w:r>
      <w:r w:rsidR="0064692C" w:rsidRPr="00A57018">
        <w:rPr>
          <w:sz w:val="26"/>
          <w:szCs w:val="26"/>
        </w:rPr>
        <w:t xml:space="preserve">, 26 FCC Rcd at 5329, </w:t>
      </w:r>
      <w:r w:rsidR="00355DD5" w:rsidRPr="00A57018">
        <w:rPr>
          <w:sz w:val="26"/>
          <w:szCs w:val="26"/>
        </w:rPr>
        <w:t>para.</w:t>
      </w:r>
      <w:r w:rsidR="0064692C" w:rsidRPr="00A57018">
        <w:rPr>
          <w:sz w:val="26"/>
          <w:szCs w:val="26"/>
        </w:rPr>
        <w:t xml:space="preserve"> 206</w:t>
      </w:r>
      <w:r w:rsidR="00355DD5" w:rsidRPr="00A57018">
        <w:rPr>
          <w:sz w:val="26"/>
          <w:szCs w:val="26"/>
        </w:rPr>
        <w:t>,</w:t>
      </w:r>
      <w:r w:rsidR="00441C1D" w:rsidRPr="00A57018">
        <w:rPr>
          <w:sz w:val="26"/>
          <w:szCs w:val="26"/>
        </w:rPr>
        <w:t xml:space="preserve"> n.618</w:t>
      </w:r>
      <w:r w:rsidR="0064692C" w:rsidRPr="00A57018">
        <w:rPr>
          <w:sz w:val="26"/>
          <w:szCs w:val="26"/>
        </w:rPr>
        <w:t>).</w:t>
      </w:r>
      <w:r w:rsidR="001F0DE7" w:rsidRPr="00A57018">
        <w:rPr>
          <w:sz w:val="26"/>
          <w:szCs w:val="26"/>
        </w:rPr>
        <w:t xml:space="preserve">  Therefore, Verizon contends that </w:t>
      </w:r>
      <w:r w:rsidRPr="00A57018">
        <w:rPr>
          <w:sz w:val="26"/>
          <w:szCs w:val="26"/>
        </w:rPr>
        <w:t>as difficult as it would be for FirstEnergy to find alternative infrastructure, Verizon would need to find and obtain approval for three times the facilities</w:t>
      </w:r>
      <w:r w:rsidR="001F0DE7" w:rsidRPr="00A57018">
        <w:rPr>
          <w:sz w:val="26"/>
          <w:szCs w:val="26"/>
        </w:rPr>
        <w:t xml:space="preserve">.  Verizon Exc. at 15-16.  </w:t>
      </w:r>
    </w:p>
    <w:p w14:paraId="3A8E7984" w14:textId="06D8A25F" w:rsidR="00152D65" w:rsidRPr="00A57018" w:rsidRDefault="00152D65" w:rsidP="00A57018">
      <w:pPr>
        <w:widowControl/>
        <w:spacing w:line="360" w:lineRule="auto"/>
        <w:ind w:firstLine="1440"/>
        <w:rPr>
          <w:sz w:val="26"/>
          <w:szCs w:val="26"/>
        </w:rPr>
      </w:pPr>
    </w:p>
    <w:p w14:paraId="3FD9D766" w14:textId="15F4377B" w:rsidR="00152D65" w:rsidRPr="00A57018" w:rsidRDefault="00152D65" w:rsidP="00A57018">
      <w:pPr>
        <w:widowControl/>
        <w:spacing w:line="360" w:lineRule="auto"/>
        <w:ind w:firstLine="1440"/>
        <w:rPr>
          <w:sz w:val="26"/>
          <w:szCs w:val="26"/>
        </w:rPr>
      </w:pPr>
      <w:r w:rsidRPr="00A57018">
        <w:rPr>
          <w:sz w:val="26"/>
          <w:szCs w:val="26"/>
        </w:rPr>
        <w:t>Verizon further indicates that FirstEnergy has owned most of the joint use poles at all relevant times, including 73 percent of the poles the Parties currently share in Pennsylvania.</w:t>
      </w:r>
      <w:r w:rsidR="007F4926" w:rsidRPr="00A57018">
        <w:rPr>
          <w:sz w:val="26"/>
          <w:szCs w:val="26"/>
        </w:rPr>
        <w:t xml:space="preserve">  Verizon Exc. at 15.</w:t>
      </w:r>
      <w:r w:rsidRPr="00A57018">
        <w:rPr>
          <w:sz w:val="26"/>
          <w:szCs w:val="26"/>
        </w:rPr>
        <w:t xml:space="preserve">  Verizon points to FCC </w:t>
      </w:r>
      <w:r w:rsidR="007F4926" w:rsidRPr="00A57018">
        <w:rPr>
          <w:sz w:val="26"/>
          <w:szCs w:val="26"/>
        </w:rPr>
        <w:t xml:space="preserve">orders, which it claims </w:t>
      </w:r>
      <w:r w:rsidRPr="00A57018">
        <w:rPr>
          <w:sz w:val="26"/>
          <w:szCs w:val="26"/>
        </w:rPr>
        <w:t xml:space="preserve">have repeatedly </w:t>
      </w:r>
      <w:r w:rsidR="007F4926" w:rsidRPr="00A57018">
        <w:rPr>
          <w:sz w:val="26"/>
          <w:szCs w:val="26"/>
        </w:rPr>
        <w:t>found this pole ownership disparity reflects a lack of ILEC bargaining power to negotiate just and reasonable rates.</w:t>
      </w:r>
      <w:r w:rsidR="007F4926" w:rsidRPr="00A57018">
        <w:rPr>
          <w:rStyle w:val="FootnoteReference"/>
          <w:sz w:val="26"/>
          <w:szCs w:val="26"/>
        </w:rPr>
        <w:footnoteReference w:id="46"/>
      </w:r>
      <w:r w:rsidR="002425DA" w:rsidRPr="00A57018">
        <w:rPr>
          <w:sz w:val="26"/>
          <w:szCs w:val="26"/>
          <w:vertAlign w:val="superscript"/>
        </w:rPr>
        <w:t xml:space="preserve">, </w:t>
      </w:r>
      <w:r w:rsidR="002425DA" w:rsidRPr="00A57018">
        <w:rPr>
          <w:rStyle w:val="FootnoteReference"/>
          <w:sz w:val="26"/>
          <w:szCs w:val="26"/>
        </w:rPr>
        <w:footnoteReference w:id="47"/>
      </w:r>
      <w:r w:rsidR="007F4926" w:rsidRPr="00A57018">
        <w:rPr>
          <w:sz w:val="26"/>
          <w:szCs w:val="26"/>
        </w:rPr>
        <w:t xml:space="preserve">  Verizon asserts that FirstEnergy is no exception to the rule; </w:t>
      </w:r>
      <w:r w:rsidR="00D045D6" w:rsidRPr="00A57018">
        <w:rPr>
          <w:sz w:val="26"/>
          <w:szCs w:val="26"/>
        </w:rPr>
        <w:t>its unlawfully high</w:t>
      </w:r>
      <w:r w:rsidR="007F4926" w:rsidRPr="00A57018">
        <w:rPr>
          <w:sz w:val="26"/>
          <w:szCs w:val="26"/>
        </w:rPr>
        <w:t xml:space="preserve"> rates</w:t>
      </w:r>
      <w:r w:rsidR="0043407D" w:rsidRPr="00A57018">
        <w:rPr>
          <w:sz w:val="26"/>
          <w:szCs w:val="26"/>
        </w:rPr>
        <w:t xml:space="preserve"> (many multiples of the maximum rate FirstEnergy may lawfully charge third party cable and CLEC attachers)</w:t>
      </w:r>
      <w:r w:rsidR="007F4926" w:rsidRPr="00A57018">
        <w:rPr>
          <w:sz w:val="26"/>
          <w:szCs w:val="26"/>
        </w:rPr>
        <w:t xml:space="preserve"> and negotiations with Verizon confirm FirstEnergy has used its superior bargaining power to preserve unjust and unreasonable rates.  </w:t>
      </w:r>
      <w:r w:rsidR="00D045D6" w:rsidRPr="00A57018">
        <w:rPr>
          <w:sz w:val="26"/>
          <w:szCs w:val="26"/>
        </w:rPr>
        <w:t xml:space="preserve">Verizon Exc. at 15-16.  </w:t>
      </w:r>
    </w:p>
    <w:p w14:paraId="4DC34C7F" w14:textId="27FFDAD4" w:rsidR="00154EB5" w:rsidRPr="00A57018" w:rsidRDefault="00154EB5" w:rsidP="00A57018">
      <w:pPr>
        <w:widowControl/>
        <w:spacing w:line="360" w:lineRule="auto"/>
        <w:rPr>
          <w:sz w:val="26"/>
          <w:szCs w:val="26"/>
        </w:rPr>
      </w:pPr>
    </w:p>
    <w:p w14:paraId="2E46143B" w14:textId="12CFAFDC" w:rsidR="00D32797" w:rsidRPr="00A57018" w:rsidRDefault="00182CAB" w:rsidP="00A57018">
      <w:pPr>
        <w:widowControl/>
        <w:spacing w:line="360" w:lineRule="auto"/>
        <w:ind w:firstLine="1440"/>
        <w:rPr>
          <w:sz w:val="26"/>
          <w:szCs w:val="26"/>
        </w:rPr>
      </w:pPr>
      <w:r w:rsidRPr="00A57018">
        <w:rPr>
          <w:sz w:val="26"/>
          <w:szCs w:val="26"/>
        </w:rPr>
        <w:t>Contrary to Verizon’s assertions, FirstEnergy contends that the ALJ correctly found that FirstEnergy lacks bargaining leverage over Verizon</w:t>
      </w:r>
      <w:r w:rsidR="00FE51D4" w:rsidRPr="00A57018">
        <w:rPr>
          <w:sz w:val="26"/>
          <w:szCs w:val="26"/>
        </w:rPr>
        <w:t xml:space="preserve">.  </w:t>
      </w:r>
      <w:r w:rsidR="00D32797" w:rsidRPr="00A57018">
        <w:rPr>
          <w:sz w:val="26"/>
          <w:szCs w:val="26"/>
        </w:rPr>
        <w:t xml:space="preserve">FirstEnergy </w:t>
      </w:r>
      <w:r w:rsidR="00D32797" w:rsidRPr="00A57018">
        <w:rPr>
          <w:sz w:val="26"/>
          <w:szCs w:val="26"/>
        </w:rPr>
        <w:lastRenderedPageBreak/>
        <w:t xml:space="preserve">maintains its argument that Verizon is not entitled to the new telecom rate under the JUAs because Verizon is not intitled to the presumptions set forth in the </w:t>
      </w:r>
      <w:r w:rsidR="00D32797" w:rsidRPr="00A57018">
        <w:rPr>
          <w:i/>
          <w:iCs/>
          <w:sz w:val="26"/>
          <w:szCs w:val="26"/>
        </w:rPr>
        <w:t>2018 Pole Attachment Order</w:t>
      </w:r>
      <w:r w:rsidR="00D32797" w:rsidRPr="00A57018">
        <w:rPr>
          <w:sz w:val="26"/>
          <w:szCs w:val="26"/>
        </w:rPr>
        <w:t xml:space="preserve">, as FirstEnergy does not possess or leverage bargaining power during the rate negotiations.  FirstEnergy R. Exc. at 14.  </w:t>
      </w:r>
    </w:p>
    <w:p w14:paraId="18C0CE03" w14:textId="04936E63" w:rsidR="005C368D" w:rsidRPr="00A57018" w:rsidRDefault="005C368D" w:rsidP="00A57018">
      <w:pPr>
        <w:widowControl/>
        <w:spacing w:line="360" w:lineRule="auto"/>
        <w:ind w:firstLine="1440"/>
        <w:rPr>
          <w:sz w:val="26"/>
          <w:szCs w:val="26"/>
        </w:rPr>
      </w:pPr>
    </w:p>
    <w:p w14:paraId="08DD7211" w14:textId="0FE70743" w:rsidR="00B323E0" w:rsidRPr="00A57018" w:rsidRDefault="00B323E0" w:rsidP="00A57018">
      <w:pPr>
        <w:widowControl/>
        <w:spacing w:line="360" w:lineRule="auto"/>
        <w:ind w:firstLine="1440"/>
        <w:rPr>
          <w:sz w:val="26"/>
          <w:szCs w:val="26"/>
        </w:rPr>
      </w:pPr>
      <w:r w:rsidRPr="00A57018">
        <w:rPr>
          <w:sz w:val="26"/>
          <w:szCs w:val="26"/>
        </w:rPr>
        <w:t xml:space="preserve">FirstEnergy further </w:t>
      </w:r>
      <w:r w:rsidR="00031608" w:rsidRPr="00A57018">
        <w:rPr>
          <w:sz w:val="26"/>
          <w:szCs w:val="26"/>
        </w:rPr>
        <w:t>contends</w:t>
      </w:r>
      <w:r w:rsidRPr="00A57018">
        <w:rPr>
          <w:sz w:val="26"/>
          <w:szCs w:val="26"/>
        </w:rPr>
        <w:t xml:space="preserve"> that, not only do Verizon’s l</w:t>
      </w:r>
      <w:r w:rsidR="005C368D" w:rsidRPr="00A57018">
        <w:rPr>
          <w:sz w:val="26"/>
          <w:szCs w:val="26"/>
        </w:rPr>
        <w:t>ess costly alternatives undermine any bargaining power FirstEnergy allegedly possessed</w:t>
      </w:r>
      <w:r w:rsidRPr="00A57018">
        <w:rPr>
          <w:sz w:val="26"/>
          <w:szCs w:val="26"/>
        </w:rPr>
        <w:t xml:space="preserve">, but </w:t>
      </w:r>
      <w:r w:rsidR="00F46CDC">
        <w:rPr>
          <w:sz w:val="26"/>
          <w:szCs w:val="26"/>
        </w:rPr>
        <w:t xml:space="preserve">also, </w:t>
      </w:r>
      <w:r w:rsidR="00031608" w:rsidRPr="00A57018">
        <w:rPr>
          <w:sz w:val="26"/>
          <w:szCs w:val="26"/>
        </w:rPr>
        <w:t xml:space="preserve">FirstEnergy </w:t>
      </w:r>
      <w:r w:rsidRPr="00A57018">
        <w:rPr>
          <w:sz w:val="26"/>
          <w:szCs w:val="26"/>
        </w:rPr>
        <w:t>could not have</w:t>
      </w:r>
      <w:r w:rsidR="001B77F2" w:rsidRPr="00A57018">
        <w:rPr>
          <w:sz w:val="26"/>
          <w:szCs w:val="26"/>
        </w:rPr>
        <w:t xml:space="preserve"> had</w:t>
      </w:r>
      <w:r w:rsidRPr="00A57018">
        <w:rPr>
          <w:sz w:val="26"/>
          <w:szCs w:val="26"/>
        </w:rPr>
        <w:t xml:space="preserve"> bargaining power or leverage in negotiating the JUAs in 2009 because those rates and agreements were subject to regulation by the Commission and Verizon could have filed a complaint with the Commission had it believed the rates were unfair, unjust and unreasonable.  FirstEnergy adds that it does not possess bargaining power because it owns more poles than Verizon, as Verizon had indicated after the negotiations that led to the 2009 JUAs that it was satisfied with the negotiations.  FirstEnergy R. Exc. at 14-15 (citing FirstEnergy M.B. at 67-72; FirstEnergy R.B. at</w:t>
      </w:r>
      <w:r w:rsidR="00765B4D" w:rsidRPr="00A57018">
        <w:rPr>
          <w:sz w:val="26"/>
          <w:szCs w:val="26"/>
        </w:rPr>
        <w:t> </w:t>
      </w:r>
      <w:r w:rsidRPr="00A57018">
        <w:rPr>
          <w:sz w:val="26"/>
          <w:szCs w:val="26"/>
        </w:rPr>
        <w:t>41</w:t>
      </w:r>
      <w:r w:rsidR="00765B4D" w:rsidRPr="00A57018">
        <w:rPr>
          <w:sz w:val="26"/>
          <w:szCs w:val="26"/>
        </w:rPr>
        <w:noBreakHyphen/>
      </w:r>
      <w:r w:rsidRPr="00A57018">
        <w:rPr>
          <w:sz w:val="26"/>
          <w:szCs w:val="26"/>
        </w:rPr>
        <w:t xml:space="preserve">42).  </w:t>
      </w:r>
    </w:p>
    <w:p w14:paraId="1D9BD5E7" w14:textId="326DA4B5" w:rsidR="00B323E0" w:rsidRPr="00A57018" w:rsidRDefault="00B323E0" w:rsidP="00A57018">
      <w:pPr>
        <w:widowControl/>
        <w:spacing w:line="360" w:lineRule="auto"/>
        <w:ind w:firstLine="1440"/>
        <w:rPr>
          <w:sz w:val="26"/>
          <w:szCs w:val="26"/>
        </w:rPr>
      </w:pPr>
    </w:p>
    <w:p w14:paraId="2702BBDF" w14:textId="2146CD9A" w:rsidR="00D32797" w:rsidRPr="00A57018" w:rsidRDefault="004A4666" w:rsidP="007D50B6">
      <w:pPr>
        <w:widowControl/>
        <w:spacing w:line="360" w:lineRule="auto"/>
        <w:ind w:firstLine="1440"/>
        <w:rPr>
          <w:sz w:val="26"/>
          <w:szCs w:val="26"/>
        </w:rPr>
      </w:pPr>
      <w:r w:rsidRPr="00A57018">
        <w:rPr>
          <w:sz w:val="26"/>
          <w:szCs w:val="26"/>
        </w:rPr>
        <w:t>Lastly, FirstEnergy argues Verizon could have negotiated new rates, but “declined to consider any offer other than the new telecom rate.”  FirstEnergy R. Exc. at</w:t>
      </w:r>
      <w:r w:rsidR="007D50B6">
        <w:rPr>
          <w:sz w:val="26"/>
          <w:szCs w:val="26"/>
        </w:rPr>
        <w:t> </w:t>
      </w:r>
      <w:r w:rsidRPr="00A57018">
        <w:rPr>
          <w:sz w:val="26"/>
          <w:szCs w:val="26"/>
        </w:rPr>
        <w:t>15 (citing FirstEnergy M.B. at 61-62; FirstEnergy R.B. at 37).</w:t>
      </w:r>
      <w:r w:rsidR="004E45FC" w:rsidRPr="00A57018">
        <w:rPr>
          <w:rStyle w:val="FootnoteReference"/>
          <w:sz w:val="26"/>
          <w:szCs w:val="26"/>
        </w:rPr>
        <w:footnoteReference w:id="48"/>
      </w:r>
      <w:r w:rsidRPr="00A57018">
        <w:rPr>
          <w:sz w:val="26"/>
          <w:szCs w:val="26"/>
        </w:rPr>
        <w:t xml:space="preserve">  </w:t>
      </w:r>
    </w:p>
    <w:p w14:paraId="60B90082" w14:textId="1B202DB6" w:rsidR="00355DD5" w:rsidRPr="00A57018" w:rsidRDefault="00355DD5" w:rsidP="007D50B6">
      <w:pPr>
        <w:widowControl/>
        <w:spacing w:line="360" w:lineRule="auto"/>
        <w:rPr>
          <w:b/>
          <w:bCs/>
          <w:sz w:val="26"/>
          <w:szCs w:val="26"/>
        </w:rPr>
      </w:pPr>
    </w:p>
    <w:p w14:paraId="24B72EA1" w14:textId="77777777" w:rsidR="00945657" w:rsidRPr="00A57018" w:rsidRDefault="00945657" w:rsidP="00B57D93">
      <w:pPr>
        <w:pStyle w:val="Heading3"/>
        <w:keepNext/>
        <w:ind w:left="1440" w:hanging="720"/>
      </w:pPr>
      <w:bookmarkStart w:id="86" w:name="_Toc59179334"/>
      <w:r w:rsidRPr="00A57018">
        <w:lastRenderedPageBreak/>
        <w:t>Disposition</w:t>
      </w:r>
      <w:bookmarkEnd w:id="86"/>
    </w:p>
    <w:p w14:paraId="4B29F23D" w14:textId="77777777" w:rsidR="00355DD5" w:rsidRPr="00A57018" w:rsidRDefault="00355DD5" w:rsidP="00B57D93">
      <w:pPr>
        <w:keepNext/>
        <w:widowControl/>
        <w:spacing w:line="360" w:lineRule="auto"/>
        <w:rPr>
          <w:sz w:val="26"/>
          <w:szCs w:val="26"/>
        </w:rPr>
      </w:pPr>
    </w:p>
    <w:p w14:paraId="520E98D7" w14:textId="1B470A5D" w:rsidR="00945657" w:rsidRDefault="00355DD5" w:rsidP="00B57D93">
      <w:pPr>
        <w:keepNext/>
        <w:widowControl/>
        <w:spacing w:line="360" w:lineRule="auto"/>
        <w:ind w:firstLine="1440"/>
        <w:rPr>
          <w:sz w:val="26"/>
          <w:szCs w:val="26"/>
        </w:rPr>
      </w:pPr>
      <w:r w:rsidRPr="00A57018">
        <w:rPr>
          <w:sz w:val="26"/>
          <w:szCs w:val="26"/>
        </w:rPr>
        <w:t>The Recommended Decision notes that Verizon and FirstEnergy raised issues that are not relevant to the key issues in this proceeding, one of which was Verizon’s argument that FirstEnergy has superior bargaining power because of its three-to-one pole ownership advantage.</w:t>
      </w:r>
      <w:r w:rsidR="006A328A" w:rsidRPr="00A57018">
        <w:rPr>
          <w:sz w:val="26"/>
          <w:szCs w:val="26"/>
        </w:rPr>
        <w:t xml:space="preserve">  </w:t>
      </w:r>
      <w:r w:rsidRPr="00A57018">
        <w:rPr>
          <w:sz w:val="26"/>
          <w:szCs w:val="26"/>
        </w:rPr>
        <w:t xml:space="preserve">The Decision then addresses the merits of the issue.  We believe the ALJ properly dismissed claims of bargaining power inequities.  However, we see no need to address the merits of the bargaining power issue.  Based on the facts and circumstances in this case, that issue is not relevant to resolving this particular contractual dispute involving an evergreen agreement about when, if ever, a new, lower rate arising from a rebuttable presumption is applicable.  Thus, we shall deny Verizon Exception No. 3.  </w:t>
      </w:r>
    </w:p>
    <w:p w14:paraId="0F6559A5" w14:textId="77777777" w:rsidR="00A072D4" w:rsidRPr="00A57018" w:rsidRDefault="00A072D4" w:rsidP="007D50B6">
      <w:pPr>
        <w:widowControl/>
        <w:spacing w:line="360" w:lineRule="auto"/>
        <w:ind w:firstLine="1440"/>
        <w:rPr>
          <w:sz w:val="26"/>
          <w:szCs w:val="26"/>
        </w:rPr>
      </w:pPr>
    </w:p>
    <w:p w14:paraId="2650CB59" w14:textId="24E06C25" w:rsidR="00073000" w:rsidRPr="00A57018" w:rsidRDefault="00073000" w:rsidP="007D50B6">
      <w:pPr>
        <w:pStyle w:val="Heading1"/>
        <w:keepNext/>
        <w:keepLines/>
        <w:ind w:left="0" w:firstLine="0"/>
        <w:rPr>
          <w:szCs w:val="26"/>
        </w:rPr>
      </w:pPr>
      <w:bookmarkStart w:id="87" w:name="_Toc59179335"/>
      <w:r w:rsidRPr="00A57018">
        <w:rPr>
          <w:szCs w:val="26"/>
        </w:rPr>
        <w:t>Conclusion</w:t>
      </w:r>
      <w:bookmarkEnd w:id="87"/>
    </w:p>
    <w:p w14:paraId="167B00AE" w14:textId="50A17FDD" w:rsidR="00A05D2B" w:rsidRPr="00A57018" w:rsidRDefault="00A05D2B" w:rsidP="007D50B6">
      <w:pPr>
        <w:keepNext/>
        <w:keepLines/>
        <w:widowControl/>
        <w:spacing w:line="360" w:lineRule="auto"/>
        <w:rPr>
          <w:sz w:val="26"/>
          <w:szCs w:val="26"/>
        </w:rPr>
      </w:pPr>
    </w:p>
    <w:p w14:paraId="73285AD6" w14:textId="510BB553" w:rsidR="006067A0" w:rsidRPr="00A57018" w:rsidRDefault="006067A0" w:rsidP="007D50B6">
      <w:pPr>
        <w:keepNext/>
        <w:keepLines/>
        <w:widowControl/>
        <w:spacing w:line="360" w:lineRule="auto"/>
        <w:ind w:firstLine="1440"/>
        <w:rPr>
          <w:sz w:val="26"/>
          <w:szCs w:val="26"/>
        </w:rPr>
      </w:pPr>
      <w:r w:rsidRPr="00A57018">
        <w:rPr>
          <w:color w:val="000000"/>
          <w:sz w:val="26"/>
          <w:szCs w:val="26"/>
        </w:rPr>
        <w:t>We have reviewed the record as developed in this proceeding, including the ALJ</w:t>
      </w:r>
      <w:r w:rsidR="001B6E21" w:rsidRPr="00A57018">
        <w:rPr>
          <w:color w:val="000000"/>
          <w:sz w:val="26"/>
          <w:szCs w:val="26"/>
        </w:rPr>
        <w:t>’s</w:t>
      </w:r>
      <w:r w:rsidRPr="00A57018">
        <w:rPr>
          <w:color w:val="000000"/>
          <w:sz w:val="26"/>
          <w:szCs w:val="26"/>
        </w:rPr>
        <w:t xml:space="preserve"> Recommended Decision and the Exceptions and Replies filed thereto.  Based upon our review, </w:t>
      </w:r>
      <w:proofErr w:type="gramStart"/>
      <w:r w:rsidRPr="00A57018">
        <w:rPr>
          <w:color w:val="000000"/>
          <w:sz w:val="26"/>
          <w:szCs w:val="26"/>
        </w:rPr>
        <w:t>evaluation</w:t>
      </w:r>
      <w:proofErr w:type="gramEnd"/>
      <w:r w:rsidRPr="00A57018">
        <w:rPr>
          <w:color w:val="000000"/>
          <w:sz w:val="26"/>
          <w:szCs w:val="26"/>
        </w:rPr>
        <w:t xml:space="preserve"> and analysis of the record evidence, we</w:t>
      </w:r>
      <w:r w:rsidRPr="00A57018">
        <w:rPr>
          <w:sz w:val="26"/>
          <w:szCs w:val="26"/>
        </w:rPr>
        <w:t xml:space="preserve"> shall grant, in part, and deny, in part, the Exceptions filed by </w:t>
      </w:r>
      <w:r w:rsidR="001B6E21" w:rsidRPr="00A57018">
        <w:rPr>
          <w:sz w:val="26"/>
          <w:szCs w:val="26"/>
        </w:rPr>
        <w:t>FirstEnergy and Verizon</w:t>
      </w:r>
      <w:r w:rsidRPr="00A57018">
        <w:rPr>
          <w:sz w:val="26"/>
          <w:szCs w:val="26"/>
        </w:rPr>
        <w:t>, and adopt the ALJ</w:t>
      </w:r>
      <w:r w:rsidR="006462E3" w:rsidRPr="00A57018">
        <w:rPr>
          <w:sz w:val="26"/>
          <w:szCs w:val="26"/>
        </w:rPr>
        <w:t>’s</w:t>
      </w:r>
      <w:r w:rsidRPr="00A57018">
        <w:rPr>
          <w:sz w:val="26"/>
          <w:szCs w:val="26"/>
        </w:rPr>
        <w:t xml:space="preserve"> Recommended Decision, as modified, consistent with this Opinion and Order; </w:t>
      </w:r>
      <w:r w:rsidRPr="00A57018">
        <w:rPr>
          <w:b/>
          <w:sz w:val="26"/>
          <w:szCs w:val="26"/>
        </w:rPr>
        <w:t>THEREFORE,</w:t>
      </w:r>
    </w:p>
    <w:p w14:paraId="6F5595B8" w14:textId="49381123" w:rsidR="00BA0F05" w:rsidRPr="00A57018" w:rsidRDefault="00BA0F05" w:rsidP="007D50B6">
      <w:pPr>
        <w:widowControl/>
        <w:spacing w:line="360" w:lineRule="auto"/>
        <w:rPr>
          <w:sz w:val="26"/>
          <w:szCs w:val="26"/>
        </w:rPr>
      </w:pPr>
    </w:p>
    <w:p w14:paraId="3DD28D83" w14:textId="2F029F57" w:rsidR="006067A0" w:rsidRPr="00A57018" w:rsidRDefault="006067A0" w:rsidP="007D50B6">
      <w:pPr>
        <w:widowControl/>
        <w:spacing w:line="360" w:lineRule="auto"/>
        <w:ind w:firstLine="1440"/>
        <w:contextualSpacing/>
        <w:rPr>
          <w:rFonts w:eastAsiaTheme="minorHAnsi"/>
          <w:b/>
          <w:sz w:val="26"/>
          <w:szCs w:val="26"/>
        </w:rPr>
      </w:pPr>
      <w:bookmarkStart w:id="88" w:name="_Hlk58576269"/>
      <w:r w:rsidRPr="00A57018">
        <w:rPr>
          <w:rFonts w:eastAsiaTheme="minorHAnsi"/>
          <w:b/>
          <w:sz w:val="26"/>
          <w:szCs w:val="26"/>
        </w:rPr>
        <w:t>IT IS ORDERED:</w:t>
      </w:r>
    </w:p>
    <w:p w14:paraId="518BA6CB" w14:textId="77777777" w:rsidR="006067A0" w:rsidRPr="00A57018" w:rsidRDefault="006067A0" w:rsidP="00AA6601">
      <w:pPr>
        <w:widowControl/>
        <w:spacing w:line="360" w:lineRule="auto"/>
        <w:ind w:firstLine="1440"/>
        <w:contextualSpacing/>
        <w:rPr>
          <w:rFonts w:eastAsiaTheme="minorHAnsi"/>
          <w:sz w:val="26"/>
          <w:szCs w:val="26"/>
        </w:rPr>
      </w:pPr>
    </w:p>
    <w:p w14:paraId="758A892B" w14:textId="21B41973" w:rsidR="006067A0" w:rsidRPr="00A57018" w:rsidRDefault="006067A0" w:rsidP="00AA6601">
      <w:pPr>
        <w:widowControl/>
        <w:spacing w:line="360" w:lineRule="auto"/>
        <w:ind w:firstLine="1440"/>
        <w:contextualSpacing/>
        <w:rPr>
          <w:rFonts w:eastAsiaTheme="minorHAnsi"/>
          <w:sz w:val="26"/>
          <w:szCs w:val="26"/>
        </w:rPr>
      </w:pPr>
      <w:r w:rsidRPr="00A57018">
        <w:rPr>
          <w:rFonts w:eastAsiaTheme="minorHAnsi"/>
          <w:sz w:val="26"/>
          <w:szCs w:val="26"/>
        </w:rPr>
        <w:t>1.</w:t>
      </w:r>
      <w:r w:rsidRPr="00A57018">
        <w:rPr>
          <w:rFonts w:eastAsiaTheme="minorHAnsi"/>
          <w:sz w:val="26"/>
          <w:szCs w:val="26"/>
        </w:rPr>
        <w:tab/>
        <w:t xml:space="preserve">That the Exceptions of </w:t>
      </w:r>
      <w:r w:rsidR="006A2825" w:rsidRPr="00A57018">
        <w:rPr>
          <w:rFonts w:eastAsiaTheme="minorHAnsi"/>
          <w:sz w:val="26"/>
          <w:szCs w:val="26"/>
        </w:rPr>
        <w:t>Metropolitan Edison Company, Pennsylvania Electric Company, and Pennsylvania Power Company</w:t>
      </w:r>
      <w:r w:rsidRPr="00A57018">
        <w:rPr>
          <w:rFonts w:eastAsiaTheme="minorHAnsi"/>
          <w:sz w:val="26"/>
          <w:szCs w:val="26"/>
        </w:rPr>
        <w:t xml:space="preserve">, filed on </w:t>
      </w:r>
      <w:r w:rsidR="006A2825" w:rsidRPr="00A57018">
        <w:rPr>
          <w:rFonts w:eastAsiaTheme="minorHAnsi"/>
          <w:sz w:val="26"/>
          <w:szCs w:val="26"/>
        </w:rPr>
        <w:t>September 22</w:t>
      </w:r>
      <w:r w:rsidRPr="00A57018">
        <w:rPr>
          <w:rFonts w:eastAsiaTheme="minorHAnsi"/>
          <w:sz w:val="26"/>
          <w:szCs w:val="26"/>
        </w:rPr>
        <w:t xml:space="preserve">, 2020, </w:t>
      </w:r>
      <w:bookmarkStart w:id="89" w:name="_Hlk58572424"/>
      <w:r w:rsidR="00833D56" w:rsidRPr="00A57018">
        <w:rPr>
          <w:rFonts w:eastAsiaTheme="minorHAnsi"/>
          <w:sz w:val="26"/>
          <w:szCs w:val="26"/>
        </w:rPr>
        <w:t>are</w:t>
      </w:r>
      <w:r w:rsidRPr="00A57018">
        <w:rPr>
          <w:rFonts w:eastAsiaTheme="minorHAnsi"/>
          <w:sz w:val="26"/>
          <w:szCs w:val="26"/>
        </w:rPr>
        <w:t xml:space="preserve"> </w:t>
      </w:r>
      <w:r w:rsidR="003B7636" w:rsidRPr="00A57018">
        <w:rPr>
          <w:rFonts w:eastAsiaTheme="minorHAnsi"/>
          <w:sz w:val="26"/>
          <w:szCs w:val="26"/>
        </w:rPr>
        <w:t>granted, in part, and denied, in part</w:t>
      </w:r>
      <w:bookmarkEnd w:id="89"/>
      <w:r w:rsidRPr="00A57018">
        <w:rPr>
          <w:rFonts w:eastAsiaTheme="minorHAnsi"/>
          <w:sz w:val="26"/>
          <w:szCs w:val="26"/>
        </w:rPr>
        <w:t>, consistent with this Opinion and Order.</w:t>
      </w:r>
    </w:p>
    <w:p w14:paraId="15411796" w14:textId="77777777" w:rsidR="00DA3F38" w:rsidRPr="00A57018" w:rsidRDefault="00DA3F38" w:rsidP="00AA6601">
      <w:pPr>
        <w:widowControl/>
        <w:spacing w:line="360" w:lineRule="auto"/>
        <w:ind w:firstLine="1440"/>
        <w:contextualSpacing/>
        <w:rPr>
          <w:rFonts w:eastAsiaTheme="minorHAnsi"/>
          <w:sz w:val="26"/>
          <w:szCs w:val="26"/>
        </w:rPr>
      </w:pPr>
    </w:p>
    <w:p w14:paraId="274A16CC" w14:textId="77777777" w:rsidR="00DA3F38" w:rsidRPr="00A57018" w:rsidRDefault="006067A0" w:rsidP="00AA6601">
      <w:pPr>
        <w:widowControl/>
        <w:spacing w:line="360" w:lineRule="auto"/>
        <w:ind w:firstLine="1440"/>
        <w:contextualSpacing/>
        <w:rPr>
          <w:rFonts w:eastAsiaTheme="minorHAnsi"/>
          <w:sz w:val="26"/>
          <w:szCs w:val="26"/>
        </w:rPr>
      </w:pPr>
      <w:r w:rsidRPr="00A57018">
        <w:rPr>
          <w:rFonts w:eastAsiaTheme="minorHAnsi"/>
          <w:sz w:val="26"/>
          <w:szCs w:val="26"/>
        </w:rPr>
        <w:lastRenderedPageBreak/>
        <w:t>2.</w:t>
      </w:r>
      <w:r w:rsidRPr="00A57018">
        <w:rPr>
          <w:rFonts w:eastAsiaTheme="minorHAnsi"/>
          <w:sz w:val="26"/>
          <w:szCs w:val="26"/>
        </w:rPr>
        <w:tab/>
      </w:r>
      <w:bookmarkStart w:id="90" w:name="_Hlk527442937"/>
      <w:r w:rsidRPr="00A57018">
        <w:rPr>
          <w:rFonts w:eastAsiaTheme="minorHAnsi"/>
          <w:sz w:val="26"/>
          <w:szCs w:val="26"/>
        </w:rPr>
        <w:t>That the Exceptions of</w:t>
      </w:r>
      <w:r w:rsidR="00833D56" w:rsidRPr="00A57018">
        <w:rPr>
          <w:rFonts w:eastAsiaTheme="minorHAnsi"/>
          <w:sz w:val="26"/>
          <w:szCs w:val="26"/>
        </w:rPr>
        <w:t xml:space="preserve"> </w:t>
      </w:r>
      <w:r w:rsidR="006A2825" w:rsidRPr="00A57018">
        <w:rPr>
          <w:rFonts w:eastAsiaTheme="minorHAnsi"/>
          <w:sz w:val="26"/>
          <w:szCs w:val="26"/>
        </w:rPr>
        <w:t>Verizon Pennsylvania LLC and Verizon North LLC</w:t>
      </w:r>
      <w:r w:rsidRPr="00A57018">
        <w:rPr>
          <w:rFonts w:eastAsiaTheme="minorHAnsi"/>
          <w:sz w:val="26"/>
          <w:szCs w:val="26"/>
        </w:rPr>
        <w:t xml:space="preserve">, filed on </w:t>
      </w:r>
      <w:r w:rsidR="006A2825" w:rsidRPr="00A57018">
        <w:rPr>
          <w:rFonts w:eastAsiaTheme="minorHAnsi"/>
          <w:sz w:val="26"/>
          <w:szCs w:val="26"/>
        </w:rPr>
        <w:t>September 22</w:t>
      </w:r>
      <w:r w:rsidRPr="00A57018">
        <w:rPr>
          <w:rFonts w:eastAsiaTheme="minorHAnsi"/>
          <w:sz w:val="26"/>
          <w:szCs w:val="26"/>
        </w:rPr>
        <w:t>, 20</w:t>
      </w:r>
      <w:r w:rsidR="00833D56" w:rsidRPr="00A57018">
        <w:rPr>
          <w:rFonts w:eastAsiaTheme="minorHAnsi"/>
          <w:sz w:val="26"/>
          <w:szCs w:val="26"/>
        </w:rPr>
        <w:t>20</w:t>
      </w:r>
      <w:r w:rsidRPr="00A57018">
        <w:rPr>
          <w:rFonts w:eastAsiaTheme="minorHAnsi"/>
          <w:sz w:val="26"/>
          <w:szCs w:val="26"/>
        </w:rPr>
        <w:t xml:space="preserve">, are </w:t>
      </w:r>
      <w:r w:rsidR="003B7636" w:rsidRPr="00A57018">
        <w:rPr>
          <w:rFonts w:eastAsiaTheme="minorHAnsi"/>
          <w:sz w:val="26"/>
          <w:szCs w:val="26"/>
        </w:rPr>
        <w:t>granted, in part, and denied, in part</w:t>
      </w:r>
      <w:r w:rsidRPr="00A57018">
        <w:rPr>
          <w:rFonts w:eastAsiaTheme="minorHAnsi"/>
          <w:sz w:val="26"/>
          <w:szCs w:val="26"/>
        </w:rPr>
        <w:t>, consistent with this Opinion and Order.</w:t>
      </w:r>
      <w:bookmarkEnd w:id="90"/>
    </w:p>
    <w:p w14:paraId="5F231964" w14:textId="77777777" w:rsidR="00DA3F38" w:rsidRPr="00A57018" w:rsidRDefault="00DA3F38" w:rsidP="00AA6601">
      <w:pPr>
        <w:widowControl/>
        <w:spacing w:line="360" w:lineRule="auto"/>
        <w:ind w:firstLine="1440"/>
        <w:contextualSpacing/>
        <w:rPr>
          <w:rFonts w:eastAsiaTheme="minorHAnsi"/>
          <w:sz w:val="26"/>
          <w:szCs w:val="26"/>
        </w:rPr>
      </w:pPr>
    </w:p>
    <w:p w14:paraId="00822005" w14:textId="60595BC9" w:rsidR="006067A0" w:rsidRPr="00A57018" w:rsidRDefault="006A2825" w:rsidP="00AA6601">
      <w:pPr>
        <w:widowControl/>
        <w:spacing w:line="360" w:lineRule="auto"/>
        <w:ind w:firstLine="1440"/>
        <w:contextualSpacing/>
        <w:rPr>
          <w:rFonts w:eastAsiaTheme="minorHAnsi"/>
          <w:sz w:val="26"/>
          <w:szCs w:val="26"/>
        </w:rPr>
      </w:pPr>
      <w:r w:rsidRPr="00A57018">
        <w:rPr>
          <w:rFonts w:eastAsiaTheme="minorHAnsi"/>
          <w:sz w:val="26"/>
          <w:szCs w:val="26"/>
        </w:rPr>
        <w:t>3</w:t>
      </w:r>
      <w:r w:rsidR="006067A0" w:rsidRPr="00A57018">
        <w:rPr>
          <w:rFonts w:eastAsiaTheme="minorHAnsi"/>
          <w:sz w:val="26"/>
          <w:szCs w:val="26"/>
        </w:rPr>
        <w:t>.</w:t>
      </w:r>
      <w:r w:rsidR="006067A0" w:rsidRPr="00A57018">
        <w:rPr>
          <w:rFonts w:eastAsiaTheme="minorHAnsi"/>
          <w:sz w:val="26"/>
          <w:szCs w:val="26"/>
        </w:rPr>
        <w:tab/>
        <w:t xml:space="preserve">That the Recommended Decision of </w:t>
      </w:r>
      <w:r w:rsidR="00B757B7" w:rsidRPr="00A57018">
        <w:rPr>
          <w:rFonts w:eastAsiaTheme="minorHAnsi"/>
          <w:sz w:val="26"/>
          <w:szCs w:val="26"/>
        </w:rPr>
        <w:t xml:space="preserve">Deputy Chief </w:t>
      </w:r>
      <w:r w:rsidR="006067A0" w:rsidRPr="00A57018">
        <w:rPr>
          <w:rFonts w:eastAsiaTheme="minorHAnsi"/>
          <w:sz w:val="26"/>
          <w:szCs w:val="26"/>
        </w:rPr>
        <w:t xml:space="preserve">Administrative Law Judge </w:t>
      </w:r>
      <w:r w:rsidRPr="00A57018">
        <w:rPr>
          <w:rFonts w:eastAsiaTheme="minorHAnsi"/>
          <w:sz w:val="26"/>
          <w:szCs w:val="26"/>
        </w:rPr>
        <w:t>Joel H. Cheskis</w:t>
      </w:r>
      <w:r w:rsidR="006067A0" w:rsidRPr="00A57018">
        <w:rPr>
          <w:rFonts w:eastAsiaTheme="minorHAnsi"/>
          <w:sz w:val="26"/>
          <w:szCs w:val="26"/>
        </w:rPr>
        <w:t xml:space="preserve">, issued on </w:t>
      </w:r>
      <w:r w:rsidRPr="00A57018">
        <w:rPr>
          <w:rFonts w:eastAsiaTheme="minorHAnsi"/>
          <w:sz w:val="26"/>
          <w:szCs w:val="26"/>
        </w:rPr>
        <w:t>September 15</w:t>
      </w:r>
      <w:r w:rsidR="006067A0" w:rsidRPr="00A57018">
        <w:rPr>
          <w:rFonts w:eastAsiaTheme="minorHAnsi"/>
          <w:sz w:val="26"/>
          <w:szCs w:val="26"/>
        </w:rPr>
        <w:t>, 20</w:t>
      </w:r>
      <w:r w:rsidR="00833D56" w:rsidRPr="00A57018">
        <w:rPr>
          <w:rFonts w:eastAsiaTheme="minorHAnsi"/>
          <w:sz w:val="26"/>
          <w:szCs w:val="26"/>
        </w:rPr>
        <w:t>20</w:t>
      </w:r>
      <w:r w:rsidR="006067A0" w:rsidRPr="00A57018">
        <w:rPr>
          <w:rFonts w:eastAsiaTheme="minorHAnsi"/>
          <w:sz w:val="26"/>
          <w:szCs w:val="26"/>
        </w:rPr>
        <w:t>, is adopted</w:t>
      </w:r>
      <w:r w:rsidR="00F737FD" w:rsidRPr="00A57018">
        <w:rPr>
          <w:rFonts w:eastAsiaTheme="minorHAnsi"/>
          <w:sz w:val="26"/>
          <w:szCs w:val="26"/>
        </w:rPr>
        <w:t>,</w:t>
      </w:r>
      <w:r w:rsidR="006067A0" w:rsidRPr="00A57018">
        <w:rPr>
          <w:rFonts w:eastAsiaTheme="minorHAnsi"/>
          <w:sz w:val="26"/>
          <w:szCs w:val="26"/>
        </w:rPr>
        <w:t xml:space="preserve"> as modified</w:t>
      </w:r>
      <w:r w:rsidR="00F737FD" w:rsidRPr="00A57018">
        <w:rPr>
          <w:rFonts w:eastAsiaTheme="minorHAnsi"/>
          <w:sz w:val="26"/>
          <w:szCs w:val="26"/>
        </w:rPr>
        <w:t>,</w:t>
      </w:r>
      <w:r w:rsidR="006067A0" w:rsidRPr="00A57018">
        <w:rPr>
          <w:rFonts w:eastAsiaTheme="minorHAnsi"/>
          <w:sz w:val="26"/>
          <w:szCs w:val="26"/>
        </w:rPr>
        <w:t xml:space="preserve"> </w:t>
      </w:r>
      <w:r w:rsidR="00F737FD" w:rsidRPr="00A57018">
        <w:rPr>
          <w:rFonts w:eastAsiaTheme="minorHAnsi"/>
          <w:sz w:val="26"/>
          <w:szCs w:val="26"/>
        </w:rPr>
        <w:t xml:space="preserve">consistent with </w:t>
      </w:r>
      <w:r w:rsidR="006067A0" w:rsidRPr="00A57018">
        <w:rPr>
          <w:rFonts w:eastAsiaTheme="minorHAnsi"/>
          <w:sz w:val="26"/>
          <w:szCs w:val="26"/>
        </w:rPr>
        <w:t>this Opinion and Order.</w:t>
      </w:r>
    </w:p>
    <w:p w14:paraId="3C69CD62" w14:textId="77777777" w:rsidR="003F0BAF" w:rsidRPr="00A57018" w:rsidRDefault="003F0BAF" w:rsidP="00AA6601">
      <w:pPr>
        <w:widowControl/>
        <w:spacing w:line="360" w:lineRule="auto"/>
        <w:ind w:firstLine="1440"/>
        <w:contextualSpacing/>
        <w:rPr>
          <w:rFonts w:eastAsiaTheme="minorHAnsi"/>
          <w:sz w:val="26"/>
          <w:szCs w:val="26"/>
        </w:rPr>
      </w:pPr>
    </w:p>
    <w:p w14:paraId="71736A81" w14:textId="5AA3EF06" w:rsidR="00AE51A7" w:rsidRPr="00A57018" w:rsidRDefault="00AE51A7" w:rsidP="00AA6601">
      <w:pPr>
        <w:widowControl/>
        <w:spacing w:line="360" w:lineRule="auto"/>
        <w:textAlignment w:val="baseline"/>
        <w:rPr>
          <w:color w:val="000000"/>
          <w:sz w:val="26"/>
          <w:szCs w:val="26"/>
        </w:rPr>
      </w:pPr>
      <w:r w:rsidRPr="00A57018">
        <w:rPr>
          <w:rFonts w:eastAsiaTheme="minorHAnsi"/>
          <w:sz w:val="26"/>
          <w:szCs w:val="26"/>
        </w:rPr>
        <w:tab/>
      </w:r>
      <w:r w:rsidRPr="00A57018">
        <w:rPr>
          <w:rFonts w:eastAsiaTheme="minorHAnsi"/>
          <w:sz w:val="26"/>
          <w:szCs w:val="26"/>
        </w:rPr>
        <w:tab/>
      </w:r>
      <w:r w:rsidR="00DA3F38" w:rsidRPr="00A57018">
        <w:rPr>
          <w:rFonts w:eastAsiaTheme="minorHAnsi"/>
          <w:sz w:val="26"/>
          <w:szCs w:val="26"/>
        </w:rPr>
        <w:t>4</w:t>
      </w:r>
      <w:r w:rsidR="00C83532" w:rsidRPr="00A57018">
        <w:rPr>
          <w:rFonts w:eastAsiaTheme="minorHAnsi"/>
          <w:sz w:val="26"/>
          <w:szCs w:val="26"/>
        </w:rPr>
        <w:t xml:space="preserve">. </w:t>
      </w:r>
      <w:r w:rsidR="00C83532" w:rsidRPr="00A57018">
        <w:rPr>
          <w:rFonts w:eastAsiaTheme="minorHAnsi"/>
          <w:sz w:val="26"/>
          <w:szCs w:val="26"/>
        </w:rPr>
        <w:tab/>
      </w:r>
      <w:r w:rsidRPr="00A57018">
        <w:rPr>
          <w:color w:val="000000"/>
          <w:sz w:val="26"/>
          <w:szCs w:val="26"/>
        </w:rPr>
        <w:t>That the Formal Complaint filed by Verizon Pennsylvania LLC and</w:t>
      </w:r>
    </w:p>
    <w:p w14:paraId="73C9BE1D" w14:textId="4B9B9EF2" w:rsidR="00AE51A7" w:rsidRPr="00A57018" w:rsidRDefault="00AE51A7" w:rsidP="00AA6601">
      <w:pPr>
        <w:widowControl/>
        <w:spacing w:line="360" w:lineRule="auto"/>
        <w:textAlignment w:val="baseline"/>
        <w:rPr>
          <w:color w:val="000000"/>
          <w:sz w:val="26"/>
          <w:szCs w:val="26"/>
        </w:rPr>
      </w:pPr>
      <w:r w:rsidRPr="00A57018">
        <w:rPr>
          <w:color w:val="000000"/>
          <w:sz w:val="26"/>
          <w:szCs w:val="26"/>
        </w:rPr>
        <w:t>Verizon North LLC against Metropolitan Edison Company, Pennsylvania Electric Company and Penn Power Company at docket number C-2020-3019347 is hereby granted in part and denied in part.</w:t>
      </w:r>
    </w:p>
    <w:p w14:paraId="2C2D7F09" w14:textId="686F3CEE" w:rsidR="00AE51A7" w:rsidRPr="00A57018" w:rsidRDefault="00AE51A7" w:rsidP="007D50B6">
      <w:pPr>
        <w:widowControl/>
        <w:spacing w:line="360" w:lineRule="auto"/>
        <w:textAlignment w:val="baseline"/>
        <w:rPr>
          <w:color w:val="000000"/>
          <w:sz w:val="26"/>
          <w:szCs w:val="26"/>
        </w:rPr>
      </w:pPr>
    </w:p>
    <w:p w14:paraId="55F8FD3B" w14:textId="7C9C19A6" w:rsidR="00AE51A7" w:rsidRPr="00A57018" w:rsidRDefault="00DA3F38" w:rsidP="00AA6601">
      <w:pPr>
        <w:widowControl/>
        <w:tabs>
          <w:tab w:val="left" w:pos="2160"/>
        </w:tabs>
        <w:spacing w:line="360" w:lineRule="auto"/>
        <w:ind w:firstLine="1440"/>
        <w:textAlignment w:val="baseline"/>
        <w:rPr>
          <w:color w:val="000000"/>
          <w:sz w:val="26"/>
          <w:szCs w:val="26"/>
        </w:rPr>
      </w:pPr>
      <w:r w:rsidRPr="00A57018">
        <w:rPr>
          <w:color w:val="000000"/>
          <w:sz w:val="26"/>
          <w:szCs w:val="26"/>
        </w:rPr>
        <w:t>5</w:t>
      </w:r>
      <w:r w:rsidR="00AE51A7" w:rsidRPr="00A57018">
        <w:rPr>
          <w:color w:val="000000"/>
          <w:sz w:val="26"/>
          <w:szCs w:val="26"/>
        </w:rPr>
        <w:t>.</w:t>
      </w:r>
      <w:r w:rsidR="00AE51A7" w:rsidRPr="00A57018">
        <w:rPr>
          <w:color w:val="000000"/>
          <w:sz w:val="26"/>
          <w:szCs w:val="26"/>
        </w:rPr>
        <w:tab/>
        <w:t xml:space="preserve">That the </w:t>
      </w:r>
      <w:r w:rsidR="00263703" w:rsidRPr="00A57018">
        <w:rPr>
          <w:color w:val="000000"/>
          <w:sz w:val="26"/>
          <w:szCs w:val="26"/>
        </w:rPr>
        <w:t>F</w:t>
      </w:r>
      <w:r w:rsidR="00AE51A7" w:rsidRPr="00A57018">
        <w:rPr>
          <w:color w:val="000000"/>
          <w:sz w:val="26"/>
          <w:szCs w:val="26"/>
        </w:rPr>
        <w:t xml:space="preserve">ormal </w:t>
      </w:r>
      <w:r w:rsidR="00263703" w:rsidRPr="00A57018">
        <w:rPr>
          <w:color w:val="000000"/>
          <w:sz w:val="26"/>
          <w:szCs w:val="26"/>
        </w:rPr>
        <w:t>C</w:t>
      </w:r>
      <w:r w:rsidR="00AE51A7" w:rsidRPr="00A57018">
        <w:rPr>
          <w:color w:val="000000"/>
          <w:sz w:val="26"/>
          <w:szCs w:val="26"/>
        </w:rPr>
        <w:t xml:space="preserve">omplaint filed by Verizon Pennsylvania LLC and Verizon North LLC against Metropolitan Edison Company, Pennsylvania Electric Company and Penn Power Company at docket number C-2020-3019347 is granted to the extent that Verizon Pennsylvania LLC and Verizon North LLC are charged by Metropolitan Edison Company, Pennsylvania Electric Company and Penn Power Company to attach to their utility poles using a rate other than the new telecom rate since </w:t>
      </w:r>
      <w:r w:rsidR="00263703" w:rsidRPr="00A57018">
        <w:rPr>
          <w:color w:val="000000"/>
          <w:sz w:val="26"/>
          <w:szCs w:val="26"/>
        </w:rPr>
        <w:t>November 20</w:t>
      </w:r>
      <w:r w:rsidR="00AE51A7" w:rsidRPr="00A57018">
        <w:rPr>
          <w:color w:val="000000"/>
          <w:sz w:val="26"/>
          <w:szCs w:val="26"/>
        </w:rPr>
        <w:t>, 2019.</w:t>
      </w:r>
    </w:p>
    <w:p w14:paraId="6BF25200" w14:textId="77777777" w:rsidR="00263703" w:rsidRPr="00A57018" w:rsidRDefault="00263703" w:rsidP="00AA6601">
      <w:pPr>
        <w:widowControl/>
        <w:tabs>
          <w:tab w:val="left" w:pos="2160"/>
        </w:tabs>
        <w:spacing w:line="360" w:lineRule="auto"/>
        <w:ind w:firstLine="1440"/>
        <w:textAlignment w:val="baseline"/>
        <w:rPr>
          <w:color w:val="000000"/>
          <w:sz w:val="26"/>
          <w:szCs w:val="26"/>
        </w:rPr>
      </w:pPr>
    </w:p>
    <w:p w14:paraId="4C17AB5B" w14:textId="52E530DF" w:rsidR="00AE51A7" w:rsidRPr="00A57018" w:rsidRDefault="00DA3F38" w:rsidP="00AA6601">
      <w:pPr>
        <w:widowControl/>
        <w:tabs>
          <w:tab w:val="left" w:pos="2160"/>
        </w:tabs>
        <w:spacing w:line="360" w:lineRule="auto"/>
        <w:ind w:firstLine="1440"/>
        <w:textAlignment w:val="baseline"/>
        <w:rPr>
          <w:color w:val="000000"/>
          <w:sz w:val="26"/>
          <w:szCs w:val="26"/>
        </w:rPr>
      </w:pPr>
      <w:r w:rsidRPr="00A57018">
        <w:rPr>
          <w:color w:val="000000"/>
          <w:sz w:val="26"/>
          <w:szCs w:val="26"/>
        </w:rPr>
        <w:t>6</w:t>
      </w:r>
      <w:r w:rsidR="00263703" w:rsidRPr="00A57018">
        <w:rPr>
          <w:color w:val="000000"/>
          <w:sz w:val="26"/>
          <w:szCs w:val="26"/>
        </w:rPr>
        <w:t>.</w:t>
      </w:r>
      <w:r w:rsidR="00263703" w:rsidRPr="00A57018">
        <w:rPr>
          <w:color w:val="000000"/>
          <w:sz w:val="26"/>
          <w:szCs w:val="26"/>
        </w:rPr>
        <w:tab/>
      </w:r>
      <w:r w:rsidR="00AE51A7" w:rsidRPr="00A57018">
        <w:rPr>
          <w:color w:val="000000"/>
          <w:sz w:val="26"/>
          <w:szCs w:val="26"/>
        </w:rPr>
        <w:t xml:space="preserve">That the </w:t>
      </w:r>
      <w:r w:rsidR="00263703" w:rsidRPr="00A57018">
        <w:rPr>
          <w:color w:val="000000"/>
          <w:sz w:val="26"/>
          <w:szCs w:val="26"/>
        </w:rPr>
        <w:t>F</w:t>
      </w:r>
      <w:r w:rsidR="00AE51A7" w:rsidRPr="00A57018">
        <w:rPr>
          <w:color w:val="000000"/>
          <w:sz w:val="26"/>
          <w:szCs w:val="26"/>
        </w:rPr>
        <w:t xml:space="preserve">ormal </w:t>
      </w:r>
      <w:r w:rsidR="00263703" w:rsidRPr="00A57018">
        <w:rPr>
          <w:color w:val="000000"/>
          <w:sz w:val="26"/>
          <w:szCs w:val="26"/>
        </w:rPr>
        <w:t>C</w:t>
      </w:r>
      <w:r w:rsidR="00AE51A7" w:rsidRPr="00A57018">
        <w:rPr>
          <w:color w:val="000000"/>
          <w:sz w:val="26"/>
          <w:szCs w:val="26"/>
        </w:rPr>
        <w:t xml:space="preserve">omplaint filed by Verizon Pennsylvania LLC and Verizon North LLC against Metropolitan Edison Company, Pennsylvania Electric Company and Penn Power Company at docket number C-2020-3019347 is denied to the extent that Verizon Pennsylvania LLC and Verizon North LLC seek refunds dating back beyond </w:t>
      </w:r>
      <w:r w:rsidR="00263703" w:rsidRPr="00A57018">
        <w:rPr>
          <w:color w:val="000000"/>
          <w:sz w:val="26"/>
          <w:szCs w:val="26"/>
        </w:rPr>
        <w:t>November 20</w:t>
      </w:r>
      <w:r w:rsidR="00AE51A7" w:rsidRPr="00A57018">
        <w:rPr>
          <w:color w:val="000000"/>
          <w:sz w:val="26"/>
          <w:szCs w:val="26"/>
        </w:rPr>
        <w:t>, 2019.</w:t>
      </w:r>
    </w:p>
    <w:p w14:paraId="7D32CBCF" w14:textId="20C1B0C6" w:rsidR="00DB20BE" w:rsidRPr="00A57018" w:rsidRDefault="00DB20BE" w:rsidP="00AA6601">
      <w:pPr>
        <w:widowControl/>
        <w:tabs>
          <w:tab w:val="left" w:pos="2160"/>
        </w:tabs>
        <w:spacing w:line="360" w:lineRule="auto"/>
        <w:ind w:firstLine="1440"/>
        <w:textAlignment w:val="baseline"/>
        <w:rPr>
          <w:color w:val="000000"/>
          <w:sz w:val="26"/>
          <w:szCs w:val="26"/>
        </w:rPr>
      </w:pPr>
    </w:p>
    <w:p w14:paraId="14442BE7" w14:textId="78F93B5D" w:rsidR="00DB20BE" w:rsidRPr="00A57018" w:rsidRDefault="00DA3F38" w:rsidP="00AA6601">
      <w:pPr>
        <w:widowControl/>
        <w:tabs>
          <w:tab w:val="left" w:pos="2160"/>
        </w:tabs>
        <w:spacing w:line="360" w:lineRule="auto"/>
        <w:ind w:firstLine="1440"/>
        <w:textAlignment w:val="baseline"/>
        <w:rPr>
          <w:color w:val="000000"/>
          <w:sz w:val="26"/>
          <w:szCs w:val="26"/>
          <w:highlight w:val="green"/>
        </w:rPr>
      </w:pPr>
      <w:r w:rsidRPr="00A57018">
        <w:rPr>
          <w:color w:val="000000"/>
          <w:sz w:val="26"/>
          <w:szCs w:val="26"/>
        </w:rPr>
        <w:t>7</w:t>
      </w:r>
      <w:r w:rsidR="00DB20BE" w:rsidRPr="00A57018">
        <w:rPr>
          <w:color w:val="000000"/>
          <w:sz w:val="26"/>
          <w:szCs w:val="26"/>
        </w:rPr>
        <w:t>.</w:t>
      </w:r>
      <w:r w:rsidR="00DB20BE" w:rsidRPr="00A57018">
        <w:rPr>
          <w:color w:val="000000"/>
          <w:sz w:val="26"/>
          <w:szCs w:val="26"/>
        </w:rPr>
        <w:tab/>
        <w:t xml:space="preserve">That the rates charged by Metropolitan Edison Company, Pennsylvania Electric Company and Penn Power Company to Verizon Pennsylvania LLC </w:t>
      </w:r>
      <w:r w:rsidR="00DB20BE" w:rsidRPr="00A57018">
        <w:rPr>
          <w:color w:val="000000"/>
          <w:sz w:val="26"/>
          <w:szCs w:val="26"/>
        </w:rPr>
        <w:lastRenderedPageBreak/>
        <w:t xml:space="preserve">and Verizon North LLC to attach to their utility poles will be established </w:t>
      </w:r>
      <w:r w:rsidR="00057CAF" w:rsidRPr="00A57018">
        <w:rPr>
          <w:color w:val="000000"/>
          <w:sz w:val="26"/>
          <w:szCs w:val="26"/>
        </w:rPr>
        <w:t>from the effective date of November 20, 2019,</w:t>
      </w:r>
      <w:r w:rsidR="00DB20BE" w:rsidRPr="00A57018">
        <w:rPr>
          <w:color w:val="000000"/>
          <w:sz w:val="26"/>
          <w:szCs w:val="26"/>
        </w:rPr>
        <w:t xml:space="preserve"> using the “new telecom rate” methodology as set forth in 47 C.F.R. § 1.1406(d)(2) as adopted by the Commission </w:t>
      </w:r>
      <w:r w:rsidR="003F0BAF" w:rsidRPr="00A57018">
        <w:rPr>
          <w:color w:val="000000"/>
          <w:sz w:val="26"/>
          <w:szCs w:val="26"/>
        </w:rPr>
        <w:t xml:space="preserve">in </w:t>
      </w:r>
      <w:r w:rsidR="00DB20BE" w:rsidRPr="00A57018">
        <w:rPr>
          <w:color w:val="000000"/>
          <w:sz w:val="26"/>
          <w:szCs w:val="26"/>
        </w:rPr>
        <w:t>52 Pa. Code §</w:t>
      </w:r>
      <w:r w:rsidR="007D50B6">
        <w:rPr>
          <w:color w:val="000000"/>
          <w:sz w:val="26"/>
          <w:szCs w:val="26"/>
        </w:rPr>
        <w:t> </w:t>
      </w:r>
      <w:r w:rsidR="00DB20BE" w:rsidRPr="00A57018">
        <w:rPr>
          <w:color w:val="000000"/>
          <w:sz w:val="26"/>
          <w:szCs w:val="26"/>
        </w:rPr>
        <w:t>77.4(d).</w:t>
      </w:r>
    </w:p>
    <w:p w14:paraId="795F8D5A" w14:textId="61BEA603" w:rsidR="00057CAF" w:rsidRPr="00A57018" w:rsidRDefault="00057CAF" w:rsidP="00AA6601">
      <w:pPr>
        <w:widowControl/>
        <w:tabs>
          <w:tab w:val="left" w:pos="2160"/>
        </w:tabs>
        <w:spacing w:line="360" w:lineRule="auto"/>
        <w:ind w:firstLine="1440"/>
        <w:textAlignment w:val="baseline"/>
        <w:rPr>
          <w:color w:val="000000"/>
          <w:sz w:val="26"/>
          <w:szCs w:val="26"/>
          <w:highlight w:val="green"/>
        </w:rPr>
      </w:pPr>
    </w:p>
    <w:p w14:paraId="69F3A5B7" w14:textId="6606B382" w:rsidR="00057CAF" w:rsidRPr="00A57018" w:rsidRDefault="00DA3F38" w:rsidP="00AA6601">
      <w:pPr>
        <w:widowControl/>
        <w:tabs>
          <w:tab w:val="left" w:pos="2160"/>
        </w:tabs>
        <w:spacing w:line="360" w:lineRule="auto"/>
        <w:ind w:firstLine="1440"/>
        <w:textAlignment w:val="baseline"/>
        <w:rPr>
          <w:color w:val="000000"/>
          <w:sz w:val="26"/>
          <w:szCs w:val="26"/>
        </w:rPr>
      </w:pPr>
      <w:r w:rsidRPr="00A57018">
        <w:rPr>
          <w:color w:val="000000"/>
          <w:sz w:val="26"/>
          <w:szCs w:val="26"/>
        </w:rPr>
        <w:t>8</w:t>
      </w:r>
      <w:r w:rsidR="00057CAF" w:rsidRPr="00A57018">
        <w:rPr>
          <w:color w:val="000000"/>
          <w:sz w:val="26"/>
          <w:szCs w:val="26"/>
        </w:rPr>
        <w:t>.</w:t>
      </w:r>
      <w:r w:rsidR="00057CAF" w:rsidRPr="00A57018">
        <w:rPr>
          <w:color w:val="000000"/>
          <w:sz w:val="26"/>
          <w:szCs w:val="26"/>
        </w:rPr>
        <w:tab/>
        <w:t xml:space="preserve">That the effective date for calculating the refund for past amounts owed by </w:t>
      </w:r>
      <w:bookmarkStart w:id="91" w:name="_Hlk58575591"/>
      <w:r w:rsidR="00057CAF" w:rsidRPr="00A57018">
        <w:rPr>
          <w:color w:val="000000"/>
          <w:sz w:val="26"/>
          <w:szCs w:val="26"/>
        </w:rPr>
        <w:t>Metropolitan Edison Company, Pennsylvania Electric Company and Penn Power Company to Verizon Pennsylvania LLC and Verizon North LLC</w:t>
      </w:r>
      <w:bookmarkEnd w:id="91"/>
      <w:r w:rsidR="00057CAF" w:rsidRPr="00A57018">
        <w:rPr>
          <w:color w:val="000000"/>
          <w:sz w:val="26"/>
          <w:szCs w:val="26"/>
        </w:rPr>
        <w:t xml:space="preserve"> </w:t>
      </w:r>
      <w:r w:rsidR="00856A9C" w:rsidRPr="00A57018">
        <w:rPr>
          <w:color w:val="000000"/>
          <w:sz w:val="26"/>
          <w:szCs w:val="26"/>
        </w:rPr>
        <w:t xml:space="preserve">plus applicable interest </w:t>
      </w:r>
      <w:r w:rsidR="00057CAF" w:rsidRPr="00A57018">
        <w:rPr>
          <w:color w:val="000000"/>
          <w:sz w:val="26"/>
          <w:szCs w:val="26"/>
        </w:rPr>
        <w:t>is November 20, 2019.</w:t>
      </w:r>
    </w:p>
    <w:p w14:paraId="3C30CD38" w14:textId="373DAE31" w:rsidR="00057CAF" w:rsidRPr="00A57018" w:rsidRDefault="00057CAF" w:rsidP="007D50B6">
      <w:pPr>
        <w:widowControl/>
        <w:tabs>
          <w:tab w:val="left" w:pos="2160"/>
        </w:tabs>
        <w:spacing w:line="360" w:lineRule="auto"/>
        <w:ind w:firstLine="1440"/>
        <w:textAlignment w:val="baseline"/>
        <w:rPr>
          <w:color w:val="000000"/>
          <w:sz w:val="26"/>
          <w:szCs w:val="26"/>
        </w:rPr>
      </w:pPr>
    </w:p>
    <w:p w14:paraId="54506744" w14:textId="5D31C5B5" w:rsidR="00057CAF" w:rsidRPr="00A57018" w:rsidRDefault="00DA3F38" w:rsidP="007D50B6">
      <w:pPr>
        <w:widowControl/>
        <w:tabs>
          <w:tab w:val="left" w:pos="2160"/>
        </w:tabs>
        <w:spacing w:line="360" w:lineRule="auto"/>
        <w:ind w:firstLine="1440"/>
        <w:textAlignment w:val="baseline"/>
        <w:rPr>
          <w:color w:val="000000"/>
          <w:sz w:val="26"/>
          <w:szCs w:val="26"/>
        </w:rPr>
      </w:pPr>
      <w:r w:rsidRPr="00A57018">
        <w:rPr>
          <w:color w:val="000000"/>
          <w:sz w:val="26"/>
          <w:szCs w:val="26"/>
        </w:rPr>
        <w:t>9</w:t>
      </w:r>
      <w:r w:rsidR="00057CAF" w:rsidRPr="00A57018">
        <w:rPr>
          <w:color w:val="000000"/>
          <w:sz w:val="26"/>
          <w:szCs w:val="26"/>
        </w:rPr>
        <w:t>.</w:t>
      </w:r>
      <w:r w:rsidR="00057CAF" w:rsidRPr="00A57018">
        <w:rPr>
          <w:color w:val="000000"/>
          <w:sz w:val="26"/>
          <w:szCs w:val="26"/>
        </w:rPr>
        <w:tab/>
        <w:t>That within ninety (90) days of entry of this Opinion and Order, the Parties are to determine the refund amounts owed to Verizon Pennsylvania LLC and Verizon North LLC consistent with this Opinion and Order</w:t>
      </w:r>
      <w:r w:rsidR="00BD1081" w:rsidRPr="00A57018">
        <w:rPr>
          <w:color w:val="000000"/>
          <w:sz w:val="26"/>
          <w:szCs w:val="26"/>
        </w:rPr>
        <w:t xml:space="preserve"> and Metropolitan Edison Company, Pennsylvania Electric Company and Penn Power Company are to pay Verizon Pennsylvania LLC and Verizon North LLC</w:t>
      </w:r>
      <w:r w:rsidR="00057CAF" w:rsidRPr="00A57018">
        <w:rPr>
          <w:color w:val="000000"/>
          <w:sz w:val="26"/>
          <w:szCs w:val="26"/>
        </w:rPr>
        <w:t xml:space="preserve"> </w:t>
      </w:r>
      <w:r w:rsidR="00BD1081" w:rsidRPr="00A57018">
        <w:rPr>
          <w:color w:val="000000"/>
          <w:sz w:val="26"/>
          <w:szCs w:val="26"/>
        </w:rPr>
        <w:t>the amount of the determined refund</w:t>
      </w:r>
      <w:r w:rsidR="009D5792" w:rsidRPr="00A57018">
        <w:rPr>
          <w:color w:val="000000"/>
          <w:sz w:val="26"/>
          <w:szCs w:val="26"/>
        </w:rPr>
        <w:t xml:space="preserve"> plus the applicable interest owed on the refund amount</w:t>
      </w:r>
      <w:r w:rsidR="00BD1081" w:rsidRPr="00A57018">
        <w:rPr>
          <w:color w:val="000000"/>
          <w:sz w:val="26"/>
          <w:szCs w:val="26"/>
        </w:rPr>
        <w:t xml:space="preserve">.  </w:t>
      </w:r>
    </w:p>
    <w:p w14:paraId="16AE2139" w14:textId="313D4620" w:rsidR="00057CAF" w:rsidRPr="00A57018" w:rsidRDefault="00057CAF" w:rsidP="007D50B6">
      <w:pPr>
        <w:widowControl/>
        <w:tabs>
          <w:tab w:val="left" w:pos="2160"/>
        </w:tabs>
        <w:spacing w:line="360" w:lineRule="auto"/>
        <w:ind w:firstLine="1440"/>
        <w:textAlignment w:val="baseline"/>
        <w:rPr>
          <w:color w:val="000000"/>
          <w:sz w:val="26"/>
          <w:szCs w:val="26"/>
        </w:rPr>
      </w:pPr>
    </w:p>
    <w:p w14:paraId="36126B10" w14:textId="68563B62" w:rsidR="00BD1081" w:rsidRPr="00A57018" w:rsidRDefault="00DA3F38" w:rsidP="007D50B6">
      <w:pPr>
        <w:widowControl/>
        <w:tabs>
          <w:tab w:val="left" w:pos="2160"/>
        </w:tabs>
        <w:spacing w:line="360" w:lineRule="auto"/>
        <w:ind w:firstLine="1440"/>
        <w:textAlignment w:val="baseline"/>
        <w:rPr>
          <w:color w:val="000000"/>
          <w:sz w:val="26"/>
          <w:szCs w:val="26"/>
        </w:rPr>
      </w:pPr>
      <w:r w:rsidRPr="00A57018">
        <w:rPr>
          <w:color w:val="000000"/>
          <w:sz w:val="26"/>
          <w:szCs w:val="26"/>
        </w:rPr>
        <w:t>10</w:t>
      </w:r>
      <w:r w:rsidR="00057CAF" w:rsidRPr="00A57018">
        <w:rPr>
          <w:color w:val="000000"/>
          <w:sz w:val="26"/>
          <w:szCs w:val="26"/>
        </w:rPr>
        <w:t>.</w:t>
      </w:r>
      <w:r w:rsidR="00057CAF" w:rsidRPr="00A57018">
        <w:rPr>
          <w:color w:val="000000"/>
          <w:sz w:val="26"/>
          <w:szCs w:val="26"/>
        </w:rPr>
        <w:tab/>
        <w:t xml:space="preserve">That the Parties are to substitute </w:t>
      </w:r>
      <w:r w:rsidR="00BD1081" w:rsidRPr="00A57018">
        <w:rPr>
          <w:color w:val="000000"/>
          <w:sz w:val="26"/>
          <w:szCs w:val="26"/>
        </w:rPr>
        <w:t xml:space="preserve">in their respective pole attachment agreements at issue in this proceeding the just and reasonable rate established by the Commission and dating back to November 20, 2019, consistent with this Opinion and Order. </w:t>
      </w:r>
    </w:p>
    <w:p w14:paraId="13D8315B" w14:textId="77777777" w:rsidR="00BD1081" w:rsidRPr="00A57018" w:rsidRDefault="00BD1081" w:rsidP="007D50B6">
      <w:pPr>
        <w:widowControl/>
        <w:tabs>
          <w:tab w:val="left" w:pos="2160"/>
        </w:tabs>
        <w:spacing w:line="360" w:lineRule="auto"/>
        <w:ind w:firstLine="1440"/>
        <w:textAlignment w:val="baseline"/>
        <w:rPr>
          <w:color w:val="000000"/>
          <w:sz w:val="26"/>
          <w:szCs w:val="26"/>
        </w:rPr>
      </w:pPr>
    </w:p>
    <w:p w14:paraId="16B7F8DE" w14:textId="024476EB" w:rsidR="00057CAF" w:rsidRPr="00A57018" w:rsidRDefault="00BD1081" w:rsidP="007D50B6">
      <w:pPr>
        <w:widowControl/>
        <w:tabs>
          <w:tab w:val="left" w:pos="2160"/>
        </w:tabs>
        <w:spacing w:line="360" w:lineRule="auto"/>
        <w:ind w:firstLine="1440"/>
        <w:textAlignment w:val="baseline"/>
        <w:rPr>
          <w:color w:val="000000"/>
          <w:sz w:val="26"/>
          <w:szCs w:val="26"/>
        </w:rPr>
      </w:pPr>
      <w:r w:rsidRPr="00A57018">
        <w:rPr>
          <w:color w:val="000000"/>
          <w:sz w:val="26"/>
          <w:szCs w:val="26"/>
        </w:rPr>
        <w:t>1</w:t>
      </w:r>
      <w:r w:rsidR="00DA3F38" w:rsidRPr="00A57018">
        <w:rPr>
          <w:color w:val="000000"/>
          <w:sz w:val="26"/>
          <w:szCs w:val="26"/>
        </w:rPr>
        <w:t>1</w:t>
      </w:r>
      <w:r w:rsidRPr="00A57018">
        <w:rPr>
          <w:color w:val="000000"/>
          <w:sz w:val="26"/>
          <w:szCs w:val="26"/>
        </w:rPr>
        <w:t>.</w:t>
      </w:r>
      <w:r w:rsidRPr="00A57018">
        <w:rPr>
          <w:color w:val="000000"/>
          <w:sz w:val="26"/>
          <w:szCs w:val="26"/>
        </w:rPr>
        <w:tab/>
        <w:t xml:space="preserve">That upon payment of the refund amount set forth in Ordering Paragraph No. </w:t>
      </w:r>
      <w:r w:rsidR="00DA3F38" w:rsidRPr="00A57018">
        <w:rPr>
          <w:color w:val="000000"/>
          <w:sz w:val="26"/>
          <w:szCs w:val="26"/>
        </w:rPr>
        <w:t>9</w:t>
      </w:r>
      <w:r w:rsidRPr="00A57018">
        <w:rPr>
          <w:color w:val="000000"/>
          <w:sz w:val="26"/>
          <w:szCs w:val="26"/>
        </w:rPr>
        <w:t xml:space="preserve">, above, the Parties shall file a certification with the Commission’s Secretary’s Bureau.  </w:t>
      </w:r>
    </w:p>
    <w:p w14:paraId="1932B0B7" w14:textId="3EC91C3B" w:rsidR="00A072D4" w:rsidRDefault="00A072D4">
      <w:pPr>
        <w:widowControl/>
        <w:rPr>
          <w:color w:val="000000"/>
          <w:sz w:val="26"/>
          <w:szCs w:val="26"/>
        </w:rPr>
      </w:pPr>
    </w:p>
    <w:p w14:paraId="556CEC5B" w14:textId="2EC6BC4D" w:rsidR="001820EA" w:rsidRPr="00A57018" w:rsidRDefault="001820EA" w:rsidP="007D50B6">
      <w:pPr>
        <w:keepNext/>
        <w:keepLines/>
        <w:widowControl/>
        <w:tabs>
          <w:tab w:val="left" w:pos="2160"/>
        </w:tabs>
        <w:spacing w:line="360" w:lineRule="auto"/>
        <w:ind w:firstLine="1440"/>
        <w:textAlignment w:val="baseline"/>
        <w:rPr>
          <w:color w:val="000000"/>
          <w:sz w:val="26"/>
          <w:szCs w:val="26"/>
        </w:rPr>
      </w:pPr>
      <w:r w:rsidRPr="00A57018">
        <w:rPr>
          <w:color w:val="000000"/>
          <w:sz w:val="26"/>
          <w:szCs w:val="26"/>
        </w:rPr>
        <w:lastRenderedPageBreak/>
        <w:t>1</w:t>
      </w:r>
      <w:r w:rsidR="00DA3F38" w:rsidRPr="00A57018">
        <w:rPr>
          <w:color w:val="000000"/>
          <w:sz w:val="26"/>
          <w:szCs w:val="26"/>
        </w:rPr>
        <w:t>2</w:t>
      </w:r>
      <w:r w:rsidRPr="00A57018">
        <w:rPr>
          <w:color w:val="000000"/>
          <w:sz w:val="26"/>
          <w:szCs w:val="26"/>
        </w:rPr>
        <w:t>.</w:t>
      </w:r>
      <w:r w:rsidRPr="00A57018">
        <w:rPr>
          <w:color w:val="000000"/>
          <w:sz w:val="26"/>
          <w:szCs w:val="26"/>
        </w:rPr>
        <w:tab/>
        <w:t>That upon filing of the certification set forth in Ordering Paragraph No. 1</w:t>
      </w:r>
      <w:r w:rsidR="00DA3F38" w:rsidRPr="00A57018">
        <w:rPr>
          <w:color w:val="000000"/>
          <w:sz w:val="26"/>
          <w:szCs w:val="26"/>
        </w:rPr>
        <w:t>1</w:t>
      </w:r>
      <w:r w:rsidRPr="00A57018">
        <w:rPr>
          <w:color w:val="000000"/>
          <w:sz w:val="26"/>
          <w:szCs w:val="26"/>
        </w:rPr>
        <w:t>, above, this matter shall be marked closed.</w:t>
      </w:r>
    </w:p>
    <w:bookmarkEnd w:id="88"/>
    <w:p w14:paraId="338760CA" w14:textId="6B98F45B" w:rsidR="00DB20BE" w:rsidRPr="00A57018" w:rsidRDefault="00DB20BE" w:rsidP="00A57018">
      <w:pPr>
        <w:keepNext/>
        <w:keepLines/>
        <w:widowControl/>
        <w:tabs>
          <w:tab w:val="left" w:pos="2160"/>
        </w:tabs>
        <w:spacing w:line="360" w:lineRule="auto"/>
        <w:ind w:firstLine="1440"/>
        <w:textAlignment w:val="baseline"/>
        <w:rPr>
          <w:color w:val="000000"/>
          <w:sz w:val="26"/>
          <w:szCs w:val="26"/>
        </w:rPr>
      </w:pPr>
    </w:p>
    <w:p w14:paraId="0D5F48A5" w14:textId="23FC9603" w:rsidR="000F1318" w:rsidRPr="00A57018" w:rsidRDefault="000F1318" w:rsidP="00A57018">
      <w:pPr>
        <w:keepNext/>
        <w:keepLines/>
        <w:widowControl/>
        <w:spacing w:line="360" w:lineRule="auto"/>
        <w:ind w:firstLine="5040"/>
        <w:rPr>
          <w:sz w:val="26"/>
          <w:szCs w:val="26"/>
        </w:rPr>
      </w:pPr>
      <w:r w:rsidRPr="00A57018">
        <w:rPr>
          <w:b/>
          <w:sz w:val="26"/>
          <w:szCs w:val="26"/>
        </w:rPr>
        <w:t>BY THE COMMISSION,</w:t>
      </w:r>
    </w:p>
    <w:p w14:paraId="1B729B44" w14:textId="2C13A4B8" w:rsidR="000F1318" w:rsidRPr="00A57018" w:rsidRDefault="000F1318" w:rsidP="00A57018">
      <w:pPr>
        <w:keepNext/>
        <w:keepLines/>
        <w:widowControl/>
        <w:ind w:firstLine="5040"/>
        <w:rPr>
          <w:sz w:val="26"/>
          <w:szCs w:val="26"/>
        </w:rPr>
      </w:pPr>
    </w:p>
    <w:p w14:paraId="16BB3175" w14:textId="6DD457DF" w:rsidR="000F1318" w:rsidRPr="00A57018" w:rsidRDefault="00294FB4" w:rsidP="00A57018">
      <w:pPr>
        <w:keepNext/>
        <w:keepLines/>
        <w:widowControl/>
        <w:ind w:firstLine="5040"/>
        <w:rPr>
          <w:sz w:val="26"/>
          <w:szCs w:val="26"/>
        </w:rPr>
      </w:pPr>
      <w:r>
        <w:rPr>
          <w:rFonts w:ascii="Arial" w:hAnsi="Arial" w:cs="Arial"/>
          <w:noProof/>
          <w:sz w:val="24"/>
          <w:szCs w:val="24"/>
        </w:rPr>
        <w:drawing>
          <wp:anchor distT="0" distB="0" distL="114300" distR="114300" simplePos="0" relativeHeight="251659264" behindDoc="1" locked="0" layoutInCell="1" allowOverlap="1" wp14:anchorId="10D32373" wp14:editId="5895664A">
            <wp:simplePos x="0" y="0"/>
            <wp:positionH relativeFrom="column">
              <wp:posOffset>3003550</wp:posOffset>
            </wp:positionH>
            <wp:positionV relativeFrom="paragraph">
              <wp:posOffset>5080</wp:posOffset>
            </wp:positionV>
            <wp:extent cx="1837944" cy="7040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7944" cy="7040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53AF9B" w14:textId="1D7A09BD" w:rsidR="000D7B91" w:rsidRPr="00A57018" w:rsidRDefault="000D7B91" w:rsidP="00A57018">
      <w:pPr>
        <w:keepNext/>
        <w:keepLines/>
        <w:widowControl/>
        <w:ind w:firstLine="5040"/>
        <w:rPr>
          <w:sz w:val="26"/>
          <w:szCs w:val="26"/>
        </w:rPr>
      </w:pPr>
    </w:p>
    <w:p w14:paraId="2665205C" w14:textId="013C5AD8" w:rsidR="000F1318" w:rsidRPr="00A57018" w:rsidRDefault="000F1318" w:rsidP="00A57018">
      <w:pPr>
        <w:keepNext/>
        <w:keepLines/>
        <w:widowControl/>
        <w:ind w:firstLine="5040"/>
        <w:rPr>
          <w:sz w:val="26"/>
          <w:szCs w:val="26"/>
        </w:rPr>
      </w:pPr>
    </w:p>
    <w:p w14:paraId="10972E82" w14:textId="54C610CC" w:rsidR="00600F6F" w:rsidRPr="00A57018" w:rsidRDefault="00600F6F" w:rsidP="00A57018">
      <w:pPr>
        <w:widowControl/>
        <w:ind w:firstLine="5040"/>
        <w:rPr>
          <w:sz w:val="26"/>
          <w:szCs w:val="26"/>
        </w:rPr>
      </w:pPr>
      <w:r w:rsidRPr="00A57018">
        <w:rPr>
          <w:sz w:val="26"/>
          <w:szCs w:val="26"/>
        </w:rPr>
        <w:t>Rosemary Chiavetta</w:t>
      </w:r>
    </w:p>
    <w:p w14:paraId="12DFF6D7" w14:textId="274674BC" w:rsidR="000F1318" w:rsidRPr="00A57018" w:rsidRDefault="000F1318" w:rsidP="00A57018">
      <w:pPr>
        <w:widowControl/>
        <w:ind w:firstLine="5040"/>
        <w:rPr>
          <w:sz w:val="26"/>
          <w:szCs w:val="26"/>
        </w:rPr>
      </w:pPr>
      <w:r w:rsidRPr="00A57018">
        <w:rPr>
          <w:sz w:val="26"/>
          <w:szCs w:val="26"/>
        </w:rPr>
        <w:t>Secretary</w:t>
      </w:r>
    </w:p>
    <w:p w14:paraId="350D3FC4" w14:textId="54F91382" w:rsidR="000F1318" w:rsidRPr="00A57018" w:rsidRDefault="000F1318" w:rsidP="00A57018">
      <w:pPr>
        <w:widowControl/>
        <w:rPr>
          <w:sz w:val="26"/>
          <w:szCs w:val="26"/>
        </w:rPr>
      </w:pPr>
    </w:p>
    <w:p w14:paraId="58541BBE" w14:textId="099E8E61" w:rsidR="000F1318" w:rsidRPr="00A57018" w:rsidRDefault="000F1318" w:rsidP="00A57018">
      <w:pPr>
        <w:widowControl/>
        <w:rPr>
          <w:sz w:val="26"/>
          <w:szCs w:val="26"/>
        </w:rPr>
      </w:pPr>
      <w:r w:rsidRPr="00A57018">
        <w:rPr>
          <w:sz w:val="26"/>
          <w:szCs w:val="26"/>
        </w:rPr>
        <w:t>(SEAL)</w:t>
      </w:r>
    </w:p>
    <w:p w14:paraId="2DB92430" w14:textId="22C8C920" w:rsidR="000F1318" w:rsidRPr="00A57018" w:rsidRDefault="000F1318" w:rsidP="00A57018">
      <w:pPr>
        <w:widowControl/>
        <w:rPr>
          <w:sz w:val="26"/>
          <w:szCs w:val="26"/>
        </w:rPr>
      </w:pPr>
    </w:p>
    <w:p w14:paraId="5DD592A5" w14:textId="7F573858" w:rsidR="000D7B91" w:rsidRPr="00A57018" w:rsidRDefault="00F248A4" w:rsidP="00A57018">
      <w:pPr>
        <w:widowControl/>
        <w:rPr>
          <w:sz w:val="26"/>
          <w:szCs w:val="26"/>
        </w:rPr>
      </w:pPr>
      <w:r w:rsidRPr="00A57018">
        <w:rPr>
          <w:sz w:val="26"/>
          <w:szCs w:val="26"/>
        </w:rPr>
        <w:t>ORDER ADOPTED:</w:t>
      </w:r>
      <w:r w:rsidR="00776AD2" w:rsidRPr="00A57018">
        <w:rPr>
          <w:sz w:val="26"/>
          <w:szCs w:val="26"/>
        </w:rPr>
        <w:t xml:space="preserve">  </w:t>
      </w:r>
      <w:r w:rsidR="006A2825" w:rsidRPr="00A57018">
        <w:rPr>
          <w:sz w:val="26"/>
          <w:szCs w:val="26"/>
        </w:rPr>
        <w:t>December 3</w:t>
      </w:r>
      <w:r w:rsidR="003F19BF" w:rsidRPr="00A57018">
        <w:rPr>
          <w:sz w:val="26"/>
          <w:szCs w:val="26"/>
        </w:rPr>
        <w:t>, 20</w:t>
      </w:r>
      <w:r w:rsidR="00B104A2" w:rsidRPr="00A57018">
        <w:rPr>
          <w:sz w:val="26"/>
          <w:szCs w:val="26"/>
        </w:rPr>
        <w:t>20</w:t>
      </w:r>
    </w:p>
    <w:p w14:paraId="77DBB4DA" w14:textId="50197942" w:rsidR="000D7B91" w:rsidRPr="00A57018" w:rsidRDefault="000D7B91" w:rsidP="00A57018">
      <w:pPr>
        <w:widowControl/>
        <w:rPr>
          <w:sz w:val="26"/>
          <w:szCs w:val="26"/>
        </w:rPr>
      </w:pPr>
    </w:p>
    <w:p w14:paraId="54405901" w14:textId="26E56891" w:rsidR="004F47A7" w:rsidRDefault="000D7B91" w:rsidP="00A57018">
      <w:pPr>
        <w:widowControl/>
        <w:rPr>
          <w:b/>
          <w:sz w:val="26"/>
        </w:rPr>
      </w:pPr>
      <w:r w:rsidRPr="00A57018">
        <w:rPr>
          <w:sz w:val="26"/>
          <w:szCs w:val="26"/>
        </w:rPr>
        <w:t>O</w:t>
      </w:r>
      <w:r w:rsidR="000F1318" w:rsidRPr="00A57018">
        <w:rPr>
          <w:sz w:val="26"/>
          <w:szCs w:val="26"/>
        </w:rPr>
        <w:t>RDER ENTERED:</w:t>
      </w:r>
      <w:r w:rsidR="000F1318" w:rsidRPr="00027664">
        <w:rPr>
          <w:sz w:val="26"/>
          <w:szCs w:val="26"/>
        </w:rPr>
        <w:t xml:space="preserve">  </w:t>
      </w:r>
      <w:r w:rsidR="00294FB4">
        <w:rPr>
          <w:sz w:val="26"/>
          <w:szCs w:val="26"/>
        </w:rPr>
        <w:t>December 18, 2020</w:t>
      </w:r>
    </w:p>
    <w:sectPr w:rsidR="004F47A7" w:rsidSect="005127F1">
      <w:footerReference w:type="defaul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5729D" w14:textId="77777777" w:rsidR="00C40B91" w:rsidRDefault="00C40B91">
      <w:r>
        <w:separator/>
      </w:r>
    </w:p>
    <w:p w14:paraId="2A9ACDF3" w14:textId="77777777" w:rsidR="00C40B91" w:rsidRDefault="00C40B91"/>
    <w:p w14:paraId="0FDB9FBF" w14:textId="77777777" w:rsidR="00C40B91" w:rsidRDefault="00C40B91" w:rsidP="002826C5"/>
  </w:endnote>
  <w:endnote w:type="continuationSeparator" w:id="0">
    <w:p w14:paraId="578B0A4A" w14:textId="77777777" w:rsidR="00C40B91" w:rsidRDefault="00C40B91">
      <w:r>
        <w:continuationSeparator/>
      </w:r>
    </w:p>
    <w:p w14:paraId="0C168DC8" w14:textId="77777777" w:rsidR="00C40B91" w:rsidRDefault="00C40B91"/>
    <w:p w14:paraId="5849DD6A" w14:textId="77777777" w:rsidR="00C40B91" w:rsidRDefault="00C40B91" w:rsidP="002826C5"/>
  </w:endnote>
  <w:endnote w:type="continuationNotice" w:id="1">
    <w:p w14:paraId="760CF3D4" w14:textId="77777777" w:rsidR="00C40B91" w:rsidRDefault="00C40B91"/>
    <w:p w14:paraId="69F30061" w14:textId="77777777" w:rsidR="00C40B91" w:rsidRDefault="00C40B91"/>
    <w:p w14:paraId="2A626687" w14:textId="77777777" w:rsidR="00C40B91" w:rsidRDefault="00C40B91" w:rsidP="00282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D372A" w14:textId="77777777" w:rsidR="00A927B4" w:rsidRDefault="00A927B4"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2A25DE" w14:textId="77777777" w:rsidR="00A927B4" w:rsidRDefault="00A92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F0F16" w14:textId="77777777" w:rsidR="00A927B4" w:rsidRPr="00C7667D" w:rsidRDefault="00A927B4"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Pr>
        <w:rStyle w:val="PageNumber"/>
        <w:noProof/>
        <w:sz w:val="26"/>
      </w:rPr>
      <w:t>2</w:t>
    </w:r>
    <w:r w:rsidRPr="00C7667D">
      <w:rPr>
        <w:rStyle w:val="PageNumber"/>
        <w:sz w:val="26"/>
      </w:rPr>
      <w:fldChar w:fldCharType="end"/>
    </w:r>
  </w:p>
  <w:p w14:paraId="74A283B3" w14:textId="77777777" w:rsidR="00A927B4" w:rsidRDefault="00A927B4" w:rsidP="00C76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E2384" w14:textId="77777777" w:rsidR="00A927B4" w:rsidRDefault="00A927B4" w:rsidP="00A32A8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37C63" w14:textId="77777777" w:rsidR="00A927B4" w:rsidRPr="00C7667D" w:rsidRDefault="00A927B4"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Pr>
        <w:rStyle w:val="PageNumber"/>
        <w:noProof/>
        <w:sz w:val="26"/>
      </w:rPr>
      <w:t>2</w:t>
    </w:r>
    <w:r w:rsidRPr="00C7667D">
      <w:rPr>
        <w:rStyle w:val="PageNumber"/>
        <w:sz w:val="26"/>
      </w:rPr>
      <w:fldChar w:fldCharType="end"/>
    </w:r>
  </w:p>
  <w:p w14:paraId="7737DFB1" w14:textId="77777777" w:rsidR="00A927B4" w:rsidRDefault="00A927B4"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2F947" w14:textId="77777777" w:rsidR="00C40B91" w:rsidRDefault="00C40B91" w:rsidP="002826C5">
      <w:r>
        <w:separator/>
      </w:r>
    </w:p>
  </w:footnote>
  <w:footnote w:type="continuationSeparator" w:id="0">
    <w:p w14:paraId="7960FF79" w14:textId="77777777" w:rsidR="00C40B91" w:rsidRDefault="00C40B91">
      <w:r>
        <w:continuationSeparator/>
      </w:r>
    </w:p>
    <w:p w14:paraId="1935C071" w14:textId="77777777" w:rsidR="00C40B91" w:rsidRDefault="00C40B91"/>
    <w:p w14:paraId="3E246FB7" w14:textId="77777777" w:rsidR="00C40B91" w:rsidRDefault="00C40B91" w:rsidP="002826C5"/>
  </w:footnote>
  <w:footnote w:type="continuationNotice" w:id="1">
    <w:p w14:paraId="734560A0" w14:textId="77777777" w:rsidR="00C40B91" w:rsidRDefault="00C40B91"/>
    <w:p w14:paraId="4798C3EC" w14:textId="77777777" w:rsidR="00C40B91" w:rsidRDefault="00C40B91"/>
    <w:p w14:paraId="4AA120DB" w14:textId="77777777" w:rsidR="00C40B91" w:rsidRDefault="00C40B91" w:rsidP="002826C5"/>
  </w:footnote>
  <w:footnote w:id="2">
    <w:p w14:paraId="281DFD82" w14:textId="415A4FE2" w:rsidR="00A927B4" w:rsidRPr="00E9699F" w:rsidRDefault="00A927B4" w:rsidP="003A78C5">
      <w:pPr>
        <w:pStyle w:val="FootnoteText"/>
        <w:keepNext/>
        <w:keepLines/>
        <w:spacing w:after="120"/>
        <w:ind w:firstLine="720"/>
        <w:rPr>
          <w:sz w:val="26"/>
          <w:szCs w:val="26"/>
        </w:rPr>
      </w:pPr>
      <w:r w:rsidRPr="00E9699F">
        <w:rPr>
          <w:rStyle w:val="FootnoteReference"/>
          <w:sz w:val="26"/>
          <w:szCs w:val="26"/>
        </w:rPr>
        <w:footnoteRef/>
      </w:r>
      <w:r w:rsidRPr="00E9699F">
        <w:rPr>
          <w:sz w:val="26"/>
          <w:szCs w:val="26"/>
        </w:rPr>
        <w:t xml:space="preserve"> </w:t>
      </w:r>
      <w:r>
        <w:rPr>
          <w:sz w:val="26"/>
          <w:szCs w:val="26"/>
        </w:rPr>
        <w:tab/>
      </w:r>
      <w:r w:rsidRPr="00E9699F">
        <w:rPr>
          <w:sz w:val="26"/>
          <w:szCs w:val="26"/>
        </w:rPr>
        <w:t>The term “pole attachment” in the context of</w:t>
      </w:r>
      <w:r>
        <w:rPr>
          <w:sz w:val="26"/>
          <w:szCs w:val="26"/>
        </w:rPr>
        <w:t xml:space="preserve"> the</w:t>
      </w:r>
      <w:r w:rsidRPr="00E9699F">
        <w:rPr>
          <w:sz w:val="26"/>
          <w:szCs w:val="26"/>
        </w:rPr>
        <w:t xml:space="preserve"> </w:t>
      </w:r>
      <w:r>
        <w:rPr>
          <w:sz w:val="26"/>
          <w:szCs w:val="26"/>
        </w:rPr>
        <w:t>Telecommunications Act of 1996 (</w:t>
      </w:r>
      <w:r w:rsidRPr="00E9699F">
        <w:rPr>
          <w:sz w:val="26"/>
          <w:szCs w:val="26"/>
        </w:rPr>
        <w:t>TA96</w:t>
      </w:r>
      <w:r>
        <w:rPr>
          <w:sz w:val="26"/>
          <w:szCs w:val="26"/>
        </w:rPr>
        <w:t>)</w:t>
      </w:r>
      <w:r w:rsidRPr="00E9699F">
        <w:rPr>
          <w:sz w:val="26"/>
          <w:szCs w:val="26"/>
        </w:rPr>
        <w:t xml:space="preserve"> is a term of art used to describe the physical facilities employed to support or protect cabling, transponders, or similar facilities used in outside communications plants.  Federal law defines a “pole attachment” as any attachment by a cable television system or provider of telecommunications service to a pole, duct, conduit or right</w:t>
      </w:r>
      <w:r w:rsidRPr="00E9699F">
        <w:rPr>
          <w:sz w:val="26"/>
          <w:szCs w:val="26"/>
        </w:rPr>
        <w:noBreakHyphen/>
        <w:t>of</w:t>
      </w:r>
      <w:r w:rsidRPr="00E9699F">
        <w:rPr>
          <w:sz w:val="26"/>
          <w:szCs w:val="26"/>
        </w:rPr>
        <w:noBreakHyphen/>
        <w:t xml:space="preserve">way owned or controlled by a utility.  47 U.S.C. § 224(a)(4).  The definition extends to utility structures above and below ground and encompasses utility property rights.  </w:t>
      </w:r>
    </w:p>
  </w:footnote>
  <w:footnote w:id="3">
    <w:p w14:paraId="286E8C24" w14:textId="67D76F2C" w:rsidR="00A927B4" w:rsidRPr="009C2548" w:rsidRDefault="00A927B4" w:rsidP="003A78C5">
      <w:pPr>
        <w:pStyle w:val="FootnoteText"/>
        <w:keepNext/>
        <w:keepLines/>
        <w:spacing w:after="120"/>
        <w:ind w:firstLine="720"/>
        <w:rPr>
          <w:sz w:val="26"/>
          <w:szCs w:val="26"/>
        </w:rPr>
      </w:pPr>
      <w:r w:rsidRPr="009C2548">
        <w:rPr>
          <w:rStyle w:val="FootnoteReference"/>
          <w:sz w:val="26"/>
          <w:szCs w:val="26"/>
        </w:rPr>
        <w:footnoteRef/>
      </w:r>
      <w:r w:rsidRPr="009C2548">
        <w:rPr>
          <w:sz w:val="26"/>
          <w:szCs w:val="26"/>
        </w:rPr>
        <w:t xml:space="preserve"> </w:t>
      </w:r>
      <w:r w:rsidRPr="009C2548">
        <w:rPr>
          <w:sz w:val="26"/>
          <w:szCs w:val="26"/>
        </w:rPr>
        <w:tab/>
      </w:r>
      <w:r w:rsidRPr="003674AD">
        <w:rPr>
          <w:i/>
          <w:iCs/>
          <w:sz w:val="26"/>
          <w:szCs w:val="26"/>
        </w:rPr>
        <w:t>See</w:t>
      </w:r>
      <w:r w:rsidRPr="009C2548">
        <w:rPr>
          <w:sz w:val="26"/>
          <w:szCs w:val="26"/>
        </w:rPr>
        <w:t xml:space="preserve"> Verizon </w:t>
      </w:r>
      <w:r>
        <w:rPr>
          <w:sz w:val="26"/>
          <w:szCs w:val="26"/>
        </w:rPr>
        <w:t xml:space="preserve">St. No. 1.0, </w:t>
      </w:r>
      <w:r w:rsidRPr="009C2548">
        <w:rPr>
          <w:sz w:val="26"/>
          <w:szCs w:val="26"/>
        </w:rPr>
        <w:t>Exh. SCM-3 at VZ00542-547.</w:t>
      </w:r>
    </w:p>
  </w:footnote>
  <w:footnote w:id="4">
    <w:p w14:paraId="4945F83E" w14:textId="76FA80ED" w:rsidR="00A927B4" w:rsidRDefault="00A927B4" w:rsidP="00213652">
      <w:pPr>
        <w:pStyle w:val="FootnoteText"/>
        <w:keepNext/>
        <w:keepLines/>
        <w:ind w:firstLine="720"/>
      </w:pPr>
      <w:r w:rsidRPr="009C2548">
        <w:rPr>
          <w:rStyle w:val="FootnoteReference"/>
          <w:sz w:val="26"/>
          <w:szCs w:val="26"/>
        </w:rPr>
        <w:footnoteRef/>
      </w:r>
      <w:r w:rsidRPr="009C2548">
        <w:rPr>
          <w:sz w:val="26"/>
          <w:szCs w:val="26"/>
        </w:rPr>
        <w:t xml:space="preserve"> </w:t>
      </w:r>
      <w:r>
        <w:rPr>
          <w:sz w:val="26"/>
          <w:szCs w:val="26"/>
        </w:rPr>
        <w:tab/>
      </w:r>
      <w:r w:rsidRPr="003674AD">
        <w:rPr>
          <w:i/>
          <w:iCs/>
          <w:sz w:val="26"/>
          <w:szCs w:val="26"/>
        </w:rPr>
        <w:t>See</w:t>
      </w:r>
      <w:r w:rsidRPr="009C2548">
        <w:rPr>
          <w:sz w:val="26"/>
          <w:szCs w:val="26"/>
        </w:rPr>
        <w:t xml:space="preserve"> Verizon </w:t>
      </w:r>
      <w:r>
        <w:rPr>
          <w:sz w:val="26"/>
          <w:szCs w:val="26"/>
        </w:rPr>
        <w:t xml:space="preserve">St. No. 1.0, </w:t>
      </w:r>
      <w:r w:rsidRPr="009C2548">
        <w:rPr>
          <w:sz w:val="26"/>
          <w:szCs w:val="26"/>
        </w:rPr>
        <w:t>Exh. SCM-3 at VZ00532-541</w:t>
      </w:r>
      <w:r>
        <w:rPr>
          <w:sz w:val="26"/>
          <w:szCs w:val="26"/>
        </w:rPr>
        <w:t xml:space="preserve"> and</w:t>
      </w:r>
      <w:r w:rsidRPr="009C2548">
        <w:rPr>
          <w:sz w:val="26"/>
          <w:szCs w:val="26"/>
        </w:rPr>
        <w:t xml:space="preserve"> Exh. SCM-2 at VZ00298, VZ00301, VZ00304, VZ00306, VZ00309, VZ00311, VZ00314, VZ00316</w:t>
      </w:r>
      <w:r>
        <w:rPr>
          <w:sz w:val="26"/>
          <w:szCs w:val="26"/>
        </w:rPr>
        <w:t xml:space="preserve"> (Memoranda of Understandings (MOUs)).</w:t>
      </w:r>
    </w:p>
  </w:footnote>
  <w:footnote w:id="5">
    <w:p w14:paraId="1B10A6CF" w14:textId="61325FAF" w:rsidR="00A927B4" w:rsidRPr="00CC29BB" w:rsidRDefault="00A927B4" w:rsidP="00A927B4">
      <w:pPr>
        <w:pStyle w:val="FootnoteText"/>
        <w:keepNext/>
        <w:keepLines/>
        <w:ind w:firstLine="720"/>
        <w:rPr>
          <w:sz w:val="26"/>
          <w:szCs w:val="26"/>
        </w:rPr>
      </w:pPr>
      <w:r w:rsidRPr="00CC29BB">
        <w:rPr>
          <w:rStyle w:val="FootnoteReference"/>
          <w:sz w:val="26"/>
          <w:szCs w:val="26"/>
        </w:rPr>
        <w:footnoteRef/>
      </w:r>
      <w:r w:rsidRPr="00CC29BB">
        <w:rPr>
          <w:sz w:val="26"/>
          <w:szCs w:val="26"/>
        </w:rPr>
        <w:t xml:space="preserve"> </w:t>
      </w:r>
      <w:r>
        <w:rPr>
          <w:sz w:val="26"/>
          <w:szCs w:val="26"/>
        </w:rPr>
        <w:tab/>
      </w:r>
      <w:r w:rsidRPr="00CC29BB">
        <w:rPr>
          <w:sz w:val="26"/>
          <w:szCs w:val="26"/>
        </w:rPr>
        <w:t xml:space="preserve">The PAA section of TA96 may be found at </w:t>
      </w:r>
      <w:r>
        <w:rPr>
          <w:sz w:val="26"/>
          <w:szCs w:val="26"/>
        </w:rPr>
        <w:t>Section 224 of Title 47 of the United States Code (U.S.C.) (</w:t>
      </w:r>
      <w:r w:rsidRPr="00CC29BB">
        <w:rPr>
          <w:sz w:val="26"/>
          <w:szCs w:val="26"/>
        </w:rPr>
        <w:t>47 U.S.C. § 224</w:t>
      </w:r>
      <w:r>
        <w:rPr>
          <w:sz w:val="26"/>
          <w:szCs w:val="26"/>
        </w:rPr>
        <w:t>)</w:t>
      </w:r>
      <w:r w:rsidRPr="00CC29BB">
        <w:rPr>
          <w:sz w:val="26"/>
          <w:szCs w:val="26"/>
        </w:rPr>
        <w:t xml:space="preserve">, and the attendant FCC regulations pertaining to pole attachment complaint procedures may be found at </w:t>
      </w:r>
      <w:r>
        <w:rPr>
          <w:sz w:val="26"/>
          <w:szCs w:val="26"/>
        </w:rPr>
        <w:t xml:space="preserve">Title </w:t>
      </w:r>
      <w:r w:rsidRPr="00CC29BB">
        <w:rPr>
          <w:sz w:val="26"/>
          <w:szCs w:val="26"/>
        </w:rPr>
        <w:t>47</w:t>
      </w:r>
      <w:r>
        <w:rPr>
          <w:sz w:val="26"/>
          <w:szCs w:val="26"/>
        </w:rPr>
        <w:t xml:space="preserve"> of the Code of Federal Regulations</w:t>
      </w:r>
      <w:r w:rsidRPr="00CC29BB">
        <w:rPr>
          <w:sz w:val="26"/>
          <w:szCs w:val="26"/>
        </w:rPr>
        <w:t xml:space="preserve"> </w:t>
      </w:r>
      <w:r>
        <w:rPr>
          <w:sz w:val="26"/>
          <w:szCs w:val="26"/>
        </w:rPr>
        <w:t>(</w:t>
      </w:r>
      <w:r w:rsidRPr="00CC29BB">
        <w:rPr>
          <w:sz w:val="26"/>
          <w:szCs w:val="26"/>
        </w:rPr>
        <w:t>C</w:t>
      </w:r>
      <w:r>
        <w:rPr>
          <w:sz w:val="26"/>
          <w:szCs w:val="26"/>
        </w:rPr>
        <w:t>.</w:t>
      </w:r>
      <w:r w:rsidRPr="00CC29BB">
        <w:rPr>
          <w:sz w:val="26"/>
          <w:szCs w:val="26"/>
        </w:rPr>
        <w:t>F</w:t>
      </w:r>
      <w:r>
        <w:rPr>
          <w:sz w:val="26"/>
          <w:szCs w:val="26"/>
        </w:rPr>
        <w:t>.</w:t>
      </w:r>
      <w:r w:rsidRPr="00CC29BB">
        <w:rPr>
          <w:sz w:val="26"/>
          <w:szCs w:val="26"/>
        </w:rPr>
        <w:t>R</w:t>
      </w:r>
      <w:r>
        <w:rPr>
          <w:sz w:val="26"/>
          <w:szCs w:val="26"/>
        </w:rPr>
        <w:t>.),</w:t>
      </w:r>
      <w:r w:rsidRPr="00CC29BB">
        <w:rPr>
          <w:sz w:val="26"/>
          <w:szCs w:val="26"/>
        </w:rPr>
        <w:t xml:space="preserve"> Chapter I, Subchapter A, Part 1, Subpart </w:t>
      </w:r>
      <w:r>
        <w:rPr>
          <w:sz w:val="26"/>
          <w:szCs w:val="26"/>
        </w:rPr>
        <w:t xml:space="preserve">J (47 C.F.R. §§ 1.1401-1.1415).  </w:t>
      </w:r>
    </w:p>
  </w:footnote>
  <w:footnote w:id="6">
    <w:p w14:paraId="4757F816" w14:textId="77777777" w:rsidR="00A927B4" w:rsidRDefault="00A927B4" w:rsidP="00213652">
      <w:pPr>
        <w:pStyle w:val="FootnoteText"/>
        <w:keepNext/>
        <w:keepLines/>
        <w:ind w:firstLine="720"/>
        <w:rPr>
          <w:sz w:val="26"/>
          <w:szCs w:val="26"/>
        </w:rPr>
      </w:pPr>
      <w:r w:rsidRPr="00500191">
        <w:rPr>
          <w:rStyle w:val="FootnoteReference"/>
          <w:sz w:val="26"/>
          <w:szCs w:val="26"/>
        </w:rPr>
        <w:footnoteRef/>
      </w:r>
      <w:r w:rsidRPr="00500191">
        <w:rPr>
          <w:sz w:val="26"/>
          <w:szCs w:val="26"/>
        </w:rPr>
        <w:t xml:space="preserve"> </w:t>
      </w:r>
      <w:r w:rsidRPr="00500191">
        <w:rPr>
          <w:sz w:val="26"/>
          <w:szCs w:val="26"/>
        </w:rPr>
        <w:tab/>
      </w:r>
      <w:r w:rsidRPr="00500191">
        <w:rPr>
          <w:i/>
          <w:iCs/>
          <w:sz w:val="26"/>
          <w:szCs w:val="26"/>
        </w:rPr>
        <w:t>Implementation of Section 224 of the Act; A National Broadband Plan for Our Future</w:t>
      </w:r>
      <w:r w:rsidRPr="00500191">
        <w:rPr>
          <w:sz w:val="26"/>
          <w:szCs w:val="26"/>
        </w:rPr>
        <w:t>, 26 FCC Rcd 5240, 5331 (Report and Order and Order on Reconsideration</w:t>
      </w:r>
      <w:r>
        <w:rPr>
          <w:sz w:val="26"/>
          <w:szCs w:val="26"/>
        </w:rPr>
        <w:t xml:space="preserve"> dated April 7, 2011</w:t>
      </w:r>
      <w:r w:rsidRPr="00500191">
        <w:rPr>
          <w:sz w:val="26"/>
          <w:szCs w:val="26"/>
        </w:rPr>
        <w:t>) (</w:t>
      </w:r>
      <w:r w:rsidRPr="00500191">
        <w:rPr>
          <w:i/>
          <w:iCs/>
          <w:sz w:val="26"/>
          <w:szCs w:val="26"/>
        </w:rPr>
        <w:t>2011 Pole Attachment Order</w:t>
      </w:r>
      <w:r w:rsidRPr="00500191">
        <w:rPr>
          <w:sz w:val="26"/>
          <w:szCs w:val="26"/>
        </w:rPr>
        <w:t>).</w:t>
      </w:r>
    </w:p>
  </w:footnote>
  <w:footnote w:id="7">
    <w:p w14:paraId="3CCDDD98" w14:textId="77777777" w:rsidR="00A927B4" w:rsidRDefault="00A927B4" w:rsidP="00213652">
      <w:pPr>
        <w:pStyle w:val="FootnoteText"/>
        <w:keepNext/>
        <w:keepLines/>
        <w:ind w:firstLine="720"/>
        <w:rPr>
          <w:sz w:val="26"/>
          <w:szCs w:val="26"/>
        </w:rPr>
      </w:pPr>
    </w:p>
    <w:p w14:paraId="48ADDB07" w14:textId="21B8BDD9" w:rsidR="00A927B4" w:rsidRPr="00E3406F" w:rsidRDefault="00A927B4" w:rsidP="00213652">
      <w:pPr>
        <w:pStyle w:val="FootnoteText"/>
        <w:keepNext/>
        <w:keepLines/>
        <w:ind w:firstLine="720"/>
        <w:rPr>
          <w:sz w:val="26"/>
          <w:szCs w:val="26"/>
        </w:rPr>
      </w:pPr>
      <w:r w:rsidRPr="00E3406F">
        <w:rPr>
          <w:rStyle w:val="FootnoteReference"/>
          <w:sz w:val="26"/>
          <w:szCs w:val="26"/>
        </w:rPr>
        <w:footnoteRef/>
      </w:r>
      <w:r w:rsidRPr="00E3406F">
        <w:rPr>
          <w:sz w:val="26"/>
          <w:szCs w:val="26"/>
        </w:rPr>
        <w:t xml:space="preserve"> </w:t>
      </w:r>
      <w:r w:rsidRPr="00E3406F">
        <w:rPr>
          <w:sz w:val="26"/>
          <w:szCs w:val="26"/>
        </w:rPr>
        <w:tab/>
        <w:t>The Complaint was docketed by the FCC at Proceeding Number 19-354</w:t>
      </w:r>
      <w:r>
        <w:rPr>
          <w:sz w:val="26"/>
          <w:szCs w:val="26"/>
        </w:rPr>
        <w:t xml:space="preserve">, </w:t>
      </w:r>
      <w:r w:rsidRPr="006F55F7">
        <w:rPr>
          <w:sz w:val="26"/>
          <w:szCs w:val="26"/>
        </w:rPr>
        <w:t>Bureau ID No. EB-</w:t>
      </w:r>
      <w:r>
        <w:rPr>
          <w:sz w:val="26"/>
          <w:szCs w:val="26"/>
        </w:rPr>
        <w:t>19-MD-008.</w:t>
      </w:r>
    </w:p>
  </w:footnote>
  <w:footnote w:id="8">
    <w:p w14:paraId="1B8EAAD2" w14:textId="2CFB6224" w:rsidR="00A927B4" w:rsidRPr="00C209C6" w:rsidRDefault="00A927B4" w:rsidP="00A927B4">
      <w:pPr>
        <w:pStyle w:val="FootnoteText"/>
        <w:keepNext/>
        <w:keepLines/>
        <w:ind w:firstLine="720"/>
        <w:rPr>
          <w:sz w:val="26"/>
          <w:szCs w:val="26"/>
        </w:rPr>
      </w:pPr>
      <w:r w:rsidRPr="00C209C6">
        <w:rPr>
          <w:rStyle w:val="FootnoteReference"/>
          <w:sz w:val="26"/>
          <w:szCs w:val="26"/>
        </w:rPr>
        <w:footnoteRef/>
      </w:r>
      <w:r w:rsidRPr="00C209C6">
        <w:rPr>
          <w:sz w:val="26"/>
          <w:szCs w:val="26"/>
        </w:rPr>
        <w:t xml:space="preserve"> </w:t>
      </w:r>
      <w:r>
        <w:rPr>
          <w:sz w:val="26"/>
          <w:szCs w:val="26"/>
        </w:rPr>
        <w:tab/>
      </w:r>
      <w:r w:rsidRPr="00C209C6">
        <w:rPr>
          <w:sz w:val="26"/>
          <w:szCs w:val="26"/>
        </w:rPr>
        <w:t xml:space="preserve">We note there </w:t>
      </w:r>
      <w:r>
        <w:rPr>
          <w:sz w:val="26"/>
          <w:szCs w:val="26"/>
        </w:rPr>
        <w:t xml:space="preserve">is an apparent discrepancy in the dates which the Complaint is considered filed with the Commission.  According to the </w:t>
      </w:r>
      <w:r w:rsidRPr="00976E19">
        <w:rPr>
          <w:i/>
          <w:iCs/>
          <w:sz w:val="26"/>
          <w:szCs w:val="26"/>
        </w:rPr>
        <w:t>Scheduling Order</w:t>
      </w:r>
      <w:r>
        <w:rPr>
          <w:sz w:val="26"/>
          <w:szCs w:val="26"/>
        </w:rPr>
        <w:t xml:space="preserve">, the ALJ determined that the filing date for purposes of establishing the time frame for Commission action is </w:t>
      </w:r>
      <w:r w:rsidRPr="00C209C6">
        <w:rPr>
          <w:i/>
          <w:iCs/>
          <w:sz w:val="26"/>
          <w:szCs w:val="26"/>
        </w:rPr>
        <w:t>March 25, 2020</w:t>
      </w:r>
      <w:r>
        <w:rPr>
          <w:sz w:val="26"/>
          <w:szCs w:val="26"/>
        </w:rPr>
        <w:t xml:space="preserve">.  </w:t>
      </w:r>
      <w:r w:rsidRPr="00C209C6">
        <w:rPr>
          <w:i/>
          <w:iCs/>
          <w:sz w:val="26"/>
          <w:szCs w:val="26"/>
        </w:rPr>
        <w:t>Scheduling Order</w:t>
      </w:r>
      <w:r>
        <w:rPr>
          <w:sz w:val="26"/>
          <w:szCs w:val="26"/>
        </w:rPr>
        <w:t xml:space="preserve"> at 4.  However, the Recommended Decision states that this filing date is </w:t>
      </w:r>
      <w:r w:rsidRPr="00C209C6">
        <w:rPr>
          <w:i/>
          <w:iCs/>
          <w:sz w:val="26"/>
          <w:szCs w:val="26"/>
        </w:rPr>
        <w:t>March 23, 2020</w:t>
      </w:r>
      <w:r>
        <w:rPr>
          <w:sz w:val="26"/>
          <w:szCs w:val="26"/>
        </w:rPr>
        <w:t>.  R.D. at 4</w:t>
      </w:r>
      <w:r w:rsidRPr="00D20711">
        <w:rPr>
          <w:sz w:val="26"/>
          <w:szCs w:val="26"/>
        </w:rPr>
        <w:t>.  This Opinion and Order will issue to meet any 270-day deadline arising under either of the apparent dates.</w:t>
      </w:r>
      <w:r>
        <w:rPr>
          <w:sz w:val="26"/>
          <w:szCs w:val="26"/>
        </w:rPr>
        <w:t xml:space="preserve">   </w:t>
      </w:r>
    </w:p>
  </w:footnote>
  <w:footnote w:id="9">
    <w:p w14:paraId="31434F0A" w14:textId="1CE097A1" w:rsidR="00A927B4" w:rsidRPr="0062235E" w:rsidRDefault="00A927B4" w:rsidP="00B71177">
      <w:pPr>
        <w:pStyle w:val="FootnoteText"/>
        <w:ind w:firstLine="720"/>
        <w:rPr>
          <w:sz w:val="26"/>
          <w:szCs w:val="26"/>
        </w:rPr>
      </w:pPr>
      <w:r w:rsidRPr="0062235E">
        <w:rPr>
          <w:rStyle w:val="FootnoteReference"/>
          <w:sz w:val="26"/>
          <w:szCs w:val="26"/>
        </w:rPr>
        <w:footnoteRef/>
      </w:r>
      <w:r w:rsidRPr="0062235E">
        <w:rPr>
          <w:sz w:val="26"/>
          <w:szCs w:val="26"/>
        </w:rPr>
        <w:t xml:space="preserve"> </w:t>
      </w:r>
      <w:r>
        <w:rPr>
          <w:sz w:val="26"/>
          <w:szCs w:val="26"/>
        </w:rPr>
        <w:tab/>
        <w:t>As a preliminary matter</w:t>
      </w:r>
      <w:r w:rsidRPr="0062235E">
        <w:rPr>
          <w:sz w:val="26"/>
          <w:szCs w:val="26"/>
        </w:rPr>
        <w:t xml:space="preserve">, we note two misstatements in the Recommended Decision.  First, the reference that Chapter 30 “deregulated” telecommunications rates is erroneous. R.D. at 13.  Some rates were detariffed, and a process was established to determine others to be competitive.  However, rates were not and are not deregulated, including just and reasonable rate determinations.  </w:t>
      </w:r>
      <w:r w:rsidRPr="0062235E">
        <w:rPr>
          <w:i/>
          <w:iCs/>
          <w:sz w:val="26"/>
          <w:szCs w:val="26"/>
        </w:rPr>
        <w:t xml:space="preserve">See </w:t>
      </w:r>
      <w:r w:rsidRPr="0062235E">
        <w:rPr>
          <w:sz w:val="26"/>
          <w:szCs w:val="26"/>
        </w:rPr>
        <w:t>Act 67 of 1993, 66 Pa. C.S. §§</w:t>
      </w:r>
      <w:r>
        <w:rPr>
          <w:sz w:val="26"/>
          <w:szCs w:val="26"/>
        </w:rPr>
        <w:t> </w:t>
      </w:r>
      <w:r w:rsidRPr="0062235E">
        <w:rPr>
          <w:sz w:val="26"/>
          <w:szCs w:val="26"/>
        </w:rPr>
        <w:t>3001-3009, repealed and reenacted by Act 183 of 2004, 66 Pa. C.S. §§ 3011-3019.  Second, in the discussion of the cost of capital applicable to pole attachment rates, the Recommended Decision referred to First Energy’s “guaranteed rate of return.” R.D.</w:t>
      </w:r>
      <w:r>
        <w:rPr>
          <w:sz w:val="26"/>
          <w:szCs w:val="26"/>
        </w:rPr>
        <w:t> </w:t>
      </w:r>
      <w:r w:rsidRPr="0062235E">
        <w:rPr>
          <w:sz w:val="26"/>
          <w:szCs w:val="26"/>
        </w:rPr>
        <w:t>at</w:t>
      </w:r>
      <w:r>
        <w:rPr>
          <w:sz w:val="26"/>
          <w:szCs w:val="26"/>
        </w:rPr>
        <w:t> </w:t>
      </w:r>
      <w:r w:rsidRPr="0062235E">
        <w:rPr>
          <w:sz w:val="26"/>
          <w:szCs w:val="26"/>
        </w:rPr>
        <w:t>48.  Utilities are not guaranteed rates of return.  Rather, through the traditional rate base/rate of return ratemaking formula, they are provided opportunities to earn rates of return, which permit relief when underearning or may incur liability when overearning based on a determined rate of return.</w:t>
      </w:r>
      <w:r>
        <w:rPr>
          <w:sz w:val="26"/>
          <w:szCs w:val="26"/>
        </w:rPr>
        <w:t xml:space="preserve">  Accordingly, we shall modify the Recommended Decision to correct these misstatements.  </w:t>
      </w:r>
    </w:p>
  </w:footnote>
  <w:footnote w:id="10">
    <w:p w14:paraId="645837C2" w14:textId="3BCAD33C" w:rsidR="00A927B4" w:rsidRPr="00CA5CBC" w:rsidRDefault="00A927B4" w:rsidP="00F06E66">
      <w:pPr>
        <w:pStyle w:val="FootnoteText"/>
        <w:keepNext/>
        <w:keepLines/>
        <w:ind w:firstLine="720"/>
        <w:rPr>
          <w:sz w:val="26"/>
          <w:szCs w:val="26"/>
        </w:rPr>
      </w:pPr>
      <w:r w:rsidRPr="00CA5CBC">
        <w:rPr>
          <w:rStyle w:val="FootnoteReference"/>
          <w:sz w:val="26"/>
          <w:szCs w:val="26"/>
        </w:rPr>
        <w:footnoteRef/>
      </w:r>
      <w:r w:rsidRPr="00CA5CBC">
        <w:rPr>
          <w:sz w:val="26"/>
          <w:szCs w:val="26"/>
        </w:rPr>
        <w:t xml:space="preserve"> </w:t>
      </w:r>
      <w:r>
        <w:rPr>
          <w:sz w:val="26"/>
          <w:szCs w:val="26"/>
        </w:rPr>
        <w:tab/>
        <w:t xml:space="preserve">On October 9, 2020, the FCC promulgated an amendment to Section 1.1413(b) to revise an incorrect listing of a cross-reference citation.  </w:t>
      </w:r>
      <w:r w:rsidRPr="00C277FF">
        <w:rPr>
          <w:i/>
          <w:iCs/>
          <w:sz w:val="26"/>
          <w:szCs w:val="26"/>
        </w:rPr>
        <w:t>See Accelerating Wireline and Wireless Broadband Development by Removing Barriers to Infrastructure Investment</w:t>
      </w:r>
      <w:r>
        <w:rPr>
          <w:sz w:val="26"/>
          <w:szCs w:val="26"/>
        </w:rPr>
        <w:t xml:space="preserve">, 85 F.R. 64061-01 (October 9, 2020).  Here, we quote from the updated, corrected version of the FCC regulation.   </w:t>
      </w:r>
    </w:p>
  </w:footnote>
  <w:footnote w:id="11">
    <w:p w14:paraId="2EE23419" w14:textId="5CE093C4" w:rsidR="00A927B4" w:rsidRPr="00720500" w:rsidRDefault="00A927B4" w:rsidP="00720500">
      <w:pPr>
        <w:pStyle w:val="FootnoteText"/>
        <w:ind w:firstLine="720"/>
        <w:rPr>
          <w:sz w:val="26"/>
          <w:szCs w:val="26"/>
        </w:rPr>
      </w:pPr>
      <w:r w:rsidRPr="00720500">
        <w:rPr>
          <w:rStyle w:val="FootnoteReference"/>
          <w:sz w:val="26"/>
          <w:szCs w:val="26"/>
        </w:rPr>
        <w:footnoteRef/>
      </w:r>
      <w:r w:rsidRPr="00720500">
        <w:rPr>
          <w:sz w:val="26"/>
          <w:szCs w:val="26"/>
        </w:rPr>
        <w:t xml:space="preserve"> </w:t>
      </w:r>
      <w:r>
        <w:rPr>
          <w:sz w:val="26"/>
          <w:szCs w:val="26"/>
        </w:rPr>
        <w:tab/>
        <w:t xml:space="preserve">The arguments set forth in FirstEnergy’s Exceptions No. 1-3 overlap with assertions contained in its other Exceptions.  In this section, we address the Companies’ contentions that the ALJ failed to apply the correct legal standards in evaluating and issuing a Recommended Decision as to Verizon’s Complaint.  To the extent that we do not specifically address the additional arguments set forth in these and the remaining Exceptions, they are denied, and we shall adopt the ALJ’s well-reasoned discussion with respect to each of them.  </w:t>
      </w:r>
    </w:p>
  </w:footnote>
  <w:footnote w:id="12">
    <w:p w14:paraId="3090BBE6" w14:textId="3D4F5746" w:rsidR="00A927B4" w:rsidRPr="00684962" w:rsidRDefault="00A927B4" w:rsidP="00A927B4">
      <w:pPr>
        <w:pStyle w:val="FootnoteText"/>
        <w:ind w:firstLine="720"/>
        <w:rPr>
          <w:sz w:val="26"/>
          <w:szCs w:val="26"/>
        </w:rPr>
      </w:pPr>
      <w:r w:rsidRPr="00684962">
        <w:rPr>
          <w:rStyle w:val="FootnoteReference"/>
          <w:sz w:val="26"/>
          <w:szCs w:val="26"/>
        </w:rPr>
        <w:footnoteRef/>
      </w:r>
      <w:r w:rsidRPr="00684962">
        <w:rPr>
          <w:sz w:val="26"/>
          <w:szCs w:val="26"/>
        </w:rPr>
        <w:t xml:space="preserve"> </w:t>
      </w:r>
      <w:r>
        <w:rPr>
          <w:sz w:val="26"/>
          <w:szCs w:val="26"/>
        </w:rPr>
        <w:tab/>
      </w:r>
      <w:r w:rsidRPr="00684962">
        <w:rPr>
          <w:sz w:val="26"/>
          <w:szCs w:val="26"/>
        </w:rPr>
        <w:t xml:space="preserve">While the burden of going forward with the evidence may shift back and forth during a proceeding, the burden of proof never shifts.  The burden of proof always remains on the party seeking affirmative relief from the Commission. </w:t>
      </w:r>
      <w:r>
        <w:rPr>
          <w:sz w:val="26"/>
          <w:szCs w:val="26"/>
        </w:rPr>
        <w:t xml:space="preserve"> </w:t>
      </w:r>
      <w:r w:rsidRPr="00684962">
        <w:rPr>
          <w:i/>
          <w:iCs/>
          <w:sz w:val="26"/>
          <w:szCs w:val="26"/>
        </w:rPr>
        <w:t>Milkie v. Pa</w:t>
      </w:r>
      <w:r>
        <w:rPr>
          <w:i/>
          <w:iCs/>
          <w:sz w:val="26"/>
          <w:szCs w:val="26"/>
        </w:rPr>
        <w:t xml:space="preserve">. </w:t>
      </w:r>
      <w:r w:rsidRPr="00684962">
        <w:rPr>
          <w:i/>
          <w:iCs/>
          <w:sz w:val="26"/>
          <w:szCs w:val="26"/>
        </w:rPr>
        <w:t xml:space="preserve">PUC, </w:t>
      </w:r>
      <w:r w:rsidRPr="00684962">
        <w:rPr>
          <w:sz w:val="26"/>
          <w:szCs w:val="26"/>
        </w:rPr>
        <w:t>768 A.2d 1217 (Pa.</w:t>
      </w:r>
      <w:r>
        <w:rPr>
          <w:sz w:val="26"/>
          <w:szCs w:val="26"/>
        </w:rPr>
        <w:t xml:space="preserve"> </w:t>
      </w:r>
      <w:r w:rsidRPr="00684962">
        <w:rPr>
          <w:sz w:val="26"/>
          <w:szCs w:val="26"/>
        </w:rPr>
        <w:t>Cmwlth. 2004) (</w:t>
      </w:r>
      <w:r w:rsidRPr="00684962">
        <w:rPr>
          <w:i/>
          <w:iCs/>
          <w:sz w:val="26"/>
          <w:szCs w:val="26"/>
        </w:rPr>
        <w:t>Milkie</w:t>
      </w:r>
      <w:r w:rsidRPr="00684962">
        <w:rPr>
          <w:sz w:val="26"/>
          <w:szCs w:val="26"/>
        </w:rPr>
        <w:t xml:space="preserve">). </w:t>
      </w:r>
    </w:p>
  </w:footnote>
  <w:footnote w:id="13">
    <w:p w14:paraId="1E52BB5F" w14:textId="5FF19E2F" w:rsidR="00A927B4" w:rsidRPr="00B42164" w:rsidRDefault="00A927B4" w:rsidP="00EB097E">
      <w:pPr>
        <w:pStyle w:val="FootnoteText"/>
        <w:keepNext/>
        <w:keepLines/>
        <w:ind w:firstLine="720"/>
        <w:rPr>
          <w:sz w:val="26"/>
          <w:szCs w:val="26"/>
        </w:rPr>
      </w:pPr>
      <w:r w:rsidRPr="006A7038">
        <w:rPr>
          <w:rStyle w:val="FootnoteReference"/>
          <w:sz w:val="26"/>
          <w:szCs w:val="26"/>
        </w:rPr>
        <w:footnoteRef/>
      </w:r>
      <w:r w:rsidRPr="006A7038">
        <w:rPr>
          <w:sz w:val="26"/>
          <w:szCs w:val="26"/>
        </w:rPr>
        <w:t xml:space="preserve"> </w:t>
      </w:r>
      <w:r>
        <w:rPr>
          <w:sz w:val="26"/>
          <w:szCs w:val="26"/>
        </w:rPr>
        <w:tab/>
      </w:r>
      <w:r w:rsidRPr="006A7038">
        <w:rPr>
          <w:sz w:val="26"/>
          <w:szCs w:val="26"/>
        </w:rPr>
        <w:t>47 C.F.R. § 1.1406 (d)(2) (“With respect to attachments to poles by any telecommunications carrier or cable operator providing telecommunications services, the maximum just and reasonable rate shall be the higher of the rate yielded by paragraphs</w:t>
      </w:r>
      <w:r>
        <w:rPr>
          <w:sz w:val="26"/>
          <w:szCs w:val="26"/>
        </w:rPr>
        <w:t> </w:t>
      </w:r>
      <w:r w:rsidRPr="00B42164">
        <w:rPr>
          <w:sz w:val="26"/>
          <w:szCs w:val="26"/>
        </w:rPr>
        <w:t>(d)(2)(</w:t>
      </w:r>
      <w:r w:rsidRPr="00B42164">
        <w:rPr>
          <w:sz w:val="26"/>
          <w:szCs w:val="26"/>
        </w:rPr>
        <w:t>i) or (d)(2)(ii) of this section.”)</w:t>
      </w:r>
      <w:r>
        <w:rPr>
          <w:sz w:val="26"/>
          <w:szCs w:val="26"/>
        </w:rPr>
        <w:t>.</w:t>
      </w:r>
    </w:p>
  </w:footnote>
  <w:footnote w:id="14">
    <w:p w14:paraId="461DCC7A" w14:textId="6A4326A2" w:rsidR="00A927B4" w:rsidRPr="008A0E6C" w:rsidRDefault="00A927B4" w:rsidP="00EB097E">
      <w:pPr>
        <w:pStyle w:val="FootnoteText"/>
        <w:keepNext/>
        <w:keepLines/>
        <w:ind w:firstLine="720"/>
        <w:rPr>
          <w:sz w:val="26"/>
          <w:szCs w:val="26"/>
        </w:rPr>
      </w:pPr>
      <w:r w:rsidRPr="00B42164">
        <w:rPr>
          <w:rStyle w:val="FootnoteReference"/>
          <w:sz w:val="26"/>
          <w:szCs w:val="26"/>
        </w:rPr>
        <w:footnoteRef/>
      </w:r>
      <w:r w:rsidRPr="00B42164">
        <w:rPr>
          <w:sz w:val="26"/>
          <w:szCs w:val="26"/>
        </w:rPr>
        <w:t xml:space="preserve"> </w:t>
      </w:r>
      <w:r>
        <w:rPr>
          <w:sz w:val="26"/>
          <w:szCs w:val="26"/>
        </w:rPr>
        <w:tab/>
      </w:r>
      <w:r w:rsidRPr="00B42164">
        <w:rPr>
          <w:sz w:val="26"/>
          <w:szCs w:val="26"/>
        </w:rPr>
        <w:t xml:space="preserve">With respect to newly negotiated and newly renewed pole attachment agreements between ILECs and </w:t>
      </w:r>
      <w:r>
        <w:rPr>
          <w:sz w:val="26"/>
          <w:szCs w:val="26"/>
        </w:rPr>
        <w:t xml:space="preserve">other </w:t>
      </w:r>
      <w:r w:rsidRPr="00B42164">
        <w:rPr>
          <w:sz w:val="26"/>
          <w:szCs w:val="26"/>
        </w:rPr>
        <w:t>utilities, there is a presumption that the ILEC will receive similar rates, terms, and conditions to those received by similarly situated telecommunications carriers (as defined by 47 U.S.C. 251(a)(5)) or a cable television system providing telecommunications service.  There also exists a presumption for such agreements that ILECs may be charged no higher than the rate determined in accordance with 47 C</w:t>
      </w:r>
      <w:r>
        <w:rPr>
          <w:sz w:val="26"/>
          <w:szCs w:val="26"/>
        </w:rPr>
        <w:t>.</w:t>
      </w:r>
      <w:r w:rsidRPr="00B42164">
        <w:rPr>
          <w:sz w:val="26"/>
          <w:szCs w:val="26"/>
        </w:rPr>
        <w:t>F</w:t>
      </w:r>
      <w:r>
        <w:rPr>
          <w:sz w:val="26"/>
          <w:szCs w:val="26"/>
        </w:rPr>
        <w:t>.</w:t>
      </w:r>
      <w:r w:rsidRPr="00B42164">
        <w:rPr>
          <w:sz w:val="26"/>
          <w:szCs w:val="26"/>
        </w:rPr>
        <w:t>R</w:t>
      </w:r>
      <w:r>
        <w:rPr>
          <w:sz w:val="26"/>
          <w:szCs w:val="26"/>
        </w:rPr>
        <w:t>.</w:t>
      </w:r>
      <w:r w:rsidRPr="00B42164">
        <w:rPr>
          <w:sz w:val="26"/>
          <w:szCs w:val="26"/>
        </w:rPr>
        <w:t xml:space="preserve"> § 1.1406(d)(2) for telecommunications attachers.  The utility may rebut one or both of these presumptions by demonstrating through clear and convincing evidence that the ILEC receives net benefits under its pole attachment agreement that give the ILEC a material advantage over other telecommunications carriers or cable television systems on the same poles.  </w:t>
      </w:r>
      <w:r w:rsidRPr="00B42164">
        <w:rPr>
          <w:i/>
          <w:iCs/>
          <w:sz w:val="26"/>
          <w:szCs w:val="26"/>
        </w:rPr>
        <w:t>2018 Pole Attachment Order</w:t>
      </w:r>
      <w:r w:rsidRPr="00B42164">
        <w:rPr>
          <w:sz w:val="26"/>
          <w:szCs w:val="26"/>
        </w:rPr>
        <w:t xml:space="preserve"> at 7767-71; 47</w:t>
      </w:r>
      <w:r>
        <w:rPr>
          <w:sz w:val="26"/>
          <w:szCs w:val="26"/>
        </w:rPr>
        <w:t> </w:t>
      </w:r>
      <w:r w:rsidRPr="00B42164">
        <w:rPr>
          <w:sz w:val="26"/>
          <w:szCs w:val="26"/>
        </w:rPr>
        <w:t>C</w:t>
      </w:r>
      <w:r>
        <w:rPr>
          <w:sz w:val="26"/>
          <w:szCs w:val="26"/>
        </w:rPr>
        <w:t>.</w:t>
      </w:r>
      <w:r w:rsidRPr="00B42164">
        <w:rPr>
          <w:sz w:val="26"/>
          <w:szCs w:val="26"/>
        </w:rPr>
        <w:t>F</w:t>
      </w:r>
      <w:r>
        <w:rPr>
          <w:sz w:val="26"/>
          <w:szCs w:val="26"/>
        </w:rPr>
        <w:t>.</w:t>
      </w:r>
      <w:r w:rsidRPr="00B42164">
        <w:rPr>
          <w:sz w:val="26"/>
          <w:szCs w:val="26"/>
        </w:rPr>
        <w:t>R</w:t>
      </w:r>
      <w:r>
        <w:rPr>
          <w:sz w:val="26"/>
          <w:szCs w:val="26"/>
        </w:rPr>
        <w:t>. </w:t>
      </w:r>
      <w:r w:rsidRPr="00B42164">
        <w:rPr>
          <w:sz w:val="26"/>
          <w:szCs w:val="26"/>
        </w:rPr>
        <w:t>§ 1.1413(b); 47 C</w:t>
      </w:r>
      <w:r>
        <w:rPr>
          <w:sz w:val="26"/>
          <w:szCs w:val="26"/>
        </w:rPr>
        <w:t>.</w:t>
      </w:r>
      <w:r w:rsidRPr="00B42164">
        <w:rPr>
          <w:sz w:val="26"/>
          <w:szCs w:val="26"/>
        </w:rPr>
        <w:t>F</w:t>
      </w:r>
      <w:r>
        <w:rPr>
          <w:sz w:val="26"/>
          <w:szCs w:val="26"/>
        </w:rPr>
        <w:t>.</w:t>
      </w:r>
      <w:r w:rsidRPr="00B42164">
        <w:rPr>
          <w:sz w:val="26"/>
          <w:szCs w:val="26"/>
        </w:rPr>
        <w:t>R</w:t>
      </w:r>
      <w:r>
        <w:rPr>
          <w:sz w:val="26"/>
          <w:szCs w:val="26"/>
        </w:rPr>
        <w:t>.</w:t>
      </w:r>
      <w:r w:rsidRPr="00B42164">
        <w:rPr>
          <w:sz w:val="26"/>
          <w:szCs w:val="26"/>
        </w:rPr>
        <w:t xml:space="preserve"> § 1.1406(d)(2).</w:t>
      </w:r>
    </w:p>
  </w:footnote>
  <w:footnote w:id="15">
    <w:p w14:paraId="4B166E4A" w14:textId="26C98B35" w:rsidR="00A927B4" w:rsidRDefault="00A927B4" w:rsidP="003A78C5">
      <w:pPr>
        <w:pStyle w:val="FootnoteText"/>
        <w:keepNext/>
        <w:keepLines/>
        <w:spacing w:after="120"/>
        <w:ind w:firstLine="720"/>
      </w:pPr>
      <w:r w:rsidRPr="008A0E6C">
        <w:rPr>
          <w:rStyle w:val="FootnoteReference"/>
          <w:sz w:val="26"/>
          <w:szCs w:val="26"/>
        </w:rPr>
        <w:footnoteRef/>
      </w:r>
      <w:r w:rsidRPr="008A0E6C">
        <w:rPr>
          <w:sz w:val="26"/>
          <w:szCs w:val="26"/>
        </w:rPr>
        <w:t xml:space="preserve"> </w:t>
      </w:r>
      <w:r w:rsidRPr="008A0E6C">
        <w:rPr>
          <w:sz w:val="26"/>
          <w:szCs w:val="26"/>
        </w:rPr>
        <w:tab/>
        <w:t>Verizon noted that the initial term of each J</w:t>
      </w:r>
      <w:r>
        <w:rPr>
          <w:sz w:val="26"/>
          <w:szCs w:val="26"/>
        </w:rPr>
        <w:t>UA</w:t>
      </w:r>
      <w:r w:rsidRPr="008A0E6C">
        <w:rPr>
          <w:sz w:val="26"/>
          <w:szCs w:val="26"/>
        </w:rPr>
        <w:t xml:space="preserve"> has expired, and the agreements automatically extended and will continue to do so until terminated.  Verizon added that “each joint use agreement states that, after an initial term, the agreement ‘shall continue in force thereafter until terminated by either party at any time’ upon advance written notice.”  Verizon M.B. at 24 (citing Verizon </w:t>
      </w:r>
      <w:r>
        <w:rPr>
          <w:sz w:val="26"/>
          <w:szCs w:val="26"/>
        </w:rPr>
        <w:t xml:space="preserve">St. No. 1, </w:t>
      </w:r>
      <w:r w:rsidRPr="008A0E6C">
        <w:rPr>
          <w:sz w:val="26"/>
          <w:szCs w:val="26"/>
        </w:rPr>
        <w:t>Exh. SCM-2).</w:t>
      </w:r>
      <w:r>
        <w:t xml:space="preserve">  </w:t>
      </w:r>
    </w:p>
  </w:footnote>
  <w:footnote w:id="16">
    <w:p w14:paraId="11FB2F7E" w14:textId="565346D1" w:rsidR="00A927B4" w:rsidRPr="00B47B1D" w:rsidRDefault="00A927B4" w:rsidP="00EB097E">
      <w:pPr>
        <w:pStyle w:val="FootnoteText"/>
        <w:keepNext/>
        <w:keepLines/>
        <w:ind w:firstLine="720"/>
        <w:rPr>
          <w:sz w:val="26"/>
          <w:szCs w:val="26"/>
        </w:rPr>
      </w:pPr>
      <w:r w:rsidRPr="00B47B1D">
        <w:rPr>
          <w:rStyle w:val="FootnoteReference"/>
          <w:sz w:val="26"/>
          <w:szCs w:val="26"/>
        </w:rPr>
        <w:footnoteRef/>
      </w:r>
      <w:r w:rsidRPr="00B47B1D">
        <w:rPr>
          <w:sz w:val="26"/>
          <w:szCs w:val="26"/>
        </w:rPr>
        <w:t xml:space="preserve"> </w:t>
      </w:r>
      <w:r w:rsidRPr="00B47B1D">
        <w:rPr>
          <w:sz w:val="26"/>
          <w:szCs w:val="26"/>
        </w:rPr>
        <w:tab/>
        <w:t xml:space="preserve">The ALJ noted that, although 47 C.F.R. </w:t>
      </w:r>
      <w:r w:rsidRPr="00B47B1D">
        <w:rPr>
          <w:rFonts w:hint="eastAsia"/>
          <w:sz w:val="26"/>
          <w:szCs w:val="26"/>
        </w:rPr>
        <w:t>§</w:t>
      </w:r>
      <w:r w:rsidRPr="00B47B1D">
        <w:rPr>
          <w:sz w:val="26"/>
          <w:szCs w:val="26"/>
        </w:rPr>
        <w:t xml:space="preserve"> 1.1413 does not use the term “net,” </w:t>
      </w:r>
      <w:r>
        <w:rPr>
          <w:sz w:val="26"/>
          <w:szCs w:val="26"/>
        </w:rPr>
        <w:t>the ALJ evaluated this case as if the term “net material advantage” were included in Section 1.1413, determining whether the JUAs entered into between Verizon and FirstEnergy provide Verizon more material advantages than material disadvantages.  R.D. at 44.</w:t>
      </w:r>
    </w:p>
  </w:footnote>
  <w:footnote w:id="17">
    <w:p w14:paraId="52CEA1B1" w14:textId="781A421E" w:rsidR="00A927B4" w:rsidRPr="002931EA" w:rsidRDefault="00A927B4" w:rsidP="00EB097E">
      <w:pPr>
        <w:pStyle w:val="FootnoteText"/>
        <w:keepNext/>
        <w:keepLines/>
        <w:ind w:firstLine="720"/>
        <w:rPr>
          <w:sz w:val="26"/>
          <w:szCs w:val="26"/>
        </w:rPr>
      </w:pPr>
      <w:r w:rsidRPr="002931EA">
        <w:rPr>
          <w:rStyle w:val="FootnoteReference"/>
          <w:sz w:val="26"/>
          <w:szCs w:val="26"/>
        </w:rPr>
        <w:footnoteRef/>
      </w:r>
      <w:r w:rsidRPr="002931EA">
        <w:rPr>
          <w:sz w:val="26"/>
          <w:szCs w:val="26"/>
        </w:rPr>
        <w:t xml:space="preserve"> </w:t>
      </w:r>
      <w:r w:rsidRPr="002931EA">
        <w:rPr>
          <w:sz w:val="26"/>
          <w:szCs w:val="26"/>
        </w:rPr>
        <w:tab/>
        <w:t xml:space="preserve">FirstEnergy argued in its Briefs that the Recommended Decision should not consider these three prior FCC decisions “controlling precedent” and should find they “are distinguishable from this case.”  </w:t>
      </w:r>
      <w:r w:rsidRPr="003F0BAF">
        <w:rPr>
          <w:i/>
          <w:sz w:val="26"/>
        </w:rPr>
        <w:t>See</w:t>
      </w:r>
      <w:r w:rsidRPr="002931EA">
        <w:rPr>
          <w:sz w:val="26"/>
          <w:szCs w:val="26"/>
        </w:rPr>
        <w:t xml:space="preserve"> R.D. at 15 (citing FirstEnergy M.B. at 16), 17 (citing FirstEnergy R.B. at 7-8), 28 (citing FirstEnergy M.B. at 36-39), 40 (citing</w:t>
      </w:r>
      <w:r>
        <w:rPr>
          <w:sz w:val="26"/>
          <w:szCs w:val="26"/>
        </w:rPr>
        <w:t xml:space="preserve"> </w:t>
      </w:r>
      <w:r w:rsidRPr="002931EA">
        <w:rPr>
          <w:sz w:val="26"/>
          <w:szCs w:val="26"/>
        </w:rPr>
        <w:t>FirstEnergy R.B. at 48).</w:t>
      </w:r>
    </w:p>
  </w:footnote>
  <w:footnote w:id="18">
    <w:p w14:paraId="21CE7DA0" w14:textId="022B0D62" w:rsidR="00A927B4" w:rsidRPr="00624CF0" w:rsidRDefault="00A927B4" w:rsidP="003A78C5">
      <w:pPr>
        <w:pStyle w:val="FootnoteText"/>
        <w:keepNext/>
        <w:keepLines/>
        <w:spacing w:after="120"/>
        <w:ind w:firstLine="720"/>
        <w:rPr>
          <w:sz w:val="26"/>
          <w:szCs w:val="26"/>
        </w:rPr>
      </w:pPr>
      <w:r w:rsidRPr="00624CF0">
        <w:rPr>
          <w:rStyle w:val="FootnoteReference"/>
          <w:sz w:val="26"/>
          <w:szCs w:val="26"/>
        </w:rPr>
        <w:footnoteRef/>
      </w:r>
      <w:r w:rsidRPr="00624CF0">
        <w:rPr>
          <w:sz w:val="26"/>
          <w:szCs w:val="26"/>
        </w:rPr>
        <w:t xml:space="preserve"> </w:t>
      </w:r>
      <w:r w:rsidRPr="00624CF0">
        <w:rPr>
          <w:sz w:val="26"/>
          <w:szCs w:val="26"/>
        </w:rPr>
        <w:tab/>
        <w:t>The initial term of the J</w:t>
      </w:r>
      <w:r>
        <w:rPr>
          <w:sz w:val="26"/>
          <w:szCs w:val="26"/>
        </w:rPr>
        <w:t>UAs</w:t>
      </w:r>
      <w:r w:rsidRPr="00624CF0">
        <w:rPr>
          <w:sz w:val="26"/>
          <w:szCs w:val="26"/>
        </w:rPr>
        <w:t xml:space="preserve"> varies from one to five years, but the initial term for all of the J</w:t>
      </w:r>
      <w:r>
        <w:rPr>
          <w:sz w:val="26"/>
          <w:szCs w:val="26"/>
        </w:rPr>
        <w:t>UAs</w:t>
      </w:r>
      <w:r w:rsidRPr="00624CF0">
        <w:rPr>
          <w:sz w:val="26"/>
          <w:szCs w:val="26"/>
        </w:rPr>
        <w:t xml:space="preserve"> had expired by January 1, 1993.  </w:t>
      </w:r>
      <w:r w:rsidRPr="00C9379E">
        <w:rPr>
          <w:i/>
          <w:iCs/>
          <w:sz w:val="26"/>
          <w:szCs w:val="26"/>
        </w:rPr>
        <w:t>See</w:t>
      </w:r>
      <w:r w:rsidRPr="00624CF0">
        <w:rPr>
          <w:sz w:val="26"/>
          <w:szCs w:val="26"/>
        </w:rPr>
        <w:t xml:space="preserve">, </w:t>
      </w:r>
      <w:r w:rsidRPr="00C9379E">
        <w:rPr>
          <w:i/>
          <w:iCs/>
          <w:sz w:val="26"/>
          <w:szCs w:val="26"/>
        </w:rPr>
        <w:t>e.g.</w:t>
      </w:r>
      <w:r w:rsidRPr="00624CF0">
        <w:rPr>
          <w:sz w:val="26"/>
          <w:szCs w:val="26"/>
        </w:rPr>
        <w:t xml:space="preserve">, Verizon </w:t>
      </w:r>
      <w:r>
        <w:rPr>
          <w:sz w:val="26"/>
          <w:szCs w:val="26"/>
        </w:rPr>
        <w:t xml:space="preserve">St. No. 1, </w:t>
      </w:r>
      <w:r w:rsidRPr="00624CF0">
        <w:rPr>
          <w:sz w:val="26"/>
          <w:szCs w:val="26"/>
        </w:rPr>
        <w:t xml:space="preserve">Exh. SCM-2 at VZ00180 (Art. XX) (1-year initial term), VZ00333 (Art. XXI) (5-year initial term), VZ00449 (Art. XXI) (stating that initial term would expire “five (5) years from the [January 1, 1988] effective date hereof” </w:t>
      </w:r>
      <w:r>
        <w:rPr>
          <w:sz w:val="26"/>
          <w:szCs w:val="26"/>
        </w:rPr>
        <w:t>m</w:t>
      </w:r>
      <w:r w:rsidRPr="00624CF0">
        <w:rPr>
          <w:sz w:val="26"/>
          <w:szCs w:val="26"/>
        </w:rPr>
        <w:t>eaning that the initial term expired on January 1, 1993</w:t>
      </w:r>
      <w:r>
        <w:rPr>
          <w:sz w:val="26"/>
          <w:szCs w:val="26"/>
        </w:rPr>
        <w:t>)</w:t>
      </w:r>
      <w:r w:rsidRPr="00624CF0">
        <w:rPr>
          <w:sz w:val="26"/>
          <w:szCs w:val="26"/>
        </w:rPr>
        <w:t xml:space="preserve">.  </w:t>
      </w:r>
    </w:p>
  </w:footnote>
  <w:footnote w:id="19">
    <w:p w14:paraId="11DF053B" w14:textId="1FC4CD02" w:rsidR="00A927B4" w:rsidRPr="00423DA1" w:rsidRDefault="00A927B4" w:rsidP="003A78C5">
      <w:pPr>
        <w:pStyle w:val="FootnoteText"/>
        <w:keepNext/>
        <w:keepLines/>
        <w:spacing w:after="120"/>
        <w:ind w:firstLine="720"/>
        <w:rPr>
          <w:sz w:val="26"/>
          <w:szCs w:val="26"/>
        </w:rPr>
      </w:pPr>
      <w:r w:rsidRPr="00423DA1">
        <w:rPr>
          <w:rStyle w:val="FootnoteReference"/>
          <w:sz w:val="26"/>
          <w:szCs w:val="26"/>
        </w:rPr>
        <w:footnoteRef/>
      </w:r>
      <w:r w:rsidRPr="00423DA1">
        <w:rPr>
          <w:sz w:val="26"/>
          <w:szCs w:val="26"/>
        </w:rPr>
        <w:t xml:space="preserve"> </w:t>
      </w:r>
      <w:r>
        <w:rPr>
          <w:sz w:val="26"/>
          <w:szCs w:val="26"/>
        </w:rPr>
        <w:tab/>
      </w:r>
      <w:r w:rsidRPr="00423DA1">
        <w:rPr>
          <w:sz w:val="26"/>
          <w:szCs w:val="26"/>
        </w:rPr>
        <w:t>Each J</w:t>
      </w:r>
      <w:r>
        <w:rPr>
          <w:sz w:val="26"/>
          <w:szCs w:val="26"/>
        </w:rPr>
        <w:t>UA</w:t>
      </w:r>
      <w:r w:rsidRPr="00423DA1">
        <w:rPr>
          <w:sz w:val="26"/>
          <w:szCs w:val="26"/>
        </w:rPr>
        <w:t xml:space="preserve"> states that, after an initial term, the agreement “</w:t>
      </w:r>
      <w:r w:rsidRPr="00423DA1">
        <w:rPr>
          <w:i/>
          <w:iCs/>
          <w:sz w:val="26"/>
          <w:szCs w:val="26"/>
        </w:rPr>
        <w:t>shall continue</w:t>
      </w:r>
      <w:r w:rsidRPr="00423DA1">
        <w:rPr>
          <w:sz w:val="26"/>
          <w:szCs w:val="26"/>
        </w:rPr>
        <w:t xml:space="preserve"> in force thereafter until terminated by either Party at any time” upon advance written notice.  </w:t>
      </w:r>
      <w:r w:rsidRPr="005F69EB">
        <w:rPr>
          <w:sz w:val="26"/>
        </w:rPr>
        <w:t>See</w:t>
      </w:r>
      <w:r>
        <w:rPr>
          <w:sz w:val="26"/>
          <w:szCs w:val="26"/>
        </w:rPr>
        <w:t xml:space="preserve"> Complaint at ¶ 16.  </w:t>
      </w:r>
    </w:p>
  </w:footnote>
  <w:footnote w:id="20">
    <w:p w14:paraId="26FDBF82" w14:textId="517C18A7" w:rsidR="00A927B4" w:rsidRPr="00D621E9" w:rsidRDefault="00A927B4" w:rsidP="00EB097E">
      <w:pPr>
        <w:pStyle w:val="FootnoteText"/>
        <w:keepNext/>
        <w:keepLines/>
        <w:ind w:firstLine="720"/>
        <w:rPr>
          <w:sz w:val="26"/>
          <w:szCs w:val="26"/>
        </w:rPr>
      </w:pPr>
      <w:r w:rsidRPr="00D621E9">
        <w:rPr>
          <w:rStyle w:val="FootnoteReference"/>
          <w:sz w:val="26"/>
          <w:szCs w:val="26"/>
        </w:rPr>
        <w:footnoteRef/>
      </w:r>
      <w:r w:rsidRPr="00D621E9">
        <w:rPr>
          <w:sz w:val="26"/>
          <w:szCs w:val="26"/>
        </w:rPr>
        <w:t xml:space="preserve"> </w:t>
      </w:r>
      <w:r w:rsidRPr="00D621E9">
        <w:rPr>
          <w:sz w:val="26"/>
          <w:szCs w:val="26"/>
        </w:rPr>
        <w:tab/>
        <w:t xml:space="preserve">The </w:t>
      </w:r>
      <w:r w:rsidRPr="00D621E9">
        <w:rPr>
          <w:i/>
          <w:iCs/>
          <w:sz w:val="26"/>
          <w:szCs w:val="26"/>
        </w:rPr>
        <w:t>2018 Pole Attachment Order</w:t>
      </w:r>
      <w:r w:rsidRPr="00D621E9">
        <w:rPr>
          <w:sz w:val="26"/>
          <w:szCs w:val="26"/>
        </w:rPr>
        <w:t xml:space="preserve"> explain</w:t>
      </w:r>
      <w:r>
        <w:rPr>
          <w:sz w:val="26"/>
          <w:szCs w:val="26"/>
        </w:rPr>
        <w:t>ed</w:t>
      </w:r>
      <w:r w:rsidRPr="00D621E9">
        <w:rPr>
          <w:sz w:val="26"/>
          <w:szCs w:val="26"/>
        </w:rPr>
        <w:t xml:space="preserve"> that the presumption applies to a broad set of </w:t>
      </w:r>
      <w:r>
        <w:rPr>
          <w:sz w:val="26"/>
          <w:szCs w:val="26"/>
        </w:rPr>
        <w:t>JUA</w:t>
      </w:r>
      <w:r w:rsidRPr="00D621E9">
        <w:rPr>
          <w:sz w:val="26"/>
          <w:szCs w:val="26"/>
        </w:rPr>
        <w:t xml:space="preserve">s – specifically, all agreements “entered into, renewed, or in evergreen status after [March 11, 2019],” including all “agreements that are automatically renewed, extended or placed in evergreen status.”  </w:t>
      </w:r>
      <w:r w:rsidRPr="00D621E9">
        <w:rPr>
          <w:i/>
          <w:iCs/>
          <w:sz w:val="26"/>
          <w:szCs w:val="26"/>
        </w:rPr>
        <w:t>2018 Pole Attachment Order</w:t>
      </w:r>
      <w:r w:rsidRPr="00D621E9">
        <w:rPr>
          <w:sz w:val="26"/>
          <w:szCs w:val="26"/>
        </w:rPr>
        <w:t xml:space="preserve">, 33 FCC Rcd at 7770.  </w:t>
      </w:r>
    </w:p>
  </w:footnote>
  <w:footnote w:id="21">
    <w:p w14:paraId="65010AE0" w14:textId="147B997A" w:rsidR="00A927B4" w:rsidRPr="0020114E" w:rsidRDefault="00A927B4" w:rsidP="00490691">
      <w:pPr>
        <w:pStyle w:val="FootnoteText"/>
        <w:ind w:firstLine="720"/>
        <w:rPr>
          <w:sz w:val="26"/>
          <w:szCs w:val="26"/>
        </w:rPr>
      </w:pPr>
      <w:r w:rsidRPr="00490691">
        <w:rPr>
          <w:rStyle w:val="FootnoteReference"/>
          <w:sz w:val="26"/>
          <w:szCs w:val="26"/>
        </w:rPr>
        <w:footnoteRef/>
      </w:r>
      <w:r w:rsidRPr="00490691">
        <w:rPr>
          <w:sz w:val="26"/>
          <w:szCs w:val="26"/>
        </w:rPr>
        <w:t xml:space="preserve"> </w:t>
      </w:r>
      <w:r>
        <w:rPr>
          <w:sz w:val="26"/>
          <w:szCs w:val="26"/>
        </w:rPr>
        <w:tab/>
        <w:t xml:space="preserve">For example, FirstEnergy highlighted our interpretation of the </w:t>
      </w:r>
      <w:r w:rsidRPr="00C97FE5">
        <w:rPr>
          <w:i/>
          <w:iCs/>
          <w:color w:val="000000"/>
          <w:spacing w:val="-1"/>
          <w:sz w:val="26"/>
          <w:szCs w:val="26"/>
        </w:rPr>
        <w:t xml:space="preserve">2019 </w:t>
      </w:r>
      <w:r w:rsidRPr="00344676">
        <w:rPr>
          <w:i/>
          <w:iCs/>
          <w:color w:val="000000"/>
          <w:spacing w:val="-1"/>
          <w:sz w:val="26"/>
          <w:szCs w:val="26"/>
        </w:rPr>
        <w:t xml:space="preserve">Final </w:t>
      </w:r>
      <w:r>
        <w:rPr>
          <w:i/>
          <w:iCs/>
          <w:color w:val="000000"/>
          <w:spacing w:val="-1"/>
          <w:sz w:val="26"/>
          <w:szCs w:val="26"/>
        </w:rPr>
        <w:t xml:space="preserve">Rulemaking </w:t>
      </w:r>
      <w:r w:rsidRPr="00344676">
        <w:rPr>
          <w:i/>
          <w:iCs/>
          <w:color w:val="000000"/>
          <w:spacing w:val="-1"/>
          <w:sz w:val="26"/>
          <w:szCs w:val="26"/>
        </w:rPr>
        <w:t>Order</w:t>
      </w:r>
      <w:r>
        <w:rPr>
          <w:i/>
          <w:iCs/>
          <w:color w:val="000000"/>
          <w:spacing w:val="-1"/>
          <w:sz w:val="26"/>
          <w:szCs w:val="26"/>
        </w:rPr>
        <w:t xml:space="preserve"> </w:t>
      </w:r>
      <w:r>
        <w:rPr>
          <w:color w:val="000000"/>
          <w:spacing w:val="-1"/>
          <w:sz w:val="26"/>
          <w:szCs w:val="26"/>
        </w:rPr>
        <w:t xml:space="preserve">and specifically stated that since the “three FCC orders addressing the rates to be paid by an ILEC under a joint use agreement neither resolved nor addressed the facts and issues in this proceeding, the Commission cannot and should not exclusively rely on FCC authority to determine this case.”  FirstEnergy R.B. at 48-49.  </w:t>
      </w:r>
    </w:p>
  </w:footnote>
  <w:footnote w:id="22">
    <w:p w14:paraId="7B3F9758" w14:textId="789661BD" w:rsidR="00A927B4" w:rsidRPr="00711CF5" w:rsidRDefault="00A927B4" w:rsidP="00711CF5">
      <w:pPr>
        <w:pStyle w:val="NormalWeb"/>
        <w:spacing w:after="120"/>
        <w:ind w:firstLine="720"/>
        <w:rPr>
          <w:color w:val="000000"/>
          <w:sz w:val="26"/>
          <w:szCs w:val="26"/>
        </w:rPr>
      </w:pPr>
      <w:r w:rsidRPr="00711CF5">
        <w:rPr>
          <w:rStyle w:val="FootnoteReference"/>
          <w:sz w:val="26"/>
          <w:szCs w:val="26"/>
        </w:rPr>
        <w:footnoteRef/>
      </w:r>
      <w:r w:rsidRPr="00711CF5">
        <w:rPr>
          <w:sz w:val="26"/>
          <w:szCs w:val="26"/>
        </w:rPr>
        <w:t xml:space="preserve"> </w:t>
      </w:r>
      <w:r>
        <w:rPr>
          <w:sz w:val="26"/>
          <w:szCs w:val="26"/>
        </w:rPr>
        <w:tab/>
      </w:r>
      <w:r w:rsidRPr="00711CF5">
        <w:rPr>
          <w:i/>
          <w:iCs/>
          <w:sz w:val="26"/>
          <w:szCs w:val="26"/>
        </w:rPr>
        <w:t xml:space="preserve">See </w:t>
      </w:r>
      <w:r w:rsidRPr="00711CF5">
        <w:rPr>
          <w:i/>
          <w:iCs/>
          <w:color w:val="000000"/>
          <w:sz w:val="26"/>
          <w:szCs w:val="26"/>
        </w:rPr>
        <w:t>Joint Petition of Direct Energy Business Marketing, LLC and Community Energy, Inc. to Certify Electric Production from Ten Out-Of-State Facilities through Reporting Year 2019 as Eligible to Satisfy Tier I Solar Photovoltaic Share Alternative Energy Credits Requirements</w:t>
      </w:r>
      <w:r w:rsidRPr="00711CF5">
        <w:rPr>
          <w:color w:val="000000"/>
          <w:sz w:val="26"/>
          <w:szCs w:val="26"/>
        </w:rPr>
        <w:t>, Docket No. P-2019-3007245 (Order entered April 30, 2020) (</w:t>
      </w:r>
      <w:r w:rsidRPr="00711CF5">
        <w:rPr>
          <w:i/>
          <w:iCs/>
          <w:color w:val="000000"/>
          <w:sz w:val="26"/>
          <w:szCs w:val="26"/>
        </w:rPr>
        <w:t>DEMB</w:t>
      </w:r>
      <w:r w:rsidRPr="00711CF5">
        <w:rPr>
          <w:color w:val="000000"/>
          <w:sz w:val="26"/>
          <w:szCs w:val="26"/>
        </w:rPr>
        <w:t xml:space="preserve">).  In that case, </w:t>
      </w:r>
      <w:bookmarkStart w:id="35" w:name="_Hlk57655020"/>
      <w:r w:rsidRPr="00711CF5">
        <w:rPr>
          <w:color w:val="000000"/>
          <w:sz w:val="26"/>
          <w:szCs w:val="26"/>
        </w:rPr>
        <w:t>the Commission concluded that the relevant contracts were evergreen contracts because they extended indefinitely, in one-year periods, until one of the parties terminated the agreements.</w:t>
      </w:r>
      <w:bookmarkEnd w:id="35"/>
      <w:r w:rsidRPr="00711CF5">
        <w:rPr>
          <w:color w:val="000000"/>
          <w:sz w:val="26"/>
          <w:szCs w:val="26"/>
        </w:rPr>
        <w:t xml:space="preserve"> </w:t>
      </w:r>
    </w:p>
  </w:footnote>
  <w:footnote w:id="23">
    <w:p w14:paraId="519E0A59" w14:textId="43CD1CC3" w:rsidR="00A927B4" w:rsidRPr="00711CF5" w:rsidRDefault="00A927B4" w:rsidP="00292854">
      <w:pPr>
        <w:pStyle w:val="FootnoteText"/>
        <w:ind w:firstLine="720"/>
        <w:rPr>
          <w:sz w:val="26"/>
          <w:szCs w:val="26"/>
        </w:rPr>
      </w:pPr>
      <w:r w:rsidRPr="00711CF5">
        <w:rPr>
          <w:rStyle w:val="FootnoteReference"/>
          <w:sz w:val="26"/>
          <w:szCs w:val="26"/>
        </w:rPr>
        <w:footnoteRef/>
      </w:r>
      <w:r w:rsidRPr="00711CF5">
        <w:rPr>
          <w:sz w:val="26"/>
          <w:szCs w:val="26"/>
        </w:rPr>
        <w:t xml:space="preserve"> </w:t>
      </w:r>
      <w:r>
        <w:rPr>
          <w:sz w:val="26"/>
          <w:szCs w:val="26"/>
        </w:rPr>
        <w:tab/>
      </w:r>
      <w:r w:rsidRPr="00711CF5">
        <w:rPr>
          <w:color w:val="000000"/>
          <w:spacing w:val="-1"/>
          <w:sz w:val="26"/>
          <w:szCs w:val="26"/>
        </w:rPr>
        <w:t xml:space="preserve">According to the record evidence in this case, the initial term of the last of these contracts expired in 1993, and none of them have been terminated by either party.  </w:t>
      </w:r>
    </w:p>
  </w:footnote>
  <w:footnote w:id="24">
    <w:p w14:paraId="36FFCA14" w14:textId="6F5A0589" w:rsidR="00A927B4" w:rsidRPr="00711CF5" w:rsidRDefault="00A927B4" w:rsidP="00292854">
      <w:pPr>
        <w:pStyle w:val="FootnoteText"/>
        <w:ind w:firstLine="720"/>
        <w:rPr>
          <w:i/>
          <w:iCs/>
          <w:sz w:val="26"/>
          <w:szCs w:val="26"/>
        </w:rPr>
      </w:pPr>
      <w:r w:rsidRPr="00711CF5">
        <w:rPr>
          <w:rStyle w:val="FootnoteReference"/>
          <w:sz w:val="26"/>
          <w:szCs w:val="26"/>
        </w:rPr>
        <w:footnoteRef/>
      </w:r>
      <w:r w:rsidRPr="00711CF5">
        <w:rPr>
          <w:sz w:val="26"/>
          <w:szCs w:val="26"/>
        </w:rPr>
        <w:t xml:space="preserve"> </w:t>
      </w:r>
      <w:r>
        <w:rPr>
          <w:sz w:val="26"/>
          <w:szCs w:val="26"/>
        </w:rPr>
        <w:tab/>
      </w:r>
      <w:r w:rsidRPr="00711CF5">
        <w:rPr>
          <w:i/>
          <w:iCs/>
          <w:sz w:val="26"/>
          <w:szCs w:val="26"/>
        </w:rPr>
        <w:t>See Accelerating Wireline Broadband Deployment by Removing Barriers to Infrastructure Development</w:t>
      </w:r>
      <w:r w:rsidRPr="00711CF5">
        <w:rPr>
          <w:sz w:val="26"/>
          <w:szCs w:val="26"/>
        </w:rPr>
        <w:t>, Third Report and Order and Declaratory Ruling, 33 FCC Rcd 7705 (2018), para. 127, n</w:t>
      </w:r>
      <w:r>
        <w:rPr>
          <w:sz w:val="26"/>
          <w:szCs w:val="26"/>
        </w:rPr>
        <w:t>.</w:t>
      </w:r>
      <w:r w:rsidRPr="00711CF5">
        <w:rPr>
          <w:sz w:val="26"/>
          <w:szCs w:val="26"/>
        </w:rPr>
        <w:t xml:space="preserve">475; </w:t>
      </w:r>
      <w:r w:rsidRPr="00711CF5">
        <w:rPr>
          <w:i/>
          <w:iCs/>
          <w:sz w:val="26"/>
          <w:szCs w:val="26"/>
        </w:rPr>
        <w:t xml:space="preserve">see also Verizon Maryland LLC v. Potomac Edison Company, </w:t>
      </w:r>
      <w:bookmarkStart w:id="36" w:name="_Hlk58322982"/>
      <w:r w:rsidRPr="00711CF5">
        <w:rPr>
          <w:sz w:val="26"/>
          <w:szCs w:val="26"/>
        </w:rPr>
        <w:t>Docket No. 19-355, FCC 20-167, Memorandum Opinion and Order rel. November 23, 2020, para. 7, n</w:t>
      </w:r>
      <w:r>
        <w:rPr>
          <w:sz w:val="26"/>
          <w:szCs w:val="26"/>
        </w:rPr>
        <w:t>.</w:t>
      </w:r>
      <w:r w:rsidRPr="00711CF5">
        <w:rPr>
          <w:sz w:val="26"/>
          <w:szCs w:val="26"/>
        </w:rPr>
        <w:t>20</w:t>
      </w:r>
      <w:bookmarkEnd w:id="36"/>
      <w:r>
        <w:rPr>
          <w:sz w:val="26"/>
          <w:szCs w:val="26"/>
        </w:rPr>
        <w:t xml:space="preserve"> (</w:t>
      </w:r>
      <w:r w:rsidRPr="0090667F">
        <w:rPr>
          <w:i/>
          <w:iCs/>
          <w:sz w:val="26"/>
          <w:szCs w:val="26"/>
        </w:rPr>
        <w:t>Verizon Maryland</w:t>
      </w:r>
      <w:r>
        <w:rPr>
          <w:sz w:val="26"/>
          <w:szCs w:val="26"/>
        </w:rPr>
        <w:t>)</w:t>
      </w:r>
      <w:r w:rsidRPr="00711CF5">
        <w:rPr>
          <w:sz w:val="26"/>
          <w:szCs w:val="26"/>
        </w:rPr>
        <w:t xml:space="preserve">.  According to the FCC, </w:t>
      </w:r>
      <w:r w:rsidRPr="00711CF5">
        <w:rPr>
          <w:color w:val="000000"/>
          <w:sz w:val="26"/>
          <w:szCs w:val="26"/>
          <w:shd w:val="clear" w:color="auto" w:fill="FFFFFF"/>
        </w:rPr>
        <w:t>a new or newly-renewed pole attachment agreement is one entered into, renewed, or in evergreen status after March 11, 2019, and renewal includes agreements that are automatically renewed, extended, or placed in evergreen status.</w:t>
      </w:r>
    </w:p>
  </w:footnote>
  <w:footnote w:id="25">
    <w:p w14:paraId="754402D1" w14:textId="53F99432" w:rsidR="00A927B4" w:rsidRPr="007D26B4" w:rsidRDefault="00A927B4" w:rsidP="003F0BAF">
      <w:pPr>
        <w:pStyle w:val="FootnoteText"/>
        <w:spacing w:after="120"/>
        <w:ind w:firstLine="720"/>
        <w:rPr>
          <w:sz w:val="26"/>
          <w:szCs w:val="26"/>
        </w:rPr>
      </w:pPr>
      <w:r w:rsidRPr="007D26B4">
        <w:rPr>
          <w:rStyle w:val="FootnoteReference"/>
          <w:sz w:val="26"/>
          <w:szCs w:val="26"/>
        </w:rPr>
        <w:footnoteRef/>
      </w:r>
      <w:r w:rsidRPr="007D26B4">
        <w:rPr>
          <w:sz w:val="26"/>
          <w:szCs w:val="26"/>
        </w:rPr>
        <w:t xml:space="preserve"> </w:t>
      </w:r>
      <w:r>
        <w:rPr>
          <w:sz w:val="26"/>
          <w:szCs w:val="26"/>
        </w:rPr>
        <w:tab/>
        <w:t xml:space="preserve">Citing, in part, Verizon St. No. 1.1 at 13-19, 22-23,Verizon St. No. 2.1 at 37-38, and Verizon St. No. 3.1 at 27-29. </w:t>
      </w:r>
    </w:p>
  </w:footnote>
  <w:footnote w:id="26">
    <w:p w14:paraId="20CDF880" w14:textId="63C8EC22" w:rsidR="00A927B4" w:rsidRPr="00934B26" w:rsidRDefault="00A927B4" w:rsidP="00A927B4">
      <w:pPr>
        <w:pStyle w:val="FootnoteText"/>
        <w:ind w:firstLine="720"/>
        <w:rPr>
          <w:sz w:val="26"/>
          <w:szCs w:val="26"/>
        </w:rPr>
      </w:pPr>
      <w:r w:rsidRPr="00934B26">
        <w:rPr>
          <w:rStyle w:val="FootnoteReference"/>
          <w:sz w:val="26"/>
          <w:szCs w:val="26"/>
        </w:rPr>
        <w:footnoteRef/>
      </w:r>
      <w:r w:rsidRPr="00934B26">
        <w:rPr>
          <w:sz w:val="26"/>
          <w:szCs w:val="26"/>
        </w:rPr>
        <w:t xml:space="preserve"> </w:t>
      </w:r>
      <w:r>
        <w:rPr>
          <w:sz w:val="26"/>
          <w:szCs w:val="26"/>
        </w:rPr>
        <w:tab/>
        <w:t>Citing, in part, Verizon St. No. 1.0, Exh. SCM-1 at VZ00030-31, Verizon St. 1.1 at 30-31, Verizon St. No. 1.2 at 18-19, and Verizon St. No. 1.1 at Exh. SCM-24.</w:t>
      </w:r>
    </w:p>
  </w:footnote>
  <w:footnote w:id="27">
    <w:p w14:paraId="4586E66D" w14:textId="08CB8DD9" w:rsidR="00A927B4" w:rsidRPr="007E10FA" w:rsidRDefault="00A927B4" w:rsidP="00684962">
      <w:pPr>
        <w:pStyle w:val="FootnoteText"/>
        <w:keepNext/>
        <w:keepLines/>
        <w:ind w:firstLine="720"/>
        <w:rPr>
          <w:sz w:val="26"/>
          <w:szCs w:val="26"/>
        </w:rPr>
      </w:pPr>
      <w:r w:rsidRPr="00CD55C3">
        <w:rPr>
          <w:rStyle w:val="FootnoteReference"/>
          <w:sz w:val="26"/>
          <w:szCs w:val="26"/>
        </w:rPr>
        <w:footnoteRef/>
      </w:r>
      <w:r w:rsidRPr="00CD55C3">
        <w:rPr>
          <w:sz w:val="26"/>
          <w:szCs w:val="26"/>
        </w:rPr>
        <w:t xml:space="preserve"> </w:t>
      </w:r>
      <w:r>
        <w:rPr>
          <w:sz w:val="26"/>
          <w:szCs w:val="26"/>
        </w:rPr>
        <w:tab/>
        <w:t xml:space="preserve">We note that in </w:t>
      </w:r>
      <w:r w:rsidRPr="00CD55C3">
        <w:rPr>
          <w:i/>
          <w:iCs/>
          <w:sz w:val="26"/>
          <w:szCs w:val="26"/>
        </w:rPr>
        <w:t>Verizon Maryland</w:t>
      </w:r>
      <w:r>
        <w:rPr>
          <w:sz w:val="26"/>
          <w:szCs w:val="26"/>
        </w:rPr>
        <w:t xml:space="preserve">, </w:t>
      </w:r>
      <w:r>
        <w:rPr>
          <w:i/>
          <w:iCs/>
          <w:sz w:val="26"/>
          <w:szCs w:val="26"/>
        </w:rPr>
        <w:t>supra</w:t>
      </w:r>
      <w:r>
        <w:rPr>
          <w:sz w:val="26"/>
          <w:szCs w:val="26"/>
        </w:rPr>
        <w:t xml:space="preserve">, the FCC recently determined that the JUA in that proceeding provided Verizon Maryland with material advantages over CLEC and cable attachers on the same poles.  However, we emphasize our reasoning above that the Commission is not bound by FCC orders interpreting FCC regulations but that we consider such rulings only as persuasive authority.  Additionally, it appears that the record in </w:t>
      </w:r>
      <w:r w:rsidRPr="00CD55C3">
        <w:rPr>
          <w:i/>
          <w:iCs/>
          <w:sz w:val="26"/>
          <w:szCs w:val="26"/>
        </w:rPr>
        <w:t>Verizon Maryland</w:t>
      </w:r>
      <w:r>
        <w:rPr>
          <w:sz w:val="26"/>
          <w:szCs w:val="26"/>
        </w:rPr>
        <w:t xml:space="preserve"> contains distinguishing features from the evidence in this proceeding.  For example, the JUA in </w:t>
      </w:r>
      <w:bookmarkStart w:id="37" w:name="_Hlk58322529"/>
      <w:r w:rsidRPr="007E10FA">
        <w:rPr>
          <w:i/>
          <w:iCs/>
          <w:sz w:val="26"/>
          <w:szCs w:val="26"/>
        </w:rPr>
        <w:t>Verizon Maryland</w:t>
      </w:r>
      <w:r>
        <w:rPr>
          <w:sz w:val="26"/>
          <w:szCs w:val="26"/>
        </w:rPr>
        <w:t xml:space="preserve"> </w:t>
      </w:r>
      <w:bookmarkEnd w:id="37"/>
      <w:r>
        <w:rPr>
          <w:sz w:val="26"/>
          <w:szCs w:val="26"/>
        </w:rPr>
        <w:t xml:space="preserve">guaranteed Verizon Maryland space on Potomac Edison’s poles and contained no explicit make-ready provisions whereas some of Verizon Maryland’s competitors have explicit make-ready obligations in their license agreements.  Also, it appears that no application fees were charged to Verizon Maryland but that its competitors must pay such charges.  </w:t>
      </w:r>
      <w:r w:rsidRPr="005314D9">
        <w:rPr>
          <w:i/>
          <w:iCs/>
          <w:sz w:val="26"/>
          <w:szCs w:val="26"/>
        </w:rPr>
        <w:t>Verizon Maryland</w:t>
      </w:r>
      <w:r>
        <w:rPr>
          <w:sz w:val="26"/>
          <w:szCs w:val="26"/>
        </w:rPr>
        <w:t xml:space="preserve">, </w:t>
      </w:r>
      <w:r w:rsidRPr="00711CF5">
        <w:rPr>
          <w:sz w:val="26"/>
          <w:szCs w:val="26"/>
        </w:rPr>
        <w:t xml:space="preserve">Docket No. 19-355, FCC 20-167, para. </w:t>
      </w:r>
      <w:r>
        <w:rPr>
          <w:sz w:val="26"/>
          <w:szCs w:val="26"/>
        </w:rPr>
        <w:t>20.</w:t>
      </w:r>
    </w:p>
  </w:footnote>
  <w:footnote w:id="28">
    <w:p w14:paraId="05283C91" w14:textId="1616F5E8" w:rsidR="00A927B4" w:rsidRPr="0060164D" w:rsidRDefault="00A927B4" w:rsidP="003A78C5">
      <w:pPr>
        <w:pStyle w:val="FootnoteText"/>
        <w:keepNext/>
        <w:keepLines/>
        <w:spacing w:after="120"/>
        <w:ind w:firstLine="720"/>
        <w:rPr>
          <w:sz w:val="26"/>
          <w:szCs w:val="26"/>
        </w:rPr>
      </w:pPr>
      <w:r w:rsidRPr="0060164D">
        <w:rPr>
          <w:rStyle w:val="FootnoteReference"/>
          <w:sz w:val="26"/>
          <w:szCs w:val="26"/>
        </w:rPr>
        <w:footnoteRef/>
      </w:r>
      <w:r w:rsidRPr="0060164D">
        <w:rPr>
          <w:sz w:val="26"/>
          <w:szCs w:val="26"/>
        </w:rPr>
        <w:t xml:space="preserve"> </w:t>
      </w:r>
      <w:r w:rsidRPr="0060164D">
        <w:rPr>
          <w:sz w:val="26"/>
          <w:szCs w:val="26"/>
        </w:rPr>
        <w:tab/>
        <w:t xml:space="preserve">The ALJ stated on page 57 of his Recommended Decision “to the extent required in the new telecom rate formula, factors such as the cost of capital should be current.”  Finding that the new telecom rate was effective March 11, 2019, the ALJ explained that “the cost of capital used in determining the new telecom rate should be the cost of capital as of March 11, 2019.”  R.D. at 57.  </w:t>
      </w:r>
    </w:p>
  </w:footnote>
  <w:footnote w:id="29">
    <w:p w14:paraId="3760202E" w14:textId="0EC1CB1F" w:rsidR="00A927B4" w:rsidRPr="004953CD" w:rsidRDefault="00A927B4" w:rsidP="00383B1B">
      <w:pPr>
        <w:pStyle w:val="FootnoteText"/>
        <w:keepNext/>
        <w:keepLines/>
        <w:ind w:firstLine="720"/>
        <w:rPr>
          <w:sz w:val="26"/>
          <w:szCs w:val="26"/>
        </w:rPr>
      </w:pPr>
      <w:r w:rsidRPr="004953CD">
        <w:rPr>
          <w:rStyle w:val="FootnoteReference"/>
          <w:sz w:val="26"/>
          <w:szCs w:val="26"/>
        </w:rPr>
        <w:footnoteRef/>
      </w:r>
      <w:r w:rsidRPr="004953CD">
        <w:rPr>
          <w:sz w:val="26"/>
          <w:szCs w:val="26"/>
        </w:rPr>
        <w:t xml:space="preserve"> </w:t>
      </w:r>
      <w:r w:rsidRPr="004953CD">
        <w:rPr>
          <w:sz w:val="26"/>
          <w:szCs w:val="26"/>
        </w:rPr>
        <w:tab/>
        <w:t>Section 1.1407(a)(2) provides that:</w:t>
      </w:r>
    </w:p>
    <w:p w14:paraId="3B9A2680" w14:textId="23C3C5DB" w:rsidR="00A927B4" w:rsidRDefault="00A927B4" w:rsidP="00383B1B">
      <w:pPr>
        <w:pStyle w:val="FootnoteText"/>
        <w:keepNext/>
        <w:keepLines/>
        <w:rPr>
          <w:sz w:val="26"/>
          <w:szCs w:val="26"/>
        </w:rPr>
      </w:pPr>
    </w:p>
    <w:p w14:paraId="10D69A8F" w14:textId="5CB7AB90" w:rsidR="00A927B4" w:rsidRDefault="00A927B4" w:rsidP="00383B1B">
      <w:pPr>
        <w:pStyle w:val="FootnoteText"/>
        <w:keepNext/>
        <w:keepLines/>
        <w:ind w:left="1440" w:right="1440"/>
        <w:rPr>
          <w:b/>
          <w:sz w:val="26"/>
          <w:szCs w:val="26"/>
        </w:rPr>
      </w:pPr>
      <w:r w:rsidRPr="004953CD">
        <w:rPr>
          <w:b/>
          <w:sz w:val="26"/>
          <w:szCs w:val="26"/>
        </w:rPr>
        <w:t>§ 1.1407 Remedies.</w:t>
      </w:r>
    </w:p>
    <w:p w14:paraId="0D3D9A0B" w14:textId="77777777" w:rsidR="00A927B4" w:rsidRPr="004953CD" w:rsidRDefault="00A927B4" w:rsidP="00383B1B">
      <w:pPr>
        <w:pStyle w:val="FootnoteText"/>
        <w:keepNext/>
        <w:keepLines/>
        <w:ind w:left="1440" w:right="1440"/>
        <w:rPr>
          <w:b/>
          <w:sz w:val="26"/>
          <w:szCs w:val="26"/>
        </w:rPr>
      </w:pPr>
    </w:p>
    <w:p w14:paraId="13F41227" w14:textId="629B5307" w:rsidR="00A927B4" w:rsidRPr="004953CD" w:rsidRDefault="00A927B4" w:rsidP="003A78C5">
      <w:pPr>
        <w:pStyle w:val="FootnoteText"/>
        <w:keepNext/>
        <w:keepLines/>
        <w:spacing w:after="120"/>
        <w:ind w:left="1800" w:right="1440" w:hanging="360"/>
        <w:rPr>
          <w:sz w:val="26"/>
          <w:szCs w:val="26"/>
        </w:rPr>
      </w:pPr>
      <w:r w:rsidRPr="004953CD">
        <w:rPr>
          <w:sz w:val="26"/>
          <w:szCs w:val="26"/>
        </w:rPr>
        <w:t xml:space="preserve">(a) If the Commission determines that the rate, </w:t>
      </w:r>
      <w:r w:rsidRPr="004953CD">
        <w:rPr>
          <w:sz w:val="26"/>
          <w:szCs w:val="26"/>
        </w:rPr>
        <w:t>term or condition complained of is not just and reasonable, it may prescribe a just and reasonable rate, term or condition and may:</w:t>
      </w:r>
      <w:r>
        <w:rPr>
          <w:sz w:val="26"/>
          <w:szCs w:val="26"/>
        </w:rPr>
        <w:t xml:space="preserve">  </w:t>
      </w:r>
    </w:p>
    <w:p w14:paraId="15693079" w14:textId="02C1DF2C" w:rsidR="00A927B4" w:rsidRPr="004953CD" w:rsidRDefault="00A927B4" w:rsidP="003A78C5">
      <w:pPr>
        <w:pStyle w:val="FootnoteText"/>
        <w:keepNext/>
        <w:keepLines/>
        <w:spacing w:after="120"/>
        <w:ind w:left="1440" w:right="1440"/>
        <w:jc w:val="center"/>
        <w:rPr>
          <w:sz w:val="26"/>
          <w:szCs w:val="26"/>
        </w:rPr>
      </w:pPr>
      <w:r w:rsidRPr="004953CD">
        <w:rPr>
          <w:sz w:val="26"/>
          <w:szCs w:val="26"/>
        </w:rPr>
        <w:t>*</w:t>
      </w:r>
      <w:r>
        <w:rPr>
          <w:sz w:val="26"/>
          <w:szCs w:val="26"/>
        </w:rPr>
        <w:t xml:space="preserve">  </w:t>
      </w:r>
      <w:r w:rsidRPr="004953CD">
        <w:rPr>
          <w:sz w:val="26"/>
          <w:szCs w:val="26"/>
        </w:rPr>
        <w:t>*</w:t>
      </w:r>
      <w:r>
        <w:rPr>
          <w:sz w:val="26"/>
          <w:szCs w:val="26"/>
        </w:rPr>
        <w:t xml:space="preserve">  </w:t>
      </w:r>
      <w:r w:rsidRPr="004953CD">
        <w:rPr>
          <w:sz w:val="26"/>
          <w:szCs w:val="26"/>
        </w:rPr>
        <w:t>*</w:t>
      </w:r>
    </w:p>
    <w:p w14:paraId="7F753E50" w14:textId="77777777" w:rsidR="00A927B4" w:rsidRPr="004953CD" w:rsidRDefault="00A927B4" w:rsidP="00FA0506">
      <w:pPr>
        <w:pStyle w:val="FootnoteText"/>
        <w:keepNext/>
        <w:keepLines/>
        <w:ind w:left="2160" w:right="1440" w:hanging="360"/>
        <w:rPr>
          <w:sz w:val="26"/>
          <w:szCs w:val="26"/>
        </w:rPr>
      </w:pPr>
      <w:r w:rsidRPr="004953CD">
        <w:rPr>
          <w:sz w:val="26"/>
          <w:szCs w:val="26"/>
        </w:rPr>
        <w:t xml:space="preserve">(2) Substitute in the pole attachment agreement the </w:t>
      </w:r>
      <w:r w:rsidRPr="004953CD">
        <w:rPr>
          <w:sz w:val="26"/>
          <w:szCs w:val="26"/>
        </w:rPr>
        <w:br/>
        <w:t xml:space="preserve">just and reasonable rate, term or condition </w:t>
      </w:r>
      <w:r w:rsidRPr="004953CD">
        <w:rPr>
          <w:sz w:val="26"/>
          <w:szCs w:val="26"/>
        </w:rPr>
        <w:br/>
        <w:t>established by the Commission.</w:t>
      </w:r>
    </w:p>
    <w:p w14:paraId="288A35BB" w14:textId="0A8EB25B" w:rsidR="00A927B4" w:rsidRDefault="00A927B4" w:rsidP="00292854">
      <w:pPr>
        <w:pStyle w:val="FootnoteText"/>
        <w:keepNext/>
        <w:keepLines/>
        <w:ind w:left="1440" w:right="1440"/>
        <w:rPr>
          <w:sz w:val="26"/>
          <w:szCs w:val="26"/>
        </w:rPr>
      </w:pPr>
    </w:p>
    <w:p w14:paraId="1F5D0735" w14:textId="43B9A314" w:rsidR="00A927B4" w:rsidRPr="004953CD" w:rsidRDefault="00A927B4" w:rsidP="00684962">
      <w:pPr>
        <w:pStyle w:val="FootnoteText"/>
        <w:keepNext/>
        <w:keepLines/>
        <w:rPr>
          <w:sz w:val="26"/>
          <w:szCs w:val="26"/>
        </w:rPr>
      </w:pPr>
      <w:bookmarkStart w:id="42" w:name="_Hlk55219473"/>
      <w:r w:rsidRPr="004953CD">
        <w:rPr>
          <w:i/>
          <w:iCs/>
          <w:sz w:val="26"/>
          <w:szCs w:val="26"/>
        </w:rPr>
        <w:t>See</w:t>
      </w:r>
      <w:r>
        <w:rPr>
          <w:sz w:val="26"/>
          <w:szCs w:val="26"/>
        </w:rPr>
        <w:t xml:space="preserve"> 52 Pa. Code § 77.4(a) (incorporating 47 C.F.R. § 1.1407(a)(2)</w:t>
      </w:r>
      <w:bookmarkEnd w:id="42"/>
      <w:r>
        <w:rPr>
          <w:sz w:val="26"/>
          <w:szCs w:val="26"/>
        </w:rPr>
        <w:t>.</w:t>
      </w:r>
    </w:p>
  </w:footnote>
  <w:footnote w:id="30">
    <w:p w14:paraId="180D2E49" w14:textId="722B0949" w:rsidR="00A927B4" w:rsidRDefault="00A927B4" w:rsidP="003A78C5">
      <w:pPr>
        <w:pStyle w:val="FootnoteText"/>
        <w:keepNext/>
        <w:keepLines/>
        <w:spacing w:after="120"/>
        <w:ind w:firstLine="720"/>
        <w:rPr>
          <w:sz w:val="26"/>
          <w:szCs w:val="26"/>
        </w:rPr>
      </w:pPr>
      <w:r w:rsidRPr="00EC4125">
        <w:rPr>
          <w:rStyle w:val="FootnoteReference"/>
          <w:sz w:val="26"/>
          <w:szCs w:val="26"/>
        </w:rPr>
        <w:footnoteRef/>
      </w:r>
      <w:r w:rsidRPr="00EC4125">
        <w:rPr>
          <w:sz w:val="26"/>
          <w:szCs w:val="26"/>
        </w:rPr>
        <w:t xml:space="preserve"> </w:t>
      </w:r>
      <w:r>
        <w:rPr>
          <w:sz w:val="26"/>
          <w:szCs w:val="26"/>
        </w:rPr>
        <w:tab/>
        <w:t>The FCC’s new telecom rate formula assigns annual pole costs as follows:</w:t>
      </w:r>
    </w:p>
    <w:p w14:paraId="781031F9" w14:textId="77777777" w:rsidR="00A927B4" w:rsidRDefault="00A927B4" w:rsidP="00292854">
      <w:pPr>
        <w:pStyle w:val="FootnoteText"/>
        <w:keepNext/>
        <w:keepLines/>
        <w:ind w:firstLine="720"/>
        <w:rPr>
          <w:sz w:val="26"/>
          <w:szCs w:val="26"/>
        </w:rPr>
      </w:pPr>
    </w:p>
    <w:p w14:paraId="67F65304" w14:textId="37513EAF" w:rsidR="00A927B4" w:rsidRDefault="00A927B4" w:rsidP="00D90E97">
      <w:pPr>
        <w:pStyle w:val="FootnoteText"/>
        <w:keepNext/>
        <w:keepLines/>
        <w:spacing w:after="120"/>
        <w:ind w:firstLine="720"/>
        <w:jc w:val="center"/>
        <w:rPr>
          <w:sz w:val="26"/>
          <w:szCs w:val="26"/>
        </w:rPr>
      </w:pPr>
      <w:r>
        <w:rPr>
          <w:noProof/>
        </w:rPr>
        <w:drawing>
          <wp:inline distT="0" distB="0" distL="0" distR="0" wp14:anchorId="144DC195" wp14:editId="06973724">
            <wp:extent cx="4742121" cy="592765"/>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783182" cy="597898"/>
                    </a:xfrm>
                    <a:prstGeom prst="rect">
                      <a:avLst/>
                    </a:prstGeom>
                  </pic:spPr>
                </pic:pic>
              </a:graphicData>
            </a:graphic>
          </wp:inline>
        </w:drawing>
      </w:r>
    </w:p>
    <w:p w14:paraId="42DE85B5" w14:textId="6DBC4B31" w:rsidR="00A927B4" w:rsidRDefault="00A927B4" w:rsidP="00FA0506">
      <w:pPr>
        <w:pStyle w:val="FootnoteText"/>
        <w:keepNext/>
        <w:keepLines/>
        <w:ind w:firstLine="720"/>
        <w:jc w:val="center"/>
        <w:rPr>
          <w:sz w:val="26"/>
          <w:szCs w:val="26"/>
        </w:rPr>
      </w:pPr>
    </w:p>
    <w:p w14:paraId="41763987" w14:textId="5AD69F6E" w:rsidR="00A927B4" w:rsidRPr="00EC4125" w:rsidRDefault="00A927B4" w:rsidP="00292854">
      <w:pPr>
        <w:pStyle w:val="FootnoteText"/>
        <w:keepNext/>
        <w:keepLines/>
        <w:rPr>
          <w:sz w:val="26"/>
          <w:szCs w:val="26"/>
        </w:rPr>
      </w:pPr>
      <w:r w:rsidRPr="003F0BAF">
        <w:rPr>
          <w:i/>
          <w:sz w:val="26"/>
        </w:rPr>
        <w:t>See</w:t>
      </w:r>
      <w:r>
        <w:rPr>
          <w:sz w:val="26"/>
          <w:szCs w:val="26"/>
        </w:rPr>
        <w:t xml:space="preserve"> 47 C.F.R. § 1.1406(d)(2)(i).  The FCC’s rules include presumptions for these inputs, as adopted by the Commission’s Regulations.  </w:t>
      </w:r>
      <w:r w:rsidRPr="00EC6AE8">
        <w:rPr>
          <w:sz w:val="26"/>
          <w:szCs w:val="26"/>
        </w:rPr>
        <w:t xml:space="preserve">52 Pa. Code </w:t>
      </w:r>
      <w:r w:rsidRPr="00EC6AE8">
        <w:rPr>
          <w:rFonts w:hint="eastAsia"/>
          <w:sz w:val="26"/>
          <w:szCs w:val="26"/>
        </w:rPr>
        <w:t>§</w:t>
      </w:r>
      <w:r w:rsidRPr="00EC6AE8">
        <w:rPr>
          <w:sz w:val="26"/>
          <w:szCs w:val="26"/>
        </w:rPr>
        <w:t xml:space="preserve"> 77.4(a) (incorporating 47</w:t>
      </w:r>
      <w:r>
        <w:rPr>
          <w:sz w:val="26"/>
          <w:szCs w:val="26"/>
        </w:rPr>
        <w:t> </w:t>
      </w:r>
      <w:r w:rsidRPr="00EC6AE8">
        <w:rPr>
          <w:sz w:val="26"/>
          <w:szCs w:val="26"/>
        </w:rPr>
        <w:t xml:space="preserve">C.F.R. </w:t>
      </w:r>
      <w:r w:rsidRPr="00EC6AE8">
        <w:rPr>
          <w:rFonts w:hint="eastAsia"/>
          <w:sz w:val="26"/>
          <w:szCs w:val="26"/>
        </w:rPr>
        <w:t>§§</w:t>
      </w:r>
      <w:r w:rsidRPr="00EC6AE8">
        <w:rPr>
          <w:sz w:val="26"/>
          <w:szCs w:val="26"/>
        </w:rPr>
        <w:t xml:space="preserve"> 1.1409 (presumptive average of 5 attaching</w:t>
      </w:r>
      <w:r w:rsidRPr="00EC4125">
        <w:rPr>
          <w:sz w:val="26"/>
          <w:szCs w:val="26"/>
        </w:rPr>
        <w:t xml:space="preserve"> </w:t>
      </w:r>
      <w:r w:rsidRPr="00EC6AE8">
        <w:rPr>
          <w:sz w:val="26"/>
          <w:szCs w:val="26"/>
        </w:rPr>
        <w:t>entities), 1.1410 (presumptions that space occupied by a communications provider is 1foot,</w:t>
      </w:r>
      <w:r w:rsidRPr="00EC4125">
        <w:rPr>
          <w:sz w:val="26"/>
          <w:szCs w:val="26"/>
        </w:rPr>
        <w:t xml:space="preserve"> unusable space is 24 feet, and pole height is 37.5 feet)).</w:t>
      </w:r>
      <w:r>
        <w:rPr>
          <w:sz w:val="26"/>
          <w:szCs w:val="26"/>
        </w:rPr>
        <w:t xml:space="preserve">  Using these presumptions, the space factor is 11.2 percent, which is the value Verizon used when calculating new telecom rates for use of FirstEnergy’s poles.</w:t>
      </w:r>
    </w:p>
  </w:footnote>
  <w:footnote w:id="31">
    <w:p w14:paraId="1BBA7D0F" w14:textId="59C4E4A3" w:rsidR="00A927B4" w:rsidRPr="003A78C5" w:rsidRDefault="00A927B4" w:rsidP="00292854">
      <w:pPr>
        <w:pStyle w:val="FootnoteText"/>
        <w:keepNext/>
        <w:keepLines/>
        <w:ind w:firstLine="720"/>
        <w:rPr>
          <w:sz w:val="26"/>
          <w:szCs w:val="26"/>
        </w:rPr>
      </w:pPr>
      <w:r w:rsidRPr="003A78C5">
        <w:rPr>
          <w:rStyle w:val="FootnoteReference"/>
          <w:sz w:val="26"/>
          <w:szCs w:val="26"/>
        </w:rPr>
        <w:footnoteRef/>
      </w:r>
      <w:r w:rsidRPr="003A78C5">
        <w:rPr>
          <w:sz w:val="26"/>
          <w:szCs w:val="26"/>
        </w:rPr>
        <w:t xml:space="preserve"> </w:t>
      </w:r>
      <w:r w:rsidRPr="003A78C5">
        <w:rPr>
          <w:sz w:val="26"/>
          <w:szCs w:val="26"/>
        </w:rPr>
        <w:tab/>
        <w:t xml:space="preserve">Inputs that vary from the regulations must be supported by valid and “probative direct evidence” about the poles for which rates are being set.  </w:t>
      </w:r>
      <w:r w:rsidRPr="003A78C5">
        <w:rPr>
          <w:i/>
          <w:iCs/>
          <w:sz w:val="26"/>
          <w:szCs w:val="26"/>
        </w:rPr>
        <w:t xml:space="preserve">See, e.g., In the Matter of Amendment of Rules &amp; Policies Governing the </w:t>
      </w:r>
      <w:bookmarkStart w:id="46" w:name="_Hlk58568575"/>
      <w:r w:rsidRPr="003A78C5">
        <w:rPr>
          <w:i/>
          <w:iCs/>
          <w:sz w:val="26"/>
          <w:szCs w:val="26"/>
        </w:rPr>
        <w:t>Attachment of Cable Television Hardware to Util</w:t>
      </w:r>
      <w:r>
        <w:rPr>
          <w:i/>
          <w:iCs/>
          <w:sz w:val="26"/>
          <w:szCs w:val="26"/>
        </w:rPr>
        <w:t>ity</w:t>
      </w:r>
      <w:r w:rsidRPr="003A78C5">
        <w:rPr>
          <w:i/>
          <w:iCs/>
          <w:sz w:val="26"/>
          <w:szCs w:val="26"/>
        </w:rPr>
        <w:t xml:space="preserve"> Poles</w:t>
      </w:r>
      <w:bookmarkEnd w:id="46"/>
      <w:r w:rsidRPr="003A78C5">
        <w:rPr>
          <w:sz w:val="26"/>
          <w:szCs w:val="26"/>
        </w:rPr>
        <w:t>, 2 FCC Rcd 4387, 4394</w:t>
      </w:r>
      <w:r>
        <w:rPr>
          <w:sz w:val="26"/>
          <w:szCs w:val="26"/>
        </w:rPr>
        <w:t xml:space="preserve">, </w:t>
      </w:r>
      <w:r w:rsidRPr="00D34351">
        <w:rPr>
          <w:sz w:val="26"/>
          <w:szCs w:val="26"/>
        </w:rPr>
        <w:t>para.</w:t>
      </w:r>
      <w:r w:rsidRPr="00D34351">
        <w:rPr>
          <w:sz w:val="26"/>
        </w:rPr>
        <w:t xml:space="preserve"> 52</w:t>
      </w:r>
      <w:r w:rsidRPr="00D34351">
        <w:rPr>
          <w:sz w:val="26"/>
          <w:szCs w:val="26"/>
        </w:rPr>
        <w:t>,</w:t>
      </w:r>
      <w:r w:rsidRPr="00D34351">
        <w:rPr>
          <w:sz w:val="26"/>
        </w:rPr>
        <w:t xml:space="preserve"> n.27 (1987</w:t>
      </w:r>
      <w:r w:rsidRPr="00D34351">
        <w:rPr>
          <w:sz w:val="26"/>
          <w:szCs w:val="26"/>
        </w:rPr>
        <w:t>) (</w:t>
      </w:r>
      <w:r w:rsidRPr="00D34351">
        <w:rPr>
          <w:i/>
          <w:iCs/>
          <w:sz w:val="26"/>
          <w:szCs w:val="26"/>
        </w:rPr>
        <w:t>Attachment of Cable Television Hardware to Utility Poles</w:t>
      </w:r>
      <w:r w:rsidRPr="00D34351">
        <w:rPr>
          <w:sz w:val="26"/>
        </w:rPr>
        <w:t>)</w:t>
      </w:r>
      <w:r>
        <w:rPr>
          <w:sz w:val="26"/>
          <w:szCs w:val="26"/>
        </w:rPr>
        <w:t xml:space="preserve">; </w:t>
      </w:r>
      <w:r w:rsidRPr="003A78C5">
        <w:rPr>
          <w:i/>
          <w:iCs/>
          <w:sz w:val="26"/>
          <w:szCs w:val="26"/>
        </w:rPr>
        <w:t xml:space="preserve">see also In the Matter of Amendment of Commission’s Rules and Policies Governing Pole Attachments; Implementation of Section 703(e) of the Telecommunications Act of 1996, </w:t>
      </w:r>
      <w:bookmarkStart w:id="47" w:name="_Hlk58568734"/>
      <w:r w:rsidRPr="003A78C5">
        <w:rPr>
          <w:i/>
          <w:iCs/>
          <w:sz w:val="26"/>
          <w:szCs w:val="26"/>
        </w:rPr>
        <w:t>Consolidated Partial Order on Reconsideration</w:t>
      </w:r>
      <w:bookmarkEnd w:id="47"/>
      <w:r w:rsidRPr="003A78C5">
        <w:rPr>
          <w:sz w:val="26"/>
          <w:szCs w:val="26"/>
        </w:rPr>
        <w:t>, 16 FCC Rcd 12103, 12139</w:t>
      </w:r>
      <w:r>
        <w:rPr>
          <w:sz w:val="26"/>
          <w:szCs w:val="26"/>
        </w:rPr>
        <w:t xml:space="preserve">, </w:t>
      </w:r>
      <w:r w:rsidRPr="00D34351">
        <w:rPr>
          <w:sz w:val="26"/>
          <w:szCs w:val="26"/>
        </w:rPr>
        <w:t>para.</w:t>
      </w:r>
      <w:r w:rsidRPr="00D34351">
        <w:rPr>
          <w:sz w:val="26"/>
        </w:rPr>
        <w:t xml:space="preserve"> 70 (2001</w:t>
      </w:r>
      <w:r w:rsidRPr="00D34351">
        <w:rPr>
          <w:sz w:val="26"/>
          <w:szCs w:val="26"/>
        </w:rPr>
        <w:t>) (</w:t>
      </w:r>
      <w:r w:rsidRPr="00D34351">
        <w:rPr>
          <w:i/>
          <w:iCs/>
          <w:sz w:val="26"/>
          <w:szCs w:val="26"/>
        </w:rPr>
        <w:t>Consolidated Partial Order on Reconsideration</w:t>
      </w:r>
      <w:r w:rsidRPr="00D34351">
        <w:rPr>
          <w:sz w:val="26"/>
        </w:rPr>
        <w:t>)</w:t>
      </w:r>
      <w:r>
        <w:rPr>
          <w:sz w:val="26"/>
          <w:szCs w:val="26"/>
        </w:rPr>
        <w:t>.</w:t>
      </w:r>
    </w:p>
  </w:footnote>
  <w:footnote w:id="32">
    <w:p w14:paraId="31B748DA" w14:textId="47FD47A9" w:rsidR="00A927B4" w:rsidRPr="002711F9" w:rsidRDefault="00A927B4" w:rsidP="003447B5">
      <w:pPr>
        <w:pStyle w:val="FootnoteText"/>
        <w:ind w:firstLine="720"/>
        <w:rPr>
          <w:sz w:val="26"/>
          <w:szCs w:val="26"/>
        </w:rPr>
      </w:pPr>
      <w:r w:rsidRPr="00D34351">
        <w:rPr>
          <w:rStyle w:val="FootnoteReference"/>
          <w:sz w:val="26"/>
          <w:szCs w:val="26"/>
        </w:rPr>
        <w:footnoteRef/>
      </w:r>
      <w:r w:rsidRPr="00D34351">
        <w:rPr>
          <w:sz w:val="26"/>
          <w:szCs w:val="26"/>
        </w:rPr>
        <w:t xml:space="preserve"> </w:t>
      </w:r>
      <w:r w:rsidRPr="00D34351">
        <w:rPr>
          <w:sz w:val="26"/>
          <w:szCs w:val="26"/>
        </w:rPr>
        <w:tab/>
        <w:t xml:space="preserve">Here, under the facts and circumstances of this proceeding, we recognize as persuasive the FCC determinations in </w:t>
      </w:r>
      <w:r w:rsidRPr="00D34351">
        <w:rPr>
          <w:i/>
          <w:iCs/>
          <w:sz w:val="26"/>
          <w:szCs w:val="26"/>
        </w:rPr>
        <w:t>Attachment of Cable Television Hardware to Utility Poles</w:t>
      </w:r>
      <w:r w:rsidRPr="00D34351">
        <w:rPr>
          <w:sz w:val="26"/>
          <w:szCs w:val="26"/>
        </w:rPr>
        <w:t xml:space="preserve"> and </w:t>
      </w:r>
      <w:r w:rsidRPr="00D34351">
        <w:rPr>
          <w:i/>
          <w:iCs/>
          <w:sz w:val="26"/>
          <w:szCs w:val="26"/>
        </w:rPr>
        <w:t>Consolidated Partial Order on Reconsideration</w:t>
      </w:r>
      <w:r w:rsidRPr="00D34351">
        <w:rPr>
          <w:sz w:val="26"/>
          <w:szCs w:val="26"/>
        </w:rPr>
        <w:t xml:space="preserve">, </w:t>
      </w:r>
      <w:r w:rsidRPr="00D34351">
        <w:rPr>
          <w:i/>
          <w:iCs/>
          <w:sz w:val="26"/>
          <w:szCs w:val="26"/>
        </w:rPr>
        <w:t>supra</w:t>
      </w:r>
      <w:r w:rsidRPr="00D34351">
        <w:rPr>
          <w:sz w:val="26"/>
          <w:szCs w:val="26"/>
        </w:rPr>
        <w:t xml:space="preserve"> n.30, that inputs varying from the regulations must be supported by valid and probative direct evidence about the poles for which rates are being set.</w:t>
      </w:r>
    </w:p>
  </w:footnote>
  <w:footnote w:id="33">
    <w:p w14:paraId="03B4743F" w14:textId="2993DA90" w:rsidR="00A927B4" w:rsidRPr="00EC5699" w:rsidRDefault="00A927B4" w:rsidP="00081E8F">
      <w:pPr>
        <w:pStyle w:val="FootnoteText"/>
        <w:ind w:firstLine="720"/>
        <w:rPr>
          <w:b/>
          <w:bCs/>
          <w:sz w:val="26"/>
          <w:szCs w:val="26"/>
        </w:rPr>
      </w:pPr>
      <w:r w:rsidRPr="00EC5699">
        <w:rPr>
          <w:rStyle w:val="FootnoteReference"/>
          <w:sz w:val="26"/>
          <w:szCs w:val="26"/>
        </w:rPr>
        <w:footnoteRef/>
      </w:r>
      <w:r w:rsidRPr="00EC5699">
        <w:rPr>
          <w:sz w:val="26"/>
          <w:szCs w:val="26"/>
        </w:rPr>
        <w:t xml:space="preserve"> </w:t>
      </w:r>
      <w:r>
        <w:rPr>
          <w:sz w:val="26"/>
          <w:szCs w:val="26"/>
        </w:rPr>
        <w:tab/>
      </w:r>
      <w:r w:rsidRPr="00EC5699">
        <w:rPr>
          <w:sz w:val="26"/>
          <w:szCs w:val="26"/>
        </w:rPr>
        <w:t>As a check to its reasonableness as a proxy, we note that the 2017 2</w:t>
      </w:r>
      <w:r w:rsidRPr="00EC5699">
        <w:rPr>
          <w:sz w:val="26"/>
          <w:szCs w:val="26"/>
          <w:vertAlign w:val="superscript"/>
        </w:rPr>
        <w:t>nd</w:t>
      </w:r>
      <w:r w:rsidRPr="00EC5699">
        <w:rPr>
          <w:sz w:val="26"/>
          <w:szCs w:val="26"/>
        </w:rPr>
        <w:t xml:space="preserve"> quarter rate of return proposed by Verizon compares favorably to the Commission’s 2020 2</w:t>
      </w:r>
      <w:r w:rsidRPr="00EC5699">
        <w:rPr>
          <w:sz w:val="26"/>
          <w:szCs w:val="26"/>
          <w:vertAlign w:val="superscript"/>
        </w:rPr>
        <w:t>nd</w:t>
      </w:r>
      <w:r w:rsidRPr="00EC5699">
        <w:rPr>
          <w:sz w:val="26"/>
          <w:szCs w:val="26"/>
        </w:rPr>
        <w:t xml:space="preserve"> quarter rate of return of 9.45%, as set forth in the Commission’s most recent Quarterly Earnings Report. </w:t>
      </w:r>
    </w:p>
  </w:footnote>
  <w:footnote w:id="34">
    <w:p w14:paraId="4A0C6A7B" w14:textId="338C3279" w:rsidR="00A927B4" w:rsidRPr="003920A7" w:rsidRDefault="00A927B4" w:rsidP="003447B5">
      <w:pPr>
        <w:pStyle w:val="FootnoteText"/>
        <w:keepNext/>
        <w:keepLines/>
        <w:ind w:firstLine="720"/>
        <w:rPr>
          <w:sz w:val="26"/>
          <w:szCs w:val="26"/>
        </w:rPr>
      </w:pPr>
      <w:r w:rsidRPr="00D34351">
        <w:rPr>
          <w:rStyle w:val="FootnoteReference"/>
          <w:sz w:val="26"/>
          <w:szCs w:val="26"/>
        </w:rPr>
        <w:footnoteRef/>
      </w:r>
      <w:r w:rsidRPr="00D34351">
        <w:rPr>
          <w:sz w:val="26"/>
          <w:szCs w:val="26"/>
        </w:rPr>
        <w:t xml:space="preserve"> </w:t>
      </w:r>
      <w:r w:rsidRPr="00D34351">
        <w:rPr>
          <w:sz w:val="26"/>
          <w:szCs w:val="26"/>
        </w:rPr>
        <w:tab/>
        <w:t xml:space="preserve"> We note that the Recommended Decision determined that the cost of capital used in determining the new pole attachment rate should be the cost of capital as of March 11, 2019, ostensibly because of the effective date of the FCC’s “new telecom rate” methodology.  Although, the ALJ found, in Finding of Fact No. 11, that the “properly calculated new telecom rates for Verizon’s use of FirstEnergy’s poles” during the years for which relevant cost data is available are the values calculated by Verizon, he then clarified that “the rates going forward” will be “the same” (meaning they will be calculated in the same manner when the relevant cost data becomes available).  R.D</w:t>
      </w:r>
      <w:r>
        <w:rPr>
          <w:sz w:val="26"/>
          <w:szCs w:val="26"/>
        </w:rPr>
        <w:t> </w:t>
      </w:r>
      <w:r w:rsidRPr="00D34351">
        <w:rPr>
          <w:sz w:val="26"/>
          <w:szCs w:val="26"/>
        </w:rPr>
        <w:t>at</w:t>
      </w:r>
      <w:r>
        <w:rPr>
          <w:sz w:val="26"/>
          <w:szCs w:val="26"/>
        </w:rPr>
        <w:t> </w:t>
      </w:r>
      <w:r w:rsidRPr="00D34351">
        <w:rPr>
          <w:sz w:val="26"/>
          <w:szCs w:val="26"/>
        </w:rPr>
        <w:t xml:space="preserve">66, 69 (“The rates that Verizon pays FirstEnergy to attach to its poles will be determined using the new telecom rate methodology going forward.”); R.D. at 56 (“[G]oing forward, the rates that First Energy charges Verizon to attach to its poles should be determined based on the new telecom rates.”).  The ALJ explained that doing so would be consistent with Section 1.1407(a)(2) of the FCC’s regulations adopted by the Commission through the </w:t>
      </w:r>
      <w:r w:rsidRPr="00D34351">
        <w:rPr>
          <w:i/>
          <w:iCs/>
          <w:sz w:val="26"/>
          <w:szCs w:val="26"/>
        </w:rPr>
        <w:t>2019 Final Rulemaking Order</w:t>
      </w:r>
      <w:r w:rsidRPr="00D34351">
        <w:rPr>
          <w:sz w:val="26"/>
          <w:szCs w:val="26"/>
        </w:rPr>
        <w:t>.  The ALJ concluded that the new telecom rate should therefore be substituted into the JUAs and govern Verizon’s attachment to FirstEnergy’s poles going forward.  R.D. at 56-57.</w:t>
      </w:r>
    </w:p>
  </w:footnote>
  <w:footnote w:id="35">
    <w:p w14:paraId="5B587415" w14:textId="719B58B1" w:rsidR="00A927B4" w:rsidRPr="00E0313E" w:rsidRDefault="00A927B4" w:rsidP="0086638E">
      <w:pPr>
        <w:pStyle w:val="FootnoteText"/>
        <w:keepNext/>
        <w:keepLines/>
        <w:spacing w:after="120"/>
        <w:ind w:firstLine="720"/>
        <w:rPr>
          <w:sz w:val="26"/>
          <w:szCs w:val="26"/>
        </w:rPr>
      </w:pPr>
      <w:r w:rsidRPr="00E0313E">
        <w:rPr>
          <w:rStyle w:val="FootnoteReference"/>
          <w:sz w:val="26"/>
          <w:szCs w:val="26"/>
        </w:rPr>
        <w:footnoteRef/>
      </w:r>
      <w:r w:rsidRPr="00E0313E">
        <w:rPr>
          <w:sz w:val="26"/>
          <w:szCs w:val="26"/>
        </w:rPr>
        <w:t xml:space="preserve"> </w:t>
      </w:r>
      <w:r w:rsidRPr="00E0313E">
        <w:rPr>
          <w:sz w:val="26"/>
          <w:szCs w:val="26"/>
        </w:rPr>
        <w:tab/>
      </w:r>
      <w:bookmarkStart w:id="59" w:name="_Hlk55455352"/>
      <w:r w:rsidRPr="00E0313E">
        <w:rPr>
          <w:b/>
          <w:bCs/>
          <w:sz w:val="26"/>
          <w:szCs w:val="26"/>
        </w:rPr>
        <w:t>***BEGIN PROPRIETARY***</w:t>
      </w:r>
      <w:r w:rsidRPr="00E0313E">
        <w:rPr>
          <w:sz w:val="26"/>
          <w:szCs w:val="26"/>
        </w:rPr>
        <w:t xml:space="preserve"> </w:t>
      </w:r>
      <w:r w:rsidRPr="00E0313E">
        <w:rPr>
          <w:b/>
          <w:bCs/>
          <w:sz w:val="26"/>
          <w:szCs w:val="26"/>
        </w:rPr>
        <w:t xml:space="preserve"> ***END</w:t>
      </w:r>
      <w:r>
        <w:rPr>
          <w:b/>
          <w:bCs/>
          <w:sz w:val="26"/>
          <w:szCs w:val="26"/>
        </w:rPr>
        <w:t> </w:t>
      </w:r>
      <w:r w:rsidRPr="00E0313E">
        <w:rPr>
          <w:b/>
          <w:bCs/>
          <w:sz w:val="26"/>
          <w:szCs w:val="26"/>
        </w:rPr>
        <w:t>PROPRIETARY***</w:t>
      </w:r>
      <w:bookmarkEnd w:id="59"/>
      <w:r>
        <w:rPr>
          <w:sz w:val="26"/>
          <w:szCs w:val="26"/>
        </w:rPr>
        <w:t> </w:t>
      </w:r>
      <w:r w:rsidRPr="00E0313E">
        <w:rPr>
          <w:sz w:val="26"/>
          <w:szCs w:val="26"/>
        </w:rPr>
        <w:t>R.D.</w:t>
      </w:r>
      <w:r>
        <w:rPr>
          <w:sz w:val="26"/>
          <w:szCs w:val="26"/>
        </w:rPr>
        <w:t> </w:t>
      </w:r>
      <w:r w:rsidRPr="00E0313E">
        <w:rPr>
          <w:sz w:val="26"/>
          <w:szCs w:val="26"/>
        </w:rPr>
        <w:t>at</w:t>
      </w:r>
      <w:r>
        <w:rPr>
          <w:sz w:val="26"/>
          <w:szCs w:val="26"/>
        </w:rPr>
        <w:t> </w:t>
      </w:r>
      <w:r w:rsidRPr="00E0313E">
        <w:rPr>
          <w:sz w:val="26"/>
          <w:szCs w:val="26"/>
        </w:rPr>
        <w:t>66.</w:t>
      </w:r>
    </w:p>
  </w:footnote>
  <w:footnote w:id="36">
    <w:p w14:paraId="23CAB3E0" w14:textId="77777777" w:rsidR="00A927B4" w:rsidRPr="00D10878" w:rsidRDefault="00A927B4" w:rsidP="00FF6AA0">
      <w:pPr>
        <w:pStyle w:val="FootnoteText"/>
        <w:keepNext/>
        <w:keepLines/>
        <w:ind w:firstLine="720"/>
        <w:rPr>
          <w:sz w:val="26"/>
          <w:szCs w:val="26"/>
        </w:rPr>
      </w:pPr>
      <w:r w:rsidRPr="00E0313E">
        <w:rPr>
          <w:rStyle w:val="FootnoteReference"/>
          <w:sz w:val="26"/>
          <w:szCs w:val="26"/>
        </w:rPr>
        <w:footnoteRef/>
      </w:r>
      <w:r w:rsidRPr="00E0313E">
        <w:rPr>
          <w:sz w:val="26"/>
          <w:szCs w:val="26"/>
        </w:rPr>
        <w:t xml:space="preserve"> </w:t>
      </w:r>
      <w:r w:rsidRPr="00E0313E">
        <w:rPr>
          <w:sz w:val="26"/>
          <w:szCs w:val="26"/>
        </w:rPr>
        <w:tab/>
      </w:r>
      <w:r w:rsidRPr="00E0313E">
        <w:rPr>
          <w:b/>
          <w:bCs/>
          <w:sz w:val="26"/>
          <w:szCs w:val="26"/>
        </w:rPr>
        <w:t>***BEGIN PROPRIETARY***</w:t>
      </w:r>
      <w:r w:rsidRPr="00E0313E">
        <w:rPr>
          <w:sz w:val="26"/>
          <w:szCs w:val="26"/>
        </w:rPr>
        <w:t xml:space="preserve">  </w:t>
      </w:r>
      <w:r w:rsidRPr="00E0313E">
        <w:rPr>
          <w:b/>
          <w:bCs/>
          <w:sz w:val="26"/>
          <w:szCs w:val="26"/>
        </w:rPr>
        <w:t>***END</w:t>
      </w:r>
      <w:r>
        <w:rPr>
          <w:b/>
          <w:bCs/>
          <w:sz w:val="26"/>
          <w:szCs w:val="26"/>
        </w:rPr>
        <w:t> </w:t>
      </w:r>
      <w:r w:rsidRPr="00E0313E">
        <w:rPr>
          <w:b/>
          <w:bCs/>
          <w:sz w:val="26"/>
          <w:szCs w:val="26"/>
        </w:rPr>
        <w:t>PROPRIETARY***</w:t>
      </w:r>
      <w:r>
        <w:rPr>
          <w:b/>
          <w:bCs/>
          <w:sz w:val="26"/>
          <w:szCs w:val="26"/>
        </w:rPr>
        <w:t> </w:t>
      </w:r>
      <w:r w:rsidRPr="00E0313E">
        <w:rPr>
          <w:sz w:val="26"/>
          <w:szCs w:val="26"/>
        </w:rPr>
        <w:t>R.D.</w:t>
      </w:r>
      <w:r>
        <w:rPr>
          <w:sz w:val="26"/>
          <w:szCs w:val="26"/>
        </w:rPr>
        <w:t> </w:t>
      </w:r>
      <w:r w:rsidRPr="00E0313E">
        <w:rPr>
          <w:sz w:val="26"/>
          <w:szCs w:val="26"/>
        </w:rPr>
        <w:t>at</w:t>
      </w:r>
      <w:r>
        <w:rPr>
          <w:sz w:val="26"/>
          <w:szCs w:val="26"/>
        </w:rPr>
        <w:t> </w:t>
      </w:r>
      <w:r w:rsidRPr="00E0313E">
        <w:rPr>
          <w:sz w:val="26"/>
          <w:szCs w:val="26"/>
        </w:rPr>
        <w:t>66.</w:t>
      </w:r>
      <w:r>
        <w:rPr>
          <w:sz w:val="26"/>
          <w:szCs w:val="26"/>
        </w:rPr>
        <w:t xml:space="preserve"> </w:t>
      </w:r>
    </w:p>
  </w:footnote>
  <w:footnote w:id="37">
    <w:p w14:paraId="281059EA" w14:textId="77777777" w:rsidR="00A927B4" w:rsidRDefault="00A927B4" w:rsidP="009716A5">
      <w:pPr>
        <w:pStyle w:val="FootnoteText"/>
        <w:keepNext/>
        <w:keepLines/>
        <w:ind w:firstLine="720"/>
      </w:pPr>
      <w:r w:rsidRPr="00D10878">
        <w:rPr>
          <w:rStyle w:val="FootnoteReference"/>
          <w:sz w:val="26"/>
          <w:szCs w:val="26"/>
        </w:rPr>
        <w:footnoteRef/>
      </w:r>
      <w:r w:rsidRPr="00D10878">
        <w:rPr>
          <w:sz w:val="26"/>
          <w:szCs w:val="26"/>
        </w:rPr>
        <w:t xml:space="preserve"> </w:t>
      </w:r>
      <w:r w:rsidRPr="00D10878">
        <w:rPr>
          <w:sz w:val="26"/>
          <w:szCs w:val="26"/>
        </w:rPr>
        <w:tab/>
      </w:r>
      <w:r w:rsidRPr="00D10878">
        <w:rPr>
          <w:i/>
          <w:iCs/>
          <w:sz w:val="26"/>
          <w:szCs w:val="26"/>
        </w:rPr>
        <w:t>See</w:t>
      </w:r>
      <w:r>
        <w:rPr>
          <w:sz w:val="26"/>
          <w:szCs w:val="26"/>
        </w:rPr>
        <w:t xml:space="preserve"> </w:t>
      </w:r>
      <w:r w:rsidRPr="00D10878">
        <w:rPr>
          <w:sz w:val="26"/>
          <w:szCs w:val="26"/>
        </w:rPr>
        <w:t>R.D. at 67-68.</w:t>
      </w:r>
    </w:p>
  </w:footnote>
  <w:footnote w:id="38">
    <w:p w14:paraId="25CF2E57" w14:textId="56CAB3A6" w:rsidR="00A927B4" w:rsidRPr="00481DB0" w:rsidRDefault="00A927B4" w:rsidP="009716A5">
      <w:pPr>
        <w:pStyle w:val="FootnoteText"/>
        <w:keepNext/>
        <w:keepLines/>
        <w:ind w:firstLine="720"/>
        <w:rPr>
          <w:sz w:val="26"/>
          <w:szCs w:val="26"/>
        </w:rPr>
      </w:pPr>
      <w:r w:rsidRPr="00481DB0">
        <w:rPr>
          <w:rStyle w:val="FootnoteReference"/>
          <w:sz w:val="26"/>
          <w:szCs w:val="26"/>
        </w:rPr>
        <w:footnoteRef/>
      </w:r>
      <w:r w:rsidRPr="00481DB0">
        <w:rPr>
          <w:sz w:val="26"/>
          <w:szCs w:val="26"/>
        </w:rPr>
        <w:t xml:space="preserve"> </w:t>
      </w:r>
      <w:r>
        <w:rPr>
          <w:sz w:val="26"/>
          <w:szCs w:val="26"/>
        </w:rPr>
        <w:tab/>
      </w:r>
      <w:r w:rsidRPr="00481DB0">
        <w:rPr>
          <w:i/>
          <w:iCs/>
          <w:sz w:val="26"/>
          <w:szCs w:val="26"/>
        </w:rPr>
        <w:t>See</w:t>
      </w:r>
      <w:r w:rsidRPr="00481DB0">
        <w:rPr>
          <w:sz w:val="26"/>
          <w:szCs w:val="26"/>
        </w:rPr>
        <w:t xml:space="preserve"> 66 Pa. C.S. § 1312(a) (a refund amount will be calculated “together with interest at the legal rate from the date of each such excessive payment”).</w:t>
      </w:r>
    </w:p>
  </w:footnote>
  <w:footnote w:id="39">
    <w:p w14:paraId="7161DF5A" w14:textId="63C7C4D2" w:rsidR="00A927B4" w:rsidRPr="00C911E6" w:rsidRDefault="00A927B4" w:rsidP="00B57D93">
      <w:pPr>
        <w:pStyle w:val="FootnoteText"/>
        <w:keepNext/>
        <w:keepLines/>
        <w:spacing w:after="120"/>
        <w:ind w:firstLine="720"/>
        <w:rPr>
          <w:sz w:val="26"/>
          <w:szCs w:val="26"/>
        </w:rPr>
      </w:pPr>
      <w:r w:rsidRPr="00C911E6">
        <w:rPr>
          <w:rStyle w:val="FootnoteReference"/>
          <w:sz w:val="26"/>
          <w:szCs w:val="26"/>
        </w:rPr>
        <w:footnoteRef/>
      </w:r>
      <w:r w:rsidRPr="00C911E6">
        <w:rPr>
          <w:sz w:val="26"/>
          <w:szCs w:val="26"/>
        </w:rPr>
        <w:t xml:space="preserve"> </w:t>
      </w:r>
      <w:r>
        <w:rPr>
          <w:sz w:val="26"/>
          <w:szCs w:val="26"/>
        </w:rPr>
        <w:tab/>
        <w:t>Since</w:t>
      </w:r>
      <w:r w:rsidRPr="00C911E6">
        <w:rPr>
          <w:sz w:val="26"/>
          <w:szCs w:val="26"/>
        </w:rPr>
        <w:t xml:space="preserve"> Verizon’s Complaint was filed on November 20, 2019, under</w:t>
      </w:r>
      <w:r>
        <w:rPr>
          <w:sz w:val="26"/>
          <w:szCs w:val="26"/>
        </w:rPr>
        <w:t xml:space="preserve"> </w:t>
      </w:r>
      <w:r w:rsidRPr="00C911E6">
        <w:rPr>
          <w:sz w:val="26"/>
          <w:szCs w:val="26"/>
        </w:rPr>
        <w:t>66</w:t>
      </w:r>
      <w:r>
        <w:rPr>
          <w:sz w:val="26"/>
          <w:szCs w:val="26"/>
        </w:rPr>
        <w:t> </w:t>
      </w:r>
      <w:r w:rsidRPr="00C911E6">
        <w:rPr>
          <w:sz w:val="26"/>
          <w:szCs w:val="26"/>
        </w:rPr>
        <w:t>Pa.</w:t>
      </w:r>
      <w:r>
        <w:rPr>
          <w:sz w:val="26"/>
          <w:szCs w:val="26"/>
        </w:rPr>
        <w:t> </w:t>
      </w:r>
      <w:r w:rsidRPr="00C911E6">
        <w:rPr>
          <w:sz w:val="26"/>
          <w:szCs w:val="26"/>
        </w:rPr>
        <w:t>C.S. § 1312(a)</w:t>
      </w:r>
      <w:r>
        <w:rPr>
          <w:sz w:val="26"/>
          <w:szCs w:val="26"/>
        </w:rPr>
        <w:t xml:space="preserve">, Verizon contends that </w:t>
      </w:r>
      <w:r w:rsidRPr="00C911E6">
        <w:rPr>
          <w:sz w:val="26"/>
          <w:szCs w:val="26"/>
        </w:rPr>
        <w:t xml:space="preserve">refunds are </w:t>
      </w:r>
      <w:r>
        <w:rPr>
          <w:sz w:val="26"/>
          <w:szCs w:val="26"/>
        </w:rPr>
        <w:t xml:space="preserve">at least </w:t>
      </w:r>
      <w:r w:rsidRPr="00C911E6">
        <w:rPr>
          <w:sz w:val="26"/>
          <w:szCs w:val="26"/>
        </w:rPr>
        <w:t>justified back to November 2015</w:t>
      </w:r>
      <w:r>
        <w:rPr>
          <w:sz w:val="26"/>
          <w:szCs w:val="26"/>
        </w:rPr>
        <w:t xml:space="preserve">.  Therefore, since the Complaint has been pending for ten months, as of September 2020, a refund based on Section 1312(a) would total </w:t>
      </w:r>
      <w:r w:rsidRPr="002109E3">
        <w:rPr>
          <w:b/>
          <w:bCs/>
          <w:sz w:val="26"/>
          <w:szCs w:val="26"/>
        </w:rPr>
        <w:t>***BEGIN PROPRIETARY***</w:t>
      </w:r>
      <w:r>
        <w:rPr>
          <w:b/>
          <w:bCs/>
          <w:sz w:val="26"/>
          <w:szCs w:val="26"/>
        </w:rPr>
        <w:t xml:space="preserve"> </w:t>
      </w:r>
      <w:r w:rsidRPr="002109E3">
        <w:rPr>
          <w:b/>
          <w:bCs/>
          <w:sz w:val="26"/>
          <w:szCs w:val="26"/>
        </w:rPr>
        <w:t>***END PROPRIETARY***</w:t>
      </w:r>
      <w:r>
        <w:rPr>
          <w:b/>
          <w:bCs/>
          <w:sz w:val="26"/>
          <w:szCs w:val="26"/>
        </w:rPr>
        <w:t xml:space="preserve"> </w:t>
      </w:r>
      <w:r>
        <w:rPr>
          <w:sz w:val="26"/>
          <w:szCs w:val="26"/>
        </w:rPr>
        <w:t xml:space="preserve">using the ALJ’s monthly overpayment amount (48 months (November 2015 – November 2019) + 10 months (November 2019 – September 2020) x </w:t>
      </w:r>
      <w:r w:rsidRPr="002109E3">
        <w:rPr>
          <w:b/>
          <w:bCs/>
          <w:sz w:val="26"/>
          <w:szCs w:val="26"/>
        </w:rPr>
        <w:t>***BEGIN</w:t>
      </w:r>
      <w:r>
        <w:rPr>
          <w:b/>
          <w:bCs/>
          <w:sz w:val="26"/>
          <w:szCs w:val="26"/>
        </w:rPr>
        <w:t xml:space="preserve"> </w:t>
      </w:r>
      <w:r w:rsidRPr="002109E3">
        <w:rPr>
          <w:b/>
          <w:bCs/>
          <w:sz w:val="26"/>
          <w:szCs w:val="26"/>
        </w:rPr>
        <w:t>PROPRIETARY***</w:t>
      </w:r>
      <w:r>
        <w:rPr>
          <w:b/>
          <w:bCs/>
          <w:sz w:val="26"/>
          <w:szCs w:val="26"/>
        </w:rPr>
        <w:t xml:space="preserve">  </w:t>
      </w:r>
      <w:r w:rsidRPr="002109E3">
        <w:rPr>
          <w:b/>
          <w:bCs/>
          <w:sz w:val="26"/>
          <w:szCs w:val="26"/>
        </w:rPr>
        <w:t>***END PROPRIETARY***</w:t>
      </w:r>
      <w:r>
        <w:rPr>
          <w:sz w:val="26"/>
          <w:szCs w:val="26"/>
        </w:rPr>
        <w:t xml:space="preserve"> per month) = </w:t>
      </w:r>
      <w:r w:rsidRPr="002109E3">
        <w:rPr>
          <w:b/>
          <w:bCs/>
          <w:sz w:val="26"/>
          <w:szCs w:val="26"/>
        </w:rPr>
        <w:t>***BEGIN PROPRIETARY***</w:t>
      </w:r>
      <w:r>
        <w:rPr>
          <w:b/>
          <w:bCs/>
          <w:sz w:val="26"/>
          <w:szCs w:val="26"/>
        </w:rPr>
        <w:t> </w:t>
      </w:r>
      <w:r w:rsidRPr="002109E3">
        <w:rPr>
          <w:b/>
          <w:bCs/>
          <w:sz w:val="26"/>
          <w:szCs w:val="26"/>
        </w:rPr>
        <w:t>***END PROPRIETARY***</w:t>
      </w:r>
      <w:r>
        <w:rPr>
          <w:sz w:val="26"/>
          <w:szCs w:val="26"/>
        </w:rPr>
        <w:t>).</w:t>
      </w:r>
    </w:p>
  </w:footnote>
  <w:footnote w:id="40">
    <w:p w14:paraId="0605F574" w14:textId="4E5ECF52" w:rsidR="00A927B4" w:rsidRPr="00B621CB" w:rsidRDefault="00A927B4" w:rsidP="008006E6">
      <w:pPr>
        <w:pStyle w:val="FootnoteText"/>
        <w:keepNext/>
        <w:keepLines/>
        <w:ind w:firstLine="720"/>
        <w:rPr>
          <w:sz w:val="26"/>
          <w:szCs w:val="26"/>
        </w:rPr>
      </w:pPr>
      <w:r w:rsidRPr="00B621CB">
        <w:rPr>
          <w:rStyle w:val="FootnoteReference"/>
          <w:sz w:val="26"/>
          <w:szCs w:val="26"/>
        </w:rPr>
        <w:footnoteRef/>
      </w:r>
      <w:r w:rsidRPr="00B621CB">
        <w:rPr>
          <w:sz w:val="26"/>
          <w:szCs w:val="26"/>
        </w:rPr>
        <w:t xml:space="preserve"> </w:t>
      </w:r>
      <w:r w:rsidRPr="00B621CB">
        <w:rPr>
          <w:sz w:val="26"/>
          <w:szCs w:val="26"/>
        </w:rPr>
        <w:tab/>
      </w:r>
      <w:r w:rsidRPr="00B621CB">
        <w:rPr>
          <w:sz w:val="26"/>
          <w:szCs w:val="26"/>
        </w:rPr>
        <w:t xml:space="preserve">In regards to Verizon’s claim that “the R.D. should be revised for internal consistency to require a four-year refund period,” FirstEnergy argues that this argument should likewise be rejected because it ignores fundamental principles of statutory construction, which dictate that the special provision of Section 508 should prevail over the general provision of Section 1312 of the Code.  FirstEnergy R. Exc. at 10.  </w:t>
      </w:r>
    </w:p>
  </w:footnote>
  <w:footnote w:id="41">
    <w:p w14:paraId="1DF3A8BF" w14:textId="77777777" w:rsidR="00A927B4" w:rsidRPr="00D34351" w:rsidRDefault="00A927B4" w:rsidP="008006E6">
      <w:pPr>
        <w:keepNext/>
        <w:keepLines/>
        <w:ind w:firstLine="720"/>
        <w:rPr>
          <w:color w:val="000000"/>
          <w:spacing w:val="-1"/>
          <w:sz w:val="26"/>
          <w:szCs w:val="26"/>
        </w:rPr>
      </w:pPr>
      <w:r w:rsidRPr="00D34351">
        <w:rPr>
          <w:rStyle w:val="FootnoteReference"/>
          <w:sz w:val="26"/>
          <w:szCs w:val="26"/>
        </w:rPr>
        <w:footnoteRef/>
      </w:r>
      <w:r w:rsidRPr="00D34351">
        <w:rPr>
          <w:sz w:val="26"/>
          <w:szCs w:val="26"/>
        </w:rPr>
        <w:t xml:space="preserve"> </w:t>
      </w:r>
      <w:r w:rsidRPr="00D34351">
        <w:rPr>
          <w:sz w:val="26"/>
          <w:szCs w:val="26"/>
        </w:rPr>
        <w:tab/>
      </w:r>
      <w:r w:rsidRPr="00D34351">
        <w:rPr>
          <w:color w:val="000000"/>
          <w:spacing w:val="-1"/>
          <w:sz w:val="26"/>
          <w:szCs w:val="26"/>
        </w:rPr>
        <w:t>Section 508 of the Code provides, in pertinent part:</w:t>
      </w:r>
    </w:p>
    <w:p w14:paraId="279D680D" w14:textId="77777777" w:rsidR="00A927B4" w:rsidRPr="00D34351" w:rsidRDefault="00A927B4" w:rsidP="008006E6">
      <w:pPr>
        <w:ind w:left="1440" w:right="1440"/>
        <w:textAlignment w:val="baseline"/>
        <w:rPr>
          <w:color w:val="000000"/>
          <w:spacing w:val="-1"/>
          <w:sz w:val="26"/>
          <w:szCs w:val="26"/>
        </w:rPr>
      </w:pPr>
    </w:p>
    <w:p w14:paraId="5CAD8B32" w14:textId="088E35F4" w:rsidR="00A927B4" w:rsidRPr="00D34351" w:rsidRDefault="00A927B4" w:rsidP="008006E6">
      <w:pPr>
        <w:ind w:left="1440" w:right="1440"/>
        <w:textAlignment w:val="baseline"/>
        <w:rPr>
          <w:color w:val="000000"/>
          <w:spacing w:val="-1"/>
          <w:sz w:val="26"/>
          <w:szCs w:val="26"/>
        </w:rPr>
      </w:pPr>
      <w:r w:rsidRPr="00D34351">
        <w:rPr>
          <w:color w:val="000000"/>
          <w:spacing w:val="-1"/>
          <w:sz w:val="26"/>
          <w:szCs w:val="26"/>
        </w:rPr>
        <w:t xml:space="preserve">The commission shall have power to vary, reform, or revise, upon a fair, reasonable and equitable basis, any obligations, </w:t>
      </w:r>
      <w:r w:rsidRPr="00D34351">
        <w:rPr>
          <w:color w:val="000000"/>
          <w:spacing w:val="-1"/>
          <w:sz w:val="26"/>
          <w:szCs w:val="26"/>
        </w:rPr>
        <w:t>terms or conditions of any contract heretofore or hereafter entered into between any public utility and any person, corporation, or municipal corporation, which embrace or concern a public right, benefit, privilege, duty or franchise, or the grant therefore, or are otherwise affected or concerned with the public interest and the general well-being of this Commonwealth</w:t>
      </w:r>
      <w:r>
        <w:rPr>
          <w:color w:val="000000"/>
          <w:spacing w:val="-1"/>
          <w:sz w:val="26"/>
          <w:szCs w:val="26"/>
        </w:rPr>
        <w:t>[</w:t>
      </w:r>
      <w:r w:rsidRPr="00D34351">
        <w:rPr>
          <w:color w:val="000000"/>
          <w:spacing w:val="-1"/>
          <w:sz w:val="26"/>
          <w:szCs w:val="26"/>
        </w:rPr>
        <w:t>.</w:t>
      </w:r>
      <w:r>
        <w:rPr>
          <w:color w:val="000000"/>
          <w:spacing w:val="-1"/>
          <w:sz w:val="26"/>
          <w:szCs w:val="26"/>
        </w:rPr>
        <w:t>]</w:t>
      </w:r>
      <w:r w:rsidRPr="00D34351">
        <w:rPr>
          <w:color w:val="000000"/>
          <w:spacing w:val="-1"/>
          <w:sz w:val="26"/>
          <w:szCs w:val="26"/>
        </w:rPr>
        <w:t xml:space="preserve"> </w:t>
      </w:r>
    </w:p>
    <w:p w14:paraId="08C1DA27" w14:textId="77777777" w:rsidR="00A927B4" w:rsidRPr="00D34351" w:rsidRDefault="00A927B4" w:rsidP="008006E6">
      <w:pPr>
        <w:ind w:left="1440" w:right="1440"/>
        <w:textAlignment w:val="baseline"/>
        <w:rPr>
          <w:color w:val="000000"/>
          <w:spacing w:val="-1"/>
          <w:sz w:val="26"/>
          <w:szCs w:val="26"/>
        </w:rPr>
      </w:pPr>
    </w:p>
    <w:p w14:paraId="580E7911" w14:textId="3A2740AB" w:rsidR="00A927B4" w:rsidRPr="008006E6" w:rsidRDefault="00A927B4" w:rsidP="008006E6">
      <w:pPr>
        <w:ind w:right="1440"/>
        <w:textAlignment w:val="baseline"/>
        <w:rPr>
          <w:color w:val="000000"/>
          <w:spacing w:val="-1"/>
          <w:sz w:val="26"/>
          <w:szCs w:val="26"/>
        </w:rPr>
      </w:pPr>
      <w:r w:rsidRPr="00D34351">
        <w:rPr>
          <w:color w:val="000000"/>
          <w:spacing w:val="-1"/>
          <w:sz w:val="26"/>
          <w:szCs w:val="26"/>
        </w:rPr>
        <w:t>66 Pa. C.S. § 508</w:t>
      </w:r>
      <w:r w:rsidRPr="008006E6">
        <w:rPr>
          <w:color w:val="000000"/>
          <w:spacing w:val="-1"/>
          <w:sz w:val="26"/>
          <w:szCs w:val="26"/>
        </w:rPr>
        <w:t>.</w:t>
      </w:r>
      <w:r>
        <w:rPr>
          <w:color w:val="000000"/>
          <w:spacing w:val="-1"/>
          <w:sz w:val="26"/>
          <w:szCs w:val="26"/>
        </w:rPr>
        <w:t xml:space="preserve">  </w:t>
      </w:r>
    </w:p>
  </w:footnote>
  <w:footnote w:id="42">
    <w:p w14:paraId="3E475F23" w14:textId="77777777" w:rsidR="00A927B4" w:rsidRPr="00FC6BE1" w:rsidRDefault="00A927B4" w:rsidP="00B57D93">
      <w:pPr>
        <w:pStyle w:val="FootnoteText"/>
        <w:ind w:firstLine="720"/>
        <w:rPr>
          <w:sz w:val="26"/>
          <w:szCs w:val="26"/>
        </w:rPr>
      </w:pPr>
      <w:r w:rsidRPr="00D34351">
        <w:rPr>
          <w:rStyle w:val="FootnoteReference"/>
          <w:sz w:val="26"/>
          <w:szCs w:val="26"/>
        </w:rPr>
        <w:footnoteRef/>
      </w:r>
      <w:r w:rsidRPr="00D34351">
        <w:rPr>
          <w:sz w:val="26"/>
          <w:szCs w:val="26"/>
        </w:rPr>
        <w:t xml:space="preserve"> </w:t>
      </w:r>
      <w:r w:rsidRPr="00D34351">
        <w:rPr>
          <w:sz w:val="26"/>
          <w:szCs w:val="26"/>
        </w:rPr>
        <w:tab/>
        <w:t>The revenue impact on both Verizon and FirstEnergy is proprietary and is discussed elsewhere in this Opinion and Order.  It is worth noting, however, that the FCC has indicated that pole attachments are a major impediment to deploying advanced networks that can provide broadband service.  We would hope that providers who benefit considerably from any pole attachment rate reductions commit a portion of those savings to making broadband available and affordable in Pennsylvania</w:t>
      </w:r>
      <w:r w:rsidRPr="008006E6">
        <w:rPr>
          <w:sz w:val="26"/>
          <w:szCs w:val="26"/>
        </w:rPr>
        <w:t>.</w:t>
      </w:r>
      <w:r w:rsidRPr="00FC6BE1">
        <w:rPr>
          <w:sz w:val="26"/>
          <w:szCs w:val="26"/>
        </w:rPr>
        <w:t xml:space="preserve">  </w:t>
      </w:r>
    </w:p>
  </w:footnote>
  <w:footnote w:id="43">
    <w:p w14:paraId="1729B701" w14:textId="31BE51D4" w:rsidR="00A927B4" w:rsidRPr="008006E6" w:rsidRDefault="00A927B4" w:rsidP="008006E6">
      <w:pPr>
        <w:pStyle w:val="FootnoteText"/>
        <w:keepNext/>
        <w:keepLines/>
        <w:ind w:firstLine="720"/>
        <w:rPr>
          <w:sz w:val="26"/>
          <w:szCs w:val="26"/>
        </w:rPr>
      </w:pPr>
      <w:r w:rsidRPr="00D34351">
        <w:rPr>
          <w:rStyle w:val="FootnoteReference"/>
          <w:sz w:val="26"/>
          <w:szCs w:val="26"/>
        </w:rPr>
        <w:footnoteRef/>
      </w:r>
      <w:r w:rsidRPr="00D34351">
        <w:rPr>
          <w:sz w:val="26"/>
          <w:szCs w:val="26"/>
        </w:rPr>
        <w:t xml:space="preserve"> </w:t>
      </w:r>
      <w:r w:rsidRPr="00D34351">
        <w:rPr>
          <w:sz w:val="26"/>
          <w:szCs w:val="26"/>
        </w:rPr>
        <w:tab/>
        <w:t>Under the Commission’s pole attachment regulations, refunds are “normally the difference between the amount paid under the unjust and/or unreasonable rate … and the amount that would have been paid under the rate … established by the Commission, plus interest …”  52 Pa. Code § 77.4(a) (incorporating 47 C.F.R. §</w:t>
      </w:r>
      <w:r>
        <w:rPr>
          <w:sz w:val="26"/>
          <w:szCs w:val="26"/>
        </w:rPr>
        <w:t> </w:t>
      </w:r>
      <w:r w:rsidRPr="00D34351">
        <w:rPr>
          <w:sz w:val="26"/>
          <w:szCs w:val="26"/>
        </w:rPr>
        <w:t>1.1407(a)(3)).  Under Section 1312 of the Public Utility Code, the interest rate to be used with a refund is the legal rate.  As with the effective date of the new rates, the effective date for the interest calculation arising from this dispute is November 20, 2019</w:t>
      </w:r>
      <w:r w:rsidRPr="008006E6">
        <w:rPr>
          <w:sz w:val="26"/>
          <w:szCs w:val="26"/>
        </w:rPr>
        <w:t>.</w:t>
      </w:r>
      <w:r w:rsidRPr="00F653F8">
        <w:rPr>
          <w:sz w:val="26"/>
          <w:szCs w:val="26"/>
        </w:rPr>
        <w:t xml:space="preserve">  </w:t>
      </w:r>
    </w:p>
  </w:footnote>
  <w:footnote w:id="44">
    <w:p w14:paraId="630B6024" w14:textId="44180A7F" w:rsidR="00A927B4" w:rsidRPr="00915508" w:rsidRDefault="00A927B4" w:rsidP="00955F50">
      <w:pPr>
        <w:pStyle w:val="FootnoteText"/>
        <w:keepNext/>
        <w:keepLines/>
        <w:ind w:firstLine="720"/>
        <w:rPr>
          <w:sz w:val="26"/>
          <w:szCs w:val="26"/>
        </w:rPr>
      </w:pPr>
      <w:r w:rsidRPr="00915508">
        <w:rPr>
          <w:rStyle w:val="FootnoteReference"/>
          <w:sz w:val="26"/>
          <w:szCs w:val="26"/>
        </w:rPr>
        <w:footnoteRef/>
      </w:r>
      <w:r w:rsidRPr="00915508">
        <w:rPr>
          <w:sz w:val="26"/>
          <w:szCs w:val="26"/>
        </w:rPr>
        <w:t xml:space="preserve"> </w:t>
      </w:r>
      <w:r>
        <w:rPr>
          <w:sz w:val="26"/>
          <w:szCs w:val="26"/>
        </w:rPr>
        <w:tab/>
        <w:t xml:space="preserve">Specifically, </w:t>
      </w:r>
      <w:r w:rsidRPr="00915508">
        <w:rPr>
          <w:sz w:val="26"/>
          <w:szCs w:val="26"/>
        </w:rPr>
        <w:t>FirstEnergy asserts that it presented actual data regarding the calculation of the “space factor” (</w:t>
      </w:r>
      <w:r w:rsidRPr="00915508">
        <w:rPr>
          <w:i/>
          <w:iCs/>
          <w:sz w:val="26"/>
          <w:szCs w:val="26"/>
        </w:rPr>
        <w:t>i.e</w:t>
      </w:r>
      <w:r w:rsidRPr="00915508">
        <w:rPr>
          <w:sz w:val="26"/>
          <w:szCs w:val="26"/>
        </w:rPr>
        <w:t>., (1) the space occupied by an attachment: (2) the amount of usable space on a pole; (3) the amount of unusable space on a pole is presumed to be 24 feet; and (4) the pole height) and the number of attaching entities to FirstEnergy’s poles.</w:t>
      </w:r>
      <w:r>
        <w:rPr>
          <w:sz w:val="26"/>
          <w:szCs w:val="26"/>
        </w:rPr>
        <w:t xml:space="preserve">  FirstEnergy Exc. at 32; FirstEnergy R. Exc. at 12.  </w:t>
      </w:r>
    </w:p>
  </w:footnote>
  <w:footnote w:id="45">
    <w:p w14:paraId="220DD9CE" w14:textId="0EC483EC" w:rsidR="00A927B4" w:rsidRPr="0090060E" w:rsidRDefault="00A927B4" w:rsidP="007D50B6">
      <w:pPr>
        <w:pStyle w:val="FootnoteText"/>
        <w:keepNext/>
        <w:keepLines/>
        <w:ind w:firstLine="720"/>
        <w:rPr>
          <w:sz w:val="26"/>
          <w:szCs w:val="26"/>
        </w:rPr>
      </w:pPr>
      <w:r w:rsidRPr="0090060E">
        <w:rPr>
          <w:rStyle w:val="FootnoteReference"/>
          <w:sz w:val="26"/>
          <w:szCs w:val="26"/>
        </w:rPr>
        <w:footnoteRef/>
      </w:r>
      <w:r w:rsidRPr="0090060E">
        <w:rPr>
          <w:sz w:val="26"/>
          <w:szCs w:val="26"/>
        </w:rPr>
        <w:t xml:space="preserve"> </w:t>
      </w:r>
      <w:r w:rsidRPr="0090060E">
        <w:rPr>
          <w:sz w:val="26"/>
          <w:szCs w:val="26"/>
        </w:rPr>
        <w:tab/>
        <w:t xml:space="preserve">In 2018, the FCC applied the new telecom rate presumption to “existing joint use agreements” regardless of whether or not they were “negotiated at a time of more equal bargaining power between the parties.”  </w:t>
      </w:r>
      <w:r w:rsidRPr="009E0836">
        <w:rPr>
          <w:i/>
          <w:iCs/>
          <w:sz w:val="26"/>
          <w:szCs w:val="26"/>
        </w:rPr>
        <w:t>2018 Pole Attachment Order</w:t>
      </w:r>
      <w:r w:rsidRPr="0090060E">
        <w:rPr>
          <w:sz w:val="26"/>
          <w:szCs w:val="26"/>
        </w:rPr>
        <w:t>, 33</w:t>
      </w:r>
      <w:r>
        <w:rPr>
          <w:sz w:val="26"/>
          <w:szCs w:val="26"/>
        </w:rPr>
        <w:t> </w:t>
      </w:r>
      <w:r w:rsidRPr="0090060E">
        <w:rPr>
          <w:sz w:val="26"/>
          <w:szCs w:val="26"/>
        </w:rPr>
        <w:t xml:space="preserve">FCC Rcd at 7770, </w:t>
      </w:r>
      <w:r>
        <w:rPr>
          <w:sz w:val="26"/>
          <w:szCs w:val="26"/>
        </w:rPr>
        <w:t>para.</w:t>
      </w:r>
      <w:r w:rsidRPr="0090060E">
        <w:rPr>
          <w:sz w:val="26"/>
          <w:szCs w:val="26"/>
        </w:rPr>
        <w:t xml:space="preserve"> 127.</w:t>
      </w:r>
    </w:p>
  </w:footnote>
  <w:footnote w:id="46">
    <w:p w14:paraId="01E9BDD4" w14:textId="09776142" w:rsidR="00A927B4" w:rsidRPr="002425DA" w:rsidRDefault="00A927B4" w:rsidP="003A78C5">
      <w:pPr>
        <w:pStyle w:val="FootnoteText"/>
        <w:keepNext/>
        <w:keepLines/>
        <w:spacing w:after="120"/>
        <w:ind w:firstLine="720"/>
        <w:rPr>
          <w:sz w:val="26"/>
          <w:szCs w:val="26"/>
        </w:rPr>
      </w:pPr>
      <w:r w:rsidRPr="007F4926">
        <w:rPr>
          <w:rStyle w:val="FootnoteReference"/>
          <w:sz w:val="26"/>
          <w:szCs w:val="26"/>
        </w:rPr>
        <w:footnoteRef/>
      </w:r>
      <w:r w:rsidRPr="007F4926">
        <w:rPr>
          <w:sz w:val="26"/>
          <w:szCs w:val="26"/>
        </w:rPr>
        <w:t xml:space="preserve"> </w:t>
      </w:r>
      <w:r>
        <w:rPr>
          <w:sz w:val="26"/>
          <w:szCs w:val="26"/>
        </w:rPr>
        <w:tab/>
      </w:r>
      <w:r w:rsidRPr="007F4926">
        <w:rPr>
          <w:sz w:val="26"/>
          <w:szCs w:val="26"/>
        </w:rPr>
        <w:t>In 2011, the FCC recognized that ILECs “often may not be in an equivalent bargaining position with electric utilities in pole attachment negotiations” because “electric utilities appear</w:t>
      </w:r>
      <w:r w:rsidRPr="002425DA">
        <w:rPr>
          <w:sz w:val="26"/>
          <w:szCs w:val="26"/>
        </w:rPr>
        <w:t xml:space="preserve"> to own approximately 65-70 percent of poles.”  Verizon Exc. at</w:t>
      </w:r>
      <w:r>
        <w:rPr>
          <w:sz w:val="26"/>
          <w:szCs w:val="26"/>
        </w:rPr>
        <w:t> </w:t>
      </w:r>
      <w:r w:rsidRPr="002425DA">
        <w:rPr>
          <w:sz w:val="26"/>
          <w:szCs w:val="26"/>
        </w:rPr>
        <w:t xml:space="preserve">15 (citing </w:t>
      </w:r>
      <w:r w:rsidRPr="002425DA">
        <w:rPr>
          <w:i/>
          <w:iCs/>
          <w:sz w:val="26"/>
          <w:szCs w:val="26"/>
        </w:rPr>
        <w:t>2011 Pole Attachment Order</w:t>
      </w:r>
      <w:r w:rsidRPr="002425DA">
        <w:rPr>
          <w:sz w:val="26"/>
          <w:szCs w:val="26"/>
        </w:rPr>
        <w:t xml:space="preserve">, 26 FCC Rcd at 5329, </w:t>
      </w:r>
      <w:r>
        <w:rPr>
          <w:sz w:val="26"/>
          <w:szCs w:val="26"/>
        </w:rPr>
        <w:t>para.</w:t>
      </w:r>
      <w:r w:rsidRPr="002425DA">
        <w:rPr>
          <w:sz w:val="26"/>
          <w:szCs w:val="26"/>
        </w:rPr>
        <w:t xml:space="preserve"> 206</w:t>
      </w:r>
      <w:r>
        <w:rPr>
          <w:sz w:val="26"/>
          <w:szCs w:val="26"/>
        </w:rPr>
        <w:t xml:space="preserve">). </w:t>
      </w:r>
    </w:p>
  </w:footnote>
  <w:footnote w:id="47">
    <w:p w14:paraId="4EAE4933" w14:textId="28273EF0" w:rsidR="00A927B4" w:rsidRPr="003D1D10" w:rsidRDefault="00A927B4" w:rsidP="007D50B6">
      <w:pPr>
        <w:pStyle w:val="FootnoteText"/>
        <w:keepNext/>
        <w:keepLines/>
        <w:ind w:firstLine="720"/>
      </w:pPr>
      <w:r w:rsidRPr="002425DA">
        <w:rPr>
          <w:rStyle w:val="FootnoteReference"/>
          <w:sz w:val="26"/>
          <w:szCs w:val="26"/>
        </w:rPr>
        <w:footnoteRef/>
      </w:r>
      <w:r w:rsidRPr="002425DA">
        <w:rPr>
          <w:sz w:val="26"/>
          <w:szCs w:val="26"/>
        </w:rPr>
        <w:t xml:space="preserve"> </w:t>
      </w:r>
      <w:r>
        <w:rPr>
          <w:sz w:val="26"/>
          <w:szCs w:val="26"/>
        </w:rPr>
        <w:tab/>
      </w:r>
      <w:r w:rsidRPr="002425DA">
        <w:rPr>
          <w:sz w:val="26"/>
          <w:szCs w:val="26"/>
        </w:rPr>
        <w:t xml:space="preserve">Since 2011, the FCC found ILECs entitled to rate reductions where the electric utilities owned about 65 percent of the shared utility poles – for a “nearly two-to-one pole ownership advantage.”  Verizon Exc. at 15 (citing </w:t>
      </w:r>
      <w:r w:rsidRPr="002425DA">
        <w:rPr>
          <w:i/>
          <w:iCs/>
          <w:sz w:val="26"/>
          <w:szCs w:val="26"/>
        </w:rPr>
        <w:t>Dominion Order</w:t>
      </w:r>
      <w:r w:rsidRPr="002425DA">
        <w:rPr>
          <w:sz w:val="26"/>
          <w:szCs w:val="26"/>
        </w:rPr>
        <w:t xml:space="preserve">, 32 FCC Rcd at 3756-57, </w:t>
      </w:r>
      <w:r>
        <w:rPr>
          <w:sz w:val="26"/>
          <w:szCs w:val="26"/>
        </w:rPr>
        <w:t>para.</w:t>
      </w:r>
      <w:r w:rsidRPr="002425DA">
        <w:rPr>
          <w:sz w:val="26"/>
          <w:szCs w:val="26"/>
        </w:rPr>
        <w:t xml:space="preserve"> 13</w:t>
      </w:r>
      <w:r>
        <w:rPr>
          <w:sz w:val="26"/>
          <w:szCs w:val="26"/>
        </w:rPr>
        <w:t xml:space="preserve"> (electric utility owned 65%); </w:t>
      </w:r>
      <w:r w:rsidRPr="002425DA">
        <w:rPr>
          <w:i/>
          <w:iCs/>
          <w:sz w:val="26"/>
          <w:szCs w:val="26"/>
        </w:rPr>
        <w:t>FPL 2020 Order</w:t>
      </w:r>
      <w:r>
        <w:rPr>
          <w:sz w:val="26"/>
          <w:szCs w:val="26"/>
        </w:rPr>
        <w:t xml:space="preserve"> at *8, para. 16 (electric utility owned 66%)).</w:t>
      </w:r>
    </w:p>
  </w:footnote>
  <w:footnote w:id="48">
    <w:p w14:paraId="7F90B1B8" w14:textId="0090EB8A" w:rsidR="00A927B4" w:rsidRPr="004E45FC" w:rsidRDefault="00A927B4" w:rsidP="003A78C5">
      <w:pPr>
        <w:pStyle w:val="FootnoteText"/>
        <w:keepNext/>
        <w:keepLines/>
        <w:spacing w:after="120"/>
        <w:ind w:firstLine="720"/>
        <w:rPr>
          <w:sz w:val="26"/>
          <w:szCs w:val="26"/>
        </w:rPr>
      </w:pPr>
      <w:r w:rsidRPr="004E45FC">
        <w:rPr>
          <w:rStyle w:val="FootnoteReference"/>
          <w:sz w:val="26"/>
          <w:szCs w:val="26"/>
        </w:rPr>
        <w:footnoteRef/>
      </w:r>
      <w:r w:rsidRPr="004E45FC">
        <w:rPr>
          <w:sz w:val="26"/>
          <w:szCs w:val="26"/>
        </w:rPr>
        <w:t xml:space="preserve"> </w:t>
      </w:r>
      <w:r>
        <w:rPr>
          <w:sz w:val="26"/>
          <w:szCs w:val="26"/>
        </w:rPr>
        <w:tab/>
      </w:r>
      <w:r w:rsidRPr="004E45FC">
        <w:rPr>
          <w:sz w:val="26"/>
          <w:szCs w:val="26"/>
        </w:rPr>
        <w:t>Verizon argued</w:t>
      </w:r>
      <w:r>
        <w:rPr>
          <w:sz w:val="26"/>
          <w:szCs w:val="26"/>
        </w:rPr>
        <w:t>, and FirstEnergy admitted in its Answer,</w:t>
      </w:r>
      <w:r w:rsidRPr="004E45FC">
        <w:rPr>
          <w:sz w:val="26"/>
          <w:szCs w:val="26"/>
        </w:rPr>
        <w:t xml:space="preserve"> that</w:t>
      </w:r>
      <w:r>
        <w:rPr>
          <w:sz w:val="26"/>
          <w:szCs w:val="26"/>
        </w:rPr>
        <w:t xml:space="preserve"> Verizon</w:t>
      </w:r>
      <w:r w:rsidRPr="004E45FC">
        <w:rPr>
          <w:sz w:val="26"/>
          <w:szCs w:val="26"/>
        </w:rPr>
        <w:t xml:space="preserve"> repeatedly asked FirstEnergy to negotiate within the range of rates “ between the new telecom rate and the old [or pre-existing] telecom rate” and asked FirstEnergy for copies of its license agreements to see whether their terms and conditions justify a rate higher than the new telecom rate.  Verizon R.B. at 29 (citing FirstEnergy Answer to Complaint at ¶ 14</w:t>
      </w:r>
      <w:r>
        <w:rPr>
          <w:sz w:val="26"/>
          <w:szCs w:val="26"/>
        </w:rPr>
        <w:t>; Verizon St. No. 1, Exh. SCM-1 at VZ0016-17; Verizon St. No. 1.1 at 41-42; Verizon Exh. SCM-5 at VZ00593, VZ00692</w:t>
      </w:r>
      <w:r w:rsidRPr="004E45FC">
        <w:rPr>
          <w:sz w:val="26"/>
          <w:szCs w:val="2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15BC"/>
    <w:multiLevelType w:val="hybridMultilevel"/>
    <w:tmpl w:val="1688CD50"/>
    <w:lvl w:ilvl="0" w:tplc="EDEADAC8">
      <w:start w:val="1"/>
      <w:numFmt w:val="lowerLetter"/>
      <w:pStyle w:val="Heading4"/>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E6157"/>
    <w:multiLevelType w:val="hybridMultilevel"/>
    <w:tmpl w:val="770EDC3E"/>
    <w:lvl w:ilvl="0" w:tplc="D76CD9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84515B"/>
    <w:multiLevelType w:val="hybridMultilevel"/>
    <w:tmpl w:val="8850F3B8"/>
    <w:lvl w:ilvl="0" w:tplc="D76CD9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A2587B"/>
    <w:multiLevelType w:val="multilevel"/>
    <w:tmpl w:val="7E2CEC80"/>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5C6972"/>
    <w:multiLevelType w:val="hybridMultilevel"/>
    <w:tmpl w:val="0366B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04359"/>
    <w:multiLevelType w:val="hybridMultilevel"/>
    <w:tmpl w:val="D402DE8A"/>
    <w:lvl w:ilvl="0" w:tplc="0248043C">
      <w:start w:val="1"/>
      <w:numFmt w:val="lowerRoman"/>
      <w:lvlText w:val="%1."/>
      <w:lvlJc w:val="left"/>
      <w:pPr>
        <w:ind w:left="48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004D5"/>
    <w:multiLevelType w:val="hybridMultilevel"/>
    <w:tmpl w:val="09E4CA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42332"/>
    <w:multiLevelType w:val="hybridMultilevel"/>
    <w:tmpl w:val="323A3710"/>
    <w:lvl w:ilvl="0" w:tplc="431618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4004128"/>
    <w:multiLevelType w:val="hybridMultilevel"/>
    <w:tmpl w:val="C1929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543924"/>
    <w:multiLevelType w:val="hybridMultilevel"/>
    <w:tmpl w:val="F9F86166"/>
    <w:lvl w:ilvl="0" w:tplc="4886AB04">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BDD8B62"/>
    <w:multiLevelType w:val="hybridMultilevel"/>
    <w:tmpl w:val="80A0712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6AA34ED"/>
    <w:multiLevelType w:val="hybridMultilevel"/>
    <w:tmpl w:val="A6164A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CF33D50"/>
    <w:multiLevelType w:val="hybridMultilevel"/>
    <w:tmpl w:val="B82E3BC4"/>
    <w:lvl w:ilvl="0" w:tplc="CFF6888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D30759D"/>
    <w:multiLevelType w:val="hybridMultilevel"/>
    <w:tmpl w:val="770EDC3E"/>
    <w:lvl w:ilvl="0" w:tplc="D76CD9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11949DE"/>
    <w:multiLevelType w:val="hybridMultilevel"/>
    <w:tmpl w:val="323A3710"/>
    <w:lvl w:ilvl="0" w:tplc="431618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09257AE"/>
    <w:multiLevelType w:val="multilevel"/>
    <w:tmpl w:val="E14806E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B649A2"/>
    <w:multiLevelType w:val="hybridMultilevel"/>
    <w:tmpl w:val="BF189250"/>
    <w:lvl w:ilvl="0" w:tplc="72A80852">
      <w:start w:val="1"/>
      <w:numFmt w:val="upperRoman"/>
      <w:pStyle w:val="Heading1"/>
      <w:lvlText w:val="%1."/>
      <w:lvlJc w:val="left"/>
      <w:pPr>
        <w:ind w:left="1080" w:hanging="720"/>
      </w:pPr>
      <w:rPr>
        <w:rFonts w:hint="default"/>
      </w:rPr>
    </w:lvl>
    <w:lvl w:ilvl="1" w:tplc="04090019">
      <w:start w:val="1"/>
      <w:numFmt w:val="lowerLetter"/>
      <w:lvlText w:val="%2."/>
      <w:lvlJc w:val="left"/>
      <w:pPr>
        <w:ind w:left="1440" w:hanging="360"/>
      </w:pPr>
    </w:lvl>
    <w:lvl w:ilvl="2" w:tplc="6204AD50">
      <w:start w:val="1"/>
      <w:numFmt w:val="upperLetter"/>
      <w:lvlText w:val="%3."/>
      <w:lvlJc w:val="left"/>
      <w:pPr>
        <w:ind w:left="2700" w:hanging="720"/>
      </w:pPr>
      <w:rPr>
        <w:rFonts w:hint="default"/>
      </w:rPr>
    </w:lvl>
    <w:lvl w:ilvl="3" w:tplc="D638DEA0">
      <w:start w:val="1"/>
      <w:numFmt w:val="decimal"/>
      <w:lvlText w:val="%4."/>
      <w:lvlJc w:val="left"/>
      <w:pPr>
        <w:ind w:left="2880" w:hanging="360"/>
      </w:pPr>
      <w:rPr>
        <w:rFonts w:hint="default"/>
      </w:rPr>
    </w:lvl>
    <w:lvl w:ilvl="4" w:tplc="2C369A42">
      <w:start w:val="1"/>
      <w:numFmt w:val="decimal"/>
      <w:lvlText w:val="(%5)"/>
      <w:lvlJc w:val="left"/>
      <w:pPr>
        <w:ind w:left="3600" w:hanging="360"/>
      </w:pPr>
      <w:rPr>
        <w:rFonts w:hint="default"/>
      </w:rPr>
    </w:lvl>
    <w:lvl w:ilvl="5" w:tplc="0248043C">
      <w:start w:val="1"/>
      <w:numFmt w:val="lowerRoman"/>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A150AF"/>
    <w:multiLevelType w:val="hybridMultilevel"/>
    <w:tmpl w:val="648A6644"/>
    <w:lvl w:ilvl="0" w:tplc="CFF6888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7AC108B2"/>
    <w:multiLevelType w:val="hybridMultilevel"/>
    <w:tmpl w:val="785E4332"/>
    <w:lvl w:ilvl="0" w:tplc="5C4C53E0">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9B3919"/>
    <w:multiLevelType w:val="hybridMultilevel"/>
    <w:tmpl w:val="2FC024CE"/>
    <w:lvl w:ilvl="0" w:tplc="62524CB2">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8"/>
  </w:num>
  <w:num w:numId="4">
    <w:abstractNumId w:val="19"/>
  </w:num>
  <w:num w:numId="5">
    <w:abstractNumId w:val="6"/>
  </w:num>
  <w:num w:numId="6">
    <w:abstractNumId w:val="4"/>
  </w:num>
  <w:num w:numId="7">
    <w:abstractNumId w:val="9"/>
  </w:num>
  <w:num w:numId="8">
    <w:abstractNumId w:val="11"/>
  </w:num>
  <w:num w:numId="9">
    <w:abstractNumId w:val="12"/>
  </w:num>
  <w:num w:numId="10">
    <w:abstractNumId w:val="17"/>
  </w:num>
  <w:num w:numId="11">
    <w:abstractNumId w:val="13"/>
  </w:num>
  <w:num w:numId="12">
    <w:abstractNumId w:val="1"/>
  </w:num>
  <w:num w:numId="13">
    <w:abstractNumId w:val="2"/>
  </w:num>
  <w:num w:numId="14">
    <w:abstractNumId w:val="5"/>
  </w:num>
  <w:num w:numId="15">
    <w:abstractNumId w:val="18"/>
    <w:lvlOverride w:ilvl="0">
      <w:startOverride w:val="1"/>
    </w:lvlOverride>
  </w:num>
  <w:num w:numId="16">
    <w:abstractNumId w:val="19"/>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18"/>
    <w:lvlOverride w:ilvl="0">
      <w:startOverride w:val="1"/>
    </w:lvlOverride>
  </w:num>
  <w:num w:numId="21">
    <w:abstractNumId w:val="19"/>
    <w:lvlOverride w:ilvl="0">
      <w:startOverride w:val="1"/>
    </w:lvlOverride>
  </w:num>
  <w:num w:numId="22">
    <w:abstractNumId w:val="19"/>
    <w:lvlOverride w:ilvl="0">
      <w:startOverride w:val="1"/>
    </w:lvlOverride>
  </w:num>
  <w:num w:numId="23">
    <w:abstractNumId w:val="19"/>
    <w:lvlOverride w:ilvl="0">
      <w:startOverride w:val="1"/>
    </w:lvlOverride>
  </w:num>
  <w:num w:numId="24">
    <w:abstractNumId w:val="19"/>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15"/>
  </w:num>
  <w:num w:numId="29">
    <w:abstractNumId w:val="7"/>
  </w:num>
  <w:num w:numId="30">
    <w:abstractNumId w:val="14"/>
  </w:num>
  <w:num w:numId="31">
    <w:abstractNumId w:val="10"/>
  </w:num>
  <w:num w:numId="32">
    <w:abstractNumId w:val="0"/>
    <w:lvlOverride w:ilvl="0">
      <w:startOverride w:val="1"/>
    </w:lvlOverride>
  </w:num>
  <w:num w:numId="33">
    <w:abstractNumId w:val="18"/>
    <w:lvlOverride w:ilvl="0">
      <w:startOverride w:val="1"/>
    </w:lvlOverride>
  </w:num>
  <w:num w:numId="34">
    <w:abstractNumId w:val="8"/>
  </w:num>
  <w:num w:numId="35">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0"/>
    <w:rsid w:val="00000173"/>
    <w:rsid w:val="0000029F"/>
    <w:rsid w:val="00000A0E"/>
    <w:rsid w:val="00000D65"/>
    <w:rsid w:val="00000DED"/>
    <w:rsid w:val="00001381"/>
    <w:rsid w:val="000013FD"/>
    <w:rsid w:val="000022C2"/>
    <w:rsid w:val="00002348"/>
    <w:rsid w:val="00002767"/>
    <w:rsid w:val="00002CE4"/>
    <w:rsid w:val="00002F2A"/>
    <w:rsid w:val="00002F49"/>
    <w:rsid w:val="00003488"/>
    <w:rsid w:val="000038D3"/>
    <w:rsid w:val="00003F5B"/>
    <w:rsid w:val="0000415E"/>
    <w:rsid w:val="0000477B"/>
    <w:rsid w:val="000049CD"/>
    <w:rsid w:val="00004BC1"/>
    <w:rsid w:val="00005114"/>
    <w:rsid w:val="00005B5F"/>
    <w:rsid w:val="00005C13"/>
    <w:rsid w:val="00005EE1"/>
    <w:rsid w:val="00005F5C"/>
    <w:rsid w:val="00005F78"/>
    <w:rsid w:val="000065F7"/>
    <w:rsid w:val="00007209"/>
    <w:rsid w:val="00007440"/>
    <w:rsid w:val="000074DC"/>
    <w:rsid w:val="00007597"/>
    <w:rsid w:val="00007888"/>
    <w:rsid w:val="0001099D"/>
    <w:rsid w:val="00011506"/>
    <w:rsid w:val="000116F1"/>
    <w:rsid w:val="00011A26"/>
    <w:rsid w:val="00011AB7"/>
    <w:rsid w:val="000123F2"/>
    <w:rsid w:val="00012A0E"/>
    <w:rsid w:val="00012D0C"/>
    <w:rsid w:val="00013432"/>
    <w:rsid w:val="000138C9"/>
    <w:rsid w:val="00013978"/>
    <w:rsid w:val="00013FDE"/>
    <w:rsid w:val="00014DF9"/>
    <w:rsid w:val="00015450"/>
    <w:rsid w:val="000158F2"/>
    <w:rsid w:val="00015A01"/>
    <w:rsid w:val="00015C97"/>
    <w:rsid w:val="000166C6"/>
    <w:rsid w:val="00016C3F"/>
    <w:rsid w:val="0001721D"/>
    <w:rsid w:val="000175FD"/>
    <w:rsid w:val="000176AA"/>
    <w:rsid w:val="00017E03"/>
    <w:rsid w:val="000200CE"/>
    <w:rsid w:val="0002018C"/>
    <w:rsid w:val="000201C0"/>
    <w:rsid w:val="00020552"/>
    <w:rsid w:val="000207D4"/>
    <w:rsid w:val="00020C3A"/>
    <w:rsid w:val="00020E43"/>
    <w:rsid w:val="00022848"/>
    <w:rsid w:val="00022D45"/>
    <w:rsid w:val="00023536"/>
    <w:rsid w:val="0002355F"/>
    <w:rsid w:val="000249A1"/>
    <w:rsid w:val="00024EE8"/>
    <w:rsid w:val="00025268"/>
    <w:rsid w:val="0002554A"/>
    <w:rsid w:val="00025A99"/>
    <w:rsid w:val="00026BA0"/>
    <w:rsid w:val="00026F9D"/>
    <w:rsid w:val="00027780"/>
    <w:rsid w:val="00027EE4"/>
    <w:rsid w:val="000302BD"/>
    <w:rsid w:val="00030CE7"/>
    <w:rsid w:val="000310BE"/>
    <w:rsid w:val="00031608"/>
    <w:rsid w:val="0003191B"/>
    <w:rsid w:val="00031D94"/>
    <w:rsid w:val="00031DDC"/>
    <w:rsid w:val="00032281"/>
    <w:rsid w:val="000323A8"/>
    <w:rsid w:val="000327E4"/>
    <w:rsid w:val="00033C9A"/>
    <w:rsid w:val="00033D0B"/>
    <w:rsid w:val="00033D4C"/>
    <w:rsid w:val="00033E12"/>
    <w:rsid w:val="000341DE"/>
    <w:rsid w:val="00034CD7"/>
    <w:rsid w:val="00035DDE"/>
    <w:rsid w:val="000366D7"/>
    <w:rsid w:val="00036927"/>
    <w:rsid w:val="000369A4"/>
    <w:rsid w:val="000369A9"/>
    <w:rsid w:val="000378E3"/>
    <w:rsid w:val="00040396"/>
    <w:rsid w:val="000404F6"/>
    <w:rsid w:val="00040AE2"/>
    <w:rsid w:val="00040D36"/>
    <w:rsid w:val="00040FFD"/>
    <w:rsid w:val="000412FD"/>
    <w:rsid w:val="0004176B"/>
    <w:rsid w:val="00041ED1"/>
    <w:rsid w:val="00042338"/>
    <w:rsid w:val="00043182"/>
    <w:rsid w:val="000431F6"/>
    <w:rsid w:val="000438A2"/>
    <w:rsid w:val="00043960"/>
    <w:rsid w:val="00044227"/>
    <w:rsid w:val="00044430"/>
    <w:rsid w:val="00045576"/>
    <w:rsid w:val="0004587B"/>
    <w:rsid w:val="00045A7A"/>
    <w:rsid w:val="0004698C"/>
    <w:rsid w:val="00046D51"/>
    <w:rsid w:val="000477B8"/>
    <w:rsid w:val="000500B7"/>
    <w:rsid w:val="00050115"/>
    <w:rsid w:val="00050154"/>
    <w:rsid w:val="000503FD"/>
    <w:rsid w:val="000505E5"/>
    <w:rsid w:val="00050B87"/>
    <w:rsid w:val="00050CDC"/>
    <w:rsid w:val="00051647"/>
    <w:rsid w:val="0005164D"/>
    <w:rsid w:val="0005247F"/>
    <w:rsid w:val="0005317E"/>
    <w:rsid w:val="00053709"/>
    <w:rsid w:val="00053825"/>
    <w:rsid w:val="00053855"/>
    <w:rsid w:val="00053CED"/>
    <w:rsid w:val="00053E7E"/>
    <w:rsid w:val="000549A7"/>
    <w:rsid w:val="00054B5D"/>
    <w:rsid w:val="000555EA"/>
    <w:rsid w:val="00055E52"/>
    <w:rsid w:val="0005600A"/>
    <w:rsid w:val="0005602A"/>
    <w:rsid w:val="00056968"/>
    <w:rsid w:val="00056FFB"/>
    <w:rsid w:val="00057057"/>
    <w:rsid w:val="0005711A"/>
    <w:rsid w:val="00057409"/>
    <w:rsid w:val="00057482"/>
    <w:rsid w:val="00057859"/>
    <w:rsid w:val="00057CAF"/>
    <w:rsid w:val="0006001A"/>
    <w:rsid w:val="000606AA"/>
    <w:rsid w:val="000610F9"/>
    <w:rsid w:val="00061850"/>
    <w:rsid w:val="00061E8B"/>
    <w:rsid w:val="00062518"/>
    <w:rsid w:val="0006288C"/>
    <w:rsid w:val="000629CD"/>
    <w:rsid w:val="00063028"/>
    <w:rsid w:val="000632CD"/>
    <w:rsid w:val="000634A8"/>
    <w:rsid w:val="00064658"/>
    <w:rsid w:val="00064808"/>
    <w:rsid w:val="00064998"/>
    <w:rsid w:val="00064F54"/>
    <w:rsid w:val="00065516"/>
    <w:rsid w:val="000656F2"/>
    <w:rsid w:val="0006583B"/>
    <w:rsid w:val="00065DB6"/>
    <w:rsid w:val="00065EC1"/>
    <w:rsid w:val="00066502"/>
    <w:rsid w:val="00066689"/>
    <w:rsid w:val="00067196"/>
    <w:rsid w:val="0006732F"/>
    <w:rsid w:val="00067346"/>
    <w:rsid w:val="000673D1"/>
    <w:rsid w:val="00067823"/>
    <w:rsid w:val="00067A0D"/>
    <w:rsid w:val="00067BBC"/>
    <w:rsid w:val="00070BE3"/>
    <w:rsid w:val="00071064"/>
    <w:rsid w:val="00071143"/>
    <w:rsid w:val="00071A8A"/>
    <w:rsid w:val="00072441"/>
    <w:rsid w:val="00072BBE"/>
    <w:rsid w:val="00073000"/>
    <w:rsid w:val="00073352"/>
    <w:rsid w:val="00073870"/>
    <w:rsid w:val="00073EE8"/>
    <w:rsid w:val="000744C9"/>
    <w:rsid w:val="00075210"/>
    <w:rsid w:val="00075F0C"/>
    <w:rsid w:val="0007712F"/>
    <w:rsid w:val="00077F46"/>
    <w:rsid w:val="00077F69"/>
    <w:rsid w:val="00080CCC"/>
    <w:rsid w:val="00081696"/>
    <w:rsid w:val="00081E8F"/>
    <w:rsid w:val="00082034"/>
    <w:rsid w:val="0008233B"/>
    <w:rsid w:val="0008328F"/>
    <w:rsid w:val="00084B93"/>
    <w:rsid w:val="00084DB9"/>
    <w:rsid w:val="0008541C"/>
    <w:rsid w:val="00085610"/>
    <w:rsid w:val="00085E45"/>
    <w:rsid w:val="0008626D"/>
    <w:rsid w:val="00086999"/>
    <w:rsid w:val="00086D0B"/>
    <w:rsid w:val="00087D18"/>
    <w:rsid w:val="0009007E"/>
    <w:rsid w:val="00090AF0"/>
    <w:rsid w:val="00090F53"/>
    <w:rsid w:val="000914C5"/>
    <w:rsid w:val="00091989"/>
    <w:rsid w:val="00091A11"/>
    <w:rsid w:val="0009201B"/>
    <w:rsid w:val="0009269E"/>
    <w:rsid w:val="00092994"/>
    <w:rsid w:val="00092ABD"/>
    <w:rsid w:val="000930AC"/>
    <w:rsid w:val="000931E5"/>
    <w:rsid w:val="000940CD"/>
    <w:rsid w:val="00094240"/>
    <w:rsid w:val="0009466E"/>
    <w:rsid w:val="0009476C"/>
    <w:rsid w:val="000949EC"/>
    <w:rsid w:val="00094F3D"/>
    <w:rsid w:val="000960C3"/>
    <w:rsid w:val="000960CA"/>
    <w:rsid w:val="00096386"/>
    <w:rsid w:val="00096F18"/>
    <w:rsid w:val="00097534"/>
    <w:rsid w:val="0009763D"/>
    <w:rsid w:val="0009781B"/>
    <w:rsid w:val="000A038A"/>
    <w:rsid w:val="000A0AF0"/>
    <w:rsid w:val="000A0D32"/>
    <w:rsid w:val="000A135D"/>
    <w:rsid w:val="000A136B"/>
    <w:rsid w:val="000A1761"/>
    <w:rsid w:val="000A1B73"/>
    <w:rsid w:val="000A1C76"/>
    <w:rsid w:val="000A1EF2"/>
    <w:rsid w:val="000A2217"/>
    <w:rsid w:val="000A339A"/>
    <w:rsid w:val="000A35F4"/>
    <w:rsid w:val="000A38F7"/>
    <w:rsid w:val="000A3FAF"/>
    <w:rsid w:val="000A41B3"/>
    <w:rsid w:val="000A4448"/>
    <w:rsid w:val="000A4770"/>
    <w:rsid w:val="000A4881"/>
    <w:rsid w:val="000A48EB"/>
    <w:rsid w:val="000A4DD0"/>
    <w:rsid w:val="000A562E"/>
    <w:rsid w:val="000A57E4"/>
    <w:rsid w:val="000A61BA"/>
    <w:rsid w:val="000A62E4"/>
    <w:rsid w:val="000A62FE"/>
    <w:rsid w:val="000A748C"/>
    <w:rsid w:val="000A7A40"/>
    <w:rsid w:val="000A7CB6"/>
    <w:rsid w:val="000A7DDC"/>
    <w:rsid w:val="000A7F96"/>
    <w:rsid w:val="000B268C"/>
    <w:rsid w:val="000B2B80"/>
    <w:rsid w:val="000B2EE9"/>
    <w:rsid w:val="000B2F37"/>
    <w:rsid w:val="000B3290"/>
    <w:rsid w:val="000B34E3"/>
    <w:rsid w:val="000B438F"/>
    <w:rsid w:val="000B465F"/>
    <w:rsid w:val="000B4763"/>
    <w:rsid w:val="000B48C4"/>
    <w:rsid w:val="000B55AD"/>
    <w:rsid w:val="000B5941"/>
    <w:rsid w:val="000B5C04"/>
    <w:rsid w:val="000B61CE"/>
    <w:rsid w:val="000B729A"/>
    <w:rsid w:val="000B729D"/>
    <w:rsid w:val="000B751C"/>
    <w:rsid w:val="000B79BE"/>
    <w:rsid w:val="000B7EB4"/>
    <w:rsid w:val="000C038C"/>
    <w:rsid w:val="000C0702"/>
    <w:rsid w:val="000C08D1"/>
    <w:rsid w:val="000C0BD1"/>
    <w:rsid w:val="000C0E84"/>
    <w:rsid w:val="000C1B11"/>
    <w:rsid w:val="000C3348"/>
    <w:rsid w:val="000C43D5"/>
    <w:rsid w:val="000C5A41"/>
    <w:rsid w:val="000C6025"/>
    <w:rsid w:val="000C6131"/>
    <w:rsid w:val="000C6768"/>
    <w:rsid w:val="000C72D0"/>
    <w:rsid w:val="000C742F"/>
    <w:rsid w:val="000C74E2"/>
    <w:rsid w:val="000C76E0"/>
    <w:rsid w:val="000C7748"/>
    <w:rsid w:val="000D03DD"/>
    <w:rsid w:val="000D055A"/>
    <w:rsid w:val="000D0735"/>
    <w:rsid w:val="000D0A11"/>
    <w:rsid w:val="000D14E8"/>
    <w:rsid w:val="000D1FDF"/>
    <w:rsid w:val="000D22BB"/>
    <w:rsid w:val="000D2456"/>
    <w:rsid w:val="000D28A9"/>
    <w:rsid w:val="000D2B38"/>
    <w:rsid w:val="000D2EFC"/>
    <w:rsid w:val="000D2F71"/>
    <w:rsid w:val="000D34C9"/>
    <w:rsid w:val="000D3627"/>
    <w:rsid w:val="000D36F1"/>
    <w:rsid w:val="000D4381"/>
    <w:rsid w:val="000D5BFE"/>
    <w:rsid w:val="000D6696"/>
    <w:rsid w:val="000D6C1B"/>
    <w:rsid w:val="000D6F72"/>
    <w:rsid w:val="000D7483"/>
    <w:rsid w:val="000D7B91"/>
    <w:rsid w:val="000E01B9"/>
    <w:rsid w:val="000E0327"/>
    <w:rsid w:val="000E05F3"/>
    <w:rsid w:val="000E242F"/>
    <w:rsid w:val="000E246D"/>
    <w:rsid w:val="000E25A1"/>
    <w:rsid w:val="000E266C"/>
    <w:rsid w:val="000E2D88"/>
    <w:rsid w:val="000E3D4C"/>
    <w:rsid w:val="000E45FB"/>
    <w:rsid w:val="000E4BED"/>
    <w:rsid w:val="000E4FBB"/>
    <w:rsid w:val="000E515B"/>
    <w:rsid w:val="000E570C"/>
    <w:rsid w:val="000E596B"/>
    <w:rsid w:val="000E5BCD"/>
    <w:rsid w:val="000E6894"/>
    <w:rsid w:val="000F082E"/>
    <w:rsid w:val="000F0B76"/>
    <w:rsid w:val="000F0B9E"/>
    <w:rsid w:val="000F0D1C"/>
    <w:rsid w:val="000F0D6C"/>
    <w:rsid w:val="000F0D7D"/>
    <w:rsid w:val="000F111D"/>
    <w:rsid w:val="000F1318"/>
    <w:rsid w:val="000F1730"/>
    <w:rsid w:val="000F1A00"/>
    <w:rsid w:val="000F1B88"/>
    <w:rsid w:val="000F22DA"/>
    <w:rsid w:val="000F2540"/>
    <w:rsid w:val="000F35E6"/>
    <w:rsid w:val="000F3795"/>
    <w:rsid w:val="000F384A"/>
    <w:rsid w:val="000F3896"/>
    <w:rsid w:val="000F4467"/>
    <w:rsid w:val="000F4F95"/>
    <w:rsid w:val="000F6864"/>
    <w:rsid w:val="000F6D5A"/>
    <w:rsid w:val="000F6FEE"/>
    <w:rsid w:val="000F71CC"/>
    <w:rsid w:val="000F7C29"/>
    <w:rsid w:val="000F7D0E"/>
    <w:rsid w:val="0010003D"/>
    <w:rsid w:val="0010013C"/>
    <w:rsid w:val="00100492"/>
    <w:rsid w:val="001005FB"/>
    <w:rsid w:val="001006F0"/>
    <w:rsid w:val="00100BA6"/>
    <w:rsid w:val="00100C1D"/>
    <w:rsid w:val="0010101D"/>
    <w:rsid w:val="001014FF"/>
    <w:rsid w:val="00101613"/>
    <w:rsid w:val="00101745"/>
    <w:rsid w:val="0010234C"/>
    <w:rsid w:val="00102D03"/>
    <w:rsid w:val="00102F49"/>
    <w:rsid w:val="0010371B"/>
    <w:rsid w:val="00103A36"/>
    <w:rsid w:val="00103AF8"/>
    <w:rsid w:val="00104AB9"/>
    <w:rsid w:val="00104CD1"/>
    <w:rsid w:val="00104D1A"/>
    <w:rsid w:val="00105084"/>
    <w:rsid w:val="00105193"/>
    <w:rsid w:val="00105544"/>
    <w:rsid w:val="00105B00"/>
    <w:rsid w:val="0010613D"/>
    <w:rsid w:val="00106537"/>
    <w:rsid w:val="0010693B"/>
    <w:rsid w:val="00106BE0"/>
    <w:rsid w:val="001071E7"/>
    <w:rsid w:val="0010777F"/>
    <w:rsid w:val="0011101F"/>
    <w:rsid w:val="001111C2"/>
    <w:rsid w:val="001114DE"/>
    <w:rsid w:val="00111869"/>
    <w:rsid w:val="00111A44"/>
    <w:rsid w:val="00111F0F"/>
    <w:rsid w:val="00112882"/>
    <w:rsid w:val="00112DE2"/>
    <w:rsid w:val="0011356D"/>
    <w:rsid w:val="0011390B"/>
    <w:rsid w:val="00113B14"/>
    <w:rsid w:val="00114014"/>
    <w:rsid w:val="0011423D"/>
    <w:rsid w:val="00114B61"/>
    <w:rsid w:val="00114D57"/>
    <w:rsid w:val="00114D80"/>
    <w:rsid w:val="001165F9"/>
    <w:rsid w:val="00116942"/>
    <w:rsid w:val="00116E37"/>
    <w:rsid w:val="001170DB"/>
    <w:rsid w:val="001176C3"/>
    <w:rsid w:val="00120B40"/>
    <w:rsid w:val="00120C5B"/>
    <w:rsid w:val="00120FCD"/>
    <w:rsid w:val="00121111"/>
    <w:rsid w:val="00121203"/>
    <w:rsid w:val="001220CA"/>
    <w:rsid w:val="00122941"/>
    <w:rsid w:val="00123375"/>
    <w:rsid w:val="00123802"/>
    <w:rsid w:val="00123D21"/>
    <w:rsid w:val="00123DC6"/>
    <w:rsid w:val="00123F81"/>
    <w:rsid w:val="0012456C"/>
    <w:rsid w:val="00125627"/>
    <w:rsid w:val="00125C4A"/>
    <w:rsid w:val="00125C5F"/>
    <w:rsid w:val="00125E1D"/>
    <w:rsid w:val="001260A0"/>
    <w:rsid w:val="0012697D"/>
    <w:rsid w:val="00126FAA"/>
    <w:rsid w:val="00127E5E"/>
    <w:rsid w:val="0013015E"/>
    <w:rsid w:val="00130A7A"/>
    <w:rsid w:val="001313C3"/>
    <w:rsid w:val="00131517"/>
    <w:rsid w:val="00131A77"/>
    <w:rsid w:val="00131B43"/>
    <w:rsid w:val="00132357"/>
    <w:rsid w:val="0013258A"/>
    <w:rsid w:val="00132C3A"/>
    <w:rsid w:val="00133684"/>
    <w:rsid w:val="00133704"/>
    <w:rsid w:val="001337E4"/>
    <w:rsid w:val="001338C6"/>
    <w:rsid w:val="00133BA6"/>
    <w:rsid w:val="00134A4C"/>
    <w:rsid w:val="00134C35"/>
    <w:rsid w:val="00134D3A"/>
    <w:rsid w:val="00135557"/>
    <w:rsid w:val="00136FA7"/>
    <w:rsid w:val="001372E6"/>
    <w:rsid w:val="001378A9"/>
    <w:rsid w:val="001379FB"/>
    <w:rsid w:val="00141760"/>
    <w:rsid w:val="00141C26"/>
    <w:rsid w:val="00141D98"/>
    <w:rsid w:val="00141E0E"/>
    <w:rsid w:val="00141E57"/>
    <w:rsid w:val="001430ED"/>
    <w:rsid w:val="001437B9"/>
    <w:rsid w:val="00145928"/>
    <w:rsid w:val="00146324"/>
    <w:rsid w:val="00146FD7"/>
    <w:rsid w:val="00147086"/>
    <w:rsid w:val="00147246"/>
    <w:rsid w:val="001479D3"/>
    <w:rsid w:val="001501A4"/>
    <w:rsid w:val="001508AD"/>
    <w:rsid w:val="00150989"/>
    <w:rsid w:val="00151166"/>
    <w:rsid w:val="00151A14"/>
    <w:rsid w:val="00151B00"/>
    <w:rsid w:val="00151D9A"/>
    <w:rsid w:val="00152D65"/>
    <w:rsid w:val="00152E54"/>
    <w:rsid w:val="00153031"/>
    <w:rsid w:val="00153182"/>
    <w:rsid w:val="00153234"/>
    <w:rsid w:val="00153B73"/>
    <w:rsid w:val="00153DAD"/>
    <w:rsid w:val="00154C4F"/>
    <w:rsid w:val="00154EB5"/>
    <w:rsid w:val="00155980"/>
    <w:rsid w:val="0015662E"/>
    <w:rsid w:val="0015669F"/>
    <w:rsid w:val="00156BE1"/>
    <w:rsid w:val="00156EC3"/>
    <w:rsid w:val="00157319"/>
    <w:rsid w:val="00157379"/>
    <w:rsid w:val="0015798E"/>
    <w:rsid w:val="00157A84"/>
    <w:rsid w:val="0016005F"/>
    <w:rsid w:val="001602DA"/>
    <w:rsid w:val="00160565"/>
    <w:rsid w:val="00160622"/>
    <w:rsid w:val="001606BC"/>
    <w:rsid w:val="00160AA5"/>
    <w:rsid w:val="00160B7C"/>
    <w:rsid w:val="001612D4"/>
    <w:rsid w:val="001620E4"/>
    <w:rsid w:val="00162420"/>
    <w:rsid w:val="00162C5B"/>
    <w:rsid w:val="00163AA3"/>
    <w:rsid w:val="00164401"/>
    <w:rsid w:val="0016452F"/>
    <w:rsid w:val="00164C56"/>
    <w:rsid w:val="00164E4C"/>
    <w:rsid w:val="0016527D"/>
    <w:rsid w:val="00165945"/>
    <w:rsid w:val="00166620"/>
    <w:rsid w:val="001673DD"/>
    <w:rsid w:val="00167647"/>
    <w:rsid w:val="00167F11"/>
    <w:rsid w:val="001702C1"/>
    <w:rsid w:val="001705A4"/>
    <w:rsid w:val="001708F7"/>
    <w:rsid w:val="00172C4A"/>
    <w:rsid w:val="001730AD"/>
    <w:rsid w:val="001738D5"/>
    <w:rsid w:val="00173A4E"/>
    <w:rsid w:val="00173C65"/>
    <w:rsid w:val="00174147"/>
    <w:rsid w:val="00174BC7"/>
    <w:rsid w:val="0017570D"/>
    <w:rsid w:val="00175B2F"/>
    <w:rsid w:val="00175B51"/>
    <w:rsid w:val="00175C84"/>
    <w:rsid w:val="00176413"/>
    <w:rsid w:val="0017677A"/>
    <w:rsid w:val="00177185"/>
    <w:rsid w:val="001778EE"/>
    <w:rsid w:val="00177A43"/>
    <w:rsid w:val="00181B65"/>
    <w:rsid w:val="00181CAE"/>
    <w:rsid w:val="001820EA"/>
    <w:rsid w:val="001825E3"/>
    <w:rsid w:val="001827DB"/>
    <w:rsid w:val="001828CB"/>
    <w:rsid w:val="00182CAB"/>
    <w:rsid w:val="00182D9D"/>
    <w:rsid w:val="00183118"/>
    <w:rsid w:val="00183872"/>
    <w:rsid w:val="00183C59"/>
    <w:rsid w:val="00183C90"/>
    <w:rsid w:val="00183F59"/>
    <w:rsid w:val="001841F8"/>
    <w:rsid w:val="00184699"/>
    <w:rsid w:val="001847EC"/>
    <w:rsid w:val="00185B5E"/>
    <w:rsid w:val="00185C03"/>
    <w:rsid w:val="00186183"/>
    <w:rsid w:val="00186887"/>
    <w:rsid w:val="00187395"/>
    <w:rsid w:val="00190B32"/>
    <w:rsid w:val="00190CD2"/>
    <w:rsid w:val="0019174A"/>
    <w:rsid w:val="00191B1A"/>
    <w:rsid w:val="00191BC3"/>
    <w:rsid w:val="00191C77"/>
    <w:rsid w:val="00192271"/>
    <w:rsid w:val="00192540"/>
    <w:rsid w:val="00192EB0"/>
    <w:rsid w:val="00192EBC"/>
    <w:rsid w:val="001930C5"/>
    <w:rsid w:val="00193D5D"/>
    <w:rsid w:val="00193D64"/>
    <w:rsid w:val="001954C8"/>
    <w:rsid w:val="00196484"/>
    <w:rsid w:val="00196679"/>
    <w:rsid w:val="001967BB"/>
    <w:rsid w:val="00196848"/>
    <w:rsid w:val="0019697F"/>
    <w:rsid w:val="00196987"/>
    <w:rsid w:val="00196BDC"/>
    <w:rsid w:val="00196EFE"/>
    <w:rsid w:val="0019749F"/>
    <w:rsid w:val="00197B7F"/>
    <w:rsid w:val="00197F3D"/>
    <w:rsid w:val="00197FBC"/>
    <w:rsid w:val="001A024E"/>
    <w:rsid w:val="001A11EC"/>
    <w:rsid w:val="001A29C7"/>
    <w:rsid w:val="001A2B9B"/>
    <w:rsid w:val="001A2E48"/>
    <w:rsid w:val="001A3239"/>
    <w:rsid w:val="001A3E7D"/>
    <w:rsid w:val="001A4119"/>
    <w:rsid w:val="001A4A0C"/>
    <w:rsid w:val="001A4C45"/>
    <w:rsid w:val="001A516A"/>
    <w:rsid w:val="001A53C8"/>
    <w:rsid w:val="001A53F8"/>
    <w:rsid w:val="001A5F4A"/>
    <w:rsid w:val="001A6370"/>
    <w:rsid w:val="001A64A8"/>
    <w:rsid w:val="001A67DF"/>
    <w:rsid w:val="001A763D"/>
    <w:rsid w:val="001A782B"/>
    <w:rsid w:val="001B0107"/>
    <w:rsid w:val="001B053C"/>
    <w:rsid w:val="001B1A49"/>
    <w:rsid w:val="001B1A77"/>
    <w:rsid w:val="001B1D8A"/>
    <w:rsid w:val="001B2094"/>
    <w:rsid w:val="001B25E6"/>
    <w:rsid w:val="001B3549"/>
    <w:rsid w:val="001B3935"/>
    <w:rsid w:val="001B3F8D"/>
    <w:rsid w:val="001B456F"/>
    <w:rsid w:val="001B4783"/>
    <w:rsid w:val="001B48DC"/>
    <w:rsid w:val="001B54B3"/>
    <w:rsid w:val="001B571A"/>
    <w:rsid w:val="001B6B53"/>
    <w:rsid w:val="001B6E21"/>
    <w:rsid w:val="001B6FBE"/>
    <w:rsid w:val="001B71E4"/>
    <w:rsid w:val="001B77F2"/>
    <w:rsid w:val="001B7E44"/>
    <w:rsid w:val="001C0238"/>
    <w:rsid w:val="001C0732"/>
    <w:rsid w:val="001C167C"/>
    <w:rsid w:val="001C1729"/>
    <w:rsid w:val="001C1A4D"/>
    <w:rsid w:val="001C1A57"/>
    <w:rsid w:val="001C1EE4"/>
    <w:rsid w:val="001C2266"/>
    <w:rsid w:val="001C2636"/>
    <w:rsid w:val="001C2BE6"/>
    <w:rsid w:val="001C3135"/>
    <w:rsid w:val="001C318A"/>
    <w:rsid w:val="001C39ED"/>
    <w:rsid w:val="001C3F3A"/>
    <w:rsid w:val="001C4215"/>
    <w:rsid w:val="001C48FF"/>
    <w:rsid w:val="001C53A5"/>
    <w:rsid w:val="001C53B1"/>
    <w:rsid w:val="001C5AAD"/>
    <w:rsid w:val="001C696C"/>
    <w:rsid w:val="001C6AC7"/>
    <w:rsid w:val="001C730F"/>
    <w:rsid w:val="001C732B"/>
    <w:rsid w:val="001C7C12"/>
    <w:rsid w:val="001D02A4"/>
    <w:rsid w:val="001D045A"/>
    <w:rsid w:val="001D07C1"/>
    <w:rsid w:val="001D11B8"/>
    <w:rsid w:val="001D266F"/>
    <w:rsid w:val="001D27AE"/>
    <w:rsid w:val="001D2BAD"/>
    <w:rsid w:val="001D351C"/>
    <w:rsid w:val="001D35E2"/>
    <w:rsid w:val="001D38BD"/>
    <w:rsid w:val="001D3900"/>
    <w:rsid w:val="001D3E61"/>
    <w:rsid w:val="001D4A1D"/>
    <w:rsid w:val="001D4D50"/>
    <w:rsid w:val="001D51B1"/>
    <w:rsid w:val="001D6376"/>
    <w:rsid w:val="001D7058"/>
    <w:rsid w:val="001D754F"/>
    <w:rsid w:val="001D78B7"/>
    <w:rsid w:val="001D7EBD"/>
    <w:rsid w:val="001D7F35"/>
    <w:rsid w:val="001D7FC2"/>
    <w:rsid w:val="001E00CA"/>
    <w:rsid w:val="001E02BD"/>
    <w:rsid w:val="001E05C6"/>
    <w:rsid w:val="001E08F0"/>
    <w:rsid w:val="001E1EE0"/>
    <w:rsid w:val="001E1F06"/>
    <w:rsid w:val="001E213B"/>
    <w:rsid w:val="001E2658"/>
    <w:rsid w:val="001E2CFB"/>
    <w:rsid w:val="001E3408"/>
    <w:rsid w:val="001E342B"/>
    <w:rsid w:val="001E37B8"/>
    <w:rsid w:val="001E3EC4"/>
    <w:rsid w:val="001E413F"/>
    <w:rsid w:val="001E48A6"/>
    <w:rsid w:val="001E4C1C"/>
    <w:rsid w:val="001E4E7F"/>
    <w:rsid w:val="001E51E9"/>
    <w:rsid w:val="001E5417"/>
    <w:rsid w:val="001E5445"/>
    <w:rsid w:val="001E5511"/>
    <w:rsid w:val="001E5B48"/>
    <w:rsid w:val="001E6066"/>
    <w:rsid w:val="001E6CA0"/>
    <w:rsid w:val="001E73AB"/>
    <w:rsid w:val="001F0488"/>
    <w:rsid w:val="001F068F"/>
    <w:rsid w:val="001F0DE7"/>
    <w:rsid w:val="001F2321"/>
    <w:rsid w:val="001F23DB"/>
    <w:rsid w:val="001F2530"/>
    <w:rsid w:val="001F2A13"/>
    <w:rsid w:val="001F2BD2"/>
    <w:rsid w:val="001F2D5E"/>
    <w:rsid w:val="001F3EFC"/>
    <w:rsid w:val="001F4060"/>
    <w:rsid w:val="001F433A"/>
    <w:rsid w:val="001F55D5"/>
    <w:rsid w:val="001F5CC4"/>
    <w:rsid w:val="001F5E0B"/>
    <w:rsid w:val="001F6138"/>
    <w:rsid w:val="001F6B1A"/>
    <w:rsid w:val="001F7640"/>
    <w:rsid w:val="001F794B"/>
    <w:rsid w:val="001F7B55"/>
    <w:rsid w:val="001F7D5E"/>
    <w:rsid w:val="0020114E"/>
    <w:rsid w:val="002013B2"/>
    <w:rsid w:val="00201CF3"/>
    <w:rsid w:val="00201E09"/>
    <w:rsid w:val="00201F63"/>
    <w:rsid w:val="00202A0E"/>
    <w:rsid w:val="002038EF"/>
    <w:rsid w:val="0020440E"/>
    <w:rsid w:val="00204691"/>
    <w:rsid w:val="00204F07"/>
    <w:rsid w:val="002054CA"/>
    <w:rsid w:val="00205839"/>
    <w:rsid w:val="00206720"/>
    <w:rsid w:val="0020694F"/>
    <w:rsid w:val="00206C74"/>
    <w:rsid w:val="00206D32"/>
    <w:rsid w:val="00207452"/>
    <w:rsid w:val="0020771F"/>
    <w:rsid w:val="00207F42"/>
    <w:rsid w:val="0021076F"/>
    <w:rsid w:val="00210953"/>
    <w:rsid w:val="002109E3"/>
    <w:rsid w:val="00210B26"/>
    <w:rsid w:val="00210EBA"/>
    <w:rsid w:val="00211405"/>
    <w:rsid w:val="00211442"/>
    <w:rsid w:val="00211588"/>
    <w:rsid w:val="00211B98"/>
    <w:rsid w:val="00211BE8"/>
    <w:rsid w:val="00212C19"/>
    <w:rsid w:val="00213024"/>
    <w:rsid w:val="00213652"/>
    <w:rsid w:val="00213AE6"/>
    <w:rsid w:val="00213B95"/>
    <w:rsid w:val="00213D45"/>
    <w:rsid w:val="0021436A"/>
    <w:rsid w:val="00214830"/>
    <w:rsid w:val="00214A4E"/>
    <w:rsid w:val="002158D0"/>
    <w:rsid w:val="00215F5E"/>
    <w:rsid w:val="002161E3"/>
    <w:rsid w:val="0021645F"/>
    <w:rsid w:val="002165C9"/>
    <w:rsid w:val="00216CA6"/>
    <w:rsid w:val="00217024"/>
    <w:rsid w:val="00217A24"/>
    <w:rsid w:val="00217C4E"/>
    <w:rsid w:val="00217D46"/>
    <w:rsid w:val="00217E3D"/>
    <w:rsid w:val="0022086B"/>
    <w:rsid w:val="00220CE0"/>
    <w:rsid w:val="00220F33"/>
    <w:rsid w:val="00221475"/>
    <w:rsid w:val="00221C10"/>
    <w:rsid w:val="0022223E"/>
    <w:rsid w:val="00222BBB"/>
    <w:rsid w:val="0022301F"/>
    <w:rsid w:val="002234B5"/>
    <w:rsid w:val="002235CE"/>
    <w:rsid w:val="002238B5"/>
    <w:rsid w:val="002242F7"/>
    <w:rsid w:val="00224565"/>
    <w:rsid w:val="00224B35"/>
    <w:rsid w:val="00225BD2"/>
    <w:rsid w:val="00225C83"/>
    <w:rsid w:val="00227329"/>
    <w:rsid w:val="0022734C"/>
    <w:rsid w:val="00230396"/>
    <w:rsid w:val="00230BAB"/>
    <w:rsid w:val="00231021"/>
    <w:rsid w:val="002312FC"/>
    <w:rsid w:val="0023136C"/>
    <w:rsid w:val="00231BED"/>
    <w:rsid w:val="00232671"/>
    <w:rsid w:val="002330BF"/>
    <w:rsid w:val="0023396C"/>
    <w:rsid w:val="00233E2F"/>
    <w:rsid w:val="002349A0"/>
    <w:rsid w:val="00234A33"/>
    <w:rsid w:val="0023535F"/>
    <w:rsid w:val="002368F3"/>
    <w:rsid w:val="00237162"/>
    <w:rsid w:val="002377E9"/>
    <w:rsid w:val="00237CB3"/>
    <w:rsid w:val="00237E9A"/>
    <w:rsid w:val="00241B87"/>
    <w:rsid w:val="002423C7"/>
    <w:rsid w:val="002425DA"/>
    <w:rsid w:val="002430F3"/>
    <w:rsid w:val="00244614"/>
    <w:rsid w:val="002449A0"/>
    <w:rsid w:val="0024557D"/>
    <w:rsid w:val="00245A68"/>
    <w:rsid w:val="00246D23"/>
    <w:rsid w:val="00247445"/>
    <w:rsid w:val="00247606"/>
    <w:rsid w:val="00247BB1"/>
    <w:rsid w:val="00250751"/>
    <w:rsid w:val="00250C30"/>
    <w:rsid w:val="00251198"/>
    <w:rsid w:val="0025173B"/>
    <w:rsid w:val="0025193D"/>
    <w:rsid w:val="00251F9B"/>
    <w:rsid w:val="002520C7"/>
    <w:rsid w:val="00252D9D"/>
    <w:rsid w:val="00252E14"/>
    <w:rsid w:val="002533FB"/>
    <w:rsid w:val="00253F2A"/>
    <w:rsid w:val="00253F56"/>
    <w:rsid w:val="00253FD2"/>
    <w:rsid w:val="002541B9"/>
    <w:rsid w:val="00254759"/>
    <w:rsid w:val="00255A6D"/>
    <w:rsid w:val="00256382"/>
    <w:rsid w:val="0025659B"/>
    <w:rsid w:val="0025691E"/>
    <w:rsid w:val="00256A4C"/>
    <w:rsid w:val="00256A84"/>
    <w:rsid w:val="00256C1B"/>
    <w:rsid w:val="002579E8"/>
    <w:rsid w:val="00260041"/>
    <w:rsid w:val="002603D9"/>
    <w:rsid w:val="00260547"/>
    <w:rsid w:val="002605CA"/>
    <w:rsid w:val="0026067F"/>
    <w:rsid w:val="0026080C"/>
    <w:rsid w:val="00260A97"/>
    <w:rsid w:val="00260CDE"/>
    <w:rsid w:val="0026134F"/>
    <w:rsid w:val="0026191C"/>
    <w:rsid w:val="002619DB"/>
    <w:rsid w:val="00263703"/>
    <w:rsid w:val="00263EDB"/>
    <w:rsid w:val="00264618"/>
    <w:rsid w:val="00264A20"/>
    <w:rsid w:val="00264ABB"/>
    <w:rsid w:val="00264FEB"/>
    <w:rsid w:val="002650F8"/>
    <w:rsid w:val="00265501"/>
    <w:rsid w:val="00265536"/>
    <w:rsid w:val="00266827"/>
    <w:rsid w:val="00266E89"/>
    <w:rsid w:val="00267862"/>
    <w:rsid w:val="00267CA4"/>
    <w:rsid w:val="00267DE6"/>
    <w:rsid w:val="00267E47"/>
    <w:rsid w:val="002702ED"/>
    <w:rsid w:val="00270D33"/>
    <w:rsid w:val="00272387"/>
    <w:rsid w:val="00272A33"/>
    <w:rsid w:val="00272A77"/>
    <w:rsid w:val="00272D83"/>
    <w:rsid w:val="0027313B"/>
    <w:rsid w:val="002731BE"/>
    <w:rsid w:val="002731E4"/>
    <w:rsid w:val="00273B62"/>
    <w:rsid w:val="00274284"/>
    <w:rsid w:val="00274861"/>
    <w:rsid w:val="00274964"/>
    <w:rsid w:val="00275124"/>
    <w:rsid w:val="002751AE"/>
    <w:rsid w:val="002753CE"/>
    <w:rsid w:val="00275807"/>
    <w:rsid w:val="00277004"/>
    <w:rsid w:val="002770B4"/>
    <w:rsid w:val="002779B2"/>
    <w:rsid w:val="00277DDE"/>
    <w:rsid w:val="0028097F"/>
    <w:rsid w:val="00281304"/>
    <w:rsid w:val="00281D3B"/>
    <w:rsid w:val="002826C5"/>
    <w:rsid w:val="002826DD"/>
    <w:rsid w:val="00282B41"/>
    <w:rsid w:val="00282D52"/>
    <w:rsid w:val="0028339F"/>
    <w:rsid w:val="002834FD"/>
    <w:rsid w:val="002836FA"/>
    <w:rsid w:val="002838E3"/>
    <w:rsid w:val="00283E16"/>
    <w:rsid w:val="00283FEF"/>
    <w:rsid w:val="002843E3"/>
    <w:rsid w:val="002854BE"/>
    <w:rsid w:val="00285550"/>
    <w:rsid w:val="00285919"/>
    <w:rsid w:val="00285D18"/>
    <w:rsid w:val="00285EB8"/>
    <w:rsid w:val="0028615A"/>
    <w:rsid w:val="002863A0"/>
    <w:rsid w:val="00286887"/>
    <w:rsid w:val="00286989"/>
    <w:rsid w:val="00286D69"/>
    <w:rsid w:val="00286F7C"/>
    <w:rsid w:val="00287BE6"/>
    <w:rsid w:val="00287C6C"/>
    <w:rsid w:val="00287DDC"/>
    <w:rsid w:val="002900DF"/>
    <w:rsid w:val="0029085A"/>
    <w:rsid w:val="002909AF"/>
    <w:rsid w:val="00290FBE"/>
    <w:rsid w:val="0029156C"/>
    <w:rsid w:val="00291ADD"/>
    <w:rsid w:val="00292854"/>
    <w:rsid w:val="002928CD"/>
    <w:rsid w:val="00292BF4"/>
    <w:rsid w:val="002931D9"/>
    <w:rsid w:val="002931EA"/>
    <w:rsid w:val="00293920"/>
    <w:rsid w:val="002942DA"/>
    <w:rsid w:val="002945CA"/>
    <w:rsid w:val="002948E1"/>
    <w:rsid w:val="00294FB4"/>
    <w:rsid w:val="002950AE"/>
    <w:rsid w:val="002958B5"/>
    <w:rsid w:val="00295962"/>
    <w:rsid w:val="00295A20"/>
    <w:rsid w:val="00296612"/>
    <w:rsid w:val="00296672"/>
    <w:rsid w:val="00296ACF"/>
    <w:rsid w:val="00296D02"/>
    <w:rsid w:val="00296EA7"/>
    <w:rsid w:val="00297030"/>
    <w:rsid w:val="002975F2"/>
    <w:rsid w:val="0029779D"/>
    <w:rsid w:val="00297C2E"/>
    <w:rsid w:val="002A07B1"/>
    <w:rsid w:val="002A097F"/>
    <w:rsid w:val="002A1526"/>
    <w:rsid w:val="002A18C4"/>
    <w:rsid w:val="002A1B5F"/>
    <w:rsid w:val="002A1C25"/>
    <w:rsid w:val="002A1E1B"/>
    <w:rsid w:val="002A248C"/>
    <w:rsid w:val="002A25E8"/>
    <w:rsid w:val="002A2A68"/>
    <w:rsid w:val="002A2A70"/>
    <w:rsid w:val="002A2DF0"/>
    <w:rsid w:val="002A31D7"/>
    <w:rsid w:val="002A3647"/>
    <w:rsid w:val="002A3A6E"/>
    <w:rsid w:val="002A3AC8"/>
    <w:rsid w:val="002A41BE"/>
    <w:rsid w:val="002A4A46"/>
    <w:rsid w:val="002A4B76"/>
    <w:rsid w:val="002A4BD9"/>
    <w:rsid w:val="002A533A"/>
    <w:rsid w:val="002A53EA"/>
    <w:rsid w:val="002A55E1"/>
    <w:rsid w:val="002A5B9B"/>
    <w:rsid w:val="002A62BF"/>
    <w:rsid w:val="002A63DE"/>
    <w:rsid w:val="002A66C8"/>
    <w:rsid w:val="002A6A4E"/>
    <w:rsid w:val="002A6C18"/>
    <w:rsid w:val="002A6C1F"/>
    <w:rsid w:val="002A6F9C"/>
    <w:rsid w:val="002A71F9"/>
    <w:rsid w:val="002A740E"/>
    <w:rsid w:val="002B0416"/>
    <w:rsid w:val="002B0628"/>
    <w:rsid w:val="002B0C7E"/>
    <w:rsid w:val="002B152D"/>
    <w:rsid w:val="002B2A68"/>
    <w:rsid w:val="002B3084"/>
    <w:rsid w:val="002B3767"/>
    <w:rsid w:val="002B3808"/>
    <w:rsid w:val="002B3979"/>
    <w:rsid w:val="002B4210"/>
    <w:rsid w:val="002B4B0D"/>
    <w:rsid w:val="002B4B12"/>
    <w:rsid w:val="002B4DED"/>
    <w:rsid w:val="002B553D"/>
    <w:rsid w:val="002B574E"/>
    <w:rsid w:val="002B653F"/>
    <w:rsid w:val="002B66D1"/>
    <w:rsid w:val="002B75C7"/>
    <w:rsid w:val="002C0012"/>
    <w:rsid w:val="002C011D"/>
    <w:rsid w:val="002C0C85"/>
    <w:rsid w:val="002C1218"/>
    <w:rsid w:val="002C1305"/>
    <w:rsid w:val="002C19D9"/>
    <w:rsid w:val="002C1F13"/>
    <w:rsid w:val="002C32B2"/>
    <w:rsid w:val="002C3FD9"/>
    <w:rsid w:val="002C40F1"/>
    <w:rsid w:val="002C4BF6"/>
    <w:rsid w:val="002C4F46"/>
    <w:rsid w:val="002C552E"/>
    <w:rsid w:val="002C5653"/>
    <w:rsid w:val="002C5DAD"/>
    <w:rsid w:val="002C5EE0"/>
    <w:rsid w:val="002C5FFD"/>
    <w:rsid w:val="002C6BD7"/>
    <w:rsid w:val="002C6E17"/>
    <w:rsid w:val="002C6E4B"/>
    <w:rsid w:val="002C7B73"/>
    <w:rsid w:val="002C7DF3"/>
    <w:rsid w:val="002D01F7"/>
    <w:rsid w:val="002D0548"/>
    <w:rsid w:val="002D088D"/>
    <w:rsid w:val="002D0B6B"/>
    <w:rsid w:val="002D120E"/>
    <w:rsid w:val="002D1465"/>
    <w:rsid w:val="002D1892"/>
    <w:rsid w:val="002D2C74"/>
    <w:rsid w:val="002D2D30"/>
    <w:rsid w:val="002D2E32"/>
    <w:rsid w:val="002D34A4"/>
    <w:rsid w:val="002D43F8"/>
    <w:rsid w:val="002D444B"/>
    <w:rsid w:val="002D4639"/>
    <w:rsid w:val="002D4804"/>
    <w:rsid w:val="002D5A50"/>
    <w:rsid w:val="002D5C5B"/>
    <w:rsid w:val="002D6210"/>
    <w:rsid w:val="002D650D"/>
    <w:rsid w:val="002D670B"/>
    <w:rsid w:val="002D70CE"/>
    <w:rsid w:val="002D7778"/>
    <w:rsid w:val="002D78D7"/>
    <w:rsid w:val="002E00E4"/>
    <w:rsid w:val="002E035D"/>
    <w:rsid w:val="002E0503"/>
    <w:rsid w:val="002E0A09"/>
    <w:rsid w:val="002E1177"/>
    <w:rsid w:val="002E13E2"/>
    <w:rsid w:val="002E16FC"/>
    <w:rsid w:val="002E1FA0"/>
    <w:rsid w:val="002E21DB"/>
    <w:rsid w:val="002E2586"/>
    <w:rsid w:val="002E2629"/>
    <w:rsid w:val="002E3045"/>
    <w:rsid w:val="002E3230"/>
    <w:rsid w:val="002E492B"/>
    <w:rsid w:val="002E4FE9"/>
    <w:rsid w:val="002E54FC"/>
    <w:rsid w:val="002E5790"/>
    <w:rsid w:val="002E5EA4"/>
    <w:rsid w:val="002E6E40"/>
    <w:rsid w:val="002E6EE9"/>
    <w:rsid w:val="002E6FD6"/>
    <w:rsid w:val="002E71C7"/>
    <w:rsid w:val="002E73B7"/>
    <w:rsid w:val="002F00D4"/>
    <w:rsid w:val="002F04AB"/>
    <w:rsid w:val="002F0636"/>
    <w:rsid w:val="002F0A6D"/>
    <w:rsid w:val="002F0AD0"/>
    <w:rsid w:val="002F0ADE"/>
    <w:rsid w:val="002F0CED"/>
    <w:rsid w:val="002F0D44"/>
    <w:rsid w:val="002F1820"/>
    <w:rsid w:val="002F1870"/>
    <w:rsid w:val="002F1A7D"/>
    <w:rsid w:val="002F1C1D"/>
    <w:rsid w:val="002F2CEF"/>
    <w:rsid w:val="002F31B9"/>
    <w:rsid w:val="002F376F"/>
    <w:rsid w:val="002F3986"/>
    <w:rsid w:val="002F3D54"/>
    <w:rsid w:val="002F4CF1"/>
    <w:rsid w:val="002F4DCE"/>
    <w:rsid w:val="002F4F9D"/>
    <w:rsid w:val="002F5424"/>
    <w:rsid w:val="002F5D1D"/>
    <w:rsid w:val="002F6817"/>
    <w:rsid w:val="002F6E7D"/>
    <w:rsid w:val="002F70B3"/>
    <w:rsid w:val="002F714D"/>
    <w:rsid w:val="002F7759"/>
    <w:rsid w:val="002F7772"/>
    <w:rsid w:val="002F7D61"/>
    <w:rsid w:val="00300ABE"/>
    <w:rsid w:val="00301039"/>
    <w:rsid w:val="00301288"/>
    <w:rsid w:val="00301667"/>
    <w:rsid w:val="0030177D"/>
    <w:rsid w:val="00301857"/>
    <w:rsid w:val="00301F6C"/>
    <w:rsid w:val="00302000"/>
    <w:rsid w:val="00303C86"/>
    <w:rsid w:val="00303C9B"/>
    <w:rsid w:val="00304ABF"/>
    <w:rsid w:val="00304E14"/>
    <w:rsid w:val="0030541E"/>
    <w:rsid w:val="00305849"/>
    <w:rsid w:val="003061BC"/>
    <w:rsid w:val="0030673A"/>
    <w:rsid w:val="0030758B"/>
    <w:rsid w:val="00307655"/>
    <w:rsid w:val="00310004"/>
    <w:rsid w:val="00310842"/>
    <w:rsid w:val="00310985"/>
    <w:rsid w:val="0031153E"/>
    <w:rsid w:val="00311E19"/>
    <w:rsid w:val="003120AA"/>
    <w:rsid w:val="0031252B"/>
    <w:rsid w:val="00312BAD"/>
    <w:rsid w:val="00312E08"/>
    <w:rsid w:val="00313554"/>
    <w:rsid w:val="00313907"/>
    <w:rsid w:val="003139BA"/>
    <w:rsid w:val="003143DF"/>
    <w:rsid w:val="00314A89"/>
    <w:rsid w:val="003154F1"/>
    <w:rsid w:val="00315530"/>
    <w:rsid w:val="003158CE"/>
    <w:rsid w:val="00315E9B"/>
    <w:rsid w:val="00315EE2"/>
    <w:rsid w:val="00316BFA"/>
    <w:rsid w:val="003170BF"/>
    <w:rsid w:val="00317685"/>
    <w:rsid w:val="003177A0"/>
    <w:rsid w:val="00317D30"/>
    <w:rsid w:val="00320123"/>
    <w:rsid w:val="003211A5"/>
    <w:rsid w:val="003218DD"/>
    <w:rsid w:val="003222CA"/>
    <w:rsid w:val="003228A1"/>
    <w:rsid w:val="003229AD"/>
    <w:rsid w:val="00322A65"/>
    <w:rsid w:val="00322CF3"/>
    <w:rsid w:val="00322E2B"/>
    <w:rsid w:val="00322E9E"/>
    <w:rsid w:val="00323D07"/>
    <w:rsid w:val="00323FC4"/>
    <w:rsid w:val="00324F0A"/>
    <w:rsid w:val="00324FDF"/>
    <w:rsid w:val="00324FFA"/>
    <w:rsid w:val="003250B0"/>
    <w:rsid w:val="003255BF"/>
    <w:rsid w:val="00326360"/>
    <w:rsid w:val="00326449"/>
    <w:rsid w:val="00326A17"/>
    <w:rsid w:val="00326EBF"/>
    <w:rsid w:val="00326F68"/>
    <w:rsid w:val="00327830"/>
    <w:rsid w:val="00327A6E"/>
    <w:rsid w:val="00327B5E"/>
    <w:rsid w:val="00327F7F"/>
    <w:rsid w:val="003301EB"/>
    <w:rsid w:val="003308E1"/>
    <w:rsid w:val="00330BE2"/>
    <w:rsid w:val="0033141D"/>
    <w:rsid w:val="003315D6"/>
    <w:rsid w:val="00332117"/>
    <w:rsid w:val="003324F3"/>
    <w:rsid w:val="00332826"/>
    <w:rsid w:val="0033282C"/>
    <w:rsid w:val="003336F9"/>
    <w:rsid w:val="00334051"/>
    <w:rsid w:val="0033431D"/>
    <w:rsid w:val="00335370"/>
    <w:rsid w:val="00335412"/>
    <w:rsid w:val="0033546C"/>
    <w:rsid w:val="00335968"/>
    <w:rsid w:val="00335D37"/>
    <w:rsid w:val="00336E97"/>
    <w:rsid w:val="00337567"/>
    <w:rsid w:val="003378C8"/>
    <w:rsid w:val="00337CD8"/>
    <w:rsid w:val="00337DFD"/>
    <w:rsid w:val="00337F39"/>
    <w:rsid w:val="00340C45"/>
    <w:rsid w:val="003411AE"/>
    <w:rsid w:val="0034172A"/>
    <w:rsid w:val="003418BF"/>
    <w:rsid w:val="003422C6"/>
    <w:rsid w:val="0034248C"/>
    <w:rsid w:val="003432EC"/>
    <w:rsid w:val="0034365C"/>
    <w:rsid w:val="00343BD1"/>
    <w:rsid w:val="00343C9A"/>
    <w:rsid w:val="00343D01"/>
    <w:rsid w:val="003447B5"/>
    <w:rsid w:val="00344C68"/>
    <w:rsid w:val="00344C92"/>
    <w:rsid w:val="00345135"/>
    <w:rsid w:val="003455BF"/>
    <w:rsid w:val="00345AFF"/>
    <w:rsid w:val="00346260"/>
    <w:rsid w:val="00346B35"/>
    <w:rsid w:val="0034798F"/>
    <w:rsid w:val="00347EE6"/>
    <w:rsid w:val="00347FB4"/>
    <w:rsid w:val="00350145"/>
    <w:rsid w:val="00350FFA"/>
    <w:rsid w:val="0035109F"/>
    <w:rsid w:val="003513D9"/>
    <w:rsid w:val="00352B24"/>
    <w:rsid w:val="00353BD2"/>
    <w:rsid w:val="00353E07"/>
    <w:rsid w:val="00353E24"/>
    <w:rsid w:val="00353E40"/>
    <w:rsid w:val="003540E2"/>
    <w:rsid w:val="00354127"/>
    <w:rsid w:val="00354341"/>
    <w:rsid w:val="003550FF"/>
    <w:rsid w:val="003551C4"/>
    <w:rsid w:val="00355699"/>
    <w:rsid w:val="00355DD5"/>
    <w:rsid w:val="00356686"/>
    <w:rsid w:val="00356C6E"/>
    <w:rsid w:val="003576A3"/>
    <w:rsid w:val="0035771A"/>
    <w:rsid w:val="00357DCA"/>
    <w:rsid w:val="0036013A"/>
    <w:rsid w:val="00360B6A"/>
    <w:rsid w:val="00360D84"/>
    <w:rsid w:val="0036249D"/>
    <w:rsid w:val="00362A84"/>
    <w:rsid w:val="0036428E"/>
    <w:rsid w:val="003643A3"/>
    <w:rsid w:val="003644FB"/>
    <w:rsid w:val="00364B78"/>
    <w:rsid w:val="00364C2A"/>
    <w:rsid w:val="003651FD"/>
    <w:rsid w:val="00365293"/>
    <w:rsid w:val="0036530A"/>
    <w:rsid w:val="0036564B"/>
    <w:rsid w:val="00365AAC"/>
    <w:rsid w:val="00365D78"/>
    <w:rsid w:val="00366111"/>
    <w:rsid w:val="00366601"/>
    <w:rsid w:val="00366733"/>
    <w:rsid w:val="003669C8"/>
    <w:rsid w:val="00366C7B"/>
    <w:rsid w:val="003674AD"/>
    <w:rsid w:val="00367C68"/>
    <w:rsid w:val="003704B1"/>
    <w:rsid w:val="003708CD"/>
    <w:rsid w:val="00370F2A"/>
    <w:rsid w:val="00371AB2"/>
    <w:rsid w:val="00372B03"/>
    <w:rsid w:val="00372BBC"/>
    <w:rsid w:val="00373E01"/>
    <w:rsid w:val="00373F74"/>
    <w:rsid w:val="00374090"/>
    <w:rsid w:val="003742CF"/>
    <w:rsid w:val="00374344"/>
    <w:rsid w:val="00374407"/>
    <w:rsid w:val="00374F52"/>
    <w:rsid w:val="00375080"/>
    <w:rsid w:val="003751E6"/>
    <w:rsid w:val="00375283"/>
    <w:rsid w:val="003752E0"/>
    <w:rsid w:val="003756EE"/>
    <w:rsid w:val="00375AC7"/>
    <w:rsid w:val="00376241"/>
    <w:rsid w:val="00376845"/>
    <w:rsid w:val="0037692B"/>
    <w:rsid w:val="00377E71"/>
    <w:rsid w:val="0038003E"/>
    <w:rsid w:val="003806A7"/>
    <w:rsid w:val="0038086E"/>
    <w:rsid w:val="00380889"/>
    <w:rsid w:val="003808DA"/>
    <w:rsid w:val="00381179"/>
    <w:rsid w:val="0038121C"/>
    <w:rsid w:val="00381260"/>
    <w:rsid w:val="003813B6"/>
    <w:rsid w:val="003815FD"/>
    <w:rsid w:val="00381608"/>
    <w:rsid w:val="00381666"/>
    <w:rsid w:val="00381C7A"/>
    <w:rsid w:val="00381EE0"/>
    <w:rsid w:val="00382A2A"/>
    <w:rsid w:val="00382A4B"/>
    <w:rsid w:val="00382B0D"/>
    <w:rsid w:val="00382FBA"/>
    <w:rsid w:val="0038314E"/>
    <w:rsid w:val="00383539"/>
    <w:rsid w:val="00383B1B"/>
    <w:rsid w:val="00383E4C"/>
    <w:rsid w:val="0038495C"/>
    <w:rsid w:val="0038496D"/>
    <w:rsid w:val="00384D26"/>
    <w:rsid w:val="00385190"/>
    <w:rsid w:val="00385595"/>
    <w:rsid w:val="00385E73"/>
    <w:rsid w:val="0038624D"/>
    <w:rsid w:val="0038698E"/>
    <w:rsid w:val="00386B8F"/>
    <w:rsid w:val="00387154"/>
    <w:rsid w:val="003876F8"/>
    <w:rsid w:val="003905A1"/>
    <w:rsid w:val="0039070D"/>
    <w:rsid w:val="00390771"/>
    <w:rsid w:val="00390901"/>
    <w:rsid w:val="00390FB3"/>
    <w:rsid w:val="0039246C"/>
    <w:rsid w:val="00392832"/>
    <w:rsid w:val="003928DC"/>
    <w:rsid w:val="00392C45"/>
    <w:rsid w:val="003938A0"/>
    <w:rsid w:val="003947EE"/>
    <w:rsid w:val="00394901"/>
    <w:rsid w:val="00394B8E"/>
    <w:rsid w:val="003952E7"/>
    <w:rsid w:val="003958B9"/>
    <w:rsid w:val="00396E0C"/>
    <w:rsid w:val="003970FE"/>
    <w:rsid w:val="003974E3"/>
    <w:rsid w:val="003977DD"/>
    <w:rsid w:val="00397A8B"/>
    <w:rsid w:val="00397DE1"/>
    <w:rsid w:val="003A0289"/>
    <w:rsid w:val="003A05A4"/>
    <w:rsid w:val="003A1A53"/>
    <w:rsid w:val="003A1BF7"/>
    <w:rsid w:val="003A1C4F"/>
    <w:rsid w:val="003A22CF"/>
    <w:rsid w:val="003A2A03"/>
    <w:rsid w:val="003A34C8"/>
    <w:rsid w:val="003A383D"/>
    <w:rsid w:val="003A3888"/>
    <w:rsid w:val="003A3FEC"/>
    <w:rsid w:val="003A476E"/>
    <w:rsid w:val="003A4DDC"/>
    <w:rsid w:val="003A4F76"/>
    <w:rsid w:val="003A5056"/>
    <w:rsid w:val="003A50AE"/>
    <w:rsid w:val="003A5385"/>
    <w:rsid w:val="003A5AC0"/>
    <w:rsid w:val="003A660A"/>
    <w:rsid w:val="003A6BB1"/>
    <w:rsid w:val="003A6D81"/>
    <w:rsid w:val="003A7519"/>
    <w:rsid w:val="003A78C5"/>
    <w:rsid w:val="003A79A7"/>
    <w:rsid w:val="003B0205"/>
    <w:rsid w:val="003B0F4C"/>
    <w:rsid w:val="003B123E"/>
    <w:rsid w:val="003B1282"/>
    <w:rsid w:val="003B1460"/>
    <w:rsid w:val="003B2536"/>
    <w:rsid w:val="003B25FB"/>
    <w:rsid w:val="003B2E2E"/>
    <w:rsid w:val="003B2E37"/>
    <w:rsid w:val="003B3721"/>
    <w:rsid w:val="003B3893"/>
    <w:rsid w:val="003B3B11"/>
    <w:rsid w:val="003B3C45"/>
    <w:rsid w:val="003B3CEA"/>
    <w:rsid w:val="003B43DE"/>
    <w:rsid w:val="003B4F5A"/>
    <w:rsid w:val="003B50A0"/>
    <w:rsid w:val="003B55BA"/>
    <w:rsid w:val="003B561F"/>
    <w:rsid w:val="003B57B9"/>
    <w:rsid w:val="003B6A0D"/>
    <w:rsid w:val="003B6AF5"/>
    <w:rsid w:val="003B6DF8"/>
    <w:rsid w:val="003B6F63"/>
    <w:rsid w:val="003B72ED"/>
    <w:rsid w:val="003B7389"/>
    <w:rsid w:val="003B7636"/>
    <w:rsid w:val="003C042A"/>
    <w:rsid w:val="003C0C8C"/>
    <w:rsid w:val="003C0DCF"/>
    <w:rsid w:val="003C0F72"/>
    <w:rsid w:val="003C135E"/>
    <w:rsid w:val="003C15E3"/>
    <w:rsid w:val="003C19D7"/>
    <w:rsid w:val="003C1EEB"/>
    <w:rsid w:val="003C361A"/>
    <w:rsid w:val="003C3EB7"/>
    <w:rsid w:val="003C4355"/>
    <w:rsid w:val="003C4AC3"/>
    <w:rsid w:val="003C5CBD"/>
    <w:rsid w:val="003C5CFA"/>
    <w:rsid w:val="003C6085"/>
    <w:rsid w:val="003C61AD"/>
    <w:rsid w:val="003C627D"/>
    <w:rsid w:val="003C6981"/>
    <w:rsid w:val="003C7124"/>
    <w:rsid w:val="003C757B"/>
    <w:rsid w:val="003D0186"/>
    <w:rsid w:val="003D0193"/>
    <w:rsid w:val="003D05E0"/>
    <w:rsid w:val="003D1299"/>
    <w:rsid w:val="003D1860"/>
    <w:rsid w:val="003D1A9A"/>
    <w:rsid w:val="003D1BF4"/>
    <w:rsid w:val="003D1C92"/>
    <w:rsid w:val="003D1D10"/>
    <w:rsid w:val="003D234C"/>
    <w:rsid w:val="003D2BF3"/>
    <w:rsid w:val="003D2ED2"/>
    <w:rsid w:val="003D2F41"/>
    <w:rsid w:val="003D3A3D"/>
    <w:rsid w:val="003D3AAC"/>
    <w:rsid w:val="003D3B4D"/>
    <w:rsid w:val="003D4087"/>
    <w:rsid w:val="003D4436"/>
    <w:rsid w:val="003D4638"/>
    <w:rsid w:val="003D4A2A"/>
    <w:rsid w:val="003D4DCA"/>
    <w:rsid w:val="003D509A"/>
    <w:rsid w:val="003D5169"/>
    <w:rsid w:val="003D58BA"/>
    <w:rsid w:val="003D5CDF"/>
    <w:rsid w:val="003D6098"/>
    <w:rsid w:val="003D69B9"/>
    <w:rsid w:val="003D6E5F"/>
    <w:rsid w:val="003D6EC0"/>
    <w:rsid w:val="003D7A8D"/>
    <w:rsid w:val="003E04B7"/>
    <w:rsid w:val="003E06E4"/>
    <w:rsid w:val="003E1064"/>
    <w:rsid w:val="003E18C8"/>
    <w:rsid w:val="003E1FC3"/>
    <w:rsid w:val="003E201D"/>
    <w:rsid w:val="003E22CB"/>
    <w:rsid w:val="003E266B"/>
    <w:rsid w:val="003E295F"/>
    <w:rsid w:val="003E2EAB"/>
    <w:rsid w:val="003E3836"/>
    <w:rsid w:val="003E3BE6"/>
    <w:rsid w:val="003E405A"/>
    <w:rsid w:val="003E40BD"/>
    <w:rsid w:val="003E519B"/>
    <w:rsid w:val="003E64F3"/>
    <w:rsid w:val="003E6544"/>
    <w:rsid w:val="003E771C"/>
    <w:rsid w:val="003E784C"/>
    <w:rsid w:val="003F0484"/>
    <w:rsid w:val="003F04B8"/>
    <w:rsid w:val="003F07AF"/>
    <w:rsid w:val="003F08B3"/>
    <w:rsid w:val="003F0BAF"/>
    <w:rsid w:val="003F19BF"/>
    <w:rsid w:val="003F1EC6"/>
    <w:rsid w:val="003F2108"/>
    <w:rsid w:val="003F27D1"/>
    <w:rsid w:val="003F287E"/>
    <w:rsid w:val="003F4B66"/>
    <w:rsid w:val="003F4BA3"/>
    <w:rsid w:val="003F4CA3"/>
    <w:rsid w:val="003F4E4A"/>
    <w:rsid w:val="003F5D84"/>
    <w:rsid w:val="003F7000"/>
    <w:rsid w:val="003F77B4"/>
    <w:rsid w:val="003F7C3C"/>
    <w:rsid w:val="00400A85"/>
    <w:rsid w:val="00401247"/>
    <w:rsid w:val="0040153E"/>
    <w:rsid w:val="004015D1"/>
    <w:rsid w:val="004019EB"/>
    <w:rsid w:val="00401D44"/>
    <w:rsid w:val="004023F4"/>
    <w:rsid w:val="00402479"/>
    <w:rsid w:val="00402E10"/>
    <w:rsid w:val="00403310"/>
    <w:rsid w:val="0040413B"/>
    <w:rsid w:val="00404D47"/>
    <w:rsid w:val="00404E70"/>
    <w:rsid w:val="004057BD"/>
    <w:rsid w:val="00405DA5"/>
    <w:rsid w:val="00406562"/>
    <w:rsid w:val="0040659A"/>
    <w:rsid w:val="0040785C"/>
    <w:rsid w:val="0041040B"/>
    <w:rsid w:val="0041052A"/>
    <w:rsid w:val="00410A41"/>
    <w:rsid w:val="004113DE"/>
    <w:rsid w:val="00411CC6"/>
    <w:rsid w:val="00412786"/>
    <w:rsid w:val="00412DCF"/>
    <w:rsid w:val="00412DD2"/>
    <w:rsid w:val="00413574"/>
    <w:rsid w:val="0041411E"/>
    <w:rsid w:val="004144EE"/>
    <w:rsid w:val="004146BE"/>
    <w:rsid w:val="00414855"/>
    <w:rsid w:val="004150B6"/>
    <w:rsid w:val="00415460"/>
    <w:rsid w:val="00415483"/>
    <w:rsid w:val="00416BB2"/>
    <w:rsid w:val="004170E4"/>
    <w:rsid w:val="00417166"/>
    <w:rsid w:val="0041796F"/>
    <w:rsid w:val="004203DA"/>
    <w:rsid w:val="00420952"/>
    <w:rsid w:val="00420B2F"/>
    <w:rsid w:val="00420BC4"/>
    <w:rsid w:val="004214D7"/>
    <w:rsid w:val="004217F6"/>
    <w:rsid w:val="00421CC3"/>
    <w:rsid w:val="0042222D"/>
    <w:rsid w:val="00422413"/>
    <w:rsid w:val="00422E80"/>
    <w:rsid w:val="004230D2"/>
    <w:rsid w:val="00423DA1"/>
    <w:rsid w:val="0042446A"/>
    <w:rsid w:val="0042511C"/>
    <w:rsid w:val="0042518E"/>
    <w:rsid w:val="00425226"/>
    <w:rsid w:val="004252C2"/>
    <w:rsid w:val="00426401"/>
    <w:rsid w:val="00426B65"/>
    <w:rsid w:val="0042785B"/>
    <w:rsid w:val="004304C7"/>
    <w:rsid w:val="004308C9"/>
    <w:rsid w:val="00430E70"/>
    <w:rsid w:val="00431599"/>
    <w:rsid w:val="0043195B"/>
    <w:rsid w:val="00431C64"/>
    <w:rsid w:val="00432248"/>
    <w:rsid w:val="004326A8"/>
    <w:rsid w:val="0043275A"/>
    <w:rsid w:val="00433069"/>
    <w:rsid w:val="0043334E"/>
    <w:rsid w:val="00433507"/>
    <w:rsid w:val="004335AF"/>
    <w:rsid w:val="004337A1"/>
    <w:rsid w:val="00433A19"/>
    <w:rsid w:val="00434073"/>
    <w:rsid w:val="0043407D"/>
    <w:rsid w:val="00434F8C"/>
    <w:rsid w:val="00435134"/>
    <w:rsid w:val="00435847"/>
    <w:rsid w:val="00435CF2"/>
    <w:rsid w:val="00436258"/>
    <w:rsid w:val="00436AB1"/>
    <w:rsid w:val="00436C73"/>
    <w:rsid w:val="00436DAF"/>
    <w:rsid w:val="0043716F"/>
    <w:rsid w:val="004378CE"/>
    <w:rsid w:val="00437F57"/>
    <w:rsid w:val="004405B3"/>
    <w:rsid w:val="00440BA1"/>
    <w:rsid w:val="00441C1D"/>
    <w:rsid w:val="00441C68"/>
    <w:rsid w:val="00442A6D"/>
    <w:rsid w:val="00442CCD"/>
    <w:rsid w:val="004439C6"/>
    <w:rsid w:val="00444034"/>
    <w:rsid w:val="00445089"/>
    <w:rsid w:val="00445FAC"/>
    <w:rsid w:val="004460E9"/>
    <w:rsid w:val="0044617E"/>
    <w:rsid w:val="00446242"/>
    <w:rsid w:val="00446431"/>
    <w:rsid w:val="00446A67"/>
    <w:rsid w:val="00446BF2"/>
    <w:rsid w:val="00446EA6"/>
    <w:rsid w:val="004470E5"/>
    <w:rsid w:val="0044738E"/>
    <w:rsid w:val="0044740F"/>
    <w:rsid w:val="004502B3"/>
    <w:rsid w:val="004507A9"/>
    <w:rsid w:val="00450855"/>
    <w:rsid w:val="00450B3B"/>
    <w:rsid w:val="00451022"/>
    <w:rsid w:val="00451724"/>
    <w:rsid w:val="00451ABA"/>
    <w:rsid w:val="00451CAE"/>
    <w:rsid w:val="00451EFC"/>
    <w:rsid w:val="00451F3E"/>
    <w:rsid w:val="004522C1"/>
    <w:rsid w:val="0045256A"/>
    <w:rsid w:val="0045283E"/>
    <w:rsid w:val="004529D8"/>
    <w:rsid w:val="00452ED9"/>
    <w:rsid w:val="0045338E"/>
    <w:rsid w:val="00453600"/>
    <w:rsid w:val="0045374A"/>
    <w:rsid w:val="0045468F"/>
    <w:rsid w:val="00454874"/>
    <w:rsid w:val="00454C5C"/>
    <w:rsid w:val="00454EB9"/>
    <w:rsid w:val="00455734"/>
    <w:rsid w:val="00455D0D"/>
    <w:rsid w:val="00455D63"/>
    <w:rsid w:val="00455DFC"/>
    <w:rsid w:val="00456DED"/>
    <w:rsid w:val="00457051"/>
    <w:rsid w:val="0045711B"/>
    <w:rsid w:val="0045730E"/>
    <w:rsid w:val="00457581"/>
    <w:rsid w:val="00457774"/>
    <w:rsid w:val="004600FF"/>
    <w:rsid w:val="004618E7"/>
    <w:rsid w:val="00462520"/>
    <w:rsid w:val="00462C35"/>
    <w:rsid w:val="00462CFC"/>
    <w:rsid w:val="004634EE"/>
    <w:rsid w:val="004635D2"/>
    <w:rsid w:val="004636A4"/>
    <w:rsid w:val="00464291"/>
    <w:rsid w:val="00464917"/>
    <w:rsid w:val="00464C0F"/>
    <w:rsid w:val="00465039"/>
    <w:rsid w:val="00465BFC"/>
    <w:rsid w:val="004661E0"/>
    <w:rsid w:val="004663C1"/>
    <w:rsid w:val="00467492"/>
    <w:rsid w:val="0046761E"/>
    <w:rsid w:val="00467C2D"/>
    <w:rsid w:val="004709AC"/>
    <w:rsid w:val="00470B07"/>
    <w:rsid w:val="00471A32"/>
    <w:rsid w:val="00471AC2"/>
    <w:rsid w:val="00471CE8"/>
    <w:rsid w:val="00471F17"/>
    <w:rsid w:val="00472283"/>
    <w:rsid w:val="00472342"/>
    <w:rsid w:val="004724DE"/>
    <w:rsid w:val="00473182"/>
    <w:rsid w:val="004736F7"/>
    <w:rsid w:val="0047373F"/>
    <w:rsid w:val="00473CA5"/>
    <w:rsid w:val="00474376"/>
    <w:rsid w:val="00474F00"/>
    <w:rsid w:val="004753D6"/>
    <w:rsid w:val="00475D26"/>
    <w:rsid w:val="00475F3C"/>
    <w:rsid w:val="00476668"/>
    <w:rsid w:val="004768C4"/>
    <w:rsid w:val="004772C4"/>
    <w:rsid w:val="0047771E"/>
    <w:rsid w:val="00477723"/>
    <w:rsid w:val="00477A9D"/>
    <w:rsid w:val="00477D56"/>
    <w:rsid w:val="00477D9A"/>
    <w:rsid w:val="00477EE5"/>
    <w:rsid w:val="00480277"/>
    <w:rsid w:val="0048042C"/>
    <w:rsid w:val="00481CE5"/>
    <w:rsid w:val="00481DB0"/>
    <w:rsid w:val="00482813"/>
    <w:rsid w:val="00482FDC"/>
    <w:rsid w:val="00483795"/>
    <w:rsid w:val="004837B9"/>
    <w:rsid w:val="00483C56"/>
    <w:rsid w:val="00483C91"/>
    <w:rsid w:val="004840C2"/>
    <w:rsid w:val="00484B5D"/>
    <w:rsid w:val="00484CD7"/>
    <w:rsid w:val="00486243"/>
    <w:rsid w:val="004863A3"/>
    <w:rsid w:val="004868AF"/>
    <w:rsid w:val="00486D4E"/>
    <w:rsid w:val="00487058"/>
    <w:rsid w:val="004870D9"/>
    <w:rsid w:val="0048715F"/>
    <w:rsid w:val="00487174"/>
    <w:rsid w:val="004873F9"/>
    <w:rsid w:val="0048747D"/>
    <w:rsid w:val="0048758D"/>
    <w:rsid w:val="00487854"/>
    <w:rsid w:val="00490435"/>
    <w:rsid w:val="00490691"/>
    <w:rsid w:val="00490C85"/>
    <w:rsid w:val="00491CEA"/>
    <w:rsid w:val="004920D8"/>
    <w:rsid w:val="00492C8E"/>
    <w:rsid w:val="004938FA"/>
    <w:rsid w:val="00493914"/>
    <w:rsid w:val="00493B40"/>
    <w:rsid w:val="00493BDB"/>
    <w:rsid w:val="00493C79"/>
    <w:rsid w:val="00493EA2"/>
    <w:rsid w:val="00493F24"/>
    <w:rsid w:val="004949D0"/>
    <w:rsid w:val="00495279"/>
    <w:rsid w:val="004953CD"/>
    <w:rsid w:val="004955CD"/>
    <w:rsid w:val="0049595B"/>
    <w:rsid w:val="00496DAA"/>
    <w:rsid w:val="0049745E"/>
    <w:rsid w:val="00497677"/>
    <w:rsid w:val="0049771B"/>
    <w:rsid w:val="004A05C0"/>
    <w:rsid w:val="004A06A7"/>
    <w:rsid w:val="004A0B94"/>
    <w:rsid w:val="004A1159"/>
    <w:rsid w:val="004A1DBD"/>
    <w:rsid w:val="004A2663"/>
    <w:rsid w:val="004A34D5"/>
    <w:rsid w:val="004A3780"/>
    <w:rsid w:val="004A43F1"/>
    <w:rsid w:val="004A45DC"/>
    <w:rsid w:val="004A4666"/>
    <w:rsid w:val="004A4D14"/>
    <w:rsid w:val="004A4E22"/>
    <w:rsid w:val="004A5492"/>
    <w:rsid w:val="004A61EA"/>
    <w:rsid w:val="004A6496"/>
    <w:rsid w:val="004A6520"/>
    <w:rsid w:val="004A708D"/>
    <w:rsid w:val="004A7831"/>
    <w:rsid w:val="004A786F"/>
    <w:rsid w:val="004A7E33"/>
    <w:rsid w:val="004B0066"/>
    <w:rsid w:val="004B048A"/>
    <w:rsid w:val="004B2DAF"/>
    <w:rsid w:val="004B2FCC"/>
    <w:rsid w:val="004B312E"/>
    <w:rsid w:val="004B32DF"/>
    <w:rsid w:val="004B3A7B"/>
    <w:rsid w:val="004B3BCD"/>
    <w:rsid w:val="004B430B"/>
    <w:rsid w:val="004B4844"/>
    <w:rsid w:val="004B4CDA"/>
    <w:rsid w:val="004B577B"/>
    <w:rsid w:val="004B59D9"/>
    <w:rsid w:val="004B5F0B"/>
    <w:rsid w:val="004B6516"/>
    <w:rsid w:val="004B7766"/>
    <w:rsid w:val="004B78A4"/>
    <w:rsid w:val="004C0FEB"/>
    <w:rsid w:val="004C141A"/>
    <w:rsid w:val="004C167C"/>
    <w:rsid w:val="004C1A97"/>
    <w:rsid w:val="004C1F16"/>
    <w:rsid w:val="004C1F63"/>
    <w:rsid w:val="004C26CB"/>
    <w:rsid w:val="004C2E92"/>
    <w:rsid w:val="004C39DE"/>
    <w:rsid w:val="004C3D02"/>
    <w:rsid w:val="004C40E8"/>
    <w:rsid w:val="004C41B2"/>
    <w:rsid w:val="004C4277"/>
    <w:rsid w:val="004C43DF"/>
    <w:rsid w:val="004C4F45"/>
    <w:rsid w:val="004C538A"/>
    <w:rsid w:val="004C5ADF"/>
    <w:rsid w:val="004C5C52"/>
    <w:rsid w:val="004C5D71"/>
    <w:rsid w:val="004C6AD8"/>
    <w:rsid w:val="004C729E"/>
    <w:rsid w:val="004C739D"/>
    <w:rsid w:val="004C7401"/>
    <w:rsid w:val="004C749A"/>
    <w:rsid w:val="004D03FC"/>
    <w:rsid w:val="004D082C"/>
    <w:rsid w:val="004D08F5"/>
    <w:rsid w:val="004D145A"/>
    <w:rsid w:val="004D18FE"/>
    <w:rsid w:val="004D2600"/>
    <w:rsid w:val="004D2A67"/>
    <w:rsid w:val="004D31A8"/>
    <w:rsid w:val="004D3596"/>
    <w:rsid w:val="004D35E2"/>
    <w:rsid w:val="004D3875"/>
    <w:rsid w:val="004D438D"/>
    <w:rsid w:val="004D44BB"/>
    <w:rsid w:val="004D4912"/>
    <w:rsid w:val="004D589A"/>
    <w:rsid w:val="004D5A16"/>
    <w:rsid w:val="004D5DBC"/>
    <w:rsid w:val="004D5E02"/>
    <w:rsid w:val="004D5EB9"/>
    <w:rsid w:val="004D652F"/>
    <w:rsid w:val="004D667C"/>
    <w:rsid w:val="004D7117"/>
    <w:rsid w:val="004D75A9"/>
    <w:rsid w:val="004D78EC"/>
    <w:rsid w:val="004D7EDE"/>
    <w:rsid w:val="004E0332"/>
    <w:rsid w:val="004E0A5B"/>
    <w:rsid w:val="004E0DBF"/>
    <w:rsid w:val="004E12F7"/>
    <w:rsid w:val="004E14FA"/>
    <w:rsid w:val="004E1C65"/>
    <w:rsid w:val="004E3186"/>
    <w:rsid w:val="004E42E0"/>
    <w:rsid w:val="004E45FC"/>
    <w:rsid w:val="004E4C69"/>
    <w:rsid w:val="004E5323"/>
    <w:rsid w:val="004E54CA"/>
    <w:rsid w:val="004E58C3"/>
    <w:rsid w:val="004E6E10"/>
    <w:rsid w:val="004E7A9E"/>
    <w:rsid w:val="004E7CA3"/>
    <w:rsid w:val="004F150B"/>
    <w:rsid w:val="004F1E65"/>
    <w:rsid w:val="004F2383"/>
    <w:rsid w:val="004F2BBB"/>
    <w:rsid w:val="004F2DA7"/>
    <w:rsid w:val="004F402F"/>
    <w:rsid w:val="004F47A7"/>
    <w:rsid w:val="004F5854"/>
    <w:rsid w:val="004F59CD"/>
    <w:rsid w:val="004F60D9"/>
    <w:rsid w:val="004F620B"/>
    <w:rsid w:val="004F6DFD"/>
    <w:rsid w:val="004F6EB8"/>
    <w:rsid w:val="004F7872"/>
    <w:rsid w:val="004F7A65"/>
    <w:rsid w:val="004F7BF7"/>
    <w:rsid w:val="00500191"/>
    <w:rsid w:val="00500472"/>
    <w:rsid w:val="00500529"/>
    <w:rsid w:val="005006ED"/>
    <w:rsid w:val="00500B53"/>
    <w:rsid w:val="00500B5A"/>
    <w:rsid w:val="00500BF2"/>
    <w:rsid w:val="00500C40"/>
    <w:rsid w:val="00501313"/>
    <w:rsid w:val="0050156C"/>
    <w:rsid w:val="00501706"/>
    <w:rsid w:val="0050244F"/>
    <w:rsid w:val="00502AD5"/>
    <w:rsid w:val="005031A4"/>
    <w:rsid w:val="005035A4"/>
    <w:rsid w:val="00503A6A"/>
    <w:rsid w:val="00504888"/>
    <w:rsid w:val="005053D6"/>
    <w:rsid w:val="00505654"/>
    <w:rsid w:val="00505AD3"/>
    <w:rsid w:val="00505BA0"/>
    <w:rsid w:val="00505E50"/>
    <w:rsid w:val="00506AF1"/>
    <w:rsid w:val="00506D66"/>
    <w:rsid w:val="005073E0"/>
    <w:rsid w:val="00507929"/>
    <w:rsid w:val="005105B3"/>
    <w:rsid w:val="005114E8"/>
    <w:rsid w:val="00511D43"/>
    <w:rsid w:val="005121BB"/>
    <w:rsid w:val="005121D5"/>
    <w:rsid w:val="00512215"/>
    <w:rsid w:val="005125C4"/>
    <w:rsid w:val="005127F1"/>
    <w:rsid w:val="005129AA"/>
    <w:rsid w:val="00512C54"/>
    <w:rsid w:val="00512C5C"/>
    <w:rsid w:val="005143F4"/>
    <w:rsid w:val="00515A35"/>
    <w:rsid w:val="00515AB5"/>
    <w:rsid w:val="00515AF6"/>
    <w:rsid w:val="00515BAA"/>
    <w:rsid w:val="00515F69"/>
    <w:rsid w:val="00516093"/>
    <w:rsid w:val="005161D2"/>
    <w:rsid w:val="0051650C"/>
    <w:rsid w:val="005175D0"/>
    <w:rsid w:val="00517991"/>
    <w:rsid w:val="00517C18"/>
    <w:rsid w:val="00517E17"/>
    <w:rsid w:val="00517FEB"/>
    <w:rsid w:val="005201D8"/>
    <w:rsid w:val="005203FE"/>
    <w:rsid w:val="0052066F"/>
    <w:rsid w:val="00520786"/>
    <w:rsid w:val="005207BB"/>
    <w:rsid w:val="00520879"/>
    <w:rsid w:val="00520BBC"/>
    <w:rsid w:val="0052172B"/>
    <w:rsid w:val="005229E8"/>
    <w:rsid w:val="00523347"/>
    <w:rsid w:val="005233D3"/>
    <w:rsid w:val="00523F86"/>
    <w:rsid w:val="00524EF6"/>
    <w:rsid w:val="00525123"/>
    <w:rsid w:val="0052512B"/>
    <w:rsid w:val="00525A48"/>
    <w:rsid w:val="00525E2B"/>
    <w:rsid w:val="005265A2"/>
    <w:rsid w:val="0052661C"/>
    <w:rsid w:val="00526F51"/>
    <w:rsid w:val="005272BE"/>
    <w:rsid w:val="00527416"/>
    <w:rsid w:val="00530F5B"/>
    <w:rsid w:val="005314D9"/>
    <w:rsid w:val="00531A94"/>
    <w:rsid w:val="00531DCB"/>
    <w:rsid w:val="005321F4"/>
    <w:rsid w:val="00532286"/>
    <w:rsid w:val="0053278F"/>
    <w:rsid w:val="0053279A"/>
    <w:rsid w:val="0053283F"/>
    <w:rsid w:val="005330F1"/>
    <w:rsid w:val="005332F5"/>
    <w:rsid w:val="00533B4F"/>
    <w:rsid w:val="005340CC"/>
    <w:rsid w:val="00534734"/>
    <w:rsid w:val="00534A1D"/>
    <w:rsid w:val="00534AF9"/>
    <w:rsid w:val="00534B3C"/>
    <w:rsid w:val="005354B3"/>
    <w:rsid w:val="00535941"/>
    <w:rsid w:val="00535A98"/>
    <w:rsid w:val="00535FB8"/>
    <w:rsid w:val="00535FC1"/>
    <w:rsid w:val="00536217"/>
    <w:rsid w:val="00536270"/>
    <w:rsid w:val="00536591"/>
    <w:rsid w:val="00536B19"/>
    <w:rsid w:val="00536E74"/>
    <w:rsid w:val="00537FE1"/>
    <w:rsid w:val="00540231"/>
    <w:rsid w:val="0054061D"/>
    <w:rsid w:val="005406D3"/>
    <w:rsid w:val="00540BEE"/>
    <w:rsid w:val="005417B5"/>
    <w:rsid w:val="00542302"/>
    <w:rsid w:val="005429B4"/>
    <w:rsid w:val="00542B36"/>
    <w:rsid w:val="00542BE8"/>
    <w:rsid w:val="0054320C"/>
    <w:rsid w:val="00543790"/>
    <w:rsid w:val="00543840"/>
    <w:rsid w:val="00543CBE"/>
    <w:rsid w:val="00543E4D"/>
    <w:rsid w:val="0054447E"/>
    <w:rsid w:val="005448CA"/>
    <w:rsid w:val="00544F99"/>
    <w:rsid w:val="005455AB"/>
    <w:rsid w:val="00545FB5"/>
    <w:rsid w:val="00550538"/>
    <w:rsid w:val="005509CD"/>
    <w:rsid w:val="00550CA4"/>
    <w:rsid w:val="00551319"/>
    <w:rsid w:val="00551958"/>
    <w:rsid w:val="0055200C"/>
    <w:rsid w:val="00552997"/>
    <w:rsid w:val="00552B80"/>
    <w:rsid w:val="00552FBD"/>
    <w:rsid w:val="0055314B"/>
    <w:rsid w:val="005537D7"/>
    <w:rsid w:val="005538F4"/>
    <w:rsid w:val="0055414F"/>
    <w:rsid w:val="00554581"/>
    <w:rsid w:val="00554BF4"/>
    <w:rsid w:val="00554D15"/>
    <w:rsid w:val="00555069"/>
    <w:rsid w:val="00555E58"/>
    <w:rsid w:val="00557675"/>
    <w:rsid w:val="005577EA"/>
    <w:rsid w:val="005579ED"/>
    <w:rsid w:val="005579F7"/>
    <w:rsid w:val="00557DCF"/>
    <w:rsid w:val="005605A1"/>
    <w:rsid w:val="00560E96"/>
    <w:rsid w:val="00561146"/>
    <w:rsid w:val="0056119D"/>
    <w:rsid w:val="00561AFF"/>
    <w:rsid w:val="005621B2"/>
    <w:rsid w:val="005625AC"/>
    <w:rsid w:val="005626BA"/>
    <w:rsid w:val="00562757"/>
    <w:rsid w:val="005628A0"/>
    <w:rsid w:val="005629E7"/>
    <w:rsid w:val="00562A01"/>
    <w:rsid w:val="00562DC0"/>
    <w:rsid w:val="00562E63"/>
    <w:rsid w:val="00563242"/>
    <w:rsid w:val="0056347B"/>
    <w:rsid w:val="00563ADB"/>
    <w:rsid w:val="00563FE9"/>
    <w:rsid w:val="0056418E"/>
    <w:rsid w:val="0056426E"/>
    <w:rsid w:val="00564E19"/>
    <w:rsid w:val="00564F73"/>
    <w:rsid w:val="00565071"/>
    <w:rsid w:val="00565AA7"/>
    <w:rsid w:val="00566690"/>
    <w:rsid w:val="00567121"/>
    <w:rsid w:val="00567737"/>
    <w:rsid w:val="00567D40"/>
    <w:rsid w:val="005703A8"/>
    <w:rsid w:val="005706B1"/>
    <w:rsid w:val="005708F5"/>
    <w:rsid w:val="00570E0C"/>
    <w:rsid w:val="005716A3"/>
    <w:rsid w:val="00572729"/>
    <w:rsid w:val="00573B03"/>
    <w:rsid w:val="00573D27"/>
    <w:rsid w:val="0057408F"/>
    <w:rsid w:val="00574ED6"/>
    <w:rsid w:val="00575107"/>
    <w:rsid w:val="0057514C"/>
    <w:rsid w:val="00575601"/>
    <w:rsid w:val="005758C1"/>
    <w:rsid w:val="00576517"/>
    <w:rsid w:val="00576B7E"/>
    <w:rsid w:val="0057765A"/>
    <w:rsid w:val="0057789B"/>
    <w:rsid w:val="00577B05"/>
    <w:rsid w:val="00580B9F"/>
    <w:rsid w:val="00580E63"/>
    <w:rsid w:val="0058123E"/>
    <w:rsid w:val="0058153E"/>
    <w:rsid w:val="00581B18"/>
    <w:rsid w:val="005823D7"/>
    <w:rsid w:val="0058331B"/>
    <w:rsid w:val="00583807"/>
    <w:rsid w:val="00584909"/>
    <w:rsid w:val="00584BB2"/>
    <w:rsid w:val="00584E79"/>
    <w:rsid w:val="00584E8A"/>
    <w:rsid w:val="0058529B"/>
    <w:rsid w:val="005852FF"/>
    <w:rsid w:val="00585552"/>
    <w:rsid w:val="00585BCF"/>
    <w:rsid w:val="005862CC"/>
    <w:rsid w:val="0058710F"/>
    <w:rsid w:val="00587596"/>
    <w:rsid w:val="00587717"/>
    <w:rsid w:val="00587729"/>
    <w:rsid w:val="00587A99"/>
    <w:rsid w:val="005907F9"/>
    <w:rsid w:val="00590B44"/>
    <w:rsid w:val="005911AA"/>
    <w:rsid w:val="00592108"/>
    <w:rsid w:val="00592314"/>
    <w:rsid w:val="00592CAB"/>
    <w:rsid w:val="00593228"/>
    <w:rsid w:val="005939B6"/>
    <w:rsid w:val="00593F67"/>
    <w:rsid w:val="0059443F"/>
    <w:rsid w:val="005944BB"/>
    <w:rsid w:val="0059530F"/>
    <w:rsid w:val="005961AE"/>
    <w:rsid w:val="0059626E"/>
    <w:rsid w:val="0059655A"/>
    <w:rsid w:val="00596732"/>
    <w:rsid w:val="00597CEC"/>
    <w:rsid w:val="00597E3D"/>
    <w:rsid w:val="005A08BE"/>
    <w:rsid w:val="005A0926"/>
    <w:rsid w:val="005A0CF6"/>
    <w:rsid w:val="005A0E88"/>
    <w:rsid w:val="005A13D1"/>
    <w:rsid w:val="005A144F"/>
    <w:rsid w:val="005A28AC"/>
    <w:rsid w:val="005A2D70"/>
    <w:rsid w:val="005A30B3"/>
    <w:rsid w:val="005A4085"/>
    <w:rsid w:val="005A4358"/>
    <w:rsid w:val="005A4418"/>
    <w:rsid w:val="005A47B5"/>
    <w:rsid w:val="005A491E"/>
    <w:rsid w:val="005A4D2D"/>
    <w:rsid w:val="005A5067"/>
    <w:rsid w:val="005A57B5"/>
    <w:rsid w:val="005A5B0C"/>
    <w:rsid w:val="005A605B"/>
    <w:rsid w:val="005A6378"/>
    <w:rsid w:val="005A6530"/>
    <w:rsid w:val="005A6C4D"/>
    <w:rsid w:val="005A6DEC"/>
    <w:rsid w:val="005A74D5"/>
    <w:rsid w:val="005A78F5"/>
    <w:rsid w:val="005B01F2"/>
    <w:rsid w:val="005B0202"/>
    <w:rsid w:val="005B0CEC"/>
    <w:rsid w:val="005B1323"/>
    <w:rsid w:val="005B1396"/>
    <w:rsid w:val="005B1F31"/>
    <w:rsid w:val="005B21A2"/>
    <w:rsid w:val="005B2516"/>
    <w:rsid w:val="005B2A6C"/>
    <w:rsid w:val="005B2DE8"/>
    <w:rsid w:val="005B2FF0"/>
    <w:rsid w:val="005B3AE9"/>
    <w:rsid w:val="005B4281"/>
    <w:rsid w:val="005B48C4"/>
    <w:rsid w:val="005B4AF9"/>
    <w:rsid w:val="005B4DDD"/>
    <w:rsid w:val="005B5216"/>
    <w:rsid w:val="005B5CF9"/>
    <w:rsid w:val="005B5F54"/>
    <w:rsid w:val="005B6A99"/>
    <w:rsid w:val="005B6DAB"/>
    <w:rsid w:val="005B7293"/>
    <w:rsid w:val="005B7603"/>
    <w:rsid w:val="005B7942"/>
    <w:rsid w:val="005C159E"/>
    <w:rsid w:val="005C1CA1"/>
    <w:rsid w:val="005C1FAF"/>
    <w:rsid w:val="005C27AF"/>
    <w:rsid w:val="005C2990"/>
    <w:rsid w:val="005C2CF3"/>
    <w:rsid w:val="005C34A6"/>
    <w:rsid w:val="005C368D"/>
    <w:rsid w:val="005C370D"/>
    <w:rsid w:val="005C3C5E"/>
    <w:rsid w:val="005C40D7"/>
    <w:rsid w:val="005C4A52"/>
    <w:rsid w:val="005C5DB7"/>
    <w:rsid w:val="005C61CA"/>
    <w:rsid w:val="005C61F3"/>
    <w:rsid w:val="005C6554"/>
    <w:rsid w:val="005C69A8"/>
    <w:rsid w:val="005C6C0A"/>
    <w:rsid w:val="005C6EB8"/>
    <w:rsid w:val="005C78FA"/>
    <w:rsid w:val="005C7913"/>
    <w:rsid w:val="005C7928"/>
    <w:rsid w:val="005C7D85"/>
    <w:rsid w:val="005C7DEB"/>
    <w:rsid w:val="005D0401"/>
    <w:rsid w:val="005D0CC5"/>
    <w:rsid w:val="005D14A8"/>
    <w:rsid w:val="005D14FC"/>
    <w:rsid w:val="005D15E7"/>
    <w:rsid w:val="005D18D2"/>
    <w:rsid w:val="005D28A3"/>
    <w:rsid w:val="005D2D5F"/>
    <w:rsid w:val="005D30EC"/>
    <w:rsid w:val="005D3285"/>
    <w:rsid w:val="005D353A"/>
    <w:rsid w:val="005D3582"/>
    <w:rsid w:val="005D3D4A"/>
    <w:rsid w:val="005D47EF"/>
    <w:rsid w:val="005D482A"/>
    <w:rsid w:val="005D5374"/>
    <w:rsid w:val="005D596B"/>
    <w:rsid w:val="005D60FF"/>
    <w:rsid w:val="005D6A3D"/>
    <w:rsid w:val="005D73C6"/>
    <w:rsid w:val="005D76D0"/>
    <w:rsid w:val="005D7A07"/>
    <w:rsid w:val="005E0114"/>
    <w:rsid w:val="005E0401"/>
    <w:rsid w:val="005E04A6"/>
    <w:rsid w:val="005E0DB4"/>
    <w:rsid w:val="005E11AA"/>
    <w:rsid w:val="005E2082"/>
    <w:rsid w:val="005E25B7"/>
    <w:rsid w:val="005E2D84"/>
    <w:rsid w:val="005E3141"/>
    <w:rsid w:val="005E32D7"/>
    <w:rsid w:val="005E367C"/>
    <w:rsid w:val="005E3B3A"/>
    <w:rsid w:val="005E4135"/>
    <w:rsid w:val="005E4787"/>
    <w:rsid w:val="005E50C3"/>
    <w:rsid w:val="005E5159"/>
    <w:rsid w:val="005E566E"/>
    <w:rsid w:val="005E6F70"/>
    <w:rsid w:val="005E77D7"/>
    <w:rsid w:val="005E7EF0"/>
    <w:rsid w:val="005F0857"/>
    <w:rsid w:val="005F1051"/>
    <w:rsid w:val="005F11AD"/>
    <w:rsid w:val="005F1ABF"/>
    <w:rsid w:val="005F1C65"/>
    <w:rsid w:val="005F1F82"/>
    <w:rsid w:val="005F1FC6"/>
    <w:rsid w:val="005F239F"/>
    <w:rsid w:val="005F28A1"/>
    <w:rsid w:val="005F37D2"/>
    <w:rsid w:val="005F3B51"/>
    <w:rsid w:val="005F3C08"/>
    <w:rsid w:val="005F3F9B"/>
    <w:rsid w:val="005F4E1B"/>
    <w:rsid w:val="005F5031"/>
    <w:rsid w:val="005F5398"/>
    <w:rsid w:val="005F5AEB"/>
    <w:rsid w:val="005F69EB"/>
    <w:rsid w:val="005F6FFE"/>
    <w:rsid w:val="005F7114"/>
    <w:rsid w:val="005F7629"/>
    <w:rsid w:val="005F777A"/>
    <w:rsid w:val="005F7A1F"/>
    <w:rsid w:val="0060067F"/>
    <w:rsid w:val="006006CA"/>
    <w:rsid w:val="0060094D"/>
    <w:rsid w:val="00600E98"/>
    <w:rsid w:val="00600EC7"/>
    <w:rsid w:val="00600F6F"/>
    <w:rsid w:val="0060108D"/>
    <w:rsid w:val="0060164D"/>
    <w:rsid w:val="00601D83"/>
    <w:rsid w:val="0060272D"/>
    <w:rsid w:val="00602EC7"/>
    <w:rsid w:val="0060382E"/>
    <w:rsid w:val="00603CFF"/>
    <w:rsid w:val="00604966"/>
    <w:rsid w:val="006049C5"/>
    <w:rsid w:val="00604AE9"/>
    <w:rsid w:val="006054D5"/>
    <w:rsid w:val="00605A07"/>
    <w:rsid w:val="00605D8F"/>
    <w:rsid w:val="00605DED"/>
    <w:rsid w:val="006067A0"/>
    <w:rsid w:val="00606CAC"/>
    <w:rsid w:val="00607554"/>
    <w:rsid w:val="0060789F"/>
    <w:rsid w:val="00607C36"/>
    <w:rsid w:val="00607DB3"/>
    <w:rsid w:val="006106CF"/>
    <w:rsid w:val="00610A49"/>
    <w:rsid w:val="00610A6D"/>
    <w:rsid w:val="006112BA"/>
    <w:rsid w:val="006114D8"/>
    <w:rsid w:val="00611FB4"/>
    <w:rsid w:val="006123EE"/>
    <w:rsid w:val="0061325B"/>
    <w:rsid w:val="00613863"/>
    <w:rsid w:val="006138E3"/>
    <w:rsid w:val="0061398D"/>
    <w:rsid w:val="00613C23"/>
    <w:rsid w:val="0061418D"/>
    <w:rsid w:val="006143BF"/>
    <w:rsid w:val="00615423"/>
    <w:rsid w:val="006158BA"/>
    <w:rsid w:val="00616063"/>
    <w:rsid w:val="006161D8"/>
    <w:rsid w:val="006163E4"/>
    <w:rsid w:val="00616EA7"/>
    <w:rsid w:val="00617175"/>
    <w:rsid w:val="0061739E"/>
    <w:rsid w:val="006173CF"/>
    <w:rsid w:val="0061783C"/>
    <w:rsid w:val="0061798F"/>
    <w:rsid w:val="006209DD"/>
    <w:rsid w:val="0062143F"/>
    <w:rsid w:val="0062235E"/>
    <w:rsid w:val="00622DAE"/>
    <w:rsid w:val="0062393C"/>
    <w:rsid w:val="00624B88"/>
    <w:rsid w:val="00624CF0"/>
    <w:rsid w:val="00625036"/>
    <w:rsid w:val="006257BA"/>
    <w:rsid w:val="00625C7F"/>
    <w:rsid w:val="00626D66"/>
    <w:rsid w:val="006274BB"/>
    <w:rsid w:val="00627835"/>
    <w:rsid w:val="006301EB"/>
    <w:rsid w:val="00630226"/>
    <w:rsid w:val="00630891"/>
    <w:rsid w:val="00630D10"/>
    <w:rsid w:val="006313C5"/>
    <w:rsid w:val="00631CA4"/>
    <w:rsid w:val="00632445"/>
    <w:rsid w:val="006327D8"/>
    <w:rsid w:val="0063290C"/>
    <w:rsid w:val="00632C7F"/>
    <w:rsid w:val="006332AB"/>
    <w:rsid w:val="00633635"/>
    <w:rsid w:val="00633F53"/>
    <w:rsid w:val="00633FC9"/>
    <w:rsid w:val="00634133"/>
    <w:rsid w:val="006341F3"/>
    <w:rsid w:val="0063425C"/>
    <w:rsid w:val="00634CD6"/>
    <w:rsid w:val="00634F16"/>
    <w:rsid w:val="006350FB"/>
    <w:rsid w:val="0063519F"/>
    <w:rsid w:val="00635D6D"/>
    <w:rsid w:val="00636142"/>
    <w:rsid w:val="0063696C"/>
    <w:rsid w:val="00636AAC"/>
    <w:rsid w:val="00637A8B"/>
    <w:rsid w:val="00637B98"/>
    <w:rsid w:val="00637EB7"/>
    <w:rsid w:val="006403CA"/>
    <w:rsid w:val="00640D08"/>
    <w:rsid w:val="0064148C"/>
    <w:rsid w:val="00641F38"/>
    <w:rsid w:val="00641FC6"/>
    <w:rsid w:val="00642313"/>
    <w:rsid w:val="006423B1"/>
    <w:rsid w:val="00642A8F"/>
    <w:rsid w:val="006431AE"/>
    <w:rsid w:val="00643BA9"/>
    <w:rsid w:val="00643DA6"/>
    <w:rsid w:val="0064437E"/>
    <w:rsid w:val="006446EB"/>
    <w:rsid w:val="00645006"/>
    <w:rsid w:val="006451DD"/>
    <w:rsid w:val="006458F4"/>
    <w:rsid w:val="00645CBB"/>
    <w:rsid w:val="00645EAF"/>
    <w:rsid w:val="006462E3"/>
    <w:rsid w:val="006464FE"/>
    <w:rsid w:val="006467E9"/>
    <w:rsid w:val="0064692C"/>
    <w:rsid w:val="00646EA4"/>
    <w:rsid w:val="00647033"/>
    <w:rsid w:val="0064745B"/>
    <w:rsid w:val="006474A4"/>
    <w:rsid w:val="00647690"/>
    <w:rsid w:val="006503AF"/>
    <w:rsid w:val="00650604"/>
    <w:rsid w:val="00650641"/>
    <w:rsid w:val="006506B7"/>
    <w:rsid w:val="0065192A"/>
    <w:rsid w:val="0065242B"/>
    <w:rsid w:val="00652638"/>
    <w:rsid w:val="006526C1"/>
    <w:rsid w:val="00652911"/>
    <w:rsid w:val="00653347"/>
    <w:rsid w:val="0065400D"/>
    <w:rsid w:val="0065425F"/>
    <w:rsid w:val="0065448E"/>
    <w:rsid w:val="006549AB"/>
    <w:rsid w:val="00655954"/>
    <w:rsid w:val="00655D64"/>
    <w:rsid w:val="0065707C"/>
    <w:rsid w:val="00657623"/>
    <w:rsid w:val="00657E57"/>
    <w:rsid w:val="006605DA"/>
    <w:rsid w:val="00660C81"/>
    <w:rsid w:val="00660EDC"/>
    <w:rsid w:val="006617A4"/>
    <w:rsid w:val="0066250D"/>
    <w:rsid w:val="0066274A"/>
    <w:rsid w:val="00662CD2"/>
    <w:rsid w:val="0066382F"/>
    <w:rsid w:val="00664251"/>
    <w:rsid w:val="006643E9"/>
    <w:rsid w:val="00664E39"/>
    <w:rsid w:val="00664FE3"/>
    <w:rsid w:val="0066549D"/>
    <w:rsid w:val="00665BAB"/>
    <w:rsid w:val="00666459"/>
    <w:rsid w:val="0066658F"/>
    <w:rsid w:val="00666701"/>
    <w:rsid w:val="00666BD2"/>
    <w:rsid w:val="00667DA0"/>
    <w:rsid w:val="00667FE8"/>
    <w:rsid w:val="0067116A"/>
    <w:rsid w:val="00671AC0"/>
    <w:rsid w:val="00671B2F"/>
    <w:rsid w:val="00671E88"/>
    <w:rsid w:val="00672345"/>
    <w:rsid w:val="00672A3B"/>
    <w:rsid w:val="00673B25"/>
    <w:rsid w:val="00673B88"/>
    <w:rsid w:val="0067406D"/>
    <w:rsid w:val="006744A2"/>
    <w:rsid w:val="00674E4E"/>
    <w:rsid w:val="00675032"/>
    <w:rsid w:val="006750DA"/>
    <w:rsid w:val="0067579A"/>
    <w:rsid w:val="006757DB"/>
    <w:rsid w:val="0067596D"/>
    <w:rsid w:val="00676B83"/>
    <w:rsid w:val="00677531"/>
    <w:rsid w:val="00677736"/>
    <w:rsid w:val="00677F26"/>
    <w:rsid w:val="006803CA"/>
    <w:rsid w:val="0068069C"/>
    <w:rsid w:val="006811E0"/>
    <w:rsid w:val="006812F2"/>
    <w:rsid w:val="00681428"/>
    <w:rsid w:val="006815AB"/>
    <w:rsid w:val="00681CE7"/>
    <w:rsid w:val="00681E15"/>
    <w:rsid w:val="00681F8C"/>
    <w:rsid w:val="00682392"/>
    <w:rsid w:val="00682A7E"/>
    <w:rsid w:val="00682EFB"/>
    <w:rsid w:val="0068309C"/>
    <w:rsid w:val="0068393B"/>
    <w:rsid w:val="006839B8"/>
    <w:rsid w:val="00683A2F"/>
    <w:rsid w:val="00684442"/>
    <w:rsid w:val="00684962"/>
    <w:rsid w:val="0068566A"/>
    <w:rsid w:val="00685847"/>
    <w:rsid w:val="00685BC7"/>
    <w:rsid w:val="00685C47"/>
    <w:rsid w:val="0068690C"/>
    <w:rsid w:val="0068693A"/>
    <w:rsid w:val="00686B1E"/>
    <w:rsid w:val="00686D73"/>
    <w:rsid w:val="00686F6C"/>
    <w:rsid w:val="006873CB"/>
    <w:rsid w:val="006878D9"/>
    <w:rsid w:val="00687CB6"/>
    <w:rsid w:val="00687E94"/>
    <w:rsid w:val="00690441"/>
    <w:rsid w:val="006905D7"/>
    <w:rsid w:val="0069080A"/>
    <w:rsid w:val="00691219"/>
    <w:rsid w:val="0069121A"/>
    <w:rsid w:val="0069287A"/>
    <w:rsid w:val="00692EBE"/>
    <w:rsid w:val="00693727"/>
    <w:rsid w:val="00693AF4"/>
    <w:rsid w:val="00693B4A"/>
    <w:rsid w:val="00694612"/>
    <w:rsid w:val="00694CEB"/>
    <w:rsid w:val="006955E9"/>
    <w:rsid w:val="00695C09"/>
    <w:rsid w:val="00696725"/>
    <w:rsid w:val="00697514"/>
    <w:rsid w:val="006A0106"/>
    <w:rsid w:val="006A0550"/>
    <w:rsid w:val="006A058C"/>
    <w:rsid w:val="006A0974"/>
    <w:rsid w:val="006A0B82"/>
    <w:rsid w:val="006A15A1"/>
    <w:rsid w:val="006A20B6"/>
    <w:rsid w:val="006A20DF"/>
    <w:rsid w:val="006A2825"/>
    <w:rsid w:val="006A29BE"/>
    <w:rsid w:val="006A2BCD"/>
    <w:rsid w:val="006A328A"/>
    <w:rsid w:val="006A3541"/>
    <w:rsid w:val="006A4102"/>
    <w:rsid w:val="006A41E2"/>
    <w:rsid w:val="006A464C"/>
    <w:rsid w:val="006A4700"/>
    <w:rsid w:val="006A48C8"/>
    <w:rsid w:val="006A5D48"/>
    <w:rsid w:val="006A623A"/>
    <w:rsid w:val="006A69FF"/>
    <w:rsid w:val="006A7038"/>
    <w:rsid w:val="006A73CD"/>
    <w:rsid w:val="006A780B"/>
    <w:rsid w:val="006A78FD"/>
    <w:rsid w:val="006A7DEE"/>
    <w:rsid w:val="006B0151"/>
    <w:rsid w:val="006B0584"/>
    <w:rsid w:val="006B1632"/>
    <w:rsid w:val="006B24B3"/>
    <w:rsid w:val="006B2529"/>
    <w:rsid w:val="006B2CA4"/>
    <w:rsid w:val="006B2D7F"/>
    <w:rsid w:val="006B323E"/>
    <w:rsid w:val="006B3B41"/>
    <w:rsid w:val="006B3B7E"/>
    <w:rsid w:val="006B52F3"/>
    <w:rsid w:val="006B54BB"/>
    <w:rsid w:val="006B61AC"/>
    <w:rsid w:val="006B6994"/>
    <w:rsid w:val="006B6CE8"/>
    <w:rsid w:val="006B6F21"/>
    <w:rsid w:val="006B7130"/>
    <w:rsid w:val="006C04D1"/>
    <w:rsid w:val="006C0895"/>
    <w:rsid w:val="006C1DFE"/>
    <w:rsid w:val="006C21CB"/>
    <w:rsid w:val="006C2296"/>
    <w:rsid w:val="006C2A53"/>
    <w:rsid w:val="006C2A80"/>
    <w:rsid w:val="006C2E9B"/>
    <w:rsid w:val="006C2F32"/>
    <w:rsid w:val="006C3018"/>
    <w:rsid w:val="006C31C4"/>
    <w:rsid w:val="006C3336"/>
    <w:rsid w:val="006C340E"/>
    <w:rsid w:val="006C36CF"/>
    <w:rsid w:val="006C3724"/>
    <w:rsid w:val="006C3A4D"/>
    <w:rsid w:val="006C3E1B"/>
    <w:rsid w:val="006C4258"/>
    <w:rsid w:val="006C48BC"/>
    <w:rsid w:val="006C4B3A"/>
    <w:rsid w:val="006C53A3"/>
    <w:rsid w:val="006C576D"/>
    <w:rsid w:val="006C5BFF"/>
    <w:rsid w:val="006C5DAF"/>
    <w:rsid w:val="006C7AD5"/>
    <w:rsid w:val="006C7F58"/>
    <w:rsid w:val="006D0485"/>
    <w:rsid w:val="006D16EE"/>
    <w:rsid w:val="006D17E7"/>
    <w:rsid w:val="006D1AFD"/>
    <w:rsid w:val="006D1B9E"/>
    <w:rsid w:val="006D1F59"/>
    <w:rsid w:val="006D20E9"/>
    <w:rsid w:val="006D3169"/>
    <w:rsid w:val="006D3F69"/>
    <w:rsid w:val="006D44CC"/>
    <w:rsid w:val="006D4707"/>
    <w:rsid w:val="006D6CBF"/>
    <w:rsid w:val="006E01C4"/>
    <w:rsid w:val="006E05E8"/>
    <w:rsid w:val="006E0748"/>
    <w:rsid w:val="006E0927"/>
    <w:rsid w:val="006E1BD5"/>
    <w:rsid w:val="006E1DF1"/>
    <w:rsid w:val="006E1E81"/>
    <w:rsid w:val="006E23A4"/>
    <w:rsid w:val="006E2680"/>
    <w:rsid w:val="006E26F2"/>
    <w:rsid w:val="006E2732"/>
    <w:rsid w:val="006E29FC"/>
    <w:rsid w:val="006E2CA8"/>
    <w:rsid w:val="006E3095"/>
    <w:rsid w:val="006E333C"/>
    <w:rsid w:val="006E37C1"/>
    <w:rsid w:val="006E40D4"/>
    <w:rsid w:val="006E4730"/>
    <w:rsid w:val="006E506C"/>
    <w:rsid w:val="006E62A6"/>
    <w:rsid w:val="006E64E1"/>
    <w:rsid w:val="006E6685"/>
    <w:rsid w:val="006E6862"/>
    <w:rsid w:val="006E7EAD"/>
    <w:rsid w:val="006F0316"/>
    <w:rsid w:val="006F0E57"/>
    <w:rsid w:val="006F0F2E"/>
    <w:rsid w:val="006F196B"/>
    <w:rsid w:val="006F1A24"/>
    <w:rsid w:val="006F1A42"/>
    <w:rsid w:val="006F1FC8"/>
    <w:rsid w:val="006F269C"/>
    <w:rsid w:val="006F2C9C"/>
    <w:rsid w:val="006F2CF5"/>
    <w:rsid w:val="006F35C0"/>
    <w:rsid w:val="006F381F"/>
    <w:rsid w:val="006F3A31"/>
    <w:rsid w:val="006F3BD9"/>
    <w:rsid w:val="006F3BFD"/>
    <w:rsid w:val="006F4033"/>
    <w:rsid w:val="006F4482"/>
    <w:rsid w:val="006F55F7"/>
    <w:rsid w:val="006F57F7"/>
    <w:rsid w:val="006F611E"/>
    <w:rsid w:val="006F6159"/>
    <w:rsid w:val="006F6D14"/>
    <w:rsid w:val="006F77CD"/>
    <w:rsid w:val="006F7821"/>
    <w:rsid w:val="006F7C87"/>
    <w:rsid w:val="0070000C"/>
    <w:rsid w:val="00700B11"/>
    <w:rsid w:val="00701854"/>
    <w:rsid w:val="007023C5"/>
    <w:rsid w:val="00702578"/>
    <w:rsid w:val="00702633"/>
    <w:rsid w:val="0070279D"/>
    <w:rsid w:val="00702EF7"/>
    <w:rsid w:val="00703C65"/>
    <w:rsid w:val="00703F02"/>
    <w:rsid w:val="007048B8"/>
    <w:rsid w:val="007054A7"/>
    <w:rsid w:val="00705DA9"/>
    <w:rsid w:val="0070610F"/>
    <w:rsid w:val="00706663"/>
    <w:rsid w:val="00706D3A"/>
    <w:rsid w:val="00707072"/>
    <w:rsid w:val="00707B58"/>
    <w:rsid w:val="00707BC4"/>
    <w:rsid w:val="007104BC"/>
    <w:rsid w:val="00710ED9"/>
    <w:rsid w:val="00711101"/>
    <w:rsid w:val="00711818"/>
    <w:rsid w:val="00711AB1"/>
    <w:rsid w:val="00711CF5"/>
    <w:rsid w:val="00712620"/>
    <w:rsid w:val="00712B24"/>
    <w:rsid w:val="007131B6"/>
    <w:rsid w:val="007131DD"/>
    <w:rsid w:val="00713260"/>
    <w:rsid w:val="00714060"/>
    <w:rsid w:val="007143E1"/>
    <w:rsid w:val="00714A30"/>
    <w:rsid w:val="00714B3B"/>
    <w:rsid w:val="00714CF1"/>
    <w:rsid w:val="00715100"/>
    <w:rsid w:val="007157CB"/>
    <w:rsid w:val="00715EC5"/>
    <w:rsid w:val="00715FA5"/>
    <w:rsid w:val="007161EE"/>
    <w:rsid w:val="00716708"/>
    <w:rsid w:val="007168A0"/>
    <w:rsid w:val="00716D0B"/>
    <w:rsid w:val="00717721"/>
    <w:rsid w:val="00717887"/>
    <w:rsid w:val="00717AA6"/>
    <w:rsid w:val="00717F7E"/>
    <w:rsid w:val="007202D3"/>
    <w:rsid w:val="00720500"/>
    <w:rsid w:val="00720698"/>
    <w:rsid w:val="0072098C"/>
    <w:rsid w:val="007209DD"/>
    <w:rsid w:val="007222B0"/>
    <w:rsid w:val="00722821"/>
    <w:rsid w:val="007228F5"/>
    <w:rsid w:val="00723C0D"/>
    <w:rsid w:val="0072414D"/>
    <w:rsid w:val="00724D6A"/>
    <w:rsid w:val="007251E8"/>
    <w:rsid w:val="00725AFF"/>
    <w:rsid w:val="00725DC7"/>
    <w:rsid w:val="00726A89"/>
    <w:rsid w:val="00727214"/>
    <w:rsid w:val="007272EB"/>
    <w:rsid w:val="0073194A"/>
    <w:rsid w:val="0073214E"/>
    <w:rsid w:val="00732C42"/>
    <w:rsid w:val="00733B06"/>
    <w:rsid w:val="00734A12"/>
    <w:rsid w:val="00734D57"/>
    <w:rsid w:val="0073522D"/>
    <w:rsid w:val="007356CE"/>
    <w:rsid w:val="007357EB"/>
    <w:rsid w:val="00736186"/>
    <w:rsid w:val="00736196"/>
    <w:rsid w:val="007368F5"/>
    <w:rsid w:val="00737012"/>
    <w:rsid w:val="00737C39"/>
    <w:rsid w:val="00737D7C"/>
    <w:rsid w:val="00737F05"/>
    <w:rsid w:val="00740971"/>
    <w:rsid w:val="007409FC"/>
    <w:rsid w:val="00741734"/>
    <w:rsid w:val="007417DE"/>
    <w:rsid w:val="0074182D"/>
    <w:rsid w:val="007427F2"/>
    <w:rsid w:val="00743EBD"/>
    <w:rsid w:val="0074430E"/>
    <w:rsid w:val="00744339"/>
    <w:rsid w:val="007446FC"/>
    <w:rsid w:val="00745184"/>
    <w:rsid w:val="007456B1"/>
    <w:rsid w:val="00745908"/>
    <w:rsid w:val="00745A74"/>
    <w:rsid w:val="00746E90"/>
    <w:rsid w:val="00746F2F"/>
    <w:rsid w:val="007472C5"/>
    <w:rsid w:val="007477F4"/>
    <w:rsid w:val="00750623"/>
    <w:rsid w:val="00750C40"/>
    <w:rsid w:val="00750FA4"/>
    <w:rsid w:val="0075232D"/>
    <w:rsid w:val="00752F02"/>
    <w:rsid w:val="007533FB"/>
    <w:rsid w:val="007538C7"/>
    <w:rsid w:val="0075445A"/>
    <w:rsid w:val="00755218"/>
    <w:rsid w:val="00755A1F"/>
    <w:rsid w:val="007572B7"/>
    <w:rsid w:val="0075784D"/>
    <w:rsid w:val="007579BE"/>
    <w:rsid w:val="00757B89"/>
    <w:rsid w:val="00757C4B"/>
    <w:rsid w:val="007607D5"/>
    <w:rsid w:val="00760C5E"/>
    <w:rsid w:val="00760C68"/>
    <w:rsid w:val="0076131D"/>
    <w:rsid w:val="00761881"/>
    <w:rsid w:val="00762EB8"/>
    <w:rsid w:val="007631E0"/>
    <w:rsid w:val="00763893"/>
    <w:rsid w:val="00764016"/>
    <w:rsid w:val="00764018"/>
    <w:rsid w:val="00764FCC"/>
    <w:rsid w:val="007655F8"/>
    <w:rsid w:val="00765B4D"/>
    <w:rsid w:val="00765FB5"/>
    <w:rsid w:val="0076670A"/>
    <w:rsid w:val="0076674A"/>
    <w:rsid w:val="00766820"/>
    <w:rsid w:val="00766E5E"/>
    <w:rsid w:val="00767745"/>
    <w:rsid w:val="007702BE"/>
    <w:rsid w:val="00770752"/>
    <w:rsid w:val="00770CE6"/>
    <w:rsid w:val="00771E85"/>
    <w:rsid w:val="00772987"/>
    <w:rsid w:val="00772F48"/>
    <w:rsid w:val="007736BA"/>
    <w:rsid w:val="00773C83"/>
    <w:rsid w:val="0077418C"/>
    <w:rsid w:val="00774297"/>
    <w:rsid w:val="00774394"/>
    <w:rsid w:val="00774737"/>
    <w:rsid w:val="0077505E"/>
    <w:rsid w:val="0077533D"/>
    <w:rsid w:val="00775719"/>
    <w:rsid w:val="00775CF0"/>
    <w:rsid w:val="00775F8A"/>
    <w:rsid w:val="007762D6"/>
    <w:rsid w:val="0077677E"/>
    <w:rsid w:val="00776AD2"/>
    <w:rsid w:val="00776DEC"/>
    <w:rsid w:val="00777377"/>
    <w:rsid w:val="007776C8"/>
    <w:rsid w:val="0077777F"/>
    <w:rsid w:val="007800E4"/>
    <w:rsid w:val="00780179"/>
    <w:rsid w:val="007801FE"/>
    <w:rsid w:val="007802C8"/>
    <w:rsid w:val="00780972"/>
    <w:rsid w:val="00780A9E"/>
    <w:rsid w:val="00780AA2"/>
    <w:rsid w:val="00780B1A"/>
    <w:rsid w:val="00780C3F"/>
    <w:rsid w:val="0078170E"/>
    <w:rsid w:val="00781966"/>
    <w:rsid w:val="00781A9D"/>
    <w:rsid w:val="00781E30"/>
    <w:rsid w:val="00781FA6"/>
    <w:rsid w:val="00782541"/>
    <w:rsid w:val="007829E0"/>
    <w:rsid w:val="00783778"/>
    <w:rsid w:val="00783E39"/>
    <w:rsid w:val="007840BB"/>
    <w:rsid w:val="00784525"/>
    <w:rsid w:val="00784E20"/>
    <w:rsid w:val="007850C1"/>
    <w:rsid w:val="00785E2E"/>
    <w:rsid w:val="00785FA3"/>
    <w:rsid w:val="00786705"/>
    <w:rsid w:val="0078686B"/>
    <w:rsid w:val="007868CB"/>
    <w:rsid w:val="007873E2"/>
    <w:rsid w:val="00787B4A"/>
    <w:rsid w:val="00787D0E"/>
    <w:rsid w:val="00790164"/>
    <w:rsid w:val="007908C5"/>
    <w:rsid w:val="00790A9A"/>
    <w:rsid w:val="00790E1F"/>
    <w:rsid w:val="00791772"/>
    <w:rsid w:val="007929B2"/>
    <w:rsid w:val="007933AB"/>
    <w:rsid w:val="00793AEE"/>
    <w:rsid w:val="00794A1F"/>
    <w:rsid w:val="00795432"/>
    <w:rsid w:val="00795654"/>
    <w:rsid w:val="007957A9"/>
    <w:rsid w:val="00795F22"/>
    <w:rsid w:val="00796C59"/>
    <w:rsid w:val="00797C89"/>
    <w:rsid w:val="007A0923"/>
    <w:rsid w:val="007A1051"/>
    <w:rsid w:val="007A20AD"/>
    <w:rsid w:val="007A310B"/>
    <w:rsid w:val="007A3157"/>
    <w:rsid w:val="007A323F"/>
    <w:rsid w:val="007A3402"/>
    <w:rsid w:val="007A4343"/>
    <w:rsid w:val="007A4410"/>
    <w:rsid w:val="007A452B"/>
    <w:rsid w:val="007A4707"/>
    <w:rsid w:val="007A4881"/>
    <w:rsid w:val="007A50CF"/>
    <w:rsid w:val="007A5539"/>
    <w:rsid w:val="007A5B90"/>
    <w:rsid w:val="007A601C"/>
    <w:rsid w:val="007A61EC"/>
    <w:rsid w:val="007A6548"/>
    <w:rsid w:val="007A6E11"/>
    <w:rsid w:val="007A6E7E"/>
    <w:rsid w:val="007A7415"/>
    <w:rsid w:val="007A7CE5"/>
    <w:rsid w:val="007B00E1"/>
    <w:rsid w:val="007B1211"/>
    <w:rsid w:val="007B1787"/>
    <w:rsid w:val="007B187C"/>
    <w:rsid w:val="007B1ECA"/>
    <w:rsid w:val="007B220F"/>
    <w:rsid w:val="007B2235"/>
    <w:rsid w:val="007B2BAC"/>
    <w:rsid w:val="007B3B0E"/>
    <w:rsid w:val="007B3DF4"/>
    <w:rsid w:val="007B44E1"/>
    <w:rsid w:val="007B55C6"/>
    <w:rsid w:val="007B5EDE"/>
    <w:rsid w:val="007B6369"/>
    <w:rsid w:val="007B64D3"/>
    <w:rsid w:val="007B65D1"/>
    <w:rsid w:val="007B6ACE"/>
    <w:rsid w:val="007B6B1E"/>
    <w:rsid w:val="007B6D3B"/>
    <w:rsid w:val="007B72FC"/>
    <w:rsid w:val="007B74D3"/>
    <w:rsid w:val="007B7C09"/>
    <w:rsid w:val="007B7CC9"/>
    <w:rsid w:val="007C028E"/>
    <w:rsid w:val="007C06DB"/>
    <w:rsid w:val="007C1501"/>
    <w:rsid w:val="007C1585"/>
    <w:rsid w:val="007C19C3"/>
    <w:rsid w:val="007C1E90"/>
    <w:rsid w:val="007C2AD4"/>
    <w:rsid w:val="007C2DD4"/>
    <w:rsid w:val="007C3005"/>
    <w:rsid w:val="007C384F"/>
    <w:rsid w:val="007C3B06"/>
    <w:rsid w:val="007C3E46"/>
    <w:rsid w:val="007C4914"/>
    <w:rsid w:val="007C4F19"/>
    <w:rsid w:val="007C4F78"/>
    <w:rsid w:val="007C5024"/>
    <w:rsid w:val="007C55D4"/>
    <w:rsid w:val="007C5CBD"/>
    <w:rsid w:val="007C5D59"/>
    <w:rsid w:val="007C5E99"/>
    <w:rsid w:val="007C6BD5"/>
    <w:rsid w:val="007C73B8"/>
    <w:rsid w:val="007C787C"/>
    <w:rsid w:val="007C7C9F"/>
    <w:rsid w:val="007D0405"/>
    <w:rsid w:val="007D1545"/>
    <w:rsid w:val="007D185D"/>
    <w:rsid w:val="007D26A3"/>
    <w:rsid w:val="007D26B4"/>
    <w:rsid w:val="007D291D"/>
    <w:rsid w:val="007D2B60"/>
    <w:rsid w:val="007D3420"/>
    <w:rsid w:val="007D3687"/>
    <w:rsid w:val="007D3E78"/>
    <w:rsid w:val="007D4134"/>
    <w:rsid w:val="007D43EF"/>
    <w:rsid w:val="007D4666"/>
    <w:rsid w:val="007D4719"/>
    <w:rsid w:val="007D482A"/>
    <w:rsid w:val="007D4EA3"/>
    <w:rsid w:val="007D50B6"/>
    <w:rsid w:val="007D523C"/>
    <w:rsid w:val="007D5362"/>
    <w:rsid w:val="007D5FAA"/>
    <w:rsid w:val="007D6706"/>
    <w:rsid w:val="007D6A2D"/>
    <w:rsid w:val="007D701A"/>
    <w:rsid w:val="007D7044"/>
    <w:rsid w:val="007E000F"/>
    <w:rsid w:val="007E10FA"/>
    <w:rsid w:val="007E1135"/>
    <w:rsid w:val="007E12AD"/>
    <w:rsid w:val="007E19A6"/>
    <w:rsid w:val="007E1C2E"/>
    <w:rsid w:val="007E1D38"/>
    <w:rsid w:val="007E27E0"/>
    <w:rsid w:val="007E29CF"/>
    <w:rsid w:val="007E35D8"/>
    <w:rsid w:val="007E3764"/>
    <w:rsid w:val="007E496A"/>
    <w:rsid w:val="007E4A1F"/>
    <w:rsid w:val="007E51B6"/>
    <w:rsid w:val="007E52CB"/>
    <w:rsid w:val="007E5F1C"/>
    <w:rsid w:val="007E650D"/>
    <w:rsid w:val="007E6661"/>
    <w:rsid w:val="007E6721"/>
    <w:rsid w:val="007E6D16"/>
    <w:rsid w:val="007E6F07"/>
    <w:rsid w:val="007E700E"/>
    <w:rsid w:val="007F0FDA"/>
    <w:rsid w:val="007F2338"/>
    <w:rsid w:val="007F2BA4"/>
    <w:rsid w:val="007F2E32"/>
    <w:rsid w:val="007F2E48"/>
    <w:rsid w:val="007F2F12"/>
    <w:rsid w:val="007F2F97"/>
    <w:rsid w:val="007F376B"/>
    <w:rsid w:val="007F3880"/>
    <w:rsid w:val="007F3B8C"/>
    <w:rsid w:val="007F421B"/>
    <w:rsid w:val="007F45D6"/>
    <w:rsid w:val="007F4710"/>
    <w:rsid w:val="007F4926"/>
    <w:rsid w:val="007F4D34"/>
    <w:rsid w:val="007F52CA"/>
    <w:rsid w:val="007F53DC"/>
    <w:rsid w:val="007F6586"/>
    <w:rsid w:val="007F7B32"/>
    <w:rsid w:val="007F7C6E"/>
    <w:rsid w:val="007F7D09"/>
    <w:rsid w:val="008006E6"/>
    <w:rsid w:val="00800777"/>
    <w:rsid w:val="0080122B"/>
    <w:rsid w:val="00801460"/>
    <w:rsid w:val="0080191F"/>
    <w:rsid w:val="0080354C"/>
    <w:rsid w:val="008037F7"/>
    <w:rsid w:val="00803878"/>
    <w:rsid w:val="00804473"/>
    <w:rsid w:val="008046FF"/>
    <w:rsid w:val="008049EA"/>
    <w:rsid w:val="00804D26"/>
    <w:rsid w:val="008053E6"/>
    <w:rsid w:val="008059A8"/>
    <w:rsid w:val="00806615"/>
    <w:rsid w:val="00807623"/>
    <w:rsid w:val="008079D8"/>
    <w:rsid w:val="00807B53"/>
    <w:rsid w:val="008101AF"/>
    <w:rsid w:val="00810CD7"/>
    <w:rsid w:val="00810D34"/>
    <w:rsid w:val="00811503"/>
    <w:rsid w:val="00812A68"/>
    <w:rsid w:val="00812B71"/>
    <w:rsid w:val="00812EEE"/>
    <w:rsid w:val="00812F41"/>
    <w:rsid w:val="0081314D"/>
    <w:rsid w:val="00813D17"/>
    <w:rsid w:val="008148F1"/>
    <w:rsid w:val="00814E45"/>
    <w:rsid w:val="0081540C"/>
    <w:rsid w:val="008158CC"/>
    <w:rsid w:val="0081620E"/>
    <w:rsid w:val="0081658F"/>
    <w:rsid w:val="0081739B"/>
    <w:rsid w:val="008179CF"/>
    <w:rsid w:val="00817D71"/>
    <w:rsid w:val="00817ECC"/>
    <w:rsid w:val="00817F37"/>
    <w:rsid w:val="008201D4"/>
    <w:rsid w:val="008203B5"/>
    <w:rsid w:val="0082049A"/>
    <w:rsid w:val="00820686"/>
    <w:rsid w:val="008206C7"/>
    <w:rsid w:val="00820CE5"/>
    <w:rsid w:val="00820E00"/>
    <w:rsid w:val="008213F1"/>
    <w:rsid w:val="0082155F"/>
    <w:rsid w:val="008215CF"/>
    <w:rsid w:val="0082189E"/>
    <w:rsid w:val="00822151"/>
    <w:rsid w:val="008224BD"/>
    <w:rsid w:val="0082279D"/>
    <w:rsid w:val="0082369D"/>
    <w:rsid w:val="00824316"/>
    <w:rsid w:val="00824651"/>
    <w:rsid w:val="00824F99"/>
    <w:rsid w:val="00825851"/>
    <w:rsid w:val="00825D43"/>
    <w:rsid w:val="00825FB2"/>
    <w:rsid w:val="00825FDC"/>
    <w:rsid w:val="00826094"/>
    <w:rsid w:val="00826295"/>
    <w:rsid w:val="00826B85"/>
    <w:rsid w:val="00826BE9"/>
    <w:rsid w:val="00826D95"/>
    <w:rsid w:val="00826E5B"/>
    <w:rsid w:val="00827AF0"/>
    <w:rsid w:val="00827BFD"/>
    <w:rsid w:val="00830148"/>
    <w:rsid w:val="0083095E"/>
    <w:rsid w:val="008316AD"/>
    <w:rsid w:val="00831981"/>
    <w:rsid w:val="008320AD"/>
    <w:rsid w:val="008323AD"/>
    <w:rsid w:val="00832538"/>
    <w:rsid w:val="00832765"/>
    <w:rsid w:val="008327E8"/>
    <w:rsid w:val="00833286"/>
    <w:rsid w:val="008334C3"/>
    <w:rsid w:val="0083378E"/>
    <w:rsid w:val="00833C32"/>
    <w:rsid w:val="00833C7E"/>
    <w:rsid w:val="00833D56"/>
    <w:rsid w:val="00834B01"/>
    <w:rsid w:val="00834FD5"/>
    <w:rsid w:val="008351C1"/>
    <w:rsid w:val="00835771"/>
    <w:rsid w:val="008360ED"/>
    <w:rsid w:val="008361E6"/>
    <w:rsid w:val="008363A2"/>
    <w:rsid w:val="008365C2"/>
    <w:rsid w:val="008365E1"/>
    <w:rsid w:val="00836D57"/>
    <w:rsid w:val="00836E79"/>
    <w:rsid w:val="00837125"/>
    <w:rsid w:val="008407BC"/>
    <w:rsid w:val="0084188B"/>
    <w:rsid w:val="00841DAA"/>
    <w:rsid w:val="0084272D"/>
    <w:rsid w:val="00842834"/>
    <w:rsid w:val="00843C7B"/>
    <w:rsid w:val="00844088"/>
    <w:rsid w:val="00844111"/>
    <w:rsid w:val="0084459E"/>
    <w:rsid w:val="008445D4"/>
    <w:rsid w:val="008446F1"/>
    <w:rsid w:val="00844AB1"/>
    <w:rsid w:val="00844B5F"/>
    <w:rsid w:val="00845FD2"/>
    <w:rsid w:val="00846A12"/>
    <w:rsid w:val="00846A3E"/>
    <w:rsid w:val="00846D6F"/>
    <w:rsid w:val="00846FF0"/>
    <w:rsid w:val="008473BF"/>
    <w:rsid w:val="00847435"/>
    <w:rsid w:val="00847C67"/>
    <w:rsid w:val="0085002F"/>
    <w:rsid w:val="00851E33"/>
    <w:rsid w:val="0085298A"/>
    <w:rsid w:val="00852ADA"/>
    <w:rsid w:val="0085353C"/>
    <w:rsid w:val="00853732"/>
    <w:rsid w:val="00854322"/>
    <w:rsid w:val="008549D1"/>
    <w:rsid w:val="008551D4"/>
    <w:rsid w:val="00855458"/>
    <w:rsid w:val="00855A26"/>
    <w:rsid w:val="008564FE"/>
    <w:rsid w:val="00856A9C"/>
    <w:rsid w:val="0085728C"/>
    <w:rsid w:val="0085729F"/>
    <w:rsid w:val="00857F5F"/>
    <w:rsid w:val="008607E0"/>
    <w:rsid w:val="0086134D"/>
    <w:rsid w:val="00861825"/>
    <w:rsid w:val="00861FD7"/>
    <w:rsid w:val="00862DB9"/>
    <w:rsid w:val="008642EC"/>
    <w:rsid w:val="0086463D"/>
    <w:rsid w:val="00865057"/>
    <w:rsid w:val="00865472"/>
    <w:rsid w:val="00865783"/>
    <w:rsid w:val="00865F05"/>
    <w:rsid w:val="00865FDF"/>
    <w:rsid w:val="0086638E"/>
    <w:rsid w:val="008675B3"/>
    <w:rsid w:val="008676F0"/>
    <w:rsid w:val="00867FA5"/>
    <w:rsid w:val="00870429"/>
    <w:rsid w:val="0087080C"/>
    <w:rsid w:val="008709ED"/>
    <w:rsid w:val="00870E37"/>
    <w:rsid w:val="008715CA"/>
    <w:rsid w:val="00871DD8"/>
    <w:rsid w:val="00872406"/>
    <w:rsid w:val="008732C4"/>
    <w:rsid w:val="00873444"/>
    <w:rsid w:val="0087387B"/>
    <w:rsid w:val="00873B4C"/>
    <w:rsid w:val="00874671"/>
    <w:rsid w:val="00874AB6"/>
    <w:rsid w:val="00875458"/>
    <w:rsid w:val="008762C5"/>
    <w:rsid w:val="0087635E"/>
    <w:rsid w:val="008768B2"/>
    <w:rsid w:val="00876921"/>
    <w:rsid w:val="00876B68"/>
    <w:rsid w:val="00876C97"/>
    <w:rsid w:val="00876F76"/>
    <w:rsid w:val="0087756A"/>
    <w:rsid w:val="0088012F"/>
    <w:rsid w:val="0088013C"/>
    <w:rsid w:val="008806E8"/>
    <w:rsid w:val="00880902"/>
    <w:rsid w:val="00881E72"/>
    <w:rsid w:val="008821C7"/>
    <w:rsid w:val="0088237B"/>
    <w:rsid w:val="0088286F"/>
    <w:rsid w:val="00883316"/>
    <w:rsid w:val="00883EAF"/>
    <w:rsid w:val="00884238"/>
    <w:rsid w:val="00884452"/>
    <w:rsid w:val="00884A76"/>
    <w:rsid w:val="00885FA7"/>
    <w:rsid w:val="00886F71"/>
    <w:rsid w:val="00887CAF"/>
    <w:rsid w:val="00890044"/>
    <w:rsid w:val="008905D7"/>
    <w:rsid w:val="00890679"/>
    <w:rsid w:val="008906B5"/>
    <w:rsid w:val="00890BF4"/>
    <w:rsid w:val="00891B2D"/>
    <w:rsid w:val="008926C3"/>
    <w:rsid w:val="00893875"/>
    <w:rsid w:val="00893951"/>
    <w:rsid w:val="00893FC1"/>
    <w:rsid w:val="00894622"/>
    <w:rsid w:val="008955C5"/>
    <w:rsid w:val="00895840"/>
    <w:rsid w:val="008958FE"/>
    <w:rsid w:val="0089598C"/>
    <w:rsid w:val="00895B1D"/>
    <w:rsid w:val="00895B87"/>
    <w:rsid w:val="008963D4"/>
    <w:rsid w:val="00896511"/>
    <w:rsid w:val="008965F8"/>
    <w:rsid w:val="00896651"/>
    <w:rsid w:val="00896CD0"/>
    <w:rsid w:val="00897667"/>
    <w:rsid w:val="00897763"/>
    <w:rsid w:val="00897A5A"/>
    <w:rsid w:val="00897AB8"/>
    <w:rsid w:val="00897F59"/>
    <w:rsid w:val="008A08D2"/>
    <w:rsid w:val="008A0B21"/>
    <w:rsid w:val="008A0E6C"/>
    <w:rsid w:val="008A14F2"/>
    <w:rsid w:val="008A1837"/>
    <w:rsid w:val="008A18F3"/>
    <w:rsid w:val="008A1C85"/>
    <w:rsid w:val="008A1D76"/>
    <w:rsid w:val="008A2255"/>
    <w:rsid w:val="008A26A7"/>
    <w:rsid w:val="008A2E7B"/>
    <w:rsid w:val="008A35E6"/>
    <w:rsid w:val="008A38B6"/>
    <w:rsid w:val="008A3A4A"/>
    <w:rsid w:val="008A4042"/>
    <w:rsid w:val="008A4B8E"/>
    <w:rsid w:val="008A568A"/>
    <w:rsid w:val="008A5C8E"/>
    <w:rsid w:val="008A6B3F"/>
    <w:rsid w:val="008A6E39"/>
    <w:rsid w:val="008A73C7"/>
    <w:rsid w:val="008A7A00"/>
    <w:rsid w:val="008B0B7F"/>
    <w:rsid w:val="008B1262"/>
    <w:rsid w:val="008B1B17"/>
    <w:rsid w:val="008B1B8E"/>
    <w:rsid w:val="008B1C95"/>
    <w:rsid w:val="008B251B"/>
    <w:rsid w:val="008B289F"/>
    <w:rsid w:val="008B2C72"/>
    <w:rsid w:val="008B307C"/>
    <w:rsid w:val="008B30B7"/>
    <w:rsid w:val="008B513C"/>
    <w:rsid w:val="008B5533"/>
    <w:rsid w:val="008B562E"/>
    <w:rsid w:val="008B5748"/>
    <w:rsid w:val="008B5B9D"/>
    <w:rsid w:val="008B5F21"/>
    <w:rsid w:val="008B6355"/>
    <w:rsid w:val="008B6A22"/>
    <w:rsid w:val="008B6B0E"/>
    <w:rsid w:val="008B6E1A"/>
    <w:rsid w:val="008B75E1"/>
    <w:rsid w:val="008B7CE5"/>
    <w:rsid w:val="008C030D"/>
    <w:rsid w:val="008C0879"/>
    <w:rsid w:val="008C0C4D"/>
    <w:rsid w:val="008C1167"/>
    <w:rsid w:val="008C1B0A"/>
    <w:rsid w:val="008C2078"/>
    <w:rsid w:val="008C23B0"/>
    <w:rsid w:val="008C2B2A"/>
    <w:rsid w:val="008C2F0D"/>
    <w:rsid w:val="008C2FAA"/>
    <w:rsid w:val="008C33C3"/>
    <w:rsid w:val="008C3B37"/>
    <w:rsid w:val="008C4D02"/>
    <w:rsid w:val="008C520E"/>
    <w:rsid w:val="008C5CA5"/>
    <w:rsid w:val="008C6F9B"/>
    <w:rsid w:val="008C6FE4"/>
    <w:rsid w:val="008C703C"/>
    <w:rsid w:val="008C70FF"/>
    <w:rsid w:val="008C7368"/>
    <w:rsid w:val="008C73D6"/>
    <w:rsid w:val="008C7B15"/>
    <w:rsid w:val="008D0C62"/>
    <w:rsid w:val="008D13A7"/>
    <w:rsid w:val="008D17F2"/>
    <w:rsid w:val="008D2528"/>
    <w:rsid w:val="008D2777"/>
    <w:rsid w:val="008D2AE2"/>
    <w:rsid w:val="008D2CD6"/>
    <w:rsid w:val="008D2DDA"/>
    <w:rsid w:val="008D3287"/>
    <w:rsid w:val="008D37BC"/>
    <w:rsid w:val="008D39B0"/>
    <w:rsid w:val="008D3E76"/>
    <w:rsid w:val="008D462B"/>
    <w:rsid w:val="008D4645"/>
    <w:rsid w:val="008D4939"/>
    <w:rsid w:val="008D4BB2"/>
    <w:rsid w:val="008D4BDC"/>
    <w:rsid w:val="008D4F0B"/>
    <w:rsid w:val="008D736A"/>
    <w:rsid w:val="008D7ADC"/>
    <w:rsid w:val="008D7C3E"/>
    <w:rsid w:val="008D7C9C"/>
    <w:rsid w:val="008E0465"/>
    <w:rsid w:val="008E0702"/>
    <w:rsid w:val="008E0A9F"/>
    <w:rsid w:val="008E1195"/>
    <w:rsid w:val="008E130A"/>
    <w:rsid w:val="008E159E"/>
    <w:rsid w:val="008E26CE"/>
    <w:rsid w:val="008E2DD0"/>
    <w:rsid w:val="008E2F88"/>
    <w:rsid w:val="008E3427"/>
    <w:rsid w:val="008E3A46"/>
    <w:rsid w:val="008E3AEA"/>
    <w:rsid w:val="008E3D02"/>
    <w:rsid w:val="008E3D60"/>
    <w:rsid w:val="008E53D8"/>
    <w:rsid w:val="008E5977"/>
    <w:rsid w:val="008E601B"/>
    <w:rsid w:val="008E6128"/>
    <w:rsid w:val="008E6A15"/>
    <w:rsid w:val="008E6ACA"/>
    <w:rsid w:val="008E6B68"/>
    <w:rsid w:val="008E6D4E"/>
    <w:rsid w:val="008E7390"/>
    <w:rsid w:val="008E762D"/>
    <w:rsid w:val="008E7A66"/>
    <w:rsid w:val="008F000D"/>
    <w:rsid w:val="008F05F5"/>
    <w:rsid w:val="008F0630"/>
    <w:rsid w:val="008F0854"/>
    <w:rsid w:val="008F0DAD"/>
    <w:rsid w:val="008F1F00"/>
    <w:rsid w:val="008F1FE8"/>
    <w:rsid w:val="008F2C8F"/>
    <w:rsid w:val="008F2E0E"/>
    <w:rsid w:val="008F32A1"/>
    <w:rsid w:val="008F41F5"/>
    <w:rsid w:val="008F4672"/>
    <w:rsid w:val="008F4996"/>
    <w:rsid w:val="008F5F77"/>
    <w:rsid w:val="008F686A"/>
    <w:rsid w:val="008F6D94"/>
    <w:rsid w:val="008F6E84"/>
    <w:rsid w:val="008F7416"/>
    <w:rsid w:val="008F7689"/>
    <w:rsid w:val="008F79D2"/>
    <w:rsid w:val="008F7EB9"/>
    <w:rsid w:val="008F7EBB"/>
    <w:rsid w:val="00900127"/>
    <w:rsid w:val="00900486"/>
    <w:rsid w:val="0090056C"/>
    <w:rsid w:val="0090060E"/>
    <w:rsid w:val="0090091B"/>
    <w:rsid w:val="00900939"/>
    <w:rsid w:val="00900DF0"/>
    <w:rsid w:val="0090104D"/>
    <w:rsid w:val="009017F2"/>
    <w:rsid w:val="00903120"/>
    <w:rsid w:val="009035AD"/>
    <w:rsid w:val="00903621"/>
    <w:rsid w:val="0090457A"/>
    <w:rsid w:val="00905898"/>
    <w:rsid w:val="0090605A"/>
    <w:rsid w:val="0090667F"/>
    <w:rsid w:val="00907EE2"/>
    <w:rsid w:val="00910513"/>
    <w:rsid w:val="0091074A"/>
    <w:rsid w:val="009110EB"/>
    <w:rsid w:val="009113AE"/>
    <w:rsid w:val="00911F60"/>
    <w:rsid w:val="00913A4D"/>
    <w:rsid w:val="00913CAA"/>
    <w:rsid w:val="00914284"/>
    <w:rsid w:val="00914550"/>
    <w:rsid w:val="00914E36"/>
    <w:rsid w:val="00914EE3"/>
    <w:rsid w:val="00915300"/>
    <w:rsid w:val="00915508"/>
    <w:rsid w:val="00915BD2"/>
    <w:rsid w:val="009161DF"/>
    <w:rsid w:val="00916B79"/>
    <w:rsid w:val="009173B9"/>
    <w:rsid w:val="00917AE1"/>
    <w:rsid w:val="009202B1"/>
    <w:rsid w:val="0092042A"/>
    <w:rsid w:val="009216CA"/>
    <w:rsid w:val="00922808"/>
    <w:rsid w:val="00922934"/>
    <w:rsid w:val="00923B6F"/>
    <w:rsid w:val="00923CCF"/>
    <w:rsid w:val="00923EDF"/>
    <w:rsid w:val="009243D0"/>
    <w:rsid w:val="009245CB"/>
    <w:rsid w:val="009249CF"/>
    <w:rsid w:val="00924AF5"/>
    <w:rsid w:val="009259EF"/>
    <w:rsid w:val="00925D0C"/>
    <w:rsid w:val="00925D9C"/>
    <w:rsid w:val="00926414"/>
    <w:rsid w:val="0092657D"/>
    <w:rsid w:val="0092749B"/>
    <w:rsid w:val="009275C4"/>
    <w:rsid w:val="00927725"/>
    <w:rsid w:val="009301FC"/>
    <w:rsid w:val="00930351"/>
    <w:rsid w:val="00930782"/>
    <w:rsid w:val="009313FB"/>
    <w:rsid w:val="00931452"/>
    <w:rsid w:val="00932F55"/>
    <w:rsid w:val="009332EE"/>
    <w:rsid w:val="0093355A"/>
    <w:rsid w:val="009335BA"/>
    <w:rsid w:val="0093390C"/>
    <w:rsid w:val="00934660"/>
    <w:rsid w:val="00934B26"/>
    <w:rsid w:val="00934E21"/>
    <w:rsid w:val="009352B3"/>
    <w:rsid w:val="00935A09"/>
    <w:rsid w:val="00935C52"/>
    <w:rsid w:val="00935D33"/>
    <w:rsid w:val="00935D5A"/>
    <w:rsid w:val="00935ECF"/>
    <w:rsid w:val="00936244"/>
    <w:rsid w:val="00936445"/>
    <w:rsid w:val="00936653"/>
    <w:rsid w:val="00936B44"/>
    <w:rsid w:val="00936E5A"/>
    <w:rsid w:val="00936EC8"/>
    <w:rsid w:val="00940F5B"/>
    <w:rsid w:val="009416FE"/>
    <w:rsid w:val="009417E1"/>
    <w:rsid w:val="00941BF3"/>
    <w:rsid w:val="0094286F"/>
    <w:rsid w:val="00942AE0"/>
    <w:rsid w:val="00942F94"/>
    <w:rsid w:val="0094336F"/>
    <w:rsid w:val="00944829"/>
    <w:rsid w:val="009452DD"/>
    <w:rsid w:val="00945633"/>
    <w:rsid w:val="00945657"/>
    <w:rsid w:val="009459DA"/>
    <w:rsid w:val="00945D12"/>
    <w:rsid w:val="00945D39"/>
    <w:rsid w:val="00945DBF"/>
    <w:rsid w:val="0094695E"/>
    <w:rsid w:val="00946FC1"/>
    <w:rsid w:val="00947A10"/>
    <w:rsid w:val="00947D07"/>
    <w:rsid w:val="00947DA7"/>
    <w:rsid w:val="00947F9D"/>
    <w:rsid w:val="009501A6"/>
    <w:rsid w:val="00950381"/>
    <w:rsid w:val="009519A2"/>
    <w:rsid w:val="009519CC"/>
    <w:rsid w:val="00951B95"/>
    <w:rsid w:val="00952148"/>
    <w:rsid w:val="0095255B"/>
    <w:rsid w:val="00952A58"/>
    <w:rsid w:val="0095333A"/>
    <w:rsid w:val="00953C4E"/>
    <w:rsid w:val="00954273"/>
    <w:rsid w:val="0095501C"/>
    <w:rsid w:val="00955F50"/>
    <w:rsid w:val="0095607C"/>
    <w:rsid w:val="00956571"/>
    <w:rsid w:val="009569AE"/>
    <w:rsid w:val="00956FE4"/>
    <w:rsid w:val="009571AE"/>
    <w:rsid w:val="0095746F"/>
    <w:rsid w:val="00957976"/>
    <w:rsid w:val="00957C8D"/>
    <w:rsid w:val="00960465"/>
    <w:rsid w:val="00960B18"/>
    <w:rsid w:val="00960BF1"/>
    <w:rsid w:val="00961175"/>
    <w:rsid w:val="00961227"/>
    <w:rsid w:val="009613AC"/>
    <w:rsid w:val="00961EC4"/>
    <w:rsid w:val="0096215E"/>
    <w:rsid w:val="00962287"/>
    <w:rsid w:val="00962690"/>
    <w:rsid w:val="00963CBF"/>
    <w:rsid w:val="00964FB5"/>
    <w:rsid w:val="00965381"/>
    <w:rsid w:val="00965F20"/>
    <w:rsid w:val="009660FA"/>
    <w:rsid w:val="009669CC"/>
    <w:rsid w:val="00966DF1"/>
    <w:rsid w:val="00970065"/>
    <w:rsid w:val="0097046D"/>
    <w:rsid w:val="00971077"/>
    <w:rsid w:val="00971612"/>
    <w:rsid w:val="009716A5"/>
    <w:rsid w:val="00971B25"/>
    <w:rsid w:val="00971C4E"/>
    <w:rsid w:val="00971D12"/>
    <w:rsid w:val="0097281D"/>
    <w:rsid w:val="00972AFD"/>
    <w:rsid w:val="00972B10"/>
    <w:rsid w:val="00972B68"/>
    <w:rsid w:val="0097300A"/>
    <w:rsid w:val="00973175"/>
    <w:rsid w:val="0097340E"/>
    <w:rsid w:val="00973FD3"/>
    <w:rsid w:val="00973FE5"/>
    <w:rsid w:val="00973FE6"/>
    <w:rsid w:val="009740C4"/>
    <w:rsid w:val="0097517A"/>
    <w:rsid w:val="00975FF0"/>
    <w:rsid w:val="009763BC"/>
    <w:rsid w:val="009764AD"/>
    <w:rsid w:val="00976F69"/>
    <w:rsid w:val="00977B3F"/>
    <w:rsid w:val="00977EBA"/>
    <w:rsid w:val="00977ED5"/>
    <w:rsid w:val="009808EA"/>
    <w:rsid w:val="0098107C"/>
    <w:rsid w:val="0098188E"/>
    <w:rsid w:val="00981B96"/>
    <w:rsid w:val="00981E78"/>
    <w:rsid w:val="00981F79"/>
    <w:rsid w:val="0098221B"/>
    <w:rsid w:val="009825C9"/>
    <w:rsid w:val="00982C4A"/>
    <w:rsid w:val="00982EA3"/>
    <w:rsid w:val="0098318A"/>
    <w:rsid w:val="0098344B"/>
    <w:rsid w:val="00983973"/>
    <w:rsid w:val="00984527"/>
    <w:rsid w:val="00984A91"/>
    <w:rsid w:val="00984D0D"/>
    <w:rsid w:val="009850EF"/>
    <w:rsid w:val="00985278"/>
    <w:rsid w:val="00985A18"/>
    <w:rsid w:val="00985DA0"/>
    <w:rsid w:val="00986318"/>
    <w:rsid w:val="00986879"/>
    <w:rsid w:val="009868FC"/>
    <w:rsid w:val="00986CF6"/>
    <w:rsid w:val="009872CB"/>
    <w:rsid w:val="009873CB"/>
    <w:rsid w:val="00987D41"/>
    <w:rsid w:val="00990A70"/>
    <w:rsid w:val="00990B30"/>
    <w:rsid w:val="00991426"/>
    <w:rsid w:val="00991558"/>
    <w:rsid w:val="00991893"/>
    <w:rsid w:val="00991A16"/>
    <w:rsid w:val="00991A28"/>
    <w:rsid w:val="00991FAC"/>
    <w:rsid w:val="0099221B"/>
    <w:rsid w:val="00992433"/>
    <w:rsid w:val="0099250A"/>
    <w:rsid w:val="00992BE2"/>
    <w:rsid w:val="00993626"/>
    <w:rsid w:val="009941C2"/>
    <w:rsid w:val="00994C42"/>
    <w:rsid w:val="00994E10"/>
    <w:rsid w:val="0099555A"/>
    <w:rsid w:val="0099562E"/>
    <w:rsid w:val="00996196"/>
    <w:rsid w:val="00996A70"/>
    <w:rsid w:val="00996DDC"/>
    <w:rsid w:val="00996F50"/>
    <w:rsid w:val="00997C13"/>
    <w:rsid w:val="00997FD2"/>
    <w:rsid w:val="009A0956"/>
    <w:rsid w:val="009A0A34"/>
    <w:rsid w:val="009A13B8"/>
    <w:rsid w:val="009A224A"/>
    <w:rsid w:val="009A28A1"/>
    <w:rsid w:val="009A2A89"/>
    <w:rsid w:val="009A2D5F"/>
    <w:rsid w:val="009A2E41"/>
    <w:rsid w:val="009A52C1"/>
    <w:rsid w:val="009A5BF0"/>
    <w:rsid w:val="009A5E93"/>
    <w:rsid w:val="009A5EA7"/>
    <w:rsid w:val="009A6174"/>
    <w:rsid w:val="009A64E8"/>
    <w:rsid w:val="009A7B9B"/>
    <w:rsid w:val="009A7CFF"/>
    <w:rsid w:val="009B02C2"/>
    <w:rsid w:val="009B0652"/>
    <w:rsid w:val="009B07DB"/>
    <w:rsid w:val="009B0E6D"/>
    <w:rsid w:val="009B179A"/>
    <w:rsid w:val="009B17C7"/>
    <w:rsid w:val="009B1E61"/>
    <w:rsid w:val="009B276A"/>
    <w:rsid w:val="009B3739"/>
    <w:rsid w:val="009B3AA5"/>
    <w:rsid w:val="009B455D"/>
    <w:rsid w:val="009B4776"/>
    <w:rsid w:val="009B4D35"/>
    <w:rsid w:val="009B4E8F"/>
    <w:rsid w:val="009B61D2"/>
    <w:rsid w:val="009B66ED"/>
    <w:rsid w:val="009B6EF1"/>
    <w:rsid w:val="009B761F"/>
    <w:rsid w:val="009B7769"/>
    <w:rsid w:val="009B7E93"/>
    <w:rsid w:val="009B7F6D"/>
    <w:rsid w:val="009C0177"/>
    <w:rsid w:val="009C0B00"/>
    <w:rsid w:val="009C0EDB"/>
    <w:rsid w:val="009C0F55"/>
    <w:rsid w:val="009C0F94"/>
    <w:rsid w:val="009C0FFD"/>
    <w:rsid w:val="009C1419"/>
    <w:rsid w:val="009C1C18"/>
    <w:rsid w:val="009C1EC0"/>
    <w:rsid w:val="009C2436"/>
    <w:rsid w:val="009C2548"/>
    <w:rsid w:val="009C3C33"/>
    <w:rsid w:val="009C441C"/>
    <w:rsid w:val="009C5C9F"/>
    <w:rsid w:val="009C7FEE"/>
    <w:rsid w:val="009D0203"/>
    <w:rsid w:val="009D0462"/>
    <w:rsid w:val="009D083D"/>
    <w:rsid w:val="009D0F1B"/>
    <w:rsid w:val="009D0FE7"/>
    <w:rsid w:val="009D1216"/>
    <w:rsid w:val="009D12AD"/>
    <w:rsid w:val="009D147B"/>
    <w:rsid w:val="009D242A"/>
    <w:rsid w:val="009D27AF"/>
    <w:rsid w:val="009D2975"/>
    <w:rsid w:val="009D2D8D"/>
    <w:rsid w:val="009D2FBA"/>
    <w:rsid w:val="009D351E"/>
    <w:rsid w:val="009D3629"/>
    <w:rsid w:val="009D397C"/>
    <w:rsid w:val="009D3B9B"/>
    <w:rsid w:val="009D3D9D"/>
    <w:rsid w:val="009D4172"/>
    <w:rsid w:val="009D42C8"/>
    <w:rsid w:val="009D4C27"/>
    <w:rsid w:val="009D53A0"/>
    <w:rsid w:val="009D5792"/>
    <w:rsid w:val="009D58D1"/>
    <w:rsid w:val="009D5FDC"/>
    <w:rsid w:val="009D6082"/>
    <w:rsid w:val="009D63A5"/>
    <w:rsid w:val="009D66ED"/>
    <w:rsid w:val="009D6E7E"/>
    <w:rsid w:val="009D7299"/>
    <w:rsid w:val="009D7340"/>
    <w:rsid w:val="009D7565"/>
    <w:rsid w:val="009D7787"/>
    <w:rsid w:val="009D7D9C"/>
    <w:rsid w:val="009D7DC7"/>
    <w:rsid w:val="009E02C9"/>
    <w:rsid w:val="009E0836"/>
    <w:rsid w:val="009E0E01"/>
    <w:rsid w:val="009E121C"/>
    <w:rsid w:val="009E1247"/>
    <w:rsid w:val="009E1B98"/>
    <w:rsid w:val="009E2084"/>
    <w:rsid w:val="009E23B7"/>
    <w:rsid w:val="009E23CD"/>
    <w:rsid w:val="009E292F"/>
    <w:rsid w:val="009E39DC"/>
    <w:rsid w:val="009E3E51"/>
    <w:rsid w:val="009E3FAC"/>
    <w:rsid w:val="009E4691"/>
    <w:rsid w:val="009E47DC"/>
    <w:rsid w:val="009E4BB4"/>
    <w:rsid w:val="009E5378"/>
    <w:rsid w:val="009E56B4"/>
    <w:rsid w:val="009E5B5A"/>
    <w:rsid w:val="009E5B64"/>
    <w:rsid w:val="009E6D68"/>
    <w:rsid w:val="009E7717"/>
    <w:rsid w:val="009F029A"/>
    <w:rsid w:val="009F0DA4"/>
    <w:rsid w:val="009F0EBA"/>
    <w:rsid w:val="009F0FF2"/>
    <w:rsid w:val="009F1472"/>
    <w:rsid w:val="009F19EF"/>
    <w:rsid w:val="009F20FA"/>
    <w:rsid w:val="009F28C9"/>
    <w:rsid w:val="009F38CA"/>
    <w:rsid w:val="009F43C3"/>
    <w:rsid w:val="009F4584"/>
    <w:rsid w:val="009F458C"/>
    <w:rsid w:val="009F4C48"/>
    <w:rsid w:val="009F4D28"/>
    <w:rsid w:val="009F542C"/>
    <w:rsid w:val="009F6107"/>
    <w:rsid w:val="009F6110"/>
    <w:rsid w:val="009F615E"/>
    <w:rsid w:val="009F625E"/>
    <w:rsid w:val="009F652C"/>
    <w:rsid w:val="009F65C7"/>
    <w:rsid w:val="009F6933"/>
    <w:rsid w:val="009F7197"/>
    <w:rsid w:val="009F74EB"/>
    <w:rsid w:val="009F7947"/>
    <w:rsid w:val="009F7D43"/>
    <w:rsid w:val="00A0076A"/>
    <w:rsid w:val="00A00C8B"/>
    <w:rsid w:val="00A012D0"/>
    <w:rsid w:val="00A0148D"/>
    <w:rsid w:val="00A0171D"/>
    <w:rsid w:val="00A01866"/>
    <w:rsid w:val="00A01D7B"/>
    <w:rsid w:val="00A0341E"/>
    <w:rsid w:val="00A03952"/>
    <w:rsid w:val="00A03E78"/>
    <w:rsid w:val="00A043FE"/>
    <w:rsid w:val="00A04630"/>
    <w:rsid w:val="00A04DAF"/>
    <w:rsid w:val="00A05098"/>
    <w:rsid w:val="00A05803"/>
    <w:rsid w:val="00A0584F"/>
    <w:rsid w:val="00A05916"/>
    <w:rsid w:val="00A05D2B"/>
    <w:rsid w:val="00A05FB6"/>
    <w:rsid w:val="00A06E1B"/>
    <w:rsid w:val="00A07064"/>
    <w:rsid w:val="00A0706F"/>
    <w:rsid w:val="00A072D4"/>
    <w:rsid w:val="00A073FF"/>
    <w:rsid w:val="00A0794D"/>
    <w:rsid w:val="00A10499"/>
    <w:rsid w:val="00A10B50"/>
    <w:rsid w:val="00A10BE2"/>
    <w:rsid w:val="00A11182"/>
    <w:rsid w:val="00A11F2D"/>
    <w:rsid w:val="00A1266A"/>
    <w:rsid w:val="00A14F65"/>
    <w:rsid w:val="00A1537B"/>
    <w:rsid w:val="00A1571D"/>
    <w:rsid w:val="00A15B09"/>
    <w:rsid w:val="00A15EEB"/>
    <w:rsid w:val="00A165D3"/>
    <w:rsid w:val="00A16741"/>
    <w:rsid w:val="00A17135"/>
    <w:rsid w:val="00A17453"/>
    <w:rsid w:val="00A20817"/>
    <w:rsid w:val="00A2114F"/>
    <w:rsid w:val="00A213C4"/>
    <w:rsid w:val="00A218A7"/>
    <w:rsid w:val="00A2216E"/>
    <w:rsid w:val="00A223B5"/>
    <w:rsid w:val="00A22650"/>
    <w:rsid w:val="00A22A96"/>
    <w:rsid w:val="00A22AA9"/>
    <w:rsid w:val="00A22BB3"/>
    <w:rsid w:val="00A231C7"/>
    <w:rsid w:val="00A2370B"/>
    <w:rsid w:val="00A23E9D"/>
    <w:rsid w:val="00A24782"/>
    <w:rsid w:val="00A24A67"/>
    <w:rsid w:val="00A24FAA"/>
    <w:rsid w:val="00A25885"/>
    <w:rsid w:val="00A263DD"/>
    <w:rsid w:val="00A265F3"/>
    <w:rsid w:val="00A26637"/>
    <w:rsid w:val="00A26CAA"/>
    <w:rsid w:val="00A26CBC"/>
    <w:rsid w:val="00A26CCB"/>
    <w:rsid w:val="00A27769"/>
    <w:rsid w:val="00A27AFB"/>
    <w:rsid w:val="00A3015F"/>
    <w:rsid w:val="00A30806"/>
    <w:rsid w:val="00A3105A"/>
    <w:rsid w:val="00A31536"/>
    <w:rsid w:val="00A315FF"/>
    <w:rsid w:val="00A31956"/>
    <w:rsid w:val="00A328B4"/>
    <w:rsid w:val="00A32A88"/>
    <w:rsid w:val="00A3334D"/>
    <w:rsid w:val="00A33622"/>
    <w:rsid w:val="00A336F3"/>
    <w:rsid w:val="00A33B52"/>
    <w:rsid w:val="00A33C0B"/>
    <w:rsid w:val="00A33DC9"/>
    <w:rsid w:val="00A33F77"/>
    <w:rsid w:val="00A34A14"/>
    <w:rsid w:val="00A34EF3"/>
    <w:rsid w:val="00A3528D"/>
    <w:rsid w:val="00A35552"/>
    <w:rsid w:val="00A35831"/>
    <w:rsid w:val="00A35E7C"/>
    <w:rsid w:val="00A367AD"/>
    <w:rsid w:val="00A36E14"/>
    <w:rsid w:val="00A3743F"/>
    <w:rsid w:val="00A37555"/>
    <w:rsid w:val="00A37E5A"/>
    <w:rsid w:val="00A40F97"/>
    <w:rsid w:val="00A412EF"/>
    <w:rsid w:val="00A4146D"/>
    <w:rsid w:val="00A4253F"/>
    <w:rsid w:val="00A42D15"/>
    <w:rsid w:val="00A42EF2"/>
    <w:rsid w:val="00A4400D"/>
    <w:rsid w:val="00A442FF"/>
    <w:rsid w:val="00A44D84"/>
    <w:rsid w:val="00A45A85"/>
    <w:rsid w:val="00A45BD2"/>
    <w:rsid w:val="00A46F60"/>
    <w:rsid w:val="00A4713F"/>
    <w:rsid w:val="00A4716C"/>
    <w:rsid w:val="00A47758"/>
    <w:rsid w:val="00A479EA"/>
    <w:rsid w:val="00A50334"/>
    <w:rsid w:val="00A50436"/>
    <w:rsid w:val="00A50595"/>
    <w:rsid w:val="00A51DA8"/>
    <w:rsid w:val="00A51FB7"/>
    <w:rsid w:val="00A5275D"/>
    <w:rsid w:val="00A52A12"/>
    <w:rsid w:val="00A52ED5"/>
    <w:rsid w:val="00A53274"/>
    <w:rsid w:val="00A5372E"/>
    <w:rsid w:val="00A54194"/>
    <w:rsid w:val="00A54E6E"/>
    <w:rsid w:val="00A5515B"/>
    <w:rsid w:val="00A5581F"/>
    <w:rsid w:val="00A558D3"/>
    <w:rsid w:val="00A55BE8"/>
    <w:rsid w:val="00A55D0F"/>
    <w:rsid w:val="00A56672"/>
    <w:rsid w:val="00A56F5F"/>
    <w:rsid w:val="00A57018"/>
    <w:rsid w:val="00A578D4"/>
    <w:rsid w:val="00A60A3B"/>
    <w:rsid w:val="00A61015"/>
    <w:rsid w:val="00A6142D"/>
    <w:rsid w:val="00A61750"/>
    <w:rsid w:val="00A61C66"/>
    <w:rsid w:val="00A61D22"/>
    <w:rsid w:val="00A61D6F"/>
    <w:rsid w:val="00A61D7A"/>
    <w:rsid w:val="00A620F3"/>
    <w:rsid w:val="00A62AC5"/>
    <w:rsid w:val="00A62D7D"/>
    <w:rsid w:val="00A63702"/>
    <w:rsid w:val="00A63B03"/>
    <w:rsid w:val="00A64224"/>
    <w:rsid w:val="00A64438"/>
    <w:rsid w:val="00A64735"/>
    <w:rsid w:val="00A64A5F"/>
    <w:rsid w:val="00A65147"/>
    <w:rsid w:val="00A653BF"/>
    <w:rsid w:val="00A654E5"/>
    <w:rsid w:val="00A659E2"/>
    <w:rsid w:val="00A65B62"/>
    <w:rsid w:val="00A673B4"/>
    <w:rsid w:val="00A674A4"/>
    <w:rsid w:val="00A67727"/>
    <w:rsid w:val="00A701A6"/>
    <w:rsid w:val="00A7091A"/>
    <w:rsid w:val="00A71882"/>
    <w:rsid w:val="00A729CE"/>
    <w:rsid w:val="00A72F5E"/>
    <w:rsid w:val="00A7322E"/>
    <w:rsid w:val="00A73E1D"/>
    <w:rsid w:val="00A73EEA"/>
    <w:rsid w:val="00A73FFB"/>
    <w:rsid w:val="00A74E0A"/>
    <w:rsid w:val="00A75060"/>
    <w:rsid w:val="00A7595E"/>
    <w:rsid w:val="00A762AA"/>
    <w:rsid w:val="00A7634C"/>
    <w:rsid w:val="00A766F9"/>
    <w:rsid w:val="00A76FD8"/>
    <w:rsid w:val="00A8070E"/>
    <w:rsid w:val="00A81230"/>
    <w:rsid w:val="00A81E2E"/>
    <w:rsid w:val="00A82406"/>
    <w:rsid w:val="00A82644"/>
    <w:rsid w:val="00A8265A"/>
    <w:rsid w:val="00A829CB"/>
    <w:rsid w:val="00A82AA8"/>
    <w:rsid w:val="00A82C49"/>
    <w:rsid w:val="00A82C69"/>
    <w:rsid w:val="00A83798"/>
    <w:rsid w:val="00A83CE8"/>
    <w:rsid w:val="00A83F16"/>
    <w:rsid w:val="00A84303"/>
    <w:rsid w:val="00A84480"/>
    <w:rsid w:val="00A84618"/>
    <w:rsid w:val="00A84D22"/>
    <w:rsid w:val="00A8510A"/>
    <w:rsid w:val="00A85B76"/>
    <w:rsid w:val="00A860D4"/>
    <w:rsid w:val="00A8648B"/>
    <w:rsid w:val="00A8651D"/>
    <w:rsid w:val="00A86836"/>
    <w:rsid w:val="00A86DC0"/>
    <w:rsid w:val="00A8760C"/>
    <w:rsid w:val="00A87A48"/>
    <w:rsid w:val="00A87AFB"/>
    <w:rsid w:val="00A9080F"/>
    <w:rsid w:val="00A90879"/>
    <w:rsid w:val="00A917C3"/>
    <w:rsid w:val="00A91BFE"/>
    <w:rsid w:val="00A92240"/>
    <w:rsid w:val="00A927B4"/>
    <w:rsid w:val="00A931DE"/>
    <w:rsid w:val="00A934C0"/>
    <w:rsid w:val="00A93C04"/>
    <w:rsid w:val="00A93D89"/>
    <w:rsid w:val="00A94D02"/>
    <w:rsid w:val="00A9586B"/>
    <w:rsid w:val="00A95A99"/>
    <w:rsid w:val="00A95EB3"/>
    <w:rsid w:val="00A964C1"/>
    <w:rsid w:val="00A97013"/>
    <w:rsid w:val="00A9709B"/>
    <w:rsid w:val="00A97180"/>
    <w:rsid w:val="00AA1034"/>
    <w:rsid w:val="00AA3782"/>
    <w:rsid w:val="00AA47F0"/>
    <w:rsid w:val="00AA4A4A"/>
    <w:rsid w:val="00AA548E"/>
    <w:rsid w:val="00AA566E"/>
    <w:rsid w:val="00AA5C5A"/>
    <w:rsid w:val="00AA5D22"/>
    <w:rsid w:val="00AA5FD8"/>
    <w:rsid w:val="00AA6178"/>
    <w:rsid w:val="00AA6601"/>
    <w:rsid w:val="00AA674D"/>
    <w:rsid w:val="00AA7172"/>
    <w:rsid w:val="00AB0C76"/>
    <w:rsid w:val="00AB12F7"/>
    <w:rsid w:val="00AB16D6"/>
    <w:rsid w:val="00AB173D"/>
    <w:rsid w:val="00AB1A60"/>
    <w:rsid w:val="00AB2251"/>
    <w:rsid w:val="00AB236F"/>
    <w:rsid w:val="00AB2C4F"/>
    <w:rsid w:val="00AB308B"/>
    <w:rsid w:val="00AB3ED9"/>
    <w:rsid w:val="00AB4192"/>
    <w:rsid w:val="00AB4E45"/>
    <w:rsid w:val="00AB5272"/>
    <w:rsid w:val="00AB5C6C"/>
    <w:rsid w:val="00AB5F73"/>
    <w:rsid w:val="00AB67EF"/>
    <w:rsid w:val="00AB689D"/>
    <w:rsid w:val="00AB6968"/>
    <w:rsid w:val="00AC014D"/>
    <w:rsid w:val="00AC0AF2"/>
    <w:rsid w:val="00AC0EE6"/>
    <w:rsid w:val="00AC10E1"/>
    <w:rsid w:val="00AC23B9"/>
    <w:rsid w:val="00AC256D"/>
    <w:rsid w:val="00AC26EB"/>
    <w:rsid w:val="00AC368A"/>
    <w:rsid w:val="00AC3874"/>
    <w:rsid w:val="00AC3C99"/>
    <w:rsid w:val="00AC409E"/>
    <w:rsid w:val="00AC415E"/>
    <w:rsid w:val="00AC43E5"/>
    <w:rsid w:val="00AC4886"/>
    <w:rsid w:val="00AC48DF"/>
    <w:rsid w:val="00AC4CF4"/>
    <w:rsid w:val="00AC4F68"/>
    <w:rsid w:val="00AC4FFA"/>
    <w:rsid w:val="00AC5F71"/>
    <w:rsid w:val="00AC7204"/>
    <w:rsid w:val="00AC7EA1"/>
    <w:rsid w:val="00AD044B"/>
    <w:rsid w:val="00AD07F3"/>
    <w:rsid w:val="00AD0B76"/>
    <w:rsid w:val="00AD1072"/>
    <w:rsid w:val="00AD12A0"/>
    <w:rsid w:val="00AD13C5"/>
    <w:rsid w:val="00AD1543"/>
    <w:rsid w:val="00AD1F22"/>
    <w:rsid w:val="00AD256B"/>
    <w:rsid w:val="00AD2D0D"/>
    <w:rsid w:val="00AD35A0"/>
    <w:rsid w:val="00AD3729"/>
    <w:rsid w:val="00AD392C"/>
    <w:rsid w:val="00AD3C01"/>
    <w:rsid w:val="00AD445A"/>
    <w:rsid w:val="00AD47D5"/>
    <w:rsid w:val="00AD48FA"/>
    <w:rsid w:val="00AD514A"/>
    <w:rsid w:val="00AD5E93"/>
    <w:rsid w:val="00AD672D"/>
    <w:rsid w:val="00AD6ADC"/>
    <w:rsid w:val="00AD6DA9"/>
    <w:rsid w:val="00AD749D"/>
    <w:rsid w:val="00AD7BDA"/>
    <w:rsid w:val="00AD7D0B"/>
    <w:rsid w:val="00AD7FA9"/>
    <w:rsid w:val="00AE0208"/>
    <w:rsid w:val="00AE0534"/>
    <w:rsid w:val="00AE0570"/>
    <w:rsid w:val="00AE05A4"/>
    <w:rsid w:val="00AE06C5"/>
    <w:rsid w:val="00AE0772"/>
    <w:rsid w:val="00AE085E"/>
    <w:rsid w:val="00AE1086"/>
    <w:rsid w:val="00AE1258"/>
    <w:rsid w:val="00AE1556"/>
    <w:rsid w:val="00AE20FA"/>
    <w:rsid w:val="00AE22A4"/>
    <w:rsid w:val="00AE23CA"/>
    <w:rsid w:val="00AE3106"/>
    <w:rsid w:val="00AE32D0"/>
    <w:rsid w:val="00AE3464"/>
    <w:rsid w:val="00AE43F0"/>
    <w:rsid w:val="00AE4AE8"/>
    <w:rsid w:val="00AE4B05"/>
    <w:rsid w:val="00AE4CFB"/>
    <w:rsid w:val="00AE4FF0"/>
    <w:rsid w:val="00AE51A7"/>
    <w:rsid w:val="00AE5246"/>
    <w:rsid w:val="00AE583F"/>
    <w:rsid w:val="00AE5BCC"/>
    <w:rsid w:val="00AE5EBD"/>
    <w:rsid w:val="00AE605E"/>
    <w:rsid w:val="00AE6128"/>
    <w:rsid w:val="00AE665F"/>
    <w:rsid w:val="00AE67D7"/>
    <w:rsid w:val="00AE7537"/>
    <w:rsid w:val="00AE7C0B"/>
    <w:rsid w:val="00AF03C9"/>
    <w:rsid w:val="00AF0428"/>
    <w:rsid w:val="00AF177F"/>
    <w:rsid w:val="00AF2109"/>
    <w:rsid w:val="00AF33AD"/>
    <w:rsid w:val="00AF33E5"/>
    <w:rsid w:val="00AF3BFA"/>
    <w:rsid w:val="00AF3C97"/>
    <w:rsid w:val="00AF3E3E"/>
    <w:rsid w:val="00AF45A9"/>
    <w:rsid w:val="00AF490E"/>
    <w:rsid w:val="00AF5107"/>
    <w:rsid w:val="00AF57F6"/>
    <w:rsid w:val="00AF5853"/>
    <w:rsid w:val="00AF5A90"/>
    <w:rsid w:val="00AF5BD8"/>
    <w:rsid w:val="00AF629B"/>
    <w:rsid w:val="00AF6CCC"/>
    <w:rsid w:val="00AF7497"/>
    <w:rsid w:val="00AF7F50"/>
    <w:rsid w:val="00AF7FB6"/>
    <w:rsid w:val="00B001D5"/>
    <w:rsid w:val="00B001ED"/>
    <w:rsid w:val="00B00BC3"/>
    <w:rsid w:val="00B01567"/>
    <w:rsid w:val="00B01C67"/>
    <w:rsid w:val="00B01CA0"/>
    <w:rsid w:val="00B01DB9"/>
    <w:rsid w:val="00B01F10"/>
    <w:rsid w:val="00B025AD"/>
    <w:rsid w:val="00B04377"/>
    <w:rsid w:val="00B046E8"/>
    <w:rsid w:val="00B04796"/>
    <w:rsid w:val="00B04B2B"/>
    <w:rsid w:val="00B04D8B"/>
    <w:rsid w:val="00B04EAE"/>
    <w:rsid w:val="00B068F4"/>
    <w:rsid w:val="00B0705E"/>
    <w:rsid w:val="00B075DE"/>
    <w:rsid w:val="00B07D8C"/>
    <w:rsid w:val="00B07E37"/>
    <w:rsid w:val="00B101D5"/>
    <w:rsid w:val="00B104A2"/>
    <w:rsid w:val="00B10905"/>
    <w:rsid w:val="00B11459"/>
    <w:rsid w:val="00B11D1A"/>
    <w:rsid w:val="00B11E5B"/>
    <w:rsid w:val="00B11FBE"/>
    <w:rsid w:val="00B12E10"/>
    <w:rsid w:val="00B13C6F"/>
    <w:rsid w:val="00B142D8"/>
    <w:rsid w:val="00B14696"/>
    <w:rsid w:val="00B146AF"/>
    <w:rsid w:val="00B16556"/>
    <w:rsid w:val="00B1691C"/>
    <w:rsid w:val="00B16AEC"/>
    <w:rsid w:val="00B16EE3"/>
    <w:rsid w:val="00B17041"/>
    <w:rsid w:val="00B17B7C"/>
    <w:rsid w:val="00B17C23"/>
    <w:rsid w:val="00B205D4"/>
    <w:rsid w:val="00B210A2"/>
    <w:rsid w:val="00B216E3"/>
    <w:rsid w:val="00B217E8"/>
    <w:rsid w:val="00B21CDE"/>
    <w:rsid w:val="00B2212A"/>
    <w:rsid w:val="00B22AE9"/>
    <w:rsid w:val="00B22E2B"/>
    <w:rsid w:val="00B22E9B"/>
    <w:rsid w:val="00B23540"/>
    <w:rsid w:val="00B23886"/>
    <w:rsid w:val="00B24379"/>
    <w:rsid w:val="00B244EF"/>
    <w:rsid w:val="00B24B12"/>
    <w:rsid w:val="00B25583"/>
    <w:rsid w:val="00B258B2"/>
    <w:rsid w:val="00B258FE"/>
    <w:rsid w:val="00B26177"/>
    <w:rsid w:val="00B268F5"/>
    <w:rsid w:val="00B26BB7"/>
    <w:rsid w:val="00B272D6"/>
    <w:rsid w:val="00B27354"/>
    <w:rsid w:val="00B27508"/>
    <w:rsid w:val="00B27CB0"/>
    <w:rsid w:val="00B27F4C"/>
    <w:rsid w:val="00B300CB"/>
    <w:rsid w:val="00B305E8"/>
    <w:rsid w:val="00B30888"/>
    <w:rsid w:val="00B3107C"/>
    <w:rsid w:val="00B31D64"/>
    <w:rsid w:val="00B31DC9"/>
    <w:rsid w:val="00B323E0"/>
    <w:rsid w:val="00B32953"/>
    <w:rsid w:val="00B32D74"/>
    <w:rsid w:val="00B32F9A"/>
    <w:rsid w:val="00B338CC"/>
    <w:rsid w:val="00B33CAF"/>
    <w:rsid w:val="00B3442A"/>
    <w:rsid w:val="00B35B70"/>
    <w:rsid w:val="00B35E0E"/>
    <w:rsid w:val="00B3643A"/>
    <w:rsid w:val="00B365C8"/>
    <w:rsid w:val="00B36C27"/>
    <w:rsid w:val="00B36E78"/>
    <w:rsid w:val="00B37732"/>
    <w:rsid w:val="00B37F11"/>
    <w:rsid w:val="00B40231"/>
    <w:rsid w:val="00B40C99"/>
    <w:rsid w:val="00B417A4"/>
    <w:rsid w:val="00B417EF"/>
    <w:rsid w:val="00B41911"/>
    <w:rsid w:val="00B42164"/>
    <w:rsid w:val="00B42596"/>
    <w:rsid w:val="00B43AC4"/>
    <w:rsid w:val="00B43C69"/>
    <w:rsid w:val="00B43D7F"/>
    <w:rsid w:val="00B43DA9"/>
    <w:rsid w:val="00B44369"/>
    <w:rsid w:val="00B44E51"/>
    <w:rsid w:val="00B44FA3"/>
    <w:rsid w:val="00B46369"/>
    <w:rsid w:val="00B46787"/>
    <w:rsid w:val="00B47B1D"/>
    <w:rsid w:val="00B501B5"/>
    <w:rsid w:val="00B5066D"/>
    <w:rsid w:val="00B50753"/>
    <w:rsid w:val="00B508E9"/>
    <w:rsid w:val="00B50A32"/>
    <w:rsid w:val="00B50B22"/>
    <w:rsid w:val="00B50DE6"/>
    <w:rsid w:val="00B51417"/>
    <w:rsid w:val="00B516C0"/>
    <w:rsid w:val="00B52783"/>
    <w:rsid w:val="00B52900"/>
    <w:rsid w:val="00B52B1B"/>
    <w:rsid w:val="00B52C99"/>
    <w:rsid w:val="00B52E2A"/>
    <w:rsid w:val="00B531F1"/>
    <w:rsid w:val="00B53CD2"/>
    <w:rsid w:val="00B54027"/>
    <w:rsid w:val="00B557BF"/>
    <w:rsid w:val="00B55F29"/>
    <w:rsid w:val="00B562F0"/>
    <w:rsid w:val="00B563E8"/>
    <w:rsid w:val="00B5685A"/>
    <w:rsid w:val="00B5691A"/>
    <w:rsid w:val="00B569EA"/>
    <w:rsid w:val="00B56E5D"/>
    <w:rsid w:val="00B57864"/>
    <w:rsid w:val="00B57D93"/>
    <w:rsid w:val="00B6065E"/>
    <w:rsid w:val="00B60F8C"/>
    <w:rsid w:val="00B6107E"/>
    <w:rsid w:val="00B614EA"/>
    <w:rsid w:val="00B621CB"/>
    <w:rsid w:val="00B634C6"/>
    <w:rsid w:val="00B6365C"/>
    <w:rsid w:val="00B6421D"/>
    <w:rsid w:val="00B64A07"/>
    <w:rsid w:val="00B65659"/>
    <w:rsid w:val="00B660E4"/>
    <w:rsid w:val="00B665F9"/>
    <w:rsid w:val="00B67C76"/>
    <w:rsid w:val="00B701EC"/>
    <w:rsid w:val="00B70517"/>
    <w:rsid w:val="00B70F54"/>
    <w:rsid w:val="00B71177"/>
    <w:rsid w:val="00B715C6"/>
    <w:rsid w:val="00B71E5B"/>
    <w:rsid w:val="00B721A7"/>
    <w:rsid w:val="00B72800"/>
    <w:rsid w:val="00B72988"/>
    <w:rsid w:val="00B73059"/>
    <w:rsid w:val="00B7470D"/>
    <w:rsid w:val="00B75272"/>
    <w:rsid w:val="00B757B7"/>
    <w:rsid w:val="00B75BB3"/>
    <w:rsid w:val="00B76878"/>
    <w:rsid w:val="00B76BFB"/>
    <w:rsid w:val="00B76F93"/>
    <w:rsid w:val="00B7712A"/>
    <w:rsid w:val="00B773AA"/>
    <w:rsid w:val="00B773D3"/>
    <w:rsid w:val="00B777CF"/>
    <w:rsid w:val="00B77CAA"/>
    <w:rsid w:val="00B77CC0"/>
    <w:rsid w:val="00B802C9"/>
    <w:rsid w:val="00B8045B"/>
    <w:rsid w:val="00B81C78"/>
    <w:rsid w:val="00B81E13"/>
    <w:rsid w:val="00B81F2C"/>
    <w:rsid w:val="00B8210E"/>
    <w:rsid w:val="00B831D5"/>
    <w:rsid w:val="00B8325D"/>
    <w:rsid w:val="00B84B13"/>
    <w:rsid w:val="00B851D6"/>
    <w:rsid w:val="00B8546D"/>
    <w:rsid w:val="00B85B46"/>
    <w:rsid w:val="00B85B7B"/>
    <w:rsid w:val="00B85E95"/>
    <w:rsid w:val="00B85EED"/>
    <w:rsid w:val="00B869FA"/>
    <w:rsid w:val="00B875C0"/>
    <w:rsid w:val="00B87F0A"/>
    <w:rsid w:val="00B90A8B"/>
    <w:rsid w:val="00B910B2"/>
    <w:rsid w:val="00B9185F"/>
    <w:rsid w:val="00B91880"/>
    <w:rsid w:val="00B91FA2"/>
    <w:rsid w:val="00B922CA"/>
    <w:rsid w:val="00B925D0"/>
    <w:rsid w:val="00B9280A"/>
    <w:rsid w:val="00B930C9"/>
    <w:rsid w:val="00B932FF"/>
    <w:rsid w:val="00B93766"/>
    <w:rsid w:val="00B937B8"/>
    <w:rsid w:val="00B94382"/>
    <w:rsid w:val="00B94B34"/>
    <w:rsid w:val="00B950E0"/>
    <w:rsid w:val="00B95871"/>
    <w:rsid w:val="00B958C0"/>
    <w:rsid w:val="00B95925"/>
    <w:rsid w:val="00B95C88"/>
    <w:rsid w:val="00B95EBF"/>
    <w:rsid w:val="00B96020"/>
    <w:rsid w:val="00B96A3D"/>
    <w:rsid w:val="00B96FC5"/>
    <w:rsid w:val="00B977B0"/>
    <w:rsid w:val="00BA071E"/>
    <w:rsid w:val="00BA0F05"/>
    <w:rsid w:val="00BA1111"/>
    <w:rsid w:val="00BA1215"/>
    <w:rsid w:val="00BA16D7"/>
    <w:rsid w:val="00BA2053"/>
    <w:rsid w:val="00BA225F"/>
    <w:rsid w:val="00BA24D2"/>
    <w:rsid w:val="00BA27ED"/>
    <w:rsid w:val="00BA2907"/>
    <w:rsid w:val="00BA293F"/>
    <w:rsid w:val="00BA29F9"/>
    <w:rsid w:val="00BA2A06"/>
    <w:rsid w:val="00BA2AE9"/>
    <w:rsid w:val="00BA3102"/>
    <w:rsid w:val="00BA3167"/>
    <w:rsid w:val="00BA3B2B"/>
    <w:rsid w:val="00BA4149"/>
    <w:rsid w:val="00BA4398"/>
    <w:rsid w:val="00BA4EA6"/>
    <w:rsid w:val="00BA581B"/>
    <w:rsid w:val="00BA657A"/>
    <w:rsid w:val="00BA698B"/>
    <w:rsid w:val="00BA6A42"/>
    <w:rsid w:val="00BB0534"/>
    <w:rsid w:val="00BB0DB8"/>
    <w:rsid w:val="00BB0F8F"/>
    <w:rsid w:val="00BB13D7"/>
    <w:rsid w:val="00BB1979"/>
    <w:rsid w:val="00BB1A39"/>
    <w:rsid w:val="00BB1F73"/>
    <w:rsid w:val="00BB262D"/>
    <w:rsid w:val="00BB28EE"/>
    <w:rsid w:val="00BB2C8C"/>
    <w:rsid w:val="00BB3290"/>
    <w:rsid w:val="00BB348E"/>
    <w:rsid w:val="00BB354F"/>
    <w:rsid w:val="00BB36A8"/>
    <w:rsid w:val="00BB3955"/>
    <w:rsid w:val="00BB4061"/>
    <w:rsid w:val="00BB4285"/>
    <w:rsid w:val="00BB4777"/>
    <w:rsid w:val="00BB4EEB"/>
    <w:rsid w:val="00BB5518"/>
    <w:rsid w:val="00BB5B0A"/>
    <w:rsid w:val="00BB6CE5"/>
    <w:rsid w:val="00BB739D"/>
    <w:rsid w:val="00BC06C3"/>
    <w:rsid w:val="00BC1684"/>
    <w:rsid w:val="00BC2CFB"/>
    <w:rsid w:val="00BC35BA"/>
    <w:rsid w:val="00BC38BA"/>
    <w:rsid w:val="00BC3A33"/>
    <w:rsid w:val="00BC4B1E"/>
    <w:rsid w:val="00BC5053"/>
    <w:rsid w:val="00BC5202"/>
    <w:rsid w:val="00BC55DE"/>
    <w:rsid w:val="00BC5795"/>
    <w:rsid w:val="00BC5C7E"/>
    <w:rsid w:val="00BC6032"/>
    <w:rsid w:val="00BC61AE"/>
    <w:rsid w:val="00BC64EB"/>
    <w:rsid w:val="00BC6DC3"/>
    <w:rsid w:val="00BC6DF1"/>
    <w:rsid w:val="00BC72C6"/>
    <w:rsid w:val="00BD0BDE"/>
    <w:rsid w:val="00BD1081"/>
    <w:rsid w:val="00BD1988"/>
    <w:rsid w:val="00BD3DC7"/>
    <w:rsid w:val="00BD4563"/>
    <w:rsid w:val="00BD4596"/>
    <w:rsid w:val="00BD4905"/>
    <w:rsid w:val="00BD4AA6"/>
    <w:rsid w:val="00BD4FD8"/>
    <w:rsid w:val="00BD6365"/>
    <w:rsid w:val="00BD673C"/>
    <w:rsid w:val="00BD7BD0"/>
    <w:rsid w:val="00BE0F67"/>
    <w:rsid w:val="00BE117F"/>
    <w:rsid w:val="00BE17D6"/>
    <w:rsid w:val="00BE1981"/>
    <w:rsid w:val="00BE224A"/>
    <w:rsid w:val="00BE25C9"/>
    <w:rsid w:val="00BE2783"/>
    <w:rsid w:val="00BE37E1"/>
    <w:rsid w:val="00BE4750"/>
    <w:rsid w:val="00BE5142"/>
    <w:rsid w:val="00BE51E8"/>
    <w:rsid w:val="00BE5E89"/>
    <w:rsid w:val="00BE67B5"/>
    <w:rsid w:val="00BE6BBF"/>
    <w:rsid w:val="00BE78A4"/>
    <w:rsid w:val="00BF05B1"/>
    <w:rsid w:val="00BF0643"/>
    <w:rsid w:val="00BF0E4E"/>
    <w:rsid w:val="00BF1182"/>
    <w:rsid w:val="00BF1720"/>
    <w:rsid w:val="00BF2383"/>
    <w:rsid w:val="00BF368A"/>
    <w:rsid w:val="00BF38A9"/>
    <w:rsid w:val="00BF4C43"/>
    <w:rsid w:val="00BF4E75"/>
    <w:rsid w:val="00BF5113"/>
    <w:rsid w:val="00BF5624"/>
    <w:rsid w:val="00BF58BA"/>
    <w:rsid w:val="00BF6288"/>
    <w:rsid w:val="00BF7406"/>
    <w:rsid w:val="00BF778F"/>
    <w:rsid w:val="00BF7D4A"/>
    <w:rsid w:val="00C00A61"/>
    <w:rsid w:val="00C017BF"/>
    <w:rsid w:val="00C01F64"/>
    <w:rsid w:val="00C020D4"/>
    <w:rsid w:val="00C027EA"/>
    <w:rsid w:val="00C02983"/>
    <w:rsid w:val="00C0340E"/>
    <w:rsid w:val="00C03981"/>
    <w:rsid w:val="00C039C7"/>
    <w:rsid w:val="00C03B54"/>
    <w:rsid w:val="00C03CF9"/>
    <w:rsid w:val="00C03E9D"/>
    <w:rsid w:val="00C04218"/>
    <w:rsid w:val="00C050CE"/>
    <w:rsid w:val="00C055F3"/>
    <w:rsid w:val="00C057EB"/>
    <w:rsid w:val="00C058C2"/>
    <w:rsid w:val="00C059E8"/>
    <w:rsid w:val="00C0680D"/>
    <w:rsid w:val="00C07042"/>
    <w:rsid w:val="00C0704F"/>
    <w:rsid w:val="00C070CC"/>
    <w:rsid w:val="00C07844"/>
    <w:rsid w:val="00C104D7"/>
    <w:rsid w:val="00C108DA"/>
    <w:rsid w:val="00C10C3B"/>
    <w:rsid w:val="00C10C95"/>
    <w:rsid w:val="00C10E5A"/>
    <w:rsid w:val="00C11117"/>
    <w:rsid w:val="00C11236"/>
    <w:rsid w:val="00C11A60"/>
    <w:rsid w:val="00C11B45"/>
    <w:rsid w:val="00C11E3E"/>
    <w:rsid w:val="00C12041"/>
    <w:rsid w:val="00C12948"/>
    <w:rsid w:val="00C12B13"/>
    <w:rsid w:val="00C13193"/>
    <w:rsid w:val="00C136E9"/>
    <w:rsid w:val="00C1391F"/>
    <w:rsid w:val="00C14061"/>
    <w:rsid w:val="00C14348"/>
    <w:rsid w:val="00C147E6"/>
    <w:rsid w:val="00C14AB0"/>
    <w:rsid w:val="00C15225"/>
    <w:rsid w:val="00C15A8C"/>
    <w:rsid w:val="00C15CEE"/>
    <w:rsid w:val="00C15E9D"/>
    <w:rsid w:val="00C16104"/>
    <w:rsid w:val="00C167D1"/>
    <w:rsid w:val="00C169D0"/>
    <w:rsid w:val="00C1715A"/>
    <w:rsid w:val="00C17832"/>
    <w:rsid w:val="00C17D14"/>
    <w:rsid w:val="00C17D3D"/>
    <w:rsid w:val="00C17E88"/>
    <w:rsid w:val="00C20182"/>
    <w:rsid w:val="00C202DD"/>
    <w:rsid w:val="00C212AB"/>
    <w:rsid w:val="00C214F0"/>
    <w:rsid w:val="00C21BD9"/>
    <w:rsid w:val="00C21C3F"/>
    <w:rsid w:val="00C220CA"/>
    <w:rsid w:val="00C22DB1"/>
    <w:rsid w:val="00C23CDB"/>
    <w:rsid w:val="00C240E8"/>
    <w:rsid w:val="00C2467E"/>
    <w:rsid w:val="00C246E7"/>
    <w:rsid w:val="00C248FA"/>
    <w:rsid w:val="00C25BD1"/>
    <w:rsid w:val="00C26422"/>
    <w:rsid w:val="00C26C7C"/>
    <w:rsid w:val="00C26CC7"/>
    <w:rsid w:val="00C26E03"/>
    <w:rsid w:val="00C26F8E"/>
    <w:rsid w:val="00C27D5F"/>
    <w:rsid w:val="00C30E86"/>
    <w:rsid w:val="00C31604"/>
    <w:rsid w:val="00C32329"/>
    <w:rsid w:val="00C3269F"/>
    <w:rsid w:val="00C3288D"/>
    <w:rsid w:val="00C32F6A"/>
    <w:rsid w:val="00C331AA"/>
    <w:rsid w:val="00C33CEB"/>
    <w:rsid w:val="00C342DB"/>
    <w:rsid w:val="00C349B3"/>
    <w:rsid w:val="00C34DE5"/>
    <w:rsid w:val="00C35D7A"/>
    <w:rsid w:val="00C36ADD"/>
    <w:rsid w:val="00C40B91"/>
    <w:rsid w:val="00C40EF8"/>
    <w:rsid w:val="00C41A46"/>
    <w:rsid w:val="00C42785"/>
    <w:rsid w:val="00C430C0"/>
    <w:rsid w:val="00C45177"/>
    <w:rsid w:val="00C45243"/>
    <w:rsid w:val="00C45553"/>
    <w:rsid w:val="00C45931"/>
    <w:rsid w:val="00C4642D"/>
    <w:rsid w:val="00C467B1"/>
    <w:rsid w:val="00C4681F"/>
    <w:rsid w:val="00C46920"/>
    <w:rsid w:val="00C47872"/>
    <w:rsid w:val="00C47E6F"/>
    <w:rsid w:val="00C51200"/>
    <w:rsid w:val="00C514F0"/>
    <w:rsid w:val="00C51D6F"/>
    <w:rsid w:val="00C51F61"/>
    <w:rsid w:val="00C52184"/>
    <w:rsid w:val="00C52374"/>
    <w:rsid w:val="00C52470"/>
    <w:rsid w:val="00C524CB"/>
    <w:rsid w:val="00C5255F"/>
    <w:rsid w:val="00C53087"/>
    <w:rsid w:val="00C53234"/>
    <w:rsid w:val="00C53989"/>
    <w:rsid w:val="00C53E83"/>
    <w:rsid w:val="00C53FE9"/>
    <w:rsid w:val="00C54F52"/>
    <w:rsid w:val="00C553B7"/>
    <w:rsid w:val="00C5583B"/>
    <w:rsid w:val="00C56464"/>
    <w:rsid w:val="00C5798E"/>
    <w:rsid w:val="00C57D4A"/>
    <w:rsid w:val="00C57D9E"/>
    <w:rsid w:val="00C60A09"/>
    <w:rsid w:val="00C60BD4"/>
    <w:rsid w:val="00C60D78"/>
    <w:rsid w:val="00C61808"/>
    <w:rsid w:val="00C6198E"/>
    <w:rsid w:val="00C621DC"/>
    <w:rsid w:val="00C6364C"/>
    <w:rsid w:val="00C65356"/>
    <w:rsid w:val="00C65465"/>
    <w:rsid w:val="00C65A41"/>
    <w:rsid w:val="00C65C48"/>
    <w:rsid w:val="00C66238"/>
    <w:rsid w:val="00C66421"/>
    <w:rsid w:val="00C665AA"/>
    <w:rsid w:val="00C6670F"/>
    <w:rsid w:val="00C66E06"/>
    <w:rsid w:val="00C673A4"/>
    <w:rsid w:val="00C67A83"/>
    <w:rsid w:val="00C67C95"/>
    <w:rsid w:val="00C67EE6"/>
    <w:rsid w:val="00C67F98"/>
    <w:rsid w:val="00C70497"/>
    <w:rsid w:val="00C70654"/>
    <w:rsid w:val="00C70C76"/>
    <w:rsid w:val="00C70D5A"/>
    <w:rsid w:val="00C71284"/>
    <w:rsid w:val="00C7181C"/>
    <w:rsid w:val="00C718FD"/>
    <w:rsid w:val="00C72121"/>
    <w:rsid w:val="00C72325"/>
    <w:rsid w:val="00C72DC6"/>
    <w:rsid w:val="00C72E05"/>
    <w:rsid w:val="00C7307F"/>
    <w:rsid w:val="00C73092"/>
    <w:rsid w:val="00C734CD"/>
    <w:rsid w:val="00C7375E"/>
    <w:rsid w:val="00C738D8"/>
    <w:rsid w:val="00C7439F"/>
    <w:rsid w:val="00C7463A"/>
    <w:rsid w:val="00C74970"/>
    <w:rsid w:val="00C74CA2"/>
    <w:rsid w:val="00C752FB"/>
    <w:rsid w:val="00C754BE"/>
    <w:rsid w:val="00C756E0"/>
    <w:rsid w:val="00C75804"/>
    <w:rsid w:val="00C75D5C"/>
    <w:rsid w:val="00C7667D"/>
    <w:rsid w:val="00C76A6F"/>
    <w:rsid w:val="00C77CE6"/>
    <w:rsid w:val="00C77CF4"/>
    <w:rsid w:val="00C77E8A"/>
    <w:rsid w:val="00C8064E"/>
    <w:rsid w:val="00C80D4C"/>
    <w:rsid w:val="00C80EE7"/>
    <w:rsid w:val="00C8135C"/>
    <w:rsid w:val="00C818DA"/>
    <w:rsid w:val="00C81A9A"/>
    <w:rsid w:val="00C81DC5"/>
    <w:rsid w:val="00C81F24"/>
    <w:rsid w:val="00C822EC"/>
    <w:rsid w:val="00C82523"/>
    <w:rsid w:val="00C83532"/>
    <w:rsid w:val="00C8362B"/>
    <w:rsid w:val="00C836AC"/>
    <w:rsid w:val="00C83842"/>
    <w:rsid w:val="00C848BD"/>
    <w:rsid w:val="00C85D40"/>
    <w:rsid w:val="00C86987"/>
    <w:rsid w:val="00C869CC"/>
    <w:rsid w:val="00C869F3"/>
    <w:rsid w:val="00C87B7D"/>
    <w:rsid w:val="00C87FE6"/>
    <w:rsid w:val="00C906AB"/>
    <w:rsid w:val="00C90F7B"/>
    <w:rsid w:val="00C91119"/>
    <w:rsid w:val="00C911E6"/>
    <w:rsid w:val="00C91249"/>
    <w:rsid w:val="00C91AF3"/>
    <w:rsid w:val="00C92D22"/>
    <w:rsid w:val="00C932C8"/>
    <w:rsid w:val="00C9379E"/>
    <w:rsid w:val="00C93B18"/>
    <w:rsid w:val="00C942E5"/>
    <w:rsid w:val="00C9495E"/>
    <w:rsid w:val="00C94E7E"/>
    <w:rsid w:val="00C95383"/>
    <w:rsid w:val="00C95DE3"/>
    <w:rsid w:val="00C97694"/>
    <w:rsid w:val="00C97C55"/>
    <w:rsid w:val="00C97C9B"/>
    <w:rsid w:val="00C97CE7"/>
    <w:rsid w:val="00C97FE5"/>
    <w:rsid w:val="00CA0008"/>
    <w:rsid w:val="00CA08AE"/>
    <w:rsid w:val="00CA0E3A"/>
    <w:rsid w:val="00CA12F4"/>
    <w:rsid w:val="00CA1C47"/>
    <w:rsid w:val="00CA213B"/>
    <w:rsid w:val="00CA240E"/>
    <w:rsid w:val="00CA2B2E"/>
    <w:rsid w:val="00CA3301"/>
    <w:rsid w:val="00CA3333"/>
    <w:rsid w:val="00CA35B4"/>
    <w:rsid w:val="00CA4F12"/>
    <w:rsid w:val="00CA5138"/>
    <w:rsid w:val="00CA5269"/>
    <w:rsid w:val="00CA6A22"/>
    <w:rsid w:val="00CA6E12"/>
    <w:rsid w:val="00CA6EFE"/>
    <w:rsid w:val="00CA732F"/>
    <w:rsid w:val="00CA758C"/>
    <w:rsid w:val="00CA76A8"/>
    <w:rsid w:val="00CA7A2C"/>
    <w:rsid w:val="00CA7EAC"/>
    <w:rsid w:val="00CB004D"/>
    <w:rsid w:val="00CB041D"/>
    <w:rsid w:val="00CB0433"/>
    <w:rsid w:val="00CB08D8"/>
    <w:rsid w:val="00CB0B3E"/>
    <w:rsid w:val="00CB0B66"/>
    <w:rsid w:val="00CB0BF1"/>
    <w:rsid w:val="00CB101F"/>
    <w:rsid w:val="00CB10A6"/>
    <w:rsid w:val="00CB1109"/>
    <w:rsid w:val="00CB146B"/>
    <w:rsid w:val="00CB16FA"/>
    <w:rsid w:val="00CB2009"/>
    <w:rsid w:val="00CB2077"/>
    <w:rsid w:val="00CB253A"/>
    <w:rsid w:val="00CB2E99"/>
    <w:rsid w:val="00CB33EE"/>
    <w:rsid w:val="00CB34CC"/>
    <w:rsid w:val="00CB3BA5"/>
    <w:rsid w:val="00CB4045"/>
    <w:rsid w:val="00CB42F2"/>
    <w:rsid w:val="00CB4618"/>
    <w:rsid w:val="00CB48A9"/>
    <w:rsid w:val="00CB4AEE"/>
    <w:rsid w:val="00CB4E97"/>
    <w:rsid w:val="00CB545A"/>
    <w:rsid w:val="00CB58FB"/>
    <w:rsid w:val="00CB59BA"/>
    <w:rsid w:val="00CB68D3"/>
    <w:rsid w:val="00CB7E78"/>
    <w:rsid w:val="00CC04CB"/>
    <w:rsid w:val="00CC1361"/>
    <w:rsid w:val="00CC14C4"/>
    <w:rsid w:val="00CC1901"/>
    <w:rsid w:val="00CC26ED"/>
    <w:rsid w:val="00CC29BB"/>
    <w:rsid w:val="00CC2E23"/>
    <w:rsid w:val="00CC3165"/>
    <w:rsid w:val="00CC38AC"/>
    <w:rsid w:val="00CC4475"/>
    <w:rsid w:val="00CC4919"/>
    <w:rsid w:val="00CC4A1A"/>
    <w:rsid w:val="00CC4EAB"/>
    <w:rsid w:val="00CC5527"/>
    <w:rsid w:val="00CC5745"/>
    <w:rsid w:val="00CC57E3"/>
    <w:rsid w:val="00CC5C96"/>
    <w:rsid w:val="00CC60B5"/>
    <w:rsid w:val="00CC62B4"/>
    <w:rsid w:val="00CC77A3"/>
    <w:rsid w:val="00CC7C70"/>
    <w:rsid w:val="00CC7E15"/>
    <w:rsid w:val="00CD0FD3"/>
    <w:rsid w:val="00CD10EB"/>
    <w:rsid w:val="00CD13DB"/>
    <w:rsid w:val="00CD1C68"/>
    <w:rsid w:val="00CD2663"/>
    <w:rsid w:val="00CD2E6C"/>
    <w:rsid w:val="00CD32A8"/>
    <w:rsid w:val="00CD3369"/>
    <w:rsid w:val="00CD4146"/>
    <w:rsid w:val="00CD4DAD"/>
    <w:rsid w:val="00CD5356"/>
    <w:rsid w:val="00CD55C3"/>
    <w:rsid w:val="00CD5B78"/>
    <w:rsid w:val="00CD5D3E"/>
    <w:rsid w:val="00CD610A"/>
    <w:rsid w:val="00CD6191"/>
    <w:rsid w:val="00CD6696"/>
    <w:rsid w:val="00CD682B"/>
    <w:rsid w:val="00CD6878"/>
    <w:rsid w:val="00CD6A08"/>
    <w:rsid w:val="00CD71ED"/>
    <w:rsid w:val="00CD7494"/>
    <w:rsid w:val="00CD754D"/>
    <w:rsid w:val="00CD7F80"/>
    <w:rsid w:val="00CE01AD"/>
    <w:rsid w:val="00CE02AD"/>
    <w:rsid w:val="00CE053C"/>
    <w:rsid w:val="00CE080E"/>
    <w:rsid w:val="00CE09E5"/>
    <w:rsid w:val="00CE0F26"/>
    <w:rsid w:val="00CE0FFA"/>
    <w:rsid w:val="00CE10E3"/>
    <w:rsid w:val="00CE147C"/>
    <w:rsid w:val="00CE186F"/>
    <w:rsid w:val="00CE1AFC"/>
    <w:rsid w:val="00CE1D00"/>
    <w:rsid w:val="00CE21D3"/>
    <w:rsid w:val="00CE23AA"/>
    <w:rsid w:val="00CE295E"/>
    <w:rsid w:val="00CE2A7A"/>
    <w:rsid w:val="00CE2B42"/>
    <w:rsid w:val="00CE319B"/>
    <w:rsid w:val="00CE40E3"/>
    <w:rsid w:val="00CE4A86"/>
    <w:rsid w:val="00CE4C73"/>
    <w:rsid w:val="00CE4CAE"/>
    <w:rsid w:val="00CE55DA"/>
    <w:rsid w:val="00CE5749"/>
    <w:rsid w:val="00CE58D6"/>
    <w:rsid w:val="00CE58EE"/>
    <w:rsid w:val="00CE5944"/>
    <w:rsid w:val="00CE59C4"/>
    <w:rsid w:val="00CE69C0"/>
    <w:rsid w:val="00CE6ECC"/>
    <w:rsid w:val="00CE7AF8"/>
    <w:rsid w:val="00CE7D0F"/>
    <w:rsid w:val="00CF0C7E"/>
    <w:rsid w:val="00CF0E65"/>
    <w:rsid w:val="00CF1371"/>
    <w:rsid w:val="00CF1695"/>
    <w:rsid w:val="00CF38F4"/>
    <w:rsid w:val="00CF3A9C"/>
    <w:rsid w:val="00CF44B5"/>
    <w:rsid w:val="00CF4A87"/>
    <w:rsid w:val="00CF5879"/>
    <w:rsid w:val="00CF6011"/>
    <w:rsid w:val="00CF6517"/>
    <w:rsid w:val="00CF6A85"/>
    <w:rsid w:val="00CF6CBB"/>
    <w:rsid w:val="00CF6FAA"/>
    <w:rsid w:val="00CF753A"/>
    <w:rsid w:val="00CF794B"/>
    <w:rsid w:val="00CF7AC7"/>
    <w:rsid w:val="00D00375"/>
    <w:rsid w:val="00D0099D"/>
    <w:rsid w:val="00D00F94"/>
    <w:rsid w:val="00D018F9"/>
    <w:rsid w:val="00D01E0F"/>
    <w:rsid w:val="00D022DC"/>
    <w:rsid w:val="00D0253C"/>
    <w:rsid w:val="00D02A89"/>
    <w:rsid w:val="00D035DC"/>
    <w:rsid w:val="00D03832"/>
    <w:rsid w:val="00D03C40"/>
    <w:rsid w:val="00D03D7B"/>
    <w:rsid w:val="00D03E2F"/>
    <w:rsid w:val="00D0426F"/>
    <w:rsid w:val="00D045D6"/>
    <w:rsid w:val="00D046C9"/>
    <w:rsid w:val="00D04E78"/>
    <w:rsid w:val="00D05183"/>
    <w:rsid w:val="00D05704"/>
    <w:rsid w:val="00D059E2"/>
    <w:rsid w:val="00D0618C"/>
    <w:rsid w:val="00D06392"/>
    <w:rsid w:val="00D06847"/>
    <w:rsid w:val="00D06BC9"/>
    <w:rsid w:val="00D06DB9"/>
    <w:rsid w:val="00D07BDF"/>
    <w:rsid w:val="00D07E44"/>
    <w:rsid w:val="00D100CF"/>
    <w:rsid w:val="00D10142"/>
    <w:rsid w:val="00D10878"/>
    <w:rsid w:val="00D11933"/>
    <w:rsid w:val="00D11F99"/>
    <w:rsid w:val="00D12493"/>
    <w:rsid w:val="00D12660"/>
    <w:rsid w:val="00D12C7A"/>
    <w:rsid w:val="00D139CA"/>
    <w:rsid w:val="00D13BE6"/>
    <w:rsid w:val="00D149B2"/>
    <w:rsid w:val="00D14A4E"/>
    <w:rsid w:val="00D14C72"/>
    <w:rsid w:val="00D14EF9"/>
    <w:rsid w:val="00D15362"/>
    <w:rsid w:val="00D15416"/>
    <w:rsid w:val="00D15A58"/>
    <w:rsid w:val="00D16903"/>
    <w:rsid w:val="00D16B06"/>
    <w:rsid w:val="00D204A8"/>
    <w:rsid w:val="00D2066E"/>
    <w:rsid w:val="00D20711"/>
    <w:rsid w:val="00D20E5A"/>
    <w:rsid w:val="00D20F4F"/>
    <w:rsid w:val="00D214F7"/>
    <w:rsid w:val="00D22018"/>
    <w:rsid w:val="00D22C5B"/>
    <w:rsid w:val="00D23966"/>
    <w:rsid w:val="00D23D51"/>
    <w:rsid w:val="00D23EE9"/>
    <w:rsid w:val="00D250CE"/>
    <w:rsid w:val="00D2517C"/>
    <w:rsid w:val="00D265D4"/>
    <w:rsid w:val="00D26754"/>
    <w:rsid w:val="00D26F00"/>
    <w:rsid w:val="00D272E8"/>
    <w:rsid w:val="00D276A4"/>
    <w:rsid w:val="00D27A01"/>
    <w:rsid w:val="00D300CF"/>
    <w:rsid w:val="00D30181"/>
    <w:rsid w:val="00D30B29"/>
    <w:rsid w:val="00D3192D"/>
    <w:rsid w:val="00D323D0"/>
    <w:rsid w:val="00D32797"/>
    <w:rsid w:val="00D33130"/>
    <w:rsid w:val="00D33216"/>
    <w:rsid w:val="00D338D1"/>
    <w:rsid w:val="00D340F2"/>
    <w:rsid w:val="00D34351"/>
    <w:rsid w:val="00D3451F"/>
    <w:rsid w:val="00D3464C"/>
    <w:rsid w:val="00D3479F"/>
    <w:rsid w:val="00D34D98"/>
    <w:rsid w:val="00D34E3D"/>
    <w:rsid w:val="00D3501F"/>
    <w:rsid w:val="00D36068"/>
    <w:rsid w:val="00D36224"/>
    <w:rsid w:val="00D3657A"/>
    <w:rsid w:val="00D36D76"/>
    <w:rsid w:val="00D40746"/>
    <w:rsid w:val="00D408DF"/>
    <w:rsid w:val="00D40DEE"/>
    <w:rsid w:val="00D41625"/>
    <w:rsid w:val="00D416AA"/>
    <w:rsid w:val="00D416F5"/>
    <w:rsid w:val="00D423CB"/>
    <w:rsid w:val="00D427DC"/>
    <w:rsid w:val="00D436A0"/>
    <w:rsid w:val="00D44111"/>
    <w:rsid w:val="00D444A1"/>
    <w:rsid w:val="00D44D6E"/>
    <w:rsid w:val="00D4515C"/>
    <w:rsid w:val="00D4655A"/>
    <w:rsid w:val="00D4695C"/>
    <w:rsid w:val="00D46A93"/>
    <w:rsid w:val="00D46C74"/>
    <w:rsid w:val="00D47584"/>
    <w:rsid w:val="00D47961"/>
    <w:rsid w:val="00D509A1"/>
    <w:rsid w:val="00D50B30"/>
    <w:rsid w:val="00D50EE4"/>
    <w:rsid w:val="00D512C0"/>
    <w:rsid w:val="00D51463"/>
    <w:rsid w:val="00D51945"/>
    <w:rsid w:val="00D522BB"/>
    <w:rsid w:val="00D52B62"/>
    <w:rsid w:val="00D53045"/>
    <w:rsid w:val="00D53963"/>
    <w:rsid w:val="00D5474F"/>
    <w:rsid w:val="00D55056"/>
    <w:rsid w:val="00D5576E"/>
    <w:rsid w:val="00D5583F"/>
    <w:rsid w:val="00D55C15"/>
    <w:rsid w:val="00D56AA2"/>
    <w:rsid w:val="00D56AF9"/>
    <w:rsid w:val="00D56B30"/>
    <w:rsid w:val="00D5724D"/>
    <w:rsid w:val="00D576A7"/>
    <w:rsid w:val="00D57A9C"/>
    <w:rsid w:val="00D602CF"/>
    <w:rsid w:val="00D60592"/>
    <w:rsid w:val="00D6062D"/>
    <w:rsid w:val="00D61309"/>
    <w:rsid w:val="00D61635"/>
    <w:rsid w:val="00D621E9"/>
    <w:rsid w:val="00D626A9"/>
    <w:rsid w:val="00D626C6"/>
    <w:rsid w:val="00D6273D"/>
    <w:rsid w:val="00D628C5"/>
    <w:rsid w:val="00D634D7"/>
    <w:rsid w:val="00D63DB5"/>
    <w:rsid w:val="00D63E81"/>
    <w:rsid w:val="00D63EA8"/>
    <w:rsid w:val="00D643CE"/>
    <w:rsid w:val="00D64680"/>
    <w:rsid w:val="00D6471A"/>
    <w:rsid w:val="00D64F9E"/>
    <w:rsid w:val="00D65080"/>
    <w:rsid w:val="00D652FD"/>
    <w:rsid w:val="00D65A27"/>
    <w:rsid w:val="00D6766C"/>
    <w:rsid w:val="00D67888"/>
    <w:rsid w:val="00D7066E"/>
    <w:rsid w:val="00D7078F"/>
    <w:rsid w:val="00D70AAD"/>
    <w:rsid w:val="00D72361"/>
    <w:rsid w:val="00D72A14"/>
    <w:rsid w:val="00D72BC6"/>
    <w:rsid w:val="00D72F8B"/>
    <w:rsid w:val="00D735BC"/>
    <w:rsid w:val="00D73694"/>
    <w:rsid w:val="00D74447"/>
    <w:rsid w:val="00D746DB"/>
    <w:rsid w:val="00D7514D"/>
    <w:rsid w:val="00D755B0"/>
    <w:rsid w:val="00D759C2"/>
    <w:rsid w:val="00D75DD0"/>
    <w:rsid w:val="00D767F3"/>
    <w:rsid w:val="00D76EF3"/>
    <w:rsid w:val="00D770F0"/>
    <w:rsid w:val="00D77C64"/>
    <w:rsid w:val="00D77FB0"/>
    <w:rsid w:val="00D77FB8"/>
    <w:rsid w:val="00D80C5C"/>
    <w:rsid w:val="00D80DD7"/>
    <w:rsid w:val="00D82050"/>
    <w:rsid w:val="00D821C6"/>
    <w:rsid w:val="00D8301C"/>
    <w:rsid w:val="00D835AD"/>
    <w:rsid w:val="00D838FD"/>
    <w:rsid w:val="00D83927"/>
    <w:rsid w:val="00D83AF1"/>
    <w:rsid w:val="00D83B8C"/>
    <w:rsid w:val="00D83EFF"/>
    <w:rsid w:val="00D84559"/>
    <w:rsid w:val="00D846B2"/>
    <w:rsid w:val="00D84A12"/>
    <w:rsid w:val="00D84D1F"/>
    <w:rsid w:val="00D84E23"/>
    <w:rsid w:val="00D85635"/>
    <w:rsid w:val="00D8588C"/>
    <w:rsid w:val="00D85F51"/>
    <w:rsid w:val="00D85F55"/>
    <w:rsid w:val="00D86210"/>
    <w:rsid w:val="00D86245"/>
    <w:rsid w:val="00D86A9B"/>
    <w:rsid w:val="00D86D6F"/>
    <w:rsid w:val="00D87119"/>
    <w:rsid w:val="00D87378"/>
    <w:rsid w:val="00D873E1"/>
    <w:rsid w:val="00D873E2"/>
    <w:rsid w:val="00D87939"/>
    <w:rsid w:val="00D87BDA"/>
    <w:rsid w:val="00D87CCB"/>
    <w:rsid w:val="00D903BE"/>
    <w:rsid w:val="00D9043F"/>
    <w:rsid w:val="00D90901"/>
    <w:rsid w:val="00D90B8E"/>
    <w:rsid w:val="00D90E97"/>
    <w:rsid w:val="00D91604"/>
    <w:rsid w:val="00D91C87"/>
    <w:rsid w:val="00D9242B"/>
    <w:rsid w:val="00D92E74"/>
    <w:rsid w:val="00D93245"/>
    <w:rsid w:val="00D93BED"/>
    <w:rsid w:val="00D946D1"/>
    <w:rsid w:val="00D94A94"/>
    <w:rsid w:val="00D94CBE"/>
    <w:rsid w:val="00D94D92"/>
    <w:rsid w:val="00D95444"/>
    <w:rsid w:val="00D958A5"/>
    <w:rsid w:val="00D9594F"/>
    <w:rsid w:val="00D95B06"/>
    <w:rsid w:val="00D95C17"/>
    <w:rsid w:val="00D965E6"/>
    <w:rsid w:val="00D96898"/>
    <w:rsid w:val="00D96A14"/>
    <w:rsid w:val="00D97AB4"/>
    <w:rsid w:val="00D97E07"/>
    <w:rsid w:val="00DA0043"/>
    <w:rsid w:val="00DA051E"/>
    <w:rsid w:val="00DA2034"/>
    <w:rsid w:val="00DA2B75"/>
    <w:rsid w:val="00DA347E"/>
    <w:rsid w:val="00DA36EB"/>
    <w:rsid w:val="00DA3AEE"/>
    <w:rsid w:val="00DA3E5A"/>
    <w:rsid w:val="00DA3F38"/>
    <w:rsid w:val="00DA3FEA"/>
    <w:rsid w:val="00DA48B4"/>
    <w:rsid w:val="00DA5978"/>
    <w:rsid w:val="00DA5B39"/>
    <w:rsid w:val="00DA685C"/>
    <w:rsid w:val="00DA6975"/>
    <w:rsid w:val="00DA7199"/>
    <w:rsid w:val="00DA7687"/>
    <w:rsid w:val="00DA794D"/>
    <w:rsid w:val="00DB00A3"/>
    <w:rsid w:val="00DB07BF"/>
    <w:rsid w:val="00DB17F1"/>
    <w:rsid w:val="00DB18F9"/>
    <w:rsid w:val="00DB1A42"/>
    <w:rsid w:val="00DB1EE8"/>
    <w:rsid w:val="00DB1FCD"/>
    <w:rsid w:val="00DB201B"/>
    <w:rsid w:val="00DB20BE"/>
    <w:rsid w:val="00DB26BF"/>
    <w:rsid w:val="00DB2915"/>
    <w:rsid w:val="00DB2EF5"/>
    <w:rsid w:val="00DB6169"/>
    <w:rsid w:val="00DB62B7"/>
    <w:rsid w:val="00DB64D0"/>
    <w:rsid w:val="00DB6BF4"/>
    <w:rsid w:val="00DB6C7E"/>
    <w:rsid w:val="00DB7E18"/>
    <w:rsid w:val="00DC0453"/>
    <w:rsid w:val="00DC0621"/>
    <w:rsid w:val="00DC07B0"/>
    <w:rsid w:val="00DC0B04"/>
    <w:rsid w:val="00DC1005"/>
    <w:rsid w:val="00DC1F39"/>
    <w:rsid w:val="00DC262C"/>
    <w:rsid w:val="00DC2DC4"/>
    <w:rsid w:val="00DC2DF8"/>
    <w:rsid w:val="00DC3C4E"/>
    <w:rsid w:val="00DC3D25"/>
    <w:rsid w:val="00DC49E1"/>
    <w:rsid w:val="00DC4B4D"/>
    <w:rsid w:val="00DC4FD4"/>
    <w:rsid w:val="00DC5D6D"/>
    <w:rsid w:val="00DC5D7A"/>
    <w:rsid w:val="00DC5F21"/>
    <w:rsid w:val="00DC6174"/>
    <w:rsid w:val="00DC6954"/>
    <w:rsid w:val="00DC6BBF"/>
    <w:rsid w:val="00DC6E87"/>
    <w:rsid w:val="00DC72ED"/>
    <w:rsid w:val="00DC7506"/>
    <w:rsid w:val="00DC77E8"/>
    <w:rsid w:val="00DC78FE"/>
    <w:rsid w:val="00DC7B98"/>
    <w:rsid w:val="00DD035E"/>
    <w:rsid w:val="00DD1C3B"/>
    <w:rsid w:val="00DD1C92"/>
    <w:rsid w:val="00DD2299"/>
    <w:rsid w:val="00DD2879"/>
    <w:rsid w:val="00DD34A0"/>
    <w:rsid w:val="00DD3665"/>
    <w:rsid w:val="00DD461A"/>
    <w:rsid w:val="00DD4D1F"/>
    <w:rsid w:val="00DD50D7"/>
    <w:rsid w:val="00DD5409"/>
    <w:rsid w:val="00DD5541"/>
    <w:rsid w:val="00DD5802"/>
    <w:rsid w:val="00DD58FD"/>
    <w:rsid w:val="00DD6224"/>
    <w:rsid w:val="00DD6697"/>
    <w:rsid w:val="00DD6A61"/>
    <w:rsid w:val="00DD75E5"/>
    <w:rsid w:val="00DD7777"/>
    <w:rsid w:val="00DD7963"/>
    <w:rsid w:val="00DE04DD"/>
    <w:rsid w:val="00DE0737"/>
    <w:rsid w:val="00DE1D03"/>
    <w:rsid w:val="00DE1E03"/>
    <w:rsid w:val="00DE1E3F"/>
    <w:rsid w:val="00DE243E"/>
    <w:rsid w:val="00DE252A"/>
    <w:rsid w:val="00DE2B31"/>
    <w:rsid w:val="00DE2E32"/>
    <w:rsid w:val="00DE3BD7"/>
    <w:rsid w:val="00DE46D6"/>
    <w:rsid w:val="00DE471A"/>
    <w:rsid w:val="00DE49C0"/>
    <w:rsid w:val="00DE5402"/>
    <w:rsid w:val="00DE5FCE"/>
    <w:rsid w:val="00DE6008"/>
    <w:rsid w:val="00DE7564"/>
    <w:rsid w:val="00DE7AB3"/>
    <w:rsid w:val="00DE7C76"/>
    <w:rsid w:val="00DE7F24"/>
    <w:rsid w:val="00DF0036"/>
    <w:rsid w:val="00DF0092"/>
    <w:rsid w:val="00DF013F"/>
    <w:rsid w:val="00DF0724"/>
    <w:rsid w:val="00DF0A15"/>
    <w:rsid w:val="00DF0A5C"/>
    <w:rsid w:val="00DF1C9D"/>
    <w:rsid w:val="00DF27B8"/>
    <w:rsid w:val="00DF3367"/>
    <w:rsid w:val="00DF37DB"/>
    <w:rsid w:val="00DF4572"/>
    <w:rsid w:val="00DF4709"/>
    <w:rsid w:val="00DF496D"/>
    <w:rsid w:val="00DF4CB9"/>
    <w:rsid w:val="00DF5A7D"/>
    <w:rsid w:val="00DF5DEB"/>
    <w:rsid w:val="00DF629C"/>
    <w:rsid w:val="00DF6954"/>
    <w:rsid w:val="00DF6FEC"/>
    <w:rsid w:val="00DF7501"/>
    <w:rsid w:val="00DF788A"/>
    <w:rsid w:val="00DF7C51"/>
    <w:rsid w:val="00DF7DC7"/>
    <w:rsid w:val="00DF7F9E"/>
    <w:rsid w:val="00E007D4"/>
    <w:rsid w:val="00E007E8"/>
    <w:rsid w:val="00E0081B"/>
    <w:rsid w:val="00E00C62"/>
    <w:rsid w:val="00E00EAD"/>
    <w:rsid w:val="00E019EE"/>
    <w:rsid w:val="00E01BE5"/>
    <w:rsid w:val="00E01FDB"/>
    <w:rsid w:val="00E021DF"/>
    <w:rsid w:val="00E02396"/>
    <w:rsid w:val="00E0271D"/>
    <w:rsid w:val="00E0313E"/>
    <w:rsid w:val="00E03334"/>
    <w:rsid w:val="00E03674"/>
    <w:rsid w:val="00E03987"/>
    <w:rsid w:val="00E04231"/>
    <w:rsid w:val="00E0459F"/>
    <w:rsid w:val="00E046D6"/>
    <w:rsid w:val="00E0486D"/>
    <w:rsid w:val="00E04B15"/>
    <w:rsid w:val="00E04E89"/>
    <w:rsid w:val="00E04FE3"/>
    <w:rsid w:val="00E05027"/>
    <w:rsid w:val="00E05419"/>
    <w:rsid w:val="00E05C7D"/>
    <w:rsid w:val="00E05EB1"/>
    <w:rsid w:val="00E064FC"/>
    <w:rsid w:val="00E06554"/>
    <w:rsid w:val="00E10031"/>
    <w:rsid w:val="00E10CDB"/>
    <w:rsid w:val="00E10E20"/>
    <w:rsid w:val="00E11794"/>
    <w:rsid w:val="00E12301"/>
    <w:rsid w:val="00E12B86"/>
    <w:rsid w:val="00E13CEA"/>
    <w:rsid w:val="00E141DC"/>
    <w:rsid w:val="00E14272"/>
    <w:rsid w:val="00E145D0"/>
    <w:rsid w:val="00E14777"/>
    <w:rsid w:val="00E156D4"/>
    <w:rsid w:val="00E167C4"/>
    <w:rsid w:val="00E16CC8"/>
    <w:rsid w:val="00E16FCF"/>
    <w:rsid w:val="00E16FE8"/>
    <w:rsid w:val="00E17243"/>
    <w:rsid w:val="00E17A99"/>
    <w:rsid w:val="00E20E56"/>
    <w:rsid w:val="00E20E9B"/>
    <w:rsid w:val="00E2176B"/>
    <w:rsid w:val="00E21838"/>
    <w:rsid w:val="00E218A6"/>
    <w:rsid w:val="00E21BEA"/>
    <w:rsid w:val="00E21C8C"/>
    <w:rsid w:val="00E22033"/>
    <w:rsid w:val="00E22360"/>
    <w:rsid w:val="00E22707"/>
    <w:rsid w:val="00E22FF7"/>
    <w:rsid w:val="00E23538"/>
    <w:rsid w:val="00E23BB7"/>
    <w:rsid w:val="00E25274"/>
    <w:rsid w:val="00E2573D"/>
    <w:rsid w:val="00E2585D"/>
    <w:rsid w:val="00E260DF"/>
    <w:rsid w:val="00E266C1"/>
    <w:rsid w:val="00E26E0C"/>
    <w:rsid w:val="00E27BCA"/>
    <w:rsid w:val="00E301C0"/>
    <w:rsid w:val="00E3023A"/>
    <w:rsid w:val="00E302B8"/>
    <w:rsid w:val="00E30B01"/>
    <w:rsid w:val="00E30C9F"/>
    <w:rsid w:val="00E31AD5"/>
    <w:rsid w:val="00E321F8"/>
    <w:rsid w:val="00E32C01"/>
    <w:rsid w:val="00E332C1"/>
    <w:rsid w:val="00E338C6"/>
    <w:rsid w:val="00E33DF5"/>
    <w:rsid w:val="00E33FA7"/>
    <w:rsid w:val="00E3406F"/>
    <w:rsid w:val="00E34227"/>
    <w:rsid w:val="00E346CB"/>
    <w:rsid w:val="00E34E03"/>
    <w:rsid w:val="00E35DD5"/>
    <w:rsid w:val="00E36AE9"/>
    <w:rsid w:val="00E375EE"/>
    <w:rsid w:val="00E3799E"/>
    <w:rsid w:val="00E40018"/>
    <w:rsid w:val="00E40854"/>
    <w:rsid w:val="00E40F9B"/>
    <w:rsid w:val="00E412C8"/>
    <w:rsid w:val="00E41345"/>
    <w:rsid w:val="00E415C5"/>
    <w:rsid w:val="00E41DAE"/>
    <w:rsid w:val="00E41F14"/>
    <w:rsid w:val="00E422CA"/>
    <w:rsid w:val="00E42464"/>
    <w:rsid w:val="00E42CB1"/>
    <w:rsid w:val="00E4335C"/>
    <w:rsid w:val="00E43775"/>
    <w:rsid w:val="00E4378A"/>
    <w:rsid w:val="00E4428D"/>
    <w:rsid w:val="00E45397"/>
    <w:rsid w:val="00E45B2E"/>
    <w:rsid w:val="00E4659A"/>
    <w:rsid w:val="00E46A40"/>
    <w:rsid w:val="00E46C3A"/>
    <w:rsid w:val="00E4737C"/>
    <w:rsid w:val="00E473BE"/>
    <w:rsid w:val="00E47ACF"/>
    <w:rsid w:val="00E47FDD"/>
    <w:rsid w:val="00E5134F"/>
    <w:rsid w:val="00E51998"/>
    <w:rsid w:val="00E522D2"/>
    <w:rsid w:val="00E52F35"/>
    <w:rsid w:val="00E53424"/>
    <w:rsid w:val="00E538F0"/>
    <w:rsid w:val="00E53905"/>
    <w:rsid w:val="00E53E02"/>
    <w:rsid w:val="00E547BC"/>
    <w:rsid w:val="00E5492C"/>
    <w:rsid w:val="00E549E2"/>
    <w:rsid w:val="00E54B68"/>
    <w:rsid w:val="00E54E9F"/>
    <w:rsid w:val="00E55021"/>
    <w:rsid w:val="00E5535D"/>
    <w:rsid w:val="00E55595"/>
    <w:rsid w:val="00E560BB"/>
    <w:rsid w:val="00E56D96"/>
    <w:rsid w:val="00E56F44"/>
    <w:rsid w:val="00E57269"/>
    <w:rsid w:val="00E5737B"/>
    <w:rsid w:val="00E57895"/>
    <w:rsid w:val="00E57D4C"/>
    <w:rsid w:val="00E57E8B"/>
    <w:rsid w:val="00E57F13"/>
    <w:rsid w:val="00E60082"/>
    <w:rsid w:val="00E6065B"/>
    <w:rsid w:val="00E606C0"/>
    <w:rsid w:val="00E615EB"/>
    <w:rsid w:val="00E621A8"/>
    <w:rsid w:val="00E62599"/>
    <w:rsid w:val="00E626BD"/>
    <w:rsid w:val="00E627A0"/>
    <w:rsid w:val="00E62C4D"/>
    <w:rsid w:val="00E62E3C"/>
    <w:rsid w:val="00E63494"/>
    <w:rsid w:val="00E63CAE"/>
    <w:rsid w:val="00E63E76"/>
    <w:rsid w:val="00E642C4"/>
    <w:rsid w:val="00E64B69"/>
    <w:rsid w:val="00E64CDF"/>
    <w:rsid w:val="00E64D77"/>
    <w:rsid w:val="00E65092"/>
    <w:rsid w:val="00E66A5E"/>
    <w:rsid w:val="00E70136"/>
    <w:rsid w:val="00E702B9"/>
    <w:rsid w:val="00E7048B"/>
    <w:rsid w:val="00E70AD2"/>
    <w:rsid w:val="00E743CA"/>
    <w:rsid w:val="00E7534B"/>
    <w:rsid w:val="00E753D4"/>
    <w:rsid w:val="00E7587D"/>
    <w:rsid w:val="00E75984"/>
    <w:rsid w:val="00E766EF"/>
    <w:rsid w:val="00E7696D"/>
    <w:rsid w:val="00E77401"/>
    <w:rsid w:val="00E77449"/>
    <w:rsid w:val="00E8023B"/>
    <w:rsid w:val="00E804EF"/>
    <w:rsid w:val="00E8072C"/>
    <w:rsid w:val="00E80FAC"/>
    <w:rsid w:val="00E8115E"/>
    <w:rsid w:val="00E822BA"/>
    <w:rsid w:val="00E837A2"/>
    <w:rsid w:val="00E83822"/>
    <w:rsid w:val="00E83D1B"/>
    <w:rsid w:val="00E8400B"/>
    <w:rsid w:val="00E8413F"/>
    <w:rsid w:val="00E84298"/>
    <w:rsid w:val="00E84422"/>
    <w:rsid w:val="00E8461C"/>
    <w:rsid w:val="00E84665"/>
    <w:rsid w:val="00E84BD1"/>
    <w:rsid w:val="00E84C47"/>
    <w:rsid w:val="00E84CC7"/>
    <w:rsid w:val="00E8515A"/>
    <w:rsid w:val="00E8564D"/>
    <w:rsid w:val="00E85DC4"/>
    <w:rsid w:val="00E86265"/>
    <w:rsid w:val="00E863F4"/>
    <w:rsid w:val="00E86E77"/>
    <w:rsid w:val="00E86ECB"/>
    <w:rsid w:val="00E877F6"/>
    <w:rsid w:val="00E87AD5"/>
    <w:rsid w:val="00E87B08"/>
    <w:rsid w:val="00E87DA7"/>
    <w:rsid w:val="00E87F02"/>
    <w:rsid w:val="00E907C3"/>
    <w:rsid w:val="00E91F70"/>
    <w:rsid w:val="00E9272A"/>
    <w:rsid w:val="00E92A88"/>
    <w:rsid w:val="00E92DF2"/>
    <w:rsid w:val="00E940E1"/>
    <w:rsid w:val="00E94210"/>
    <w:rsid w:val="00E946F9"/>
    <w:rsid w:val="00E94FED"/>
    <w:rsid w:val="00E9524B"/>
    <w:rsid w:val="00E952A1"/>
    <w:rsid w:val="00E95940"/>
    <w:rsid w:val="00E95F0D"/>
    <w:rsid w:val="00E963B3"/>
    <w:rsid w:val="00E966E3"/>
    <w:rsid w:val="00E967EF"/>
    <w:rsid w:val="00E968B2"/>
    <w:rsid w:val="00E968D7"/>
    <w:rsid w:val="00E9699F"/>
    <w:rsid w:val="00E96DFF"/>
    <w:rsid w:val="00E96E63"/>
    <w:rsid w:val="00E96FC9"/>
    <w:rsid w:val="00E96FCC"/>
    <w:rsid w:val="00E97D15"/>
    <w:rsid w:val="00EA0062"/>
    <w:rsid w:val="00EA08EF"/>
    <w:rsid w:val="00EA1084"/>
    <w:rsid w:val="00EA10B5"/>
    <w:rsid w:val="00EA12AE"/>
    <w:rsid w:val="00EA18CF"/>
    <w:rsid w:val="00EA1B47"/>
    <w:rsid w:val="00EA1C91"/>
    <w:rsid w:val="00EA2006"/>
    <w:rsid w:val="00EA22C8"/>
    <w:rsid w:val="00EA2836"/>
    <w:rsid w:val="00EA32A0"/>
    <w:rsid w:val="00EA3580"/>
    <w:rsid w:val="00EA4251"/>
    <w:rsid w:val="00EA48C0"/>
    <w:rsid w:val="00EA4B71"/>
    <w:rsid w:val="00EA4EBA"/>
    <w:rsid w:val="00EA5118"/>
    <w:rsid w:val="00EA6567"/>
    <w:rsid w:val="00EA6688"/>
    <w:rsid w:val="00EA6FA7"/>
    <w:rsid w:val="00EA72B3"/>
    <w:rsid w:val="00EA747A"/>
    <w:rsid w:val="00EA7548"/>
    <w:rsid w:val="00EA79E3"/>
    <w:rsid w:val="00EB0150"/>
    <w:rsid w:val="00EB097E"/>
    <w:rsid w:val="00EB1469"/>
    <w:rsid w:val="00EB24BD"/>
    <w:rsid w:val="00EB25CC"/>
    <w:rsid w:val="00EB26B8"/>
    <w:rsid w:val="00EB26B9"/>
    <w:rsid w:val="00EB2DD7"/>
    <w:rsid w:val="00EB3BF0"/>
    <w:rsid w:val="00EB40AE"/>
    <w:rsid w:val="00EB4331"/>
    <w:rsid w:val="00EB4722"/>
    <w:rsid w:val="00EB4745"/>
    <w:rsid w:val="00EB51CF"/>
    <w:rsid w:val="00EB5D51"/>
    <w:rsid w:val="00EB640B"/>
    <w:rsid w:val="00EB69E0"/>
    <w:rsid w:val="00EB6AA7"/>
    <w:rsid w:val="00EB6AA8"/>
    <w:rsid w:val="00EB6B2C"/>
    <w:rsid w:val="00EB7280"/>
    <w:rsid w:val="00EC0156"/>
    <w:rsid w:val="00EC062A"/>
    <w:rsid w:val="00EC0C56"/>
    <w:rsid w:val="00EC0F06"/>
    <w:rsid w:val="00EC1729"/>
    <w:rsid w:val="00EC18D0"/>
    <w:rsid w:val="00EC2129"/>
    <w:rsid w:val="00EC2359"/>
    <w:rsid w:val="00EC29B2"/>
    <w:rsid w:val="00EC4125"/>
    <w:rsid w:val="00EC41C4"/>
    <w:rsid w:val="00EC4367"/>
    <w:rsid w:val="00EC4AB0"/>
    <w:rsid w:val="00EC5465"/>
    <w:rsid w:val="00EC5699"/>
    <w:rsid w:val="00EC56D6"/>
    <w:rsid w:val="00EC5EF0"/>
    <w:rsid w:val="00EC61B4"/>
    <w:rsid w:val="00EC6AE8"/>
    <w:rsid w:val="00EC7841"/>
    <w:rsid w:val="00ED0142"/>
    <w:rsid w:val="00ED06F8"/>
    <w:rsid w:val="00ED1ED0"/>
    <w:rsid w:val="00ED2419"/>
    <w:rsid w:val="00ED250C"/>
    <w:rsid w:val="00ED2623"/>
    <w:rsid w:val="00ED3C7F"/>
    <w:rsid w:val="00ED46F3"/>
    <w:rsid w:val="00ED4BC5"/>
    <w:rsid w:val="00ED55B9"/>
    <w:rsid w:val="00ED5CE9"/>
    <w:rsid w:val="00ED6549"/>
    <w:rsid w:val="00ED6C2C"/>
    <w:rsid w:val="00ED76C6"/>
    <w:rsid w:val="00ED785A"/>
    <w:rsid w:val="00ED7D8E"/>
    <w:rsid w:val="00ED7F27"/>
    <w:rsid w:val="00EE1811"/>
    <w:rsid w:val="00EE1847"/>
    <w:rsid w:val="00EE1877"/>
    <w:rsid w:val="00EE1B5D"/>
    <w:rsid w:val="00EE1F45"/>
    <w:rsid w:val="00EE27B2"/>
    <w:rsid w:val="00EE2B9D"/>
    <w:rsid w:val="00EE30BA"/>
    <w:rsid w:val="00EE5576"/>
    <w:rsid w:val="00EE596C"/>
    <w:rsid w:val="00EE6893"/>
    <w:rsid w:val="00EE6F11"/>
    <w:rsid w:val="00EE7916"/>
    <w:rsid w:val="00EE7A1F"/>
    <w:rsid w:val="00EE7F74"/>
    <w:rsid w:val="00EF006E"/>
    <w:rsid w:val="00EF1579"/>
    <w:rsid w:val="00EF1720"/>
    <w:rsid w:val="00EF1B25"/>
    <w:rsid w:val="00EF2378"/>
    <w:rsid w:val="00EF25C0"/>
    <w:rsid w:val="00EF311A"/>
    <w:rsid w:val="00EF41B6"/>
    <w:rsid w:val="00EF4804"/>
    <w:rsid w:val="00EF56AC"/>
    <w:rsid w:val="00EF5A0A"/>
    <w:rsid w:val="00EF5A8B"/>
    <w:rsid w:val="00EF5EF6"/>
    <w:rsid w:val="00EF654F"/>
    <w:rsid w:val="00EF67D7"/>
    <w:rsid w:val="00EF70EB"/>
    <w:rsid w:val="00EF739F"/>
    <w:rsid w:val="00EF77A2"/>
    <w:rsid w:val="00EF77F3"/>
    <w:rsid w:val="00F0024E"/>
    <w:rsid w:val="00F00458"/>
    <w:rsid w:val="00F010DC"/>
    <w:rsid w:val="00F014A8"/>
    <w:rsid w:val="00F014D9"/>
    <w:rsid w:val="00F0229C"/>
    <w:rsid w:val="00F022CF"/>
    <w:rsid w:val="00F02B83"/>
    <w:rsid w:val="00F02BCC"/>
    <w:rsid w:val="00F036EF"/>
    <w:rsid w:val="00F04192"/>
    <w:rsid w:val="00F0419F"/>
    <w:rsid w:val="00F041B3"/>
    <w:rsid w:val="00F0425C"/>
    <w:rsid w:val="00F048A1"/>
    <w:rsid w:val="00F04BBF"/>
    <w:rsid w:val="00F05A99"/>
    <w:rsid w:val="00F05B65"/>
    <w:rsid w:val="00F05B6B"/>
    <w:rsid w:val="00F05D64"/>
    <w:rsid w:val="00F060D8"/>
    <w:rsid w:val="00F0613F"/>
    <w:rsid w:val="00F062CB"/>
    <w:rsid w:val="00F066DA"/>
    <w:rsid w:val="00F06E61"/>
    <w:rsid w:val="00F06E66"/>
    <w:rsid w:val="00F06F99"/>
    <w:rsid w:val="00F07004"/>
    <w:rsid w:val="00F07413"/>
    <w:rsid w:val="00F07424"/>
    <w:rsid w:val="00F079B7"/>
    <w:rsid w:val="00F07E48"/>
    <w:rsid w:val="00F1007B"/>
    <w:rsid w:val="00F10C02"/>
    <w:rsid w:val="00F10EEE"/>
    <w:rsid w:val="00F11061"/>
    <w:rsid w:val="00F12774"/>
    <w:rsid w:val="00F12A1E"/>
    <w:rsid w:val="00F12BDF"/>
    <w:rsid w:val="00F12F51"/>
    <w:rsid w:val="00F12F85"/>
    <w:rsid w:val="00F12FD3"/>
    <w:rsid w:val="00F131F4"/>
    <w:rsid w:val="00F1390B"/>
    <w:rsid w:val="00F13A9B"/>
    <w:rsid w:val="00F142D8"/>
    <w:rsid w:val="00F147F9"/>
    <w:rsid w:val="00F148E4"/>
    <w:rsid w:val="00F15286"/>
    <w:rsid w:val="00F15547"/>
    <w:rsid w:val="00F15724"/>
    <w:rsid w:val="00F15736"/>
    <w:rsid w:val="00F15A5B"/>
    <w:rsid w:val="00F161A7"/>
    <w:rsid w:val="00F161B4"/>
    <w:rsid w:val="00F16233"/>
    <w:rsid w:val="00F167D4"/>
    <w:rsid w:val="00F167EB"/>
    <w:rsid w:val="00F16A42"/>
    <w:rsid w:val="00F16A9F"/>
    <w:rsid w:val="00F16CE9"/>
    <w:rsid w:val="00F16E62"/>
    <w:rsid w:val="00F175F4"/>
    <w:rsid w:val="00F177E3"/>
    <w:rsid w:val="00F202E5"/>
    <w:rsid w:val="00F209C4"/>
    <w:rsid w:val="00F20C2B"/>
    <w:rsid w:val="00F20CC9"/>
    <w:rsid w:val="00F21E7E"/>
    <w:rsid w:val="00F21EA1"/>
    <w:rsid w:val="00F222D0"/>
    <w:rsid w:val="00F2234E"/>
    <w:rsid w:val="00F225A2"/>
    <w:rsid w:val="00F225E3"/>
    <w:rsid w:val="00F22901"/>
    <w:rsid w:val="00F23034"/>
    <w:rsid w:val="00F235D4"/>
    <w:rsid w:val="00F24356"/>
    <w:rsid w:val="00F248A4"/>
    <w:rsid w:val="00F24C8A"/>
    <w:rsid w:val="00F25402"/>
    <w:rsid w:val="00F25509"/>
    <w:rsid w:val="00F2563C"/>
    <w:rsid w:val="00F25E7F"/>
    <w:rsid w:val="00F25EDD"/>
    <w:rsid w:val="00F26218"/>
    <w:rsid w:val="00F2624E"/>
    <w:rsid w:val="00F2675C"/>
    <w:rsid w:val="00F2680A"/>
    <w:rsid w:val="00F26A4B"/>
    <w:rsid w:val="00F26C86"/>
    <w:rsid w:val="00F2713E"/>
    <w:rsid w:val="00F272E7"/>
    <w:rsid w:val="00F27BAE"/>
    <w:rsid w:val="00F27FEA"/>
    <w:rsid w:val="00F30CD6"/>
    <w:rsid w:val="00F30D81"/>
    <w:rsid w:val="00F312BE"/>
    <w:rsid w:val="00F313CD"/>
    <w:rsid w:val="00F32049"/>
    <w:rsid w:val="00F3241F"/>
    <w:rsid w:val="00F32598"/>
    <w:rsid w:val="00F32B4B"/>
    <w:rsid w:val="00F332CF"/>
    <w:rsid w:val="00F341EC"/>
    <w:rsid w:val="00F34AF1"/>
    <w:rsid w:val="00F35128"/>
    <w:rsid w:val="00F36606"/>
    <w:rsid w:val="00F3666C"/>
    <w:rsid w:val="00F36801"/>
    <w:rsid w:val="00F3684A"/>
    <w:rsid w:val="00F36B46"/>
    <w:rsid w:val="00F36ED1"/>
    <w:rsid w:val="00F37525"/>
    <w:rsid w:val="00F377D2"/>
    <w:rsid w:val="00F378C1"/>
    <w:rsid w:val="00F4066C"/>
    <w:rsid w:val="00F408A7"/>
    <w:rsid w:val="00F409F0"/>
    <w:rsid w:val="00F4152C"/>
    <w:rsid w:val="00F41BBE"/>
    <w:rsid w:val="00F41D92"/>
    <w:rsid w:val="00F41F29"/>
    <w:rsid w:val="00F43008"/>
    <w:rsid w:val="00F43367"/>
    <w:rsid w:val="00F43B25"/>
    <w:rsid w:val="00F43DB2"/>
    <w:rsid w:val="00F43E08"/>
    <w:rsid w:val="00F4477B"/>
    <w:rsid w:val="00F44796"/>
    <w:rsid w:val="00F450DE"/>
    <w:rsid w:val="00F4523D"/>
    <w:rsid w:val="00F46CDC"/>
    <w:rsid w:val="00F50C10"/>
    <w:rsid w:val="00F50E85"/>
    <w:rsid w:val="00F511F0"/>
    <w:rsid w:val="00F51280"/>
    <w:rsid w:val="00F5241A"/>
    <w:rsid w:val="00F52540"/>
    <w:rsid w:val="00F52A43"/>
    <w:rsid w:val="00F52C7E"/>
    <w:rsid w:val="00F53844"/>
    <w:rsid w:val="00F53B35"/>
    <w:rsid w:val="00F5474C"/>
    <w:rsid w:val="00F550BF"/>
    <w:rsid w:val="00F5537D"/>
    <w:rsid w:val="00F55602"/>
    <w:rsid w:val="00F55841"/>
    <w:rsid w:val="00F55C05"/>
    <w:rsid w:val="00F55CA9"/>
    <w:rsid w:val="00F56A33"/>
    <w:rsid w:val="00F56B87"/>
    <w:rsid w:val="00F5729E"/>
    <w:rsid w:val="00F622E2"/>
    <w:rsid w:val="00F623DF"/>
    <w:rsid w:val="00F62D19"/>
    <w:rsid w:val="00F6311D"/>
    <w:rsid w:val="00F63B9D"/>
    <w:rsid w:val="00F64418"/>
    <w:rsid w:val="00F6468C"/>
    <w:rsid w:val="00F64FAE"/>
    <w:rsid w:val="00F65630"/>
    <w:rsid w:val="00F65F60"/>
    <w:rsid w:val="00F67F35"/>
    <w:rsid w:val="00F7068C"/>
    <w:rsid w:val="00F7077A"/>
    <w:rsid w:val="00F72200"/>
    <w:rsid w:val="00F726F8"/>
    <w:rsid w:val="00F73313"/>
    <w:rsid w:val="00F737BF"/>
    <w:rsid w:val="00F737C1"/>
    <w:rsid w:val="00F737FD"/>
    <w:rsid w:val="00F73822"/>
    <w:rsid w:val="00F73E55"/>
    <w:rsid w:val="00F74FFB"/>
    <w:rsid w:val="00F755DA"/>
    <w:rsid w:val="00F75651"/>
    <w:rsid w:val="00F7601A"/>
    <w:rsid w:val="00F7694D"/>
    <w:rsid w:val="00F76C31"/>
    <w:rsid w:val="00F76D64"/>
    <w:rsid w:val="00F80010"/>
    <w:rsid w:val="00F805B1"/>
    <w:rsid w:val="00F805EB"/>
    <w:rsid w:val="00F80706"/>
    <w:rsid w:val="00F80A25"/>
    <w:rsid w:val="00F814EE"/>
    <w:rsid w:val="00F814EF"/>
    <w:rsid w:val="00F8156C"/>
    <w:rsid w:val="00F81E51"/>
    <w:rsid w:val="00F820A3"/>
    <w:rsid w:val="00F82A9C"/>
    <w:rsid w:val="00F82C2E"/>
    <w:rsid w:val="00F82F95"/>
    <w:rsid w:val="00F834F2"/>
    <w:rsid w:val="00F83D3E"/>
    <w:rsid w:val="00F840B6"/>
    <w:rsid w:val="00F8459D"/>
    <w:rsid w:val="00F845D6"/>
    <w:rsid w:val="00F8487F"/>
    <w:rsid w:val="00F84B60"/>
    <w:rsid w:val="00F850B2"/>
    <w:rsid w:val="00F8647D"/>
    <w:rsid w:val="00F86AFF"/>
    <w:rsid w:val="00F9096D"/>
    <w:rsid w:val="00F9099C"/>
    <w:rsid w:val="00F91544"/>
    <w:rsid w:val="00F91647"/>
    <w:rsid w:val="00F917C5"/>
    <w:rsid w:val="00F919B8"/>
    <w:rsid w:val="00F91C7B"/>
    <w:rsid w:val="00F9223A"/>
    <w:rsid w:val="00F92D4F"/>
    <w:rsid w:val="00F93027"/>
    <w:rsid w:val="00F930B0"/>
    <w:rsid w:val="00F94294"/>
    <w:rsid w:val="00F9451F"/>
    <w:rsid w:val="00F94761"/>
    <w:rsid w:val="00F95722"/>
    <w:rsid w:val="00F95A92"/>
    <w:rsid w:val="00F96208"/>
    <w:rsid w:val="00F9654A"/>
    <w:rsid w:val="00F97813"/>
    <w:rsid w:val="00F979DB"/>
    <w:rsid w:val="00F979F9"/>
    <w:rsid w:val="00FA0506"/>
    <w:rsid w:val="00FA0BCA"/>
    <w:rsid w:val="00FA0BD6"/>
    <w:rsid w:val="00FA1E4A"/>
    <w:rsid w:val="00FA2193"/>
    <w:rsid w:val="00FA24F7"/>
    <w:rsid w:val="00FA26DE"/>
    <w:rsid w:val="00FA26F5"/>
    <w:rsid w:val="00FA2770"/>
    <w:rsid w:val="00FA2993"/>
    <w:rsid w:val="00FA310C"/>
    <w:rsid w:val="00FA3A5B"/>
    <w:rsid w:val="00FA3DA8"/>
    <w:rsid w:val="00FA4180"/>
    <w:rsid w:val="00FA4CE4"/>
    <w:rsid w:val="00FA4F12"/>
    <w:rsid w:val="00FA5D6D"/>
    <w:rsid w:val="00FA5E9E"/>
    <w:rsid w:val="00FA644F"/>
    <w:rsid w:val="00FA6C37"/>
    <w:rsid w:val="00FA72E9"/>
    <w:rsid w:val="00FA73BC"/>
    <w:rsid w:val="00FA76A9"/>
    <w:rsid w:val="00FA7718"/>
    <w:rsid w:val="00FA7A9E"/>
    <w:rsid w:val="00FA7E28"/>
    <w:rsid w:val="00FB0722"/>
    <w:rsid w:val="00FB07FA"/>
    <w:rsid w:val="00FB0849"/>
    <w:rsid w:val="00FB15E4"/>
    <w:rsid w:val="00FB279E"/>
    <w:rsid w:val="00FB3F84"/>
    <w:rsid w:val="00FB4102"/>
    <w:rsid w:val="00FB434F"/>
    <w:rsid w:val="00FB4C38"/>
    <w:rsid w:val="00FB5A2F"/>
    <w:rsid w:val="00FB5AD9"/>
    <w:rsid w:val="00FB5B99"/>
    <w:rsid w:val="00FB5BAE"/>
    <w:rsid w:val="00FB5F96"/>
    <w:rsid w:val="00FB65AC"/>
    <w:rsid w:val="00FB6D6F"/>
    <w:rsid w:val="00FB7AD3"/>
    <w:rsid w:val="00FB7B78"/>
    <w:rsid w:val="00FC0025"/>
    <w:rsid w:val="00FC04DD"/>
    <w:rsid w:val="00FC0F44"/>
    <w:rsid w:val="00FC1306"/>
    <w:rsid w:val="00FC14C8"/>
    <w:rsid w:val="00FC196D"/>
    <w:rsid w:val="00FC3C60"/>
    <w:rsid w:val="00FC3D20"/>
    <w:rsid w:val="00FC3DEB"/>
    <w:rsid w:val="00FC45C9"/>
    <w:rsid w:val="00FC4BD9"/>
    <w:rsid w:val="00FC4D9A"/>
    <w:rsid w:val="00FC50D2"/>
    <w:rsid w:val="00FC51E6"/>
    <w:rsid w:val="00FC5243"/>
    <w:rsid w:val="00FC58E9"/>
    <w:rsid w:val="00FC620D"/>
    <w:rsid w:val="00FC695B"/>
    <w:rsid w:val="00FC71E8"/>
    <w:rsid w:val="00FC7785"/>
    <w:rsid w:val="00FC7A0F"/>
    <w:rsid w:val="00FC7C68"/>
    <w:rsid w:val="00FD0540"/>
    <w:rsid w:val="00FD09CB"/>
    <w:rsid w:val="00FD1A0E"/>
    <w:rsid w:val="00FD1C3A"/>
    <w:rsid w:val="00FD2521"/>
    <w:rsid w:val="00FD2638"/>
    <w:rsid w:val="00FD2A9D"/>
    <w:rsid w:val="00FD2B91"/>
    <w:rsid w:val="00FD31EC"/>
    <w:rsid w:val="00FD3719"/>
    <w:rsid w:val="00FD3884"/>
    <w:rsid w:val="00FD3BCB"/>
    <w:rsid w:val="00FD4641"/>
    <w:rsid w:val="00FD4E30"/>
    <w:rsid w:val="00FD4FB3"/>
    <w:rsid w:val="00FD5776"/>
    <w:rsid w:val="00FD5BAE"/>
    <w:rsid w:val="00FD5BB3"/>
    <w:rsid w:val="00FD5F4B"/>
    <w:rsid w:val="00FD62B1"/>
    <w:rsid w:val="00FD6AB2"/>
    <w:rsid w:val="00FD78FA"/>
    <w:rsid w:val="00FD799E"/>
    <w:rsid w:val="00FD7C12"/>
    <w:rsid w:val="00FE0554"/>
    <w:rsid w:val="00FE088A"/>
    <w:rsid w:val="00FE0C89"/>
    <w:rsid w:val="00FE0CD8"/>
    <w:rsid w:val="00FE2807"/>
    <w:rsid w:val="00FE299E"/>
    <w:rsid w:val="00FE300E"/>
    <w:rsid w:val="00FE3446"/>
    <w:rsid w:val="00FE361E"/>
    <w:rsid w:val="00FE4072"/>
    <w:rsid w:val="00FE4AD9"/>
    <w:rsid w:val="00FE4DEE"/>
    <w:rsid w:val="00FE51D4"/>
    <w:rsid w:val="00FE6196"/>
    <w:rsid w:val="00FE7413"/>
    <w:rsid w:val="00FE794B"/>
    <w:rsid w:val="00FF04CF"/>
    <w:rsid w:val="00FF0555"/>
    <w:rsid w:val="00FF0EB4"/>
    <w:rsid w:val="00FF1255"/>
    <w:rsid w:val="00FF1289"/>
    <w:rsid w:val="00FF15CA"/>
    <w:rsid w:val="00FF1905"/>
    <w:rsid w:val="00FF1EFE"/>
    <w:rsid w:val="00FF25BB"/>
    <w:rsid w:val="00FF2F80"/>
    <w:rsid w:val="00FF30D1"/>
    <w:rsid w:val="00FF3422"/>
    <w:rsid w:val="00FF3E78"/>
    <w:rsid w:val="00FF4CF7"/>
    <w:rsid w:val="00FF4F7F"/>
    <w:rsid w:val="00FF5136"/>
    <w:rsid w:val="00FF5387"/>
    <w:rsid w:val="00FF5785"/>
    <w:rsid w:val="00FF5E07"/>
    <w:rsid w:val="00FF66C1"/>
    <w:rsid w:val="00FF6750"/>
    <w:rsid w:val="00FF69FA"/>
    <w:rsid w:val="00FF6AA0"/>
    <w:rsid w:val="00FF6B2C"/>
    <w:rsid w:val="00FF6B76"/>
    <w:rsid w:val="00FF6BDA"/>
    <w:rsid w:val="00FF6DE5"/>
    <w:rsid w:val="00FF6F40"/>
    <w:rsid w:val="00FF7674"/>
    <w:rsid w:val="00FF78EF"/>
    <w:rsid w:val="00FF7C36"/>
    <w:rsid w:val="00FF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B13970"/>
  <w15:docId w15:val="{F01B5379-C87F-4EAE-BBCC-5D281D99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73D3"/>
    <w:pPr>
      <w:widowControl w:val="0"/>
    </w:pPr>
  </w:style>
  <w:style w:type="paragraph" w:styleId="Heading1">
    <w:name w:val="heading 1"/>
    <w:basedOn w:val="Normal"/>
    <w:next w:val="Normal"/>
    <w:link w:val="Heading1Char"/>
    <w:qFormat/>
    <w:rsid w:val="0066549D"/>
    <w:pPr>
      <w:widowControl/>
      <w:numPr>
        <w:numId w:val="1"/>
      </w:numPr>
      <w:spacing w:line="360" w:lineRule="auto"/>
      <w:jc w:val="center"/>
      <w:outlineLvl w:val="0"/>
    </w:pPr>
    <w:rPr>
      <w:b/>
      <w:sz w:val="26"/>
    </w:rPr>
  </w:style>
  <w:style w:type="paragraph" w:styleId="Heading2">
    <w:name w:val="heading 2"/>
    <w:basedOn w:val="Normal"/>
    <w:next w:val="Normal"/>
    <w:link w:val="Heading2Char"/>
    <w:unhideWhenUsed/>
    <w:qFormat/>
    <w:rsid w:val="00D323D0"/>
    <w:pPr>
      <w:keepNext/>
      <w:keepLines/>
      <w:numPr>
        <w:numId w:val="3"/>
      </w:numPr>
      <w:spacing w:line="360" w:lineRule="auto"/>
      <w:ind w:hanging="720"/>
      <w:outlineLvl w:val="1"/>
    </w:pPr>
    <w:rPr>
      <w:rFonts w:eastAsiaTheme="majorEastAsia"/>
      <w:b/>
      <w:bCs/>
      <w:sz w:val="26"/>
      <w:szCs w:val="26"/>
    </w:rPr>
  </w:style>
  <w:style w:type="paragraph" w:styleId="Heading3">
    <w:name w:val="heading 3"/>
    <w:basedOn w:val="ListParagraph"/>
    <w:next w:val="Normal"/>
    <w:link w:val="Heading3Char"/>
    <w:unhideWhenUsed/>
    <w:qFormat/>
    <w:rsid w:val="00387154"/>
    <w:pPr>
      <w:widowControl/>
      <w:numPr>
        <w:numId w:val="4"/>
      </w:numPr>
      <w:spacing w:line="360" w:lineRule="auto"/>
      <w:outlineLvl w:val="2"/>
    </w:pPr>
    <w:rPr>
      <w:b/>
      <w:bCs/>
      <w:sz w:val="26"/>
      <w:szCs w:val="26"/>
    </w:rPr>
  </w:style>
  <w:style w:type="paragraph" w:styleId="Heading4">
    <w:name w:val="heading 4"/>
    <w:basedOn w:val="Normal"/>
    <w:next w:val="Normal"/>
    <w:link w:val="Heading4Char"/>
    <w:unhideWhenUsed/>
    <w:qFormat/>
    <w:rsid w:val="00A673B4"/>
    <w:pPr>
      <w:keepNext/>
      <w:keepLines/>
      <w:numPr>
        <w:numId w:val="2"/>
      </w:numPr>
      <w:spacing w:line="360" w:lineRule="auto"/>
      <w:ind w:left="2160" w:hanging="720"/>
      <w:outlineLvl w:val="3"/>
    </w:pPr>
    <w:rPr>
      <w:rFonts w:eastAsiaTheme="majorEastAsia"/>
      <w:b/>
      <w:bCs/>
      <w:color w:val="000000" w:themeColor="text1"/>
      <w:sz w:val="26"/>
      <w:szCs w:val="26"/>
    </w:rPr>
  </w:style>
  <w:style w:type="paragraph" w:styleId="Heading5">
    <w:name w:val="heading 5"/>
    <w:basedOn w:val="Heading4"/>
    <w:next w:val="Normal"/>
    <w:qFormat/>
    <w:rsid w:val="00F2680A"/>
    <w:pPr>
      <w:numPr>
        <w:numId w:val="0"/>
      </w:numPr>
      <w:ind w:left="2880" w:hanging="720"/>
      <w:outlineLvl w:val="4"/>
    </w:p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Footnote Text Char2,Footnote Text Char Char,Footnote Text Char1 Char Char,Footnote Text Char Char Char Char,Footnote Text Char1 Char1,Footnote Text Char Char1 Char,Car,fn,ALTS FOOTNOTE,Footnote Text 2,Footnote text,FOOTNOTE,fn Char Char"/>
    <w:basedOn w:val="Normal"/>
    <w:link w:val="FootnoteTextChar"/>
    <w:uiPriority w:val="99"/>
    <w:qFormat/>
    <w:rsid w:val="00022D45"/>
    <w:pPr>
      <w:widowControl/>
    </w:pPr>
  </w:style>
  <w:style w:type="character" w:styleId="FootnoteReference">
    <w:name w:val="footnote reference"/>
    <w:aliases w:val="o,fr,Style 42,(NECG) Footnote Reference,Footnote Reference (EIS),Styl,Style 11,Style 13,Style 15,Style 17,Style 18,Style 19,Style 20,Style 21,Style 24,Style 28,Style 4,Style 5,Style 7,Style 8,fr1,fr2,fr3,o1,o2,o3,footnote text"/>
    <w:qFormat/>
    <w:rsid w:val="00022D45"/>
    <w:rPr>
      <w:vertAlign w:val="superscript"/>
    </w:rPr>
  </w:style>
  <w:style w:type="character" w:styleId="Hyperlink">
    <w:name w:val="Hyperlink"/>
    <w:uiPriority w:val="99"/>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Heading1Char">
    <w:name w:val="Heading 1 Char"/>
    <w:basedOn w:val="DefaultParagraphFont"/>
    <w:link w:val="Heading1"/>
    <w:rsid w:val="0066549D"/>
    <w:rPr>
      <w:b/>
      <w:sz w:val="26"/>
    </w:rPr>
  </w:style>
  <w:style w:type="character" w:customStyle="1" w:styleId="Heading2Char">
    <w:name w:val="Heading 2 Char"/>
    <w:basedOn w:val="DefaultParagraphFont"/>
    <w:link w:val="Heading2"/>
    <w:rsid w:val="00D323D0"/>
    <w:rPr>
      <w:rFonts w:eastAsiaTheme="majorEastAsia"/>
      <w:b/>
      <w:bCs/>
      <w:sz w:val="26"/>
      <w:szCs w:val="26"/>
    </w:rPr>
  </w:style>
  <w:style w:type="paragraph" w:styleId="BlockText">
    <w:name w:val="Block Text"/>
    <w:basedOn w:val="Normal"/>
    <w:rsid w:val="008360ED"/>
    <w:pPr>
      <w:tabs>
        <w:tab w:val="left" w:pos="-720"/>
      </w:tabs>
      <w:spacing w:line="360" w:lineRule="auto"/>
      <w:ind w:left="1440" w:right="2160"/>
    </w:pPr>
    <w:rPr>
      <w:sz w:val="26"/>
    </w:rPr>
  </w:style>
  <w:style w:type="paragraph" w:styleId="ListParagraph">
    <w:name w:val="List Paragraph"/>
    <w:basedOn w:val="Normal"/>
    <w:uiPriority w:val="34"/>
    <w:qFormat/>
    <w:rsid w:val="00130A7A"/>
    <w:pPr>
      <w:ind w:left="720"/>
      <w:contextualSpacing/>
    </w:pPr>
  </w:style>
  <w:style w:type="character" w:customStyle="1" w:styleId="Heading3Char">
    <w:name w:val="Heading 3 Char"/>
    <w:basedOn w:val="DefaultParagraphFont"/>
    <w:link w:val="Heading3"/>
    <w:rsid w:val="00387154"/>
    <w:rPr>
      <w:b/>
      <w:bCs/>
      <w:sz w:val="26"/>
      <w:szCs w:val="26"/>
    </w:rPr>
  </w:style>
  <w:style w:type="character" w:customStyle="1" w:styleId="Heading4Char">
    <w:name w:val="Heading 4 Char"/>
    <w:basedOn w:val="DefaultParagraphFont"/>
    <w:link w:val="Heading4"/>
    <w:rsid w:val="00A673B4"/>
    <w:rPr>
      <w:rFonts w:eastAsiaTheme="majorEastAsia"/>
      <w:b/>
      <w:bCs/>
      <w:color w:val="000000" w:themeColor="text1"/>
      <w:sz w:val="26"/>
      <w:szCs w:val="26"/>
    </w:rPr>
  </w:style>
  <w:style w:type="character" w:customStyle="1" w:styleId="FootnoteTextChar">
    <w:name w:val="Footnote Text Char"/>
    <w:aliases w:val="Footnote Text Char2 Char,Footnote Text Char Char Char,Footnote Text Char1 Char Char Char,Footnote Text Char Char Char Char Char,Footnote Text Char1 Char1 Char,Footnote Text Char Char1 Char Char,Car Char,fn Char,ALTS FOOTNOTE Char"/>
    <w:basedOn w:val="DefaultParagraphFont"/>
    <w:link w:val="FootnoteText"/>
    <w:uiPriority w:val="99"/>
    <w:rsid w:val="0004698C"/>
  </w:style>
  <w:style w:type="paragraph" w:styleId="TOC1">
    <w:name w:val="toc 1"/>
    <w:basedOn w:val="Normal"/>
    <w:next w:val="Normal"/>
    <w:autoRedefine/>
    <w:uiPriority w:val="39"/>
    <w:unhideWhenUsed/>
    <w:rsid w:val="00E753D4"/>
    <w:pPr>
      <w:tabs>
        <w:tab w:val="left" w:pos="720"/>
        <w:tab w:val="right" w:leader="dot" w:pos="9350"/>
      </w:tabs>
      <w:spacing w:after="100"/>
    </w:pPr>
    <w:rPr>
      <w:sz w:val="26"/>
    </w:rPr>
  </w:style>
  <w:style w:type="paragraph" w:styleId="TOC2">
    <w:name w:val="toc 2"/>
    <w:basedOn w:val="Normal"/>
    <w:next w:val="Normal"/>
    <w:autoRedefine/>
    <w:uiPriority w:val="39"/>
    <w:unhideWhenUsed/>
    <w:rsid w:val="00E753D4"/>
    <w:pPr>
      <w:tabs>
        <w:tab w:val="left" w:pos="1440"/>
        <w:tab w:val="right" w:leader="dot" w:pos="9350"/>
      </w:tabs>
      <w:spacing w:after="100"/>
      <w:ind w:left="1440" w:hanging="720"/>
    </w:pPr>
    <w:rPr>
      <w:sz w:val="26"/>
    </w:rPr>
  </w:style>
  <w:style w:type="paragraph" w:styleId="TOC3">
    <w:name w:val="toc 3"/>
    <w:basedOn w:val="Normal"/>
    <w:next w:val="Normal"/>
    <w:autoRedefine/>
    <w:uiPriority w:val="39"/>
    <w:unhideWhenUsed/>
    <w:rsid w:val="00BC6DF1"/>
    <w:pPr>
      <w:tabs>
        <w:tab w:val="left" w:pos="2160"/>
        <w:tab w:val="right" w:leader="dot" w:pos="9350"/>
      </w:tabs>
      <w:spacing w:after="100"/>
      <w:ind w:left="2160" w:hanging="720"/>
    </w:pPr>
    <w:rPr>
      <w:sz w:val="26"/>
    </w:rPr>
  </w:style>
  <w:style w:type="paragraph" w:styleId="TOC4">
    <w:name w:val="toc 4"/>
    <w:basedOn w:val="Normal"/>
    <w:next w:val="Normal"/>
    <w:autoRedefine/>
    <w:uiPriority w:val="39"/>
    <w:unhideWhenUsed/>
    <w:rsid w:val="00164C56"/>
    <w:pPr>
      <w:keepLines/>
      <w:tabs>
        <w:tab w:val="left" w:pos="3600"/>
        <w:tab w:val="right" w:leader="dot" w:pos="9350"/>
      </w:tabs>
      <w:spacing w:after="100"/>
      <w:ind w:left="2880" w:hanging="720"/>
    </w:pPr>
    <w:rPr>
      <w:sz w:val="24"/>
    </w:rPr>
  </w:style>
  <w:style w:type="character" w:styleId="CommentReference">
    <w:name w:val="annotation reference"/>
    <w:basedOn w:val="DefaultParagraphFont"/>
    <w:semiHidden/>
    <w:unhideWhenUsed/>
    <w:rsid w:val="00313907"/>
    <w:rPr>
      <w:sz w:val="16"/>
      <w:szCs w:val="16"/>
    </w:rPr>
  </w:style>
  <w:style w:type="paragraph" w:styleId="CommentText">
    <w:name w:val="annotation text"/>
    <w:basedOn w:val="Normal"/>
    <w:link w:val="CommentTextChar"/>
    <w:semiHidden/>
    <w:unhideWhenUsed/>
    <w:rsid w:val="00313907"/>
  </w:style>
  <w:style w:type="character" w:customStyle="1" w:styleId="CommentTextChar">
    <w:name w:val="Comment Text Char"/>
    <w:basedOn w:val="DefaultParagraphFont"/>
    <w:link w:val="CommentText"/>
    <w:semiHidden/>
    <w:rsid w:val="00313907"/>
  </w:style>
  <w:style w:type="paragraph" w:styleId="CommentSubject">
    <w:name w:val="annotation subject"/>
    <w:basedOn w:val="CommentText"/>
    <w:next w:val="CommentText"/>
    <w:link w:val="CommentSubjectChar"/>
    <w:semiHidden/>
    <w:unhideWhenUsed/>
    <w:rsid w:val="00313907"/>
    <w:rPr>
      <w:b/>
      <w:bCs/>
    </w:rPr>
  </w:style>
  <w:style w:type="character" w:customStyle="1" w:styleId="CommentSubjectChar">
    <w:name w:val="Comment Subject Char"/>
    <w:basedOn w:val="CommentTextChar"/>
    <w:link w:val="CommentSubject"/>
    <w:semiHidden/>
    <w:rsid w:val="00313907"/>
    <w:rPr>
      <w:b/>
      <w:bCs/>
    </w:rPr>
  </w:style>
  <w:style w:type="character" w:styleId="UnresolvedMention">
    <w:name w:val="Unresolved Mention"/>
    <w:basedOn w:val="DefaultParagraphFont"/>
    <w:uiPriority w:val="99"/>
    <w:semiHidden/>
    <w:unhideWhenUsed/>
    <w:rsid w:val="00446EA6"/>
    <w:rPr>
      <w:color w:val="605E5C"/>
      <w:shd w:val="clear" w:color="auto" w:fill="E1DFDD"/>
    </w:rPr>
  </w:style>
  <w:style w:type="table" w:customStyle="1" w:styleId="TableGrid1">
    <w:name w:val="Table Grid1"/>
    <w:basedOn w:val="TableNormal"/>
    <w:next w:val="TableGrid"/>
    <w:rsid w:val="000E4FB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A93C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453566">
      <w:bodyDiv w:val="1"/>
      <w:marLeft w:val="0"/>
      <w:marRight w:val="0"/>
      <w:marTop w:val="0"/>
      <w:marBottom w:val="0"/>
      <w:divBdr>
        <w:top w:val="none" w:sz="0" w:space="0" w:color="auto"/>
        <w:left w:val="none" w:sz="0" w:space="0" w:color="auto"/>
        <w:bottom w:val="none" w:sz="0" w:space="0" w:color="auto"/>
        <w:right w:val="none" w:sz="0" w:space="0" w:color="auto"/>
      </w:divBdr>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035547825">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19811">
      <w:bodyDiv w:val="1"/>
      <w:marLeft w:val="0"/>
      <w:marRight w:val="0"/>
      <w:marTop w:val="0"/>
      <w:marBottom w:val="0"/>
      <w:divBdr>
        <w:top w:val="none" w:sz="0" w:space="0" w:color="auto"/>
        <w:left w:val="none" w:sz="0" w:space="0" w:color="auto"/>
        <w:bottom w:val="none" w:sz="0" w:space="0" w:color="auto"/>
        <w:right w:val="none" w:sz="0" w:space="0" w:color="auto"/>
      </w:divBdr>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56752">
      <w:bodyDiv w:val="1"/>
      <w:marLeft w:val="0"/>
      <w:marRight w:val="0"/>
      <w:marTop w:val="0"/>
      <w:marBottom w:val="0"/>
      <w:divBdr>
        <w:top w:val="none" w:sz="0" w:space="0" w:color="auto"/>
        <w:left w:val="none" w:sz="0" w:space="0" w:color="auto"/>
        <w:bottom w:val="none" w:sz="0" w:space="0" w:color="auto"/>
        <w:right w:val="none" w:sz="0" w:space="0" w:color="auto"/>
      </w:divBdr>
    </w:div>
    <w:div w:id="2076707567">
      <w:bodyDiv w:val="1"/>
      <w:marLeft w:val="0"/>
      <w:marRight w:val="0"/>
      <w:marTop w:val="0"/>
      <w:marBottom w:val="0"/>
      <w:divBdr>
        <w:top w:val="none" w:sz="0" w:space="0" w:color="auto"/>
        <w:left w:val="none" w:sz="0" w:space="0" w:color="auto"/>
        <w:bottom w:val="none" w:sz="0" w:space="0" w:color="auto"/>
        <w:right w:val="none" w:sz="0" w:space="0" w:color="auto"/>
      </w:divBdr>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1231344B9EE4B8B22DC6840AEA7B1" ma:contentTypeVersion="5" ma:contentTypeDescription="Create a new document." ma:contentTypeScope="" ma:versionID="e889a9776ed4eb619ba3fff6094f631c">
  <xsd:schema xmlns:xsd="http://www.w3.org/2001/XMLSchema" xmlns:xs="http://www.w3.org/2001/XMLSchema" xmlns:p="http://schemas.microsoft.com/office/2006/metadata/properties" xmlns:ns3="d05a8398-04f0-4137-a38f-3b39b52e6d40" xmlns:ns4="d5f46cfd-17ef-4676-98d9-262db6702185" targetNamespace="http://schemas.microsoft.com/office/2006/metadata/properties" ma:root="true" ma:fieldsID="32fafd800a833a663de9f44d9b550dfa" ns3:_="" ns4:_="">
    <xsd:import namespace="d05a8398-04f0-4137-a38f-3b39b52e6d40"/>
    <xsd:import namespace="d5f46cfd-17ef-4676-98d9-262db670218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a8398-04f0-4137-a38f-3b39b52e6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f46cfd-17ef-4676-98d9-262db67021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33A320-989C-4A67-8378-BB8B72556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a8398-04f0-4137-a38f-3b39b52e6d40"/>
    <ds:schemaRef ds:uri="d5f46cfd-17ef-4676-98d9-262db6702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A322B-66A3-4CB1-AB52-A42A4106CE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97F80F-CE3B-4FC2-8646-33EB1D06C3E1}">
  <ds:schemaRefs>
    <ds:schemaRef ds:uri="http://schemas.openxmlformats.org/officeDocument/2006/bibliography"/>
  </ds:schemaRefs>
</ds:datastoreItem>
</file>

<file path=customXml/itemProps4.xml><?xml version="1.0" encoding="utf-8"?>
<ds:datastoreItem xmlns:ds="http://schemas.openxmlformats.org/officeDocument/2006/customXml" ds:itemID="{E31E2005-D9A5-47AC-8568-EFA3E5C127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85</Pages>
  <Words>21342</Words>
  <Characters>121653</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142710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PENNINGTON</dc:creator>
  <cp:keywords/>
  <dc:description/>
  <cp:lastModifiedBy>Reside, Melissa</cp:lastModifiedBy>
  <cp:revision>6</cp:revision>
  <cp:lastPrinted>2020-11-23T13:16:00Z</cp:lastPrinted>
  <dcterms:created xsi:type="dcterms:W3CDTF">2020-12-18T17:56:00Z</dcterms:created>
  <dcterms:modified xsi:type="dcterms:W3CDTF">2020-12-18T19:55:00Z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0x0101000FA1231344B9EE4B8B22DC6840AEA7B1</vt:lpwstr>
  </property>
</Properties>
</file>