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A5686" w14:textId="75255E5B" w:rsidR="004412D5" w:rsidRPr="00D564C7" w:rsidRDefault="004412D5" w:rsidP="00D564C7">
      <w:pPr>
        <w:spacing w:after="0" w:line="240" w:lineRule="auto"/>
        <w:contextualSpacing/>
        <w:jc w:val="center"/>
        <w:rPr>
          <w:b/>
          <w:color w:val="000000" w:themeColor="text1"/>
          <w:sz w:val="26"/>
          <w:szCs w:val="26"/>
        </w:rPr>
      </w:pPr>
      <w:r w:rsidRPr="00D564C7">
        <w:rPr>
          <w:b/>
          <w:color w:val="000000" w:themeColor="text1"/>
          <w:sz w:val="26"/>
          <w:szCs w:val="26"/>
        </w:rPr>
        <w:t>PENNSYLVANIA</w:t>
      </w:r>
    </w:p>
    <w:p w14:paraId="7F563D60" w14:textId="77777777" w:rsidR="004412D5" w:rsidRPr="00D564C7" w:rsidRDefault="004412D5" w:rsidP="00D564C7">
      <w:pPr>
        <w:tabs>
          <w:tab w:val="center" w:pos="4680"/>
        </w:tabs>
        <w:spacing w:after="0" w:line="240" w:lineRule="auto"/>
        <w:contextualSpacing/>
        <w:jc w:val="center"/>
        <w:rPr>
          <w:b/>
          <w:color w:val="000000" w:themeColor="text1"/>
          <w:sz w:val="26"/>
          <w:szCs w:val="26"/>
        </w:rPr>
      </w:pPr>
      <w:r w:rsidRPr="00D564C7">
        <w:rPr>
          <w:b/>
          <w:color w:val="000000" w:themeColor="text1"/>
          <w:sz w:val="26"/>
          <w:szCs w:val="26"/>
        </w:rPr>
        <w:t>PUBLIC UTILITY COMMISSION</w:t>
      </w:r>
    </w:p>
    <w:p w14:paraId="2A7D7EE4" w14:textId="77777777" w:rsidR="004412D5" w:rsidRPr="00D564C7" w:rsidRDefault="004412D5" w:rsidP="00D564C7">
      <w:pPr>
        <w:tabs>
          <w:tab w:val="center" w:pos="4680"/>
        </w:tabs>
        <w:spacing w:after="0" w:line="240" w:lineRule="auto"/>
        <w:contextualSpacing/>
        <w:jc w:val="center"/>
        <w:rPr>
          <w:b/>
          <w:color w:val="000000" w:themeColor="text1"/>
          <w:sz w:val="26"/>
          <w:szCs w:val="26"/>
        </w:rPr>
      </w:pPr>
      <w:r w:rsidRPr="00D564C7">
        <w:rPr>
          <w:b/>
          <w:color w:val="000000" w:themeColor="text1"/>
          <w:sz w:val="26"/>
          <w:szCs w:val="26"/>
        </w:rPr>
        <w:t>Harrisburg, PA 17120</w:t>
      </w:r>
    </w:p>
    <w:p w14:paraId="2B79C3C6" w14:textId="77777777" w:rsidR="004412D5" w:rsidRPr="00D564C7" w:rsidRDefault="004412D5" w:rsidP="00D564C7">
      <w:pPr>
        <w:tabs>
          <w:tab w:val="left" w:pos="-720"/>
        </w:tabs>
        <w:spacing w:after="0" w:line="240" w:lineRule="auto"/>
        <w:contextualSpacing/>
        <w:rPr>
          <w:color w:val="000000" w:themeColor="text1"/>
          <w:sz w:val="26"/>
          <w:szCs w:val="26"/>
        </w:rPr>
      </w:pPr>
    </w:p>
    <w:p w14:paraId="79585FB0" w14:textId="77777777" w:rsidR="004412D5" w:rsidRPr="00D564C7" w:rsidRDefault="004412D5" w:rsidP="00D564C7">
      <w:pPr>
        <w:tabs>
          <w:tab w:val="left" w:pos="-720"/>
        </w:tabs>
        <w:spacing w:after="0" w:line="240" w:lineRule="auto"/>
        <w:contextualSpacing/>
        <w:rPr>
          <w:color w:val="000000" w:themeColor="text1"/>
          <w:sz w:val="26"/>
          <w:szCs w:val="26"/>
        </w:rPr>
      </w:pPr>
    </w:p>
    <w:p w14:paraId="4E5BDE32" w14:textId="6C4A17B4" w:rsidR="004412D5" w:rsidRPr="00D564C7" w:rsidRDefault="004412D5" w:rsidP="00D564C7">
      <w:pPr>
        <w:spacing w:after="0" w:line="240" w:lineRule="auto"/>
        <w:ind w:left="4320" w:firstLine="0"/>
        <w:jc w:val="right"/>
        <w:rPr>
          <w:color w:val="000000" w:themeColor="text1"/>
          <w:sz w:val="26"/>
          <w:szCs w:val="26"/>
        </w:rPr>
      </w:pPr>
      <w:r w:rsidRPr="00D564C7">
        <w:rPr>
          <w:color w:val="000000" w:themeColor="text1"/>
          <w:sz w:val="26"/>
          <w:szCs w:val="26"/>
        </w:rPr>
        <w:t>Public Meeting held November 19, 2020</w:t>
      </w:r>
    </w:p>
    <w:p w14:paraId="3567F65D" w14:textId="77777777" w:rsidR="004412D5" w:rsidRPr="00D564C7" w:rsidRDefault="004412D5" w:rsidP="00D564C7">
      <w:pPr>
        <w:spacing w:after="0" w:line="240" w:lineRule="auto"/>
        <w:rPr>
          <w:color w:val="000000" w:themeColor="text1"/>
          <w:sz w:val="26"/>
          <w:szCs w:val="26"/>
        </w:rPr>
      </w:pPr>
    </w:p>
    <w:p w14:paraId="70630B39" w14:textId="77777777" w:rsidR="004412D5" w:rsidRPr="00D564C7" w:rsidRDefault="004412D5" w:rsidP="00D564C7">
      <w:pPr>
        <w:tabs>
          <w:tab w:val="left" w:pos="-720"/>
        </w:tabs>
        <w:suppressAutoHyphens/>
        <w:spacing w:after="0" w:line="240" w:lineRule="auto"/>
        <w:rPr>
          <w:color w:val="000000" w:themeColor="text1"/>
          <w:sz w:val="26"/>
          <w:szCs w:val="26"/>
        </w:rPr>
      </w:pPr>
    </w:p>
    <w:p w14:paraId="22B287D0" w14:textId="77777777" w:rsidR="004412D5" w:rsidRPr="00D564C7" w:rsidRDefault="004412D5" w:rsidP="00D564C7">
      <w:pPr>
        <w:tabs>
          <w:tab w:val="left" w:pos="-720"/>
        </w:tabs>
        <w:suppressAutoHyphens/>
        <w:spacing w:after="0" w:line="240" w:lineRule="auto"/>
        <w:rPr>
          <w:color w:val="000000" w:themeColor="text1"/>
          <w:sz w:val="26"/>
          <w:szCs w:val="26"/>
        </w:rPr>
      </w:pPr>
      <w:r w:rsidRPr="00D564C7">
        <w:rPr>
          <w:color w:val="000000" w:themeColor="text1"/>
          <w:sz w:val="26"/>
          <w:szCs w:val="26"/>
        </w:rPr>
        <w:t>Commissioners Present:</w:t>
      </w:r>
    </w:p>
    <w:p w14:paraId="36110503" w14:textId="77777777" w:rsidR="004412D5" w:rsidRPr="00D564C7" w:rsidRDefault="004412D5" w:rsidP="00D564C7">
      <w:pPr>
        <w:tabs>
          <w:tab w:val="left" w:pos="-720"/>
        </w:tabs>
        <w:suppressAutoHyphens/>
        <w:spacing w:after="0" w:line="240" w:lineRule="auto"/>
        <w:rPr>
          <w:color w:val="000000" w:themeColor="text1"/>
          <w:sz w:val="26"/>
          <w:szCs w:val="26"/>
        </w:rPr>
      </w:pPr>
    </w:p>
    <w:p w14:paraId="45FA24BF" w14:textId="77777777" w:rsidR="004412D5" w:rsidRPr="00D564C7" w:rsidRDefault="004412D5" w:rsidP="00D564C7">
      <w:pPr>
        <w:tabs>
          <w:tab w:val="left" w:pos="-720"/>
        </w:tabs>
        <w:spacing w:after="0" w:line="240" w:lineRule="auto"/>
        <w:contextualSpacing/>
        <w:rPr>
          <w:color w:val="000000" w:themeColor="text1"/>
          <w:sz w:val="26"/>
          <w:szCs w:val="26"/>
        </w:rPr>
      </w:pPr>
      <w:r w:rsidRPr="00D564C7">
        <w:rPr>
          <w:color w:val="000000" w:themeColor="text1"/>
          <w:sz w:val="26"/>
          <w:szCs w:val="26"/>
        </w:rPr>
        <w:tab/>
      </w:r>
      <w:r w:rsidRPr="00D564C7">
        <w:rPr>
          <w:color w:val="000000" w:themeColor="text1"/>
          <w:sz w:val="26"/>
          <w:szCs w:val="26"/>
        </w:rPr>
        <w:tab/>
        <w:t>Gladys Brown Dutrieuille, Chairman</w:t>
      </w:r>
    </w:p>
    <w:p w14:paraId="2860995E" w14:textId="77777777" w:rsidR="004412D5" w:rsidRPr="00D564C7" w:rsidRDefault="004412D5" w:rsidP="00D564C7">
      <w:pPr>
        <w:tabs>
          <w:tab w:val="left" w:pos="-720"/>
        </w:tabs>
        <w:spacing w:after="0" w:line="240" w:lineRule="auto"/>
        <w:contextualSpacing/>
        <w:rPr>
          <w:color w:val="000000" w:themeColor="text1"/>
          <w:sz w:val="26"/>
          <w:szCs w:val="26"/>
        </w:rPr>
      </w:pPr>
      <w:r w:rsidRPr="00D564C7">
        <w:rPr>
          <w:color w:val="000000" w:themeColor="text1"/>
          <w:sz w:val="26"/>
          <w:szCs w:val="26"/>
        </w:rPr>
        <w:tab/>
      </w:r>
      <w:r w:rsidRPr="00D564C7">
        <w:rPr>
          <w:color w:val="000000" w:themeColor="text1"/>
          <w:sz w:val="26"/>
          <w:szCs w:val="26"/>
        </w:rPr>
        <w:tab/>
        <w:t>David W. Sweet, Vice Chairman</w:t>
      </w:r>
    </w:p>
    <w:p w14:paraId="1CE866CB" w14:textId="77777777" w:rsidR="004412D5" w:rsidRPr="00D564C7" w:rsidRDefault="004412D5" w:rsidP="00D564C7">
      <w:pPr>
        <w:tabs>
          <w:tab w:val="left" w:pos="-720"/>
        </w:tabs>
        <w:spacing w:after="0" w:line="240" w:lineRule="auto"/>
        <w:contextualSpacing/>
        <w:rPr>
          <w:b/>
          <w:bCs/>
          <w:color w:val="000000" w:themeColor="text1"/>
          <w:sz w:val="26"/>
          <w:szCs w:val="26"/>
        </w:rPr>
      </w:pPr>
      <w:r w:rsidRPr="00D564C7">
        <w:rPr>
          <w:color w:val="000000" w:themeColor="text1"/>
          <w:sz w:val="26"/>
          <w:szCs w:val="26"/>
        </w:rPr>
        <w:tab/>
      </w:r>
      <w:r w:rsidRPr="00D564C7">
        <w:rPr>
          <w:color w:val="000000" w:themeColor="text1"/>
          <w:sz w:val="26"/>
          <w:szCs w:val="26"/>
        </w:rPr>
        <w:tab/>
        <w:t>John F. Coleman, Jr.</w:t>
      </w:r>
    </w:p>
    <w:p w14:paraId="1ABC43B4" w14:textId="77777777" w:rsidR="004412D5" w:rsidRPr="00D564C7" w:rsidRDefault="004412D5" w:rsidP="00D564C7">
      <w:pPr>
        <w:kinsoku w:val="0"/>
        <w:overflowPunct w:val="0"/>
        <w:spacing w:after="0" w:line="240" w:lineRule="auto"/>
        <w:ind w:firstLine="710"/>
        <w:textAlignment w:val="baseline"/>
        <w:rPr>
          <w:color w:val="000000" w:themeColor="text1"/>
          <w:sz w:val="26"/>
          <w:szCs w:val="26"/>
        </w:rPr>
      </w:pPr>
      <w:r w:rsidRPr="00D564C7">
        <w:rPr>
          <w:color w:val="000000" w:themeColor="text1"/>
          <w:sz w:val="26"/>
          <w:szCs w:val="26"/>
        </w:rPr>
        <w:t>Ralph V. Yanora</w:t>
      </w:r>
    </w:p>
    <w:p w14:paraId="437E0E95" w14:textId="77777777" w:rsidR="004412D5" w:rsidRPr="00D564C7" w:rsidRDefault="004412D5" w:rsidP="00D564C7">
      <w:pPr>
        <w:spacing w:after="0" w:line="240" w:lineRule="auto"/>
        <w:ind w:left="0" w:firstLine="0"/>
        <w:rPr>
          <w:color w:val="000000" w:themeColor="text1"/>
          <w:sz w:val="26"/>
          <w:szCs w:val="26"/>
        </w:rPr>
      </w:pPr>
    </w:p>
    <w:p w14:paraId="56023AD3" w14:textId="77777777" w:rsidR="004412D5" w:rsidRPr="00D564C7" w:rsidRDefault="004412D5" w:rsidP="00D564C7">
      <w:pPr>
        <w:spacing w:after="0" w:line="240" w:lineRule="auto"/>
        <w:ind w:left="0" w:firstLine="0"/>
        <w:rPr>
          <w:color w:val="000000" w:themeColor="text1"/>
          <w:sz w:val="26"/>
          <w:szCs w:val="26"/>
        </w:rPr>
      </w:pPr>
    </w:p>
    <w:p w14:paraId="0A438BEF" w14:textId="68C164DA" w:rsidR="004412D5" w:rsidRPr="00D564C7" w:rsidRDefault="00C93B23" w:rsidP="00D564C7">
      <w:pPr>
        <w:pStyle w:val="Default"/>
        <w:rPr>
          <w:color w:val="000000" w:themeColor="text1"/>
          <w:sz w:val="26"/>
          <w:szCs w:val="26"/>
        </w:rPr>
      </w:pPr>
      <w:r w:rsidRPr="00D564C7">
        <w:rPr>
          <w:color w:val="000000" w:themeColor="text1"/>
          <w:sz w:val="26"/>
          <w:szCs w:val="26"/>
        </w:rPr>
        <w:t xml:space="preserve">Christopher </w:t>
      </w:r>
      <w:proofErr w:type="spellStart"/>
      <w:r w:rsidRPr="00D564C7">
        <w:rPr>
          <w:color w:val="000000" w:themeColor="text1"/>
          <w:sz w:val="26"/>
          <w:szCs w:val="26"/>
        </w:rPr>
        <w:t>Foti</w:t>
      </w:r>
      <w:proofErr w:type="spellEnd"/>
      <w:r w:rsidR="004412D5" w:rsidRPr="00D564C7">
        <w:rPr>
          <w:color w:val="000000" w:themeColor="text1"/>
          <w:sz w:val="26"/>
          <w:szCs w:val="26"/>
        </w:rPr>
        <w:t xml:space="preserve"> </w:t>
      </w:r>
      <w:r w:rsidR="004412D5" w:rsidRPr="00D564C7">
        <w:rPr>
          <w:color w:val="000000" w:themeColor="text1"/>
          <w:sz w:val="26"/>
          <w:szCs w:val="26"/>
        </w:rPr>
        <w:tab/>
      </w:r>
      <w:r w:rsidR="004412D5" w:rsidRPr="00D564C7">
        <w:rPr>
          <w:color w:val="000000" w:themeColor="text1"/>
          <w:sz w:val="26"/>
          <w:szCs w:val="26"/>
        </w:rPr>
        <w:tab/>
      </w:r>
      <w:r w:rsidR="004412D5" w:rsidRPr="00D564C7">
        <w:rPr>
          <w:color w:val="000000" w:themeColor="text1"/>
          <w:sz w:val="26"/>
          <w:szCs w:val="26"/>
        </w:rPr>
        <w:tab/>
      </w:r>
      <w:r w:rsidR="004412D5" w:rsidRPr="00D564C7">
        <w:rPr>
          <w:color w:val="000000" w:themeColor="text1"/>
          <w:sz w:val="26"/>
          <w:szCs w:val="26"/>
        </w:rPr>
        <w:tab/>
      </w:r>
      <w:r w:rsidR="004412D5" w:rsidRPr="00D564C7">
        <w:rPr>
          <w:color w:val="000000" w:themeColor="text1"/>
          <w:sz w:val="26"/>
          <w:szCs w:val="26"/>
        </w:rPr>
        <w:tab/>
      </w:r>
      <w:r w:rsidR="004412D5" w:rsidRPr="00D564C7">
        <w:rPr>
          <w:color w:val="000000" w:themeColor="text1"/>
          <w:sz w:val="26"/>
          <w:szCs w:val="26"/>
        </w:rPr>
        <w:tab/>
        <w:t xml:space="preserve">   </w:t>
      </w:r>
      <w:r w:rsidRPr="00D564C7">
        <w:rPr>
          <w:color w:val="000000" w:themeColor="text1"/>
          <w:sz w:val="26"/>
          <w:szCs w:val="26"/>
        </w:rPr>
        <w:tab/>
      </w:r>
      <w:r w:rsidRPr="00D564C7">
        <w:rPr>
          <w:color w:val="000000" w:themeColor="text1"/>
          <w:sz w:val="26"/>
          <w:szCs w:val="26"/>
        </w:rPr>
        <w:tab/>
        <w:t xml:space="preserve">     C-2020-3015285</w:t>
      </w:r>
    </w:p>
    <w:p w14:paraId="5E46F428" w14:textId="77777777" w:rsidR="00CC4EC4" w:rsidRPr="00D564C7" w:rsidRDefault="00CC4EC4" w:rsidP="00D564C7">
      <w:pPr>
        <w:pStyle w:val="Default"/>
        <w:rPr>
          <w:color w:val="000000" w:themeColor="text1"/>
          <w:sz w:val="26"/>
          <w:szCs w:val="26"/>
        </w:rPr>
      </w:pPr>
    </w:p>
    <w:p w14:paraId="5C5C16B4" w14:textId="68E89D9E" w:rsidR="004412D5" w:rsidRPr="00D564C7" w:rsidRDefault="004412D5" w:rsidP="00D564C7">
      <w:pPr>
        <w:pStyle w:val="Default"/>
        <w:ind w:firstLine="720"/>
        <w:rPr>
          <w:color w:val="000000" w:themeColor="text1"/>
          <w:sz w:val="26"/>
          <w:szCs w:val="26"/>
        </w:rPr>
      </w:pPr>
      <w:r w:rsidRPr="00D564C7">
        <w:rPr>
          <w:color w:val="000000" w:themeColor="text1"/>
          <w:sz w:val="26"/>
          <w:szCs w:val="26"/>
        </w:rPr>
        <w:t>v.</w:t>
      </w:r>
    </w:p>
    <w:p w14:paraId="233BAB74" w14:textId="77777777" w:rsidR="00CC4EC4" w:rsidRPr="00D564C7" w:rsidRDefault="00CC4EC4" w:rsidP="00D564C7">
      <w:pPr>
        <w:spacing w:after="0" w:line="240" w:lineRule="auto"/>
        <w:rPr>
          <w:color w:val="000000" w:themeColor="text1"/>
          <w:sz w:val="26"/>
          <w:szCs w:val="26"/>
        </w:rPr>
      </w:pPr>
    </w:p>
    <w:p w14:paraId="51331F03" w14:textId="3EF39F86" w:rsidR="004412D5" w:rsidRPr="00D564C7" w:rsidRDefault="00C93B23" w:rsidP="00D564C7">
      <w:pPr>
        <w:spacing w:after="0" w:line="240" w:lineRule="auto"/>
        <w:rPr>
          <w:color w:val="000000" w:themeColor="text1"/>
          <w:sz w:val="26"/>
          <w:szCs w:val="26"/>
        </w:rPr>
      </w:pPr>
      <w:r w:rsidRPr="00D564C7">
        <w:rPr>
          <w:color w:val="000000" w:themeColor="text1"/>
          <w:sz w:val="26"/>
          <w:szCs w:val="26"/>
        </w:rPr>
        <w:t>PPL Electric Utilities Corporation</w:t>
      </w:r>
    </w:p>
    <w:p w14:paraId="3139989F" w14:textId="77777777" w:rsidR="004412D5" w:rsidRPr="00D564C7" w:rsidRDefault="004412D5" w:rsidP="00D564C7">
      <w:pPr>
        <w:tabs>
          <w:tab w:val="center" w:pos="2881"/>
          <w:tab w:val="center" w:pos="3601"/>
          <w:tab w:val="center" w:pos="4321"/>
          <w:tab w:val="center" w:pos="5074"/>
        </w:tabs>
        <w:spacing w:after="0" w:line="240" w:lineRule="auto"/>
        <w:ind w:left="0" w:firstLine="0"/>
        <w:rPr>
          <w:color w:val="000000" w:themeColor="text1"/>
          <w:sz w:val="26"/>
          <w:szCs w:val="26"/>
        </w:rPr>
      </w:pPr>
      <w:r w:rsidRPr="00D564C7">
        <w:rPr>
          <w:color w:val="000000" w:themeColor="text1"/>
          <w:sz w:val="26"/>
          <w:szCs w:val="26"/>
        </w:rPr>
        <w:tab/>
        <w:t xml:space="preserve"> </w:t>
      </w:r>
      <w:r w:rsidRPr="00D564C7">
        <w:rPr>
          <w:color w:val="000000" w:themeColor="text1"/>
          <w:sz w:val="26"/>
          <w:szCs w:val="26"/>
        </w:rPr>
        <w:tab/>
        <w:t xml:space="preserve"> </w:t>
      </w:r>
      <w:r w:rsidRPr="00D564C7">
        <w:rPr>
          <w:color w:val="000000" w:themeColor="text1"/>
          <w:sz w:val="26"/>
          <w:szCs w:val="26"/>
        </w:rPr>
        <w:tab/>
        <w:t xml:space="preserve"> </w:t>
      </w:r>
      <w:r w:rsidRPr="00D564C7">
        <w:rPr>
          <w:color w:val="000000" w:themeColor="text1"/>
          <w:sz w:val="26"/>
          <w:szCs w:val="26"/>
        </w:rPr>
        <w:tab/>
        <w:t xml:space="preserve"> </w:t>
      </w:r>
    </w:p>
    <w:p w14:paraId="09A0E022" w14:textId="77777777" w:rsidR="004412D5" w:rsidRPr="00D564C7" w:rsidRDefault="004412D5" w:rsidP="00D564C7">
      <w:pPr>
        <w:spacing w:after="0" w:line="240" w:lineRule="auto"/>
        <w:ind w:left="0" w:firstLine="0"/>
        <w:rPr>
          <w:color w:val="000000" w:themeColor="text1"/>
          <w:sz w:val="26"/>
          <w:szCs w:val="26"/>
        </w:rPr>
      </w:pPr>
      <w:r w:rsidRPr="00D564C7">
        <w:rPr>
          <w:color w:val="000000" w:themeColor="text1"/>
          <w:sz w:val="26"/>
          <w:szCs w:val="26"/>
        </w:rPr>
        <w:t xml:space="preserve"> </w:t>
      </w:r>
    </w:p>
    <w:p w14:paraId="7BC3400E" w14:textId="77777777" w:rsidR="004412D5" w:rsidRPr="00D564C7" w:rsidRDefault="004412D5" w:rsidP="00D564C7">
      <w:pPr>
        <w:spacing w:after="0" w:line="240" w:lineRule="auto"/>
        <w:ind w:left="0" w:firstLine="0"/>
        <w:rPr>
          <w:color w:val="000000" w:themeColor="text1"/>
          <w:sz w:val="26"/>
          <w:szCs w:val="26"/>
        </w:rPr>
      </w:pPr>
      <w:r w:rsidRPr="00D564C7">
        <w:rPr>
          <w:color w:val="000000" w:themeColor="text1"/>
          <w:sz w:val="26"/>
          <w:szCs w:val="26"/>
        </w:rPr>
        <w:t xml:space="preserve"> </w:t>
      </w:r>
    </w:p>
    <w:p w14:paraId="0C7D52C6" w14:textId="77777777" w:rsidR="004412D5" w:rsidRPr="00D564C7" w:rsidRDefault="004412D5" w:rsidP="00D564C7">
      <w:pPr>
        <w:spacing w:after="0" w:line="360" w:lineRule="auto"/>
        <w:ind w:left="0" w:firstLine="0"/>
        <w:jc w:val="center"/>
        <w:rPr>
          <w:b/>
          <w:bCs/>
          <w:color w:val="000000" w:themeColor="text1"/>
          <w:sz w:val="26"/>
          <w:szCs w:val="26"/>
        </w:rPr>
      </w:pPr>
      <w:r w:rsidRPr="00D564C7">
        <w:rPr>
          <w:b/>
          <w:bCs/>
          <w:color w:val="000000" w:themeColor="text1"/>
          <w:sz w:val="26"/>
          <w:szCs w:val="26"/>
        </w:rPr>
        <w:t>OPINION AND ORDER</w:t>
      </w:r>
    </w:p>
    <w:p w14:paraId="3EDD28CE" w14:textId="77777777" w:rsidR="004412D5" w:rsidRPr="00D564C7" w:rsidRDefault="004412D5" w:rsidP="00D564C7">
      <w:pPr>
        <w:spacing w:after="0" w:line="360" w:lineRule="auto"/>
        <w:ind w:left="0" w:firstLine="1440"/>
        <w:rPr>
          <w:color w:val="000000" w:themeColor="text1"/>
          <w:sz w:val="26"/>
          <w:szCs w:val="26"/>
        </w:rPr>
      </w:pPr>
    </w:p>
    <w:p w14:paraId="45734D7D" w14:textId="3922382D" w:rsidR="004412D5" w:rsidRPr="00D564C7" w:rsidRDefault="004412D5" w:rsidP="00D564C7">
      <w:pPr>
        <w:keepNext/>
        <w:keepLines/>
        <w:tabs>
          <w:tab w:val="left" w:pos="-720"/>
        </w:tabs>
        <w:suppressAutoHyphens/>
        <w:spacing w:after="0"/>
        <w:contextualSpacing/>
        <w:rPr>
          <w:b/>
          <w:color w:val="000000" w:themeColor="text1"/>
          <w:sz w:val="26"/>
          <w:szCs w:val="26"/>
        </w:rPr>
      </w:pPr>
      <w:r w:rsidRPr="00D564C7">
        <w:rPr>
          <w:b/>
          <w:color w:val="000000" w:themeColor="text1"/>
          <w:sz w:val="26"/>
          <w:szCs w:val="26"/>
        </w:rPr>
        <w:t>BY THE COMMISSION:</w:t>
      </w:r>
    </w:p>
    <w:p w14:paraId="70D1F641" w14:textId="711513C7" w:rsidR="000935BF" w:rsidRPr="00D564C7" w:rsidRDefault="000935BF" w:rsidP="00D564C7">
      <w:pPr>
        <w:keepNext/>
        <w:keepLines/>
        <w:tabs>
          <w:tab w:val="left" w:pos="-720"/>
        </w:tabs>
        <w:suppressAutoHyphens/>
        <w:spacing w:after="0"/>
        <w:contextualSpacing/>
        <w:rPr>
          <w:color w:val="000000" w:themeColor="text1"/>
          <w:sz w:val="26"/>
          <w:szCs w:val="26"/>
        </w:rPr>
      </w:pPr>
    </w:p>
    <w:p w14:paraId="219A57AC" w14:textId="574B925A" w:rsidR="000935BF" w:rsidRPr="00D564C7" w:rsidRDefault="000935BF" w:rsidP="00D564C7">
      <w:pPr>
        <w:spacing w:after="0" w:line="360" w:lineRule="auto"/>
        <w:ind w:firstLine="1440"/>
        <w:rPr>
          <w:sz w:val="26"/>
          <w:szCs w:val="26"/>
        </w:rPr>
      </w:pPr>
      <w:r w:rsidRPr="00D564C7">
        <w:rPr>
          <w:sz w:val="26"/>
          <w:szCs w:val="26"/>
        </w:rPr>
        <w:t xml:space="preserve">Before the Pennsylvania Public Utility Commission (Commission) for consideration and disposition is the </w:t>
      </w:r>
      <w:r w:rsidR="003722A8" w:rsidRPr="00D564C7">
        <w:rPr>
          <w:sz w:val="26"/>
          <w:szCs w:val="26"/>
        </w:rPr>
        <w:t>Initial</w:t>
      </w:r>
      <w:r w:rsidRPr="00D564C7">
        <w:rPr>
          <w:sz w:val="26"/>
          <w:szCs w:val="26"/>
        </w:rPr>
        <w:t xml:space="preserve"> Decision (</w:t>
      </w:r>
      <w:r w:rsidR="003722A8" w:rsidRPr="00D564C7">
        <w:rPr>
          <w:sz w:val="26"/>
          <w:szCs w:val="26"/>
        </w:rPr>
        <w:t>I</w:t>
      </w:r>
      <w:r w:rsidRPr="00D564C7">
        <w:rPr>
          <w:sz w:val="26"/>
          <w:szCs w:val="26"/>
        </w:rPr>
        <w:t xml:space="preserve">.D.) of Administrative Law Judge (ALJ) </w:t>
      </w:r>
      <w:r w:rsidR="003722A8" w:rsidRPr="00D564C7">
        <w:rPr>
          <w:sz w:val="26"/>
          <w:szCs w:val="26"/>
        </w:rPr>
        <w:t>Dennis J. Buckley</w:t>
      </w:r>
      <w:r w:rsidRPr="00D564C7">
        <w:rPr>
          <w:sz w:val="26"/>
          <w:szCs w:val="26"/>
        </w:rPr>
        <w:t xml:space="preserve">, issued on September </w:t>
      </w:r>
      <w:r w:rsidR="00786328">
        <w:rPr>
          <w:sz w:val="26"/>
          <w:szCs w:val="26"/>
        </w:rPr>
        <w:t>30</w:t>
      </w:r>
      <w:r w:rsidRPr="00D564C7">
        <w:rPr>
          <w:sz w:val="26"/>
          <w:szCs w:val="26"/>
        </w:rPr>
        <w:t xml:space="preserve">, 2020, in the above-captioned proceeding.  No exceptions have been filed.  However, we have exercised our right to review the </w:t>
      </w:r>
      <w:r w:rsidR="00CC4EC4" w:rsidRPr="00D564C7">
        <w:rPr>
          <w:sz w:val="26"/>
          <w:szCs w:val="26"/>
        </w:rPr>
        <w:t>Initial</w:t>
      </w:r>
      <w:r w:rsidRPr="00D564C7">
        <w:rPr>
          <w:sz w:val="26"/>
          <w:szCs w:val="26"/>
        </w:rPr>
        <w:t xml:space="preserve"> Decision pursuant to Section 332(h) of the Public Utility Code (Code), 66 Pa. C.S. § 332(h).  For the reasons stated below, we shall adopt the </w:t>
      </w:r>
      <w:r w:rsidR="003722A8" w:rsidRPr="00D564C7">
        <w:rPr>
          <w:sz w:val="26"/>
          <w:szCs w:val="26"/>
        </w:rPr>
        <w:t xml:space="preserve">Initial </w:t>
      </w:r>
      <w:r w:rsidRPr="00D564C7">
        <w:rPr>
          <w:sz w:val="26"/>
          <w:szCs w:val="26"/>
        </w:rPr>
        <w:t>Decision, as modified, consistent with this Opinion and Order.</w:t>
      </w:r>
    </w:p>
    <w:p w14:paraId="65EBF320" w14:textId="27DB0F28" w:rsidR="000935BF" w:rsidRPr="00D564C7" w:rsidRDefault="000935BF" w:rsidP="00D564C7">
      <w:pPr>
        <w:spacing w:after="0" w:line="360" w:lineRule="auto"/>
        <w:ind w:firstLine="1440"/>
        <w:rPr>
          <w:sz w:val="26"/>
          <w:szCs w:val="26"/>
        </w:rPr>
      </w:pPr>
    </w:p>
    <w:p w14:paraId="4E72C7D9" w14:textId="00AAD7EA" w:rsidR="000935BF" w:rsidRPr="00D564C7" w:rsidRDefault="000935BF" w:rsidP="00D004D8">
      <w:pPr>
        <w:keepNext/>
        <w:spacing w:after="0" w:line="360" w:lineRule="auto"/>
        <w:ind w:left="14"/>
        <w:jc w:val="center"/>
        <w:rPr>
          <w:b/>
          <w:bCs/>
          <w:sz w:val="26"/>
          <w:szCs w:val="26"/>
        </w:rPr>
      </w:pPr>
      <w:r w:rsidRPr="00D564C7">
        <w:rPr>
          <w:b/>
          <w:bCs/>
          <w:sz w:val="26"/>
          <w:szCs w:val="26"/>
        </w:rPr>
        <w:lastRenderedPageBreak/>
        <w:t>History of the Proceeding</w:t>
      </w:r>
    </w:p>
    <w:p w14:paraId="3529DEF6" w14:textId="77777777" w:rsidR="000935BF" w:rsidRPr="00D564C7" w:rsidRDefault="000935BF" w:rsidP="00D004D8">
      <w:pPr>
        <w:keepNext/>
        <w:spacing w:after="0" w:line="360" w:lineRule="auto"/>
        <w:ind w:left="14"/>
        <w:jc w:val="center"/>
        <w:rPr>
          <w:b/>
          <w:bCs/>
          <w:sz w:val="26"/>
          <w:szCs w:val="26"/>
        </w:rPr>
      </w:pPr>
    </w:p>
    <w:p w14:paraId="2469AB2C" w14:textId="0B30B1EB" w:rsidR="000935BF" w:rsidRPr="00D564C7" w:rsidRDefault="000935BF" w:rsidP="00D004D8">
      <w:pPr>
        <w:keepNext/>
        <w:spacing w:after="0" w:line="360" w:lineRule="auto"/>
        <w:ind w:left="14" w:firstLine="1440"/>
        <w:rPr>
          <w:sz w:val="26"/>
          <w:szCs w:val="26"/>
        </w:rPr>
      </w:pPr>
      <w:r w:rsidRPr="00D564C7">
        <w:rPr>
          <w:sz w:val="26"/>
          <w:szCs w:val="26"/>
        </w:rPr>
        <w:t xml:space="preserve">On January 2, 2020, Christopher </w:t>
      </w:r>
      <w:proofErr w:type="spellStart"/>
      <w:r w:rsidRPr="00D564C7">
        <w:rPr>
          <w:sz w:val="26"/>
          <w:szCs w:val="26"/>
        </w:rPr>
        <w:t>Foti</w:t>
      </w:r>
      <w:proofErr w:type="spellEnd"/>
      <w:r w:rsidRPr="00D564C7">
        <w:rPr>
          <w:sz w:val="26"/>
          <w:szCs w:val="26"/>
        </w:rPr>
        <w:t xml:space="preserve"> (Complainant) filed a </w:t>
      </w:r>
      <w:r w:rsidR="004A1C30">
        <w:rPr>
          <w:sz w:val="26"/>
          <w:szCs w:val="26"/>
        </w:rPr>
        <w:t>F</w:t>
      </w:r>
      <w:r w:rsidRPr="00D564C7">
        <w:rPr>
          <w:sz w:val="26"/>
          <w:szCs w:val="26"/>
        </w:rPr>
        <w:t xml:space="preserve">ormal </w:t>
      </w:r>
      <w:r w:rsidR="004A1C30">
        <w:rPr>
          <w:sz w:val="26"/>
          <w:szCs w:val="26"/>
        </w:rPr>
        <w:t>C</w:t>
      </w:r>
      <w:r w:rsidRPr="00D564C7">
        <w:rPr>
          <w:sz w:val="26"/>
          <w:szCs w:val="26"/>
        </w:rPr>
        <w:t xml:space="preserve">omplaint </w:t>
      </w:r>
      <w:r w:rsidR="00A53B63">
        <w:rPr>
          <w:sz w:val="26"/>
          <w:szCs w:val="26"/>
        </w:rPr>
        <w:t xml:space="preserve">(Complaint) </w:t>
      </w:r>
      <w:r w:rsidRPr="00D564C7">
        <w:rPr>
          <w:sz w:val="26"/>
          <w:szCs w:val="26"/>
        </w:rPr>
        <w:t>against PPL Electric Utilities Corporation (PPL) alleging incorrect billing due to a metering issue.</w:t>
      </w:r>
    </w:p>
    <w:p w14:paraId="0A755079" w14:textId="77777777" w:rsidR="000935BF" w:rsidRPr="00D564C7" w:rsidRDefault="000935BF" w:rsidP="00D004D8">
      <w:pPr>
        <w:keepNext/>
        <w:spacing w:after="0" w:line="360" w:lineRule="auto"/>
        <w:ind w:left="14" w:firstLine="1440"/>
        <w:rPr>
          <w:sz w:val="26"/>
          <w:szCs w:val="26"/>
        </w:rPr>
      </w:pPr>
    </w:p>
    <w:p w14:paraId="04D87A93" w14:textId="5967EABA" w:rsidR="000935BF" w:rsidRPr="00D564C7" w:rsidRDefault="000935BF" w:rsidP="00D004D8">
      <w:pPr>
        <w:spacing w:after="0" w:line="360" w:lineRule="auto"/>
        <w:ind w:firstLine="1440"/>
        <w:rPr>
          <w:sz w:val="26"/>
          <w:szCs w:val="26"/>
        </w:rPr>
      </w:pPr>
      <w:r w:rsidRPr="00D564C7">
        <w:rPr>
          <w:sz w:val="26"/>
          <w:szCs w:val="26"/>
        </w:rPr>
        <w:t xml:space="preserve">On January 23, 2020, PPL filed an </w:t>
      </w:r>
      <w:r w:rsidR="00CC4EC4" w:rsidRPr="00D564C7">
        <w:rPr>
          <w:sz w:val="26"/>
          <w:szCs w:val="26"/>
        </w:rPr>
        <w:t>A</w:t>
      </w:r>
      <w:r w:rsidRPr="00D564C7">
        <w:rPr>
          <w:sz w:val="26"/>
          <w:szCs w:val="26"/>
        </w:rPr>
        <w:t xml:space="preserve">nswer to the </w:t>
      </w:r>
      <w:r w:rsidR="00CC4EC4" w:rsidRPr="00D564C7">
        <w:rPr>
          <w:sz w:val="26"/>
          <w:szCs w:val="26"/>
        </w:rPr>
        <w:t>C</w:t>
      </w:r>
      <w:r w:rsidRPr="00D564C7">
        <w:rPr>
          <w:sz w:val="26"/>
          <w:szCs w:val="26"/>
        </w:rPr>
        <w:t xml:space="preserve">omplaint admitting that there had been an outage and that upon investigating found that there had also been a meter mix-up at the service address. </w:t>
      </w:r>
      <w:r w:rsidR="0079707A" w:rsidRPr="00D564C7">
        <w:rPr>
          <w:sz w:val="26"/>
          <w:szCs w:val="26"/>
        </w:rPr>
        <w:t xml:space="preserve"> </w:t>
      </w:r>
      <w:r w:rsidRPr="00D564C7">
        <w:rPr>
          <w:sz w:val="26"/>
          <w:szCs w:val="26"/>
        </w:rPr>
        <w:t>PPL stated that the problem had been corrected and the Complainant properly billed.</w:t>
      </w:r>
    </w:p>
    <w:p w14:paraId="7FE306BB" w14:textId="519CE189" w:rsidR="000935BF" w:rsidRPr="00D564C7" w:rsidRDefault="000935BF" w:rsidP="00D004D8">
      <w:pPr>
        <w:spacing w:after="0" w:line="360" w:lineRule="auto"/>
        <w:ind w:firstLine="1440"/>
        <w:rPr>
          <w:sz w:val="26"/>
          <w:szCs w:val="26"/>
        </w:rPr>
      </w:pPr>
    </w:p>
    <w:p w14:paraId="67FB5D21" w14:textId="3C8E2F43" w:rsidR="000935BF" w:rsidRPr="00D564C7" w:rsidRDefault="000935BF" w:rsidP="00D004D8">
      <w:pPr>
        <w:spacing w:after="0" w:line="360" w:lineRule="auto"/>
        <w:ind w:firstLine="1440"/>
        <w:rPr>
          <w:sz w:val="26"/>
          <w:szCs w:val="26"/>
        </w:rPr>
      </w:pPr>
      <w:r w:rsidRPr="00D564C7">
        <w:rPr>
          <w:sz w:val="26"/>
          <w:szCs w:val="26"/>
        </w:rPr>
        <w:t xml:space="preserve">On January 27, 2020, a </w:t>
      </w:r>
      <w:r w:rsidR="00B06D3A">
        <w:rPr>
          <w:sz w:val="26"/>
          <w:szCs w:val="26"/>
        </w:rPr>
        <w:t>H</w:t>
      </w:r>
      <w:r w:rsidRPr="00D564C7">
        <w:rPr>
          <w:sz w:val="26"/>
          <w:szCs w:val="26"/>
        </w:rPr>
        <w:t xml:space="preserve">earing Notice was sent to the </w:t>
      </w:r>
      <w:r w:rsidR="0008445E">
        <w:rPr>
          <w:sz w:val="26"/>
          <w:szCs w:val="26"/>
        </w:rPr>
        <w:t>P</w:t>
      </w:r>
      <w:r w:rsidRPr="00D564C7">
        <w:rPr>
          <w:sz w:val="26"/>
          <w:szCs w:val="26"/>
        </w:rPr>
        <w:t>arties setting March 11, 2020 as the date for a call-in telephonic hearing.</w:t>
      </w:r>
      <w:r w:rsidR="00CC4EC4" w:rsidRPr="00D564C7">
        <w:rPr>
          <w:sz w:val="26"/>
          <w:szCs w:val="26"/>
        </w:rPr>
        <w:t xml:space="preserve"> </w:t>
      </w:r>
      <w:r w:rsidR="0079707A" w:rsidRPr="00D564C7">
        <w:rPr>
          <w:sz w:val="26"/>
          <w:szCs w:val="26"/>
        </w:rPr>
        <w:t xml:space="preserve"> On February 2, 2020, a </w:t>
      </w:r>
      <w:r w:rsidR="005841E8">
        <w:rPr>
          <w:sz w:val="26"/>
          <w:szCs w:val="26"/>
        </w:rPr>
        <w:t>P</w:t>
      </w:r>
      <w:r w:rsidR="0079707A" w:rsidRPr="00D564C7">
        <w:rPr>
          <w:sz w:val="26"/>
          <w:szCs w:val="26"/>
        </w:rPr>
        <w:t>rehearing Order was issued reminding the Parties of the date and time of the hearing and stating various procedures that would be applicable to the call-in hearing.</w:t>
      </w:r>
      <w:r w:rsidR="00CC4EC4" w:rsidRPr="00D564C7">
        <w:rPr>
          <w:sz w:val="26"/>
          <w:szCs w:val="26"/>
        </w:rPr>
        <w:t xml:space="preserve"> </w:t>
      </w:r>
      <w:r w:rsidR="0079707A" w:rsidRPr="00D564C7">
        <w:rPr>
          <w:sz w:val="26"/>
          <w:szCs w:val="26"/>
        </w:rPr>
        <w:t xml:space="preserve"> </w:t>
      </w:r>
      <w:r w:rsidRPr="00D564C7">
        <w:rPr>
          <w:sz w:val="26"/>
          <w:szCs w:val="26"/>
        </w:rPr>
        <w:t>On March</w:t>
      </w:r>
      <w:r w:rsidR="00CC4EC4" w:rsidRPr="00D564C7">
        <w:rPr>
          <w:sz w:val="26"/>
          <w:szCs w:val="26"/>
        </w:rPr>
        <w:t> </w:t>
      </w:r>
      <w:r w:rsidRPr="00D564C7">
        <w:rPr>
          <w:sz w:val="26"/>
          <w:szCs w:val="26"/>
        </w:rPr>
        <w:t>9,</w:t>
      </w:r>
      <w:r w:rsidR="00CC4EC4" w:rsidRPr="00D564C7">
        <w:rPr>
          <w:sz w:val="26"/>
          <w:szCs w:val="26"/>
        </w:rPr>
        <w:t> </w:t>
      </w:r>
      <w:r w:rsidRPr="00D564C7">
        <w:rPr>
          <w:sz w:val="26"/>
          <w:szCs w:val="26"/>
        </w:rPr>
        <w:t xml:space="preserve">2020, a </w:t>
      </w:r>
      <w:r w:rsidR="00B06D3A">
        <w:rPr>
          <w:sz w:val="26"/>
          <w:szCs w:val="26"/>
        </w:rPr>
        <w:t>F</w:t>
      </w:r>
      <w:r w:rsidRPr="00D564C7">
        <w:rPr>
          <w:sz w:val="26"/>
          <w:szCs w:val="26"/>
        </w:rPr>
        <w:t xml:space="preserve">urther </w:t>
      </w:r>
      <w:r w:rsidR="00B06D3A">
        <w:rPr>
          <w:sz w:val="26"/>
          <w:szCs w:val="26"/>
        </w:rPr>
        <w:t>H</w:t>
      </w:r>
      <w:r w:rsidRPr="00D564C7">
        <w:rPr>
          <w:sz w:val="26"/>
          <w:szCs w:val="26"/>
        </w:rPr>
        <w:t xml:space="preserve">earing Notice was sent to the </w:t>
      </w:r>
      <w:r w:rsidR="00D4425B">
        <w:rPr>
          <w:sz w:val="26"/>
          <w:szCs w:val="26"/>
        </w:rPr>
        <w:t>P</w:t>
      </w:r>
      <w:r w:rsidRPr="00D564C7">
        <w:rPr>
          <w:sz w:val="26"/>
          <w:szCs w:val="26"/>
        </w:rPr>
        <w:t xml:space="preserve">arties setting April 28, 2020 as a new hearing date. </w:t>
      </w:r>
      <w:r w:rsidR="0079707A" w:rsidRPr="00D564C7">
        <w:rPr>
          <w:sz w:val="26"/>
          <w:szCs w:val="26"/>
        </w:rPr>
        <w:t xml:space="preserve"> </w:t>
      </w:r>
      <w:r w:rsidRPr="00D564C7">
        <w:rPr>
          <w:sz w:val="26"/>
          <w:szCs w:val="26"/>
        </w:rPr>
        <w:t xml:space="preserve">That hearing convened as scheduled but neither </w:t>
      </w:r>
      <w:r w:rsidR="00D4425B">
        <w:rPr>
          <w:sz w:val="26"/>
          <w:szCs w:val="26"/>
        </w:rPr>
        <w:t>P</w:t>
      </w:r>
      <w:r w:rsidRPr="00D564C7">
        <w:rPr>
          <w:sz w:val="26"/>
          <w:szCs w:val="26"/>
        </w:rPr>
        <w:t>arty appeared</w:t>
      </w:r>
      <w:r w:rsidR="00CC4EC4" w:rsidRPr="00D564C7">
        <w:rPr>
          <w:sz w:val="26"/>
          <w:szCs w:val="26"/>
        </w:rPr>
        <w:t>,</w:t>
      </w:r>
      <w:r w:rsidRPr="00D564C7">
        <w:rPr>
          <w:sz w:val="26"/>
          <w:szCs w:val="26"/>
        </w:rPr>
        <w:t xml:space="preserve"> and the hearing </w:t>
      </w:r>
      <w:r w:rsidR="006D4E95">
        <w:rPr>
          <w:sz w:val="26"/>
          <w:szCs w:val="26"/>
        </w:rPr>
        <w:t xml:space="preserve">was </w:t>
      </w:r>
      <w:r w:rsidRPr="00D564C7">
        <w:rPr>
          <w:sz w:val="26"/>
          <w:szCs w:val="26"/>
        </w:rPr>
        <w:t>adjourned.</w:t>
      </w:r>
      <w:r w:rsidRPr="00D564C7">
        <w:rPr>
          <w:rStyle w:val="FootnoteReference"/>
          <w:sz w:val="26"/>
          <w:szCs w:val="26"/>
        </w:rPr>
        <w:footnoteReference w:id="1"/>
      </w:r>
      <w:r w:rsidR="00CC4EC4" w:rsidRPr="00D564C7">
        <w:rPr>
          <w:sz w:val="26"/>
          <w:szCs w:val="26"/>
        </w:rPr>
        <w:t xml:space="preserve">  </w:t>
      </w:r>
      <w:r w:rsidRPr="00D564C7">
        <w:rPr>
          <w:sz w:val="26"/>
          <w:szCs w:val="26"/>
        </w:rPr>
        <w:t xml:space="preserve">On May 7, 2020, another </w:t>
      </w:r>
      <w:r w:rsidR="00667094">
        <w:rPr>
          <w:sz w:val="26"/>
          <w:szCs w:val="26"/>
        </w:rPr>
        <w:t>H</w:t>
      </w:r>
      <w:r w:rsidRPr="00D564C7">
        <w:rPr>
          <w:sz w:val="26"/>
          <w:szCs w:val="26"/>
        </w:rPr>
        <w:t>earing Notice was issued setting July</w:t>
      </w:r>
      <w:r w:rsidR="00CC4EC4" w:rsidRPr="00D564C7">
        <w:rPr>
          <w:sz w:val="26"/>
          <w:szCs w:val="26"/>
        </w:rPr>
        <w:t> </w:t>
      </w:r>
      <w:r w:rsidRPr="00D564C7">
        <w:rPr>
          <w:sz w:val="26"/>
          <w:szCs w:val="26"/>
        </w:rPr>
        <w:t>7,</w:t>
      </w:r>
      <w:r w:rsidR="00CC4EC4" w:rsidRPr="00D564C7">
        <w:rPr>
          <w:sz w:val="26"/>
          <w:szCs w:val="26"/>
        </w:rPr>
        <w:t> </w:t>
      </w:r>
      <w:r w:rsidRPr="00D564C7">
        <w:rPr>
          <w:sz w:val="26"/>
          <w:szCs w:val="26"/>
        </w:rPr>
        <w:t>2020</w:t>
      </w:r>
      <w:r w:rsidR="00667094">
        <w:rPr>
          <w:sz w:val="26"/>
          <w:szCs w:val="26"/>
        </w:rPr>
        <w:t>.</w:t>
      </w:r>
      <w:r w:rsidRPr="00D564C7">
        <w:rPr>
          <w:sz w:val="26"/>
          <w:szCs w:val="26"/>
        </w:rPr>
        <w:t>, at 10:00 a.m., as the date and time for an initial call-in telephonic hearing in this matter.</w:t>
      </w:r>
    </w:p>
    <w:p w14:paraId="0604C4E6" w14:textId="77777777" w:rsidR="000935BF" w:rsidRPr="00D564C7" w:rsidRDefault="000935BF" w:rsidP="00D564C7">
      <w:pPr>
        <w:spacing w:after="0" w:line="360" w:lineRule="auto"/>
        <w:ind w:firstLine="1440"/>
        <w:rPr>
          <w:sz w:val="26"/>
          <w:szCs w:val="26"/>
        </w:rPr>
      </w:pPr>
    </w:p>
    <w:p w14:paraId="3130AEFA" w14:textId="0E48FC5F" w:rsidR="000935BF" w:rsidRPr="00D564C7" w:rsidRDefault="000935BF" w:rsidP="00D564C7">
      <w:pPr>
        <w:spacing w:after="0" w:line="360" w:lineRule="auto"/>
        <w:ind w:firstLine="1440"/>
        <w:rPr>
          <w:sz w:val="26"/>
          <w:szCs w:val="26"/>
        </w:rPr>
      </w:pPr>
      <w:r w:rsidRPr="00D564C7">
        <w:rPr>
          <w:sz w:val="26"/>
          <w:szCs w:val="26"/>
        </w:rPr>
        <w:t xml:space="preserve">On July 7, 2020, </w:t>
      </w:r>
      <w:r w:rsidR="00667094">
        <w:rPr>
          <w:sz w:val="26"/>
          <w:szCs w:val="26"/>
        </w:rPr>
        <w:t>the scheduled</w:t>
      </w:r>
      <w:r w:rsidRPr="00D564C7">
        <w:rPr>
          <w:sz w:val="26"/>
          <w:szCs w:val="26"/>
        </w:rPr>
        <w:t xml:space="preserve"> telephonic hearing convened. </w:t>
      </w:r>
      <w:r w:rsidR="0079707A" w:rsidRPr="00D564C7">
        <w:rPr>
          <w:sz w:val="26"/>
          <w:szCs w:val="26"/>
        </w:rPr>
        <w:t xml:space="preserve"> T</w:t>
      </w:r>
      <w:r w:rsidR="00E55634" w:rsidRPr="00D564C7">
        <w:rPr>
          <w:sz w:val="26"/>
          <w:szCs w:val="26"/>
        </w:rPr>
        <w:t>he</w:t>
      </w:r>
      <w:r w:rsidRPr="00D564C7">
        <w:rPr>
          <w:sz w:val="26"/>
          <w:szCs w:val="26"/>
        </w:rPr>
        <w:t xml:space="preserve"> Complainant did not appear. </w:t>
      </w:r>
      <w:r w:rsidR="00E55634" w:rsidRPr="00D564C7">
        <w:rPr>
          <w:sz w:val="26"/>
          <w:szCs w:val="26"/>
        </w:rPr>
        <w:t xml:space="preserve"> </w:t>
      </w:r>
      <w:r w:rsidRPr="00D564C7">
        <w:rPr>
          <w:sz w:val="26"/>
          <w:szCs w:val="26"/>
        </w:rPr>
        <w:t xml:space="preserve">After waiting for approximately 20 minutes, PPL moved </w:t>
      </w:r>
      <w:r w:rsidRPr="00D564C7">
        <w:rPr>
          <w:sz w:val="26"/>
          <w:szCs w:val="26"/>
        </w:rPr>
        <w:lastRenderedPageBreak/>
        <w:t xml:space="preserve">for dismissal of the </w:t>
      </w:r>
      <w:r w:rsidR="00A53B63">
        <w:rPr>
          <w:sz w:val="26"/>
          <w:szCs w:val="26"/>
        </w:rPr>
        <w:t>C</w:t>
      </w:r>
      <w:r w:rsidRPr="00D564C7">
        <w:rPr>
          <w:sz w:val="26"/>
          <w:szCs w:val="26"/>
        </w:rPr>
        <w:t>omplaint</w:t>
      </w:r>
      <w:r w:rsidR="0079707A" w:rsidRPr="00D564C7">
        <w:rPr>
          <w:sz w:val="26"/>
          <w:szCs w:val="26"/>
        </w:rPr>
        <w:t>, with prejudice,</w:t>
      </w:r>
      <w:r w:rsidR="00E57C6D" w:rsidRPr="00D564C7">
        <w:rPr>
          <w:rStyle w:val="FootnoteReference"/>
          <w:color w:val="000000" w:themeColor="text1"/>
          <w:sz w:val="26"/>
          <w:szCs w:val="26"/>
        </w:rPr>
        <w:t xml:space="preserve"> </w:t>
      </w:r>
      <w:r w:rsidR="00E57C6D" w:rsidRPr="00D564C7">
        <w:rPr>
          <w:rStyle w:val="FootnoteReference"/>
          <w:color w:val="000000" w:themeColor="text1"/>
          <w:sz w:val="26"/>
          <w:szCs w:val="26"/>
        </w:rPr>
        <w:footnoteReference w:id="2"/>
      </w:r>
      <w:r w:rsidR="0079707A" w:rsidRPr="00D564C7">
        <w:rPr>
          <w:sz w:val="26"/>
          <w:szCs w:val="26"/>
        </w:rPr>
        <w:t xml:space="preserve"> </w:t>
      </w:r>
      <w:r w:rsidRPr="00D564C7">
        <w:rPr>
          <w:sz w:val="26"/>
          <w:szCs w:val="26"/>
        </w:rPr>
        <w:t>for failure to prosecute.</w:t>
      </w:r>
      <w:r w:rsidR="0079707A" w:rsidRPr="00D564C7">
        <w:rPr>
          <w:sz w:val="26"/>
          <w:szCs w:val="26"/>
        </w:rPr>
        <w:t xml:space="preserve"> </w:t>
      </w:r>
      <w:r w:rsidR="00197FF5" w:rsidRPr="00D564C7">
        <w:rPr>
          <w:sz w:val="26"/>
          <w:szCs w:val="26"/>
        </w:rPr>
        <w:t xml:space="preserve"> </w:t>
      </w:r>
      <w:r w:rsidR="0079707A" w:rsidRPr="00D564C7">
        <w:rPr>
          <w:sz w:val="26"/>
          <w:szCs w:val="26"/>
        </w:rPr>
        <w:t>That motion was granted, and the record was closed.</w:t>
      </w:r>
    </w:p>
    <w:p w14:paraId="32E70B47" w14:textId="77777777" w:rsidR="0079707A" w:rsidRPr="00D564C7" w:rsidRDefault="0079707A" w:rsidP="00D564C7">
      <w:pPr>
        <w:spacing w:after="0" w:line="360" w:lineRule="auto"/>
        <w:ind w:firstLine="1440"/>
        <w:rPr>
          <w:sz w:val="26"/>
          <w:szCs w:val="26"/>
        </w:rPr>
      </w:pPr>
    </w:p>
    <w:p w14:paraId="19E14707" w14:textId="5EEAEDCE" w:rsidR="000935BF" w:rsidRPr="00D564C7" w:rsidRDefault="000935BF" w:rsidP="00D564C7">
      <w:pPr>
        <w:spacing w:after="0" w:line="360" w:lineRule="auto"/>
        <w:ind w:firstLine="1440"/>
        <w:rPr>
          <w:sz w:val="26"/>
          <w:szCs w:val="26"/>
        </w:rPr>
      </w:pPr>
      <w:r w:rsidRPr="00D564C7">
        <w:rPr>
          <w:sz w:val="26"/>
          <w:szCs w:val="26"/>
        </w:rPr>
        <w:t xml:space="preserve">On July 7, 2020, approximately 30 minutes after adjournment, </w:t>
      </w:r>
      <w:r w:rsidR="0079707A" w:rsidRPr="00D564C7">
        <w:rPr>
          <w:sz w:val="26"/>
          <w:szCs w:val="26"/>
        </w:rPr>
        <w:t xml:space="preserve">the </w:t>
      </w:r>
      <w:r w:rsidRPr="00D564C7">
        <w:rPr>
          <w:sz w:val="26"/>
          <w:szCs w:val="26"/>
        </w:rPr>
        <w:t xml:space="preserve">Complainant called the Office of Administrative Law Judge (OALJ) inquiring why he had not been contacted for the hearing. </w:t>
      </w:r>
      <w:r w:rsidR="00E55634" w:rsidRPr="00D564C7">
        <w:rPr>
          <w:sz w:val="26"/>
          <w:szCs w:val="26"/>
        </w:rPr>
        <w:t xml:space="preserve"> </w:t>
      </w:r>
      <w:r w:rsidRPr="00D564C7">
        <w:rPr>
          <w:sz w:val="26"/>
          <w:szCs w:val="26"/>
        </w:rPr>
        <w:t xml:space="preserve">Upon being told that the hearing was a call-in hearing, </w:t>
      </w:r>
      <w:r w:rsidR="00A53B63">
        <w:rPr>
          <w:sz w:val="26"/>
          <w:szCs w:val="26"/>
        </w:rPr>
        <w:t xml:space="preserve">the </w:t>
      </w:r>
      <w:r w:rsidRPr="00D564C7">
        <w:rPr>
          <w:sz w:val="26"/>
          <w:szCs w:val="26"/>
        </w:rPr>
        <w:t>Complainant stated that he</w:t>
      </w:r>
      <w:r w:rsidR="0079707A" w:rsidRPr="00D564C7">
        <w:rPr>
          <w:sz w:val="26"/>
          <w:szCs w:val="26"/>
        </w:rPr>
        <w:t xml:space="preserve"> expected to receive a call</w:t>
      </w:r>
      <w:r w:rsidRPr="00D564C7">
        <w:rPr>
          <w:sz w:val="26"/>
          <w:szCs w:val="26"/>
        </w:rPr>
        <w:t xml:space="preserve">. </w:t>
      </w:r>
      <w:r w:rsidR="00E55634" w:rsidRPr="00D564C7">
        <w:rPr>
          <w:sz w:val="26"/>
          <w:szCs w:val="26"/>
        </w:rPr>
        <w:t xml:space="preserve"> </w:t>
      </w:r>
      <w:r w:rsidR="0079707A" w:rsidRPr="00D564C7">
        <w:rPr>
          <w:sz w:val="26"/>
          <w:szCs w:val="26"/>
        </w:rPr>
        <w:t xml:space="preserve">The </w:t>
      </w:r>
      <w:r w:rsidRPr="00D564C7">
        <w:rPr>
          <w:sz w:val="26"/>
          <w:szCs w:val="26"/>
        </w:rPr>
        <w:t xml:space="preserve">Complainant then submitted an informal petition by email to reopen the record. </w:t>
      </w:r>
      <w:r w:rsidR="00E55634" w:rsidRPr="00D564C7">
        <w:rPr>
          <w:sz w:val="26"/>
          <w:szCs w:val="26"/>
        </w:rPr>
        <w:t xml:space="preserve"> </w:t>
      </w:r>
      <w:r w:rsidR="0079707A" w:rsidRPr="00D564C7">
        <w:rPr>
          <w:sz w:val="26"/>
          <w:szCs w:val="26"/>
        </w:rPr>
        <w:t>PPL objected to that request.</w:t>
      </w:r>
    </w:p>
    <w:p w14:paraId="4C989DA1" w14:textId="617EC2F4" w:rsidR="003722A8" w:rsidRPr="00D564C7" w:rsidRDefault="003722A8" w:rsidP="00D564C7">
      <w:pPr>
        <w:spacing w:after="0" w:line="360" w:lineRule="auto"/>
        <w:ind w:firstLine="1440"/>
        <w:rPr>
          <w:sz w:val="26"/>
          <w:szCs w:val="26"/>
        </w:rPr>
      </w:pPr>
    </w:p>
    <w:p w14:paraId="2C194050" w14:textId="3B441AE2" w:rsidR="00C769B7" w:rsidRPr="00D564C7" w:rsidRDefault="00C769B7" w:rsidP="00D564C7">
      <w:pPr>
        <w:spacing w:after="0" w:line="360" w:lineRule="auto"/>
        <w:ind w:firstLine="1440"/>
        <w:rPr>
          <w:sz w:val="26"/>
          <w:szCs w:val="26"/>
        </w:rPr>
      </w:pPr>
      <w:r w:rsidRPr="00D564C7">
        <w:rPr>
          <w:sz w:val="26"/>
          <w:szCs w:val="26"/>
        </w:rPr>
        <w:t xml:space="preserve">On July 9, 2020, counsel for PPL submitted an answer in opposition to the petition to reopen the record.  By Order dated July 21, 2020, </w:t>
      </w:r>
      <w:r w:rsidR="003A4C66">
        <w:rPr>
          <w:sz w:val="26"/>
          <w:szCs w:val="26"/>
        </w:rPr>
        <w:t xml:space="preserve">the </w:t>
      </w:r>
      <w:r w:rsidRPr="00D564C7">
        <w:rPr>
          <w:sz w:val="26"/>
          <w:szCs w:val="26"/>
        </w:rPr>
        <w:t xml:space="preserve">Complainant’s petition to reopen the record was denied.  The Order considered the merits of the petition.  In sum, the Order held that </w:t>
      </w:r>
      <w:r w:rsidR="003A4C66">
        <w:rPr>
          <w:sz w:val="26"/>
          <w:szCs w:val="26"/>
        </w:rPr>
        <w:t xml:space="preserve">the </w:t>
      </w:r>
      <w:r w:rsidRPr="00D564C7">
        <w:rPr>
          <w:sz w:val="26"/>
          <w:szCs w:val="26"/>
        </w:rPr>
        <w:t xml:space="preserve">Complainant’s reason for not attending the hearing in this case on July 7, 2020 was not reasonable.  Further, as there was no reason to believe that conditions of fact or of law in this matter had so changed as to require, or that the public interest required, the reopening of the proceeding, PPL’s objection was sustained, and </w:t>
      </w:r>
      <w:r w:rsidR="003A4C66">
        <w:rPr>
          <w:sz w:val="26"/>
          <w:szCs w:val="26"/>
        </w:rPr>
        <w:t xml:space="preserve">the </w:t>
      </w:r>
      <w:r w:rsidRPr="00D564C7">
        <w:rPr>
          <w:sz w:val="26"/>
          <w:szCs w:val="26"/>
        </w:rPr>
        <w:t>Complainant’s petition to reopen the record was denied.</w:t>
      </w:r>
    </w:p>
    <w:p w14:paraId="1932C647" w14:textId="77777777" w:rsidR="00C769B7" w:rsidRPr="00D564C7" w:rsidRDefault="00C769B7" w:rsidP="00D564C7">
      <w:pPr>
        <w:spacing w:after="0" w:line="360" w:lineRule="auto"/>
        <w:ind w:firstLine="1440"/>
        <w:rPr>
          <w:sz w:val="26"/>
          <w:szCs w:val="26"/>
        </w:rPr>
      </w:pPr>
    </w:p>
    <w:p w14:paraId="0CD4AC33" w14:textId="2106916B" w:rsidR="00906ECD" w:rsidRPr="00D564C7" w:rsidRDefault="003722A8" w:rsidP="00D564C7">
      <w:pPr>
        <w:pStyle w:val="Default"/>
        <w:spacing w:line="360" w:lineRule="auto"/>
        <w:ind w:firstLine="1440"/>
        <w:rPr>
          <w:color w:val="000000" w:themeColor="text1"/>
          <w:sz w:val="26"/>
          <w:szCs w:val="26"/>
        </w:rPr>
      </w:pPr>
      <w:r w:rsidRPr="00D564C7">
        <w:rPr>
          <w:color w:val="000000" w:themeColor="text1"/>
          <w:sz w:val="26"/>
          <w:szCs w:val="26"/>
        </w:rPr>
        <w:t xml:space="preserve">On September </w:t>
      </w:r>
      <w:r w:rsidR="00C512F6">
        <w:rPr>
          <w:color w:val="000000" w:themeColor="text1"/>
          <w:sz w:val="26"/>
          <w:szCs w:val="26"/>
        </w:rPr>
        <w:t>30</w:t>
      </w:r>
      <w:r w:rsidRPr="00D564C7">
        <w:rPr>
          <w:color w:val="000000" w:themeColor="text1"/>
          <w:sz w:val="26"/>
          <w:szCs w:val="26"/>
        </w:rPr>
        <w:t xml:space="preserve">, 2020, </w:t>
      </w:r>
      <w:r w:rsidR="00002C98" w:rsidRPr="00D564C7">
        <w:rPr>
          <w:color w:val="000000" w:themeColor="text1"/>
          <w:sz w:val="26"/>
          <w:szCs w:val="26"/>
        </w:rPr>
        <w:t xml:space="preserve">the Commission issued the Initial Decision of </w:t>
      </w:r>
      <w:r w:rsidRPr="00D564C7">
        <w:rPr>
          <w:color w:val="000000" w:themeColor="text1"/>
          <w:sz w:val="26"/>
          <w:szCs w:val="26"/>
        </w:rPr>
        <w:t>ALJ</w:t>
      </w:r>
      <w:r w:rsidR="00002C98" w:rsidRPr="00D564C7">
        <w:rPr>
          <w:color w:val="000000" w:themeColor="text1"/>
          <w:sz w:val="26"/>
          <w:szCs w:val="26"/>
        </w:rPr>
        <w:t> </w:t>
      </w:r>
      <w:r w:rsidRPr="00D564C7">
        <w:rPr>
          <w:color w:val="000000" w:themeColor="text1"/>
          <w:sz w:val="26"/>
          <w:szCs w:val="26"/>
        </w:rPr>
        <w:t xml:space="preserve">Buckley </w:t>
      </w:r>
      <w:r w:rsidR="00002C98" w:rsidRPr="00D564C7">
        <w:rPr>
          <w:color w:val="000000" w:themeColor="text1"/>
          <w:sz w:val="26"/>
          <w:szCs w:val="26"/>
        </w:rPr>
        <w:t>which dismissed the Complaint, with prejudice, for failure of the Complainant to prosecute</w:t>
      </w:r>
      <w:r w:rsidR="00906ECD" w:rsidRPr="00D564C7">
        <w:rPr>
          <w:color w:val="000000" w:themeColor="text1"/>
          <w:sz w:val="26"/>
          <w:szCs w:val="26"/>
        </w:rPr>
        <w:t xml:space="preserve">. </w:t>
      </w:r>
    </w:p>
    <w:p w14:paraId="52961B34" w14:textId="55DECEC2" w:rsidR="003722A8" w:rsidRPr="00D564C7" w:rsidRDefault="003722A8" w:rsidP="00D564C7">
      <w:pPr>
        <w:spacing w:after="0" w:line="360" w:lineRule="auto"/>
        <w:ind w:firstLine="1440"/>
        <w:rPr>
          <w:color w:val="000000" w:themeColor="text1"/>
          <w:sz w:val="26"/>
          <w:szCs w:val="26"/>
        </w:rPr>
      </w:pPr>
    </w:p>
    <w:p w14:paraId="50D75C47" w14:textId="3C051718" w:rsidR="003722A8" w:rsidRPr="00D564C7" w:rsidRDefault="003722A8" w:rsidP="00D564C7">
      <w:pPr>
        <w:keepNext/>
        <w:spacing w:after="0" w:line="360" w:lineRule="auto"/>
        <w:ind w:left="14" w:hanging="14"/>
        <w:jc w:val="center"/>
        <w:rPr>
          <w:b/>
          <w:bCs/>
          <w:color w:val="000000" w:themeColor="text1"/>
          <w:sz w:val="26"/>
          <w:szCs w:val="26"/>
        </w:rPr>
      </w:pPr>
      <w:r w:rsidRPr="00D564C7">
        <w:rPr>
          <w:b/>
          <w:bCs/>
          <w:color w:val="000000" w:themeColor="text1"/>
          <w:sz w:val="26"/>
          <w:szCs w:val="26"/>
        </w:rPr>
        <w:lastRenderedPageBreak/>
        <w:t>Discussion</w:t>
      </w:r>
    </w:p>
    <w:p w14:paraId="45B63A88" w14:textId="7AF04347" w:rsidR="00002C98" w:rsidRPr="00D564C7" w:rsidRDefault="00002C98" w:rsidP="00D564C7">
      <w:pPr>
        <w:keepNext/>
        <w:spacing w:after="0" w:line="360" w:lineRule="auto"/>
        <w:rPr>
          <w:sz w:val="26"/>
          <w:szCs w:val="26"/>
        </w:rPr>
      </w:pPr>
    </w:p>
    <w:p w14:paraId="5B6A5D07" w14:textId="3F3241C1" w:rsidR="00002C98" w:rsidRPr="00D564C7" w:rsidRDefault="00002C98" w:rsidP="00D564C7">
      <w:pPr>
        <w:keepNext/>
        <w:spacing w:after="0" w:line="360" w:lineRule="auto"/>
        <w:ind w:left="14" w:firstLine="1440"/>
        <w:rPr>
          <w:rFonts w:eastAsia="Calibri"/>
          <w:color w:val="000000" w:themeColor="text1"/>
          <w:sz w:val="26"/>
          <w:szCs w:val="26"/>
        </w:rPr>
      </w:pPr>
      <w:r w:rsidRPr="00D564C7">
        <w:rPr>
          <w:rFonts w:eastAsia="Calibri"/>
          <w:color w:val="000000" w:themeColor="text1"/>
          <w:sz w:val="26"/>
          <w:szCs w:val="26"/>
        </w:rPr>
        <w:t xml:space="preserve">As an administrative agency of the Commonwealth, the Commission is required to provide due process to the parties appearing before it.  </w:t>
      </w:r>
      <w:r w:rsidRPr="00D564C7">
        <w:rPr>
          <w:rFonts w:eastAsia="Calibri"/>
          <w:i/>
          <w:color w:val="000000" w:themeColor="text1"/>
          <w:sz w:val="26"/>
          <w:szCs w:val="26"/>
        </w:rPr>
        <w:t>Schneider v. Pa. PUC</w:t>
      </w:r>
      <w:r w:rsidRPr="00D564C7">
        <w:rPr>
          <w:rFonts w:eastAsia="Calibri"/>
          <w:color w:val="000000" w:themeColor="text1"/>
          <w:sz w:val="26"/>
          <w:szCs w:val="26"/>
        </w:rPr>
        <w:t>, 479 A.2d 10, 15 (Pa. Cmwlth. 1984) (</w:t>
      </w:r>
      <w:r w:rsidRPr="00D564C7">
        <w:rPr>
          <w:rFonts w:eastAsia="Calibri"/>
          <w:i/>
          <w:color w:val="000000" w:themeColor="text1"/>
          <w:sz w:val="26"/>
          <w:szCs w:val="26"/>
        </w:rPr>
        <w:t>Schneider</w:t>
      </w:r>
      <w:r w:rsidRPr="00D564C7">
        <w:rPr>
          <w:rFonts w:eastAsia="Calibri"/>
          <w:color w:val="000000" w:themeColor="text1"/>
          <w:sz w:val="26"/>
          <w:szCs w:val="26"/>
        </w:rPr>
        <w:t xml:space="preserve">).  Due process is satisfied when the parties are afforded notice and the opportunity to appear and be heard.  </w:t>
      </w:r>
      <w:r w:rsidRPr="00D564C7">
        <w:rPr>
          <w:rFonts w:eastAsia="Calibri"/>
          <w:i/>
          <w:color w:val="000000" w:themeColor="text1"/>
          <w:sz w:val="26"/>
          <w:szCs w:val="26"/>
        </w:rPr>
        <w:t>Schneider</w:t>
      </w:r>
      <w:r w:rsidRPr="00D564C7">
        <w:rPr>
          <w:rFonts w:eastAsia="Calibri"/>
          <w:color w:val="000000" w:themeColor="text1"/>
          <w:sz w:val="26"/>
          <w:szCs w:val="26"/>
        </w:rPr>
        <w:t xml:space="preserve">, 479 A.2d at 15 (Pa. Cmwlth. 1984).  The fundamental requirement of due process is the opportunity to be heard at a meaningful time and in a meaningful manner.  </w:t>
      </w:r>
      <w:r w:rsidRPr="00D564C7">
        <w:rPr>
          <w:rFonts w:eastAsia="Calibri"/>
          <w:i/>
          <w:color w:val="000000" w:themeColor="text1"/>
          <w:sz w:val="26"/>
          <w:szCs w:val="26"/>
        </w:rPr>
        <w:t xml:space="preserve">Montefiore Hospital </w:t>
      </w:r>
      <w:proofErr w:type="spellStart"/>
      <w:r w:rsidRPr="00D564C7">
        <w:rPr>
          <w:rFonts w:eastAsia="Calibri"/>
          <w:i/>
          <w:color w:val="000000" w:themeColor="text1"/>
          <w:sz w:val="26"/>
          <w:szCs w:val="26"/>
        </w:rPr>
        <w:t>Ass’n</w:t>
      </w:r>
      <w:proofErr w:type="spellEnd"/>
      <w:r w:rsidRPr="00D564C7">
        <w:rPr>
          <w:rFonts w:eastAsia="Calibri"/>
          <w:i/>
          <w:color w:val="000000" w:themeColor="text1"/>
          <w:sz w:val="26"/>
          <w:szCs w:val="26"/>
        </w:rPr>
        <w:t xml:space="preserve"> of Western Pennsylvania v. Pa. PUC</w:t>
      </w:r>
      <w:r w:rsidRPr="00D564C7">
        <w:rPr>
          <w:rFonts w:eastAsia="Calibri"/>
          <w:color w:val="000000" w:themeColor="text1"/>
          <w:sz w:val="26"/>
          <w:szCs w:val="26"/>
        </w:rPr>
        <w:t>, 421 A.2d 481, 484 (Pa.</w:t>
      </w:r>
      <w:r w:rsidR="00EF5772" w:rsidRPr="00D564C7">
        <w:rPr>
          <w:rFonts w:eastAsia="Calibri"/>
          <w:color w:val="000000" w:themeColor="text1"/>
          <w:sz w:val="26"/>
          <w:szCs w:val="26"/>
        </w:rPr>
        <w:t> </w:t>
      </w:r>
      <w:r w:rsidRPr="00D564C7">
        <w:rPr>
          <w:rFonts w:eastAsia="Calibri"/>
          <w:color w:val="000000" w:themeColor="text1"/>
          <w:sz w:val="26"/>
          <w:szCs w:val="26"/>
        </w:rPr>
        <w:t>Cmwlth.</w:t>
      </w:r>
      <w:r w:rsidR="00EF5772" w:rsidRPr="00D564C7">
        <w:rPr>
          <w:rFonts w:eastAsia="Calibri"/>
          <w:color w:val="000000" w:themeColor="text1"/>
          <w:sz w:val="26"/>
          <w:szCs w:val="26"/>
        </w:rPr>
        <w:t> </w:t>
      </w:r>
      <w:r w:rsidRPr="00D564C7">
        <w:rPr>
          <w:rFonts w:eastAsia="Calibri"/>
          <w:color w:val="000000" w:themeColor="text1"/>
          <w:sz w:val="26"/>
          <w:szCs w:val="26"/>
        </w:rPr>
        <w:t>1980).</w:t>
      </w:r>
    </w:p>
    <w:p w14:paraId="1A7FB8AD" w14:textId="77777777" w:rsidR="00002C98" w:rsidRPr="00D564C7" w:rsidRDefault="00002C98" w:rsidP="00D564C7">
      <w:pPr>
        <w:spacing w:after="0" w:line="360" w:lineRule="auto"/>
        <w:ind w:left="14" w:firstLine="1440"/>
        <w:rPr>
          <w:rFonts w:eastAsia="Calibri"/>
          <w:color w:val="000000" w:themeColor="text1"/>
          <w:sz w:val="26"/>
          <w:szCs w:val="26"/>
        </w:rPr>
      </w:pPr>
    </w:p>
    <w:p w14:paraId="30DC843D" w14:textId="3634AA8F" w:rsidR="00002C98" w:rsidRPr="00D564C7" w:rsidRDefault="00002C98" w:rsidP="00D564C7">
      <w:pPr>
        <w:spacing w:after="0" w:line="360" w:lineRule="auto"/>
        <w:ind w:left="14" w:firstLine="1440"/>
        <w:rPr>
          <w:rFonts w:eastAsia="Calibri"/>
          <w:color w:val="000000" w:themeColor="text1"/>
          <w:sz w:val="26"/>
          <w:szCs w:val="26"/>
        </w:rPr>
      </w:pPr>
      <w:r w:rsidRPr="00D564C7">
        <w:rPr>
          <w:rFonts w:eastAsia="Calibri"/>
          <w:color w:val="000000" w:themeColor="text1"/>
          <w:sz w:val="26"/>
          <w:szCs w:val="26"/>
        </w:rPr>
        <w:t xml:space="preserve">The Commission is required to fix the time and place of a hearing in a complaint proceeding and to serve notice thereof upon the parties in interest.  </w:t>
      </w:r>
      <w:r w:rsidRPr="00D564C7">
        <w:rPr>
          <w:rFonts w:eastAsia="Calibri"/>
          <w:i/>
          <w:color w:val="000000" w:themeColor="text1"/>
          <w:sz w:val="26"/>
          <w:szCs w:val="26"/>
        </w:rPr>
        <w:t>See</w:t>
      </w:r>
      <w:r w:rsidRPr="00D564C7">
        <w:rPr>
          <w:rFonts w:eastAsia="Calibri"/>
          <w:color w:val="000000" w:themeColor="text1"/>
          <w:sz w:val="26"/>
          <w:szCs w:val="26"/>
        </w:rPr>
        <w:t xml:space="preserve"> 66</w:t>
      </w:r>
      <w:r w:rsidR="00EF5772" w:rsidRPr="00D564C7">
        <w:rPr>
          <w:rFonts w:eastAsia="Calibri"/>
          <w:color w:val="000000" w:themeColor="text1"/>
          <w:sz w:val="26"/>
          <w:szCs w:val="26"/>
        </w:rPr>
        <w:t> </w:t>
      </w:r>
      <w:r w:rsidRPr="00D564C7">
        <w:rPr>
          <w:rFonts w:eastAsia="Calibri"/>
          <w:color w:val="000000" w:themeColor="text1"/>
          <w:sz w:val="26"/>
          <w:szCs w:val="26"/>
        </w:rPr>
        <w:t>Pa.</w:t>
      </w:r>
      <w:r w:rsidR="00EF5772" w:rsidRPr="00D564C7">
        <w:rPr>
          <w:rFonts w:eastAsia="Calibri"/>
          <w:color w:val="000000" w:themeColor="text1"/>
          <w:sz w:val="26"/>
          <w:szCs w:val="26"/>
        </w:rPr>
        <w:t> </w:t>
      </w:r>
      <w:r w:rsidRPr="00D564C7">
        <w:rPr>
          <w:rFonts w:eastAsia="Calibri"/>
          <w:color w:val="000000" w:themeColor="text1"/>
          <w:sz w:val="26"/>
          <w:szCs w:val="26"/>
        </w:rPr>
        <w:t>C.S. § 703(a)-(b).  Service on interested persons is sufficient to provide notice.  52</w:t>
      </w:r>
      <w:r w:rsidR="00EF5772" w:rsidRPr="00D564C7">
        <w:rPr>
          <w:rFonts w:eastAsia="Calibri"/>
          <w:color w:val="000000" w:themeColor="text1"/>
          <w:sz w:val="26"/>
          <w:szCs w:val="26"/>
        </w:rPr>
        <w:t> </w:t>
      </w:r>
      <w:r w:rsidRPr="00D564C7">
        <w:rPr>
          <w:rFonts w:eastAsia="Calibri"/>
          <w:color w:val="000000" w:themeColor="text1"/>
          <w:sz w:val="26"/>
          <w:szCs w:val="26"/>
        </w:rPr>
        <w:t xml:space="preserve">Pa. Code § 5.201(a).  Notice mailed to a party’s last known address and not returned by the post office is presumed to have been received.  </w:t>
      </w:r>
      <w:r w:rsidRPr="00D564C7">
        <w:rPr>
          <w:rFonts w:eastAsia="Calibri"/>
          <w:i/>
          <w:color w:val="000000" w:themeColor="text1"/>
          <w:sz w:val="26"/>
          <w:szCs w:val="26"/>
        </w:rPr>
        <w:t>See Berkowitz v. Mayflower Securities, Inc</w:t>
      </w:r>
      <w:r w:rsidRPr="00D564C7">
        <w:rPr>
          <w:rFonts w:eastAsia="Calibri"/>
          <w:color w:val="000000" w:themeColor="text1"/>
          <w:sz w:val="26"/>
          <w:szCs w:val="26"/>
        </w:rPr>
        <w:t xml:space="preserve">., 455 Pa. 531, 317 A.2d 584 (Pa. 1974); </w:t>
      </w:r>
      <w:proofErr w:type="spellStart"/>
      <w:r w:rsidRPr="00D564C7">
        <w:rPr>
          <w:rFonts w:eastAsia="Calibri"/>
          <w:i/>
          <w:color w:val="000000" w:themeColor="text1"/>
          <w:sz w:val="26"/>
          <w:szCs w:val="26"/>
        </w:rPr>
        <w:t>Chartiers</w:t>
      </w:r>
      <w:proofErr w:type="spellEnd"/>
      <w:r w:rsidRPr="00D564C7">
        <w:rPr>
          <w:rFonts w:eastAsia="Calibri"/>
          <w:i/>
          <w:color w:val="000000" w:themeColor="text1"/>
          <w:sz w:val="26"/>
          <w:szCs w:val="26"/>
        </w:rPr>
        <w:t xml:space="preserve"> Industrial and Commercial Development Authority v. Allegheny County Board of Property Assessment Appeals and Review</w:t>
      </w:r>
      <w:r w:rsidRPr="00D564C7">
        <w:rPr>
          <w:rFonts w:eastAsia="Calibri"/>
          <w:color w:val="000000" w:themeColor="text1"/>
          <w:sz w:val="26"/>
          <w:szCs w:val="26"/>
        </w:rPr>
        <w:t xml:space="preserve">, 645 A.2d 944, 946 (Pa. Cmwlth. 1994), </w:t>
      </w:r>
      <w:r w:rsidRPr="00D564C7">
        <w:rPr>
          <w:rFonts w:eastAsia="Calibri"/>
          <w:i/>
          <w:iCs/>
          <w:color w:val="000000" w:themeColor="text1"/>
          <w:sz w:val="26"/>
          <w:szCs w:val="26"/>
        </w:rPr>
        <w:t>appeal denied</w:t>
      </w:r>
      <w:r w:rsidRPr="00D564C7">
        <w:rPr>
          <w:rFonts w:eastAsia="Calibri"/>
          <w:color w:val="000000" w:themeColor="text1"/>
          <w:sz w:val="26"/>
          <w:szCs w:val="26"/>
        </w:rPr>
        <w:t xml:space="preserve">, 539 Pa. 696, 653 A.2d 1234 (1994); </w:t>
      </w:r>
      <w:r w:rsidRPr="00D564C7">
        <w:rPr>
          <w:rFonts w:eastAsia="Calibri"/>
          <w:i/>
          <w:color w:val="000000" w:themeColor="text1"/>
          <w:sz w:val="26"/>
          <w:szCs w:val="26"/>
        </w:rPr>
        <w:t>Geary v. Verizon Pennsylvania Inc</w:t>
      </w:r>
      <w:r w:rsidRPr="00D564C7">
        <w:rPr>
          <w:rFonts w:eastAsia="Calibri"/>
          <w:color w:val="000000" w:themeColor="text1"/>
          <w:sz w:val="26"/>
          <w:szCs w:val="26"/>
        </w:rPr>
        <w:t>., Docket No. C-2009-2118625 (Order entered September 16, 2010).</w:t>
      </w:r>
    </w:p>
    <w:p w14:paraId="16C9E544" w14:textId="77777777" w:rsidR="00002C98" w:rsidRPr="00D564C7" w:rsidRDefault="00002C98" w:rsidP="00D564C7">
      <w:pPr>
        <w:spacing w:after="0" w:line="360" w:lineRule="auto"/>
        <w:ind w:firstLine="1440"/>
        <w:rPr>
          <w:rFonts w:eastAsia="Calibri"/>
          <w:color w:val="000000" w:themeColor="text1"/>
          <w:sz w:val="26"/>
          <w:szCs w:val="26"/>
        </w:rPr>
      </w:pPr>
    </w:p>
    <w:p w14:paraId="6E51ECC2" w14:textId="427C949A" w:rsidR="00002C98" w:rsidRPr="00D564C7" w:rsidRDefault="00002C98" w:rsidP="00D564C7">
      <w:pPr>
        <w:spacing w:after="0" w:line="360" w:lineRule="auto"/>
        <w:ind w:firstLine="1430"/>
        <w:rPr>
          <w:rFonts w:eastAsia="Calibri"/>
          <w:color w:val="000000" w:themeColor="text1"/>
          <w:sz w:val="26"/>
          <w:szCs w:val="26"/>
        </w:rPr>
      </w:pPr>
      <w:r w:rsidRPr="00D564C7">
        <w:rPr>
          <w:rFonts w:eastAsia="Calibri"/>
          <w:color w:val="000000" w:themeColor="text1"/>
          <w:sz w:val="26"/>
          <w:szCs w:val="26"/>
        </w:rPr>
        <w:t xml:space="preserve">Once a hearing is scheduled and duly notified by the Commission, it is the responsibility of the parties to appear and participate in the hearing.  </w:t>
      </w:r>
      <w:r w:rsidRPr="00D564C7">
        <w:rPr>
          <w:rFonts w:eastAsia="Calibri"/>
          <w:i/>
          <w:color w:val="000000" w:themeColor="text1"/>
          <w:sz w:val="26"/>
          <w:szCs w:val="26"/>
        </w:rPr>
        <w:t>Mumma v. PPL Electric Utilities Corporation</w:t>
      </w:r>
      <w:r w:rsidRPr="00D564C7">
        <w:rPr>
          <w:rFonts w:eastAsia="Calibri"/>
          <w:color w:val="000000" w:themeColor="text1"/>
          <w:sz w:val="26"/>
          <w:szCs w:val="26"/>
        </w:rPr>
        <w:t>, Docket No. C-00014869 (Order entered January</w:t>
      </w:r>
      <w:r w:rsidR="00D564C7">
        <w:rPr>
          <w:rFonts w:eastAsia="Calibri"/>
          <w:color w:val="000000" w:themeColor="text1"/>
          <w:sz w:val="26"/>
          <w:szCs w:val="26"/>
        </w:rPr>
        <w:t> </w:t>
      </w:r>
      <w:r w:rsidRPr="00D564C7">
        <w:rPr>
          <w:rFonts w:eastAsia="Calibri"/>
          <w:color w:val="000000" w:themeColor="text1"/>
          <w:sz w:val="26"/>
          <w:szCs w:val="26"/>
        </w:rPr>
        <w:t>24,</w:t>
      </w:r>
      <w:r w:rsidR="00D564C7">
        <w:rPr>
          <w:rFonts w:eastAsia="Calibri"/>
          <w:color w:val="000000" w:themeColor="text1"/>
          <w:sz w:val="26"/>
          <w:szCs w:val="26"/>
        </w:rPr>
        <w:t> </w:t>
      </w:r>
      <w:r w:rsidRPr="00D564C7">
        <w:rPr>
          <w:rFonts w:eastAsia="Calibri"/>
          <w:color w:val="000000" w:themeColor="text1"/>
          <w:sz w:val="26"/>
          <w:szCs w:val="26"/>
        </w:rPr>
        <w:t xml:space="preserve">2002); </w:t>
      </w:r>
      <w:proofErr w:type="spellStart"/>
      <w:r w:rsidRPr="00D564C7">
        <w:rPr>
          <w:rFonts w:eastAsia="Calibri"/>
          <w:i/>
          <w:color w:val="000000" w:themeColor="text1"/>
          <w:sz w:val="26"/>
          <w:szCs w:val="26"/>
        </w:rPr>
        <w:t>Sentner</w:t>
      </w:r>
      <w:proofErr w:type="spellEnd"/>
      <w:r w:rsidRPr="00D564C7">
        <w:rPr>
          <w:rFonts w:eastAsia="Calibri"/>
          <w:i/>
          <w:color w:val="000000" w:themeColor="text1"/>
          <w:sz w:val="26"/>
          <w:szCs w:val="26"/>
        </w:rPr>
        <w:t xml:space="preserve"> v. Bell Tel. Co. of PA</w:t>
      </w:r>
      <w:r w:rsidRPr="00D564C7">
        <w:rPr>
          <w:rFonts w:eastAsia="Calibri"/>
          <w:color w:val="000000" w:themeColor="text1"/>
          <w:sz w:val="26"/>
          <w:szCs w:val="26"/>
        </w:rPr>
        <w:t>, Docket No. F-00161106 (Order entered October</w:t>
      </w:r>
      <w:r w:rsidR="00EF5772" w:rsidRPr="00D564C7">
        <w:rPr>
          <w:rFonts w:eastAsia="Calibri"/>
          <w:color w:val="000000" w:themeColor="text1"/>
          <w:sz w:val="26"/>
          <w:szCs w:val="26"/>
        </w:rPr>
        <w:t> </w:t>
      </w:r>
      <w:r w:rsidRPr="00D564C7">
        <w:rPr>
          <w:rFonts w:eastAsia="Calibri"/>
          <w:color w:val="000000" w:themeColor="text1"/>
          <w:sz w:val="26"/>
          <w:szCs w:val="26"/>
        </w:rPr>
        <w:t>25, 1993).</w:t>
      </w:r>
    </w:p>
    <w:p w14:paraId="6B2BAD0B" w14:textId="77777777" w:rsidR="00344D97" w:rsidRPr="00D564C7" w:rsidRDefault="00344D97" w:rsidP="00D564C7">
      <w:pPr>
        <w:spacing w:after="0" w:line="360" w:lineRule="auto"/>
        <w:ind w:firstLine="1430"/>
        <w:rPr>
          <w:sz w:val="26"/>
          <w:szCs w:val="26"/>
        </w:rPr>
      </w:pPr>
    </w:p>
    <w:p w14:paraId="22C60FC9" w14:textId="6861D912" w:rsidR="004A076D" w:rsidRPr="00D564C7" w:rsidRDefault="004A076D" w:rsidP="00D564C7">
      <w:pPr>
        <w:spacing w:after="0" w:line="360" w:lineRule="auto"/>
        <w:ind w:firstLine="1440"/>
        <w:rPr>
          <w:sz w:val="26"/>
          <w:szCs w:val="26"/>
        </w:rPr>
      </w:pPr>
      <w:r w:rsidRPr="00D564C7">
        <w:rPr>
          <w:sz w:val="26"/>
          <w:szCs w:val="26"/>
        </w:rPr>
        <w:lastRenderedPageBreak/>
        <w:t xml:space="preserve">In rendering decisions under the Code, it is in the public interest that all litigants, particularly </w:t>
      </w:r>
      <w:r w:rsidRPr="00D564C7">
        <w:rPr>
          <w:i/>
          <w:sz w:val="26"/>
          <w:szCs w:val="26"/>
        </w:rPr>
        <w:t>pro se</w:t>
      </w:r>
      <w:r w:rsidRPr="00D564C7">
        <w:rPr>
          <w:sz w:val="26"/>
          <w:szCs w:val="26"/>
        </w:rPr>
        <w:t xml:space="preserve"> litigants, be afforded a meaningful opportunity to be heard. </w:t>
      </w:r>
      <w:r w:rsidR="00504AE8" w:rsidRPr="00D564C7">
        <w:rPr>
          <w:sz w:val="26"/>
          <w:szCs w:val="26"/>
        </w:rPr>
        <w:t xml:space="preserve"> </w:t>
      </w:r>
      <w:r w:rsidRPr="00D564C7">
        <w:rPr>
          <w:i/>
          <w:sz w:val="26"/>
          <w:szCs w:val="26"/>
        </w:rPr>
        <w:t>Amir v. PECO Energy Company</w:t>
      </w:r>
      <w:r w:rsidRPr="00D564C7">
        <w:rPr>
          <w:sz w:val="26"/>
          <w:szCs w:val="26"/>
        </w:rPr>
        <w:t>, Docket No. C-2010-2190024 (Order entered January</w:t>
      </w:r>
      <w:r w:rsidR="003D6E45">
        <w:rPr>
          <w:sz w:val="26"/>
          <w:szCs w:val="26"/>
        </w:rPr>
        <w:t> </w:t>
      </w:r>
      <w:r w:rsidRPr="00D564C7">
        <w:rPr>
          <w:sz w:val="26"/>
          <w:szCs w:val="26"/>
        </w:rPr>
        <w:t>13, 2011)</w:t>
      </w:r>
      <w:r w:rsidR="00324685">
        <w:rPr>
          <w:sz w:val="26"/>
          <w:szCs w:val="26"/>
        </w:rPr>
        <w:t xml:space="preserve"> </w:t>
      </w:r>
      <w:r w:rsidR="00324685" w:rsidRPr="00B70B0D">
        <w:rPr>
          <w:i/>
          <w:iCs/>
          <w:sz w:val="26"/>
          <w:szCs w:val="26"/>
        </w:rPr>
        <w:t>(Amir</w:t>
      </w:r>
      <w:r w:rsidR="00497E8A" w:rsidRPr="00B70B0D">
        <w:rPr>
          <w:i/>
          <w:iCs/>
          <w:sz w:val="26"/>
          <w:szCs w:val="26"/>
        </w:rPr>
        <w:t xml:space="preserve"> v PECO)</w:t>
      </w:r>
      <w:r w:rsidRPr="00B70B0D">
        <w:rPr>
          <w:i/>
          <w:iCs/>
          <w:sz w:val="26"/>
          <w:szCs w:val="26"/>
        </w:rPr>
        <w:t>.</w:t>
      </w:r>
    </w:p>
    <w:p w14:paraId="30F77930" w14:textId="70CCB410" w:rsidR="004A076D" w:rsidRPr="00D564C7" w:rsidRDefault="004A076D" w:rsidP="00D564C7">
      <w:pPr>
        <w:spacing w:after="0" w:line="360" w:lineRule="auto"/>
        <w:ind w:firstLine="1440"/>
        <w:rPr>
          <w:sz w:val="26"/>
          <w:szCs w:val="26"/>
        </w:rPr>
      </w:pPr>
    </w:p>
    <w:p w14:paraId="50EFF3CA" w14:textId="32E2FC40" w:rsidR="004A076D" w:rsidRPr="00D564C7" w:rsidRDefault="004A076D" w:rsidP="00D564C7">
      <w:pPr>
        <w:tabs>
          <w:tab w:val="left" w:pos="720"/>
        </w:tabs>
        <w:overflowPunct w:val="0"/>
        <w:autoSpaceDE w:val="0"/>
        <w:autoSpaceDN w:val="0"/>
        <w:adjustRightInd w:val="0"/>
        <w:spacing w:after="0" w:line="360" w:lineRule="auto"/>
        <w:ind w:firstLine="1430"/>
        <w:textAlignment w:val="baseline"/>
        <w:rPr>
          <w:sz w:val="26"/>
          <w:szCs w:val="26"/>
        </w:rPr>
      </w:pPr>
      <w:r w:rsidRPr="00D564C7">
        <w:rPr>
          <w:sz w:val="26"/>
          <w:szCs w:val="26"/>
        </w:rPr>
        <w:t xml:space="preserve">At the outset it should be noted that the Complainant in this matter is acting </w:t>
      </w:r>
      <w:r w:rsidRPr="00D564C7">
        <w:rPr>
          <w:i/>
          <w:sz w:val="26"/>
          <w:szCs w:val="26"/>
        </w:rPr>
        <w:t>pro se</w:t>
      </w:r>
      <w:r w:rsidRPr="00D564C7">
        <w:rPr>
          <w:sz w:val="26"/>
          <w:szCs w:val="26"/>
        </w:rPr>
        <w:t xml:space="preserve">, and therefore, the ALJ’s decision to dismiss the complaint </w:t>
      </w:r>
      <w:r w:rsidRPr="00D564C7">
        <w:rPr>
          <w:sz w:val="26"/>
          <w:szCs w:val="26"/>
          <w:u w:val="single"/>
        </w:rPr>
        <w:t>with prejudice</w:t>
      </w:r>
      <w:r w:rsidRPr="00D564C7">
        <w:rPr>
          <w:sz w:val="26"/>
          <w:szCs w:val="26"/>
        </w:rPr>
        <w:t xml:space="preserve">, which operates as a future bar to any claim raised in the Complaint, was rendered in the context of an individual acting without the benefit of legal counsel.  Given that the Complainant is acting </w:t>
      </w:r>
      <w:r w:rsidRPr="00D564C7">
        <w:rPr>
          <w:i/>
          <w:sz w:val="26"/>
          <w:szCs w:val="26"/>
        </w:rPr>
        <w:t>pro se</w:t>
      </w:r>
      <w:r w:rsidRPr="00D564C7">
        <w:rPr>
          <w:sz w:val="26"/>
          <w:szCs w:val="26"/>
        </w:rPr>
        <w:t xml:space="preserve">, it is in the public interest that we allow the Complainant a full and fair opportunity to be heard. </w:t>
      </w:r>
      <w:r w:rsidR="00344D97" w:rsidRPr="00D564C7">
        <w:rPr>
          <w:sz w:val="26"/>
          <w:szCs w:val="26"/>
        </w:rPr>
        <w:t xml:space="preserve"> </w:t>
      </w:r>
      <w:r w:rsidRPr="00B70B0D">
        <w:rPr>
          <w:i/>
          <w:iCs/>
          <w:sz w:val="26"/>
          <w:szCs w:val="26"/>
        </w:rPr>
        <w:t>See</w:t>
      </w:r>
      <w:r w:rsidRPr="00D564C7">
        <w:rPr>
          <w:sz w:val="26"/>
          <w:szCs w:val="26"/>
        </w:rPr>
        <w:t xml:space="preserve"> </w:t>
      </w:r>
      <w:r w:rsidRPr="00D564C7">
        <w:rPr>
          <w:i/>
          <w:sz w:val="26"/>
          <w:szCs w:val="26"/>
        </w:rPr>
        <w:t xml:space="preserve">Amir v. PECO </w:t>
      </w:r>
      <w:r w:rsidRPr="00D564C7">
        <w:rPr>
          <w:sz w:val="26"/>
          <w:szCs w:val="26"/>
        </w:rPr>
        <w:t>.</w:t>
      </w:r>
    </w:p>
    <w:p w14:paraId="37AB6FD8" w14:textId="46EE92A7" w:rsidR="00F37C85" w:rsidRDefault="00F37C85" w:rsidP="00F37C85">
      <w:pPr>
        <w:spacing w:after="0" w:line="360" w:lineRule="auto"/>
        <w:rPr>
          <w:sz w:val="26"/>
          <w:szCs w:val="26"/>
        </w:rPr>
      </w:pPr>
    </w:p>
    <w:p w14:paraId="2C588DF9" w14:textId="77777777" w:rsidR="00F37C85" w:rsidRPr="00F37C85" w:rsidRDefault="00F37C85" w:rsidP="00F37C85">
      <w:pPr>
        <w:keepNext/>
        <w:keepLines/>
        <w:spacing w:after="0" w:line="360" w:lineRule="auto"/>
        <w:ind w:left="0" w:firstLine="0"/>
        <w:rPr>
          <w:color w:val="auto"/>
          <w:sz w:val="26"/>
          <w:szCs w:val="26"/>
        </w:rPr>
      </w:pPr>
      <w:r w:rsidRPr="00F37C85">
        <w:rPr>
          <w:b/>
          <w:color w:val="auto"/>
          <w:sz w:val="26"/>
          <w:szCs w:val="26"/>
        </w:rPr>
        <w:t>ALJ’s Initial Decision</w:t>
      </w:r>
    </w:p>
    <w:p w14:paraId="497CDAB2" w14:textId="77777777" w:rsidR="00F37C85" w:rsidRPr="00D564C7" w:rsidRDefault="00F37C85" w:rsidP="00B70B0D">
      <w:pPr>
        <w:spacing w:after="0" w:line="360" w:lineRule="auto"/>
        <w:rPr>
          <w:sz w:val="26"/>
          <w:szCs w:val="26"/>
        </w:rPr>
      </w:pPr>
    </w:p>
    <w:p w14:paraId="0CCC0EEB" w14:textId="22A2014C" w:rsidR="00B22BC3" w:rsidRDefault="00B22BC3" w:rsidP="00D564C7">
      <w:pPr>
        <w:spacing w:after="0" w:line="360" w:lineRule="auto"/>
        <w:ind w:left="14" w:firstLine="1440"/>
        <w:rPr>
          <w:color w:val="000000" w:themeColor="text1"/>
          <w:sz w:val="26"/>
          <w:szCs w:val="26"/>
        </w:rPr>
      </w:pPr>
      <w:r w:rsidRPr="00D564C7">
        <w:rPr>
          <w:color w:val="000000" w:themeColor="text1"/>
          <w:sz w:val="26"/>
          <w:szCs w:val="26"/>
        </w:rPr>
        <w:t>ALJ Buckley made twelve Findings of Fact and reached seven Conclusions of Law.  I.D. at 3-4, 7-8.  We shall adopt and incorporate herein by reference the ALJ’s Findings of Fact and Conclusions of Law except as reversed or modified by this Opinion and Order, either expressly or by necessary implication.</w:t>
      </w:r>
    </w:p>
    <w:p w14:paraId="3C1888D7" w14:textId="14467DD8" w:rsidR="00F37C85" w:rsidRDefault="00F37C85" w:rsidP="00D564C7">
      <w:pPr>
        <w:spacing w:after="0" w:line="360" w:lineRule="auto"/>
        <w:ind w:left="14" w:firstLine="1440"/>
        <w:rPr>
          <w:color w:val="000000" w:themeColor="text1"/>
          <w:sz w:val="26"/>
          <w:szCs w:val="26"/>
        </w:rPr>
      </w:pPr>
    </w:p>
    <w:p w14:paraId="70D5BC5E" w14:textId="7D357C3F" w:rsidR="00343486" w:rsidRPr="00343486" w:rsidRDefault="00CF3F9E" w:rsidP="00343486">
      <w:pPr>
        <w:spacing w:after="0" w:line="360" w:lineRule="auto"/>
        <w:ind w:left="14" w:firstLine="1440"/>
        <w:rPr>
          <w:color w:val="000000" w:themeColor="text1"/>
          <w:sz w:val="26"/>
          <w:szCs w:val="26"/>
        </w:rPr>
      </w:pPr>
      <w:r>
        <w:rPr>
          <w:color w:val="000000" w:themeColor="text1"/>
          <w:sz w:val="26"/>
          <w:szCs w:val="26"/>
        </w:rPr>
        <w:t>The ALJ noted that t</w:t>
      </w:r>
      <w:r w:rsidR="00343486" w:rsidRPr="00343486">
        <w:rPr>
          <w:color w:val="000000" w:themeColor="text1"/>
          <w:sz w:val="26"/>
          <w:szCs w:val="26"/>
        </w:rPr>
        <w:t xml:space="preserve">he May 7, 2020 </w:t>
      </w:r>
      <w:r w:rsidR="00AF4EF3">
        <w:rPr>
          <w:color w:val="000000" w:themeColor="text1"/>
          <w:sz w:val="26"/>
          <w:szCs w:val="26"/>
        </w:rPr>
        <w:t>H</w:t>
      </w:r>
      <w:r w:rsidR="00343486" w:rsidRPr="00343486">
        <w:rPr>
          <w:color w:val="000000" w:themeColor="text1"/>
          <w:sz w:val="26"/>
          <w:szCs w:val="26"/>
        </w:rPr>
        <w:t xml:space="preserve">earing Notice and the </w:t>
      </w:r>
      <w:r w:rsidR="00AD5C12">
        <w:rPr>
          <w:color w:val="000000" w:themeColor="text1"/>
          <w:sz w:val="26"/>
          <w:szCs w:val="26"/>
        </w:rPr>
        <w:t>P</w:t>
      </w:r>
      <w:r w:rsidR="00343486" w:rsidRPr="00343486">
        <w:rPr>
          <w:color w:val="000000" w:themeColor="text1"/>
          <w:sz w:val="26"/>
          <w:szCs w:val="26"/>
        </w:rPr>
        <w:t xml:space="preserve">rehearing Order were sent to </w:t>
      </w:r>
      <w:r>
        <w:rPr>
          <w:color w:val="000000" w:themeColor="text1"/>
          <w:sz w:val="26"/>
          <w:szCs w:val="26"/>
        </w:rPr>
        <w:t xml:space="preserve">the </w:t>
      </w:r>
      <w:r w:rsidR="00343486" w:rsidRPr="00343486">
        <w:rPr>
          <w:color w:val="000000" w:themeColor="text1"/>
          <w:sz w:val="26"/>
          <w:szCs w:val="26"/>
        </w:rPr>
        <w:t xml:space="preserve">Complainant by first-class mail to the address provided by him. </w:t>
      </w:r>
      <w:r w:rsidR="00AF4EF3">
        <w:rPr>
          <w:color w:val="000000" w:themeColor="text1"/>
          <w:sz w:val="26"/>
          <w:szCs w:val="26"/>
        </w:rPr>
        <w:t xml:space="preserve"> </w:t>
      </w:r>
      <w:r w:rsidR="00343486" w:rsidRPr="00343486">
        <w:rPr>
          <w:color w:val="000000" w:themeColor="text1"/>
          <w:sz w:val="26"/>
          <w:szCs w:val="26"/>
        </w:rPr>
        <w:t xml:space="preserve">Neither the </w:t>
      </w:r>
      <w:r w:rsidR="00AF4EF3">
        <w:rPr>
          <w:color w:val="000000" w:themeColor="text1"/>
          <w:sz w:val="26"/>
          <w:szCs w:val="26"/>
        </w:rPr>
        <w:t>P</w:t>
      </w:r>
      <w:r w:rsidR="00343486" w:rsidRPr="00343486">
        <w:rPr>
          <w:color w:val="000000" w:themeColor="text1"/>
          <w:sz w:val="26"/>
          <w:szCs w:val="26"/>
        </w:rPr>
        <w:t xml:space="preserve">rehearing Order nor the </w:t>
      </w:r>
      <w:r w:rsidR="00064FCE">
        <w:rPr>
          <w:color w:val="000000" w:themeColor="text1"/>
          <w:sz w:val="26"/>
          <w:szCs w:val="26"/>
        </w:rPr>
        <w:t>H</w:t>
      </w:r>
      <w:r w:rsidR="00343486" w:rsidRPr="00343486">
        <w:rPr>
          <w:color w:val="000000" w:themeColor="text1"/>
          <w:sz w:val="26"/>
          <w:szCs w:val="26"/>
        </w:rPr>
        <w:t xml:space="preserve">earing Notice was returned to the Commission as undeliverable. </w:t>
      </w:r>
      <w:r>
        <w:rPr>
          <w:color w:val="000000" w:themeColor="text1"/>
          <w:sz w:val="26"/>
          <w:szCs w:val="26"/>
        </w:rPr>
        <w:t xml:space="preserve"> </w:t>
      </w:r>
      <w:r w:rsidR="00343486" w:rsidRPr="00343486">
        <w:rPr>
          <w:color w:val="000000" w:themeColor="text1"/>
          <w:sz w:val="26"/>
          <w:szCs w:val="26"/>
        </w:rPr>
        <w:t>Accordingly, it must be presumed that these documents sent to the Complainant in the ordinary course of business were received by him.</w:t>
      </w:r>
      <w:r w:rsidR="00064FCE">
        <w:rPr>
          <w:color w:val="000000" w:themeColor="text1"/>
          <w:sz w:val="26"/>
          <w:szCs w:val="26"/>
        </w:rPr>
        <w:t xml:space="preserve"> </w:t>
      </w:r>
      <w:r w:rsidR="00343486" w:rsidRPr="00343486">
        <w:rPr>
          <w:color w:val="000000" w:themeColor="text1"/>
          <w:sz w:val="26"/>
          <w:szCs w:val="26"/>
        </w:rPr>
        <w:t xml:space="preserve"> </w:t>
      </w:r>
      <w:r w:rsidR="00343486" w:rsidRPr="00B70B0D">
        <w:rPr>
          <w:i/>
          <w:iCs/>
          <w:color w:val="000000" w:themeColor="text1"/>
          <w:sz w:val="26"/>
          <w:szCs w:val="26"/>
        </w:rPr>
        <w:t>Berkowitz v. Mayflower Securities</w:t>
      </w:r>
      <w:r w:rsidR="00343486" w:rsidRPr="00343486">
        <w:rPr>
          <w:color w:val="000000" w:themeColor="text1"/>
          <w:sz w:val="26"/>
          <w:szCs w:val="26"/>
        </w:rPr>
        <w:t xml:space="preserve">., </w:t>
      </w:r>
      <w:r w:rsidR="00343486" w:rsidRPr="00B70B0D">
        <w:rPr>
          <w:i/>
          <w:iCs/>
          <w:color w:val="000000" w:themeColor="text1"/>
          <w:sz w:val="26"/>
          <w:szCs w:val="26"/>
        </w:rPr>
        <w:t>Inc</w:t>
      </w:r>
      <w:r w:rsidR="00343486" w:rsidRPr="00343486">
        <w:rPr>
          <w:color w:val="000000" w:themeColor="text1"/>
          <w:sz w:val="26"/>
          <w:szCs w:val="26"/>
        </w:rPr>
        <w:t xml:space="preserve">., 455 Pa. 531, 317 A.2d 584 (1974); </w:t>
      </w:r>
      <w:proofErr w:type="spellStart"/>
      <w:r w:rsidR="00343486" w:rsidRPr="00B70B0D">
        <w:rPr>
          <w:i/>
          <w:iCs/>
          <w:color w:val="000000" w:themeColor="text1"/>
          <w:sz w:val="26"/>
          <w:szCs w:val="26"/>
        </w:rPr>
        <w:t>Meierdierck</w:t>
      </w:r>
      <w:proofErr w:type="spellEnd"/>
      <w:r w:rsidR="00343486" w:rsidRPr="00B70B0D">
        <w:rPr>
          <w:i/>
          <w:iCs/>
          <w:color w:val="000000" w:themeColor="text1"/>
          <w:sz w:val="26"/>
          <w:szCs w:val="26"/>
        </w:rPr>
        <w:t xml:space="preserve"> v. Miller</w:t>
      </w:r>
      <w:r w:rsidR="00343486" w:rsidRPr="00343486">
        <w:rPr>
          <w:color w:val="000000" w:themeColor="text1"/>
          <w:sz w:val="26"/>
          <w:szCs w:val="26"/>
        </w:rPr>
        <w:t xml:space="preserve">, 394 Pa. 484, 147 A.2d 406 (1959); </w:t>
      </w:r>
      <w:r w:rsidR="00343486" w:rsidRPr="00B70B0D">
        <w:rPr>
          <w:i/>
          <w:iCs/>
          <w:color w:val="000000" w:themeColor="text1"/>
          <w:sz w:val="26"/>
          <w:szCs w:val="26"/>
        </w:rPr>
        <w:t>Samaras v. Hartwick</w:t>
      </w:r>
      <w:r w:rsidR="00343486" w:rsidRPr="00343486">
        <w:rPr>
          <w:color w:val="000000" w:themeColor="text1"/>
          <w:sz w:val="26"/>
          <w:szCs w:val="26"/>
        </w:rPr>
        <w:t>, 698 A.2d 71 (</w:t>
      </w:r>
      <w:proofErr w:type="spellStart"/>
      <w:r w:rsidR="00343486" w:rsidRPr="00343486">
        <w:rPr>
          <w:color w:val="000000" w:themeColor="text1"/>
          <w:sz w:val="26"/>
          <w:szCs w:val="26"/>
        </w:rPr>
        <w:t>Pa.Super</w:t>
      </w:r>
      <w:proofErr w:type="spellEnd"/>
      <w:r w:rsidR="00343486" w:rsidRPr="00343486">
        <w:rPr>
          <w:color w:val="000000" w:themeColor="text1"/>
          <w:sz w:val="26"/>
          <w:szCs w:val="26"/>
        </w:rPr>
        <w:t xml:space="preserve">. 1997); </w:t>
      </w:r>
      <w:r w:rsidR="00343486" w:rsidRPr="00B70B0D">
        <w:rPr>
          <w:i/>
          <w:iCs/>
          <w:color w:val="000000" w:themeColor="text1"/>
          <w:sz w:val="26"/>
          <w:szCs w:val="26"/>
        </w:rPr>
        <w:t>Judge v. Celina Mutual</w:t>
      </w:r>
      <w:r w:rsidR="00343486" w:rsidRPr="00343486">
        <w:rPr>
          <w:color w:val="000000" w:themeColor="text1"/>
          <w:sz w:val="26"/>
          <w:szCs w:val="26"/>
        </w:rPr>
        <w:t xml:space="preserve"> </w:t>
      </w:r>
      <w:r w:rsidR="00343486" w:rsidRPr="00B70B0D">
        <w:rPr>
          <w:i/>
          <w:iCs/>
          <w:color w:val="000000" w:themeColor="text1"/>
          <w:sz w:val="26"/>
          <w:szCs w:val="26"/>
        </w:rPr>
        <w:t>Insurance Co</w:t>
      </w:r>
      <w:r w:rsidR="00343486" w:rsidRPr="00343486">
        <w:rPr>
          <w:color w:val="000000" w:themeColor="text1"/>
          <w:sz w:val="26"/>
          <w:szCs w:val="26"/>
        </w:rPr>
        <w:t>., 303 Pa.</w:t>
      </w:r>
      <w:r w:rsidR="00FA1435">
        <w:rPr>
          <w:color w:val="000000" w:themeColor="text1"/>
          <w:sz w:val="26"/>
          <w:szCs w:val="26"/>
        </w:rPr>
        <w:t xml:space="preserve"> </w:t>
      </w:r>
      <w:r w:rsidR="00343486" w:rsidRPr="00343486">
        <w:rPr>
          <w:color w:val="000000" w:themeColor="text1"/>
          <w:sz w:val="26"/>
          <w:szCs w:val="26"/>
        </w:rPr>
        <w:t xml:space="preserve">Super. 221, 449 A.2d 658 (1982). </w:t>
      </w:r>
      <w:r w:rsidR="00064FCE">
        <w:rPr>
          <w:color w:val="000000" w:themeColor="text1"/>
          <w:sz w:val="26"/>
          <w:szCs w:val="26"/>
        </w:rPr>
        <w:t xml:space="preserve"> </w:t>
      </w:r>
      <w:r w:rsidR="00343486" w:rsidRPr="00343486">
        <w:rPr>
          <w:color w:val="000000" w:themeColor="text1"/>
          <w:sz w:val="26"/>
          <w:szCs w:val="26"/>
        </w:rPr>
        <w:t xml:space="preserve">As noted above, the </w:t>
      </w:r>
      <w:r w:rsidR="00AF4EF3">
        <w:rPr>
          <w:color w:val="000000" w:themeColor="text1"/>
          <w:sz w:val="26"/>
          <w:szCs w:val="26"/>
        </w:rPr>
        <w:t>P</w:t>
      </w:r>
      <w:r w:rsidR="00343486" w:rsidRPr="00343486">
        <w:rPr>
          <w:color w:val="000000" w:themeColor="text1"/>
          <w:sz w:val="26"/>
          <w:szCs w:val="26"/>
        </w:rPr>
        <w:t>rehearing Order stated that the parties may lose the case if they fail to appear and present evidence on the issues raised.</w:t>
      </w:r>
      <w:r w:rsidR="00650C05">
        <w:rPr>
          <w:color w:val="000000" w:themeColor="text1"/>
          <w:sz w:val="26"/>
          <w:szCs w:val="26"/>
        </w:rPr>
        <w:t xml:space="preserve">  I.D. at 6.</w:t>
      </w:r>
    </w:p>
    <w:p w14:paraId="6F5683DC" w14:textId="37F9EA39" w:rsidR="00F37C85" w:rsidRDefault="00343486" w:rsidP="00343486">
      <w:pPr>
        <w:spacing w:after="0" w:line="360" w:lineRule="auto"/>
        <w:ind w:left="14" w:firstLine="1440"/>
        <w:rPr>
          <w:color w:val="000000" w:themeColor="text1"/>
          <w:sz w:val="26"/>
          <w:szCs w:val="26"/>
        </w:rPr>
      </w:pPr>
      <w:r w:rsidRPr="00343486">
        <w:rPr>
          <w:color w:val="000000" w:themeColor="text1"/>
          <w:sz w:val="26"/>
          <w:szCs w:val="26"/>
        </w:rPr>
        <w:lastRenderedPageBreak/>
        <w:t xml:space="preserve">No request for a postponement or continuance of the hearing was received by </w:t>
      </w:r>
      <w:r w:rsidR="00AC7E5F">
        <w:rPr>
          <w:color w:val="000000" w:themeColor="text1"/>
          <w:sz w:val="26"/>
          <w:szCs w:val="26"/>
        </w:rPr>
        <w:t>the ALJ</w:t>
      </w:r>
      <w:r w:rsidRPr="00343486">
        <w:rPr>
          <w:color w:val="000000" w:themeColor="text1"/>
          <w:sz w:val="26"/>
          <w:szCs w:val="26"/>
        </w:rPr>
        <w:t>.</w:t>
      </w:r>
      <w:r w:rsidR="00064FCE">
        <w:rPr>
          <w:color w:val="000000" w:themeColor="text1"/>
          <w:sz w:val="26"/>
          <w:szCs w:val="26"/>
        </w:rPr>
        <w:t xml:space="preserve"> </w:t>
      </w:r>
      <w:r w:rsidRPr="00343486">
        <w:rPr>
          <w:color w:val="000000" w:themeColor="text1"/>
          <w:sz w:val="26"/>
          <w:szCs w:val="26"/>
        </w:rPr>
        <w:t xml:space="preserve"> </w:t>
      </w:r>
      <w:r w:rsidR="00213B4F">
        <w:rPr>
          <w:color w:val="000000" w:themeColor="text1"/>
          <w:sz w:val="26"/>
          <w:szCs w:val="26"/>
        </w:rPr>
        <w:t xml:space="preserve">Thus, the </w:t>
      </w:r>
      <w:r w:rsidRPr="00343486">
        <w:rPr>
          <w:color w:val="000000" w:themeColor="text1"/>
          <w:sz w:val="26"/>
          <w:szCs w:val="26"/>
        </w:rPr>
        <w:t>Complainant had notice of the hearing and an opportunity to be heard in this proceeding</w:t>
      </w:r>
      <w:r>
        <w:rPr>
          <w:color w:val="000000" w:themeColor="text1"/>
          <w:sz w:val="26"/>
          <w:szCs w:val="26"/>
        </w:rPr>
        <w:t>.</w:t>
      </w:r>
      <w:r w:rsidR="006535FE">
        <w:rPr>
          <w:color w:val="000000" w:themeColor="text1"/>
          <w:sz w:val="26"/>
          <w:szCs w:val="26"/>
        </w:rPr>
        <w:t xml:space="preserve">  I.D. at 6-7.</w:t>
      </w:r>
    </w:p>
    <w:p w14:paraId="7365B50F" w14:textId="1FE0060C" w:rsidR="00064FCE" w:rsidRDefault="00064FCE" w:rsidP="00343486">
      <w:pPr>
        <w:spacing w:after="0" w:line="360" w:lineRule="auto"/>
        <w:ind w:left="14" w:firstLine="1440"/>
        <w:rPr>
          <w:color w:val="000000" w:themeColor="text1"/>
          <w:sz w:val="26"/>
          <w:szCs w:val="26"/>
        </w:rPr>
      </w:pPr>
    </w:p>
    <w:p w14:paraId="383D793C" w14:textId="5052EEC8" w:rsidR="00064FCE" w:rsidRDefault="00064FCE" w:rsidP="00064FCE">
      <w:pPr>
        <w:spacing w:after="0" w:line="360" w:lineRule="auto"/>
        <w:ind w:left="14" w:firstLine="1440"/>
        <w:rPr>
          <w:color w:val="000000" w:themeColor="text1"/>
          <w:sz w:val="26"/>
          <w:szCs w:val="26"/>
        </w:rPr>
      </w:pPr>
      <w:r w:rsidRPr="00064FCE">
        <w:rPr>
          <w:color w:val="000000" w:themeColor="text1"/>
          <w:sz w:val="26"/>
          <w:szCs w:val="26"/>
        </w:rPr>
        <w:t>A</w:t>
      </w:r>
      <w:r w:rsidR="00C50DB5">
        <w:rPr>
          <w:color w:val="000000" w:themeColor="text1"/>
          <w:sz w:val="26"/>
          <w:szCs w:val="26"/>
        </w:rPr>
        <w:t>ccording to the ALJ, a</w:t>
      </w:r>
      <w:r w:rsidRPr="00064FCE">
        <w:rPr>
          <w:color w:val="000000" w:themeColor="text1"/>
          <w:sz w:val="26"/>
          <w:szCs w:val="26"/>
        </w:rPr>
        <w:t xml:space="preserve">fter the hearing, </w:t>
      </w:r>
      <w:r w:rsidR="00213B4F">
        <w:rPr>
          <w:color w:val="000000" w:themeColor="text1"/>
          <w:sz w:val="26"/>
          <w:szCs w:val="26"/>
        </w:rPr>
        <w:t xml:space="preserve">the </w:t>
      </w:r>
      <w:r w:rsidRPr="00064FCE">
        <w:rPr>
          <w:color w:val="000000" w:themeColor="text1"/>
          <w:sz w:val="26"/>
          <w:szCs w:val="26"/>
        </w:rPr>
        <w:t>Complainant sought to reopen the record claiming that he had not realized that the hearing was a call-in hearing.</w:t>
      </w:r>
      <w:r>
        <w:rPr>
          <w:color w:val="000000" w:themeColor="text1"/>
          <w:sz w:val="26"/>
          <w:szCs w:val="26"/>
        </w:rPr>
        <w:t xml:space="preserve"> </w:t>
      </w:r>
      <w:r w:rsidRPr="00064FCE">
        <w:rPr>
          <w:color w:val="000000" w:themeColor="text1"/>
          <w:sz w:val="26"/>
          <w:szCs w:val="26"/>
        </w:rPr>
        <w:t xml:space="preserve"> That petition to reopen was opposed by PPL. </w:t>
      </w:r>
      <w:r>
        <w:rPr>
          <w:color w:val="000000" w:themeColor="text1"/>
          <w:sz w:val="26"/>
          <w:szCs w:val="26"/>
        </w:rPr>
        <w:t xml:space="preserve"> </w:t>
      </w:r>
      <w:r w:rsidRPr="00064FCE">
        <w:rPr>
          <w:color w:val="000000" w:themeColor="text1"/>
          <w:sz w:val="26"/>
          <w:szCs w:val="26"/>
        </w:rPr>
        <w:t xml:space="preserve">PPL’s objection was sustained, and the petition was denied by Order dated July 21, 2020. </w:t>
      </w:r>
      <w:r>
        <w:rPr>
          <w:color w:val="000000" w:themeColor="text1"/>
          <w:sz w:val="26"/>
          <w:szCs w:val="26"/>
        </w:rPr>
        <w:t xml:space="preserve"> </w:t>
      </w:r>
      <w:r w:rsidRPr="00064FCE">
        <w:rPr>
          <w:color w:val="000000" w:themeColor="text1"/>
          <w:sz w:val="26"/>
          <w:szCs w:val="26"/>
        </w:rPr>
        <w:t xml:space="preserve">That Order took into account the fact that </w:t>
      </w:r>
      <w:r w:rsidR="00213B4F">
        <w:rPr>
          <w:color w:val="000000" w:themeColor="text1"/>
          <w:sz w:val="26"/>
          <w:szCs w:val="26"/>
        </w:rPr>
        <w:t xml:space="preserve">the </w:t>
      </w:r>
      <w:r w:rsidRPr="00064FCE">
        <w:rPr>
          <w:color w:val="000000" w:themeColor="text1"/>
          <w:sz w:val="26"/>
          <w:szCs w:val="26"/>
        </w:rPr>
        <w:t xml:space="preserve">Complainant was proceeding </w:t>
      </w:r>
      <w:r w:rsidRPr="00064FCE">
        <w:rPr>
          <w:i/>
          <w:iCs/>
          <w:color w:val="000000" w:themeColor="text1"/>
          <w:sz w:val="26"/>
          <w:szCs w:val="26"/>
        </w:rPr>
        <w:t>pro se</w:t>
      </w:r>
      <w:r w:rsidRPr="00064FCE">
        <w:rPr>
          <w:color w:val="000000" w:themeColor="text1"/>
          <w:sz w:val="26"/>
          <w:szCs w:val="26"/>
        </w:rPr>
        <w:t xml:space="preserve">, but found that </w:t>
      </w:r>
      <w:r w:rsidR="00213B4F">
        <w:rPr>
          <w:color w:val="000000" w:themeColor="text1"/>
          <w:sz w:val="26"/>
          <w:szCs w:val="26"/>
        </w:rPr>
        <w:t xml:space="preserve">the </w:t>
      </w:r>
      <w:r w:rsidRPr="00064FCE">
        <w:rPr>
          <w:color w:val="000000" w:themeColor="text1"/>
          <w:sz w:val="26"/>
          <w:szCs w:val="26"/>
        </w:rPr>
        <w:t xml:space="preserve">Complainant’s reason for not attending the hearing in this case on July 7, 2020 was not reasonable because multiple notices and the </w:t>
      </w:r>
      <w:r w:rsidR="00AF4EF3">
        <w:rPr>
          <w:color w:val="000000" w:themeColor="text1"/>
          <w:sz w:val="26"/>
          <w:szCs w:val="26"/>
        </w:rPr>
        <w:t>P</w:t>
      </w:r>
      <w:r w:rsidRPr="00064FCE">
        <w:rPr>
          <w:color w:val="000000" w:themeColor="text1"/>
          <w:sz w:val="26"/>
          <w:szCs w:val="26"/>
        </w:rPr>
        <w:t xml:space="preserve">rehearing Order in this matter clearly stated that the </w:t>
      </w:r>
      <w:r w:rsidR="00AA115E">
        <w:rPr>
          <w:color w:val="000000" w:themeColor="text1"/>
          <w:sz w:val="26"/>
          <w:szCs w:val="26"/>
        </w:rPr>
        <w:t>P</w:t>
      </w:r>
      <w:r w:rsidRPr="00064FCE">
        <w:rPr>
          <w:color w:val="000000" w:themeColor="text1"/>
          <w:sz w:val="26"/>
          <w:szCs w:val="26"/>
        </w:rPr>
        <w:t xml:space="preserve">arties were to call in to the hearing. </w:t>
      </w:r>
      <w:r>
        <w:rPr>
          <w:color w:val="000000" w:themeColor="text1"/>
          <w:sz w:val="26"/>
          <w:szCs w:val="26"/>
        </w:rPr>
        <w:t xml:space="preserve"> </w:t>
      </w:r>
      <w:r w:rsidRPr="00064FCE">
        <w:rPr>
          <w:color w:val="000000" w:themeColor="text1"/>
          <w:sz w:val="26"/>
          <w:szCs w:val="26"/>
        </w:rPr>
        <w:t>Further, there was no reason to believe that conditions of fact or of law in this matter had so changed as to require, or that the public interest required, the reopening of the proceeding.</w:t>
      </w:r>
      <w:r w:rsidR="00C50DB5">
        <w:rPr>
          <w:color w:val="000000" w:themeColor="text1"/>
          <w:sz w:val="26"/>
          <w:szCs w:val="26"/>
        </w:rPr>
        <w:t xml:space="preserve">  I.D. at 7.</w:t>
      </w:r>
    </w:p>
    <w:p w14:paraId="794F6B97" w14:textId="77777777" w:rsidR="00064FCE" w:rsidRPr="00064FCE" w:rsidRDefault="00064FCE" w:rsidP="00064FCE">
      <w:pPr>
        <w:spacing w:after="0" w:line="360" w:lineRule="auto"/>
        <w:ind w:left="14" w:firstLine="1440"/>
        <w:rPr>
          <w:color w:val="000000" w:themeColor="text1"/>
          <w:sz w:val="26"/>
          <w:szCs w:val="26"/>
        </w:rPr>
      </w:pPr>
    </w:p>
    <w:p w14:paraId="7054CF1A" w14:textId="122D7670" w:rsidR="00064FCE" w:rsidRPr="00D564C7" w:rsidRDefault="00F77B7C" w:rsidP="00064FCE">
      <w:pPr>
        <w:spacing w:after="0" w:line="360" w:lineRule="auto"/>
        <w:ind w:left="14" w:firstLine="1440"/>
        <w:rPr>
          <w:color w:val="000000" w:themeColor="text1"/>
          <w:sz w:val="26"/>
          <w:szCs w:val="26"/>
        </w:rPr>
      </w:pPr>
      <w:r>
        <w:rPr>
          <w:color w:val="000000" w:themeColor="text1"/>
          <w:sz w:val="26"/>
          <w:szCs w:val="26"/>
        </w:rPr>
        <w:t xml:space="preserve">The ALJ noted that the </w:t>
      </w:r>
      <w:r w:rsidR="00064FCE" w:rsidRPr="00064FCE">
        <w:rPr>
          <w:color w:val="000000" w:themeColor="text1"/>
          <w:sz w:val="26"/>
          <w:szCs w:val="26"/>
        </w:rPr>
        <w:t xml:space="preserve">Parties must carefully attend to the instructions and notices sent to them by the Commission. </w:t>
      </w:r>
      <w:r w:rsidR="00064FCE">
        <w:rPr>
          <w:color w:val="000000" w:themeColor="text1"/>
          <w:sz w:val="26"/>
          <w:szCs w:val="26"/>
        </w:rPr>
        <w:t xml:space="preserve"> </w:t>
      </w:r>
      <w:r w:rsidR="00064FCE" w:rsidRPr="00064FCE">
        <w:rPr>
          <w:color w:val="000000" w:themeColor="text1"/>
          <w:sz w:val="26"/>
          <w:szCs w:val="26"/>
        </w:rPr>
        <w:t xml:space="preserve">The orderly resolution of the many cases that come before the Commission depends on reasonable diligence by the parties to litigation. </w:t>
      </w:r>
      <w:r w:rsidR="00064FCE">
        <w:rPr>
          <w:color w:val="000000" w:themeColor="text1"/>
          <w:sz w:val="26"/>
          <w:szCs w:val="26"/>
        </w:rPr>
        <w:t xml:space="preserve"> </w:t>
      </w:r>
      <w:r w:rsidR="00064FCE" w:rsidRPr="00064FCE">
        <w:rPr>
          <w:color w:val="000000" w:themeColor="text1"/>
          <w:sz w:val="26"/>
          <w:szCs w:val="26"/>
        </w:rPr>
        <w:t xml:space="preserve">By failing to appear and present any evidence in support of his </w:t>
      </w:r>
      <w:r w:rsidR="008B78E7">
        <w:rPr>
          <w:color w:val="000000" w:themeColor="text1"/>
          <w:sz w:val="26"/>
          <w:szCs w:val="26"/>
        </w:rPr>
        <w:t>C</w:t>
      </w:r>
      <w:r w:rsidR="00064FCE" w:rsidRPr="00064FCE">
        <w:rPr>
          <w:color w:val="000000" w:themeColor="text1"/>
          <w:sz w:val="26"/>
          <w:szCs w:val="26"/>
        </w:rPr>
        <w:t xml:space="preserve">omplaint, </w:t>
      </w:r>
      <w:r>
        <w:rPr>
          <w:color w:val="000000" w:themeColor="text1"/>
          <w:sz w:val="26"/>
          <w:szCs w:val="26"/>
        </w:rPr>
        <w:t xml:space="preserve">the </w:t>
      </w:r>
      <w:r w:rsidR="00064FCE" w:rsidRPr="00064FCE">
        <w:rPr>
          <w:color w:val="000000" w:themeColor="text1"/>
          <w:sz w:val="26"/>
          <w:szCs w:val="26"/>
        </w:rPr>
        <w:t xml:space="preserve">Complainant failed to carry his burden. </w:t>
      </w:r>
      <w:r w:rsidR="00064FCE">
        <w:rPr>
          <w:color w:val="000000" w:themeColor="text1"/>
          <w:sz w:val="26"/>
          <w:szCs w:val="26"/>
        </w:rPr>
        <w:t xml:space="preserve"> </w:t>
      </w:r>
      <w:r w:rsidR="00064FCE" w:rsidRPr="00064FCE">
        <w:rPr>
          <w:color w:val="000000" w:themeColor="text1"/>
          <w:sz w:val="26"/>
          <w:szCs w:val="26"/>
        </w:rPr>
        <w:t xml:space="preserve">Thus, </w:t>
      </w:r>
      <w:r>
        <w:rPr>
          <w:color w:val="000000" w:themeColor="text1"/>
          <w:sz w:val="26"/>
          <w:szCs w:val="26"/>
        </w:rPr>
        <w:t xml:space="preserve">the ALJ reasoned that </w:t>
      </w:r>
      <w:r w:rsidR="00064FCE" w:rsidRPr="00064FCE">
        <w:rPr>
          <w:color w:val="000000" w:themeColor="text1"/>
          <w:sz w:val="26"/>
          <w:szCs w:val="26"/>
        </w:rPr>
        <w:t xml:space="preserve">the Complaint </w:t>
      </w:r>
      <w:r>
        <w:rPr>
          <w:color w:val="000000" w:themeColor="text1"/>
          <w:sz w:val="26"/>
          <w:szCs w:val="26"/>
        </w:rPr>
        <w:t xml:space="preserve">would </w:t>
      </w:r>
      <w:r w:rsidR="00064FCE" w:rsidRPr="00064FCE">
        <w:rPr>
          <w:color w:val="000000" w:themeColor="text1"/>
          <w:sz w:val="26"/>
          <w:szCs w:val="26"/>
        </w:rPr>
        <w:t>be dismissed with prejudice.</w:t>
      </w:r>
      <w:r>
        <w:rPr>
          <w:color w:val="000000" w:themeColor="text1"/>
          <w:sz w:val="26"/>
          <w:szCs w:val="26"/>
        </w:rPr>
        <w:t xml:space="preserve"> </w:t>
      </w:r>
      <w:r w:rsidR="00064FCE" w:rsidRPr="00064FCE">
        <w:rPr>
          <w:color w:val="000000" w:themeColor="text1"/>
          <w:sz w:val="26"/>
          <w:szCs w:val="26"/>
        </w:rPr>
        <w:t xml:space="preserve"> </w:t>
      </w:r>
      <w:r w:rsidR="00064FCE" w:rsidRPr="00064FCE">
        <w:rPr>
          <w:i/>
          <w:iCs/>
          <w:color w:val="000000" w:themeColor="text1"/>
          <w:sz w:val="26"/>
          <w:szCs w:val="26"/>
        </w:rPr>
        <w:t>Jefferson v. UGI Utilities, Inc.</w:t>
      </w:r>
      <w:r w:rsidR="00064FCE" w:rsidRPr="00064FCE">
        <w:rPr>
          <w:color w:val="000000" w:themeColor="text1"/>
          <w:sz w:val="26"/>
          <w:szCs w:val="26"/>
        </w:rPr>
        <w:t>, Docket No. Z</w:t>
      </w:r>
      <w:r w:rsidR="00D004D8">
        <w:rPr>
          <w:color w:val="000000" w:themeColor="text1"/>
          <w:sz w:val="26"/>
          <w:szCs w:val="26"/>
        </w:rPr>
        <w:noBreakHyphen/>
      </w:r>
      <w:r w:rsidR="00064FCE" w:rsidRPr="00064FCE">
        <w:rPr>
          <w:color w:val="000000" w:themeColor="text1"/>
          <w:sz w:val="26"/>
          <w:szCs w:val="26"/>
        </w:rPr>
        <w:t>00269892 (Order entered December 26, 1995).</w:t>
      </w:r>
      <w:r w:rsidR="00197B15">
        <w:rPr>
          <w:color w:val="000000" w:themeColor="text1"/>
          <w:sz w:val="26"/>
          <w:szCs w:val="26"/>
        </w:rPr>
        <w:t xml:space="preserve">  I.D. at 7.</w:t>
      </w:r>
    </w:p>
    <w:p w14:paraId="0E54EF58" w14:textId="77777777" w:rsidR="00FA1435" w:rsidRPr="00D564C7" w:rsidRDefault="00FA1435" w:rsidP="00D564C7">
      <w:pPr>
        <w:spacing w:after="0" w:line="360" w:lineRule="auto"/>
        <w:ind w:left="14"/>
        <w:rPr>
          <w:sz w:val="26"/>
          <w:szCs w:val="26"/>
        </w:rPr>
      </w:pPr>
    </w:p>
    <w:p w14:paraId="46395C65" w14:textId="30B85C27" w:rsidR="000935BF" w:rsidRPr="00D564C7" w:rsidRDefault="00B22BC3" w:rsidP="00B70B0D">
      <w:pPr>
        <w:spacing w:after="0" w:line="360" w:lineRule="auto"/>
        <w:ind w:left="14"/>
        <w:rPr>
          <w:b/>
          <w:bCs/>
          <w:sz w:val="26"/>
          <w:szCs w:val="26"/>
        </w:rPr>
      </w:pPr>
      <w:r w:rsidRPr="00D564C7">
        <w:rPr>
          <w:b/>
          <w:bCs/>
          <w:sz w:val="26"/>
          <w:szCs w:val="26"/>
        </w:rPr>
        <w:t>Disposition</w:t>
      </w:r>
    </w:p>
    <w:p w14:paraId="2BB422F4" w14:textId="77777777" w:rsidR="0002690D" w:rsidRPr="00D564C7" w:rsidRDefault="0002690D" w:rsidP="00D564C7">
      <w:pPr>
        <w:spacing w:after="0" w:line="360" w:lineRule="auto"/>
        <w:ind w:left="14"/>
        <w:jc w:val="center"/>
        <w:rPr>
          <w:b/>
          <w:bCs/>
          <w:sz w:val="26"/>
          <w:szCs w:val="26"/>
        </w:rPr>
      </w:pPr>
    </w:p>
    <w:p w14:paraId="06E4896A" w14:textId="3014C09C" w:rsidR="0002690D" w:rsidRDefault="0002690D" w:rsidP="00D564C7">
      <w:pPr>
        <w:spacing w:after="0" w:line="360" w:lineRule="auto"/>
        <w:ind w:left="14" w:firstLine="1430"/>
        <w:rPr>
          <w:sz w:val="26"/>
          <w:szCs w:val="26"/>
        </w:rPr>
      </w:pPr>
      <w:r w:rsidRPr="00D564C7">
        <w:rPr>
          <w:sz w:val="26"/>
          <w:szCs w:val="26"/>
        </w:rPr>
        <w:t xml:space="preserve">As a preliminary matter, any argument that we do not specifically delineate shall be deemed to have been duly considered and denied without further discussion.  We are not required to consider expressly or at length each contention or argument raised by parties.  </w:t>
      </w:r>
      <w:r w:rsidRPr="00D564C7">
        <w:rPr>
          <w:i/>
          <w:iCs/>
          <w:sz w:val="26"/>
          <w:szCs w:val="26"/>
        </w:rPr>
        <w:t>Consolidated Rail Corp. v. Pa. PUC</w:t>
      </w:r>
      <w:r w:rsidRPr="00D564C7">
        <w:rPr>
          <w:iCs/>
          <w:sz w:val="26"/>
          <w:szCs w:val="26"/>
        </w:rPr>
        <w:t xml:space="preserve">, </w:t>
      </w:r>
      <w:r w:rsidRPr="00D564C7">
        <w:rPr>
          <w:sz w:val="26"/>
          <w:szCs w:val="26"/>
        </w:rPr>
        <w:t xml:space="preserve">625 A.2d 741 (Pa. Cmwlth. 1993); </w:t>
      </w:r>
      <w:r w:rsidRPr="00D564C7">
        <w:rPr>
          <w:i/>
          <w:sz w:val="26"/>
          <w:szCs w:val="26"/>
        </w:rPr>
        <w:t xml:space="preserve">also </w:t>
      </w:r>
      <w:r w:rsidRPr="00D564C7">
        <w:rPr>
          <w:i/>
          <w:iCs/>
          <w:sz w:val="26"/>
          <w:szCs w:val="26"/>
        </w:rPr>
        <w:lastRenderedPageBreak/>
        <w:t>see, generally, University of Pennsylvania v. Pa. PUC</w:t>
      </w:r>
      <w:r w:rsidRPr="00D564C7">
        <w:rPr>
          <w:sz w:val="26"/>
          <w:szCs w:val="26"/>
        </w:rPr>
        <w:t>, 485 A.2d 1217 (Pa. Cmwlth. 1984).  On exercise of our independent review of the Parties’ positions in their pleadings in this case, we shall adopt the Initial Decision, as modified, consistent with the following discussion.</w:t>
      </w:r>
    </w:p>
    <w:p w14:paraId="272DF20C" w14:textId="77777777" w:rsidR="00761844" w:rsidRDefault="00761844" w:rsidP="00D564C7">
      <w:pPr>
        <w:spacing w:after="0" w:line="360" w:lineRule="auto"/>
        <w:ind w:left="14" w:firstLine="1430"/>
        <w:rPr>
          <w:sz w:val="26"/>
          <w:szCs w:val="26"/>
        </w:rPr>
      </w:pPr>
    </w:p>
    <w:p w14:paraId="642266FB" w14:textId="5D34AD16" w:rsidR="00B84B7A" w:rsidRPr="00B70B0D" w:rsidRDefault="00B84B7A" w:rsidP="00B84B7A">
      <w:pPr>
        <w:spacing w:after="0" w:line="360" w:lineRule="auto"/>
        <w:ind w:left="14" w:firstLine="1430"/>
        <w:rPr>
          <w:sz w:val="26"/>
          <w:szCs w:val="26"/>
        </w:rPr>
      </w:pPr>
      <w:r w:rsidRPr="00B70B0D">
        <w:rPr>
          <w:sz w:val="26"/>
          <w:szCs w:val="26"/>
        </w:rPr>
        <w:t xml:space="preserve">From an administrative due process standpoint, the question is whether a complainant’s failure to appear at a scheduled and duly notified hearing shall be deemed to be the party’s waiver of the opportunity to participate in a hearing in the matter.  66 Pa. C.S. § 332(f); 52 Pa. Code § 5.245(a)-(b).  Whether the complainant’s failure to appear at the hearing was “unavoidable” </w:t>
      </w:r>
      <w:bookmarkStart w:id="0" w:name="_Hlk530385851"/>
      <w:r w:rsidRPr="00B70B0D">
        <w:rPr>
          <w:sz w:val="26"/>
          <w:szCs w:val="26"/>
        </w:rPr>
        <w:t>is a fact-based question.</w:t>
      </w:r>
      <w:bookmarkEnd w:id="0"/>
      <w:r w:rsidRPr="00B70B0D">
        <w:rPr>
          <w:sz w:val="26"/>
          <w:szCs w:val="26"/>
        </w:rPr>
        <w:t xml:space="preserve">  Where a complainant’s failure to appear at a scheduled hearing is unavoidable, the ALJ has the discretion to recognize that and to reschedule the hearing.  66 Pa. C.S. § 332(f); 52 Pa. Code § 5.245(a)-(b).  However, if a complainant fails to bring the situation to the attention of the presiding officer prior to the issuance of the Initial Decision, the record closes and the presiding officer can no longer exercise that discretion.  </w:t>
      </w:r>
      <w:r w:rsidRPr="00B70B0D">
        <w:rPr>
          <w:i/>
          <w:sz w:val="26"/>
          <w:szCs w:val="26"/>
        </w:rPr>
        <w:t>See</w:t>
      </w:r>
      <w:r w:rsidR="00F727B8" w:rsidRPr="00B70B0D">
        <w:rPr>
          <w:i/>
          <w:sz w:val="26"/>
          <w:szCs w:val="26"/>
        </w:rPr>
        <w:t>,</w:t>
      </w:r>
      <w:r w:rsidRPr="00B70B0D">
        <w:rPr>
          <w:i/>
          <w:sz w:val="26"/>
          <w:szCs w:val="26"/>
        </w:rPr>
        <w:t xml:space="preserve"> e.g</w:t>
      </w:r>
      <w:r w:rsidRPr="00B70B0D">
        <w:rPr>
          <w:sz w:val="26"/>
          <w:szCs w:val="26"/>
        </w:rPr>
        <w:t xml:space="preserve">., </w:t>
      </w:r>
      <w:r w:rsidRPr="00B70B0D">
        <w:rPr>
          <w:i/>
          <w:sz w:val="26"/>
          <w:szCs w:val="26"/>
        </w:rPr>
        <w:t>Alice Anderson v. PECO Energy Company</w:t>
      </w:r>
      <w:r w:rsidRPr="00B70B0D">
        <w:rPr>
          <w:sz w:val="26"/>
          <w:szCs w:val="26"/>
        </w:rPr>
        <w:t xml:space="preserve">, Docket No. F-2017-2614241 (Order entered July 18, 2018).  </w:t>
      </w:r>
    </w:p>
    <w:p w14:paraId="16D5A40C" w14:textId="77777777" w:rsidR="00B84B7A" w:rsidRPr="00B84B7A" w:rsidRDefault="00B84B7A" w:rsidP="00B84B7A">
      <w:pPr>
        <w:spacing w:after="0" w:line="360" w:lineRule="auto"/>
        <w:ind w:left="14" w:firstLine="1430"/>
        <w:rPr>
          <w:b/>
          <w:bCs/>
          <w:sz w:val="26"/>
          <w:szCs w:val="26"/>
        </w:rPr>
      </w:pPr>
    </w:p>
    <w:p w14:paraId="7BDDF34F" w14:textId="2179F0B8" w:rsidR="00B22BC3" w:rsidRDefault="00F727B8" w:rsidP="00D564C7">
      <w:pPr>
        <w:spacing w:after="0" w:line="360" w:lineRule="auto"/>
        <w:ind w:firstLine="1430"/>
        <w:rPr>
          <w:sz w:val="26"/>
          <w:szCs w:val="26"/>
        </w:rPr>
      </w:pPr>
      <w:r>
        <w:rPr>
          <w:sz w:val="26"/>
          <w:szCs w:val="26"/>
        </w:rPr>
        <w:t>As noted earlier, i</w:t>
      </w:r>
      <w:r w:rsidR="00656421" w:rsidRPr="00D564C7">
        <w:rPr>
          <w:sz w:val="26"/>
          <w:szCs w:val="26"/>
        </w:rPr>
        <w:t xml:space="preserve">n </w:t>
      </w:r>
      <w:r w:rsidR="00BE4AC8">
        <w:rPr>
          <w:sz w:val="26"/>
          <w:szCs w:val="26"/>
        </w:rPr>
        <w:t>his</w:t>
      </w:r>
      <w:r w:rsidR="00656421" w:rsidRPr="00D564C7">
        <w:rPr>
          <w:sz w:val="26"/>
          <w:szCs w:val="26"/>
        </w:rPr>
        <w:t xml:space="preserve"> Initial Decision, ALJ Buckley noted </w:t>
      </w:r>
      <w:r w:rsidR="00D564C7" w:rsidRPr="00D564C7">
        <w:rPr>
          <w:sz w:val="26"/>
          <w:szCs w:val="26"/>
        </w:rPr>
        <w:t>that after being notified, a party who fails to be represented at a scheduled conference or hearing in a proceeding will: (1) be deemed to have waived the opportunity to participate in the conference or hearing; (2) not be permitted thereafter to reopen the disposition of a matter accomplished at the conference or hearing; and (3) not be permitted to recall witnesses who were excused for further examination</w:t>
      </w:r>
      <w:r w:rsidR="00656421" w:rsidRPr="00D564C7">
        <w:rPr>
          <w:sz w:val="26"/>
          <w:szCs w:val="26"/>
        </w:rPr>
        <w:t xml:space="preserve">, as set forth in </w:t>
      </w:r>
      <w:r w:rsidR="00D564C7" w:rsidRPr="00D564C7">
        <w:rPr>
          <w:sz w:val="26"/>
          <w:szCs w:val="26"/>
        </w:rPr>
        <w:t>52</w:t>
      </w:r>
      <w:r w:rsidR="00656421" w:rsidRPr="00D564C7">
        <w:rPr>
          <w:sz w:val="26"/>
          <w:szCs w:val="26"/>
        </w:rPr>
        <w:t xml:space="preserve"> Pa. C.S. §</w:t>
      </w:r>
      <w:r w:rsidR="00BE4AC8">
        <w:rPr>
          <w:sz w:val="26"/>
          <w:szCs w:val="26"/>
        </w:rPr>
        <w:t> </w:t>
      </w:r>
      <w:r w:rsidR="00D564C7" w:rsidRPr="00D564C7">
        <w:rPr>
          <w:sz w:val="26"/>
          <w:szCs w:val="26"/>
        </w:rPr>
        <w:t>5.245(a)</w:t>
      </w:r>
      <w:r w:rsidR="00656421" w:rsidRPr="00D564C7">
        <w:rPr>
          <w:sz w:val="26"/>
          <w:szCs w:val="26"/>
        </w:rPr>
        <w:t xml:space="preserve">.  I.D. at </w:t>
      </w:r>
      <w:r w:rsidR="00D564C7" w:rsidRPr="00D564C7">
        <w:rPr>
          <w:sz w:val="26"/>
          <w:szCs w:val="26"/>
        </w:rPr>
        <w:t>8</w:t>
      </w:r>
      <w:r w:rsidR="00656421" w:rsidRPr="00D564C7">
        <w:rPr>
          <w:sz w:val="26"/>
          <w:szCs w:val="26"/>
        </w:rPr>
        <w:t xml:space="preserve">; Conclusion of Law No. </w:t>
      </w:r>
      <w:r w:rsidR="00D564C7" w:rsidRPr="00D564C7">
        <w:rPr>
          <w:sz w:val="26"/>
          <w:szCs w:val="26"/>
        </w:rPr>
        <w:t>5</w:t>
      </w:r>
      <w:r w:rsidR="00656421" w:rsidRPr="00D564C7">
        <w:rPr>
          <w:sz w:val="26"/>
          <w:szCs w:val="26"/>
        </w:rPr>
        <w:t>.  The ALJ determined that the Complainant failed to meet this burden of proof, at least in part, by h</w:t>
      </w:r>
      <w:r w:rsidR="00D564C7" w:rsidRPr="00D564C7">
        <w:rPr>
          <w:sz w:val="26"/>
          <w:szCs w:val="26"/>
        </w:rPr>
        <w:t>is</w:t>
      </w:r>
      <w:r w:rsidR="00656421" w:rsidRPr="00D564C7">
        <w:rPr>
          <w:sz w:val="26"/>
          <w:szCs w:val="26"/>
        </w:rPr>
        <w:t xml:space="preserve"> failure to appear and address the matters at the </w:t>
      </w:r>
      <w:r w:rsidR="00D564C7" w:rsidRPr="00D564C7">
        <w:rPr>
          <w:sz w:val="26"/>
          <w:szCs w:val="26"/>
        </w:rPr>
        <w:t xml:space="preserve">July 7, 2020 </w:t>
      </w:r>
      <w:r w:rsidR="00656421" w:rsidRPr="00D564C7">
        <w:rPr>
          <w:sz w:val="26"/>
          <w:szCs w:val="26"/>
        </w:rPr>
        <w:t>hearing</w:t>
      </w:r>
      <w:r w:rsidR="00D564C7" w:rsidRPr="00D564C7">
        <w:rPr>
          <w:sz w:val="26"/>
          <w:szCs w:val="26"/>
        </w:rPr>
        <w:t>.</w:t>
      </w:r>
      <w:r w:rsidR="002F05F4">
        <w:rPr>
          <w:sz w:val="26"/>
          <w:szCs w:val="26"/>
        </w:rPr>
        <w:t xml:space="preserve">  </w:t>
      </w:r>
    </w:p>
    <w:p w14:paraId="3238A0D3" w14:textId="417E7CC5" w:rsidR="00650E98" w:rsidRDefault="00650E98" w:rsidP="00D564C7">
      <w:pPr>
        <w:spacing w:after="0" w:line="360" w:lineRule="auto"/>
        <w:ind w:firstLine="1430"/>
        <w:rPr>
          <w:sz w:val="26"/>
          <w:szCs w:val="26"/>
        </w:rPr>
      </w:pPr>
    </w:p>
    <w:p w14:paraId="23C3E9A8" w14:textId="357901FF" w:rsidR="00650E98" w:rsidRDefault="00650E98" w:rsidP="00650E98">
      <w:pPr>
        <w:spacing w:after="0" w:line="360" w:lineRule="auto"/>
        <w:ind w:firstLine="1440"/>
        <w:rPr>
          <w:rFonts w:eastAsiaTheme="minorHAnsi"/>
          <w:sz w:val="26"/>
          <w:szCs w:val="26"/>
        </w:rPr>
      </w:pPr>
      <w:r>
        <w:rPr>
          <w:sz w:val="26"/>
          <w:szCs w:val="26"/>
        </w:rPr>
        <w:t xml:space="preserve">Under the circumstances of this case, we find that the ALJ correctly exercised his discretion to dismiss the Complaint because Mr. </w:t>
      </w:r>
      <w:proofErr w:type="spellStart"/>
      <w:r w:rsidR="009F6B0A">
        <w:rPr>
          <w:sz w:val="26"/>
          <w:szCs w:val="26"/>
        </w:rPr>
        <w:t>Fot</w:t>
      </w:r>
      <w:r w:rsidR="00653EA2">
        <w:rPr>
          <w:sz w:val="26"/>
          <w:szCs w:val="26"/>
        </w:rPr>
        <w:t>i</w:t>
      </w:r>
      <w:proofErr w:type="spellEnd"/>
      <w:r>
        <w:rPr>
          <w:sz w:val="26"/>
          <w:szCs w:val="26"/>
        </w:rPr>
        <w:t xml:space="preserve"> failed to appear at the </w:t>
      </w:r>
      <w:r>
        <w:rPr>
          <w:sz w:val="26"/>
          <w:szCs w:val="26"/>
        </w:rPr>
        <w:lastRenderedPageBreak/>
        <w:t>hearing as instructed and to present any evidence in support of his Complaint.</w:t>
      </w:r>
      <w:r w:rsidR="00541899">
        <w:rPr>
          <w:sz w:val="26"/>
          <w:szCs w:val="26"/>
        </w:rPr>
        <w:t xml:space="preserve">  While we agree with dismissing the Complaint, we disagree with the ALJ in dismissing </w:t>
      </w:r>
      <w:r w:rsidR="00EA0E55">
        <w:rPr>
          <w:sz w:val="26"/>
          <w:szCs w:val="26"/>
        </w:rPr>
        <w:t>it with prejudice.</w:t>
      </w:r>
    </w:p>
    <w:p w14:paraId="2DE7A1D5" w14:textId="77777777" w:rsidR="00650E98" w:rsidRDefault="00650E98" w:rsidP="00650E98">
      <w:pPr>
        <w:spacing w:after="0" w:line="360" w:lineRule="auto"/>
        <w:ind w:firstLine="1440"/>
        <w:rPr>
          <w:sz w:val="26"/>
          <w:szCs w:val="26"/>
        </w:rPr>
      </w:pPr>
    </w:p>
    <w:p w14:paraId="282534C4" w14:textId="128EB04E" w:rsidR="006D0F5A" w:rsidRPr="00D564C7" w:rsidRDefault="00653EA2" w:rsidP="00D564C7">
      <w:pPr>
        <w:autoSpaceDE w:val="0"/>
        <w:autoSpaceDN w:val="0"/>
        <w:adjustRightInd w:val="0"/>
        <w:spacing w:after="0" w:line="360" w:lineRule="auto"/>
        <w:ind w:left="14" w:firstLine="1426"/>
        <w:rPr>
          <w:rFonts w:eastAsiaTheme="minorHAnsi"/>
          <w:sz w:val="26"/>
          <w:szCs w:val="26"/>
        </w:rPr>
      </w:pPr>
      <w:r>
        <w:rPr>
          <w:rFonts w:eastAsiaTheme="minorHAnsi"/>
          <w:sz w:val="26"/>
          <w:szCs w:val="26"/>
        </w:rPr>
        <w:t>I</w:t>
      </w:r>
      <w:r w:rsidR="00650E98">
        <w:rPr>
          <w:sz w:val="26"/>
          <w:szCs w:val="26"/>
        </w:rPr>
        <w:t xml:space="preserve">n light of </w:t>
      </w:r>
      <w:r w:rsidR="00825AFA">
        <w:rPr>
          <w:sz w:val="26"/>
          <w:szCs w:val="26"/>
        </w:rPr>
        <w:t xml:space="preserve">the circumstances of this case and </w:t>
      </w:r>
      <w:r w:rsidR="00CD16A0">
        <w:rPr>
          <w:sz w:val="26"/>
          <w:szCs w:val="26"/>
        </w:rPr>
        <w:t xml:space="preserve">the fact </w:t>
      </w:r>
      <w:r w:rsidR="009F6B0A">
        <w:rPr>
          <w:sz w:val="26"/>
          <w:szCs w:val="26"/>
        </w:rPr>
        <w:t>that the Complainant</w:t>
      </w:r>
      <w:r w:rsidR="006D0F5A" w:rsidRPr="00D564C7">
        <w:rPr>
          <w:rFonts w:eastAsiaTheme="minorHAnsi"/>
          <w:sz w:val="26"/>
          <w:szCs w:val="26"/>
        </w:rPr>
        <w:t xml:space="preserve"> called the OALJ less than an hour after the scheduled hearing </w:t>
      </w:r>
      <w:r w:rsidR="00196E92">
        <w:rPr>
          <w:rFonts w:eastAsiaTheme="minorHAnsi"/>
          <w:sz w:val="26"/>
          <w:szCs w:val="26"/>
        </w:rPr>
        <w:t xml:space="preserve">was </w:t>
      </w:r>
      <w:r w:rsidR="006D0F5A" w:rsidRPr="00D564C7">
        <w:rPr>
          <w:rFonts w:eastAsiaTheme="minorHAnsi"/>
          <w:sz w:val="26"/>
          <w:szCs w:val="26"/>
        </w:rPr>
        <w:t>adjourned</w:t>
      </w:r>
      <w:r w:rsidR="00196E92">
        <w:rPr>
          <w:rFonts w:eastAsiaTheme="minorHAnsi"/>
          <w:sz w:val="26"/>
          <w:szCs w:val="26"/>
        </w:rPr>
        <w:t>, w</w:t>
      </w:r>
      <w:r w:rsidR="00810273">
        <w:rPr>
          <w:rFonts w:eastAsiaTheme="minorHAnsi"/>
          <w:sz w:val="26"/>
          <w:szCs w:val="26"/>
        </w:rPr>
        <w:t xml:space="preserve">e believe this is </w:t>
      </w:r>
      <w:r w:rsidR="006D0F5A" w:rsidRPr="00D564C7">
        <w:rPr>
          <w:rFonts w:eastAsiaTheme="minorHAnsi"/>
          <w:sz w:val="26"/>
          <w:szCs w:val="26"/>
        </w:rPr>
        <w:t>not the action of a disinterested litigant</w:t>
      </w:r>
      <w:r w:rsidR="000B53F3">
        <w:rPr>
          <w:rFonts w:eastAsiaTheme="minorHAnsi"/>
          <w:sz w:val="26"/>
          <w:szCs w:val="26"/>
        </w:rPr>
        <w:t xml:space="preserve"> and</w:t>
      </w:r>
      <w:r w:rsidR="007D63EE">
        <w:rPr>
          <w:rFonts w:eastAsiaTheme="minorHAnsi"/>
          <w:sz w:val="26"/>
          <w:szCs w:val="26"/>
        </w:rPr>
        <w:t xml:space="preserve"> we </w:t>
      </w:r>
      <w:r w:rsidR="008A3090">
        <w:rPr>
          <w:rFonts w:eastAsiaTheme="minorHAnsi"/>
          <w:sz w:val="26"/>
          <w:szCs w:val="26"/>
        </w:rPr>
        <w:t>recognize that</w:t>
      </w:r>
      <w:r w:rsidR="00B70B0D">
        <w:rPr>
          <w:rFonts w:eastAsiaTheme="minorHAnsi"/>
          <w:sz w:val="26"/>
          <w:szCs w:val="26"/>
        </w:rPr>
        <w:t xml:space="preserve"> </w:t>
      </w:r>
      <w:r w:rsidR="006D0F5A" w:rsidRPr="00D564C7">
        <w:rPr>
          <w:rFonts w:eastAsiaTheme="minorHAnsi"/>
          <w:sz w:val="26"/>
          <w:szCs w:val="26"/>
        </w:rPr>
        <w:t>mistakes sometimes happen as evidenced by the failure of both Parties to appear on April</w:t>
      </w:r>
      <w:r w:rsidR="00E83FDD" w:rsidRPr="00D564C7">
        <w:rPr>
          <w:rFonts w:eastAsiaTheme="minorHAnsi"/>
          <w:sz w:val="26"/>
          <w:szCs w:val="26"/>
        </w:rPr>
        <w:t> </w:t>
      </w:r>
      <w:r w:rsidR="006D0F5A" w:rsidRPr="00D564C7">
        <w:rPr>
          <w:rFonts w:eastAsiaTheme="minorHAnsi"/>
          <w:sz w:val="26"/>
          <w:szCs w:val="26"/>
        </w:rPr>
        <w:t>28,</w:t>
      </w:r>
      <w:r w:rsidR="00E83FDD" w:rsidRPr="00D564C7">
        <w:rPr>
          <w:rFonts w:eastAsiaTheme="minorHAnsi"/>
          <w:sz w:val="26"/>
          <w:szCs w:val="26"/>
        </w:rPr>
        <w:t> </w:t>
      </w:r>
      <w:r w:rsidR="006D0F5A" w:rsidRPr="00D564C7">
        <w:rPr>
          <w:rFonts w:eastAsiaTheme="minorHAnsi"/>
          <w:sz w:val="26"/>
          <w:szCs w:val="26"/>
        </w:rPr>
        <w:t xml:space="preserve">2020. </w:t>
      </w:r>
      <w:r w:rsidR="003D6E45">
        <w:rPr>
          <w:rFonts w:eastAsiaTheme="minorHAnsi"/>
          <w:sz w:val="26"/>
          <w:szCs w:val="26"/>
        </w:rPr>
        <w:t xml:space="preserve"> </w:t>
      </w:r>
      <w:r w:rsidR="001125A7">
        <w:rPr>
          <w:rFonts w:eastAsiaTheme="minorHAnsi"/>
          <w:sz w:val="26"/>
          <w:szCs w:val="26"/>
        </w:rPr>
        <w:t>Therefore, t</w:t>
      </w:r>
      <w:r w:rsidR="006D0F5A" w:rsidRPr="00D564C7">
        <w:rPr>
          <w:rFonts w:eastAsiaTheme="minorHAnsi"/>
          <w:sz w:val="26"/>
          <w:szCs w:val="26"/>
        </w:rPr>
        <w:t>he Complaint should be dismissed; but, without prejudice.</w:t>
      </w:r>
      <w:r w:rsidR="006D0F5A" w:rsidRPr="00D564C7">
        <w:rPr>
          <w:rStyle w:val="FootnoteReference"/>
          <w:rFonts w:eastAsiaTheme="minorHAnsi"/>
          <w:sz w:val="26"/>
          <w:szCs w:val="26"/>
        </w:rPr>
        <w:footnoteReference w:id="3"/>
      </w:r>
    </w:p>
    <w:p w14:paraId="795F01FC" w14:textId="77777777" w:rsidR="00F349A0" w:rsidRPr="00D564C7" w:rsidRDefault="00F349A0" w:rsidP="00D564C7">
      <w:pPr>
        <w:autoSpaceDE w:val="0"/>
        <w:autoSpaceDN w:val="0"/>
        <w:adjustRightInd w:val="0"/>
        <w:spacing w:after="0" w:line="360" w:lineRule="auto"/>
        <w:ind w:left="0" w:firstLine="0"/>
        <w:rPr>
          <w:rFonts w:eastAsiaTheme="minorHAnsi"/>
          <w:sz w:val="26"/>
          <w:szCs w:val="26"/>
        </w:rPr>
      </w:pPr>
    </w:p>
    <w:p w14:paraId="115F5509" w14:textId="4CDC1416" w:rsidR="006D0F5A" w:rsidRPr="00D564C7" w:rsidRDefault="00F349A0" w:rsidP="00D564C7">
      <w:pPr>
        <w:keepNext/>
        <w:autoSpaceDE w:val="0"/>
        <w:autoSpaceDN w:val="0"/>
        <w:adjustRightInd w:val="0"/>
        <w:spacing w:after="0" w:line="360" w:lineRule="auto"/>
        <w:ind w:left="0" w:firstLine="0"/>
        <w:jc w:val="center"/>
        <w:rPr>
          <w:b/>
          <w:bCs/>
          <w:sz w:val="26"/>
          <w:szCs w:val="26"/>
        </w:rPr>
      </w:pPr>
      <w:r w:rsidRPr="00D564C7">
        <w:rPr>
          <w:b/>
          <w:bCs/>
          <w:sz w:val="26"/>
          <w:szCs w:val="26"/>
        </w:rPr>
        <w:t>Conclusion</w:t>
      </w:r>
    </w:p>
    <w:p w14:paraId="31FB6D6E" w14:textId="77777777" w:rsidR="00F349A0" w:rsidRPr="00D564C7" w:rsidRDefault="00F349A0" w:rsidP="00D564C7">
      <w:pPr>
        <w:keepNext/>
        <w:autoSpaceDE w:val="0"/>
        <w:autoSpaceDN w:val="0"/>
        <w:adjustRightInd w:val="0"/>
        <w:spacing w:after="0" w:line="360" w:lineRule="auto"/>
        <w:ind w:left="0" w:firstLine="0"/>
        <w:jc w:val="center"/>
        <w:rPr>
          <w:b/>
          <w:bCs/>
          <w:sz w:val="26"/>
          <w:szCs w:val="26"/>
        </w:rPr>
      </w:pPr>
    </w:p>
    <w:p w14:paraId="4558278D" w14:textId="7E138A67" w:rsidR="00F349A0" w:rsidRPr="00D564C7" w:rsidRDefault="00F349A0" w:rsidP="00D564C7">
      <w:pPr>
        <w:keepNext/>
        <w:autoSpaceDE w:val="0"/>
        <w:autoSpaceDN w:val="0"/>
        <w:adjustRightInd w:val="0"/>
        <w:spacing w:after="0" w:line="360" w:lineRule="auto"/>
        <w:ind w:left="0" w:firstLine="1440"/>
        <w:rPr>
          <w:b/>
          <w:bCs/>
          <w:sz w:val="26"/>
          <w:szCs w:val="26"/>
        </w:rPr>
      </w:pPr>
      <w:r w:rsidRPr="00D564C7">
        <w:rPr>
          <w:sz w:val="26"/>
          <w:szCs w:val="26"/>
        </w:rPr>
        <w:t xml:space="preserve">Based on the foregoing, we shall adopt the Initial Decision of ALJ Buckley, as modified, consistent with this Opinion and Order; </w:t>
      </w:r>
      <w:r w:rsidRPr="00D564C7">
        <w:rPr>
          <w:b/>
          <w:bCs/>
          <w:sz w:val="26"/>
          <w:szCs w:val="26"/>
        </w:rPr>
        <w:t>THEREFORE,</w:t>
      </w:r>
    </w:p>
    <w:p w14:paraId="4EB190CC" w14:textId="77777777" w:rsidR="00F349A0" w:rsidRPr="00D564C7" w:rsidRDefault="00F349A0" w:rsidP="00D564C7">
      <w:pPr>
        <w:autoSpaceDE w:val="0"/>
        <w:autoSpaceDN w:val="0"/>
        <w:adjustRightInd w:val="0"/>
        <w:spacing w:after="0" w:line="360" w:lineRule="auto"/>
        <w:ind w:left="0" w:firstLine="1440"/>
        <w:rPr>
          <w:sz w:val="26"/>
          <w:szCs w:val="26"/>
        </w:rPr>
      </w:pPr>
    </w:p>
    <w:p w14:paraId="41186838" w14:textId="77777777" w:rsidR="004412D5" w:rsidRPr="00D564C7" w:rsidRDefault="004412D5" w:rsidP="00D564C7">
      <w:pPr>
        <w:keepNext/>
        <w:keepLines/>
        <w:spacing w:after="0" w:line="360" w:lineRule="auto"/>
        <w:ind w:left="730" w:firstLine="710"/>
        <w:rPr>
          <w:b/>
          <w:color w:val="000000" w:themeColor="text1"/>
          <w:sz w:val="26"/>
          <w:szCs w:val="26"/>
        </w:rPr>
      </w:pPr>
      <w:r w:rsidRPr="00D564C7">
        <w:rPr>
          <w:b/>
          <w:color w:val="000000" w:themeColor="text1"/>
          <w:sz w:val="26"/>
          <w:szCs w:val="26"/>
        </w:rPr>
        <w:t>IT IS ORDERED:</w:t>
      </w:r>
    </w:p>
    <w:p w14:paraId="6062F732" w14:textId="77777777" w:rsidR="004412D5" w:rsidRPr="00D564C7" w:rsidRDefault="004412D5" w:rsidP="00D564C7">
      <w:pPr>
        <w:keepNext/>
        <w:keepLines/>
        <w:spacing w:after="0" w:line="360" w:lineRule="auto"/>
        <w:ind w:left="730" w:firstLine="710"/>
        <w:rPr>
          <w:b/>
          <w:color w:val="000000" w:themeColor="text1"/>
          <w:sz w:val="26"/>
          <w:szCs w:val="26"/>
        </w:rPr>
      </w:pPr>
    </w:p>
    <w:p w14:paraId="43B0F6AE" w14:textId="69281E14" w:rsidR="00930C26" w:rsidRPr="00D564C7" w:rsidRDefault="00930C26" w:rsidP="00D564C7">
      <w:pPr>
        <w:pStyle w:val="ListParagraph"/>
        <w:numPr>
          <w:ilvl w:val="0"/>
          <w:numId w:val="1"/>
        </w:numPr>
        <w:spacing w:line="360" w:lineRule="auto"/>
        <w:ind w:left="0" w:firstLine="1440"/>
        <w:rPr>
          <w:color w:val="000000" w:themeColor="text1"/>
          <w:sz w:val="26"/>
          <w:szCs w:val="26"/>
        </w:rPr>
      </w:pPr>
      <w:r w:rsidRPr="00D564C7">
        <w:rPr>
          <w:color w:val="000000" w:themeColor="text1"/>
          <w:sz w:val="26"/>
          <w:szCs w:val="26"/>
        </w:rPr>
        <w:t xml:space="preserve">That the Initial Decision of Administrative Law Judge Dennis J. Buckley issued on September </w:t>
      </w:r>
      <w:r w:rsidR="00AA54F7">
        <w:rPr>
          <w:color w:val="000000" w:themeColor="text1"/>
          <w:sz w:val="26"/>
          <w:szCs w:val="26"/>
        </w:rPr>
        <w:t>30</w:t>
      </w:r>
      <w:r w:rsidRPr="00D564C7">
        <w:rPr>
          <w:color w:val="000000" w:themeColor="text1"/>
          <w:sz w:val="26"/>
          <w:szCs w:val="26"/>
        </w:rPr>
        <w:t>, 2020, is adopted as modified, consistent with this Opinion and Order.</w:t>
      </w:r>
    </w:p>
    <w:p w14:paraId="14030A69" w14:textId="77777777" w:rsidR="00930C26" w:rsidRPr="00D564C7" w:rsidRDefault="00930C26" w:rsidP="00D564C7">
      <w:pPr>
        <w:pStyle w:val="ListParagraph"/>
        <w:spacing w:line="360" w:lineRule="auto"/>
        <w:ind w:left="1440"/>
        <w:rPr>
          <w:color w:val="000000" w:themeColor="text1"/>
          <w:sz w:val="26"/>
          <w:szCs w:val="26"/>
        </w:rPr>
      </w:pPr>
    </w:p>
    <w:p w14:paraId="5E1F4A8B" w14:textId="5D1B248B" w:rsidR="004A1C30" w:rsidRPr="004A1C30" w:rsidRDefault="004412D5" w:rsidP="00D564C7">
      <w:pPr>
        <w:pStyle w:val="ListParagraph"/>
        <w:widowControl/>
        <w:numPr>
          <w:ilvl w:val="0"/>
          <w:numId w:val="1"/>
        </w:numPr>
        <w:spacing w:line="360" w:lineRule="auto"/>
        <w:ind w:left="0" w:firstLine="1440"/>
        <w:rPr>
          <w:color w:val="000000" w:themeColor="text1"/>
          <w:sz w:val="26"/>
          <w:szCs w:val="26"/>
        </w:rPr>
      </w:pPr>
      <w:r w:rsidRPr="00D564C7">
        <w:rPr>
          <w:color w:val="000000" w:themeColor="text1"/>
          <w:sz w:val="26"/>
          <w:szCs w:val="26"/>
        </w:rPr>
        <w:t xml:space="preserve"> </w:t>
      </w:r>
      <w:r w:rsidR="004A1C30" w:rsidRPr="00B9379E">
        <w:rPr>
          <w:sz w:val="26"/>
          <w:szCs w:val="26"/>
        </w:rPr>
        <w:t xml:space="preserve">That the </w:t>
      </w:r>
      <w:r w:rsidR="00AA54F7">
        <w:rPr>
          <w:sz w:val="26"/>
          <w:szCs w:val="26"/>
        </w:rPr>
        <w:t>M</w:t>
      </w:r>
      <w:r w:rsidR="004A1C30" w:rsidRPr="00B9379E">
        <w:rPr>
          <w:sz w:val="26"/>
          <w:szCs w:val="26"/>
        </w:rPr>
        <w:t>otion of P</w:t>
      </w:r>
      <w:r w:rsidR="004A1C30">
        <w:rPr>
          <w:sz w:val="26"/>
          <w:szCs w:val="26"/>
        </w:rPr>
        <w:t>PL</w:t>
      </w:r>
      <w:r w:rsidR="004A1C30" w:rsidRPr="00B9379E">
        <w:rPr>
          <w:sz w:val="26"/>
          <w:szCs w:val="26"/>
        </w:rPr>
        <w:t xml:space="preserve"> E</w:t>
      </w:r>
      <w:r w:rsidR="00EF5D46">
        <w:rPr>
          <w:sz w:val="26"/>
          <w:szCs w:val="26"/>
        </w:rPr>
        <w:t>lectric Utilities Corporation</w:t>
      </w:r>
      <w:r w:rsidR="004A1C30">
        <w:rPr>
          <w:sz w:val="26"/>
          <w:szCs w:val="26"/>
        </w:rPr>
        <w:t xml:space="preserve"> to dismiss the F</w:t>
      </w:r>
      <w:r w:rsidR="004A1C30" w:rsidRPr="00B9379E">
        <w:rPr>
          <w:sz w:val="26"/>
          <w:szCs w:val="26"/>
        </w:rPr>
        <w:t xml:space="preserve">ormal Complaint of </w:t>
      </w:r>
      <w:r w:rsidR="004A1C30">
        <w:rPr>
          <w:sz w:val="26"/>
          <w:szCs w:val="26"/>
        </w:rPr>
        <w:t xml:space="preserve">Christopher </w:t>
      </w:r>
      <w:proofErr w:type="spellStart"/>
      <w:r w:rsidR="004A1C30">
        <w:rPr>
          <w:sz w:val="26"/>
          <w:szCs w:val="26"/>
        </w:rPr>
        <w:t>Foti</w:t>
      </w:r>
      <w:proofErr w:type="spellEnd"/>
      <w:r w:rsidR="004A1C30">
        <w:rPr>
          <w:sz w:val="26"/>
          <w:szCs w:val="26"/>
        </w:rPr>
        <w:t xml:space="preserve"> </w:t>
      </w:r>
      <w:r w:rsidR="00EF5D46">
        <w:rPr>
          <w:sz w:val="26"/>
          <w:szCs w:val="26"/>
        </w:rPr>
        <w:t xml:space="preserve">at </w:t>
      </w:r>
      <w:r w:rsidR="004A1C30" w:rsidRPr="00B9379E">
        <w:rPr>
          <w:sz w:val="26"/>
          <w:szCs w:val="26"/>
        </w:rPr>
        <w:t>Docket No. C-20</w:t>
      </w:r>
      <w:r w:rsidR="004A1C30">
        <w:rPr>
          <w:sz w:val="26"/>
          <w:szCs w:val="26"/>
        </w:rPr>
        <w:t>20</w:t>
      </w:r>
      <w:r w:rsidR="004A1C30" w:rsidRPr="00B9379E">
        <w:rPr>
          <w:sz w:val="26"/>
          <w:szCs w:val="26"/>
        </w:rPr>
        <w:t>-</w:t>
      </w:r>
      <w:r w:rsidR="004A1C30">
        <w:rPr>
          <w:sz w:val="26"/>
          <w:szCs w:val="26"/>
        </w:rPr>
        <w:t>3015285</w:t>
      </w:r>
      <w:r w:rsidR="004A1C30" w:rsidRPr="00B9379E">
        <w:rPr>
          <w:sz w:val="26"/>
          <w:szCs w:val="26"/>
        </w:rPr>
        <w:t xml:space="preserve"> is granted</w:t>
      </w:r>
      <w:r w:rsidR="004A1C30">
        <w:rPr>
          <w:sz w:val="26"/>
          <w:szCs w:val="26"/>
        </w:rPr>
        <w:t>, in part, and denied, in part, consistent with this Opinion and Order</w:t>
      </w:r>
      <w:r w:rsidR="004A1C30" w:rsidRPr="00B9379E">
        <w:rPr>
          <w:sz w:val="26"/>
          <w:szCs w:val="26"/>
        </w:rPr>
        <w:t>.</w:t>
      </w:r>
    </w:p>
    <w:p w14:paraId="717B9CD8" w14:textId="77777777" w:rsidR="004A1C30" w:rsidRPr="004A1C30" w:rsidRDefault="004A1C30" w:rsidP="004A1C30">
      <w:pPr>
        <w:pStyle w:val="ListParagraph"/>
        <w:spacing w:line="360" w:lineRule="auto"/>
        <w:rPr>
          <w:color w:val="000000" w:themeColor="text1"/>
          <w:sz w:val="26"/>
          <w:szCs w:val="26"/>
        </w:rPr>
      </w:pPr>
    </w:p>
    <w:p w14:paraId="40610246" w14:textId="7555E074" w:rsidR="004412D5" w:rsidRPr="00D564C7" w:rsidRDefault="00930C26" w:rsidP="00D564C7">
      <w:pPr>
        <w:pStyle w:val="ListParagraph"/>
        <w:widowControl/>
        <w:numPr>
          <w:ilvl w:val="0"/>
          <w:numId w:val="1"/>
        </w:numPr>
        <w:spacing w:line="360" w:lineRule="auto"/>
        <w:ind w:left="0" w:firstLine="1440"/>
        <w:rPr>
          <w:color w:val="000000" w:themeColor="text1"/>
          <w:sz w:val="26"/>
          <w:szCs w:val="26"/>
        </w:rPr>
      </w:pPr>
      <w:r w:rsidRPr="00D564C7">
        <w:rPr>
          <w:color w:val="000000" w:themeColor="text1"/>
          <w:sz w:val="26"/>
          <w:szCs w:val="26"/>
        </w:rPr>
        <w:lastRenderedPageBreak/>
        <w:t xml:space="preserve">That the </w:t>
      </w:r>
      <w:r w:rsidR="004A1C30">
        <w:rPr>
          <w:color w:val="000000" w:themeColor="text1"/>
          <w:sz w:val="26"/>
          <w:szCs w:val="26"/>
        </w:rPr>
        <w:t>F</w:t>
      </w:r>
      <w:r w:rsidRPr="00D564C7">
        <w:rPr>
          <w:color w:val="000000" w:themeColor="text1"/>
          <w:sz w:val="26"/>
          <w:szCs w:val="26"/>
        </w:rPr>
        <w:t xml:space="preserve">ormal Complaint filed by Christopher </w:t>
      </w:r>
      <w:proofErr w:type="spellStart"/>
      <w:r w:rsidRPr="00D564C7">
        <w:rPr>
          <w:color w:val="000000" w:themeColor="text1"/>
          <w:sz w:val="26"/>
          <w:szCs w:val="26"/>
        </w:rPr>
        <w:t>Foti</w:t>
      </w:r>
      <w:proofErr w:type="spellEnd"/>
      <w:r w:rsidRPr="00D564C7">
        <w:rPr>
          <w:color w:val="000000" w:themeColor="text1"/>
          <w:sz w:val="26"/>
          <w:szCs w:val="26"/>
        </w:rPr>
        <w:t xml:space="preserve"> on January </w:t>
      </w:r>
      <w:r w:rsidR="00830744">
        <w:rPr>
          <w:color w:val="000000" w:themeColor="text1"/>
          <w:sz w:val="26"/>
          <w:szCs w:val="26"/>
        </w:rPr>
        <w:t>2</w:t>
      </w:r>
      <w:r w:rsidRPr="00D564C7">
        <w:rPr>
          <w:color w:val="000000" w:themeColor="text1"/>
          <w:sz w:val="26"/>
          <w:szCs w:val="26"/>
        </w:rPr>
        <w:t>, 2020, at Docket Number C-2020-3015285, is dismissed</w:t>
      </w:r>
      <w:r w:rsidR="00E83FDD" w:rsidRPr="00D564C7">
        <w:rPr>
          <w:color w:val="000000" w:themeColor="text1"/>
          <w:sz w:val="26"/>
          <w:szCs w:val="26"/>
        </w:rPr>
        <w:t>,</w:t>
      </w:r>
      <w:r w:rsidRPr="00D564C7">
        <w:rPr>
          <w:color w:val="000000" w:themeColor="text1"/>
          <w:sz w:val="26"/>
          <w:szCs w:val="26"/>
        </w:rPr>
        <w:t xml:space="preserve"> without prejudice</w:t>
      </w:r>
      <w:r w:rsidR="00956882" w:rsidRPr="00D564C7">
        <w:rPr>
          <w:color w:val="000000" w:themeColor="text1"/>
          <w:sz w:val="26"/>
          <w:szCs w:val="26"/>
        </w:rPr>
        <w:t>, consistent with this Opinion and Order.</w:t>
      </w:r>
    </w:p>
    <w:p w14:paraId="64A0FB9D" w14:textId="2A028552" w:rsidR="004412D5" w:rsidRPr="00D564C7" w:rsidRDefault="004412D5" w:rsidP="00D564C7">
      <w:pPr>
        <w:pStyle w:val="ListParagraph"/>
        <w:spacing w:line="360" w:lineRule="auto"/>
        <w:ind w:left="0"/>
        <w:rPr>
          <w:color w:val="000000" w:themeColor="text1"/>
          <w:sz w:val="26"/>
          <w:szCs w:val="26"/>
        </w:rPr>
      </w:pPr>
    </w:p>
    <w:p w14:paraId="6188EF59" w14:textId="1E57C9F7" w:rsidR="004412D5" w:rsidRPr="00D564C7" w:rsidRDefault="00CB1CF6" w:rsidP="00B70B0D">
      <w:pPr>
        <w:pStyle w:val="ListParagraph"/>
        <w:keepNext/>
        <w:keepLines/>
        <w:widowControl/>
        <w:numPr>
          <w:ilvl w:val="0"/>
          <w:numId w:val="1"/>
        </w:numPr>
        <w:spacing w:line="360" w:lineRule="auto"/>
        <w:ind w:left="0" w:firstLine="1440"/>
        <w:rPr>
          <w:color w:val="000000" w:themeColor="text1"/>
          <w:sz w:val="26"/>
          <w:szCs w:val="26"/>
        </w:rPr>
      </w:pPr>
      <w:r w:rsidRPr="00D564C7">
        <w:rPr>
          <w:color w:val="000000" w:themeColor="text1"/>
          <w:sz w:val="26"/>
          <w:szCs w:val="26"/>
        </w:rPr>
        <w:t>That the proceeding at Docket No. C-2020-3015285 be marked closed.</w:t>
      </w:r>
    </w:p>
    <w:p w14:paraId="559C238F" w14:textId="5A997AED" w:rsidR="004412D5" w:rsidRPr="00D564C7" w:rsidRDefault="004412D5" w:rsidP="00BE4AC8">
      <w:pPr>
        <w:keepNext/>
        <w:keepLines/>
        <w:spacing w:after="0"/>
        <w:ind w:left="0" w:firstLine="0"/>
        <w:rPr>
          <w:color w:val="000000" w:themeColor="text1"/>
          <w:sz w:val="26"/>
          <w:szCs w:val="26"/>
        </w:rPr>
      </w:pPr>
    </w:p>
    <w:p w14:paraId="2857F464" w14:textId="28EBD289" w:rsidR="004412D5" w:rsidRPr="00D564C7" w:rsidRDefault="00B40D0F" w:rsidP="00650E98">
      <w:pPr>
        <w:keepNext/>
        <w:keepLines/>
        <w:spacing w:after="0" w:line="240" w:lineRule="auto"/>
        <w:ind w:left="5040"/>
        <w:rPr>
          <w:b/>
          <w:color w:val="000000" w:themeColor="text1"/>
          <w:sz w:val="26"/>
          <w:szCs w:val="26"/>
        </w:rPr>
      </w:pPr>
      <w:r>
        <w:rPr>
          <w:noProof/>
        </w:rPr>
        <w:drawing>
          <wp:anchor distT="0" distB="0" distL="114300" distR="114300" simplePos="0" relativeHeight="251658240" behindDoc="1" locked="0" layoutInCell="1" allowOverlap="1" wp14:anchorId="4529370D" wp14:editId="758265B9">
            <wp:simplePos x="0" y="0"/>
            <wp:positionH relativeFrom="column">
              <wp:posOffset>3200400</wp:posOffset>
            </wp:positionH>
            <wp:positionV relativeFrom="paragraph">
              <wp:posOffset>128270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12D5" w:rsidRPr="00D564C7">
        <w:rPr>
          <w:color w:val="000000" w:themeColor="text1"/>
          <w:sz w:val="26"/>
          <w:szCs w:val="26"/>
        </w:rPr>
        <w:tab/>
      </w:r>
      <w:r w:rsidR="004412D5" w:rsidRPr="00D564C7">
        <w:rPr>
          <w:b/>
          <w:color w:val="000000" w:themeColor="text1"/>
          <w:sz w:val="26"/>
          <w:szCs w:val="26"/>
        </w:rPr>
        <w:t>BY THE COMMISSION,</w:t>
      </w:r>
    </w:p>
    <w:p w14:paraId="51477226" w14:textId="77777777" w:rsidR="004412D5" w:rsidRPr="00D564C7" w:rsidRDefault="004412D5" w:rsidP="007D496F">
      <w:pPr>
        <w:keepNext/>
        <w:keepLines/>
        <w:spacing w:after="0" w:line="240" w:lineRule="auto"/>
        <w:ind w:left="5040" w:firstLine="0"/>
        <w:rPr>
          <w:color w:val="000000" w:themeColor="text1"/>
          <w:sz w:val="26"/>
          <w:szCs w:val="26"/>
        </w:rPr>
      </w:pPr>
    </w:p>
    <w:p w14:paraId="3CF30322" w14:textId="77777777" w:rsidR="004412D5" w:rsidRPr="00D564C7" w:rsidRDefault="004412D5">
      <w:pPr>
        <w:keepNext/>
        <w:keepLines/>
        <w:spacing w:after="0" w:line="240" w:lineRule="auto"/>
        <w:ind w:left="5040" w:firstLine="0"/>
        <w:rPr>
          <w:color w:val="000000" w:themeColor="text1"/>
          <w:sz w:val="26"/>
          <w:szCs w:val="26"/>
        </w:rPr>
      </w:pPr>
    </w:p>
    <w:p w14:paraId="51CBF555" w14:textId="77777777" w:rsidR="004412D5" w:rsidRPr="00D564C7" w:rsidRDefault="004412D5">
      <w:pPr>
        <w:keepNext/>
        <w:keepLines/>
        <w:spacing w:after="0" w:line="240" w:lineRule="auto"/>
        <w:ind w:left="5040" w:firstLine="0"/>
        <w:rPr>
          <w:color w:val="000000" w:themeColor="text1"/>
          <w:sz w:val="26"/>
          <w:szCs w:val="26"/>
        </w:rPr>
      </w:pPr>
    </w:p>
    <w:p w14:paraId="188FB0BF" w14:textId="77777777" w:rsidR="004412D5" w:rsidRPr="00D564C7" w:rsidRDefault="004412D5" w:rsidP="00D564C7">
      <w:pPr>
        <w:keepNext/>
        <w:keepLines/>
        <w:spacing w:after="0" w:line="240" w:lineRule="auto"/>
        <w:ind w:left="5040" w:firstLine="0"/>
        <w:rPr>
          <w:color w:val="000000" w:themeColor="text1"/>
          <w:sz w:val="26"/>
          <w:szCs w:val="26"/>
        </w:rPr>
      </w:pPr>
    </w:p>
    <w:p w14:paraId="5B7C5452" w14:textId="77777777" w:rsidR="004412D5" w:rsidRPr="00D564C7" w:rsidRDefault="004412D5" w:rsidP="00D564C7">
      <w:pPr>
        <w:keepNext/>
        <w:keepLines/>
        <w:spacing w:after="0" w:line="240" w:lineRule="auto"/>
        <w:ind w:left="5040" w:hanging="14"/>
        <w:rPr>
          <w:color w:val="000000" w:themeColor="text1"/>
          <w:sz w:val="26"/>
          <w:szCs w:val="26"/>
        </w:rPr>
      </w:pPr>
      <w:r w:rsidRPr="00D564C7">
        <w:rPr>
          <w:color w:val="000000" w:themeColor="text1"/>
          <w:sz w:val="26"/>
          <w:szCs w:val="26"/>
        </w:rPr>
        <w:tab/>
        <w:t>Rosemary Chiavetta</w:t>
      </w:r>
    </w:p>
    <w:p w14:paraId="4BBBABD3" w14:textId="77777777" w:rsidR="004412D5" w:rsidRPr="00D564C7" w:rsidRDefault="004412D5" w:rsidP="00D564C7">
      <w:pPr>
        <w:keepNext/>
        <w:keepLines/>
        <w:spacing w:after="0" w:line="240" w:lineRule="auto"/>
        <w:ind w:left="5040" w:hanging="14"/>
        <w:rPr>
          <w:color w:val="000000" w:themeColor="text1"/>
          <w:sz w:val="26"/>
          <w:szCs w:val="26"/>
        </w:rPr>
      </w:pPr>
      <w:r w:rsidRPr="00D564C7">
        <w:rPr>
          <w:color w:val="000000" w:themeColor="text1"/>
          <w:sz w:val="26"/>
          <w:szCs w:val="26"/>
        </w:rPr>
        <w:tab/>
        <w:t>Secretary</w:t>
      </w:r>
    </w:p>
    <w:p w14:paraId="79BB95EA" w14:textId="77777777" w:rsidR="004412D5" w:rsidRPr="00D564C7" w:rsidRDefault="004412D5" w:rsidP="00D564C7">
      <w:pPr>
        <w:keepNext/>
        <w:keepLines/>
        <w:tabs>
          <w:tab w:val="left" w:pos="-720"/>
        </w:tabs>
        <w:suppressAutoHyphens/>
        <w:spacing w:after="0" w:line="240" w:lineRule="auto"/>
        <w:rPr>
          <w:color w:val="000000" w:themeColor="text1"/>
          <w:sz w:val="26"/>
          <w:szCs w:val="26"/>
        </w:rPr>
      </w:pPr>
    </w:p>
    <w:p w14:paraId="2C73312A" w14:textId="77777777" w:rsidR="004412D5" w:rsidRPr="00D564C7" w:rsidRDefault="004412D5" w:rsidP="00D564C7">
      <w:pPr>
        <w:keepNext/>
        <w:keepLines/>
        <w:tabs>
          <w:tab w:val="left" w:pos="-720"/>
        </w:tabs>
        <w:suppressAutoHyphens/>
        <w:spacing w:after="0" w:line="240" w:lineRule="auto"/>
        <w:rPr>
          <w:color w:val="000000" w:themeColor="text1"/>
          <w:sz w:val="26"/>
          <w:szCs w:val="26"/>
        </w:rPr>
      </w:pPr>
    </w:p>
    <w:p w14:paraId="5A31D52C" w14:textId="77777777" w:rsidR="004412D5" w:rsidRPr="00D564C7" w:rsidRDefault="004412D5" w:rsidP="00D564C7">
      <w:pPr>
        <w:keepNext/>
        <w:keepLines/>
        <w:tabs>
          <w:tab w:val="left" w:pos="-720"/>
        </w:tabs>
        <w:suppressAutoHyphens/>
        <w:spacing w:after="0" w:line="240" w:lineRule="auto"/>
        <w:rPr>
          <w:color w:val="000000" w:themeColor="text1"/>
          <w:sz w:val="26"/>
          <w:szCs w:val="26"/>
        </w:rPr>
      </w:pPr>
      <w:r w:rsidRPr="00D564C7">
        <w:rPr>
          <w:color w:val="000000" w:themeColor="text1"/>
          <w:sz w:val="26"/>
          <w:szCs w:val="26"/>
        </w:rPr>
        <w:t>(SEAL)</w:t>
      </w:r>
    </w:p>
    <w:p w14:paraId="44CBECAC" w14:textId="77777777" w:rsidR="004412D5" w:rsidRPr="00D564C7" w:rsidRDefault="004412D5" w:rsidP="00D564C7">
      <w:pPr>
        <w:keepNext/>
        <w:keepLines/>
        <w:tabs>
          <w:tab w:val="left" w:pos="-720"/>
        </w:tabs>
        <w:suppressAutoHyphens/>
        <w:spacing w:after="0" w:line="240" w:lineRule="auto"/>
        <w:rPr>
          <w:color w:val="000000" w:themeColor="text1"/>
          <w:sz w:val="26"/>
          <w:szCs w:val="26"/>
        </w:rPr>
      </w:pPr>
    </w:p>
    <w:p w14:paraId="5E436DB5" w14:textId="0B123036" w:rsidR="004412D5" w:rsidRPr="00D564C7" w:rsidRDefault="004412D5" w:rsidP="00D564C7">
      <w:pPr>
        <w:keepNext/>
        <w:keepLines/>
        <w:tabs>
          <w:tab w:val="left" w:pos="-720"/>
        </w:tabs>
        <w:suppressAutoHyphens/>
        <w:spacing w:after="0" w:line="240" w:lineRule="auto"/>
        <w:rPr>
          <w:color w:val="000000" w:themeColor="text1"/>
          <w:sz w:val="26"/>
          <w:szCs w:val="26"/>
        </w:rPr>
      </w:pPr>
      <w:r w:rsidRPr="00D564C7">
        <w:rPr>
          <w:color w:val="000000" w:themeColor="text1"/>
          <w:sz w:val="26"/>
          <w:szCs w:val="26"/>
        </w:rPr>
        <w:t>ORDER ADOPTED:  November 19, 2020</w:t>
      </w:r>
    </w:p>
    <w:p w14:paraId="5BD48FD2" w14:textId="77777777" w:rsidR="004412D5" w:rsidRPr="00D564C7" w:rsidRDefault="004412D5" w:rsidP="00D564C7">
      <w:pPr>
        <w:keepNext/>
        <w:keepLines/>
        <w:tabs>
          <w:tab w:val="left" w:pos="-720"/>
        </w:tabs>
        <w:suppressAutoHyphens/>
        <w:spacing w:after="0" w:line="240" w:lineRule="auto"/>
        <w:rPr>
          <w:color w:val="000000" w:themeColor="text1"/>
          <w:sz w:val="26"/>
          <w:szCs w:val="26"/>
        </w:rPr>
      </w:pPr>
    </w:p>
    <w:p w14:paraId="79515AE1" w14:textId="79F8A862" w:rsidR="004412D5" w:rsidRPr="00D564C7" w:rsidRDefault="004412D5" w:rsidP="00D564C7">
      <w:pPr>
        <w:keepNext/>
        <w:keepLines/>
        <w:tabs>
          <w:tab w:val="left" w:pos="-720"/>
        </w:tabs>
        <w:suppressAutoHyphens/>
        <w:spacing w:after="0" w:line="240" w:lineRule="auto"/>
        <w:rPr>
          <w:color w:val="auto"/>
          <w:sz w:val="26"/>
          <w:szCs w:val="26"/>
        </w:rPr>
      </w:pPr>
      <w:r w:rsidRPr="00D564C7">
        <w:rPr>
          <w:color w:val="000000" w:themeColor="text1"/>
          <w:sz w:val="26"/>
          <w:szCs w:val="26"/>
        </w:rPr>
        <w:t>ORDER ENTERED:</w:t>
      </w:r>
      <w:r w:rsidR="00E83FDD" w:rsidRPr="00D564C7">
        <w:rPr>
          <w:color w:val="auto"/>
          <w:sz w:val="26"/>
          <w:szCs w:val="26"/>
        </w:rPr>
        <w:t xml:space="preserve">  </w:t>
      </w:r>
      <w:r w:rsidR="00B40D0F">
        <w:rPr>
          <w:color w:val="auto"/>
          <w:sz w:val="26"/>
          <w:szCs w:val="26"/>
        </w:rPr>
        <w:t>December 24, 2020</w:t>
      </w:r>
    </w:p>
    <w:sectPr w:rsidR="004412D5" w:rsidRPr="00D564C7" w:rsidSect="00E55634">
      <w:foot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62D4F" w14:textId="77777777" w:rsidR="0035540B" w:rsidRDefault="0035540B" w:rsidP="000935BF">
      <w:pPr>
        <w:spacing w:after="0" w:line="240" w:lineRule="auto"/>
      </w:pPr>
      <w:r>
        <w:separator/>
      </w:r>
    </w:p>
  </w:endnote>
  <w:endnote w:type="continuationSeparator" w:id="0">
    <w:p w14:paraId="7C36E903" w14:textId="77777777" w:rsidR="0035540B" w:rsidRDefault="0035540B" w:rsidP="00093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0588687"/>
      <w:docPartObj>
        <w:docPartGallery w:val="Page Numbers (Bottom of Page)"/>
        <w:docPartUnique/>
      </w:docPartObj>
    </w:sdtPr>
    <w:sdtEndPr>
      <w:rPr>
        <w:noProof/>
        <w:sz w:val="26"/>
        <w:szCs w:val="26"/>
      </w:rPr>
    </w:sdtEndPr>
    <w:sdtContent>
      <w:p w14:paraId="0417895F" w14:textId="44B0FD8A" w:rsidR="00E55634" w:rsidRPr="00E55634" w:rsidRDefault="00E55634" w:rsidP="00E55634">
        <w:pPr>
          <w:pStyle w:val="Footer"/>
          <w:jc w:val="center"/>
          <w:rPr>
            <w:sz w:val="26"/>
            <w:szCs w:val="26"/>
          </w:rPr>
        </w:pPr>
        <w:r w:rsidRPr="00E55634">
          <w:rPr>
            <w:sz w:val="26"/>
            <w:szCs w:val="26"/>
          </w:rPr>
          <w:fldChar w:fldCharType="begin"/>
        </w:r>
        <w:r w:rsidRPr="00E55634">
          <w:rPr>
            <w:sz w:val="26"/>
            <w:szCs w:val="26"/>
          </w:rPr>
          <w:instrText xml:space="preserve"> PAGE   \* MERGEFORMAT </w:instrText>
        </w:r>
        <w:r w:rsidRPr="00E55634">
          <w:rPr>
            <w:sz w:val="26"/>
            <w:szCs w:val="26"/>
          </w:rPr>
          <w:fldChar w:fldCharType="separate"/>
        </w:r>
        <w:r w:rsidRPr="00E55634">
          <w:rPr>
            <w:noProof/>
            <w:sz w:val="26"/>
            <w:szCs w:val="26"/>
          </w:rPr>
          <w:t>2</w:t>
        </w:r>
        <w:r w:rsidRPr="00E55634">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DD6F9" w14:textId="77777777" w:rsidR="0035540B" w:rsidRDefault="0035540B" w:rsidP="000935BF">
      <w:pPr>
        <w:spacing w:after="0" w:line="240" w:lineRule="auto"/>
      </w:pPr>
      <w:r>
        <w:separator/>
      </w:r>
    </w:p>
  </w:footnote>
  <w:footnote w:type="continuationSeparator" w:id="0">
    <w:p w14:paraId="0A4DFAD0" w14:textId="77777777" w:rsidR="0035540B" w:rsidRDefault="0035540B" w:rsidP="000935BF">
      <w:pPr>
        <w:spacing w:after="0" w:line="240" w:lineRule="auto"/>
      </w:pPr>
      <w:r>
        <w:continuationSeparator/>
      </w:r>
    </w:p>
  </w:footnote>
  <w:footnote w:id="1">
    <w:p w14:paraId="10F664BB" w14:textId="7A90BAEC" w:rsidR="000935BF" w:rsidRPr="000935BF" w:rsidRDefault="000935BF" w:rsidP="000935BF">
      <w:pPr>
        <w:pStyle w:val="FootnoteText"/>
        <w:ind w:firstLine="710"/>
        <w:rPr>
          <w:sz w:val="26"/>
          <w:szCs w:val="26"/>
        </w:rPr>
      </w:pPr>
      <w:r w:rsidRPr="000935BF">
        <w:rPr>
          <w:rStyle w:val="FootnoteReference"/>
          <w:sz w:val="26"/>
          <w:szCs w:val="26"/>
        </w:rPr>
        <w:footnoteRef/>
      </w:r>
      <w:r>
        <w:rPr>
          <w:sz w:val="26"/>
          <w:szCs w:val="26"/>
        </w:rPr>
        <w:tab/>
      </w:r>
      <w:r w:rsidR="00605D2E">
        <w:rPr>
          <w:sz w:val="26"/>
          <w:szCs w:val="26"/>
        </w:rPr>
        <w:t>T</w:t>
      </w:r>
      <w:r w:rsidRPr="000935BF">
        <w:rPr>
          <w:sz w:val="26"/>
          <w:szCs w:val="26"/>
        </w:rPr>
        <w:t xml:space="preserve">he Commission’s offices were closed beginning on March 16, 2020, pursuant to an Executive Order issued by the Pennsylvania Deputy Secretary for Human Resources and Management in response to the COVID-19 pandemic. </w:t>
      </w:r>
      <w:r w:rsidR="00605D2E">
        <w:rPr>
          <w:sz w:val="26"/>
          <w:szCs w:val="26"/>
        </w:rPr>
        <w:t xml:space="preserve"> </w:t>
      </w:r>
      <w:r w:rsidRPr="000935BF">
        <w:rPr>
          <w:sz w:val="26"/>
          <w:szCs w:val="26"/>
        </w:rPr>
        <w:t>However, the Commission continued working remotely.</w:t>
      </w:r>
      <w:r w:rsidR="00CC4EC4">
        <w:rPr>
          <w:sz w:val="26"/>
          <w:szCs w:val="26"/>
        </w:rPr>
        <w:t xml:space="preserve"> </w:t>
      </w:r>
      <w:r w:rsidRPr="000935BF">
        <w:rPr>
          <w:sz w:val="26"/>
          <w:szCs w:val="26"/>
        </w:rPr>
        <w:t xml:space="preserve"> </w:t>
      </w:r>
      <w:r w:rsidR="00605D2E">
        <w:rPr>
          <w:sz w:val="26"/>
          <w:szCs w:val="26"/>
        </w:rPr>
        <w:t xml:space="preserve">ALJ Buckley thought it was prudent to reschedule the matter for a further hearing due to the fact of neither </w:t>
      </w:r>
      <w:r w:rsidR="006D4E95">
        <w:rPr>
          <w:sz w:val="26"/>
          <w:szCs w:val="26"/>
        </w:rPr>
        <w:t>P</w:t>
      </w:r>
      <w:r w:rsidR="00605D2E">
        <w:rPr>
          <w:sz w:val="26"/>
          <w:szCs w:val="26"/>
        </w:rPr>
        <w:t>arty appearing for the April 28, 2020 hearing</w:t>
      </w:r>
      <w:r w:rsidRPr="000935BF">
        <w:rPr>
          <w:sz w:val="26"/>
          <w:szCs w:val="26"/>
        </w:rPr>
        <w:t>.</w:t>
      </w:r>
    </w:p>
  </w:footnote>
  <w:footnote w:id="2">
    <w:p w14:paraId="70629B42" w14:textId="77777777" w:rsidR="00E57C6D" w:rsidRDefault="00E57C6D" w:rsidP="00E57C6D">
      <w:pPr>
        <w:pStyle w:val="FootnoteText"/>
        <w:ind w:firstLine="710"/>
      </w:pPr>
      <w:r>
        <w:rPr>
          <w:rStyle w:val="FootnoteReference"/>
        </w:rPr>
        <w:footnoteRef/>
      </w:r>
      <w:r>
        <w:t xml:space="preserve"> </w:t>
      </w:r>
      <w:r>
        <w:tab/>
      </w:r>
      <w:r>
        <w:rPr>
          <w:sz w:val="26"/>
          <w:szCs w:val="26"/>
        </w:rPr>
        <w:t>A dismissal “</w:t>
      </w:r>
      <w:r w:rsidRPr="000616F4">
        <w:rPr>
          <w:sz w:val="26"/>
          <w:szCs w:val="26"/>
        </w:rPr>
        <w:t>with prejudice</w:t>
      </w:r>
      <w:r>
        <w:rPr>
          <w:sz w:val="26"/>
          <w:szCs w:val="26"/>
        </w:rPr>
        <w:t>” means that the Complainant is barred from filing another complaint with the Commission raising any issues or claims arising under the Complaint.</w:t>
      </w:r>
    </w:p>
  </w:footnote>
  <w:footnote w:id="3">
    <w:p w14:paraId="74701806" w14:textId="0115F6BE" w:rsidR="006D0F5A" w:rsidRPr="006D0F5A" w:rsidRDefault="006D0F5A" w:rsidP="006D0F5A">
      <w:pPr>
        <w:pStyle w:val="Default"/>
        <w:ind w:firstLine="720"/>
        <w:rPr>
          <w:sz w:val="26"/>
          <w:szCs w:val="26"/>
        </w:rPr>
      </w:pPr>
      <w:r w:rsidRPr="006D0F5A">
        <w:rPr>
          <w:rStyle w:val="FootnoteReference"/>
          <w:sz w:val="26"/>
          <w:szCs w:val="26"/>
        </w:rPr>
        <w:footnoteRef/>
      </w:r>
      <w:r w:rsidRPr="006D0F5A">
        <w:rPr>
          <w:sz w:val="26"/>
          <w:szCs w:val="26"/>
        </w:rPr>
        <w:t xml:space="preserve"> </w:t>
      </w:r>
      <w:r w:rsidRPr="006D0F5A">
        <w:rPr>
          <w:sz w:val="26"/>
          <w:szCs w:val="26"/>
        </w:rPr>
        <w:tab/>
      </w:r>
      <w:r w:rsidRPr="006D0F5A">
        <w:rPr>
          <w:i/>
          <w:iCs/>
          <w:sz w:val="26"/>
          <w:szCs w:val="26"/>
        </w:rPr>
        <w:t>Windell C. Wiggins v. PECO Energy Company</w:t>
      </w:r>
      <w:r w:rsidRPr="006D0F5A">
        <w:rPr>
          <w:sz w:val="26"/>
          <w:szCs w:val="26"/>
        </w:rPr>
        <w:t>, Docket No. C</w:t>
      </w:r>
      <w:r>
        <w:rPr>
          <w:sz w:val="26"/>
          <w:szCs w:val="26"/>
        </w:rPr>
        <w:noBreakHyphen/>
      </w:r>
      <w:r w:rsidRPr="006D0F5A">
        <w:rPr>
          <w:sz w:val="26"/>
          <w:szCs w:val="26"/>
        </w:rPr>
        <w:t>2010</w:t>
      </w:r>
      <w:r>
        <w:rPr>
          <w:sz w:val="26"/>
          <w:szCs w:val="26"/>
        </w:rPr>
        <w:noBreakHyphen/>
      </w:r>
      <w:r w:rsidRPr="006D0F5A">
        <w:rPr>
          <w:sz w:val="26"/>
          <w:szCs w:val="26"/>
        </w:rPr>
        <w:t xml:space="preserve">2190335 (Order entered October 27, 2011).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B33302"/>
    <w:multiLevelType w:val="hybridMultilevel"/>
    <w:tmpl w:val="5FACD36E"/>
    <w:lvl w:ilvl="0" w:tplc="3EC42EB6">
      <w:start w:val="1"/>
      <w:numFmt w:val="decimal"/>
      <w:lvlText w:val="%1."/>
      <w:lvlJc w:val="left"/>
      <w:pPr>
        <w:ind w:left="513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D5"/>
    <w:rsid w:val="00002C98"/>
    <w:rsid w:val="0002690D"/>
    <w:rsid w:val="00044700"/>
    <w:rsid w:val="00052F46"/>
    <w:rsid w:val="00064FCE"/>
    <w:rsid w:val="0008445E"/>
    <w:rsid w:val="000935BF"/>
    <w:rsid w:val="000B0E62"/>
    <w:rsid w:val="000B53F3"/>
    <w:rsid w:val="000D3DE9"/>
    <w:rsid w:val="00101DAB"/>
    <w:rsid w:val="001125A7"/>
    <w:rsid w:val="00172DC6"/>
    <w:rsid w:val="00190F4B"/>
    <w:rsid w:val="00196E92"/>
    <w:rsid w:val="00197B15"/>
    <w:rsid w:val="00197FF5"/>
    <w:rsid w:val="00213B4F"/>
    <w:rsid w:val="002F05F4"/>
    <w:rsid w:val="0030768D"/>
    <w:rsid w:val="00324685"/>
    <w:rsid w:val="00343486"/>
    <w:rsid w:val="00344D97"/>
    <w:rsid w:val="0035540B"/>
    <w:rsid w:val="00357A99"/>
    <w:rsid w:val="003722A8"/>
    <w:rsid w:val="00384D16"/>
    <w:rsid w:val="003A4C66"/>
    <w:rsid w:val="003D6E45"/>
    <w:rsid w:val="003F29B4"/>
    <w:rsid w:val="00431315"/>
    <w:rsid w:val="00432BA0"/>
    <w:rsid w:val="004412D5"/>
    <w:rsid w:val="00497E8A"/>
    <w:rsid w:val="004A076D"/>
    <w:rsid w:val="004A1C30"/>
    <w:rsid w:val="004A4AB4"/>
    <w:rsid w:val="004B077F"/>
    <w:rsid w:val="00504AE8"/>
    <w:rsid w:val="00541899"/>
    <w:rsid w:val="00544FE0"/>
    <w:rsid w:val="005609DA"/>
    <w:rsid w:val="0058086E"/>
    <w:rsid w:val="00581728"/>
    <w:rsid w:val="005841E8"/>
    <w:rsid w:val="005A3DED"/>
    <w:rsid w:val="00605D2E"/>
    <w:rsid w:val="00636843"/>
    <w:rsid w:val="00640EC0"/>
    <w:rsid w:val="00650C05"/>
    <w:rsid w:val="00650E98"/>
    <w:rsid w:val="006535FE"/>
    <w:rsid w:val="00653EA2"/>
    <w:rsid w:val="00656421"/>
    <w:rsid w:val="00667094"/>
    <w:rsid w:val="006A6BF8"/>
    <w:rsid w:val="006D0F5A"/>
    <w:rsid w:val="006D4E95"/>
    <w:rsid w:val="00725657"/>
    <w:rsid w:val="00761844"/>
    <w:rsid w:val="00786328"/>
    <w:rsid w:val="0079707A"/>
    <w:rsid w:val="007D0FC2"/>
    <w:rsid w:val="007D496F"/>
    <w:rsid w:val="007D63EE"/>
    <w:rsid w:val="00810273"/>
    <w:rsid w:val="00825AFA"/>
    <w:rsid w:val="00830744"/>
    <w:rsid w:val="008333F9"/>
    <w:rsid w:val="00895729"/>
    <w:rsid w:val="008A3090"/>
    <w:rsid w:val="008B78E7"/>
    <w:rsid w:val="008F0377"/>
    <w:rsid w:val="00906ECD"/>
    <w:rsid w:val="00930C26"/>
    <w:rsid w:val="00956882"/>
    <w:rsid w:val="00981EA1"/>
    <w:rsid w:val="00986C8F"/>
    <w:rsid w:val="009C4326"/>
    <w:rsid w:val="009D00D7"/>
    <w:rsid w:val="009D1736"/>
    <w:rsid w:val="009F6B0A"/>
    <w:rsid w:val="00A03889"/>
    <w:rsid w:val="00A40A78"/>
    <w:rsid w:val="00A53B63"/>
    <w:rsid w:val="00A93498"/>
    <w:rsid w:val="00A97D68"/>
    <w:rsid w:val="00AA115E"/>
    <w:rsid w:val="00AA54F7"/>
    <w:rsid w:val="00AB0762"/>
    <w:rsid w:val="00AC7E5F"/>
    <w:rsid w:val="00AD5C12"/>
    <w:rsid w:val="00AF4EF3"/>
    <w:rsid w:val="00B05C09"/>
    <w:rsid w:val="00B06D3A"/>
    <w:rsid w:val="00B22BC3"/>
    <w:rsid w:val="00B40D0F"/>
    <w:rsid w:val="00B70B0D"/>
    <w:rsid w:val="00B84B7A"/>
    <w:rsid w:val="00BE4AC8"/>
    <w:rsid w:val="00BE5F43"/>
    <w:rsid w:val="00BF4EF8"/>
    <w:rsid w:val="00C156BA"/>
    <w:rsid w:val="00C50DB5"/>
    <w:rsid w:val="00C512F6"/>
    <w:rsid w:val="00C76539"/>
    <w:rsid w:val="00C769B7"/>
    <w:rsid w:val="00C93B23"/>
    <w:rsid w:val="00CB1CF6"/>
    <w:rsid w:val="00CC4EC4"/>
    <w:rsid w:val="00CD16A0"/>
    <w:rsid w:val="00CF3F9E"/>
    <w:rsid w:val="00D004D8"/>
    <w:rsid w:val="00D37F9F"/>
    <w:rsid w:val="00D4425B"/>
    <w:rsid w:val="00D564C7"/>
    <w:rsid w:val="00D748A7"/>
    <w:rsid w:val="00D80EBD"/>
    <w:rsid w:val="00D90278"/>
    <w:rsid w:val="00DB7158"/>
    <w:rsid w:val="00DC75DA"/>
    <w:rsid w:val="00DF1CD0"/>
    <w:rsid w:val="00E41A63"/>
    <w:rsid w:val="00E4301E"/>
    <w:rsid w:val="00E55634"/>
    <w:rsid w:val="00E57C6D"/>
    <w:rsid w:val="00E83FDD"/>
    <w:rsid w:val="00EA0E55"/>
    <w:rsid w:val="00EB6EE5"/>
    <w:rsid w:val="00EF5772"/>
    <w:rsid w:val="00EF5D46"/>
    <w:rsid w:val="00F349A0"/>
    <w:rsid w:val="00F37C85"/>
    <w:rsid w:val="00F53F9D"/>
    <w:rsid w:val="00F727B8"/>
    <w:rsid w:val="00F77B7C"/>
    <w:rsid w:val="00FA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3E92"/>
  <w15:chartTrackingRefBased/>
  <w15:docId w15:val="{DBE62AD1-B09C-4B79-AF05-BC2C1C48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2D5"/>
    <w:pPr>
      <w:spacing w:after="128"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12D5"/>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4412D5"/>
    <w:pPr>
      <w:widowControl w:val="0"/>
      <w:spacing w:after="0" w:line="240" w:lineRule="auto"/>
      <w:ind w:left="720" w:firstLine="0"/>
      <w:contextualSpacing/>
    </w:pPr>
    <w:rPr>
      <w:color w:val="auto"/>
      <w:sz w:val="20"/>
      <w:szCs w:val="20"/>
    </w:rPr>
  </w:style>
  <w:style w:type="paragraph" w:styleId="FootnoteText">
    <w:name w:val="footnote text"/>
    <w:aliases w:val="Car,Footnote Text Char Char,Footnote Text Char1 Char Char,Footnote Text Char Char Char Char,Footnote Text Char1 Char Char Char Char,Footnote Text Char Char Char Char Char Char1,ALTS FOOTNOTE,fn,Footnote Text 2"/>
    <w:basedOn w:val="Normal"/>
    <w:link w:val="FootnoteTextChar"/>
    <w:uiPriority w:val="99"/>
    <w:semiHidden/>
    <w:unhideWhenUsed/>
    <w:qFormat/>
    <w:rsid w:val="000935BF"/>
    <w:pPr>
      <w:spacing w:after="0" w:line="240" w:lineRule="auto"/>
    </w:pPr>
    <w:rPr>
      <w:sz w:val="20"/>
      <w:szCs w:val="20"/>
    </w:rPr>
  </w:style>
  <w:style w:type="character" w:customStyle="1" w:styleId="FootnoteTextChar">
    <w:name w:val="Footnote Text Char"/>
    <w:aliases w:val="Car Char,Footnote Text Char Char Char,Footnote Text Char1 Char Char Char,Footnote Text Char Char Char Char Char,Footnote Text Char1 Char Char Char Char Char,Footnote Text Char Char Char Char Char Char1 Char,ALTS FOOTNOTE Char,fn Char"/>
    <w:basedOn w:val="DefaultParagraphFont"/>
    <w:link w:val="FootnoteText"/>
    <w:uiPriority w:val="99"/>
    <w:semiHidden/>
    <w:rsid w:val="000935BF"/>
    <w:rPr>
      <w:rFonts w:ascii="Times New Roman" w:eastAsia="Times New Roman" w:hAnsi="Times New Roman" w:cs="Times New Roman"/>
      <w:color w:val="000000"/>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0935BF"/>
    <w:rPr>
      <w:vertAlign w:val="superscript"/>
    </w:rPr>
  </w:style>
  <w:style w:type="paragraph" w:styleId="Header">
    <w:name w:val="header"/>
    <w:basedOn w:val="Normal"/>
    <w:link w:val="HeaderChar"/>
    <w:uiPriority w:val="99"/>
    <w:unhideWhenUsed/>
    <w:rsid w:val="00E55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63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55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634"/>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197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FF5"/>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581728"/>
    <w:rPr>
      <w:sz w:val="16"/>
      <w:szCs w:val="16"/>
    </w:rPr>
  </w:style>
  <w:style w:type="paragraph" w:styleId="CommentText">
    <w:name w:val="annotation text"/>
    <w:basedOn w:val="Normal"/>
    <w:link w:val="CommentTextChar"/>
    <w:uiPriority w:val="99"/>
    <w:semiHidden/>
    <w:unhideWhenUsed/>
    <w:rsid w:val="00581728"/>
    <w:pPr>
      <w:spacing w:line="240" w:lineRule="auto"/>
    </w:pPr>
    <w:rPr>
      <w:sz w:val="20"/>
      <w:szCs w:val="20"/>
    </w:rPr>
  </w:style>
  <w:style w:type="character" w:customStyle="1" w:styleId="CommentTextChar">
    <w:name w:val="Comment Text Char"/>
    <w:basedOn w:val="DefaultParagraphFont"/>
    <w:link w:val="CommentText"/>
    <w:uiPriority w:val="99"/>
    <w:semiHidden/>
    <w:rsid w:val="0058172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81728"/>
    <w:rPr>
      <w:b/>
      <w:bCs/>
    </w:rPr>
  </w:style>
  <w:style w:type="character" w:customStyle="1" w:styleId="CommentSubjectChar">
    <w:name w:val="Comment Subject Char"/>
    <w:basedOn w:val="CommentTextChar"/>
    <w:link w:val="CommentSubject"/>
    <w:uiPriority w:val="99"/>
    <w:semiHidden/>
    <w:rsid w:val="00581728"/>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0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1F31-32C4-4146-BDED-8CBC74B5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Scheiber, LeAnn</dc:creator>
  <cp:keywords/>
  <dc:description/>
  <cp:lastModifiedBy>Wagner, Nathan R</cp:lastModifiedBy>
  <cp:revision>2</cp:revision>
  <dcterms:created xsi:type="dcterms:W3CDTF">2020-12-24T15:38:00Z</dcterms:created>
  <dcterms:modified xsi:type="dcterms:W3CDTF">2020-12-24T15:38:00Z</dcterms:modified>
</cp:coreProperties>
</file>