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780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 w14:paraId="261D77F0" w14:textId="77777777" w:rsidTr="00D43290">
        <w:trPr>
          <w:trHeight w:val="990"/>
        </w:trPr>
        <w:tc>
          <w:tcPr>
            <w:tcW w:w="1363" w:type="dxa"/>
          </w:tcPr>
          <w:p w14:paraId="28E21364" w14:textId="01BCEDE5" w:rsidR="00C74A51" w:rsidRDefault="000A5D84" w:rsidP="00D4329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3D30E844" wp14:editId="292EC15E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7" w:type="dxa"/>
          </w:tcPr>
          <w:p w14:paraId="040EBAD9" w14:textId="77777777" w:rsidR="00C74A51" w:rsidRPr="00AF02D1" w:rsidRDefault="00C74A51" w:rsidP="00D4329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8"/>
                <w:szCs w:val="8"/>
              </w:rPr>
            </w:pPr>
          </w:p>
          <w:p w14:paraId="4422D04D" w14:textId="77777777" w:rsidR="00C74A51" w:rsidRDefault="00C74A51" w:rsidP="00D4329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14:paraId="069E0007" w14:textId="77777777" w:rsidR="00C74A51" w:rsidRDefault="00C74A51" w:rsidP="00D4329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7673CF27" w14:textId="77777777" w:rsidR="00C74A51" w:rsidRPr="00AF02D1" w:rsidRDefault="00DA08BE" w:rsidP="00D43290">
            <w:pPr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A61C0A"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r w:rsidR="00C74A51">
              <w:rPr>
                <w:rFonts w:ascii="Arial" w:hAnsi="Arial"/>
                <w:color w:val="000080"/>
                <w:spacing w:val="-3"/>
                <w:sz w:val="26"/>
              </w:rPr>
              <w:t xml:space="preserve">HARRISBURG, PA </w:t>
            </w:r>
            <w:r w:rsidR="00AF4A0F">
              <w:rPr>
                <w:rFonts w:ascii="Arial" w:hAnsi="Arial"/>
                <w:color w:val="000080"/>
                <w:spacing w:val="-3"/>
                <w:sz w:val="26"/>
              </w:rPr>
              <w:t>171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40" w:type="dxa"/>
          </w:tcPr>
          <w:p w14:paraId="53DEF75D" w14:textId="77777777" w:rsidR="00C74A51" w:rsidRDefault="00C74A51" w:rsidP="00D43290">
            <w:pPr>
              <w:rPr>
                <w:rFonts w:ascii="Arial" w:hAnsi="Arial"/>
                <w:sz w:val="12"/>
              </w:rPr>
            </w:pPr>
          </w:p>
          <w:p w14:paraId="2BC48FB7" w14:textId="77777777" w:rsidR="00C74A51" w:rsidRDefault="00C74A51" w:rsidP="00D43290">
            <w:pPr>
              <w:rPr>
                <w:rFonts w:ascii="Arial" w:hAnsi="Arial"/>
                <w:sz w:val="12"/>
              </w:rPr>
            </w:pPr>
          </w:p>
          <w:p w14:paraId="2ECA2CA8" w14:textId="77777777" w:rsidR="00C74A51" w:rsidRDefault="00C74A51" w:rsidP="00D43290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1D200652" w14:textId="77777777" w:rsidR="004F32B3" w:rsidRDefault="004F32B3" w:rsidP="00D43290">
            <w:pPr>
              <w:jc w:val="right"/>
              <w:rPr>
                <w:sz w:val="16"/>
                <w:szCs w:val="16"/>
              </w:rPr>
            </w:pPr>
          </w:p>
          <w:p w14:paraId="709F30BB" w14:textId="77777777" w:rsidR="003569E8" w:rsidRPr="00170283" w:rsidRDefault="00DB6902" w:rsidP="00D43290"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M-2020-3022877</w:t>
            </w:r>
          </w:p>
        </w:tc>
      </w:tr>
    </w:tbl>
    <w:p w14:paraId="592A5754" w14:textId="13F68811" w:rsidR="003C56E2" w:rsidRPr="00D43290" w:rsidRDefault="003C00BF" w:rsidP="00BE575E">
      <w:pPr>
        <w:tabs>
          <w:tab w:val="left" w:pos="720"/>
          <w:tab w:val="left" w:pos="1440"/>
          <w:tab w:val="left" w:pos="2160"/>
          <w:tab w:val="left" w:pos="46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December 30, 2020</w:t>
      </w:r>
    </w:p>
    <w:p w14:paraId="48652488" w14:textId="77777777" w:rsidR="00313F77" w:rsidRPr="00D43290" w:rsidRDefault="00313F77" w:rsidP="00BE575E">
      <w:pPr>
        <w:tabs>
          <w:tab w:val="left" w:pos="720"/>
          <w:tab w:val="left" w:pos="1440"/>
          <w:tab w:val="left" w:pos="2160"/>
          <w:tab w:val="left" w:pos="4680"/>
        </w:tabs>
        <w:rPr>
          <w:b/>
          <w:sz w:val="24"/>
          <w:szCs w:val="24"/>
        </w:rPr>
      </w:pPr>
    </w:p>
    <w:p w14:paraId="6B374846" w14:textId="2999986B" w:rsidR="00FA244D" w:rsidRPr="00D43290" w:rsidRDefault="00D43290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4"/>
          <w:szCs w:val="24"/>
        </w:rPr>
      </w:pPr>
      <w:r w:rsidRPr="00D43290">
        <w:rPr>
          <w:sz w:val="24"/>
          <w:szCs w:val="24"/>
        </w:rPr>
        <w:t xml:space="preserve">Phillip D. </w:t>
      </w:r>
      <w:proofErr w:type="spellStart"/>
      <w:r w:rsidRPr="00D43290">
        <w:rPr>
          <w:sz w:val="24"/>
          <w:szCs w:val="24"/>
        </w:rPr>
        <w:t>Demanchick</w:t>
      </w:r>
      <w:proofErr w:type="spellEnd"/>
    </w:p>
    <w:p w14:paraId="4C5A7E60" w14:textId="564BFE0F" w:rsidR="006D63A6" w:rsidRPr="00D43290" w:rsidRDefault="00D43290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4"/>
          <w:szCs w:val="24"/>
        </w:rPr>
      </w:pPr>
      <w:r w:rsidRPr="00D43290">
        <w:rPr>
          <w:sz w:val="24"/>
          <w:szCs w:val="24"/>
        </w:rPr>
        <w:t>Assistant Consumer Advocate</w:t>
      </w:r>
    </w:p>
    <w:p w14:paraId="416F9779" w14:textId="0A217B14" w:rsidR="006D63A6" w:rsidRPr="00D43290" w:rsidRDefault="00D43290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4"/>
          <w:szCs w:val="24"/>
        </w:rPr>
      </w:pPr>
      <w:r w:rsidRPr="00D43290">
        <w:rPr>
          <w:sz w:val="24"/>
          <w:szCs w:val="24"/>
        </w:rPr>
        <w:t>Office Of Consumer Advocate</w:t>
      </w:r>
    </w:p>
    <w:p w14:paraId="0E812643" w14:textId="34AF4FB7" w:rsidR="006D63A6" w:rsidRPr="00D43290" w:rsidRDefault="00D43290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4"/>
          <w:szCs w:val="24"/>
        </w:rPr>
      </w:pPr>
      <w:r w:rsidRPr="00D43290">
        <w:rPr>
          <w:sz w:val="24"/>
          <w:szCs w:val="24"/>
        </w:rPr>
        <w:t>555 Walnut Street, Fifth Floor</w:t>
      </w:r>
    </w:p>
    <w:p w14:paraId="491CE19C" w14:textId="2D1127BE" w:rsidR="006D63A6" w:rsidRPr="00D43290" w:rsidRDefault="00D43290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4"/>
          <w:szCs w:val="24"/>
        </w:rPr>
      </w:pPr>
      <w:r w:rsidRPr="00D43290">
        <w:rPr>
          <w:sz w:val="24"/>
          <w:szCs w:val="24"/>
        </w:rPr>
        <w:t>Forum Place</w:t>
      </w:r>
    </w:p>
    <w:p w14:paraId="67EAB6BE" w14:textId="3CBCC5B4" w:rsidR="006D63A6" w:rsidRPr="00D43290" w:rsidRDefault="00D43290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4"/>
          <w:szCs w:val="24"/>
        </w:rPr>
      </w:pPr>
      <w:r w:rsidRPr="00D43290">
        <w:rPr>
          <w:sz w:val="24"/>
          <w:szCs w:val="24"/>
        </w:rPr>
        <w:t>Harrisburg, Pa  17101-1923</w:t>
      </w:r>
    </w:p>
    <w:p w14:paraId="42DCA196" w14:textId="47B18C08" w:rsidR="001F2EDC" w:rsidRPr="00D43290" w:rsidRDefault="001F2EDC" w:rsidP="00BE575E">
      <w:pPr>
        <w:tabs>
          <w:tab w:val="left" w:pos="720"/>
          <w:tab w:val="left" w:pos="1440"/>
          <w:tab w:val="left" w:pos="2160"/>
          <w:tab w:val="left" w:pos="4680"/>
        </w:tabs>
        <w:ind w:right="576"/>
        <w:rPr>
          <w:sz w:val="24"/>
          <w:szCs w:val="24"/>
        </w:rPr>
      </w:pPr>
    </w:p>
    <w:p w14:paraId="252FD095" w14:textId="0E1AD1D1" w:rsidR="00EC71DD" w:rsidRPr="00D43290" w:rsidRDefault="00BE575E" w:rsidP="00D43290">
      <w:pPr>
        <w:tabs>
          <w:tab w:val="left" w:pos="720"/>
          <w:tab w:val="left" w:pos="1440"/>
          <w:tab w:val="left" w:pos="2160"/>
          <w:tab w:val="left" w:pos="4680"/>
        </w:tabs>
        <w:ind w:left="1440" w:hanging="1440"/>
        <w:rPr>
          <w:sz w:val="24"/>
          <w:szCs w:val="24"/>
        </w:rPr>
      </w:pPr>
      <w:r w:rsidRPr="00D43290">
        <w:rPr>
          <w:sz w:val="24"/>
          <w:szCs w:val="24"/>
        </w:rPr>
        <w:tab/>
      </w:r>
      <w:r w:rsidR="00930003" w:rsidRPr="00D43290">
        <w:rPr>
          <w:sz w:val="24"/>
          <w:szCs w:val="24"/>
        </w:rPr>
        <w:t>Re:</w:t>
      </w:r>
      <w:r w:rsidR="00FA244D" w:rsidRPr="00D43290">
        <w:rPr>
          <w:sz w:val="24"/>
          <w:szCs w:val="24"/>
        </w:rPr>
        <w:tab/>
      </w:r>
      <w:r w:rsidR="006D63A6" w:rsidRPr="00D43290">
        <w:rPr>
          <w:sz w:val="24"/>
          <w:szCs w:val="24"/>
        </w:rPr>
        <w:t xml:space="preserve">Motion </w:t>
      </w:r>
      <w:r w:rsidR="00A41345" w:rsidRPr="00D43290">
        <w:rPr>
          <w:sz w:val="24"/>
          <w:szCs w:val="24"/>
        </w:rPr>
        <w:t xml:space="preserve">of the Office of Consumer Advocate </w:t>
      </w:r>
      <w:r w:rsidR="006D63A6" w:rsidRPr="00D43290">
        <w:rPr>
          <w:sz w:val="24"/>
          <w:szCs w:val="24"/>
        </w:rPr>
        <w:t xml:space="preserve">for </w:t>
      </w:r>
      <w:r w:rsidR="00A41345" w:rsidRPr="00D43290">
        <w:rPr>
          <w:sz w:val="24"/>
          <w:szCs w:val="24"/>
        </w:rPr>
        <w:t xml:space="preserve">an </w:t>
      </w:r>
      <w:r w:rsidR="006D63A6" w:rsidRPr="00D43290">
        <w:rPr>
          <w:sz w:val="24"/>
          <w:szCs w:val="24"/>
        </w:rPr>
        <w:t>Extension</w:t>
      </w:r>
      <w:r w:rsidR="00A41345" w:rsidRPr="00D43290">
        <w:rPr>
          <w:sz w:val="24"/>
          <w:szCs w:val="24"/>
        </w:rPr>
        <w:t xml:space="preserve"> </w:t>
      </w:r>
      <w:r w:rsidR="006D63A6" w:rsidRPr="00D43290">
        <w:rPr>
          <w:sz w:val="24"/>
          <w:szCs w:val="24"/>
        </w:rPr>
        <w:t>of Time for Comments</w:t>
      </w:r>
      <w:r w:rsidR="00D43290" w:rsidRPr="00D43290">
        <w:rPr>
          <w:sz w:val="24"/>
          <w:szCs w:val="24"/>
        </w:rPr>
        <w:t xml:space="preserve"> P</w:t>
      </w:r>
      <w:r w:rsidR="00DB6902" w:rsidRPr="00D43290">
        <w:rPr>
          <w:sz w:val="24"/>
          <w:szCs w:val="24"/>
        </w:rPr>
        <w:t xml:space="preserve">olicy Proceeding—Utilization of Storage Resources </w:t>
      </w:r>
    </w:p>
    <w:p w14:paraId="3661BCD8" w14:textId="77777777" w:rsidR="00DB6902" w:rsidRPr="00D43290" w:rsidRDefault="00DB6902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ab/>
      </w:r>
      <w:r w:rsidRPr="00D43290">
        <w:rPr>
          <w:sz w:val="24"/>
          <w:szCs w:val="24"/>
        </w:rPr>
        <w:tab/>
        <w:t>as Electric Distribution Assets</w:t>
      </w:r>
    </w:p>
    <w:p w14:paraId="5E9686B4" w14:textId="77777777" w:rsidR="00930003" w:rsidRPr="00D43290" w:rsidRDefault="00BE575E" w:rsidP="00BE575E">
      <w:pPr>
        <w:tabs>
          <w:tab w:val="left" w:pos="720"/>
          <w:tab w:val="left" w:pos="1440"/>
          <w:tab w:val="left" w:pos="2160"/>
          <w:tab w:val="left" w:pos="4680"/>
        </w:tabs>
        <w:ind w:left="1440" w:hanging="540"/>
        <w:rPr>
          <w:sz w:val="24"/>
          <w:szCs w:val="24"/>
        </w:rPr>
      </w:pPr>
      <w:r w:rsidRPr="00D43290">
        <w:rPr>
          <w:sz w:val="24"/>
          <w:szCs w:val="24"/>
        </w:rPr>
        <w:tab/>
      </w:r>
      <w:r w:rsidR="00930003" w:rsidRPr="00D43290">
        <w:rPr>
          <w:sz w:val="24"/>
          <w:szCs w:val="24"/>
        </w:rPr>
        <w:t>Docket No.</w:t>
      </w:r>
      <w:r w:rsidR="00FA244D" w:rsidRPr="00D43290">
        <w:rPr>
          <w:sz w:val="24"/>
          <w:szCs w:val="24"/>
        </w:rPr>
        <w:t xml:space="preserve">  </w:t>
      </w:r>
      <w:r w:rsidR="00DB6902" w:rsidRPr="00D43290">
        <w:rPr>
          <w:sz w:val="24"/>
          <w:szCs w:val="24"/>
        </w:rPr>
        <w:t>M-2020-3022877</w:t>
      </w:r>
    </w:p>
    <w:p w14:paraId="4FBA983B" w14:textId="77777777" w:rsidR="001F2EDC" w:rsidRPr="00D43290" w:rsidRDefault="001F2EDC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</w:p>
    <w:p w14:paraId="20F3E7F7" w14:textId="43B8ACA6" w:rsidR="00A41345" w:rsidRPr="00D43290" w:rsidRDefault="00A41345" w:rsidP="00A41345">
      <w:pPr>
        <w:rPr>
          <w:sz w:val="24"/>
          <w:szCs w:val="24"/>
        </w:rPr>
      </w:pPr>
      <w:r w:rsidRPr="00D43290">
        <w:rPr>
          <w:sz w:val="24"/>
          <w:szCs w:val="24"/>
        </w:rPr>
        <w:t>Dear Mr. Demanchick:</w:t>
      </w:r>
    </w:p>
    <w:p w14:paraId="1E0D77D5" w14:textId="77777777" w:rsidR="00AA63A9" w:rsidRPr="00D43290" w:rsidRDefault="00AA63A9" w:rsidP="00AA63A9">
      <w:pPr>
        <w:rPr>
          <w:sz w:val="24"/>
          <w:szCs w:val="24"/>
        </w:rPr>
      </w:pPr>
    </w:p>
    <w:p w14:paraId="56B19722" w14:textId="4CE109FD" w:rsidR="00AA63A9" w:rsidRPr="00D43290" w:rsidRDefault="00AA63A9" w:rsidP="00AA63A9">
      <w:pPr>
        <w:ind w:firstLine="720"/>
        <w:rPr>
          <w:sz w:val="24"/>
          <w:szCs w:val="24"/>
        </w:rPr>
      </w:pPr>
      <w:r w:rsidRPr="00D43290">
        <w:rPr>
          <w:sz w:val="24"/>
          <w:szCs w:val="24"/>
        </w:rPr>
        <w:t>Pursuant to your Motion for a thirty (30)-day extension of time period to file comments in the above-referenced proceeding</w:t>
      </w:r>
      <w:r w:rsidR="00411675" w:rsidRPr="00D43290">
        <w:rPr>
          <w:sz w:val="24"/>
          <w:szCs w:val="24"/>
        </w:rPr>
        <w:t xml:space="preserve"> and upon review of the grounds listed therein</w:t>
      </w:r>
      <w:r w:rsidRPr="00D43290">
        <w:rPr>
          <w:sz w:val="24"/>
          <w:szCs w:val="24"/>
        </w:rPr>
        <w:t>, your request is hereby granted</w:t>
      </w:r>
      <w:r w:rsidR="00411675" w:rsidRPr="00D43290">
        <w:rPr>
          <w:sz w:val="24"/>
          <w:szCs w:val="24"/>
        </w:rPr>
        <w:t xml:space="preserve">.  The new comment period for all </w:t>
      </w:r>
      <w:r w:rsidRPr="00D43290">
        <w:rPr>
          <w:sz w:val="24"/>
          <w:szCs w:val="24"/>
        </w:rPr>
        <w:t>parties</w:t>
      </w:r>
      <w:r w:rsidR="00411675" w:rsidRPr="00D43290">
        <w:rPr>
          <w:sz w:val="24"/>
          <w:szCs w:val="24"/>
        </w:rPr>
        <w:t xml:space="preserve"> in this proceeding</w:t>
      </w:r>
      <w:r w:rsidRPr="00D43290">
        <w:rPr>
          <w:sz w:val="24"/>
          <w:szCs w:val="24"/>
        </w:rPr>
        <w:t xml:space="preserve"> </w:t>
      </w:r>
      <w:r w:rsidR="00411675" w:rsidRPr="00D43290">
        <w:rPr>
          <w:sz w:val="24"/>
          <w:szCs w:val="24"/>
        </w:rPr>
        <w:t>is extended until</w:t>
      </w:r>
      <w:r w:rsidRPr="00D43290">
        <w:rPr>
          <w:sz w:val="24"/>
          <w:szCs w:val="24"/>
        </w:rPr>
        <w:t xml:space="preserve"> February 18, 2021.</w:t>
      </w:r>
    </w:p>
    <w:p w14:paraId="75049937" w14:textId="77777777" w:rsidR="00AA63A9" w:rsidRPr="00D43290" w:rsidRDefault="00AA63A9" w:rsidP="00AA63A9">
      <w:pPr>
        <w:ind w:firstLine="720"/>
        <w:rPr>
          <w:sz w:val="24"/>
          <w:szCs w:val="24"/>
        </w:rPr>
      </w:pPr>
    </w:p>
    <w:p w14:paraId="4738DFFA" w14:textId="77777777" w:rsidR="0021690C" w:rsidRDefault="00F16ED1" w:rsidP="005237E1">
      <w:pPr>
        <w:ind w:firstLine="720"/>
        <w:rPr>
          <w:sz w:val="24"/>
          <w:szCs w:val="24"/>
        </w:rPr>
      </w:pPr>
      <w:r w:rsidRPr="00D43290">
        <w:rPr>
          <w:sz w:val="24"/>
          <w:szCs w:val="24"/>
        </w:rPr>
        <w:t xml:space="preserve">Interested parties are invited to submit written comments for inclusion in the record with the Secretary of the Commission </w:t>
      </w:r>
      <w:r w:rsidR="001E678B" w:rsidRPr="00D43290">
        <w:rPr>
          <w:sz w:val="24"/>
          <w:szCs w:val="24"/>
        </w:rPr>
        <w:t xml:space="preserve">consistent with the Commission’s July 27, 2020 Secretarial Letter.  </w:t>
      </w:r>
      <w:r w:rsidR="001E678B" w:rsidRPr="00D43290">
        <w:rPr>
          <w:i/>
          <w:sz w:val="24"/>
          <w:szCs w:val="24"/>
        </w:rPr>
        <w:t>Modification to Filing and Service Requirements Emergency Order</w:t>
      </w:r>
      <w:r w:rsidR="001E678B" w:rsidRPr="00D43290">
        <w:rPr>
          <w:sz w:val="24"/>
          <w:szCs w:val="24"/>
        </w:rPr>
        <w:t xml:space="preserve">, Docket No. </w:t>
      </w:r>
    </w:p>
    <w:p w14:paraId="7077527E" w14:textId="50D99BBF" w:rsidR="001E678B" w:rsidRPr="00D43290" w:rsidRDefault="001E678B" w:rsidP="0021690C">
      <w:pPr>
        <w:rPr>
          <w:sz w:val="24"/>
          <w:szCs w:val="24"/>
        </w:rPr>
      </w:pPr>
      <w:r w:rsidRPr="00D43290">
        <w:rPr>
          <w:sz w:val="24"/>
          <w:szCs w:val="24"/>
        </w:rPr>
        <w:t xml:space="preserve">M-2020-3019262 (Secretarial Letter issued July 27, 2020).  Pursuant to this Secretarial Letter, all filings are to be made by e-filing or by electronic mail.  This information can be found on the Commission’s website at </w:t>
      </w:r>
      <w:hyperlink r:id="rId12" w:history="1">
        <w:r w:rsidRPr="00D43290">
          <w:rPr>
            <w:rStyle w:val="Hyperlink"/>
            <w:sz w:val="24"/>
            <w:szCs w:val="24"/>
          </w:rPr>
          <w:t>www.puc.state.pa.us/efiling/default.aspx</w:t>
        </w:r>
      </w:hyperlink>
      <w:r w:rsidRPr="00D43290">
        <w:rPr>
          <w:sz w:val="24"/>
          <w:szCs w:val="24"/>
        </w:rPr>
        <w:t xml:space="preserve">. </w:t>
      </w:r>
    </w:p>
    <w:p w14:paraId="68AFB54D" w14:textId="073853D9" w:rsidR="007C5DAC" w:rsidRPr="00D43290" w:rsidRDefault="007C5DAC" w:rsidP="001E678B">
      <w:pPr>
        <w:spacing w:line="360" w:lineRule="auto"/>
        <w:ind w:firstLine="720"/>
        <w:rPr>
          <w:sz w:val="24"/>
          <w:szCs w:val="24"/>
        </w:rPr>
      </w:pPr>
    </w:p>
    <w:p w14:paraId="37CB2DF4" w14:textId="183DD686" w:rsidR="00930003" w:rsidRPr="00D43290" w:rsidRDefault="003C00BF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99A32EA" wp14:editId="286CC689">
            <wp:simplePos x="0" y="0"/>
            <wp:positionH relativeFrom="column">
              <wp:posOffset>2914651</wp:posOffset>
            </wp:positionH>
            <wp:positionV relativeFrom="paragraph">
              <wp:posOffset>64135</wp:posOffset>
            </wp:positionV>
            <wp:extent cx="1581150" cy="60234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45" cy="612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75E" w:rsidRPr="00D43290">
        <w:rPr>
          <w:sz w:val="24"/>
          <w:szCs w:val="24"/>
        </w:rPr>
        <w:tab/>
      </w:r>
      <w:r w:rsidR="00BE575E" w:rsidRPr="00D43290">
        <w:rPr>
          <w:sz w:val="24"/>
          <w:szCs w:val="24"/>
        </w:rPr>
        <w:tab/>
      </w:r>
      <w:r w:rsidR="00930003" w:rsidRPr="00D43290">
        <w:rPr>
          <w:sz w:val="24"/>
          <w:szCs w:val="24"/>
        </w:rPr>
        <w:tab/>
      </w:r>
      <w:r w:rsidR="00930003" w:rsidRPr="00D43290">
        <w:rPr>
          <w:sz w:val="24"/>
          <w:szCs w:val="24"/>
        </w:rPr>
        <w:tab/>
        <w:t>Sincerely,</w:t>
      </w:r>
    </w:p>
    <w:p w14:paraId="08AEC176" w14:textId="00FD80AB" w:rsidR="00930003" w:rsidRPr="00D43290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</w:p>
    <w:p w14:paraId="33407AD9" w14:textId="77777777" w:rsidR="00930003" w:rsidRPr="00D43290" w:rsidRDefault="00930003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</w:p>
    <w:p w14:paraId="4BB5AC66" w14:textId="77777777" w:rsidR="00930003" w:rsidRPr="00D43290" w:rsidRDefault="00930003" w:rsidP="00BE575E">
      <w:pPr>
        <w:pStyle w:val="Heading1"/>
        <w:tabs>
          <w:tab w:val="left" w:pos="720"/>
          <w:tab w:val="left" w:pos="1440"/>
          <w:tab w:val="left" w:pos="2160"/>
          <w:tab w:val="left" w:pos="4680"/>
        </w:tabs>
        <w:rPr>
          <w:szCs w:val="24"/>
        </w:rPr>
      </w:pPr>
      <w:r w:rsidRPr="00D43290">
        <w:rPr>
          <w:szCs w:val="24"/>
        </w:rPr>
        <w:tab/>
      </w:r>
      <w:r w:rsidRPr="00D43290">
        <w:rPr>
          <w:szCs w:val="24"/>
        </w:rPr>
        <w:tab/>
      </w:r>
      <w:r w:rsidRPr="00D43290">
        <w:rPr>
          <w:szCs w:val="24"/>
        </w:rPr>
        <w:tab/>
      </w:r>
      <w:r w:rsidR="001F2EDC" w:rsidRPr="00D43290">
        <w:rPr>
          <w:szCs w:val="24"/>
        </w:rPr>
        <w:tab/>
      </w:r>
      <w:r w:rsidR="00335A29" w:rsidRPr="00D43290">
        <w:rPr>
          <w:szCs w:val="24"/>
        </w:rPr>
        <w:t>Rosemary Chiavetta</w:t>
      </w:r>
    </w:p>
    <w:p w14:paraId="13A3AF88" w14:textId="3B8725AA" w:rsidR="00930003" w:rsidRPr="00D43290" w:rsidRDefault="00BE575E" w:rsidP="00BE575E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ab/>
      </w:r>
      <w:r w:rsidRPr="00D43290">
        <w:rPr>
          <w:sz w:val="24"/>
          <w:szCs w:val="24"/>
        </w:rPr>
        <w:tab/>
      </w:r>
      <w:r w:rsidR="00930003" w:rsidRPr="00D43290">
        <w:rPr>
          <w:sz w:val="24"/>
          <w:szCs w:val="24"/>
        </w:rPr>
        <w:tab/>
      </w:r>
      <w:r w:rsidR="00930003" w:rsidRPr="00D43290">
        <w:rPr>
          <w:sz w:val="24"/>
          <w:szCs w:val="24"/>
        </w:rPr>
        <w:tab/>
        <w:t>Secretary</w:t>
      </w:r>
    </w:p>
    <w:p w14:paraId="12D62AB4" w14:textId="34DF2D59" w:rsidR="002476B0" w:rsidRPr="00D43290" w:rsidRDefault="00411675" w:rsidP="00073CB4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>cc:</w:t>
      </w:r>
      <w:r w:rsidRPr="00D43290">
        <w:rPr>
          <w:sz w:val="24"/>
          <w:szCs w:val="24"/>
        </w:rPr>
        <w:tab/>
      </w:r>
      <w:r w:rsidR="00D1070A" w:rsidRPr="00D43290">
        <w:rPr>
          <w:sz w:val="24"/>
          <w:szCs w:val="24"/>
        </w:rPr>
        <w:t>All Electric Distribution Companies</w:t>
      </w:r>
    </w:p>
    <w:p w14:paraId="6247D0C6" w14:textId="69D4FF6C" w:rsidR="00A444DE" w:rsidRPr="00D43290" w:rsidRDefault="00D1070A" w:rsidP="00073CB4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ab/>
      </w:r>
      <w:r w:rsidR="00A444DE" w:rsidRPr="00D43290">
        <w:rPr>
          <w:sz w:val="24"/>
          <w:szCs w:val="24"/>
        </w:rPr>
        <w:t xml:space="preserve">Richard A. Kanaskie, Bureau of Investigation </w:t>
      </w:r>
      <w:r w:rsidR="004C02BD" w:rsidRPr="00D43290">
        <w:rPr>
          <w:sz w:val="24"/>
          <w:szCs w:val="24"/>
        </w:rPr>
        <w:t>&amp; Enforcement</w:t>
      </w:r>
      <w:r w:rsidR="00A444DE" w:rsidRPr="00D43290">
        <w:rPr>
          <w:sz w:val="24"/>
          <w:szCs w:val="24"/>
        </w:rPr>
        <w:t xml:space="preserve"> </w:t>
      </w:r>
    </w:p>
    <w:p w14:paraId="782AB39B" w14:textId="319BA7F5" w:rsidR="00A444DE" w:rsidRPr="00D43290" w:rsidRDefault="00A444DE" w:rsidP="00073CB4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ab/>
        <w:t xml:space="preserve">John R. Evans, </w:t>
      </w:r>
      <w:r w:rsidR="004C02BD" w:rsidRPr="00D43290">
        <w:rPr>
          <w:sz w:val="24"/>
          <w:szCs w:val="24"/>
        </w:rPr>
        <w:t>Office of Small Business Advocate</w:t>
      </w:r>
    </w:p>
    <w:p w14:paraId="58745ED7" w14:textId="2918687D" w:rsidR="00A444DE" w:rsidRPr="00D43290" w:rsidRDefault="00A444DE" w:rsidP="00073CB4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ab/>
        <w:t>Retail Energy Supply Association</w:t>
      </w:r>
    </w:p>
    <w:p w14:paraId="286D5DC7" w14:textId="48152C49" w:rsidR="00A444DE" w:rsidRPr="00D43290" w:rsidRDefault="00A444DE" w:rsidP="00073CB4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ab/>
        <w:t xml:space="preserve">Charis Mincavage, McNees Wallace &amp; </w:t>
      </w:r>
      <w:proofErr w:type="spellStart"/>
      <w:r w:rsidRPr="00D43290">
        <w:rPr>
          <w:sz w:val="24"/>
          <w:szCs w:val="24"/>
        </w:rPr>
        <w:t>Nurick</w:t>
      </w:r>
      <w:proofErr w:type="spellEnd"/>
      <w:r w:rsidRPr="00D43290">
        <w:rPr>
          <w:sz w:val="24"/>
          <w:szCs w:val="24"/>
        </w:rPr>
        <w:t xml:space="preserve"> LLC</w:t>
      </w:r>
    </w:p>
    <w:p w14:paraId="6F50C169" w14:textId="4E662422" w:rsidR="00A444DE" w:rsidRPr="00D43290" w:rsidRDefault="00A444DE" w:rsidP="00073CB4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ab/>
        <w:t>Donna M.J. Clark, Energy Association of Pennsylvania</w:t>
      </w:r>
    </w:p>
    <w:p w14:paraId="3F84FCD3" w14:textId="025BBCE3" w:rsidR="00A444DE" w:rsidRPr="00D43290" w:rsidRDefault="00A444DE" w:rsidP="00073CB4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ab/>
        <w:t>Mark C. Szybist, Natural Resources Defense Council</w:t>
      </w:r>
    </w:p>
    <w:p w14:paraId="146A0C56" w14:textId="213AB0CA" w:rsidR="00A444DE" w:rsidRPr="00D43290" w:rsidRDefault="00A444DE" w:rsidP="00073CB4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ab/>
        <w:t>Devin McDougall, Earthjustice</w:t>
      </w:r>
    </w:p>
    <w:p w14:paraId="633F8ABB" w14:textId="083D29AD" w:rsidR="00411675" w:rsidRPr="00D43290" w:rsidRDefault="00411675" w:rsidP="00073CB4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ab/>
        <w:t>Aspassia Staevska, Law Bureau</w:t>
      </w:r>
    </w:p>
    <w:p w14:paraId="2D7489AC" w14:textId="79361840" w:rsidR="008A5DB7" w:rsidRPr="00D43290" w:rsidRDefault="008A5DB7" w:rsidP="00073CB4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ab/>
        <w:t>Joe Cardinale, Law Bureau</w:t>
      </w:r>
    </w:p>
    <w:p w14:paraId="2B4D43D7" w14:textId="5A66049F" w:rsidR="008A5DB7" w:rsidRPr="00D43290" w:rsidRDefault="008A5DB7" w:rsidP="00073CB4">
      <w:pPr>
        <w:tabs>
          <w:tab w:val="left" w:pos="720"/>
          <w:tab w:val="left" w:pos="1440"/>
          <w:tab w:val="left" w:pos="2160"/>
          <w:tab w:val="left" w:pos="4680"/>
        </w:tabs>
        <w:rPr>
          <w:sz w:val="24"/>
          <w:szCs w:val="24"/>
        </w:rPr>
      </w:pPr>
      <w:r w:rsidRPr="00D43290">
        <w:rPr>
          <w:sz w:val="24"/>
          <w:szCs w:val="24"/>
        </w:rPr>
        <w:tab/>
      </w:r>
      <w:r w:rsidR="00D1070A" w:rsidRPr="00D43290">
        <w:rPr>
          <w:sz w:val="24"/>
          <w:szCs w:val="24"/>
        </w:rPr>
        <w:t>Eric Matheson, Office of the Executive Director</w:t>
      </w:r>
    </w:p>
    <w:p w14:paraId="6419C4F7" w14:textId="2D0D3C15" w:rsidR="00D1070A" w:rsidRDefault="00D1070A" w:rsidP="00073CB4">
      <w:pPr>
        <w:tabs>
          <w:tab w:val="left" w:pos="720"/>
          <w:tab w:val="left" w:pos="1440"/>
          <w:tab w:val="left" w:pos="2160"/>
          <w:tab w:val="left" w:pos="4680"/>
        </w:tabs>
        <w:rPr>
          <w:sz w:val="26"/>
          <w:szCs w:val="26"/>
        </w:rPr>
      </w:pPr>
      <w:r w:rsidRPr="00D43290">
        <w:rPr>
          <w:sz w:val="24"/>
          <w:szCs w:val="24"/>
        </w:rPr>
        <w:tab/>
        <w:t>David Edinger, Bureau of Technical Utility Services</w:t>
      </w:r>
    </w:p>
    <w:sectPr w:rsidR="00D1070A" w:rsidSect="00045520">
      <w:footerReference w:type="even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87D34" w14:textId="77777777" w:rsidR="00496FE7" w:rsidRDefault="00496FE7">
      <w:r>
        <w:separator/>
      </w:r>
    </w:p>
  </w:endnote>
  <w:endnote w:type="continuationSeparator" w:id="0">
    <w:p w14:paraId="17D728EC" w14:textId="77777777" w:rsidR="00496FE7" w:rsidRDefault="0049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6B94E" w14:textId="77777777" w:rsidR="0075019A" w:rsidRDefault="007501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62FB283" w14:textId="77777777" w:rsidR="0075019A" w:rsidRDefault="00750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532B7" w14:textId="77777777" w:rsidR="00496FE7" w:rsidRDefault="00496FE7">
      <w:r>
        <w:separator/>
      </w:r>
    </w:p>
  </w:footnote>
  <w:footnote w:type="continuationSeparator" w:id="0">
    <w:p w14:paraId="4DCCCB76" w14:textId="77777777" w:rsidR="00496FE7" w:rsidRDefault="0049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2908D7"/>
    <w:multiLevelType w:val="hybridMultilevel"/>
    <w:tmpl w:val="DB109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01B73"/>
    <w:multiLevelType w:val="hybridMultilevel"/>
    <w:tmpl w:val="41F47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1F1667"/>
    <w:multiLevelType w:val="hybridMultilevel"/>
    <w:tmpl w:val="593E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3"/>
  </w:num>
  <w:num w:numId="7">
    <w:abstractNumId w:val="12"/>
  </w:num>
  <w:num w:numId="8">
    <w:abstractNumId w:val="10"/>
  </w:num>
  <w:num w:numId="9">
    <w:abstractNumId w:val="0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51"/>
    <w:rsid w:val="00027A10"/>
    <w:rsid w:val="00034796"/>
    <w:rsid w:val="00041417"/>
    <w:rsid w:val="00045520"/>
    <w:rsid w:val="0006085A"/>
    <w:rsid w:val="00067B3B"/>
    <w:rsid w:val="00067F2B"/>
    <w:rsid w:val="00073CB4"/>
    <w:rsid w:val="00075539"/>
    <w:rsid w:val="00076B03"/>
    <w:rsid w:val="00076F23"/>
    <w:rsid w:val="00091504"/>
    <w:rsid w:val="00094150"/>
    <w:rsid w:val="000A5D84"/>
    <w:rsid w:val="000E4C77"/>
    <w:rsid w:val="001209F1"/>
    <w:rsid w:val="0012404A"/>
    <w:rsid w:val="00124DD5"/>
    <w:rsid w:val="00152F72"/>
    <w:rsid w:val="00170283"/>
    <w:rsid w:val="001743D0"/>
    <w:rsid w:val="001A749F"/>
    <w:rsid w:val="001D5DBB"/>
    <w:rsid w:val="001E1BF3"/>
    <w:rsid w:val="001E678B"/>
    <w:rsid w:val="001F2EDC"/>
    <w:rsid w:val="00202276"/>
    <w:rsid w:val="00206F2B"/>
    <w:rsid w:val="0021690C"/>
    <w:rsid w:val="002229C3"/>
    <w:rsid w:val="002364E4"/>
    <w:rsid w:val="002476B0"/>
    <w:rsid w:val="0025446A"/>
    <w:rsid w:val="00273B0E"/>
    <w:rsid w:val="00280E91"/>
    <w:rsid w:val="00284E35"/>
    <w:rsid w:val="00285461"/>
    <w:rsid w:val="00292374"/>
    <w:rsid w:val="0029471C"/>
    <w:rsid w:val="002A2000"/>
    <w:rsid w:val="002A223C"/>
    <w:rsid w:val="002A52A0"/>
    <w:rsid w:val="002B51A2"/>
    <w:rsid w:val="002C08FE"/>
    <w:rsid w:val="002F0138"/>
    <w:rsid w:val="002F2B8C"/>
    <w:rsid w:val="00303D80"/>
    <w:rsid w:val="00307FF2"/>
    <w:rsid w:val="00313F77"/>
    <w:rsid w:val="0031429F"/>
    <w:rsid w:val="0032677D"/>
    <w:rsid w:val="00335A29"/>
    <w:rsid w:val="00345522"/>
    <w:rsid w:val="00347684"/>
    <w:rsid w:val="00347A10"/>
    <w:rsid w:val="003516A6"/>
    <w:rsid w:val="00353111"/>
    <w:rsid w:val="00354796"/>
    <w:rsid w:val="003569E8"/>
    <w:rsid w:val="00366A65"/>
    <w:rsid w:val="003A75EB"/>
    <w:rsid w:val="003B26C3"/>
    <w:rsid w:val="003C00BF"/>
    <w:rsid w:val="003C102A"/>
    <w:rsid w:val="003C56E2"/>
    <w:rsid w:val="003E4B39"/>
    <w:rsid w:val="00411675"/>
    <w:rsid w:val="0042140E"/>
    <w:rsid w:val="004246D9"/>
    <w:rsid w:val="00454526"/>
    <w:rsid w:val="00455F78"/>
    <w:rsid w:val="00496FE7"/>
    <w:rsid w:val="004A1767"/>
    <w:rsid w:val="004C02BD"/>
    <w:rsid w:val="004D2698"/>
    <w:rsid w:val="004F32B3"/>
    <w:rsid w:val="004F5AAA"/>
    <w:rsid w:val="00513DCA"/>
    <w:rsid w:val="00514EA3"/>
    <w:rsid w:val="0051639C"/>
    <w:rsid w:val="005237E1"/>
    <w:rsid w:val="00526ADA"/>
    <w:rsid w:val="00526F31"/>
    <w:rsid w:val="00567622"/>
    <w:rsid w:val="00570068"/>
    <w:rsid w:val="00584C01"/>
    <w:rsid w:val="005A0955"/>
    <w:rsid w:val="005B3262"/>
    <w:rsid w:val="005B444B"/>
    <w:rsid w:val="005B58B7"/>
    <w:rsid w:val="005C03C4"/>
    <w:rsid w:val="005D1768"/>
    <w:rsid w:val="005E25C5"/>
    <w:rsid w:val="005E3690"/>
    <w:rsid w:val="005F3D24"/>
    <w:rsid w:val="00650F27"/>
    <w:rsid w:val="00672262"/>
    <w:rsid w:val="006755C0"/>
    <w:rsid w:val="006A1D3F"/>
    <w:rsid w:val="006C5C47"/>
    <w:rsid w:val="006D63A6"/>
    <w:rsid w:val="006D6779"/>
    <w:rsid w:val="006E1A84"/>
    <w:rsid w:val="00700501"/>
    <w:rsid w:val="00701ED5"/>
    <w:rsid w:val="00715604"/>
    <w:rsid w:val="00721FA8"/>
    <w:rsid w:val="0075019A"/>
    <w:rsid w:val="007617B1"/>
    <w:rsid w:val="0077210F"/>
    <w:rsid w:val="00772716"/>
    <w:rsid w:val="00773F47"/>
    <w:rsid w:val="00774744"/>
    <w:rsid w:val="00794208"/>
    <w:rsid w:val="00794E58"/>
    <w:rsid w:val="007A16AE"/>
    <w:rsid w:val="007C4202"/>
    <w:rsid w:val="007C5DAC"/>
    <w:rsid w:val="007D28D7"/>
    <w:rsid w:val="007E64B5"/>
    <w:rsid w:val="007F0775"/>
    <w:rsid w:val="007F55F1"/>
    <w:rsid w:val="0080792C"/>
    <w:rsid w:val="00807CAF"/>
    <w:rsid w:val="0084218B"/>
    <w:rsid w:val="008476A6"/>
    <w:rsid w:val="00864070"/>
    <w:rsid w:val="00876FD4"/>
    <w:rsid w:val="0089421A"/>
    <w:rsid w:val="008A2241"/>
    <w:rsid w:val="008A5DB7"/>
    <w:rsid w:val="008C20A4"/>
    <w:rsid w:val="008C4D37"/>
    <w:rsid w:val="008E5EA0"/>
    <w:rsid w:val="008F78AA"/>
    <w:rsid w:val="0090707F"/>
    <w:rsid w:val="00927022"/>
    <w:rsid w:val="00930003"/>
    <w:rsid w:val="0093258F"/>
    <w:rsid w:val="0097602B"/>
    <w:rsid w:val="00984274"/>
    <w:rsid w:val="0099767B"/>
    <w:rsid w:val="009A1144"/>
    <w:rsid w:val="009A5A76"/>
    <w:rsid w:val="009B1956"/>
    <w:rsid w:val="009B23D8"/>
    <w:rsid w:val="009B2E39"/>
    <w:rsid w:val="009B36CB"/>
    <w:rsid w:val="009E40EC"/>
    <w:rsid w:val="009E65F6"/>
    <w:rsid w:val="009E7E5D"/>
    <w:rsid w:val="009F5F66"/>
    <w:rsid w:val="00A0792A"/>
    <w:rsid w:val="00A41345"/>
    <w:rsid w:val="00A444DE"/>
    <w:rsid w:val="00A550AF"/>
    <w:rsid w:val="00A61C0A"/>
    <w:rsid w:val="00A66D1F"/>
    <w:rsid w:val="00A752AE"/>
    <w:rsid w:val="00A81C80"/>
    <w:rsid w:val="00A82C28"/>
    <w:rsid w:val="00A84699"/>
    <w:rsid w:val="00A93FB4"/>
    <w:rsid w:val="00A955FA"/>
    <w:rsid w:val="00AA0347"/>
    <w:rsid w:val="00AA63A9"/>
    <w:rsid w:val="00AA6F16"/>
    <w:rsid w:val="00AB36A9"/>
    <w:rsid w:val="00AD6503"/>
    <w:rsid w:val="00AD77EE"/>
    <w:rsid w:val="00AE792C"/>
    <w:rsid w:val="00AF02D1"/>
    <w:rsid w:val="00AF16AC"/>
    <w:rsid w:val="00AF4A0F"/>
    <w:rsid w:val="00B00393"/>
    <w:rsid w:val="00B12277"/>
    <w:rsid w:val="00B26677"/>
    <w:rsid w:val="00B31B02"/>
    <w:rsid w:val="00B3551A"/>
    <w:rsid w:val="00B44A1E"/>
    <w:rsid w:val="00B57C6E"/>
    <w:rsid w:val="00B62D45"/>
    <w:rsid w:val="00B719AA"/>
    <w:rsid w:val="00B97014"/>
    <w:rsid w:val="00BC3A3C"/>
    <w:rsid w:val="00BC7ABE"/>
    <w:rsid w:val="00BD3A5C"/>
    <w:rsid w:val="00BD752E"/>
    <w:rsid w:val="00BE4A72"/>
    <w:rsid w:val="00BE5119"/>
    <w:rsid w:val="00BE575E"/>
    <w:rsid w:val="00BF66A8"/>
    <w:rsid w:val="00BF6D7C"/>
    <w:rsid w:val="00BF6F03"/>
    <w:rsid w:val="00C06BFD"/>
    <w:rsid w:val="00C140D5"/>
    <w:rsid w:val="00C17CD5"/>
    <w:rsid w:val="00C35E20"/>
    <w:rsid w:val="00C73952"/>
    <w:rsid w:val="00C74A51"/>
    <w:rsid w:val="00C77C13"/>
    <w:rsid w:val="00C77F29"/>
    <w:rsid w:val="00C90506"/>
    <w:rsid w:val="00C95F36"/>
    <w:rsid w:val="00C96CF9"/>
    <w:rsid w:val="00CA44B2"/>
    <w:rsid w:val="00CB129D"/>
    <w:rsid w:val="00CB5738"/>
    <w:rsid w:val="00CD42ED"/>
    <w:rsid w:val="00CE2A65"/>
    <w:rsid w:val="00CF047C"/>
    <w:rsid w:val="00D1070A"/>
    <w:rsid w:val="00D22369"/>
    <w:rsid w:val="00D355DB"/>
    <w:rsid w:val="00D43290"/>
    <w:rsid w:val="00D55E96"/>
    <w:rsid w:val="00D64F9B"/>
    <w:rsid w:val="00D93176"/>
    <w:rsid w:val="00DA08BE"/>
    <w:rsid w:val="00DA4D87"/>
    <w:rsid w:val="00DB6902"/>
    <w:rsid w:val="00DC35C5"/>
    <w:rsid w:val="00DD1A19"/>
    <w:rsid w:val="00DD7880"/>
    <w:rsid w:val="00DE3C6A"/>
    <w:rsid w:val="00DE4076"/>
    <w:rsid w:val="00E16ACF"/>
    <w:rsid w:val="00E236E3"/>
    <w:rsid w:val="00E26FF2"/>
    <w:rsid w:val="00E349DA"/>
    <w:rsid w:val="00E93258"/>
    <w:rsid w:val="00EC0F0A"/>
    <w:rsid w:val="00EC1791"/>
    <w:rsid w:val="00EC25BD"/>
    <w:rsid w:val="00EC71DD"/>
    <w:rsid w:val="00EC7A49"/>
    <w:rsid w:val="00EC7ADB"/>
    <w:rsid w:val="00ED57C8"/>
    <w:rsid w:val="00F11A81"/>
    <w:rsid w:val="00F16ED1"/>
    <w:rsid w:val="00F4598D"/>
    <w:rsid w:val="00F60BC4"/>
    <w:rsid w:val="00F7094C"/>
    <w:rsid w:val="00F90527"/>
    <w:rsid w:val="00FA0E37"/>
    <w:rsid w:val="00FA244D"/>
    <w:rsid w:val="00FA2FCC"/>
    <w:rsid w:val="00FB1E2E"/>
    <w:rsid w:val="00FB3D01"/>
    <w:rsid w:val="00FB6F91"/>
    <w:rsid w:val="00FC1D6A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94CE74B"/>
  <w15:chartTrackingRefBased/>
  <w15:docId w15:val="{983DFC7A-E201-4F39-8929-B33E20AB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paragraph" w:styleId="ListParagraph">
    <w:name w:val="List Paragraph"/>
    <w:basedOn w:val="Normal"/>
    <w:uiPriority w:val="34"/>
    <w:qFormat/>
    <w:rsid w:val="000414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1E678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22369"/>
    <w:rPr>
      <w:color w:val="605E5C"/>
      <w:shd w:val="clear" w:color="auto" w:fill="E1DFDD"/>
    </w:rPr>
  </w:style>
  <w:style w:type="character" w:styleId="FollowedHyperlink">
    <w:name w:val="FollowedHyperlink"/>
    <w:rsid w:val="005237E1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B26677"/>
  </w:style>
  <w:style w:type="character" w:customStyle="1" w:styleId="FootnoteTextChar">
    <w:name w:val="Footnote Text Char"/>
    <w:basedOn w:val="DefaultParagraphFont"/>
    <w:link w:val="FootnoteText"/>
    <w:rsid w:val="00B26677"/>
  </w:style>
  <w:style w:type="character" w:styleId="FootnoteReference">
    <w:name w:val="footnote reference"/>
    <w:rsid w:val="00B26677"/>
    <w:rPr>
      <w:vertAlign w:val="superscript"/>
    </w:rPr>
  </w:style>
  <w:style w:type="character" w:styleId="CommentReference">
    <w:name w:val="annotation reference"/>
    <w:rsid w:val="007C4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4202"/>
  </w:style>
  <w:style w:type="character" w:customStyle="1" w:styleId="CommentTextChar">
    <w:name w:val="Comment Text Char"/>
    <w:basedOn w:val="DefaultParagraphFont"/>
    <w:link w:val="CommentText"/>
    <w:rsid w:val="007C4202"/>
  </w:style>
  <w:style w:type="paragraph" w:styleId="CommentSubject">
    <w:name w:val="annotation subject"/>
    <w:basedOn w:val="CommentText"/>
    <w:next w:val="CommentText"/>
    <w:link w:val="CommentSubjectChar"/>
    <w:rsid w:val="007C4202"/>
    <w:rPr>
      <w:b/>
      <w:bCs/>
    </w:rPr>
  </w:style>
  <w:style w:type="character" w:customStyle="1" w:styleId="CommentSubjectChar">
    <w:name w:val="Comment Subject Char"/>
    <w:link w:val="CommentSubject"/>
    <w:rsid w:val="007C4202"/>
    <w:rPr>
      <w:b/>
      <w:bCs/>
    </w:rPr>
  </w:style>
  <w:style w:type="character" w:customStyle="1" w:styleId="FooterChar">
    <w:name w:val="Footer Char"/>
    <w:link w:val="Footer"/>
    <w:uiPriority w:val="99"/>
    <w:rsid w:val="00045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c.state.pa.us/efiling/default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1B40AC77DD84F99AD48342DA3B242" ma:contentTypeVersion="10" ma:contentTypeDescription="Create a new document." ma:contentTypeScope="" ma:versionID="23dbaff86362ce949cba093f7a3d8165">
  <xsd:schema xmlns:xsd="http://www.w3.org/2001/XMLSchema" xmlns:xs="http://www.w3.org/2001/XMLSchema" xmlns:p="http://schemas.microsoft.com/office/2006/metadata/properties" xmlns:ns3="f22eb6b0-f4fe-416e-84fa-f8dd9fc6fd97" xmlns:ns4="8cea3baf-c3c2-40f1-960b-e954032cb9c6" targetNamespace="http://schemas.microsoft.com/office/2006/metadata/properties" ma:root="true" ma:fieldsID="47c041eb0ad1c441a0f2369f6ba71c17" ns3:_="" ns4:_="">
    <xsd:import namespace="f22eb6b0-f4fe-416e-84fa-f8dd9fc6fd97"/>
    <xsd:import namespace="8cea3baf-c3c2-40f1-960b-e954032cb9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eb6b0-f4fe-416e-84fa-f8dd9fc6fd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a3baf-c3c2-40f1-960b-e954032cb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77A31-22E1-486A-8D04-D7F507EA3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eb6b0-f4fe-416e-84fa-f8dd9fc6fd97"/>
    <ds:schemaRef ds:uri="8cea3baf-c3c2-40f1-960b-e954032cb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1180A-0151-4713-B7A7-C1201CCD33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FFB16-3FD9-490D-8890-2B2781F718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64E19-7F91-4E40-98FA-D5F91A7D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Rosemary Chiavetta</vt:lpstr>
    </vt:vector>
  </TitlesOfParts>
  <Company>PA PUC</Company>
  <LinksUpToDate>false</LinksUpToDate>
  <CharactersWithSpaces>2028</CharactersWithSpaces>
  <SharedDoc>false</SharedDoc>
  <HLinks>
    <vt:vector size="36" baseType="variant">
      <vt:variant>
        <vt:i4>5832802</vt:i4>
      </vt:variant>
      <vt:variant>
        <vt:i4>12</vt:i4>
      </vt:variant>
      <vt:variant>
        <vt:i4>0</vt:i4>
      </vt:variant>
      <vt:variant>
        <vt:i4>5</vt:i4>
      </vt:variant>
      <vt:variant>
        <vt:lpwstr>mailto:dedinger@pa.gov</vt:lpwstr>
      </vt:variant>
      <vt:variant>
        <vt:lpwstr/>
      </vt:variant>
      <vt:variant>
        <vt:i4>2228255</vt:i4>
      </vt:variant>
      <vt:variant>
        <vt:i4>9</vt:i4>
      </vt:variant>
      <vt:variant>
        <vt:i4>0</vt:i4>
      </vt:variant>
      <vt:variant>
        <vt:i4>5</vt:i4>
      </vt:variant>
      <vt:variant>
        <vt:lpwstr>mailto:ematheson@pa.gov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mailto:jcardinale@pa.gov</vt:lpwstr>
      </vt:variant>
      <vt:variant>
        <vt:lpwstr/>
      </vt:variant>
      <vt:variant>
        <vt:i4>3211267</vt:i4>
      </vt:variant>
      <vt:variant>
        <vt:i4>3</vt:i4>
      </vt:variant>
      <vt:variant>
        <vt:i4>0</vt:i4>
      </vt:variant>
      <vt:variant>
        <vt:i4>5</vt:i4>
      </vt:variant>
      <vt:variant>
        <vt:lpwstr>mailto:astaevska@pa.gov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http://www.puc.state.pa.us/efiling/default.aspx</vt:lpwstr>
      </vt:variant>
      <vt:variant>
        <vt:lpwstr/>
      </vt:variant>
      <vt:variant>
        <vt:i4>2490454</vt:i4>
      </vt:variant>
      <vt:variant>
        <vt:i4>0</vt:i4>
      </vt:variant>
      <vt:variant>
        <vt:i4>0</vt:i4>
      </vt:variant>
      <vt:variant>
        <vt:i4>5</vt:i4>
      </vt:variant>
      <vt:variant>
        <vt:lpwstr>https://www.puc.pa.gov/General/publications_reports/pdf/Electric_Service_Reliability2019.pdf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REYNOLDS</dc:creator>
  <cp:keywords/>
  <cp:lastModifiedBy>Sheffer, Ryan</cp:lastModifiedBy>
  <cp:revision>6</cp:revision>
  <cp:lastPrinted>2020-12-02T13:43:00Z</cp:lastPrinted>
  <dcterms:created xsi:type="dcterms:W3CDTF">2020-12-29T17:33:00Z</dcterms:created>
  <dcterms:modified xsi:type="dcterms:W3CDTF">2020-12-30T14:36:00Z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0x01010093E1B40AC77DD84F99AD48342DA3B242</vt:lpwstr>
  </property>
</Properties>
</file>