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67D488" w14:textId="77777777" w:rsidR="00F44833" w:rsidRPr="003F7EE6" w:rsidRDefault="00F44833" w:rsidP="00F44833">
      <w:pPr>
        <w:tabs>
          <w:tab w:val="center" w:pos="4680"/>
        </w:tabs>
        <w:suppressAutoHyphens/>
        <w:spacing w:after="0" w:line="240" w:lineRule="auto"/>
        <w:jc w:val="center"/>
        <w:rPr>
          <w:rFonts w:ascii="Times New Roman" w:eastAsia="Times New Roman" w:hAnsi="Times New Roman" w:cs="Times New Roman"/>
          <w:b/>
          <w:spacing w:val="-3"/>
          <w:sz w:val="26"/>
          <w:szCs w:val="26"/>
        </w:rPr>
      </w:pPr>
      <w:r w:rsidRPr="003F7EE6">
        <w:rPr>
          <w:rFonts w:ascii="Times New Roman" w:eastAsia="Times New Roman" w:hAnsi="Times New Roman" w:cs="Times New Roman"/>
          <w:b/>
          <w:spacing w:val="-3"/>
          <w:sz w:val="26"/>
          <w:szCs w:val="26"/>
        </w:rPr>
        <w:t>PENNSYLVANIA</w:t>
      </w:r>
    </w:p>
    <w:p w14:paraId="6251235F" w14:textId="77777777" w:rsidR="00F44833" w:rsidRPr="003F7EE6" w:rsidRDefault="00F44833" w:rsidP="00F44833">
      <w:pPr>
        <w:tabs>
          <w:tab w:val="center" w:pos="4680"/>
        </w:tabs>
        <w:suppressAutoHyphens/>
        <w:spacing w:after="0" w:line="240" w:lineRule="auto"/>
        <w:jc w:val="center"/>
        <w:rPr>
          <w:rFonts w:ascii="Times New Roman" w:eastAsia="Times New Roman" w:hAnsi="Times New Roman" w:cs="Times New Roman"/>
          <w:b/>
          <w:spacing w:val="-3"/>
          <w:sz w:val="26"/>
          <w:szCs w:val="26"/>
        </w:rPr>
      </w:pPr>
      <w:r w:rsidRPr="003F7EE6">
        <w:rPr>
          <w:rFonts w:ascii="Times New Roman" w:eastAsia="Times New Roman" w:hAnsi="Times New Roman" w:cs="Times New Roman"/>
          <w:b/>
          <w:spacing w:val="-3"/>
          <w:sz w:val="26"/>
          <w:szCs w:val="26"/>
        </w:rPr>
        <w:t>PUBLIC UTILITY COMMISSION</w:t>
      </w:r>
    </w:p>
    <w:p w14:paraId="5DC6D5AB" w14:textId="55FB4B2C" w:rsidR="00F44833" w:rsidRPr="003F7EE6" w:rsidRDefault="00F44833" w:rsidP="00F44833">
      <w:pPr>
        <w:tabs>
          <w:tab w:val="center" w:pos="4680"/>
        </w:tabs>
        <w:suppressAutoHyphens/>
        <w:spacing w:after="0" w:line="240" w:lineRule="auto"/>
        <w:jc w:val="center"/>
        <w:rPr>
          <w:rFonts w:ascii="Times New Roman" w:eastAsia="Times New Roman" w:hAnsi="Times New Roman" w:cs="Times New Roman"/>
          <w:b/>
          <w:spacing w:val="-3"/>
          <w:sz w:val="26"/>
          <w:szCs w:val="26"/>
        </w:rPr>
      </w:pPr>
      <w:r w:rsidRPr="003F7EE6">
        <w:rPr>
          <w:rFonts w:ascii="Times New Roman" w:eastAsia="Times New Roman" w:hAnsi="Times New Roman" w:cs="Times New Roman"/>
          <w:b/>
          <w:spacing w:val="-3"/>
          <w:sz w:val="26"/>
          <w:szCs w:val="26"/>
        </w:rPr>
        <w:t>Harrisburg, PA 171</w:t>
      </w:r>
      <w:r w:rsidR="00296EA4">
        <w:rPr>
          <w:rFonts w:ascii="Times New Roman" w:eastAsia="Times New Roman" w:hAnsi="Times New Roman" w:cs="Times New Roman"/>
          <w:b/>
          <w:spacing w:val="-3"/>
          <w:sz w:val="26"/>
          <w:szCs w:val="26"/>
        </w:rPr>
        <w:t>20</w:t>
      </w:r>
    </w:p>
    <w:p w14:paraId="2FFFD903" w14:textId="77777777" w:rsidR="00F44833" w:rsidRPr="003F7EE6" w:rsidRDefault="00F44833" w:rsidP="00F44833">
      <w:pPr>
        <w:tabs>
          <w:tab w:val="left" w:pos="-720"/>
        </w:tabs>
        <w:suppressAutoHyphens/>
        <w:spacing w:after="0" w:line="240" w:lineRule="auto"/>
        <w:jc w:val="both"/>
        <w:rPr>
          <w:rFonts w:ascii="Times New Roman" w:eastAsia="Times New Roman" w:hAnsi="Times New Roman" w:cs="Times New Roman"/>
          <w:spacing w:val="-3"/>
          <w:sz w:val="26"/>
          <w:szCs w:val="26"/>
        </w:rPr>
      </w:pPr>
    </w:p>
    <w:p w14:paraId="05352468" w14:textId="1305E4C0" w:rsidR="00F44833" w:rsidRPr="003F7EE6" w:rsidRDefault="00F44833" w:rsidP="00060D64">
      <w:pPr>
        <w:tabs>
          <w:tab w:val="left" w:pos="-720"/>
        </w:tabs>
        <w:suppressAutoHyphens/>
        <w:spacing w:after="0" w:line="240" w:lineRule="auto"/>
        <w:jc w:val="right"/>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 xml:space="preserve">Public Meeting held </w:t>
      </w:r>
      <w:r w:rsidR="001E6637">
        <w:rPr>
          <w:rFonts w:ascii="Times New Roman" w:eastAsia="Times New Roman" w:hAnsi="Times New Roman" w:cs="Times New Roman"/>
          <w:sz w:val="26"/>
          <w:szCs w:val="26"/>
        </w:rPr>
        <w:t>January 14</w:t>
      </w:r>
      <w:r w:rsidR="006A328C">
        <w:rPr>
          <w:rFonts w:ascii="Times New Roman" w:eastAsia="Times New Roman" w:hAnsi="Times New Roman" w:cs="Times New Roman"/>
          <w:sz w:val="26"/>
          <w:szCs w:val="26"/>
        </w:rPr>
        <w:t>, 20</w:t>
      </w:r>
      <w:r w:rsidR="0028291A">
        <w:rPr>
          <w:rFonts w:ascii="Times New Roman" w:eastAsia="Times New Roman" w:hAnsi="Times New Roman" w:cs="Times New Roman"/>
          <w:sz w:val="26"/>
          <w:szCs w:val="26"/>
        </w:rPr>
        <w:t>2</w:t>
      </w:r>
      <w:r w:rsidR="001E6637">
        <w:rPr>
          <w:rFonts w:ascii="Times New Roman" w:eastAsia="Times New Roman" w:hAnsi="Times New Roman" w:cs="Times New Roman"/>
          <w:sz w:val="26"/>
          <w:szCs w:val="26"/>
        </w:rPr>
        <w:t>1</w:t>
      </w:r>
    </w:p>
    <w:p w14:paraId="62C254DD" w14:textId="77777777" w:rsidR="00F44833" w:rsidRPr="003F7EE6" w:rsidRDefault="00F44833" w:rsidP="00F44833">
      <w:pPr>
        <w:tabs>
          <w:tab w:val="left" w:pos="-720"/>
        </w:tabs>
        <w:suppressAutoHyphens/>
        <w:spacing w:after="0" w:line="240" w:lineRule="auto"/>
        <w:rPr>
          <w:rFonts w:ascii="Times New Roman" w:eastAsia="Times New Roman" w:hAnsi="Times New Roman" w:cs="Times New Roman"/>
          <w:sz w:val="26"/>
          <w:szCs w:val="26"/>
        </w:rPr>
      </w:pPr>
    </w:p>
    <w:p w14:paraId="543E8D22" w14:textId="77777777" w:rsidR="00F44833" w:rsidRPr="003F7EE6" w:rsidRDefault="00F44833" w:rsidP="00F44833">
      <w:pPr>
        <w:tabs>
          <w:tab w:val="left" w:pos="-720"/>
        </w:tabs>
        <w:suppressAutoHyphens/>
        <w:spacing w:after="0" w:line="240" w:lineRule="auto"/>
        <w:rPr>
          <w:rFonts w:ascii="Times New Roman" w:eastAsia="Times New Roman" w:hAnsi="Times New Roman" w:cs="Times New Roman"/>
          <w:sz w:val="26"/>
          <w:szCs w:val="26"/>
        </w:rPr>
      </w:pPr>
    </w:p>
    <w:p w14:paraId="7EB92BF0" w14:textId="77777777" w:rsidR="00F44833" w:rsidRPr="003F7EE6" w:rsidRDefault="00F44833" w:rsidP="00F44833">
      <w:pPr>
        <w:tabs>
          <w:tab w:val="left" w:pos="-720"/>
        </w:tabs>
        <w:suppressAutoHyphens/>
        <w:spacing w:after="0" w:line="24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 xml:space="preserve">Commissioners Present: </w:t>
      </w:r>
    </w:p>
    <w:p w14:paraId="20D7872E" w14:textId="77777777" w:rsidR="00F44833" w:rsidRPr="003F7EE6" w:rsidRDefault="00F44833" w:rsidP="00F44833">
      <w:pPr>
        <w:tabs>
          <w:tab w:val="left" w:pos="-720"/>
        </w:tabs>
        <w:suppressAutoHyphens/>
        <w:spacing w:after="0" w:line="240" w:lineRule="auto"/>
        <w:rPr>
          <w:rFonts w:ascii="Times New Roman" w:eastAsia="Times New Roman" w:hAnsi="Times New Roman" w:cs="Times New Roman"/>
          <w:sz w:val="26"/>
          <w:szCs w:val="26"/>
        </w:rPr>
      </w:pPr>
    </w:p>
    <w:p w14:paraId="0769C642" w14:textId="6E4F536A" w:rsidR="00F44833" w:rsidRPr="003F7EE6" w:rsidRDefault="00F44833" w:rsidP="00F44833">
      <w:pPr>
        <w:tabs>
          <w:tab w:val="left" w:pos="-720"/>
        </w:tabs>
        <w:suppressAutoHyphens/>
        <w:spacing w:after="0" w:line="24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ab/>
      </w:r>
      <w:r w:rsidR="000C58A3" w:rsidRPr="003F7EE6">
        <w:rPr>
          <w:rFonts w:ascii="Times New Roman" w:eastAsia="Times New Roman" w:hAnsi="Times New Roman" w:cs="Times New Roman"/>
          <w:sz w:val="26"/>
          <w:szCs w:val="26"/>
        </w:rPr>
        <w:t>Gladys</w:t>
      </w:r>
      <w:r w:rsidR="00BD028F">
        <w:rPr>
          <w:rFonts w:ascii="Times New Roman" w:eastAsia="Times New Roman" w:hAnsi="Times New Roman" w:cs="Times New Roman"/>
          <w:sz w:val="26"/>
          <w:szCs w:val="26"/>
        </w:rPr>
        <w:t xml:space="preserve"> </w:t>
      </w:r>
      <w:r w:rsidR="000C58A3" w:rsidRPr="003F7EE6">
        <w:rPr>
          <w:rFonts w:ascii="Times New Roman" w:eastAsia="Times New Roman" w:hAnsi="Times New Roman" w:cs="Times New Roman"/>
          <w:sz w:val="26"/>
          <w:szCs w:val="26"/>
        </w:rPr>
        <w:t>Brown</w:t>
      </w:r>
      <w:r w:rsidR="00BD028F">
        <w:rPr>
          <w:rFonts w:ascii="Times New Roman" w:eastAsia="Times New Roman" w:hAnsi="Times New Roman" w:cs="Times New Roman"/>
          <w:sz w:val="26"/>
          <w:szCs w:val="26"/>
        </w:rPr>
        <w:t xml:space="preserve"> </w:t>
      </w:r>
      <w:proofErr w:type="spellStart"/>
      <w:r w:rsidR="00BD028F">
        <w:rPr>
          <w:rFonts w:ascii="Times New Roman" w:eastAsia="Times New Roman" w:hAnsi="Times New Roman" w:cs="Times New Roman"/>
          <w:sz w:val="26"/>
          <w:szCs w:val="26"/>
        </w:rPr>
        <w:t>Dutrieu</w:t>
      </w:r>
      <w:r w:rsidR="00081D86">
        <w:rPr>
          <w:rFonts w:ascii="Times New Roman" w:eastAsia="Times New Roman" w:hAnsi="Times New Roman" w:cs="Times New Roman"/>
          <w:sz w:val="26"/>
          <w:szCs w:val="26"/>
        </w:rPr>
        <w:t>i</w:t>
      </w:r>
      <w:r w:rsidR="00BD028F">
        <w:rPr>
          <w:rFonts w:ascii="Times New Roman" w:eastAsia="Times New Roman" w:hAnsi="Times New Roman" w:cs="Times New Roman"/>
          <w:sz w:val="26"/>
          <w:szCs w:val="26"/>
        </w:rPr>
        <w:t>lle</w:t>
      </w:r>
      <w:proofErr w:type="spellEnd"/>
      <w:r w:rsidRPr="003F7EE6">
        <w:rPr>
          <w:rFonts w:ascii="Times New Roman" w:eastAsia="Times New Roman" w:hAnsi="Times New Roman" w:cs="Times New Roman"/>
          <w:sz w:val="26"/>
          <w:szCs w:val="26"/>
        </w:rPr>
        <w:t>, Chairman</w:t>
      </w:r>
      <w:r w:rsidR="00C2636B">
        <w:rPr>
          <w:rFonts w:ascii="Times New Roman" w:eastAsia="Times New Roman" w:hAnsi="Times New Roman" w:cs="Times New Roman"/>
          <w:sz w:val="26"/>
          <w:szCs w:val="26"/>
        </w:rPr>
        <w:t>, Statement</w:t>
      </w:r>
    </w:p>
    <w:p w14:paraId="7FE77D95" w14:textId="2CA4D396" w:rsidR="00F44833" w:rsidRPr="003F7EE6" w:rsidRDefault="00F44833" w:rsidP="00F44833">
      <w:pPr>
        <w:tabs>
          <w:tab w:val="left" w:pos="-720"/>
        </w:tabs>
        <w:suppressAutoHyphens/>
        <w:spacing w:after="0" w:line="24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ab/>
      </w:r>
      <w:r w:rsidR="00081D86">
        <w:rPr>
          <w:rFonts w:ascii="Times New Roman" w:eastAsia="Times New Roman" w:hAnsi="Times New Roman" w:cs="Times New Roman"/>
          <w:sz w:val="26"/>
          <w:szCs w:val="26"/>
        </w:rPr>
        <w:t>David W. Sweet</w:t>
      </w:r>
      <w:r w:rsidRPr="003F7EE6">
        <w:rPr>
          <w:rFonts w:ascii="Times New Roman" w:eastAsia="Times New Roman" w:hAnsi="Times New Roman" w:cs="Times New Roman"/>
          <w:sz w:val="26"/>
          <w:szCs w:val="26"/>
        </w:rPr>
        <w:t>, Vice Chairman</w:t>
      </w:r>
    </w:p>
    <w:p w14:paraId="4A477185" w14:textId="4A8875E1" w:rsidR="00D662B2" w:rsidRDefault="00F44833" w:rsidP="00F44833">
      <w:pPr>
        <w:tabs>
          <w:tab w:val="left" w:pos="-720"/>
        </w:tabs>
        <w:suppressAutoHyphens/>
        <w:spacing w:after="0" w:line="24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ab/>
      </w:r>
      <w:r w:rsidR="00D662B2" w:rsidRPr="003F7EE6">
        <w:rPr>
          <w:rFonts w:ascii="Times New Roman" w:eastAsia="Times New Roman" w:hAnsi="Times New Roman" w:cs="Times New Roman"/>
          <w:sz w:val="26"/>
          <w:szCs w:val="26"/>
        </w:rPr>
        <w:t>John F. Coleman, Jr.</w:t>
      </w:r>
    </w:p>
    <w:p w14:paraId="701F22C2" w14:textId="261DEF0E" w:rsidR="005F3410" w:rsidRDefault="005F3410" w:rsidP="00F44833">
      <w:pPr>
        <w:tabs>
          <w:tab w:val="left" w:pos="-720"/>
        </w:tabs>
        <w:suppressAutoHyphen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t>Ralph V. Yanora</w:t>
      </w:r>
    </w:p>
    <w:p w14:paraId="31DAE26B" w14:textId="77777777" w:rsidR="00D662B2" w:rsidRDefault="00D662B2" w:rsidP="00F44833">
      <w:pPr>
        <w:tabs>
          <w:tab w:val="left" w:pos="-720"/>
        </w:tabs>
        <w:suppressAutoHyphen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14:paraId="352CFA50" w14:textId="77777777" w:rsidR="000C58A3" w:rsidRPr="003F7EE6" w:rsidRDefault="000C58A3" w:rsidP="00F44833">
      <w:pPr>
        <w:tabs>
          <w:tab w:val="left" w:pos="-720"/>
        </w:tabs>
        <w:suppressAutoHyphen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14:paraId="198BA7EE" w14:textId="77777777" w:rsidR="00F44833" w:rsidRPr="003F7EE6" w:rsidRDefault="00F44833" w:rsidP="00F44833">
      <w:pPr>
        <w:tabs>
          <w:tab w:val="left" w:pos="-720"/>
        </w:tabs>
        <w:suppressAutoHyphens/>
        <w:spacing w:after="0" w:line="240" w:lineRule="auto"/>
        <w:rPr>
          <w:rFonts w:ascii="Times New Roman" w:eastAsia="Times New Roman" w:hAnsi="Times New Roman" w:cs="Times New Roman"/>
          <w:sz w:val="26"/>
          <w:szCs w:val="26"/>
        </w:rPr>
      </w:pPr>
    </w:p>
    <w:p w14:paraId="1DB61946" w14:textId="77777777" w:rsidR="00F44833" w:rsidRPr="003F7EE6" w:rsidRDefault="00F44833" w:rsidP="00F44833">
      <w:pPr>
        <w:tabs>
          <w:tab w:val="left" w:pos="-720"/>
        </w:tabs>
        <w:suppressAutoHyphens/>
        <w:spacing w:after="0" w:line="240" w:lineRule="auto"/>
        <w:rPr>
          <w:rFonts w:ascii="Times New Roman" w:eastAsia="Times New Roman" w:hAnsi="Times New Roman" w:cs="Times New Roman"/>
          <w:sz w:val="26"/>
          <w:szCs w:val="26"/>
        </w:rPr>
      </w:pPr>
    </w:p>
    <w:tbl>
      <w:tblPr>
        <w:tblW w:w="9828" w:type="dxa"/>
        <w:tblLayout w:type="fixed"/>
        <w:tblLook w:val="0000" w:firstRow="0" w:lastRow="0" w:firstColumn="0" w:lastColumn="0" w:noHBand="0" w:noVBand="0"/>
      </w:tblPr>
      <w:tblGrid>
        <w:gridCol w:w="5238"/>
        <w:gridCol w:w="1080"/>
        <w:gridCol w:w="3510"/>
      </w:tblGrid>
      <w:tr w:rsidR="00F44833" w:rsidRPr="003F7EE6" w14:paraId="70CF92FF" w14:textId="77777777" w:rsidTr="00E509B9">
        <w:tc>
          <w:tcPr>
            <w:tcW w:w="5238" w:type="dxa"/>
          </w:tcPr>
          <w:p w14:paraId="6DF454AA" w14:textId="77777777" w:rsidR="00F44833" w:rsidRPr="003F7EE6" w:rsidRDefault="00F44833" w:rsidP="00D662B2">
            <w:pPr>
              <w:spacing w:after="0" w:line="24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Pennsylvania Public Utility Commission,</w:t>
            </w:r>
          </w:p>
          <w:p w14:paraId="5160ED7A" w14:textId="77777777" w:rsidR="00F44833" w:rsidRPr="003F7EE6" w:rsidRDefault="00F44833" w:rsidP="00D662B2">
            <w:pPr>
              <w:spacing w:after="0" w:line="24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 xml:space="preserve">Bureau of Investigation and Enforcement  </w:t>
            </w:r>
          </w:p>
          <w:p w14:paraId="0E833492" w14:textId="77777777" w:rsidR="00F44833" w:rsidRPr="003F7EE6" w:rsidRDefault="00F44833" w:rsidP="00D662B2">
            <w:pPr>
              <w:spacing w:after="0" w:line="240" w:lineRule="auto"/>
              <w:rPr>
                <w:rFonts w:ascii="Times New Roman" w:eastAsia="Times New Roman" w:hAnsi="Times New Roman" w:cs="Times New Roman"/>
                <w:sz w:val="26"/>
                <w:szCs w:val="26"/>
              </w:rPr>
            </w:pPr>
          </w:p>
          <w:p w14:paraId="5A8470F2" w14:textId="77777777" w:rsidR="00F44833" w:rsidRPr="003F7EE6" w:rsidRDefault="00F44833" w:rsidP="00D662B2">
            <w:pPr>
              <w:spacing w:after="0" w:line="24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t>v.</w:t>
            </w:r>
          </w:p>
          <w:p w14:paraId="25EDDEB0" w14:textId="77777777" w:rsidR="00F44833" w:rsidRPr="003F7EE6" w:rsidRDefault="00F44833" w:rsidP="00D662B2">
            <w:pPr>
              <w:spacing w:after="0" w:line="240" w:lineRule="auto"/>
              <w:rPr>
                <w:rFonts w:ascii="Times New Roman" w:eastAsia="Times New Roman" w:hAnsi="Times New Roman" w:cs="Times New Roman"/>
                <w:sz w:val="26"/>
                <w:szCs w:val="26"/>
              </w:rPr>
            </w:pPr>
          </w:p>
          <w:p w14:paraId="3184D98F" w14:textId="3239E0C8" w:rsidR="00F44833" w:rsidRDefault="002B200E" w:rsidP="00D662B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The United Telephone Company of</w:t>
            </w:r>
          </w:p>
          <w:p w14:paraId="71711FFC" w14:textId="790D038B" w:rsidR="002B200E" w:rsidRPr="003F7EE6" w:rsidRDefault="002B200E" w:rsidP="00D662B2">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Pennsylvania LLC d/b/a CenturyLink</w:t>
            </w:r>
          </w:p>
          <w:p w14:paraId="509B11B3" w14:textId="77777777" w:rsidR="00F44833" w:rsidRPr="003F7EE6" w:rsidRDefault="00F44833" w:rsidP="00D662B2">
            <w:pPr>
              <w:spacing w:after="0" w:line="240" w:lineRule="auto"/>
              <w:rPr>
                <w:rFonts w:ascii="Times New Roman" w:eastAsia="Times New Roman" w:hAnsi="Times New Roman" w:cs="Times New Roman"/>
                <w:sz w:val="26"/>
                <w:szCs w:val="26"/>
              </w:rPr>
            </w:pPr>
          </w:p>
        </w:tc>
        <w:tc>
          <w:tcPr>
            <w:tcW w:w="1080" w:type="dxa"/>
          </w:tcPr>
          <w:p w14:paraId="6802D631" w14:textId="77777777" w:rsidR="00F44833" w:rsidRPr="003F7EE6" w:rsidRDefault="00F44833" w:rsidP="00D662B2">
            <w:pPr>
              <w:suppressAutoHyphens/>
              <w:spacing w:after="0" w:line="240" w:lineRule="auto"/>
              <w:rPr>
                <w:rFonts w:ascii="Times New Roman" w:eastAsia="Times New Roman" w:hAnsi="Times New Roman" w:cs="Times New Roman"/>
                <w:sz w:val="26"/>
                <w:szCs w:val="26"/>
              </w:rPr>
            </w:pPr>
          </w:p>
        </w:tc>
        <w:tc>
          <w:tcPr>
            <w:tcW w:w="3510" w:type="dxa"/>
          </w:tcPr>
          <w:p w14:paraId="4FE011A8" w14:textId="7900FF95" w:rsidR="00F44833" w:rsidRPr="003F7EE6" w:rsidRDefault="00F44833" w:rsidP="00D662B2">
            <w:pPr>
              <w:suppressAutoHyphens/>
              <w:spacing w:after="0" w:line="240" w:lineRule="auto"/>
              <w:ind w:right="252"/>
              <w:jc w:val="right"/>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M-20</w:t>
            </w:r>
            <w:r w:rsidR="0028291A">
              <w:rPr>
                <w:rFonts w:ascii="Times New Roman" w:eastAsia="Times New Roman" w:hAnsi="Times New Roman" w:cs="Times New Roman"/>
                <w:sz w:val="26"/>
                <w:szCs w:val="26"/>
              </w:rPr>
              <w:t>20</w:t>
            </w:r>
            <w:r w:rsidRPr="003F7EE6">
              <w:rPr>
                <w:rFonts w:ascii="Times New Roman" w:eastAsia="Times New Roman" w:hAnsi="Times New Roman" w:cs="Times New Roman"/>
                <w:sz w:val="26"/>
                <w:szCs w:val="26"/>
              </w:rPr>
              <w:t>-</w:t>
            </w:r>
            <w:r w:rsidR="0083116D">
              <w:rPr>
                <w:rFonts w:ascii="Times New Roman" w:eastAsia="Times New Roman" w:hAnsi="Times New Roman" w:cs="Times New Roman"/>
                <w:sz w:val="26"/>
                <w:szCs w:val="26"/>
              </w:rPr>
              <w:t>3012956</w:t>
            </w:r>
          </w:p>
          <w:p w14:paraId="62123D89" w14:textId="77777777" w:rsidR="00F44833" w:rsidRPr="003F7EE6" w:rsidRDefault="00F44833" w:rsidP="00D662B2">
            <w:pPr>
              <w:suppressAutoHyphens/>
              <w:spacing w:after="0" w:line="240" w:lineRule="auto"/>
              <w:rPr>
                <w:rFonts w:ascii="Times New Roman" w:eastAsia="Times New Roman" w:hAnsi="Times New Roman" w:cs="Times New Roman"/>
                <w:sz w:val="26"/>
                <w:szCs w:val="26"/>
              </w:rPr>
            </w:pPr>
          </w:p>
        </w:tc>
      </w:tr>
    </w:tbl>
    <w:p w14:paraId="664745DB" w14:textId="77777777" w:rsidR="00F44833" w:rsidRPr="003F7EE6" w:rsidRDefault="00F44833" w:rsidP="00F44833">
      <w:pPr>
        <w:keepNext/>
        <w:tabs>
          <w:tab w:val="center" w:pos="4680"/>
        </w:tabs>
        <w:suppressAutoHyphens/>
        <w:spacing w:after="0" w:line="360" w:lineRule="auto"/>
        <w:outlineLvl w:val="0"/>
        <w:rPr>
          <w:rFonts w:ascii="CG Times" w:eastAsia="Times New Roman" w:hAnsi="CG Times" w:cs="Times New Roman"/>
          <w:b/>
          <w:sz w:val="26"/>
          <w:szCs w:val="20"/>
        </w:rPr>
      </w:pPr>
    </w:p>
    <w:p w14:paraId="574FE143" w14:textId="77777777" w:rsidR="00F44833" w:rsidRPr="003F7EE6" w:rsidRDefault="00F44833" w:rsidP="00F44833">
      <w:pPr>
        <w:keepNext/>
        <w:tabs>
          <w:tab w:val="center" w:pos="4680"/>
        </w:tabs>
        <w:suppressAutoHyphens/>
        <w:spacing w:after="0" w:line="360" w:lineRule="auto"/>
        <w:jc w:val="center"/>
        <w:outlineLvl w:val="0"/>
        <w:rPr>
          <w:rFonts w:ascii="Times New Roman" w:eastAsia="Times New Roman" w:hAnsi="Times New Roman" w:cs="Times New Roman"/>
          <w:b/>
          <w:caps/>
          <w:sz w:val="26"/>
          <w:szCs w:val="20"/>
        </w:rPr>
      </w:pPr>
      <w:r w:rsidRPr="003F7EE6">
        <w:rPr>
          <w:rFonts w:ascii="Times New Roman" w:eastAsia="Times New Roman" w:hAnsi="Times New Roman" w:cs="Times New Roman"/>
          <w:b/>
          <w:caps/>
          <w:sz w:val="26"/>
          <w:szCs w:val="20"/>
        </w:rPr>
        <w:t>Opinion and Order</w:t>
      </w:r>
    </w:p>
    <w:p w14:paraId="2E81A719" w14:textId="77777777" w:rsidR="00F44833" w:rsidRPr="003F7EE6" w:rsidRDefault="00F44833" w:rsidP="00F44833">
      <w:pPr>
        <w:tabs>
          <w:tab w:val="left" w:pos="-720"/>
        </w:tabs>
        <w:suppressAutoHyphens/>
        <w:spacing w:after="0" w:line="360" w:lineRule="auto"/>
        <w:rPr>
          <w:rFonts w:ascii="Times New Roman" w:eastAsia="Times New Roman" w:hAnsi="Times New Roman" w:cs="Times New Roman"/>
          <w:b/>
          <w:sz w:val="26"/>
          <w:szCs w:val="26"/>
        </w:rPr>
      </w:pPr>
    </w:p>
    <w:p w14:paraId="3EF4492B" w14:textId="77777777" w:rsidR="00F44833" w:rsidRPr="003F7EE6" w:rsidRDefault="00F44833" w:rsidP="00F44833">
      <w:pPr>
        <w:tabs>
          <w:tab w:val="left" w:pos="-720"/>
        </w:tabs>
        <w:suppressAutoHyphens/>
        <w:spacing w:after="0" w:line="360" w:lineRule="auto"/>
        <w:rPr>
          <w:rFonts w:ascii="Times New Roman" w:eastAsia="Times New Roman" w:hAnsi="Times New Roman" w:cs="Times New Roman"/>
          <w:sz w:val="26"/>
          <w:szCs w:val="26"/>
        </w:rPr>
      </w:pPr>
      <w:r w:rsidRPr="003F7EE6">
        <w:rPr>
          <w:rFonts w:ascii="Times New Roman" w:eastAsia="Times New Roman" w:hAnsi="Times New Roman" w:cs="Times New Roman"/>
          <w:b/>
          <w:sz w:val="26"/>
          <w:szCs w:val="26"/>
        </w:rPr>
        <w:t>BY THE COMMISSION:</w:t>
      </w:r>
    </w:p>
    <w:p w14:paraId="59F7F1F1" w14:textId="77777777" w:rsidR="00173BC2" w:rsidRDefault="00173BC2" w:rsidP="00173BC2">
      <w:pPr>
        <w:tabs>
          <w:tab w:val="left" w:pos="-720"/>
        </w:tabs>
        <w:suppressAutoHyphens/>
        <w:spacing w:after="0" w:line="360" w:lineRule="auto"/>
        <w:rPr>
          <w:rFonts w:ascii="Times New Roman" w:eastAsia="Times New Roman" w:hAnsi="Times New Roman" w:cs="Times New Roman"/>
          <w:sz w:val="26"/>
          <w:szCs w:val="26"/>
        </w:rPr>
      </w:pPr>
    </w:p>
    <w:p w14:paraId="478F9470" w14:textId="6151AA60" w:rsidR="00173BC2" w:rsidRDefault="00173BC2" w:rsidP="00BB11FB">
      <w:pPr>
        <w:tabs>
          <w:tab w:val="left" w:pos="-720"/>
        </w:tabs>
        <w:suppressAutoHyphens/>
        <w:spacing w:after="0" w:line="360" w:lineRule="auto"/>
        <w:ind w:firstLine="1440"/>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 xml:space="preserve">Before the Pennsylvania Public Utility Commission (Commission) for consideration and disposition is a proposed </w:t>
      </w:r>
      <w:r>
        <w:rPr>
          <w:rFonts w:ascii="Times New Roman" w:eastAsia="Times New Roman" w:hAnsi="Times New Roman" w:cs="Times New Roman"/>
          <w:sz w:val="26"/>
          <w:szCs w:val="26"/>
        </w:rPr>
        <w:t xml:space="preserve">Joint Petition for Approval of Settlement </w:t>
      </w:r>
      <w:r w:rsidRPr="003F7EE6">
        <w:rPr>
          <w:rFonts w:ascii="Times New Roman" w:eastAsia="Times New Roman" w:hAnsi="Times New Roman" w:cs="Times New Roman"/>
          <w:sz w:val="26"/>
          <w:szCs w:val="26"/>
        </w:rPr>
        <w:t>(Settlement</w:t>
      </w:r>
      <w:r>
        <w:rPr>
          <w:rFonts w:ascii="Times New Roman" w:eastAsia="Times New Roman" w:hAnsi="Times New Roman" w:cs="Times New Roman"/>
          <w:sz w:val="26"/>
          <w:szCs w:val="26"/>
        </w:rPr>
        <w:t xml:space="preserve"> Agreement or Settlement</w:t>
      </w:r>
      <w:r w:rsidRPr="003F7EE6">
        <w:rPr>
          <w:rFonts w:ascii="Times New Roman" w:eastAsia="Times New Roman" w:hAnsi="Times New Roman" w:cs="Times New Roman"/>
          <w:sz w:val="26"/>
          <w:szCs w:val="26"/>
        </w:rPr>
        <w:t xml:space="preserve">) filed on </w:t>
      </w:r>
      <w:r>
        <w:rPr>
          <w:rFonts w:ascii="Times New Roman" w:eastAsia="Times New Roman" w:hAnsi="Times New Roman" w:cs="Times New Roman"/>
          <w:sz w:val="26"/>
          <w:szCs w:val="26"/>
        </w:rPr>
        <w:t>July 7, 2020</w:t>
      </w:r>
      <w:r w:rsidRPr="003F7EE6">
        <w:rPr>
          <w:rFonts w:ascii="Times New Roman" w:eastAsia="Times New Roman" w:hAnsi="Times New Roman" w:cs="Times New Roman"/>
          <w:sz w:val="26"/>
          <w:szCs w:val="26"/>
        </w:rPr>
        <w:t xml:space="preserve">, by the Commission’s Bureau of Investigation and Enforcement (I&amp;E) and </w:t>
      </w:r>
      <w:r>
        <w:rPr>
          <w:rFonts w:ascii="Times New Roman" w:eastAsia="Times New Roman" w:hAnsi="Times New Roman" w:cs="Times New Roman"/>
          <w:sz w:val="26"/>
          <w:szCs w:val="26"/>
        </w:rPr>
        <w:t xml:space="preserve">The United Telephone Company of Pennsylvania LLC d/b/a CenturyLink </w:t>
      </w:r>
      <w:r w:rsidRPr="003F7EE6">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CenturyLink </w:t>
      </w:r>
      <w:r w:rsidRPr="003F7EE6">
        <w:rPr>
          <w:rFonts w:ascii="Times New Roman" w:eastAsia="Times New Roman" w:hAnsi="Times New Roman" w:cs="Times New Roman"/>
          <w:sz w:val="26"/>
          <w:szCs w:val="26"/>
        </w:rPr>
        <w:t xml:space="preserve">or Company) (collectively, </w:t>
      </w:r>
      <w:r>
        <w:rPr>
          <w:rFonts w:ascii="Times New Roman" w:eastAsia="Times New Roman" w:hAnsi="Times New Roman" w:cs="Times New Roman"/>
          <w:sz w:val="26"/>
          <w:szCs w:val="26"/>
        </w:rPr>
        <w:t>the Parties), with respect to</w:t>
      </w:r>
      <w:r w:rsidRPr="003F7EE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an i</w:t>
      </w:r>
      <w:r w:rsidRPr="003F7EE6">
        <w:rPr>
          <w:rFonts w:ascii="Times New Roman" w:eastAsia="Times New Roman" w:hAnsi="Times New Roman" w:cs="Times New Roman"/>
          <w:sz w:val="26"/>
          <w:szCs w:val="26"/>
        </w:rPr>
        <w:t xml:space="preserve">nformal </w:t>
      </w:r>
      <w:r>
        <w:rPr>
          <w:rFonts w:ascii="Times New Roman" w:eastAsia="Times New Roman" w:hAnsi="Times New Roman" w:cs="Times New Roman"/>
          <w:sz w:val="26"/>
          <w:szCs w:val="26"/>
        </w:rPr>
        <w:t>i</w:t>
      </w:r>
      <w:r w:rsidRPr="003F7EE6">
        <w:rPr>
          <w:rFonts w:ascii="Times New Roman" w:eastAsia="Times New Roman" w:hAnsi="Times New Roman" w:cs="Times New Roman"/>
          <w:sz w:val="26"/>
          <w:szCs w:val="26"/>
        </w:rPr>
        <w:t xml:space="preserve">nvestigation conducted by I&amp;E.  </w:t>
      </w:r>
      <w:r>
        <w:rPr>
          <w:rFonts w:ascii="Times New Roman" w:eastAsia="Times New Roman" w:hAnsi="Times New Roman" w:cs="Times New Roman"/>
          <w:sz w:val="26"/>
          <w:szCs w:val="26"/>
        </w:rPr>
        <w:t>Both Parties submitted Statements in Support of the Settlement.  The Parties</w:t>
      </w:r>
      <w:r w:rsidRPr="003F7EE6">
        <w:rPr>
          <w:rFonts w:ascii="Times New Roman" w:eastAsia="Times New Roman" w:hAnsi="Times New Roman" w:cs="Times New Roman"/>
          <w:sz w:val="26"/>
          <w:szCs w:val="26"/>
        </w:rPr>
        <w:t xml:space="preserve"> submit that the proposed </w:t>
      </w:r>
      <w:r w:rsidRPr="003F7EE6">
        <w:rPr>
          <w:rFonts w:ascii="Times New Roman" w:eastAsia="Times New Roman" w:hAnsi="Times New Roman" w:cs="Times New Roman"/>
          <w:sz w:val="26"/>
          <w:szCs w:val="26"/>
        </w:rPr>
        <w:lastRenderedPageBreak/>
        <w:t>Settlement is in the public interest and is consistent with the Commission’s Policy Statement at 52 Pa. Code §</w:t>
      </w:r>
      <w:r>
        <w:rPr>
          <w:rFonts w:ascii="Times New Roman" w:eastAsia="Times New Roman" w:hAnsi="Times New Roman" w:cs="Times New Roman"/>
          <w:sz w:val="26"/>
          <w:szCs w:val="26"/>
        </w:rPr>
        <w:t> </w:t>
      </w:r>
      <w:r w:rsidRPr="003F7EE6">
        <w:rPr>
          <w:rFonts w:ascii="Times New Roman" w:eastAsia="Times New Roman" w:hAnsi="Times New Roman" w:cs="Times New Roman"/>
          <w:sz w:val="26"/>
          <w:szCs w:val="26"/>
        </w:rPr>
        <w:t xml:space="preserve">69.1201, </w:t>
      </w:r>
      <w:r w:rsidRPr="003F7EE6">
        <w:rPr>
          <w:rFonts w:ascii="Times New Roman" w:eastAsia="Times New Roman" w:hAnsi="Times New Roman" w:cs="Times New Roman"/>
          <w:i/>
          <w:sz w:val="26"/>
          <w:szCs w:val="26"/>
        </w:rPr>
        <w:t>Factors and standards for evaluating litigated and settled proceedings involving violations of the Public Utility Code and Commission regulations—statement of policy</w:t>
      </w:r>
      <w:r>
        <w:rPr>
          <w:rFonts w:ascii="Times New Roman" w:eastAsia="Times New Roman" w:hAnsi="Times New Roman" w:cs="Times New Roman"/>
          <w:sz w:val="26"/>
          <w:szCs w:val="26"/>
        </w:rPr>
        <w:t>.  Settlement at 14</w:t>
      </w:r>
      <w:r w:rsidRPr="003F7EE6">
        <w:rPr>
          <w:rFonts w:ascii="Times New Roman" w:eastAsia="Times New Roman" w:hAnsi="Times New Roman" w:cs="Times New Roman"/>
          <w:sz w:val="26"/>
          <w:szCs w:val="26"/>
        </w:rPr>
        <w:t xml:space="preserve">.  </w:t>
      </w:r>
      <w:r w:rsidR="00004C53">
        <w:rPr>
          <w:rFonts w:ascii="Times New Roman" w:eastAsia="Times New Roman" w:hAnsi="Times New Roman" w:cs="Times New Roman"/>
          <w:sz w:val="26"/>
          <w:szCs w:val="26"/>
        </w:rPr>
        <w:t>For the reasons set forth herein, we shall approve the proposed Settlement, consistent with this Opinion and Order.</w:t>
      </w:r>
    </w:p>
    <w:p w14:paraId="6A3E5B5C" w14:textId="77777777" w:rsidR="00173BC2" w:rsidRPr="003F7EE6" w:rsidRDefault="00173BC2" w:rsidP="00173BC2">
      <w:pPr>
        <w:tabs>
          <w:tab w:val="left" w:pos="-720"/>
        </w:tabs>
        <w:suppressAutoHyphens/>
        <w:spacing w:after="0" w:line="360" w:lineRule="auto"/>
        <w:rPr>
          <w:rFonts w:ascii="Times New Roman" w:eastAsia="Times New Roman" w:hAnsi="Times New Roman" w:cs="Times New Roman"/>
          <w:sz w:val="26"/>
          <w:szCs w:val="26"/>
        </w:rPr>
      </w:pPr>
    </w:p>
    <w:p w14:paraId="7543CDFB" w14:textId="77777777" w:rsidR="00173BC2" w:rsidRPr="003F7EE6" w:rsidRDefault="00173BC2" w:rsidP="00173BC2">
      <w:pPr>
        <w:tabs>
          <w:tab w:val="left" w:pos="-720"/>
        </w:tabs>
        <w:suppressAutoHyphens/>
        <w:spacing w:after="0" w:line="240" w:lineRule="auto"/>
        <w:ind w:left="1440" w:hanging="1440"/>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History of the Proceeding</w:t>
      </w:r>
    </w:p>
    <w:p w14:paraId="45421629" w14:textId="77777777" w:rsidR="00173BC2" w:rsidRPr="003F7EE6" w:rsidRDefault="00173BC2" w:rsidP="00173BC2">
      <w:pPr>
        <w:tabs>
          <w:tab w:val="center" w:pos="0"/>
        </w:tabs>
        <w:suppressAutoHyphens/>
        <w:spacing w:after="0" w:line="360" w:lineRule="auto"/>
        <w:rPr>
          <w:rFonts w:ascii="Times New Roman" w:eastAsia="Times New Roman" w:hAnsi="Times New Roman" w:cs="Times New Roman"/>
          <w:sz w:val="26"/>
          <w:szCs w:val="26"/>
        </w:rPr>
      </w:pPr>
    </w:p>
    <w:p w14:paraId="13590607" w14:textId="77777777" w:rsidR="00173BC2" w:rsidRDefault="00173BC2" w:rsidP="00173BC2">
      <w:pPr>
        <w:tabs>
          <w:tab w:val="center" w:pos="0"/>
        </w:tabs>
        <w:suppressAutoHyphen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This matter concerns an alleged failure by CenturyLink to timely install telephone and broadband services.  The Commission’s Bureau of Consumer Services (BCS) received complaints regarding CenturyLink’s alleged failure to timely install services in accordance with the Public Utility Code (Code) and the Commission’s Regulations, and the alleged failure to meet Chapter 30 requirements.  Over the weekend of April 28, 2018, CenturyLink transitioned to a new dispatch system in Pennsylvania.  CenturyLink experienced unforeseeable and unanticipated dispatch delays for telephone and broadband services.  BCS received several informal complaints related to installation delays, and some ancillary alleged Chapter 30 violations.  Settlement at 5.  </w:t>
      </w:r>
    </w:p>
    <w:p w14:paraId="5948F9EE" w14:textId="77777777" w:rsidR="00173BC2" w:rsidRDefault="00173BC2" w:rsidP="00173BC2">
      <w:pPr>
        <w:tabs>
          <w:tab w:val="center" w:pos="0"/>
        </w:tabs>
        <w:suppressAutoHyphens/>
        <w:spacing w:after="0" w:line="360" w:lineRule="auto"/>
        <w:rPr>
          <w:rFonts w:ascii="Times New Roman" w:eastAsia="Times New Roman" w:hAnsi="Times New Roman" w:cs="Times New Roman"/>
          <w:sz w:val="26"/>
          <w:szCs w:val="26"/>
        </w:rPr>
      </w:pPr>
    </w:p>
    <w:p w14:paraId="5FA912EC" w14:textId="247FBB04" w:rsidR="00173BC2" w:rsidRDefault="00173BC2" w:rsidP="00173BC2">
      <w:pPr>
        <w:tabs>
          <w:tab w:val="center" w:pos="0"/>
        </w:tabs>
        <w:suppressAutoHyphen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BCS referred the matter to I&amp;E on September 16, 2019.  By letter dated September 24, 2019, I&amp;E notified CenturyLink that it had initiated an informal investigation of the Company consistent with Sections 331(a) and 506 of the Code, 66 Pa. C.S. §§ 331(a), 506, and Section 3.113 of the Commission’s Regulations, 52 Pa. Code §</w:t>
      </w:r>
      <w:r w:rsidR="0041184C">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3.113.  I&amp;E further advised CenturyLink that its investigation would focus on CenturyLink’s alleged failure to provide telephone and broadband services in violation of Chapter 30 and the Code and the Commission’s Regulations governing installation of services.  </w:t>
      </w:r>
    </w:p>
    <w:p w14:paraId="7447E46A" w14:textId="77777777" w:rsidR="00173BC2" w:rsidRDefault="00173BC2" w:rsidP="00173BC2">
      <w:pPr>
        <w:tabs>
          <w:tab w:val="center" w:pos="0"/>
        </w:tabs>
        <w:suppressAutoHyphens/>
        <w:spacing w:after="0" w:line="360" w:lineRule="auto"/>
        <w:rPr>
          <w:rFonts w:ascii="Times New Roman" w:eastAsia="Times New Roman" w:hAnsi="Times New Roman" w:cs="Times New Roman"/>
          <w:sz w:val="26"/>
          <w:szCs w:val="26"/>
        </w:rPr>
      </w:pPr>
    </w:p>
    <w:p w14:paraId="051299F1" w14:textId="77777777" w:rsidR="00173BC2" w:rsidRDefault="00173BC2" w:rsidP="00173BC2">
      <w:pPr>
        <w:tabs>
          <w:tab w:val="center" w:pos="0"/>
        </w:tabs>
        <w:suppressAutoHyphen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By letter dated September 24, 2019, I&amp;E submitted informal data requests to CenturyLink.  CenturyLink responded to I&amp;E’s data requests on November 14, 2019.  </w:t>
      </w:r>
      <w:r>
        <w:rPr>
          <w:rFonts w:ascii="Times New Roman" w:eastAsia="Times New Roman" w:hAnsi="Times New Roman" w:cs="Times New Roman"/>
          <w:sz w:val="26"/>
          <w:szCs w:val="26"/>
        </w:rPr>
        <w:lastRenderedPageBreak/>
        <w:t xml:space="preserve">CenturyLink met with I&amp;E on January 16, 2020, and provided additional information as requested by I&amp;E.  A settlement conference call was convened on April 7, 2020, with additional settlement discussions occurring in May 2020.  Thereafter, the Parties </w:t>
      </w:r>
      <w:proofErr w:type="gramStart"/>
      <w:r>
        <w:rPr>
          <w:rFonts w:ascii="Times New Roman" w:eastAsia="Times New Roman" w:hAnsi="Times New Roman" w:cs="Times New Roman"/>
          <w:sz w:val="26"/>
          <w:szCs w:val="26"/>
        </w:rPr>
        <w:t>entered into</w:t>
      </w:r>
      <w:proofErr w:type="gramEnd"/>
      <w:r>
        <w:rPr>
          <w:rFonts w:ascii="Times New Roman" w:eastAsia="Times New Roman" w:hAnsi="Times New Roman" w:cs="Times New Roman"/>
          <w:sz w:val="26"/>
          <w:szCs w:val="26"/>
        </w:rPr>
        <w:t xml:space="preserve"> negotiations and agreed to resolve the matter in accordance with the Commission’s policy to promote settlements at 52 Pa. Code § 5.231.  The results of I&amp;E’s investigation, which included review of the customer complaints, CenturyLink’s responses to data requests, and the additional information provided by CenturyLink, formed the basis for the Settlement Agreement.  The Parties filed the instant Settlement on July 7, 2020.</w:t>
      </w:r>
    </w:p>
    <w:p w14:paraId="35A86787" w14:textId="77777777" w:rsidR="00173BC2" w:rsidRDefault="00173BC2" w:rsidP="00173BC2">
      <w:pPr>
        <w:tabs>
          <w:tab w:val="center" w:pos="0"/>
        </w:tabs>
        <w:suppressAutoHyphens/>
        <w:spacing w:after="0" w:line="360" w:lineRule="auto"/>
        <w:rPr>
          <w:rFonts w:ascii="Times New Roman" w:eastAsia="Times New Roman" w:hAnsi="Times New Roman" w:cs="Times New Roman"/>
          <w:sz w:val="26"/>
          <w:szCs w:val="26"/>
        </w:rPr>
      </w:pPr>
    </w:p>
    <w:p w14:paraId="189869A2" w14:textId="77777777" w:rsidR="00173BC2" w:rsidRPr="00026DFB" w:rsidRDefault="00173BC2" w:rsidP="00173BC2">
      <w:pPr>
        <w:keepNext/>
        <w:tabs>
          <w:tab w:val="center" w:pos="0"/>
        </w:tabs>
        <w:suppressAutoHyphens/>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Background</w:t>
      </w:r>
    </w:p>
    <w:p w14:paraId="2A19192F" w14:textId="77777777" w:rsidR="00173BC2" w:rsidRDefault="00173BC2" w:rsidP="00173BC2">
      <w:pPr>
        <w:keepNext/>
        <w:tabs>
          <w:tab w:val="center" w:pos="0"/>
        </w:tabs>
        <w:suppressAutoHyphens/>
        <w:spacing w:after="0" w:line="360" w:lineRule="auto"/>
        <w:rPr>
          <w:rFonts w:ascii="Times New Roman" w:eastAsia="Times New Roman" w:hAnsi="Times New Roman" w:cs="Times New Roman"/>
          <w:sz w:val="26"/>
          <w:szCs w:val="26"/>
        </w:rPr>
      </w:pPr>
    </w:p>
    <w:p w14:paraId="1FE7F5CB" w14:textId="77777777" w:rsidR="00173BC2" w:rsidRPr="00F95E61" w:rsidRDefault="00173BC2" w:rsidP="00173BC2">
      <w:pPr>
        <w:keepNext/>
        <w:tabs>
          <w:tab w:val="center" w:pos="0"/>
        </w:tabs>
        <w:suppressAutoHyphens/>
        <w:spacing w:after="0" w:line="360" w:lineRule="auto"/>
        <w:rPr>
          <w:rFonts w:ascii="Times New Roman" w:eastAsia="Times New Roman" w:hAnsi="Times New Roman" w:cs="Times New Roman"/>
          <w:sz w:val="26"/>
          <w:szCs w:val="26"/>
          <w:u w:val="single"/>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F95E61">
        <w:rPr>
          <w:rFonts w:ascii="Times New Roman" w:eastAsia="Times New Roman" w:hAnsi="Times New Roman" w:cs="Times New Roman"/>
          <w:sz w:val="26"/>
          <w:szCs w:val="26"/>
          <w:u w:val="single"/>
        </w:rPr>
        <w:t>Installation of Services Allegations</w:t>
      </w:r>
    </w:p>
    <w:p w14:paraId="20CD3ECB" w14:textId="77777777" w:rsidR="00173BC2" w:rsidRDefault="00173BC2" w:rsidP="00173BC2">
      <w:pPr>
        <w:keepNext/>
        <w:tabs>
          <w:tab w:val="center" w:pos="0"/>
        </w:tabs>
        <w:suppressAutoHyphens/>
        <w:spacing w:after="0" w:line="360" w:lineRule="auto"/>
        <w:rPr>
          <w:rFonts w:ascii="Times New Roman" w:eastAsia="Times New Roman" w:hAnsi="Times New Roman" w:cs="Times New Roman"/>
          <w:sz w:val="26"/>
          <w:szCs w:val="26"/>
        </w:rPr>
      </w:pPr>
    </w:p>
    <w:p w14:paraId="7CEEC79C" w14:textId="77777777" w:rsidR="00173BC2" w:rsidRDefault="00173BC2" w:rsidP="00173BC2">
      <w:pPr>
        <w:tabs>
          <w:tab w:val="center" w:pos="0"/>
        </w:tabs>
        <w:suppressAutoHyphen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The untimely service installation allegations stem from a total of sixteen customer complaints.  Of the total complaints, ten customer complaints involved installation of telephone service, broadband service, or both, thus creating multiple counts per customer.  The remaining six customer complaints involved allegations regarding Chapter 30 of the Code.  The customer complaints are summarized in Table 1 below.  Settlement at 6.</w:t>
      </w:r>
    </w:p>
    <w:p w14:paraId="6F6CB204" w14:textId="77777777" w:rsidR="00173BC2" w:rsidRDefault="00173BC2" w:rsidP="00173BC2">
      <w:pPr>
        <w:tabs>
          <w:tab w:val="center" w:pos="0"/>
        </w:tabs>
        <w:suppressAutoHyphens/>
        <w:spacing w:after="0" w:line="360" w:lineRule="auto"/>
        <w:rPr>
          <w:rFonts w:ascii="Times New Roman" w:eastAsia="Times New Roman" w:hAnsi="Times New Roman" w:cs="Times New Roman"/>
          <w:sz w:val="26"/>
          <w:szCs w:val="26"/>
        </w:rPr>
      </w:pPr>
    </w:p>
    <w:p w14:paraId="37F63785" w14:textId="77777777" w:rsidR="00173BC2" w:rsidRPr="00457CC8" w:rsidRDefault="00173BC2" w:rsidP="00173BC2">
      <w:pPr>
        <w:tabs>
          <w:tab w:val="center" w:pos="0"/>
        </w:tabs>
        <w:suppressAutoHyphens/>
        <w:spacing w:after="0" w:line="360" w:lineRule="auto"/>
        <w:rPr>
          <w:rFonts w:ascii="Times New Roman" w:eastAsia="Times New Roman" w:hAnsi="Times New Roman" w:cs="Times New Roman"/>
          <w:sz w:val="26"/>
          <w:szCs w:val="26"/>
          <w:u w:val="single"/>
        </w:rPr>
      </w:pPr>
      <w:r w:rsidRPr="00457CC8">
        <w:rPr>
          <w:rFonts w:ascii="Times New Roman" w:eastAsia="Times New Roman" w:hAnsi="Times New Roman" w:cs="Times New Roman"/>
          <w:sz w:val="26"/>
          <w:szCs w:val="26"/>
        </w:rPr>
        <w:tab/>
      </w:r>
      <w:r w:rsidRPr="00635F76">
        <w:rPr>
          <w:rFonts w:ascii="Times New Roman" w:eastAsia="Times New Roman" w:hAnsi="Times New Roman" w:cs="Times New Roman"/>
          <w:sz w:val="26"/>
          <w:szCs w:val="26"/>
          <w:u w:val="single"/>
        </w:rPr>
        <w:t xml:space="preserve">Table 1 - </w:t>
      </w:r>
      <w:r w:rsidRPr="00457CC8">
        <w:rPr>
          <w:rFonts w:ascii="Times New Roman" w:eastAsia="Times New Roman" w:hAnsi="Times New Roman" w:cs="Times New Roman"/>
          <w:sz w:val="26"/>
          <w:szCs w:val="26"/>
          <w:u w:val="single"/>
        </w:rPr>
        <w:t xml:space="preserve">Summary of Customer Complaints – Telephone </w:t>
      </w:r>
      <w:r>
        <w:rPr>
          <w:rFonts w:ascii="Times New Roman" w:eastAsia="Times New Roman" w:hAnsi="Times New Roman" w:cs="Times New Roman"/>
          <w:sz w:val="26"/>
          <w:szCs w:val="26"/>
          <w:u w:val="single"/>
        </w:rPr>
        <w:t xml:space="preserve">and Broadband </w:t>
      </w:r>
      <w:r w:rsidRPr="00457CC8">
        <w:rPr>
          <w:rFonts w:ascii="Times New Roman" w:eastAsia="Times New Roman" w:hAnsi="Times New Roman" w:cs="Times New Roman"/>
          <w:sz w:val="26"/>
          <w:szCs w:val="26"/>
          <w:u w:val="single"/>
        </w:rPr>
        <w:t xml:space="preserve">Service </w:t>
      </w:r>
    </w:p>
    <w:p w14:paraId="7BBCAABA" w14:textId="77777777" w:rsidR="00173BC2" w:rsidRDefault="00173BC2" w:rsidP="00173BC2">
      <w:pPr>
        <w:tabs>
          <w:tab w:val="center" w:pos="0"/>
        </w:tabs>
        <w:suppressAutoHyphens/>
        <w:spacing w:after="0" w:line="360" w:lineRule="auto"/>
        <w:rPr>
          <w:rFonts w:ascii="Times New Roman" w:eastAsia="Times New Roman" w:hAnsi="Times New Roman" w:cs="Times New Roman"/>
          <w:sz w:val="26"/>
          <w:szCs w:val="26"/>
        </w:rPr>
      </w:pPr>
    </w:p>
    <w:tbl>
      <w:tblPr>
        <w:tblStyle w:val="PlainTable1"/>
        <w:tblW w:w="0" w:type="auto"/>
        <w:tblLook w:val="04A0" w:firstRow="1" w:lastRow="0" w:firstColumn="1" w:lastColumn="0" w:noHBand="0" w:noVBand="1"/>
      </w:tblPr>
      <w:tblGrid>
        <w:gridCol w:w="2101"/>
        <w:gridCol w:w="1808"/>
        <w:gridCol w:w="1677"/>
        <w:gridCol w:w="1947"/>
        <w:gridCol w:w="1817"/>
      </w:tblGrid>
      <w:tr w:rsidR="00173BC2" w14:paraId="2F069E7D" w14:textId="77777777" w:rsidTr="00711CF9">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101" w:type="dxa"/>
          </w:tcPr>
          <w:p w14:paraId="0FEE915E" w14:textId="77777777" w:rsidR="00173BC2" w:rsidRDefault="00173BC2" w:rsidP="00711CF9">
            <w:pPr>
              <w:tabs>
                <w:tab w:val="center" w:pos="0"/>
              </w:tabs>
              <w:suppressAutoHyphens/>
              <w:spacing w:line="360" w:lineRule="auto"/>
              <w:rPr>
                <w:rFonts w:ascii="Times New Roman" w:eastAsia="Times New Roman" w:hAnsi="Times New Roman" w:cs="Times New Roman"/>
                <w:sz w:val="26"/>
                <w:szCs w:val="26"/>
              </w:rPr>
            </w:pPr>
            <w:bookmarkStart w:id="0" w:name="_Hlk51936307"/>
            <w:r>
              <w:rPr>
                <w:rFonts w:ascii="Times New Roman" w:eastAsia="Times New Roman" w:hAnsi="Times New Roman" w:cs="Times New Roman"/>
                <w:sz w:val="26"/>
                <w:szCs w:val="26"/>
              </w:rPr>
              <w:t>Customer</w:t>
            </w:r>
          </w:p>
        </w:tc>
        <w:tc>
          <w:tcPr>
            <w:tcW w:w="1808" w:type="dxa"/>
          </w:tcPr>
          <w:p w14:paraId="4E4B76EC" w14:textId="77777777" w:rsidR="00173BC2" w:rsidRDefault="00173BC2" w:rsidP="00711CF9">
            <w:pPr>
              <w:tabs>
                <w:tab w:val="center" w:pos="0"/>
              </w:tabs>
              <w:suppressAutoHyphens/>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Date Customer Requested Service</w:t>
            </w:r>
          </w:p>
        </w:tc>
        <w:tc>
          <w:tcPr>
            <w:tcW w:w="1677" w:type="dxa"/>
          </w:tcPr>
          <w:p w14:paraId="401E2948" w14:textId="77777777" w:rsidR="00173BC2" w:rsidRDefault="00173BC2" w:rsidP="00711CF9">
            <w:pPr>
              <w:tabs>
                <w:tab w:val="center" w:pos="0"/>
              </w:tabs>
              <w:suppressAutoHyphens/>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CenturyLink Installed Service</w:t>
            </w:r>
          </w:p>
        </w:tc>
        <w:tc>
          <w:tcPr>
            <w:tcW w:w="1947" w:type="dxa"/>
          </w:tcPr>
          <w:p w14:paraId="6022780F" w14:textId="77777777" w:rsidR="00173BC2" w:rsidRDefault="00173BC2" w:rsidP="00711CF9">
            <w:pPr>
              <w:tabs>
                <w:tab w:val="center" w:pos="0"/>
              </w:tabs>
              <w:suppressAutoHyphens/>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Alleged Delay in Working Days </w:t>
            </w:r>
          </w:p>
          <w:p w14:paraId="2564CD8A" w14:textId="77777777" w:rsidR="00173BC2" w:rsidRDefault="00173BC2" w:rsidP="00711CF9">
            <w:pPr>
              <w:tabs>
                <w:tab w:val="center" w:pos="0"/>
              </w:tabs>
              <w:suppressAutoHyphens/>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Telephone Service</w:t>
            </w:r>
          </w:p>
        </w:tc>
        <w:tc>
          <w:tcPr>
            <w:tcW w:w="1817" w:type="dxa"/>
          </w:tcPr>
          <w:p w14:paraId="272DE4CD" w14:textId="77777777" w:rsidR="00173BC2" w:rsidRDefault="00173BC2" w:rsidP="00711CF9">
            <w:pPr>
              <w:tabs>
                <w:tab w:val="center" w:pos="0"/>
              </w:tabs>
              <w:suppressAutoHyphens/>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Alleged Delay in Working Days </w:t>
            </w:r>
          </w:p>
          <w:p w14:paraId="26AF52C2" w14:textId="77777777" w:rsidR="00173BC2" w:rsidRDefault="00173BC2" w:rsidP="00711CF9">
            <w:pPr>
              <w:tabs>
                <w:tab w:val="center" w:pos="0"/>
              </w:tabs>
              <w:suppressAutoHyphens/>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Broadband Service</w:t>
            </w:r>
          </w:p>
        </w:tc>
      </w:tr>
      <w:tr w:rsidR="00173BC2" w14:paraId="17EDD4E9" w14:textId="77777777" w:rsidTr="00711C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tcPr>
          <w:p w14:paraId="2BFAFC3A" w14:textId="77777777" w:rsidR="00173BC2" w:rsidRDefault="00173BC2" w:rsidP="00711CF9">
            <w:pPr>
              <w:tabs>
                <w:tab w:val="center" w:pos="0"/>
              </w:tabs>
              <w:suppressAutoHyphen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w:t>
            </w:r>
          </w:p>
        </w:tc>
        <w:tc>
          <w:tcPr>
            <w:tcW w:w="1808" w:type="dxa"/>
          </w:tcPr>
          <w:p w14:paraId="56AAF63D" w14:textId="77777777" w:rsidR="00173BC2" w:rsidRDefault="00173BC2" w:rsidP="00711CF9">
            <w:pPr>
              <w:tabs>
                <w:tab w:val="center" w:pos="0"/>
              </w:tabs>
              <w:suppressAutoHyphens/>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July 2, 2018</w:t>
            </w:r>
          </w:p>
        </w:tc>
        <w:tc>
          <w:tcPr>
            <w:tcW w:w="1677" w:type="dxa"/>
          </w:tcPr>
          <w:p w14:paraId="77B572B3" w14:textId="77777777" w:rsidR="00173BC2" w:rsidRDefault="00173BC2" w:rsidP="00711CF9">
            <w:pPr>
              <w:tabs>
                <w:tab w:val="center" w:pos="0"/>
              </w:tabs>
              <w:suppressAutoHyphens/>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July 18, 2018</w:t>
            </w:r>
          </w:p>
        </w:tc>
        <w:tc>
          <w:tcPr>
            <w:tcW w:w="1947" w:type="dxa"/>
          </w:tcPr>
          <w:p w14:paraId="06FE367D" w14:textId="77777777" w:rsidR="00173BC2" w:rsidRDefault="00173BC2" w:rsidP="00711CF9">
            <w:pPr>
              <w:tabs>
                <w:tab w:val="center" w:pos="0"/>
              </w:tabs>
              <w:suppressAutoHyphens/>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1817" w:type="dxa"/>
          </w:tcPr>
          <w:p w14:paraId="617D1DD1" w14:textId="77777777" w:rsidR="00173BC2" w:rsidRDefault="00173BC2" w:rsidP="00711CF9">
            <w:pPr>
              <w:tabs>
                <w:tab w:val="center" w:pos="0"/>
              </w:tabs>
              <w:suppressAutoHyphens/>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r>
      <w:tr w:rsidR="00173BC2" w14:paraId="0082F1A7" w14:textId="77777777" w:rsidTr="00711CF9">
        <w:tc>
          <w:tcPr>
            <w:cnfStyle w:val="001000000000" w:firstRow="0" w:lastRow="0" w:firstColumn="1" w:lastColumn="0" w:oddVBand="0" w:evenVBand="0" w:oddHBand="0" w:evenHBand="0" w:firstRowFirstColumn="0" w:firstRowLastColumn="0" w:lastRowFirstColumn="0" w:lastRowLastColumn="0"/>
            <w:tcW w:w="2101" w:type="dxa"/>
          </w:tcPr>
          <w:p w14:paraId="1A0DBD66" w14:textId="77777777" w:rsidR="00173BC2" w:rsidRDefault="00173BC2" w:rsidP="00711CF9">
            <w:pPr>
              <w:tabs>
                <w:tab w:val="center" w:pos="0"/>
              </w:tabs>
              <w:suppressAutoHyphen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B</w:t>
            </w:r>
          </w:p>
        </w:tc>
        <w:tc>
          <w:tcPr>
            <w:tcW w:w="1808" w:type="dxa"/>
          </w:tcPr>
          <w:p w14:paraId="1C27A1DD" w14:textId="77777777" w:rsidR="00173BC2" w:rsidRDefault="00173BC2" w:rsidP="00711CF9">
            <w:pPr>
              <w:tabs>
                <w:tab w:val="center" w:pos="0"/>
              </w:tabs>
              <w:suppressAutoHyphens/>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August 24, 2018</w:t>
            </w:r>
          </w:p>
        </w:tc>
        <w:tc>
          <w:tcPr>
            <w:tcW w:w="1677" w:type="dxa"/>
          </w:tcPr>
          <w:p w14:paraId="37794A6A" w14:textId="77777777" w:rsidR="00173BC2" w:rsidRDefault="00173BC2" w:rsidP="00711CF9">
            <w:pPr>
              <w:tabs>
                <w:tab w:val="center" w:pos="0"/>
              </w:tabs>
              <w:suppressAutoHyphens/>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October 5, 2018</w:t>
            </w:r>
          </w:p>
        </w:tc>
        <w:tc>
          <w:tcPr>
            <w:tcW w:w="1947" w:type="dxa"/>
          </w:tcPr>
          <w:p w14:paraId="4328A803" w14:textId="77777777" w:rsidR="00173BC2" w:rsidRDefault="00173BC2" w:rsidP="00711CF9">
            <w:pPr>
              <w:tabs>
                <w:tab w:val="center" w:pos="0"/>
              </w:tabs>
              <w:suppressAutoHyphens/>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24</w:t>
            </w:r>
          </w:p>
        </w:tc>
        <w:tc>
          <w:tcPr>
            <w:tcW w:w="1817" w:type="dxa"/>
          </w:tcPr>
          <w:p w14:paraId="09C25D53" w14:textId="77777777" w:rsidR="00173BC2" w:rsidRDefault="00173BC2" w:rsidP="00711CF9">
            <w:pPr>
              <w:tabs>
                <w:tab w:val="center" w:pos="0"/>
              </w:tabs>
              <w:suppressAutoHyphens/>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19</w:t>
            </w:r>
          </w:p>
        </w:tc>
      </w:tr>
      <w:tr w:rsidR="00173BC2" w14:paraId="038E2D7E" w14:textId="77777777" w:rsidTr="00711C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tcPr>
          <w:p w14:paraId="3A7D457F" w14:textId="77777777" w:rsidR="00173BC2" w:rsidRDefault="00173BC2" w:rsidP="00711CF9">
            <w:pPr>
              <w:tabs>
                <w:tab w:val="center" w:pos="0"/>
              </w:tabs>
              <w:suppressAutoHyphen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w:t>
            </w:r>
          </w:p>
        </w:tc>
        <w:tc>
          <w:tcPr>
            <w:tcW w:w="1808" w:type="dxa"/>
          </w:tcPr>
          <w:p w14:paraId="72DFEAF5" w14:textId="77777777" w:rsidR="00173BC2" w:rsidRDefault="00173BC2" w:rsidP="00711CF9">
            <w:pPr>
              <w:tabs>
                <w:tab w:val="center" w:pos="0"/>
              </w:tabs>
              <w:suppressAutoHyphens/>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August 22, 2018</w:t>
            </w:r>
          </w:p>
        </w:tc>
        <w:tc>
          <w:tcPr>
            <w:tcW w:w="1677" w:type="dxa"/>
          </w:tcPr>
          <w:p w14:paraId="1345ABCC" w14:textId="77777777" w:rsidR="00173BC2" w:rsidRDefault="00173BC2" w:rsidP="00711CF9">
            <w:pPr>
              <w:tabs>
                <w:tab w:val="center" w:pos="0"/>
              </w:tabs>
              <w:suppressAutoHyphens/>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October 31, 2018</w:t>
            </w:r>
          </w:p>
        </w:tc>
        <w:tc>
          <w:tcPr>
            <w:tcW w:w="1947" w:type="dxa"/>
          </w:tcPr>
          <w:p w14:paraId="72DC6F13" w14:textId="77777777" w:rsidR="00173BC2" w:rsidRDefault="00173BC2" w:rsidP="00711CF9">
            <w:pPr>
              <w:tabs>
                <w:tab w:val="center" w:pos="0"/>
              </w:tabs>
              <w:suppressAutoHyphens/>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p>
        </w:tc>
        <w:tc>
          <w:tcPr>
            <w:tcW w:w="1817" w:type="dxa"/>
          </w:tcPr>
          <w:p w14:paraId="0D9E0E10" w14:textId="77777777" w:rsidR="00173BC2" w:rsidRDefault="00173BC2" w:rsidP="00711CF9">
            <w:pPr>
              <w:tabs>
                <w:tab w:val="center" w:pos="0"/>
              </w:tabs>
              <w:suppressAutoHyphens/>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39</w:t>
            </w:r>
          </w:p>
        </w:tc>
      </w:tr>
      <w:tr w:rsidR="00173BC2" w14:paraId="60FD75ED" w14:textId="77777777" w:rsidTr="00711CF9">
        <w:tc>
          <w:tcPr>
            <w:cnfStyle w:val="001000000000" w:firstRow="0" w:lastRow="0" w:firstColumn="1" w:lastColumn="0" w:oddVBand="0" w:evenVBand="0" w:oddHBand="0" w:evenHBand="0" w:firstRowFirstColumn="0" w:firstRowLastColumn="0" w:lastRowFirstColumn="0" w:lastRowLastColumn="0"/>
            <w:tcW w:w="2101" w:type="dxa"/>
          </w:tcPr>
          <w:p w14:paraId="0073FEAA" w14:textId="77777777" w:rsidR="00173BC2" w:rsidRDefault="00173BC2" w:rsidP="00711CF9">
            <w:pPr>
              <w:tabs>
                <w:tab w:val="center" w:pos="0"/>
              </w:tabs>
              <w:suppressAutoHyphen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D</w:t>
            </w:r>
          </w:p>
        </w:tc>
        <w:tc>
          <w:tcPr>
            <w:tcW w:w="1808" w:type="dxa"/>
          </w:tcPr>
          <w:p w14:paraId="7CFD6299" w14:textId="77777777" w:rsidR="00173BC2" w:rsidRDefault="00173BC2" w:rsidP="00711CF9">
            <w:pPr>
              <w:tabs>
                <w:tab w:val="center" w:pos="0"/>
              </w:tabs>
              <w:suppressAutoHyphens/>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May 12, 2019</w:t>
            </w:r>
          </w:p>
        </w:tc>
        <w:tc>
          <w:tcPr>
            <w:tcW w:w="1677" w:type="dxa"/>
          </w:tcPr>
          <w:p w14:paraId="1FBC732F" w14:textId="77777777" w:rsidR="00173BC2" w:rsidRDefault="00173BC2" w:rsidP="00711CF9">
            <w:pPr>
              <w:tabs>
                <w:tab w:val="center" w:pos="0"/>
              </w:tabs>
              <w:suppressAutoHyphens/>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June 20, 2019</w:t>
            </w:r>
          </w:p>
        </w:tc>
        <w:tc>
          <w:tcPr>
            <w:tcW w:w="1947" w:type="dxa"/>
          </w:tcPr>
          <w:p w14:paraId="1B9B8ACC" w14:textId="77777777" w:rsidR="00173BC2" w:rsidRDefault="00173BC2" w:rsidP="00711CF9">
            <w:pPr>
              <w:tabs>
                <w:tab w:val="center" w:pos="0"/>
              </w:tabs>
              <w:suppressAutoHyphens/>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p>
        </w:tc>
        <w:tc>
          <w:tcPr>
            <w:tcW w:w="1817" w:type="dxa"/>
          </w:tcPr>
          <w:p w14:paraId="39287AD8" w14:textId="77777777" w:rsidR="00173BC2" w:rsidRDefault="00173BC2" w:rsidP="00711CF9">
            <w:pPr>
              <w:tabs>
                <w:tab w:val="center" w:pos="0"/>
              </w:tabs>
              <w:suppressAutoHyphens/>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p>
        </w:tc>
      </w:tr>
      <w:tr w:rsidR="00173BC2" w14:paraId="3140EBA7" w14:textId="77777777" w:rsidTr="00711C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tcPr>
          <w:p w14:paraId="76A1ED8B" w14:textId="77777777" w:rsidR="00173BC2" w:rsidRDefault="00173BC2" w:rsidP="00711CF9">
            <w:pPr>
              <w:tabs>
                <w:tab w:val="center" w:pos="0"/>
              </w:tabs>
              <w:suppressAutoHyphen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E</w:t>
            </w:r>
          </w:p>
        </w:tc>
        <w:tc>
          <w:tcPr>
            <w:tcW w:w="1808" w:type="dxa"/>
          </w:tcPr>
          <w:p w14:paraId="3D22F5A4" w14:textId="77777777" w:rsidR="00173BC2" w:rsidRDefault="00173BC2" w:rsidP="00711CF9">
            <w:pPr>
              <w:tabs>
                <w:tab w:val="center" w:pos="0"/>
              </w:tabs>
              <w:suppressAutoHyphens/>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May 14, 2019</w:t>
            </w:r>
          </w:p>
        </w:tc>
        <w:tc>
          <w:tcPr>
            <w:tcW w:w="1677" w:type="dxa"/>
          </w:tcPr>
          <w:p w14:paraId="01367012" w14:textId="77777777" w:rsidR="00173BC2" w:rsidRDefault="00173BC2" w:rsidP="00711CF9">
            <w:pPr>
              <w:tabs>
                <w:tab w:val="center" w:pos="0"/>
              </w:tabs>
              <w:suppressAutoHyphens/>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June 24, 2019</w:t>
            </w:r>
          </w:p>
        </w:tc>
        <w:tc>
          <w:tcPr>
            <w:tcW w:w="1947" w:type="dxa"/>
          </w:tcPr>
          <w:p w14:paraId="20760DB3" w14:textId="77777777" w:rsidR="00173BC2" w:rsidRDefault="00173BC2" w:rsidP="00711CF9">
            <w:pPr>
              <w:tabs>
                <w:tab w:val="center" w:pos="0"/>
              </w:tabs>
              <w:suppressAutoHyphens/>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p>
        </w:tc>
        <w:tc>
          <w:tcPr>
            <w:tcW w:w="1817" w:type="dxa"/>
          </w:tcPr>
          <w:p w14:paraId="6BF8577B" w14:textId="77777777" w:rsidR="00173BC2" w:rsidRDefault="00173BC2" w:rsidP="00711CF9">
            <w:pPr>
              <w:tabs>
                <w:tab w:val="center" w:pos="0"/>
              </w:tabs>
              <w:suppressAutoHyphens/>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p>
        </w:tc>
      </w:tr>
      <w:tr w:rsidR="00173BC2" w14:paraId="7F22B28A" w14:textId="77777777" w:rsidTr="00711CF9">
        <w:tc>
          <w:tcPr>
            <w:cnfStyle w:val="001000000000" w:firstRow="0" w:lastRow="0" w:firstColumn="1" w:lastColumn="0" w:oddVBand="0" w:evenVBand="0" w:oddHBand="0" w:evenHBand="0" w:firstRowFirstColumn="0" w:firstRowLastColumn="0" w:lastRowFirstColumn="0" w:lastRowLastColumn="0"/>
            <w:tcW w:w="2101" w:type="dxa"/>
          </w:tcPr>
          <w:p w14:paraId="229D3F5C" w14:textId="77777777" w:rsidR="00173BC2" w:rsidRDefault="00173BC2" w:rsidP="00711CF9">
            <w:pPr>
              <w:tabs>
                <w:tab w:val="center" w:pos="0"/>
              </w:tabs>
              <w:suppressAutoHyphen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F</w:t>
            </w:r>
          </w:p>
        </w:tc>
        <w:tc>
          <w:tcPr>
            <w:tcW w:w="1808" w:type="dxa"/>
          </w:tcPr>
          <w:p w14:paraId="05947029" w14:textId="77777777" w:rsidR="00173BC2" w:rsidRDefault="00173BC2" w:rsidP="00711CF9">
            <w:pPr>
              <w:tabs>
                <w:tab w:val="center" w:pos="0"/>
              </w:tabs>
              <w:suppressAutoHyphens/>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January 2, 2018</w:t>
            </w:r>
          </w:p>
        </w:tc>
        <w:tc>
          <w:tcPr>
            <w:tcW w:w="1677" w:type="dxa"/>
          </w:tcPr>
          <w:p w14:paraId="2A9F902A" w14:textId="77777777" w:rsidR="00173BC2" w:rsidRDefault="00173BC2" w:rsidP="00711CF9">
            <w:pPr>
              <w:tabs>
                <w:tab w:val="center" w:pos="0"/>
              </w:tabs>
              <w:suppressAutoHyphens/>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January 16, 2018</w:t>
            </w:r>
          </w:p>
        </w:tc>
        <w:tc>
          <w:tcPr>
            <w:tcW w:w="1947" w:type="dxa"/>
          </w:tcPr>
          <w:p w14:paraId="466A68BC" w14:textId="77777777" w:rsidR="00173BC2" w:rsidRDefault="00173BC2" w:rsidP="00711CF9">
            <w:pPr>
              <w:tabs>
                <w:tab w:val="center" w:pos="0"/>
              </w:tabs>
              <w:suppressAutoHyphens/>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1817" w:type="dxa"/>
          </w:tcPr>
          <w:p w14:paraId="7B40C717" w14:textId="77777777" w:rsidR="00173BC2" w:rsidRDefault="00173BC2" w:rsidP="00711CF9">
            <w:pPr>
              <w:tabs>
                <w:tab w:val="center" w:pos="0"/>
              </w:tabs>
              <w:suppressAutoHyphens/>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N/A</w:t>
            </w:r>
          </w:p>
        </w:tc>
      </w:tr>
      <w:tr w:rsidR="00173BC2" w14:paraId="1C89A315" w14:textId="77777777" w:rsidTr="00711C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tcPr>
          <w:p w14:paraId="71285BA1" w14:textId="77777777" w:rsidR="00173BC2" w:rsidRDefault="00173BC2" w:rsidP="00711CF9">
            <w:pPr>
              <w:tabs>
                <w:tab w:val="center" w:pos="0"/>
              </w:tabs>
              <w:suppressAutoHyphen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G</w:t>
            </w:r>
          </w:p>
        </w:tc>
        <w:tc>
          <w:tcPr>
            <w:tcW w:w="1808" w:type="dxa"/>
          </w:tcPr>
          <w:p w14:paraId="3450274D" w14:textId="77777777" w:rsidR="00173BC2" w:rsidRDefault="00173BC2" w:rsidP="00711CF9">
            <w:pPr>
              <w:tabs>
                <w:tab w:val="center" w:pos="0"/>
              </w:tabs>
              <w:suppressAutoHyphens/>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January 2, 2018</w:t>
            </w:r>
          </w:p>
        </w:tc>
        <w:tc>
          <w:tcPr>
            <w:tcW w:w="1677" w:type="dxa"/>
          </w:tcPr>
          <w:p w14:paraId="02007989" w14:textId="77777777" w:rsidR="00173BC2" w:rsidRDefault="00173BC2" w:rsidP="00711CF9">
            <w:pPr>
              <w:tabs>
                <w:tab w:val="center" w:pos="0"/>
              </w:tabs>
              <w:suppressAutoHyphens/>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January 16, 2018</w:t>
            </w:r>
          </w:p>
        </w:tc>
        <w:tc>
          <w:tcPr>
            <w:tcW w:w="1947" w:type="dxa"/>
          </w:tcPr>
          <w:p w14:paraId="674337F6" w14:textId="77777777" w:rsidR="00173BC2" w:rsidRDefault="00173BC2" w:rsidP="00711CF9">
            <w:pPr>
              <w:tabs>
                <w:tab w:val="center" w:pos="0"/>
              </w:tabs>
              <w:suppressAutoHyphens/>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1817" w:type="dxa"/>
          </w:tcPr>
          <w:p w14:paraId="18C6C53E" w14:textId="77777777" w:rsidR="00173BC2" w:rsidRDefault="00173BC2" w:rsidP="00711CF9">
            <w:pPr>
              <w:tabs>
                <w:tab w:val="center" w:pos="0"/>
              </w:tabs>
              <w:suppressAutoHyphens/>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N/A</w:t>
            </w:r>
          </w:p>
        </w:tc>
      </w:tr>
      <w:tr w:rsidR="00173BC2" w14:paraId="5E2B28A3" w14:textId="77777777" w:rsidTr="00711CF9">
        <w:tc>
          <w:tcPr>
            <w:cnfStyle w:val="001000000000" w:firstRow="0" w:lastRow="0" w:firstColumn="1" w:lastColumn="0" w:oddVBand="0" w:evenVBand="0" w:oddHBand="0" w:evenHBand="0" w:firstRowFirstColumn="0" w:firstRowLastColumn="0" w:lastRowFirstColumn="0" w:lastRowLastColumn="0"/>
            <w:tcW w:w="2101" w:type="dxa"/>
          </w:tcPr>
          <w:p w14:paraId="67422203" w14:textId="77777777" w:rsidR="00173BC2" w:rsidRDefault="00173BC2" w:rsidP="00711CF9">
            <w:pPr>
              <w:tabs>
                <w:tab w:val="center" w:pos="0"/>
              </w:tabs>
              <w:suppressAutoHyphen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H</w:t>
            </w:r>
          </w:p>
        </w:tc>
        <w:tc>
          <w:tcPr>
            <w:tcW w:w="1808" w:type="dxa"/>
          </w:tcPr>
          <w:p w14:paraId="6F1FAE92" w14:textId="77777777" w:rsidR="00173BC2" w:rsidRDefault="00173BC2" w:rsidP="00711CF9">
            <w:pPr>
              <w:tabs>
                <w:tab w:val="center" w:pos="0"/>
              </w:tabs>
              <w:suppressAutoHyphens/>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May 22, 2018</w:t>
            </w:r>
          </w:p>
        </w:tc>
        <w:tc>
          <w:tcPr>
            <w:tcW w:w="1677" w:type="dxa"/>
          </w:tcPr>
          <w:p w14:paraId="2D78FCF1" w14:textId="77777777" w:rsidR="00173BC2" w:rsidRDefault="00173BC2" w:rsidP="00711CF9">
            <w:pPr>
              <w:tabs>
                <w:tab w:val="center" w:pos="0"/>
              </w:tabs>
              <w:suppressAutoHyphens/>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June 21, 2018</w:t>
            </w:r>
          </w:p>
        </w:tc>
        <w:tc>
          <w:tcPr>
            <w:tcW w:w="1947" w:type="dxa"/>
          </w:tcPr>
          <w:p w14:paraId="158C8497" w14:textId="77777777" w:rsidR="00173BC2" w:rsidRDefault="00173BC2" w:rsidP="00711CF9">
            <w:pPr>
              <w:tabs>
                <w:tab w:val="center" w:pos="0"/>
              </w:tabs>
              <w:suppressAutoHyphens/>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16</w:t>
            </w:r>
          </w:p>
        </w:tc>
        <w:tc>
          <w:tcPr>
            <w:tcW w:w="1817" w:type="dxa"/>
          </w:tcPr>
          <w:p w14:paraId="4AC762EE" w14:textId="77777777" w:rsidR="00173BC2" w:rsidRDefault="00173BC2" w:rsidP="00711CF9">
            <w:pPr>
              <w:tabs>
                <w:tab w:val="center" w:pos="0"/>
              </w:tabs>
              <w:suppressAutoHyphens/>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N/A</w:t>
            </w:r>
          </w:p>
        </w:tc>
      </w:tr>
      <w:tr w:rsidR="00173BC2" w14:paraId="59D82314" w14:textId="77777777" w:rsidTr="00711C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tcPr>
          <w:p w14:paraId="38C2EFCC" w14:textId="77777777" w:rsidR="00173BC2" w:rsidRDefault="00173BC2" w:rsidP="00711CF9">
            <w:pPr>
              <w:tabs>
                <w:tab w:val="center" w:pos="0"/>
              </w:tabs>
              <w:suppressAutoHyphen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I</w:t>
            </w:r>
          </w:p>
        </w:tc>
        <w:tc>
          <w:tcPr>
            <w:tcW w:w="1808" w:type="dxa"/>
          </w:tcPr>
          <w:p w14:paraId="2976453E" w14:textId="77777777" w:rsidR="00173BC2" w:rsidRDefault="00173BC2" w:rsidP="00711CF9">
            <w:pPr>
              <w:tabs>
                <w:tab w:val="center" w:pos="0"/>
              </w:tabs>
              <w:suppressAutoHyphens/>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December 31, 2018</w:t>
            </w:r>
          </w:p>
        </w:tc>
        <w:tc>
          <w:tcPr>
            <w:tcW w:w="1677" w:type="dxa"/>
          </w:tcPr>
          <w:p w14:paraId="394B3716" w14:textId="77777777" w:rsidR="00173BC2" w:rsidRDefault="00173BC2" w:rsidP="00711CF9">
            <w:pPr>
              <w:tabs>
                <w:tab w:val="center" w:pos="0"/>
              </w:tabs>
              <w:suppressAutoHyphens/>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January 11, 2019</w:t>
            </w:r>
          </w:p>
        </w:tc>
        <w:tc>
          <w:tcPr>
            <w:tcW w:w="1947" w:type="dxa"/>
          </w:tcPr>
          <w:p w14:paraId="158D1F7C" w14:textId="77777777" w:rsidR="00173BC2" w:rsidRDefault="00173BC2" w:rsidP="00711CF9">
            <w:pPr>
              <w:tabs>
                <w:tab w:val="center" w:pos="0"/>
              </w:tabs>
              <w:suppressAutoHyphens/>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1817" w:type="dxa"/>
          </w:tcPr>
          <w:p w14:paraId="61FD9F60" w14:textId="77777777" w:rsidR="00173BC2" w:rsidRDefault="00173BC2" w:rsidP="00711CF9">
            <w:pPr>
              <w:tabs>
                <w:tab w:val="center" w:pos="0"/>
              </w:tabs>
              <w:suppressAutoHyphens/>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N/A</w:t>
            </w:r>
          </w:p>
        </w:tc>
      </w:tr>
      <w:tr w:rsidR="00173BC2" w14:paraId="0E04FA06" w14:textId="77777777" w:rsidTr="00711CF9">
        <w:tc>
          <w:tcPr>
            <w:cnfStyle w:val="001000000000" w:firstRow="0" w:lastRow="0" w:firstColumn="1" w:lastColumn="0" w:oddVBand="0" w:evenVBand="0" w:oddHBand="0" w:evenHBand="0" w:firstRowFirstColumn="0" w:firstRowLastColumn="0" w:lastRowFirstColumn="0" w:lastRowLastColumn="0"/>
            <w:tcW w:w="2101" w:type="dxa"/>
          </w:tcPr>
          <w:p w14:paraId="53C6A41C" w14:textId="77777777" w:rsidR="00173BC2" w:rsidRDefault="00173BC2" w:rsidP="00711CF9">
            <w:pPr>
              <w:tabs>
                <w:tab w:val="center" w:pos="0"/>
              </w:tabs>
              <w:suppressAutoHyphen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J</w:t>
            </w:r>
          </w:p>
        </w:tc>
        <w:tc>
          <w:tcPr>
            <w:tcW w:w="1808" w:type="dxa"/>
          </w:tcPr>
          <w:p w14:paraId="0692AAF4" w14:textId="77777777" w:rsidR="00173BC2" w:rsidRDefault="00173BC2" w:rsidP="00711CF9">
            <w:pPr>
              <w:tabs>
                <w:tab w:val="center" w:pos="0"/>
              </w:tabs>
              <w:suppressAutoHyphens/>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June 11, 2018</w:t>
            </w:r>
          </w:p>
        </w:tc>
        <w:tc>
          <w:tcPr>
            <w:tcW w:w="1677" w:type="dxa"/>
          </w:tcPr>
          <w:p w14:paraId="43B511E1" w14:textId="77777777" w:rsidR="00173BC2" w:rsidRDefault="00173BC2" w:rsidP="00711CF9">
            <w:pPr>
              <w:tabs>
                <w:tab w:val="center" w:pos="0"/>
              </w:tabs>
              <w:suppressAutoHyphens/>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July 9, 2018</w:t>
            </w:r>
          </w:p>
        </w:tc>
        <w:tc>
          <w:tcPr>
            <w:tcW w:w="1947" w:type="dxa"/>
          </w:tcPr>
          <w:p w14:paraId="147BCA45" w14:textId="77777777" w:rsidR="00173BC2" w:rsidRDefault="00173BC2" w:rsidP="00711CF9">
            <w:pPr>
              <w:tabs>
                <w:tab w:val="center" w:pos="0"/>
              </w:tabs>
              <w:suppressAutoHyphens/>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N/A</w:t>
            </w:r>
          </w:p>
        </w:tc>
        <w:tc>
          <w:tcPr>
            <w:tcW w:w="1817" w:type="dxa"/>
          </w:tcPr>
          <w:p w14:paraId="6C0B7143" w14:textId="77777777" w:rsidR="00173BC2" w:rsidRDefault="00173BC2" w:rsidP="00711CF9">
            <w:pPr>
              <w:tabs>
                <w:tab w:val="center" w:pos="0"/>
              </w:tabs>
              <w:suppressAutoHyphens/>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r>
      <w:tr w:rsidR="00173BC2" w14:paraId="7A14B2EB" w14:textId="77777777" w:rsidTr="00711CF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01" w:type="dxa"/>
          </w:tcPr>
          <w:p w14:paraId="6FF87432" w14:textId="77777777" w:rsidR="00173BC2" w:rsidRDefault="00173BC2" w:rsidP="00711CF9">
            <w:pPr>
              <w:tabs>
                <w:tab w:val="center" w:pos="0"/>
              </w:tabs>
              <w:suppressAutoHyphen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Total waiting period past the 5-day time frame prescribed in 52 Pa. Code § 63.58(a)</w:t>
            </w:r>
          </w:p>
        </w:tc>
        <w:tc>
          <w:tcPr>
            <w:tcW w:w="3485" w:type="dxa"/>
            <w:gridSpan w:val="2"/>
          </w:tcPr>
          <w:p w14:paraId="298E8EF6" w14:textId="77777777" w:rsidR="00173BC2" w:rsidRDefault="00173BC2" w:rsidP="00711CF9">
            <w:pPr>
              <w:tabs>
                <w:tab w:val="center" w:pos="0"/>
              </w:tabs>
              <w:suppressAutoHyphens/>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c>
          <w:tcPr>
            <w:tcW w:w="1947" w:type="dxa"/>
            <w:vAlign w:val="center"/>
          </w:tcPr>
          <w:p w14:paraId="5D0F4350" w14:textId="77777777" w:rsidR="00173BC2" w:rsidRDefault="00173BC2" w:rsidP="00711CF9">
            <w:pPr>
              <w:tabs>
                <w:tab w:val="center" w:pos="0"/>
              </w:tabs>
              <w:suppressAutoHyphens/>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150</w:t>
            </w:r>
          </w:p>
        </w:tc>
        <w:tc>
          <w:tcPr>
            <w:tcW w:w="1817" w:type="dxa"/>
            <w:vAlign w:val="center"/>
          </w:tcPr>
          <w:p w14:paraId="2D964D00" w14:textId="77777777" w:rsidR="00173BC2" w:rsidRDefault="00173BC2" w:rsidP="00711CF9">
            <w:pPr>
              <w:tabs>
                <w:tab w:val="center" w:pos="0"/>
              </w:tabs>
              <w:suppressAutoHyphens/>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6"/>
                <w:szCs w:val="26"/>
              </w:rPr>
            </w:pPr>
          </w:p>
        </w:tc>
      </w:tr>
      <w:tr w:rsidR="00173BC2" w14:paraId="186FB3E8" w14:textId="77777777" w:rsidTr="00711CF9">
        <w:trPr>
          <w:cantSplit/>
        </w:trPr>
        <w:tc>
          <w:tcPr>
            <w:cnfStyle w:val="001000000000" w:firstRow="0" w:lastRow="0" w:firstColumn="1" w:lastColumn="0" w:oddVBand="0" w:evenVBand="0" w:oddHBand="0" w:evenHBand="0" w:firstRowFirstColumn="0" w:firstRowLastColumn="0" w:lastRowFirstColumn="0" w:lastRowLastColumn="0"/>
            <w:tcW w:w="2101" w:type="dxa"/>
          </w:tcPr>
          <w:p w14:paraId="0720CAE0" w14:textId="77777777" w:rsidR="00173BC2" w:rsidRDefault="00173BC2" w:rsidP="00711CF9">
            <w:pPr>
              <w:tabs>
                <w:tab w:val="center" w:pos="0"/>
              </w:tabs>
              <w:suppressAutoHyphen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Total waiting period past the 10-day time frame prescribed in 66 Pa. C.S. § 3014(b)</w:t>
            </w:r>
          </w:p>
        </w:tc>
        <w:tc>
          <w:tcPr>
            <w:tcW w:w="5432" w:type="dxa"/>
            <w:gridSpan w:val="3"/>
            <w:vAlign w:val="center"/>
          </w:tcPr>
          <w:p w14:paraId="10139D43" w14:textId="77777777" w:rsidR="00173BC2" w:rsidRDefault="00173BC2" w:rsidP="00711CF9">
            <w:pPr>
              <w:tabs>
                <w:tab w:val="center" w:pos="0"/>
              </w:tabs>
              <w:suppressAutoHyphens/>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c>
          <w:tcPr>
            <w:tcW w:w="1817" w:type="dxa"/>
            <w:vAlign w:val="center"/>
          </w:tcPr>
          <w:p w14:paraId="5B84DB6B" w14:textId="77777777" w:rsidR="00173BC2" w:rsidRDefault="00173BC2" w:rsidP="00711CF9">
            <w:pPr>
              <w:tabs>
                <w:tab w:val="center" w:pos="0"/>
              </w:tabs>
              <w:suppressAutoHyphens/>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r>
              <w:rPr>
                <w:rFonts w:ascii="Times New Roman" w:eastAsia="Times New Roman" w:hAnsi="Times New Roman" w:cs="Times New Roman"/>
                <w:sz w:val="26"/>
                <w:szCs w:val="26"/>
              </w:rPr>
              <w:t>105</w:t>
            </w:r>
          </w:p>
          <w:p w14:paraId="12E28E09" w14:textId="77777777" w:rsidR="00173BC2" w:rsidRDefault="00173BC2" w:rsidP="00711CF9">
            <w:pPr>
              <w:tabs>
                <w:tab w:val="center" w:pos="0"/>
              </w:tabs>
              <w:suppressAutoHyphens/>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6"/>
                <w:szCs w:val="26"/>
              </w:rPr>
            </w:pPr>
          </w:p>
        </w:tc>
      </w:tr>
      <w:bookmarkEnd w:id="0"/>
    </w:tbl>
    <w:p w14:paraId="10558D72" w14:textId="77777777" w:rsidR="00173BC2" w:rsidRDefault="00173BC2" w:rsidP="00173BC2">
      <w:pPr>
        <w:tabs>
          <w:tab w:val="center" w:pos="0"/>
        </w:tabs>
        <w:suppressAutoHyphens/>
        <w:spacing w:after="0" w:line="360" w:lineRule="auto"/>
        <w:rPr>
          <w:rFonts w:ascii="Times New Roman" w:eastAsia="Times New Roman" w:hAnsi="Times New Roman" w:cs="Times New Roman"/>
          <w:sz w:val="26"/>
          <w:szCs w:val="26"/>
        </w:rPr>
      </w:pPr>
    </w:p>
    <w:p w14:paraId="3D2010CD" w14:textId="77777777" w:rsidR="00173BC2" w:rsidRDefault="00173BC2" w:rsidP="00173BC2">
      <w:pPr>
        <w:tabs>
          <w:tab w:val="center" w:pos="0"/>
        </w:tabs>
        <w:suppressAutoHyphen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Under Section 63.58 of the Commission’s Regulations applicable to telephone service, a public utility shall complete installation of primary service orders withing five working days of receipt of an application unless a later date is requested by the applicant or construction is required.  Nine customer complaints related to CenturyLink’s alleged failure to install telephone services within five days.  The customers claimed a total waiting period of 150 days past the 5-day time frame prescribed in Section 63.58(a).  Settlement at 6-7 (citing 52 Pa. Code § 63.58(a)).   </w:t>
      </w:r>
    </w:p>
    <w:p w14:paraId="12315FC4" w14:textId="77777777" w:rsidR="00173BC2" w:rsidRDefault="00173BC2" w:rsidP="00173BC2">
      <w:pPr>
        <w:tabs>
          <w:tab w:val="center" w:pos="0"/>
        </w:tabs>
        <w:suppressAutoHyphens/>
        <w:spacing w:after="0" w:line="360" w:lineRule="auto"/>
        <w:rPr>
          <w:rFonts w:ascii="Times New Roman" w:eastAsia="Times New Roman" w:hAnsi="Times New Roman" w:cs="Times New Roman"/>
          <w:sz w:val="26"/>
          <w:szCs w:val="26"/>
        </w:rPr>
      </w:pPr>
    </w:p>
    <w:p w14:paraId="0B33AD23" w14:textId="738C4D14" w:rsidR="00173BC2" w:rsidRDefault="00173BC2" w:rsidP="00173BC2">
      <w:pPr>
        <w:tabs>
          <w:tab w:val="center" w:pos="0"/>
        </w:tabs>
        <w:suppressAutoHyphen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Under Section 3014 of the Code, a local exchange telecommunications company “may amend its network modernization plan to extend the period of time within which broadband service must be made available to a customer to up to ten business days after the customer’s request for broadband service.”  66 Pa. C.S. § 3014(b)(5).  In response to I&amp;E’s informal data requests, CenturyLink provided six customer complaints that </w:t>
      </w:r>
      <w:r w:rsidR="0030659A">
        <w:rPr>
          <w:rFonts w:ascii="Times New Roman" w:eastAsia="Times New Roman" w:hAnsi="Times New Roman" w:cs="Times New Roman"/>
          <w:sz w:val="26"/>
          <w:szCs w:val="26"/>
        </w:rPr>
        <w:t xml:space="preserve">were </w:t>
      </w:r>
      <w:r>
        <w:rPr>
          <w:rFonts w:ascii="Times New Roman" w:eastAsia="Times New Roman" w:hAnsi="Times New Roman" w:cs="Times New Roman"/>
          <w:sz w:val="26"/>
          <w:szCs w:val="26"/>
        </w:rPr>
        <w:t xml:space="preserve">related to CenturyLink’s alleged failure to install broadband services within ten days.  The customers claimed a total waiting period of 105 days past the 10-day timeframe prescribed in Section 30149b).  Settlement at 8-9.  </w:t>
      </w:r>
    </w:p>
    <w:p w14:paraId="5885BD67" w14:textId="77777777" w:rsidR="00173BC2" w:rsidRPr="00F95E61" w:rsidRDefault="00173BC2" w:rsidP="00173BC2">
      <w:pPr>
        <w:tabs>
          <w:tab w:val="center" w:pos="0"/>
        </w:tabs>
        <w:suppressAutoHyphens/>
        <w:spacing w:after="0" w:line="360" w:lineRule="auto"/>
        <w:rPr>
          <w:rFonts w:ascii="Times New Roman" w:eastAsia="Times New Roman" w:hAnsi="Times New Roman" w:cs="Times New Roman"/>
          <w:sz w:val="26"/>
          <w:szCs w:val="26"/>
          <w:u w:val="single"/>
        </w:rPr>
      </w:pPr>
      <w:r>
        <w:rPr>
          <w:rFonts w:ascii="Times New Roman" w:eastAsia="Times New Roman" w:hAnsi="Times New Roman" w:cs="Times New Roman"/>
          <w:sz w:val="26"/>
          <w:szCs w:val="26"/>
        </w:rPr>
        <w:lastRenderedPageBreak/>
        <w:tab/>
      </w:r>
      <w:r>
        <w:rPr>
          <w:rFonts w:ascii="Times New Roman" w:eastAsia="Times New Roman" w:hAnsi="Times New Roman" w:cs="Times New Roman"/>
          <w:sz w:val="26"/>
          <w:szCs w:val="26"/>
        </w:rPr>
        <w:tab/>
      </w:r>
      <w:r w:rsidRPr="00F95E61">
        <w:rPr>
          <w:rFonts w:ascii="Times New Roman" w:eastAsia="Times New Roman" w:hAnsi="Times New Roman" w:cs="Times New Roman"/>
          <w:sz w:val="26"/>
          <w:szCs w:val="26"/>
          <w:u w:val="single"/>
        </w:rPr>
        <w:t>Section 1501 Allegations</w:t>
      </w:r>
    </w:p>
    <w:p w14:paraId="1DC00045" w14:textId="77777777" w:rsidR="00173BC2" w:rsidRDefault="00173BC2" w:rsidP="00173BC2">
      <w:pPr>
        <w:tabs>
          <w:tab w:val="center" w:pos="0"/>
        </w:tabs>
        <w:suppressAutoHyphens/>
        <w:spacing w:after="0" w:line="360" w:lineRule="auto"/>
        <w:rPr>
          <w:rFonts w:ascii="Times New Roman" w:eastAsia="Times New Roman" w:hAnsi="Times New Roman" w:cs="Times New Roman"/>
          <w:sz w:val="26"/>
          <w:szCs w:val="26"/>
        </w:rPr>
      </w:pPr>
    </w:p>
    <w:p w14:paraId="69D72776" w14:textId="77777777" w:rsidR="00173BC2" w:rsidRDefault="00173BC2" w:rsidP="00173BC2">
      <w:pPr>
        <w:tabs>
          <w:tab w:val="center" w:pos="0"/>
        </w:tabs>
        <w:suppressAutoHyphen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As detailed in Table 1 above, ten customers alleged that CenturyLink failed to furnish reasonable service as required by Section 1501 of the Code.  Settlement at 10.</w:t>
      </w:r>
    </w:p>
    <w:p w14:paraId="7E11D63F" w14:textId="77777777" w:rsidR="00173BC2" w:rsidRDefault="00173BC2" w:rsidP="00173BC2">
      <w:pPr>
        <w:tabs>
          <w:tab w:val="center" w:pos="0"/>
        </w:tabs>
        <w:suppressAutoHyphens/>
        <w:spacing w:after="0" w:line="360" w:lineRule="auto"/>
        <w:rPr>
          <w:rFonts w:ascii="Times New Roman" w:eastAsia="Times New Roman" w:hAnsi="Times New Roman" w:cs="Times New Roman"/>
          <w:sz w:val="26"/>
          <w:szCs w:val="26"/>
        </w:rPr>
      </w:pPr>
    </w:p>
    <w:p w14:paraId="0D551CCF" w14:textId="77777777" w:rsidR="00173BC2" w:rsidRPr="00F95E61" w:rsidRDefault="00173BC2" w:rsidP="00173BC2">
      <w:pPr>
        <w:tabs>
          <w:tab w:val="center" w:pos="0"/>
        </w:tabs>
        <w:suppressAutoHyphens/>
        <w:spacing w:after="0" w:line="360" w:lineRule="auto"/>
        <w:rPr>
          <w:rFonts w:ascii="Times New Roman" w:eastAsia="Times New Roman" w:hAnsi="Times New Roman" w:cs="Times New Roman"/>
          <w:sz w:val="26"/>
          <w:szCs w:val="26"/>
          <w:u w:val="single"/>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F95E61">
        <w:rPr>
          <w:rFonts w:ascii="Times New Roman" w:eastAsia="Times New Roman" w:hAnsi="Times New Roman" w:cs="Times New Roman"/>
          <w:sz w:val="26"/>
          <w:szCs w:val="26"/>
          <w:u w:val="single"/>
        </w:rPr>
        <w:t>Chapter 30 Allegations</w:t>
      </w:r>
    </w:p>
    <w:p w14:paraId="153EF6A9" w14:textId="77777777" w:rsidR="00173BC2" w:rsidRDefault="00173BC2" w:rsidP="00173BC2">
      <w:pPr>
        <w:tabs>
          <w:tab w:val="center" w:pos="0"/>
        </w:tabs>
        <w:suppressAutoHyphens/>
        <w:spacing w:after="0" w:line="360" w:lineRule="auto"/>
        <w:rPr>
          <w:rFonts w:ascii="Times New Roman" w:eastAsia="Times New Roman" w:hAnsi="Times New Roman" w:cs="Times New Roman"/>
          <w:sz w:val="26"/>
          <w:szCs w:val="26"/>
        </w:rPr>
      </w:pPr>
    </w:p>
    <w:p w14:paraId="2B89737C" w14:textId="77777777" w:rsidR="00173BC2" w:rsidRDefault="00173BC2" w:rsidP="00173BC2">
      <w:pPr>
        <w:tabs>
          <w:tab w:val="center" w:pos="0"/>
        </w:tabs>
        <w:suppressAutoHyphen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Section 3014(b) of the Code provides that a rural telecommunications carrier that elects to amend its network modernization plan shall remain subject to its network modernization plan through December 31, 2013 and shall commit to accelerate broadband availability to 100% of its total retail access lines in its distribution network by December 31, 2013.  66 Pa. C.S. § 3014(b)(2)(ii)(A).</w:t>
      </w:r>
      <w:r>
        <w:rPr>
          <w:rStyle w:val="FootnoteReference"/>
          <w:rFonts w:ascii="Times New Roman" w:eastAsia="Times New Roman" w:hAnsi="Times New Roman" w:cs="Times New Roman"/>
          <w:sz w:val="26"/>
          <w:szCs w:val="26"/>
        </w:rPr>
        <w:footnoteReference w:id="1"/>
      </w:r>
      <w:r>
        <w:rPr>
          <w:rFonts w:ascii="Times New Roman" w:eastAsia="Times New Roman" w:hAnsi="Times New Roman" w:cs="Times New Roman"/>
          <w:sz w:val="26"/>
          <w:szCs w:val="26"/>
        </w:rPr>
        <w:t xml:space="preserve">  Settlement at 10.  </w:t>
      </w:r>
    </w:p>
    <w:p w14:paraId="53201777" w14:textId="77777777" w:rsidR="00173BC2" w:rsidRDefault="00173BC2" w:rsidP="00173BC2">
      <w:pPr>
        <w:tabs>
          <w:tab w:val="center" w:pos="0"/>
        </w:tabs>
        <w:suppressAutoHyphen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w:t>
      </w:r>
    </w:p>
    <w:p w14:paraId="11310BA5" w14:textId="77777777" w:rsidR="00173BC2" w:rsidRDefault="00173BC2" w:rsidP="00173BC2">
      <w:pPr>
        <w:tabs>
          <w:tab w:val="center" w:pos="0"/>
        </w:tabs>
        <w:suppressAutoHyphen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In response to I&amp;E’s informal data requests, CenturyLink identified four  customers who alleged that CenturyLink did not provide broadband services upon request and two customers who alleged that CenturyLink did not provide the minimum speed of 1.544 Mbps in the downstream direction.  Settlement at 11.  </w:t>
      </w:r>
    </w:p>
    <w:p w14:paraId="2198837F" w14:textId="77777777" w:rsidR="00173BC2" w:rsidRDefault="00173BC2" w:rsidP="00173BC2">
      <w:pPr>
        <w:tabs>
          <w:tab w:val="center" w:pos="0"/>
        </w:tabs>
        <w:suppressAutoHyphens/>
        <w:spacing w:after="0" w:line="360" w:lineRule="auto"/>
        <w:rPr>
          <w:rFonts w:ascii="Times New Roman" w:eastAsia="Times New Roman" w:hAnsi="Times New Roman" w:cs="Times New Roman"/>
          <w:sz w:val="26"/>
          <w:szCs w:val="26"/>
        </w:rPr>
      </w:pPr>
    </w:p>
    <w:p w14:paraId="72F96EB5" w14:textId="77777777" w:rsidR="00173BC2" w:rsidRDefault="00173BC2" w:rsidP="00173BC2">
      <w:pPr>
        <w:tabs>
          <w:tab w:val="center" w:pos="0"/>
        </w:tabs>
        <w:suppressAutoHyphen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As a result of its informal investigation, I&amp;E concluded that there was sufficient data to substantiate allegations of violations of our Regulations.  Specifically, I&amp;E was prepared to allege in a formal complaint that the issues associated with the implementation of the new dispatch systems resulted in: </w:t>
      </w:r>
    </w:p>
    <w:p w14:paraId="66191235" w14:textId="77777777" w:rsidR="00173BC2" w:rsidRDefault="00173BC2" w:rsidP="00173BC2">
      <w:pPr>
        <w:tabs>
          <w:tab w:val="center" w:pos="0"/>
        </w:tabs>
        <w:suppressAutoHyphens/>
        <w:spacing w:after="0" w:line="360" w:lineRule="auto"/>
        <w:rPr>
          <w:rFonts w:ascii="Times New Roman" w:eastAsia="Times New Roman" w:hAnsi="Times New Roman" w:cs="Times New Roman"/>
          <w:sz w:val="26"/>
          <w:szCs w:val="26"/>
        </w:rPr>
      </w:pPr>
    </w:p>
    <w:p w14:paraId="6ADC7037" w14:textId="10707A94" w:rsidR="00173BC2" w:rsidRDefault="00173BC2" w:rsidP="00173BC2">
      <w:pPr>
        <w:pStyle w:val="ListParagraph"/>
        <w:numPr>
          <w:ilvl w:val="0"/>
          <w:numId w:val="1"/>
        </w:numPr>
        <w:tabs>
          <w:tab w:val="center" w:pos="0"/>
        </w:tabs>
        <w:suppressAutoHyphens/>
        <w:spacing w:after="0" w:line="360" w:lineRule="auto"/>
        <w:rPr>
          <w:rFonts w:ascii="Times New Roman" w:eastAsia="Times New Roman" w:hAnsi="Times New Roman" w:cs="Times New Roman"/>
          <w:sz w:val="26"/>
          <w:szCs w:val="26"/>
        </w:rPr>
      </w:pPr>
      <w:r w:rsidRPr="001E7B15">
        <w:rPr>
          <w:rFonts w:ascii="Times New Roman" w:eastAsia="Times New Roman" w:hAnsi="Times New Roman" w:cs="Times New Roman"/>
          <w:sz w:val="26"/>
          <w:szCs w:val="26"/>
        </w:rPr>
        <w:lastRenderedPageBreak/>
        <w:t xml:space="preserve">the untimely installation of telephone service within five working days.  If proven, this would have violated 52 Pa. Code § 63.58 and 66 Pa. C.S. § 1501.  (Multiple counts). </w:t>
      </w:r>
    </w:p>
    <w:p w14:paraId="25C9DC94" w14:textId="77777777" w:rsidR="00173BC2" w:rsidRPr="001E7B15" w:rsidRDefault="00173BC2" w:rsidP="00173BC2">
      <w:pPr>
        <w:pStyle w:val="ListParagraph"/>
        <w:tabs>
          <w:tab w:val="center" w:pos="0"/>
        </w:tabs>
        <w:suppressAutoHyphens/>
        <w:spacing w:after="0" w:line="360" w:lineRule="auto"/>
        <w:ind w:left="1095"/>
        <w:rPr>
          <w:rFonts w:ascii="Times New Roman" w:eastAsia="Times New Roman" w:hAnsi="Times New Roman" w:cs="Times New Roman"/>
          <w:sz w:val="26"/>
          <w:szCs w:val="26"/>
        </w:rPr>
      </w:pPr>
    </w:p>
    <w:p w14:paraId="4C1FD123" w14:textId="7BFFA20E" w:rsidR="00173BC2" w:rsidRDefault="00173BC2" w:rsidP="00173BC2">
      <w:pPr>
        <w:pStyle w:val="ListParagraph"/>
        <w:numPr>
          <w:ilvl w:val="0"/>
          <w:numId w:val="1"/>
        </w:numPr>
        <w:tabs>
          <w:tab w:val="center" w:pos="0"/>
        </w:tabs>
        <w:suppressAutoHyphens/>
        <w:spacing w:after="0" w:line="360" w:lineRule="auto"/>
        <w:rPr>
          <w:rFonts w:ascii="Times New Roman" w:eastAsia="Times New Roman" w:hAnsi="Times New Roman" w:cs="Times New Roman"/>
          <w:sz w:val="26"/>
          <w:szCs w:val="26"/>
        </w:rPr>
      </w:pPr>
      <w:r w:rsidRPr="001E7B15">
        <w:rPr>
          <w:rFonts w:ascii="Times New Roman" w:eastAsia="Times New Roman" w:hAnsi="Times New Roman" w:cs="Times New Roman"/>
          <w:sz w:val="26"/>
          <w:szCs w:val="26"/>
        </w:rPr>
        <w:t>the untimely installation of broadband service within ten working days.  If proven, I&amp;E alleges that such conduct would have violated and 66 Pa. C.S. §</w:t>
      </w:r>
      <w:r w:rsidR="00801521">
        <w:rPr>
          <w:rFonts w:ascii="Times New Roman" w:eastAsia="Times New Roman" w:hAnsi="Times New Roman" w:cs="Times New Roman"/>
          <w:sz w:val="26"/>
          <w:szCs w:val="26"/>
        </w:rPr>
        <w:t> </w:t>
      </w:r>
      <w:r>
        <w:rPr>
          <w:rFonts w:ascii="Times New Roman" w:eastAsia="Times New Roman" w:hAnsi="Times New Roman" w:cs="Times New Roman"/>
          <w:sz w:val="26"/>
          <w:szCs w:val="26"/>
        </w:rPr>
        <w:t>3014</w:t>
      </w:r>
      <w:r w:rsidRPr="001E7B15">
        <w:rPr>
          <w:rFonts w:ascii="Times New Roman" w:eastAsia="Times New Roman" w:hAnsi="Times New Roman" w:cs="Times New Roman"/>
          <w:sz w:val="26"/>
          <w:szCs w:val="26"/>
        </w:rPr>
        <w:t xml:space="preserve"> and 66 Pa. C.S. § 1501.  (Multiple counts).</w:t>
      </w:r>
    </w:p>
    <w:p w14:paraId="28C36C16" w14:textId="77777777" w:rsidR="00591D40" w:rsidRDefault="00591D40" w:rsidP="00173BC2">
      <w:pPr>
        <w:tabs>
          <w:tab w:val="center" w:pos="0"/>
        </w:tabs>
        <w:suppressAutoHyphens/>
        <w:spacing w:after="0" w:line="360" w:lineRule="auto"/>
        <w:rPr>
          <w:rFonts w:ascii="Times New Roman" w:eastAsia="Times New Roman" w:hAnsi="Times New Roman" w:cs="Times New Roman"/>
          <w:sz w:val="26"/>
          <w:szCs w:val="26"/>
        </w:rPr>
      </w:pPr>
    </w:p>
    <w:p w14:paraId="7BA70E78" w14:textId="6C165158" w:rsidR="00173BC2" w:rsidRDefault="00591D40" w:rsidP="00173BC2">
      <w:pPr>
        <w:tabs>
          <w:tab w:val="center" w:pos="0"/>
        </w:tabs>
        <w:suppressAutoHyphen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Settlement Agreement at 11-12.</w:t>
      </w:r>
      <w:r w:rsidR="00173BC2">
        <w:rPr>
          <w:rFonts w:ascii="Times New Roman" w:eastAsia="Times New Roman" w:hAnsi="Times New Roman" w:cs="Times New Roman"/>
          <w:sz w:val="26"/>
          <w:szCs w:val="26"/>
        </w:rPr>
        <w:tab/>
      </w:r>
    </w:p>
    <w:p w14:paraId="2F3B9681" w14:textId="77777777" w:rsidR="00591D40" w:rsidRDefault="00591D40" w:rsidP="00173BC2">
      <w:pPr>
        <w:tabs>
          <w:tab w:val="center" w:pos="0"/>
        </w:tabs>
        <w:suppressAutoHyphens/>
        <w:spacing w:after="0" w:line="360" w:lineRule="auto"/>
        <w:rPr>
          <w:rFonts w:ascii="Times New Roman" w:eastAsia="Times New Roman" w:hAnsi="Times New Roman" w:cs="Times New Roman"/>
          <w:sz w:val="26"/>
          <w:szCs w:val="26"/>
        </w:rPr>
      </w:pPr>
    </w:p>
    <w:p w14:paraId="52E2FADE" w14:textId="1E21F7AB" w:rsidR="00173BC2" w:rsidRDefault="00173BC2" w:rsidP="00173BC2">
      <w:pPr>
        <w:tabs>
          <w:tab w:val="center" w:pos="0"/>
        </w:tabs>
        <w:suppressAutoHyphen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Additionally, I&amp;E would have alleged that CenturyLink failed to provide broadband services upon request or failed to provide the minimum broadband speed of 1.544 Mbps.  If proven, I&amp;E alleges that such conduct would have violated Chapter 30, 66 Pa. C.S. §</w:t>
      </w:r>
      <w:r w:rsidR="00801521">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3011, </w:t>
      </w:r>
      <w:r w:rsidRPr="001E7B15">
        <w:rPr>
          <w:rFonts w:ascii="Times New Roman" w:eastAsia="Times New Roman" w:hAnsi="Times New Roman" w:cs="Times New Roman"/>
          <w:i/>
          <w:iCs/>
          <w:sz w:val="26"/>
          <w:szCs w:val="26"/>
        </w:rPr>
        <w:t>et seq.</w:t>
      </w:r>
      <w:r>
        <w:rPr>
          <w:rFonts w:ascii="Times New Roman" w:eastAsia="Times New Roman" w:hAnsi="Times New Roman" w:cs="Times New Roman"/>
          <w:sz w:val="26"/>
          <w:szCs w:val="26"/>
        </w:rPr>
        <w:t xml:space="preserve">  </w:t>
      </w:r>
      <w:r w:rsidR="00102577" w:rsidRPr="008C7790">
        <w:rPr>
          <w:rFonts w:ascii="Times New Roman" w:eastAsia="Times New Roman" w:hAnsi="Times New Roman" w:cs="Times New Roman"/>
          <w:i/>
          <w:iCs/>
          <w:sz w:val="26"/>
          <w:szCs w:val="26"/>
        </w:rPr>
        <w:t>Id</w:t>
      </w:r>
      <w:r w:rsidR="00102577">
        <w:rPr>
          <w:rFonts w:ascii="Times New Roman" w:eastAsia="Times New Roman" w:hAnsi="Times New Roman" w:cs="Times New Roman"/>
          <w:sz w:val="26"/>
          <w:szCs w:val="26"/>
        </w:rPr>
        <w:t xml:space="preserve">. </w:t>
      </w:r>
    </w:p>
    <w:p w14:paraId="68BEF86D" w14:textId="77777777" w:rsidR="00173BC2" w:rsidRDefault="00173BC2" w:rsidP="00173BC2">
      <w:pPr>
        <w:tabs>
          <w:tab w:val="center" w:pos="0"/>
        </w:tabs>
        <w:suppressAutoHyphens/>
        <w:spacing w:after="0" w:line="360" w:lineRule="auto"/>
        <w:rPr>
          <w:rFonts w:ascii="Times New Roman" w:eastAsia="Times New Roman" w:hAnsi="Times New Roman" w:cs="Times New Roman"/>
          <w:sz w:val="26"/>
          <w:szCs w:val="26"/>
        </w:rPr>
      </w:pPr>
    </w:p>
    <w:p w14:paraId="014D6F61" w14:textId="063B75BD" w:rsidR="00173BC2" w:rsidRDefault="00173BC2" w:rsidP="00173BC2">
      <w:pPr>
        <w:tabs>
          <w:tab w:val="center" w:pos="0"/>
        </w:tabs>
        <w:suppressAutoHyphen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The proposed Settlement</w:t>
      </w:r>
      <w:r w:rsidR="003E54B8">
        <w:rPr>
          <w:rFonts w:ascii="Times New Roman" w:eastAsia="Times New Roman" w:hAnsi="Times New Roman" w:cs="Times New Roman"/>
          <w:sz w:val="26"/>
          <w:szCs w:val="26"/>
        </w:rPr>
        <w:t xml:space="preserve"> w</w:t>
      </w:r>
      <w:r w:rsidRPr="003F7EE6">
        <w:rPr>
          <w:rFonts w:ascii="Times New Roman" w:eastAsia="Times New Roman" w:hAnsi="Times New Roman" w:cs="Times New Roman"/>
          <w:sz w:val="26"/>
          <w:szCs w:val="26"/>
        </w:rPr>
        <w:t xml:space="preserve">as filed by the Parties </w:t>
      </w:r>
      <w:proofErr w:type="gramStart"/>
      <w:r w:rsidRPr="003F7EE6">
        <w:rPr>
          <w:rFonts w:ascii="Times New Roman" w:eastAsia="Times New Roman" w:hAnsi="Times New Roman" w:cs="Times New Roman"/>
          <w:sz w:val="26"/>
          <w:szCs w:val="26"/>
        </w:rPr>
        <w:t>in order to</w:t>
      </w:r>
      <w:proofErr w:type="gramEnd"/>
      <w:r w:rsidRPr="003F7EE6">
        <w:rPr>
          <w:rFonts w:ascii="Times New Roman" w:eastAsia="Times New Roman" w:hAnsi="Times New Roman" w:cs="Times New Roman"/>
          <w:sz w:val="26"/>
          <w:szCs w:val="26"/>
        </w:rPr>
        <w:t xml:space="preserve"> resolve </w:t>
      </w:r>
      <w:r w:rsidR="000549FF">
        <w:rPr>
          <w:rFonts w:ascii="Times New Roman" w:eastAsia="Times New Roman" w:hAnsi="Times New Roman" w:cs="Times New Roman"/>
          <w:sz w:val="26"/>
          <w:szCs w:val="26"/>
        </w:rPr>
        <w:t xml:space="preserve">all </w:t>
      </w:r>
      <w:r w:rsidRPr="003F7EE6">
        <w:rPr>
          <w:rFonts w:ascii="Times New Roman" w:eastAsia="Times New Roman" w:hAnsi="Times New Roman" w:cs="Times New Roman"/>
          <w:sz w:val="26"/>
          <w:szCs w:val="26"/>
        </w:rPr>
        <w:t xml:space="preserve">allegations </w:t>
      </w:r>
      <w:r>
        <w:rPr>
          <w:rFonts w:ascii="Times New Roman" w:eastAsia="Times New Roman" w:hAnsi="Times New Roman" w:cs="Times New Roman"/>
          <w:sz w:val="26"/>
          <w:szCs w:val="26"/>
        </w:rPr>
        <w:t xml:space="preserve">of the failure to timely install services and the alleged failure to meet Chapter 30 requirements. </w:t>
      </w:r>
      <w:r w:rsidRPr="003F7EE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The Parties </w:t>
      </w:r>
      <w:r w:rsidRPr="003F7EE6">
        <w:rPr>
          <w:rFonts w:ascii="Times New Roman" w:eastAsia="Times New Roman" w:hAnsi="Times New Roman" w:cs="Times New Roman"/>
          <w:sz w:val="26"/>
          <w:szCs w:val="26"/>
        </w:rPr>
        <w:t>urge the Commission to approve the Settlement as being in the p</w:t>
      </w:r>
      <w:r>
        <w:rPr>
          <w:rFonts w:ascii="Times New Roman" w:eastAsia="Times New Roman" w:hAnsi="Times New Roman" w:cs="Times New Roman"/>
          <w:sz w:val="26"/>
          <w:szCs w:val="26"/>
        </w:rPr>
        <w:t xml:space="preserve">ublic interest.  </w:t>
      </w:r>
      <w:r w:rsidRPr="005500AC">
        <w:rPr>
          <w:rFonts w:ascii="Times New Roman" w:eastAsia="Times New Roman" w:hAnsi="Times New Roman" w:cs="Times New Roman"/>
          <w:sz w:val="26"/>
          <w:szCs w:val="26"/>
        </w:rPr>
        <w:t>Settlement</w:t>
      </w:r>
      <w:r>
        <w:rPr>
          <w:rFonts w:ascii="Times New Roman" w:eastAsia="Times New Roman" w:hAnsi="Times New Roman" w:cs="Times New Roman"/>
          <w:sz w:val="26"/>
          <w:szCs w:val="26"/>
        </w:rPr>
        <w:t xml:space="preserve"> at 14</w:t>
      </w:r>
      <w:r w:rsidRPr="003F7EE6">
        <w:rPr>
          <w:rFonts w:ascii="Times New Roman" w:eastAsia="Times New Roman" w:hAnsi="Times New Roman" w:cs="Times New Roman"/>
          <w:sz w:val="26"/>
          <w:szCs w:val="26"/>
        </w:rPr>
        <w:t>.</w:t>
      </w:r>
    </w:p>
    <w:p w14:paraId="71E77090" w14:textId="56D633E1" w:rsidR="006B03C0" w:rsidRDefault="006B03C0" w:rsidP="00173BC2">
      <w:pPr>
        <w:tabs>
          <w:tab w:val="center" w:pos="0"/>
        </w:tabs>
        <w:suppressAutoHyphens/>
        <w:spacing w:after="0" w:line="360" w:lineRule="auto"/>
        <w:rPr>
          <w:rFonts w:ascii="Times New Roman" w:eastAsia="Times New Roman" w:hAnsi="Times New Roman" w:cs="Times New Roman"/>
          <w:sz w:val="26"/>
          <w:szCs w:val="26"/>
        </w:rPr>
      </w:pPr>
    </w:p>
    <w:p w14:paraId="72912A68" w14:textId="55E1B3C2" w:rsidR="006B03C0" w:rsidRPr="003F7EE6" w:rsidRDefault="006B03C0" w:rsidP="00173BC2">
      <w:pPr>
        <w:tabs>
          <w:tab w:val="center" w:pos="0"/>
        </w:tabs>
        <w:suppressAutoHyphen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By Order entered </w:t>
      </w:r>
      <w:r w:rsidR="00FD3699">
        <w:rPr>
          <w:rFonts w:ascii="Times New Roman" w:eastAsia="Times New Roman" w:hAnsi="Times New Roman" w:cs="Times New Roman"/>
          <w:sz w:val="26"/>
          <w:szCs w:val="26"/>
        </w:rPr>
        <w:t>October 29, 2020, (</w:t>
      </w:r>
      <w:r w:rsidR="00FD3699" w:rsidRPr="00FD3699">
        <w:rPr>
          <w:rFonts w:ascii="Times New Roman" w:eastAsia="Times New Roman" w:hAnsi="Times New Roman" w:cs="Times New Roman"/>
          <w:i/>
          <w:iCs/>
          <w:sz w:val="26"/>
          <w:szCs w:val="26"/>
        </w:rPr>
        <w:t>October 2020 Order</w:t>
      </w:r>
      <w:r w:rsidR="00FD3699">
        <w:rPr>
          <w:rFonts w:ascii="Times New Roman" w:eastAsia="Times New Roman" w:hAnsi="Times New Roman" w:cs="Times New Roman"/>
          <w:sz w:val="26"/>
          <w:szCs w:val="26"/>
        </w:rPr>
        <w:t xml:space="preserve">), the Commission provided interested parties with the opportunity to file comments.  </w:t>
      </w:r>
      <w:proofErr w:type="gramStart"/>
      <w:r w:rsidR="00FD3699">
        <w:rPr>
          <w:rFonts w:ascii="Times New Roman" w:eastAsia="Times New Roman" w:hAnsi="Times New Roman" w:cs="Times New Roman"/>
          <w:sz w:val="26"/>
          <w:szCs w:val="26"/>
        </w:rPr>
        <w:t>In order to</w:t>
      </w:r>
      <w:proofErr w:type="gramEnd"/>
      <w:r w:rsidR="00FD3699">
        <w:rPr>
          <w:rFonts w:ascii="Times New Roman" w:eastAsia="Times New Roman" w:hAnsi="Times New Roman" w:cs="Times New Roman"/>
          <w:sz w:val="26"/>
          <w:szCs w:val="26"/>
        </w:rPr>
        <w:t xml:space="preserve"> be considered timely, comments were due within twenty days of the date of entry of the </w:t>
      </w:r>
      <w:r w:rsidR="00FD3699" w:rsidRPr="00FD3699">
        <w:rPr>
          <w:rFonts w:ascii="Times New Roman" w:eastAsia="Times New Roman" w:hAnsi="Times New Roman" w:cs="Times New Roman"/>
          <w:i/>
          <w:iCs/>
          <w:sz w:val="26"/>
          <w:szCs w:val="26"/>
        </w:rPr>
        <w:t>October 2020 Order</w:t>
      </w:r>
      <w:r w:rsidR="00FD3699">
        <w:rPr>
          <w:rFonts w:ascii="Times New Roman" w:eastAsia="Times New Roman" w:hAnsi="Times New Roman" w:cs="Times New Roman"/>
          <w:sz w:val="26"/>
          <w:szCs w:val="26"/>
        </w:rPr>
        <w:t xml:space="preserve">.  No comments were filed.  </w:t>
      </w:r>
    </w:p>
    <w:p w14:paraId="12B6806F" w14:textId="77777777" w:rsidR="00173BC2" w:rsidRPr="003F7EE6" w:rsidRDefault="00173BC2" w:rsidP="00173BC2">
      <w:pPr>
        <w:tabs>
          <w:tab w:val="center" w:pos="0"/>
        </w:tabs>
        <w:suppressAutoHyphens/>
        <w:spacing w:after="0" w:line="360" w:lineRule="auto"/>
        <w:ind w:firstLine="1440"/>
        <w:rPr>
          <w:rFonts w:ascii="Times New Roman" w:eastAsia="Times New Roman" w:hAnsi="Times New Roman" w:cs="Times New Roman"/>
          <w:sz w:val="26"/>
          <w:szCs w:val="26"/>
        </w:rPr>
      </w:pPr>
    </w:p>
    <w:p w14:paraId="7E69CB88" w14:textId="77777777" w:rsidR="00173BC2" w:rsidRPr="003F7EE6" w:rsidRDefault="00173BC2" w:rsidP="00173BC2">
      <w:pPr>
        <w:keepNext/>
        <w:tabs>
          <w:tab w:val="center" w:pos="0"/>
        </w:tabs>
        <w:suppressAutoHyphens/>
        <w:spacing w:after="0" w:line="360" w:lineRule="auto"/>
        <w:jc w:val="center"/>
        <w:rPr>
          <w:rFonts w:ascii="Times New Roman" w:eastAsia="Times New Roman" w:hAnsi="Times New Roman" w:cs="Times New Roman"/>
          <w:sz w:val="26"/>
          <w:szCs w:val="26"/>
        </w:rPr>
      </w:pPr>
      <w:r w:rsidRPr="003F7EE6">
        <w:rPr>
          <w:rFonts w:ascii="Times New Roman" w:eastAsia="Times New Roman" w:hAnsi="Times New Roman" w:cs="Times New Roman"/>
          <w:b/>
          <w:sz w:val="26"/>
          <w:szCs w:val="26"/>
        </w:rPr>
        <w:t>Terms of the Settlement</w:t>
      </w:r>
    </w:p>
    <w:p w14:paraId="3BB2285D" w14:textId="77777777" w:rsidR="00173BC2" w:rsidRPr="003F7EE6" w:rsidRDefault="00173BC2" w:rsidP="00173BC2">
      <w:pPr>
        <w:keepNext/>
        <w:tabs>
          <w:tab w:val="center" w:pos="0"/>
        </w:tabs>
        <w:suppressAutoHyphens/>
        <w:spacing w:after="0" w:line="360" w:lineRule="auto"/>
        <w:jc w:val="center"/>
        <w:rPr>
          <w:rFonts w:ascii="Times New Roman" w:eastAsia="Times New Roman" w:hAnsi="Times New Roman" w:cs="Times New Roman"/>
          <w:sz w:val="26"/>
          <w:szCs w:val="26"/>
        </w:rPr>
      </w:pPr>
    </w:p>
    <w:p w14:paraId="3CC35512" w14:textId="43284EA5" w:rsidR="00173BC2" w:rsidRDefault="00173BC2" w:rsidP="00173BC2">
      <w:pPr>
        <w:tabs>
          <w:tab w:val="center" w:pos="0"/>
        </w:tabs>
        <w:suppressAutoHyphens/>
        <w:spacing w:after="0" w:line="36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t xml:space="preserve">Pursuant to the proposed Settlement, </w:t>
      </w:r>
      <w:r>
        <w:rPr>
          <w:rFonts w:ascii="Times New Roman" w:eastAsia="Times New Roman" w:hAnsi="Times New Roman" w:cs="Times New Roman"/>
          <w:sz w:val="26"/>
          <w:szCs w:val="26"/>
        </w:rPr>
        <w:t>CenturyLink</w:t>
      </w:r>
      <w:r w:rsidRPr="003F7EE6">
        <w:rPr>
          <w:rFonts w:ascii="Times New Roman" w:eastAsia="Times New Roman" w:hAnsi="Times New Roman" w:cs="Times New Roman"/>
          <w:sz w:val="26"/>
          <w:szCs w:val="26"/>
        </w:rPr>
        <w:t xml:space="preserve"> will pay a civil penalty of $</w:t>
      </w:r>
      <w:r>
        <w:rPr>
          <w:rFonts w:ascii="Times New Roman" w:eastAsia="Times New Roman" w:hAnsi="Times New Roman" w:cs="Times New Roman"/>
          <w:sz w:val="26"/>
          <w:szCs w:val="26"/>
        </w:rPr>
        <w:t xml:space="preserve">32,050, which includes: (1) $28,050 - a civil penalty of $110.00 per day, for each </w:t>
      </w:r>
      <w:r>
        <w:rPr>
          <w:rFonts w:ascii="Times New Roman" w:eastAsia="Times New Roman" w:hAnsi="Times New Roman" w:cs="Times New Roman"/>
          <w:sz w:val="26"/>
          <w:szCs w:val="26"/>
        </w:rPr>
        <w:lastRenderedPageBreak/>
        <w:t>day, for a total of 255 days that CenturyLink allegedly failed to timely install telephone and broadband services; (2) $2,000 – a civil penalty of $200.00 per customer complaint for the alleged Section 1501 violations; and (3) $2,000 – a civil penalty for the alleged Chapter 30 violations.</w:t>
      </w:r>
      <w:r w:rsidRPr="003F7EE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The civil penalty shall not be tax deductible or passed through as an additional charge to CenturyLink’s customers in Pennsylvania.  Settlement at 13.  </w:t>
      </w:r>
    </w:p>
    <w:p w14:paraId="7C5DF2B2" w14:textId="3B347FF0" w:rsidR="00C65A84" w:rsidRDefault="00C65A84" w:rsidP="00173BC2">
      <w:pPr>
        <w:tabs>
          <w:tab w:val="center" w:pos="0"/>
        </w:tabs>
        <w:suppressAutoHyphens/>
        <w:spacing w:after="0" w:line="360" w:lineRule="auto"/>
        <w:rPr>
          <w:rFonts w:ascii="Times New Roman" w:eastAsia="Times New Roman" w:hAnsi="Times New Roman" w:cs="Times New Roman"/>
          <w:sz w:val="26"/>
          <w:szCs w:val="26"/>
        </w:rPr>
      </w:pPr>
    </w:p>
    <w:p w14:paraId="681CFBF8" w14:textId="497A11E9" w:rsidR="00C65A84" w:rsidRDefault="000D06AA" w:rsidP="00173BC2">
      <w:pPr>
        <w:tabs>
          <w:tab w:val="center" w:pos="0"/>
        </w:tabs>
        <w:suppressAutoHyphen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In response, I&amp;E agrees to forbear from initiating a formal complaint relative to the allegations that are the subject of the proposed Settlement</w:t>
      </w:r>
      <w:r w:rsidR="00EF613E">
        <w:rPr>
          <w:rFonts w:ascii="Times New Roman" w:eastAsia="Times New Roman" w:hAnsi="Times New Roman" w:cs="Times New Roman"/>
          <w:sz w:val="26"/>
          <w:szCs w:val="26"/>
        </w:rPr>
        <w:t xml:space="preserve"> upon </w:t>
      </w:r>
      <w:r w:rsidR="00231DF5">
        <w:rPr>
          <w:rFonts w:ascii="Times New Roman" w:eastAsia="Times New Roman" w:hAnsi="Times New Roman" w:cs="Times New Roman"/>
          <w:sz w:val="26"/>
          <w:szCs w:val="26"/>
        </w:rPr>
        <w:t>Commission</w:t>
      </w:r>
      <w:r w:rsidR="00EF613E">
        <w:rPr>
          <w:rFonts w:ascii="Times New Roman" w:eastAsia="Times New Roman" w:hAnsi="Times New Roman" w:cs="Times New Roman"/>
          <w:sz w:val="26"/>
          <w:szCs w:val="26"/>
        </w:rPr>
        <w:t xml:space="preserve"> approval of the Settlement in its entirety and </w:t>
      </w:r>
      <w:r w:rsidR="00231DF5">
        <w:rPr>
          <w:rFonts w:ascii="Times New Roman" w:eastAsia="Times New Roman" w:hAnsi="Times New Roman" w:cs="Times New Roman"/>
          <w:sz w:val="26"/>
          <w:szCs w:val="26"/>
        </w:rPr>
        <w:t>payment of the civil penalty</w:t>
      </w:r>
      <w:r>
        <w:rPr>
          <w:rFonts w:ascii="Times New Roman" w:eastAsia="Times New Roman" w:hAnsi="Times New Roman" w:cs="Times New Roman"/>
          <w:sz w:val="26"/>
          <w:szCs w:val="26"/>
        </w:rPr>
        <w:t xml:space="preserve">.  </w:t>
      </w:r>
      <w:r w:rsidR="00EF613E">
        <w:rPr>
          <w:rFonts w:ascii="Times New Roman" w:eastAsia="Times New Roman" w:hAnsi="Times New Roman" w:cs="Times New Roman"/>
          <w:sz w:val="26"/>
          <w:szCs w:val="26"/>
        </w:rPr>
        <w:t xml:space="preserve">I&amp;E Statement of Support at 5.  </w:t>
      </w:r>
    </w:p>
    <w:p w14:paraId="2CA372D9" w14:textId="77777777" w:rsidR="00173BC2" w:rsidRDefault="00173BC2" w:rsidP="00173BC2">
      <w:pPr>
        <w:tabs>
          <w:tab w:val="center" w:pos="0"/>
        </w:tabs>
        <w:suppressAutoHyphens/>
        <w:spacing w:after="0" w:line="360" w:lineRule="auto"/>
        <w:rPr>
          <w:rFonts w:ascii="Times New Roman" w:eastAsia="Times New Roman" w:hAnsi="Times New Roman" w:cs="Times New Roman"/>
          <w:sz w:val="26"/>
          <w:szCs w:val="26"/>
        </w:rPr>
      </w:pPr>
    </w:p>
    <w:p w14:paraId="1579CA79" w14:textId="77777777" w:rsidR="00173BC2" w:rsidRPr="003F7EE6" w:rsidRDefault="00173BC2" w:rsidP="00173BC2">
      <w:pPr>
        <w:tabs>
          <w:tab w:val="center" w:pos="0"/>
        </w:tabs>
        <w:suppressAutoHyphen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 xml:space="preserve">The proposed Settlement is conditioned on the Commission’s approval without modification of any of its terms or conditions.  If the Commission does not approve the proposed Settlement or makes any change or modification to the proposed Settlement, either Party may elect to withdraw from the Settlement.  </w:t>
      </w:r>
      <w:r w:rsidRPr="00586D2B">
        <w:rPr>
          <w:rFonts w:ascii="Times New Roman" w:eastAsia="Times New Roman" w:hAnsi="Times New Roman" w:cs="Times New Roman"/>
          <w:iCs/>
          <w:sz w:val="26"/>
          <w:szCs w:val="26"/>
        </w:rPr>
        <w:t>Settlement a</w:t>
      </w:r>
      <w:r>
        <w:rPr>
          <w:rFonts w:ascii="Times New Roman" w:eastAsia="Times New Roman" w:hAnsi="Times New Roman" w:cs="Times New Roman"/>
          <w:sz w:val="26"/>
          <w:szCs w:val="26"/>
        </w:rPr>
        <w:t>t 13 - 14</w:t>
      </w:r>
      <w:r w:rsidRPr="003F7EE6">
        <w:rPr>
          <w:rFonts w:ascii="Times New Roman" w:eastAsia="Times New Roman" w:hAnsi="Times New Roman" w:cs="Times New Roman"/>
          <w:sz w:val="26"/>
          <w:szCs w:val="26"/>
        </w:rPr>
        <w:t>.</w:t>
      </w:r>
    </w:p>
    <w:p w14:paraId="3A13FDFC" w14:textId="2925EB17" w:rsidR="00F44833" w:rsidRPr="003F7EE6" w:rsidRDefault="00F44833" w:rsidP="00742D25">
      <w:pPr>
        <w:tabs>
          <w:tab w:val="left" w:pos="-720"/>
        </w:tabs>
        <w:suppressAutoHyphens/>
        <w:spacing w:after="0" w:line="36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r>
    </w:p>
    <w:p w14:paraId="2C038EC8" w14:textId="77777777" w:rsidR="00F44833" w:rsidRPr="003F7EE6" w:rsidRDefault="00F44833" w:rsidP="00F44833">
      <w:pPr>
        <w:keepNext/>
        <w:tabs>
          <w:tab w:val="center" w:pos="720"/>
        </w:tabs>
        <w:suppressAutoHyphens/>
        <w:spacing w:after="0" w:line="360" w:lineRule="auto"/>
        <w:jc w:val="center"/>
        <w:rPr>
          <w:rFonts w:ascii="Times New Roman" w:eastAsia="Times New Roman" w:hAnsi="Times New Roman" w:cs="Times New Roman"/>
          <w:b/>
          <w:sz w:val="26"/>
          <w:szCs w:val="26"/>
        </w:rPr>
      </w:pPr>
      <w:r w:rsidRPr="003F7EE6">
        <w:rPr>
          <w:rFonts w:ascii="Times New Roman" w:eastAsia="Times New Roman" w:hAnsi="Times New Roman" w:cs="Times New Roman"/>
          <w:b/>
          <w:sz w:val="26"/>
          <w:szCs w:val="26"/>
        </w:rPr>
        <w:t>Discussion</w:t>
      </w:r>
    </w:p>
    <w:p w14:paraId="1F894728" w14:textId="77777777" w:rsidR="00F44833" w:rsidRPr="003F7EE6" w:rsidRDefault="00F44833" w:rsidP="00F44833">
      <w:pPr>
        <w:keepNext/>
        <w:tabs>
          <w:tab w:val="center" w:pos="720"/>
        </w:tabs>
        <w:suppressAutoHyphens/>
        <w:spacing w:after="0" w:line="360" w:lineRule="auto"/>
        <w:rPr>
          <w:rFonts w:ascii="Times New Roman" w:eastAsia="Times New Roman" w:hAnsi="Times New Roman" w:cs="Times New Roman"/>
          <w:sz w:val="26"/>
          <w:szCs w:val="26"/>
        </w:rPr>
      </w:pPr>
    </w:p>
    <w:p w14:paraId="707B7B5B" w14:textId="77777777" w:rsidR="00593492" w:rsidRDefault="00593492" w:rsidP="00593492">
      <w:pPr>
        <w:tabs>
          <w:tab w:val="center" w:pos="720"/>
        </w:tabs>
        <w:suppressAutoHyphens/>
        <w:spacing w:line="360" w:lineRule="auto"/>
        <w:ind w:firstLine="1440"/>
        <w:rPr>
          <w:rFonts w:ascii="Times New Roman" w:eastAsia="Times New Roman" w:hAnsi="Times New Roman" w:cs="Times New Roman"/>
          <w:sz w:val="26"/>
          <w:szCs w:val="26"/>
        </w:rPr>
      </w:pPr>
      <w:r w:rsidRPr="006B6835">
        <w:rPr>
          <w:rFonts w:ascii="Times New Roman" w:eastAsia="Times New Roman" w:hAnsi="Times New Roman" w:cs="Times New Roman"/>
          <w:sz w:val="26"/>
          <w:szCs w:val="26"/>
        </w:rPr>
        <w:t xml:space="preserve">Initially, we note that any issue or argument that we do not specifically address shall be deemed to have been duly considered and denied without further discussion.  The Commission is not required to consider expressly or at length each contention or argument raised by the Parties.  </w:t>
      </w:r>
      <w:r w:rsidRPr="006B6835">
        <w:rPr>
          <w:rFonts w:ascii="Times New Roman" w:eastAsia="Times New Roman" w:hAnsi="Times New Roman" w:cs="Times New Roman"/>
          <w:i/>
          <w:sz w:val="26"/>
          <w:szCs w:val="26"/>
        </w:rPr>
        <w:t>Consolidated Rail Corp. v. Pa. PUC</w:t>
      </w:r>
      <w:r w:rsidRPr="006B6835">
        <w:rPr>
          <w:rFonts w:ascii="Times New Roman" w:eastAsia="Times New Roman" w:hAnsi="Times New Roman" w:cs="Times New Roman"/>
          <w:sz w:val="26"/>
          <w:szCs w:val="26"/>
        </w:rPr>
        <w:t xml:space="preserve">, 625 A.2d 741 (Pa. Cmwlth. 1993); </w:t>
      </w:r>
      <w:r w:rsidRPr="006B6835">
        <w:rPr>
          <w:rFonts w:ascii="Times New Roman" w:eastAsia="Times New Roman" w:hAnsi="Times New Roman" w:cs="Times New Roman"/>
          <w:i/>
          <w:sz w:val="26"/>
          <w:szCs w:val="26"/>
        </w:rPr>
        <w:t>also see, generally</w:t>
      </w:r>
      <w:r w:rsidRPr="006B6835">
        <w:rPr>
          <w:rFonts w:ascii="Times New Roman" w:eastAsia="Times New Roman" w:hAnsi="Times New Roman" w:cs="Times New Roman"/>
          <w:sz w:val="26"/>
          <w:szCs w:val="26"/>
        </w:rPr>
        <w:t xml:space="preserve">, </w:t>
      </w:r>
      <w:r w:rsidRPr="006B6835">
        <w:rPr>
          <w:rFonts w:ascii="Times New Roman" w:eastAsia="Times New Roman" w:hAnsi="Times New Roman" w:cs="Times New Roman"/>
          <w:i/>
          <w:sz w:val="26"/>
          <w:szCs w:val="26"/>
        </w:rPr>
        <w:t>University of Pennsylvania v. Pa. PUC</w:t>
      </w:r>
      <w:r w:rsidRPr="006B6835">
        <w:rPr>
          <w:rFonts w:ascii="Times New Roman" w:eastAsia="Times New Roman" w:hAnsi="Times New Roman" w:cs="Times New Roman"/>
          <w:sz w:val="26"/>
          <w:szCs w:val="26"/>
        </w:rPr>
        <w:t>, 485 A.2d 1217 (Pa. Cmwlth. 1984).</w:t>
      </w:r>
    </w:p>
    <w:p w14:paraId="4C384A3E" w14:textId="77777777" w:rsidR="00593492" w:rsidRPr="006B6835" w:rsidRDefault="00593492" w:rsidP="00593492">
      <w:pPr>
        <w:tabs>
          <w:tab w:val="center" w:pos="720"/>
        </w:tabs>
        <w:suppressAutoHyphens/>
        <w:spacing w:after="0" w:line="360" w:lineRule="auto"/>
        <w:rPr>
          <w:rFonts w:ascii="Times New Roman" w:eastAsia="Times New Roman" w:hAnsi="Times New Roman" w:cs="Times New Roman"/>
          <w:sz w:val="26"/>
          <w:szCs w:val="26"/>
          <w:lang w:bidi="hi-IN"/>
        </w:rPr>
      </w:pPr>
    </w:p>
    <w:p w14:paraId="268513DA" w14:textId="277D859C" w:rsidR="00593492" w:rsidRDefault="00593492" w:rsidP="00593492">
      <w:pPr>
        <w:spacing w:after="0" w:line="360" w:lineRule="auto"/>
        <w:ind w:firstLine="1440"/>
        <w:rPr>
          <w:rFonts w:ascii="Times New Roman" w:eastAsia="Times New Roman" w:hAnsi="Times New Roman" w:cs="Times New Roman"/>
          <w:sz w:val="26"/>
          <w:szCs w:val="26"/>
        </w:rPr>
      </w:pPr>
      <w:r w:rsidRPr="006B6835">
        <w:rPr>
          <w:rFonts w:ascii="Times New Roman" w:eastAsia="Times New Roman" w:hAnsi="Times New Roman" w:cs="Times New Roman"/>
          <w:sz w:val="26"/>
          <w:szCs w:val="26"/>
        </w:rPr>
        <w:t xml:space="preserve">Pursuant to our Regulations at 52 Pa. Code § 5.231, it is the Commission’s policy to promote settlements.  The Commission must review proposed settlements to </w:t>
      </w:r>
      <w:r w:rsidRPr="006B6835">
        <w:rPr>
          <w:rFonts w:ascii="Times New Roman" w:eastAsia="Times New Roman" w:hAnsi="Times New Roman" w:cs="Times New Roman"/>
          <w:sz w:val="26"/>
          <w:szCs w:val="26"/>
        </w:rPr>
        <w:lastRenderedPageBreak/>
        <w:t xml:space="preserve">determine whether the terms are in the public interest.  </w:t>
      </w:r>
      <w:r w:rsidRPr="006B6835">
        <w:rPr>
          <w:rFonts w:ascii="Times New Roman" w:eastAsia="Times New Roman" w:hAnsi="Times New Roman" w:cs="Times New Roman"/>
          <w:i/>
          <w:sz w:val="26"/>
          <w:szCs w:val="26"/>
        </w:rPr>
        <w:t>Pa. PUC v. Philadelphia Gas Works</w:t>
      </w:r>
      <w:r w:rsidRPr="006B6835">
        <w:rPr>
          <w:rFonts w:ascii="Times New Roman" w:eastAsia="Times New Roman" w:hAnsi="Times New Roman" w:cs="Times New Roman"/>
          <w:sz w:val="26"/>
          <w:szCs w:val="26"/>
        </w:rPr>
        <w:t xml:space="preserve">, Docket No. M-00031768 (Order entered January 7, 2004).  After a review of the terms of the Settlement, we find that </w:t>
      </w:r>
      <w:r>
        <w:rPr>
          <w:rFonts w:ascii="Times New Roman" w:eastAsia="Times New Roman" w:hAnsi="Times New Roman" w:cs="Times New Roman"/>
          <w:sz w:val="26"/>
          <w:szCs w:val="26"/>
        </w:rPr>
        <w:t>it</w:t>
      </w:r>
      <w:r w:rsidRPr="006B6835">
        <w:rPr>
          <w:rFonts w:ascii="Times New Roman" w:eastAsia="Times New Roman" w:hAnsi="Times New Roman" w:cs="Times New Roman"/>
          <w:sz w:val="26"/>
          <w:szCs w:val="26"/>
        </w:rPr>
        <w:t xml:space="preserve"> is in the public interest.</w:t>
      </w:r>
    </w:p>
    <w:p w14:paraId="157B8226" w14:textId="77777777" w:rsidR="00C250A2" w:rsidRPr="006B6835" w:rsidRDefault="00C250A2" w:rsidP="00593492">
      <w:pPr>
        <w:spacing w:after="0" w:line="360" w:lineRule="auto"/>
        <w:ind w:firstLine="1440"/>
        <w:rPr>
          <w:rFonts w:ascii="Times New Roman" w:eastAsia="Times New Roman" w:hAnsi="Times New Roman" w:cs="Times New Roman"/>
          <w:sz w:val="26"/>
          <w:szCs w:val="26"/>
        </w:rPr>
      </w:pPr>
    </w:p>
    <w:p w14:paraId="5A57582D" w14:textId="210B3F78" w:rsidR="00593492" w:rsidRPr="006B6835" w:rsidRDefault="00593492" w:rsidP="00593492">
      <w:pPr>
        <w:spacing w:after="0" w:line="360" w:lineRule="auto"/>
        <w:ind w:firstLine="1440"/>
        <w:rPr>
          <w:rFonts w:ascii="Times New Roman" w:eastAsia="Times New Roman" w:hAnsi="Times New Roman" w:cs="Times New Roman"/>
          <w:sz w:val="26"/>
          <w:szCs w:val="26"/>
          <w:u w:color="000000"/>
        </w:rPr>
      </w:pPr>
      <w:r w:rsidRPr="006B6835">
        <w:rPr>
          <w:rFonts w:ascii="Times New Roman" w:eastAsia="Times New Roman" w:hAnsi="Times New Roman" w:cs="Times New Roman"/>
          <w:sz w:val="26"/>
          <w:szCs w:val="26"/>
        </w:rPr>
        <w:t>The Commission has promulgated a Policy Statement at 52 Pa. Code §</w:t>
      </w:r>
      <w:r>
        <w:rPr>
          <w:rFonts w:ascii="Times New Roman" w:eastAsia="Times New Roman" w:hAnsi="Times New Roman" w:cs="Times New Roman"/>
          <w:sz w:val="26"/>
          <w:szCs w:val="26"/>
        </w:rPr>
        <w:t> </w:t>
      </w:r>
      <w:r w:rsidRPr="006B6835">
        <w:rPr>
          <w:rFonts w:ascii="Times New Roman" w:eastAsia="Times New Roman" w:hAnsi="Times New Roman" w:cs="Times New Roman"/>
          <w:sz w:val="26"/>
          <w:szCs w:val="26"/>
        </w:rPr>
        <w:t>69.1201 that sets forth ten factors that we may consider in evaluating whether a civil penalty for violating a Commission order, regulation or statute is appropriate, as well as if a proposed settlement for a violation is reasonable and approval of the settlement agreement is in the public interest.  The Policy Statement sets forth the guidelines we use when determining whether, and to what extent, a civil penalty is warranted.  In this case, application of these guidelines supports approval of the Settlement.</w:t>
      </w:r>
    </w:p>
    <w:p w14:paraId="63DEA936" w14:textId="77777777" w:rsidR="00593492" w:rsidRPr="006B6835" w:rsidRDefault="00593492" w:rsidP="00593492">
      <w:pPr>
        <w:spacing w:after="0" w:line="360" w:lineRule="auto"/>
        <w:ind w:firstLine="1440"/>
        <w:rPr>
          <w:rFonts w:ascii="Times New Roman" w:eastAsia="Times New Roman" w:hAnsi="Times New Roman" w:cs="Times New Roman"/>
          <w:sz w:val="26"/>
          <w:szCs w:val="26"/>
          <w:u w:color="000000"/>
        </w:rPr>
      </w:pPr>
    </w:p>
    <w:p w14:paraId="124F1381" w14:textId="07A6DDEB" w:rsidR="00C0545D" w:rsidRDefault="00593492" w:rsidP="00593492">
      <w:pPr>
        <w:spacing w:after="0" w:line="360" w:lineRule="auto"/>
        <w:ind w:firstLine="1440"/>
        <w:rPr>
          <w:rFonts w:ascii="Times New Roman" w:eastAsia="Times New Roman" w:hAnsi="Times New Roman" w:cs="Times New Roman"/>
          <w:sz w:val="26"/>
          <w:szCs w:val="26"/>
        </w:rPr>
      </w:pPr>
      <w:r w:rsidRPr="006B6835">
        <w:rPr>
          <w:rFonts w:ascii="Times New Roman" w:eastAsia="Times New Roman" w:hAnsi="Times New Roman" w:cs="Times New Roman"/>
          <w:color w:val="000000"/>
          <w:sz w:val="26"/>
          <w:szCs w:val="26"/>
          <w:u w:color="000000"/>
        </w:rPr>
        <w:t xml:space="preserve">The first factor we may consider is </w:t>
      </w:r>
      <w:r w:rsidRPr="006B6835">
        <w:rPr>
          <w:rFonts w:ascii="Times New Roman" w:eastAsia="Times New Roman" w:hAnsi="Times New Roman" w:cs="Times New Roman"/>
          <w:sz w:val="26"/>
          <w:szCs w:val="26"/>
        </w:rPr>
        <w:t xml:space="preserve">whether the conduct at issue is of a serious nature.  52 Pa. Code § 69.1201(c)(1).  “When conduct of a serious nature is involved, such as willful fraud or misrepresentation, the conduct may warrant a higher penalty.  When the conduct is less egregious, such as administrative filing or technical errors, it may warrant a lower penalty.”  </w:t>
      </w:r>
      <w:r w:rsidRPr="006B6835">
        <w:rPr>
          <w:rFonts w:ascii="Times New Roman" w:eastAsia="Times New Roman" w:hAnsi="Times New Roman" w:cs="Times New Roman"/>
          <w:i/>
          <w:sz w:val="26"/>
          <w:szCs w:val="26"/>
        </w:rPr>
        <w:t>Id</w:t>
      </w:r>
      <w:r w:rsidRPr="006B6835">
        <w:rPr>
          <w:rFonts w:ascii="Times New Roman" w:eastAsia="Times New Roman" w:hAnsi="Times New Roman" w:cs="Times New Roman"/>
          <w:sz w:val="26"/>
          <w:szCs w:val="26"/>
        </w:rPr>
        <w:t xml:space="preserve">.  </w:t>
      </w:r>
      <w:r w:rsidR="00E17CB4">
        <w:rPr>
          <w:rFonts w:ascii="Times New Roman" w:eastAsia="Times New Roman" w:hAnsi="Times New Roman" w:cs="Times New Roman"/>
          <w:sz w:val="26"/>
          <w:szCs w:val="26"/>
        </w:rPr>
        <w:t>The allegations</w:t>
      </w:r>
      <w:r w:rsidR="007D2B84">
        <w:rPr>
          <w:rFonts w:ascii="Times New Roman" w:eastAsia="Times New Roman" w:hAnsi="Times New Roman" w:cs="Times New Roman"/>
          <w:sz w:val="26"/>
          <w:szCs w:val="26"/>
        </w:rPr>
        <w:t xml:space="preserve"> </w:t>
      </w:r>
      <w:r w:rsidR="00E17CB4">
        <w:rPr>
          <w:rFonts w:ascii="Times New Roman" w:eastAsia="Times New Roman" w:hAnsi="Times New Roman" w:cs="Times New Roman"/>
          <w:sz w:val="26"/>
          <w:szCs w:val="26"/>
        </w:rPr>
        <w:t xml:space="preserve">in this matter </w:t>
      </w:r>
      <w:r w:rsidR="007D2B84">
        <w:rPr>
          <w:rFonts w:ascii="Times New Roman" w:eastAsia="Times New Roman" w:hAnsi="Times New Roman" w:cs="Times New Roman"/>
          <w:sz w:val="26"/>
          <w:szCs w:val="26"/>
        </w:rPr>
        <w:t>involve</w:t>
      </w:r>
      <w:r w:rsidR="00C0545D">
        <w:rPr>
          <w:rFonts w:ascii="Times New Roman" w:eastAsia="Times New Roman" w:hAnsi="Times New Roman" w:cs="Times New Roman"/>
          <w:sz w:val="26"/>
          <w:szCs w:val="26"/>
        </w:rPr>
        <w:t>s</w:t>
      </w:r>
      <w:r w:rsidR="007D2B84">
        <w:rPr>
          <w:rFonts w:ascii="Times New Roman" w:eastAsia="Times New Roman" w:hAnsi="Times New Roman" w:cs="Times New Roman"/>
          <w:sz w:val="26"/>
          <w:szCs w:val="26"/>
        </w:rPr>
        <w:t xml:space="preserve"> a</w:t>
      </w:r>
      <w:r w:rsidR="00095D42">
        <w:rPr>
          <w:rFonts w:ascii="Times New Roman" w:eastAsia="Times New Roman" w:hAnsi="Times New Roman" w:cs="Times New Roman"/>
          <w:sz w:val="26"/>
          <w:szCs w:val="26"/>
        </w:rPr>
        <w:t xml:space="preserve">n administrative or technical error </w:t>
      </w:r>
      <w:proofErr w:type="gramStart"/>
      <w:r w:rsidR="00095D42">
        <w:rPr>
          <w:rFonts w:ascii="Times New Roman" w:eastAsia="Times New Roman" w:hAnsi="Times New Roman" w:cs="Times New Roman"/>
          <w:sz w:val="26"/>
          <w:szCs w:val="26"/>
        </w:rPr>
        <w:t>as a result of</w:t>
      </w:r>
      <w:proofErr w:type="gramEnd"/>
      <w:r w:rsidR="00095D42">
        <w:rPr>
          <w:rFonts w:ascii="Times New Roman" w:eastAsia="Times New Roman" w:hAnsi="Times New Roman" w:cs="Times New Roman"/>
          <w:sz w:val="26"/>
          <w:szCs w:val="26"/>
        </w:rPr>
        <w:t xml:space="preserve"> CenturyLink’s implementation of a new </w:t>
      </w:r>
      <w:r w:rsidR="00AA39C2">
        <w:rPr>
          <w:rFonts w:ascii="Times New Roman" w:eastAsia="Times New Roman" w:hAnsi="Times New Roman" w:cs="Times New Roman"/>
          <w:sz w:val="26"/>
          <w:szCs w:val="26"/>
        </w:rPr>
        <w:t xml:space="preserve">dispatch system.  </w:t>
      </w:r>
      <w:r w:rsidR="008311F1">
        <w:rPr>
          <w:rFonts w:ascii="Times New Roman" w:eastAsia="Times New Roman" w:hAnsi="Times New Roman" w:cs="Times New Roman"/>
          <w:sz w:val="26"/>
          <w:szCs w:val="26"/>
        </w:rPr>
        <w:t>The less egregious nature of the conduct was considered in arriving at the civil penalty amount in the Settlement Agreement.  I&amp;E Statement in Support at 6-7.</w:t>
      </w:r>
    </w:p>
    <w:p w14:paraId="73B55A0A" w14:textId="77777777" w:rsidR="00593492" w:rsidRPr="006B6835" w:rsidRDefault="00593492" w:rsidP="00593492">
      <w:pPr>
        <w:suppressAutoHyphens/>
        <w:spacing w:after="0" w:line="360" w:lineRule="auto"/>
        <w:rPr>
          <w:rFonts w:ascii="Times New Roman" w:eastAsia="Times New Roman" w:hAnsi="Times New Roman" w:cs="Times New Roman"/>
          <w:sz w:val="26"/>
          <w:szCs w:val="26"/>
        </w:rPr>
      </w:pPr>
    </w:p>
    <w:p w14:paraId="1B47D390" w14:textId="3CCE8547" w:rsidR="00AB0187" w:rsidRDefault="00593492" w:rsidP="00593492">
      <w:pPr>
        <w:suppressAutoHyphens/>
        <w:spacing w:after="0" w:line="360" w:lineRule="auto"/>
        <w:ind w:firstLine="1440"/>
        <w:rPr>
          <w:rFonts w:ascii="Times New Roman" w:eastAsia="Times New Roman" w:hAnsi="Times New Roman" w:cs="Times New Roman"/>
          <w:sz w:val="26"/>
          <w:szCs w:val="26"/>
        </w:rPr>
      </w:pPr>
      <w:r w:rsidRPr="006B6835">
        <w:rPr>
          <w:rFonts w:ascii="Times New Roman" w:eastAsia="Times New Roman" w:hAnsi="Times New Roman" w:cs="Times New Roman"/>
          <w:sz w:val="26"/>
          <w:szCs w:val="26"/>
        </w:rPr>
        <w:t xml:space="preserve">The second factor is whether the resulting consequences of the conduct are of a serious nature.  52 Pa. Code § 69.1201(c)(2).  “When consequences of a serious nature are involved, such as personal injury or property damage, the consequences may warrant a higher penalty.”  </w:t>
      </w:r>
      <w:r w:rsidRPr="006B6835">
        <w:rPr>
          <w:rFonts w:ascii="Times New Roman" w:eastAsia="Times New Roman" w:hAnsi="Times New Roman" w:cs="Times New Roman"/>
          <w:i/>
          <w:sz w:val="26"/>
          <w:szCs w:val="26"/>
        </w:rPr>
        <w:t xml:space="preserve">Id.  </w:t>
      </w:r>
      <w:r>
        <w:rPr>
          <w:rFonts w:ascii="Times New Roman" w:eastAsia="Times New Roman" w:hAnsi="Times New Roman" w:cs="Times New Roman"/>
          <w:sz w:val="26"/>
          <w:szCs w:val="26"/>
        </w:rPr>
        <w:t xml:space="preserve">There is no indication that the alleged violations resulted in personal injuries or property damage.  </w:t>
      </w:r>
      <w:r w:rsidR="006E6D9F">
        <w:rPr>
          <w:rFonts w:ascii="Times New Roman" w:eastAsia="Times New Roman" w:hAnsi="Times New Roman" w:cs="Times New Roman"/>
          <w:sz w:val="26"/>
          <w:szCs w:val="26"/>
        </w:rPr>
        <w:t xml:space="preserve">However, the consequences of the alleged actions may have resulted in customers being without access to telephone or broadband services </w:t>
      </w:r>
      <w:r w:rsidR="00B24D05">
        <w:rPr>
          <w:rFonts w:ascii="Times New Roman" w:eastAsia="Times New Roman" w:hAnsi="Times New Roman" w:cs="Times New Roman"/>
          <w:sz w:val="26"/>
          <w:szCs w:val="26"/>
        </w:rPr>
        <w:t>which</w:t>
      </w:r>
      <w:r w:rsidR="006E6D9F">
        <w:rPr>
          <w:rFonts w:ascii="Times New Roman" w:eastAsia="Times New Roman" w:hAnsi="Times New Roman" w:cs="Times New Roman"/>
          <w:sz w:val="26"/>
          <w:szCs w:val="26"/>
        </w:rPr>
        <w:t xml:space="preserve"> could </w:t>
      </w:r>
      <w:r w:rsidR="00B24D05">
        <w:rPr>
          <w:rFonts w:ascii="Times New Roman" w:eastAsia="Times New Roman" w:hAnsi="Times New Roman" w:cs="Times New Roman"/>
          <w:sz w:val="26"/>
          <w:szCs w:val="26"/>
        </w:rPr>
        <w:t>impact</w:t>
      </w:r>
      <w:r w:rsidR="006E6D9F">
        <w:rPr>
          <w:rFonts w:ascii="Times New Roman" w:eastAsia="Times New Roman" w:hAnsi="Times New Roman" w:cs="Times New Roman"/>
          <w:sz w:val="26"/>
          <w:szCs w:val="26"/>
        </w:rPr>
        <w:t xml:space="preserve"> the customer’s access to education, medical or </w:t>
      </w:r>
      <w:r w:rsidR="00B24D05">
        <w:rPr>
          <w:rFonts w:ascii="Times New Roman" w:eastAsia="Times New Roman" w:hAnsi="Times New Roman" w:cs="Times New Roman"/>
          <w:sz w:val="26"/>
          <w:szCs w:val="26"/>
        </w:rPr>
        <w:t>emergency</w:t>
      </w:r>
      <w:r w:rsidR="006E6D9F">
        <w:rPr>
          <w:rFonts w:ascii="Times New Roman" w:eastAsia="Times New Roman" w:hAnsi="Times New Roman" w:cs="Times New Roman"/>
          <w:sz w:val="26"/>
          <w:szCs w:val="26"/>
        </w:rPr>
        <w:t xml:space="preserve"> services</w:t>
      </w:r>
      <w:r w:rsidR="00B24D05">
        <w:rPr>
          <w:rFonts w:ascii="Times New Roman" w:eastAsia="Times New Roman" w:hAnsi="Times New Roman" w:cs="Times New Roman"/>
          <w:sz w:val="26"/>
          <w:szCs w:val="26"/>
        </w:rPr>
        <w:t xml:space="preserve">, work, and/or personal communications and interactions.  </w:t>
      </w:r>
      <w:r w:rsidR="00723C95">
        <w:rPr>
          <w:rFonts w:ascii="Times New Roman" w:eastAsia="Times New Roman" w:hAnsi="Times New Roman" w:cs="Times New Roman"/>
          <w:sz w:val="26"/>
          <w:szCs w:val="26"/>
        </w:rPr>
        <w:t xml:space="preserve">We agree with </w:t>
      </w:r>
      <w:r w:rsidR="00B24D05">
        <w:rPr>
          <w:rFonts w:ascii="Times New Roman" w:eastAsia="Times New Roman" w:hAnsi="Times New Roman" w:cs="Times New Roman"/>
          <w:sz w:val="26"/>
          <w:szCs w:val="26"/>
        </w:rPr>
        <w:t xml:space="preserve">I&amp;E </w:t>
      </w:r>
      <w:r w:rsidR="00B24D05">
        <w:rPr>
          <w:rFonts w:ascii="Times New Roman" w:eastAsia="Times New Roman" w:hAnsi="Times New Roman" w:cs="Times New Roman"/>
          <w:sz w:val="26"/>
          <w:szCs w:val="26"/>
        </w:rPr>
        <w:lastRenderedPageBreak/>
        <w:t>that access to telephone and broadband services is critical to everyday life and lack of access could have a serious impact, thus the consequence</w:t>
      </w:r>
      <w:r w:rsidR="00066705">
        <w:rPr>
          <w:rFonts w:ascii="Times New Roman" w:eastAsia="Times New Roman" w:hAnsi="Times New Roman" w:cs="Times New Roman"/>
          <w:sz w:val="26"/>
          <w:szCs w:val="26"/>
        </w:rPr>
        <w:t xml:space="preserve">s </w:t>
      </w:r>
      <w:r w:rsidR="00B24D05">
        <w:rPr>
          <w:rFonts w:ascii="Times New Roman" w:eastAsia="Times New Roman" w:hAnsi="Times New Roman" w:cs="Times New Roman"/>
          <w:sz w:val="26"/>
          <w:szCs w:val="26"/>
        </w:rPr>
        <w:t xml:space="preserve">of CenturyLink’s alleged conduct should be </w:t>
      </w:r>
      <w:r w:rsidR="00066705">
        <w:rPr>
          <w:rFonts w:ascii="Times New Roman" w:eastAsia="Times New Roman" w:hAnsi="Times New Roman" w:cs="Times New Roman"/>
          <w:sz w:val="26"/>
          <w:szCs w:val="26"/>
        </w:rPr>
        <w:t>deemed</w:t>
      </w:r>
      <w:r w:rsidR="00B24D05">
        <w:rPr>
          <w:rFonts w:ascii="Times New Roman" w:eastAsia="Times New Roman" w:hAnsi="Times New Roman" w:cs="Times New Roman"/>
          <w:sz w:val="26"/>
          <w:szCs w:val="26"/>
        </w:rPr>
        <w:t xml:space="preserve"> serious.  I&amp;E Statement in Support at 7.  </w:t>
      </w:r>
    </w:p>
    <w:p w14:paraId="6E377753" w14:textId="77777777" w:rsidR="00AB0187" w:rsidRDefault="00AB0187" w:rsidP="00593492">
      <w:pPr>
        <w:suppressAutoHyphens/>
        <w:spacing w:after="0" w:line="360" w:lineRule="auto"/>
        <w:ind w:firstLine="1440"/>
        <w:rPr>
          <w:rFonts w:ascii="Times New Roman" w:eastAsia="Times New Roman" w:hAnsi="Times New Roman" w:cs="Times New Roman"/>
          <w:sz w:val="26"/>
          <w:szCs w:val="26"/>
        </w:rPr>
      </w:pPr>
    </w:p>
    <w:p w14:paraId="589F45F4" w14:textId="77777777" w:rsidR="00593492" w:rsidRPr="006B6835" w:rsidRDefault="00593492" w:rsidP="00593492">
      <w:pPr>
        <w:suppressAutoHyphens/>
        <w:spacing w:after="0" w:line="360" w:lineRule="auto"/>
        <w:ind w:firstLine="1440"/>
        <w:rPr>
          <w:rFonts w:ascii="Times New Roman" w:eastAsia="Times New Roman" w:hAnsi="Times New Roman" w:cs="Times New Roman"/>
          <w:sz w:val="26"/>
          <w:szCs w:val="26"/>
        </w:rPr>
      </w:pPr>
      <w:r w:rsidRPr="006B6835">
        <w:rPr>
          <w:rFonts w:ascii="Times New Roman" w:eastAsia="Times New Roman" w:hAnsi="Times New Roman" w:cs="Times New Roman"/>
          <w:sz w:val="26"/>
          <w:szCs w:val="26"/>
        </w:rPr>
        <w:t>The third factor pertains to litigated cases only.  52 Pa. Code §</w:t>
      </w:r>
      <w:r>
        <w:rPr>
          <w:rFonts w:ascii="Times New Roman" w:eastAsia="Times New Roman" w:hAnsi="Times New Roman" w:cs="Times New Roman"/>
          <w:sz w:val="26"/>
          <w:szCs w:val="26"/>
        </w:rPr>
        <w:t> </w:t>
      </w:r>
      <w:r w:rsidRPr="006B6835">
        <w:rPr>
          <w:rFonts w:ascii="Times New Roman" w:eastAsia="Times New Roman" w:hAnsi="Times New Roman" w:cs="Times New Roman"/>
          <w:sz w:val="26"/>
          <w:szCs w:val="26"/>
        </w:rPr>
        <w:t>69.1201(c)(3).  Because this proceeding was settled, this factor is not applicable to this Settlement.</w:t>
      </w:r>
    </w:p>
    <w:p w14:paraId="714B8AC3" w14:textId="77777777" w:rsidR="00593492" w:rsidRPr="006B6835" w:rsidRDefault="00593492" w:rsidP="00593492">
      <w:pPr>
        <w:suppressAutoHyphens/>
        <w:spacing w:after="0" w:line="360" w:lineRule="auto"/>
        <w:rPr>
          <w:rFonts w:ascii="Times New Roman" w:eastAsia="Times New Roman" w:hAnsi="Times New Roman" w:cs="Times New Roman"/>
          <w:sz w:val="26"/>
          <w:szCs w:val="26"/>
        </w:rPr>
      </w:pPr>
    </w:p>
    <w:p w14:paraId="7A1754F8" w14:textId="18272381" w:rsidR="005A2D67" w:rsidRDefault="00593492" w:rsidP="00593492">
      <w:pPr>
        <w:tabs>
          <w:tab w:val="center" w:pos="0"/>
        </w:tabs>
        <w:suppressAutoHyphen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6B6835">
        <w:rPr>
          <w:rFonts w:ascii="Times New Roman" w:eastAsia="Times New Roman" w:hAnsi="Times New Roman" w:cs="Times New Roman"/>
          <w:sz w:val="26"/>
          <w:szCs w:val="26"/>
        </w:rPr>
        <w:t xml:space="preserve">The fourth factor is whether </w:t>
      </w:r>
      <w:r w:rsidR="000D67F4">
        <w:rPr>
          <w:rFonts w:ascii="Times New Roman" w:eastAsia="Times New Roman" w:hAnsi="Times New Roman" w:cs="Times New Roman"/>
          <w:sz w:val="26"/>
          <w:szCs w:val="26"/>
        </w:rPr>
        <w:t>CenturyLink</w:t>
      </w:r>
      <w:r w:rsidRPr="006B6835">
        <w:rPr>
          <w:rFonts w:ascii="Times New Roman" w:eastAsia="Times New Roman" w:hAnsi="Times New Roman" w:cs="Times New Roman"/>
          <w:sz w:val="26"/>
          <w:szCs w:val="26"/>
        </w:rPr>
        <w:t xml:space="preserve"> made efforts to </w:t>
      </w:r>
      <w:r w:rsidR="000D67F4">
        <w:rPr>
          <w:rFonts w:ascii="Times New Roman" w:eastAsia="Times New Roman" w:hAnsi="Times New Roman" w:cs="Times New Roman"/>
          <w:sz w:val="26"/>
          <w:szCs w:val="26"/>
        </w:rPr>
        <w:t xml:space="preserve">change </w:t>
      </w:r>
      <w:r w:rsidR="001A1711">
        <w:rPr>
          <w:rFonts w:ascii="Times New Roman" w:eastAsia="Times New Roman" w:hAnsi="Times New Roman" w:cs="Times New Roman"/>
          <w:sz w:val="26"/>
          <w:szCs w:val="26"/>
        </w:rPr>
        <w:t xml:space="preserve">its </w:t>
      </w:r>
      <w:r w:rsidRPr="006B6835">
        <w:rPr>
          <w:rFonts w:ascii="Times New Roman" w:eastAsia="Times New Roman" w:hAnsi="Times New Roman" w:cs="Times New Roman"/>
          <w:sz w:val="26"/>
          <w:szCs w:val="26"/>
        </w:rPr>
        <w:t>practices and procedures to prevent similar conduct in the future.  The amount of time it took the utility to correct the conduct once it was discovered and the involvement of top-level management in correcting the conduct may be considered.  52 Pa. Code §</w:t>
      </w:r>
      <w:r w:rsidR="001A4825">
        <w:rPr>
          <w:rFonts w:ascii="Times New Roman" w:eastAsia="Times New Roman" w:hAnsi="Times New Roman" w:cs="Times New Roman"/>
          <w:sz w:val="26"/>
          <w:szCs w:val="26"/>
        </w:rPr>
        <w:t> </w:t>
      </w:r>
      <w:r w:rsidRPr="006B6835">
        <w:rPr>
          <w:rFonts w:ascii="Times New Roman" w:eastAsia="Times New Roman" w:hAnsi="Times New Roman" w:cs="Times New Roman"/>
          <w:sz w:val="26"/>
          <w:szCs w:val="26"/>
        </w:rPr>
        <w:t>69.1201(c)(4).</w:t>
      </w:r>
      <w:r w:rsidR="00BB40C8">
        <w:rPr>
          <w:rFonts w:ascii="Times New Roman" w:eastAsia="Times New Roman" w:hAnsi="Times New Roman" w:cs="Times New Roman"/>
          <w:sz w:val="26"/>
          <w:szCs w:val="26"/>
        </w:rPr>
        <w:t xml:space="preserve">  CenturyLink’s conversion to a new dispatch system in April 2018 yielded unforeseeable and unanticipated technical issues resulting in dispatch delays for </w:t>
      </w:r>
      <w:r w:rsidR="0059596D">
        <w:rPr>
          <w:rFonts w:ascii="Times New Roman" w:eastAsia="Times New Roman" w:hAnsi="Times New Roman" w:cs="Times New Roman"/>
          <w:sz w:val="26"/>
          <w:szCs w:val="26"/>
        </w:rPr>
        <w:t>the installation of telephone and broadband services.  CenturyLink discovered the issues with the new system and immediately took the appropriate steps to fix the technical issues with the dispatch system and utili</w:t>
      </w:r>
      <w:r w:rsidR="001A32C3">
        <w:rPr>
          <w:rFonts w:ascii="Times New Roman" w:eastAsia="Times New Roman" w:hAnsi="Times New Roman" w:cs="Times New Roman"/>
          <w:sz w:val="26"/>
          <w:szCs w:val="26"/>
        </w:rPr>
        <w:t>zed</w:t>
      </w:r>
      <w:r w:rsidR="0059596D">
        <w:rPr>
          <w:rFonts w:ascii="Times New Roman" w:eastAsia="Times New Roman" w:hAnsi="Times New Roman" w:cs="Times New Roman"/>
          <w:sz w:val="26"/>
          <w:szCs w:val="26"/>
        </w:rPr>
        <w:t xml:space="preserve"> additional </w:t>
      </w:r>
      <w:r w:rsidR="001A32C3">
        <w:rPr>
          <w:rFonts w:ascii="Times New Roman" w:eastAsia="Times New Roman" w:hAnsi="Times New Roman" w:cs="Times New Roman"/>
          <w:sz w:val="26"/>
          <w:szCs w:val="26"/>
        </w:rPr>
        <w:t>resources</w:t>
      </w:r>
      <w:r w:rsidR="0059596D">
        <w:rPr>
          <w:rFonts w:ascii="Times New Roman" w:eastAsia="Times New Roman" w:hAnsi="Times New Roman" w:cs="Times New Roman"/>
          <w:sz w:val="26"/>
          <w:szCs w:val="26"/>
        </w:rPr>
        <w:t xml:space="preserve"> to reduce the </w:t>
      </w:r>
      <w:r w:rsidR="001A32C3">
        <w:rPr>
          <w:rFonts w:ascii="Times New Roman" w:eastAsia="Times New Roman" w:hAnsi="Times New Roman" w:cs="Times New Roman"/>
          <w:sz w:val="26"/>
          <w:szCs w:val="26"/>
        </w:rPr>
        <w:t>installation</w:t>
      </w:r>
      <w:r w:rsidR="0059596D">
        <w:rPr>
          <w:rFonts w:ascii="Times New Roman" w:eastAsia="Times New Roman" w:hAnsi="Times New Roman" w:cs="Times New Roman"/>
          <w:sz w:val="26"/>
          <w:szCs w:val="26"/>
        </w:rPr>
        <w:t xml:space="preserve"> delays. </w:t>
      </w:r>
      <w:r w:rsidR="001A32C3">
        <w:rPr>
          <w:rFonts w:ascii="Times New Roman" w:eastAsia="Times New Roman" w:hAnsi="Times New Roman" w:cs="Times New Roman"/>
          <w:sz w:val="26"/>
          <w:szCs w:val="26"/>
        </w:rPr>
        <w:t xml:space="preserve"> </w:t>
      </w:r>
      <w:r w:rsidR="003B329B">
        <w:rPr>
          <w:rFonts w:ascii="Times New Roman" w:eastAsia="Times New Roman" w:hAnsi="Times New Roman" w:cs="Times New Roman"/>
          <w:sz w:val="26"/>
          <w:szCs w:val="26"/>
        </w:rPr>
        <w:t xml:space="preserve">According to I&amp;E, </w:t>
      </w:r>
      <w:r w:rsidR="001A32C3">
        <w:rPr>
          <w:rFonts w:ascii="Times New Roman" w:eastAsia="Times New Roman" w:hAnsi="Times New Roman" w:cs="Times New Roman"/>
          <w:sz w:val="26"/>
          <w:szCs w:val="26"/>
        </w:rPr>
        <w:t>CenturyLink</w:t>
      </w:r>
      <w:r w:rsidR="0059596D">
        <w:rPr>
          <w:rFonts w:ascii="Times New Roman" w:eastAsia="Times New Roman" w:hAnsi="Times New Roman" w:cs="Times New Roman"/>
          <w:sz w:val="26"/>
          <w:szCs w:val="26"/>
        </w:rPr>
        <w:t xml:space="preserve"> made efforts to ensure that these issues do not re</w:t>
      </w:r>
      <w:r w:rsidR="001A32C3">
        <w:rPr>
          <w:rFonts w:ascii="Times New Roman" w:eastAsia="Times New Roman" w:hAnsi="Times New Roman" w:cs="Times New Roman"/>
          <w:sz w:val="26"/>
          <w:szCs w:val="26"/>
        </w:rPr>
        <w:t>occur</w:t>
      </w:r>
      <w:r w:rsidR="0059596D">
        <w:rPr>
          <w:rFonts w:ascii="Times New Roman" w:eastAsia="Times New Roman" w:hAnsi="Times New Roman" w:cs="Times New Roman"/>
          <w:sz w:val="26"/>
          <w:szCs w:val="26"/>
        </w:rPr>
        <w:t xml:space="preserve"> in the future.  I&amp;E Statement in Support at 7-8.  </w:t>
      </w:r>
      <w:r w:rsidR="00DA6AFC">
        <w:rPr>
          <w:rFonts w:ascii="Times New Roman" w:eastAsia="Times New Roman" w:hAnsi="Times New Roman" w:cs="Times New Roman"/>
          <w:sz w:val="26"/>
          <w:szCs w:val="26"/>
        </w:rPr>
        <w:t xml:space="preserve">CenturyLink provides that </w:t>
      </w:r>
      <w:r w:rsidR="000D7E3F">
        <w:rPr>
          <w:rFonts w:ascii="Times New Roman" w:eastAsia="Times New Roman" w:hAnsi="Times New Roman" w:cs="Times New Roman"/>
          <w:sz w:val="26"/>
          <w:szCs w:val="26"/>
        </w:rPr>
        <w:t xml:space="preserve">once it became aware of the dispatch program issues, CenturyLink management began to </w:t>
      </w:r>
      <w:r w:rsidR="003758D3">
        <w:rPr>
          <w:rFonts w:ascii="Times New Roman" w:eastAsia="Times New Roman" w:hAnsi="Times New Roman" w:cs="Times New Roman"/>
          <w:sz w:val="26"/>
          <w:szCs w:val="26"/>
        </w:rPr>
        <w:t xml:space="preserve">address the </w:t>
      </w:r>
      <w:r w:rsidR="00BC7E32">
        <w:rPr>
          <w:rFonts w:ascii="Times New Roman" w:eastAsia="Times New Roman" w:hAnsi="Times New Roman" w:cs="Times New Roman"/>
          <w:sz w:val="26"/>
          <w:szCs w:val="26"/>
        </w:rPr>
        <w:t>system’s</w:t>
      </w:r>
      <w:r w:rsidR="003758D3">
        <w:rPr>
          <w:rFonts w:ascii="Times New Roman" w:eastAsia="Times New Roman" w:hAnsi="Times New Roman" w:cs="Times New Roman"/>
          <w:sz w:val="26"/>
          <w:szCs w:val="26"/>
        </w:rPr>
        <w:t xml:space="preserve"> programming issues.  </w:t>
      </w:r>
      <w:r w:rsidR="00E60A0A">
        <w:rPr>
          <w:rFonts w:ascii="Times New Roman" w:eastAsia="Times New Roman" w:hAnsi="Times New Roman" w:cs="Times New Roman"/>
          <w:sz w:val="26"/>
          <w:szCs w:val="26"/>
        </w:rPr>
        <w:t xml:space="preserve">Additionally, CenturyLink </w:t>
      </w:r>
      <w:r w:rsidR="00B6155C">
        <w:rPr>
          <w:rFonts w:ascii="Times New Roman" w:eastAsia="Times New Roman" w:hAnsi="Times New Roman" w:cs="Times New Roman"/>
          <w:sz w:val="26"/>
          <w:szCs w:val="26"/>
        </w:rPr>
        <w:t xml:space="preserve">notes that its </w:t>
      </w:r>
      <w:r w:rsidR="00BC7E32">
        <w:rPr>
          <w:rFonts w:ascii="Times New Roman" w:eastAsia="Times New Roman" w:hAnsi="Times New Roman" w:cs="Times New Roman"/>
          <w:sz w:val="26"/>
          <w:szCs w:val="26"/>
        </w:rPr>
        <w:t>engineers, technicians</w:t>
      </w:r>
      <w:r w:rsidR="00E60A0A">
        <w:rPr>
          <w:rFonts w:ascii="Times New Roman" w:eastAsia="Times New Roman" w:hAnsi="Times New Roman" w:cs="Times New Roman"/>
          <w:sz w:val="26"/>
          <w:szCs w:val="26"/>
        </w:rPr>
        <w:t xml:space="preserve">, and supervisors undertook immediate action to address the backlog of </w:t>
      </w:r>
      <w:r w:rsidR="000606A9">
        <w:rPr>
          <w:rFonts w:ascii="Times New Roman" w:eastAsia="Times New Roman" w:hAnsi="Times New Roman" w:cs="Times New Roman"/>
          <w:sz w:val="26"/>
          <w:szCs w:val="26"/>
        </w:rPr>
        <w:t xml:space="preserve">installation orders, including addition of more </w:t>
      </w:r>
      <w:r w:rsidR="00BC7E32">
        <w:rPr>
          <w:rFonts w:ascii="Times New Roman" w:eastAsia="Times New Roman" w:hAnsi="Times New Roman" w:cs="Times New Roman"/>
          <w:sz w:val="26"/>
          <w:szCs w:val="26"/>
        </w:rPr>
        <w:t>technicians</w:t>
      </w:r>
      <w:r w:rsidR="000606A9">
        <w:rPr>
          <w:rFonts w:ascii="Times New Roman" w:eastAsia="Times New Roman" w:hAnsi="Times New Roman" w:cs="Times New Roman"/>
          <w:sz w:val="26"/>
          <w:szCs w:val="26"/>
        </w:rPr>
        <w:t xml:space="preserve"> and other resources before </w:t>
      </w:r>
      <w:r w:rsidR="00B6155C">
        <w:rPr>
          <w:rFonts w:ascii="Times New Roman" w:eastAsia="Times New Roman" w:hAnsi="Times New Roman" w:cs="Times New Roman"/>
          <w:sz w:val="26"/>
          <w:szCs w:val="26"/>
        </w:rPr>
        <w:t xml:space="preserve">CenturyLink was notified by I&amp;E of the informal investigation.  </w:t>
      </w:r>
      <w:r w:rsidR="00BC7E32">
        <w:rPr>
          <w:rFonts w:ascii="Times New Roman" w:eastAsia="Times New Roman" w:hAnsi="Times New Roman" w:cs="Times New Roman"/>
          <w:sz w:val="26"/>
          <w:szCs w:val="26"/>
        </w:rPr>
        <w:t>CenturyLink</w:t>
      </w:r>
      <w:r w:rsidR="00B6155C">
        <w:rPr>
          <w:rFonts w:ascii="Times New Roman" w:eastAsia="Times New Roman" w:hAnsi="Times New Roman" w:cs="Times New Roman"/>
          <w:sz w:val="26"/>
          <w:szCs w:val="26"/>
        </w:rPr>
        <w:t xml:space="preserve"> Statement of Support at 5.  </w:t>
      </w:r>
      <w:r w:rsidR="00266FD1">
        <w:rPr>
          <w:rFonts w:ascii="Times New Roman" w:eastAsia="Times New Roman" w:hAnsi="Times New Roman" w:cs="Times New Roman"/>
          <w:sz w:val="26"/>
          <w:szCs w:val="26"/>
        </w:rPr>
        <w:t xml:space="preserve">In consideration of CenturyLink’s </w:t>
      </w:r>
      <w:r w:rsidR="00C5260B">
        <w:rPr>
          <w:rFonts w:ascii="Times New Roman" w:eastAsia="Times New Roman" w:hAnsi="Times New Roman" w:cs="Times New Roman"/>
          <w:sz w:val="26"/>
          <w:szCs w:val="26"/>
        </w:rPr>
        <w:t xml:space="preserve">efforts to resolve the dispatch system issues, we find that application of the fourth factor is supportive of a lower penalty.  </w:t>
      </w:r>
    </w:p>
    <w:p w14:paraId="6C23B14A" w14:textId="77777777" w:rsidR="005A2D67" w:rsidRDefault="005A2D67" w:rsidP="00593492">
      <w:pPr>
        <w:tabs>
          <w:tab w:val="center" w:pos="0"/>
        </w:tabs>
        <w:suppressAutoHyphens/>
        <w:spacing w:after="0" w:line="360" w:lineRule="auto"/>
        <w:rPr>
          <w:rFonts w:ascii="Times New Roman" w:eastAsia="Times New Roman" w:hAnsi="Times New Roman" w:cs="Times New Roman"/>
          <w:sz w:val="26"/>
          <w:szCs w:val="26"/>
        </w:rPr>
      </w:pPr>
    </w:p>
    <w:p w14:paraId="42C6144A" w14:textId="10E2FD5D" w:rsidR="00872B96" w:rsidRDefault="005A2D67" w:rsidP="003B329B">
      <w:pPr>
        <w:tabs>
          <w:tab w:val="center" w:pos="0"/>
        </w:tabs>
        <w:suppressAutoHyphen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r>
      <w:r>
        <w:rPr>
          <w:rFonts w:ascii="Times New Roman" w:eastAsia="Times New Roman" w:hAnsi="Times New Roman" w:cs="Times New Roman"/>
          <w:sz w:val="26"/>
          <w:szCs w:val="26"/>
        </w:rPr>
        <w:tab/>
      </w:r>
      <w:r w:rsidR="00593492" w:rsidRPr="006B6835">
        <w:rPr>
          <w:rFonts w:ascii="Times New Roman" w:eastAsia="Times New Roman" w:hAnsi="Times New Roman" w:cs="Times New Roman"/>
          <w:color w:val="000000"/>
          <w:sz w:val="26"/>
          <w:szCs w:val="26"/>
          <w:u w:color="000000"/>
        </w:rPr>
        <w:t xml:space="preserve">The fifth factor is the number of customers affected and the duration of the violations.  </w:t>
      </w:r>
      <w:r w:rsidR="00593492" w:rsidRPr="006B6835">
        <w:rPr>
          <w:rFonts w:ascii="Times New Roman" w:eastAsia="Times New Roman" w:hAnsi="Times New Roman" w:cs="Times New Roman"/>
          <w:sz w:val="26"/>
          <w:szCs w:val="26"/>
        </w:rPr>
        <w:t xml:space="preserve">52 Pa. Code § 69.1201(c)(5). </w:t>
      </w:r>
      <w:r w:rsidR="00713784">
        <w:rPr>
          <w:rFonts w:ascii="Times New Roman" w:eastAsia="Times New Roman" w:hAnsi="Times New Roman" w:cs="Times New Roman"/>
          <w:sz w:val="26"/>
          <w:szCs w:val="26"/>
        </w:rPr>
        <w:t xml:space="preserve"> </w:t>
      </w:r>
      <w:r w:rsidR="00872B96">
        <w:rPr>
          <w:rFonts w:ascii="Times New Roman" w:eastAsia="Times New Roman" w:hAnsi="Times New Roman" w:cs="Times New Roman"/>
          <w:sz w:val="26"/>
          <w:szCs w:val="26"/>
        </w:rPr>
        <w:t xml:space="preserve">I&amp;E </w:t>
      </w:r>
      <w:r w:rsidR="00B15469">
        <w:rPr>
          <w:rFonts w:ascii="Times New Roman" w:eastAsia="Times New Roman" w:hAnsi="Times New Roman" w:cs="Times New Roman"/>
          <w:sz w:val="26"/>
          <w:szCs w:val="26"/>
        </w:rPr>
        <w:t xml:space="preserve">identified ten (10) customers who filed complaints relating to a delay in the installation of voice and/or broadband </w:t>
      </w:r>
      <w:r w:rsidR="00C141B7">
        <w:rPr>
          <w:rFonts w:ascii="Times New Roman" w:eastAsia="Times New Roman" w:hAnsi="Times New Roman" w:cs="Times New Roman"/>
          <w:sz w:val="26"/>
          <w:szCs w:val="26"/>
        </w:rPr>
        <w:t>services</w:t>
      </w:r>
      <w:r w:rsidR="00B15469">
        <w:rPr>
          <w:rFonts w:ascii="Times New Roman" w:eastAsia="Times New Roman" w:hAnsi="Times New Roman" w:cs="Times New Roman"/>
          <w:sz w:val="26"/>
          <w:szCs w:val="26"/>
        </w:rPr>
        <w:t xml:space="preserve">.  </w:t>
      </w:r>
      <w:r w:rsidR="00177651">
        <w:rPr>
          <w:rFonts w:ascii="Times New Roman" w:eastAsia="Times New Roman" w:hAnsi="Times New Roman" w:cs="Times New Roman"/>
          <w:sz w:val="26"/>
          <w:szCs w:val="26"/>
        </w:rPr>
        <w:t xml:space="preserve">According to I&amp;E, those </w:t>
      </w:r>
      <w:r w:rsidR="00C141B7">
        <w:rPr>
          <w:rFonts w:ascii="Times New Roman" w:eastAsia="Times New Roman" w:hAnsi="Times New Roman" w:cs="Times New Roman"/>
          <w:sz w:val="26"/>
          <w:szCs w:val="26"/>
        </w:rPr>
        <w:t>customers</w:t>
      </w:r>
      <w:r w:rsidR="00177651">
        <w:rPr>
          <w:rFonts w:ascii="Times New Roman" w:eastAsia="Times New Roman" w:hAnsi="Times New Roman" w:cs="Times New Roman"/>
          <w:sz w:val="26"/>
          <w:szCs w:val="26"/>
        </w:rPr>
        <w:t xml:space="preserve"> waited anywhere from 3-44 days past what the </w:t>
      </w:r>
      <w:r w:rsidR="004C4AC4">
        <w:rPr>
          <w:rFonts w:ascii="Times New Roman" w:eastAsia="Times New Roman" w:hAnsi="Times New Roman" w:cs="Times New Roman"/>
          <w:sz w:val="26"/>
          <w:szCs w:val="26"/>
        </w:rPr>
        <w:t>R</w:t>
      </w:r>
      <w:r w:rsidR="00177651">
        <w:rPr>
          <w:rFonts w:ascii="Times New Roman" w:eastAsia="Times New Roman" w:hAnsi="Times New Roman" w:cs="Times New Roman"/>
          <w:sz w:val="26"/>
          <w:szCs w:val="26"/>
        </w:rPr>
        <w:t>egulations and Code require</w:t>
      </w:r>
      <w:r w:rsidR="00DD4A35">
        <w:rPr>
          <w:rFonts w:ascii="Times New Roman" w:eastAsia="Times New Roman" w:hAnsi="Times New Roman" w:cs="Times New Roman"/>
          <w:sz w:val="26"/>
          <w:szCs w:val="26"/>
        </w:rPr>
        <w:t xml:space="preserve"> (5 days for voice service, 10 days for broadband service).  </w:t>
      </w:r>
      <w:r w:rsidR="00C924F4">
        <w:rPr>
          <w:rFonts w:ascii="Times New Roman" w:eastAsia="Times New Roman" w:hAnsi="Times New Roman" w:cs="Times New Roman"/>
          <w:sz w:val="26"/>
          <w:szCs w:val="26"/>
        </w:rPr>
        <w:t xml:space="preserve">The remaining six (6) customers alleged that CenturyLink did not </w:t>
      </w:r>
      <w:r w:rsidR="00C141B7">
        <w:rPr>
          <w:rFonts w:ascii="Times New Roman" w:eastAsia="Times New Roman" w:hAnsi="Times New Roman" w:cs="Times New Roman"/>
          <w:sz w:val="26"/>
          <w:szCs w:val="26"/>
        </w:rPr>
        <w:t>provide</w:t>
      </w:r>
      <w:r w:rsidR="00C924F4">
        <w:rPr>
          <w:rFonts w:ascii="Times New Roman" w:eastAsia="Times New Roman" w:hAnsi="Times New Roman" w:cs="Times New Roman"/>
          <w:sz w:val="26"/>
          <w:szCs w:val="26"/>
        </w:rPr>
        <w:t xml:space="preserve"> </w:t>
      </w:r>
      <w:r w:rsidR="00C141B7">
        <w:rPr>
          <w:rFonts w:ascii="Times New Roman" w:eastAsia="Times New Roman" w:hAnsi="Times New Roman" w:cs="Times New Roman"/>
          <w:sz w:val="26"/>
          <w:szCs w:val="26"/>
        </w:rPr>
        <w:t>broadband</w:t>
      </w:r>
      <w:r w:rsidR="00C924F4">
        <w:rPr>
          <w:rFonts w:ascii="Times New Roman" w:eastAsia="Times New Roman" w:hAnsi="Times New Roman" w:cs="Times New Roman"/>
          <w:sz w:val="26"/>
          <w:szCs w:val="26"/>
        </w:rPr>
        <w:t xml:space="preserve"> service upon request or failed to provide speeds of 1.544 Mbps as </w:t>
      </w:r>
      <w:r w:rsidR="00C141B7">
        <w:rPr>
          <w:rFonts w:ascii="Times New Roman" w:eastAsia="Times New Roman" w:hAnsi="Times New Roman" w:cs="Times New Roman"/>
          <w:sz w:val="26"/>
          <w:szCs w:val="26"/>
        </w:rPr>
        <w:t>required</w:t>
      </w:r>
      <w:r w:rsidR="00C924F4">
        <w:rPr>
          <w:rFonts w:ascii="Times New Roman" w:eastAsia="Times New Roman" w:hAnsi="Times New Roman" w:cs="Times New Roman"/>
          <w:sz w:val="26"/>
          <w:szCs w:val="26"/>
        </w:rPr>
        <w:t xml:space="preserve"> in Chapter 30.  </w:t>
      </w:r>
      <w:r w:rsidR="00EA6B6A">
        <w:rPr>
          <w:rFonts w:ascii="Times New Roman" w:eastAsia="Times New Roman" w:hAnsi="Times New Roman" w:cs="Times New Roman"/>
          <w:sz w:val="26"/>
          <w:szCs w:val="26"/>
        </w:rPr>
        <w:t xml:space="preserve">I&amp;E provides that it is not aware whether the </w:t>
      </w:r>
      <w:r w:rsidR="00C141B7">
        <w:rPr>
          <w:rFonts w:ascii="Times New Roman" w:eastAsia="Times New Roman" w:hAnsi="Times New Roman" w:cs="Times New Roman"/>
          <w:sz w:val="26"/>
          <w:szCs w:val="26"/>
        </w:rPr>
        <w:t>four</w:t>
      </w:r>
      <w:r w:rsidR="00EA6B6A">
        <w:rPr>
          <w:rFonts w:ascii="Times New Roman" w:eastAsia="Times New Roman" w:hAnsi="Times New Roman" w:cs="Times New Roman"/>
          <w:sz w:val="26"/>
          <w:szCs w:val="26"/>
        </w:rPr>
        <w:t xml:space="preserve"> (4) customer</w:t>
      </w:r>
      <w:r w:rsidR="00C141B7">
        <w:rPr>
          <w:rFonts w:ascii="Times New Roman" w:eastAsia="Times New Roman" w:hAnsi="Times New Roman" w:cs="Times New Roman"/>
          <w:sz w:val="26"/>
          <w:szCs w:val="26"/>
        </w:rPr>
        <w:t>s</w:t>
      </w:r>
      <w:r w:rsidR="00EA6B6A">
        <w:rPr>
          <w:rFonts w:ascii="Times New Roman" w:eastAsia="Times New Roman" w:hAnsi="Times New Roman" w:cs="Times New Roman"/>
          <w:sz w:val="26"/>
          <w:szCs w:val="26"/>
        </w:rPr>
        <w:t xml:space="preserve"> who </w:t>
      </w:r>
      <w:r w:rsidR="00C141B7">
        <w:rPr>
          <w:rFonts w:ascii="Times New Roman" w:eastAsia="Times New Roman" w:hAnsi="Times New Roman" w:cs="Times New Roman"/>
          <w:sz w:val="26"/>
          <w:szCs w:val="26"/>
        </w:rPr>
        <w:t>alleged</w:t>
      </w:r>
      <w:r w:rsidR="00EA6B6A">
        <w:rPr>
          <w:rFonts w:ascii="Times New Roman" w:eastAsia="Times New Roman" w:hAnsi="Times New Roman" w:cs="Times New Roman"/>
          <w:sz w:val="26"/>
          <w:szCs w:val="26"/>
        </w:rPr>
        <w:t xml:space="preserve"> that CenturyLink did not provide broadband service were successful in fi</w:t>
      </w:r>
      <w:r w:rsidR="00C141B7">
        <w:rPr>
          <w:rFonts w:ascii="Times New Roman" w:eastAsia="Times New Roman" w:hAnsi="Times New Roman" w:cs="Times New Roman"/>
          <w:sz w:val="26"/>
          <w:szCs w:val="26"/>
        </w:rPr>
        <w:t xml:space="preserve">nding </w:t>
      </w:r>
      <w:r w:rsidR="00EA6B6A">
        <w:rPr>
          <w:rFonts w:ascii="Times New Roman" w:eastAsia="Times New Roman" w:hAnsi="Times New Roman" w:cs="Times New Roman"/>
          <w:sz w:val="26"/>
          <w:szCs w:val="26"/>
        </w:rPr>
        <w:t xml:space="preserve">service through another company or </w:t>
      </w:r>
      <w:r w:rsidR="00C141B7">
        <w:rPr>
          <w:rFonts w:ascii="Times New Roman" w:eastAsia="Times New Roman" w:hAnsi="Times New Roman" w:cs="Times New Roman"/>
          <w:sz w:val="26"/>
          <w:szCs w:val="26"/>
        </w:rPr>
        <w:t>whether</w:t>
      </w:r>
      <w:r w:rsidR="00EA6B6A">
        <w:rPr>
          <w:rFonts w:ascii="Times New Roman" w:eastAsia="Times New Roman" w:hAnsi="Times New Roman" w:cs="Times New Roman"/>
          <w:sz w:val="26"/>
          <w:szCs w:val="26"/>
        </w:rPr>
        <w:t xml:space="preserve"> the two (2) customers who alleged slow speeds were ablet to receive the minimum of 1.544 Mbps.  </w:t>
      </w:r>
      <w:r w:rsidR="00475757">
        <w:rPr>
          <w:rFonts w:ascii="Times New Roman" w:eastAsia="Times New Roman" w:hAnsi="Times New Roman" w:cs="Times New Roman"/>
          <w:sz w:val="26"/>
          <w:szCs w:val="26"/>
        </w:rPr>
        <w:t xml:space="preserve">I&amp;E provides, that these facts, some of which are disputed by CenturyLink, were considered when calculating the civil penalty.  I&amp;E Statement in Support at </w:t>
      </w:r>
      <w:r w:rsidR="007C6C75">
        <w:rPr>
          <w:rFonts w:ascii="Times New Roman" w:eastAsia="Times New Roman" w:hAnsi="Times New Roman" w:cs="Times New Roman"/>
          <w:sz w:val="26"/>
          <w:szCs w:val="26"/>
        </w:rPr>
        <w:t>8</w:t>
      </w:r>
      <w:r w:rsidR="00286157">
        <w:rPr>
          <w:rFonts w:ascii="Times New Roman" w:eastAsia="Times New Roman" w:hAnsi="Times New Roman" w:cs="Times New Roman"/>
          <w:sz w:val="26"/>
          <w:szCs w:val="26"/>
        </w:rPr>
        <w:t>.</w:t>
      </w:r>
      <w:r w:rsidR="007C6C75">
        <w:rPr>
          <w:rFonts w:ascii="Times New Roman" w:eastAsia="Times New Roman" w:hAnsi="Times New Roman" w:cs="Times New Roman"/>
          <w:sz w:val="26"/>
          <w:szCs w:val="26"/>
        </w:rPr>
        <w:t xml:space="preserve"> </w:t>
      </w:r>
      <w:r w:rsidR="005F2BD2">
        <w:rPr>
          <w:rFonts w:ascii="Times New Roman" w:eastAsia="Times New Roman" w:hAnsi="Times New Roman" w:cs="Times New Roman"/>
          <w:sz w:val="26"/>
          <w:szCs w:val="26"/>
        </w:rPr>
        <w:t xml:space="preserve"> We find that the </w:t>
      </w:r>
      <w:r w:rsidR="00136CD5">
        <w:rPr>
          <w:rFonts w:ascii="Times New Roman" w:eastAsia="Times New Roman" w:hAnsi="Times New Roman" w:cs="Times New Roman"/>
          <w:sz w:val="26"/>
          <w:szCs w:val="26"/>
        </w:rPr>
        <w:t xml:space="preserve">number of customers and duration of violations merit the civil penalty.  </w:t>
      </w:r>
    </w:p>
    <w:p w14:paraId="186DDBBE" w14:textId="77777777" w:rsidR="00872B96" w:rsidRDefault="00872B96" w:rsidP="003B329B">
      <w:pPr>
        <w:tabs>
          <w:tab w:val="center" w:pos="0"/>
        </w:tabs>
        <w:suppressAutoHyphens/>
        <w:spacing w:after="0" w:line="360" w:lineRule="auto"/>
        <w:rPr>
          <w:rFonts w:ascii="Times New Roman" w:eastAsia="Times New Roman" w:hAnsi="Times New Roman" w:cs="Times New Roman"/>
          <w:sz w:val="26"/>
          <w:szCs w:val="26"/>
        </w:rPr>
      </w:pPr>
    </w:p>
    <w:p w14:paraId="6FEC2769" w14:textId="1CBA6411" w:rsidR="00593492" w:rsidRPr="00B67FCD" w:rsidRDefault="00593492" w:rsidP="00B67FCD">
      <w:pPr>
        <w:pStyle w:val="BodyText"/>
        <w:spacing w:line="360" w:lineRule="auto"/>
        <w:jc w:val="left"/>
      </w:pPr>
      <w:r w:rsidRPr="006B6835">
        <w:rPr>
          <w:rFonts w:ascii="Times New Roman" w:hAnsi="Times New Roman"/>
          <w:sz w:val="26"/>
          <w:szCs w:val="26"/>
        </w:rPr>
        <w:t>We may also consider the compliance history of the regulated entity.  52</w:t>
      </w:r>
      <w:r w:rsidR="007A125F">
        <w:rPr>
          <w:rFonts w:ascii="Times New Roman" w:hAnsi="Times New Roman"/>
          <w:sz w:val="26"/>
          <w:szCs w:val="26"/>
        </w:rPr>
        <w:t> </w:t>
      </w:r>
      <w:r w:rsidRPr="006B6835">
        <w:rPr>
          <w:rFonts w:ascii="Times New Roman" w:hAnsi="Times New Roman"/>
          <w:sz w:val="26"/>
          <w:szCs w:val="26"/>
        </w:rPr>
        <w:t xml:space="preserve">Pa. Code § 69.1201(c)(6).  </w:t>
      </w:r>
      <w:r>
        <w:rPr>
          <w:rFonts w:ascii="Times New Roman" w:hAnsi="Times New Roman"/>
          <w:sz w:val="26"/>
          <w:szCs w:val="26"/>
        </w:rPr>
        <w:t xml:space="preserve">“An isolated incident from an otherwise compliant utility may result in a lower penalty, whereas frequent, recurrent violations by a utility may result in a higher penalty.”  </w:t>
      </w:r>
      <w:r>
        <w:rPr>
          <w:rFonts w:ascii="Times New Roman" w:hAnsi="Times New Roman"/>
          <w:i/>
          <w:sz w:val="26"/>
          <w:szCs w:val="26"/>
        </w:rPr>
        <w:t xml:space="preserve">Id. </w:t>
      </w:r>
      <w:r>
        <w:rPr>
          <w:rFonts w:ascii="Times New Roman" w:hAnsi="Times New Roman"/>
          <w:sz w:val="26"/>
          <w:szCs w:val="26"/>
        </w:rPr>
        <w:t xml:space="preserve"> Here, </w:t>
      </w:r>
      <w:r w:rsidR="00E31526">
        <w:rPr>
          <w:rFonts w:ascii="Times New Roman" w:hAnsi="Times New Roman"/>
          <w:sz w:val="26"/>
          <w:szCs w:val="26"/>
        </w:rPr>
        <w:t xml:space="preserve">I&amp;E is not aware of any formal complaint filed against CenturyLink regarding this </w:t>
      </w:r>
      <w:r w:rsidR="00E31526" w:rsidRPr="00BA2DCE">
        <w:rPr>
          <w:rFonts w:ascii="Times New Roman" w:hAnsi="Times New Roman"/>
          <w:sz w:val="26"/>
          <w:szCs w:val="26"/>
        </w:rPr>
        <w:t xml:space="preserve">matter.  </w:t>
      </w:r>
      <w:r w:rsidR="00D70DE5" w:rsidRPr="00BA2DCE">
        <w:rPr>
          <w:rFonts w:ascii="Times New Roman" w:hAnsi="Times New Roman"/>
          <w:sz w:val="26"/>
          <w:szCs w:val="26"/>
        </w:rPr>
        <w:t xml:space="preserve">However, </w:t>
      </w:r>
      <w:r w:rsidR="00965988" w:rsidRPr="00BA2DCE">
        <w:rPr>
          <w:rFonts w:ascii="Times New Roman" w:hAnsi="Times New Roman"/>
          <w:sz w:val="26"/>
          <w:szCs w:val="26"/>
        </w:rPr>
        <w:t>there have been some formal Complaints filed against CenturyLink related to alleged service violations.</w:t>
      </w:r>
      <w:r w:rsidR="00B74848" w:rsidRPr="00BA2DCE">
        <w:rPr>
          <w:rStyle w:val="FootnoteReference"/>
          <w:rFonts w:ascii="Times New Roman" w:hAnsi="Times New Roman"/>
          <w:sz w:val="26"/>
          <w:szCs w:val="26"/>
        </w:rPr>
        <w:footnoteReference w:id="2"/>
      </w:r>
      <w:r w:rsidR="00965988" w:rsidRPr="00BA2DCE">
        <w:rPr>
          <w:rFonts w:ascii="Times New Roman" w:hAnsi="Times New Roman"/>
          <w:sz w:val="26"/>
          <w:szCs w:val="26"/>
        </w:rPr>
        <w:t xml:space="preserve">  While we acknowledge the filing of earlier Complaints, we </w:t>
      </w:r>
      <w:r w:rsidR="00D70DE5" w:rsidRPr="00BA2DCE">
        <w:rPr>
          <w:rFonts w:ascii="Times New Roman" w:hAnsi="Times New Roman"/>
          <w:sz w:val="26"/>
          <w:szCs w:val="26"/>
        </w:rPr>
        <w:t>note</w:t>
      </w:r>
      <w:r w:rsidR="00965988" w:rsidRPr="00BA2DCE">
        <w:rPr>
          <w:rFonts w:ascii="Times New Roman" w:hAnsi="Times New Roman"/>
          <w:sz w:val="26"/>
          <w:szCs w:val="26"/>
        </w:rPr>
        <w:t xml:space="preserve"> that there have been no recent determinations of violations and that the Company’s compliance history poses no barrier to approval of the Settlement between the Parties.  I&amp;E Statement in Support at 8-9.</w:t>
      </w:r>
      <w:r w:rsidR="00965988">
        <w:rPr>
          <w:rFonts w:ascii="Times New Roman" w:hAnsi="Times New Roman"/>
          <w:sz w:val="26"/>
          <w:szCs w:val="26"/>
        </w:rPr>
        <w:t xml:space="preserve">  </w:t>
      </w:r>
    </w:p>
    <w:p w14:paraId="51B0ED0A" w14:textId="5CAE09E7" w:rsidR="00593492" w:rsidRDefault="00593492" w:rsidP="00593492">
      <w:pPr>
        <w:suppressAutoHyphens/>
        <w:spacing w:after="0" w:line="360" w:lineRule="auto"/>
        <w:ind w:firstLine="1440"/>
        <w:rPr>
          <w:rFonts w:ascii="Times New Roman" w:eastAsia="Times New Roman" w:hAnsi="Times New Roman" w:cs="Times New Roman"/>
          <w:sz w:val="26"/>
          <w:szCs w:val="26"/>
        </w:rPr>
      </w:pPr>
      <w:r w:rsidRPr="006B6835">
        <w:rPr>
          <w:rFonts w:ascii="Times New Roman" w:eastAsia="Times New Roman" w:hAnsi="Times New Roman" w:cs="Times New Roman"/>
          <w:sz w:val="26"/>
          <w:szCs w:val="26"/>
        </w:rPr>
        <w:lastRenderedPageBreak/>
        <w:t xml:space="preserve">Another factor we may consider is whether the regulated entity cooperated with the Commission’s investigation.  52 Pa. Code § 69.1201(c)(7).  </w:t>
      </w:r>
      <w:r>
        <w:rPr>
          <w:rFonts w:ascii="Times New Roman" w:eastAsia="Times New Roman" w:hAnsi="Times New Roman" w:cs="Times New Roman"/>
          <w:sz w:val="26"/>
          <w:szCs w:val="26"/>
        </w:rPr>
        <w:t xml:space="preserve">According to I&amp;E, the Company fully cooperated </w:t>
      </w:r>
      <w:r w:rsidR="00774964">
        <w:rPr>
          <w:rFonts w:ascii="Times New Roman" w:eastAsia="Times New Roman" w:hAnsi="Times New Roman" w:cs="Times New Roman"/>
          <w:sz w:val="26"/>
          <w:szCs w:val="26"/>
        </w:rPr>
        <w:t>in the investigation in this matter, including</w:t>
      </w:r>
      <w:r w:rsidR="002748A4">
        <w:rPr>
          <w:rFonts w:ascii="Times New Roman" w:eastAsia="Times New Roman" w:hAnsi="Times New Roman" w:cs="Times New Roman"/>
          <w:sz w:val="26"/>
          <w:szCs w:val="26"/>
        </w:rPr>
        <w:t xml:space="preserve"> </w:t>
      </w:r>
      <w:r w:rsidR="00774964">
        <w:rPr>
          <w:rFonts w:ascii="Times New Roman" w:eastAsia="Times New Roman" w:hAnsi="Times New Roman" w:cs="Times New Roman"/>
          <w:sz w:val="26"/>
          <w:szCs w:val="26"/>
        </w:rPr>
        <w:t xml:space="preserve">cooperating in both informal discovery as well as settlement discussions.  </w:t>
      </w:r>
      <w:r>
        <w:rPr>
          <w:rFonts w:ascii="Times New Roman" w:eastAsia="Times New Roman" w:hAnsi="Times New Roman" w:cs="Times New Roman"/>
          <w:sz w:val="26"/>
          <w:szCs w:val="26"/>
        </w:rPr>
        <w:t xml:space="preserve">I&amp;E Statement in Support at </w:t>
      </w:r>
      <w:r w:rsidR="002748A4">
        <w:rPr>
          <w:rFonts w:ascii="Times New Roman" w:eastAsia="Times New Roman" w:hAnsi="Times New Roman" w:cs="Times New Roman"/>
          <w:sz w:val="26"/>
          <w:szCs w:val="26"/>
        </w:rPr>
        <w:t>9</w:t>
      </w:r>
      <w:r>
        <w:rPr>
          <w:rFonts w:ascii="Times New Roman" w:eastAsia="Times New Roman" w:hAnsi="Times New Roman" w:cs="Times New Roman"/>
          <w:sz w:val="26"/>
          <w:szCs w:val="26"/>
        </w:rPr>
        <w:t>.</w:t>
      </w:r>
    </w:p>
    <w:p w14:paraId="1BBED2DD" w14:textId="77777777" w:rsidR="001A4825" w:rsidRPr="006B6835" w:rsidRDefault="001A4825" w:rsidP="00593492">
      <w:pPr>
        <w:suppressAutoHyphens/>
        <w:spacing w:after="0" w:line="360" w:lineRule="auto"/>
        <w:ind w:firstLine="1440"/>
        <w:rPr>
          <w:rFonts w:ascii="Times New Roman" w:eastAsia="Times New Roman" w:hAnsi="Times New Roman" w:cs="Times New Roman"/>
          <w:sz w:val="26"/>
          <w:szCs w:val="26"/>
        </w:rPr>
      </w:pPr>
    </w:p>
    <w:p w14:paraId="29D83651" w14:textId="3089D12C" w:rsidR="00593492" w:rsidRDefault="00593492" w:rsidP="00593492">
      <w:pPr>
        <w:suppressAutoHyphens/>
        <w:spacing w:after="0" w:line="360" w:lineRule="auto"/>
        <w:ind w:firstLine="1440"/>
        <w:rPr>
          <w:rFonts w:ascii="Times New Roman" w:eastAsia="Times New Roman" w:hAnsi="Times New Roman" w:cs="Times New Roman"/>
          <w:sz w:val="26"/>
          <w:szCs w:val="26"/>
        </w:rPr>
      </w:pPr>
      <w:r w:rsidRPr="006B6835">
        <w:rPr>
          <w:rFonts w:ascii="Times New Roman" w:eastAsia="Times New Roman" w:hAnsi="Times New Roman" w:cs="Times New Roman"/>
          <w:sz w:val="26"/>
          <w:szCs w:val="26"/>
        </w:rPr>
        <w:t xml:space="preserve">In addition, we may consider the amount of the civil penalty necessary to deter future violations as well as past Commission decisions in similar situations.  52 Pa. Code § 69.1201(c)(8) and (c)(9).  </w:t>
      </w:r>
      <w:r w:rsidR="00E97271">
        <w:rPr>
          <w:rFonts w:ascii="Times New Roman" w:eastAsia="Times New Roman" w:hAnsi="Times New Roman" w:cs="Times New Roman"/>
          <w:sz w:val="26"/>
          <w:szCs w:val="26"/>
        </w:rPr>
        <w:t xml:space="preserve">I&amp;E contends that </w:t>
      </w:r>
      <w:r w:rsidR="000D6873">
        <w:rPr>
          <w:rFonts w:ascii="Times New Roman" w:eastAsia="Times New Roman" w:hAnsi="Times New Roman" w:cs="Times New Roman"/>
          <w:sz w:val="26"/>
          <w:szCs w:val="26"/>
        </w:rPr>
        <w:t>a civil penalty amo</w:t>
      </w:r>
      <w:r w:rsidR="00845468">
        <w:rPr>
          <w:rFonts w:ascii="Times New Roman" w:eastAsia="Times New Roman" w:hAnsi="Times New Roman" w:cs="Times New Roman"/>
          <w:sz w:val="26"/>
          <w:szCs w:val="26"/>
        </w:rPr>
        <w:t>unt</w:t>
      </w:r>
      <w:r w:rsidR="000D6873">
        <w:rPr>
          <w:rFonts w:ascii="Times New Roman" w:eastAsia="Times New Roman" w:hAnsi="Times New Roman" w:cs="Times New Roman"/>
          <w:sz w:val="26"/>
          <w:szCs w:val="26"/>
        </w:rPr>
        <w:t xml:space="preserve"> o</w:t>
      </w:r>
      <w:r w:rsidR="004C4AC4">
        <w:rPr>
          <w:rFonts w:ascii="Times New Roman" w:eastAsia="Times New Roman" w:hAnsi="Times New Roman" w:cs="Times New Roman"/>
          <w:sz w:val="26"/>
          <w:szCs w:val="26"/>
        </w:rPr>
        <w:t>f</w:t>
      </w:r>
      <w:r w:rsidR="000D6873">
        <w:rPr>
          <w:rFonts w:ascii="Times New Roman" w:eastAsia="Times New Roman" w:hAnsi="Times New Roman" w:cs="Times New Roman"/>
          <w:sz w:val="26"/>
          <w:szCs w:val="26"/>
        </w:rPr>
        <w:t xml:space="preserve"> $32,050.00, which is not tax deductible, is substantial and sufficient to deter CenturyLink from committing future violations.  </w:t>
      </w:r>
      <w:r w:rsidR="00FE65B7">
        <w:rPr>
          <w:rFonts w:ascii="Times New Roman" w:eastAsia="Times New Roman" w:hAnsi="Times New Roman" w:cs="Times New Roman"/>
          <w:sz w:val="26"/>
          <w:szCs w:val="26"/>
        </w:rPr>
        <w:t xml:space="preserve">I&amp;E </w:t>
      </w:r>
      <w:r w:rsidR="001B3ECD">
        <w:rPr>
          <w:rFonts w:ascii="Times New Roman" w:eastAsia="Times New Roman" w:hAnsi="Times New Roman" w:cs="Times New Roman"/>
          <w:sz w:val="26"/>
          <w:szCs w:val="26"/>
        </w:rPr>
        <w:t>Statement</w:t>
      </w:r>
      <w:r w:rsidR="00FE65B7">
        <w:rPr>
          <w:rFonts w:ascii="Times New Roman" w:eastAsia="Times New Roman" w:hAnsi="Times New Roman" w:cs="Times New Roman"/>
          <w:sz w:val="26"/>
          <w:szCs w:val="26"/>
        </w:rPr>
        <w:t xml:space="preserve"> in </w:t>
      </w:r>
      <w:r w:rsidR="001B3ECD">
        <w:rPr>
          <w:rFonts w:ascii="Times New Roman" w:eastAsia="Times New Roman" w:hAnsi="Times New Roman" w:cs="Times New Roman"/>
          <w:sz w:val="26"/>
          <w:szCs w:val="26"/>
        </w:rPr>
        <w:t>Support</w:t>
      </w:r>
      <w:r w:rsidR="00FE65B7">
        <w:rPr>
          <w:rFonts w:ascii="Times New Roman" w:eastAsia="Times New Roman" w:hAnsi="Times New Roman" w:cs="Times New Roman"/>
          <w:sz w:val="26"/>
          <w:szCs w:val="26"/>
        </w:rPr>
        <w:t xml:space="preserve"> at 9.  </w:t>
      </w:r>
      <w:r w:rsidRPr="006B6835">
        <w:rPr>
          <w:rFonts w:ascii="Times New Roman" w:eastAsia="Times New Roman" w:hAnsi="Times New Roman" w:cs="Times New Roman"/>
          <w:sz w:val="26"/>
          <w:szCs w:val="26"/>
        </w:rPr>
        <w:t xml:space="preserve">We </w:t>
      </w:r>
      <w:r>
        <w:rPr>
          <w:rFonts w:ascii="Times New Roman" w:eastAsia="Times New Roman" w:hAnsi="Times New Roman" w:cs="Times New Roman"/>
          <w:sz w:val="26"/>
          <w:szCs w:val="26"/>
        </w:rPr>
        <w:t xml:space="preserve">agree and </w:t>
      </w:r>
      <w:r w:rsidRPr="006B6835">
        <w:rPr>
          <w:rFonts w:ascii="Times New Roman" w:eastAsia="Times New Roman" w:hAnsi="Times New Roman" w:cs="Times New Roman"/>
          <w:sz w:val="26"/>
          <w:szCs w:val="26"/>
        </w:rPr>
        <w:t>find that t</w:t>
      </w:r>
      <w:r>
        <w:rPr>
          <w:rFonts w:ascii="Times New Roman" w:eastAsia="Times New Roman" w:hAnsi="Times New Roman" w:cs="Times New Roman"/>
          <w:sz w:val="26"/>
          <w:szCs w:val="26"/>
        </w:rPr>
        <w:t xml:space="preserve">he proposed civil penalty </w:t>
      </w:r>
      <w:r w:rsidR="00B07137">
        <w:rPr>
          <w:rFonts w:ascii="Times New Roman" w:eastAsia="Times New Roman" w:hAnsi="Times New Roman" w:cs="Times New Roman"/>
          <w:sz w:val="26"/>
          <w:szCs w:val="26"/>
        </w:rPr>
        <w:t xml:space="preserve">is appropriate and </w:t>
      </w:r>
      <w:r>
        <w:rPr>
          <w:rFonts w:ascii="Times New Roman" w:eastAsia="Times New Roman" w:hAnsi="Times New Roman" w:cs="Times New Roman"/>
          <w:sz w:val="26"/>
          <w:szCs w:val="26"/>
        </w:rPr>
        <w:t>presents a fair and reasonable outcome</w:t>
      </w:r>
      <w:r w:rsidR="007B507C">
        <w:rPr>
          <w:rFonts w:ascii="Times New Roman" w:eastAsia="Times New Roman" w:hAnsi="Times New Roman" w:cs="Times New Roman"/>
          <w:sz w:val="26"/>
          <w:szCs w:val="26"/>
        </w:rPr>
        <w:t xml:space="preserve"> of this proceeding</w:t>
      </w:r>
      <w:r w:rsidRPr="006B6835">
        <w:rPr>
          <w:rFonts w:ascii="Times New Roman" w:eastAsia="Times New Roman" w:hAnsi="Times New Roman" w:cs="Times New Roman"/>
          <w:sz w:val="26"/>
          <w:szCs w:val="26"/>
        </w:rPr>
        <w:t>.</w:t>
      </w:r>
    </w:p>
    <w:p w14:paraId="66A881A3" w14:textId="77777777" w:rsidR="00593492" w:rsidRPr="006B6835" w:rsidRDefault="00593492" w:rsidP="00593492">
      <w:pPr>
        <w:suppressAutoHyphens/>
        <w:spacing w:after="0" w:line="360" w:lineRule="auto"/>
        <w:rPr>
          <w:rFonts w:ascii="Times New Roman" w:eastAsia="Times New Roman" w:hAnsi="Times New Roman" w:cs="Times New Roman"/>
          <w:color w:val="000000"/>
          <w:sz w:val="26"/>
          <w:szCs w:val="26"/>
          <w:u w:color="000000"/>
        </w:rPr>
      </w:pPr>
    </w:p>
    <w:p w14:paraId="69823D9A" w14:textId="77777777" w:rsidR="00593492" w:rsidRPr="006B6835" w:rsidRDefault="00593492" w:rsidP="00593492">
      <w:pPr>
        <w:suppressAutoHyphens/>
        <w:spacing w:after="0" w:line="360" w:lineRule="auto"/>
        <w:ind w:firstLine="1440"/>
        <w:rPr>
          <w:rFonts w:ascii="Times New Roman" w:eastAsia="Times New Roman" w:hAnsi="Times New Roman" w:cs="Times New Roman"/>
          <w:color w:val="000000"/>
          <w:sz w:val="26"/>
          <w:szCs w:val="26"/>
          <w:u w:color="000000"/>
        </w:rPr>
      </w:pPr>
      <w:r w:rsidRPr="006B6835">
        <w:rPr>
          <w:rFonts w:ascii="Times New Roman" w:eastAsia="Times New Roman" w:hAnsi="Times New Roman" w:cs="Times New Roman"/>
          <w:color w:val="000000"/>
          <w:sz w:val="26"/>
          <w:szCs w:val="26"/>
          <w:u w:color="000000"/>
        </w:rPr>
        <w:t xml:space="preserve">The tenth factor to consider is other “relevant factors.”  </w:t>
      </w:r>
      <w:r w:rsidRPr="006B6835">
        <w:rPr>
          <w:rFonts w:ascii="Times New Roman" w:eastAsia="Times New Roman" w:hAnsi="Times New Roman" w:cs="Times New Roman"/>
          <w:sz w:val="26"/>
          <w:szCs w:val="26"/>
        </w:rPr>
        <w:t>52 Pa. Code §</w:t>
      </w:r>
      <w:r>
        <w:rPr>
          <w:rFonts w:ascii="Times New Roman" w:eastAsia="Times New Roman" w:hAnsi="Times New Roman" w:cs="Times New Roman"/>
          <w:sz w:val="26"/>
          <w:szCs w:val="26"/>
        </w:rPr>
        <w:t> </w:t>
      </w:r>
      <w:r w:rsidRPr="006B6835">
        <w:rPr>
          <w:rFonts w:ascii="Times New Roman" w:eastAsia="Times New Roman" w:hAnsi="Times New Roman" w:cs="Times New Roman"/>
          <w:sz w:val="26"/>
          <w:szCs w:val="26"/>
        </w:rPr>
        <w:t xml:space="preserve">69.1201(c)(10).  We believe that it is in the public interest to settle this matter </w:t>
      </w:r>
      <w:proofErr w:type="gramStart"/>
      <w:r w:rsidRPr="006B6835">
        <w:rPr>
          <w:rFonts w:ascii="Times New Roman" w:eastAsia="Times New Roman" w:hAnsi="Times New Roman" w:cs="Times New Roman"/>
          <w:sz w:val="26"/>
          <w:szCs w:val="26"/>
        </w:rPr>
        <w:t>so as to</w:t>
      </w:r>
      <w:proofErr w:type="gramEnd"/>
      <w:r w:rsidRPr="006B6835">
        <w:rPr>
          <w:rFonts w:ascii="Times New Roman" w:eastAsia="Times New Roman" w:hAnsi="Times New Roman" w:cs="Times New Roman"/>
          <w:sz w:val="26"/>
          <w:szCs w:val="26"/>
        </w:rPr>
        <w:t xml:space="preserve"> avoid the expense of litigation.</w:t>
      </w:r>
    </w:p>
    <w:p w14:paraId="448232A8" w14:textId="77777777" w:rsidR="00593492" w:rsidRPr="006B6835" w:rsidRDefault="00593492" w:rsidP="00593492">
      <w:pPr>
        <w:suppressAutoHyphens/>
        <w:spacing w:after="0" w:line="360" w:lineRule="auto"/>
        <w:jc w:val="both"/>
        <w:rPr>
          <w:rFonts w:ascii="Times New Roman" w:eastAsia="Times New Roman" w:hAnsi="Times New Roman" w:cs="Times New Roman"/>
          <w:color w:val="000000"/>
          <w:sz w:val="26"/>
          <w:szCs w:val="26"/>
          <w:u w:color="000000"/>
        </w:rPr>
      </w:pPr>
    </w:p>
    <w:p w14:paraId="51DE3E95" w14:textId="77777777" w:rsidR="00593492" w:rsidRDefault="00593492" w:rsidP="00593492">
      <w:pPr>
        <w:spacing w:after="0" w:line="360" w:lineRule="auto"/>
        <w:ind w:firstLine="1440"/>
        <w:rPr>
          <w:rFonts w:ascii="Times New Roman" w:eastAsia="Times New Roman" w:hAnsi="Times New Roman" w:cs="Times New Roman"/>
          <w:sz w:val="26"/>
          <w:szCs w:val="26"/>
        </w:rPr>
      </w:pPr>
      <w:r w:rsidRPr="007B421B">
        <w:rPr>
          <w:rFonts w:ascii="Times New Roman" w:eastAsia="Times New Roman" w:hAnsi="Times New Roman" w:cs="Times New Roman"/>
          <w:sz w:val="26"/>
          <w:szCs w:val="26"/>
        </w:rPr>
        <w:t>For the reasons set forth above, after reviewing the terms of the Settlement, we find that approval of the Settlement</w:t>
      </w:r>
      <w:r>
        <w:rPr>
          <w:rFonts w:ascii="Times New Roman" w:eastAsia="Times New Roman" w:hAnsi="Times New Roman" w:cs="Times New Roman"/>
          <w:sz w:val="26"/>
          <w:szCs w:val="26"/>
        </w:rPr>
        <w:t xml:space="preserve"> </w:t>
      </w:r>
      <w:r w:rsidRPr="007B421B">
        <w:rPr>
          <w:rFonts w:ascii="Times New Roman" w:eastAsia="Times New Roman" w:hAnsi="Times New Roman" w:cs="Times New Roman"/>
          <w:sz w:val="26"/>
          <w:szCs w:val="26"/>
        </w:rPr>
        <w:t>is in the public interest and is consistent with the terms of our Policy Statement and our past decisions.</w:t>
      </w:r>
    </w:p>
    <w:p w14:paraId="5613B504" w14:textId="77777777" w:rsidR="00593492" w:rsidRPr="007B421B" w:rsidRDefault="00593492" w:rsidP="00593492">
      <w:pPr>
        <w:spacing w:after="0" w:line="360" w:lineRule="auto"/>
        <w:rPr>
          <w:rFonts w:ascii="Times New Roman" w:eastAsia="Times New Roman" w:hAnsi="Times New Roman" w:cs="Times New Roman"/>
          <w:sz w:val="26"/>
          <w:szCs w:val="26"/>
        </w:rPr>
      </w:pPr>
    </w:p>
    <w:p w14:paraId="4D1440F4" w14:textId="77777777" w:rsidR="00593492" w:rsidRPr="007B421B" w:rsidRDefault="00593492" w:rsidP="00593492">
      <w:pPr>
        <w:keepNext/>
        <w:keepLines/>
        <w:spacing w:after="0" w:line="360" w:lineRule="auto"/>
        <w:jc w:val="center"/>
        <w:rPr>
          <w:rFonts w:ascii="Times New Roman" w:eastAsia="Times New Roman" w:hAnsi="Times New Roman" w:cs="Times New Roman"/>
          <w:sz w:val="26"/>
          <w:szCs w:val="26"/>
        </w:rPr>
      </w:pPr>
      <w:r w:rsidRPr="007B421B">
        <w:rPr>
          <w:rFonts w:ascii="Times New Roman" w:eastAsia="Times New Roman" w:hAnsi="Times New Roman" w:cs="Times New Roman"/>
          <w:b/>
          <w:sz w:val="26"/>
          <w:szCs w:val="26"/>
        </w:rPr>
        <w:t>Conclusion</w:t>
      </w:r>
    </w:p>
    <w:p w14:paraId="1D0CBD10" w14:textId="77777777" w:rsidR="00593492" w:rsidRPr="007B421B" w:rsidRDefault="00593492" w:rsidP="00593492">
      <w:pPr>
        <w:keepNext/>
        <w:keepLines/>
        <w:spacing w:after="0" w:line="360" w:lineRule="auto"/>
        <w:rPr>
          <w:rFonts w:ascii="Times New Roman" w:eastAsia="Times New Roman" w:hAnsi="Times New Roman" w:cs="Times New Roman"/>
          <w:sz w:val="26"/>
          <w:szCs w:val="26"/>
        </w:rPr>
      </w:pPr>
    </w:p>
    <w:p w14:paraId="0CBDE249" w14:textId="015EEF39" w:rsidR="00593492" w:rsidRPr="007B421B" w:rsidRDefault="00593492" w:rsidP="00593492">
      <w:pPr>
        <w:spacing w:after="0" w:line="360" w:lineRule="auto"/>
        <w:ind w:firstLine="1440"/>
        <w:rPr>
          <w:rFonts w:ascii="Times New Roman" w:eastAsia="Times New Roman" w:hAnsi="Times New Roman" w:cs="Times New Roman"/>
          <w:sz w:val="26"/>
          <w:szCs w:val="26"/>
        </w:rPr>
      </w:pPr>
      <w:r w:rsidRPr="007B421B">
        <w:rPr>
          <w:rFonts w:ascii="Times New Roman" w:eastAsia="Times New Roman" w:hAnsi="Times New Roman" w:cs="Times New Roman"/>
          <w:sz w:val="26"/>
          <w:szCs w:val="26"/>
        </w:rPr>
        <w:t xml:space="preserve">It is the Commission’s policy to promote settlements.  52 Pa. Code § 5.231.  The Parties herein have provided the Commission with sufficient information upon which to thoroughly consider the terms of the proposed Settlement.  Based on our review of the record in this case, we find that the proposed Settlement </w:t>
      </w:r>
      <w:r w:rsidR="00034C92">
        <w:rPr>
          <w:rFonts w:ascii="Times New Roman" w:eastAsia="Times New Roman" w:hAnsi="Times New Roman" w:cs="Times New Roman"/>
          <w:sz w:val="26"/>
          <w:szCs w:val="26"/>
        </w:rPr>
        <w:t xml:space="preserve">Agreement </w:t>
      </w:r>
      <w:r w:rsidRPr="007B421B">
        <w:rPr>
          <w:rFonts w:ascii="Times New Roman" w:eastAsia="Times New Roman" w:hAnsi="Times New Roman" w:cs="Times New Roman"/>
          <w:sz w:val="26"/>
          <w:szCs w:val="26"/>
        </w:rPr>
        <w:t xml:space="preserve">between I&amp;E and </w:t>
      </w:r>
      <w:r w:rsidR="00AD4922">
        <w:rPr>
          <w:rFonts w:ascii="Times New Roman" w:eastAsia="Times New Roman" w:hAnsi="Times New Roman" w:cs="Times New Roman"/>
          <w:sz w:val="26"/>
          <w:szCs w:val="26"/>
        </w:rPr>
        <w:lastRenderedPageBreak/>
        <w:t>CenturyLink</w:t>
      </w:r>
      <w:r w:rsidRPr="007B421B">
        <w:rPr>
          <w:rFonts w:ascii="Times New Roman" w:eastAsia="Times New Roman" w:hAnsi="Times New Roman" w:cs="Times New Roman"/>
          <w:sz w:val="26"/>
          <w:szCs w:val="26"/>
        </w:rPr>
        <w:t xml:space="preserve"> is in the public interest and merits approval.  We will therefore approve the Settlement</w:t>
      </w:r>
      <w:r>
        <w:rPr>
          <w:rFonts w:ascii="Times New Roman" w:eastAsia="Times New Roman" w:hAnsi="Times New Roman" w:cs="Times New Roman"/>
          <w:sz w:val="26"/>
          <w:szCs w:val="26"/>
        </w:rPr>
        <w:t xml:space="preserve"> consistent with</w:t>
      </w:r>
      <w:r w:rsidRPr="007B421B">
        <w:rPr>
          <w:rFonts w:ascii="Times New Roman" w:eastAsia="Times New Roman" w:hAnsi="Times New Roman" w:cs="Times New Roman"/>
          <w:sz w:val="26"/>
          <w:szCs w:val="26"/>
        </w:rPr>
        <w:t xml:space="preserve"> this Opinion and Order; </w:t>
      </w:r>
      <w:r w:rsidRPr="007B421B">
        <w:rPr>
          <w:rFonts w:ascii="Times New Roman" w:eastAsia="Times New Roman" w:hAnsi="Times New Roman" w:cs="Times New Roman"/>
          <w:b/>
          <w:sz w:val="26"/>
          <w:szCs w:val="26"/>
        </w:rPr>
        <w:t>THEREFORE</w:t>
      </w:r>
      <w:r w:rsidRPr="007B421B">
        <w:rPr>
          <w:rFonts w:ascii="Times New Roman" w:eastAsia="Times New Roman" w:hAnsi="Times New Roman" w:cs="Times New Roman"/>
          <w:sz w:val="26"/>
          <w:szCs w:val="26"/>
        </w:rPr>
        <w:t>,</w:t>
      </w:r>
    </w:p>
    <w:p w14:paraId="4262EFD7" w14:textId="77777777" w:rsidR="004C4AC4" w:rsidRDefault="004C4AC4" w:rsidP="00593492">
      <w:pPr>
        <w:keepNext/>
        <w:keepLines/>
        <w:spacing w:after="0" w:line="360" w:lineRule="auto"/>
        <w:ind w:left="720" w:firstLine="720"/>
        <w:rPr>
          <w:rFonts w:ascii="Times New Roman" w:eastAsia="Times New Roman" w:hAnsi="Times New Roman" w:cs="Times New Roman"/>
          <w:b/>
          <w:sz w:val="26"/>
          <w:szCs w:val="26"/>
        </w:rPr>
      </w:pPr>
    </w:p>
    <w:p w14:paraId="6B9ECB55" w14:textId="0A1E2AF7" w:rsidR="00593492" w:rsidRDefault="00593492" w:rsidP="00593492">
      <w:pPr>
        <w:keepNext/>
        <w:keepLines/>
        <w:spacing w:after="0" w:line="360" w:lineRule="auto"/>
        <w:ind w:left="720" w:firstLine="720"/>
        <w:rPr>
          <w:rFonts w:ascii="Times New Roman" w:eastAsia="Times New Roman" w:hAnsi="Times New Roman" w:cs="Times New Roman"/>
          <w:b/>
          <w:sz w:val="26"/>
          <w:szCs w:val="26"/>
        </w:rPr>
      </w:pPr>
      <w:r w:rsidRPr="007B421B">
        <w:rPr>
          <w:rFonts w:ascii="Times New Roman" w:eastAsia="Times New Roman" w:hAnsi="Times New Roman" w:cs="Times New Roman"/>
          <w:b/>
          <w:sz w:val="26"/>
          <w:szCs w:val="26"/>
        </w:rPr>
        <w:t>IT IS ORDERED:</w:t>
      </w:r>
    </w:p>
    <w:p w14:paraId="45EB5A4A" w14:textId="77777777" w:rsidR="00593492" w:rsidRPr="007B421B" w:rsidRDefault="00593492" w:rsidP="00593492">
      <w:pPr>
        <w:keepNext/>
        <w:keepLines/>
        <w:spacing w:after="0" w:line="360" w:lineRule="auto"/>
        <w:ind w:left="720" w:firstLine="720"/>
        <w:rPr>
          <w:rFonts w:ascii="Times New Roman" w:eastAsia="Times New Roman" w:hAnsi="Times New Roman" w:cs="Times New Roman"/>
          <w:b/>
          <w:sz w:val="26"/>
          <w:szCs w:val="26"/>
        </w:rPr>
      </w:pPr>
    </w:p>
    <w:p w14:paraId="70F39DA0" w14:textId="2D7C8786" w:rsidR="00593492" w:rsidRPr="007B421B" w:rsidRDefault="00593492" w:rsidP="00593492">
      <w:pPr>
        <w:spacing w:after="0" w:line="360" w:lineRule="auto"/>
        <w:ind w:firstLine="1440"/>
        <w:rPr>
          <w:rFonts w:ascii="Times New Roman" w:eastAsia="Times New Roman" w:hAnsi="Times New Roman" w:cs="Times New Roman"/>
          <w:sz w:val="26"/>
          <w:szCs w:val="26"/>
        </w:rPr>
      </w:pPr>
      <w:r w:rsidRPr="007B421B">
        <w:rPr>
          <w:rFonts w:ascii="Times New Roman" w:eastAsia="Times New Roman" w:hAnsi="Times New Roman" w:cs="Times New Roman"/>
          <w:sz w:val="26"/>
          <w:szCs w:val="26"/>
        </w:rPr>
        <w:t>1.</w:t>
      </w:r>
      <w:r w:rsidRPr="007B421B">
        <w:rPr>
          <w:rFonts w:ascii="Times New Roman" w:eastAsia="Times New Roman" w:hAnsi="Times New Roman" w:cs="Times New Roman"/>
          <w:sz w:val="26"/>
          <w:szCs w:val="26"/>
        </w:rPr>
        <w:tab/>
        <w:t xml:space="preserve"> T</w:t>
      </w:r>
      <w:r>
        <w:rPr>
          <w:rFonts w:ascii="Times New Roman" w:eastAsia="Times New Roman" w:hAnsi="Times New Roman" w:cs="Times New Roman"/>
          <w:sz w:val="26"/>
          <w:szCs w:val="26"/>
        </w:rPr>
        <w:t>hat t</w:t>
      </w:r>
      <w:r w:rsidRPr="007B421B">
        <w:rPr>
          <w:rFonts w:ascii="Times New Roman" w:eastAsia="Times New Roman" w:hAnsi="Times New Roman" w:cs="Times New Roman"/>
          <w:sz w:val="26"/>
          <w:szCs w:val="26"/>
        </w:rPr>
        <w:t xml:space="preserve">he </w:t>
      </w:r>
      <w:r>
        <w:rPr>
          <w:rFonts w:ascii="Times New Roman" w:eastAsia="Times New Roman" w:hAnsi="Times New Roman" w:cs="Times New Roman"/>
          <w:sz w:val="26"/>
          <w:szCs w:val="26"/>
        </w:rPr>
        <w:t>Joint Petition</w:t>
      </w:r>
      <w:r w:rsidRPr="007B421B">
        <w:rPr>
          <w:rFonts w:ascii="Times New Roman" w:eastAsia="Times New Roman" w:hAnsi="Times New Roman" w:cs="Times New Roman"/>
          <w:sz w:val="26"/>
          <w:szCs w:val="26"/>
        </w:rPr>
        <w:t xml:space="preserve"> </w:t>
      </w:r>
      <w:r w:rsidR="000F4403">
        <w:rPr>
          <w:rFonts w:ascii="Times New Roman" w:eastAsia="Times New Roman" w:hAnsi="Times New Roman" w:cs="Times New Roman"/>
          <w:sz w:val="26"/>
          <w:szCs w:val="26"/>
        </w:rPr>
        <w:t xml:space="preserve">for Approval of Settlement </w:t>
      </w:r>
      <w:r w:rsidRPr="007B421B">
        <w:rPr>
          <w:rFonts w:ascii="Times New Roman" w:eastAsia="Times New Roman" w:hAnsi="Times New Roman" w:cs="Times New Roman"/>
          <w:sz w:val="26"/>
          <w:szCs w:val="26"/>
        </w:rPr>
        <w:t xml:space="preserve">filed on </w:t>
      </w:r>
      <w:r w:rsidR="002D44D4">
        <w:rPr>
          <w:rFonts w:ascii="Times New Roman" w:eastAsia="Times New Roman" w:hAnsi="Times New Roman" w:cs="Times New Roman"/>
          <w:sz w:val="26"/>
          <w:szCs w:val="26"/>
        </w:rPr>
        <w:t>July 7</w:t>
      </w:r>
      <w:r>
        <w:rPr>
          <w:rFonts w:ascii="Times New Roman" w:eastAsia="Times New Roman" w:hAnsi="Times New Roman" w:cs="Times New Roman"/>
          <w:sz w:val="26"/>
          <w:szCs w:val="26"/>
        </w:rPr>
        <w:t>, 20</w:t>
      </w:r>
      <w:r w:rsidR="002D44D4">
        <w:rPr>
          <w:rFonts w:ascii="Times New Roman" w:eastAsia="Times New Roman" w:hAnsi="Times New Roman" w:cs="Times New Roman"/>
          <w:sz w:val="26"/>
          <w:szCs w:val="26"/>
        </w:rPr>
        <w:t>20</w:t>
      </w:r>
      <w:r w:rsidRPr="007B421B">
        <w:rPr>
          <w:rFonts w:ascii="Times New Roman" w:eastAsia="Times New Roman" w:hAnsi="Times New Roman" w:cs="Times New Roman"/>
          <w:sz w:val="26"/>
          <w:szCs w:val="26"/>
        </w:rPr>
        <w:t xml:space="preserve">, between the Commission’s Bureau of Investigation and Enforcement and </w:t>
      </w:r>
      <w:r w:rsidR="002D44D4">
        <w:rPr>
          <w:rFonts w:ascii="Times New Roman" w:eastAsia="Times New Roman" w:hAnsi="Times New Roman" w:cs="Times New Roman"/>
          <w:sz w:val="26"/>
          <w:szCs w:val="26"/>
        </w:rPr>
        <w:t xml:space="preserve">The United Telephone Company LLC </w:t>
      </w:r>
      <w:r w:rsidR="0093761F">
        <w:rPr>
          <w:rFonts w:ascii="Times New Roman" w:eastAsia="Times New Roman" w:hAnsi="Times New Roman" w:cs="Times New Roman"/>
          <w:sz w:val="26"/>
          <w:szCs w:val="26"/>
        </w:rPr>
        <w:t>d/b/a CenturyLink (CenturyLink)</w:t>
      </w:r>
      <w:r>
        <w:rPr>
          <w:rFonts w:ascii="Times New Roman" w:eastAsia="Times New Roman" w:hAnsi="Times New Roman" w:cs="Times New Roman"/>
          <w:sz w:val="26"/>
          <w:szCs w:val="26"/>
        </w:rPr>
        <w:t>,</w:t>
      </w:r>
      <w:r w:rsidRPr="007B421B">
        <w:rPr>
          <w:rFonts w:ascii="Times New Roman" w:eastAsia="Times New Roman" w:hAnsi="Times New Roman" w:cs="Times New Roman"/>
          <w:sz w:val="26"/>
          <w:szCs w:val="26"/>
        </w:rPr>
        <w:t xml:space="preserve"> is approved</w:t>
      </w:r>
      <w:r w:rsidR="0093761F">
        <w:rPr>
          <w:rFonts w:ascii="Times New Roman" w:eastAsia="Times New Roman" w:hAnsi="Times New Roman" w:cs="Times New Roman"/>
          <w:sz w:val="26"/>
          <w:szCs w:val="26"/>
        </w:rPr>
        <w:t xml:space="preserve"> in its entirety without modifications</w:t>
      </w:r>
      <w:r w:rsidRPr="007B421B">
        <w:rPr>
          <w:rFonts w:ascii="Times New Roman" w:eastAsia="Times New Roman" w:hAnsi="Times New Roman" w:cs="Times New Roman"/>
          <w:sz w:val="26"/>
          <w:szCs w:val="26"/>
        </w:rPr>
        <w:t>.</w:t>
      </w:r>
    </w:p>
    <w:p w14:paraId="4CF2EDAC" w14:textId="77777777" w:rsidR="00593492" w:rsidRPr="007B421B" w:rsidRDefault="00593492" w:rsidP="00593492">
      <w:pPr>
        <w:spacing w:after="0" w:line="360" w:lineRule="auto"/>
        <w:rPr>
          <w:rFonts w:ascii="Times New Roman" w:eastAsia="Times New Roman" w:hAnsi="Times New Roman" w:cs="Times New Roman"/>
          <w:sz w:val="26"/>
          <w:szCs w:val="26"/>
        </w:rPr>
      </w:pPr>
    </w:p>
    <w:p w14:paraId="1E94C4B7" w14:textId="1EB9B797" w:rsidR="00593492" w:rsidRDefault="00593492" w:rsidP="00593492">
      <w:pPr>
        <w:spacing w:after="0" w:line="360" w:lineRule="auto"/>
        <w:ind w:firstLine="1440"/>
        <w:rPr>
          <w:rFonts w:ascii="Times New Roman" w:eastAsia="Times New Roman" w:hAnsi="Times New Roman" w:cs="Times New Roman"/>
          <w:sz w:val="26"/>
          <w:szCs w:val="20"/>
        </w:rPr>
      </w:pPr>
      <w:r w:rsidRPr="007B421B">
        <w:rPr>
          <w:rFonts w:ascii="Times New Roman" w:eastAsia="Times New Roman" w:hAnsi="Times New Roman" w:cs="Times New Roman"/>
          <w:sz w:val="26"/>
          <w:szCs w:val="26"/>
        </w:rPr>
        <w:t>2.</w:t>
      </w:r>
      <w:r w:rsidRPr="007B421B">
        <w:rPr>
          <w:rFonts w:ascii="Times New Roman" w:eastAsia="Times New Roman" w:hAnsi="Times New Roman" w:cs="Times New Roman"/>
          <w:sz w:val="26"/>
          <w:szCs w:val="26"/>
        </w:rPr>
        <w:tab/>
        <w:t xml:space="preserve">That, </w:t>
      </w:r>
      <w:r w:rsidR="0093761F">
        <w:rPr>
          <w:rFonts w:ascii="Times New Roman" w:eastAsia="Times New Roman" w:hAnsi="Times New Roman" w:cs="Times New Roman"/>
          <w:sz w:val="26"/>
          <w:szCs w:val="26"/>
        </w:rPr>
        <w:t xml:space="preserve">in accordance with Section 3301 of the Public Utility Code, 66 Pa. C.S. </w:t>
      </w:r>
      <w:r w:rsidR="00073FC8">
        <w:rPr>
          <w:rFonts w:ascii="Times New Roman" w:eastAsia="Times New Roman" w:hAnsi="Times New Roman" w:cs="Times New Roman"/>
          <w:sz w:val="26"/>
          <w:szCs w:val="26"/>
        </w:rPr>
        <w:t xml:space="preserve">§ 3301, </w:t>
      </w:r>
      <w:r w:rsidRPr="007B421B">
        <w:rPr>
          <w:rFonts w:ascii="Times New Roman" w:eastAsia="Times New Roman" w:hAnsi="Times New Roman" w:cs="Times New Roman"/>
          <w:sz w:val="26"/>
          <w:szCs w:val="26"/>
        </w:rPr>
        <w:t xml:space="preserve">within </w:t>
      </w:r>
      <w:r w:rsidR="00272592">
        <w:rPr>
          <w:rFonts w:ascii="Times New Roman" w:eastAsia="Times New Roman" w:hAnsi="Times New Roman" w:cs="Times New Roman"/>
          <w:sz w:val="26"/>
          <w:szCs w:val="20"/>
        </w:rPr>
        <w:t>sixty</w:t>
      </w:r>
      <w:r>
        <w:rPr>
          <w:rFonts w:ascii="Times New Roman" w:eastAsia="Times New Roman" w:hAnsi="Times New Roman" w:cs="Times New Roman"/>
          <w:sz w:val="26"/>
          <w:szCs w:val="20"/>
        </w:rPr>
        <w:t xml:space="preserve"> (</w:t>
      </w:r>
      <w:r w:rsidR="00272592">
        <w:rPr>
          <w:rFonts w:ascii="Times New Roman" w:eastAsia="Times New Roman" w:hAnsi="Times New Roman" w:cs="Times New Roman"/>
          <w:sz w:val="26"/>
          <w:szCs w:val="20"/>
        </w:rPr>
        <w:t>6</w:t>
      </w:r>
      <w:r>
        <w:rPr>
          <w:rFonts w:ascii="Times New Roman" w:eastAsia="Times New Roman" w:hAnsi="Times New Roman" w:cs="Times New Roman"/>
          <w:sz w:val="26"/>
          <w:szCs w:val="20"/>
        </w:rPr>
        <w:t xml:space="preserve">0) days of </w:t>
      </w:r>
      <w:r w:rsidR="00137B9E">
        <w:rPr>
          <w:rFonts w:ascii="Times New Roman" w:eastAsia="Times New Roman" w:hAnsi="Times New Roman" w:cs="Times New Roman"/>
          <w:sz w:val="26"/>
          <w:szCs w:val="20"/>
        </w:rPr>
        <w:t>the date this Order becomes final</w:t>
      </w:r>
      <w:r w:rsidRPr="007B421B">
        <w:rPr>
          <w:rFonts w:ascii="Times New Roman" w:eastAsia="Times New Roman" w:hAnsi="Times New Roman" w:cs="Times New Roman"/>
          <w:sz w:val="26"/>
          <w:szCs w:val="20"/>
        </w:rPr>
        <w:t xml:space="preserve">, </w:t>
      </w:r>
      <w:r w:rsidR="00137B9E">
        <w:rPr>
          <w:rFonts w:ascii="Times New Roman" w:eastAsia="Times New Roman" w:hAnsi="Times New Roman" w:cs="Times New Roman"/>
          <w:sz w:val="26"/>
          <w:szCs w:val="20"/>
        </w:rPr>
        <w:t>CenturyLink sh</w:t>
      </w:r>
      <w:r w:rsidRPr="007B421B">
        <w:rPr>
          <w:rFonts w:ascii="Times New Roman" w:eastAsia="Times New Roman" w:hAnsi="Times New Roman" w:cs="Times New Roman"/>
          <w:sz w:val="26"/>
          <w:szCs w:val="20"/>
        </w:rPr>
        <w:t xml:space="preserve">all pay </w:t>
      </w:r>
      <w:r w:rsidR="00324D75">
        <w:rPr>
          <w:rFonts w:ascii="Times New Roman" w:eastAsia="Times New Roman" w:hAnsi="Times New Roman" w:cs="Times New Roman"/>
          <w:sz w:val="26"/>
          <w:szCs w:val="20"/>
        </w:rPr>
        <w:t>Thirty-Two Thousand Fifty Dollars (</w:t>
      </w:r>
      <w:r w:rsidRPr="007B421B">
        <w:rPr>
          <w:rFonts w:ascii="Times New Roman" w:eastAsia="Times New Roman" w:hAnsi="Times New Roman" w:cs="Times New Roman"/>
          <w:sz w:val="26"/>
          <w:szCs w:val="20"/>
        </w:rPr>
        <w:t>$</w:t>
      </w:r>
      <w:r w:rsidR="00324D75">
        <w:rPr>
          <w:rFonts w:ascii="Times New Roman" w:eastAsia="Times New Roman" w:hAnsi="Times New Roman" w:cs="Times New Roman"/>
          <w:sz w:val="26"/>
          <w:szCs w:val="20"/>
        </w:rPr>
        <w:t>32</w:t>
      </w:r>
      <w:r>
        <w:rPr>
          <w:rFonts w:ascii="Times New Roman" w:eastAsia="Times New Roman" w:hAnsi="Times New Roman" w:cs="Times New Roman"/>
          <w:sz w:val="26"/>
          <w:szCs w:val="20"/>
        </w:rPr>
        <w:t>,0</w:t>
      </w:r>
      <w:r w:rsidR="00324D75">
        <w:rPr>
          <w:rFonts w:ascii="Times New Roman" w:eastAsia="Times New Roman" w:hAnsi="Times New Roman" w:cs="Times New Roman"/>
          <w:sz w:val="26"/>
          <w:szCs w:val="20"/>
        </w:rPr>
        <w:t>5</w:t>
      </w:r>
      <w:r>
        <w:rPr>
          <w:rFonts w:ascii="Times New Roman" w:eastAsia="Times New Roman" w:hAnsi="Times New Roman" w:cs="Times New Roman"/>
          <w:sz w:val="26"/>
          <w:szCs w:val="20"/>
        </w:rPr>
        <w:t>0</w:t>
      </w:r>
      <w:r w:rsidR="00324D75">
        <w:rPr>
          <w:rFonts w:ascii="Times New Roman" w:eastAsia="Times New Roman" w:hAnsi="Times New Roman" w:cs="Times New Roman"/>
          <w:sz w:val="26"/>
          <w:szCs w:val="20"/>
        </w:rPr>
        <w:t>), which consists of the entirety of the civil penalty amount.</w:t>
      </w:r>
      <w:r w:rsidRPr="007B421B">
        <w:rPr>
          <w:rFonts w:ascii="Times New Roman" w:eastAsia="Times New Roman" w:hAnsi="Times New Roman" w:cs="Times New Roman"/>
          <w:sz w:val="26"/>
          <w:szCs w:val="20"/>
        </w:rPr>
        <w:t xml:space="preserve">  Said</w:t>
      </w:r>
      <w:r>
        <w:rPr>
          <w:rFonts w:ascii="Times New Roman" w:eastAsia="Times New Roman" w:hAnsi="Times New Roman" w:cs="Times New Roman"/>
          <w:sz w:val="26"/>
          <w:szCs w:val="20"/>
        </w:rPr>
        <w:t xml:space="preserve"> payment shall be made by</w:t>
      </w:r>
      <w:r w:rsidRPr="007B421B">
        <w:rPr>
          <w:rFonts w:ascii="Times New Roman" w:eastAsia="Times New Roman" w:hAnsi="Times New Roman" w:cs="Times New Roman"/>
          <w:sz w:val="26"/>
          <w:szCs w:val="20"/>
        </w:rPr>
        <w:t xml:space="preserve"> </w:t>
      </w:r>
      <w:r>
        <w:rPr>
          <w:rFonts w:ascii="Times New Roman" w:eastAsia="Times New Roman" w:hAnsi="Times New Roman" w:cs="Times New Roman"/>
          <w:sz w:val="26"/>
          <w:szCs w:val="20"/>
        </w:rPr>
        <w:t xml:space="preserve">certified </w:t>
      </w:r>
      <w:r w:rsidRPr="007B421B">
        <w:rPr>
          <w:rFonts w:ascii="Times New Roman" w:eastAsia="Times New Roman" w:hAnsi="Times New Roman" w:cs="Times New Roman"/>
          <w:sz w:val="26"/>
          <w:szCs w:val="20"/>
        </w:rPr>
        <w:t>check or money order payable to “Commonwealth of Pennsylvania” and shall be sent to:</w:t>
      </w:r>
    </w:p>
    <w:p w14:paraId="4C4B632B" w14:textId="77777777" w:rsidR="00593492" w:rsidRPr="007B421B" w:rsidRDefault="00593492" w:rsidP="00593492">
      <w:pPr>
        <w:spacing w:after="0" w:line="360" w:lineRule="auto"/>
        <w:ind w:firstLine="1440"/>
        <w:rPr>
          <w:rFonts w:ascii="Times New Roman" w:eastAsia="Times New Roman" w:hAnsi="Times New Roman" w:cs="Times New Roman"/>
          <w:sz w:val="26"/>
          <w:szCs w:val="20"/>
        </w:rPr>
      </w:pPr>
    </w:p>
    <w:p w14:paraId="0328356D" w14:textId="77777777" w:rsidR="00593492" w:rsidRPr="007B421B" w:rsidRDefault="00593492" w:rsidP="00593492">
      <w:pPr>
        <w:keepNext/>
        <w:spacing w:after="0" w:line="240" w:lineRule="auto"/>
        <w:ind w:firstLine="2160"/>
        <w:rPr>
          <w:rFonts w:ascii="Times New Roman" w:eastAsia="Times New Roman" w:hAnsi="Times New Roman" w:cs="Times New Roman"/>
          <w:sz w:val="26"/>
          <w:szCs w:val="20"/>
        </w:rPr>
      </w:pPr>
      <w:r>
        <w:rPr>
          <w:rFonts w:ascii="Times New Roman" w:eastAsia="Times New Roman" w:hAnsi="Times New Roman" w:cs="Times New Roman"/>
          <w:sz w:val="26"/>
          <w:szCs w:val="20"/>
        </w:rPr>
        <w:t xml:space="preserve">Rosemary Chiavetta, </w:t>
      </w:r>
      <w:r w:rsidRPr="007B421B">
        <w:rPr>
          <w:rFonts w:ascii="Times New Roman" w:eastAsia="Times New Roman" w:hAnsi="Times New Roman" w:cs="Times New Roman"/>
          <w:sz w:val="26"/>
          <w:szCs w:val="20"/>
        </w:rPr>
        <w:t>Secretary</w:t>
      </w:r>
    </w:p>
    <w:p w14:paraId="3896510B" w14:textId="77777777" w:rsidR="00593492" w:rsidRPr="007B421B" w:rsidRDefault="00593492" w:rsidP="00593492">
      <w:pPr>
        <w:keepNext/>
        <w:spacing w:after="0" w:line="240" w:lineRule="auto"/>
        <w:ind w:firstLine="2160"/>
        <w:rPr>
          <w:rFonts w:ascii="Times New Roman" w:eastAsia="Times New Roman" w:hAnsi="Times New Roman" w:cs="Times New Roman"/>
          <w:sz w:val="26"/>
          <w:szCs w:val="20"/>
        </w:rPr>
      </w:pPr>
      <w:r w:rsidRPr="007B421B">
        <w:rPr>
          <w:rFonts w:ascii="Times New Roman" w:eastAsia="Times New Roman" w:hAnsi="Times New Roman" w:cs="Times New Roman"/>
          <w:sz w:val="26"/>
          <w:szCs w:val="20"/>
        </w:rPr>
        <w:t>Pennsylvania Public Utility Commission</w:t>
      </w:r>
    </w:p>
    <w:p w14:paraId="79AFE08C" w14:textId="77777777" w:rsidR="00593492" w:rsidRDefault="00593492" w:rsidP="00593492">
      <w:pPr>
        <w:keepNext/>
        <w:spacing w:after="0" w:line="240" w:lineRule="auto"/>
        <w:ind w:firstLine="2160"/>
        <w:rPr>
          <w:rFonts w:ascii="Times New Roman" w:eastAsia="Times New Roman" w:hAnsi="Times New Roman" w:cs="Times New Roman"/>
          <w:sz w:val="26"/>
          <w:szCs w:val="20"/>
        </w:rPr>
      </w:pPr>
      <w:r>
        <w:rPr>
          <w:rFonts w:ascii="Times New Roman" w:eastAsia="Times New Roman" w:hAnsi="Times New Roman" w:cs="Times New Roman"/>
          <w:sz w:val="26"/>
          <w:szCs w:val="20"/>
        </w:rPr>
        <w:t>Commonwealth Keystone Building</w:t>
      </w:r>
    </w:p>
    <w:p w14:paraId="6B464BA0" w14:textId="77777777" w:rsidR="00593492" w:rsidRPr="007B421B" w:rsidRDefault="00593492" w:rsidP="00593492">
      <w:pPr>
        <w:keepNext/>
        <w:spacing w:after="0" w:line="240" w:lineRule="auto"/>
        <w:ind w:firstLine="2160"/>
        <w:rPr>
          <w:rFonts w:ascii="Times New Roman" w:eastAsia="Times New Roman" w:hAnsi="Times New Roman" w:cs="Times New Roman"/>
          <w:sz w:val="26"/>
          <w:szCs w:val="20"/>
        </w:rPr>
      </w:pPr>
      <w:r>
        <w:rPr>
          <w:rFonts w:ascii="Times New Roman" w:eastAsia="Times New Roman" w:hAnsi="Times New Roman" w:cs="Times New Roman"/>
          <w:sz w:val="26"/>
          <w:szCs w:val="20"/>
        </w:rPr>
        <w:t>400 North Street</w:t>
      </w:r>
    </w:p>
    <w:p w14:paraId="02D02134" w14:textId="77777777" w:rsidR="00593492" w:rsidRDefault="00593492" w:rsidP="00593492">
      <w:pPr>
        <w:spacing w:after="0" w:line="240" w:lineRule="auto"/>
        <w:ind w:firstLine="2160"/>
        <w:rPr>
          <w:rFonts w:ascii="Times New Roman" w:eastAsia="Times New Roman" w:hAnsi="Times New Roman" w:cs="Times New Roman"/>
          <w:sz w:val="26"/>
          <w:szCs w:val="20"/>
        </w:rPr>
      </w:pPr>
      <w:r w:rsidRPr="007B421B">
        <w:rPr>
          <w:rFonts w:ascii="Times New Roman" w:eastAsia="Times New Roman" w:hAnsi="Times New Roman" w:cs="Times New Roman"/>
          <w:sz w:val="26"/>
          <w:szCs w:val="20"/>
        </w:rPr>
        <w:t xml:space="preserve">Harrisburg, PA  </w:t>
      </w:r>
      <w:r>
        <w:rPr>
          <w:rFonts w:ascii="Times New Roman" w:eastAsia="Times New Roman" w:hAnsi="Times New Roman" w:cs="Times New Roman"/>
          <w:sz w:val="26"/>
          <w:szCs w:val="20"/>
        </w:rPr>
        <w:t>17120</w:t>
      </w:r>
    </w:p>
    <w:p w14:paraId="059686E9" w14:textId="77777777" w:rsidR="007F5A1D" w:rsidRDefault="007F5A1D" w:rsidP="00593492">
      <w:pPr>
        <w:spacing w:after="0" w:line="240" w:lineRule="auto"/>
        <w:ind w:firstLine="2160"/>
        <w:rPr>
          <w:rFonts w:ascii="Times New Roman" w:eastAsia="Times New Roman" w:hAnsi="Times New Roman" w:cs="Times New Roman"/>
          <w:sz w:val="26"/>
          <w:szCs w:val="20"/>
        </w:rPr>
      </w:pPr>
    </w:p>
    <w:p w14:paraId="7AC242E7" w14:textId="77777777" w:rsidR="007F5A1D" w:rsidRPr="007B421B" w:rsidRDefault="007F5A1D" w:rsidP="00593492">
      <w:pPr>
        <w:spacing w:after="0" w:line="240" w:lineRule="auto"/>
        <w:ind w:firstLine="2160"/>
        <w:rPr>
          <w:rFonts w:ascii="Times New Roman" w:eastAsia="Times New Roman" w:hAnsi="Times New Roman" w:cs="Times New Roman"/>
          <w:sz w:val="26"/>
          <w:szCs w:val="20"/>
        </w:rPr>
      </w:pPr>
    </w:p>
    <w:p w14:paraId="54004240" w14:textId="4DA7C517" w:rsidR="0056133A" w:rsidRDefault="00593492" w:rsidP="004405DF">
      <w:pPr>
        <w:spacing w:after="0" w:line="360" w:lineRule="auto"/>
        <w:ind w:firstLine="1440"/>
        <w:rPr>
          <w:rFonts w:ascii="Times New Roman" w:eastAsia="Times New Roman" w:hAnsi="Times New Roman" w:cs="Times New Roman"/>
          <w:sz w:val="26"/>
          <w:szCs w:val="26"/>
        </w:rPr>
      </w:pPr>
      <w:r w:rsidRPr="007B421B">
        <w:rPr>
          <w:rFonts w:ascii="Times New Roman" w:eastAsia="Times New Roman" w:hAnsi="Times New Roman" w:cs="Times New Roman"/>
          <w:sz w:val="26"/>
          <w:szCs w:val="26"/>
        </w:rPr>
        <w:t>3.</w:t>
      </w:r>
      <w:r w:rsidRPr="007B421B">
        <w:rPr>
          <w:rFonts w:ascii="Times New Roman" w:eastAsia="Times New Roman" w:hAnsi="Times New Roman" w:cs="Times New Roman"/>
          <w:sz w:val="26"/>
          <w:szCs w:val="26"/>
        </w:rPr>
        <w:tab/>
      </w:r>
      <w:r w:rsidR="0056133A">
        <w:rPr>
          <w:rFonts w:ascii="Times New Roman" w:eastAsia="Times New Roman" w:hAnsi="Times New Roman" w:cs="Times New Roman"/>
          <w:sz w:val="26"/>
          <w:szCs w:val="26"/>
        </w:rPr>
        <w:t xml:space="preserve">That </w:t>
      </w:r>
      <w:r w:rsidR="0082350E">
        <w:rPr>
          <w:rFonts w:ascii="Times New Roman" w:eastAsia="Times New Roman" w:hAnsi="Times New Roman" w:cs="Times New Roman"/>
          <w:sz w:val="26"/>
          <w:szCs w:val="26"/>
        </w:rPr>
        <w:t xml:space="preserve">the civil penalty shall not be tax deductible or passed-through as an additional charge to CenturyLink’s </w:t>
      </w:r>
      <w:r w:rsidR="00C12F3B">
        <w:rPr>
          <w:rFonts w:ascii="Times New Roman" w:eastAsia="Times New Roman" w:hAnsi="Times New Roman" w:cs="Times New Roman"/>
          <w:sz w:val="26"/>
          <w:szCs w:val="26"/>
        </w:rPr>
        <w:t>customers in Pennsylvania.</w:t>
      </w:r>
      <w:r w:rsidR="00272592">
        <w:rPr>
          <w:rFonts w:ascii="Times New Roman" w:eastAsia="Times New Roman" w:hAnsi="Times New Roman" w:cs="Times New Roman"/>
          <w:sz w:val="26"/>
          <w:szCs w:val="26"/>
        </w:rPr>
        <w:t xml:space="preserve"> </w:t>
      </w:r>
    </w:p>
    <w:p w14:paraId="28FA82EB" w14:textId="77777777" w:rsidR="0056133A" w:rsidRDefault="0056133A" w:rsidP="00593492">
      <w:pPr>
        <w:spacing w:after="0" w:line="360" w:lineRule="auto"/>
        <w:ind w:firstLine="1440"/>
        <w:rPr>
          <w:rFonts w:ascii="Times New Roman" w:eastAsia="Times New Roman" w:hAnsi="Times New Roman" w:cs="Times New Roman"/>
          <w:sz w:val="26"/>
          <w:szCs w:val="26"/>
        </w:rPr>
      </w:pPr>
    </w:p>
    <w:p w14:paraId="2D7D39E7" w14:textId="12A5DE63" w:rsidR="00593492" w:rsidRDefault="004405DF" w:rsidP="00272592">
      <w:pPr>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sidR="00272592">
        <w:rPr>
          <w:rFonts w:ascii="Times New Roman" w:eastAsia="Times New Roman" w:hAnsi="Times New Roman" w:cs="Times New Roman"/>
          <w:sz w:val="26"/>
          <w:szCs w:val="26"/>
        </w:rPr>
        <w:t>.</w:t>
      </w:r>
      <w:r w:rsidR="00272592">
        <w:rPr>
          <w:rFonts w:ascii="Times New Roman" w:eastAsia="Times New Roman" w:hAnsi="Times New Roman" w:cs="Times New Roman"/>
          <w:sz w:val="26"/>
          <w:szCs w:val="26"/>
        </w:rPr>
        <w:tab/>
      </w:r>
      <w:r w:rsidR="00593492">
        <w:rPr>
          <w:rFonts w:ascii="Times New Roman" w:eastAsia="Times New Roman" w:hAnsi="Times New Roman" w:cs="Times New Roman"/>
          <w:sz w:val="26"/>
          <w:szCs w:val="26"/>
        </w:rPr>
        <w:t>That a</w:t>
      </w:r>
      <w:r w:rsidR="00593492" w:rsidRPr="007B421B">
        <w:rPr>
          <w:rFonts w:ascii="Times New Roman" w:eastAsia="Times New Roman" w:hAnsi="Times New Roman" w:cs="Times New Roman"/>
          <w:sz w:val="26"/>
          <w:szCs w:val="20"/>
        </w:rPr>
        <w:t xml:space="preserve"> copy of this Opinion and Order shall be served upon the Financial and Assessment Chief, Office of Administrative Services</w:t>
      </w:r>
      <w:r w:rsidR="00272592">
        <w:rPr>
          <w:rFonts w:ascii="Times New Roman" w:eastAsia="Times New Roman" w:hAnsi="Times New Roman" w:cs="Times New Roman"/>
          <w:sz w:val="26"/>
          <w:szCs w:val="20"/>
        </w:rPr>
        <w:t xml:space="preserve">, and the </w:t>
      </w:r>
      <w:r w:rsidR="00272592">
        <w:rPr>
          <w:rFonts w:ascii="Times New Roman" w:eastAsia="Times New Roman" w:hAnsi="Times New Roman" w:cs="Times New Roman"/>
          <w:sz w:val="26"/>
          <w:szCs w:val="26"/>
        </w:rPr>
        <w:t>Bureau of Technical Utility Services.</w:t>
      </w:r>
    </w:p>
    <w:p w14:paraId="00512EC5" w14:textId="457BF4E3" w:rsidR="0084740D" w:rsidRDefault="0084740D" w:rsidP="00272592">
      <w:pPr>
        <w:spacing w:after="0" w:line="360" w:lineRule="auto"/>
        <w:ind w:firstLine="1440"/>
        <w:rPr>
          <w:rFonts w:ascii="Times New Roman" w:eastAsia="Times New Roman" w:hAnsi="Times New Roman" w:cs="Times New Roman"/>
          <w:sz w:val="26"/>
          <w:szCs w:val="26"/>
        </w:rPr>
      </w:pPr>
    </w:p>
    <w:p w14:paraId="3F6E8095" w14:textId="0D47AD5F" w:rsidR="0084740D" w:rsidRDefault="0084740D" w:rsidP="00272592">
      <w:pPr>
        <w:spacing w:after="0" w:line="360" w:lineRule="auto"/>
        <w:ind w:firstLine="1440"/>
        <w:rPr>
          <w:rFonts w:ascii="Times New Roman" w:eastAsia="Times New Roman" w:hAnsi="Times New Roman" w:cs="Times New Roman"/>
          <w:sz w:val="26"/>
          <w:szCs w:val="26"/>
        </w:rPr>
      </w:pPr>
    </w:p>
    <w:p w14:paraId="377BEB88" w14:textId="3F727816" w:rsidR="00593492" w:rsidRDefault="0084740D" w:rsidP="00593492">
      <w:pPr>
        <w:keepNext/>
        <w:keepLines/>
        <w:spacing w:after="0" w:line="360" w:lineRule="auto"/>
        <w:ind w:firstLine="1440"/>
        <w:rPr>
          <w:rFonts w:ascii="Times New Roman" w:eastAsia="Times New Roman" w:hAnsi="Times New Roman" w:cs="Times New Roman"/>
          <w:sz w:val="26"/>
          <w:szCs w:val="20"/>
        </w:rPr>
      </w:pPr>
      <w:r>
        <w:rPr>
          <w:rFonts w:ascii="Times New Roman" w:eastAsia="Times New Roman" w:hAnsi="Times New Roman" w:cs="Times New Roman"/>
          <w:sz w:val="26"/>
          <w:szCs w:val="20"/>
        </w:rPr>
        <w:lastRenderedPageBreak/>
        <w:t>5</w:t>
      </w:r>
      <w:r w:rsidR="00593492">
        <w:rPr>
          <w:rFonts w:ascii="Times New Roman" w:eastAsia="Times New Roman" w:hAnsi="Times New Roman" w:cs="Times New Roman"/>
          <w:sz w:val="26"/>
          <w:szCs w:val="20"/>
        </w:rPr>
        <w:t xml:space="preserve">. </w:t>
      </w:r>
      <w:r w:rsidR="00593492">
        <w:rPr>
          <w:rFonts w:ascii="Times New Roman" w:eastAsia="Times New Roman" w:hAnsi="Times New Roman" w:cs="Times New Roman"/>
          <w:sz w:val="26"/>
          <w:szCs w:val="20"/>
        </w:rPr>
        <w:tab/>
        <w:t xml:space="preserve">That, after </w:t>
      </w:r>
      <w:r w:rsidR="0096770D">
        <w:rPr>
          <w:rFonts w:ascii="Times New Roman" w:eastAsia="Times New Roman" w:hAnsi="Times New Roman" w:cs="Times New Roman"/>
          <w:sz w:val="26"/>
          <w:szCs w:val="20"/>
        </w:rPr>
        <w:t>CenturyLink</w:t>
      </w:r>
      <w:r w:rsidR="005A3029">
        <w:rPr>
          <w:rFonts w:ascii="Times New Roman" w:eastAsia="Times New Roman" w:hAnsi="Times New Roman" w:cs="Times New Roman"/>
          <w:sz w:val="26"/>
          <w:szCs w:val="26"/>
        </w:rPr>
        <w:t xml:space="preserve">, </w:t>
      </w:r>
      <w:r w:rsidR="00593492">
        <w:rPr>
          <w:rFonts w:ascii="Times New Roman" w:eastAsia="Times New Roman" w:hAnsi="Times New Roman" w:cs="Times New Roman"/>
          <w:sz w:val="26"/>
          <w:szCs w:val="26"/>
        </w:rPr>
        <w:t>remits the civil penalty as set forth in Ordering Paragraph No. 2, the Secretary’s Bureau shall mark this proceeding closed.</w:t>
      </w:r>
    </w:p>
    <w:p w14:paraId="280784D1" w14:textId="0044BB51" w:rsidR="00F44833" w:rsidRPr="003F7EE6" w:rsidRDefault="00F44833" w:rsidP="00593492">
      <w:pPr>
        <w:tabs>
          <w:tab w:val="center" w:pos="720"/>
        </w:tabs>
        <w:suppressAutoHyphens/>
        <w:spacing w:after="0" w:line="360" w:lineRule="auto"/>
        <w:rPr>
          <w:rFonts w:ascii="Times New Roman" w:eastAsia="Times New Roman" w:hAnsi="Times New Roman" w:cs="Times New Roman"/>
          <w:sz w:val="26"/>
          <w:szCs w:val="26"/>
        </w:rPr>
      </w:pPr>
    </w:p>
    <w:p w14:paraId="437F198C" w14:textId="2575B5BE" w:rsidR="00F44833" w:rsidRPr="003F7EE6" w:rsidRDefault="00C2636B" w:rsidP="00F44833">
      <w:pPr>
        <w:spacing w:after="0" w:line="360" w:lineRule="auto"/>
        <w:rPr>
          <w:rFonts w:ascii="Times New Roman" w:eastAsia="Times New Roman" w:hAnsi="Times New Roman" w:cs="Times New Roman"/>
          <w:b/>
          <w:sz w:val="26"/>
          <w:szCs w:val="26"/>
        </w:rPr>
      </w:pPr>
      <w:r>
        <w:rPr>
          <w:noProof/>
        </w:rPr>
        <w:drawing>
          <wp:anchor distT="0" distB="0" distL="114300" distR="114300" simplePos="0" relativeHeight="251659264" behindDoc="1" locked="0" layoutInCell="1" allowOverlap="1" wp14:anchorId="157D01D8" wp14:editId="045D4DF2">
            <wp:simplePos x="0" y="0"/>
            <wp:positionH relativeFrom="column">
              <wp:posOffset>3248025</wp:posOffset>
            </wp:positionH>
            <wp:positionV relativeFrom="paragraph">
              <wp:posOffset>220980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44833" w:rsidRPr="003F7EE6">
        <w:rPr>
          <w:rFonts w:ascii="Times New Roman" w:eastAsia="Times New Roman" w:hAnsi="Times New Roman" w:cs="Times New Roman"/>
          <w:sz w:val="26"/>
          <w:szCs w:val="26"/>
        </w:rPr>
        <w:tab/>
      </w:r>
      <w:r w:rsidR="00F44833" w:rsidRPr="003F7EE6">
        <w:rPr>
          <w:rFonts w:ascii="Times New Roman" w:eastAsia="Times New Roman" w:hAnsi="Times New Roman" w:cs="Times New Roman"/>
          <w:sz w:val="26"/>
          <w:szCs w:val="26"/>
        </w:rPr>
        <w:tab/>
      </w:r>
      <w:r w:rsidR="00F44833" w:rsidRPr="003F7EE6">
        <w:rPr>
          <w:rFonts w:ascii="Times New Roman" w:eastAsia="Times New Roman" w:hAnsi="Times New Roman" w:cs="Times New Roman"/>
          <w:sz w:val="26"/>
          <w:szCs w:val="26"/>
        </w:rPr>
        <w:tab/>
      </w:r>
      <w:r w:rsidR="00F44833" w:rsidRPr="003F7EE6">
        <w:rPr>
          <w:rFonts w:ascii="Times New Roman" w:eastAsia="Times New Roman" w:hAnsi="Times New Roman" w:cs="Times New Roman"/>
          <w:sz w:val="26"/>
          <w:szCs w:val="26"/>
        </w:rPr>
        <w:tab/>
      </w:r>
      <w:r w:rsidR="00F44833" w:rsidRPr="003F7EE6">
        <w:rPr>
          <w:rFonts w:ascii="Times New Roman" w:eastAsia="Times New Roman" w:hAnsi="Times New Roman" w:cs="Times New Roman"/>
          <w:sz w:val="26"/>
          <w:szCs w:val="26"/>
        </w:rPr>
        <w:tab/>
      </w:r>
      <w:r w:rsidR="00F44833" w:rsidRPr="003F7EE6">
        <w:rPr>
          <w:rFonts w:ascii="Times New Roman" w:eastAsia="Times New Roman" w:hAnsi="Times New Roman" w:cs="Times New Roman"/>
          <w:sz w:val="26"/>
          <w:szCs w:val="26"/>
        </w:rPr>
        <w:tab/>
      </w:r>
      <w:r w:rsidR="00F44833" w:rsidRPr="003F7EE6">
        <w:rPr>
          <w:rFonts w:ascii="Times New Roman" w:eastAsia="Times New Roman" w:hAnsi="Times New Roman" w:cs="Times New Roman"/>
          <w:sz w:val="26"/>
          <w:szCs w:val="26"/>
        </w:rPr>
        <w:tab/>
      </w:r>
      <w:r w:rsidR="00F44833" w:rsidRPr="003F7EE6">
        <w:rPr>
          <w:rFonts w:ascii="Times New Roman" w:eastAsia="Times New Roman" w:hAnsi="Times New Roman" w:cs="Times New Roman"/>
          <w:b/>
          <w:sz w:val="26"/>
          <w:szCs w:val="26"/>
        </w:rPr>
        <w:t>BY THE COMMISSION,</w:t>
      </w:r>
    </w:p>
    <w:p w14:paraId="7E03DE9B" w14:textId="77777777" w:rsidR="00F44833" w:rsidRDefault="00F44833" w:rsidP="00F44833">
      <w:pPr>
        <w:spacing w:after="0" w:line="240" w:lineRule="auto"/>
        <w:rPr>
          <w:rFonts w:ascii="Times New Roman" w:eastAsia="Times New Roman" w:hAnsi="Times New Roman" w:cs="Times New Roman"/>
          <w:sz w:val="26"/>
          <w:szCs w:val="26"/>
        </w:rPr>
      </w:pPr>
    </w:p>
    <w:p w14:paraId="757FDCD6" w14:textId="77777777" w:rsidR="007F5A1D" w:rsidRPr="003F7EE6" w:rsidRDefault="007F5A1D" w:rsidP="00F44833">
      <w:pPr>
        <w:spacing w:after="0" w:line="240" w:lineRule="auto"/>
        <w:rPr>
          <w:rFonts w:ascii="Times New Roman" w:eastAsia="Times New Roman" w:hAnsi="Times New Roman" w:cs="Times New Roman"/>
          <w:sz w:val="26"/>
          <w:szCs w:val="26"/>
        </w:rPr>
      </w:pPr>
    </w:p>
    <w:p w14:paraId="4547F9C0" w14:textId="77777777" w:rsidR="00F44833" w:rsidRPr="003F7EE6" w:rsidRDefault="00F44833" w:rsidP="00F44833">
      <w:pPr>
        <w:spacing w:after="0" w:line="240" w:lineRule="auto"/>
        <w:rPr>
          <w:rFonts w:ascii="Times New Roman" w:eastAsia="Times New Roman" w:hAnsi="Times New Roman" w:cs="Times New Roman"/>
          <w:sz w:val="26"/>
          <w:szCs w:val="26"/>
        </w:rPr>
      </w:pPr>
    </w:p>
    <w:p w14:paraId="754505E6" w14:textId="77777777" w:rsidR="00F44833" w:rsidRPr="003F7EE6" w:rsidRDefault="00F44833" w:rsidP="00F44833">
      <w:pPr>
        <w:spacing w:after="0" w:line="240" w:lineRule="auto"/>
        <w:rPr>
          <w:rFonts w:ascii="Times New Roman" w:eastAsia="Times New Roman" w:hAnsi="Times New Roman" w:cs="Times New Roman"/>
          <w:sz w:val="26"/>
          <w:szCs w:val="26"/>
        </w:rPr>
      </w:pPr>
    </w:p>
    <w:p w14:paraId="74004FDF" w14:textId="77777777" w:rsidR="00F44833" w:rsidRPr="003F7EE6" w:rsidRDefault="00F44833" w:rsidP="00F44833">
      <w:pPr>
        <w:spacing w:after="0" w:line="24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t>Rosemary Chiavetta</w:t>
      </w:r>
    </w:p>
    <w:p w14:paraId="4B052003" w14:textId="77777777" w:rsidR="00F44833" w:rsidRPr="003F7EE6" w:rsidRDefault="00F44833" w:rsidP="00F44833">
      <w:pPr>
        <w:spacing w:after="0" w:line="24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r>
      <w:r w:rsidRPr="003F7EE6">
        <w:rPr>
          <w:rFonts w:ascii="Times New Roman" w:eastAsia="Times New Roman" w:hAnsi="Times New Roman" w:cs="Times New Roman"/>
          <w:sz w:val="26"/>
          <w:szCs w:val="26"/>
        </w:rPr>
        <w:tab/>
        <w:t>Secretary</w:t>
      </w:r>
    </w:p>
    <w:p w14:paraId="1EA9F2A0" w14:textId="77777777" w:rsidR="00F44833" w:rsidRPr="003F7EE6" w:rsidRDefault="00F44833" w:rsidP="00F44833">
      <w:pPr>
        <w:tabs>
          <w:tab w:val="left" w:pos="-720"/>
        </w:tabs>
        <w:suppressAutoHyphens/>
        <w:spacing w:after="0" w:line="240" w:lineRule="auto"/>
        <w:rPr>
          <w:rFonts w:ascii="Times New Roman" w:eastAsia="Times New Roman" w:hAnsi="Times New Roman" w:cs="Times New Roman"/>
          <w:sz w:val="26"/>
          <w:szCs w:val="26"/>
        </w:rPr>
      </w:pPr>
    </w:p>
    <w:p w14:paraId="78CDAE4D" w14:textId="77777777" w:rsidR="009B7DAA" w:rsidRDefault="009B7DAA" w:rsidP="00F44833">
      <w:pPr>
        <w:tabs>
          <w:tab w:val="left" w:pos="-720"/>
        </w:tabs>
        <w:suppressAutoHyphens/>
        <w:spacing w:after="0" w:line="240" w:lineRule="auto"/>
        <w:rPr>
          <w:rFonts w:ascii="Times New Roman" w:eastAsia="Times New Roman" w:hAnsi="Times New Roman" w:cs="Times New Roman"/>
          <w:sz w:val="26"/>
          <w:szCs w:val="26"/>
        </w:rPr>
      </w:pPr>
    </w:p>
    <w:p w14:paraId="05A4B96F" w14:textId="77777777" w:rsidR="00F44833" w:rsidRPr="003F7EE6" w:rsidRDefault="00F44833" w:rsidP="00333D2C">
      <w:pPr>
        <w:tabs>
          <w:tab w:val="left" w:pos="-720"/>
        </w:tabs>
        <w:suppressAutoHyphens/>
        <w:spacing w:after="0" w:line="240" w:lineRule="auto"/>
        <w:rPr>
          <w:rFonts w:ascii="Times New Roman" w:eastAsia="Times New Roman" w:hAnsi="Times New Roman" w:cs="Times New Roman"/>
          <w:sz w:val="26"/>
          <w:szCs w:val="26"/>
        </w:rPr>
      </w:pPr>
      <w:r w:rsidRPr="003F7EE6">
        <w:rPr>
          <w:rFonts w:ascii="Times New Roman" w:eastAsia="Times New Roman" w:hAnsi="Times New Roman" w:cs="Times New Roman"/>
          <w:sz w:val="26"/>
          <w:szCs w:val="26"/>
        </w:rPr>
        <w:t>(SEAL)</w:t>
      </w:r>
    </w:p>
    <w:p w14:paraId="1B6A9BBC" w14:textId="77777777" w:rsidR="00F44833" w:rsidRPr="003F7EE6" w:rsidRDefault="00F44833" w:rsidP="00333D2C">
      <w:pPr>
        <w:tabs>
          <w:tab w:val="left" w:pos="-720"/>
        </w:tabs>
        <w:suppressAutoHyphens/>
        <w:spacing w:after="0" w:line="240" w:lineRule="auto"/>
        <w:rPr>
          <w:rFonts w:ascii="Times New Roman" w:eastAsia="Times New Roman" w:hAnsi="Times New Roman" w:cs="Times New Roman"/>
          <w:sz w:val="26"/>
          <w:szCs w:val="26"/>
        </w:rPr>
      </w:pPr>
    </w:p>
    <w:p w14:paraId="63E54EEA" w14:textId="1500D7E9" w:rsidR="00F44833" w:rsidRPr="003F7EE6" w:rsidRDefault="0092538B" w:rsidP="00333D2C">
      <w:pPr>
        <w:tabs>
          <w:tab w:val="left" w:pos="-720"/>
        </w:tabs>
        <w:suppressAutoHyphen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ORDER ADOPTED:  </w:t>
      </w:r>
      <w:r w:rsidR="00593492">
        <w:rPr>
          <w:rFonts w:ascii="Times New Roman" w:eastAsia="Times New Roman" w:hAnsi="Times New Roman" w:cs="Times New Roman"/>
          <w:sz w:val="26"/>
          <w:szCs w:val="26"/>
        </w:rPr>
        <w:t>J</w:t>
      </w:r>
      <w:r w:rsidR="001E6637">
        <w:rPr>
          <w:rFonts w:ascii="Times New Roman" w:eastAsia="Times New Roman" w:hAnsi="Times New Roman" w:cs="Times New Roman"/>
          <w:sz w:val="26"/>
          <w:szCs w:val="26"/>
        </w:rPr>
        <w:t>anuary 14, 2021</w:t>
      </w:r>
    </w:p>
    <w:p w14:paraId="6F115C1E" w14:textId="77777777" w:rsidR="00984785" w:rsidRDefault="00984785" w:rsidP="00333D2C">
      <w:pPr>
        <w:spacing w:after="0" w:line="240" w:lineRule="auto"/>
        <w:rPr>
          <w:rFonts w:ascii="Times New Roman" w:eastAsia="Times New Roman" w:hAnsi="Times New Roman" w:cs="Times New Roman"/>
          <w:sz w:val="26"/>
          <w:szCs w:val="20"/>
        </w:rPr>
      </w:pPr>
    </w:p>
    <w:p w14:paraId="0807E76F" w14:textId="70D8260B" w:rsidR="00F44833" w:rsidRPr="00870462" w:rsidRDefault="00F44833" w:rsidP="00333D2C">
      <w:pPr>
        <w:spacing w:after="0" w:line="240" w:lineRule="auto"/>
        <w:rPr>
          <w:rFonts w:ascii="Times New Roman" w:eastAsia="Times New Roman" w:hAnsi="Times New Roman" w:cs="Times New Roman"/>
          <w:b/>
          <w:sz w:val="26"/>
          <w:szCs w:val="20"/>
        </w:rPr>
      </w:pPr>
      <w:r w:rsidRPr="003F7EE6">
        <w:rPr>
          <w:rFonts w:ascii="Times New Roman" w:eastAsia="Times New Roman" w:hAnsi="Times New Roman" w:cs="Times New Roman"/>
          <w:sz w:val="26"/>
          <w:szCs w:val="20"/>
        </w:rPr>
        <w:t>ORDER ENTERED:</w:t>
      </w:r>
      <w:r w:rsidR="0092538B">
        <w:rPr>
          <w:rFonts w:ascii="Times New Roman" w:eastAsia="Times New Roman" w:hAnsi="Times New Roman" w:cs="Times New Roman"/>
          <w:sz w:val="26"/>
          <w:szCs w:val="20"/>
        </w:rPr>
        <w:t xml:space="preserve">  </w:t>
      </w:r>
      <w:r w:rsidR="00C2636B">
        <w:rPr>
          <w:rFonts w:ascii="Times New Roman" w:eastAsia="Times New Roman" w:hAnsi="Times New Roman" w:cs="Times New Roman"/>
          <w:sz w:val="26"/>
          <w:szCs w:val="20"/>
        </w:rPr>
        <w:t>January 14, 2021</w:t>
      </w:r>
    </w:p>
    <w:sectPr w:rsidR="00F44833" w:rsidRPr="00870462" w:rsidSect="00F83F8E">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9BA254" w14:textId="77777777" w:rsidR="0083410F" w:rsidRDefault="0083410F" w:rsidP="00F44833">
      <w:pPr>
        <w:spacing w:after="0" w:line="240" w:lineRule="auto"/>
      </w:pPr>
      <w:r>
        <w:separator/>
      </w:r>
    </w:p>
  </w:endnote>
  <w:endnote w:type="continuationSeparator" w:id="0">
    <w:p w14:paraId="47FD51C3" w14:textId="77777777" w:rsidR="0083410F" w:rsidRDefault="0083410F" w:rsidP="00F44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2519653"/>
      <w:docPartObj>
        <w:docPartGallery w:val="Page Numbers (Bottom of Page)"/>
        <w:docPartUnique/>
      </w:docPartObj>
    </w:sdtPr>
    <w:sdtEndPr>
      <w:rPr>
        <w:noProof/>
      </w:rPr>
    </w:sdtEndPr>
    <w:sdtContent>
      <w:p w14:paraId="578D28C3" w14:textId="77777777" w:rsidR="007B507C" w:rsidRDefault="007B507C">
        <w:pPr>
          <w:pStyle w:val="Footer"/>
          <w:jc w:val="center"/>
        </w:pPr>
        <w:r w:rsidRPr="007B507C">
          <w:rPr>
            <w:rFonts w:ascii="Times New Roman" w:hAnsi="Times New Roman" w:cs="Times New Roman"/>
            <w:sz w:val="26"/>
            <w:szCs w:val="26"/>
          </w:rPr>
          <w:fldChar w:fldCharType="begin"/>
        </w:r>
        <w:r w:rsidRPr="007B507C">
          <w:rPr>
            <w:rFonts w:ascii="Times New Roman" w:hAnsi="Times New Roman" w:cs="Times New Roman"/>
            <w:sz w:val="26"/>
            <w:szCs w:val="26"/>
          </w:rPr>
          <w:instrText xml:space="preserve"> PAGE   \* MERGEFORMAT </w:instrText>
        </w:r>
        <w:r w:rsidRPr="007B507C">
          <w:rPr>
            <w:rFonts w:ascii="Times New Roman" w:hAnsi="Times New Roman" w:cs="Times New Roman"/>
            <w:sz w:val="26"/>
            <w:szCs w:val="26"/>
          </w:rPr>
          <w:fldChar w:fldCharType="separate"/>
        </w:r>
        <w:r w:rsidRPr="007B507C">
          <w:rPr>
            <w:rFonts w:ascii="Times New Roman" w:hAnsi="Times New Roman" w:cs="Times New Roman"/>
            <w:noProof/>
            <w:sz w:val="26"/>
            <w:szCs w:val="26"/>
          </w:rPr>
          <w:t>2</w:t>
        </w:r>
        <w:r w:rsidRPr="007B507C">
          <w:rPr>
            <w:rFonts w:ascii="Times New Roman" w:hAnsi="Times New Roman" w:cs="Times New Roman"/>
            <w:noProof/>
            <w:sz w:val="26"/>
            <w:szCs w:val="26"/>
          </w:rPr>
          <w:fldChar w:fldCharType="end"/>
        </w:r>
      </w:p>
    </w:sdtContent>
  </w:sdt>
  <w:p w14:paraId="5D61A1CC" w14:textId="77777777" w:rsidR="00DA1F51" w:rsidRDefault="00DA1F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6FF705" w14:textId="77777777" w:rsidR="0083410F" w:rsidRDefault="0083410F" w:rsidP="00F44833">
      <w:pPr>
        <w:spacing w:after="0" w:line="240" w:lineRule="auto"/>
      </w:pPr>
      <w:r>
        <w:separator/>
      </w:r>
    </w:p>
  </w:footnote>
  <w:footnote w:type="continuationSeparator" w:id="0">
    <w:p w14:paraId="0227AD2F" w14:textId="77777777" w:rsidR="0083410F" w:rsidRDefault="0083410F" w:rsidP="00F44833">
      <w:pPr>
        <w:spacing w:after="0" w:line="240" w:lineRule="auto"/>
      </w:pPr>
      <w:r>
        <w:continuationSeparator/>
      </w:r>
    </w:p>
  </w:footnote>
  <w:footnote w:id="1">
    <w:p w14:paraId="7C593D0D" w14:textId="77777777" w:rsidR="00173BC2" w:rsidRPr="004710D3" w:rsidRDefault="00173BC2" w:rsidP="00173BC2">
      <w:pPr>
        <w:tabs>
          <w:tab w:val="center" w:pos="0"/>
        </w:tabs>
        <w:suppressAutoHyphens/>
        <w:spacing w:after="0" w:line="240" w:lineRule="auto"/>
        <w:rPr>
          <w:rFonts w:ascii="Times New Roman" w:eastAsia="Times New Roman" w:hAnsi="Times New Roman" w:cs="Times New Roman"/>
          <w:sz w:val="26"/>
          <w:szCs w:val="26"/>
        </w:rPr>
      </w:pPr>
      <w:r>
        <w:tab/>
      </w:r>
      <w:r w:rsidRPr="002754DC">
        <w:rPr>
          <w:rStyle w:val="FootnoteReference"/>
          <w:rFonts w:ascii="Times New Roman" w:hAnsi="Times New Roman" w:cs="Times New Roman"/>
          <w:sz w:val="26"/>
          <w:szCs w:val="26"/>
        </w:rPr>
        <w:footnoteRef/>
      </w:r>
      <w:r w:rsidRPr="002754DC">
        <w:rPr>
          <w:rFonts w:ascii="Times New Roman" w:hAnsi="Times New Roman" w:cs="Times New Roman"/>
          <w:sz w:val="26"/>
          <w:szCs w:val="26"/>
        </w:rPr>
        <w:t xml:space="preserve"> </w:t>
      </w:r>
      <w:r w:rsidRPr="002754DC">
        <w:rPr>
          <w:rFonts w:ascii="Times New Roman" w:hAnsi="Times New Roman" w:cs="Times New Roman"/>
          <w:sz w:val="26"/>
          <w:szCs w:val="26"/>
        </w:rPr>
        <w:tab/>
      </w:r>
      <w:r w:rsidRPr="004710D3">
        <w:rPr>
          <w:rFonts w:ascii="Times New Roman" w:eastAsia="Times New Roman" w:hAnsi="Times New Roman" w:cs="Times New Roman"/>
          <w:sz w:val="26"/>
          <w:szCs w:val="26"/>
        </w:rPr>
        <w:t xml:space="preserve">“Broadband” is defined as a communication channel having a bandwidth equal to or greater than 1.544 megabits per second (Mbps) in the downstream direction and equal to or greater than 128 kilobits per second (Kbps) in the upstream direction.  66 Pa. C.S. § 3012.  Settlement at 11. </w:t>
      </w:r>
    </w:p>
    <w:p w14:paraId="0688054D" w14:textId="77777777" w:rsidR="00173BC2" w:rsidRPr="002754DC" w:rsidRDefault="00173BC2" w:rsidP="00173BC2">
      <w:pPr>
        <w:pStyle w:val="FootnoteText"/>
        <w:ind w:firstLine="720"/>
        <w:rPr>
          <w:rFonts w:ascii="Times New Roman" w:hAnsi="Times New Roman" w:cs="Times New Roman"/>
          <w:sz w:val="26"/>
          <w:szCs w:val="26"/>
        </w:rPr>
      </w:pPr>
    </w:p>
  </w:footnote>
  <w:footnote w:id="2">
    <w:p w14:paraId="792F759A" w14:textId="5433AB6D" w:rsidR="00B74848" w:rsidRPr="00B67FCD" w:rsidRDefault="00B74848" w:rsidP="00B67FCD">
      <w:pPr>
        <w:pStyle w:val="FootnoteText"/>
        <w:ind w:firstLine="720"/>
        <w:rPr>
          <w:rFonts w:ascii="Times New Roman" w:hAnsi="Times New Roman" w:cs="Times New Roman"/>
          <w:sz w:val="26"/>
          <w:szCs w:val="26"/>
        </w:rPr>
      </w:pPr>
      <w:r w:rsidRPr="00BA2DCE">
        <w:rPr>
          <w:rStyle w:val="FootnoteReference"/>
          <w:rFonts w:ascii="Times New Roman" w:hAnsi="Times New Roman" w:cs="Times New Roman"/>
          <w:sz w:val="26"/>
          <w:szCs w:val="26"/>
        </w:rPr>
        <w:footnoteRef/>
      </w:r>
      <w:r w:rsidRPr="00BA2DCE">
        <w:rPr>
          <w:rFonts w:ascii="Times New Roman" w:hAnsi="Times New Roman" w:cs="Times New Roman"/>
          <w:sz w:val="26"/>
          <w:szCs w:val="26"/>
        </w:rPr>
        <w:t xml:space="preserve"> </w:t>
      </w:r>
      <w:r w:rsidR="00B67FCD" w:rsidRPr="00BA2DCE">
        <w:rPr>
          <w:rFonts w:ascii="Times New Roman" w:hAnsi="Times New Roman" w:cs="Times New Roman"/>
          <w:sz w:val="26"/>
          <w:szCs w:val="26"/>
        </w:rPr>
        <w:tab/>
      </w:r>
      <w:r w:rsidRPr="00BA2DCE">
        <w:rPr>
          <w:rFonts w:ascii="Times New Roman" w:hAnsi="Times New Roman" w:cs="Times New Roman"/>
          <w:sz w:val="26"/>
          <w:szCs w:val="26"/>
        </w:rPr>
        <w:t>For example, on October 26, 2017, Joe Roberts filed a Complaint at Docket No. C-2017-2632824 with the Commission against CenturyLink alleging that CenturyLink failed to address the Complainant’s intermittent internet service problems.  For relief, Mr. Roberts requested that the Commission direct CenturyLink to address the Complainant’s concerns.  The Complaint was dismissed upon remand as the Complainant did not appear at the hearing</w:t>
      </w:r>
      <w:r w:rsidR="00B67FCD" w:rsidRPr="00BA2DCE">
        <w:rPr>
          <w:rFonts w:ascii="Times New Roman" w:hAnsi="Times New Roman" w:cs="Times New Roman"/>
          <w:sz w:val="26"/>
          <w:szCs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21F5C"/>
    <w:multiLevelType w:val="hybridMultilevel"/>
    <w:tmpl w:val="3F168AD2"/>
    <w:lvl w:ilvl="0" w:tplc="C73E3F0C">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833"/>
    <w:rsid w:val="00004C53"/>
    <w:rsid w:val="00004D0E"/>
    <w:rsid w:val="000162A3"/>
    <w:rsid w:val="0002071A"/>
    <w:rsid w:val="00026DFB"/>
    <w:rsid w:val="000311FF"/>
    <w:rsid w:val="0003493F"/>
    <w:rsid w:val="00034AC2"/>
    <w:rsid w:val="00034C92"/>
    <w:rsid w:val="00036DF0"/>
    <w:rsid w:val="00050C2B"/>
    <w:rsid w:val="000518DA"/>
    <w:rsid w:val="0005441E"/>
    <w:rsid w:val="000549FF"/>
    <w:rsid w:val="0005787B"/>
    <w:rsid w:val="000606A9"/>
    <w:rsid w:val="00060D64"/>
    <w:rsid w:val="000618DE"/>
    <w:rsid w:val="00066705"/>
    <w:rsid w:val="00066E0A"/>
    <w:rsid w:val="00072EB3"/>
    <w:rsid w:val="00073FC8"/>
    <w:rsid w:val="000747C7"/>
    <w:rsid w:val="00081D86"/>
    <w:rsid w:val="00083168"/>
    <w:rsid w:val="00095D42"/>
    <w:rsid w:val="00097E1B"/>
    <w:rsid w:val="00097F92"/>
    <w:rsid w:val="000A1056"/>
    <w:rsid w:val="000B12D6"/>
    <w:rsid w:val="000B6FB1"/>
    <w:rsid w:val="000C58A3"/>
    <w:rsid w:val="000D06AA"/>
    <w:rsid w:val="000D3751"/>
    <w:rsid w:val="000D67F4"/>
    <w:rsid w:val="000D6873"/>
    <w:rsid w:val="000D7E3F"/>
    <w:rsid w:val="000E1629"/>
    <w:rsid w:val="000E7DCB"/>
    <w:rsid w:val="000F03E6"/>
    <w:rsid w:val="000F4403"/>
    <w:rsid w:val="000F5FD3"/>
    <w:rsid w:val="00100BB0"/>
    <w:rsid w:val="00102577"/>
    <w:rsid w:val="00111D1F"/>
    <w:rsid w:val="001135AF"/>
    <w:rsid w:val="001168DB"/>
    <w:rsid w:val="00117DE8"/>
    <w:rsid w:val="00132D49"/>
    <w:rsid w:val="00136CD5"/>
    <w:rsid w:val="00136D30"/>
    <w:rsid w:val="00137B9E"/>
    <w:rsid w:val="001478C5"/>
    <w:rsid w:val="00150032"/>
    <w:rsid w:val="00150F2C"/>
    <w:rsid w:val="00164743"/>
    <w:rsid w:val="0017126E"/>
    <w:rsid w:val="0017188E"/>
    <w:rsid w:val="00173BC2"/>
    <w:rsid w:val="00177651"/>
    <w:rsid w:val="00181984"/>
    <w:rsid w:val="00183096"/>
    <w:rsid w:val="001A1711"/>
    <w:rsid w:val="001A32C3"/>
    <w:rsid w:val="001A4825"/>
    <w:rsid w:val="001B3ECD"/>
    <w:rsid w:val="001B7F9A"/>
    <w:rsid w:val="001C2E2F"/>
    <w:rsid w:val="001D2D50"/>
    <w:rsid w:val="001E6637"/>
    <w:rsid w:val="001E7721"/>
    <w:rsid w:val="0021289D"/>
    <w:rsid w:val="00213B86"/>
    <w:rsid w:val="00217F32"/>
    <w:rsid w:val="00220BEC"/>
    <w:rsid w:val="00225A89"/>
    <w:rsid w:val="00226189"/>
    <w:rsid w:val="00231DF5"/>
    <w:rsid w:val="00234989"/>
    <w:rsid w:val="00237B07"/>
    <w:rsid w:val="002556F8"/>
    <w:rsid w:val="002571C4"/>
    <w:rsid w:val="00257C69"/>
    <w:rsid w:val="0026093C"/>
    <w:rsid w:val="00263A3B"/>
    <w:rsid w:val="00266FD1"/>
    <w:rsid w:val="00272592"/>
    <w:rsid w:val="002748A4"/>
    <w:rsid w:val="00280118"/>
    <w:rsid w:val="00280341"/>
    <w:rsid w:val="0028291A"/>
    <w:rsid w:val="00286157"/>
    <w:rsid w:val="00296EA4"/>
    <w:rsid w:val="002A70C8"/>
    <w:rsid w:val="002B200E"/>
    <w:rsid w:val="002B5ADA"/>
    <w:rsid w:val="002B72A3"/>
    <w:rsid w:val="002C66A7"/>
    <w:rsid w:val="002D0A6C"/>
    <w:rsid w:val="002D44D4"/>
    <w:rsid w:val="002E3FD9"/>
    <w:rsid w:val="002E68A7"/>
    <w:rsid w:val="002E7157"/>
    <w:rsid w:val="00302406"/>
    <w:rsid w:val="0030659A"/>
    <w:rsid w:val="00315429"/>
    <w:rsid w:val="00322A10"/>
    <w:rsid w:val="00324D75"/>
    <w:rsid w:val="003275FD"/>
    <w:rsid w:val="00333D2C"/>
    <w:rsid w:val="003410E6"/>
    <w:rsid w:val="00342D71"/>
    <w:rsid w:val="00343F8A"/>
    <w:rsid w:val="003712B4"/>
    <w:rsid w:val="003758D3"/>
    <w:rsid w:val="00382C0B"/>
    <w:rsid w:val="00384C8C"/>
    <w:rsid w:val="00384D36"/>
    <w:rsid w:val="0038669A"/>
    <w:rsid w:val="003906C8"/>
    <w:rsid w:val="003919F5"/>
    <w:rsid w:val="00395E13"/>
    <w:rsid w:val="00395EF4"/>
    <w:rsid w:val="003A0187"/>
    <w:rsid w:val="003A61E3"/>
    <w:rsid w:val="003B1A2C"/>
    <w:rsid w:val="003B329B"/>
    <w:rsid w:val="003B5FBA"/>
    <w:rsid w:val="003B7A7D"/>
    <w:rsid w:val="003C1DA5"/>
    <w:rsid w:val="003D6DD6"/>
    <w:rsid w:val="003E54B8"/>
    <w:rsid w:val="003F0AF8"/>
    <w:rsid w:val="0041184C"/>
    <w:rsid w:val="00414D40"/>
    <w:rsid w:val="00431E4E"/>
    <w:rsid w:val="004334B2"/>
    <w:rsid w:val="0043552E"/>
    <w:rsid w:val="004405DF"/>
    <w:rsid w:val="00442940"/>
    <w:rsid w:val="004552BC"/>
    <w:rsid w:val="00457712"/>
    <w:rsid w:val="00462190"/>
    <w:rsid w:val="004676AB"/>
    <w:rsid w:val="00470452"/>
    <w:rsid w:val="00475757"/>
    <w:rsid w:val="00481559"/>
    <w:rsid w:val="004817BA"/>
    <w:rsid w:val="004928D5"/>
    <w:rsid w:val="00493BFF"/>
    <w:rsid w:val="00494814"/>
    <w:rsid w:val="004B1412"/>
    <w:rsid w:val="004B32C8"/>
    <w:rsid w:val="004B6C2A"/>
    <w:rsid w:val="004C02E6"/>
    <w:rsid w:val="004C2E8A"/>
    <w:rsid w:val="004C4AC4"/>
    <w:rsid w:val="004D5491"/>
    <w:rsid w:val="004E0FF2"/>
    <w:rsid w:val="004E488E"/>
    <w:rsid w:val="004E6E4A"/>
    <w:rsid w:val="004F6476"/>
    <w:rsid w:val="005315BE"/>
    <w:rsid w:val="00533C13"/>
    <w:rsid w:val="005433F7"/>
    <w:rsid w:val="0054780C"/>
    <w:rsid w:val="005500AC"/>
    <w:rsid w:val="005501A8"/>
    <w:rsid w:val="00553556"/>
    <w:rsid w:val="0056133A"/>
    <w:rsid w:val="005651FF"/>
    <w:rsid w:val="00576BA0"/>
    <w:rsid w:val="005770E0"/>
    <w:rsid w:val="00583758"/>
    <w:rsid w:val="00591D40"/>
    <w:rsid w:val="00593492"/>
    <w:rsid w:val="0059596D"/>
    <w:rsid w:val="00596029"/>
    <w:rsid w:val="0059789A"/>
    <w:rsid w:val="005A2D67"/>
    <w:rsid w:val="005A3029"/>
    <w:rsid w:val="005A31E2"/>
    <w:rsid w:val="005B4C0B"/>
    <w:rsid w:val="005C0FF7"/>
    <w:rsid w:val="005D69EB"/>
    <w:rsid w:val="005E00EA"/>
    <w:rsid w:val="005F2BD2"/>
    <w:rsid w:val="005F3410"/>
    <w:rsid w:val="00602D48"/>
    <w:rsid w:val="00615966"/>
    <w:rsid w:val="00616619"/>
    <w:rsid w:val="006227AB"/>
    <w:rsid w:val="00640538"/>
    <w:rsid w:val="00640E8D"/>
    <w:rsid w:val="00641793"/>
    <w:rsid w:val="00641D9F"/>
    <w:rsid w:val="0065459D"/>
    <w:rsid w:val="00677E39"/>
    <w:rsid w:val="006804F3"/>
    <w:rsid w:val="006861B3"/>
    <w:rsid w:val="00695DFB"/>
    <w:rsid w:val="00697E31"/>
    <w:rsid w:val="006A328C"/>
    <w:rsid w:val="006B03C0"/>
    <w:rsid w:val="006B537D"/>
    <w:rsid w:val="006B5462"/>
    <w:rsid w:val="006B6011"/>
    <w:rsid w:val="006C0634"/>
    <w:rsid w:val="006D70F0"/>
    <w:rsid w:val="006E07A3"/>
    <w:rsid w:val="006E0BF5"/>
    <w:rsid w:val="006E6D9F"/>
    <w:rsid w:val="006F13AD"/>
    <w:rsid w:val="00713784"/>
    <w:rsid w:val="00723C95"/>
    <w:rsid w:val="007318F1"/>
    <w:rsid w:val="00734F80"/>
    <w:rsid w:val="0073537F"/>
    <w:rsid w:val="00735DB6"/>
    <w:rsid w:val="007411D2"/>
    <w:rsid w:val="00742D25"/>
    <w:rsid w:val="00752ACF"/>
    <w:rsid w:val="0076203D"/>
    <w:rsid w:val="00762BDE"/>
    <w:rsid w:val="00764B6A"/>
    <w:rsid w:val="00774964"/>
    <w:rsid w:val="007837C8"/>
    <w:rsid w:val="007A125F"/>
    <w:rsid w:val="007A3DFA"/>
    <w:rsid w:val="007A747D"/>
    <w:rsid w:val="007A7797"/>
    <w:rsid w:val="007B1EDF"/>
    <w:rsid w:val="007B507C"/>
    <w:rsid w:val="007B5831"/>
    <w:rsid w:val="007C6C75"/>
    <w:rsid w:val="007D2B84"/>
    <w:rsid w:val="007D7245"/>
    <w:rsid w:val="007E3E00"/>
    <w:rsid w:val="007E42DC"/>
    <w:rsid w:val="007F2C07"/>
    <w:rsid w:val="007F5A1D"/>
    <w:rsid w:val="00801521"/>
    <w:rsid w:val="00814A67"/>
    <w:rsid w:val="00815A8C"/>
    <w:rsid w:val="0082350E"/>
    <w:rsid w:val="0083116D"/>
    <w:rsid w:val="008311F1"/>
    <w:rsid w:val="00831EB3"/>
    <w:rsid w:val="0083410F"/>
    <w:rsid w:val="00845468"/>
    <w:rsid w:val="0084740D"/>
    <w:rsid w:val="00851BF8"/>
    <w:rsid w:val="00860A43"/>
    <w:rsid w:val="00860F3C"/>
    <w:rsid w:val="00861585"/>
    <w:rsid w:val="00863031"/>
    <w:rsid w:val="00863323"/>
    <w:rsid w:val="00866103"/>
    <w:rsid w:val="00870462"/>
    <w:rsid w:val="00872B96"/>
    <w:rsid w:val="00890679"/>
    <w:rsid w:val="00895BF7"/>
    <w:rsid w:val="008B20DC"/>
    <w:rsid w:val="008C2B2E"/>
    <w:rsid w:val="008C2E26"/>
    <w:rsid w:val="008C7790"/>
    <w:rsid w:val="008D08B4"/>
    <w:rsid w:val="008D4C27"/>
    <w:rsid w:val="008D7AB8"/>
    <w:rsid w:val="008F2C2A"/>
    <w:rsid w:val="00904B50"/>
    <w:rsid w:val="0091374D"/>
    <w:rsid w:val="00917171"/>
    <w:rsid w:val="0092538B"/>
    <w:rsid w:val="00931364"/>
    <w:rsid w:val="00936061"/>
    <w:rsid w:val="00936209"/>
    <w:rsid w:val="0093761F"/>
    <w:rsid w:val="00937FBE"/>
    <w:rsid w:val="009417DE"/>
    <w:rsid w:val="00953514"/>
    <w:rsid w:val="00964DF8"/>
    <w:rsid w:val="00965988"/>
    <w:rsid w:val="0096770D"/>
    <w:rsid w:val="00967E7A"/>
    <w:rsid w:val="00970A0C"/>
    <w:rsid w:val="00971344"/>
    <w:rsid w:val="00975062"/>
    <w:rsid w:val="00984785"/>
    <w:rsid w:val="00994537"/>
    <w:rsid w:val="009A0884"/>
    <w:rsid w:val="009B7DAA"/>
    <w:rsid w:val="009B7E11"/>
    <w:rsid w:val="009C12EF"/>
    <w:rsid w:val="009C428B"/>
    <w:rsid w:val="009C64F0"/>
    <w:rsid w:val="009E2B12"/>
    <w:rsid w:val="009E6332"/>
    <w:rsid w:val="00A036F0"/>
    <w:rsid w:val="00A0413C"/>
    <w:rsid w:val="00A0584D"/>
    <w:rsid w:val="00A112FE"/>
    <w:rsid w:val="00A30ECF"/>
    <w:rsid w:val="00A435EF"/>
    <w:rsid w:val="00A45CD0"/>
    <w:rsid w:val="00A53B32"/>
    <w:rsid w:val="00A61E56"/>
    <w:rsid w:val="00A86A92"/>
    <w:rsid w:val="00A91A7B"/>
    <w:rsid w:val="00AA39C2"/>
    <w:rsid w:val="00AA623F"/>
    <w:rsid w:val="00AA717A"/>
    <w:rsid w:val="00AB0187"/>
    <w:rsid w:val="00AB3E5B"/>
    <w:rsid w:val="00AC4357"/>
    <w:rsid w:val="00AD4922"/>
    <w:rsid w:val="00AE2509"/>
    <w:rsid w:val="00AF087E"/>
    <w:rsid w:val="00AF0B18"/>
    <w:rsid w:val="00AF3939"/>
    <w:rsid w:val="00AF6242"/>
    <w:rsid w:val="00B07137"/>
    <w:rsid w:val="00B07F7F"/>
    <w:rsid w:val="00B15469"/>
    <w:rsid w:val="00B24D05"/>
    <w:rsid w:val="00B25360"/>
    <w:rsid w:val="00B40E0E"/>
    <w:rsid w:val="00B6155C"/>
    <w:rsid w:val="00B650E3"/>
    <w:rsid w:val="00B663D8"/>
    <w:rsid w:val="00B67FCD"/>
    <w:rsid w:val="00B708FD"/>
    <w:rsid w:val="00B713E3"/>
    <w:rsid w:val="00B74848"/>
    <w:rsid w:val="00B80529"/>
    <w:rsid w:val="00B815F4"/>
    <w:rsid w:val="00B8214E"/>
    <w:rsid w:val="00B849C3"/>
    <w:rsid w:val="00BA1547"/>
    <w:rsid w:val="00BA2DCE"/>
    <w:rsid w:val="00BB11FB"/>
    <w:rsid w:val="00BB1AB9"/>
    <w:rsid w:val="00BB40C8"/>
    <w:rsid w:val="00BB508E"/>
    <w:rsid w:val="00BC02D2"/>
    <w:rsid w:val="00BC2211"/>
    <w:rsid w:val="00BC7E32"/>
    <w:rsid w:val="00BD028F"/>
    <w:rsid w:val="00BD2331"/>
    <w:rsid w:val="00BD63D4"/>
    <w:rsid w:val="00BD66E3"/>
    <w:rsid w:val="00BD779B"/>
    <w:rsid w:val="00BE620D"/>
    <w:rsid w:val="00C0545D"/>
    <w:rsid w:val="00C12F3B"/>
    <w:rsid w:val="00C141B7"/>
    <w:rsid w:val="00C1588F"/>
    <w:rsid w:val="00C15C41"/>
    <w:rsid w:val="00C172BE"/>
    <w:rsid w:val="00C200F0"/>
    <w:rsid w:val="00C220F1"/>
    <w:rsid w:val="00C250A2"/>
    <w:rsid w:val="00C2636B"/>
    <w:rsid w:val="00C30FD3"/>
    <w:rsid w:val="00C34E0A"/>
    <w:rsid w:val="00C448B4"/>
    <w:rsid w:val="00C45F3B"/>
    <w:rsid w:val="00C5260B"/>
    <w:rsid w:val="00C61760"/>
    <w:rsid w:val="00C65A84"/>
    <w:rsid w:val="00C77EE0"/>
    <w:rsid w:val="00C808EC"/>
    <w:rsid w:val="00C8159D"/>
    <w:rsid w:val="00C924F4"/>
    <w:rsid w:val="00CB2DBF"/>
    <w:rsid w:val="00CD2320"/>
    <w:rsid w:val="00CE59B1"/>
    <w:rsid w:val="00CE70D2"/>
    <w:rsid w:val="00CF0A6D"/>
    <w:rsid w:val="00CF1965"/>
    <w:rsid w:val="00D06A31"/>
    <w:rsid w:val="00D11D66"/>
    <w:rsid w:val="00D26E87"/>
    <w:rsid w:val="00D26F8F"/>
    <w:rsid w:val="00D31E0C"/>
    <w:rsid w:val="00D36807"/>
    <w:rsid w:val="00D36857"/>
    <w:rsid w:val="00D53853"/>
    <w:rsid w:val="00D54C0C"/>
    <w:rsid w:val="00D559F9"/>
    <w:rsid w:val="00D662B2"/>
    <w:rsid w:val="00D70DE5"/>
    <w:rsid w:val="00D766ED"/>
    <w:rsid w:val="00D80B94"/>
    <w:rsid w:val="00D834AF"/>
    <w:rsid w:val="00D9488E"/>
    <w:rsid w:val="00DA1AC1"/>
    <w:rsid w:val="00DA1F51"/>
    <w:rsid w:val="00DA4D7D"/>
    <w:rsid w:val="00DA6AFC"/>
    <w:rsid w:val="00DA7BC9"/>
    <w:rsid w:val="00DB31CE"/>
    <w:rsid w:val="00DB6E08"/>
    <w:rsid w:val="00DC1007"/>
    <w:rsid w:val="00DD4A35"/>
    <w:rsid w:val="00DD62AF"/>
    <w:rsid w:val="00DE33EE"/>
    <w:rsid w:val="00DE677B"/>
    <w:rsid w:val="00DF48D9"/>
    <w:rsid w:val="00E06140"/>
    <w:rsid w:val="00E17CB4"/>
    <w:rsid w:val="00E21236"/>
    <w:rsid w:val="00E26E53"/>
    <w:rsid w:val="00E2771E"/>
    <w:rsid w:val="00E27B4B"/>
    <w:rsid w:val="00E31526"/>
    <w:rsid w:val="00E37CF7"/>
    <w:rsid w:val="00E509B9"/>
    <w:rsid w:val="00E521F2"/>
    <w:rsid w:val="00E561D0"/>
    <w:rsid w:val="00E60A0A"/>
    <w:rsid w:val="00E62727"/>
    <w:rsid w:val="00E730EB"/>
    <w:rsid w:val="00E933E8"/>
    <w:rsid w:val="00E97271"/>
    <w:rsid w:val="00EA110B"/>
    <w:rsid w:val="00EA6B6A"/>
    <w:rsid w:val="00EB27F0"/>
    <w:rsid w:val="00EB5AC8"/>
    <w:rsid w:val="00ED2472"/>
    <w:rsid w:val="00ED657C"/>
    <w:rsid w:val="00EF085C"/>
    <w:rsid w:val="00EF0D9E"/>
    <w:rsid w:val="00EF4651"/>
    <w:rsid w:val="00EF613E"/>
    <w:rsid w:val="00F019AE"/>
    <w:rsid w:val="00F1278B"/>
    <w:rsid w:val="00F17A9A"/>
    <w:rsid w:val="00F2342F"/>
    <w:rsid w:val="00F40C64"/>
    <w:rsid w:val="00F44833"/>
    <w:rsid w:val="00F5569E"/>
    <w:rsid w:val="00F57DC4"/>
    <w:rsid w:val="00F7018B"/>
    <w:rsid w:val="00F77210"/>
    <w:rsid w:val="00F80CA7"/>
    <w:rsid w:val="00F82325"/>
    <w:rsid w:val="00F83F8E"/>
    <w:rsid w:val="00F8641C"/>
    <w:rsid w:val="00FC0802"/>
    <w:rsid w:val="00FC143A"/>
    <w:rsid w:val="00FC2012"/>
    <w:rsid w:val="00FC3B9A"/>
    <w:rsid w:val="00FC67A1"/>
    <w:rsid w:val="00FC773F"/>
    <w:rsid w:val="00FD2835"/>
    <w:rsid w:val="00FD28E5"/>
    <w:rsid w:val="00FD3699"/>
    <w:rsid w:val="00FE0A2D"/>
    <w:rsid w:val="00FE20EC"/>
    <w:rsid w:val="00FE33BD"/>
    <w:rsid w:val="00FE4CED"/>
    <w:rsid w:val="00FE515C"/>
    <w:rsid w:val="00FE65B7"/>
    <w:rsid w:val="00FE73E1"/>
    <w:rsid w:val="00FF636D"/>
    <w:rsid w:val="00FF7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8F4FB5"/>
  <w15:docId w15:val="{F9BD79E1-B7ED-4820-B17A-105137288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uiPriority w:val="99"/>
    <w:semiHidden/>
    <w:unhideWhenUsed/>
    <w:rsid w:val="00F44833"/>
    <w:pPr>
      <w:spacing w:after="0" w:line="240" w:lineRule="auto"/>
    </w:pPr>
    <w:rPr>
      <w:sz w:val="20"/>
      <w:szCs w:val="20"/>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uiPriority w:val="99"/>
    <w:semiHidden/>
    <w:rsid w:val="00F44833"/>
    <w:rPr>
      <w:sz w:val="20"/>
      <w:szCs w:val="20"/>
    </w:rPr>
  </w:style>
  <w:style w:type="character" w:styleId="FootnoteReference">
    <w:name w:val="footnote reference"/>
    <w:aliases w:val="o,fr"/>
    <w:rsid w:val="00F44833"/>
    <w:rPr>
      <w:vertAlign w:val="superscript"/>
    </w:rPr>
  </w:style>
  <w:style w:type="paragraph" w:styleId="Header">
    <w:name w:val="header"/>
    <w:basedOn w:val="Normal"/>
    <w:link w:val="HeaderChar"/>
    <w:uiPriority w:val="99"/>
    <w:unhideWhenUsed/>
    <w:rsid w:val="009C42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28B"/>
  </w:style>
  <w:style w:type="paragraph" w:styleId="Footer">
    <w:name w:val="footer"/>
    <w:basedOn w:val="Normal"/>
    <w:link w:val="FooterChar"/>
    <w:uiPriority w:val="99"/>
    <w:unhideWhenUsed/>
    <w:rsid w:val="009C42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28B"/>
  </w:style>
  <w:style w:type="paragraph" w:styleId="BalloonText">
    <w:name w:val="Balloon Text"/>
    <w:basedOn w:val="Normal"/>
    <w:link w:val="BalloonTextChar"/>
    <w:uiPriority w:val="99"/>
    <w:semiHidden/>
    <w:unhideWhenUsed/>
    <w:rsid w:val="00F772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210"/>
    <w:rPr>
      <w:rFonts w:ascii="Tahoma" w:hAnsi="Tahoma" w:cs="Tahoma"/>
      <w:sz w:val="16"/>
      <w:szCs w:val="16"/>
    </w:rPr>
  </w:style>
  <w:style w:type="character" w:styleId="CommentReference">
    <w:name w:val="annotation reference"/>
    <w:basedOn w:val="DefaultParagraphFont"/>
    <w:uiPriority w:val="99"/>
    <w:semiHidden/>
    <w:unhideWhenUsed/>
    <w:rsid w:val="0002071A"/>
    <w:rPr>
      <w:sz w:val="16"/>
      <w:szCs w:val="16"/>
    </w:rPr>
  </w:style>
  <w:style w:type="paragraph" w:styleId="CommentText">
    <w:name w:val="annotation text"/>
    <w:basedOn w:val="Normal"/>
    <w:link w:val="CommentTextChar"/>
    <w:uiPriority w:val="99"/>
    <w:semiHidden/>
    <w:unhideWhenUsed/>
    <w:rsid w:val="0002071A"/>
    <w:pPr>
      <w:spacing w:line="240" w:lineRule="auto"/>
    </w:pPr>
    <w:rPr>
      <w:sz w:val="20"/>
      <w:szCs w:val="20"/>
    </w:rPr>
  </w:style>
  <w:style w:type="character" w:customStyle="1" w:styleId="CommentTextChar">
    <w:name w:val="Comment Text Char"/>
    <w:basedOn w:val="DefaultParagraphFont"/>
    <w:link w:val="CommentText"/>
    <w:uiPriority w:val="99"/>
    <w:semiHidden/>
    <w:rsid w:val="0002071A"/>
    <w:rPr>
      <w:sz w:val="20"/>
      <w:szCs w:val="20"/>
    </w:rPr>
  </w:style>
  <w:style w:type="paragraph" w:styleId="CommentSubject">
    <w:name w:val="annotation subject"/>
    <w:basedOn w:val="CommentText"/>
    <w:next w:val="CommentText"/>
    <w:link w:val="CommentSubjectChar"/>
    <w:uiPriority w:val="99"/>
    <w:semiHidden/>
    <w:unhideWhenUsed/>
    <w:rsid w:val="0002071A"/>
    <w:rPr>
      <w:b/>
      <w:bCs/>
    </w:rPr>
  </w:style>
  <w:style w:type="character" w:customStyle="1" w:styleId="CommentSubjectChar">
    <w:name w:val="Comment Subject Char"/>
    <w:basedOn w:val="CommentTextChar"/>
    <w:link w:val="CommentSubject"/>
    <w:uiPriority w:val="99"/>
    <w:semiHidden/>
    <w:rsid w:val="0002071A"/>
    <w:rPr>
      <w:b/>
      <w:bCs/>
      <w:sz w:val="20"/>
      <w:szCs w:val="20"/>
    </w:rPr>
  </w:style>
  <w:style w:type="table" w:styleId="PlainTable1">
    <w:name w:val="Plain Table 1"/>
    <w:basedOn w:val="TableNormal"/>
    <w:uiPriority w:val="41"/>
    <w:rsid w:val="00173BC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173BC2"/>
    <w:pPr>
      <w:ind w:left="720"/>
      <w:contextualSpacing/>
    </w:pPr>
  </w:style>
  <w:style w:type="paragraph" w:styleId="BodyText">
    <w:name w:val="Body Text"/>
    <w:basedOn w:val="Normal"/>
    <w:link w:val="BodyTextChar"/>
    <w:rsid w:val="00150032"/>
    <w:pPr>
      <w:tabs>
        <w:tab w:val="left" w:pos="1980"/>
      </w:tabs>
      <w:spacing w:after="0" w:line="480" w:lineRule="auto"/>
      <w:jc w:val="both"/>
    </w:pPr>
    <w:rPr>
      <w:rFonts w:ascii="Courier" w:eastAsia="Times New Roman" w:hAnsi="Courier" w:cs="Times New Roman"/>
      <w:sz w:val="24"/>
      <w:szCs w:val="20"/>
    </w:rPr>
  </w:style>
  <w:style w:type="character" w:customStyle="1" w:styleId="BodyTextChar">
    <w:name w:val="Body Text Char"/>
    <w:basedOn w:val="DefaultParagraphFont"/>
    <w:link w:val="BodyText"/>
    <w:rsid w:val="00150032"/>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797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1231344B9EE4B8B22DC6840AEA7B1" ma:contentTypeVersion="5" ma:contentTypeDescription="Create a new document." ma:contentTypeScope="" ma:versionID="e889a9776ed4eb619ba3fff6094f631c">
  <xsd:schema xmlns:xsd="http://www.w3.org/2001/XMLSchema" xmlns:xs="http://www.w3.org/2001/XMLSchema" xmlns:p="http://schemas.microsoft.com/office/2006/metadata/properties" xmlns:ns3="d05a8398-04f0-4137-a38f-3b39b52e6d40" xmlns:ns4="d5f46cfd-17ef-4676-98d9-262db6702185" targetNamespace="http://schemas.microsoft.com/office/2006/metadata/properties" ma:root="true" ma:fieldsID="32fafd800a833a663de9f44d9b550dfa" ns3:_="" ns4:_="">
    <xsd:import namespace="d05a8398-04f0-4137-a38f-3b39b52e6d40"/>
    <xsd:import namespace="d5f46cfd-17ef-4676-98d9-262db670218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a8398-04f0-4137-a38f-3b39b52e6d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f46cfd-17ef-4676-98d9-262db67021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65A020-3DE0-4905-80A3-83700FE33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a8398-04f0-4137-a38f-3b39b52e6d40"/>
    <ds:schemaRef ds:uri="d5f46cfd-17ef-4676-98d9-262db6702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516291-9926-491A-9B01-7340F2D47DA1}">
  <ds:schemaRefs>
    <ds:schemaRef ds:uri="http://schemas.openxmlformats.org/officeDocument/2006/bibliography"/>
  </ds:schemaRefs>
</ds:datastoreItem>
</file>

<file path=customXml/itemProps3.xml><?xml version="1.0" encoding="utf-8"?>
<ds:datastoreItem xmlns:ds="http://schemas.openxmlformats.org/officeDocument/2006/customXml" ds:itemID="{1C5A1960-4BC0-4221-A7AB-3D33C6AC18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16E463-AE6F-44C5-96E7-D92ABB17D9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2972</Words>
  <Characters>16944</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Capper, Thomas</dc:creator>
  <cp:lastModifiedBy>Wagner, Nathan R</cp:lastModifiedBy>
  <cp:revision>2</cp:revision>
  <cp:lastPrinted>2018-06-27T23:07:00Z</cp:lastPrinted>
  <dcterms:created xsi:type="dcterms:W3CDTF">2021-01-14T18:11:00Z</dcterms:created>
  <dcterms:modified xsi:type="dcterms:W3CDTF">2021-01-14T18:11:00Z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0x0101000FA1231344B9EE4B8B22DC6840AEA7B1</vt:lpwstr>
  </property>
</Properties>
</file>