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FAB4E78" w14:textId="77777777" w:rsidTr="7E6C9F4C">
        <w:trPr>
          <w:cantSplit/>
          <w:trHeight w:hRule="exact" w:val="1296"/>
          <w:jc w:val="center"/>
        </w:trPr>
        <w:tc>
          <w:tcPr>
            <w:tcW w:w="1610" w:type="dxa"/>
          </w:tcPr>
          <w:p w14:paraId="1C77302E" w14:textId="77777777" w:rsidR="00991607" w:rsidRDefault="00991607" w:rsidP="00991607">
            <w:pPr>
              <w:tabs>
                <w:tab w:val="left" w:pos="600"/>
              </w:tabs>
              <w:jc w:val="center"/>
            </w:pPr>
            <w:r>
              <w:rPr>
                <w:noProof/>
              </w:rPr>
              <w:drawing>
                <wp:anchor distT="0" distB="0" distL="114300" distR="114300" simplePos="0" relativeHeight="251658240" behindDoc="1" locked="1" layoutInCell="1" allowOverlap="0" wp14:anchorId="6F1F46AC" wp14:editId="1DE7160B">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3800D49" w14:textId="77777777" w:rsidR="00C9644C" w:rsidRPr="00C9644C" w:rsidRDefault="00C9644C"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028A6252" w14:textId="77777777" w:rsidR="00991607" w:rsidRPr="00C9644C" w:rsidRDefault="00C9644C" w:rsidP="00991607">
            <w:pPr>
              <w:suppressAutoHyphens/>
              <w:jc w:val="center"/>
              <w:rPr>
                <w:rFonts w:ascii="Arial" w:hAnsi="Arial"/>
                <w:color w:val="000080"/>
                <w:sz w:val="26"/>
                <w:szCs w:val="26"/>
              </w:rPr>
            </w:pPr>
            <w:r>
              <w:rPr>
                <w:rFonts w:ascii="Arial" w:hAnsi="Arial"/>
                <w:color w:val="000080"/>
                <w:sz w:val="26"/>
                <w:szCs w:val="26"/>
              </w:rPr>
              <w:t xml:space="preserve">PENNSYLVANIA </w:t>
            </w:r>
            <w:r w:rsidR="00991607" w:rsidRPr="00C9644C">
              <w:rPr>
                <w:rFonts w:ascii="Arial" w:hAnsi="Arial"/>
                <w:color w:val="000080"/>
                <w:sz w:val="26"/>
                <w:szCs w:val="26"/>
              </w:rPr>
              <w:t>P</w:t>
            </w:r>
            <w:r>
              <w:rPr>
                <w:rFonts w:ascii="Arial" w:hAnsi="Arial"/>
                <w:color w:val="000080"/>
                <w:sz w:val="26"/>
                <w:szCs w:val="26"/>
              </w:rPr>
              <w:t>UBLIC UTILITY COMMISSION</w:t>
            </w:r>
          </w:p>
          <w:p w14:paraId="11EA8B21" w14:textId="77777777" w:rsidR="00991607" w:rsidRPr="00C9644C" w:rsidRDefault="00991607" w:rsidP="00991607">
            <w:pPr>
              <w:suppressAutoHyphens/>
              <w:jc w:val="center"/>
              <w:rPr>
                <w:rFonts w:ascii="Arial" w:hAnsi="Arial"/>
                <w:color w:val="000080"/>
                <w:sz w:val="26"/>
                <w:szCs w:val="26"/>
              </w:rPr>
            </w:pPr>
            <w:r w:rsidRPr="00C9644C">
              <w:rPr>
                <w:rFonts w:ascii="Arial" w:hAnsi="Arial"/>
                <w:color w:val="000080"/>
                <w:sz w:val="26"/>
                <w:szCs w:val="26"/>
              </w:rPr>
              <w:t>400 N</w:t>
            </w:r>
            <w:r w:rsidR="00C9644C">
              <w:rPr>
                <w:rFonts w:ascii="Arial" w:hAnsi="Arial"/>
                <w:color w:val="000080"/>
                <w:sz w:val="26"/>
                <w:szCs w:val="26"/>
              </w:rPr>
              <w:t>ORTH STREET, HARRISBURG, PA  17120</w:t>
            </w:r>
          </w:p>
          <w:p w14:paraId="6DE83253" w14:textId="77777777" w:rsidR="000559DC" w:rsidRDefault="000559DC" w:rsidP="00991607">
            <w:pPr>
              <w:jc w:val="center"/>
              <w:rPr>
                <w:rFonts w:ascii="Arial" w:hAnsi="Arial"/>
                <w:sz w:val="12"/>
              </w:rPr>
            </w:pPr>
          </w:p>
        </w:tc>
        <w:tc>
          <w:tcPr>
            <w:tcW w:w="1609" w:type="dxa"/>
            <w:vAlign w:val="center"/>
          </w:tcPr>
          <w:p w14:paraId="7FDF99FA" w14:textId="77777777" w:rsidR="00991607" w:rsidRDefault="00991607" w:rsidP="00991607">
            <w:pPr>
              <w:jc w:val="center"/>
              <w:rPr>
                <w:rFonts w:ascii="Arial" w:hAnsi="Arial"/>
                <w:sz w:val="12"/>
              </w:rPr>
            </w:pPr>
          </w:p>
          <w:p w14:paraId="40230787" w14:textId="77777777" w:rsidR="00991607" w:rsidRDefault="00991607" w:rsidP="00991607">
            <w:pPr>
              <w:jc w:val="center"/>
              <w:rPr>
                <w:rFonts w:ascii="Arial" w:hAnsi="Arial"/>
                <w:sz w:val="12"/>
              </w:rPr>
            </w:pPr>
          </w:p>
          <w:p w14:paraId="1AE49BB0" w14:textId="77777777" w:rsidR="00991607" w:rsidRDefault="00991607" w:rsidP="00991607">
            <w:pPr>
              <w:jc w:val="center"/>
              <w:rPr>
                <w:rFonts w:ascii="Arial" w:hAnsi="Arial"/>
                <w:sz w:val="12"/>
              </w:rPr>
            </w:pPr>
          </w:p>
          <w:p w14:paraId="4F357A04" w14:textId="77777777" w:rsidR="00991607" w:rsidRDefault="00991607" w:rsidP="00991607">
            <w:pPr>
              <w:jc w:val="center"/>
              <w:rPr>
                <w:rFonts w:ascii="Arial" w:hAnsi="Arial"/>
                <w:sz w:val="12"/>
              </w:rPr>
            </w:pPr>
          </w:p>
          <w:p w14:paraId="5196C571" w14:textId="77777777" w:rsidR="00991607" w:rsidRDefault="00991607" w:rsidP="00991607">
            <w:pPr>
              <w:jc w:val="center"/>
              <w:rPr>
                <w:rFonts w:ascii="Arial" w:hAnsi="Arial"/>
                <w:sz w:val="12"/>
              </w:rPr>
            </w:pPr>
          </w:p>
          <w:p w14:paraId="20215FA9" w14:textId="77777777" w:rsidR="00991607" w:rsidRDefault="00991607" w:rsidP="00991607">
            <w:pPr>
              <w:jc w:val="center"/>
              <w:rPr>
                <w:rFonts w:ascii="Arial" w:hAnsi="Arial"/>
                <w:sz w:val="12"/>
              </w:rPr>
            </w:pPr>
          </w:p>
          <w:p w14:paraId="3B5FA78B"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02D1DABD" w14:textId="6BC9F5C7" w:rsidR="00DD3AE5" w:rsidRDefault="00780EBB" w:rsidP="00780EBB">
      <w:pPr>
        <w:jc w:val="center"/>
        <w:rPr>
          <w:color w:val="000000" w:themeColor="text1"/>
          <w:sz w:val="26"/>
          <w:szCs w:val="26"/>
        </w:rPr>
      </w:pPr>
      <w:r>
        <w:rPr>
          <w:color w:val="000000" w:themeColor="text1"/>
          <w:sz w:val="26"/>
          <w:szCs w:val="26"/>
        </w:rPr>
        <w:t>January 19, 2021</w:t>
      </w:r>
    </w:p>
    <w:p w14:paraId="2488EBAD" w14:textId="77777777" w:rsidR="00EE34A4" w:rsidRPr="00EE34A4" w:rsidRDefault="00EE34A4" w:rsidP="00EE34A4">
      <w:pPr>
        <w:ind w:left="3600"/>
        <w:rPr>
          <w:sz w:val="26"/>
          <w:szCs w:val="26"/>
        </w:rPr>
      </w:pPr>
      <w:r w:rsidRPr="00EE34A4">
        <w:rPr>
          <w:sz w:val="26"/>
          <w:szCs w:val="26"/>
        </w:rPr>
        <w:t xml:space="preserve">Docket Nos. </w:t>
      </w:r>
      <w:bookmarkStart w:id="0" w:name="_Hlk524514067"/>
      <w:r w:rsidRPr="00EE34A4">
        <w:rPr>
          <w:sz w:val="26"/>
          <w:szCs w:val="26"/>
        </w:rPr>
        <w:t>A-2020-30</w:t>
      </w:r>
      <w:bookmarkEnd w:id="0"/>
      <w:r w:rsidRPr="00EE34A4">
        <w:rPr>
          <w:sz w:val="26"/>
          <w:szCs w:val="26"/>
        </w:rPr>
        <w:t>20004, A-2020-3020005, A</w:t>
      </w:r>
      <w:r w:rsidRPr="00EE34A4">
        <w:rPr>
          <w:sz w:val="26"/>
          <w:szCs w:val="26"/>
        </w:rPr>
        <w:noBreakHyphen/>
        <w:t>2020</w:t>
      </w:r>
      <w:r w:rsidRPr="00EE34A4">
        <w:rPr>
          <w:sz w:val="26"/>
          <w:szCs w:val="26"/>
        </w:rPr>
        <w:noBreakHyphen/>
        <w:t>3020006, A-2020-3020007, A-2020-3020009, A</w:t>
      </w:r>
      <w:r w:rsidRPr="00EE34A4">
        <w:rPr>
          <w:sz w:val="26"/>
          <w:szCs w:val="26"/>
        </w:rPr>
        <w:noBreakHyphen/>
        <w:t>2020-3020010, A-2020-3020011, A-2020-3020012, A</w:t>
      </w:r>
      <w:r w:rsidRPr="00EE34A4">
        <w:rPr>
          <w:sz w:val="26"/>
          <w:szCs w:val="26"/>
        </w:rPr>
        <w:noBreakHyphen/>
        <w:t>2020-3020013, A-2020-3020014</w:t>
      </w:r>
    </w:p>
    <w:p w14:paraId="095D59C6" w14:textId="77777777" w:rsidR="00D7448C" w:rsidRDefault="00D7448C" w:rsidP="00B91634">
      <w:pPr>
        <w:jc w:val="right"/>
        <w:rPr>
          <w:color w:val="000000" w:themeColor="text1"/>
          <w:sz w:val="26"/>
          <w:szCs w:val="26"/>
        </w:rPr>
      </w:pPr>
    </w:p>
    <w:p w14:paraId="743315AD" w14:textId="457C774D" w:rsidR="00551DC3" w:rsidRPr="00A059A1" w:rsidRDefault="00551DC3" w:rsidP="00B91634">
      <w:pPr>
        <w:jc w:val="right"/>
        <w:rPr>
          <w:color w:val="000000" w:themeColor="text1"/>
          <w:sz w:val="26"/>
          <w:szCs w:val="26"/>
        </w:rPr>
      </w:pPr>
    </w:p>
    <w:p w14:paraId="4AFEC1F2" w14:textId="44BEDD00" w:rsidR="00EE34A4" w:rsidRPr="00EE34A4" w:rsidRDefault="00EE34A4" w:rsidP="00EE34A4">
      <w:pPr>
        <w:rPr>
          <w:color w:val="000000" w:themeColor="text1"/>
          <w:sz w:val="26"/>
          <w:szCs w:val="26"/>
        </w:rPr>
      </w:pPr>
      <w:r w:rsidRPr="00EE34A4">
        <w:rPr>
          <w:color w:val="000000" w:themeColor="text1"/>
          <w:sz w:val="26"/>
          <w:szCs w:val="26"/>
        </w:rPr>
        <w:t xml:space="preserve">Thomas T. </w:t>
      </w:r>
      <w:proofErr w:type="spellStart"/>
      <w:r w:rsidRPr="00EE34A4">
        <w:rPr>
          <w:color w:val="000000" w:themeColor="text1"/>
          <w:sz w:val="26"/>
          <w:szCs w:val="26"/>
        </w:rPr>
        <w:t>Niesen</w:t>
      </w:r>
      <w:proofErr w:type="spellEnd"/>
      <w:r w:rsidR="004D07B5">
        <w:rPr>
          <w:color w:val="000000" w:themeColor="text1"/>
          <w:sz w:val="26"/>
          <w:szCs w:val="26"/>
        </w:rPr>
        <w:t>, Esquire</w:t>
      </w:r>
    </w:p>
    <w:p w14:paraId="2A6345FE" w14:textId="77777777" w:rsidR="00EE34A4" w:rsidRPr="00EE34A4" w:rsidRDefault="00EE34A4" w:rsidP="00EE34A4">
      <w:pPr>
        <w:rPr>
          <w:color w:val="000000" w:themeColor="text1"/>
          <w:sz w:val="26"/>
          <w:szCs w:val="26"/>
        </w:rPr>
      </w:pPr>
      <w:r w:rsidRPr="00EE34A4">
        <w:rPr>
          <w:color w:val="000000" w:themeColor="text1"/>
          <w:sz w:val="26"/>
          <w:szCs w:val="26"/>
        </w:rPr>
        <w:t xml:space="preserve">Thomas, </w:t>
      </w:r>
      <w:proofErr w:type="spellStart"/>
      <w:r w:rsidRPr="00EE34A4">
        <w:rPr>
          <w:color w:val="000000" w:themeColor="text1"/>
          <w:sz w:val="26"/>
          <w:szCs w:val="26"/>
        </w:rPr>
        <w:t>Niesen</w:t>
      </w:r>
      <w:proofErr w:type="spellEnd"/>
      <w:r w:rsidRPr="00EE34A4">
        <w:rPr>
          <w:color w:val="000000" w:themeColor="text1"/>
          <w:sz w:val="26"/>
          <w:szCs w:val="26"/>
        </w:rPr>
        <w:t xml:space="preserve"> &amp; Thomas, LLC</w:t>
      </w:r>
    </w:p>
    <w:p w14:paraId="3D80FC63" w14:textId="77777777" w:rsidR="00EE34A4" w:rsidRPr="00EE34A4" w:rsidRDefault="00EE34A4" w:rsidP="00EE34A4">
      <w:pPr>
        <w:rPr>
          <w:color w:val="000000" w:themeColor="text1"/>
          <w:sz w:val="26"/>
          <w:szCs w:val="26"/>
        </w:rPr>
      </w:pPr>
      <w:r w:rsidRPr="00EE34A4">
        <w:rPr>
          <w:color w:val="000000" w:themeColor="text1"/>
          <w:sz w:val="26"/>
          <w:szCs w:val="26"/>
        </w:rPr>
        <w:t>212 Locust Street, Suite 302</w:t>
      </w:r>
    </w:p>
    <w:p w14:paraId="185F3703" w14:textId="77777777" w:rsidR="00EE34A4" w:rsidRPr="00EE34A4" w:rsidRDefault="00EE34A4" w:rsidP="00EE34A4">
      <w:pPr>
        <w:rPr>
          <w:color w:val="000000" w:themeColor="text1"/>
          <w:sz w:val="26"/>
          <w:szCs w:val="26"/>
        </w:rPr>
      </w:pPr>
      <w:r w:rsidRPr="00EE34A4">
        <w:rPr>
          <w:color w:val="000000" w:themeColor="text1"/>
          <w:sz w:val="26"/>
          <w:szCs w:val="26"/>
        </w:rPr>
        <w:t>Harrisburg, PA  17101</w:t>
      </w:r>
    </w:p>
    <w:p w14:paraId="50ED3559" w14:textId="0C0C329F" w:rsidR="00DD3A29" w:rsidRPr="00DD3A29" w:rsidRDefault="00DD3A29" w:rsidP="000267A0">
      <w:pPr>
        <w:rPr>
          <w:color w:val="000000" w:themeColor="text1"/>
          <w:sz w:val="26"/>
          <w:szCs w:val="26"/>
        </w:rPr>
      </w:pPr>
    </w:p>
    <w:p w14:paraId="0FB9CCC2" w14:textId="77777777" w:rsidR="00DD3A29" w:rsidRPr="00DD3A29" w:rsidRDefault="00DD3A29" w:rsidP="000267A0">
      <w:pPr>
        <w:rPr>
          <w:color w:val="000000" w:themeColor="text1"/>
          <w:sz w:val="26"/>
          <w:szCs w:val="26"/>
        </w:rPr>
      </w:pPr>
    </w:p>
    <w:p w14:paraId="3FCD82C6" w14:textId="737BC9D6" w:rsidR="00EE34A4" w:rsidRPr="00EE34A4" w:rsidRDefault="000267A0" w:rsidP="7E6C9F4C">
      <w:pPr>
        <w:ind w:left="720" w:hanging="720"/>
        <w:rPr>
          <w:b/>
          <w:bCs/>
          <w:color w:val="000000" w:themeColor="text1"/>
          <w:sz w:val="26"/>
          <w:szCs w:val="26"/>
        </w:rPr>
      </w:pPr>
      <w:r w:rsidRPr="00DD3A29">
        <w:rPr>
          <w:color w:val="000000" w:themeColor="text1"/>
          <w:sz w:val="26"/>
          <w:szCs w:val="26"/>
        </w:rPr>
        <w:t>Re:</w:t>
      </w:r>
      <w:r w:rsidRPr="00DD3A29">
        <w:rPr>
          <w:color w:val="000000" w:themeColor="text1"/>
          <w:sz w:val="26"/>
          <w:szCs w:val="26"/>
        </w:rPr>
        <w:tab/>
      </w:r>
      <w:bookmarkStart w:id="1" w:name="_Hlk19787565"/>
      <w:r w:rsidR="00EE34A4" w:rsidRPr="00EE34A4">
        <w:rPr>
          <w:color w:val="000000" w:themeColor="text1"/>
          <w:sz w:val="26"/>
          <w:szCs w:val="26"/>
        </w:rPr>
        <w:t xml:space="preserve">Joint Application of </w:t>
      </w:r>
      <w:r w:rsidR="00EE34A4" w:rsidRPr="7E6C9F4C">
        <w:rPr>
          <w:color w:val="000000" w:themeColor="text1"/>
          <w:sz w:val="26"/>
          <w:szCs w:val="26"/>
        </w:rPr>
        <w:t>Frontier Communications Corporation; Frontier Subsidiary Telco, LLC; Commonwealth Telephone Enterprises, LLC; Commonwealth Telephone Company, LLC d/b/a Frontier Communications Commonwealth Telephone Company; Frontier Communications of Breezewood, LLC; Frontier Communications of Canton, LLC; Frontier Communications of Lakewood, LLC; Frontier Communications of Oswayo River LLC; Frontier Communications of Pennsylvania, LLC; Citizens Telecommunications Company of New York, Inc.; CTSI, LLC d/b/a Frontier Communications CTSI, LLC; CTE Telecom, LLC d/b/a Frontier Communications CTE Telecom Company; and Frontier Communications of America, Inc.</w:t>
      </w:r>
      <w:bookmarkEnd w:id="1"/>
      <w:r w:rsidR="00EE34A4" w:rsidRPr="7E6C9F4C">
        <w:rPr>
          <w:color w:val="000000" w:themeColor="text1"/>
          <w:sz w:val="26"/>
          <w:szCs w:val="26"/>
        </w:rPr>
        <w:t xml:space="preserve"> </w:t>
      </w:r>
      <w:r w:rsidR="00575EB2" w:rsidRPr="7E6C9F4C">
        <w:rPr>
          <w:color w:val="000000" w:themeColor="text1"/>
          <w:sz w:val="26"/>
          <w:szCs w:val="26"/>
        </w:rPr>
        <w:t>f</w:t>
      </w:r>
      <w:r w:rsidR="00EE34A4" w:rsidRPr="7E6C9F4C">
        <w:rPr>
          <w:color w:val="000000" w:themeColor="text1"/>
          <w:sz w:val="26"/>
          <w:szCs w:val="26"/>
        </w:rPr>
        <w:t xml:space="preserve">or  Approval of a </w:t>
      </w:r>
      <w:r w:rsidR="00F5715B" w:rsidRPr="7E6C9F4C">
        <w:rPr>
          <w:color w:val="000000" w:themeColor="text1"/>
          <w:sz w:val="26"/>
          <w:szCs w:val="26"/>
        </w:rPr>
        <w:t>Change in Control</w:t>
      </w:r>
      <w:r w:rsidR="00EE34A4" w:rsidRPr="7E6C9F4C">
        <w:rPr>
          <w:color w:val="000000" w:themeColor="text1"/>
          <w:sz w:val="26"/>
          <w:szCs w:val="26"/>
        </w:rPr>
        <w:t xml:space="preserve"> Transaction </w:t>
      </w:r>
    </w:p>
    <w:p w14:paraId="15EE7672" w14:textId="4A1EBAD3" w:rsidR="00105992" w:rsidRDefault="00E522D5" w:rsidP="00EE34A4">
      <w:pPr>
        <w:ind w:left="720" w:hanging="720"/>
        <w:rPr>
          <w:color w:val="000000" w:themeColor="text1"/>
          <w:sz w:val="26"/>
          <w:szCs w:val="26"/>
        </w:rPr>
      </w:pPr>
      <w:r w:rsidRPr="00DD3A29">
        <w:rPr>
          <w:color w:val="000000" w:themeColor="text1"/>
          <w:sz w:val="26"/>
          <w:szCs w:val="26"/>
        </w:rPr>
        <w:t xml:space="preserve"> </w:t>
      </w:r>
    </w:p>
    <w:p w14:paraId="1BC374DE" w14:textId="432B4F2A" w:rsidR="000267A0" w:rsidRPr="00DD3A29" w:rsidRDefault="000267A0" w:rsidP="000267A0">
      <w:pPr>
        <w:rPr>
          <w:color w:val="000000" w:themeColor="text1"/>
          <w:sz w:val="26"/>
          <w:szCs w:val="26"/>
        </w:rPr>
      </w:pPr>
      <w:r w:rsidRPr="00DD3A29">
        <w:rPr>
          <w:color w:val="000000" w:themeColor="text1"/>
          <w:sz w:val="26"/>
          <w:szCs w:val="26"/>
        </w:rPr>
        <w:t>Dear M</w:t>
      </w:r>
      <w:r w:rsidR="00F05C96" w:rsidRPr="00DD3A29">
        <w:rPr>
          <w:color w:val="000000" w:themeColor="text1"/>
          <w:sz w:val="26"/>
          <w:szCs w:val="26"/>
        </w:rPr>
        <w:t xml:space="preserve">r. </w:t>
      </w:r>
      <w:proofErr w:type="spellStart"/>
      <w:r w:rsidR="00EE34A4">
        <w:rPr>
          <w:color w:val="000000" w:themeColor="text1"/>
          <w:sz w:val="26"/>
          <w:szCs w:val="26"/>
        </w:rPr>
        <w:t>Niesen</w:t>
      </w:r>
      <w:proofErr w:type="spellEnd"/>
      <w:r w:rsidR="00DD3A29">
        <w:rPr>
          <w:color w:val="000000" w:themeColor="text1"/>
          <w:sz w:val="26"/>
          <w:szCs w:val="26"/>
        </w:rPr>
        <w:t>:</w:t>
      </w:r>
    </w:p>
    <w:p w14:paraId="3467195A" w14:textId="77777777" w:rsidR="000267A0" w:rsidRPr="00DD3A29" w:rsidRDefault="000267A0" w:rsidP="000267A0">
      <w:pPr>
        <w:rPr>
          <w:color w:val="000000" w:themeColor="text1"/>
          <w:sz w:val="26"/>
          <w:szCs w:val="26"/>
        </w:rPr>
      </w:pPr>
    </w:p>
    <w:p w14:paraId="3DD2BE3B" w14:textId="517D412D" w:rsidR="004802DA" w:rsidRPr="00DD3A29" w:rsidRDefault="000267A0" w:rsidP="004802DA">
      <w:pPr>
        <w:ind w:firstLine="720"/>
        <w:rPr>
          <w:color w:val="000000" w:themeColor="text1"/>
          <w:sz w:val="26"/>
          <w:szCs w:val="26"/>
        </w:rPr>
      </w:pPr>
      <w:r w:rsidRPr="00DD3A29">
        <w:rPr>
          <w:color w:val="000000" w:themeColor="text1"/>
          <w:sz w:val="26"/>
          <w:szCs w:val="26"/>
        </w:rPr>
        <w:t xml:space="preserve">On </w:t>
      </w:r>
      <w:r w:rsidR="00EE34A4">
        <w:rPr>
          <w:color w:val="000000" w:themeColor="text1"/>
          <w:sz w:val="26"/>
          <w:szCs w:val="26"/>
        </w:rPr>
        <w:t>May 22</w:t>
      </w:r>
      <w:r w:rsidR="00BE1769">
        <w:rPr>
          <w:color w:val="000000" w:themeColor="text1"/>
          <w:sz w:val="26"/>
          <w:szCs w:val="26"/>
        </w:rPr>
        <w:t xml:space="preserve">, 2020, </w:t>
      </w:r>
      <w:r w:rsidR="00EE34A4" w:rsidRPr="00EE34A4">
        <w:rPr>
          <w:bCs/>
          <w:color w:val="000000" w:themeColor="text1"/>
          <w:sz w:val="26"/>
          <w:szCs w:val="26"/>
        </w:rPr>
        <w:t>Frontier Communications Corporation</w:t>
      </w:r>
      <w:r w:rsidR="00EE34A4">
        <w:rPr>
          <w:bCs/>
          <w:color w:val="000000" w:themeColor="text1"/>
          <w:sz w:val="26"/>
          <w:szCs w:val="26"/>
        </w:rPr>
        <w:t xml:space="preserve"> (Frontier</w:t>
      </w:r>
      <w:r w:rsidR="009E5E08">
        <w:rPr>
          <w:bCs/>
          <w:color w:val="000000" w:themeColor="text1"/>
          <w:sz w:val="26"/>
          <w:szCs w:val="26"/>
        </w:rPr>
        <w:t xml:space="preserve"> or Company</w:t>
      </w:r>
      <w:r w:rsidR="00EE34A4">
        <w:rPr>
          <w:bCs/>
          <w:color w:val="000000" w:themeColor="text1"/>
          <w:sz w:val="26"/>
          <w:szCs w:val="26"/>
        </w:rPr>
        <w:t xml:space="preserve">), </w:t>
      </w:r>
      <w:r w:rsidR="00EE34A4" w:rsidRPr="00EE34A4">
        <w:rPr>
          <w:bCs/>
          <w:color w:val="000000" w:themeColor="text1"/>
          <w:sz w:val="26"/>
          <w:szCs w:val="26"/>
        </w:rPr>
        <w:t>Frontier Subsidiary Telco, LLC</w:t>
      </w:r>
      <w:r w:rsidR="00EE34A4">
        <w:rPr>
          <w:bCs/>
          <w:color w:val="000000" w:themeColor="text1"/>
          <w:sz w:val="26"/>
          <w:szCs w:val="26"/>
        </w:rPr>
        <w:t xml:space="preserve"> (FST),</w:t>
      </w:r>
      <w:r w:rsidR="00EE34A4" w:rsidRPr="00EE34A4">
        <w:rPr>
          <w:bCs/>
          <w:color w:val="000000" w:themeColor="text1"/>
          <w:sz w:val="26"/>
          <w:szCs w:val="26"/>
        </w:rPr>
        <w:t xml:space="preserve"> Commonwealth Telephone Enterprises, LLC</w:t>
      </w:r>
      <w:r w:rsidR="00EE34A4">
        <w:rPr>
          <w:bCs/>
          <w:color w:val="000000" w:themeColor="text1"/>
          <w:sz w:val="26"/>
          <w:szCs w:val="26"/>
        </w:rPr>
        <w:t xml:space="preserve"> (CTE) and their Pennsylvania </w:t>
      </w:r>
      <w:r w:rsidR="00801FE7">
        <w:rPr>
          <w:bCs/>
          <w:color w:val="000000" w:themeColor="text1"/>
          <w:sz w:val="26"/>
          <w:szCs w:val="26"/>
        </w:rPr>
        <w:t>j</w:t>
      </w:r>
      <w:r w:rsidR="00EE34A4">
        <w:rPr>
          <w:bCs/>
          <w:color w:val="000000" w:themeColor="text1"/>
          <w:sz w:val="26"/>
          <w:szCs w:val="26"/>
        </w:rPr>
        <w:t>urisdictional</w:t>
      </w:r>
      <w:r w:rsidR="00A53455">
        <w:rPr>
          <w:bCs/>
          <w:color w:val="000000" w:themeColor="text1"/>
          <w:sz w:val="26"/>
          <w:szCs w:val="26"/>
        </w:rPr>
        <w:t xml:space="preserve"> subsidiaries</w:t>
      </w:r>
      <w:r w:rsidR="00EE34A4" w:rsidRPr="00EE34A4">
        <w:rPr>
          <w:bCs/>
          <w:color w:val="000000" w:themeColor="text1"/>
          <w:sz w:val="26"/>
          <w:szCs w:val="26"/>
        </w:rPr>
        <w:t xml:space="preserve"> Commonwealth Telephone Company, LLC d/b/a Frontier Communications Commonwealth Telephone Company</w:t>
      </w:r>
      <w:r w:rsidR="00A53455">
        <w:rPr>
          <w:bCs/>
          <w:color w:val="000000" w:themeColor="text1"/>
          <w:sz w:val="26"/>
          <w:szCs w:val="26"/>
        </w:rPr>
        <w:t xml:space="preserve"> (Frontier Commonwealth),</w:t>
      </w:r>
      <w:r w:rsidR="00EE34A4" w:rsidRPr="00EE34A4">
        <w:rPr>
          <w:bCs/>
          <w:color w:val="000000" w:themeColor="text1"/>
          <w:sz w:val="26"/>
          <w:szCs w:val="26"/>
        </w:rPr>
        <w:t xml:space="preserve"> Frontier Communications of Breezewood, LLC</w:t>
      </w:r>
      <w:r w:rsidR="00A53455">
        <w:rPr>
          <w:bCs/>
          <w:color w:val="000000" w:themeColor="text1"/>
          <w:sz w:val="26"/>
          <w:szCs w:val="26"/>
        </w:rPr>
        <w:t xml:space="preserve"> (Frontier Breezewood), </w:t>
      </w:r>
      <w:r w:rsidR="00EE34A4" w:rsidRPr="00EE34A4">
        <w:rPr>
          <w:bCs/>
          <w:color w:val="000000" w:themeColor="text1"/>
          <w:sz w:val="26"/>
          <w:szCs w:val="26"/>
        </w:rPr>
        <w:t xml:space="preserve"> Frontier Communications of Canton, LLC</w:t>
      </w:r>
      <w:r w:rsidR="00A53455">
        <w:rPr>
          <w:bCs/>
          <w:color w:val="000000" w:themeColor="text1"/>
          <w:sz w:val="26"/>
          <w:szCs w:val="26"/>
        </w:rPr>
        <w:t xml:space="preserve"> (Frontier Canton),</w:t>
      </w:r>
      <w:r w:rsidR="00EE34A4" w:rsidRPr="00EE34A4">
        <w:rPr>
          <w:bCs/>
          <w:color w:val="000000" w:themeColor="text1"/>
          <w:sz w:val="26"/>
          <w:szCs w:val="26"/>
        </w:rPr>
        <w:t xml:space="preserve"> Frontier Communications of Lakewood, LLC</w:t>
      </w:r>
      <w:r w:rsidR="00A53455">
        <w:rPr>
          <w:bCs/>
          <w:color w:val="000000" w:themeColor="text1"/>
          <w:sz w:val="26"/>
          <w:szCs w:val="26"/>
        </w:rPr>
        <w:t xml:space="preserve"> (Frontier Lakewood),</w:t>
      </w:r>
      <w:r w:rsidR="00EE34A4" w:rsidRPr="00EE34A4">
        <w:rPr>
          <w:bCs/>
          <w:color w:val="000000" w:themeColor="text1"/>
          <w:sz w:val="26"/>
          <w:szCs w:val="26"/>
        </w:rPr>
        <w:t xml:space="preserve"> Frontier Communications of Oswayo River LLC</w:t>
      </w:r>
      <w:r w:rsidR="00A53455">
        <w:rPr>
          <w:bCs/>
          <w:color w:val="000000" w:themeColor="text1"/>
          <w:sz w:val="26"/>
          <w:szCs w:val="26"/>
        </w:rPr>
        <w:t xml:space="preserve"> (Frontier Oswayo),</w:t>
      </w:r>
      <w:r w:rsidR="00EE34A4" w:rsidRPr="00EE34A4">
        <w:rPr>
          <w:bCs/>
          <w:color w:val="000000" w:themeColor="text1"/>
          <w:sz w:val="26"/>
          <w:szCs w:val="26"/>
        </w:rPr>
        <w:t xml:space="preserve"> Frontier Communications of Pennsylvania, LLC</w:t>
      </w:r>
      <w:r w:rsidR="00A53455">
        <w:rPr>
          <w:bCs/>
          <w:color w:val="000000" w:themeColor="text1"/>
          <w:sz w:val="26"/>
          <w:szCs w:val="26"/>
        </w:rPr>
        <w:t xml:space="preserve"> (Frontier PA),</w:t>
      </w:r>
      <w:r w:rsidR="00EE34A4" w:rsidRPr="00EE34A4">
        <w:rPr>
          <w:bCs/>
          <w:color w:val="000000" w:themeColor="text1"/>
          <w:sz w:val="26"/>
          <w:szCs w:val="26"/>
        </w:rPr>
        <w:t xml:space="preserve"> Citizens Telecommunications Company of New York, Inc.</w:t>
      </w:r>
      <w:r w:rsidR="00A53455">
        <w:rPr>
          <w:bCs/>
          <w:color w:val="000000" w:themeColor="text1"/>
          <w:sz w:val="26"/>
          <w:szCs w:val="26"/>
        </w:rPr>
        <w:t xml:space="preserve"> (Citizens NY),</w:t>
      </w:r>
      <w:r w:rsidR="00EE34A4" w:rsidRPr="00EE34A4">
        <w:rPr>
          <w:bCs/>
          <w:color w:val="000000" w:themeColor="text1"/>
          <w:sz w:val="26"/>
          <w:szCs w:val="26"/>
        </w:rPr>
        <w:t xml:space="preserve"> CTSI, LLC d/b/a Frontier Communications CTSI, LLC</w:t>
      </w:r>
      <w:r w:rsidR="00A53455">
        <w:rPr>
          <w:bCs/>
          <w:color w:val="000000" w:themeColor="text1"/>
          <w:sz w:val="26"/>
          <w:szCs w:val="26"/>
        </w:rPr>
        <w:t xml:space="preserve"> (CTSI),</w:t>
      </w:r>
      <w:r w:rsidR="00EE34A4" w:rsidRPr="00EE34A4">
        <w:rPr>
          <w:bCs/>
          <w:color w:val="000000" w:themeColor="text1"/>
          <w:sz w:val="26"/>
          <w:szCs w:val="26"/>
        </w:rPr>
        <w:t xml:space="preserve"> CTE Telecom, LLC d/b/a Frontier Communications CTE Telecom Company</w:t>
      </w:r>
      <w:r w:rsidR="00A53455">
        <w:rPr>
          <w:bCs/>
          <w:color w:val="000000" w:themeColor="text1"/>
          <w:sz w:val="26"/>
          <w:szCs w:val="26"/>
        </w:rPr>
        <w:t xml:space="preserve"> (CTE Telecom)</w:t>
      </w:r>
      <w:r w:rsidR="00EE34A4" w:rsidRPr="00EE34A4">
        <w:rPr>
          <w:bCs/>
          <w:color w:val="000000" w:themeColor="text1"/>
          <w:sz w:val="26"/>
          <w:szCs w:val="26"/>
        </w:rPr>
        <w:t xml:space="preserve"> and Frontier Communications of America, Inc.</w:t>
      </w:r>
      <w:r w:rsidR="00A53455">
        <w:rPr>
          <w:bCs/>
          <w:color w:val="000000" w:themeColor="text1"/>
          <w:sz w:val="26"/>
          <w:szCs w:val="26"/>
        </w:rPr>
        <w:t xml:space="preserve"> (Frontier America)</w:t>
      </w:r>
      <w:r w:rsidR="003C49E8">
        <w:rPr>
          <w:color w:val="000000" w:themeColor="text1"/>
          <w:sz w:val="26"/>
          <w:szCs w:val="26"/>
        </w:rPr>
        <w:t xml:space="preserve"> </w:t>
      </w:r>
      <w:r w:rsidR="00A53455" w:rsidRPr="00A53455">
        <w:rPr>
          <w:color w:val="000000" w:themeColor="text1"/>
          <w:sz w:val="26"/>
          <w:szCs w:val="26"/>
        </w:rPr>
        <w:t xml:space="preserve">(collectively, the “Pennsylvania Operating Subsidiaries,” and together with Frontier, FST, and CTE, the “Joint </w:t>
      </w:r>
      <w:r w:rsidR="00A53455" w:rsidRPr="00A53455">
        <w:rPr>
          <w:color w:val="000000" w:themeColor="text1"/>
          <w:sz w:val="26"/>
          <w:szCs w:val="26"/>
        </w:rPr>
        <w:lastRenderedPageBreak/>
        <w:t>Applicants”)</w:t>
      </w:r>
      <w:r w:rsidR="00A37801">
        <w:rPr>
          <w:color w:val="000000" w:themeColor="text1"/>
          <w:sz w:val="26"/>
          <w:szCs w:val="26"/>
        </w:rPr>
        <w:t xml:space="preserve"> </w:t>
      </w:r>
      <w:r w:rsidR="00E039F4" w:rsidRPr="00DD3A29">
        <w:rPr>
          <w:sz w:val="26"/>
          <w:szCs w:val="26"/>
        </w:rPr>
        <w:t xml:space="preserve">filed </w:t>
      </w:r>
      <w:r w:rsidR="00A37801">
        <w:rPr>
          <w:sz w:val="26"/>
          <w:szCs w:val="26"/>
        </w:rPr>
        <w:t xml:space="preserve">a joint </w:t>
      </w:r>
      <w:r w:rsidRPr="00DD3A29">
        <w:rPr>
          <w:color w:val="000000" w:themeColor="text1"/>
          <w:sz w:val="26"/>
          <w:szCs w:val="26"/>
        </w:rPr>
        <w:t xml:space="preserve">application pursuant to </w:t>
      </w:r>
      <w:r w:rsidR="001A1CA6" w:rsidRPr="00DD3A29">
        <w:rPr>
          <w:color w:val="000000" w:themeColor="text1"/>
          <w:sz w:val="26"/>
          <w:szCs w:val="26"/>
        </w:rPr>
        <w:t xml:space="preserve">Sections 1102(a) and 1103 </w:t>
      </w:r>
      <w:r w:rsidRPr="00DD3A29">
        <w:rPr>
          <w:color w:val="000000" w:themeColor="text1"/>
          <w:sz w:val="26"/>
          <w:szCs w:val="26"/>
        </w:rPr>
        <w:t xml:space="preserve">of the Pennsylvania Public Utility Code, 66 Pa. C.S. §§ 1102(a) and 1103, the Commission’s Statement of Policy </w:t>
      </w:r>
      <w:r w:rsidR="009A5CEE" w:rsidRPr="00DD3A29">
        <w:rPr>
          <w:color w:val="000000" w:themeColor="text1"/>
          <w:sz w:val="26"/>
          <w:szCs w:val="26"/>
        </w:rPr>
        <w:t xml:space="preserve">regarding </w:t>
      </w:r>
      <w:r w:rsidRPr="00DD3A29">
        <w:rPr>
          <w:color w:val="000000" w:themeColor="text1"/>
          <w:sz w:val="26"/>
          <w:szCs w:val="26"/>
        </w:rPr>
        <w:t>Utility Stock Transfers at 52 Pa. Code §</w:t>
      </w:r>
      <w:r w:rsidR="008E19DC" w:rsidRPr="00DD3A29">
        <w:rPr>
          <w:color w:val="000000" w:themeColor="text1"/>
          <w:sz w:val="26"/>
          <w:szCs w:val="26"/>
        </w:rPr>
        <w:t> </w:t>
      </w:r>
      <w:r w:rsidRPr="00DD3A29">
        <w:rPr>
          <w:color w:val="000000" w:themeColor="text1"/>
          <w:sz w:val="26"/>
          <w:szCs w:val="26"/>
        </w:rPr>
        <w:t>69.901, and its Abbreviated Procedures for Review of Transfer of Control of Telecommunications Pub</w:t>
      </w:r>
      <w:r w:rsidR="00A059A1" w:rsidRPr="00DD3A29">
        <w:rPr>
          <w:color w:val="000000" w:themeColor="text1"/>
          <w:sz w:val="26"/>
          <w:szCs w:val="26"/>
        </w:rPr>
        <w:t>lic Utilities at 52 Pa. Code</w:t>
      </w:r>
      <w:r w:rsidR="00FA0EE6" w:rsidRPr="00DD3A29">
        <w:rPr>
          <w:color w:val="000000" w:themeColor="text1"/>
          <w:sz w:val="26"/>
          <w:szCs w:val="26"/>
        </w:rPr>
        <w:t> </w:t>
      </w:r>
      <w:r w:rsidR="00A059A1" w:rsidRPr="00DD3A29">
        <w:rPr>
          <w:color w:val="000000" w:themeColor="text1"/>
          <w:sz w:val="26"/>
          <w:szCs w:val="26"/>
        </w:rPr>
        <w:t>§§ </w:t>
      </w:r>
      <w:r w:rsidRPr="00DD3A29">
        <w:rPr>
          <w:color w:val="000000" w:themeColor="text1"/>
          <w:sz w:val="26"/>
          <w:szCs w:val="26"/>
        </w:rPr>
        <w:t>63.321-63.32</w:t>
      </w:r>
      <w:r w:rsidR="001A1CA6" w:rsidRPr="00DD3A29">
        <w:rPr>
          <w:color w:val="000000" w:themeColor="text1"/>
          <w:sz w:val="26"/>
          <w:szCs w:val="26"/>
        </w:rPr>
        <w:t>5</w:t>
      </w:r>
      <w:r w:rsidRPr="00DD3A29">
        <w:rPr>
          <w:color w:val="000000" w:themeColor="text1"/>
          <w:sz w:val="26"/>
          <w:szCs w:val="26"/>
        </w:rPr>
        <w:t xml:space="preserve">, seeking Commission approval </w:t>
      </w:r>
      <w:r w:rsidR="00517D78">
        <w:rPr>
          <w:color w:val="000000" w:themeColor="text1"/>
          <w:sz w:val="26"/>
          <w:szCs w:val="26"/>
        </w:rPr>
        <w:t xml:space="preserve">of </w:t>
      </w:r>
      <w:r w:rsidR="00575EB2">
        <w:rPr>
          <w:color w:val="000000" w:themeColor="text1"/>
          <w:sz w:val="26"/>
          <w:szCs w:val="26"/>
        </w:rPr>
        <w:t>a</w:t>
      </w:r>
      <w:r w:rsidR="00CA41A6">
        <w:rPr>
          <w:color w:val="000000" w:themeColor="text1"/>
          <w:sz w:val="26"/>
          <w:szCs w:val="26"/>
        </w:rPr>
        <w:t xml:space="preserve"> pending change in control transaction</w:t>
      </w:r>
      <w:r w:rsidR="00575EB2">
        <w:rPr>
          <w:color w:val="000000" w:themeColor="text1"/>
          <w:sz w:val="26"/>
          <w:szCs w:val="26"/>
        </w:rPr>
        <w:t xml:space="preserve"> </w:t>
      </w:r>
      <w:r w:rsidR="00CA41A6" w:rsidRPr="00DE3AD6">
        <w:rPr>
          <w:color w:val="000000" w:themeColor="text1"/>
          <w:sz w:val="26"/>
          <w:szCs w:val="26"/>
        </w:rPr>
        <w:t>in connection with the Joint Applicants’ pre-arranged plan of reorganization under chapter 11 (</w:t>
      </w:r>
      <w:r w:rsidR="00CA41A6" w:rsidRPr="007C3384">
        <w:rPr>
          <w:color w:val="000000" w:themeColor="text1"/>
          <w:sz w:val="26"/>
          <w:szCs w:val="26"/>
        </w:rPr>
        <w:t>Chapter 11</w:t>
      </w:r>
      <w:r w:rsidR="00CA41A6" w:rsidRPr="00DE3AD6">
        <w:rPr>
          <w:color w:val="000000" w:themeColor="text1"/>
          <w:sz w:val="26"/>
          <w:szCs w:val="26"/>
        </w:rPr>
        <w:t>) of title 11 of the United States Code (the “Bankruptcy Code”).</w:t>
      </w:r>
      <w:r w:rsidR="00CA41A6">
        <w:rPr>
          <w:color w:val="000000" w:themeColor="text1"/>
          <w:sz w:val="26"/>
          <w:szCs w:val="26"/>
        </w:rPr>
        <w:t xml:space="preserve">  The Joint Applications asserted that the transaction is</w:t>
      </w:r>
      <w:r w:rsidR="00A16B99">
        <w:rPr>
          <w:color w:val="000000" w:themeColor="text1"/>
          <w:sz w:val="26"/>
          <w:szCs w:val="26"/>
        </w:rPr>
        <w:t xml:space="preserve"> not a typical transaction requiring a Commission </w:t>
      </w:r>
      <w:r w:rsidR="00AF3B4A">
        <w:rPr>
          <w:color w:val="000000" w:themeColor="text1"/>
          <w:sz w:val="26"/>
          <w:szCs w:val="26"/>
        </w:rPr>
        <w:t>c</w:t>
      </w:r>
      <w:r w:rsidR="00A16B99">
        <w:rPr>
          <w:color w:val="000000" w:themeColor="text1"/>
          <w:sz w:val="26"/>
          <w:szCs w:val="26"/>
        </w:rPr>
        <w:t xml:space="preserve">ertificate of </w:t>
      </w:r>
      <w:r w:rsidR="00AF3B4A">
        <w:rPr>
          <w:color w:val="000000" w:themeColor="text1"/>
          <w:sz w:val="26"/>
          <w:szCs w:val="26"/>
        </w:rPr>
        <w:t>p</w:t>
      </w:r>
      <w:r w:rsidR="00A16B99">
        <w:rPr>
          <w:color w:val="000000" w:themeColor="text1"/>
          <w:sz w:val="26"/>
          <w:szCs w:val="26"/>
        </w:rPr>
        <w:t xml:space="preserve">ublic </w:t>
      </w:r>
      <w:r w:rsidR="00AF3B4A">
        <w:rPr>
          <w:color w:val="000000" w:themeColor="text1"/>
          <w:sz w:val="26"/>
          <w:szCs w:val="26"/>
        </w:rPr>
        <w:t>c</w:t>
      </w:r>
      <w:r w:rsidR="00A16B99">
        <w:rPr>
          <w:color w:val="000000" w:themeColor="text1"/>
          <w:sz w:val="26"/>
          <w:szCs w:val="26"/>
        </w:rPr>
        <w:t>onvenience (CPC) under the Public Utility Code, or alternately, it is</w:t>
      </w:r>
      <w:r w:rsidR="00CA41A6">
        <w:rPr>
          <w:color w:val="000000" w:themeColor="text1"/>
          <w:sz w:val="26"/>
          <w:szCs w:val="26"/>
        </w:rPr>
        <w:t xml:space="preserve"> a </w:t>
      </w:r>
      <w:r w:rsidR="00DE3AD6" w:rsidRPr="00DE3AD6">
        <w:rPr>
          <w:i/>
          <w:color w:val="000000" w:themeColor="text1"/>
          <w:sz w:val="26"/>
          <w:szCs w:val="26"/>
        </w:rPr>
        <w:t>pro forma</w:t>
      </w:r>
      <w:r w:rsidR="00DE3AD6" w:rsidRPr="00DE3AD6">
        <w:rPr>
          <w:color w:val="000000" w:themeColor="text1"/>
          <w:sz w:val="26"/>
          <w:szCs w:val="26"/>
        </w:rPr>
        <w:t xml:space="preserve"> transaction</w:t>
      </w:r>
      <w:r w:rsidR="003F6D99" w:rsidRPr="003F6D99">
        <w:rPr>
          <w:color w:val="000000" w:themeColor="text1"/>
          <w:sz w:val="26"/>
          <w:szCs w:val="26"/>
        </w:rPr>
        <w:t xml:space="preserve"> </w:t>
      </w:r>
      <w:r w:rsidR="003F6D99">
        <w:rPr>
          <w:color w:val="000000" w:themeColor="text1"/>
          <w:sz w:val="26"/>
          <w:szCs w:val="26"/>
        </w:rPr>
        <w:t xml:space="preserve">because it </w:t>
      </w:r>
      <w:r w:rsidR="003F6D99" w:rsidRPr="00457FB4">
        <w:rPr>
          <w:color w:val="000000" w:themeColor="text1"/>
          <w:sz w:val="26"/>
          <w:szCs w:val="26"/>
        </w:rPr>
        <w:t>only involves a change in the publicly traded ownership of the top-tier parent company (Frontier) of the Pennsylvania Operating Subsidiaries</w:t>
      </w:r>
      <w:r w:rsidR="00CA41A6">
        <w:rPr>
          <w:color w:val="000000" w:themeColor="text1"/>
          <w:sz w:val="26"/>
          <w:szCs w:val="26"/>
        </w:rPr>
        <w:t>.</w:t>
      </w:r>
      <w:r w:rsidR="002A25EF" w:rsidRPr="00074446">
        <w:rPr>
          <w:color w:val="000000" w:themeColor="text1"/>
          <w:sz w:val="26"/>
          <w:szCs w:val="26"/>
          <w:vertAlign w:val="superscript"/>
        </w:rPr>
        <w:footnoteReference w:id="2"/>
      </w:r>
      <w:r w:rsidR="00DE3AD6" w:rsidRPr="00DE3AD6">
        <w:rPr>
          <w:color w:val="000000" w:themeColor="text1"/>
          <w:sz w:val="26"/>
          <w:szCs w:val="26"/>
        </w:rPr>
        <w:t xml:space="preserve"> </w:t>
      </w:r>
    </w:p>
    <w:p w14:paraId="1C4F265E" w14:textId="2C317F66" w:rsidR="00551DC3" w:rsidRPr="00DD3A29" w:rsidRDefault="00551DC3" w:rsidP="00551DC3">
      <w:pPr>
        <w:ind w:firstLine="720"/>
        <w:rPr>
          <w:color w:val="000000" w:themeColor="text1"/>
          <w:sz w:val="26"/>
          <w:szCs w:val="26"/>
        </w:rPr>
      </w:pPr>
    </w:p>
    <w:p w14:paraId="502ECD85" w14:textId="77777777" w:rsidR="00103435" w:rsidRDefault="000267A0" w:rsidP="000C191F">
      <w:pPr>
        <w:ind w:firstLine="720"/>
        <w:rPr>
          <w:color w:val="000000" w:themeColor="text1"/>
          <w:sz w:val="26"/>
          <w:szCs w:val="26"/>
        </w:rPr>
      </w:pPr>
      <w:bookmarkStart w:id="2" w:name="_Hlk519762903"/>
      <w:r w:rsidRPr="00DD3A29">
        <w:rPr>
          <w:color w:val="000000" w:themeColor="text1"/>
          <w:sz w:val="26"/>
          <w:szCs w:val="26"/>
        </w:rPr>
        <w:t xml:space="preserve">Pursuant to 52 Pa. Code § 5.14, relating to applications requiring notice, </w:t>
      </w:r>
      <w:r w:rsidR="00DB2F16" w:rsidRPr="00DD3A29">
        <w:rPr>
          <w:color w:val="000000" w:themeColor="text1"/>
          <w:sz w:val="26"/>
          <w:szCs w:val="26"/>
        </w:rPr>
        <w:t>the Commission published notice of</w:t>
      </w:r>
      <w:r w:rsidRPr="00DD3A29">
        <w:rPr>
          <w:color w:val="000000" w:themeColor="text1"/>
          <w:sz w:val="26"/>
          <w:szCs w:val="26"/>
        </w:rPr>
        <w:t xml:space="preserve"> the proposed transfer </w:t>
      </w:r>
      <w:r w:rsidR="00136449" w:rsidRPr="00DD3A29">
        <w:rPr>
          <w:color w:val="000000" w:themeColor="text1"/>
          <w:sz w:val="26"/>
          <w:szCs w:val="26"/>
        </w:rPr>
        <w:t xml:space="preserve">in the </w:t>
      </w:r>
      <w:r w:rsidR="00136449" w:rsidRPr="00DD3A29">
        <w:rPr>
          <w:i/>
          <w:color w:val="000000" w:themeColor="text1"/>
          <w:sz w:val="26"/>
          <w:szCs w:val="26"/>
        </w:rPr>
        <w:t xml:space="preserve">Pennsylvania Bulletin </w:t>
      </w:r>
      <w:r w:rsidRPr="00DD3A29">
        <w:rPr>
          <w:color w:val="000000" w:themeColor="text1"/>
          <w:sz w:val="26"/>
          <w:szCs w:val="26"/>
        </w:rPr>
        <w:t>on</w:t>
      </w:r>
      <w:r w:rsidRPr="00DD5F93">
        <w:rPr>
          <w:color w:val="000000" w:themeColor="text1"/>
          <w:sz w:val="26"/>
          <w:szCs w:val="26"/>
        </w:rPr>
        <w:t xml:space="preserve"> </w:t>
      </w:r>
      <w:r w:rsidR="00BC3E91" w:rsidRPr="00DD5F93">
        <w:rPr>
          <w:color w:val="000000" w:themeColor="text1"/>
          <w:sz w:val="26"/>
          <w:szCs w:val="26"/>
        </w:rPr>
        <w:t xml:space="preserve">Saturday, </w:t>
      </w:r>
      <w:r w:rsidR="00DE3AD6">
        <w:rPr>
          <w:color w:val="000000" w:themeColor="text1"/>
          <w:sz w:val="26"/>
          <w:szCs w:val="26"/>
        </w:rPr>
        <w:t>June 13</w:t>
      </w:r>
      <w:r w:rsidR="00FD19A2">
        <w:rPr>
          <w:color w:val="000000" w:themeColor="text1"/>
          <w:sz w:val="26"/>
          <w:szCs w:val="26"/>
        </w:rPr>
        <w:t xml:space="preserve">, 2020, </w:t>
      </w:r>
      <w:r w:rsidR="00BC3E91" w:rsidRPr="00C9325A">
        <w:rPr>
          <w:color w:val="000000" w:themeColor="text1"/>
          <w:sz w:val="26"/>
          <w:szCs w:val="26"/>
        </w:rPr>
        <w:t xml:space="preserve">at </w:t>
      </w:r>
      <w:r w:rsidR="00FD19A2">
        <w:rPr>
          <w:color w:val="000000" w:themeColor="text1"/>
          <w:sz w:val="26"/>
          <w:szCs w:val="26"/>
        </w:rPr>
        <w:t>50</w:t>
      </w:r>
      <w:r w:rsidRPr="00C9325A">
        <w:rPr>
          <w:color w:val="000000" w:themeColor="text1"/>
          <w:sz w:val="26"/>
          <w:szCs w:val="26"/>
        </w:rPr>
        <w:t xml:space="preserve"> </w:t>
      </w:r>
      <w:proofErr w:type="spellStart"/>
      <w:r w:rsidRPr="00C9325A">
        <w:rPr>
          <w:i/>
          <w:color w:val="000000" w:themeColor="text1"/>
          <w:sz w:val="26"/>
          <w:szCs w:val="26"/>
        </w:rPr>
        <w:t>Pa.B</w:t>
      </w:r>
      <w:proofErr w:type="spellEnd"/>
      <w:r w:rsidRPr="00C9325A">
        <w:rPr>
          <w:i/>
          <w:color w:val="000000" w:themeColor="text1"/>
          <w:sz w:val="26"/>
          <w:szCs w:val="26"/>
        </w:rPr>
        <w:t>.</w:t>
      </w:r>
      <w:r w:rsidR="00136449" w:rsidRPr="00C9325A">
        <w:rPr>
          <w:color w:val="000000" w:themeColor="text1"/>
          <w:sz w:val="26"/>
          <w:szCs w:val="26"/>
        </w:rPr>
        <w:t xml:space="preserve"> </w:t>
      </w:r>
      <w:r w:rsidR="00FD19A2">
        <w:rPr>
          <w:color w:val="000000" w:themeColor="text1"/>
          <w:sz w:val="26"/>
          <w:szCs w:val="26"/>
        </w:rPr>
        <w:t>1917</w:t>
      </w:r>
      <w:r w:rsidR="00136449" w:rsidRPr="00C9325A">
        <w:rPr>
          <w:color w:val="000000" w:themeColor="text1"/>
          <w:sz w:val="26"/>
          <w:szCs w:val="26"/>
        </w:rPr>
        <w:t xml:space="preserve"> </w:t>
      </w:r>
      <w:r w:rsidRPr="00C9325A">
        <w:rPr>
          <w:color w:val="000000" w:themeColor="text1"/>
          <w:sz w:val="26"/>
          <w:szCs w:val="26"/>
        </w:rPr>
        <w:t>with a</w:t>
      </w:r>
      <w:r w:rsidRPr="00DD5F93">
        <w:rPr>
          <w:color w:val="000000" w:themeColor="text1"/>
          <w:sz w:val="26"/>
          <w:szCs w:val="26"/>
        </w:rPr>
        <w:t xml:space="preserve"> protest period ending </w:t>
      </w:r>
      <w:r w:rsidR="00574FCF">
        <w:rPr>
          <w:color w:val="000000" w:themeColor="text1"/>
          <w:sz w:val="26"/>
          <w:szCs w:val="26"/>
        </w:rPr>
        <w:t xml:space="preserve">Monday, </w:t>
      </w:r>
      <w:r w:rsidR="00DE3AD6">
        <w:rPr>
          <w:color w:val="000000" w:themeColor="text1"/>
          <w:sz w:val="26"/>
          <w:szCs w:val="26"/>
        </w:rPr>
        <w:t>June</w:t>
      </w:r>
      <w:r w:rsidR="00224CD8">
        <w:rPr>
          <w:color w:val="000000" w:themeColor="text1"/>
          <w:sz w:val="26"/>
          <w:szCs w:val="26"/>
        </w:rPr>
        <w:t> </w:t>
      </w:r>
      <w:r w:rsidR="00DE3AD6">
        <w:rPr>
          <w:color w:val="000000" w:themeColor="text1"/>
          <w:sz w:val="26"/>
          <w:szCs w:val="26"/>
        </w:rPr>
        <w:t>29</w:t>
      </w:r>
      <w:r w:rsidR="00574FCF">
        <w:rPr>
          <w:color w:val="000000" w:themeColor="text1"/>
          <w:sz w:val="26"/>
          <w:szCs w:val="26"/>
        </w:rPr>
        <w:t xml:space="preserve">, 2020.  </w:t>
      </w:r>
      <w:r w:rsidR="00C974FF" w:rsidRPr="00DD5F93">
        <w:rPr>
          <w:color w:val="000000" w:themeColor="text1"/>
          <w:sz w:val="26"/>
          <w:szCs w:val="26"/>
        </w:rPr>
        <w:t xml:space="preserve">Additionally, </w:t>
      </w:r>
      <w:r w:rsidR="0002057C">
        <w:rPr>
          <w:color w:val="000000" w:themeColor="text1"/>
          <w:sz w:val="26"/>
          <w:szCs w:val="26"/>
        </w:rPr>
        <w:t xml:space="preserve">the </w:t>
      </w:r>
      <w:r w:rsidR="0004341E">
        <w:rPr>
          <w:color w:val="000000" w:themeColor="text1"/>
          <w:sz w:val="26"/>
          <w:szCs w:val="26"/>
        </w:rPr>
        <w:t xml:space="preserve">Joint </w:t>
      </w:r>
      <w:r w:rsidR="0002057C">
        <w:rPr>
          <w:color w:val="000000" w:themeColor="text1"/>
          <w:sz w:val="26"/>
          <w:szCs w:val="26"/>
        </w:rPr>
        <w:t>Applicant</w:t>
      </w:r>
      <w:r w:rsidR="0004341E">
        <w:rPr>
          <w:color w:val="000000" w:themeColor="text1"/>
          <w:sz w:val="26"/>
          <w:szCs w:val="26"/>
        </w:rPr>
        <w:t>s</w:t>
      </w:r>
      <w:r w:rsidR="0002057C">
        <w:rPr>
          <w:color w:val="000000" w:themeColor="text1"/>
          <w:sz w:val="26"/>
          <w:szCs w:val="26"/>
        </w:rPr>
        <w:t xml:space="preserve"> served </w:t>
      </w:r>
      <w:r w:rsidR="00C974FF" w:rsidRPr="00DD5F93">
        <w:rPr>
          <w:color w:val="000000" w:themeColor="text1"/>
          <w:sz w:val="26"/>
          <w:szCs w:val="26"/>
        </w:rPr>
        <w:t xml:space="preserve">copies of the </w:t>
      </w:r>
      <w:r w:rsidR="007E47C0">
        <w:rPr>
          <w:color w:val="000000" w:themeColor="text1"/>
          <w:sz w:val="26"/>
          <w:szCs w:val="26"/>
        </w:rPr>
        <w:t xml:space="preserve">joint </w:t>
      </w:r>
      <w:r w:rsidR="00C974FF" w:rsidRPr="00DD5F93">
        <w:rPr>
          <w:color w:val="000000" w:themeColor="text1"/>
          <w:sz w:val="26"/>
          <w:szCs w:val="26"/>
        </w:rPr>
        <w:t>application upon the Office of Small Business Advocate</w:t>
      </w:r>
      <w:r w:rsidR="00C974FF" w:rsidRPr="00C974FF">
        <w:rPr>
          <w:color w:val="000000" w:themeColor="text1"/>
          <w:sz w:val="26"/>
          <w:szCs w:val="26"/>
        </w:rPr>
        <w:t xml:space="preserve">, </w:t>
      </w:r>
      <w:r w:rsidR="002D7A07">
        <w:rPr>
          <w:color w:val="000000" w:themeColor="text1"/>
          <w:sz w:val="26"/>
          <w:szCs w:val="26"/>
        </w:rPr>
        <w:t xml:space="preserve">the </w:t>
      </w:r>
      <w:r w:rsidR="00D556CC">
        <w:rPr>
          <w:color w:val="000000" w:themeColor="text1"/>
          <w:sz w:val="26"/>
          <w:szCs w:val="26"/>
        </w:rPr>
        <w:t xml:space="preserve">Office </w:t>
      </w:r>
      <w:r w:rsidR="002D7A07">
        <w:rPr>
          <w:color w:val="000000" w:themeColor="text1"/>
          <w:sz w:val="26"/>
          <w:szCs w:val="26"/>
        </w:rPr>
        <w:t>of Consumer Advocate</w:t>
      </w:r>
      <w:r w:rsidR="001A1CA6">
        <w:rPr>
          <w:color w:val="000000" w:themeColor="text1"/>
          <w:sz w:val="26"/>
          <w:szCs w:val="26"/>
        </w:rPr>
        <w:t>,</w:t>
      </w:r>
      <w:r w:rsidR="00C974FF" w:rsidRPr="00C974FF">
        <w:rPr>
          <w:color w:val="000000" w:themeColor="text1"/>
          <w:sz w:val="26"/>
          <w:szCs w:val="26"/>
        </w:rPr>
        <w:t xml:space="preserve"> and the </w:t>
      </w:r>
      <w:r w:rsidR="00136449">
        <w:rPr>
          <w:color w:val="000000" w:themeColor="text1"/>
          <w:sz w:val="26"/>
          <w:szCs w:val="26"/>
        </w:rPr>
        <w:t>Commission’s Bureau of Investigation and Enforcement.</w:t>
      </w:r>
      <w:r w:rsidR="00C974FF" w:rsidRPr="00C974FF">
        <w:rPr>
          <w:color w:val="000000" w:themeColor="text1"/>
          <w:sz w:val="26"/>
          <w:szCs w:val="26"/>
        </w:rPr>
        <w:t xml:space="preserve">  </w:t>
      </w:r>
    </w:p>
    <w:p w14:paraId="49C9016F" w14:textId="77777777" w:rsidR="00103435" w:rsidRDefault="00103435" w:rsidP="000C191F">
      <w:pPr>
        <w:ind w:firstLine="720"/>
        <w:rPr>
          <w:color w:val="000000" w:themeColor="text1"/>
          <w:sz w:val="26"/>
          <w:szCs w:val="26"/>
        </w:rPr>
      </w:pPr>
    </w:p>
    <w:p w14:paraId="69F943D5" w14:textId="11E03647" w:rsidR="00103435" w:rsidRDefault="001914E4" w:rsidP="000C191F">
      <w:pPr>
        <w:ind w:firstLine="720"/>
        <w:rPr>
          <w:color w:val="000000" w:themeColor="text1"/>
          <w:sz w:val="26"/>
          <w:szCs w:val="26"/>
        </w:rPr>
      </w:pPr>
      <w:r>
        <w:rPr>
          <w:color w:val="000000" w:themeColor="text1"/>
          <w:sz w:val="26"/>
          <w:szCs w:val="26"/>
        </w:rPr>
        <w:t xml:space="preserve">On June 25, 2020, </w:t>
      </w:r>
      <w:r w:rsidR="00CD0616">
        <w:rPr>
          <w:color w:val="000000" w:themeColor="text1"/>
          <w:sz w:val="26"/>
          <w:szCs w:val="26"/>
        </w:rPr>
        <w:t>t</w:t>
      </w:r>
      <w:r>
        <w:rPr>
          <w:color w:val="000000" w:themeColor="text1"/>
          <w:sz w:val="26"/>
          <w:szCs w:val="26"/>
        </w:rPr>
        <w:t xml:space="preserve">he Communication Workers of America petitioned to intervene in the </w:t>
      </w:r>
      <w:r w:rsidR="0035043A">
        <w:rPr>
          <w:color w:val="000000" w:themeColor="text1"/>
          <w:sz w:val="26"/>
          <w:szCs w:val="26"/>
        </w:rPr>
        <w:t>proceeding</w:t>
      </w:r>
      <w:r>
        <w:rPr>
          <w:color w:val="000000" w:themeColor="text1"/>
          <w:sz w:val="26"/>
          <w:szCs w:val="26"/>
        </w:rPr>
        <w:t>.</w:t>
      </w:r>
      <w:r w:rsidR="00CD0616">
        <w:rPr>
          <w:rStyle w:val="FootnoteReference"/>
          <w:color w:val="000000" w:themeColor="text1"/>
          <w:sz w:val="26"/>
          <w:szCs w:val="26"/>
        </w:rPr>
        <w:footnoteReference w:id="3"/>
      </w:r>
      <w:r>
        <w:rPr>
          <w:color w:val="000000" w:themeColor="text1"/>
          <w:sz w:val="26"/>
          <w:szCs w:val="26"/>
        </w:rPr>
        <w:t xml:space="preserve">  </w:t>
      </w:r>
      <w:bookmarkStart w:id="3" w:name="_Hlk51164686"/>
    </w:p>
    <w:p w14:paraId="595E6F85" w14:textId="77777777" w:rsidR="00103435" w:rsidRDefault="00103435" w:rsidP="000C191F">
      <w:pPr>
        <w:ind w:firstLine="720"/>
        <w:rPr>
          <w:color w:val="000000" w:themeColor="text1"/>
          <w:sz w:val="26"/>
          <w:szCs w:val="26"/>
        </w:rPr>
      </w:pPr>
    </w:p>
    <w:p w14:paraId="1E8230BA" w14:textId="3B9F2C58" w:rsidR="00C974FF" w:rsidRPr="00051F17" w:rsidRDefault="0035043A" w:rsidP="000C191F">
      <w:pPr>
        <w:ind w:firstLine="720"/>
        <w:rPr>
          <w:color w:val="0070C0"/>
          <w:sz w:val="26"/>
          <w:szCs w:val="26"/>
        </w:rPr>
      </w:pPr>
      <w:r>
        <w:rPr>
          <w:color w:val="000000" w:themeColor="text1"/>
          <w:sz w:val="26"/>
          <w:szCs w:val="26"/>
        </w:rPr>
        <w:t xml:space="preserve">On July 10, 2020, the Commission determined that the </w:t>
      </w:r>
      <w:r w:rsidR="00CA41A6">
        <w:rPr>
          <w:color w:val="000000" w:themeColor="text1"/>
          <w:sz w:val="26"/>
          <w:szCs w:val="26"/>
        </w:rPr>
        <w:t xml:space="preserve">transaction in the </w:t>
      </w:r>
      <w:r>
        <w:rPr>
          <w:color w:val="000000" w:themeColor="text1"/>
          <w:sz w:val="26"/>
          <w:szCs w:val="26"/>
        </w:rPr>
        <w:t>joint application should be reclassified as a general rule transactio</w:t>
      </w:r>
      <w:r w:rsidR="003361CE">
        <w:rPr>
          <w:color w:val="000000" w:themeColor="text1"/>
          <w:sz w:val="26"/>
          <w:szCs w:val="26"/>
        </w:rPr>
        <w:t>n</w:t>
      </w:r>
      <w:r w:rsidR="002A25EF">
        <w:rPr>
          <w:color w:val="000000" w:themeColor="text1"/>
          <w:sz w:val="26"/>
          <w:szCs w:val="26"/>
        </w:rPr>
        <w:t>.  T</w:t>
      </w:r>
      <w:r w:rsidR="002A25EF" w:rsidRPr="00607ACD">
        <w:rPr>
          <w:color w:val="000000" w:themeColor="text1"/>
          <w:sz w:val="26"/>
          <w:szCs w:val="26"/>
        </w:rPr>
        <w:t>he Restructuring</w:t>
      </w:r>
      <w:r w:rsidR="002A25EF">
        <w:rPr>
          <w:color w:val="000000" w:themeColor="text1"/>
          <w:sz w:val="26"/>
          <w:szCs w:val="26"/>
        </w:rPr>
        <w:t xml:space="preserve"> will result in </w:t>
      </w:r>
      <w:r w:rsidR="002A25EF" w:rsidRPr="00607ACD">
        <w:rPr>
          <w:color w:val="000000" w:themeColor="text1"/>
          <w:sz w:val="26"/>
          <w:szCs w:val="26"/>
        </w:rPr>
        <w:t xml:space="preserve">a change </w:t>
      </w:r>
      <w:r w:rsidR="002A25EF">
        <w:rPr>
          <w:color w:val="000000" w:themeColor="text1"/>
          <w:sz w:val="26"/>
          <w:szCs w:val="26"/>
        </w:rPr>
        <w:t xml:space="preserve">of </w:t>
      </w:r>
      <w:r w:rsidR="002A25EF" w:rsidRPr="00607ACD">
        <w:rPr>
          <w:color w:val="000000" w:themeColor="text1"/>
          <w:sz w:val="26"/>
          <w:szCs w:val="26"/>
        </w:rPr>
        <w:t>ownership that will eliminate and replace</w:t>
      </w:r>
      <w:r w:rsidR="002A25EF">
        <w:rPr>
          <w:color w:val="000000" w:themeColor="text1"/>
          <w:sz w:val="26"/>
          <w:szCs w:val="26"/>
        </w:rPr>
        <w:t xml:space="preserve"> in total</w:t>
      </w:r>
      <w:r w:rsidR="002A25EF" w:rsidRPr="00607ACD">
        <w:rPr>
          <w:color w:val="000000" w:themeColor="text1"/>
          <w:sz w:val="26"/>
          <w:szCs w:val="26"/>
        </w:rPr>
        <w:t xml:space="preserve"> the publicly traded top tier parent company (Frontier) of the Pennsylvania Operating Subsidiaries with another publicly traded parent entity (New Frontier Communications Parent)</w:t>
      </w:r>
      <w:r w:rsidR="00A16B99">
        <w:rPr>
          <w:color w:val="000000" w:themeColor="text1"/>
          <w:sz w:val="26"/>
          <w:szCs w:val="26"/>
        </w:rPr>
        <w:t xml:space="preserve">.  Because New Frontier Communications Parent will be a newly formed company and will replace Frontier, all subsidiaries would experience a 100% change of control directly or indirectly, </w:t>
      </w:r>
      <w:r w:rsidR="002A25EF" w:rsidRPr="00607ACD">
        <w:rPr>
          <w:color w:val="000000" w:themeColor="text1"/>
          <w:sz w:val="26"/>
          <w:szCs w:val="26"/>
        </w:rPr>
        <w:t>requir</w:t>
      </w:r>
      <w:r w:rsidR="002A25EF">
        <w:rPr>
          <w:color w:val="000000" w:themeColor="text1"/>
          <w:sz w:val="26"/>
          <w:szCs w:val="26"/>
        </w:rPr>
        <w:t>ing</w:t>
      </w:r>
      <w:r w:rsidR="002A25EF" w:rsidRPr="00607ACD">
        <w:rPr>
          <w:color w:val="000000" w:themeColor="text1"/>
          <w:sz w:val="26"/>
          <w:szCs w:val="26"/>
        </w:rPr>
        <w:t xml:space="preserve"> </w:t>
      </w:r>
      <w:r w:rsidR="00A16B99">
        <w:rPr>
          <w:color w:val="000000" w:themeColor="text1"/>
          <w:sz w:val="26"/>
          <w:szCs w:val="26"/>
        </w:rPr>
        <w:t>CPCs</w:t>
      </w:r>
      <w:r w:rsidR="002A25EF" w:rsidRPr="00607ACD">
        <w:rPr>
          <w:color w:val="000000" w:themeColor="text1"/>
          <w:sz w:val="26"/>
          <w:szCs w:val="26"/>
        </w:rPr>
        <w:t xml:space="preserve"> under Section 1102(a) of the Code. </w:t>
      </w:r>
      <w:r w:rsidR="00A16B99">
        <w:rPr>
          <w:color w:val="000000" w:themeColor="text1"/>
          <w:sz w:val="26"/>
          <w:szCs w:val="26"/>
        </w:rPr>
        <w:t xml:space="preserve">66 Pa. C.S. § 1102(a).  </w:t>
      </w:r>
      <w:r w:rsidR="002A25EF" w:rsidRPr="00607ACD">
        <w:rPr>
          <w:i/>
          <w:color w:val="000000" w:themeColor="text1"/>
          <w:sz w:val="26"/>
          <w:szCs w:val="26"/>
        </w:rPr>
        <w:t>See</w:t>
      </w:r>
      <w:r w:rsidR="003702D7">
        <w:rPr>
          <w:i/>
          <w:color w:val="000000" w:themeColor="text1"/>
          <w:sz w:val="26"/>
          <w:szCs w:val="26"/>
        </w:rPr>
        <w:t xml:space="preserve"> also</w:t>
      </w:r>
      <w:r w:rsidR="002A25EF" w:rsidRPr="00607ACD">
        <w:rPr>
          <w:color w:val="000000" w:themeColor="text1"/>
          <w:sz w:val="26"/>
          <w:szCs w:val="26"/>
        </w:rPr>
        <w:t xml:space="preserve"> 52 Pa. Code §§ 63.325(a)(2)-(4).</w:t>
      </w:r>
      <w:r w:rsidR="009E5E08">
        <w:rPr>
          <w:color w:val="000000" w:themeColor="text1"/>
          <w:sz w:val="26"/>
          <w:szCs w:val="26"/>
        </w:rPr>
        <w:t xml:space="preserve">  </w:t>
      </w:r>
      <w:r w:rsidR="003702D7">
        <w:rPr>
          <w:color w:val="000000" w:themeColor="text1"/>
          <w:sz w:val="26"/>
          <w:szCs w:val="26"/>
        </w:rPr>
        <w:t>Consequently</w:t>
      </w:r>
      <w:r w:rsidR="00381C5C">
        <w:rPr>
          <w:color w:val="000000" w:themeColor="text1"/>
          <w:sz w:val="26"/>
          <w:szCs w:val="26"/>
        </w:rPr>
        <w:t>,</w:t>
      </w:r>
      <w:r w:rsidR="003702D7">
        <w:rPr>
          <w:color w:val="000000" w:themeColor="text1"/>
          <w:sz w:val="26"/>
          <w:szCs w:val="26"/>
        </w:rPr>
        <w:t xml:space="preserve"> t</w:t>
      </w:r>
      <w:r w:rsidR="009E5E08">
        <w:rPr>
          <w:color w:val="000000" w:themeColor="text1"/>
          <w:sz w:val="26"/>
          <w:szCs w:val="26"/>
        </w:rPr>
        <w:t>he Commission</w:t>
      </w:r>
      <w:r w:rsidR="003361CE">
        <w:rPr>
          <w:color w:val="000000" w:themeColor="text1"/>
          <w:sz w:val="26"/>
          <w:szCs w:val="26"/>
        </w:rPr>
        <w:t xml:space="preserve"> published</w:t>
      </w:r>
      <w:r w:rsidR="00CA41A6">
        <w:rPr>
          <w:color w:val="000000" w:themeColor="text1"/>
          <w:sz w:val="26"/>
          <w:szCs w:val="26"/>
        </w:rPr>
        <w:t xml:space="preserve"> a </w:t>
      </w:r>
      <w:r w:rsidR="003702D7">
        <w:rPr>
          <w:color w:val="000000" w:themeColor="text1"/>
          <w:sz w:val="26"/>
          <w:szCs w:val="26"/>
        </w:rPr>
        <w:t xml:space="preserve">reclassification </w:t>
      </w:r>
      <w:r w:rsidR="003361CE">
        <w:rPr>
          <w:color w:val="000000" w:themeColor="text1"/>
          <w:sz w:val="26"/>
          <w:szCs w:val="26"/>
        </w:rPr>
        <w:t>notice</w:t>
      </w:r>
      <w:r w:rsidR="00575EB2">
        <w:rPr>
          <w:color w:val="000000" w:themeColor="text1"/>
          <w:sz w:val="26"/>
          <w:szCs w:val="26"/>
        </w:rPr>
        <w:t xml:space="preserve"> in the</w:t>
      </w:r>
      <w:r w:rsidR="003361CE" w:rsidRPr="003361CE">
        <w:rPr>
          <w:i/>
          <w:color w:val="000000" w:themeColor="text1"/>
          <w:sz w:val="26"/>
          <w:szCs w:val="26"/>
        </w:rPr>
        <w:t xml:space="preserve"> </w:t>
      </w:r>
      <w:r w:rsidR="003361CE" w:rsidRPr="00DD3A29">
        <w:rPr>
          <w:i/>
          <w:color w:val="000000" w:themeColor="text1"/>
          <w:sz w:val="26"/>
          <w:szCs w:val="26"/>
        </w:rPr>
        <w:t xml:space="preserve">Pennsylvania Bulletin </w:t>
      </w:r>
      <w:r w:rsidR="003361CE" w:rsidRPr="00DD3A29">
        <w:rPr>
          <w:color w:val="000000" w:themeColor="text1"/>
          <w:sz w:val="26"/>
          <w:szCs w:val="26"/>
        </w:rPr>
        <w:t>on</w:t>
      </w:r>
      <w:r w:rsidR="003361CE" w:rsidRPr="00DD5F93">
        <w:rPr>
          <w:color w:val="000000" w:themeColor="text1"/>
          <w:sz w:val="26"/>
          <w:szCs w:val="26"/>
        </w:rPr>
        <w:t xml:space="preserve"> Saturday, </w:t>
      </w:r>
      <w:r w:rsidR="003361CE">
        <w:rPr>
          <w:color w:val="000000" w:themeColor="text1"/>
          <w:sz w:val="26"/>
          <w:szCs w:val="26"/>
        </w:rPr>
        <w:t xml:space="preserve">July 25, 2020, </w:t>
      </w:r>
      <w:r w:rsidR="003361CE" w:rsidRPr="00C9325A">
        <w:rPr>
          <w:color w:val="000000" w:themeColor="text1"/>
          <w:sz w:val="26"/>
          <w:szCs w:val="26"/>
        </w:rPr>
        <w:t xml:space="preserve">at </w:t>
      </w:r>
      <w:r w:rsidR="003361CE">
        <w:rPr>
          <w:color w:val="000000" w:themeColor="text1"/>
          <w:sz w:val="26"/>
          <w:szCs w:val="26"/>
        </w:rPr>
        <w:t>50</w:t>
      </w:r>
      <w:r w:rsidR="003361CE" w:rsidRPr="00C9325A">
        <w:rPr>
          <w:color w:val="000000" w:themeColor="text1"/>
          <w:sz w:val="26"/>
          <w:szCs w:val="26"/>
        </w:rPr>
        <w:t xml:space="preserve"> </w:t>
      </w:r>
      <w:proofErr w:type="spellStart"/>
      <w:r w:rsidR="003361CE" w:rsidRPr="00C9325A">
        <w:rPr>
          <w:i/>
          <w:color w:val="000000" w:themeColor="text1"/>
          <w:sz w:val="26"/>
          <w:szCs w:val="26"/>
        </w:rPr>
        <w:t>Pa.B</w:t>
      </w:r>
      <w:proofErr w:type="spellEnd"/>
      <w:r w:rsidR="003361CE" w:rsidRPr="00C9325A">
        <w:rPr>
          <w:i/>
          <w:color w:val="000000" w:themeColor="text1"/>
          <w:sz w:val="26"/>
          <w:szCs w:val="26"/>
        </w:rPr>
        <w:t>.</w:t>
      </w:r>
      <w:r w:rsidR="003361CE" w:rsidRPr="00C9325A">
        <w:rPr>
          <w:color w:val="000000" w:themeColor="text1"/>
          <w:sz w:val="26"/>
          <w:szCs w:val="26"/>
        </w:rPr>
        <w:t xml:space="preserve"> </w:t>
      </w:r>
      <w:r w:rsidR="003361CE">
        <w:rPr>
          <w:color w:val="000000" w:themeColor="text1"/>
          <w:sz w:val="26"/>
          <w:szCs w:val="26"/>
        </w:rPr>
        <w:t>3808</w:t>
      </w:r>
      <w:r w:rsidR="003361CE" w:rsidRPr="00C9325A">
        <w:rPr>
          <w:color w:val="000000" w:themeColor="text1"/>
          <w:sz w:val="26"/>
          <w:szCs w:val="26"/>
        </w:rPr>
        <w:t xml:space="preserve"> with a</w:t>
      </w:r>
      <w:r w:rsidR="003361CE" w:rsidRPr="00DD5F93">
        <w:rPr>
          <w:color w:val="000000" w:themeColor="text1"/>
          <w:sz w:val="26"/>
          <w:szCs w:val="26"/>
        </w:rPr>
        <w:t xml:space="preserve"> protest period ending </w:t>
      </w:r>
      <w:r w:rsidR="003361CE">
        <w:rPr>
          <w:color w:val="000000" w:themeColor="text1"/>
          <w:sz w:val="26"/>
          <w:szCs w:val="26"/>
        </w:rPr>
        <w:t xml:space="preserve">Monday, August 10, 2020.  </w:t>
      </w:r>
      <w:r w:rsidR="00CA41A6">
        <w:rPr>
          <w:color w:val="000000" w:themeColor="text1"/>
          <w:sz w:val="26"/>
          <w:szCs w:val="26"/>
        </w:rPr>
        <w:t>N</w:t>
      </w:r>
      <w:r w:rsidR="000267A0" w:rsidRPr="000267A0">
        <w:rPr>
          <w:color w:val="000000" w:themeColor="text1"/>
          <w:sz w:val="26"/>
          <w:szCs w:val="26"/>
        </w:rPr>
        <w:t xml:space="preserve">o protests or </w:t>
      </w:r>
      <w:r w:rsidR="001914E4">
        <w:rPr>
          <w:color w:val="000000" w:themeColor="text1"/>
          <w:sz w:val="26"/>
          <w:szCs w:val="26"/>
        </w:rPr>
        <w:lastRenderedPageBreak/>
        <w:t xml:space="preserve">additional </w:t>
      </w:r>
      <w:r w:rsidR="000267A0" w:rsidRPr="000267A0">
        <w:rPr>
          <w:color w:val="000000" w:themeColor="text1"/>
          <w:sz w:val="26"/>
          <w:szCs w:val="26"/>
        </w:rPr>
        <w:t xml:space="preserve">comments </w:t>
      </w:r>
      <w:r w:rsidR="003702D7">
        <w:rPr>
          <w:color w:val="000000" w:themeColor="text1"/>
          <w:sz w:val="26"/>
          <w:szCs w:val="26"/>
        </w:rPr>
        <w:t>were</w:t>
      </w:r>
      <w:r w:rsidR="000267A0" w:rsidRPr="000267A0">
        <w:rPr>
          <w:color w:val="000000" w:themeColor="text1"/>
          <w:sz w:val="26"/>
          <w:szCs w:val="26"/>
        </w:rPr>
        <w:t xml:space="preserve"> received</w:t>
      </w:r>
      <w:r w:rsidR="00CA41A6">
        <w:rPr>
          <w:color w:val="000000" w:themeColor="text1"/>
          <w:sz w:val="26"/>
          <w:szCs w:val="26"/>
        </w:rPr>
        <w:t xml:space="preserve"> in response to second notice</w:t>
      </w:r>
      <w:r w:rsidR="003702D7">
        <w:rPr>
          <w:color w:val="000000" w:themeColor="text1"/>
          <w:sz w:val="26"/>
          <w:szCs w:val="26"/>
        </w:rPr>
        <w:t>, and the Commission has reviewed the Joint Application as a general rule transaction</w:t>
      </w:r>
      <w:r w:rsidR="000267A0" w:rsidRPr="000267A0">
        <w:rPr>
          <w:color w:val="000000" w:themeColor="text1"/>
          <w:sz w:val="26"/>
          <w:szCs w:val="26"/>
        </w:rPr>
        <w:t>.</w:t>
      </w:r>
      <w:r w:rsidR="00FE0436">
        <w:rPr>
          <w:rStyle w:val="FootnoteReference"/>
          <w:color w:val="000000" w:themeColor="text1"/>
          <w:sz w:val="26"/>
          <w:szCs w:val="26"/>
        </w:rPr>
        <w:footnoteReference w:id="4"/>
      </w:r>
      <w:r w:rsidR="00C974FF">
        <w:rPr>
          <w:color w:val="000000" w:themeColor="text1"/>
          <w:sz w:val="26"/>
          <w:szCs w:val="26"/>
        </w:rPr>
        <w:t xml:space="preserve">  </w:t>
      </w:r>
    </w:p>
    <w:bookmarkEnd w:id="3"/>
    <w:p w14:paraId="37A9EA28" w14:textId="0CE87A73" w:rsidR="003878F3" w:rsidRDefault="003878F3" w:rsidP="000C191F">
      <w:pPr>
        <w:ind w:firstLine="720"/>
        <w:rPr>
          <w:color w:val="000000" w:themeColor="text1"/>
          <w:sz w:val="26"/>
          <w:szCs w:val="26"/>
        </w:rPr>
      </w:pPr>
    </w:p>
    <w:bookmarkEnd w:id="2"/>
    <w:p w14:paraId="494F394B" w14:textId="7916403D" w:rsidR="006266E1" w:rsidRPr="006266E1" w:rsidRDefault="004C692A" w:rsidP="00AB4C0B">
      <w:pPr>
        <w:rPr>
          <w:color w:val="000000" w:themeColor="text1"/>
          <w:sz w:val="26"/>
          <w:szCs w:val="26"/>
        </w:rPr>
      </w:pPr>
      <w:r>
        <w:rPr>
          <w:color w:val="000000" w:themeColor="text1"/>
          <w:sz w:val="26"/>
          <w:szCs w:val="26"/>
        </w:rPr>
        <w:tab/>
      </w:r>
      <w:bookmarkStart w:id="4" w:name="_Hlk519763173"/>
      <w:r w:rsidR="006266E1" w:rsidRPr="006266E1">
        <w:rPr>
          <w:color w:val="000000" w:themeColor="text1"/>
          <w:sz w:val="26"/>
          <w:szCs w:val="26"/>
        </w:rPr>
        <w:t xml:space="preserve">Frontier is a publicly traded </w:t>
      </w:r>
      <w:bookmarkStart w:id="5" w:name="_cp_text_1_109"/>
      <w:r w:rsidR="006266E1" w:rsidRPr="006266E1">
        <w:rPr>
          <w:color w:val="000000" w:themeColor="text1"/>
          <w:sz w:val="26"/>
          <w:szCs w:val="26"/>
        </w:rPr>
        <w:t xml:space="preserve">Delaware corporation with a total of 99 subsidiaries – 57 direct </w:t>
      </w:r>
      <w:r w:rsidR="009E5E08">
        <w:rPr>
          <w:color w:val="000000" w:themeColor="text1"/>
          <w:sz w:val="26"/>
          <w:szCs w:val="26"/>
        </w:rPr>
        <w:t xml:space="preserve">subsidiaries, </w:t>
      </w:r>
      <w:r w:rsidR="006266E1" w:rsidRPr="006266E1">
        <w:rPr>
          <w:color w:val="000000" w:themeColor="text1"/>
          <w:sz w:val="26"/>
          <w:szCs w:val="26"/>
        </w:rPr>
        <w:t>and 42 indirect wholly-owned subsidiaries</w:t>
      </w:r>
      <w:r w:rsidR="009E5E08">
        <w:rPr>
          <w:color w:val="000000" w:themeColor="text1"/>
          <w:sz w:val="26"/>
          <w:szCs w:val="26"/>
        </w:rPr>
        <w:t xml:space="preserve"> that</w:t>
      </w:r>
      <w:r w:rsidR="006266E1" w:rsidRPr="006266E1">
        <w:rPr>
          <w:color w:val="000000" w:themeColor="text1"/>
          <w:sz w:val="26"/>
          <w:szCs w:val="26"/>
        </w:rPr>
        <w:t xml:space="preserve"> includ</w:t>
      </w:r>
      <w:r w:rsidR="009E5E08">
        <w:rPr>
          <w:color w:val="000000" w:themeColor="text1"/>
          <w:sz w:val="26"/>
          <w:szCs w:val="26"/>
        </w:rPr>
        <w:t>e</w:t>
      </w:r>
      <w:r w:rsidR="006266E1" w:rsidRPr="006266E1">
        <w:rPr>
          <w:color w:val="000000" w:themeColor="text1"/>
          <w:sz w:val="26"/>
          <w:szCs w:val="26"/>
        </w:rPr>
        <w:t xml:space="preserve"> </w:t>
      </w:r>
      <w:bookmarkStart w:id="6" w:name="_cp_text_4_110"/>
      <w:bookmarkEnd w:id="5"/>
      <w:r w:rsidR="006266E1" w:rsidRPr="006266E1">
        <w:rPr>
          <w:color w:val="000000" w:themeColor="text1"/>
          <w:sz w:val="26"/>
          <w:szCs w:val="26"/>
        </w:rPr>
        <w:t>the Pennsylvania Operating Subsidiaries</w:t>
      </w:r>
      <w:bookmarkEnd w:id="6"/>
      <w:r w:rsidR="006266E1" w:rsidRPr="006266E1">
        <w:rPr>
          <w:color w:val="000000" w:themeColor="text1"/>
          <w:sz w:val="26"/>
          <w:szCs w:val="26"/>
        </w:rPr>
        <w:t>.  Its headquarters are located at 401 Merritt 7, Norwalk, Connecticut 06851.  As of December 31, 2019, the Company had approximately 18,300 employees serving approximately 4.2 million customers.  It currently owns and operates more than 50 incumbent local exchange carriers (</w:t>
      </w:r>
      <w:r w:rsidR="006266E1" w:rsidRPr="0083773B">
        <w:rPr>
          <w:color w:val="000000" w:themeColor="text1"/>
          <w:sz w:val="26"/>
          <w:szCs w:val="26"/>
        </w:rPr>
        <w:t>ILECs</w:t>
      </w:r>
      <w:r w:rsidR="006266E1" w:rsidRPr="006266E1">
        <w:rPr>
          <w:color w:val="000000" w:themeColor="text1"/>
          <w:sz w:val="26"/>
          <w:szCs w:val="26"/>
        </w:rPr>
        <w:t>) located in 25 states.</w:t>
      </w:r>
      <w:r w:rsidR="0083773B">
        <w:rPr>
          <w:rStyle w:val="FootnoteReference"/>
          <w:color w:val="000000" w:themeColor="text1"/>
          <w:sz w:val="26"/>
          <w:szCs w:val="26"/>
        </w:rPr>
        <w:footnoteReference w:id="5"/>
      </w:r>
      <w:r w:rsidR="006266E1" w:rsidRPr="006266E1">
        <w:rPr>
          <w:szCs w:val="24"/>
        </w:rPr>
        <w:t xml:space="preserve"> </w:t>
      </w:r>
      <w:r w:rsidR="006266E1" w:rsidRPr="006266E1">
        <w:rPr>
          <w:color w:val="000000" w:themeColor="text1"/>
          <w:sz w:val="26"/>
          <w:szCs w:val="26"/>
        </w:rPr>
        <w:t>Through its subsidiary operating companies, Frontier offers residential consumers, businesses, and wholesale customers a broad range of communications services—distinct products or bundles—including local and long-distance service, data and Internet services, video services, access products, advanced hardware/network solutions, Voice-over-Internet</w:t>
      </w:r>
      <w:r w:rsidR="00CA41A6">
        <w:rPr>
          <w:color w:val="000000" w:themeColor="text1"/>
          <w:sz w:val="26"/>
          <w:szCs w:val="26"/>
        </w:rPr>
        <w:t xml:space="preserve"> </w:t>
      </w:r>
      <w:r w:rsidR="006266E1" w:rsidRPr="006266E1">
        <w:rPr>
          <w:color w:val="000000" w:themeColor="text1"/>
          <w:sz w:val="26"/>
          <w:szCs w:val="26"/>
        </w:rPr>
        <w:t>Protocol (</w:t>
      </w:r>
      <w:r w:rsidR="006266E1" w:rsidRPr="0083773B">
        <w:rPr>
          <w:color w:val="000000" w:themeColor="text1"/>
          <w:sz w:val="26"/>
          <w:szCs w:val="26"/>
        </w:rPr>
        <w:t>VoIP</w:t>
      </w:r>
      <w:r w:rsidR="006266E1" w:rsidRPr="006266E1">
        <w:rPr>
          <w:color w:val="000000" w:themeColor="text1"/>
          <w:sz w:val="26"/>
          <w:szCs w:val="26"/>
        </w:rPr>
        <w:t xml:space="preserve">), and other services.  </w:t>
      </w:r>
      <w:bookmarkStart w:id="9" w:name="_cp_text_1_115"/>
      <w:r w:rsidR="006266E1" w:rsidRPr="006266E1">
        <w:rPr>
          <w:color w:val="000000" w:themeColor="text1"/>
          <w:sz w:val="26"/>
          <w:szCs w:val="26"/>
        </w:rPr>
        <w:t xml:space="preserve">Some </w:t>
      </w:r>
      <w:bookmarkEnd w:id="9"/>
      <w:r w:rsidR="006266E1" w:rsidRPr="006266E1">
        <w:rPr>
          <w:color w:val="000000" w:themeColor="text1"/>
          <w:sz w:val="26"/>
          <w:szCs w:val="26"/>
        </w:rPr>
        <w:t xml:space="preserve">of these services and operations are subject to regulation by the </w:t>
      </w:r>
      <w:bookmarkStart w:id="10" w:name="_cp_text_1_116"/>
      <w:r w:rsidR="006266E1" w:rsidRPr="006266E1">
        <w:rPr>
          <w:color w:val="000000" w:themeColor="text1"/>
          <w:sz w:val="26"/>
          <w:szCs w:val="26"/>
        </w:rPr>
        <w:t xml:space="preserve">Federal Communications Commission </w:t>
      </w:r>
      <w:r w:rsidR="006266E1" w:rsidRPr="007C3384">
        <w:rPr>
          <w:color w:val="000000" w:themeColor="text1"/>
          <w:sz w:val="26"/>
          <w:szCs w:val="26"/>
        </w:rPr>
        <w:t>(</w:t>
      </w:r>
      <w:bookmarkEnd w:id="10"/>
      <w:r w:rsidR="006266E1" w:rsidRPr="007C3384">
        <w:rPr>
          <w:color w:val="000000" w:themeColor="text1"/>
          <w:sz w:val="26"/>
          <w:szCs w:val="26"/>
        </w:rPr>
        <w:t>FCC</w:t>
      </w:r>
      <w:bookmarkStart w:id="11" w:name="_cp_text_1_117"/>
      <w:r w:rsidR="006266E1" w:rsidRPr="006266E1">
        <w:rPr>
          <w:color w:val="000000" w:themeColor="text1"/>
          <w:sz w:val="26"/>
          <w:szCs w:val="26"/>
        </w:rPr>
        <w:t xml:space="preserve">) </w:t>
      </w:r>
      <w:bookmarkEnd w:id="11"/>
      <w:r w:rsidR="006266E1" w:rsidRPr="006266E1">
        <w:rPr>
          <w:color w:val="000000" w:themeColor="text1"/>
          <w:sz w:val="26"/>
          <w:szCs w:val="26"/>
        </w:rPr>
        <w:t>and various state regulatory agencies, including this Commission.</w:t>
      </w:r>
      <w:r w:rsidR="00801FE7">
        <w:rPr>
          <w:rStyle w:val="FootnoteReference"/>
          <w:color w:val="000000" w:themeColor="text1"/>
          <w:sz w:val="26"/>
          <w:szCs w:val="26"/>
        </w:rPr>
        <w:footnoteReference w:id="6"/>
      </w:r>
      <w:r w:rsidR="006266E1" w:rsidRPr="006266E1">
        <w:rPr>
          <w:color w:val="000000" w:themeColor="text1"/>
          <w:sz w:val="26"/>
          <w:szCs w:val="26"/>
        </w:rPr>
        <w:t xml:space="preserve">  </w:t>
      </w:r>
    </w:p>
    <w:p w14:paraId="40CE5719" w14:textId="77777777" w:rsidR="00236D2D" w:rsidRDefault="00236D2D" w:rsidP="006266E1">
      <w:pPr>
        <w:rPr>
          <w:color w:val="000000" w:themeColor="text1"/>
          <w:sz w:val="26"/>
          <w:szCs w:val="26"/>
        </w:rPr>
      </w:pPr>
    </w:p>
    <w:p w14:paraId="7F55D97E" w14:textId="1FBA1542" w:rsidR="006266E1" w:rsidRPr="006266E1" w:rsidRDefault="006266E1" w:rsidP="00236D2D">
      <w:pPr>
        <w:ind w:firstLine="720"/>
        <w:rPr>
          <w:color w:val="000000" w:themeColor="text1"/>
          <w:sz w:val="26"/>
          <w:szCs w:val="26"/>
        </w:rPr>
      </w:pPr>
      <w:r w:rsidRPr="006266E1">
        <w:rPr>
          <w:color w:val="000000" w:themeColor="text1"/>
          <w:sz w:val="26"/>
          <w:szCs w:val="26"/>
        </w:rPr>
        <w:t>Frontier has a 100% direct ownership interest in FST, Citizens NY, CTE, and Frontier America, and a 100% indirect ownership interest through intermediate holding subsidiaries in Frontier Commonwealth, CTSI, CTE Telecom, Frontier Breezewood, Frontier Canton, Frontier Lakewood, Frontier Oswayo, and Frontier PA.</w:t>
      </w:r>
    </w:p>
    <w:p w14:paraId="4986C44E" w14:textId="77777777" w:rsidR="006266E1" w:rsidRDefault="006266E1" w:rsidP="00AF45F1">
      <w:pPr>
        <w:rPr>
          <w:color w:val="000000" w:themeColor="text1"/>
          <w:sz w:val="26"/>
          <w:szCs w:val="26"/>
        </w:rPr>
      </w:pPr>
    </w:p>
    <w:p w14:paraId="152B7751" w14:textId="03648A57" w:rsidR="006266E1" w:rsidRDefault="006266E1" w:rsidP="003A31A9">
      <w:pPr>
        <w:ind w:firstLine="720"/>
        <w:rPr>
          <w:color w:val="000000" w:themeColor="text1"/>
          <w:sz w:val="26"/>
          <w:szCs w:val="26"/>
        </w:rPr>
      </w:pPr>
      <w:r w:rsidRPr="006266E1">
        <w:rPr>
          <w:color w:val="000000" w:themeColor="text1"/>
          <w:sz w:val="26"/>
          <w:szCs w:val="26"/>
        </w:rPr>
        <w:t xml:space="preserve">FST is a Delaware limited liability company with its principal offices based in Norwalk, Connecticut.  It is a holding company with a 100% direct ownership interest in Frontier Breezewood, Frontier Canton, Frontier Lakewood, Frontier Oswayo, and Frontier PA.  FST is a </w:t>
      </w:r>
      <w:bookmarkStart w:id="12" w:name="_cp_text_1_148"/>
      <w:r w:rsidRPr="006266E1">
        <w:rPr>
          <w:color w:val="000000" w:themeColor="text1"/>
          <w:sz w:val="26"/>
          <w:szCs w:val="26"/>
        </w:rPr>
        <w:t xml:space="preserve">direct, </w:t>
      </w:r>
      <w:bookmarkEnd w:id="12"/>
      <w:r w:rsidRPr="006266E1">
        <w:rPr>
          <w:color w:val="000000" w:themeColor="text1"/>
          <w:sz w:val="26"/>
          <w:szCs w:val="26"/>
        </w:rPr>
        <w:t>wholly owned subsidiary of Frontier.</w:t>
      </w:r>
    </w:p>
    <w:p w14:paraId="431BE201" w14:textId="77777777" w:rsidR="00236D2D" w:rsidRPr="006266E1" w:rsidRDefault="00236D2D" w:rsidP="006266E1">
      <w:pPr>
        <w:rPr>
          <w:color w:val="000000" w:themeColor="text1"/>
          <w:sz w:val="26"/>
          <w:szCs w:val="26"/>
        </w:rPr>
      </w:pPr>
    </w:p>
    <w:p w14:paraId="20902CA1" w14:textId="502FA05B" w:rsidR="006266E1" w:rsidRDefault="006266E1" w:rsidP="00236D2D">
      <w:pPr>
        <w:ind w:firstLine="720"/>
        <w:rPr>
          <w:color w:val="000000" w:themeColor="text1"/>
          <w:sz w:val="26"/>
          <w:szCs w:val="26"/>
        </w:rPr>
      </w:pPr>
      <w:r w:rsidRPr="006266E1">
        <w:rPr>
          <w:color w:val="000000" w:themeColor="text1"/>
          <w:sz w:val="26"/>
          <w:szCs w:val="26"/>
        </w:rPr>
        <w:t xml:space="preserve">CTE is a Delaware limited liability company with its principal offices based in Dallas, Pennsylvania.  CTE is a holding company with a 100% direct ownership interest in Frontier Commonwealth and a 100% indirect ownership interest in CTSI and CTE Telecom.  CTE is a </w:t>
      </w:r>
      <w:bookmarkStart w:id="13" w:name="_cp_text_1_149"/>
      <w:r w:rsidRPr="006266E1">
        <w:rPr>
          <w:color w:val="000000" w:themeColor="text1"/>
          <w:sz w:val="26"/>
          <w:szCs w:val="26"/>
        </w:rPr>
        <w:t xml:space="preserve">direct, </w:t>
      </w:r>
      <w:bookmarkEnd w:id="13"/>
      <w:r w:rsidRPr="006266E1">
        <w:rPr>
          <w:color w:val="000000" w:themeColor="text1"/>
          <w:sz w:val="26"/>
          <w:szCs w:val="26"/>
        </w:rPr>
        <w:t>wholly owned subsidiary of Frontier.</w:t>
      </w:r>
    </w:p>
    <w:p w14:paraId="4E27AD02" w14:textId="77777777" w:rsidR="00236D2D" w:rsidRPr="006266E1" w:rsidRDefault="00236D2D" w:rsidP="00236D2D">
      <w:pPr>
        <w:ind w:firstLine="720"/>
        <w:rPr>
          <w:color w:val="000000" w:themeColor="text1"/>
          <w:sz w:val="26"/>
          <w:szCs w:val="26"/>
        </w:rPr>
      </w:pPr>
    </w:p>
    <w:p w14:paraId="672B8B88" w14:textId="65AB56F3" w:rsidR="006266E1" w:rsidRPr="006266E1" w:rsidRDefault="006266E1" w:rsidP="00236D2D">
      <w:pPr>
        <w:ind w:firstLine="720"/>
        <w:rPr>
          <w:color w:val="000000" w:themeColor="text1"/>
          <w:sz w:val="26"/>
          <w:szCs w:val="26"/>
        </w:rPr>
      </w:pPr>
      <w:r w:rsidRPr="006266E1">
        <w:rPr>
          <w:color w:val="000000" w:themeColor="text1"/>
          <w:sz w:val="26"/>
          <w:szCs w:val="26"/>
        </w:rPr>
        <w:lastRenderedPageBreak/>
        <w:t>Frontier Commonwealth (Utility Code: 310800) is a Pennsylvania corporation with its principal offices based in Dallas, Pennsylvania.  It is a rural</w:t>
      </w:r>
      <w:r w:rsidR="008470A6">
        <w:rPr>
          <w:color w:val="000000" w:themeColor="text1"/>
          <w:sz w:val="26"/>
          <w:szCs w:val="26"/>
        </w:rPr>
        <w:t xml:space="preserve"> incumbent</w:t>
      </w:r>
      <w:r w:rsidRPr="006266E1">
        <w:rPr>
          <w:color w:val="000000" w:themeColor="text1"/>
          <w:sz w:val="26"/>
          <w:szCs w:val="26"/>
        </w:rPr>
        <w:t xml:space="preserve"> local exchange </w:t>
      </w:r>
      <w:r w:rsidR="00CA41A6">
        <w:rPr>
          <w:color w:val="000000" w:themeColor="text1"/>
          <w:sz w:val="26"/>
          <w:szCs w:val="26"/>
        </w:rPr>
        <w:t xml:space="preserve">telecommunications company </w:t>
      </w:r>
      <w:r w:rsidRPr="006266E1">
        <w:rPr>
          <w:color w:val="000000" w:themeColor="text1"/>
          <w:sz w:val="26"/>
          <w:szCs w:val="26"/>
        </w:rPr>
        <w:t>(</w:t>
      </w:r>
      <w:r w:rsidRPr="003A31A9">
        <w:rPr>
          <w:color w:val="000000" w:themeColor="text1"/>
          <w:sz w:val="26"/>
          <w:szCs w:val="26"/>
        </w:rPr>
        <w:t>RLEC</w:t>
      </w:r>
      <w:r w:rsidRPr="006266E1">
        <w:rPr>
          <w:color w:val="000000" w:themeColor="text1"/>
          <w:sz w:val="26"/>
          <w:szCs w:val="26"/>
        </w:rPr>
        <w:t xml:space="preserve">) authorized at A-310800 </w:t>
      </w:r>
      <w:r w:rsidR="009E4875">
        <w:rPr>
          <w:color w:val="000000" w:themeColor="text1"/>
          <w:sz w:val="26"/>
          <w:szCs w:val="26"/>
        </w:rPr>
        <w:t xml:space="preserve">to </w:t>
      </w:r>
      <w:r w:rsidRPr="006266E1">
        <w:rPr>
          <w:color w:val="000000" w:themeColor="text1"/>
          <w:sz w:val="26"/>
          <w:szCs w:val="26"/>
        </w:rPr>
        <w:t>provid</w:t>
      </w:r>
      <w:r w:rsidR="009E4875">
        <w:rPr>
          <w:color w:val="000000" w:themeColor="text1"/>
          <w:sz w:val="26"/>
          <w:szCs w:val="26"/>
        </w:rPr>
        <w:t>e</w:t>
      </w:r>
      <w:r w:rsidRPr="006266E1">
        <w:rPr>
          <w:color w:val="000000" w:themeColor="text1"/>
          <w:sz w:val="26"/>
          <w:szCs w:val="26"/>
        </w:rPr>
        <w:t xml:space="preserve"> local exchange </w:t>
      </w:r>
      <w:r w:rsidR="00B910E1">
        <w:rPr>
          <w:color w:val="000000" w:themeColor="text1"/>
          <w:sz w:val="26"/>
          <w:szCs w:val="26"/>
        </w:rPr>
        <w:t xml:space="preserve">telecommunications services, including </w:t>
      </w:r>
      <w:r w:rsidR="00B910E1" w:rsidRPr="006266E1">
        <w:rPr>
          <w:color w:val="000000" w:themeColor="text1"/>
          <w:sz w:val="26"/>
          <w:szCs w:val="26"/>
        </w:rPr>
        <w:t xml:space="preserve">stand-alone </w:t>
      </w:r>
      <w:r w:rsidRPr="006266E1">
        <w:rPr>
          <w:color w:val="000000" w:themeColor="text1"/>
          <w:sz w:val="26"/>
          <w:szCs w:val="26"/>
        </w:rPr>
        <w:t>and related service</w:t>
      </w:r>
      <w:r w:rsidR="00B910E1">
        <w:rPr>
          <w:color w:val="000000" w:themeColor="text1"/>
          <w:sz w:val="26"/>
          <w:szCs w:val="26"/>
        </w:rPr>
        <w:t>s</w:t>
      </w:r>
      <w:r w:rsidRPr="006266E1">
        <w:rPr>
          <w:color w:val="000000" w:themeColor="text1"/>
          <w:sz w:val="26"/>
          <w:szCs w:val="26"/>
        </w:rPr>
        <w:t xml:space="preserve"> on a jurisdictional basis, and operates in all of Wyoming County and in portions of Berks, Bradford, Bucks, Carbon, Chester, Columbia, Dauphin, Lackawanna, Lancaster, Lehigh, Luzerne, Lycoming, Monroe, Northampton, Schuylkill, Sullivan, Susquehanna, Tioga, and York Counties, across an area covering approximately 5,066.5 square miles.  Frontier Commonwealth’s service territory includes predominately rural areas with approximately 104,590 access lines in 79 exchanges.</w:t>
      </w:r>
    </w:p>
    <w:p w14:paraId="4C0793F1" w14:textId="77777777" w:rsidR="00236D2D" w:rsidRPr="00236D2D" w:rsidRDefault="00236D2D" w:rsidP="00236D2D">
      <w:pPr>
        <w:rPr>
          <w:b/>
          <w:bCs/>
          <w:color w:val="000000" w:themeColor="text1"/>
          <w:sz w:val="26"/>
          <w:szCs w:val="26"/>
        </w:rPr>
      </w:pPr>
      <w:bookmarkStart w:id="14" w:name="_Hlk519763109"/>
      <w:bookmarkEnd w:id="4"/>
    </w:p>
    <w:p w14:paraId="57D0A8A7" w14:textId="35483E78" w:rsidR="006266E1" w:rsidRDefault="00236D2D" w:rsidP="00236D2D">
      <w:pPr>
        <w:ind w:firstLine="720"/>
        <w:rPr>
          <w:color w:val="000000" w:themeColor="text1"/>
          <w:sz w:val="26"/>
          <w:szCs w:val="26"/>
        </w:rPr>
      </w:pPr>
      <w:r w:rsidRPr="006266E1">
        <w:rPr>
          <w:color w:val="000000" w:themeColor="text1"/>
          <w:sz w:val="26"/>
          <w:szCs w:val="26"/>
        </w:rPr>
        <w:t xml:space="preserve">Frontier Breezewood </w:t>
      </w:r>
      <w:r w:rsidR="006266E1" w:rsidRPr="006266E1">
        <w:rPr>
          <w:color w:val="000000" w:themeColor="text1"/>
          <w:sz w:val="26"/>
          <w:szCs w:val="26"/>
        </w:rPr>
        <w:t>(Utility Code: 310400) is a Pennsylvania corporation with its principal offices based in New Holland, Pennsylvania.  It is an RLEC authorized at A</w:t>
      </w:r>
      <w:r w:rsidR="00575EB2">
        <w:rPr>
          <w:color w:val="000000" w:themeColor="text1"/>
          <w:sz w:val="26"/>
          <w:szCs w:val="26"/>
        </w:rPr>
        <w:noBreakHyphen/>
      </w:r>
      <w:r w:rsidR="006266E1" w:rsidRPr="006266E1">
        <w:rPr>
          <w:color w:val="000000" w:themeColor="text1"/>
          <w:sz w:val="26"/>
          <w:szCs w:val="26"/>
        </w:rPr>
        <w:t xml:space="preserve">310400 </w:t>
      </w:r>
      <w:r w:rsidR="009E4875">
        <w:rPr>
          <w:color w:val="000000" w:themeColor="text1"/>
          <w:sz w:val="26"/>
          <w:szCs w:val="26"/>
        </w:rPr>
        <w:t xml:space="preserve">to </w:t>
      </w:r>
      <w:r w:rsidR="006266E1" w:rsidRPr="006266E1">
        <w:rPr>
          <w:color w:val="000000" w:themeColor="text1"/>
          <w:sz w:val="26"/>
          <w:szCs w:val="26"/>
        </w:rPr>
        <w:t>provid</w:t>
      </w:r>
      <w:r w:rsidR="009E4875">
        <w:rPr>
          <w:color w:val="000000" w:themeColor="text1"/>
          <w:sz w:val="26"/>
          <w:szCs w:val="26"/>
        </w:rPr>
        <w:t>e</w:t>
      </w:r>
      <w:r w:rsidR="006266E1"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and related services </w:t>
      </w:r>
      <w:r w:rsidR="006266E1" w:rsidRPr="006266E1">
        <w:rPr>
          <w:color w:val="000000" w:themeColor="text1"/>
          <w:sz w:val="26"/>
          <w:szCs w:val="26"/>
        </w:rPr>
        <w:t>on a jurisdictional basis and operates in portions of Bedford and Fulton Counties across an area covering approximately 313.9 square miles.  Frontier Breezewood’s service territory includes predominately rural areas with approximately 2,290 access lines in 4 exchanges.</w:t>
      </w:r>
    </w:p>
    <w:p w14:paraId="1A1C654A" w14:textId="77777777" w:rsidR="00236D2D" w:rsidRPr="006266E1" w:rsidRDefault="00236D2D" w:rsidP="00236D2D">
      <w:pPr>
        <w:rPr>
          <w:b/>
          <w:color w:val="000000" w:themeColor="text1"/>
          <w:sz w:val="26"/>
          <w:szCs w:val="26"/>
        </w:rPr>
      </w:pPr>
    </w:p>
    <w:p w14:paraId="70433AC6" w14:textId="2F9140C2" w:rsidR="006266E1" w:rsidRDefault="006266E1" w:rsidP="00236D2D">
      <w:pPr>
        <w:ind w:firstLine="720"/>
        <w:rPr>
          <w:color w:val="000000" w:themeColor="text1"/>
          <w:sz w:val="26"/>
          <w:szCs w:val="26"/>
        </w:rPr>
      </w:pPr>
      <w:r w:rsidRPr="006266E1">
        <w:rPr>
          <w:color w:val="000000" w:themeColor="text1"/>
          <w:sz w:val="26"/>
          <w:szCs w:val="26"/>
        </w:rPr>
        <w:t>Frontier Canton (Utility Code: 310550) is a Pennsylvania corporation with its principal offices based in New Holland, Pennsylvania.  It is an RLEC authorized at A</w:t>
      </w:r>
      <w:r w:rsidR="0077052B">
        <w:rPr>
          <w:color w:val="000000" w:themeColor="text1"/>
          <w:sz w:val="26"/>
          <w:szCs w:val="26"/>
        </w:rPr>
        <w:noBreakHyphen/>
      </w:r>
      <w:r w:rsidRPr="006266E1">
        <w:rPr>
          <w:color w:val="000000" w:themeColor="text1"/>
          <w:sz w:val="26"/>
          <w:szCs w:val="26"/>
        </w:rPr>
        <w:t xml:space="preserve">310550 </w:t>
      </w:r>
      <w:r w:rsidR="009E4875">
        <w:rPr>
          <w:color w:val="000000" w:themeColor="text1"/>
          <w:sz w:val="26"/>
          <w:szCs w:val="26"/>
        </w:rPr>
        <w:t xml:space="preserve">to </w:t>
      </w:r>
      <w:r w:rsidRPr="006266E1">
        <w:rPr>
          <w:color w:val="000000" w:themeColor="text1"/>
          <w:sz w:val="26"/>
          <w:szCs w:val="26"/>
        </w:rPr>
        <w:t>provid</w:t>
      </w:r>
      <w:r w:rsidR="009E4875">
        <w:rPr>
          <w:color w:val="000000" w:themeColor="text1"/>
          <w:sz w:val="26"/>
          <w:szCs w:val="26"/>
        </w:rPr>
        <w:t>e</w:t>
      </w:r>
      <w:r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w:t>
      </w:r>
      <w:r w:rsidRPr="006266E1">
        <w:rPr>
          <w:color w:val="000000" w:themeColor="text1"/>
          <w:sz w:val="26"/>
          <w:szCs w:val="26"/>
        </w:rPr>
        <w:t>and related services on a jurisdictional basis and operates in portions of Bradford, Lycoming, and Tioga Counties in an area covering approximately 256.6 square miles.  Frontier Canton’s service territory includes predominately rural areas with approximately 2,217 access lines in two exchanges.</w:t>
      </w:r>
    </w:p>
    <w:p w14:paraId="202687A5" w14:textId="77777777" w:rsidR="00236D2D" w:rsidRPr="006266E1" w:rsidRDefault="00236D2D" w:rsidP="00236D2D">
      <w:pPr>
        <w:rPr>
          <w:b/>
          <w:color w:val="000000" w:themeColor="text1"/>
          <w:sz w:val="26"/>
          <w:szCs w:val="26"/>
        </w:rPr>
      </w:pPr>
    </w:p>
    <w:p w14:paraId="579E9F2C" w14:textId="726E3109" w:rsidR="006266E1" w:rsidRPr="006266E1" w:rsidRDefault="006266E1" w:rsidP="00236D2D">
      <w:pPr>
        <w:ind w:firstLine="720"/>
        <w:rPr>
          <w:color w:val="000000" w:themeColor="text1"/>
          <w:sz w:val="26"/>
          <w:szCs w:val="26"/>
        </w:rPr>
      </w:pPr>
      <w:r w:rsidRPr="006266E1">
        <w:rPr>
          <w:color w:val="000000" w:themeColor="text1"/>
          <w:sz w:val="26"/>
          <w:szCs w:val="26"/>
        </w:rPr>
        <w:t>Frontier Lakewood (Utility Code: 311750) is a Pennsylvania corporation with its principal offices based in New Holland, Pennsylvania.  It is an RLEC authorized at A</w:t>
      </w:r>
      <w:r w:rsidR="0077052B">
        <w:rPr>
          <w:color w:val="000000" w:themeColor="text1"/>
          <w:sz w:val="26"/>
          <w:szCs w:val="26"/>
        </w:rPr>
        <w:noBreakHyphen/>
      </w:r>
      <w:r w:rsidRPr="006266E1">
        <w:rPr>
          <w:color w:val="000000" w:themeColor="text1"/>
          <w:sz w:val="26"/>
          <w:szCs w:val="26"/>
        </w:rPr>
        <w:t xml:space="preserve">311750 </w:t>
      </w:r>
      <w:r w:rsidR="009E4875">
        <w:rPr>
          <w:color w:val="000000" w:themeColor="text1"/>
          <w:sz w:val="26"/>
          <w:szCs w:val="26"/>
        </w:rPr>
        <w:t xml:space="preserve">to </w:t>
      </w:r>
      <w:r w:rsidRPr="006266E1">
        <w:rPr>
          <w:color w:val="000000" w:themeColor="text1"/>
          <w:sz w:val="26"/>
          <w:szCs w:val="26"/>
        </w:rPr>
        <w:t>provid</w:t>
      </w:r>
      <w:r w:rsidR="009E4875">
        <w:rPr>
          <w:color w:val="000000" w:themeColor="text1"/>
          <w:sz w:val="26"/>
          <w:szCs w:val="26"/>
        </w:rPr>
        <w:t>e</w:t>
      </w:r>
      <w:r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w:t>
      </w:r>
      <w:r w:rsidRPr="006266E1">
        <w:rPr>
          <w:color w:val="000000" w:themeColor="text1"/>
          <w:sz w:val="26"/>
          <w:szCs w:val="26"/>
        </w:rPr>
        <w:t>and related service</w:t>
      </w:r>
      <w:r w:rsidR="00B910E1">
        <w:rPr>
          <w:color w:val="000000" w:themeColor="text1"/>
          <w:sz w:val="26"/>
          <w:szCs w:val="26"/>
        </w:rPr>
        <w:t>s</w:t>
      </w:r>
      <w:r w:rsidRPr="006266E1">
        <w:rPr>
          <w:color w:val="000000" w:themeColor="text1"/>
          <w:sz w:val="26"/>
          <w:szCs w:val="26"/>
        </w:rPr>
        <w:t xml:space="preserve"> on a jurisdictional basis and operates in portions of Schuylkill County across an area covering approximately 30.2 square miles.  Frontier Lakewood’s service territory includes predominately rural areas with approximately 552 access lines in one exchange.</w:t>
      </w:r>
    </w:p>
    <w:p w14:paraId="396CA6F7" w14:textId="6CFD154A" w:rsidR="000C210A" w:rsidRDefault="000C210A" w:rsidP="00AF45F1">
      <w:pPr>
        <w:rPr>
          <w:color w:val="000000" w:themeColor="text1"/>
          <w:sz w:val="26"/>
          <w:szCs w:val="26"/>
        </w:rPr>
      </w:pPr>
    </w:p>
    <w:p w14:paraId="0EAF0A1D" w14:textId="085C08F4" w:rsidR="006266E1" w:rsidRDefault="000C210A" w:rsidP="006266E1">
      <w:pPr>
        <w:rPr>
          <w:color w:val="000000" w:themeColor="text1"/>
          <w:sz w:val="26"/>
          <w:szCs w:val="26"/>
        </w:rPr>
      </w:pPr>
      <w:r>
        <w:rPr>
          <w:color w:val="000000" w:themeColor="text1"/>
          <w:sz w:val="26"/>
          <w:szCs w:val="26"/>
        </w:rPr>
        <w:tab/>
      </w:r>
      <w:r w:rsidR="006266E1" w:rsidRPr="006266E1">
        <w:rPr>
          <w:color w:val="000000" w:themeColor="text1"/>
          <w:sz w:val="26"/>
          <w:szCs w:val="26"/>
        </w:rPr>
        <w:t>Frontier Oswayo (Utility Code: 312600) is a Pennsylvania corporation with its principal offices based in New Holland, Pennsylvania.  It is an RLEC authorized at A</w:t>
      </w:r>
      <w:r w:rsidR="0077052B">
        <w:rPr>
          <w:color w:val="000000" w:themeColor="text1"/>
          <w:sz w:val="26"/>
          <w:szCs w:val="26"/>
        </w:rPr>
        <w:noBreakHyphen/>
      </w:r>
      <w:r w:rsidR="006266E1" w:rsidRPr="006266E1">
        <w:rPr>
          <w:color w:val="000000" w:themeColor="text1"/>
          <w:sz w:val="26"/>
          <w:szCs w:val="26"/>
        </w:rPr>
        <w:t>312600</w:t>
      </w:r>
      <w:r w:rsidR="008470A6">
        <w:rPr>
          <w:color w:val="000000" w:themeColor="text1"/>
          <w:sz w:val="26"/>
          <w:szCs w:val="26"/>
        </w:rPr>
        <w:t xml:space="preserve"> to</w:t>
      </w:r>
      <w:r w:rsidR="006266E1" w:rsidRPr="006266E1">
        <w:rPr>
          <w:color w:val="000000" w:themeColor="text1"/>
          <w:sz w:val="26"/>
          <w:szCs w:val="26"/>
        </w:rPr>
        <w:t xml:space="preserve"> provid</w:t>
      </w:r>
      <w:r w:rsidR="008470A6">
        <w:rPr>
          <w:color w:val="000000" w:themeColor="text1"/>
          <w:sz w:val="26"/>
          <w:szCs w:val="26"/>
        </w:rPr>
        <w:t>e</w:t>
      </w:r>
      <w:r w:rsidR="006266E1"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w:t>
      </w:r>
      <w:r w:rsidR="006266E1" w:rsidRPr="006266E1">
        <w:rPr>
          <w:color w:val="000000" w:themeColor="text1"/>
          <w:sz w:val="26"/>
          <w:szCs w:val="26"/>
        </w:rPr>
        <w:t>on a jurisdictional basis and operates in portions of McKean and Potter Counties across an area covering approximately 182.5 square miles.  Frontier Oswayo’s service territory includes predominately rural areas with approximately 1,147 access lines in three exchanges.</w:t>
      </w:r>
    </w:p>
    <w:p w14:paraId="6FBFE7AD" w14:textId="77777777" w:rsidR="00236D2D" w:rsidRPr="006266E1" w:rsidRDefault="00236D2D" w:rsidP="006266E1">
      <w:pPr>
        <w:rPr>
          <w:color w:val="000000" w:themeColor="text1"/>
          <w:sz w:val="26"/>
          <w:szCs w:val="26"/>
        </w:rPr>
      </w:pPr>
    </w:p>
    <w:p w14:paraId="305BB4D0" w14:textId="4DD034A8" w:rsidR="006266E1" w:rsidRPr="006266E1" w:rsidRDefault="006266E1" w:rsidP="00236D2D">
      <w:pPr>
        <w:ind w:firstLine="720"/>
        <w:rPr>
          <w:color w:val="000000" w:themeColor="text1"/>
          <w:sz w:val="26"/>
          <w:szCs w:val="26"/>
        </w:rPr>
      </w:pPr>
      <w:r w:rsidRPr="006266E1">
        <w:rPr>
          <w:color w:val="000000" w:themeColor="text1"/>
          <w:sz w:val="26"/>
          <w:szCs w:val="26"/>
        </w:rPr>
        <w:lastRenderedPageBreak/>
        <w:t>Frontier PA (Utility Code: 311250) is a Pennsylvania corporation with its principal offices based in New Holland, Pennsylvania.  It is an RLEC authorized at A</w:t>
      </w:r>
      <w:r w:rsidR="0077052B">
        <w:rPr>
          <w:color w:val="000000" w:themeColor="text1"/>
          <w:sz w:val="26"/>
          <w:szCs w:val="26"/>
        </w:rPr>
        <w:noBreakHyphen/>
      </w:r>
      <w:r w:rsidRPr="006266E1">
        <w:rPr>
          <w:color w:val="000000" w:themeColor="text1"/>
          <w:sz w:val="26"/>
          <w:szCs w:val="26"/>
        </w:rPr>
        <w:t xml:space="preserve">312500 </w:t>
      </w:r>
      <w:r w:rsidR="008470A6">
        <w:rPr>
          <w:color w:val="000000" w:themeColor="text1"/>
          <w:sz w:val="26"/>
          <w:szCs w:val="26"/>
        </w:rPr>
        <w:t xml:space="preserve">to </w:t>
      </w:r>
      <w:r w:rsidRPr="006266E1">
        <w:rPr>
          <w:color w:val="000000" w:themeColor="text1"/>
          <w:sz w:val="26"/>
          <w:szCs w:val="26"/>
        </w:rPr>
        <w:t>provid</w:t>
      </w:r>
      <w:r w:rsidR="008470A6">
        <w:rPr>
          <w:color w:val="000000" w:themeColor="text1"/>
          <w:sz w:val="26"/>
          <w:szCs w:val="26"/>
        </w:rPr>
        <w:t>e</w:t>
      </w:r>
      <w:r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w:t>
      </w:r>
      <w:r w:rsidRPr="006266E1">
        <w:rPr>
          <w:color w:val="000000" w:themeColor="text1"/>
          <w:sz w:val="26"/>
          <w:szCs w:val="26"/>
        </w:rPr>
        <w:t>on a jurisdictional basis and operates in portions of Berks and Lancaster Counties across an area covering approximately 164.8 square miles.  Frontier PA’s service territory includes predominately rural areas with approximately 8,952 access lines in four exchanges.</w:t>
      </w:r>
    </w:p>
    <w:p w14:paraId="49346B33" w14:textId="0F947D8C" w:rsidR="006266E1" w:rsidRPr="006266E1" w:rsidRDefault="006266E1" w:rsidP="006266E1">
      <w:pPr>
        <w:rPr>
          <w:b/>
          <w:color w:val="000000" w:themeColor="text1"/>
          <w:sz w:val="26"/>
          <w:szCs w:val="26"/>
        </w:rPr>
      </w:pPr>
    </w:p>
    <w:p w14:paraId="7B0162FC" w14:textId="4780FDD4" w:rsidR="006266E1" w:rsidRPr="006266E1" w:rsidRDefault="006266E1" w:rsidP="00236D2D">
      <w:pPr>
        <w:ind w:firstLine="720"/>
        <w:rPr>
          <w:color w:val="000000" w:themeColor="text1"/>
          <w:sz w:val="26"/>
          <w:szCs w:val="26"/>
        </w:rPr>
      </w:pPr>
      <w:r w:rsidRPr="006266E1">
        <w:rPr>
          <w:color w:val="000000" w:themeColor="text1"/>
          <w:sz w:val="26"/>
          <w:szCs w:val="26"/>
        </w:rPr>
        <w:t xml:space="preserve">Citizens NY (Utility Code: 310174) is a New York corporation with its principal offices based in Rochester, New York.  In Pennsylvania, it is an </w:t>
      </w:r>
      <w:r w:rsidR="00074446">
        <w:rPr>
          <w:color w:val="000000" w:themeColor="text1"/>
          <w:sz w:val="26"/>
          <w:szCs w:val="26"/>
        </w:rPr>
        <w:t>R</w:t>
      </w:r>
      <w:r w:rsidRPr="006266E1">
        <w:rPr>
          <w:color w:val="000000" w:themeColor="text1"/>
          <w:sz w:val="26"/>
          <w:szCs w:val="26"/>
        </w:rPr>
        <w:t>LEC authorized at A</w:t>
      </w:r>
      <w:r w:rsidR="0077052B">
        <w:rPr>
          <w:color w:val="000000" w:themeColor="text1"/>
          <w:sz w:val="26"/>
          <w:szCs w:val="26"/>
        </w:rPr>
        <w:noBreakHyphen/>
      </w:r>
      <w:r w:rsidRPr="006266E1">
        <w:rPr>
          <w:color w:val="000000" w:themeColor="text1"/>
          <w:sz w:val="26"/>
          <w:szCs w:val="26"/>
        </w:rPr>
        <w:t xml:space="preserve">310174 </w:t>
      </w:r>
      <w:r w:rsidR="008470A6">
        <w:rPr>
          <w:color w:val="000000" w:themeColor="text1"/>
          <w:sz w:val="26"/>
          <w:szCs w:val="26"/>
        </w:rPr>
        <w:t xml:space="preserve">to </w:t>
      </w:r>
      <w:r w:rsidRPr="006266E1">
        <w:rPr>
          <w:color w:val="000000" w:themeColor="text1"/>
          <w:sz w:val="26"/>
          <w:szCs w:val="26"/>
        </w:rPr>
        <w:t>provid</w:t>
      </w:r>
      <w:r w:rsidR="008470A6">
        <w:rPr>
          <w:color w:val="000000" w:themeColor="text1"/>
          <w:sz w:val="26"/>
          <w:szCs w:val="26"/>
        </w:rPr>
        <w:t>e</w:t>
      </w:r>
      <w:r w:rsidRPr="006266E1">
        <w:rPr>
          <w:color w:val="000000" w:themeColor="text1"/>
          <w:sz w:val="26"/>
          <w:szCs w:val="26"/>
        </w:rPr>
        <w:t xml:space="preserve"> </w:t>
      </w:r>
      <w:r w:rsidR="00B910E1" w:rsidRPr="00B910E1">
        <w:rPr>
          <w:color w:val="000000" w:themeColor="text1"/>
          <w:sz w:val="26"/>
          <w:szCs w:val="26"/>
        </w:rPr>
        <w:t xml:space="preserve">local exchange telecommunications services, including stand-alone voice </w:t>
      </w:r>
      <w:r w:rsidRPr="006266E1">
        <w:rPr>
          <w:color w:val="000000" w:themeColor="text1"/>
          <w:sz w:val="26"/>
          <w:szCs w:val="26"/>
        </w:rPr>
        <w:t>on a jurisdictional basis and operates in portions of Susquehanna County across an area covering approximately 45.5 square miles.  Citizens NY’s Pennsylvania service territory includes predominately rural areas with approximately 712 access lines in two exchanges.</w:t>
      </w:r>
    </w:p>
    <w:p w14:paraId="3E0B8B2D" w14:textId="7F3F471E" w:rsidR="006266E1" w:rsidRDefault="006266E1" w:rsidP="00AF45F1">
      <w:pPr>
        <w:rPr>
          <w:color w:val="000000" w:themeColor="text1"/>
          <w:sz w:val="26"/>
          <w:szCs w:val="26"/>
        </w:rPr>
      </w:pPr>
    </w:p>
    <w:p w14:paraId="0FF58A36" w14:textId="6C01F9BF" w:rsidR="006266E1" w:rsidRPr="006266E1" w:rsidRDefault="006266E1" w:rsidP="00236D2D">
      <w:pPr>
        <w:ind w:firstLine="720"/>
        <w:rPr>
          <w:color w:val="000000" w:themeColor="text1"/>
          <w:sz w:val="26"/>
          <w:szCs w:val="26"/>
        </w:rPr>
      </w:pPr>
      <w:r w:rsidRPr="006266E1">
        <w:rPr>
          <w:color w:val="000000" w:themeColor="text1"/>
          <w:sz w:val="26"/>
          <w:szCs w:val="26"/>
        </w:rPr>
        <w:t>CTSI (Utility Code: 311095) is a Pennsylvania corporation with its principal offices based in Dallas, Pennsylvania.  It is a facilities</w:t>
      </w:r>
      <w:r w:rsidRPr="006266E1">
        <w:rPr>
          <w:color w:val="000000" w:themeColor="text1"/>
          <w:sz w:val="26"/>
          <w:szCs w:val="26"/>
        </w:rPr>
        <w:noBreakHyphen/>
        <w:t xml:space="preserve">based CLEC </w:t>
      </w:r>
      <w:r w:rsidR="00074446">
        <w:rPr>
          <w:color w:val="000000" w:themeColor="text1"/>
          <w:sz w:val="26"/>
          <w:szCs w:val="26"/>
        </w:rPr>
        <w:t xml:space="preserve">authorized to </w:t>
      </w:r>
      <w:r w:rsidRPr="006266E1">
        <w:rPr>
          <w:color w:val="000000" w:themeColor="text1"/>
          <w:sz w:val="26"/>
          <w:szCs w:val="26"/>
        </w:rPr>
        <w:t>offer</w:t>
      </w:r>
      <w:r w:rsidR="00074446">
        <w:rPr>
          <w:color w:val="000000" w:themeColor="text1"/>
          <w:sz w:val="26"/>
          <w:szCs w:val="26"/>
        </w:rPr>
        <w:t xml:space="preserve"> </w:t>
      </w:r>
      <w:r w:rsidRPr="006266E1">
        <w:rPr>
          <w:color w:val="000000" w:themeColor="text1"/>
          <w:sz w:val="26"/>
          <w:szCs w:val="26"/>
        </w:rPr>
        <w:t>bundled local, long distance telephone, vertical services, DSL, and Internet access in the service territories of Verizon Pennsylvania, LLC, Verizon North, LLC, and The United Telephone Company d/b/a CenturyLink, and an interexchange carrier</w:t>
      </w:r>
      <w:r w:rsidR="00074446">
        <w:rPr>
          <w:color w:val="000000" w:themeColor="text1"/>
          <w:sz w:val="26"/>
          <w:szCs w:val="26"/>
        </w:rPr>
        <w:t xml:space="preserve"> reseller</w:t>
      </w:r>
      <w:r w:rsidRPr="006266E1">
        <w:rPr>
          <w:color w:val="000000" w:themeColor="text1"/>
          <w:sz w:val="26"/>
          <w:szCs w:val="26"/>
        </w:rPr>
        <w:t xml:space="preserve"> (“IXC</w:t>
      </w:r>
      <w:r w:rsidR="00074446">
        <w:rPr>
          <w:color w:val="000000" w:themeColor="text1"/>
          <w:sz w:val="26"/>
          <w:szCs w:val="26"/>
        </w:rPr>
        <w:t>-R</w:t>
      </w:r>
      <w:r w:rsidRPr="006266E1">
        <w:rPr>
          <w:color w:val="000000" w:themeColor="text1"/>
          <w:sz w:val="26"/>
          <w:szCs w:val="26"/>
        </w:rPr>
        <w:t>”) in Pennsylvania at A-311095. CTSI provides competitive local exchange service to approximately 7,245 residential and commercial customers with 42,628 access lines in 18 Pennsylvania counties.</w:t>
      </w:r>
    </w:p>
    <w:p w14:paraId="14C41305" w14:textId="77777777" w:rsidR="00236D2D" w:rsidRDefault="00236D2D" w:rsidP="006266E1">
      <w:pPr>
        <w:rPr>
          <w:b/>
          <w:color w:val="000000" w:themeColor="text1"/>
          <w:sz w:val="26"/>
          <w:szCs w:val="26"/>
        </w:rPr>
      </w:pPr>
    </w:p>
    <w:p w14:paraId="4AA277F4" w14:textId="3A967DF7" w:rsidR="006266E1" w:rsidRPr="006266E1" w:rsidRDefault="006266E1" w:rsidP="00236D2D">
      <w:pPr>
        <w:ind w:firstLine="720"/>
        <w:rPr>
          <w:color w:val="000000" w:themeColor="text1"/>
          <w:sz w:val="26"/>
          <w:szCs w:val="26"/>
        </w:rPr>
      </w:pPr>
      <w:r w:rsidRPr="006266E1">
        <w:rPr>
          <w:color w:val="000000" w:themeColor="text1"/>
          <w:sz w:val="26"/>
          <w:szCs w:val="26"/>
        </w:rPr>
        <w:t>CTE Telecom (Utility Code: 311225) is a Pennsylvania corporation with its principal offices based in Dallas, Pennsylvania.  It is a</w:t>
      </w:r>
      <w:r w:rsidR="00005915">
        <w:rPr>
          <w:color w:val="000000" w:themeColor="text1"/>
          <w:sz w:val="26"/>
          <w:szCs w:val="26"/>
        </w:rPr>
        <w:t xml:space="preserve">n </w:t>
      </w:r>
      <w:r w:rsidRPr="006266E1">
        <w:rPr>
          <w:color w:val="000000" w:themeColor="text1"/>
          <w:sz w:val="26"/>
          <w:szCs w:val="26"/>
        </w:rPr>
        <w:t>IXC</w:t>
      </w:r>
      <w:r w:rsidR="0036191C">
        <w:rPr>
          <w:color w:val="000000" w:themeColor="text1"/>
          <w:sz w:val="26"/>
          <w:szCs w:val="26"/>
        </w:rPr>
        <w:t>-R</w:t>
      </w:r>
      <w:r w:rsidRPr="006266E1">
        <w:rPr>
          <w:color w:val="000000" w:themeColor="text1"/>
          <w:sz w:val="26"/>
          <w:szCs w:val="26"/>
        </w:rPr>
        <w:t xml:space="preserve"> licensed to provide resold intrastate long distance service in Pennsylvania pursuant to a </w:t>
      </w:r>
      <w:r w:rsidR="009D0771">
        <w:rPr>
          <w:color w:val="000000" w:themeColor="text1"/>
          <w:sz w:val="26"/>
          <w:szCs w:val="26"/>
        </w:rPr>
        <w:t>CPC</w:t>
      </w:r>
      <w:r w:rsidRPr="006266E1">
        <w:rPr>
          <w:color w:val="000000" w:themeColor="text1"/>
          <w:sz w:val="26"/>
          <w:szCs w:val="26"/>
        </w:rPr>
        <w:t xml:space="preserve"> issued by the Commission at A-311225. </w:t>
      </w:r>
    </w:p>
    <w:p w14:paraId="55E0A81A" w14:textId="411A7006" w:rsidR="006266E1" w:rsidRPr="006266E1" w:rsidRDefault="006266E1" w:rsidP="006266E1">
      <w:pPr>
        <w:rPr>
          <w:b/>
          <w:color w:val="000000" w:themeColor="text1"/>
          <w:sz w:val="26"/>
          <w:szCs w:val="26"/>
        </w:rPr>
      </w:pPr>
    </w:p>
    <w:p w14:paraId="335332B8" w14:textId="3A6B3F4D" w:rsidR="00440B7F" w:rsidRDefault="006266E1" w:rsidP="00236D2D">
      <w:pPr>
        <w:ind w:firstLine="720"/>
        <w:rPr>
          <w:color w:val="000000" w:themeColor="text1"/>
          <w:sz w:val="26"/>
          <w:szCs w:val="26"/>
        </w:rPr>
      </w:pPr>
      <w:r w:rsidRPr="006266E1">
        <w:rPr>
          <w:color w:val="000000" w:themeColor="text1"/>
          <w:sz w:val="26"/>
          <w:szCs w:val="26"/>
        </w:rPr>
        <w:t>Frontier America (Utility Code: 310376) is a Delaware corporation with its principal offices based in Norwalk, Connecticut.  It is a</w:t>
      </w:r>
      <w:r w:rsidR="00005915">
        <w:rPr>
          <w:color w:val="000000" w:themeColor="text1"/>
          <w:sz w:val="26"/>
          <w:szCs w:val="26"/>
        </w:rPr>
        <w:t>n</w:t>
      </w:r>
      <w:r w:rsidR="00074446">
        <w:rPr>
          <w:color w:val="000000" w:themeColor="text1"/>
          <w:sz w:val="26"/>
          <w:szCs w:val="26"/>
        </w:rPr>
        <w:t xml:space="preserve"> </w:t>
      </w:r>
      <w:r w:rsidRPr="006266E1">
        <w:rPr>
          <w:color w:val="000000" w:themeColor="text1"/>
          <w:sz w:val="26"/>
          <w:szCs w:val="26"/>
        </w:rPr>
        <w:t>IXC</w:t>
      </w:r>
      <w:r w:rsidR="00005915">
        <w:rPr>
          <w:color w:val="000000" w:themeColor="text1"/>
          <w:sz w:val="26"/>
          <w:szCs w:val="26"/>
        </w:rPr>
        <w:t>-R</w:t>
      </w:r>
      <w:r w:rsidRPr="006266E1">
        <w:rPr>
          <w:color w:val="000000" w:themeColor="text1"/>
          <w:sz w:val="26"/>
          <w:szCs w:val="26"/>
        </w:rPr>
        <w:t xml:space="preserve"> licensed to provide intrastate long distance service and interstate long distance service on a resale basis in Pennsylvania pursuant to a </w:t>
      </w:r>
      <w:r w:rsidR="009D0771">
        <w:rPr>
          <w:color w:val="000000" w:themeColor="text1"/>
          <w:sz w:val="26"/>
          <w:szCs w:val="26"/>
        </w:rPr>
        <w:t>CPC</w:t>
      </w:r>
      <w:r w:rsidRPr="006266E1">
        <w:rPr>
          <w:color w:val="000000" w:themeColor="text1"/>
          <w:sz w:val="26"/>
          <w:szCs w:val="26"/>
        </w:rPr>
        <w:t xml:space="preserve"> issued by the Commission at A-310376.</w:t>
      </w:r>
      <w:r w:rsidR="00440B7F">
        <w:rPr>
          <w:color w:val="000000" w:themeColor="text1"/>
          <w:sz w:val="26"/>
          <w:szCs w:val="26"/>
        </w:rPr>
        <w:t xml:space="preserve"> </w:t>
      </w:r>
      <w:r w:rsidR="00A61E6B">
        <w:rPr>
          <w:color w:val="000000" w:themeColor="text1"/>
          <w:sz w:val="26"/>
          <w:szCs w:val="26"/>
        </w:rPr>
        <w:t xml:space="preserve"> Frontier America operates in and around areas served by Frontier’s RLEC’s.</w:t>
      </w:r>
    </w:p>
    <w:p w14:paraId="33C70654" w14:textId="754A94D6" w:rsidR="00F43766" w:rsidRDefault="00F43766" w:rsidP="00AF45F1">
      <w:pPr>
        <w:rPr>
          <w:color w:val="000000" w:themeColor="text1"/>
          <w:sz w:val="26"/>
          <w:szCs w:val="26"/>
        </w:rPr>
      </w:pPr>
    </w:p>
    <w:p w14:paraId="48644C32" w14:textId="2A9C43DB" w:rsidR="00386D0B" w:rsidRDefault="0044765E" w:rsidP="00386D0B">
      <w:pPr>
        <w:rPr>
          <w:color w:val="000000" w:themeColor="text1"/>
          <w:sz w:val="26"/>
          <w:szCs w:val="26"/>
        </w:rPr>
      </w:pPr>
      <w:r>
        <w:rPr>
          <w:color w:val="000000" w:themeColor="text1"/>
          <w:sz w:val="26"/>
          <w:szCs w:val="26"/>
        </w:rPr>
        <w:tab/>
      </w:r>
      <w:bookmarkStart w:id="15" w:name="_cp_text_1_40"/>
      <w:r w:rsidR="00386D0B" w:rsidRPr="00386D0B">
        <w:rPr>
          <w:color w:val="000000" w:themeColor="text1"/>
          <w:sz w:val="26"/>
          <w:szCs w:val="26"/>
        </w:rPr>
        <w:t xml:space="preserve">On April 14, 2020, </w:t>
      </w:r>
      <w:bookmarkStart w:id="16" w:name="_cp_text_4_41"/>
      <w:bookmarkEnd w:id="15"/>
      <w:r w:rsidR="00386D0B" w:rsidRPr="00386D0B">
        <w:rPr>
          <w:color w:val="000000" w:themeColor="text1"/>
          <w:sz w:val="26"/>
          <w:szCs w:val="26"/>
        </w:rPr>
        <w:t>Frontier and its direct and indirect subsidiaries</w:t>
      </w:r>
      <w:r w:rsidR="00A16B99">
        <w:rPr>
          <w:color w:val="000000" w:themeColor="text1"/>
          <w:sz w:val="26"/>
          <w:szCs w:val="26"/>
        </w:rPr>
        <w:t xml:space="preserve"> filed a petition</w:t>
      </w:r>
      <w:r w:rsidR="00386D0B" w:rsidRPr="00386D0B">
        <w:rPr>
          <w:color w:val="000000" w:themeColor="text1"/>
          <w:sz w:val="26"/>
          <w:szCs w:val="26"/>
        </w:rPr>
        <w:t xml:space="preserve"> </w:t>
      </w:r>
      <w:bookmarkStart w:id="17" w:name="_cp_text_1_42"/>
      <w:bookmarkEnd w:id="16"/>
      <w:r w:rsidR="00386D0B" w:rsidRPr="00386D0B">
        <w:rPr>
          <w:color w:val="000000" w:themeColor="text1"/>
          <w:sz w:val="26"/>
          <w:szCs w:val="26"/>
        </w:rPr>
        <w:t>commenc</w:t>
      </w:r>
      <w:r w:rsidR="00A16B99">
        <w:rPr>
          <w:color w:val="000000" w:themeColor="text1"/>
          <w:sz w:val="26"/>
          <w:szCs w:val="26"/>
        </w:rPr>
        <w:t>ing</w:t>
      </w:r>
      <w:r w:rsidR="00386D0B" w:rsidRPr="00386D0B">
        <w:rPr>
          <w:color w:val="000000" w:themeColor="text1"/>
          <w:sz w:val="26"/>
          <w:szCs w:val="26"/>
        </w:rPr>
        <w:t xml:space="preserve"> a Chapter 11 </w:t>
      </w:r>
      <w:r w:rsidR="00074446">
        <w:rPr>
          <w:color w:val="000000" w:themeColor="text1"/>
          <w:sz w:val="26"/>
          <w:szCs w:val="26"/>
        </w:rPr>
        <w:t xml:space="preserve">bankruptcy </w:t>
      </w:r>
      <w:r w:rsidR="00386D0B" w:rsidRPr="00386D0B">
        <w:rPr>
          <w:color w:val="000000" w:themeColor="text1"/>
          <w:sz w:val="26"/>
          <w:szCs w:val="26"/>
        </w:rPr>
        <w:t>proceeding after entering into a Restructuring Support Agreement (</w:t>
      </w:r>
      <w:r w:rsidR="00386D0B" w:rsidRPr="0077052B">
        <w:rPr>
          <w:color w:val="000000" w:themeColor="text1"/>
          <w:sz w:val="26"/>
          <w:szCs w:val="26"/>
        </w:rPr>
        <w:t>RSA</w:t>
      </w:r>
      <w:r w:rsidR="00386D0B" w:rsidRPr="00386D0B">
        <w:rPr>
          <w:color w:val="000000" w:themeColor="text1"/>
          <w:sz w:val="26"/>
          <w:szCs w:val="26"/>
        </w:rPr>
        <w:t>)</w:t>
      </w:r>
      <w:bookmarkStart w:id="18" w:name="_cp_text_28_43"/>
      <w:bookmarkEnd w:id="17"/>
      <w:r w:rsidR="00386D0B" w:rsidRPr="00386D0B">
        <w:rPr>
          <w:color w:val="000000" w:themeColor="text1"/>
          <w:sz w:val="26"/>
          <w:szCs w:val="26"/>
          <w:vertAlign w:val="superscript"/>
        </w:rPr>
        <w:footnoteReference w:id="7"/>
      </w:r>
      <w:r w:rsidR="00386D0B" w:rsidRPr="00386D0B">
        <w:rPr>
          <w:color w:val="000000" w:themeColor="text1"/>
          <w:sz w:val="26"/>
          <w:szCs w:val="26"/>
        </w:rPr>
        <w:t xml:space="preserve"> </w:t>
      </w:r>
      <w:bookmarkStart w:id="20" w:name="_cp_text_1_45"/>
      <w:bookmarkEnd w:id="18"/>
      <w:r w:rsidR="00386D0B" w:rsidRPr="00386D0B">
        <w:rPr>
          <w:color w:val="000000" w:themeColor="text1"/>
          <w:sz w:val="26"/>
          <w:szCs w:val="26"/>
        </w:rPr>
        <w:t>with its senior unsecured noteholders holding more than seventy-five percent of its unsecured bonds (such creditors, the “</w:t>
      </w:r>
      <w:r w:rsidR="00386D0B" w:rsidRPr="0077052B">
        <w:rPr>
          <w:color w:val="000000" w:themeColor="text1"/>
          <w:sz w:val="26"/>
          <w:szCs w:val="26"/>
        </w:rPr>
        <w:t xml:space="preserve">Consenting </w:t>
      </w:r>
      <w:r w:rsidR="00386D0B" w:rsidRPr="0077052B">
        <w:rPr>
          <w:color w:val="000000" w:themeColor="text1"/>
          <w:sz w:val="26"/>
          <w:szCs w:val="26"/>
        </w:rPr>
        <w:lastRenderedPageBreak/>
        <w:t>Noteholders</w:t>
      </w:r>
      <w:r w:rsidR="00386D0B" w:rsidRPr="00386D0B">
        <w:rPr>
          <w:color w:val="000000" w:themeColor="text1"/>
          <w:sz w:val="26"/>
          <w:szCs w:val="26"/>
        </w:rPr>
        <w:t>”).</w:t>
      </w:r>
      <w:bookmarkStart w:id="21" w:name="_cp_text_28_46"/>
      <w:bookmarkEnd w:id="20"/>
      <w:r w:rsidR="00386D0B" w:rsidRPr="00386D0B">
        <w:rPr>
          <w:color w:val="000000" w:themeColor="text1"/>
          <w:sz w:val="26"/>
          <w:szCs w:val="26"/>
          <w:vertAlign w:val="superscript"/>
        </w:rPr>
        <w:footnoteReference w:id="8"/>
      </w:r>
      <w:r w:rsidR="00386D0B" w:rsidRPr="00386D0B">
        <w:rPr>
          <w:color w:val="000000" w:themeColor="text1"/>
          <w:sz w:val="26"/>
          <w:szCs w:val="26"/>
        </w:rPr>
        <w:t xml:space="preserve">  </w:t>
      </w:r>
      <w:bookmarkStart w:id="25" w:name="_cp_text_1_53"/>
      <w:bookmarkEnd w:id="21"/>
      <w:r w:rsidR="00386D0B" w:rsidRPr="00386D0B">
        <w:rPr>
          <w:color w:val="000000" w:themeColor="text1"/>
          <w:sz w:val="26"/>
          <w:szCs w:val="26"/>
        </w:rPr>
        <w:t>Since the</w:t>
      </w:r>
      <w:r w:rsidR="007D19AA">
        <w:rPr>
          <w:color w:val="000000" w:themeColor="text1"/>
          <w:sz w:val="26"/>
          <w:szCs w:val="26"/>
        </w:rPr>
        <w:t xml:space="preserve"> date of its</w:t>
      </w:r>
      <w:r w:rsidR="00386D0B" w:rsidRPr="00386D0B">
        <w:rPr>
          <w:color w:val="000000" w:themeColor="text1"/>
          <w:sz w:val="26"/>
          <w:szCs w:val="26"/>
        </w:rPr>
        <w:t xml:space="preserve"> </w:t>
      </w:r>
      <w:r w:rsidR="007D19AA">
        <w:rPr>
          <w:color w:val="000000" w:themeColor="text1"/>
          <w:sz w:val="26"/>
          <w:szCs w:val="26"/>
        </w:rPr>
        <w:t>bankruptcy p</w:t>
      </w:r>
      <w:r w:rsidR="00386D0B" w:rsidRPr="00386D0B">
        <w:rPr>
          <w:color w:val="000000" w:themeColor="text1"/>
          <w:sz w:val="26"/>
          <w:szCs w:val="26"/>
        </w:rPr>
        <w:t xml:space="preserve">etition, Frontier has worked with the Consenting Noteholders to memorialize the terms set forth in the RSA into a Joint Plan of Reorganization </w:t>
      </w:r>
      <w:bookmarkStart w:id="26" w:name="_cp_text_4_54"/>
      <w:bookmarkEnd w:id="25"/>
      <w:r w:rsidR="00386D0B" w:rsidRPr="00386D0B">
        <w:rPr>
          <w:color w:val="000000" w:themeColor="text1"/>
          <w:sz w:val="26"/>
          <w:szCs w:val="26"/>
        </w:rPr>
        <w:t xml:space="preserve">of Frontier Communications </w:t>
      </w:r>
      <w:bookmarkStart w:id="27" w:name="_cp_text_1_55"/>
      <w:bookmarkEnd w:id="26"/>
      <w:r w:rsidR="00386D0B" w:rsidRPr="00386D0B">
        <w:rPr>
          <w:color w:val="000000" w:themeColor="text1"/>
          <w:sz w:val="26"/>
          <w:szCs w:val="26"/>
        </w:rPr>
        <w:t>Corporation and its Debtor Affiliates Pursuant to Chapter 11 of the Bankruptcy Code (the “</w:t>
      </w:r>
      <w:bookmarkStart w:id="28" w:name="_cp_text_4_56"/>
      <w:bookmarkEnd w:id="27"/>
      <w:r w:rsidR="00386D0B" w:rsidRPr="00457FB4">
        <w:rPr>
          <w:color w:val="000000" w:themeColor="text1"/>
          <w:sz w:val="26"/>
          <w:szCs w:val="26"/>
        </w:rPr>
        <w:t>Plan</w:t>
      </w:r>
      <w:r w:rsidR="00386D0B" w:rsidRPr="00386D0B">
        <w:rPr>
          <w:color w:val="000000" w:themeColor="text1"/>
          <w:sz w:val="26"/>
          <w:szCs w:val="26"/>
        </w:rPr>
        <w:t>,” and the transactions contemplated thereunder, the</w:t>
      </w:r>
      <w:r w:rsidR="007D19AA">
        <w:rPr>
          <w:color w:val="000000" w:themeColor="text1"/>
          <w:sz w:val="26"/>
          <w:szCs w:val="26"/>
        </w:rPr>
        <w:t xml:space="preserve"> </w:t>
      </w:r>
      <w:r w:rsidR="00386D0B" w:rsidRPr="00386D0B">
        <w:rPr>
          <w:color w:val="000000" w:themeColor="text1"/>
          <w:sz w:val="26"/>
          <w:szCs w:val="26"/>
        </w:rPr>
        <w:t>“</w:t>
      </w:r>
      <w:r w:rsidR="00386D0B" w:rsidRPr="00457FB4">
        <w:rPr>
          <w:color w:val="000000" w:themeColor="text1"/>
          <w:sz w:val="26"/>
          <w:szCs w:val="26"/>
        </w:rPr>
        <w:t>Restructuring</w:t>
      </w:r>
      <w:bookmarkStart w:id="29" w:name="_cp_text_1_57"/>
      <w:bookmarkEnd w:id="28"/>
      <w:r w:rsidR="00386D0B" w:rsidRPr="00386D0B">
        <w:rPr>
          <w:color w:val="000000" w:themeColor="text1"/>
          <w:sz w:val="26"/>
          <w:szCs w:val="26"/>
        </w:rPr>
        <w:t xml:space="preserve">”).  </w:t>
      </w:r>
      <w:bookmarkStart w:id="30" w:name="_cp_text_1_58"/>
      <w:bookmarkEnd w:id="29"/>
      <w:r w:rsidR="00386D0B" w:rsidRPr="00386D0B">
        <w:rPr>
          <w:color w:val="000000" w:themeColor="text1"/>
          <w:sz w:val="26"/>
          <w:szCs w:val="26"/>
        </w:rPr>
        <w:t>The Plan</w:t>
      </w:r>
      <w:bookmarkStart w:id="31" w:name="_cp_text_1_60"/>
      <w:bookmarkEnd w:id="30"/>
      <w:r w:rsidR="0077052B">
        <w:rPr>
          <w:color w:val="000000" w:themeColor="text1"/>
          <w:sz w:val="26"/>
          <w:szCs w:val="26"/>
        </w:rPr>
        <w:t xml:space="preserve"> </w:t>
      </w:r>
      <w:r w:rsidR="00386D0B" w:rsidRPr="00386D0B">
        <w:rPr>
          <w:color w:val="000000" w:themeColor="text1"/>
          <w:sz w:val="26"/>
          <w:szCs w:val="26"/>
        </w:rPr>
        <w:t xml:space="preserve">was </w:t>
      </w:r>
      <w:bookmarkStart w:id="32" w:name="_cp_text_4_61"/>
      <w:bookmarkEnd w:id="31"/>
      <w:r w:rsidR="00386D0B" w:rsidRPr="00386D0B">
        <w:rPr>
          <w:color w:val="000000" w:themeColor="text1"/>
          <w:sz w:val="26"/>
          <w:szCs w:val="26"/>
        </w:rPr>
        <w:t xml:space="preserve">filed on </w:t>
      </w:r>
      <w:bookmarkEnd w:id="32"/>
      <w:r w:rsidR="00C224CB" w:rsidRPr="00386D0B">
        <w:rPr>
          <w:color w:val="000000" w:themeColor="text1"/>
          <w:sz w:val="26"/>
          <w:szCs w:val="26"/>
        </w:rPr>
        <w:t>May 15, 2020 and</w:t>
      </w:r>
      <w:r w:rsidR="00386D0B" w:rsidRPr="00386D0B">
        <w:rPr>
          <w:color w:val="000000" w:themeColor="text1"/>
          <w:sz w:val="26"/>
          <w:szCs w:val="26"/>
        </w:rPr>
        <w:t xml:space="preserve"> </w:t>
      </w:r>
      <w:r w:rsidR="007C3384">
        <w:rPr>
          <w:color w:val="000000" w:themeColor="text1"/>
          <w:sz w:val="26"/>
          <w:szCs w:val="26"/>
        </w:rPr>
        <w:t>received</w:t>
      </w:r>
      <w:r w:rsidR="00386D0B" w:rsidRPr="00386D0B">
        <w:rPr>
          <w:color w:val="000000" w:themeColor="text1"/>
          <w:sz w:val="26"/>
          <w:szCs w:val="26"/>
        </w:rPr>
        <w:t xml:space="preserve"> </w:t>
      </w:r>
      <w:r w:rsidR="007C3384">
        <w:rPr>
          <w:color w:val="000000" w:themeColor="text1"/>
          <w:sz w:val="26"/>
          <w:szCs w:val="26"/>
        </w:rPr>
        <w:t>approval</w:t>
      </w:r>
      <w:r w:rsidR="00386D0B" w:rsidRPr="00386D0B">
        <w:rPr>
          <w:color w:val="000000" w:themeColor="text1"/>
          <w:sz w:val="26"/>
          <w:szCs w:val="26"/>
        </w:rPr>
        <w:t xml:space="preserve"> by the Bankruptcy Court </w:t>
      </w:r>
      <w:r w:rsidR="007C3384" w:rsidRPr="007C3384">
        <w:rPr>
          <w:color w:val="000000" w:themeColor="text1"/>
          <w:sz w:val="26"/>
          <w:szCs w:val="26"/>
        </w:rPr>
        <w:t>on</w:t>
      </w:r>
      <w:r w:rsidR="00386D0B" w:rsidRPr="007C3384">
        <w:rPr>
          <w:color w:val="000000" w:themeColor="text1"/>
          <w:sz w:val="26"/>
          <w:szCs w:val="26"/>
        </w:rPr>
        <w:t xml:space="preserve"> August </w:t>
      </w:r>
      <w:r w:rsidR="007C3384" w:rsidRPr="007C3384">
        <w:rPr>
          <w:color w:val="000000" w:themeColor="text1"/>
          <w:sz w:val="26"/>
          <w:szCs w:val="26"/>
        </w:rPr>
        <w:t xml:space="preserve">21, </w:t>
      </w:r>
      <w:r w:rsidR="00386D0B" w:rsidRPr="007C3384">
        <w:rPr>
          <w:color w:val="000000" w:themeColor="text1"/>
          <w:sz w:val="26"/>
          <w:szCs w:val="26"/>
        </w:rPr>
        <w:t xml:space="preserve">2020.  Frontier is prepared to emerge from bankruptcy as soon as it has secured the necessary regulatory </w:t>
      </w:r>
      <w:r w:rsidR="00C224CB" w:rsidRPr="007C3384">
        <w:rPr>
          <w:color w:val="000000" w:themeColor="text1"/>
          <w:sz w:val="26"/>
          <w:szCs w:val="26"/>
        </w:rPr>
        <w:t>approvals</w:t>
      </w:r>
      <w:r w:rsidR="00386D0B" w:rsidRPr="00386D0B">
        <w:rPr>
          <w:color w:val="000000" w:themeColor="text1"/>
          <w:sz w:val="26"/>
          <w:szCs w:val="26"/>
        </w:rPr>
        <w:t>.</w:t>
      </w:r>
      <w:r w:rsidR="003E01A3">
        <w:rPr>
          <w:rStyle w:val="FootnoteReference"/>
          <w:color w:val="000000" w:themeColor="text1"/>
          <w:sz w:val="26"/>
          <w:szCs w:val="26"/>
        </w:rPr>
        <w:footnoteReference w:id="9"/>
      </w:r>
      <w:r w:rsidR="00386D0B" w:rsidRPr="00386D0B">
        <w:rPr>
          <w:color w:val="000000" w:themeColor="text1"/>
          <w:sz w:val="26"/>
          <w:szCs w:val="26"/>
        </w:rPr>
        <w:t xml:space="preserve">  </w:t>
      </w:r>
    </w:p>
    <w:p w14:paraId="21990C4F" w14:textId="77777777" w:rsidR="0077052B" w:rsidRPr="00386D0B" w:rsidRDefault="0077052B" w:rsidP="00386D0B">
      <w:pPr>
        <w:rPr>
          <w:color w:val="000000" w:themeColor="text1"/>
          <w:sz w:val="26"/>
          <w:szCs w:val="26"/>
        </w:rPr>
      </w:pPr>
    </w:p>
    <w:p w14:paraId="499F0E85" w14:textId="55E08BB8" w:rsidR="00386D0B" w:rsidRDefault="00DD2096" w:rsidP="00386D0B">
      <w:pPr>
        <w:rPr>
          <w:szCs w:val="24"/>
        </w:rPr>
      </w:pPr>
      <w:r>
        <w:rPr>
          <w:color w:val="000000" w:themeColor="text1"/>
          <w:sz w:val="26"/>
          <w:szCs w:val="26"/>
        </w:rPr>
        <w:tab/>
      </w:r>
      <w:r w:rsidR="00386D0B" w:rsidRPr="00386D0B">
        <w:rPr>
          <w:color w:val="000000" w:themeColor="text1"/>
          <w:sz w:val="26"/>
          <w:szCs w:val="26"/>
        </w:rPr>
        <w:t>The Plan implements the terms of the RSA and provides for a comprehensive restructuring of Frontier’s obligations.  Pursuant to the RSA and the Plan, Frontier will be dissolved and replaced by a new parent company (</w:t>
      </w:r>
      <w:r w:rsidR="00386D0B" w:rsidRPr="0077052B">
        <w:rPr>
          <w:color w:val="000000" w:themeColor="text1"/>
          <w:sz w:val="26"/>
          <w:szCs w:val="26"/>
        </w:rPr>
        <w:t>New Frontier Communications Parent</w:t>
      </w:r>
      <w:r w:rsidR="00386D0B" w:rsidRPr="00386D0B">
        <w:rPr>
          <w:color w:val="000000" w:themeColor="text1"/>
          <w:sz w:val="26"/>
          <w:szCs w:val="26"/>
        </w:rPr>
        <w:t xml:space="preserve">).  Upon emergence from </w:t>
      </w:r>
      <w:bookmarkStart w:id="33" w:name="_cp_text_1_67"/>
      <w:r w:rsidR="00074446">
        <w:rPr>
          <w:color w:val="000000" w:themeColor="text1"/>
          <w:sz w:val="26"/>
          <w:szCs w:val="26"/>
        </w:rPr>
        <w:t xml:space="preserve">the </w:t>
      </w:r>
      <w:r w:rsidR="00386D0B" w:rsidRPr="00386D0B">
        <w:rPr>
          <w:color w:val="000000" w:themeColor="text1"/>
          <w:sz w:val="26"/>
          <w:szCs w:val="26"/>
        </w:rPr>
        <w:t xml:space="preserve">Chapter </w:t>
      </w:r>
      <w:bookmarkEnd w:id="33"/>
      <w:r w:rsidR="00386D0B" w:rsidRPr="00386D0B">
        <w:rPr>
          <w:color w:val="000000" w:themeColor="text1"/>
          <w:sz w:val="26"/>
          <w:szCs w:val="26"/>
        </w:rPr>
        <w:t>11</w:t>
      </w:r>
      <w:r w:rsidR="00074446">
        <w:rPr>
          <w:color w:val="000000" w:themeColor="text1"/>
          <w:sz w:val="26"/>
          <w:szCs w:val="26"/>
        </w:rPr>
        <w:t xml:space="preserve"> bankruptcy</w:t>
      </w:r>
      <w:r w:rsidR="00386D0B" w:rsidRPr="00386D0B">
        <w:rPr>
          <w:color w:val="000000" w:themeColor="text1"/>
          <w:sz w:val="26"/>
          <w:szCs w:val="26"/>
        </w:rPr>
        <w:t>, the Senior Noteholders</w:t>
      </w:r>
      <w:r w:rsidR="00386D0B" w:rsidRPr="00386D0B">
        <w:rPr>
          <w:color w:val="000000" w:themeColor="text1"/>
          <w:sz w:val="26"/>
          <w:szCs w:val="26"/>
          <w:vertAlign w:val="superscript"/>
        </w:rPr>
        <w:footnoteReference w:id="10"/>
      </w:r>
      <w:r w:rsidR="00386D0B" w:rsidRPr="00386D0B">
        <w:rPr>
          <w:color w:val="000000" w:themeColor="text1"/>
          <w:sz w:val="26"/>
          <w:szCs w:val="26"/>
        </w:rPr>
        <w:t xml:space="preserve"> will hold the new common stock of New Frontier Communications Parent, though no single noteholder is anticipated to hold a 10% or greater interest in it.  Accordingly, as is the case today, the ownership of New Frontier Communications Parent will be widely dispersed.</w:t>
      </w:r>
      <w:r w:rsidR="007B2BC7">
        <w:rPr>
          <w:rStyle w:val="FootnoteReference"/>
          <w:color w:val="000000" w:themeColor="text1"/>
          <w:sz w:val="26"/>
          <w:szCs w:val="26"/>
        </w:rPr>
        <w:footnoteReference w:id="11"/>
      </w:r>
      <w:r w:rsidR="00386D0B" w:rsidRPr="00386D0B">
        <w:rPr>
          <w:szCs w:val="24"/>
        </w:rPr>
        <w:t xml:space="preserve"> </w:t>
      </w:r>
    </w:p>
    <w:p w14:paraId="00BB3805" w14:textId="77777777" w:rsidR="00386D0B" w:rsidRDefault="00386D0B" w:rsidP="00386D0B">
      <w:pPr>
        <w:rPr>
          <w:szCs w:val="24"/>
        </w:rPr>
      </w:pPr>
    </w:p>
    <w:p w14:paraId="4E15F2C0" w14:textId="47E40000" w:rsidR="00A32BBE" w:rsidRDefault="00386D0B" w:rsidP="0077052B">
      <w:pPr>
        <w:ind w:firstLine="720"/>
        <w:rPr>
          <w:color w:val="000000" w:themeColor="text1"/>
          <w:sz w:val="26"/>
          <w:szCs w:val="26"/>
        </w:rPr>
      </w:pPr>
      <w:r w:rsidRPr="00386D0B">
        <w:rPr>
          <w:color w:val="000000" w:themeColor="text1"/>
          <w:sz w:val="26"/>
          <w:szCs w:val="26"/>
        </w:rPr>
        <w:t xml:space="preserve">The proposed </w:t>
      </w:r>
      <w:bookmarkStart w:id="34" w:name="_cp_text_1_81"/>
      <w:r w:rsidRPr="00386D0B">
        <w:rPr>
          <w:color w:val="000000" w:themeColor="text1"/>
          <w:sz w:val="26"/>
          <w:szCs w:val="26"/>
        </w:rPr>
        <w:t xml:space="preserve">Restructuring </w:t>
      </w:r>
      <w:bookmarkEnd w:id="34"/>
      <w:r w:rsidRPr="00386D0B">
        <w:rPr>
          <w:color w:val="000000" w:themeColor="text1"/>
          <w:sz w:val="26"/>
          <w:szCs w:val="26"/>
        </w:rPr>
        <w:t xml:space="preserve">will reduce Frontier’s funded debt obligations by over $10 billion (from </w:t>
      </w:r>
      <w:bookmarkStart w:id="35" w:name="_cp_text_1_82"/>
      <w:r w:rsidRPr="00386D0B">
        <w:rPr>
          <w:color w:val="000000" w:themeColor="text1"/>
          <w:sz w:val="26"/>
          <w:szCs w:val="26"/>
        </w:rPr>
        <w:t xml:space="preserve">approximately </w:t>
      </w:r>
      <w:bookmarkEnd w:id="35"/>
      <w:r w:rsidRPr="00386D0B">
        <w:rPr>
          <w:color w:val="000000" w:themeColor="text1"/>
          <w:sz w:val="26"/>
          <w:szCs w:val="26"/>
        </w:rPr>
        <w:t xml:space="preserve">$17.5 billion to approximately $6.5 billion) and reduce its annual interest expense by approximately $1 billion.  </w:t>
      </w:r>
      <w:r w:rsidR="003F6D99">
        <w:rPr>
          <w:color w:val="000000" w:themeColor="text1"/>
          <w:sz w:val="26"/>
          <w:szCs w:val="26"/>
        </w:rPr>
        <w:t>The Joint Applicants aver that this</w:t>
      </w:r>
      <w:r w:rsidRPr="00386D0B">
        <w:rPr>
          <w:color w:val="000000" w:themeColor="text1"/>
          <w:sz w:val="26"/>
          <w:szCs w:val="26"/>
        </w:rPr>
        <w:t xml:space="preserve"> will substantially deleverage Frontier’s balance sheet, secure the going-concern value of Frontier’s business, preserve thousands of jobs, and position Frontier to emerge from the bankruptcy reorganization process as a stronger, more financially sound enterprise.</w:t>
      </w:r>
      <w:r w:rsidR="007B2BC7">
        <w:rPr>
          <w:rStyle w:val="FootnoteReference"/>
          <w:color w:val="000000" w:themeColor="text1"/>
          <w:sz w:val="26"/>
          <w:szCs w:val="26"/>
        </w:rPr>
        <w:footnoteReference w:id="12"/>
      </w:r>
      <w:r w:rsidRPr="00386D0B">
        <w:rPr>
          <w:color w:val="000000" w:themeColor="text1"/>
          <w:sz w:val="26"/>
          <w:szCs w:val="26"/>
        </w:rPr>
        <w:t xml:space="preserve">  </w:t>
      </w:r>
    </w:p>
    <w:p w14:paraId="35D88D83" w14:textId="77777777" w:rsidR="00A32BBE" w:rsidRDefault="00A32BBE" w:rsidP="0077052B">
      <w:pPr>
        <w:ind w:firstLine="720"/>
        <w:rPr>
          <w:color w:val="000000" w:themeColor="text1"/>
          <w:sz w:val="26"/>
          <w:szCs w:val="26"/>
        </w:rPr>
      </w:pPr>
    </w:p>
    <w:p w14:paraId="50239802" w14:textId="10E0D8DE" w:rsidR="00386D0B" w:rsidRPr="00386D0B" w:rsidRDefault="00A32BBE" w:rsidP="0077052B">
      <w:pPr>
        <w:ind w:firstLine="720"/>
        <w:rPr>
          <w:color w:val="000000" w:themeColor="text1"/>
          <w:sz w:val="26"/>
          <w:szCs w:val="26"/>
        </w:rPr>
      </w:pPr>
      <w:r w:rsidRPr="00A32BBE">
        <w:rPr>
          <w:color w:val="000000" w:themeColor="text1"/>
          <w:sz w:val="26"/>
          <w:szCs w:val="26"/>
        </w:rPr>
        <w:t>It is</w:t>
      </w:r>
      <w:r>
        <w:rPr>
          <w:color w:val="000000" w:themeColor="text1"/>
          <w:sz w:val="26"/>
          <w:szCs w:val="26"/>
        </w:rPr>
        <w:t xml:space="preserve"> also</w:t>
      </w:r>
      <w:r w:rsidRPr="00A32BBE">
        <w:rPr>
          <w:color w:val="000000" w:themeColor="text1"/>
          <w:sz w:val="26"/>
          <w:szCs w:val="26"/>
        </w:rPr>
        <w:t xml:space="preserve"> intended that the new common stock of New Frontier Communications Parent will be publicly traded and listed on a recognized U.S. stock exchange as promptly as reasonably practicable after the Company’s emergence from Chapter 11</w:t>
      </w:r>
      <w:r w:rsidR="002049DD">
        <w:rPr>
          <w:color w:val="000000" w:themeColor="text1"/>
          <w:sz w:val="26"/>
          <w:szCs w:val="26"/>
        </w:rPr>
        <w:t xml:space="preserve"> </w:t>
      </w:r>
      <w:r w:rsidR="00074446">
        <w:rPr>
          <w:color w:val="000000" w:themeColor="text1"/>
          <w:sz w:val="26"/>
          <w:szCs w:val="26"/>
        </w:rPr>
        <w:t>bankruptcy</w:t>
      </w:r>
      <w:r w:rsidRPr="00A32BBE">
        <w:rPr>
          <w:color w:val="000000" w:themeColor="text1"/>
          <w:sz w:val="26"/>
          <w:szCs w:val="26"/>
        </w:rPr>
        <w:t xml:space="preserve">.  </w:t>
      </w:r>
    </w:p>
    <w:p w14:paraId="775FD4D2" w14:textId="2113F846" w:rsidR="00607ACD" w:rsidRDefault="00607ACD" w:rsidP="00BD7F60">
      <w:pPr>
        <w:rPr>
          <w:color w:val="000000" w:themeColor="text1"/>
          <w:sz w:val="26"/>
          <w:szCs w:val="26"/>
        </w:rPr>
      </w:pPr>
    </w:p>
    <w:p w14:paraId="7097166A" w14:textId="0FED397A" w:rsidR="00721ADF" w:rsidRDefault="000267A0" w:rsidP="00F765DC">
      <w:pPr>
        <w:ind w:firstLine="720"/>
        <w:rPr>
          <w:color w:val="000000" w:themeColor="text1"/>
          <w:sz w:val="26"/>
          <w:szCs w:val="26"/>
        </w:rPr>
      </w:pPr>
      <w:bookmarkStart w:id="36" w:name="_Hlk51162891"/>
      <w:bookmarkEnd w:id="14"/>
      <w:r w:rsidRPr="00F765DC">
        <w:rPr>
          <w:color w:val="000000" w:themeColor="text1"/>
          <w:sz w:val="26"/>
          <w:szCs w:val="26"/>
        </w:rPr>
        <w:t xml:space="preserve">The </w:t>
      </w:r>
      <w:r w:rsidR="00F765DC" w:rsidRPr="00F765DC">
        <w:rPr>
          <w:color w:val="000000" w:themeColor="text1"/>
          <w:sz w:val="26"/>
          <w:szCs w:val="26"/>
        </w:rPr>
        <w:t xml:space="preserve">Joint </w:t>
      </w:r>
      <w:r w:rsidRPr="00F765DC">
        <w:rPr>
          <w:color w:val="000000" w:themeColor="text1"/>
          <w:sz w:val="26"/>
          <w:szCs w:val="26"/>
        </w:rPr>
        <w:t>Applicant</w:t>
      </w:r>
      <w:r w:rsidR="00F765DC" w:rsidRPr="00F765DC">
        <w:rPr>
          <w:color w:val="000000" w:themeColor="text1"/>
          <w:sz w:val="26"/>
          <w:szCs w:val="26"/>
        </w:rPr>
        <w:t>s</w:t>
      </w:r>
      <w:r w:rsidRPr="00F765DC">
        <w:rPr>
          <w:color w:val="000000" w:themeColor="text1"/>
          <w:sz w:val="26"/>
          <w:szCs w:val="26"/>
        </w:rPr>
        <w:t xml:space="preserve"> a</w:t>
      </w:r>
      <w:r w:rsidR="00DB2F16" w:rsidRPr="00F765DC">
        <w:rPr>
          <w:color w:val="000000" w:themeColor="text1"/>
          <w:sz w:val="26"/>
          <w:szCs w:val="26"/>
        </w:rPr>
        <w:t>ssert</w:t>
      </w:r>
      <w:r w:rsidRPr="00F765DC">
        <w:rPr>
          <w:color w:val="000000" w:themeColor="text1"/>
          <w:sz w:val="26"/>
          <w:szCs w:val="26"/>
        </w:rPr>
        <w:t xml:space="preserve"> that the </w:t>
      </w:r>
      <w:r w:rsidR="00FA7E24">
        <w:rPr>
          <w:color w:val="000000" w:themeColor="text1"/>
          <w:sz w:val="26"/>
          <w:szCs w:val="26"/>
        </w:rPr>
        <w:t>t</w:t>
      </w:r>
      <w:r w:rsidR="003F0B3D" w:rsidRPr="00F765DC">
        <w:rPr>
          <w:color w:val="000000" w:themeColor="text1"/>
          <w:sz w:val="26"/>
          <w:szCs w:val="26"/>
        </w:rPr>
        <w:t xml:space="preserve">ransaction </w:t>
      </w:r>
      <w:r w:rsidR="00D1198E" w:rsidRPr="00F765DC">
        <w:rPr>
          <w:color w:val="000000" w:themeColor="text1"/>
          <w:sz w:val="26"/>
          <w:szCs w:val="26"/>
        </w:rPr>
        <w:t xml:space="preserve">is in the public interest because it will </w:t>
      </w:r>
      <w:r w:rsidR="00182777">
        <w:rPr>
          <w:color w:val="000000" w:themeColor="text1"/>
          <w:sz w:val="26"/>
          <w:szCs w:val="26"/>
        </w:rPr>
        <w:t>i</w:t>
      </w:r>
      <w:r w:rsidR="00E4534A">
        <w:rPr>
          <w:color w:val="000000" w:themeColor="text1"/>
          <w:sz w:val="26"/>
          <w:szCs w:val="26"/>
        </w:rPr>
        <w:t xml:space="preserve">mprove the financial condition of </w:t>
      </w:r>
      <w:r w:rsidR="009B3994">
        <w:rPr>
          <w:color w:val="000000" w:themeColor="text1"/>
          <w:sz w:val="26"/>
          <w:szCs w:val="26"/>
        </w:rPr>
        <w:t>Frontier</w:t>
      </w:r>
      <w:r w:rsidR="00A32BBE">
        <w:rPr>
          <w:color w:val="000000" w:themeColor="text1"/>
          <w:sz w:val="26"/>
          <w:szCs w:val="26"/>
        </w:rPr>
        <w:t xml:space="preserve"> and its subsidiaries</w:t>
      </w:r>
      <w:r w:rsidR="00E4534A">
        <w:rPr>
          <w:color w:val="000000" w:themeColor="text1"/>
          <w:sz w:val="26"/>
          <w:szCs w:val="26"/>
        </w:rPr>
        <w:t xml:space="preserve">, thus ensuring that </w:t>
      </w:r>
      <w:r w:rsidR="00A32BBE">
        <w:rPr>
          <w:color w:val="000000" w:themeColor="text1"/>
          <w:sz w:val="26"/>
          <w:szCs w:val="26"/>
        </w:rPr>
        <w:t>they</w:t>
      </w:r>
      <w:r w:rsidR="009B3994">
        <w:rPr>
          <w:color w:val="000000" w:themeColor="text1"/>
          <w:sz w:val="26"/>
          <w:szCs w:val="26"/>
        </w:rPr>
        <w:t xml:space="preserve"> will</w:t>
      </w:r>
      <w:r w:rsidR="00E4534A">
        <w:rPr>
          <w:color w:val="000000" w:themeColor="text1"/>
          <w:sz w:val="26"/>
          <w:szCs w:val="26"/>
        </w:rPr>
        <w:t xml:space="preserve"> continue to </w:t>
      </w:r>
      <w:r w:rsidR="009B3994">
        <w:rPr>
          <w:color w:val="000000" w:themeColor="text1"/>
          <w:sz w:val="26"/>
          <w:szCs w:val="26"/>
        </w:rPr>
        <w:t>provide service under their tariffs without interruption or diminution of service with improved financial and operational strength.</w:t>
      </w:r>
      <w:r w:rsidR="00DA202A">
        <w:rPr>
          <w:color w:val="000000" w:themeColor="text1"/>
          <w:sz w:val="26"/>
          <w:szCs w:val="26"/>
        </w:rPr>
        <w:t xml:space="preserve">  </w:t>
      </w:r>
      <w:r w:rsidR="00DA202A" w:rsidRPr="00DA202A">
        <w:rPr>
          <w:color w:val="000000" w:themeColor="text1"/>
          <w:sz w:val="26"/>
          <w:szCs w:val="26"/>
        </w:rPr>
        <w:t xml:space="preserve">More specifically, restructuring Frontier’s liabilities under the Bankruptcy Code frees up much needed capital to allow the Company to continue to invest in customer service, facilities, and </w:t>
      </w:r>
      <w:r w:rsidR="00A32BBE">
        <w:rPr>
          <w:color w:val="000000" w:themeColor="text1"/>
          <w:sz w:val="26"/>
          <w:szCs w:val="26"/>
        </w:rPr>
        <w:lastRenderedPageBreak/>
        <w:t xml:space="preserve">telecommunications and advanced </w:t>
      </w:r>
      <w:r w:rsidR="00DA202A" w:rsidRPr="00DA202A">
        <w:rPr>
          <w:color w:val="000000" w:themeColor="text1"/>
          <w:sz w:val="26"/>
          <w:szCs w:val="26"/>
        </w:rPr>
        <w:t>service</w:t>
      </w:r>
      <w:r w:rsidR="00A32BBE">
        <w:rPr>
          <w:color w:val="000000" w:themeColor="text1"/>
          <w:sz w:val="26"/>
          <w:szCs w:val="26"/>
        </w:rPr>
        <w:t>s</w:t>
      </w:r>
      <w:r w:rsidR="00DA202A" w:rsidRPr="00DA202A">
        <w:rPr>
          <w:color w:val="000000" w:themeColor="text1"/>
          <w:sz w:val="26"/>
          <w:szCs w:val="26"/>
        </w:rPr>
        <w:t xml:space="preserve"> offerings. The improved financial condition of the overall enterprise will help to ensure that Frontier’s services continue to be available in Pennsylvania</w:t>
      </w:r>
      <w:bookmarkEnd w:id="36"/>
      <w:r w:rsidR="00DA202A" w:rsidRPr="00DA202A">
        <w:rPr>
          <w:color w:val="000000" w:themeColor="text1"/>
          <w:sz w:val="26"/>
          <w:szCs w:val="26"/>
        </w:rPr>
        <w:t>.</w:t>
      </w:r>
      <w:r w:rsidR="00010D95">
        <w:rPr>
          <w:rStyle w:val="FootnoteReference"/>
          <w:color w:val="000000" w:themeColor="text1"/>
          <w:sz w:val="26"/>
          <w:szCs w:val="26"/>
        </w:rPr>
        <w:footnoteReference w:id="13"/>
      </w:r>
      <w:r w:rsidR="009B3994">
        <w:rPr>
          <w:color w:val="000000" w:themeColor="text1"/>
          <w:sz w:val="26"/>
          <w:szCs w:val="26"/>
        </w:rPr>
        <w:t xml:space="preserve">  </w:t>
      </w:r>
    </w:p>
    <w:p w14:paraId="4C85EB36" w14:textId="77777777" w:rsidR="0043483D" w:rsidRDefault="0043483D" w:rsidP="00F765DC">
      <w:pPr>
        <w:ind w:firstLine="720"/>
        <w:rPr>
          <w:color w:val="000000" w:themeColor="text1"/>
          <w:sz w:val="26"/>
          <w:szCs w:val="26"/>
        </w:rPr>
      </w:pPr>
    </w:p>
    <w:p w14:paraId="74570773" w14:textId="6D0521F7" w:rsidR="0072294C" w:rsidRDefault="00A32BBE" w:rsidP="00E90C7A">
      <w:pPr>
        <w:ind w:firstLine="720"/>
        <w:rPr>
          <w:color w:val="000000" w:themeColor="text1"/>
          <w:sz w:val="26"/>
          <w:szCs w:val="26"/>
        </w:rPr>
      </w:pPr>
      <w:r w:rsidRPr="0072294C">
        <w:rPr>
          <w:color w:val="000000" w:themeColor="text1"/>
          <w:sz w:val="26"/>
          <w:szCs w:val="26"/>
        </w:rPr>
        <w:t xml:space="preserve">The </w:t>
      </w:r>
      <w:r>
        <w:rPr>
          <w:color w:val="000000" w:themeColor="text1"/>
          <w:sz w:val="26"/>
          <w:szCs w:val="26"/>
        </w:rPr>
        <w:t>Pennsylvania Operating Subsidiaries</w:t>
      </w:r>
      <w:r w:rsidRPr="0072294C">
        <w:rPr>
          <w:color w:val="000000" w:themeColor="text1"/>
          <w:sz w:val="26"/>
          <w:szCs w:val="26"/>
        </w:rPr>
        <w:t xml:space="preserve"> will continue to serve the same territories in which they provide service</w:t>
      </w:r>
      <w:r>
        <w:rPr>
          <w:color w:val="000000" w:themeColor="text1"/>
          <w:sz w:val="26"/>
          <w:szCs w:val="26"/>
        </w:rPr>
        <w:t xml:space="preserve"> today.</w:t>
      </w:r>
      <w:r>
        <w:rPr>
          <w:rStyle w:val="FootnoteReference"/>
          <w:color w:val="000000" w:themeColor="text1"/>
          <w:sz w:val="26"/>
          <w:szCs w:val="26"/>
        </w:rPr>
        <w:footnoteReference w:id="14"/>
      </w:r>
      <w:r>
        <w:rPr>
          <w:color w:val="000000" w:themeColor="text1"/>
          <w:sz w:val="26"/>
          <w:szCs w:val="26"/>
        </w:rPr>
        <w:t xml:space="preserve"> </w:t>
      </w:r>
      <w:r w:rsidR="00E90C7A" w:rsidRPr="0072294C">
        <w:rPr>
          <w:color w:val="000000" w:themeColor="text1"/>
          <w:sz w:val="26"/>
          <w:szCs w:val="26"/>
        </w:rPr>
        <w:t xml:space="preserve">The </w:t>
      </w:r>
      <w:r w:rsidR="0072294C" w:rsidRPr="0072294C">
        <w:rPr>
          <w:color w:val="000000" w:themeColor="text1"/>
          <w:sz w:val="26"/>
          <w:szCs w:val="26"/>
        </w:rPr>
        <w:t xml:space="preserve">Joint </w:t>
      </w:r>
      <w:r w:rsidR="00E90C7A" w:rsidRPr="0072294C">
        <w:rPr>
          <w:color w:val="000000" w:themeColor="text1"/>
          <w:sz w:val="26"/>
          <w:szCs w:val="26"/>
        </w:rPr>
        <w:t>Applicant</w:t>
      </w:r>
      <w:r w:rsidR="0072294C" w:rsidRPr="0072294C">
        <w:rPr>
          <w:color w:val="000000" w:themeColor="text1"/>
          <w:sz w:val="26"/>
          <w:szCs w:val="26"/>
        </w:rPr>
        <w:t>s</w:t>
      </w:r>
      <w:r w:rsidR="00E90C7A" w:rsidRPr="0072294C">
        <w:rPr>
          <w:color w:val="000000" w:themeColor="text1"/>
          <w:sz w:val="26"/>
          <w:szCs w:val="26"/>
        </w:rPr>
        <w:t xml:space="preserve"> </w:t>
      </w:r>
      <w:r>
        <w:rPr>
          <w:color w:val="000000" w:themeColor="text1"/>
          <w:sz w:val="26"/>
          <w:szCs w:val="26"/>
        </w:rPr>
        <w:t xml:space="preserve">also </w:t>
      </w:r>
      <w:r w:rsidR="00E90C7A" w:rsidRPr="0072294C">
        <w:rPr>
          <w:color w:val="000000" w:themeColor="text1"/>
          <w:sz w:val="26"/>
          <w:szCs w:val="26"/>
        </w:rPr>
        <w:t xml:space="preserve">aver that no </w:t>
      </w:r>
      <w:r w:rsidR="00440B7F">
        <w:rPr>
          <w:color w:val="000000" w:themeColor="text1"/>
          <w:sz w:val="26"/>
          <w:szCs w:val="26"/>
        </w:rPr>
        <w:t xml:space="preserve">telecommunications </w:t>
      </w:r>
      <w:r>
        <w:rPr>
          <w:color w:val="000000" w:themeColor="text1"/>
          <w:sz w:val="26"/>
          <w:szCs w:val="26"/>
        </w:rPr>
        <w:t xml:space="preserve">or advanced </w:t>
      </w:r>
      <w:r w:rsidR="00E90C7A" w:rsidRPr="0072294C">
        <w:rPr>
          <w:color w:val="000000" w:themeColor="text1"/>
          <w:sz w:val="26"/>
          <w:szCs w:val="26"/>
        </w:rPr>
        <w:t xml:space="preserve">services </w:t>
      </w:r>
      <w:r>
        <w:rPr>
          <w:color w:val="000000" w:themeColor="text1"/>
          <w:sz w:val="26"/>
          <w:szCs w:val="26"/>
        </w:rPr>
        <w:t xml:space="preserve">offerings </w:t>
      </w:r>
      <w:r w:rsidR="00E90C7A" w:rsidRPr="0072294C">
        <w:rPr>
          <w:color w:val="000000" w:themeColor="text1"/>
          <w:sz w:val="26"/>
          <w:szCs w:val="26"/>
        </w:rPr>
        <w:t>within the</w:t>
      </w:r>
      <w:r>
        <w:rPr>
          <w:color w:val="000000" w:themeColor="text1"/>
          <w:sz w:val="26"/>
          <w:szCs w:val="26"/>
        </w:rPr>
        <w:t xml:space="preserve"> respective </w:t>
      </w:r>
      <w:r w:rsidRPr="0072294C">
        <w:rPr>
          <w:color w:val="000000" w:themeColor="text1"/>
          <w:sz w:val="26"/>
          <w:szCs w:val="26"/>
        </w:rPr>
        <w:t xml:space="preserve">service territories </w:t>
      </w:r>
      <w:r>
        <w:rPr>
          <w:color w:val="000000" w:themeColor="text1"/>
          <w:sz w:val="26"/>
          <w:szCs w:val="26"/>
        </w:rPr>
        <w:t xml:space="preserve">of its subsidiaries throughout the </w:t>
      </w:r>
      <w:r w:rsidR="00E90C7A" w:rsidRPr="0072294C">
        <w:rPr>
          <w:color w:val="000000" w:themeColor="text1"/>
          <w:sz w:val="26"/>
          <w:szCs w:val="26"/>
        </w:rPr>
        <w:t xml:space="preserve">Commonwealth will be affected as a result of the </w:t>
      </w:r>
      <w:r w:rsidR="00FA7E24">
        <w:rPr>
          <w:color w:val="000000" w:themeColor="text1"/>
          <w:sz w:val="26"/>
          <w:szCs w:val="26"/>
        </w:rPr>
        <w:t>t</w:t>
      </w:r>
      <w:r w:rsidR="00E90C7A" w:rsidRPr="0072294C">
        <w:rPr>
          <w:color w:val="000000" w:themeColor="text1"/>
          <w:sz w:val="26"/>
          <w:szCs w:val="26"/>
        </w:rPr>
        <w:t xml:space="preserve">ransaction.  </w:t>
      </w:r>
    </w:p>
    <w:p w14:paraId="44A00F39" w14:textId="77777777" w:rsidR="0072294C" w:rsidRDefault="0072294C" w:rsidP="00E90C7A">
      <w:pPr>
        <w:ind w:firstLine="720"/>
        <w:rPr>
          <w:color w:val="000000" w:themeColor="text1"/>
          <w:sz w:val="26"/>
          <w:szCs w:val="26"/>
        </w:rPr>
      </w:pPr>
    </w:p>
    <w:p w14:paraId="7ABF9245" w14:textId="268C6B59" w:rsidR="009948DD" w:rsidRPr="000267A0" w:rsidRDefault="00010D95" w:rsidP="008235C7">
      <w:pPr>
        <w:ind w:firstLine="720"/>
        <w:rPr>
          <w:color w:val="000000" w:themeColor="text1"/>
          <w:sz w:val="26"/>
          <w:szCs w:val="26"/>
        </w:rPr>
      </w:pPr>
      <w:r w:rsidRPr="00010D95">
        <w:rPr>
          <w:color w:val="000000" w:themeColor="text1"/>
          <w:sz w:val="26"/>
          <w:szCs w:val="26"/>
        </w:rPr>
        <w:t xml:space="preserve">The Joint Applicants verify that the </w:t>
      </w:r>
      <w:r w:rsidRPr="002E7134">
        <w:rPr>
          <w:color w:val="000000" w:themeColor="text1"/>
          <w:sz w:val="26"/>
          <w:szCs w:val="26"/>
        </w:rPr>
        <w:t>Restructuring</w:t>
      </w:r>
      <w:r w:rsidRPr="00010D95">
        <w:rPr>
          <w:color w:val="000000" w:themeColor="text1"/>
          <w:sz w:val="26"/>
          <w:szCs w:val="26"/>
        </w:rPr>
        <w:t xml:space="preserve"> will not result in any changes to the services received by customers of the Pennsylvania Operating Subsidiaries, including rates, terms, and conditions of service, which would require prior notice to customers.</w:t>
      </w:r>
      <w:r w:rsidR="00E0486E" w:rsidRPr="00573DFD">
        <w:rPr>
          <w:rStyle w:val="FootnoteReference"/>
          <w:color w:val="000000" w:themeColor="text1"/>
          <w:sz w:val="26"/>
          <w:szCs w:val="26"/>
        </w:rPr>
        <w:footnoteReference w:id="15"/>
      </w:r>
    </w:p>
    <w:p w14:paraId="4B46C509" w14:textId="77777777" w:rsidR="006C7457" w:rsidRDefault="006C7457" w:rsidP="000C191F">
      <w:pPr>
        <w:ind w:firstLine="720"/>
        <w:rPr>
          <w:color w:val="000000" w:themeColor="text1"/>
          <w:sz w:val="26"/>
          <w:szCs w:val="26"/>
        </w:rPr>
      </w:pPr>
    </w:p>
    <w:p w14:paraId="23B035AE" w14:textId="3D0BBDBC" w:rsidR="000267A0" w:rsidRDefault="00010D95" w:rsidP="00010D95">
      <w:pPr>
        <w:ind w:firstLine="720"/>
        <w:rPr>
          <w:color w:val="000000" w:themeColor="text1"/>
          <w:sz w:val="26"/>
          <w:szCs w:val="26"/>
        </w:rPr>
      </w:pPr>
      <w:r w:rsidRPr="00010D95">
        <w:rPr>
          <w:color w:val="000000" w:themeColor="text1"/>
          <w:sz w:val="26"/>
          <w:szCs w:val="26"/>
        </w:rPr>
        <w:t>The Joint Applicants verify that the Restructuring will have no effect on the Pennsylvania tariffs of the Pennsylvania Operating Subsidiaries.</w:t>
      </w:r>
      <w:r w:rsidR="00DF742C">
        <w:rPr>
          <w:rStyle w:val="FootnoteReference"/>
          <w:color w:val="000000" w:themeColor="text1"/>
          <w:sz w:val="26"/>
          <w:szCs w:val="26"/>
        </w:rPr>
        <w:footnoteReference w:id="16"/>
      </w:r>
      <w:r w:rsidR="00DF742C">
        <w:rPr>
          <w:color w:val="000000" w:themeColor="text1"/>
          <w:sz w:val="26"/>
          <w:szCs w:val="26"/>
        </w:rPr>
        <w:t xml:space="preserve"> </w:t>
      </w:r>
    </w:p>
    <w:p w14:paraId="3A080F54" w14:textId="77777777" w:rsidR="00BE195D" w:rsidRDefault="00BE195D" w:rsidP="000C191F">
      <w:pPr>
        <w:ind w:firstLine="720"/>
        <w:rPr>
          <w:color w:val="000000" w:themeColor="text1"/>
          <w:sz w:val="26"/>
          <w:szCs w:val="26"/>
        </w:rPr>
      </w:pPr>
    </w:p>
    <w:p w14:paraId="08B2EFA0" w14:textId="298E0C09" w:rsidR="0094284C" w:rsidRDefault="00EF564F" w:rsidP="00EF564F">
      <w:pPr>
        <w:ind w:firstLine="720"/>
        <w:rPr>
          <w:color w:val="000000" w:themeColor="text1"/>
          <w:sz w:val="26"/>
          <w:szCs w:val="26"/>
        </w:rPr>
      </w:pPr>
      <w:r w:rsidRPr="00EF564F">
        <w:rPr>
          <w:color w:val="000000" w:themeColor="text1"/>
          <w:sz w:val="26"/>
          <w:szCs w:val="26"/>
        </w:rPr>
        <w:t xml:space="preserve">The Joint Applicants verify </w:t>
      </w:r>
      <w:r w:rsidR="00575EB2">
        <w:rPr>
          <w:color w:val="000000" w:themeColor="text1"/>
          <w:sz w:val="26"/>
          <w:szCs w:val="26"/>
        </w:rPr>
        <w:t xml:space="preserve">that </w:t>
      </w:r>
      <w:r w:rsidRPr="00EF564F">
        <w:rPr>
          <w:color w:val="000000" w:themeColor="text1"/>
          <w:sz w:val="26"/>
          <w:szCs w:val="26"/>
        </w:rPr>
        <w:t xml:space="preserve">the Restructuring will have no effect on </w:t>
      </w:r>
      <w:bookmarkStart w:id="37" w:name="_cp_text_1_455"/>
      <w:r w:rsidRPr="00EF564F">
        <w:rPr>
          <w:color w:val="000000" w:themeColor="text1"/>
          <w:sz w:val="26"/>
          <w:szCs w:val="26"/>
        </w:rPr>
        <w:t xml:space="preserve">the </w:t>
      </w:r>
      <w:bookmarkEnd w:id="37"/>
      <w:r w:rsidRPr="00EF564F">
        <w:rPr>
          <w:color w:val="000000" w:themeColor="text1"/>
          <w:sz w:val="26"/>
          <w:szCs w:val="26"/>
        </w:rPr>
        <w:t>Joint Applicants’ affiliated interest agreements, if any.</w:t>
      </w:r>
      <w:r w:rsidR="00E5063F" w:rsidRPr="00BA61E2">
        <w:rPr>
          <w:rStyle w:val="FootnoteReference"/>
          <w:color w:val="000000" w:themeColor="text1"/>
          <w:sz w:val="26"/>
          <w:szCs w:val="26"/>
        </w:rPr>
        <w:footnoteReference w:id="17"/>
      </w:r>
      <w:r w:rsidR="007F0010" w:rsidRPr="007F0010">
        <w:rPr>
          <w:color w:val="000000" w:themeColor="text1"/>
          <w:sz w:val="26"/>
          <w:szCs w:val="26"/>
        </w:rPr>
        <w:t xml:space="preserve"> </w:t>
      </w:r>
    </w:p>
    <w:p w14:paraId="12C1B8A6" w14:textId="276D38B4" w:rsidR="007D0DDC" w:rsidRDefault="007D0DDC" w:rsidP="000C191F">
      <w:pPr>
        <w:ind w:firstLine="720"/>
        <w:rPr>
          <w:color w:val="000000" w:themeColor="text1"/>
          <w:sz w:val="26"/>
          <w:szCs w:val="26"/>
        </w:rPr>
      </w:pPr>
    </w:p>
    <w:p w14:paraId="5BF9C441" w14:textId="713A5D20" w:rsidR="00C172BB" w:rsidRDefault="00BA61E2" w:rsidP="000C191F">
      <w:pPr>
        <w:ind w:firstLine="720"/>
        <w:rPr>
          <w:sz w:val="26"/>
          <w:szCs w:val="26"/>
        </w:rPr>
      </w:pPr>
      <w:bookmarkStart w:id="38" w:name="_Hlk951105"/>
      <w:r w:rsidRPr="00087E73">
        <w:rPr>
          <w:sz w:val="26"/>
          <w:szCs w:val="26"/>
        </w:rPr>
        <w:t xml:space="preserve">The </w:t>
      </w:r>
      <w:r w:rsidR="00C172BB" w:rsidRPr="00087E73">
        <w:rPr>
          <w:sz w:val="26"/>
          <w:szCs w:val="26"/>
        </w:rPr>
        <w:t xml:space="preserve">Joint </w:t>
      </w:r>
      <w:r w:rsidRPr="00087E73">
        <w:rPr>
          <w:sz w:val="26"/>
          <w:szCs w:val="26"/>
        </w:rPr>
        <w:t>Applicant</w:t>
      </w:r>
      <w:r w:rsidR="00C172BB" w:rsidRPr="00087E73">
        <w:rPr>
          <w:sz w:val="26"/>
          <w:szCs w:val="26"/>
        </w:rPr>
        <w:t>s</w:t>
      </w:r>
      <w:r w:rsidR="00B20396" w:rsidRPr="00087E73">
        <w:rPr>
          <w:sz w:val="26"/>
          <w:szCs w:val="26"/>
        </w:rPr>
        <w:t xml:space="preserve"> </w:t>
      </w:r>
      <w:r w:rsidRPr="00087E73">
        <w:rPr>
          <w:sz w:val="26"/>
          <w:szCs w:val="26"/>
        </w:rPr>
        <w:t>aver</w:t>
      </w:r>
      <w:r w:rsidR="00C172BB" w:rsidRPr="00087E73">
        <w:rPr>
          <w:sz w:val="26"/>
          <w:szCs w:val="26"/>
        </w:rPr>
        <w:t xml:space="preserve"> that in addition to Pennsylvania, approval for the </w:t>
      </w:r>
      <w:r w:rsidR="00087E73" w:rsidRPr="00087E73">
        <w:rPr>
          <w:sz w:val="26"/>
          <w:szCs w:val="26"/>
        </w:rPr>
        <w:t>Restructuring</w:t>
      </w:r>
      <w:r w:rsidR="00C172BB" w:rsidRPr="00087E73">
        <w:rPr>
          <w:sz w:val="26"/>
          <w:szCs w:val="26"/>
        </w:rPr>
        <w:t xml:space="preserve"> is being sought </w:t>
      </w:r>
      <w:r w:rsidR="00087E73" w:rsidRPr="00087E73">
        <w:rPr>
          <w:sz w:val="26"/>
          <w:szCs w:val="26"/>
        </w:rPr>
        <w:t>with the Arizona Corporation Commission</w:t>
      </w:r>
      <w:r w:rsidR="78074CE8" w:rsidRPr="00087E73">
        <w:rPr>
          <w:sz w:val="26"/>
          <w:szCs w:val="26"/>
        </w:rPr>
        <w:t xml:space="preserve"> (approved October 2, 2020)</w:t>
      </w:r>
      <w:r w:rsidR="00087E73" w:rsidRPr="00087E73">
        <w:rPr>
          <w:sz w:val="26"/>
          <w:szCs w:val="26"/>
        </w:rPr>
        <w:t>, California Public Utilities Commission, Connecticut Public Utilities Regulatory Authority, Illinois Commerce Commission</w:t>
      </w:r>
      <w:r w:rsidR="001735E5">
        <w:rPr>
          <w:sz w:val="26"/>
          <w:szCs w:val="26"/>
        </w:rPr>
        <w:t xml:space="preserve"> (approved August 19, 2020)</w:t>
      </w:r>
      <w:r w:rsidR="00087E73" w:rsidRPr="00087E73">
        <w:rPr>
          <w:sz w:val="26"/>
          <w:szCs w:val="26"/>
        </w:rPr>
        <w:t>, Mississippi Public Service Commission</w:t>
      </w:r>
      <w:r w:rsidR="00EA2F8E">
        <w:rPr>
          <w:sz w:val="26"/>
          <w:szCs w:val="26"/>
        </w:rPr>
        <w:t xml:space="preserve"> </w:t>
      </w:r>
      <w:r w:rsidR="00A02DA2">
        <w:rPr>
          <w:sz w:val="26"/>
          <w:szCs w:val="26"/>
        </w:rPr>
        <w:t>(approved December 8, 2020</w:t>
      </w:r>
      <w:r w:rsidR="00BD0D74">
        <w:rPr>
          <w:sz w:val="26"/>
          <w:szCs w:val="26"/>
        </w:rPr>
        <w:t>)</w:t>
      </w:r>
      <w:r w:rsidR="00087E73" w:rsidRPr="00087E73">
        <w:rPr>
          <w:sz w:val="26"/>
          <w:szCs w:val="26"/>
        </w:rPr>
        <w:t>, Minnesota Public Utilities Commission</w:t>
      </w:r>
      <w:r w:rsidR="00313EFA">
        <w:rPr>
          <w:sz w:val="26"/>
          <w:szCs w:val="26"/>
        </w:rPr>
        <w:t xml:space="preserve"> (appro</w:t>
      </w:r>
      <w:r w:rsidR="00925380">
        <w:rPr>
          <w:sz w:val="26"/>
          <w:szCs w:val="26"/>
        </w:rPr>
        <w:t>ved September 24, 2020)</w:t>
      </w:r>
      <w:r w:rsidR="00087E73" w:rsidRPr="00087E73">
        <w:rPr>
          <w:sz w:val="26"/>
          <w:szCs w:val="26"/>
        </w:rPr>
        <w:t>, Nebraska Public Service Commission</w:t>
      </w:r>
      <w:r w:rsidR="001735E5">
        <w:rPr>
          <w:sz w:val="26"/>
          <w:szCs w:val="26"/>
        </w:rPr>
        <w:t xml:space="preserve"> (</w:t>
      </w:r>
      <w:r w:rsidR="00575EB2">
        <w:rPr>
          <w:sz w:val="26"/>
          <w:szCs w:val="26"/>
        </w:rPr>
        <w:t xml:space="preserve">approved </w:t>
      </w:r>
      <w:r w:rsidR="001735E5">
        <w:rPr>
          <w:sz w:val="26"/>
          <w:szCs w:val="26"/>
        </w:rPr>
        <w:t>July 14, 2020)</w:t>
      </w:r>
      <w:r w:rsidR="00087E73" w:rsidRPr="00087E73">
        <w:rPr>
          <w:sz w:val="26"/>
          <w:szCs w:val="26"/>
        </w:rPr>
        <w:t>, Public Utilities Commission of Nevada</w:t>
      </w:r>
      <w:r w:rsidR="001735E5">
        <w:rPr>
          <w:sz w:val="26"/>
          <w:szCs w:val="26"/>
        </w:rPr>
        <w:t xml:space="preserve"> (approved July 28, 2020)</w:t>
      </w:r>
      <w:r w:rsidR="00087E73" w:rsidRPr="00087E73">
        <w:rPr>
          <w:sz w:val="26"/>
          <w:szCs w:val="26"/>
        </w:rPr>
        <w:t>, New York Public Service Commission</w:t>
      </w:r>
      <w:r w:rsidR="3B9CAAFD" w:rsidRPr="00087E73">
        <w:rPr>
          <w:sz w:val="26"/>
          <w:szCs w:val="26"/>
        </w:rPr>
        <w:t xml:space="preserve"> (approved Oct</w:t>
      </w:r>
      <w:r w:rsidR="0C6BDFAA" w:rsidRPr="00087E73">
        <w:rPr>
          <w:sz w:val="26"/>
          <w:szCs w:val="26"/>
        </w:rPr>
        <w:t>ober 16, 2020)</w:t>
      </w:r>
      <w:r w:rsidR="00087E73" w:rsidRPr="00087E73">
        <w:rPr>
          <w:sz w:val="26"/>
          <w:szCs w:val="26"/>
        </w:rPr>
        <w:t xml:space="preserve">, </w:t>
      </w:r>
      <w:r w:rsidR="001735E5">
        <w:rPr>
          <w:sz w:val="26"/>
          <w:szCs w:val="26"/>
        </w:rPr>
        <w:t xml:space="preserve">Public Utilities Commission of Ohio (deemed approved upon filing with FCC), </w:t>
      </w:r>
      <w:r w:rsidR="00087E73" w:rsidRPr="001735E5">
        <w:rPr>
          <w:sz w:val="26"/>
          <w:szCs w:val="26"/>
        </w:rPr>
        <w:t xml:space="preserve">Public Service Commission of South </w:t>
      </w:r>
      <w:r w:rsidR="00087E73" w:rsidRPr="00791D6F">
        <w:rPr>
          <w:sz w:val="26"/>
          <w:szCs w:val="26"/>
        </w:rPr>
        <w:t>Carolina</w:t>
      </w:r>
      <w:r w:rsidR="002E7134">
        <w:rPr>
          <w:sz w:val="26"/>
          <w:szCs w:val="26"/>
        </w:rPr>
        <w:t xml:space="preserve"> (approved June 10, 2020)</w:t>
      </w:r>
      <w:r w:rsidR="00087E73" w:rsidRPr="00087E73">
        <w:rPr>
          <w:sz w:val="26"/>
          <w:szCs w:val="26"/>
        </w:rPr>
        <w:t xml:space="preserve">, </w:t>
      </w:r>
      <w:r w:rsidR="001735E5">
        <w:rPr>
          <w:sz w:val="26"/>
          <w:szCs w:val="26"/>
        </w:rPr>
        <w:t xml:space="preserve">Public Service Commission of Utah (acknowledged on June 24, 2020), </w:t>
      </w:r>
      <w:r w:rsidR="00087E73" w:rsidRPr="00087E73">
        <w:rPr>
          <w:sz w:val="26"/>
          <w:szCs w:val="26"/>
        </w:rPr>
        <w:t>Virginia State Corporation Commission</w:t>
      </w:r>
      <w:r w:rsidR="001735E5">
        <w:rPr>
          <w:sz w:val="26"/>
          <w:szCs w:val="26"/>
        </w:rPr>
        <w:t xml:space="preserve"> (approved August 13, 2020)</w:t>
      </w:r>
      <w:r w:rsidR="00087E73" w:rsidRPr="00087E73">
        <w:rPr>
          <w:sz w:val="26"/>
          <w:szCs w:val="26"/>
        </w:rPr>
        <w:t>, and the Public Service Commission of West Virginia</w:t>
      </w:r>
      <w:r w:rsidR="0048755C" w:rsidRPr="00122F61">
        <w:rPr>
          <w:sz w:val="26"/>
          <w:szCs w:val="26"/>
        </w:rPr>
        <w:t>.</w:t>
      </w:r>
      <w:r w:rsidR="00C172BB" w:rsidRPr="00122F61">
        <w:rPr>
          <w:rStyle w:val="FootnoteReference"/>
          <w:sz w:val="26"/>
          <w:szCs w:val="26"/>
        </w:rPr>
        <w:footnoteReference w:id="18"/>
      </w:r>
      <w:r w:rsidR="0043483D" w:rsidRPr="00122F61">
        <w:rPr>
          <w:sz w:val="26"/>
          <w:szCs w:val="26"/>
        </w:rPr>
        <w:t xml:space="preserve">  </w:t>
      </w:r>
      <w:r w:rsidR="00C10A72" w:rsidRPr="00122F61">
        <w:rPr>
          <w:sz w:val="26"/>
          <w:szCs w:val="26"/>
        </w:rPr>
        <w:t xml:space="preserve">The Joint Applicants have provided the conditions imposed upon Frontier following approval in </w:t>
      </w:r>
      <w:r w:rsidR="7ECE72DC" w:rsidRPr="00122F61">
        <w:rPr>
          <w:sz w:val="26"/>
          <w:szCs w:val="26"/>
        </w:rPr>
        <w:t xml:space="preserve">Arizona, </w:t>
      </w:r>
      <w:r w:rsidR="00C10A72" w:rsidRPr="00122F61">
        <w:rPr>
          <w:sz w:val="26"/>
          <w:szCs w:val="26"/>
        </w:rPr>
        <w:t xml:space="preserve">South Carolina, Nebraska, Nevada, </w:t>
      </w:r>
      <w:r w:rsidR="57C503CD" w:rsidRPr="00122F61">
        <w:rPr>
          <w:sz w:val="26"/>
          <w:szCs w:val="26"/>
        </w:rPr>
        <w:t>New York,</w:t>
      </w:r>
      <w:r w:rsidR="00C10A72" w:rsidRPr="00122F61">
        <w:rPr>
          <w:sz w:val="26"/>
          <w:szCs w:val="26"/>
        </w:rPr>
        <w:t xml:space="preserve"> Virginia,</w:t>
      </w:r>
      <w:r w:rsidR="00E44F60">
        <w:rPr>
          <w:sz w:val="26"/>
          <w:szCs w:val="26"/>
        </w:rPr>
        <w:t xml:space="preserve"> </w:t>
      </w:r>
      <w:r w:rsidR="004E17EF">
        <w:rPr>
          <w:sz w:val="26"/>
          <w:szCs w:val="26"/>
        </w:rPr>
        <w:t>Texas</w:t>
      </w:r>
      <w:r w:rsidR="003C06E2">
        <w:rPr>
          <w:sz w:val="26"/>
          <w:szCs w:val="26"/>
        </w:rPr>
        <w:t>,</w:t>
      </w:r>
      <w:r w:rsidR="00C10A72" w:rsidRPr="00122F61">
        <w:rPr>
          <w:sz w:val="26"/>
          <w:szCs w:val="26"/>
        </w:rPr>
        <w:t xml:space="preserve"> and Illinois.</w:t>
      </w:r>
      <w:r w:rsidR="00CB622C">
        <w:rPr>
          <w:rStyle w:val="FootnoteReference"/>
          <w:sz w:val="26"/>
          <w:szCs w:val="26"/>
        </w:rPr>
        <w:footnoteReference w:id="19"/>
      </w:r>
      <w:r w:rsidR="00C10A72" w:rsidRPr="00122F61">
        <w:rPr>
          <w:sz w:val="26"/>
          <w:szCs w:val="26"/>
        </w:rPr>
        <w:t xml:space="preserve">  </w:t>
      </w:r>
      <w:r w:rsidR="0043483D" w:rsidRPr="00122F61">
        <w:rPr>
          <w:sz w:val="26"/>
          <w:szCs w:val="26"/>
        </w:rPr>
        <w:t xml:space="preserve">As of the time of the issuance of this Secretarial Letter, Joint </w:t>
      </w:r>
      <w:r w:rsidR="0043483D" w:rsidRPr="00122F61">
        <w:rPr>
          <w:sz w:val="26"/>
          <w:szCs w:val="26"/>
        </w:rPr>
        <w:lastRenderedPageBreak/>
        <w:t>Applicants were aware of no</w:t>
      </w:r>
      <w:r w:rsidR="00C10A72" w:rsidRPr="00122F61">
        <w:rPr>
          <w:sz w:val="26"/>
          <w:szCs w:val="26"/>
        </w:rPr>
        <w:t xml:space="preserve"> other</w:t>
      </w:r>
      <w:r w:rsidR="00303975">
        <w:rPr>
          <w:sz w:val="26"/>
          <w:szCs w:val="26"/>
        </w:rPr>
        <w:t xml:space="preserve"> conditi</w:t>
      </w:r>
      <w:r w:rsidR="00DC2378">
        <w:rPr>
          <w:sz w:val="26"/>
          <w:szCs w:val="26"/>
        </w:rPr>
        <w:t>ons</w:t>
      </w:r>
      <w:r w:rsidR="00E6280A">
        <w:rPr>
          <w:sz w:val="26"/>
          <w:szCs w:val="26"/>
        </w:rPr>
        <w:t xml:space="preserve"> </w:t>
      </w:r>
      <w:r w:rsidR="00375780">
        <w:rPr>
          <w:sz w:val="26"/>
          <w:szCs w:val="26"/>
        </w:rPr>
        <w:t>imposed or bein</w:t>
      </w:r>
      <w:r w:rsidR="00C40B32">
        <w:rPr>
          <w:sz w:val="26"/>
          <w:szCs w:val="26"/>
        </w:rPr>
        <w:t>g considered</w:t>
      </w:r>
      <w:r w:rsidR="00D21505">
        <w:rPr>
          <w:sz w:val="26"/>
          <w:szCs w:val="26"/>
        </w:rPr>
        <w:t xml:space="preserve"> on t</w:t>
      </w:r>
      <w:r w:rsidR="00AC1C1B">
        <w:rPr>
          <w:sz w:val="26"/>
          <w:szCs w:val="26"/>
        </w:rPr>
        <w:t>his or a relate</w:t>
      </w:r>
      <w:r w:rsidR="00C936F9">
        <w:rPr>
          <w:sz w:val="26"/>
          <w:szCs w:val="26"/>
        </w:rPr>
        <w:t>d transact</w:t>
      </w:r>
      <w:r w:rsidR="00060832">
        <w:rPr>
          <w:sz w:val="26"/>
          <w:szCs w:val="26"/>
        </w:rPr>
        <w:t xml:space="preserve">ion </w:t>
      </w:r>
      <w:r w:rsidR="00AF4EFE">
        <w:rPr>
          <w:sz w:val="26"/>
          <w:szCs w:val="26"/>
        </w:rPr>
        <w:t>but would up</w:t>
      </w:r>
      <w:r w:rsidR="003329BC">
        <w:rPr>
          <w:sz w:val="26"/>
          <w:szCs w:val="26"/>
        </w:rPr>
        <w:t>date the Commis</w:t>
      </w:r>
      <w:r w:rsidR="009861AD">
        <w:rPr>
          <w:sz w:val="26"/>
          <w:szCs w:val="26"/>
        </w:rPr>
        <w:t>sion if this chan</w:t>
      </w:r>
      <w:r w:rsidR="005A0824">
        <w:rPr>
          <w:sz w:val="26"/>
          <w:szCs w:val="26"/>
        </w:rPr>
        <w:t>ged.</w:t>
      </w:r>
      <w:r w:rsidR="00A933FD">
        <w:rPr>
          <w:rStyle w:val="FootnoteReference"/>
          <w:sz w:val="26"/>
          <w:szCs w:val="26"/>
        </w:rPr>
        <w:footnoteReference w:id="20"/>
      </w:r>
    </w:p>
    <w:p w14:paraId="64AF6230" w14:textId="3756B04B" w:rsidR="00143659" w:rsidRDefault="00143659" w:rsidP="000C191F">
      <w:pPr>
        <w:ind w:firstLine="720"/>
        <w:rPr>
          <w:sz w:val="26"/>
          <w:szCs w:val="26"/>
        </w:rPr>
      </w:pPr>
    </w:p>
    <w:p w14:paraId="1528627A" w14:textId="3191408F" w:rsidR="00115414" w:rsidRDefault="00A1555B" w:rsidP="000C191F">
      <w:pPr>
        <w:ind w:firstLine="720"/>
        <w:rPr>
          <w:sz w:val="26"/>
          <w:szCs w:val="26"/>
        </w:rPr>
      </w:pPr>
      <w:r w:rsidRPr="00F128C5">
        <w:rPr>
          <w:sz w:val="26"/>
          <w:szCs w:val="26"/>
        </w:rPr>
        <w:t xml:space="preserve">A joint International and Domestic Section 214 Application was filed with the FCC on </w:t>
      </w:r>
      <w:r w:rsidR="009A3D30" w:rsidRPr="009A3D30">
        <w:rPr>
          <w:sz w:val="26"/>
          <w:szCs w:val="26"/>
        </w:rPr>
        <w:t>June 24</w:t>
      </w:r>
      <w:r w:rsidR="00CD42E2" w:rsidRPr="009A3D30">
        <w:rPr>
          <w:sz w:val="26"/>
          <w:szCs w:val="26"/>
        </w:rPr>
        <w:t>, 2020</w:t>
      </w:r>
      <w:r w:rsidR="00CD42E2">
        <w:rPr>
          <w:sz w:val="26"/>
          <w:szCs w:val="26"/>
        </w:rPr>
        <w:t xml:space="preserve"> </w:t>
      </w:r>
      <w:r w:rsidRPr="00F128C5">
        <w:rPr>
          <w:sz w:val="26"/>
          <w:szCs w:val="26"/>
        </w:rPr>
        <w:t xml:space="preserve">and </w:t>
      </w:r>
      <w:r w:rsidR="00066696">
        <w:rPr>
          <w:sz w:val="26"/>
          <w:szCs w:val="26"/>
        </w:rPr>
        <w:t>was</w:t>
      </w:r>
      <w:r w:rsidRPr="00F128C5">
        <w:rPr>
          <w:sz w:val="26"/>
          <w:szCs w:val="26"/>
        </w:rPr>
        <w:t xml:space="preserve"> assigned to WC </w:t>
      </w:r>
      <w:r w:rsidR="004E6012">
        <w:rPr>
          <w:sz w:val="26"/>
          <w:szCs w:val="26"/>
        </w:rPr>
        <w:t xml:space="preserve">Docket No. </w:t>
      </w:r>
      <w:r w:rsidR="00C57116">
        <w:rPr>
          <w:sz w:val="26"/>
          <w:szCs w:val="26"/>
        </w:rPr>
        <w:t>20-</w:t>
      </w:r>
      <w:r w:rsidR="00EF564F">
        <w:rPr>
          <w:sz w:val="26"/>
          <w:szCs w:val="26"/>
        </w:rPr>
        <w:t>197</w:t>
      </w:r>
      <w:r w:rsidRPr="00F128C5">
        <w:rPr>
          <w:sz w:val="26"/>
          <w:szCs w:val="26"/>
        </w:rPr>
        <w:t>.</w:t>
      </w:r>
      <w:r w:rsidR="00143659" w:rsidRPr="00F128C5">
        <w:rPr>
          <w:rStyle w:val="FootnoteReference"/>
          <w:sz w:val="26"/>
          <w:szCs w:val="26"/>
        </w:rPr>
        <w:footnoteReference w:id="21"/>
      </w:r>
      <w:r w:rsidR="00A43E59">
        <w:rPr>
          <w:sz w:val="26"/>
          <w:szCs w:val="26"/>
        </w:rPr>
        <w:t xml:space="preserve"> </w:t>
      </w:r>
      <w:r w:rsidR="00D137C6">
        <w:rPr>
          <w:sz w:val="26"/>
          <w:szCs w:val="26"/>
        </w:rPr>
        <w:t xml:space="preserve"> On January </w:t>
      </w:r>
      <w:r w:rsidR="008C2311">
        <w:rPr>
          <w:sz w:val="26"/>
          <w:szCs w:val="26"/>
        </w:rPr>
        <w:t>14, 2021</w:t>
      </w:r>
      <w:r w:rsidR="000E36BC">
        <w:rPr>
          <w:sz w:val="26"/>
          <w:szCs w:val="26"/>
        </w:rPr>
        <w:t>,</w:t>
      </w:r>
      <w:r w:rsidR="00492E3D">
        <w:rPr>
          <w:sz w:val="26"/>
          <w:szCs w:val="26"/>
        </w:rPr>
        <w:t xml:space="preserve"> the FCC </w:t>
      </w:r>
      <w:r w:rsidR="00D15E76">
        <w:rPr>
          <w:sz w:val="26"/>
          <w:szCs w:val="26"/>
        </w:rPr>
        <w:t>adopted</w:t>
      </w:r>
      <w:r w:rsidR="00492E3D">
        <w:rPr>
          <w:sz w:val="26"/>
          <w:szCs w:val="26"/>
        </w:rPr>
        <w:t xml:space="preserve"> </w:t>
      </w:r>
      <w:r w:rsidR="00057A06">
        <w:rPr>
          <w:sz w:val="26"/>
          <w:szCs w:val="26"/>
        </w:rPr>
        <w:t>a</w:t>
      </w:r>
      <w:r w:rsidR="00D74454">
        <w:rPr>
          <w:sz w:val="26"/>
          <w:szCs w:val="26"/>
        </w:rPr>
        <w:t xml:space="preserve"> Memorandu</w:t>
      </w:r>
      <w:r w:rsidR="0068125E">
        <w:rPr>
          <w:sz w:val="26"/>
          <w:szCs w:val="26"/>
        </w:rPr>
        <w:t xml:space="preserve">m </w:t>
      </w:r>
      <w:r w:rsidR="00DF2DEF">
        <w:rPr>
          <w:sz w:val="26"/>
          <w:szCs w:val="26"/>
        </w:rPr>
        <w:t xml:space="preserve">Opinion </w:t>
      </w:r>
      <w:r w:rsidR="001E14E1">
        <w:rPr>
          <w:sz w:val="26"/>
          <w:szCs w:val="26"/>
        </w:rPr>
        <w:t>A</w:t>
      </w:r>
      <w:r w:rsidR="007207F2">
        <w:rPr>
          <w:sz w:val="26"/>
          <w:szCs w:val="26"/>
        </w:rPr>
        <w:t>nd Order</w:t>
      </w:r>
      <w:r w:rsidR="00BC5DEC">
        <w:rPr>
          <w:sz w:val="26"/>
          <w:szCs w:val="26"/>
        </w:rPr>
        <w:t xml:space="preserve"> </w:t>
      </w:r>
      <w:r w:rsidR="001E14E1">
        <w:rPr>
          <w:sz w:val="26"/>
          <w:szCs w:val="26"/>
        </w:rPr>
        <w:t>And Decl</w:t>
      </w:r>
      <w:r w:rsidR="00BE7355">
        <w:rPr>
          <w:sz w:val="26"/>
          <w:szCs w:val="26"/>
        </w:rPr>
        <w:t>a</w:t>
      </w:r>
      <w:r w:rsidR="0084182E">
        <w:rPr>
          <w:sz w:val="26"/>
          <w:szCs w:val="26"/>
        </w:rPr>
        <w:t>ra</w:t>
      </w:r>
      <w:r w:rsidR="00BE7355">
        <w:rPr>
          <w:sz w:val="26"/>
          <w:szCs w:val="26"/>
        </w:rPr>
        <w:t>tory Ruling</w:t>
      </w:r>
      <w:r w:rsidR="00356382">
        <w:rPr>
          <w:sz w:val="26"/>
          <w:szCs w:val="26"/>
        </w:rPr>
        <w:t xml:space="preserve"> a</w:t>
      </w:r>
      <w:r w:rsidR="005A4E20">
        <w:rPr>
          <w:sz w:val="26"/>
          <w:szCs w:val="26"/>
        </w:rPr>
        <w:t>pproving the</w:t>
      </w:r>
      <w:r w:rsidR="00AD66E2">
        <w:rPr>
          <w:sz w:val="26"/>
          <w:szCs w:val="26"/>
        </w:rPr>
        <w:t xml:space="preserve"> </w:t>
      </w:r>
      <w:r w:rsidR="00EF0C37">
        <w:rPr>
          <w:sz w:val="26"/>
          <w:szCs w:val="26"/>
        </w:rPr>
        <w:t>Section 2</w:t>
      </w:r>
      <w:r w:rsidR="00642E27">
        <w:rPr>
          <w:sz w:val="26"/>
          <w:szCs w:val="26"/>
        </w:rPr>
        <w:t>14 Applic</w:t>
      </w:r>
      <w:r w:rsidR="00612BB3">
        <w:rPr>
          <w:sz w:val="26"/>
          <w:szCs w:val="26"/>
        </w:rPr>
        <w:t>a</w:t>
      </w:r>
      <w:r w:rsidR="00841028">
        <w:rPr>
          <w:sz w:val="26"/>
          <w:szCs w:val="26"/>
        </w:rPr>
        <w:t>tion.</w:t>
      </w:r>
    </w:p>
    <w:p w14:paraId="13B5F375" w14:textId="1C70466F" w:rsidR="00143659" w:rsidRPr="00F128C5" w:rsidRDefault="00143659" w:rsidP="000C191F">
      <w:pPr>
        <w:ind w:firstLine="720"/>
        <w:rPr>
          <w:sz w:val="26"/>
          <w:szCs w:val="26"/>
        </w:rPr>
      </w:pPr>
    </w:p>
    <w:bookmarkEnd w:id="38"/>
    <w:p w14:paraId="57750350" w14:textId="34E76505" w:rsidR="00211C6C" w:rsidRDefault="00292715" w:rsidP="000C191F">
      <w:pPr>
        <w:ind w:firstLine="720"/>
        <w:rPr>
          <w:color w:val="000000" w:themeColor="text1"/>
          <w:sz w:val="26"/>
          <w:szCs w:val="26"/>
        </w:rPr>
      </w:pPr>
      <w:r w:rsidRPr="00292715">
        <w:rPr>
          <w:color w:val="000000" w:themeColor="text1"/>
          <w:sz w:val="26"/>
          <w:szCs w:val="26"/>
        </w:rPr>
        <w:t xml:space="preserve">The </w:t>
      </w:r>
      <w:r w:rsidR="00B13454">
        <w:rPr>
          <w:color w:val="000000" w:themeColor="text1"/>
          <w:sz w:val="26"/>
          <w:szCs w:val="26"/>
        </w:rPr>
        <w:t xml:space="preserve">Joint </w:t>
      </w:r>
      <w:r w:rsidRPr="00292715">
        <w:rPr>
          <w:color w:val="000000" w:themeColor="text1"/>
          <w:sz w:val="26"/>
          <w:szCs w:val="26"/>
        </w:rPr>
        <w:t>Applicant</w:t>
      </w:r>
      <w:r w:rsidR="00B13454">
        <w:rPr>
          <w:color w:val="000000" w:themeColor="text1"/>
          <w:sz w:val="26"/>
          <w:szCs w:val="26"/>
        </w:rPr>
        <w:t>s</w:t>
      </w:r>
      <w:r w:rsidRPr="00292715">
        <w:rPr>
          <w:color w:val="000000" w:themeColor="text1"/>
          <w:sz w:val="26"/>
          <w:szCs w:val="26"/>
        </w:rPr>
        <w:t xml:space="preserve"> verif</w:t>
      </w:r>
      <w:r w:rsidR="00B13454">
        <w:rPr>
          <w:color w:val="000000" w:themeColor="text1"/>
          <w:sz w:val="26"/>
          <w:szCs w:val="26"/>
        </w:rPr>
        <w:t>y</w:t>
      </w:r>
      <w:r w:rsidRPr="00292715">
        <w:rPr>
          <w:color w:val="000000" w:themeColor="text1"/>
          <w:sz w:val="26"/>
          <w:szCs w:val="26"/>
        </w:rPr>
        <w:t xml:space="preserve"> that </w:t>
      </w:r>
      <w:r w:rsidRPr="007206BB">
        <w:rPr>
          <w:color w:val="000000" w:themeColor="text1"/>
          <w:sz w:val="26"/>
          <w:szCs w:val="26"/>
        </w:rPr>
        <w:t xml:space="preserve">the </w:t>
      </w:r>
      <w:r w:rsidR="007668CE">
        <w:rPr>
          <w:color w:val="000000" w:themeColor="text1"/>
          <w:sz w:val="26"/>
          <w:szCs w:val="26"/>
        </w:rPr>
        <w:t xml:space="preserve">proposed </w:t>
      </w:r>
      <w:r w:rsidR="00EF564F">
        <w:rPr>
          <w:color w:val="000000" w:themeColor="text1"/>
          <w:sz w:val="26"/>
          <w:szCs w:val="26"/>
        </w:rPr>
        <w:t xml:space="preserve">Restructuring will positively impact Frontier’s capital structure. </w:t>
      </w:r>
      <w:r w:rsidR="00EE0D1A">
        <w:rPr>
          <w:color w:val="000000" w:themeColor="text1"/>
          <w:sz w:val="26"/>
          <w:szCs w:val="26"/>
        </w:rPr>
        <w:t xml:space="preserve"> </w:t>
      </w:r>
      <w:r w:rsidR="00EF564F" w:rsidRPr="00EF564F">
        <w:rPr>
          <w:color w:val="000000" w:themeColor="text1"/>
          <w:sz w:val="26"/>
          <w:szCs w:val="26"/>
        </w:rPr>
        <w:t>The significant reduction of debt, interest obligations, and improved capital structure resulting from the Restructuring will significantly improve Frontier’s financial condition, which, in turn, will better position the Joint Applicants to focus on improvements to customer services</w:t>
      </w:r>
      <w:r w:rsidRPr="00292715">
        <w:rPr>
          <w:color w:val="000000" w:themeColor="text1"/>
          <w:sz w:val="26"/>
          <w:szCs w:val="26"/>
        </w:rPr>
        <w:t>.</w:t>
      </w:r>
      <w:r w:rsidR="00E5063F">
        <w:rPr>
          <w:rStyle w:val="FootnoteReference"/>
          <w:color w:val="000000" w:themeColor="text1"/>
          <w:sz w:val="26"/>
          <w:szCs w:val="26"/>
        </w:rPr>
        <w:footnoteReference w:id="22"/>
      </w:r>
      <w:r w:rsidRPr="00292715">
        <w:rPr>
          <w:color w:val="000000" w:themeColor="text1"/>
          <w:sz w:val="26"/>
          <w:szCs w:val="26"/>
        </w:rPr>
        <w:t xml:space="preserve">  </w:t>
      </w:r>
    </w:p>
    <w:p w14:paraId="4ECC0E92" w14:textId="77777777" w:rsidR="00292715" w:rsidRDefault="00292715" w:rsidP="000C191F">
      <w:pPr>
        <w:ind w:firstLine="720"/>
        <w:rPr>
          <w:color w:val="000000" w:themeColor="text1"/>
          <w:sz w:val="26"/>
          <w:szCs w:val="26"/>
        </w:rPr>
      </w:pPr>
    </w:p>
    <w:p w14:paraId="25B5F539" w14:textId="1985ED36" w:rsidR="00D37381" w:rsidRDefault="00EF564F" w:rsidP="00EF564F">
      <w:pPr>
        <w:ind w:firstLine="720"/>
        <w:rPr>
          <w:sz w:val="26"/>
          <w:szCs w:val="26"/>
        </w:rPr>
      </w:pPr>
      <w:r w:rsidRPr="00EF564F">
        <w:rPr>
          <w:sz w:val="26"/>
          <w:szCs w:val="26"/>
        </w:rPr>
        <w:t xml:space="preserve">The Joint Applicants verify that, to the extent required, the Pennsylvania Operating Subsidiaries are in compliance with </w:t>
      </w:r>
      <w:r w:rsidR="00C939FF">
        <w:rPr>
          <w:sz w:val="26"/>
          <w:szCs w:val="26"/>
        </w:rPr>
        <w:t>f</w:t>
      </w:r>
      <w:r w:rsidRPr="00EF564F">
        <w:rPr>
          <w:sz w:val="26"/>
          <w:szCs w:val="26"/>
        </w:rPr>
        <w:t xml:space="preserve">ederal and </w:t>
      </w:r>
      <w:r w:rsidR="00C939FF">
        <w:rPr>
          <w:sz w:val="26"/>
          <w:szCs w:val="26"/>
        </w:rPr>
        <w:t>s</w:t>
      </w:r>
      <w:r w:rsidRPr="00EF564F">
        <w:rPr>
          <w:sz w:val="26"/>
          <w:szCs w:val="26"/>
        </w:rPr>
        <w:t>tate law with respect to their eligible telecommunications carrier designations and will continue to be in compliance with the law after the Restructuring</w:t>
      </w:r>
      <w:r w:rsidR="00D37381" w:rsidRPr="00D37381">
        <w:rPr>
          <w:sz w:val="26"/>
          <w:szCs w:val="26"/>
        </w:rPr>
        <w:t>.</w:t>
      </w:r>
      <w:r w:rsidR="00E5063F">
        <w:rPr>
          <w:rStyle w:val="FootnoteReference"/>
          <w:sz w:val="26"/>
          <w:szCs w:val="26"/>
        </w:rPr>
        <w:footnoteReference w:id="23"/>
      </w:r>
    </w:p>
    <w:p w14:paraId="7C7EC0C3" w14:textId="1781DF91" w:rsidR="00D37381" w:rsidRPr="00285B4B" w:rsidRDefault="00D37381" w:rsidP="00A50166">
      <w:pPr>
        <w:rPr>
          <w:color w:val="000000" w:themeColor="text1"/>
          <w:sz w:val="26"/>
          <w:szCs w:val="26"/>
        </w:rPr>
      </w:pPr>
    </w:p>
    <w:p w14:paraId="6D9A52E7" w14:textId="11A8C593" w:rsidR="00747DAD" w:rsidRDefault="00F125AD" w:rsidP="000C191F">
      <w:pPr>
        <w:ind w:firstLine="720"/>
        <w:rPr>
          <w:color w:val="000000" w:themeColor="text1"/>
          <w:sz w:val="26"/>
          <w:szCs w:val="26"/>
        </w:rPr>
      </w:pPr>
      <w:r>
        <w:rPr>
          <w:color w:val="000000" w:themeColor="text1"/>
          <w:sz w:val="26"/>
          <w:szCs w:val="26"/>
        </w:rPr>
        <w:t>The Joint Applicants aver the Restructuring</w:t>
      </w:r>
      <w:r w:rsidRPr="00087E73">
        <w:rPr>
          <w:color w:val="000000" w:themeColor="text1"/>
          <w:sz w:val="26"/>
          <w:szCs w:val="26"/>
        </w:rPr>
        <w:t xml:space="preserve"> </w:t>
      </w:r>
      <w:r>
        <w:rPr>
          <w:color w:val="000000" w:themeColor="text1"/>
          <w:sz w:val="26"/>
          <w:szCs w:val="26"/>
        </w:rPr>
        <w:t>is</w:t>
      </w:r>
      <w:r w:rsidRPr="00087E73">
        <w:rPr>
          <w:color w:val="000000" w:themeColor="text1"/>
          <w:sz w:val="26"/>
          <w:szCs w:val="26"/>
        </w:rPr>
        <w:t xml:space="preserve"> not anticipate</w:t>
      </w:r>
      <w:r>
        <w:rPr>
          <w:color w:val="000000" w:themeColor="text1"/>
          <w:sz w:val="26"/>
          <w:szCs w:val="26"/>
        </w:rPr>
        <w:t>d to result in</w:t>
      </w:r>
      <w:r w:rsidRPr="00087E73">
        <w:rPr>
          <w:color w:val="000000" w:themeColor="text1"/>
          <w:sz w:val="26"/>
          <w:szCs w:val="26"/>
        </w:rPr>
        <w:t xml:space="preserve"> the loss or potential loss of Pennsylvania jobs, tax revenues, facilities, downsizing, or consolidation tha</w:t>
      </w:r>
      <w:r>
        <w:rPr>
          <w:color w:val="000000" w:themeColor="text1"/>
          <w:sz w:val="26"/>
          <w:szCs w:val="26"/>
        </w:rPr>
        <w:t>t affects Pennsylvania, or result in any other negative effect in Pennsylvania</w:t>
      </w:r>
      <w:r w:rsidR="00440B7F" w:rsidRPr="00087E73">
        <w:rPr>
          <w:color w:val="000000" w:themeColor="text1"/>
          <w:sz w:val="26"/>
          <w:szCs w:val="26"/>
        </w:rPr>
        <w:t>.</w:t>
      </w:r>
      <w:r w:rsidR="00EE705A" w:rsidRPr="00087E73">
        <w:rPr>
          <w:rStyle w:val="FootnoteReference"/>
          <w:color w:val="000000" w:themeColor="text1"/>
          <w:sz w:val="26"/>
          <w:szCs w:val="26"/>
        </w:rPr>
        <w:footnoteReference w:id="24"/>
      </w:r>
    </w:p>
    <w:p w14:paraId="5BDFE894" w14:textId="37EA6AF4" w:rsidR="00D4773C" w:rsidRDefault="00D4773C" w:rsidP="000C191F">
      <w:pPr>
        <w:ind w:firstLine="720"/>
        <w:rPr>
          <w:color w:val="000000" w:themeColor="text1"/>
          <w:sz w:val="26"/>
          <w:szCs w:val="26"/>
        </w:rPr>
      </w:pPr>
    </w:p>
    <w:p w14:paraId="3715EFC7" w14:textId="24C3E789" w:rsidR="00D4773C" w:rsidRPr="007844AD" w:rsidRDefault="00D4773C" w:rsidP="000C191F">
      <w:pPr>
        <w:ind w:firstLine="720"/>
        <w:rPr>
          <w:color w:val="000000" w:themeColor="text1"/>
          <w:sz w:val="26"/>
          <w:szCs w:val="26"/>
        </w:rPr>
      </w:pPr>
      <w:r w:rsidRPr="00087E73">
        <w:rPr>
          <w:color w:val="000000" w:themeColor="text1"/>
          <w:sz w:val="26"/>
          <w:szCs w:val="26"/>
        </w:rPr>
        <w:t xml:space="preserve">The Joint Applicants </w:t>
      </w:r>
      <w:r w:rsidR="00BB6EE5" w:rsidRPr="00087E73">
        <w:rPr>
          <w:color w:val="000000" w:themeColor="text1"/>
          <w:sz w:val="26"/>
          <w:szCs w:val="26"/>
        </w:rPr>
        <w:t xml:space="preserve">further </w:t>
      </w:r>
      <w:r w:rsidRPr="00087E73">
        <w:rPr>
          <w:color w:val="000000" w:themeColor="text1"/>
          <w:sz w:val="26"/>
          <w:szCs w:val="26"/>
        </w:rPr>
        <w:t>aver that they do not anticipate that any functions, o</w:t>
      </w:r>
      <w:r w:rsidR="003105FF" w:rsidRPr="00087E73">
        <w:rPr>
          <w:color w:val="000000" w:themeColor="text1"/>
          <w:sz w:val="26"/>
          <w:szCs w:val="26"/>
        </w:rPr>
        <w:t>perations</w:t>
      </w:r>
      <w:r w:rsidRPr="00087E73">
        <w:rPr>
          <w:color w:val="000000" w:themeColor="text1"/>
          <w:sz w:val="26"/>
          <w:szCs w:val="26"/>
        </w:rPr>
        <w:t xml:space="preserve"> or activity of any nature currently performed in or affectin</w:t>
      </w:r>
      <w:r w:rsidR="003105FF" w:rsidRPr="00087E73">
        <w:rPr>
          <w:color w:val="000000" w:themeColor="text1"/>
          <w:sz w:val="26"/>
          <w:szCs w:val="26"/>
        </w:rPr>
        <w:t>g</w:t>
      </w:r>
      <w:r w:rsidRPr="00087E73">
        <w:rPr>
          <w:color w:val="000000" w:themeColor="text1"/>
          <w:sz w:val="26"/>
          <w:szCs w:val="26"/>
        </w:rPr>
        <w:t xml:space="preserve"> Pennsylvania will be impacted by the </w:t>
      </w:r>
      <w:r w:rsidR="00FA7E24">
        <w:rPr>
          <w:color w:val="000000" w:themeColor="text1"/>
          <w:sz w:val="26"/>
          <w:szCs w:val="26"/>
        </w:rPr>
        <w:t>t</w:t>
      </w:r>
      <w:r w:rsidRPr="00087E73">
        <w:rPr>
          <w:color w:val="000000" w:themeColor="text1"/>
          <w:sz w:val="26"/>
          <w:szCs w:val="26"/>
        </w:rPr>
        <w:t>ransaction</w:t>
      </w:r>
      <w:r w:rsidR="001260BA">
        <w:rPr>
          <w:color w:val="000000" w:themeColor="text1"/>
          <w:sz w:val="26"/>
          <w:szCs w:val="26"/>
        </w:rPr>
        <w:t>.</w:t>
      </w:r>
      <w:r w:rsidR="008A2CAC">
        <w:rPr>
          <w:color w:val="000000" w:themeColor="text1"/>
          <w:sz w:val="26"/>
          <w:szCs w:val="26"/>
        </w:rPr>
        <w:t xml:space="preserve"> </w:t>
      </w:r>
      <w:r w:rsidR="001260BA">
        <w:rPr>
          <w:color w:val="000000" w:themeColor="text1"/>
          <w:sz w:val="26"/>
          <w:szCs w:val="26"/>
        </w:rPr>
        <w:t xml:space="preserve"> </w:t>
      </w:r>
      <w:r w:rsidR="00B275E1">
        <w:rPr>
          <w:color w:val="000000" w:themeColor="text1"/>
          <w:sz w:val="26"/>
          <w:szCs w:val="26"/>
        </w:rPr>
        <w:t>Frontier</w:t>
      </w:r>
      <w:r w:rsidR="00293DB5">
        <w:rPr>
          <w:color w:val="000000" w:themeColor="text1"/>
          <w:sz w:val="26"/>
          <w:szCs w:val="26"/>
        </w:rPr>
        <w:t xml:space="preserve"> has noted that its</w:t>
      </w:r>
      <w:r w:rsidR="00B275E1">
        <w:rPr>
          <w:color w:val="000000" w:themeColor="text1"/>
          <w:sz w:val="26"/>
          <w:szCs w:val="26"/>
        </w:rPr>
        <w:t xml:space="preserve"> </w:t>
      </w:r>
      <w:r w:rsidR="001260BA">
        <w:rPr>
          <w:color w:val="000000" w:themeColor="text1"/>
          <w:sz w:val="26"/>
          <w:szCs w:val="26"/>
        </w:rPr>
        <w:t>Pennsylvania</w:t>
      </w:r>
      <w:r w:rsidR="00B275E1">
        <w:rPr>
          <w:color w:val="000000" w:themeColor="text1"/>
          <w:sz w:val="26"/>
          <w:szCs w:val="26"/>
        </w:rPr>
        <w:t xml:space="preserve"> management</w:t>
      </w:r>
      <w:r w:rsidR="009A0740">
        <w:rPr>
          <w:color w:val="000000" w:themeColor="text1"/>
          <w:sz w:val="26"/>
          <w:szCs w:val="26"/>
        </w:rPr>
        <w:t xml:space="preserve"> team is not expected to change as a result of the </w:t>
      </w:r>
      <w:r w:rsidR="00D11C96">
        <w:rPr>
          <w:color w:val="000000" w:themeColor="text1"/>
          <w:sz w:val="26"/>
          <w:szCs w:val="26"/>
        </w:rPr>
        <w:t>R</w:t>
      </w:r>
      <w:r w:rsidR="009A0740">
        <w:rPr>
          <w:color w:val="000000" w:themeColor="text1"/>
          <w:sz w:val="26"/>
          <w:szCs w:val="26"/>
        </w:rPr>
        <w:t>estructuring</w:t>
      </w:r>
      <w:r w:rsidR="00293DB5">
        <w:rPr>
          <w:color w:val="000000" w:themeColor="text1"/>
          <w:sz w:val="26"/>
          <w:szCs w:val="26"/>
        </w:rPr>
        <w:t xml:space="preserve">. Additionally, the Joint Applicants aver the Restructuring </w:t>
      </w:r>
      <w:r w:rsidR="00A85FE4">
        <w:rPr>
          <w:color w:val="000000" w:themeColor="text1"/>
          <w:sz w:val="26"/>
          <w:szCs w:val="26"/>
        </w:rPr>
        <w:t>will not affect the employment status o</w:t>
      </w:r>
      <w:r w:rsidR="00A50FF2">
        <w:rPr>
          <w:color w:val="000000" w:themeColor="text1"/>
          <w:sz w:val="26"/>
          <w:szCs w:val="26"/>
        </w:rPr>
        <w:t>f Frontier employees in Pennsylvania.</w:t>
      </w:r>
      <w:r w:rsidR="00A50FF2">
        <w:rPr>
          <w:rStyle w:val="FootnoteReference"/>
          <w:color w:val="000000" w:themeColor="text1"/>
          <w:sz w:val="26"/>
          <w:szCs w:val="26"/>
        </w:rPr>
        <w:footnoteReference w:id="25"/>
      </w:r>
      <w:r w:rsidR="00042E5F">
        <w:rPr>
          <w:color w:val="000000" w:themeColor="text1"/>
          <w:sz w:val="26"/>
          <w:szCs w:val="26"/>
        </w:rPr>
        <w:t xml:space="preserve"> </w:t>
      </w:r>
      <w:r w:rsidRPr="00087E73">
        <w:rPr>
          <w:color w:val="000000" w:themeColor="text1"/>
          <w:sz w:val="26"/>
          <w:szCs w:val="26"/>
        </w:rPr>
        <w:t xml:space="preserve"> </w:t>
      </w:r>
      <w:r w:rsidR="00042E5F">
        <w:rPr>
          <w:color w:val="000000" w:themeColor="text1"/>
          <w:sz w:val="26"/>
          <w:szCs w:val="26"/>
        </w:rPr>
        <w:t>T</w:t>
      </w:r>
      <w:r w:rsidR="003105FF" w:rsidRPr="00087E73">
        <w:rPr>
          <w:color w:val="000000" w:themeColor="text1"/>
          <w:sz w:val="26"/>
          <w:szCs w:val="26"/>
        </w:rPr>
        <w:t xml:space="preserve">he Joint Applicants aver that they do not anticipate that any operations in Pennsylvania will be eliminated or that there will be any </w:t>
      </w:r>
      <w:r w:rsidR="00BB6EE5" w:rsidRPr="00087E73">
        <w:rPr>
          <w:color w:val="000000" w:themeColor="text1"/>
          <w:sz w:val="26"/>
          <w:szCs w:val="26"/>
        </w:rPr>
        <w:t xml:space="preserve">negative </w:t>
      </w:r>
      <w:r w:rsidR="003105FF" w:rsidRPr="00087E73">
        <w:rPr>
          <w:color w:val="000000" w:themeColor="text1"/>
          <w:sz w:val="26"/>
          <w:szCs w:val="26"/>
        </w:rPr>
        <w:t>impact on Pennsylvania employment.</w:t>
      </w:r>
      <w:r w:rsidR="003105FF" w:rsidRPr="00087E73">
        <w:rPr>
          <w:rStyle w:val="FootnoteReference"/>
          <w:color w:val="000000" w:themeColor="text1"/>
          <w:sz w:val="26"/>
          <w:szCs w:val="26"/>
        </w:rPr>
        <w:footnoteReference w:id="26"/>
      </w:r>
      <w:r w:rsidR="003105FF">
        <w:rPr>
          <w:color w:val="000000" w:themeColor="text1"/>
          <w:sz w:val="26"/>
          <w:szCs w:val="26"/>
        </w:rPr>
        <w:t xml:space="preserve">  </w:t>
      </w:r>
    </w:p>
    <w:p w14:paraId="4E1C84B0" w14:textId="200A6E4F" w:rsidR="00891C2E" w:rsidRPr="00EF564F" w:rsidRDefault="00891C2E" w:rsidP="00C4791D">
      <w:pPr>
        <w:rPr>
          <w:sz w:val="26"/>
          <w:szCs w:val="26"/>
          <w:highlight w:val="yellow"/>
        </w:rPr>
      </w:pPr>
    </w:p>
    <w:p w14:paraId="4B3691B5" w14:textId="41EA0091" w:rsidR="00891C2E" w:rsidRPr="00F32273" w:rsidRDefault="00891C2E" w:rsidP="000C191F">
      <w:pPr>
        <w:ind w:firstLine="720"/>
        <w:rPr>
          <w:sz w:val="26"/>
          <w:szCs w:val="26"/>
        </w:rPr>
      </w:pPr>
      <w:r w:rsidRPr="008235C7">
        <w:rPr>
          <w:sz w:val="26"/>
          <w:szCs w:val="26"/>
        </w:rPr>
        <w:lastRenderedPageBreak/>
        <w:t xml:space="preserve">The Joint Applicants </w:t>
      </w:r>
      <w:r w:rsidR="00D00848" w:rsidRPr="008235C7">
        <w:rPr>
          <w:sz w:val="26"/>
          <w:szCs w:val="26"/>
        </w:rPr>
        <w:t xml:space="preserve">have identified numerous jurisdictional unaffiliated providers offering the same or competitive services as those of Frontier.  Comcast Corporation, </w:t>
      </w:r>
      <w:proofErr w:type="spellStart"/>
      <w:r w:rsidR="00D00848" w:rsidRPr="008235C7">
        <w:rPr>
          <w:sz w:val="26"/>
          <w:szCs w:val="26"/>
        </w:rPr>
        <w:t>Pencor</w:t>
      </w:r>
      <w:proofErr w:type="spellEnd"/>
      <w:r w:rsidR="00D00848" w:rsidRPr="008235C7">
        <w:rPr>
          <w:sz w:val="26"/>
          <w:szCs w:val="26"/>
        </w:rPr>
        <w:t xml:space="preserve"> Services, Inc., Verizon Communications, Inc., Service Electric Cable TV </w:t>
      </w:r>
      <w:r w:rsidR="008235C7" w:rsidRPr="008235C7">
        <w:rPr>
          <w:sz w:val="26"/>
          <w:szCs w:val="26"/>
        </w:rPr>
        <w:t>I</w:t>
      </w:r>
      <w:r w:rsidR="00D00848" w:rsidRPr="008235C7">
        <w:rPr>
          <w:sz w:val="26"/>
          <w:szCs w:val="26"/>
        </w:rPr>
        <w:t>nc., Service Electric</w:t>
      </w:r>
      <w:r w:rsidR="008235C7" w:rsidRPr="008235C7">
        <w:rPr>
          <w:sz w:val="26"/>
          <w:szCs w:val="26"/>
        </w:rPr>
        <w:t xml:space="preserve"> Television Inc., Acquisitions </w:t>
      </w:r>
      <w:proofErr w:type="spellStart"/>
      <w:r w:rsidR="008235C7" w:rsidRPr="008235C7">
        <w:rPr>
          <w:sz w:val="26"/>
          <w:szCs w:val="26"/>
        </w:rPr>
        <w:t>Cogeco</w:t>
      </w:r>
      <w:proofErr w:type="spellEnd"/>
      <w:r w:rsidR="008235C7" w:rsidRPr="008235C7">
        <w:rPr>
          <w:sz w:val="26"/>
          <w:szCs w:val="26"/>
        </w:rPr>
        <w:t xml:space="preserve"> Cable Holdings II Inc., and Radiate Holdings, LP are those providers whose </w:t>
      </w:r>
      <w:r w:rsidR="004A7B06">
        <w:rPr>
          <w:sz w:val="26"/>
          <w:szCs w:val="26"/>
        </w:rPr>
        <w:t xml:space="preserve">residential </w:t>
      </w:r>
      <w:r w:rsidR="008235C7" w:rsidRPr="008235C7">
        <w:rPr>
          <w:sz w:val="26"/>
          <w:szCs w:val="26"/>
        </w:rPr>
        <w:t>overlap</w:t>
      </w:r>
      <w:r w:rsidR="00814788">
        <w:rPr>
          <w:sz w:val="26"/>
          <w:szCs w:val="26"/>
        </w:rPr>
        <w:t xml:space="preserve"> with Frontier</w:t>
      </w:r>
      <w:r w:rsidR="008235C7" w:rsidRPr="008235C7">
        <w:rPr>
          <w:sz w:val="26"/>
          <w:szCs w:val="26"/>
        </w:rPr>
        <w:t xml:space="preserve"> is greater than 10,000 census homes</w:t>
      </w:r>
      <w:r w:rsidRPr="008235C7">
        <w:rPr>
          <w:sz w:val="26"/>
          <w:szCs w:val="26"/>
        </w:rPr>
        <w:t>.</w:t>
      </w:r>
      <w:r w:rsidRPr="008235C7">
        <w:rPr>
          <w:rStyle w:val="FootnoteReference"/>
          <w:sz w:val="26"/>
          <w:szCs w:val="26"/>
        </w:rPr>
        <w:footnoteReference w:id="27"/>
      </w:r>
      <w:r w:rsidRPr="00F32273">
        <w:rPr>
          <w:sz w:val="26"/>
          <w:szCs w:val="26"/>
        </w:rPr>
        <w:t xml:space="preserve">  </w:t>
      </w:r>
    </w:p>
    <w:p w14:paraId="1EE85339" w14:textId="51CD77EA" w:rsidR="00BB6EE5" w:rsidRDefault="00BB6EE5" w:rsidP="000C191F">
      <w:pPr>
        <w:ind w:firstLine="720"/>
        <w:rPr>
          <w:color w:val="000000" w:themeColor="text1"/>
          <w:sz w:val="26"/>
          <w:szCs w:val="26"/>
        </w:rPr>
      </w:pPr>
    </w:p>
    <w:p w14:paraId="393EBF3D" w14:textId="054CE45D" w:rsidR="00FE15C8" w:rsidRDefault="000C64DB" w:rsidP="00FE15C8">
      <w:pPr>
        <w:ind w:firstLine="720"/>
        <w:rPr>
          <w:color w:val="000000" w:themeColor="text1"/>
          <w:sz w:val="26"/>
          <w:szCs w:val="26"/>
        </w:rPr>
      </w:pPr>
      <w:r>
        <w:rPr>
          <w:color w:val="000000" w:themeColor="text1"/>
          <w:sz w:val="26"/>
          <w:szCs w:val="26"/>
        </w:rPr>
        <w:t>Lastly, t</w:t>
      </w:r>
      <w:r w:rsidR="007B14C1" w:rsidRPr="007B14C1">
        <w:rPr>
          <w:color w:val="000000" w:themeColor="text1"/>
          <w:sz w:val="26"/>
          <w:szCs w:val="26"/>
        </w:rPr>
        <w:t xml:space="preserve">he Joint Applicants verify that, to their knowledge, they are in compliance with all Commission obligations and filings.  </w:t>
      </w:r>
    </w:p>
    <w:p w14:paraId="7947AE39" w14:textId="77777777" w:rsidR="00FE15C8" w:rsidRDefault="00FE15C8" w:rsidP="00FE15C8">
      <w:pPr>
        <w:ind w:firstLine="720"/>
        <w:rPr>
          <w:color w:val="000000" w:themeColor="text1"/>
          <w:sz w:val="26"/>
          <w:szCs w:val="26"/>
        </w:rPr>
      </w:pPr>
    </w:p>
    <w:p w14:paraId="641E8F21" w14:textId="6A8B1988" w:rsidR="00FE15C8" w:rsidRDefault="00FE15C8" w:rsidP="00FE15C8">
      <w:pPr>
        <w:ind w:firstLine="720"/>
        <w:rPr>
          <w:sz w:val="26"/>
          <w:szCs w:val="26"/>
        </w:rPr>
      </w:pPr>
      <w:r>
        <w:rPr>
          <w:color w:val="000000" w:themeColor="text1"/>
          <w:sz w:val="26"/>
          <w:szCs w:val="26"/>
        </w:rPr>
        <w:t>T</w:t>
      </w:r>
      <w:r w:rsidRPr="00AA2AF8">
        <w:rPr>
          <w:sz w:val="26"/>
          <w:szCs w:val="26"/>
        </w:rPr>
        <w:t xml:space="preserve">he Commission has determined that the Joint Applicants are current with the filing of their annual </w:t>
      </w:r>
      <w:r>
        <w:rPr>
          <w:sz w:val="26"/>
          <w:szCs w:val="26"/>
        </w:rPr>
        <w:t xml:space="preserve">financial reports and their annual </w:t>
      </w:r>
      <w:r w:rsidRPr="00AA2AF8">
        <w:rPr>
          <w:sz w:val="26"/>
          <w:szCs w:val="26"/>
        </w:rPr>
        <w:t>Security Planning and Readiness Self-Certification report</w:t>
      </w:r>
      <w:r>
        <w:rPr>
          <w:sz w:val="26"/>
          <w:szCs w:val="26"/>
        </w:rPr>
        <w:t>s</w:t>
      </w:r>
      <w:r w:rsidRPr="00AA2AF8">
        <w:rPr>
          <w:sz w:val="26"/>
          <w:szCs w:val="26"/>
        </w:rPr>
        <w:t>,</w:t>
      </w:r>
      <w:r>
        <w:rPr>
          <w:sz w:val="26"/>
          <w:szCs w:val="26"/>
        </w:rPr>
        <w:t xml:space="preserve"> no fines, fees, or assessments are outstanding,</w:t>
      </w:r>
      <w:r w:rsidRPr="00AA2AF8">
        <w:rPr>
          <w:sz w:val="26"/>
          <w:szCs w:val="26"/>
        </w:rPr>
        <w:t xml:space="preserve"> and no payments are owed to the Pennsylvania Universal Service Fund.  </w:t>
      </w:r>
    </w:p>
    <w:p w14:paraId="0365C833" w14:textId="77777777" w:rsidR="00FE15C8" w:rsidRPr="00AA2AF8" w:rsidRDefault="00FE15C8" w:rsidP="00FE15C8">
      <w:pPr>
        <w:ind w:firstLine="720"/>
        <w:rPr>
          <w:sz w:val="26"/>
          <w:szCs w:val="26"/>
        </w:rPr>
      </w:pPr>
    </w:p>
    <w:p w14:paraId="5F68DCCD" w14:textId="25F6CEB5" w:rsidR="00FE15C8" w:rsidRDefault="000C64DB" w:rsidP="000C64DB">
      <w:pPr>
        <w:ind w:left="1260" w:hanging="540"/>
        <w:rPr>
          <w:color w:val="000000" w:themeColor="text1"/>
          <w:sz w:val="26"/>
          <w:szCs w:val="26"/>
        </w:rPr>
      </w:pPr>
      <w:r>
        <w:rPr>
          <w:color w:val="000000" w:themeColor="text1"/>
          <w:sz w:val="26"/>
          <w:szCs w:val="26"/>
        </w:rPr>
        <w:t>The Commission notes</w:t>
      </w:r>
      <w:r w:rsidR="00FE15C8">
        <w:rPr>
          <w:color w:val="000000" w:themeColor="text1"/>
          <w:sz w:val="26"/>
          <w:szCs w:val="26"/>
        </w:rPr>
        <w:t xml:space="preserve">, however, </w:t>
      </w:r>
      <w:r>
        <w:rPr>
          <w:color w:val="000000" w:themeColor="text1"/>
          <w:sz w:val="26"/>
          <w:szCs w:val="26"/>
        </w:rPr>
        <w:t xml:space="preserve">that a few of </w:t>
      </w:r>
      <w:r w:rsidR="00FE15C8">
        <w:rPr>
          <w:color w:val="000000" w:themeColor="text1"/>
          <w:sz w:val="26"/>
          <w:szCs w:val="26"/>
        </w:rPr>
        <w:t xml:space="preserve">Frontier’s </w:t>
      </w:r>
      <w:r>
        <w:rPr>
          <w:color w:val="000000" w:themeColor="text1"/>
          <w:sz w:val="26"/>
          <w:szCs w:val="26"/>
        </w:rPr>
        <w:t>Pennsylvania Operating</w:t>
      </w:r>
      <w:r w:rsidR="00FE15C8">
        <w:rPr>
          <w:color w:val="000000" w:themeColor="text1"/>
          <w:sz w:val="26"/>
          <w:szCs w:val="26"/>
        </w:rPr>
        <w:t xml:space="preserve"> </w:t>
      </w:r>
    </w:p>
    <w:p w14:paraId="1C97ABE6" w14:textId="4BC03BB4" w:rsidR="000C64DB" w:rsidRPr="007B14C1" w:rsidRDefault="000C64DB" w:rsidP="00660CD7">
      <w:pPr>
        <w:rPr>
          <w:color w:val="000000" w:themeColor="text1"/>
          <w:sz w:val="26"/>
          <w:szCs w:val="26"/>
        </w:rPr>
      </w:pPr>
      <w:r>
        <w:rPr>
          <w:color w:val="000000" w:themeColor="text1"/>
          <w:sz w:val="26"/>
          <w:szCs w:val="26"/>
        </w:rPr>
        <w:t xml:space="preserve">Subsidiaries </w:t>
      </w:r>
      <w:r w:rsidRPr="000C64DB">
        <w:rPr>
          <w:color w:val="000000" w:themeColor="text1"/>
          <w:sz w:val="26"/>
          <w:szCs w:val="26"/>
        </w:rPr>
        <w:t>have</w:t>
      </w:r>
      <w:r w:rsidR="00FE15C8">
        <w:rPr>
          <w:color w:val="000000" w:themeColor="text1"/>
          <w:sz w:val="26"/>
          <w:szCs w:val="26"/>
        </w:rPr>
        <w:t xml:space="preserve"> </w:t>
      </w:r>
      <w:r w:rsidRPr="000C64DB">
        <w:rPr>
          <w:color w:val="000000" w:themeColor="text1"/>
          <w:sz w:val="26"/>
          <w:szCs w:val="26"/>
        </w:rPr>
        <w:t>been found to have violated</w:t>
      </w:r>
      <w:r>
        <w:rPr>
          <w:color w:val="000000" w:themeColor="text1"/>
          <w:sz w:val="26"/>
          <w:szCs w:val="26"/>
        </w:rPr>
        <w:t xml:space="preserve"> certain </w:t>
      </w:r>
      <w:r w:rsidRPr="000C64DB">
        <w:rPr>
          <w:color w:val="000000" w:themeColor="text1"/>
          <w:sz w:val="26"/>
          <w:szCs w:val="26"/>
        </w:rPr>
        <w:t xml:space="preserve">state </w:t>
      </w:r>
      <w:r w:rsidR="00FE15C8">
        <w:rPr>
          <w:color w:val="000000" w:themeColor="text1"/>
          <w:sz w:val="26"/>
          <w:szCs w:val="26"/>
        </w:rPr>
        <w:t>requirem</w:t>
      </w:r>
      <w:r w:rsidRPr="000C64DB">
        <w:rPr>
          <w:color w:val="000000" w:themeColor="text1"/>
          <w:sz w:val="26"/>
          <w:szCs w:val="26"/>
        </w:rPr>
        <w:t>ents within the last 3-year period</w:t>
      </w:r>
      <w:r w:rsidR="004E4F7D">
        <w:rPr>
          <w:color w:val="000000" w:themeColor="text1"/>
          <w:sz w:val="26"/>
          <w:szCs w:val="26"/>
        </w:rPr>
        <w:t xml:space="preserve"> </w:t>
      </w:r>
      <w:r w:rsidRPr="000C64DB">
        <w:rPr>
          <w:color w:val="000000" w:themeColor="text1"/>
          <w:sz w:val="26"/>
          <w:szCs w:val="26"/>
        </w:rPr>
        <w:t>prior</w:t>
      </w:r>
      <w:r w:rsidR="004E4F7D">
        <w:rPr>
          <w:color w:val="000000" w:themeColor="text1"/>
          <w:sz w:val="26"/>
          <w:szCs w:val="26"/>
        </w:rPr>
        <w:t xml:space="preserve"> </w:t>
      </w:r>
      <w:r w:rsidRPr="000C64DB">
        <w:rPr>
          <w:color w:val="000000" w:themeColor="text1"/>
          <w:sz w:val="26"/>
          <w:szCs w:val="26"/>
        </w:rPr>
        <w:t>to the filing of the joint application.</w:t>
      </w:r>
      <w:r w:rsidRPr="000C64DB">
        <w:rPr>
          <w:color w:val="000000" w:themeColor="text1"/>
          <w:sz w:val="26"/>
          <w:szCs w:val="26"/>
          <w:vertAlign w:val="superscript"/>
        </w:rPr>
        <w:footnoteReference w:id="28"/>
      </w:r>
      <w:r>
        <w:rPr>
          <w:color w:val="000000" w:themeColor="text1"/>
          <w:sz w:val="26"/>
          <w:szCs w:val="26"/>
        </w:rPr>
        <w:t xml:space="preserve">  For instance, o</w:t>
      </w:r>
      <w:r w:rsidRPr="007B14C1">
        <w:rPr>
          <w:color w:val="000000" w:themeColor="text1"/>
          <w:sz w:val="26"/>
          <w:szCs w:val="26"/>
        </w:rPr>
        <w:t>n March 10, 2020, Frontier,</w:t>
      </w:r>
      <w:r w:rsidR="00FE15C8">
        <w:rPr>
          <w:color w:val="000000" w:themeColor="text1"/>
          <w:sz w:val="26"/>
          <w:szCs w:val="26"/>
        </w:rPr>
        <w:t xml:space="preserve"> </w:t>
      </w:r>
      <w:r w:rsidRPr="007B14C1">
        <w:rPr>
          <w:color w:val="000000" w:themeColor="text1"/>
          <w:sz w:val="26"/>
          <w:szCs w:val="26"/>
        </w:rPr>
        <w:t xml:space="preserve">Frontier Breezewood, Frontier Canton, Frontier Lakewood, Frontier Oswayo, Frontier PA, Citizens NY, and Frontier Commonwealth and the Office of Attorney General filed an Assurance of Voluntary Compliance with the Allegheny County Court of Common Pleas at No. GD-20-003897 resolving an investigation of the Office of Attorney General into business practices of Frontier and its Pennsylvania ILECs concerning the provision and marketing of broadband service.  </w:t>
      </w:r>
      <w:r>
        <w:rPr>
          <w:color w:val="000000" w:themeColor="text1"/>
          <w:sz w:val="26"/>
          <w:szCs w:val="26"/>
        </w:rPr>
        <w:t>However, a</w:t>
      </w:r>
      <w:r w:rsidRPr="007B14C1">
        <w:rPr>
          <w:color w:val="000000" w:themeColor="text1"/>
          <w:sz w:val="26"/>
          <w:szCs w:val="26"/>
        </w:rPr>
        <w:t>llegations of violations of Chapter 30 of the Public Utility Code and the Consumer Protection Law made by the Office of Attorney General were resolved without Frontier or the ILECs admitting or denying the allegations.</w:t>
      </w:r>
      <w:r>
        <w:rPr>
          <w:rStyle w:val="FootnoteReference"/>
          <w:color w:val="000000" w:themeColor="text1"/>
          <w:sz w:val="26"/>
          <w:szCs w:val="26"/>
        </w:rPr>
        <w:footnoteReference w:id="29"/>
      </w:r>
      <w:r w:rsidRPr="007B14C1">
        <w:rPr>
          <w:color w:val="000000" w:themeColor="text1"/>
          <w:sz w:val="26"/>
          <w:szCs w:val="26"/>
        </w:rPr>
        <w:t xml:space="preserve"> </w:t>
      </w:r>
    </w:p>
    <w:p w14:paraId="01AA5007" w14:textId="77777777" w:rsidR="000C64DB" w:rsidRPr="007B14C1" w:rsidRDefault="000C64DB" w:rsidP="000C64DB">
      <w:pPr>
        <w:ind w:firstLine="720"/>
        <w:rPr>
          <w:color w:val="000000" w:themeColor="text1"/>
          <w:sz w:val="26"/>
          <w:szCs w:val="26"/>
        </w:rPr>
      </w:pPr>
    </w:p>
    <w:p w14:paraId="19843FBA" w14:textId="77777777" w:rsidR="000C64DB" w:rsidRPr="007B14C1" w:rsidRDefault="000C64DB" w:rsidP="000C64DB">
      <w:pPr>
        <w:tabs>
          <w:tab w:val="left" w:pos="720"/>
        </w:tabs>
        <w:ind w:firstLine="180"/>
        <w:rPr>
          <w:color w:val="000000" w:themeColor="text1"/>
          <w:sz w:val="26"/>
          <w:szCs w:val="26"/>
        </w:rPr>
      </w:pPr>
      <w:r>
        <w:rPr>
          <w:color w:val="000000" w:themeColor="text1"/>
          <w:sz w:val="26"/>
          <w:szCs w:val="26"/>
        </w:rPr>
        <w:tab/>
        <w:t xml:space="preserve">Additionally, </w:t>
      </w:r>
      <w:r w:rsidRPr="007B14C1">
        <w:rPr>
          <w:color w:val="000000" w:themeColor="text1"/>
          <w:sz w:val="26"/>
          <w:szCs w:val="26"/>
        </w:rPr>
        <w:t>Frontier Commonwealth, Frontier Breezewood, Frontier Canton, Frontier Lakewood, Frontier Osway</w:t>
      </w:r>
      <w:r>
        <w:rPr>
          <w:color w:val="000000" w:themeColor="text1"/>
          <w:sz w:val="26"/>
          <w:szCs w:val="26"/>
        </w:rPr>
        <w:t>o</w:t>
      </w:r>
      <w:r w:rsidRPr="007B14C1">
        <w:rPr>
          <w:color w:val="000000" w:themeColor="text1"/>
          <w:sz w:val="26"/>
          <w:szCs w:val="26"/>
        </w:rPr>
        <w:t xml:space="preserve">, and Frontier PA are respondents in complaint cases filed by the Office of Consumer Advocate, alleging that the companies’ respective annual Chapter 30 Price Stability Index/Service Price Index reports for 2019 and 2020 failed to contain any adjustments to recognize, as an exogenous event, the effect of any savings in tax expenses resulting from the enactment of the federal Tax Cuts and Jobs Act of 2017 and thus may be inconsistent with the companies’ Chapter 30 Plans and in violation of certain sections of Chapters 13 and 30 of the Public Utility Code. </w:t>
      </w:r>
      <w:r w:rsidRPr="007B14C1">
        <w:rPr>
          <w:i/>
          <w:color w:val="000000" w:themeColor="text1"/>
          <w:sz w:val="26"/>
          <w:szCs w:val="26"/>
        </w:rPr>
        <w:t xml:space="preserve">See </w:t>
      </w:r>
      <w:r w:rsidRPr="007B14C1">
        <w:rPr>
          <w:color w:val="000000" w:themeColor="text1"/>
          <w:sz w:val="26"/>
          <w:szCs w:val="26"/>
        </w:rPr>
        <w:t>Docket Nos. C-2019-3007911 and C-2020-3018501 (Frontier Commonwealth); C-2019-3007906 and C-2020-3018498 (Frontier Breezewood); C-2019-3007907 and C-2020-3018502 (Frontier Canton); C-2019-3007912 and C-2020-3018509 (Frontier Lakewood); C-2019-</w:t>
      </w:r>
      <w:r w:rsidRPr="007B14C1">
        <w:rPr>
          <w:color w:val="000000" w:themeColor="text1"/>
          <w:sz w:val="26"/>
          <w:szCs w:val="26"/>
        </w:rPr>
        <w:lastRenderedPageBreak/>
        <w:t>3007913 and C-2020-3018512 (Frontier Oswayo); and C-2019-3007916 and C-2020-3018516 (Frontier PA).  The cases are currently pending before the Commission.</w:t>
      </w:r>
      <w:r>
        <w:rPr>
          <w:rStyle w:val="FootnoteReference"/>
          <w:color w:val="000000" w:themeColor="text1"/>
          <w:sz w:val="26"/>
          <w:szCs w:val="26"/>
        </w:rPr>
        <w:footnoteReference w:id="30"/>
      </w:r>
    </w:p>
    <w:p w14:paraId="018D8E8D" w14:textId="77777777" w:rsidR="000C64DB" w:rsidRDefault="000C64DB" w:rsidP="000C64DB">
      <w:pPr>
        <w:rPr>
          <w:color w:val="000000" w:themeColor="text1"/>
          <w:sz w:val="26"/>
          <w:szCs w:val="26"/>
        </w:rPr>
      </w:pPr>
      <w:r w:rsidDel="004A333E">
        <w:rPr>
          <w:color w:val="000000" w:themeColor="text1"/>
          <w:sz w:val="26"/>
          <w:szCs w:val="26"/>
        </w:rPr>
        <w:t xml:space="preserve"> </w:t>
      </w:r>
    </w:p>
    <w:p w14:paraId="7DCCDC3B" w14:textId="4CF4FC40" w:rsidR="000C64DB" w:rsidRPr="007B14C1" w:rsidRDefault="000C64DB" w:rsidP="00FB61EF">
      <w:pPr>
        <w:tabs>
          <w:tab w:val="left" w:pos="720"/>
        </w:tabs>
        <w:ind w:firstLine="180"/>
        <w:rPr>
          <w:color w:val="000000" w:themeColor="text1"/>
          <w:sz w:val="26"/>
          <w:szCs w:val="26"/>
        </w:rPr>
      </w:pPr>
      <w:r>
        <w:rPr>
          <w:color w:val="000000" w:themeColor="text1"/>
          <w:sz w:val="26"/>
          <w:szCs w:val="26"/>
        </w:rPr>
        <w:tab/>
        <w:t>Further, o</w:t>
      </w:r>
      <w:r w:rsidRPr="007B14C1">
        <w:rPr>
          <w:color w:val="000000" w:themeColor="text1"/>
          <w:sz w:val="26"/>
          <w:szCs w:val="26"/>
        </w:rPr>
        <w:t>n October 29, 2019, the Bureau of Investigation and Enforcement (</w:t>
      </w:r>
      <w:r w:rsidRPr="00F959E4">
        <w:rPr>
          <w:color w:val="000000" w:themeColor="text1"/>
          <w:sz w:val="26"/>
          <w:szCs w:val="26"/>
        </w:rPr>
        <w:t>I&amp;E</w:t>
      </w:r>
      <w:r w:rsidRPr="007B14C1">
        <w:rPr>
          <w:color w:val="000000" w:themeColor="text1"/>
          <w:sz w:val="26"/>
          <w:szCs w:val="26"/>
        </w:rPr>
        <w:t xml:space="preserve">) opened an informal </w:t>
      </w:r>
      <w:r>
        <w:rPr>
          <w:color w:val="000000" w:themeColor="text1"/>
          <w:sz w:val="26"/>
          <w:szCs w:val="26"/>
        </w:rPr>
        <w:t>i</w:t>
      </w:r>
      <w:r w:rsidRPr="007B14C1">
        <w:rPr>
          <w:color w:val="000000" w:themeColor="text1"/>
          <w:sz w:val="26"/>
          <w:szCs w:val="26"/>
        </w:rPr>
        <w:t xml:space="preserve">nvestigation into Frontier PA relating to possible violations of Chapter 30 requirements and alleged failure to provide adequate broadband and telephone services.  Frontier PA has provided information to I&amp;E in response to discovery requests.  Frontier PA believes that it is in compliance with the requirements of the Public Utility Code and is cooperating with I&amp;E’s </w:t>
      </w:r>
      <w:r>
        <w:rPr>
          <w:color w:val="000000" w:themeColor="text1"/>
          <w:sz w:val="26"/>
          <w:szCs w:val="26"/>
        </w:rPr>
        <w:t>i</w:t>
      </w:r>
      <w:r w:rsidRPr="007B14C1">
        <w:rPr>
          <w:color w:val="000000" w:themeColor="text1"/>
          <w:sz w:val="26"/>
          <w:szCs w:val="26"/>
        </w:rPr>
        <w:t>nvestigation.</w:t>
      </w:r>
      <w:r>
        <w:rPr>
          <w:rStyle w:val="FootnoteReference"/>
          <w:color w:val="000000" w:themeColor="text1"/>
          <w:sz w:val="26"/>
          <w:szCs w:val="26"/>
        </w:rPr>
        <w:footnoteReference w:id="31"/>
      </w:r>
    </w:p>
    <w:p w14:paraId="1924D0B5" w14:textId="77777777" w:rsidR="000C64DB" w:rsidRDefault="000C64DB" w:rsidP="00FB61EF">
      <w:pPr>
        <w:tabs>
          <w:tab w:val="left" w:pos="720"/>
        </w:tabs>
        <w:rPr>
          <w:color w:val="000000" w:themeColor="text1"/>
          <w:sz w:val="26"/>
          <w:szCs w:val="26"/>
        </w:rPr>
      </w:pPr>
      <w:r w:rsidDel="004A333E">
        <w:rPr>
          <w:color w:val="000000" w:themeColor="text1"/>
          <w:sz w:val="26"/>
          <w:szCs w:val="26"/>
        </w:rPr>
        <w:t xml:space="preserve"> </w:t>
      </w:r>
    </w:p>
    <w:p w14:paraId="0B4A0ED9" w14:textId="1DA81514" w:rsidR="000C64DB" w:rsidRPr="000C64DB" w:rsidRDefault="000C64DB" w:rsidP="000C64DB">
      <w:pPr>
        <w:ind w:firstLine="720"/>
        <w:rPr>
          <w:color w:val="000000" w:themeColor="text1"/>
          <w:sz w:val="26"/>
          <w:szCs w:val="26"/>
        </w:rPr>
      </w:pPr>
      <w:r>
        <w:rPr>
          <w:color w:val="000000" w:themeColor="text1"/>
          <w:sz w:val="26"/>
          <w:szCs w:val="26"/>
        </w:rPr>
        <w:t>Furthermore, w</w:t>
      </w:r>
      <w:r w:rsidRPr="000C64DB">
        <w:rPr>
          <w:color w:val="000000" w:themeColor="text1"/>
          <w:sz w:val="26"/>
          <w:szCs w:val="26"/>
        </w:rPr>
        <w:t>e note that Frontier had the highest infraction rate among major local telecommunication utilities per the 2019 Utility Consumer Activities Report and Evaluation</w:t>
      </w:r>
      <w:r w:rsidR="00FE15C8">
        <w:rPr>
          <w:rStyle w:val="FootnoteReference"/>
          <w:color w:val="000000" w:themeColor="text1"/>
          <w:sz w:val="26"/>
          <w:szCs w:val="26"/>
        </w:rPr>
        <w:footnoteReference w:id="32"/>
      </w:r>
      <w:r w:rsidR="00FE15C8">
        <w:rPr>
          <w:color w:val="000000" w:themeColor="text1"/>
          <w:sz w:val="26"/>
          <w:szCs w:val="26"/>
        </w:rPr>
        <w:t xml:space="preserve"> (UCARE Report)</w:t>
      </w:r>
      <w:r w:rsidRPr="000C64DB">
        <w:rPr>
          <w:color w:val="000000" w:themeColor="text1"/>
          <w:sz w:val="26"/>
          <w:szCs w:val="26"/>
        </w:rPr>
        <w:t>.  With regard to consumer complaints regarding Joint Applicants’ provision of telephone and broadband services within Pennsylvania, for purposes of acting on this change of control transaction, we are satisfied with the Joint Applicants’ commitment to provide improved service and customer complaint handling.  However, our resolution here is solely within the context of this proceeding</w:t>
      </w:r>
      <w:r w:rsidR="004B7938">
        <w:rPr>
          <w:color w:val="000000" w:themeColor="text1"/>
          <w:sz w:val="26"/>
          <w:szCs w:val="26"/>
        </w:rPr>
        <w:t>,</w:t>
      </w:r>
      <w:r w:rsidRPr="000C64DB">
        <w:rPr>
          <w:color w:val="000000" w:themeColor="text1"/>
          <w:sz w:val="26"/>
          <w:szCs w:val="26"/>
        </w:rPr>
        <w:t xml:space="preserve"> and we reserve all rights to act further on any and all service- and broadband-related complaints </w:t>
      </w:r>
      <w:r w:rsidR="004B7938">
        <w:rPr>
          <w:color w:val="000000" w:themeColor="text1"/>
          <w:sz w:val="26"/>
          <w:szCs w:val="26"/>
        </w:rPr>
        <w:t>arising as part</w:t>
      </w:r>
      <w:r w:rsidRPr="000C64DB">
        <w:rPr>
          <w:color w:val="000000" w:themeColor="text1"/>
          <w:sz w:val="26"/>
          <w:szCs w:val="26"/>
        </w:rPr>
        <w:t xml:space="preserve"> of I&amp;E’s pending investigation.</w:t>
      </w:r>
      <w:r w:rsidRPr="000C64DB">
        <w:rPr>
          <w:color w:val="000000" w:themeColor="text1"/>
          <w:sz w:val="26"/>
          <w:szCs w:val="26"/>
          <w:vertAlign w:val="superscript"/>
        </w:rPr>
        <w:footnoteReference w:id="33"/>
      </w:r>
    </w:p>
    <w:p w14:paraId="635974B4" w14:textId="77777777" w:rsidR="000C64DB" w:rsidRDefault="000C64DB" w:rsidP="000C64DB">
      <w:pPr>
        <w:ind w:firstLine="720"/>
        <w:rPr>
          <w:color w:val="000000" w:themeColor="text1"/>
          <w:sz w:val="26"/>
          <w:szCs w:val="26"/>
        </w:rPr>
      </w:pPr>
    </w:p>
    <w:p w14:paraId="7EBEBB63" w14:textId="47AE0C00" w:rsidR="004E4F7D" w:rsidRDefault="00340804" w:rsidP="00340804">
      <w:pPr>
        <w:ind w:firstLine="720"/>
        <w:rPr>
          <w:color w:val="000000" w:themeColor="text1"/>
          <w:sz w:val="26"/>
          <w:szCs w:val="26"/>
        </w:rPr>
      </w:pPr>
      <w:r>
        <w:rPr>
          <w:color w:val="000000" w:themeColor="text1"/>
          <w:sz w:val="26"/>
          <w:szCs w:val="26"/>
        </w:rPr>
        <w:t>T</w:t>
      </w:r>
      <w:r w:rsidR="000C64DB" w:rsidRPr="000C64DB">
        <w:rPr>
          <w:color w:val="000000" w:themeColor="text1"/>
          <w:sz w:val="26"/>
          <w:szCs w:val="26"/>
        </w:rPr>
        <w:t xml:space="preserve">he Joint Applicants have </w:t>
      </w:r>
      <w:r w:rsidR="000C64DB">
        <w:rPr>
          <w:color w:val="000000" w:themeColor="text1"/>
          <w:sz w:val="26"/>
          <w:szCs w:val="26"/>
        </w:rPr>
        <w:t xml:space="preserve">agreed to certain Pennsylvania-specific </w:t>
      </w:r>
      <w:r w:rsidR="000C64DB" w:rsidRPr="000C64DB">
        <w:rPr>
          <w:color w:val="000000" w:themeColor="text1"/>
          <w:sz w:val="26"/>
          <w:szCs w:val="26"/>
        </w:rPr>
        <w:t xml:space="preserve">voluntary commitments </w:t>
      </w:r>
      <w:r>
        <w:rPr>
          <w:color w:val="000000" w:themeColor="text1"/>
          <w:sz w:val="26"/>
          <w:szCs w:val="26"/>
        </w:rPr>
        <w:t xml:space="preserve">as a </w:t>
      </w:r>
      <w:r w:rsidR="004E4F7D">
        <w:rPr>
          <w:color w:val="000000" w:themeColor="text1"/>
          <w:sz w:val="26"/>
          <w:szCs w:val="26"/>
        </w:rPr>
        <w:t>means to address</w:t>
      </w:r>
      <w:r w:rsidR="004E4F7D" w:rsidRPr="004E4F7D">
        <w:rPr>
          <w:color w:val="000000" w:themeColor="text1"/>
          <w:sz w:val="26"/>
          <w:szCs w:val="26"/>
        </w:rPr>
        <w:t xml:space="preserve"> </w:t>
      </w:r>
      <w:r w:rsidR="004E4F7D">
        <w:rPr>
          <w:color w:val="000000" w:themeColor="text1"/>
          <w:sz w:val="26"/>
          <w:szCs w:val="26"/>
        </w:rPr>
        <w:t xml:space="preserve">Frontier’s </w:t>
      </w:r>
      <w:r w:rsidR="004E4F7D" w:rsidRPr="00340804">
        <w:rPr>
          <w:color w:val="000000" w:themeColor="text1"/>
          <w:sz w:val="26"/>
          <w:szCs w:val="26"/>
        </w:rPr>
        <w:t>quality of service and broadband deployment-related issues</w:t>
      </w:r>
      <w:r w:rsidR="004E4F7D">
        <w:rPr>
          <w:color w:val="000000" w:themeColor="text1"/>
          <w:sz w:val="26"/>
          <w:szCs w:val="26"/>
        </w:rPr>
        <w:t xml:space="preserve"> on a going-forward basis</w:t>
      </w:r>
      <w:r>
        <w:rPr>
          <w:color w:val="000000" w:themeColor="text1"/>
          <w:sz w:val="26"/>
          <w:szCs w:val="26"/>
        </w:rPr>
        <w:t>.  In summary fashion, these voluntary commitment</w:t>
      </w:r>
      <w:r w:rsidR="001E4413">
        <w:rPr>
          <w:color w:val="000000" w:themeColor="text1"/>
          <w:sz w:val="26"/>
          <w:szCs w:val="26"/>
        </w:rPr>
        <w:t>s</w:t>
      </w:r>
      <w:r>
        <w:rPr>
          <w:color w:val="000000" w:themeColor="text1"/>
          <w:sz w:val="26"/>
          <w:szCs w:val="26"/>
        </w:rPr>
        <w:t xml:space="preserve"> include the following</w:t>
      </w:r>
      <w:r w:rsidR="005C78E9">
        <w:rPr>
          <w:color w:val="000000" w:themeColor="text1"/>
          <w:sz w:val="26"/>
          <w:szCs w:val="26"/>
        </w:rPr>
        <w:t xml:space="preserve"> in Pennsylvania</w:t>
      </w:r>
      <w:r>
        <w:rPr>
          <w:color w:val="000000" w:themeColor="text1"/>
          <w:sz w:val="26"/>
          <w:szCs w:val="26"/>
        </w:rPr>
        <w:t xml:space="preserve">: (1) </w:t>
      </w:r>
      <w:r w:rsidR="000C64DB" w:rsidRPr="000C64DB">
        <w:rPr>
          <w:color w:val="000000" w:themeColor="text1"/>
          <w:sz w:val="26"/>
          <w:szCs w:val="26"/>
        </w:rPr>
        <w:t>$50 million in capital expenditures by the end of 2024</w:t>
      </w:r>
      <w:r>
        <w:rPr>
          <w:color w:val="000000" w:themeColor="text1"/>
          <w:sz w:val="26"/>
          <w:szCs w:val="26"/>
        </w:rPr>
        <w:t xml:space="preserve">; (2) </w:t>
      </w:r>
      <w:r w:rsidR="000C64DB" w:rsidRPr="000C64DB">
        <w:rPr>
          <w:color w:val="000000" w:themeColor="text1"/>
          <w:sz w:val="26"/>
          <w:szCs w:val="26"/>
        </w:rPr>
        <w:t xml:space="preserve">fiber based broadband access services to 15,000 locations by the end of 2027, and </w:t>
      </w:r>
      <w:r>
        <w:rPr>
          <w:color w:val="000000" w:themeColor="text1"/>
          <w:sz w:val="26"/>
          <w:szCs w:val="26"/>
        </w:rPr>
        <w:t xml:space="preserve">(3) </w:t>
      </w:r>
      <w:r w:rsidR="000C64DB" w:rsidRPr="000C64DB">
        <w:rPr>
          <w:color w:val="000000" w:themeColor="text1"/>
          <w:sz w:val="26"/>
          <w:szCs w:val="26"/>
        </w:rPr>
        <w:t xml:space="preserve">numerous reporting and process-oriented changes regarding customer service as well as complaints.  Frontier’s </w:t>
      </w:r>
      <w:r w:rsidR="002022B9">
        <w:rPr>
          <w:color w:val="000000" w:themeColor="text1"/>
          <w:sz w:val="26"/>
          <w:szCs w:val="26"/>
        </w:rPr>
        <w:t xml:space="preserve">Pennsylvania-specific </w:t>
      </w:r>
      <w:r w:rsidR="00EA0BAD">
        <w:rPr>
          <w:color w:val="000000" w:themeColor="text1"/>
          <w:sz w:val="26"/>
          <w:szCs w:val="26"/>
        </w:rPr>
        <w:t>v</w:t>
      </w:r>
      <w:r w:rsidR="000C64DB" w:rsidRPr="000C64DB">
        <w:rPr>
          <w:color w:val="000000" w:themeColor="text1"/>
          <w:sz w:val="26"/>
          <w:szCs w:val="26"/>
        </w:rPr>
        <w:t xml:space="preserve">oluntary </w:t>
      </w:r>
      <w:r w:rsidR="00EA0BAD">
        <w:rPr>
          <w:color w:val="000000" w:themeColor="text1"/>
          <w:sz w:val="26"/>
          <w:szCs w:val="26"/>
        </w:rPr>
        <w:t>c</w:t>
      </w:r>
      <w:r w:rsidR="000C64DB" w:rsidRPr="000C64DB">
        <w:rPr>
          <w:color w:val="000000" w:themeColor="text1"/>
          <w:sz w:val="26"/>
          <w:szCs w:val="26"/>
        </w:rPr>
        <w:t>ommitments, in their entirety, are provided as an exhibit to this letter.</w:t>
      </w:r>
      <w:r>
        <w:rPr>
          <w:color w:val="000000" w:themeColor="text1"/>
          <w:sz w:val="26"/>
          <w:szCs w:val="26"/>
        </w:rPr>
        <w:t xml:space="preserve">  </w:t>
      </w:r>
      <w:r w:rsidR="004E4F7D">
        <w:rPr>
          <w:color w:val="000000" w:themeColor="text1"/>
          <w:sz w:val="26"/>
          <w:szCs w:val="26"/>
        </w:rPr>
        <w:t xml:space="preserve">  </w:t>
      </w:r>
    </w:p>
    <w:p w14:paraId="6EE37305" w14:textId="77777777" w:rsidR="004E4F7D" w:rsidRDefault="004E4F7D" w:rsidP="00340804">
      <w:pPr>
        <w:ind w:firstLine="720"/>
        <w:rPr>
          <w:color w:val="000000" w:themeColor="text1"/>
          <w:sz w:val="26"/>
          <w:szCs w:val="26"/>
        </w:rPr>
      </w:pPr>
    </w:p>
    <w:p w14:paraId="1E067522" w14:textId="3079EE0C" w:rsidR="00BA7D2E" w:rsidRPr="00BA7D2E" w:rsidRDefault="00FE15C8" w:rsidP="0014020D">
      <w:pPr>
        <w:ind w:firstLine="720"/>
        <w:rPr>
          <w:sz w:val="26"/>
          <w:szCs w:val="26"/>
        </w:rPr>
      </w:pPr>
      <w:r>
        <w:rPr>
          <w:color w:val="000000" w:themeColor="text1"/>
          <w:sz w:val="26"/>
          <w:szCs w:val="26"/>
        </w:rPr>
        <w:tab/>
      </w:r>
      <w:r w:rsidR="003E308C" w:rsidRPr="000267A0">
        <w:rPr>
          <w:color w:val="000000" w:themeColor="text1"/>
          <w:sz w:val="26"/>
          <w:szCs w:val="26"/>
        </w:rPr>
        <w:t xml:space="preserve">As required by </w:t>
      </w:r>
      <w:r w:rsidR="003E308C">
        <w:rPr>
          <w:color w:val="000000" w:themeColor="text1"/>
          <w:sz w:val="26"/>
          <w:szCs w:val="26"/>
        </w:rPr>
        <w:t xml:space="preserve">66 Pa. C.S. §§ 1102(a) and 1103 and the Commission’s regulations at </w:t>
      </w:r>
      <w:r w:rsidR="001E4413">
        <w:rPr>
          <w:color w:val="000000" w:themeColor="text1"/>
          <w:sz w:val="26"/>
          <w:szCs w:val="26"/>
        </w:rPr>
        <w:t xml:space="preserve">52 Pa. Code </w:t>
      </w:r>
      <w:r w:rsidR="0040526A">
        <w:rPr>
          <w:color w:val="000000" w:themeColor="text1"/>
          <w:sz w:val="26"/>
          <w:szCs w:val="26"/>
        </w:rPr>
        <w:t>§</w:t>
      </w:r>
      <w:r w:rsidR="001E4413">
        <w:rPr>
          <w:color w:val="000000" w:themeColor="text1"/>
          <w:sz w:val="26"/>
          <w:szCs w:val="26"/>
        </w:rPr>
        <w:t xml:space="preserve"> </w:t>
      </w:r>
      <w:r w:rsidR="003E308C" w:rsidRPr="000267A0">
        <w:rPr>
          <w:color w:val="000000" w:themeColor="text1"/>
          <w:sz w:val="26"/>
          <w:szCs w:val="26"/>
        </w:rPr>
        <w:t>63.324(k)(1), we find that the record sufficiently supports the</w:t>
      </w:r>
      <w:r w:rsidR="00AF12AA">
        <w:rPr>
          <w:color w:val="000000" w:themeColor="text1"/>
          <w:sz w:val="26"/>
          <w:szCs w:val="26"/>
        </w:rPr>
        <w:t xml:space="preserve"> </w:t>
      </w:r>
      <w:r w:rsidR="003E308C" w:rsidRPr="00AF12AA">
        <w:rPr>
          <w:color w:val="000000" w:themeColor="text1"/>
          <w:sz w:val="26"/>
          <w:szCs w:val="26"/>
        </w:rPr>
        <w:t>Joint Applicants’ claim that the proposed transfer of</w:t>
      </w:r>
      <w:r w:rsidR="00515CBD" w:rsidRPr="00AF12AA">
        <w:rPr>
          <w:color w:val="000000" w:themeColor="text1"/>
          <w:sz w:val="26"/>
          <w:szCs w:val="26"/>
        </w:rPr>
        <w:t xml:space="preserve"> control </w:t>
      </w:r>
      <w:r w:rsidR="001E4435" w:rsidRPr="00AF12AA">
        <w:rPr>
          <w:color w:val="000000" w:themeColor="text1"/>
          <w:sz w:val="26"/>
          <w:szCs w:val="26"/>
        </w:rPr>
        <w:t>is in the public interest</w:t>
      </w:r>
      <w:r w:rsidR="00340804">
        <w:rPr>
          <w:color w:val="000000" w:themeColor="text1"/>
          <w:sz w:val="26"/>
          <w:szCs w:val="26"/>
        </w:rPr>
        <w:t xml:space="preserve">.  We conclude that </w:t>
      </w:r>
      <w:r w:rsidR="00F07B3B">
        <w:rPr>
          <w:sz w:val="26"/>
          <w:szCs w:val="26"/>
        </w:rPr>
        <w:t>t</w:t>
      </w:r>
      <w:r w:rsidR="00B42B8F">
        <w:rPr>
          <w:sz w:val="26"/>
          <w:szCs w:val="26"/>
        </w:rPr>
        <w:t xml:space="preserve">he </w:t>
      </w:r>
      <w:r w:rsidR="00A70F62">
        <w:rPr>
          <w:sz w:val="26"/>
          <w:szCs w:val="26"/>
        </w:rPr>
        <w:t>technical and</w:t>
      </w:r>
      <w:r w:rsidR="00907CAB">
        <w:rPr>
          <w:sz w:val="26"/>
          <w:szCs w:val="26"/>
        </w:rPr>
        <w:t xml:space="preserve"> managerial fitness </w:t>
      </w:r>
      <w:r w:rsidR="00B42B8F">
        <w:rPr>
          <w:sz w:val="26"/>
          <w:szCs w:val="26"/>
        </w:rPr>
        <w:t xml:space="preserve">of the Pennsylvania Operating Subsidiaries </w:t>
      </w:r>
      <w:r w:rsidR="00907CAB">
        <w:rPr>
          <w:sz w:val="26"/>
          <w:szCs w:val="26"/>
        </w:rPr>
        <w:t xml:space="preserve">will </w:t>
      </w:r>
      <w:r w:rsidR="00B42B8F">
        <w:rPr>
          <w:sz w:val="26"/>
          <w:szCs w:val="26"/>
        </w:rPr>
        <w:t xml:space="preserve">not </w:t>
      </w:r>
      <w:r w:rsidR="00907CAB">
        <w:rPr>
          <w:sz w:val="26"/>
          <w:szCs w:val="26"/>
        </w:rPr>
        <w:t>be</w:t>
      </w:r>
      <w:r w:rsidR="00B42B8F">
        <w:rPr>
          <w:sz w:val="26"/>
          <w:szCs w:val="26"/>
        </w:rPr>
        <w:t xml:space="preserve"> </w:t>
      </w:r>
      <w:r w:rsidR="00F77405">
        <w:rPr>
          <w:sz w:val="26"/>
          <w:szCs w:val="26"/>
        </w:rPr>
        <w:t>impacted as Frontier’s</w:t>
      </w:r>
      <w:r w:rsidR="001E5562">
        <w:rPr>
          <w:sz w:val="26"/>
          <w:szCs w:val="26"/>
        </w:rPr>
        <w:t xml:space="preserve"> </w:t>
      </w:r>
      <w:r w:rsidR="00F77405">
        <w:rPr>
          <w:sz w:val="26"/>
          <w:szCs w:val="26"/>
        </w:rPr>
        <w:t>Pennsylvania</w:t>
      </w:r>
      <w:r w:rsidR="00D82441">
        <w:rPr>
          <w:sz w:val="26"/>
          <w:szCs w:val="26"/>
        </w:rPr>
        <w:t xml:space="preserve"> management</w:t>
      </w:r>
      <w:r w:rsidR="006940FF">
        <w:rPr>
          <w:sz w:val="26"/>
          <w:szCs w:val="26"/>
        </w:rPr>
        <w:t xml:space="preserve"> will not change as a result of the </w:t>
      </w:r>
      <w:r w:rsidR="000E4C59">
        <w:rPr>
          <w:sz w:val="26"/>
          <w:szCs w:val="26"/>
        </w:rPr>
        <w:t>Restructuring</w:t>
      </w:r>
      <w:r w:rsidR="00340804">
        <w:rPr>
          <w:sz w:val="26"/>
          <w:szCs w:val="26"/>
        </w:rPr>
        <w:t xml:space="preserve">.  </w:t>
      </w:r>
      <w:r w:rsidR="006E3794">
        <w:rPr>
          <w:sz w:val="26"/>
          <w:szCs w:val="26"/>
        </w:rPr>
        <w:t>Moreover, we determine that the</w:t>
      </w:r>
      <w:r w:rsidR="00940F87">
        <w:rPr>
          <w:sz w:val="26"/>
          <w:szCs w:val="26"/>
        </w:rPr>
        <w:t xml:space="preserve"> </w:t>
      </w:r>
      <w:r w:rsidR="006F03DF">
        <w:rPr>
          <w:sz w:val="26"/>
          <w:szCs w:val="26"/>
        </w:rPr>
        <w:t xml:space="preserve">Pennsylvania-specific voluntary </w:t>
      </w:r>
      <w:r w:rsidR="00EE714C">
        <w:rPr>
          <w:sz w:val="26"/>
          <w:szCs w:val="26"/>
        </w:rPr>
        <w:t>c</w:t>
      </w:r>
      <w:r w:rsidR="006F03DF">
        <w:rPr>
          <w:sz w:val="26"/>
          <w:szCs w:val="26"/>
        </w:rPr>
        <w:t>ommitments</w:t>
      </w:r>
      <w:r w:rsidR="006E3794">
        <w:rPr>
          <w:sz w:val="26"/>
          <w:szCs w:val="26"/>
        </w:rPr>
        <w:t xml:space="preserve"> </w:t>
      </w:r>
      <w:r w:rsidR="009A3276">
        <w:rPr>
          <w:sz w:val="26"/>
          <w:szCs w:val="26"/>
        </w:rPr>
        <w:t>o</w:t>
      </w:r>
      <w:r w:rsidR="00554517">
        <w:rPr>
          <w:sz w:val="26"/>
          <w:szCs w:val="26"/>
        </w:rPr>
        <w:t>f</w:t>
      </w:r>
      <w:r w:rsidR="00D112C7">
        <w:rPr>
          <w:sz w:val="26"/>
          <w:szCs w:val="26"/>
        </w:rPr>
        <w:t xml:space="preserve"> the </w:t>
      </w:r>
      <w:r w:rsidR="006E3794">
        <w:rPr>
          <w:sz w:val="26"/>
          <w:szCs w:val="26"/>
        </w:rPr>
        <w:t xml:space="preserve">Joint Applicants sufficiently address and resolve the CWA’s </w:t>
      </w:r>
      <w:r w:rsidR="00BA25D2">
        <w:rPr>
          <w:sz w:val="26"/>
          <w:szCs w:val="26"/>
        </w:rPr>
        <w:t xml:space="preserve">request </w:t>
      </w:r>
      <w:r w:rsidR="00BA7D2E">
        <w:rPr>
          <w:sz w:val="26"/>
          <w:szCs w:val="26"/>
        </w:rPr>
        <w:t>that</w:t>
      </w:r>
      <w:r w:rsidR="00BA25D2">
        <w:rPr>
          <w:sz w:val="26"/>
          <w:szCs w:val="26"/>
        </w:rPr>
        <w:t xml:space="preserve"> </w:t>
      </w:r>
      <w:r w:rsidR="00BA7D2E" w:rsidRPr="00BA7D2E">
        <w:rPr>
          <w:sz w:val="26"/>
          <w:szCs w:val="26"/>
        </w:rPr>
        <w:t>the Commission require Frontier to make additional investment to improve the services received by consumers in the Commonwealth including</w:t>
      </w:r>
      <w:r w:rsidR="007F73E5">
        <w:rPr>
          <w:sz w:val="26"/>
          <w:szCs w:val="26"/>
        </w:rPr>
        <w:t>, of note,</w:t>
      </w:r>
      <w:r w:rsidR="00BA7D2E" w:rsidRPr="00BA7D2E">
        <w:rPr>
          <w:sz w:val="26"/>
          <w:szCs w:val="26"/>
        </w:rPr>
        <w:t> fiber-to-the-premises services.</w:t>
      </w:r>
    </w:p>
    <w:p w14:paraId="28027CDB" w14:textId="77777777" w:rsidR="002004BF" w:rsidRPr="000267A0" w:rsidRDefault="002004BF" w:rsidP="003E308C">
      <w:pPr>
        <w:rPr>
          <w:color w:val="000000" w:themeColor="text1"/>
          <w:sz w:val="26"/>
          <w:szCs w:val="26"/>
        </w:rPr>
      </w:pPr>
    </w:p>
    <w:p w14:paraId="611002E6" w14:textId="21C2C554" w:rsidR="003E308C" w:rsidRPr="000267A0" w:rsidRDefault="003E308C" w:rsidP="003E308C">
      <w:pPr>
        <w:rPr>
          <w:color w:val="000000" w:themeColor="text1"/>
          <w:sz w:val="26"/>
          <w:szCs w:val="26"/>
        </w:rPr>
      </w:pPr>
      <w:r w:rsidRPr="000267A0">
        <w:rPr>
          <w:color w:val="000000" w:themeColor="text1"/>
          <w:sz w:val="26"/>
          <w:szCs w:val="26"/>
        </w:rPr>
        <w:tab/>
        <w:t>We find that the transaction is necessary for the service, accommodation, convenience, or safety of the public</w:t>
      </w:r>
      <w:r w:rsidR="00340804" w:rsidRPr="00340804">
        <w:rPr>
          <w:sz w:val="26"/>
          <w:szCs w:val="26"/>
        </w:rPr>
        <w:t xml:space="preserve"> because it will significantly improve Frontier’s financial condition, which in turn, will better position the Joint Applicants to focus on improvements to customer service. </w:t>
      </w:r>
      <w:r w:rsidR="00340804">
        <w:rPr>
          <w:sz w:val="26"/>
          <w:szCs w:val="26"/>
        </w:rPr>
        <w:t>Accordingly,</w:t>
      </w:r>
      <w:r w:rsidRPr="000267A0">
        <w:rPr>
          <w:color w:val="000000" w:themeColor="text1"/>
          <w:sz w:val="26"/>
          <w:szCs w:val="26"/>
        </w:rPr>
        <w:t xml:space="preserve"> the Commission will issue certificate</w:t>
      </w:r>
      <w:r w:rsidR="000333CF">
        <w:rPr>
          <w:color w:val="000000" w:themeColor="text1"/>
          <w:sz w:val="26"/>
          <w:szCs w:val="26"/>
        </w:rPr>
        <w:t>s</w:t>
      </w:r>
      <w:r w:rsidRPr="000267A0">
        <w:rPr>
          <w:color w:val="000000" w:themeColor="text1"/>
          <w:sz w:val="26"/>
          <w:szCs w:val="26"/>
        </w:rPr>
        <w:t xml:space="preserve"> of public convenience authorizing this transaction as required by 66 Pa. C.S. §§ 1102(a) and 1103 and </w:t>
      </w:r>
      <w:r>
        <w:rPr>
          <w:color w:val="000000" w:themeColor="text1"/>
          <w:sz w:val="26"/>
          <w:szCs w:val="26"/>
        </w:rPr>
        <w:t xml:space="preserve">the Commission’s regulations at </w:t>
      </w:r>
      <w:r w:rsidRPr="000267A0">
        <w:rPr>
          <w:color w:val="000000" w:themeColor="text1"/>
          <w:sz w:val="26"/>
          <w:szCs w:val="26"/>
        </w:rPr>
        <w:t>52 Pa. Code § 63.324(k)(2).</w:t>
      </w:r>
    </w:p>
    <w:p w14:paraId="3E4C18E2" w14:textId="77777777" w:rsidR="003E308C" w:rsidRPr="000267A0" w:rsidRDefault="003E308C" w:rsidP="003E308C">
      <w:pPr>
        <w:rPr>
          <w:color w:val="000000" w:themeColor="text1"/>
          <w:sz w:val="26"/>
          <w:szCs w:val="26"/>
        </w:rPr>
      </w:pPr>
    </w:p>
    <w:p w14:paraId="08635C17" w14:textId="04A5A0B0" w:rsidR="003E308C" w:rsidRDefault="003E308C" w:rsidP="003E308C">
      <w:pPr>
        <w:rPr>
          <w:color w:val="000000" w:themeColor="text1"/>
          <w:sz w:val="26"/>
          <w:szCs w:val="26"/>
        </w:rPr>
      </w:pPr>
      <w:r w:rsidRPr="000267A0">
        <w:rPr>
          <w:color w:val="000000" w:themeColor="text1"/>
          <w:sz w:val="26"/>
          <w:szCs w:val="26"/>
        </w:rPr>
        <w:tab/>
      </w:r>
      <w:r w:rsidR="00335CE1">
        <w:rPr>
          <w:color w:val="000000" w:themeColor="text1"/>
          <w:sz w:val="26"/>
          <w:szCs w:val="26"/>
        </w:rPr>
        <w:t>B</w:t>
      </w:r>
      <w:r w:rsidRPr="000267A0">
        <w:rPr>
          <w:color w:val="000000" w:themeColor="text1"/>
          <w:sz w:val="26"/>
          <w:szCs w:val="26"/>
        </w:rPr>
        <w:t xml:space="preserve">ased upon </w:t>
      </w:r>
      <w:r w:rsidRPr="00674132">
        <w:rPr>
          <w:sz w:val="26"/>
          <w:szCs w:val="26"/>
        </w:rPr>
        <w:t>the Commission</w:t>
      </w:r>
      <w:r w:rsidR="000333CF" w:rsidRPr="00674132">
        <w:rPr>
          <w:sz w:val="26"/>
          <w:szCs w:val="26"/>
        </w:rPr>
        <w:t>’</w:t>
      </w:r>
      <w:r w:rsidRPr="00674132">
        <w:rPr>
          <w:sz w:val="26"/>
          <w:szCs w:val="26"/>
        </w:rPr>
        <w:t>s analysis of the information provided in the joint application, we find that the transaction will benefit and does not harm competition.  The Commission’s approval will enhance</w:t>
      </w:r>
      <w:r w:rsidR="00D70A45">
        <w:rPr>
          <w:sz w:val="26"/>
          <w:szCs w:val="26"/>
        </w:rPr>
        <w:t xml:space="preserve"> the</w:t>
      </w:r>
      <w:r w:rsidRPr="00674132">
        <w:rPr>
          <w:sz w:val="26"/>
          <w:szCs w:val="26"/>
        </w:rPr>
        <w:t xml:space="preserve"> Joint Applicants’ ability to compete in Pennsylvania without harm to consumers or Pennsylvania </w:t>
      </w:r>
      <w:r w:rsidRPr="000267A0">
        <w:rPr>
          <w:color w:val="000000" w:themeColor="text1"/>
          <w:sz w:val="26"/>
          <w:szCs w:val="26"/>
        </w:rPr>
        <w:t xml:space="preserve">markets as required </w:t>
      </w:r>
      <w:r>
        <w:rPr>
          <w:color w:val="000000" w:themeColor="text1"/>
          <w:sz w:val="26"/>
          <w:szCs w:val="26"/>
        </w:rPr>
        <w:t>under 66</w:t>
      </w:r>
      <w:r w:rsidR="001E4413">
        <w:rPr>
          <w:color w:val="000000" w:themeColor="text1"/>
          <w:sz w:val="26"/>
          <w:szCs w:val="26"/>
        </w:rPr>
        <w:t> </w:t>
      </w:r>
      <w:r>
        <w:rPr>
          <w:color w:val="000000" w:themeColor="text1"/>
          <w:sz w:val="26"/>
          <w:szCs w:val="26"/>
        </w:rPr>
        <w:t>Pa. C.S. §§ 1102(a) and 1103 and the Commission’s regulations at 52 Pa. Code §</w:t>
      </w:r>
      <w:r w:rsidR="00FE3056">
        <w:rPr>
          <w:color w:val="000000" w:themeColor="text1"/>
          <w:sz w:val="26"/>
          <w:szCs w:val="26"/>
        </w:rPr>
        <w:t> </w:t>
      </w:r>
      <w:r w:rsidRPr="000267A0">
        <w:rPr>
          <w:color w:val="000000" w:themeColor="text1"/>
          <w:sz w:val="26"/>
          <w:szCs w:val="26"/>
        </w:rPr>
        <w:t>63.</w:t>
      </w:r>
      <w:r>
        <w:rPr>
          <w:color w:val="000000" w:themeColor="text1"/>
          <w:sz w:val="26"/>
          <w:szCs w:val="26"/>
        </w:rPr>
        <w:t>3</w:t>
      </w:r>
      <w:r w:rsidRPr="000267A0">
        <w:rPr>
          <w:color w:val="000000" w:themeColor="text1"/>
          <w:sz w:val="26"/>
          <w:szCs w:val="26"/>
        </w:rPr>
        <w:t>24(k)(3)</w:t>
      </w:r>
      <w:r>
        <w:rPr>
          <w:color w:val="000000" w:themeColor="text1"/>
          <w:sz w:val="26"/>
          <w:szCs w:val="26"/>
        </w:rPr>
        <w:t xml:space="preserve">.  </w:t>
      </w:r>
    </w:p>
    <w:p w14:paraId="49F923DD" w14:textId="75E1C1C7" w:rsidR="00335CE1" w:rsidRDefault="00335CE1" w:rsidP="003E308C">
      <w:pPr>
        <w:rPr>
          <w:color w:val="000000" w:themeColor="text1"/>
          <w:sz w:val="26"/>
          <w:szCs w:val="26"/>
        </w:rPr>
      </w:pPr>
    </w:p>
    <w:p w14:paraId="4E71E727" w14:textId="61122028" w:rsidR="001E4435" w:rsidRDefault="001E4435" w:rsidP="001E4435">
      <w:pPr>
        <w:rPr>
          <w:color w:val="000000" w:themeColor="text1"/>
          <w:sz w:val="26"/>
          <w:szCs w:val="26"/>
        </w:rPr>
      </w:pPr>
      <w:r w:rsidRPr="000267A0">
        <w:rPr>
          <w:color w:val="000000" w:themeColor="text1"/>
          <w:sz w:val="26"/>
          <w:szCs w:val="26"/>
        </w:rPr>
        <w:tab/>
        <w:t>In summary, we find that the joint application should be approved as a general rule transaction under Section 63.324 of the Commission r</w:t>
      </w:r>
      <w:r>
        <w:rPr>
          <w:color w:val="000000" w:themeColor="text1"/>
          <w:sz w:val="26"/>
          <w:szCs w:val="26"/>
        </w:rPr>
        <w:t>egulations</w:t>
      </w:r>
      <w:r w:rsidRPr="000267A0">
        <w:rPr>
          <w:color w:val="000000" w:themeColor="text1"/>
          <w:sz w:val="26"/>
          <w:szCs w:val="26"/>
        </w:rPr>
        <w:t xml:space="preserve"> and that certificate</w:t>
      </w:r>
      <w:r>
        <w:rPr>
          <w:color w:val="000000" w:themeColor="text1"/>
          <w:sz w:val="26"/>
          <w:szCs w:val="26"/>
        </w:rPr>
        <w:t>s</w:t>
      </w:r>
      <w:r w:rsidRPr="000267A0">
        <w:rPr>
          <w:color w:val="000000" w:themeColor="text1"/>
          <w:sz w:val="26"/>
          <w:szCs w:val="26"/>
        </w:rPr>
        <w:t xml:space="preserve"> of public convenience </w:t>
      </w:r>
      <w:r w:rsidR="001E4413">
        <w:rPr>
          <w:color w:val="000000" w:themeColor="text1"/>
          <w:sz w:val="26"/>
          <w:szCs w:val="26"/>
        </w:rPr>
        <w:t xml:space="preserve">should </w:t>
      </w:r>
      <w:r w:rsidRPr="000267A0">
        <w:rPr>
          <w:color w:val="000000" w:themeColor="text1"/>
          <w:sz w:val="26"/>
          <w:szCs w:val="26"/>
        </w:rPr>
        <w:t xml:space="preserve">be issued to </w:t>
      </w:r>
      <w:r w:rsidR="005C616A">
        <w:rPr>
          <w:color w:val="000000" w:themeColor="text1"/>
          <w:sz w:val="26"/>
          <w:szCs w:val="26"/>
        </w:rPr>
        <w:t>the Joint Applicants</w:t>
      </w:r>
      <w:r>
        <w:rPr>
          <w:color w:val="000000" w:themeColor="text1"/>
          <w:sz w:val="26"/>
          <w:szCs w:val="26"/>
        </w:rPr>
        <w:t xml:space="preserve"> </w:t>
      </w:r>
      <w:r w:rsidRPr="000267A0">
        <w:rPr>
          <w:color w:val="000000" w:themeColor="text1"/>
          <w:sz w:val="26"/>
          <w:szCs w:val="26"/>
        </w:rPr>
        <w:t xml:space="preserve">evidencing our approval of </w:t>
      </w:r>
      <w:r w:rsidR="00604763">
        <w:rPr>
          <w:color w:val="000000" w:themeColor="text1"/>
          <w:sz w:val="26"/>
          <w:szCs w:val="26"/>
        </w:rPr>
        <w:t xml:space="preserve">a change to the ownership and control of </w:t>
      </w:r>
      <w:r w:rsidR="005C616A">
        <w:rPr>
          <w:color w:val="000000" w:themeColor="text1"/>
          <w:sz w:val="26"/>
          <w:szCs w:val="26"/>
        </w:rPr>
        <w:t>Frontier Communications Corporation.</w:t>
      </w:r>
      <w:r w:rsidR="002311BE">
        <w:rPr>
          <w:color w:val="000000" w:themeColor="text1"/>
          <w:sz w:val="26"/>
          <w:szCs w:val="26"/>
        </w:rPr>
        <w:t xml:space="preserve">  </w:t>
      </w:r>
    </w:p>
    <w:p w14:paraId="09DEB7BC" w14:textId="77777777" w:rsidR="00866CBC" w:rsidRPr="000267A0" w:rsidRDefault="00866CBC" w:rsidP="001E4435">
      <w:pPr>
        <w:rPr>
          <w:color w:val="000000" w:themeColor="text1"/>
          <w:sz w:val="26"/>
          <w:szCs w:val="26"/>
        </w:rPr>
      </w:pPr>
    </w:p>
    <w:p w14:paraId="3366AFF5" w14:textId="0F687C6B" w:rsidR="008915E6" w:rsidRDefault="00226358" w:rsidP="00042E91">
      <w:pPr>
        <w:ind w:firstLine="720"/>
        <w:rPr>
          <w:color w:val="000000" w:themeColor="text1"/>
          <w:sz w:val="26"/>
          <w:szCs w:val="26"/>
        </w:rPr>
      </w:pPr>
      <w:r>
        <w:rPr>
          <w:color w:val="000000" w:themeColor="text1"/>
          <w:sz w:val="26"/>
          <w:szCs w:val="26"/>
        </w:rPr>
        <w:t xml:space="preserve">We acknowledge that </w:t>
      </w:r>
      <w:r w:rsidR="00497962">
        <w:rPr>
          <w:color w:val="000000" w:themeColor="text1"/>
          <w:sz w:val="26"/>
          <w:szCs w:val="26"/>
        </w:rPr>
        <w:t xml:space="preserve">the Joint Applicants </w:t>
      </w:r>
      <w:r>
        <w:rPr>
          <w:color w:val="000000" w:themeColor="text1"/>
          <w:sz w:val="26"/>
          <w:szCs w:val="26"/>
        </w:rPr>
        <w:t>have agreed to the aforementioned P</w:t>
      </w:r>
      <w:r w:rsidR="002022B9">
        <w:rPr>
          <w:color w:val="000000" w:themeColor="text1"/>
          <w:sz w:val="26"/>
          <w:szCs w:val="26"/>
        </w:rPr>
        <w:t>ennsylvani</w:t>
      </w:r>
      <w:r>
        <w:rPr>
          <w:color w:val="000000" w:themeColor="text1"/>
          <w:sz w:val="26"/>
          <w:szCs w:val="26"/>
        </w:rPr>
        <w:t xml:space="preserve">a-specific </w:t>
      </w:r>
      <w:r w:rsidR="007575C5">
        <w:rPr>
          <w:color w:val="000000" w:themeColor="text1"/>
          <w:sz w:val="26"/>
          <w:szCs w:val="26"/>
        </w:rPr>
        <w:t xml:space="preserve">voluntary commitments </w:t>
      </w:r>
      <w:r>
        <w:rPr>
          <w:color w:val="000000" w:themeColor="text1"/>
          <w:sz w:val="26"/>
          <w:szCs w:val="26"/>
        </w:rPr>
        <w:t xml:space="preserve">that will </w:t>
      </w:r>
      <w:r w:rsidR="007575C5">
        <w:rPr>
          <w:color w:val="000000" w:themeColor="text1"/>
          <w:sz w:val="26"/>
          <w:szCs w:val="26"/>
        </w:rPr>
        <w:t>provide reasonably comparable condit</w:t>
      </w:r>
      <w:r w:rsidR="00444F49">
        <w:rPr>
          <w:color w:val="000000" w:themeColor="text1"/>
          <w:sz w:val="26"/>
          <w:szCs w:val="26"/>
        </w:rPr>
        <w:t>ions as agreed by the Joint Applican</w:t>
      </w:r>
      <w:r w:rsidR="00F756B5">
        <w:rPr>
          <w:color w:val="000000" w:themeColor="text1"/>
          <w:sz w:val="26"/>
          <w:szCs w:val="26"/>
        </w:rPr>
        <w:t xml:space="preserve">ts in other </w:t>
      </w:r>
      <w:r w:rsidR="00A60366">
        <w:rPr>
          <w:color w:val="000000" w:themeColor="text1"/>
          <w:sz w:val="26"/>
          <w:szCs w:val="26"/>
        </w:rPr>
        <w:t xml:space="preserve">jurisdictions.  </w:t>
      </w:r>
      <w:r>
        <w:rPr>
          <w:color w:val="000000" w:themeColor="text1"/>
          <w:sz w:val="26"/>
          <w:szCs w:val="26"/>
        </w:rPr>
        <w:t>Notwithstanding, i</w:t>
      </w:r>
      <w:r w:rsidR="0059037C">
        <w:rPr>
          <w:color w:val="000000" w:themeColor="text1"/>
          <w:sz w:val="26"/>
          <w:szCs w:val="26"/>
        </w:rPr>
        <w:t>n review of actions in other jurisdictions, we note that the Nevada Public Utilities Commission</w:t>
      </w:r>
      <w:r w:rsidR="002E7670">
        <w:rPr>
          <w:color w:val="000000" w:themeColor="text1"/>
          <w:sz w:val="26"/>
          <w:szCs w:val="26"/>
        </w:rPr>
        <w:t xml:space="preserve"> </w:t>
      </w:r>
      <w:r w:rsidR="0059037C">
        <w:rPr>
          <w:color w:val="000000" w:themeColor="text1"/>
          <w:sz w:val="26"/>
          <w:szCs w:val="26"/>
        </w:rPr>
        <w:t>has imposed on the Joint Applicants the requirement that p</w:t>
      </w:r>
      <w:r w:rsidR="0059037C" w:rsidRPr="0059037C">
        <w:rPr>
          <w:color w:val="000000" w:themeColor="text1"/>
          <w:sz w:val="26"/>
          <w:szCs w:val="26"/>
        </w:rPr>
        <w:t xml:space="preserve">rior to and continuing for a period of six months following the consummation of the restructuring, if Frontier makes any change to the number or location of Frontier's business offices </w:t>
      </w:r>
      <w:r w:rsidR="00570362">
        <w:rPr>
          <w:color w:val="000000" w:themeColor="text1"/>
          <w:sz w:val="26"/>
          <w:szCs w:val="26"/>
        </w:rPr>
        <w:t xml:space="preserve">or </w:t>
      </w:r>
      <w:r w:rsidR="0059037C" w:rsidRPr="0059037C">
        <w:rPr>
          <w:color w:val="000000" w:themeColor="text1"/>
          <w:sz w:val="26"/>
          <w:szCs w:val="26"/>
        </w:rPr>
        <w:t>employees located in Nevada, Frontier will submit a notice</w:t>
      </w:r>
      <w:r w:rsidR="0059037C">
        <w:rPr>
          <w:color w:val="000000" w:themeColor="text1"/>
          <w:sz w:val="26"/>
          <w:szCs w:val="26"/>
        </w:rPr>
        <w:t xml:space="preserve"> to that commission by </w:t>
      </w:r>
      <w:r w:rsidR="0059037C" w:rsidRPr="0059037C">
        <w:rPr>
          <w:color w:val="000000" w:themeColor="text1"/>
          <w:sz w:val="26"/>
          <w:szCs w:val="26"/>
        </w:rPr>
        <w:t xml:space="preserve">letter filed </w:t>
      </w:r>
      <w:r w:rsidR="0059037C">
        <w:rPr>
          <w:color w:val="000000" w:themeColor="text1"/>
          <w:sz w:val="26"/>
          <w:szCs w:val="26"/>
        </w:rPr>
        <w:t xml:space="preserve">at its </w:t>
      </w:r>
      <w:r w:rsidR="0059037C" w:rsidRPr="0059037C">
        <w:rPr>
          <w:color w:val="000000" w:themeColor="text1"/>
          <w:sz w:val="26"/>
          <w:szCs w:val="26"/>
        </w:rPr>
        <w:t>docket and provide any explanation for why the change was made</w:t>
      </w:r>
      <w:r w:rsidR="0059037C">
        <w:rPr>
          <w:color w:val="000000" w:themeColor="text1"/>
          <w:sz w:val="26"/>
          <w:szCs w:val="26"/>
        </w:rPr>
        <w:t>.</w:t>
      </w:r>
      <w:r w:rsidR="0059037C">
        <w:rPr>
          <w:rStyle w:val="FootnoteReference"/>
          <w:color w:val="000000" w:themeColor="text1"/>
          <w:sz w:val="26"/>
          <w:szCs w:val="26"/>
        </w:rPr>
        <w:footnoteReference w:id="34"/>
      </w:r>
      <w:r w:rsidR="0059037C">
        <w:rPr>
          <w:color w:val="000000" w:themeColor="text1"/>
          <w:sz w:val="26"/>
          <w:szCs w:val="26"/>
        </w:rPr>
        <w:t xml:space="preserve"> </w:t>
      </w:r>
      <w:r>
        <w:rPr>
          <w:color w:val="000000" w:themeColor="text1"/>
          <w:sz w:val="26"/>
          <w:szCs w:val="26"/>
        </w:rPr>
        <w:t>Also, w</w:t>
      </w:r>
      <w:r w:rsidR="00570362">
        <w:rPr>
          <w:color w:val="000000" w:themeColor="text1"/>
          <w:sz w:val="26"/>
          <w:szCs w:val="26"/>
        </w:rPr>
        <w:t>e are cognizant of Joint Applicants’ averment</w:t>
      </w:r>
      <w:r w:rsidR="00570362" w:rsidRPr="00570362">
        <w:rPr>
          <w:color w:val="000000" w:themeColor="text1"/>
          <w:sz w:val="26"/>
          <w:szCs w:val="26"/>
        </w:rPr>
        <w:t xml:space="preserve"> </w:t>
      </w:r>
      <w:r w:rsidR="00570362" w:rsidRPr="00087E73">
        <w:rPr>
          <w:color w:val="000000" w:themeColor="text1"/>
          <w:sz w:val="26"/>
          <w:szCs w:val="26"/>
        </w:rPr>
        <w:t xml:space="preserve">that they do not anticipate that any operations </w:t>
      </w:r>
      <w:r w:rsidR="00042E91" w:rsidRPr="00087E73">
        <w:rPr>
          <w:color w:val="000000" w:themeColor="text1"/>
          <w:sz w:val="26"/>
          <w:szCs w:val="26"/>
        </w:rPr>
        <w:t xml:space="preserve">jobs, tax revenues, facilities, </w:t>
      </w:r>
      <w:r w:rsidR="00042E91">
        <w:rPr>
          <w:color w:val="000000" w:themeColor="text1"/>
          <w:sz w:val="26"/>
          <w:szCs w:val="26"/>
        </w:rPr>
        <w:t xml:space="preserve">functions, or activities </w:t>
      </w:r>
      <w:r w:rsidR="00570362" w:rsidRPr="00087E73">
        <w:rPr>
          <w:color w:val="000000" w:themeColor="text1"/>
          <w:sz w:val="26"/>
          <w:szCs w:val="26"/>
        </w:rPr>
        <w:t xml:space="preserve">in </w:t>
      </w:r>
      <w:r w:rsidR="00042E91" w:rsidRPr="00087E73">
        <w:rPr>
          <w:color w:val="000000" w:themeColor="text1"/>
          <w:sz w:val="26"/>
          <w:szCs w:val="26"/>
        </w:rPr>
        <w:t xml:space="preserve">or affecting </w:t>
      </w:r>
      <w:r w:rsidR="00570362" w:rsidRPr="00087E73">
        <w:rPr>
          <w:color w:val="000000" w:themeColor="text1"/>
          <w:sz w:val="26"/>
          <w:szCs w:val="26"/>
        </w:rPr>
        <w:t>Pennsylvania will be eliminated or that there will be any negative impact on Pennsylvania employment</w:t>
      </w:r>
      <w:r w:rsidR="00042E91">
        <w:rPr>
          <w:color w:val="000000" w:themeColor="text1"/>
          <w:sz w:val="26"/>
          <w:szCs w:val="26"/>
        </w:rPr>
        <w:t xml:space="preserve"> as a result of the transaction</w:t>
      </w:r>
      <w:r w:rsidR="00570362">
        <w:rPr>
          <w:color w:val="000000" w:themeColor="text1"/>
          <w:sz w:val="26"/>
          <w:szCs w:val="26"/>
        </w:rPr>
        <w:t xml:space="preserve">. </w:t>
      </w:r>
      <w:r w:rsidR="001D45B2">
        <w:rPr>
          <w:color w:val="000000" w:themeColor="text1"/>
          <w:sz w:val="26"/>
          <w:szCs w:val="26"/>
        </w:rPr>
        <w:t>Nevertheless</w:t>
      </w:r>
      <w:r w:rsidR="00570362">
        <w:rPr>
          <w:color w:val="000000" w:themeColor="text1"/>
          <w:sz w:val="26"/>
          <w:szCs w:val="26"/>
        </w:rPr>
        <w:t>, a</w:t>
      </w:r>
      <w:r w:rsidR="0059037C" w:rsidRPr="0059037C">
        <w:rPr>
          <w:color w:val="000000" w:themeColor="text1"/>
          <w:sz w:val="26"/>
          <w:szCs w:val="26"/>
        </w:rPr>
        <w:t xml:space="preserve">s a condition of approval in Pennsylvania, we will also require the Joint Applicants to </w:t>
      </w:r>
      <w:r w:rsidR="009012B4">
        <w:rPr>
          <w:color w:val="000000" w:themeColor="text1"/>
          <w:sz w:val="26"/>
          <w:szCs w:val="26"/>
        </w:rPr>
        <w:t>affirm a pub</w:t>
      </w:r>
      <w:r w:rsidR="002A53E4">
        <w:rPr>
          <w:color w:val="000000" w:themeColor="text1"/>
          <w:sz w:val="26"/>
          <w:szCs w:val="26"/>
        </w:rPr>
        <w:t>lic</w:t>
      </w:r>
      <w:r w:rsidR="003A0C78">
        <w:rPr>
          <w:color w:val="000000" w:themeColor="text1"/>
          <w:sz w:val="26"/>
          <w:szCs w:val="26"/>
        </w:rPr>
        <w:t xml:space="preserve"> benefit to</w:t>
      </w:r>
      <w:r w:rsidR="002E29B7" w:rsidRPr="0059037C">
        <w:rPr>
          <w:color w:val="000000" w:themeColor="text1"/>
          <w:sz w:val="26"/>
          <w:szCs w:val="26"/>
        </w:rPr>
        <w:t xml:space="preserve"> </w:t>
      </w:r>
      <w:r w:rsidR="0059037C" w:rsidRPr="0059037C">
        <w:rPr>
          <w:color w:val="000000" w:themeColor="text1"/>
          <w:sz w:val="26"/>
          <w:szCs w:val="26"/>
        </w:rPr>
        <w:t xml:space="preserve">Pennsylvania </w:t>
      </w:r>
      <w:r w:rsidR="00570362">
        <w:rPr>
          <w:color w:val="000000" w:themeColor="text1"/>
          <w:sz w:val="26"/>
          <w:szCs w:val="26"/>
        </w:rPr>
        <w:t xml:space="preserve">business and </w:t>
      </w:r>
      <w:r w:rsidR="0059037C" w:rsidRPr="0059037C">
        <w:rPr>
          <w:color w:val="000000" w:themeColor="text1"/>
          <w:sz w:val="26"/>
          <w:szCs w:val="26"/>
        </w:rPr>
        <w:t xml:space="preserve">employees by filing a notice </w:t>
      </w:r>
      <w:r w:rsidR="00570362">
        <w:rPr>
          <w:color w:val="000000" w:themeColor="text1"/>
          <w:sz w:val="26"/>
          <w:szCs w:val="26"/>
        </w:rPr>
        <w:t>with the Secretary’s Bureau</w:t>
      </w:r>
      <w:r w:rsidR="00570362" w:rsidRPr="00570362">
        <w:rPr>
          <w:color w:val="000000" w:themeColor="text1"/>
          <w:sz w:val="26"/>
          <w:szCs w:val="26"/>
        </w:rPr>
        <w:t xml:space="preserve"> </w:t>
      </w:r>
      <w:r w:rsidR="00570362">
        <w:rPr>
          <w:color w:val="000000" w:themeColor="text1"/>
          <w:sz w:val="26"/>
          <w:szCs w:val="26"/>
        </w:rPr>
        <w:t xml:space="preserve">at this docket, with a copy to the Bureau of Technical Utilities Services, with an explanation, </w:t>
      </w:r>
      <w:r w:rsidR="0059037C" w:rsidRPr="0059037C">
        <w:rPr>
          <w:color w:val="000000" w:themeColor="text1"/>
          <w:sz w:val="26"/>
          <w:szCs w:val="26"/>
        </w:rPr>
        <w:t xml:space="preserve">if </w:t>
      </w:r>
      <w:r w:rsidR="00570362">
        <w:rPr>
          <w:color w:val="000000" w:themeColor="text1"/>
          <w:sz w:val="26"/>
          <w:szCs w:val="26"/>
        </w:rPr>
        <w:t>the</w:t>
      </w:r>
      <w:r w:rsidR="0051589B">
        <w:rPr>
          <w:color w:val="000000" w:themeColor="text1"/>
          <w:sz w:val="26"/>
          <w:szCs w:val="26"/>
        </w:rPr>
        <w:t>se employment and other business-related impact</w:t>
      </w:r>
      <w:r w:rsidR="00EA0BAD">
        <w:rPr>
          <w:color w:val="000000" w:themeColor="text1"/>
          <w:sz w:val="26"/>
          <w:szCs w:val="26"/>
        </w:rPr>
        <w:t>s</w:t>
      </w:r>
      <w:r w:rsidR="0051589B">
        <w:rPr>
          <w:color w:val="000000" w:themeColor="text1"/>
          <w:sz w:val="26"/>
          <w:szCs w:val="26"/>
        </w:rPr>
        <w:t xml:space="preserve"> on Pennsylvania as</w:t>
      </w:r>
      <w:r w:rsidR="00570362">
        <w:rPr>
          <w:color w:val="000000" w:themeColor="text1"/>
          <w:sz w:val="26"/>
          <w:szCs w:val="26"/>
        </w:rPr>
        <w:t xml:space="preserve"> </w:t>
      </w:r>
      <w:r w:rsidR="00570362">
        <w:rPr>
          <w:color w:val="000000" w:themeColor="text1"/>
          <w:sz w:val="26"/>
          <w:szCs w:val="26"/>
        </w:rPr>
        <w:lastRenderedPageBreak/>
        <w:t>averred by Joint Applicants change</w:t>
      </w:r>
      <w:r w:rsidR="005E3870">
        <w:rPr>
          <w:color w:val="000000" w:themeColor="text1"/>
          <w:sz w:val="26"/>
          <w:szCs w:val="26"/>
        </w:rPr>
        <w:t xml:space="preserve"> prior to and continuing for a period of six months following consummation</w:t>
      </w:r>
      <w:r w:rsidR="00570362">
        <w:rPr>
          <w:color w:val="000000" w:themeColor="text1"/>
          <w:sz w:val="26"/>
          <w:szCs w:val="26"/>
        </w:rPr>
        <w:t>.</w:t>
      </w:r>
      <w:r w:rsidR="00191DEB" w:rsidRPr="00191DEB">
        <w:rPr>
          <w:rStyle w:val="FootnoteReference"/>
          <w:color w:val="000000" w:themeColor="text1"/>
          <w:sz w:val="26"/>
          <w:szCs w:val="26"/>
        </w:rPr>
        <w:footnoteReference w:id="35"/>
      </w:r>
      <w:r w:rsidR="00560DD8">
        <w:rPr>
          <w:color w:val="000000" w:themeColor="text1"/>
          <w:sz w:val="26"/>
          <w:szCs w:val="26"/>
        </w:rPr>
        <w:t xml:space="preserve">  </w:t>
      </w:r>
      <w:bookmarkStart w:id="40" w:name="_Hlk61005915"/>
    </w:p>
    <w:p w14:paraId="72A7E771" w14:textId="77777777" w:rsidR="009B3677" w:rsidRDefault="009B3677" w:rsidP="004E4F7D">
      <w:pPr>
        <w:ind w:firstLine="720"/>
        <w:rPr>
          <w:color w:val="000000" w:themeColor="text1"/>
          <w:sz w:val="26"/>
          <w:szCs w:val="26"/>
        </w:rPr>
      </w:pPr>
    </w:p>
    <w:p w14:paraId="137D8C6A" w14:textId="3AF8DB49" w:rsidR="00EA0BAD" w:rsidRDefault="001D45B2" w:rsidP="00EA0BAD">
      <w:pPr>
        <w:ind w:firstLine="720"/>
        <w:rPr>
          <w:color w:val="000000" w:themeColor="text1"/>
          <w:sz w:val="26"/>
          <w:szCs w:val="26"/>
        </w:rPr>
      </w:pPr>
      <w:r>
        <w:rPr>
          <w:color w:val="000000" w:themeColor="text1"/>
          <w:sz w:val="26"/>
          <w:szCs w:val="26"/>
        </w:rPr>
        <w:t>Lastly, we note that t</w:t>
      </w:r>
      <w:r w:rsidR="00277C32">
        <w:rPr>
          <w:color w:val="000000" w:themeColor="text1"/>
          <w:sz w:val="26"/>
          <w:szCs w:val="26"/>
        </w:rPr>
        <w:t>he Joint Applicants have requested</w:t>
      </w:r>
      <w:r w:rsidR="00340506">
        <w:rPr>
          <w:color w:val="000000" w:themeColor="text1"/>
          <w:sz w:val="26"/>
          <w:szCs w:val="26"/>
        </w:rPr>
        <w:t xml:space="preserve"> that the</w:t>
      </w:r>
      <w:r>
        <w:rPr>
          <w:color w:val="000000" w:themeColor="text1"/>
          <w:sz w:val="26"/>
          <w:szCs w:val="26"/>
        </w:rPr>
        <w:t xml:space="preserve"> </w:t>
      </w:r>
      <w:r w:rsidR="00FE15C8">
        <w:rPr>
          <w:color w:val="000000" w:themeColor="text1"/>
          <w:sz w:val="26"/>
          <w:szCs w:val="26"/>
        </w:rPr>
        <w:t xml:space="preserve">already agreed to </w:t>
      </w:r>
      <w:r>
        <w:rPr>
          <w:color w:val="000000" w:themeColor="text1"/>
          <w:sz w:val="26"/>
          <w:szCs w:val="26"/>
        </w:rPr>
        <w:t>P</w:t>
      </w:r>
      <w:r w:rsidR="002022B9">
        <w:rPr>
          <w:color w:val="000000" w:themeColor="text1"/>
          <w:sz w:val="26"/>
          <w:szCs w:val="26"/>
        </w:rPr>
        <w:t>ennsylvani</w:t>
      </w:r>
      <w:r>
        <w:rPr>
          <w:color w:val="000000" w:themeColor="text1"/>
          <w:sz w:val="26"/>
          <w:szCs w:val="26"/>
        </w:rPr>
        <w:t>a-specific</w:t>
      </w:r>
      <w:r w:rsidR="00340506">
        <w:rPr>
          <w:color w:val="000000" w:themeColor="text1"/>
          <w:sz w:val="26"/>
          <w:szCs w:val="26"/>
        </w:rPr>
        <w:t xml:space="preserve"> voluntary </w:t>
      </w:r>
      <w:r w:rsidR="00B65042">
        <w:rPr>
          <w:color w:val="000000" w:themeColor="text1"/>
          <w:sz w:val="26"/>
          <w:szCs w:val="26"/>
        </w:rPr>
        <w:t>commitments be considered</w:t>
      </w:r>
      <w:r w:rsidR="00785E7C">
        <w:rPr>
          <w:color w:val="000000" w:themeColor="text1"/>
          <w:sz w:val="26"/>
          <w:szCs w:val="26"/>
        </w:rPr>
        <w:t xml:space="preserve"> </w:t>
      </w:r>
      <w:r w:rsidR="00B65042">
        <w:rPr>
          <w:color w:val="000000" w:themeColor="text1"/>
          <w:sz w:val="26"/>
          <w:szCs w:val="26"/>
        </w:rPr>
        <w:t>as a full and final resolution of the Applicati</w:t>
      </w:r>
      <w:r w:rsidR="00D30549">
        <w:rPr>
          <w:color w:val="000000" w:themeColor="text1"/>
          <w:sz w:val="26"/>
          <w:szCs w:val="26"/>
        </w:rPr>
        <w:t xml:space="preserve">on </w:t>
      </w:r>
      <w:r>
        <w:rPr>
          <w:color w:val="000000" w:themeColor="text1"/>
          <w:sz w:val="26"/>
          <w:szCs w:val="26"/>
        </w:rPr>
        <w:t xml:space="preserve">in lieu of having to abide by a </w:t>
      </w:r>
      <w:r w:rsidR="00FA4762">
        <w:rPr>
          <w:color w:val="000000" w:themeColor="text1"/>
          <w:sz w:val="26"/>
          <w:szCs w:val="26"/>
        </w:rPr>
        <w:t xml:space="preserve">further </w:t>
      </w:r>
      <w:r>
        <w:rPr>
          <w:color w:val="000000" w:themeColor="text1"/>
          <w:sz w:val="26"/>
          <w:szCs w:val="26"/>
        </w:rPr>
        <w:t xml:space="preserve">provision </w:t>
      </w:r>
      <w:r w:rsidR="00EA0BAD">
        <w:rPr>
          <w:color w:val="000000" w:themeColor="text1"/>
          <w:sz w:val="26"/>
          <w:szCs w:val="26"/>
        </w:rPr>
        <w:t xml:space="preserve">to  Pennsylvania’s interests </w:t>
      </w:r>
      <w:r>
        <w:rPr>
          <w:color w:val="000000" w:themeColor="text1"/>
          <w:sz w:val="26"/>
          <w:szCs w:val="26"/>
        </w:rPr>
        <w:t>that the Commission traditionally imposes as a condition for approval for these types of transactions</w:t>
      </w:r>
      <w:r w:rsidR="00EA0BAD">
        <w:rPr>
          <w:color w:val="000000" w:themeColor="text1"/>
          <w:sz w:val="26"/>
          <w:szCs w:val="26"/>
        </w:rPr>
        <w:t xml:space="preserve"> when it acts in advance of other jurisdictions</w:t>
      </w:r>
      <w:r>
        <w:rPr>
          <w:color w:val="000000" w:themeColor="text1"/>
          <w:sz w:val="26"/>
          <w:szCs w:val="26"/>
        </w:rPr>
        <w:t>.</w:t>
      </w:r>
    </w:p>
    <w:p w14:paraId="252B9C03" w14:textId="77777777" w:rsidR="00EA0BAD" w:rsidRDefault="00EA0BAD" w:rsidP="00EA0BAD">
      <w:pPr>
        <w:ind w:firstLine="720"/>
        <w:rPr>
          <w:color w:val="000000" w:themeColor="text1"/>
          <w:sz w:val="26"/>
          <w:szCs w:val="26"/>
        </w:rPr>
      </w:pPr>
    </w:p>
    <w:p w14:paraId="6EA32A62" w14:textId="77182A8B" w:rsidR="009B3677" w:rsidRPr="00466A76" w:rsidRDefault="00FE15C8" w:rsidP="00EA0BAD">
      <w:pPr>
        <w:ind w:firstLine="720"/>
        <w:rPr>
          <w:color w:val="000000" w:themeColor="text1"/>
          <w:sz w:val="26"/>
          <w:szCs w:val="26"/>
        </w:rPr>
      </w:pPr>
      <w:r w:rsidRPr="00466A76">
        <w:rPr>
          <w:color w:val="000000" w:themeColor="text1"/>
          <w:sz w:val="26"/>
          <w:szCs w:val="26"/>
        </w:rPr>
        <w:t>The Commission has determined that the P</w:t>
      </w:r>
      <w:r w:rsidR="002022B9" w:rsidRPr="00466A76">
        <w:rPr>
          <w:color w:val="000000" w:themeColor="text1"/>
          <w:sz w:val="26"/>
          <w:szCs w:val="26"/>
        </w:rPr>
        <w:t>ennsylvania</w:t>
      </w:r>
      <w:r w:rsidRPr="00466A76">
        <w:rPr>
          <w:color w:val="000000" w:themeColor="text1"/>
          <w:sz w:val="26"/>
          <w:szCs w:val="26"/>
        </w:rPr>
        <w:t xml:space="preserve">-specific voluntary commitments address Frontier’s quality of service and broadband deployment-related issues.  </w:t>
      </w:r>
      <w:r w:rsidR="009B3677" w:rsidRPr="00466A76">
        <w:rPr>
          <w:color w:val="000000" w:themeColor="text1"/>
          <w:sz w:val="26"/>
          <w:szCs w:val="26"/>
        </w:rPr>
        <w:t xml:space="preserve">The Commission had concerns about </w:t>
      </w:r>
      <w:r w:rsidR="00466A76" w:rsidRPr="00466A76">
        <w:rPr>
          <w:color w:val="000000" w:themeColor="text1"/>
          <w:sz w:val="26"/>
          <w:szCs w:val="26"/>
        </w:rPr>
        <w:t>Frontier’s informal</w:t>
      </w:r>
      <w:r w:rsidR="009B3677" w:rsidRPr="00466A76">
        <w:rPr>
          <w:color w:val="000000" w:themeColor="text1"/>
          <w:sz w:val="26"/>
          <w:szCs w:val="26"/>
        </w:rPr>
        <w:t xml:space="preserve"> infraction rate as reflected in our UCARE reports.  </w:t>
      </w:r>
      <w:r w:rsidR="00254DCE" w:rsidRPr="00466A76">
        <w:rPr>
          <w:color w:val="000000" w:themeColor="text1"/>
          <w:sz w:val="26"/>
          <w:szCs w:val="26"/>
        </w:rPr>
        <w:t xml:space="preserve">In particular, the </w:t>
      </w:r>
      <w:r w:rsidR="009B3677" w:rsidRPr="00466A76">
        <w:rPr>
          <w:color w:val="000000" w:themeColor="text1"/>
          <w:sz w:val="26"/>
          <w:szCs w:val="26"/>
        </w:rPr>
        <w:t xml:space="preserve">2019 </w:t>
      </w:r>
      <w:r w:rsidR="00254DCE" w:rsidRPr="00466A76">
        <w:rPr>
          <w:color w:val="000000" w:themeColor="text1"/>
          <w:sz w:val="26"/>
          <w:szCs w:val="26"/>
        </w:rPr>
        <w:t xml:space="preserve">UCARE Report indicated that Frontier </w:t>
      </w:r>
      <w:r w:rsidR="000B2CBA" w:rsidRPr="00466A76">
        <w:rPr>
          <w:color w:val="000000" w:themeColor="text1"/>
          <w:sz w:val="26"/>
          <w:szCs w:val="26"/>
        </w:rPr>
        <w:t>Commonwealth</w:t>
      </w:r>
      <w:r w:rsidR="005364F6" w:rsidRPr="00466A76">
        <w:rPr>
          <w:color w:val="000000" w:themeColor="text1"/>
          <w:sz w:val="26"/>
          <w:szCs w:val="26"/>
        </w:rPr>
        <w:t>’s in</w:t>
      </w:r>
      <w:r w:rsidR="00254DCE" w:rsidRPr="00466A76">
        <w:rPr>
          <w:color w:val="000000" w:themeColor="text1"/>
          <w:sz w:val="26"/>
          <w:szCs w:val="26"/>
        </w:rPr>
        <w:t xml:space="preserve">formal infraction rate was 5.84 infractions per 1,000 customers, which was more than double the rate for the other major ILECs.  </w:t>
      </w:r>
    </w:p>
    <w:p w14:paraId="2882A031" w14:textId="049DD69C" w:rsidR="009B3677" w:rsidRPr="00466A76" w:rsidRDefault="009B3677" w:rsidP="00FE15C8">
      <w:pPr>
        <w:ind w:firstLine="720"/>
        <w:rPr>
          <w:color w:val="000000" w:themeColor="text1"/>
          <w:sz w:val="26"/>
          <w:szCs w:val="26"/>
          <w:highlight w:val="yellow"/>
        </w:rPr>
      </w:pPr>
    </w:p>
    <w:p w14:paraId="0196A817" w14:textId="4B872727" w:rsidR="00FE15C8" w:rsidRPr="00466A76" w:rsidRDefault="00254DCE" w:rsidP="00FE15C8">
      <w:pPr>
        <w:ind w:firstLine="720"/>
        <w:rPr>
          <w:color w:val="000000" w:themeColor="text1"/>
          <w:sz w:val="26"/>
          <w:szCs w:val="26"/>
        </w:rPr>
      </w:pPr>
      <w:r w:rsidRPr="00466A76">
        <w:rPr>
          <w:color w:val="000000" w:themeColor="text1"/>
          <w:sz w:val="26"/>
          <w:szCs w:val="26"/>
        </w:rPr>
        <w:t>However, we have determined that the Pennsylvania-specific voluntary commitments adequately address the troubling trend regarding Frontier’s infraction rate, in addition to the major modifications Frontier has implemented in 2020 to improve its customer service operations</w:t>
      </w:r>
      <w:r w:rsidR="00EE714C" w:rsidRPr="00466A76">
        <w:rPr>
          <w:color w:val="000000" w:themeColor="text1"/>
          <w:sz w:val="26"/>
          <w:szCs w:val="26"/>
        </w:rPr>
        <w:t>.</w:t>
      </w:r>
      <w:r w:rsidRPr="00466A76">
        <w:rPr>
          <w:color w:val="000000" w:themeColor="text1"/>
          <w:sz w:val="26"/>
          <w:szCs w:val="26"/>
        </w:rPr>
        <w:t xml:space="preserve"> </w:t>
      </w:r>
      <w:r w:rsidR="00EE714C" w:rsidRPr="00466A76">
        <w:rPr>
          <w:color w:val="000000" w:themeColor="text1"/>
          <w:sz w:val="26"/>
          <w:szCs w:val="26"/>
        </w:rPr>
        <w:t xml:space="preserve"> </w:t>
      </w:r>
      <w:r w:rsidR="00EE714C" w:rsidRPr="00466A76">
        <w:rPr>
          <w:sz w:val="26"/>
          <w:szCs w:val="26"/>
          <w:u w:val="single"/>
        </w:rPr>
        <w:t>Further, Frontier has committed to capital investment that will result in additional fiber broadband deployment in Pennsylvania</w:t>
      </w:r>
      <w:r w:rsidR="00091EE2" w:rsidRPr="00466A76">
        <w:rPr>
          <w:sz w:val="26"/>
          <w:szCs w:val="26"/>
          <w:u w:val="single"/>
        </w:rPr>
        <w:t>,</w:t>
      </w:r>
      <w:r w:rsidR="00EE714C" w:rsidRPr="00466A76">
        <w:rPr>
          <w:sz w:val="26"/>
          <w:szCs w:val="26"/>
          <w:u w:val="single"/>
        </w:rPr>
        <w:t xml:space="preserve"> and averred fact</w:t>
      </w:r>
      <w:r w:rsidR="00091EE2" w:rsidRPr="00466A76">
        <w:rPr>
          <w:sz w:val="26"/>
          <w:szCs w:val="26"/>
          <w:u w:val="single"/>
        </w:rPr>
        <w:t>s</w:t>
      </w:r>
      <w:r w:rsidR="00EE714C" w:rsidRPr="00466A76">
        <w:rPr>
          <w:sz w:val="26"/>
          <w:szCs w:val="26"/>
          <w:u w:val="single"/>
        </w:rPr>
        <w:t xml:space="preserve"> on this record </w:t>
      </w:r>
      <w:r w:rsidR="007B3873" w:rsidRPr="00466A76">
        <w:rPr>
          <w:sz w:val="26"/>
          <w:szCs w:val="26"/>
          <w:u w:val="single"/>
        </w:rPr>
        <w:t xml:space="preserve">to </w:t>
      </w:r>
      <w:r w:rsidR="00EE714C" w:rsidRPr="00466A76">
        <w:rPr>
          <w:sz w:val="26"/>
          <w:szCs w:val="26"/>
          <w:u w:val="single"/>
        </w:rPr>
        <w:t xml:space="preserve">support a reporting requirement to protect Pennsylvania </w:t>
      </w:r>
      <w:r w:rsidR="00F92255" w:rsidRPr="00466A76">
        <w:rPr>
          <w:sz w:val="26"/>
          <w:szCs w:val="26"/>
          <w:u w:val="single"/>
        </w:rPr>
        <w:t xml:space="preserve">business </w:t>
      </w:r>
      <w:r w:rsidR="00EE714C" w:rsidRPr="00466A76">
        <w:rPr>
          <w:sz w:val="26"/>
          <w:szCs w:val="26"/>
          <w:u w:val="single"/>
        </w:rPr>
        <w:t xml:space="preserve">operations and employment. On this basis, and because we are cognizant of approvals from many other jurisdictions at this time, </w:t>
      </w:r>
      <w:r w:rsidR="008915E6" w:rsidRPr="00466A76">
        <w:rPr>
          <w:color w:val="000000" w:themeColor="text1"/>
          <w:sz w:val="26"/>
          <w:szCs w:val="26"/>
        </w:rPr>
        <w:t>t</w:t>
      </w:r>
      <w:r w:rsidR="001D45B2" w:rsidRPr="00466A76">
        <w:rPr>
          <w:color w:val="000000" w:themeColor="text1"/>
          <w:sz w:val="26"/>
          <w:szCs w:val="26"/>
        </w:rPr>
        <w:t xml:space="preserve">he Commission </w:t>
      </w:r>
      <w:r w:rsidR="008915E6" w:rsidRPr="00466A76">
        <w:rPr>
          <w:color w:val="000000" w:themeColor="text1"/>
          <w:sz w:val="26"/>
          <w:szCs w:val="26"/>
        </w:rPr>
        <w:t xml:space="preserve">will not require the Joint Applicants to notify the Commission about </w:t>
      </w:r>
      <w:r w:rsidR="004E4F7D" w:rsidRPr="00466A76">
        <w:rPr>
          <w:color w:val="000000" w:themeColor="text1"/>
          <w:sz w:val="26"/>
          <w:szCs w:val="26"/>
        </w:rPr>
        <w:t xml:space="preserve">any </w:t>
      </w:r>
      <w:r w:rsidR="00EE714C" w:rsidRPr="00466A76">
        <w:rPr>
          <w:color w:val="000000" w:themeColor="text1"/>
          <w:sz w:val="26"/>
          <w:szCs w:val="26"/>
        </w:rPr>
        <w:t xml:space="preserve">further </w:t>
      </w:r>
      <w:r w:rsidR="004E4F7D" w:rsidRPr="00466A76">
        <w:rPr>
          <w:color w:val="000000" w:themeColor="text1"/>
          <w:sz w:val="26"/>
          <w:szCs w:val="26"/>
        </w:rPr>
        <w:t>commitments that they</w:t>
      </w:r>
      <w:r w:rsidR="00EE714C" w:rsidRPr="00466A76">
        <w:rPr>
          <w:color w:val="000000" w:themeColor="text1"/>
          <w:sz w:val="26"/>
          <w:szCs w:val="26"/>
        </w:rPr>
        <w:t xml:space="preserve"> and/or</w:t>
      </w:r>
      <w:r w:rsidR="004E4F7D" w:rsidRPr="00466A76">
        <w:rPr>
          <w:color w:val="000000" w:themeColor="text1"/>
          <w:sz w:val="26"/>
          <w:szCs w:val="26"/>
        </w:rPr>
        <w:t xml:space="preserve"> their non-Pennsylvania subsidiaries and</w:t>
      </w:r>
      <w:r w:rsidR="00EE714C" w:rsidRPr="00466A76">
        <w:rPr>
          <w:color w:val="000000" w:themeColor="text1"/>
          <w:sz w:val="26"/>
          <w:szCs w:val="26"/>
        </w:rPr>
        <w:t>/or</w:t>
      </w:r>
      <w:r w:rsidR="004E4F7D" w:rsidRPr="00466A76">
        <w:rPr>
          <w:color w:val="000000" w:themeColor="text1"/>
          <w:sz w:val="26"/>
          <w:szCs w:val="26"/>
        </w:rPr>
        <w:t xml:space="preserve"> affiliates have agreed to or any conditions that have been imposed upon them by another jurisdiction regarding this or a related pending transaction.</w:t>
      </w:r>
      <w:r w:rsidR="00FE15C8" w:rsidRPr="00466A76">
        <w:rPr>
          <w:color w:val="000000" w:themeColor="text1"/>
          <w:sz w:val="26"/>
          <w:szCs w:val="26"/>
        </w:rPr>
        <w:t xml:space="preserve">  Accordingly, we find that the P</w:t>
      </w:r>
      <w:r w:rsidR="002022B9" w:rsidRPr="00466A76">
        <w:rPr>
          <w:color w:val="000000" w:themeColor="text1"/>
          <w:sz w:val="26"/>
          <w:szCs w:val="26"/>
        </w:rPr>
        <w:t>ennsylvania</w:t>
      </w:r>
      <w:r w:rsidR="00FE15C8" w:rsidRPr="00466A76">
        <w:rPr>
          <w:color w:val="000000" w:themeColor="text1"/>
          <w:sz w:val="26"/>
          <w:szCs w:val="26"/>
        </w:rPr>
        <w:t xml:space="preserve">-specific commitments that have been presented and agreed to by Frontier </w:t>
      </w:r>
      <w:r w:rsidR="009B3677" w:rsidRPr="00466A76">
        <w:rPr>
          <w:color w:val="000000" w:themeColor="text1"/>
          <w:sz w:val="26"/>
          <w:szCs w:val="26"/>
        </w:rPr>
        <w:t xml:space="preserve">satisfactorily addresses </w:t>
      </w:r>
      <w:r w:rsidR="00FE15C8" w:rsidRPr="00466A76">
        <w:rPr>
          <w:color w:val="000000" w:themeColor="text1"/>
          <w:sz w:val="26"/>
          <w:szCs w:val="26"/>
        </w:rPr>
        <w:t xml:space="preserve">the </w:t>
      </w:r>
      <w:r w:rsidR="002022B9" w:rsidRPr="00466A76">
        <w:rPr>
          <w:color w:val="000000" w:themeColor="text1"/>
          <w:sz w:val="26"/>
          <w:szCs w:val="26"/>
        </w:rPr>
        <w:t xml:space="preserve">troubling trend of </w:t>
      </w:r>
      <w:r w:rsidR="00FE15C8" w:rsidRPr="00466A76">
        <w:rPr>
          <w:color w:val="000000" w:themeColor="text1"/>
          <w:sz w:val="26"/>
          <w:szCs w:val="26"/>
        </w:rPr>
        <w:t>quality of services issues noted in the Commission’s UCARE report</w:t>
      </w:r>
      <w:r w:rsidR="002022B9" w:rsidRPr="00466A76">
        <w:rPr>
          <w:color w:val="000000" w:themeColor="text1"/>
          <w:sz w:val="26"/>
          <w:szCs w:val="26"/>
        </w:rPr>
        <w:t>s</w:t>
      </w:r>
      <w:r w:rsidR="009B3677" w:rsidRPr="00466A76">
        <w:rPr>
          <w:color w:val="000000" w:themeColor="text1"/>
          <w:sz w:val="26"/>
          <w:szCs w:val="26"/>
        </w:rPr>
        <w:t>.</w:t>
      </w:r>
      <w:r w:rsidR="00312439" w:rsidRPr="00466A76">
        <w:rPr>
          <w:color w:val="000000" w:themeColor="text1"/>
          <w:sz w:val="26"/>
          <w:szCs w:val="26"/>
        </w:rPr>
        <w:t xml:space="preserve">  Furtherm</w:t>
      </w:r>
      <w:r w:rsidR="00F56666" w:rsidRPr="00466A76">
        <w:rPr>
          <w:color w:val="000000" w:themeColor="text1"/>
          <w:sz w:val="26"/>
          <w:szCs w:val="26"/>
        </w:rPr>
        <w:t>ore</w:t>
      </w:r>
      <w:r w:rsidR="00531CAA" w:rsidRPr="00466A76">
        <w:rPr>
          <w:color w:val="000000" w:themeColor="text1"/>
          <w:sz w:val="26"/>
          <w:szCs w:val="26"/>
        </w:rPr>
        <w:t>,</w:t>
      </w:r>
      <w:r w:rsidR="00B05AA8" w:rsidRPr="00466A76">
        <w:rPr>
          <w:color w:val="000000" w:themeColor="text1"/>
          <w:sz w:val="26"/>
          <w:szCs w:val="26"/>
        </w:rPr>
        <w:t xml:space="preserve"> we hav</w:t>
      </w:r>
      <w:r w:rsidR="00A06EBA" w:rsidRPr="00466A76">
        <w:rPr>
          <w:color w:val="000000" w:themeColor="text1"/>
          <w:sz w:val="26"/>
          <w:szCs w:val="26"/>
        </w:rPr>
        <w:t>e determined th</w:t>
      </w:r>
      <w:r w:rsidR="0055779D" w:rsidRPr="00466A76">
        <w:rPr>
          <w:color w:val="000000" w:themeColor="text1"/>
          <w:sz w:val="26"/>
          <w:szCs w:val="26"/>
        </w:rPr>
        <w:t>at</w:t>
      </w:r>
      <w:r w:rsidR="00195331" w:rsidRPr="00466A76">
        <w:rPr>
          <w:color w:val="000000" w:themeColor="text1"/>
          <w:sz w:val="26"/>
          <w:szCs w:val="26"/>
        </w:rPr>
        <w:t xml:space="preserve"> </w:t>
      </w:r>
      <w:r w:rsidR="00B44A83" w:rsidRPr="00466A76">
        <w:rPr>
          <w:color w:val="000000" w:themeColor="text1"/>
          <w:sz w:val="26"/>
          <w:szCs w:val="26"/>
        </w:rPr>
        <w:t xml:space="preserve">the </w:t>
      </w:r>
      <w:r w:rsidR="00632C10" w:rsidRPr="00466A76">
        <w:rPr>
          <w:color w:val="000000" w:themeColor="text1"/>
          <w:sz w:val="26"/>
          <w:szCs w:val="26"/>
        </w:rPr>
        <w:t>volunt</w:t>
      </w:r>
      <w:r w:rsidR="00A33ADA" w:rsidRPr="00466A76">
        <w:rPr>
          <w:color w:val="000000" w:themeColor="text1"/>
          <w:sz w:val="26"/>
          <w:szCs w:val="26"/>
        </w:rPr>
        <w:t>ar</w:t>
      </w:r>
      <w:r w:rsidR="0049342F" w:rsidRPr="00466A76">
        <w:rPr>
          <w:color w:val="000000" w:themeColor="text1"/>
          <w:sz w:val="26"/>
          <w:szCs w:val="26"/>
        </w:rPr>
        <w:t xml:space="preserve">y </w:t>
      </w:r>
      <w:r w:rsidR="00B0469F" w:rsidRPr="00466A76">
        <w:rPr>
          <w:color w:val="000000" w:themeColor="text1"/>
          <w:sz w:val="26"/>
          <w:szCs w:val="26"/>
        </w:rPr>
        <w:t>commitment</w:t>
      </w:r>
      <w:r w:rsidR="002551E4" w:rsidRPr="00466A76">
        <w:rPr>
          <w:color w:val="000000" w:themeColor="text1"/>
          <w:sz w:val="26"/>
          <w:szCs w:val="26"/>
        </w:rPr>
        <w:t>s</w:t>
      </w:r>
      <w:r w:rsidR="00AA2E2F" w:rsidRPr="00466A76">
        <w:rPr>
          <w:color w:val="000000" w:themeColor="text1"/>
          <w:sz w:val="26"/>
          <w:szCs w:val="26"/>
        </w:rPr>
        <w:t xml:space="preserve"> </w:t>
      </w:r>
      <w:r w:rsidR="00E8752B" w:rsidRPr="00466A76">
        <w:rPr>
          <w:color w:val="000000" w:themeColor="text1"/>
          <w:sz w:val="26"/>
          <w:szCs w:val="26"/>
        </w:rPr>
        <w:t>provide Pennsyl</w:t>
      </w:r>
      <w:r w:rsidR="007464AF" w:rsidRPr="00466A76">
        <w:rPr>
          <w:color w:val="000000" w:themeColor="text1"/>
          <w:sz w:val="26"/>
          <w:szCs w:val="26"/>
        </w:rPr>
        <w:t xml:space="preserve">vania with </w:t>
      </w:r>
      <w:r w:rsidR="005757DC" w:rsidRPr="00466A76">
        <w:rPr>
          <w:color w:val="000000" w:themeColor="text1"/>
          <w:sz w:val="26"/>
          <w:szCs w:val="26"/>
        </w:rPr>
        <w:t>reasonab</w:t>
      </w:r>
      <w:r w:rsidR="008302B1" w:rsidRPr="00466A76">
        <w:rPr>
          <w:color w:val="000000" w:themeColor="text1"/>
          <w:sz w:val="26"/>
          <w:szCs w:val="26"/>
        </w:rPr>
        <w:t>le comparab</w:t>
      </w:r>
      <w:r w:rsidR="002D707A" w:rsidRPr="00466A76">
        <w:rPr>
          <w:color w:val="000000" w:themeColor="text1"/>
          <w:sz w:val="26"/>
          <w:szCs w:val="26"/>
        </w:rPr>
        <w:t>le conditions</w:t>
      </w:r>
      <w:r w:rsidR="00F7321B" w:rsidRPr="00466A76">
        <w:rPr>
          <w:color w:val="000000" w:themeColor="text1"/>
          <w:sz w:val="26"/>
          <w:szCs w:val="26"/>
        </w:rPr>
        <w:t xml:space="preserve"> </w:t>
      </w:r>
      <w:r w:rsidR="00ED4B7F" w:rsidRPr="00466A76">
        <w:rPr>
          <w:color w:val="000000" w:themeColor="text1"/>
          <w:sz w:val="26"/>
          <w:szCs w:val="26"/>
        </w:rPr>
        <w:t>to those off</w:t>
      </w:r>
      <w:r w:rsidR="00EC68EB" w:rsidRPr="00466A76">
        <w:rPr>
          <w:color w:val="000000" w:themeColor="text1"/>
          <w:sz w:val="26"/>
          <w:szCs w:val="26"/>
        </w:rPr>
        <w:t xml:space="preserve">ered to other </w:t>
      </w:r>
      <w:r w:rsidR="00A23E8C" w:rsidRPr="00466A76">
        <w:rPr>
          <w:color w:val="000000" w:themeColor="text1"/>
          <w:sz w:val="26"/>
          <w:szCs w:val="26"/>
        </w:rPr>
        <w:t>jurisdicti</w:t>
      </w:r>
      <w:r w:rsidR="006E0B3F" w:rsidRPr="00466A76">
        <w:rPr>
          <w:color w:val="000000" w:themeColor="text1"/>
          <w:sz w:val="26"/>
          <w:szCs w:val="26"/>
        </w:rPr>
        <w:t>ons.</w:t>
      </w:r>
    </w:p>
    <w:bookmarkEnd w:id="40"/>
    <w:p w14:paraId="51C97C9E" w14:textId="39BEA0A6" w:rsidR="00E547B4" w:rsidRDefault="00E547B4" w:rsidP="00C31C4F">
      <w:pPr>
        <w:rPr>
          <w:color w:val="000000" w:themeColor="text1"/>
          <w:sz w:val="26"/>
          <w:szCs w:val="26"/>
        </w:rPr>
      </w:pPr>
    </w:p>
    <w:p w14:paraId="2DADB8AB" w14:textId="42382215" w:rsidR="003E308C" w:rsidRPr="000267A0" w:rsidRDefault="003E308C" w:rsidP="003E308C">
      <w:pPr>
        <w:rPr>
          <w:color w:val="000000" w:themeColor="text1"/>
          <w:sz w:val="26"/>
          <w:szCs w:val="26"/>
        </w:rPr>
      </w:pPr>
      <w:r w:rsidRPr="000267A0">
        <w:rPr>
          <w:color w:val="000000" w:themeColor="text1"/>
          <w:sz w:val="26"/>
          <w:szCs w:val="26"/>
        </w:rPr>
        <w:tab/>
        <w:t xml:space="preserve">Therefore, the Commission directs the Joint Applicants to file notice with the Commission within 30 days of the </w:t>
      </w:r>
      <w:r>
        <w:rPr>
          <w:color w:val="000000" w:themeColor="text1"/>
          <w:sz w:val="26"/>
          <w:szCs w:val="26"/>
        </w:rPr>
        <w:t xml:space="preserve">consummation of this </w:t>
      </w:r>
      <w:r w:rsidRPr="000267A0">
        <w:rPr>
          <w:color w:val="000000" w:themeColor="text1"/>
          <w:sz w:val="26"/>
          <w:szCs w:val="26"/>
        </w:rPr>
        <w:t>general rule transaction</w:t>
      </w:r>
      <w:r w:rsidR="007D19AA">
        <w:rPr>
          <w:color w:val="000000" w:themeColor="text1"/>
          <w:sz w:val="26"/>
          <w:szCs w:val="26"/>
        </w:rPr>
        <w:t>.</w:t>
      </w:r>
      <w:r w:rsidRPr="000267A0">
        <w:rPr>
          <w:color w:val="000000" w:themeColor="text1"/>
          <w:sz w:val="26"/>
          <w:szCs w:val="26"/>
        </w:rPr>
        <w:t xml:space="preserve">  If the </w:t>
      </w:r>
      <w:r w:rsidR="005C0EB2">
        <w:rPr>
          <w:color w:val="000000" w:themeColor="text1"/>
          <w:sz w:val="26"/>
          <w:szCs w:val="26"/>
        </w:rPr>
        <w:lastRenderedPageBreak/>
        <w:t xml:space="preserve">Joint </w:t>
      </w:r>
      <w:r w:rsidRPr="000267A0">
        <w:rPr>
          <w:color w:val="000000" w:themeColor="text1"/>
          <w:sz w:val="26"/>
          <w:szCs w:val="26"/>
        </w:rPr>
        <w:t>Applicant</w:t>
      </w:r>
      <w:r w:rsidR="005C0EB2">
        <w:rPr>
          <w:color w:val="000000" w:themeColor="text1"/>
          <w:sz w:val="26"/>
          <w:szCs w:val="26"/>
        </w:rPr>
        <w:t>s</w:t>
      </w:r>
      <w:r w:rsidRPr="000267A0">
        <w:rPr>
          <w:color w:val="000000" w:themeColor="text1"/>
          <w:sz w:val="26"/>
          <w:szCs w:val="26"/>
        </w:rPr>
        <w:t xml:space="preserve"> determine that the transfer of control will not take place, then </w:t>
      </w:r>
      <w:r w:rsidR="00B5004E">
        <w:rPr>
          <w:color w:val="000000" w:themeColor="text1"/>
          <w:sz w:val="26"/>
          <w:szCs w:val="26"/>
        </w:rPr>
        <w:t>they</w:t>
      </w:r>
      <w:r w:rsidR="00B5004E" w:rsidRPr="000267A0">
        <w:rPr>
          <w:color w:val="000000" w:themeColor="text1"/>
          <w:sz w:val="26"/>
          <w:szCs w:val="26"/>
        </w:rPr>
        <w:t xml:space="preserve"> </w:t>
      </w:r>
      <w:r w:rsidRPr="000267A0">
        <w:rPr>
          <w:color w:val="000000" w:themeColor="text1"/>
          <w:sz w:val="26"/>
          <w:szCs w:val="26"/>
        </w:rPr>
        <w:t xml:space="preserve">shall promptly so notify this Commission.  </w:t>
      </w:r>
    </w:p>
    <w:p w14:paraId="7C9250E8" w14:textId="77777777" w:rsidR="003E308C" w:rsidRPr="000267A0" w:rsidRDefault="003E308C" w:rsidP="003E308C">
      <w:pPr>
        <w:rPr>
          <w:color w:val="000000" w:themeColor="text1"/>
          <w:sz w:val="26"/>
          <w:szCs w:val="26"/>
        </w:rPr>
      </w:pPr>
    </w:p>
    <w:p w14:paraId="401786B4" w14:textId="39A0753F" w:rsidR="000267A0" w:rsidRPr="001427BC" w:rsidRDefault="00780EBB" w:rsidP="000267A0">
      <w:pPr>
        <w:rPr>
          <w:color w:val="000000" w:themeColor="text1"/>
          <w:sz w:val="26"/>
          <w:szCs w:val="26"/>
        </w:rPr>
      </w:pPr>
      <w:r w:rsidRPr="009F01BA">
        <w:rPr>
          <w:b/>
          <w:noProof/>
          <w:sz w:val="20"/>
        </w:rPr>
        <w:drawing>
          <wp:anchor distT="0" distB="0" distL="114300" distR="114300" simplePos="0" relativeHeight="251660288" behindDoc="1" locked="0" layoutInCell="1" allowOverlap="1" wp14:anchorId="1206EB7B" wp14:editId="0DE795AE">
            <wp:simplePos x="0" y="0"/>
            <wp:positionH relativeFrom="column">
              <wp:posOffset>3067050</wp:posOffset>
            </wp:positionH>
            <wp:positionV relativeFrom="paragraph">
              <wp:posOffset>189230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0267A0" w:rsidRPr="001427BC">
        <w:rPr>
          <w:color w:val="000000" w:themeColor="text1"/>
          <w:sz w:val="26"/>
          <w:szCs w:val="26"/>
        </w:rPr>
        <w:tab/>
      </w:r>
      <w:r w:rsidR="00E90C28" w:rsidRPr="001427BC">
        <w:rPr>
          <w:sz w:val="26"/>
          <w:szCs w:val="26"/>
        </w:rPr>
        <w:t>BY THE COMMISSION</w:t>
      </w:r>
      <w:r w:rsidR="000267A0" w:rsidRPr="001427BC">
        <w:rPr>
          <w:color w:val="000000" w:themeColor="text1"/>
          <w:sz w:val="26"/>
          <w:szCs w:val="26"/>
        </w:rPr>
        <w:t xml:space="preserve">, </w:t>
      </w:r>
    </w:p>
    <w:p w14:paraId="619783DA" w14:textId="466C08F5" w:rsidR="000267A0" w:rsidRPr="001427BC" w:rsidRDefault="000267A0" w:rsidP="000267A0">
      <w:pPr>
        <w:rPr>
          <w:color w:val="000000" w:themeColor="text1"/>
          <w:sz w:val="26"/>
          <w:szCs w:val="26"/>
        </w:rPr>
      </w:pPr>
    </w:p>
    <w:p w14:paraId="609126CE" w14:textId="7E0703D8" w:rsidR="00DA49ED" w:rsidRPr="001427BC" w:rsidRDefault="00DA49ED" w:rsidP="000267A0">
      <w:pPr>
        <w:rPr>
          <w:color w:val="000000" w:themeColor="text1"/>
          <w:sz w:val="26"/>
          <w:szCs w:val="26"/>
        </w:rPr>
      </w:pPr>
    </w:p>
    <w:p w14:paraId="3583AF4B" w14:textId="07BF6372" w:rsidR="006630BA" w:rsidRDefault="006630BA" w:rsidP="000267A0">
      <w:pPr>
        <w:rPr>
          <w:color w:val="000000" w:themeColor="text1"/>
          <w:sz w:val="26"/>
          <w:szCs w:val="26"/>
        </w:rPr>
      </w:pPr>
    </w:p>
    <w:p w14:paraId="5456AEE1" w14:textId="77777777" w:rsidR="00FA0EE6" w:rsidRPr="001427BC" w:rsidRDefault="00FA0EE6" w:rsidP="000267A0">
      <w:pPr>
        <w:rPr>
          <w:color w:val="000000" w:themeColor="text1"/>
          <w:sz w:val="26"/>
          <w:szCs w:val="26"/>
        </w:rPr>
      </w:pPr>
    </w:p>
    <w:p w14:paraId="5628D0D9" w14:textId="77777777" w:rsidR="000267A0" w:rsidRPr="001427BC" w:rsidRDefault="000267A0" w:rsidP="000267A0">
      <w:pPr>
        <w:rPr>
          <w:color w:val="000000" w:themeColor="text1"/>
          <w:sz w:val="26"/>
          <w:szCs w:val="26"/>
        </w:rPr>
      </w:pP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t>Rosemary Chiavetta</w:t>
      </w:r>
    </w:p>
    <w:p w14:paraId="76E0FEDA" w14:textId="4A006CC9" w:rsidR="000267A0" w:rsidRPr="001427BC" w:rsidRDefault="000267A0" w:rsidP="000267A0">
      <w:pPr>
        <w:rPr>
          <w:color w:val="000000" w:themeColor="text1"/>
          <w:sz w:val="26"/>
          <w:szCs w:val="26"/>
        </w:rPr>
      </w:pP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r>
      <w:r w:rsidRPr="001427BC">
        <w:rPr>
          <w:color w:val="000000" w:themeColor="text1"/>
          <w:sz w:val="26"/>
          <w:szCs w:val="26"/>
        </w:rPr>
        <w:tab/>
        <w:t>Secretary</w:t>
      </w:r>
    </w:p>
    <w:p w14:paraId="0D5A480B" w14:textId="5E693470" w:rsidR="00E5063F" w:rsidRDefault="00E5063F" w:rsidP="000267A0">
      <w:pPr>
        <w:rPr>
          <w:color w:val="000000" w:themeColor="text1"/>
          <w:sz w:val="26"/>
          <w:szCs w:val="26"/>
        </w:rPr>
      </w:pPr>
    </w:p>
    <w:p w14:paraId="050D8482" w14:textId="4BA0267C" w:rsidR="00223080" w:rsidRDefault="00B938F2" w:rsidP="000267A0">
      <w:pPr>
        <w:rPr>
          <w:color w:val="000000" w:themeColor="text1"/>
          <w:sz w:val="26"/>
          <w:szCs w:val="26"/>
        </w:rPr>
      </w:pPr>
      <w:r>
        <w:rPr>
          <w:color w:val="000000" w:themeColor="text1"/>
          <w:sz w:val="26"/>
          <w:szCs w:val="26"/>
        </w:rPr>
        <w:t>Enclos</w:t>
      </w:r>
      <w:r w:rsidR="009733E1">
        <w:rPr>
          <w:color w:val="000000" w:themeColor="text1"/>
          <w:sz w:val="26"/>
          <w:szCs w:val="26"/>
        </w:rPr>
        <w:t>ure</w:t>
      </w:r>
      <w:r w:rsidR="00223080">
        <w:rPr>
          <w:color w:val="000000" w:themeColor="text1"/>
          <w:sz w:val="26"/>
          <w:szCs w:val="26"/>
        </w:rPr>
        <w:t xml:space="preserve"> – </w:t>
      </w:r>
      <w:r w:rsidR="009733E1">
        <w:rPr>
          <w:color w:val="000000" w:themeColor="text1"/>
          <w:sz w:val="26"/>
          <w:szCs w:val="26"/>
        </w:rPr>
        <w:t>E</w:t>
      </w:r>
      <w:r w:rsidR="009B4B00">
        <w:rPr>
          <w:color w:val="000000" w:themeColor="text1"/>
          <w:sz w:val="26"/>
          <w:szCs w:val="26"/>
        </w:rPr>
        <w:t>xhibit</w:t>
      </w:r>
      <w:r w:rsidR="00230C3D">
        <w:rPr>
          <w:color w:val="000000" w:themeColor="text1"/>
          <w:sz w:val="26"/>
          <w:szCs w:val="26"/>
        </w:rPr>
        <w:t xml:space="preserve"> 1</w:t>
      </w:r>
    </w:p>
    <w:p w14:paraId="158CAF2A" w14:textId="77777777" w:rsidR="006860CB" w:rsidRPr="001427BC" w:rsidRDefault="006860CB" w:rsidP="000267A0">
      <w:pPr>
        <w:rPr>
          <w:color w:val="000000" w:themeColor="text1"/>
          <w:sz w:val="26"/>
          <w:szCs w:val="26"/>
        </w:rPr>
      </w:pPr>
    </w:p>
    <w:p w14:paraId="6DEE70BF" w14:textId="5F8C48FB" w:rsidR="00DA202A" w:rsidRDefault="000267A0" w:rsidP="006F359E">
      <w:pPr>
        <w:rPr>
          <w:color w:val="000000" w:themeColor="text1"/>
          <w:sz w:val="26"/>
          <w:szCs w:val="26"/>
        </w:rPr>
      </w:pPr>
      <w:r w:rsidRPr="001427BC">
        <w:rPr>
          <w:color w:val="000000" w:themeColor="text1"/>
          <w:sz w:val="26"/>
          <w:szCs w:val="26"/>
        </w:rPr>
        <w:t>cc:</w:t>
      </w:r>
      <w:r w:rsidRPr="001427BC">
        <w:rPr>
          <w:color w:val="000000" w:themeColor="text1"/>
          <w:sz w:val="26"/>
          <w:szCs w:val="26"/>
        </w:rPr>
        <w:tab/>
      </w:r>
      <w:r w:rsidR="00DA202A">
        <w:rPr>
          <w:color w:val="000000" w:themeColor="text1"/>
          <w:sz w:val="26"/>
          <w:szCs w:val="26"/>
        </w:rPr>
        <w:t>Charles E. Thomas, Jr., cthomasjr@tntlawfirm.com</w:t>
      </w:r>
    </w:p>
    <w:p w14:paraId="6D2DF6EB" w14:textId="4096A2C0" w:rsidR="006F359E" w:rsidRDefault="00B65FDF" w:rsidP="00DA202A">
      <w:pPr>
        <w:ind w:firstLine="720"/>
        <w:rPr>
          <w:color w:val="000000" w:themeColor="text1"/>
          <w:sz w:val="26"/>
          <w:szCs w:val="26"/>
        </w:rPr>
      </w:pPr>
      <w:r>
        <w:rPr>
          <w:color w:val="000000" w:themeColor="text1"/>
          <w:sz w:val="26"/>
          <w:szCs w:val="26"/>
        </w:rPr>
        <w:t>Frederick Thomas, FT230@ftr.com</w:t>
      </w:r>
    </w:p>
    <w:p w14:paraId="7548AEB0" w14:textId="65930134" w:rsidR="006E2B02" w:rsidRDefault="006F359E" w:rsidP="006F359E">
      <w:pPr>
        <w:rPr>
          <w:color w:val="000000" w:themeColor="text1"/>
          <w:sz w:val="26"/>
          <w:szCs w:val="26"/>
        </w:rPr>
      </w:pPr>
      <w:r>
        <w:rPr>
          <w:color w:val="000000" w:themeColor="text1"/>
          <w:sz w:val="26"/>
          <w:szCs w:val="26"/>
        </w:rPr>
        <w:tab/>
      </w:r>
      <w:r w:rsidR="00B65FDF">
        <w:rPr>
          <w:color w:val="000000" w:themeColor="text1"/>
          <w:sz w:val="26"/>
          <w:szCs w:val="26"/>
        </w:rPr>
        <w:t>Allison Ellis, AE4862@ftr.com</w:t>
      </w:r>
    </w:p>
    <w:p w14:paraId="32868EC1" w14:textId="7CE36811" w:rsidR="000267A0" w:rsidRPr="0033190F" w:rsidRDefault="006E2B02" w:rsidP="0033190F">
      <w:pPr>
        <w:rPr>
          <w:color w:val="000000" w:themeColor="text1"/>
          <w:sz w:val="26"/>
          <w:szCs w:val="26"/>
        </w:rPr>
      </w:pPr>
      <w:r>
        <w:rPr>
          <w:color w:val="000000" w:themeColor="text1"/>
          <w:sz w:val="26"/>
          <w:szCs w:val="26"/>
        </w:rPr>
        <w:tab/>
      </w:r>
      <w:r w:rsidR="005C616A">
        <w:rPr>
          <w:color w:val="000000" w:themeColor="text1"/>
          <w:sz w:val="26"/>
          <w:szCs w:val="26"/>
        </w:rPr>
        <w:t>PEMA</w:t>
      </w:r>
    </w:p>
    <w:p w14:paraId="2E8314BD" w14:textId="3A698F4C" w:rsidR="009347DE" w:rsidRDefault="009347DE">
      <w:pPr>
        <w:rPr>
          <w:sz w:val="26"/>
          <w:szCs w:val="26"/>
        </w:rPr>
      </w:pPr>
      <w:r>
        <w:rPr>
          <w:sz w:val="26"/>
          <w:szCs w:val="26"/>
        </w:rPr>
        <w:br w:type="page"/>
      </w:r>
    </w:p>
    <w:p w14:paraId="31DC8306" w14:textId="67D54A49" w:rsidR="009347DE" w:rsidRPr="008B0C6A" w:rsidRDefault="009347DE" w:rsidP="008B0C6A">
      <w:pPr>
        <w:ind w:firstLine="720"/>
        <w:rPr>
          <w:b/>
          <w:bCs/>
          <w:sz w:val="26"/>
          <w:szCs w:val="26"/>
        </w:rPr>
      </w:pPr>
      <w:r w:rsidRPr="008B0C6A">
        <w:rPr>
          <w:b/>
          <w:bCs/>
          <w:sz w:val="26"/>
          <w:szCs w:val="26"/>
        </w:rPr>
        <w:lastRenderedPageBreak/>
        <w:t>Ex</w:t>
      </w:r>
      <w:r w:rsidR="00D07812" w:rsidRPr="008B0C6A">
        <w:rPr>
          <w:b/>
          <w:bCs/>
          <w:sz w:val="26"/>
          <w:szCs w:val="26"/>
        </w:rPr>
        <w:t>hib</w:t>
      </w:r>
      <w:r w:rsidR="003203B5" w:rsidRPr="008B0C6A">
        <w:rPr>
          <w:b/>
          <w:bCs/>
          <w:sz w:val="26"/>
          <w:szCs w:val="26"/>
        </w:rPr>
        <w:t xml:space="preserve">it </w:t>
      </w:r>
      <w:r w:rsidR="008316AF" w:rsidRPr="008B0C6A">
        <w:rPr>
          <w:b/>
          <w:bCs/>
          <w:sz w:val="26"/>
          <w:szCs w:val="26"/>
        </w:rPr>
        <w:t>1</w:t>
      </w:r>
    </w:p>
    <w:p w14:paraId="28A2B549" w14:textId="77777777" w:rsidR="009347DE" w:rsidRDefault="009347DE" w:rsidP="009347DE">
      <w:pPr>
        <w:ind w:firstLine="720"/>
        <w:rPr>
          <w:sz w:val="26"/>
          <w:szCs w:val="26"/>
        </w:rPr>
      </w:pPr>
    </w:p>
    <w:p w14:paraId="0979D16D" w14:textId="739B51EC" w:rsidR="009347DE" w:rsidRPr="009347DE" w:rsidRDefault="009347DE" w:rsidP="009347DE">
      <w:pPr>
        <w:ind w:firstLine="720"/>
        <w:rPr>
          <w:sz w:val="26"/>
          <w:szCs w:val="26"/>
        </w:rPr>
      </w:pPr>
      <w:r w:rsidRPr="009347DE">
        <w:rPr>
          <w:sz w:val="26"/>
          <w:szCs w:val="26"/>
        </w:rPr>
        <w:t xml:space="preserve">Frontier Voluntary Commitments </w:t>
      </w:r>
    </w:p>
    <w:p w14:paraId="2163F613" w14:textId="77777777" w:rsidR="009347DE" w:rsidRPr="009347DE" w:rsidRDefault="009347DE" w:rsidP="009347DE">
      <w:pPr>
        <w:ind w:firstLine="720"/>
        <w:rPr>
          <w:sz w:val="26"/>
          <w:szCs w:val="26"/>
        </w:rPr>
      </w:pPr>
    </w:p>
    <w:p w14:paraId="12E40894" w14:textId="77777777" w:rsidR="009347DE" w:rsidRPr="009347DE" w:rsidRDefault="009347DE" w:rsidP="009347DE">
      <w:pPr>
        <w:ind w:firstLine="720"/>
        <w:rPr>
          <w:sz w:val="26"/>
          <w:szCs w:val="26"/>
        </w:rPr>
      </w:pPr>
      <w:r w:rsidRPr="009347DE">
        <w:rPr>
          <w:sz w:val="26"/>
          <w:szCs w:val="26"/>
        </w:rPr>
        <w:t>Frontier proposes the following terms to resolve issues raised by Commission Staff in the context of its pending Application and to provide reasonably comparable conditions agreed to by the Company in other states as appropriate for Pennsylvania.  If approved by the Commission, the Frontier operating companies in Pennsylvania will be permitted to emerge from bankruptcy and be a part of the restructured Frontier organization.</w:t>
      </w:r>
    </w:p>
    <w:p w14:paraId="4B08E1F9" w14:textId="77777777" w:rsidR="009347DE" w:rsidRPr="009347DE" w:rsidRDefault="009347DE" w:rsidP="009F036E">
      <w:pPr>
        <w:rPr>
          <w:sz w:val="26"/>
          <w:szCs w:val="26"/>
          <w:u w:val="single"/>
        </w:rPr>
      </w:pPr>
    </w:p>
    <w:p w14:paraId="2ED1D936" w14:textId="47243384" w:rsidR="009347DE" w:rsidRDefault="009347DE" w:rsidP="009347DE">
      <w:pPr>
        <w:ind w:firstLine="720"/>
        <w:rPr>
          <w:sz w:val="26"/>
          <w:szCs w:val="26"/>
          <w:u w:val="single"/>
        </w:rPr>
      </w:pPr>
      <w:r w:rsidRPr="009347DE">
        <w:rPr>
          <w:sz w:val="26"/>
          <w:szCs w:val="26"/>
          <w:u w:val="single"/>
        </w:rPr>
        <w:t xml:space="preserve">Service Improvements </w:t>
      </w:r>
    </w:p>
    <w:p w14:paraId="52D91FE0" w14:textId="77777777" w:rsidR="009F036E" w:rsidRPr="009347DE" w:rsidRDefault="009F036E" w:rsidP="009347DE">
      <w:pPr>
        <w:ind w:firstLine="720"/>
        <w:rPr>
          <w:sz w:val="26"/>
          <w:szCs w:val="26"/>
          <w:u w:val="single"/>
        </w:rPr>
      </w:pPr>
    </w:p>
    <w:p w14:paraId="4386B898" w14:textId="3B525CCF" w:rsidR="009347DE" w:rsidRPr="009F036E" w:rsidRDefault="009347DE" w:rsidP="009347DE">
      <w:pPr>
        <w:numPr>
          <w:ilvl w:val="0"/>
          <w:numId w:val="2"/>
        </w:numPr>
        <w:rPr>
          <w:sz w:val="26"/>
          <w:szCs w:val="26"/>
          <w:u w:val="single"/>
        </w:rPr>
      </w:pPr>
      <w:r w:rsidRPr="009347DE">
        <w:rPr>
          <w:sz w:val="26"/>
          <w:szCs w:val="26"/>
        </w:rPr>
        <w:t>Within 90 days after emergence from Chapter 11, Frontier will evaluate and identify the specific geographic areas that have experienced the highest number of customer complaints. Frontier shall advise Staff of the actions it intends to take to improve service quality, including broadband access on the basis of Chapter 30 of the Public Utility Code or other applicable federal broadband deployment obligations, based on this review, including but not limited to network enhancements and maintenance. Frontier will submit an annual report on actions taken and expenditures made to Staff.</w:t>
      </w:r>
    </w:p>
    <w:p w14:paraId="61BF353B" w14:textId="77777777" w:rsidR="009F036E" w:rsidRPr="009347DE" w:rsidRDefault="009F036E" w:rsidP="009F036E">
      <w:pPr>
        <w:ind w:left="360"/>
        <w:rPr>
          <w:sz w:val="26"/>
          <w:szCs w:val="26"/>
          <w:u w:val="single"/>
        </w:rPr>
      </w:pPr>
    </w:p>
    <w:p w14:paraId="5F935EC7" w14:textId="77777777" w:rsidR="009F036E" w:rsidRDefault="009347DE" w:rsidP="009347DE">
      <w:pPr>
        <w:numPr>
          <w:ilvl w:val="0"/>
          <w:numId w:val="2"/>
        </w:numPr>
        <w:rPr>
          <w:sz w:val="26"/>
          <w:szCs w:val="26"/>
        </w:rPr>
      </w:pPr>
      <w:r w:rsidRPr="009347DE">
        <w:rPr>
          <w:sz w:val="26"/>
          <w:szCs w:val="26"/>
        </w:rPr>
        <w:t xml:space="preserve">Frontier shall perform a detailed quarterly review of all customer complaints filed with BCS concerning the availability of broadband access service at 1.544 Mbps download speed and conduct testing/analysis to confirm that broadband access service is available consistent with the applicable Chapter 30 requirements. If Frontier identifies a group or geographic area with multiple complaints, Frontier shall conduct a review and evaluation of potential network improvements to be made to improve broadband access service and will advise BCS of planned network improvements in those areas and/or other actions Frontier plans to undertake to fulfill the applicable Chapter 30 requirements. </w:t>
      </w:r>
    </w:p>
    <w:p w14:paraId="2264801A" w14:textId="08FFFCD6" w:rsidR="009347DE" w:rsidRPr="009347DE" w:rsidRDefault="009347DE" w:rsidP="009F036E">
      <w:pPr>
        <w:rPr>
          <w:sz w:val="26"/>
          <w:szCs w:val="26"/>
        </w:rPr>
      </w:pPr>
      <w:r w:rsidRPr="009347DE">
        <w:rPr>
          <w:sz w:val="26"/>
          <w:szCs w:val="26"/>
        </w:rPr>
        <w:t xml:space="preserve"> </w:t>
      </w:r>
    </w:p>
    <w:p w14:paraId="049339F8" w14:textId="453DDFC3" w:rsidR="009347DE" w:rsidRDefault="009347DE" w:rsidP="009347DE">
      <w:pPr>
        <w:numPr>
          <w:ilvl w:val="0"/>
          <w:numId w:val="2"/>
        </w:numPr>
        <w:rPr>
          <w:sz w:val="26"/>
          <w:szCs w:val="26"/>
        </w:rPr>
      </w:pPr>
      <w:r w:rsidRPr="009347DE">
        <w:rPr>
          <w:sz w:val="26"/>
          <w:szCs w:val="26"/>
        </w:rPr>
        <w:t>Frontier will expend a minimum of $50 million in total capital expenditures over a four-year period ending on December 31, 2024, including expenditures on service quality, maintenance and network enhancement projects to improve service quality and reliability and enhance its services in Pennsylvania. Frontier will fulfill this commitment using funds it generates from its Pennsylvania ILECs and other operations, including any state or federal support funds that the Frontier ILECs in Pennsylvania currently receive or may receive. Each year, commencing on March 31, 2022 and annually thereafter through March 31, 2025, Frontier will submit a report, broken out by individual Pennsylvania ILEC identifying the amount of capital expenditures for the prior calendar year.</w:t>
      </w:r>
    </w:p>
    <w:p w14:paraId="71BE1766" w14:textId="77777777" w:rsidR="009F036E" w:rsidRPr="009347DE" w:rsidRDefault="009F036E" w:rsidP="009F036E">
      <w:pPr>
        <w:rPr>
          <w:sz w:val="26"/>
          <w:szCs w:val="26"/>
        </w:rPr>
      </w:pPr>
    </w:p>
    <w:p w14:paraId="1F238E60" w14:textId="666E7B4B" w:rsidR="009347DE" w:rsidRDefault="009347DE" w:rsidP="009347DE">
      <w:pPr>
        <w:numPr>
          <w:ilvl w:val="0"/>
          <w:numId w:val="2"/>
        </w:numPr>
        <w:rPr>
          <w:sz w:val="26"/>
          <w:szCs w:val="26"/>
        </w:rPr>
      </w:pPr>
      <w:r w:rsidRPr="009347DE">
        <w:rPr>
          <w:sz w:val="26"/>
          <w:szCs w:val="26"/>
        </w:rPr>
        <w:t xml:space="preserve">Frontier shall deploy fiber based broadband access services to no fewer than fifteen thousand (15,000) locations in Pennsylvania by December 31, 2027. Frontier will </w:t>
      </w:r>
      <w:r w:rsidRPr="009347DE">
        <w:rPr>
          <w:sz w:val="26"/>
          <w:szCs w:val="26"/>
        </w:rPr>
        <w:lastRenderedPageBreak/>
        <w:t>annually report to BCS, on a confidential basis, the number and location of completed deployments in the previous year along with service speeds available. The locations to fulfill this commitment may include any locations awarded to Frontier pursuant to the Federal Communications Commission’s (“FCC”) Rural Digital Opportunity Fund (“RDOF”).</w:t>
      </w:r>
    </w:p>
    <w:p w14:paraId="377CD0E0" w14:textId="77777777" w:rsidR="009F036E" w:rsidRPr="009347DE" w:rsidRDefault="009F036E" w:rsidP="009F036E">
      <w:pPr>
        <w:rPr>
          <w:sz w:val="26"/>
          <w:szCs w:val="26"/>
        </w:rPr>
      </w:pPr>
    </w:p>
    <w:p w14:paraId="3219C3F4" w14:textId="6E480731" w:rsidR="009347DE" w:rsidRDefault="009347DE" w:rsidP="009347DE">
      <w:pPr>
        <w:ind w:firstLine="720"/>
        <w:rPr>
          <w:sz w:val="26"/>
          <w:szCs w:val="26"/>
          <w:u w:val="single"/>
        </w:rPr>
      </w:pPr>
      <w:r w:rsidRPr="009347DE">
        <w:rPr>
          <w:sz w:val="26"/>
          <w:szCs w:val="26"/>
          <w:u w:val="single"/>
        </w:rPr>
        <w:t>Customer Complaint Handling</w:t>
      </w:r>
    </w:p>
    <w:p w14:paraId="5C48D3CB" w14:textId="77777777" w:rsidR="009F036E" w:rsidRPr="009347DE" w:rsidRDefault="009F036E" w:rsidP="009347DE">
      <w:pPr>
        <w:ind w:firstLine="720"/>
        <w:rPr>
          <w:sz w:val="26"/>
          <w:szCs w:val="26"/>
          <w:u w:val="single"/>
        </w:rPr>
      </w:pPr>
    </w:p>
    <w:p w14:paraId="0B8F8DDC" w14:textId="6D487BF7" w:rsidR="009F036E" w:rsidRDefault="009347DE" w:rsidP="009F036E">
      <w:pPr>
        <w:numPr>
          <w:ilvl w:val="0"/>
          <w:numId w:val="2"/>
        </w:numPr>
        <w:rPr>
          <w:sz w:val="26"/>
          <w:szCs w:val="26"/>
        </w:rPr>
      </w:pPr>
      <w:r w:rsidRPr="009347DE">
        <w:rPr>
          <w:sz w:val="26"/>
          <w:szCs w:val="26"/>
        </w:rPr>
        <w:t>Frontier shall meet with BCS on a quarterly basis to identify and discuss any customer service, complaint or complaint response issues.</w:t>
      </w:r>
    </w:p>
    <w:p w14:paraId="10C8A24D" w14:textId="77777777" w:rsidR="009F036E" w:rsidRPr="009347DE" w:rsidRDefault="009F036E" w:rsidP="009F036E">
      <w:pPr>
        <w:ind w:left="360"/>
        <w:rPr>
          <w:sz w:val="26"/>
          <w:szCs w:val="26"/>
        </w:rPr>
      </w:pPr>
    </w:p>
    <w:p w14:paraId="25E8C1DD" w14:textId="77777777" w:rsidR="00B32F7C" w:rsidRDefault="009347DE" w:rsidP="009347DE">
      <w:pPr>
        <w:numPr>
          <w:ilvl w:val="0"/>
          <w:numId w:val="2"/>
        </w:numPr>
        <w:rPr>
          <w:sz w:val="26"/>
          <w:szCs w:val="26"/>
        </w:rPr>
      </w:pPr>
      <w:r w:rsidRPr="009347DE">
        <w:rPr>
          <w:sz w:val="26"/>
          <w:szCs w:val="26"/>
        </w:rPr>
        <w:t>Frontier shall work with BCS to implement a “warm-transfer” process for complaints similar to what is currently in place with Verizon, in order to attempt to more effectively handle and resolve customer issues that have been raised with BCS.</w:t>
      </w:r>
    </w:p>
    <w:p w14:paraId="2A059D19" w14:textId="5D79D4E2" w:rsidR="009347DE" w:rsidRPr="009347DE" w:rsidRDefault="009347DE" w:rsidP="00B32F7C">
      <w:pPr>
        <w:rPr>
          <w:sz w:val="26"/>
          <w:szCs w:val="26"/>
        </w:rPr>
      </w:pPr>
      <w:r w:rsidRPr="009347DE">
        <w:rPr>
          <w:sz w:val="26"/>
          <w:szCs w:val="26"/>
        </w:rPr>
        <w:t xml:space="preserve">  </w:t>
      </w:r>
    </w:p>
    <w:p w14:paraId="3468993B" w14:textId="2DD890AC" w:rsidR="009347DE" w:rsidRDefault="009347DE" w:rsidP="009347DE">
      <w:pPr>
        <w:numPr>
          <w:ilvl w:val="0"/>
          <w:numId w:val="2"/>
        </w:numPr>
        <w:rPr>
          <w:sz w:val="26"/>
          <w:szCs w:val="26"/>
        </w:rPr>
      </w:pPr>
      <w:r w:rsidRPr="009347DE">
        <w:rPr>
          <w:sz w:val="26"/>
          <w:szCs w:val="26"/>
        </w:rPr>
        <w:t xml:space="preserve">Frontier shall meet with BCS to develop a check list of items to be addressed in its responses to complaints forwarded by BCS to ensure that BCS has sufficient detail to effectively review the complaint and the company’s response.  The check list shall, at a minimum, include, a complete response to the customer’s complaint, the speed at the customer’s premises (in the case of speed complaints), whether and when the customer was referred to Frontier’s partner for meeting Chapter 30 (currently HughesNet), and the outcome of that referral.  Frontier will also ensure that each complaint received from BCS receives management level review. </w:t>
      </w:r>
    </w:p>
    <w:p w14:paraId="6832E53B" w14:textId="77777777" w:rsidR="00B32F7C" w:rsidRPr="009347DE" w:rsidRDefault="00B32F7C" w:rsidP="00B32F7C">
      <w:pPr>
        <w:rPr>
          <w:sz w:val="26"/>
          <w:szCs w:val="26"/>
        </w:rPr>
      </w:pPr>
    </w:p>
    <w:p w14:paraId="2BCB3B69" w14:textId="45329524" w:rsidR="009347DE" w:rsidRDefault="009347DE" w:rsidP="009347DE">
      <w:pPr>
        <w:numPr>
          <w:ilvl w:val="0"/>
          <w:numId w:val="2"/>
        </w:numPr>
        <w:rPr>
          <w:sz w:val="26"/>
          <w:szCs w:val="26"/>
        </w:rPr>
      </w:pPr>
      <w:r w:rsidRPr="009347DE">
        <w:rPr>
          <w:sz w:val="26"/>
          <w:szCs w:val="26"/>
        </w:rPr>
        <w:t>Within 90 days of the date of Commission’s approval, Frontier shall review, improve and reinforce, as needed, its Call Center representative training regarding how to advise dissatisfied customers of their ability to seek assistance from the Commission.</w:t>
      </w:r>
    </w:p>
    <w:p w14:paraId="40905B7F" w14:textId="77777777" w:rsidR="00B32F7C" w:rsidRPr="009347DE" w:rsidRDefault="00B32F7C" w:rsidP="00B32F7C">
      <w:pPr>
        <w:rPr>
          <w:sz w:val="26"/>
          <w:szCs w:val="26"/>
        </w:rPr>
      </w:pPr>
    </w:p>
    <w:p w14:paraId="2EB2EFDB" w14:textId="6EA8B4CE" w:rsidR="009347DE" w:rsidRDefault="009347DE" w:rsidP="009347DE">
      <w:pPr>
        <w:numPr>
          <w:ilvl w:val="0"/>
          <w:numId w:val="2"/>
        </w:numPr>
        <w:rPr>
          <w:sz w:val="26"/>
          <w:szCs w:val="26"/>
        </w:rPr>
      </w:pPr>
      <w:r w:rsidRPr="009347DE">
        <w:rPr>
          <w:sz w:val="26"/>
          <w:szCs w:val="26"/>
        </w:rPr>
        <w:t>Frontier shall review, improve and reinforce, as needed, its training and process for referring customers to Frontier’s partner for meeting Chapter 30 (currently HughesNet), which may include but is not limited to additional training to ensure that its Call Center representatives are aware of Frontier’s obligations under Chapter 30 and the correct process and procedure for referring customers.</w:t>
      </w:r>
    </w:p>
    <w:p w14:paraId="592D3A45" w14:textId="77777777" w:rsidR="009F036E" w:rsidRPr="009347DE" w:rsidRDefault="009F036E" w:rsidP="009F036E">
      <w:pPr>
        <w:ind w:left="360"/>
        <w:rPr>
          <w:sz w:val="26"/>
          <w:szCs w:val="26"/>
        </w:rPr>
      </w:pPr>
    </w:p>
    <w:p w14:paraId="21A86DB1" w14:textId="668A7526" w:rsidR="009347DE" w:rsidRDefault="009347DE" w:rsidP="009347DE">
      <w:pPr>
        <w:ind w:firstLine="720"/>
        <w:rPr>
          <w:sz w:val="26"/>
          <w:szCs w:val="26"/>
          <w:u w:val="single"/>
        </w:rPr>
      </w:pPr>
      <w:r w:rsidRPr="009347DE">
        <w:rPr>
          <w:sz w:val="26"/>
          <w:szCs w:val="26"/>
          <w:u w:val="single"/>
        </w:rPr>
        <w:t>Miscellaneous</w:t>
      </w:r>
    </w:p>
    <w:p w14:paraId="68BD2571" w14:textId="77777777" w:rsidR="009F036E" w:rsidRPr="009347DE" w:rsidRDefault="009F036E" w:rsidP="009347DE">
      <w:pPr>
        <w:ind w:firstLine="720"/>
        <w:rPr>
          <w:sz w:val="26"/>
          <w:szCs w:val="26"/>
          <w:u w:val="single"/>
        </w:rPr>
      </w:pPr>
    </w:p>
    <w:p w14:paraId="13D53B90" w14:textId="77777777" w:rsidR="00B32F7C" w:rsidRDefault="009347DE" w:rsidP="009347DE">
      <w:pPr>
        <w:numPr>
          <w:ilvl w:val="0"/>
          <w:numId w:val="2"/>
        </w:numPr>
        <w:rPr>
          <w:sz w:val="26"/>
          <w:szCs w:val="26"/>
        </w:rPr>
      </w:pPr>
      <w:r w:rsidRPr="009347DE">
        <w:rPr>
          <w:sz w:val="26"/>
          <w:szCs w:val="26"/>
        </w:rPr>
        <w:t xml:space="preserve">Frontier shall notify the Commission when the Frontier companies emerge from Chapter 11 bankruptcy. </w:t>
      </w:r>
    </w:p>
    <w:p w14:paraId="5584DD91" w14:textId="71D502B1" w:rsidR="009347DE" w:rsidRPr="009347DE" w:rsidRDefault="009347DE" w:rsidP="00B32F7C">
      <w:pPr>
        <w:ind w:left="360"/>
        <w:rPr>
          <w:sz w:val="26"/>
          <w:szCs w:val="26"/>
        </w:rPr>
      </w:pPr>
      <w:r w:rsidRPr="009347DE">
        <w:rPr>
          <w:sz w:val="26"/>
          <w:szCs w:val="26"/>
        </w:rPr>
        <w:t xml:space="preserve">  </w:t>
      </w:r>
    </w:p>
    <w:p w14:paraId="6534DB57" w14:textId="2A752042" w:rsidR="009347DE" w:rsidRDefault="009347DE" w:rsidP="009347DE">
      <w:pPr>
        <w:numPr>
          <w:ilvl w:val="0"/>
          <w:numId w:val="2"/>
        </w:numPr>
        <w:rPr>
          <w:sz w:val="26"/>
          <w:szCs w:val="26"/>
        </w:rPr>
      </w:pPr>
      <w:r w:rsidRPr="009347DE">
        <w:rPr>
          <w:sz w:val="26"/>
          <w:szCs w:val="26"/>
        </w:rPr>
        <w:t xml:space="preserve">Frontier shall advise BCS in writing, as soon as practicable, of any changes to its customer service practices or procedures that have the potential to impact call volume to the BCS.  </w:t>
      </w:r>
    </w:p>
    <w:p w14:paraId="7E7DCA57" w14:textId="77777777" w:rsidR="008D39CD" w:rsidRDefault="008D39CD" w:rsidP="008D39CD">
      <w:pPr>
        <w:pStyle w:val="ListParagraph"/>
        <w:rPr>
          <w:sz w:val="26"/>
          <w:szCs w:val="26"/>
        </w:rPr>
      </w:pPr>
    </w:p>
    <w:p w14:paraId="37CF8660" w14:textId="387007C3" w:rsidR="009347DE" w:rsidRDefault="009347DE" w:rsidP="007D57B0">
      <w:pPr>
        <w:numPr>
          <w:ilvl w:val="0"/>
          <w:numId w:val="2"/>
        </w:numPr>
        <w:rPr>
          <w:sz w:val="26"/>
          <w:szCs w:val="26"/>
        </w:rPr>
      </w:pPr>
      <w:r w:rsidRPr="009347DE">
        <w:rPr>
          <w:sz w:val="26"/>
          <w:szCs w:val="26"/>
        </w:rPr>
        <w:lastRenderedPageBreak/>
        <w:t xml:space="preserve">For a period of two years from the date of Frontier’s emergence from Chapter 11, Frontier shall quarterly report to BCS on a confidential basis the following service quality metrics broken out by individual Pennsylvania ILEC: </w:t>
      </w:r>
    </w:p>
    <w:p w14:paraId="3CE6A792" w14:textId="77777777" w:rsidR="00A87322" w:rsidRPr="009347DE" w:rsidRDefault="00A87322" w:rsidP="00A87322">
      <w:pPr>
        <w:rPr>
          <w:sz w:val="26"/>
          <w:szCs w:val="26"/>
        </w:rPr>
      </w:pPr>
    </w:p>
    <w:p w14:paraId="2F62EEB0" w14:textId="77777777" w:rsidR="009347DE" w:rsidRPr="009347DE" w:rsidRDefault="009347DE" w:rsidP="009347DE">
      <w:pPr>
        <w:numPr>
          <w:ilvl w:val="0"/>
          <w:numId w:val="1"/>
        </w:numPr>
        <w:rPr>
          <w:sz w:val="26"/>
          <w:szCs w:val="26"/>
        </w:rPr>
      </w:pPr>
      <w:r w:rsidRPr="009347DE">
        <w:rPr>
          <w:sz w:val="26"/>
          <w:szCs w:val="26"/>
        </w:rPr>
        <w:t>Business Office Answer Performance;</w:t>
      </w:r>
    </w:p>
    <w:p w14:paraId="016B994D" w14:textId="77777777" w:rsidR="009347DE" w:rsidRPr="009347DE" w:rsidRDefault="009347DE" w:rsidP="009347DE">
      <w:pPr>
        <w:numPr>
          <w:ilvl w:val="0"/>
          <w:numId w:val="1"/>
        </w:numPr>
        <w:rPr>
          <w:sz w:val="26"/>
          <w:szCs w:val="26"/>
        </w:rPr>
      </w:pPr>
      <w:r w:rsidRPr="009347DE">
        <w:rPr>
          <w:sz w:val="26"/>
          <w:szCs w:val="26"/>
        </w:rPr>
        <w:t>Repair Answer Performance;</w:t>
      </w:r>
    </w:p>
    <w:p w14:paraId="17E4DDC4" w14:textId="77777777" w:rsidR="009347DE" w:rsidRPr="009347DE" w:rsidRDefault="009347DE" w:rsidP="009347DE">
      <w:pPr>
        <w:numPr>
          <w:ilvl w:val="0"/>
          <w:numId w:val="1"/>
        </w:numPr>
        <w:rPr>
          <w:sz w:val="26"/>
          <w:szCs w:val="26"/>
        </w:rPr>
      </w:pPr>
      <w:r w:rsidRPr="009347DE">
        <w:rPr>
          <w:sz w:val="26"/>
          <w:szCs w:val="26"/>
        </w:rPr>
        <w:t>Customer Trouble Report Rate per 100 access lines;</w:t>
      </w:r>
    </w:p>
    <w:p w14:paraId="421C63EC" w14:textId="77777777" w:rsidR="009347DE" w:rsidRPr="009347DE" w:rsidRDefault="009347DE" w:rsidP="009347DE">
      <w:pPr>
        <w:numPr>
          <w:ilvl w:val="0"/>
          <w:numId w:val="1"/>
        </w:numPr>
        <w:rPr>
          <w:sz w:val="26"/>
          <w:szCs w:val="26"/>
        </w:rPr>
      </w:pPr>
      <w:r w:rsidRPr="009347DE">
        <w:rPr>
          <w:sz w:val="26"/>
          <w:szCs w:val="26"/>
        </w:rPr>
        <w:t>Number of service outages and rate of service outages per 100 access lines.</w:t>
      </w:r>
    </w:p>
    <w:p w14:paraId="56323128" w14:textId="77777777" w:rsidR="009347DE" w:rsidRPr="009347DE" w:rsidRDefault="009347DE" w:rsidP="009347DE">
      <w:pPr>
        <w:numPr>
          <w:ilvl w:val="0"/>
          <w:numId w:val="1"/>
        </w:numPr>
        <w:rPr>
          <w:sz w:val="26"/>
          <w:szCs w:val="26"/>
        </w:rPr>
      </w:pPr>
      <w:r w:rsidRPr="009347DE">
        <w:rPr>
          <w:sz w:val="26"/>
          <w:szCs w:val="26"/>
        </w:rPr>
        <w:t>Number of service outages lasting more than 24 hours and rate of service outages lasting more than 24 hours per 100 access lines.</w:t>
      </w:r>
    </w:p>
    <w:p w14:paraId="5E94BA93" w14:textId="77777777" w:rsidR="009347DE" w:rsidRPr="009347DE" w:rsidRDefault="009347DE" w:rsidP="009347DE">
      <w:pPr>
        <w:numPr>
          <w:ilvl w:val="0"/>
          <w:numId w:val="1"/>
        </w:numPr>
        <w:rPr>
          <w:sz w:val="26"/>
          <w:szCs w:val="26"/>
        </w:rPr>
      </w:pPr>
      <w:r w:rsidRPr="009347DE">
        <w:rPr>
          <w:sz w:val="26"/>
          <w:szCs w:val="26"/>
        </w:rPr>
        <w:t>Repair Commitments Met;</w:t>
      </w:r>
    </w:p>
    <w:p w14:paraId="0AC67A97" w14:textId="77777777" w:rsidR="009347DE" w:rsidRPr="009347DE" w:rsidRDefault="009347DE" w:rsidP="009347DE">
      <w:pPr>
        <w:numPr>
          <w:ilvl w:val="0"/>
          <w:numId w:val="1"/>
        </w:numPr>
        <w:rPr>
          <w:sz w:val="26"/>
          <w:szCs w:val="26"/>
        </w:rPr>
      </w:pPr>
      <w:r w:rsidRPr="009347DE">
        <w:rPr>
          <w:sz w:val="26"/>
          <w:szCs w:val="26"/>
        </w:rPr>
        <w:t xml:space="preserve">Installation Commitments Met; </w:t>
      </w:r>
    </w:p>
    <w:p w14:paraId="7B599685" w14:textId="77777777" w:rsidR="009347DE" w:rsidRPr="009347DE" w:rsidRDefault="009347DE" w:rsidP="009347DE">
      <w:pPr>
        <w:numPr>
          <w:ilvl w:val="0"/>
          <w:numId w:val="1"/>
        </w:numPr>
        <w:rPr>
          <w:sz w:val="26"/>
          <w:szCs w:val="26"/>
        </w:rPr>
      </w:pPr>
      <w:r w:rsidRPr="009347DE">
        <w:rPr>
          <w:sz w:val="26"/>
          <w:szCs w:val="26"/>
        </w:rPr>
        <w:t xml:space="preserve">Mean time to repair all troubles, excluding weekend hours; and </w:t>
      </w:r>
    </w:p>
    <w:p w14:paraId="71FB7FE8" w14:textId="77777777" w:rsidR="008E7C41" w:rsidRDefault="009347DE" w:rsidP="009347DE">
      <w:pPr>
        <w:numPr>
          <w:ilvl w:val="0"/>
          <w:numId w:val="1"/>
        </w:numPr>
        <w:rPr>
          <w:sz w:val="26"/>
          <w:szCs w:val="26"/>
        </w:rPr>
      </w:pPr>
      <w:r w:rsidRPr="009347DE">
        <w:rPr>
          <w:sz w:val="26"/>
          <w:szCs w:val="26"/>
        </w:rPr>
        <w:t xml:space="preserve">Number of warm transfers to Frontier’s Pennsylvania Complaint dedicated team and the types of complaints received/issues resolved by category. </w:t>
      </w:r>
    </w:p>
    <w:p w14:paraId="36F057D7" w14:textId="2DE2D469" w:rsidR="009347DE" w:rsidRPr="009347DE" w:rsidRDefault="009347DE" w:rsidP="008E7C41">
      <w:pPr>
        <w:ind w:left="1080"/>
        <w:rPr>
          <w:sz w:val="26"/>
          <w:szCs w:val="26"/>
        </w:rPr>
      </w:pPr>
      <w:r w:rsidRPr="009347DE">
        <w:rPr>
          <w:sz w:val="26"/>
          <w:szCs w:val="26"/>
        </w:rPr>
        <w:t xml:space="preserve"> </w:t>
      </w:r>
    </w:p>
    <w:p w14:paraId="3D669FC2" w14:textId="3CF89627" w:rsidR="009347DE" w:rsidRDefault="009347DE" w:rsidP="009347DE">
      <w:pPr>
        <w:numPr>
          <w:ilvl w:val="0"/>
          <w:numId w:val="2"/>
        </w:numPr>
        <w:rPr>
          <w:sz w:val="26"/>
          <w:szCs w:val="26"/>
        </w:rPr>
      </w:pPr>
      <w:r w:rsidRPr="009347DE">
        <w:rPr>
          <w:sz w:val="26"/>
          <w:szCs w:val="26"/>
        </w:rPr>
        <w:t>Unless otherwise specified herein, the obligations under these voluntary commitments will expire three years from Frontier’s emergence from Chapter 11.</w:t>
      </w:r>
    </w:p>
    <w:p w14:paraId="27A52345" w14:textId="77777777" w:rsidR="00F6097D" w:rsidRPr="009347DE" w:rsidRDefault="00F6097D" w:rsidP="00F6097D">
      <w:pPr>
        <w:ind w:left="360"/>
        <w:rPr>
          <w:sz w:val="26"/>
          <w:szCs w:val="26"/>
        </w:rPr>
      </w:pPr>
    </w:p>
    <w:p w14:paraId="250BA859" w14:textId="77777777" w:rsidR="009347DE" w:rsidRPr="009347DE" w:rsidRDefault="009347DE" w:rsidP="009347DE">
      <w:pPr>
        <w:numPr>
          <w:ilvl w:val="0"/>
          <w:numId w:val="2"/>
        </w:numPr>
        <w:rPr>
          <w:sz w:val="26"/>
          <w:szCs w:val="26"/>
        </w:rPr>
      </w:pPr>
      <w:r w:rsidRPr="009347DE">
        <w:rPr>
          <w:sz w:val="26"/>
          <w:szCs w:val="26"/>
        </w:rPr>
        <w:t>These voluntary commitments are contingent upon approval of Frontier’s Application by the Commission occurring on or before January 22, 2021, finding that the proposed Restructuring is in the public interest as requested in the Application and as modified by these voluntary commitments.  These voluntary commitments are offered as full and final resolution of the Application and any additional obligations associated with a “most favored state” provision or any other conditions or contingencies.</w:t>
      </w:r>
    </w:p>
    <w:p w14:paraId="7EAB376A" w14:textId="77777777" w:rsidR="002F65B4" w:rsidRPr="001427BC" w:rsidRDefault="002F65B4" w:rsidP="00FE44CC">
      <w:pPr>
        <w:ind w:firstLine="720"/>
        <w:rPr>
          <w:sz w:val="26"/>
          <w:szCs w:val="26"/>
        </w:rPr>
      </w:pPr>
    </w:p>
    <w:sectPr w:rsidR="002F65B4" w:rsidRPr="001427BC" w:rsidSect="00C974FF">
      <w:footerReference w:type="default" r:id="rId10"/>
      <w:type w:val="continuous"/>
      <w:pgSz w:w="12240" w:h="15840"/>
      <w:pgMar w:top="1440" w:right="1440" w:bottom="1152"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B0384" w14:textId="77777777" w:rsidR="00C947BC" w:rsidRDefault="00C947BC">
      <w:r>
        <w:separator/>
      </w:r>
    </w:p>
  </w:endnote>
  <w:endnote w:type="continuationSeparator" w:id="0">
    <w:p w14:paraId="0D516313" w14:textId="77777777" w:rsidR="00C947BC" w:rsidRDefault="00C947BC">
      <w:r>
        <w:continuationSeparator/>
      </w:r>
    </w:p>
  </w:endnote>
  <w:endnote w:type="continuationNotice" w:id="1">
    <w:p w14:paraId="25FFD7FE" w14:textId="77777777" w:rsidR="00C947BC" w:rsidRDefault="00C94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765982722"/>
      <w:docPartObj>
        <w:docPartGallery w:val="Page Numbers (Bottom of Page)"/>
        <w:docPartUnique/>
      </w:docPartObj>
    </w:sdtPr>
    <w:sdtEndPr>
      <w:rPr>
        <w:noProof/>
      </w:rPr>
    </w:sdtEndPr>
    <w:sdtContent>
      <w:p w14:paraId="0771F483" w14:textId="360DD509" w:rsidR="002C5B3B" w:rsidRPr="00EB2933" w:rsidRDefault="002C5B3B" w:rsidP="00EB2933">
        <w:pPr>
          <w:pStyle w:val="Footer"/>
          <w:jc w:val="center"/>
          <w:rPr>
            <w:sz w:val="20"/>
          </w:rPr>
        </w:pPr>
        <w:r w:rsidRPr="00EB2933">
          <w:rPr>
            <w:sz w:val="20"/>
          </w:rPr>
          <w:fldChar w:fldCharType="begin"/>
        </w:r>
        <w:r w:rsidRPr="00EB2933">
          <w:rPr>
            <w:sz w:val="20"/>
          </w:rPr>
          <w:instrText xml:space="preserve"> PAGE   \* MERGEFORMAT </w:instrText>
        </w:r>
        <w:r w:rsidRPr="00EB2933">
          <w:rPr>
            <w:sz w:val="20"/>
          </w:rPr>
          <w:fldChar w:fldCharType="separate"/>
        </w:r>
        <w:r>
          <w:rPr>
            <w:noProof/>
            <w:sz w:val="20"/>
          </w:rPr>
          <w:t>2</w:t>
        </w:r>
        <w:r w:rsidRPr="00EB293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A0D1" w14:textId="77777777" w:rsidR="00C947BC" w:rsidRDefault="00C947BC">
      <w:r>
        <w:separator/>
      </w:r>
    </w:p>
  </w:footnote>
  <w:footnote w:type="continuationSeparator" w:id="0">
    <w:p w14:paraId="283B36DC" w14:textId="77777777" w:rsidR="00C947BC" w:rsidRDefault="00C947BC">
      <w:r>
        <w:continuationSeparator/>
      </w:r>
    </w:p>
  </w:footnote>
  <w:footnote w:type="continuationNotice" w:id="1">
    <w:p w14:paraId="5DF9EB7A" w14:textId="77777777" w:rsidR="00C947BC" w:rsidRDefault="00C947BC"/>
  </w:footnote>
  <w:footnote w:id="2">
    <w:p w14:paraId="69F0A535" w14:textId="4B284406" w:rsidR="002C5B3B" w:rsidRPr="00575EB2" w:rsidRDefault="002C5B3B" w:rsidP="002A25EF">
      <w:pPr>
        <w:pStyle w:val="FootnoteText"/>
        <w:rPr>
          <w:szCs w:val="22"/>
        </w:rPr>
      </w:pPr>
      <w:r w:rsidRPr="00575EB2">
        <w:rPr>
          <w:rStyle w:val="FootnoteReference"/>
          <w:szCs w:val="22"/>
        </w:rPr>
        <w:footnoteRef/>
      </w:r>
      <w:r w:rsidRPr="00575EB2">
        <w:rPr>
          <w:szCs w:val="22"/>
        </w:rPr>
        <w:t xml:space="preserve"> Joint Application at </w:t>
      </w:r>
      <w:r>
        <w:rPr>
          <w:szCs w:val="22"/>
        </w:rPr>
        <w:t xml:space="preserve">2-5, </w:t>
      </w:r>
      <w:r w:rsidRPr="00575EB2">
        <w:rPr>
          <w:szCs w:val="22"/>
        </w:rPr>
        <w:t>18</w:t>
      </w:r>
      <w:r>
        <w:rPr>
          <w:szCs w:val="22"/>
        </w:rPr>
        <w:t>, 27</w:t>
      </w:r>
      <w:r w:rsidRPr="00575EB2">
        <w:rPr>
          <w:szCs w:val="22"/>
        </w:rPr>
        <w:t>.</w:t>
      </w:r>
    </w:p>
  </w:footnote>
  <w:footnote w:id="3">
    <w:p w14:paraId="77A261A2" w14:textId="05D1F28C" w:rsidR="00502CB0" w:rsidRPr="00AE5767" w:rsidRDefault="002C5B3B" w:rsidP="00502CB0">
      <w:pPr>
        <w:autoSpaceDE w:val="0"/>
        <w:autoSpaceDN w:val="0"/>
        <w:adjustRightInd w:val="0"/>
        <w:rPr>
          <w:sz w:val="22"/>
          <w:szCs w:val="22"/>
        </w:rPr>
      </w:pPr>
      <w:r w:rsidRPr="00CB5E49">
        <w:rPr>
          <w:rStyle w:val="FootnoteReference"/>
          <w:sz w:val="22"/>
          <w:szCs w:val="22"/>
        </w:rPr>
        <w:footnoteRef/>
      </w:r>
      <w:r w:rsidRPr="00FC37CD">
        <w:rPr>
          <w:sz w:val="22"/>
          <w:szCs w:val="22"/>
        </w:rPr>
        <w:t xml:space="preserve"> </w:t>
      </w:r>
      <w:r w:rsidRPr="00AE5767">
        <w:rPr>
          <w:sz w:val="22"/>
          <w:szCs w:val="22"/>
        </w:rPr>
        <w:t xml:space="preserve">CWA averred that </w:t>
      </w:r>
      <w:r w:rsidR="006E3794" w:rsidRPr="00AE5767">
        <w:rPr>
          <w:sz w:val="22"/>
          <w:szCs w:val="22"/>
        </w:rPr>
        <w:t xml:space="preserve">it </w:t>
      </w:r>
      <w:r w:rsidRPr="00AE5767">
        <w:rPr>
          <w:sz w:val="22"/>
          <w:szCs w:val="22"/>
        </w:rPr>
        <w:t>represents approximately 8,000 employees of Frontier Communications</w:t>
      </w:r>
      <w:r w:rsidR="002C79D7">
        <w:rPr>
          <w:sz w:val="22"/>
          <w:szCs w:val="22"/>
        </w:rPr>
        <w:t xml:space="preserve"> </w:t>
      </w:r>
      <w:r w:rsidRPr="00AE5767">
        <w:rPr>
          <w:sz w:val="22"/>
          <w:szCs w:val="22"/>
        </w:rPr>
        <w:t xml:space="preserve">and its affiliates nationwide, including approximately 165 of Frontier’s employees in Pennsylvania. </w:t>
      </w:r>
      <w:r w:rsidR="00502CB0" w:rsidRPr="00AE5767">
        <w:rPr>
          <w:sz w:val="22"/>
          <w:szCs w:val="22"/>
        </w:rPr>
        <w:t xml:space="preserve">As the Draft Plan of </w:t>
      </w:r>
      <w:r w:rsidR="00164239" w:rsidRPr="00AE5767">
        <w:rPr>
          <w:sz w:val="22"/>
          <w:szCs w:val="22"/>
        </w:rPr>
        <w:t>Reorganization would</w:t>
      </w:r>
      <w:r w:rsidR="00502CB0" w:rsidRPr="00AE5767">
        <w:rPr>
          <w:sz w:val="22"/>
          <w:szCs w:val="22"/>
        </w:rPr>
        <w:t xml:space="preserve"> protect its collective bargaining agreements and the right of its members, CWA did not oppose the relief requested by the companies in the proceeding.  On January 4, 2021, the CWA filed a supplement to the petition requesting the Commission require Frontier to make significant additional investment to improve the services received by consumers in the Commonwealth including fiber-to-the-premises services.</w:t>
      </w:r>
    </w:p>
    <w:p w14:paraId="549CB770" w14:textId="2B8874C5" w:rsidR="002C5B3B" w:rsidRDefault="002C5B3B" w:rsidP="004D07B5">
      <w:pPr>
        <w:autoSpaceDE w:val="0"/>
        <w:autoSpaceDN w:val="0"/>
        <w:adjustRightInd w:val="0"/>
      </w:pPr>
    </w:p>
  </w:footnote>
  <w:footnote w:id="4">
    <w:p w14:paraId="6D288CA2" w14:textId="6D3A661B" w:rsidR="002C5B3B" w:rsidRPr="00FC37CD" w:rsidRDefault="002C5B3B">
      <w:pPr>
        <w:pStyle w:val="FootnoteText"/>
        <w:rPr>
          <w:szCs w:val="22"/>
        </w:rPr>
      </w:pPr>
      <w:r w:rsidRPr="00A30B69">
        <w:rPr>
          <w:rStyle w:val="FootnoteReference"/>
          <w:szCs w:val="22"/>
        </w:rPr>
        <w:footnoteRef/>
      </w:r>
      <w:r w:rsidRPr="00A30B69">
        <w:rPr>
          <w:szCs w:val="22"/>
        </w:rPr>
        <w:t xml:space="preserve"> By Secretarial Letter dated October 7, 2020, the Commission also subsequently extended the applicable review period.  </w:t>
      </w:r>
      <w:r w:rsidRPr="00FC37CD">
        <w:rPr>
          <w:i/>
          <w:iCs/>
          <w:szCs w:val="22"/>
        </w:rPr>
        <w:t xml:space="preserve">See </w:t>
      </w:r>
      <w:r w:rsidRPr="00FC37CD">
        <w:rPr>
          <w:szCs w:val="22"/>
        </w:rPr>
        <w:t xml:space="preserve">52 Pa. Code §§ 63.324(k)(5), 63.325(k)(5) (the Commission may reclassify and extend </w:t>
      </w:r>
      <w:r w:rsidRPr="00FC37CD">
        <w:rPr>
          <w:i/>
          <w:iCs/>
          <w:szCs w:val="22"/>
        </w:rPr>
        <w:t xml:space="preserve">pro forma </w:t>
      </w:r>
      <w:r w:rsidRPr="00FC37CD">
        <w:rPr>
          <w:szCs w:val="22"/>
        </w:rPr>
        <w:t>and general rule transactions to protect the public interest).</w:t>
      </w:r>
    </w:p>
  </w:footnote>
  <w:footnote w:id="5">
    <w:p w14:paraId="4BA1E2EF" w14:textId="7C539B7A" w:rsidR="002C5B3B" w:rsidRPr="00CB5E49" w:rsidRDefault="002C5B3B">
      <w:pPr>
        <w:pStyle w:val="FootnoteText"/>
        <w:rPr>
          <w:szCs w:val="22"/>
        </w:rPr>
      </w:pPr>
      <w:r w:rsidRPr="00A30B69">
        <w:rPr>
          <w:rStyle w:val="FootnoteReference"/>
          <w:szCs w:val="22"/>
        </w:rPr>
        <w:footnoteRef/>
      </w:r>
      <w:r w:rsidRPr="00A30B69">
        <w:rPr>
          <w:szCs w:val="22"/>
        </w:rPr>
        <w:t xml:space="preserve"> </w:t>
      </w:r>
      <w:r w:rsidRPr="00B27B19">
        <w:rPr>
          <w:szCs w:val="22"/>
        </w:rPr>
        <w:t xml:space="preserve">As of the filing of this Joint </w:t>
      </w:r>
      <w:bookmarkStart w:id="7" w:name="_cp_text_1_112"/>
      <w:r w:rsidRPr="00B27B19">
        <w:rPr>
          <w:szCs w:val="22"/>
        </w:rPr>
        <w:t>Application</w:t>
      </w:r>
      <w:bookmarkEnd w:id="7"/>
      <w:r w:rsidRPr="00B27B19">
        <w:rPr>
          <w:szCs w:val="22"/>
        </w:rPr>
        <w:t>, Frontier’s service territories are located in Alabama, Arizona, California, Connecticut, Florida, Georgia, Idaho, Illinois, Indiana, Iowa, Michigan, Minnesota, Mississippi, Nebraska, Ne</w:t>
      </w:r>
      <w:r w:rsidRPr="00690660">
        <w:rPr>
          <w:szCs w:val="22"/>
        </w:rPr>
        <w:t xml:space="preserve">vada, New Mexico, New York, North Carolina, Ohio, Pennsylvania, South Carolina, Tennessee, Texas, Utah, West Virginia, and Wisconsin.  </w:t>
      </w:r>
      <w:bookmarkStart w:id="8" w:name="_cp_text_1_113"/>
      <w:r w:rsidRPr="00690660">
        <w:rPr>
          <w:szCs w:val="22"/>
        </w:rPr>
        <w:t xml:space="preserve">Frontier also serves a de minimis number of customers in Virginia.  </w:t>
      </w:r>
      <w:bookmarkEnd w:id="8"/>
      <w:r w:rsidRPr="00690660">
        <w:rPr>
          <w:szCs w:val="22"/>
        </w:rPr>
        <w:t>On May 1, 2020, Frontier closed the sale of its local</w:t>
      </w:r>
      <w:r w:rsidRPr="00A50FF2">
        <w:rPr>
          <w:szCs w:val="22"/>
        </w:rPr>
        <w:t xml:space="preserve"> operating companies in Idaho, Montana, Oregon, and Washington to Northwest Fiber, LLC.  In December 2019, Frontier had not yet consummated the sale, such that, as of December 31, 2019, the Company was operating in 29 states, as compared to the Company’s c</w:t>
      </w:r>
      <w:r w:rsidRPr="00A30B69">
        <w:rPr>
          <w:szCs w:val="22"/>
        </w:rPr>
        <w:t>urrent operations in 25 states.</w:t>
      </w:r>
    </w:p>
  </w:footnote>
  <w:footnote w:id="6">
    <w:p w14:paraId="71717CD1" w14:textId="0E1AED43" w:rsidR="002C5B3B" w:rsidRDefault="002C5B3B">
      <w:pPr>
        <w:pStyle w:val="FootnoteText"/>
      </w:pPr>
      <w:r w:rsidRPr="00A30B69">
        <w:rPr>
          <w:rStyle w:val="FootnoteReference"/>
          <w:szCs w:val="22"/>
        </w:rPr>
        <w:footnoteRef/>
      </w:r>
      <w:r w:rsidRPr="00A30B69">
        <w:rPr>
          <w:szCs w:val="22"/>
        </w:rPr>
        <w:t xml:space="preserve"> Joint Application at 6-7.</w:t>
      </w:r>
    </w:p>
  </w:footnote>
  <w:footnote w:id="7">
    <w:p w14:paraId="0EF7C08C" w14:textId="50FAC331" w:rsidR="002C5B3B" w:rsidRPr="007C3384" w:rsidRDefault="002C5B3B" w:rsidP="00386D0B">
      <w:pPr>
        <w:jc w:val="both"/>
        <w:rPr>
          <w:sz w:val="22"/>
          <w:szCs w:val="22"/>
        </w:rPr>
      </w:pPr>
      <w:bookmarkStart w:id="19" w:name="_cp_text_1_44"/>
      <w:r w:rsidRPr="007C3384">
        <w:rPr>
          <w:rStyle w:val="FootnoteReference"/>
          <w:sz w:val="22"/>
          <w:szCs w:val="22"/>
        </w:rPr>
        <w:footnoteRef/>
      </w:r>
      <w:r w:rsidRPr="007C3384">
        <w:rPr>
          <w:sz w:val="22"/>
          <w:szCs w:val="22"/>
        </w:rPr>
        <w:t xml:space="preserve"> The RSA is available at </w:t>
      </w:r>
      <w:hyperlink r:id="rId1" w:history="1">
        <w:r w:rsidRPr="007C3384">
          <w:rPr>
            <w:sz w:val="22"/>
            <w:szCs w:val="22"/>
          </w:rPr>
          <w:t>https://docs.frontierpucapproval.com/frontier-rsa.pdf</w:t>
        </w:r>
      </w:hyperlink>
      <w:r w:rsidRPr="007C3384">
        <w:rPr>
          <w:sz w:val="22"/>
          <w:szCs w:val="22"/>
        </w:rPr>
        <w:t>.</w:t>
      </w:r>
      <w:bookmarkEnd w:id="19"/>
    </w:p>
  </w:footnote>
  <w:footnote w:id="8">
    <w:p w14:paraId="51A27D52" w14:textId="5BD8F5A5" w:rsidR="002C5B3B" w:rsidRPr="007C3384" w:rsidRDefault="002C5B3B" w:rsidP="00386D0B">
      <w:pPr>
        <w:jc w:val="both"/>
        <w:rPr>
          <w:sz w:val="22"/>
          <w:szCs w:val="22"/>
        </w:rPr>
      </w:pPr>
      <w:bookmarkStart w:id="22" w:name="_cp_text_1_47"/>
      <w:r w:rsidRPr="007C3384">
        <w:rPr>
          <w:rStyle w:val="FootnoteReference"/>
          <w:sz w:val="22"/>
          <w:szCs w:val="22"/>
        </w:rPr>
        <w:footnoteRef/>
      </w:r>
      <w:r w:rsidRPr="007C3384">
        <w:rPr>
          <w:sz w:val="22"/>
          <w:szCs w:val="22"/>
        </w:rPr>
        <w:t xml:space="preserve"> Consenting Noteholders is defined in the Plan and is comprised of approximately 200 Senior Noteholders who have executed the RSA and agreed to support the Plan and that hold over 75% of the Senior Notes through more than 40 different investment funds.  The Consenting Noteholders are primarily comprised of large U.S. based </w:t>
      </w:r>
      <w:bookmarkStart w:id="23" w:name="_cp_text_4_48"/>
      <w:bookmarkEnd w:id="22"/>
      <w:r w:rsidRPr="007C3384">
        <w:rPr>
          <w:sz w:val="22"/>
          <w:szCs w:val="22"/>
        </w:rPr>
        <w:t xml:space="preserve">financial investment funds </w:t>
      </w:r>
      <w:bookmarkStart w:id="24" w:name="_cp_text_4_49"/>
      <w:bookmarkEnd w:id="23"/>
      <w:r w:rsidRPr="007C3384">
        <w:rPr>
          <w:sz w:val="22"/>
          <w:szCs w:val="22"/>
        </w:rPr>
        <w:t xml:space="preserve">with experience in investing in U.S. telecommunications and technology companies. </w:t>
      </w:r>
      <w:bookmarkEnd w:id="24"/>
    </w:p>
  </w:footnote>
  <w:footnote w:id="9">
    <w:p w14:paraId="3FB37F38" w14:textId="7CB56C35" w:rsidR="002C5B3B" w:rsidRPr="007C3384" w:rsidRDefault="002C5B3B">
      <w:pPr>
        <w:pStyle w:val="FootnoteText"/>
        <w:rPr>
          <w:szCs w:val="22"/>
        </w:rPr>
      </w:pPr>
      <w:r w:rsidRPr="007C3384">
        <w:rPr>
          <w:rStyle w:val="FootnoteReference"/>
          <w:szCs w:val="22"/>
        </w:rPr>
        <w:footnoteRef/>
      </w:r>
      <w:r w:rsidRPr="007C3384">
        <w:rPr>
          <w:szCs w:val="22"/>
        </w:rPr>
        <w:t xml:space="preserve"> Joint Application at 2-3.</w:t>
      </w:r>
    </w:p>
  </w:footnote>
  <w:footnote w:id="10">
    <w:p w14:paraId="2A95C145" w14:textId="247D048F" w:rsidR="002C5B3B" w:rsidRPr="007C3384" w:rsidRDefault="002C5B3B" w:rsidP="00386D0B">
      <w:pPr>
        <w:pStyle w:val="FootnoteText"/>
        <w:jc w:val="both"/>
        <w:rPr>
          <w:szCs w:val="22"/>
        </w:rPr>
      </w:pPr>
      <w:r w:rsidRPr="007C3384">
        <w:rPr>
          <w:rStyle w:val="FootnoteReference"/>
          <w:szCs w:val="22"/>
        </w:rPr>
        <w:footnoteRef/>
      </w:r>
      <w:r w:rsidRPr="007C3384">
        <w:rPr>
          <w:szCs w:val="22"/>
        </w:rPr>
        <w:t xml:space="preserve"> Senior Noteholders is defined in the Plan and is comprised of the holders of approximately $10.95 billion in aggregate principal amount of unsecured senior notes issued by Frontier with maturities between September 2020 and October 2046 (the “Senior Notes”) which are publicly traded.</w:t>
      </w:r>
    </w:p>
  </w:footnote>
  <w:footnote w:id="11">
    <w:p w14:paraId="7CD031B2" w14:textId="6BA4E7B4" w:rsidR="002C5B3B" w:rsidRPr="007C3384" w:rsidRDefault="002C5B3B">
      <w:pPr>
        <w:pStyle w:val="FootnoteText"/>
        <w:rPr>
          <w:szCs w:val="22"/>
        </w:rPr>
      </w:pPr>
      <w:r w:rsidRPr="007C3384">
        <w:rPr>
          <w:rStyle w:val="FootnoteReference"/>
          <w:szCs w:val="22"/>
        </w:rPr>
        <w:footnoteRef/>
      </w:r>
      <w:r w:rsidRPr="007C3384">
        <w:rPr>
          <w:szCs w:val="22"/>
        </w:rPr>
        <w:t xml:space="preserve"> Joint Application at 3.</w:t>
      </w:r>
    </w:p>
  </w:footnote>
  <w:footnote w:id="12">
    <w:p w14:paraId="1D07C45A" w14:textId="1108FFCE" w:rsidR="002C5B3B" w:rsidRPr="00575EB2" w:rsidRDefault="002C5B3B">
      <w:pPr>
        <w:pStyle w:val="FootnoteText"/>
        <w:rPr>
          <w:szCs w:val="22"/>
        </w:rPr>
      </w:pPr>
      <w:r w:rsidRPr="00575EB2">
        <w:rPr>
          <w:rStyle w:val="FootnoteReference"/>
          <w:szCs w:val="22"/>
        </w:rPr>
        <w:footnoteRef/>
      </w:r>
      <w:r w:rsidRPr="00575EB2">
        <w:rPr>
          <w:szCs w:val="22"/>
        </w:rPr>
        <w:t xml:space="preserve"> Joint Application at 4.</w:t>
      </w:r>
    </w:p>
  </w:footnote>
  <w:footnote w:id="13">
    <w:p w14:paraId="5916F28B" w14:textId="77BE345F" w:rsidR="002C5B3B" w:rsidRPr="007B2BC7" w:rsidRDefault="002C5B3B">
      <w:pPr>
        <w:pStyle w:val="FootnoteText"/>
        <w:rPr>
          <w:szCs w:val="22"/>
        </w:rPr>
      </w:pPr>
      <w:r w:rsidRPr="00575EB2">
        <w:rPr>
          <w:rStyle w:val="FootnoteReference"/>
          <w:szCs w:val="22"/>
        </w:rPr>
        <w:footnoteRef/>
      </w:r>
      <w:r w:rsidRPr="00575EB2">
        <w:rPr>
          <w:szCs w:val="22"/>
        </w:rPr>
        <w:t xml:space="preserve"> Joint Application at 20.</w:t>
      </w:r>
    </w:p>
  </w:footnote>
  <w:footnote w:id="14">
    <w:p w14:paraId="351234C1" w14:textId="77777777" w:rsidR="002C5B3B" w:rsidRPr="007B2BC7" w:rsidRDefault="002C5B3B" w:rsidP="00A32BBE">
      <w:pPr>
        <w:pStyle w:val="FootnoteText"/>
        <w:rPr>
          <w:szCs w:val="22"/>
        </w:rPr>
      </w:pPr>
      <w:r w:rsidRPr="007B2BC7">
        <w:rPr>
          <w:rStyle w:val="FootnoteReference"/>
          <w:szCs w:val="22"/>
        </w:rPr>
        <w:footnoteRef/>
      </w:r>
      <w:r w:rsidRPr="007B2BC7">
        <w:rPr>
          <w:szCs w:val="22"/>
        </w:rPr>
        <w:t xml:space="preserve"> Joint Application at 26.</w:t>
      </w:r>
    </w:p>
  </w:footnote>
  <w:footnote w:id="15">
    <w:p w14:paraId="05DA8010" w14:textId="1982143D" w:rsidR="002C5B3B" w:rsidRPr="005533C9" w:rsidRDefault="002C5B3B">
      <w:pPr>
        <w:pStyle w:val="FootnoteText"/>
        <w:rPr>
          <w:szCs w:val="22"/>
        </w:rPr>
      </w:pPr>
      <w:r w:rsidRPr="005533C9">
        <w:rPr>
          <w:rStyle w:val="FootnoteReference"/>
          <w:szCs w:val="22"/>
        </w:rPr>
        <w:footnoteRef/>
      </w:r>
      <w:r w:rsidRPr="005533C9">
        <w:rPr>
          <w:szCs w:val="22"/>
        </w:rPr>
        <w:t xml:space="preserve"> Joint Application at 30. </w:t>
      </w:r>
    </w:p>
  </w:footnote>
  <w:footnote w:id="16">
    <w:p w14:paraId="347E86CD" w14:textId="6AA7CC75" w:rsidR="002C5B3B" w:rsidRPr="005533C9" w:rsidRDefault="002C5B3B">
      <w:pPr>
        <w:pStyle w:val="FootnoteText"/>
        <w:rPr>
          <w:szCs w:val="22"/>
        </w:rPr>
      </w:pPr>
      <w:r w:rsidRPr="005533C9">
        <w:rPr>
          <w:rStyle w:val="FootnoteReference"/>
          <w:szCs w:val="22"/>
        </w:rPr>
        <w:footnoteRef/>
      </w:r>
      <w:r w:rsidRPr="005533C9">
        <w:rPr>
          <w:szCs w:val="22"/>
        </w:rPr>
        <w:t xml:space="preserve"> Joint Application at 31.</w:t>
      </w:r>
    </w:p>
  </w:footnote>
  <w:footnote w:id="17">
    <w:p w14:paraId="22713613" w14:textId="4ED65BEE" w:rsidR="002C5B3B" w:rsidRPr="00E5063F" w:rsidRDefault="002C5B3B">
      <w:pPr>
        <w:pStyle w:val="FootnoteText"/>
        <w:rPr>
          <w:sz w:val="20"/>
        </w:rPr>
      </w:pPr>
      <w:r w:rsidRPr="005533C9">
        <w:rPr>
          <w:rStyle w:val="FootnoteReference"/>
          <w:szCs w:val="22"/>
        </w:rPr>
        <w:footnoteRef/>
      </w:r>
      <w:r w:rsidRPr="005533C9">
        <w:rPr>
          <w:szCs w:val="22"/>
        </w:rPr>
        <w:t xml:space="preserve"> Joint Application at 31.</w:t>
      </w:r>
    </w:p>
  </w:footnote>
  <w:footnote w:id="18">
    <w:p w14:paraId="6F2D96B8" w14:textId="6C622ED7" w:rsidR="002C5B3B" w:rsidRPr="001363BE" w:rsidRDefault="002C5B3B">
      <w:pPr>
        <w:pStyle w:val="FootnoteText"/>
        <w:rPr>
          <w:szCs w:val="22"/>
        </w:rPr>
      </w:pPr>
      <w:r w:rsidRPr="001363BE">
        <w:rPr>
          <w:rStyle w:val="FootnoteReference"/>
          <w:szCs w:val="22"/>
        </w:rPr>
        <w:footnoteRef/>
      </w:r>
      <w:r w:rsidRPr="001363BE">
        <w:rPr>
          <w:szCs w:val="22"/>
        </w:rPr>
        <w:t xml:space="preserve"> Response to Data Request at question</w:t>
      </w:r>
      <w:r>
        <w:rPr>
          <w:szCs w:val="22"/>
        </w:rPr>
        <w:t>s</w:t>
      </w:r>
      <w:r w:rsidRPr="001363BE">
        <w:rPr>
          <w:szCs w:val="22"/>
        </w:rPr>
        <w:t xml:space="preserve"> 4-5</w:t>
      </w:r>
      <w:r w:rsidR="00FF62B1">
        <w:rPr>
          <w:szCs w:val="22"/>
        </w:rPr>
        <w:t>.</w:t>
      </w:r>
    </w:p>
  </w:footnote>
  <w:footnote w:id="19">
    <w:p w14:paraId="50B4B7A3" w14:textId="62528CDF" w:rsidR="00CB622C" w:rsidRDefault="00CB622C" w:rsidP="00CB622C">
      <w:pPr>
        <w:pStyle w:val="FootnoteText"/>
      </w:pPr>
      <w:r>
        <w:rPr>
          <w:rStyle w:val="FootnoteReference"/>
        </w:rPr>
        <w:footnoteRef/>
      </w:r>
      <w:r>
        <w:t xml:space="preserve"> The Company has indicated that settlements had been reached in West Virginia and California </w:t>
      </w:r>
      <w:r w:rsidR="0007792C">
        <w:t>and provided copies. They</w:t>
      </w:r>
      <w:r>
        <w:t xml:space="preserve"> were not yet approved by the regulatory agency in those states.</w:t>
      </w:r>
    </w:p>
  </w:footnote>
  <w:footnote w:id="20">
    <w:p w14:paraId="1BDD24C0" w14:textId="5AF46695" w:rsidR="00A933FD" w:rsidRDefault="00A933FD">
      <w:pPr>
        <w:pStyle w:val="FootnoteText"/>
      </w:pPr>
      <w:r>
        <w:rPr>
          <w:rStyle w:val="FootnoteReference"/>
        </w:rPr>
        <w:footnoteRef/>
      </w:r>
      <w:r>
        <w:t xml:space="preserve"> </w:t>
      </w:r>
      <w:r w:rsidR="000C68FE">
        <w:t>Respons</w:t>
      </w:r>
      <w:r w:rsidR="00DE7E3F">
        <w:t>e to data requ</w:t>
      </w:r>
      <w:r w:rsidR="00B20FF0">
        <w:t xml:space="preserve">est at </w:t>
      </w:r>
      <w:r w:rsidR="00C434F2">
        <w:t>question</w:t>
      </w:r>
      <w:r w:rsidR="00C9613D">
        <w:t xml:space="preserve"> 5</w:t>
      </w:r>
      <w:r w:rsidR="009267D3">
        <w:t>.</w:t>
      </w:r>
    </w:p>
  </w:footnote>
  <w:footnote w:id="21">
    <w:p w14:paraId="5C94CFA9" w14:textId="4AF229AC" w:rsidR="002C5B3B" w:rsidRPr="001363BE" w:rsidRDefault="002C5B3B">
      <w:pPr>
        <w:pStyle w:val="FootnoteText"/>
        <w:rPr>
          <w:szCs w:val="22"/>
        </w:rPr>
      </w:pPr>
      <w:r w:rsidRPr="001363BE">
        <w:rPr>
          <w:rStyle w:val="FootnoteReference"/>
          <w:szCs w:val="22"/>
        </w:rPr>
        <w:footnoteRef/>
      </w:r>
      <w:r w:rsidRPr="001363BE">
        <w:rPr>
          <w:szCs w:val="22"/>
        </w:rPr>
        <w:t xml:space="preserve"> </w:t>
      </w:r>
      <w:r w:rsidRPr="001363BE">
        <w:rPr>
          <w:i/>
          <w:iCs/>
          <w:szCs w:val="22"/>
        </w:rPr>
        <w:t>See</w:t>
      </w:r>
      <w:r w:rsidRPr="001363BE">
        <w:rPr>
          <w:szCs w:val="22"/>
        </w:rPr>
        <w:t xml:space="preserve"> Supplemental Filing to Joint Application, copy of Joint Application for Consent to Assign and Transfer Control of Domestic and International Authorizations Pursuant to Section 214 of the Communications Act of 1934, As Amended filed with the FCC on June 24, 2020, WC Docket No. 20-197.  This </w:t>
      </w:r>
      <w:r w:rsidR="00ED0F20">
        <w:rPr>
          <w:szCs w:val="22"/>
        </w:rPr>
        <w:t>w</w:t>
      </w:r>
      <w:r w:rsidR="00B91642">
        <w:rPr>
          <w:szCs w:val="22"/>
        </w:rPr>
        <w:t>as</w:t>
      </w:r>
      <w:r w:rsidRPr="001363BE">
        <w:rPr>
          <w:szCs w:val="22"/>
        </w:rPr>
        <w:t xml:space="preserve"> also subject to foreign ownership review by the Committee for the Assessment of Foreign Participation in the United States Telecommunication Services Sector, a/k/a, Team Telecom).  Response to Data Request at question 17.</w:t>
      </w:r>
    </w:p>
  </w:footnote>
  <w:footnote w:id="22">
    <w:p w14:paraId="424ED404" w14:textId="4C765C65" w:rsidR="002C5B3B" w:rsidRPr="001363BE" w:rsidRDefault="002C5B3B">
      <w:pPr>
        <w:pStyle w:val="FootnoteText"/>
        <w:rPr>
          <w:szCs w:val="22"/>
        </w:rPr>
      </w:pPr>
      <w:r w:rsidRPr="001363BE">
        <w:rPr>
          <w:rStyle w:val="FootnoteReference"/>
          <w:szCs w:val="22"/>
        </w:rPr>
        <w:footnoteRef/>
      </w:r>
      <w:r w:rsidRPr="001363BE">
        <w:rPr>
          <w:szCs w:val="22"/>
        </w:rPr>
        <w:t xml:space="preserve"> Joint Application at 32.</w:t>
      </w:r>
    </w:p>
  </w:footnote>
  <w:footnote w:id="23">
    <w:p w14:paraId="00EF080B" w14:textId="16701D02" w:rsidR="002C5B3B" w:rsidRPr="001363BE" w:rsidRDefault="002C5B3B">
      <w:pPr>
        <w:pStyle w:val="FootnoteText"/>
        <w:rPr>
          <w:szCs w:val="22"/>
        </w:rPr>
      </w:pPr>
      <w:r w:rsidRPr="001363BE">
        <w:rPr>
          <w:rStyle w:val="FootnoteReference"/>
          <w:szCs w:val="22"/>
        </w:rPr>
        <w:footnoteRef/>
      </w:r>
      <w:r w:rsidRPr="001363BE">
        <w:rPr>
          <w:szCs w:val="22"/>
        </w:rPr>
        <w:t xml:space="preserve"> Joint Application at 32.  </w:t>
      </w:r>
    </w:p>
  </w:footnote>
  <w:footnote w:id="24">
    <w:p w14:paraId="5FAAABCE" w14:textId="4039EEBC" w:rsidR="002C5B3B" w:rsidRPr="001363BE" w:rsidRDefault="002C5B3B">
      <w:pPr>
        <w:pStyle w:val="FootnoteText"/>
        <w:rPr>
          <w:szCs w:val="22"/>
        </w:rPr>
      </w:pPr>
      <w:r w:rsidRPr="001363BE">
        <w:rPr>
          <w:rStyle w:val="FootnoteReference"/>
          <w:szCs w:val="22"/>
        </w:rPr>
        <w:footnoteRef/>
      </w:r>
      <w:r w:rsidRPr="001363BE">
        <w:rPr>
          <w:szCs w:val="22"/>
        </w:rPr>
        <w:t xml:space="preserve"> Response to Data Requests at question 8. </w:t>
      </w:r>
    </w:p>
  </w:footnote>
  <w:footnote w:id="25">
    <w:p w14:paraId="66D5DC2C" w14:textId="425090E0" w:rsidR="00A50FF2" w:rsidRPr="00042E5F" w:rsidRDefault="00A50FF2">
      <w:pPr>
        <w:pStyle w:val="FootnoteText"/>
        <w:rPr>
          <w:szCs w:val="22"/>
        </w:rPr>
      </w:pPr>
      <w:r w:rsidRPr="00A30B69">
        <w:rPr>
          <w:rStyle w:val="FootnoteReference"/>
          <w:szCs w:val="22"/>
        </w:rPr>
        <w:footnoteRef/>
      </w:r>
      <w:r w:rsidRPr="00A30B69">
        <w:rPr>
          <w:szCs w:val="22"/>
        </w:rPr>
        <w:t xml:space="preserve"> </w:t>
      </w:r>
      <w:r w:rsidR="00880965" w:rsidRPr="00042E5F">
        <w:rPr>
          <w:szCs w:val="22"/>
        </w:rPr>
        <w:t>Joint Application at 21-22.</w:t>
      </w:r>
    </w:p>
  </w:footnote>
  <w:footnote w:id="26">
    <w:p w14:paraId="68094592" w14:textId="79E4B214" w:rsidR="002C5B3B" w:rsidRPr="00D808A0" w:rsidRDefault="002C5B3B">
      <w:pPr>
        <w:pStyle w:val="FootnoteText"/>
        <w:rPr>
          <w:szCs w:val="22"/>
        </w:rPr>
      </w:pPr>
      <w:r w:rsidRPr="00D808A0">
        <w:rPr>
          <w:rStyle w:val="FootnoteReference"/>
          <w:szCs w:val="22"/>
        </w:rPr>
        <w:footnoteRef/>
      </w:r>
      <w:r w:rsidRPr="00D808A0">
        <w:rPr>
          <w:szCs w:val="22"/>
        </w:rPr>
        <w:t xml:space="preserve"> Response to Data Requests at question 10.</w:t>
      </w:r>
    </w:p>
  </w:footnote>
  <w:footnote w:id="27">
    <w:p w14:paraId="6DAA96A5" w14:textId="190ED601" w:rsidR="002C5B3B" w:rsidRPr="00D808A0" w:rsidRDefault="002C5B3B">
      <w:pPr>
        <w:pStyle w:val="FootnoteText"/>
        <w:rPr>
          <w:szCs w:val="22"/>
        </w:rPr>
      </w:pPr>
      <w:r w:rsidRPr="00D808A0">
        <w:rPr>
          <w:rStyle w:val="FootnoteReference"/>
          <w:szCs w:val="22"/>
        </w:rPr>
        <w:footnoteRef/>
      </w:r>
      <w:r w:rsidRPr="00D808A0">
        <w:rPr>
          <w:szCs w:val="22"/>
        </w:rPr>
        <w:t xml:space="preserve"> Response to Data Requests at question 14.</w:t>
      </w:r>
    </w:p>
  </w:footnote>
  <w:footnote w:id="28">
    <w:p w14:paraId="049E1DF8" w14:textId="77777777" w:rsidR="000C64DB" w:rsidRPr="00D808A0" w:rsidRDefault="000C64DB" w:rsidP="000C64DB">
      <w:pPr>
        <w:pStyle w:val="FootnoteText"/>
        <w:rPr>
          <w:szCs w:val="22"/>
        </w:rPr>
      </w:pPr>
      <w:r w:rsidRPr="00D808A0">
        <w:rPr>
          <w:rStyle w:val="FootnoteReference"/>
          <w:szCs w:val="22"/>
        </w:rPr>
        <w:footnoteRef/>
      </w:r>
      <w:r w:rsidRPr="00D808A0">
        <w:rPr>
          <w:szCs w:val="22"/>
        </w:rPr>
        <w:t xml:space="preserve"> Joint Application at 29.</w:t>
      </w:r>
    </w:p>
  </w:footnote>
  <w:footnote w:id="29">
    <w:p w14:paraId="4E09281B" w14:textId="77777777" w:rsidR="000C64DB" w:rsidRPr="00D808A0" w:rsidRDefault="000C64DB" w:rsidP="000C64DB">
      <w:pPr>
        <w:pStyle w:val="FootnoteText"/>
        <w:rPr>
          <w:szCs w:val="22"/>
        </w:rPr>
      </w:pPr>
      <w:r w:rsidRPr="00D808A0">
        <w:rPr>
          <w:rStyle w:val="FootnoteReference"/>
          <w:szCs w:val="22"/>
        </w:rPr>
        <w:footnoteRef/>
      </w:r>
      <w:r w:rsidRPr="00D808A0">
        <w:rPr>
          <w:szCs w:val="22"/>
        </w:rPr>
        <w:t xml:space="preserve"> Joint Application at 29.</w:t>
      </w:r>
    </w:p>
  </w:footnote>
  <w:footnote w:id="30">
    <w:p w14:paraId="28F25A8C" w14:textId="77777777" w:rsidR="000C64DB" w:rsidRPr="00690660" w:rsidRDefault="000C64DB" w:rsidP="000C64DB">
      <w:pPr>
        <w:pStyle w:val="FootnoteText"/>
        <w:rPr>
          <w:szCs w:val="22"/>
        </w:rPr>
      </w:pPr>
      <w:r w:rsidRPr="00B27B19">
        <w:rPr>
          <w:rStyle w:val="FootnoteReference"/>
          <w:szCs w:val="22"/>
        </w:rPr>
        <w:footnoteRef/>
      </w:r>
      <w:r w:rsidRPr="00B27B19">
        <w:rPr>
          <w:szCs w:val="22"/>
        </w:rPr>
        <w:t xml:space="preserve"> Joint Application at 29-30.</w:t>
      </w:r>
    </w:p>
  </w:footnote>
  <w:footnote w:id="31">
    <w:p w14:paraId="505465DB" w14:textId="77777777" w:rsidR="000C64DB" w:rsidRDefault="000C64DB" w:rsidP="000C64DB">
      <w:pPr>
        <w:pStyle w:val="FootnoteText"/>
      </w:pPr>
      <w:r w:rsidRPr="00D808A0">
        <w:rPr>
          <w:rStyle w:val="FootnoteReference"/>
          <w:szCs w:val="22"/>
        </w:rPr>
        <w:footnoteRef/>
      </w:r>
      <w:r w:rsidRPr="00D808A0">
        <w:rPr>
          <w:szCs w:val="22"/>
        </w:rPr>
        <w:t xml:space="preserve"> Joint Application at 29.</w:t>
      </w:r>
    </w:p>
  </w:footnote>
  <w:footnote w:id="32">
    <w:p w14:paraId="50F7B86A" w14:textId="5E6AF8CF" w:rsidR="00FE15C8" w:rsidRDefault="00FE15C8">
      <w:pPr>
        <w:pStyle w:val="FootnoteText"/>
      </w:pPr>
      <w:r>
        <w:rPr>
          <w:rStyle w:val="FootnoteReference"/>
        </w:rPr>
        <w:footnoteRef/>
      </w:r>
      <w:r>
        <w:t xml:space="preserve"> </w:t>
      </w:r>
      <w:r w:rsidR="00FB3A3F">
        <w:t>The UCARE</w:t>
      </w:r>
      <w:r w:rsidR="00FB053A">
        <w:t xml:space="preserve"> Report is available at </w:t>
      </w:r>
      <w:hyperlink r:id="rId2" w:history="1">
        <w:r w:rsidR="00FB053A" w:rsidRPr="00FB053A">
          <w:rPr>
            <w:rStyle w:val="Hyperlink"/>
          </w:rPr>
          <w:t>https://www.puc.pa.gov/media/1276/ucare_2019.pdf</w:t>
        </w:r>
      </w:hyperlink>
      <w:r w:rsidR="00B350EA">
        <w:t>.</w:t>
      </w:r>
    </w:p>
  </w:footnote>
  <w:footnote w:id="33">
    <w:p w14:paraId="332847CA" w14:textId="77777777" w:rsidR="000C64DB" w:rsidRPr="00067F2E" w:rsidRDefault="000C64DB" w:rsidP="000C64DB">
      <w:pPr>
        <w:pStyle w:val="FootnoteText"/>
        <w:rPr>
          <w:sz w:val="20"/>
        </w:rPr>
      </w:pPr>
      <w:r w:rsidRPr="00067F2E">
        <w:rPr>
          <w:rStyle w:val="FootnoteReference"/>
          <w:sz w:val="20"/>
        </w:rPr>
        <w:footnoteRef/>
      </w:r>
      <w:r w:rsidRPr="00067F2E">
        <w:rPr>
          <w:sz w:val="20"/>
        </w:rPr>
        <w:t xml:space="preserve"> </w:t>
      </w:r>
      <w:r w:rsidRPr="009078FA">
        <w:rPr>
          <w:szCs w:val="22"/>
        </w:rPr>
        <w:t>The I&amp;E</w:t>
      </w:r>
      <w:r w:rsidRPr="00A60FB2">
        <w:rPr>
          <w:szCs w:val="22"/>
        </w:rPr>
        <w:t xml:space="preserve"> investigation is a separate matter, and I&amp;E retains its discretion to take whatever action it deems is warranted in that proceeding.</w:t>
      </w:r>
    </w:p>
  </w:footnote>
  <w:footnote w:id="34">
    <w:p w14:paraId="247140B4" w14:textId="10D759EB" w:rsidR="002C5B3B" w:rsidRPr="00B27B19" w:rsidRDefault="002C5B3B">
      <w:pPr>
        <w:pStyle w:val="FootnoteText"/>
        <w:rPr>
          <w:szCs w:val="22"/>
        </w:rPr>
      </w:pPr>
      <w:r w:rsidRPr="00B27B19">
        <w:rPr>
          <w:rStyle w:val="FootnoteReference"/>
          <w:szCs w:val="22"/>
        </w:rPr>
        <w:footnoteRef/>
      </w:r>
      <w:r w:rsidRPr="00B27B19">
        <w:rPr>
          <w:szCs w:val="22"/>
        </w:rPr>
        <w:t xml:space="preserve"> </w:t>
      </w:r>
      <w:r w:rsidRPr="009952B7">
        <w:rPr>
          <w:szCs w:val="22"/>
        </w:rPr>
        <w:t xml:space="preserve">Response to </w:t>
      </w:r>
      <w:r w:rsidR="00992D66">
        <w:rPr>
          <w:szCs w:val="22"/>
        </w:rPr>
        <w:t>Dat</w:t>
      </w:r>
      <w:r w:rsidR="001F3440">
        <w:rPr>
          <w:szCs w:val="22"/>
        </w:rPr>
        <w:t>a</w:t>
      </w:r>
      <w:r w:rsidR="00992D66">
        <w:rPr>
          <w:szCs w:val="22"/>
        </w:rPr>
        <w:t xml:space="preserve"> Request </w:t>
      </w:r>
      <w:r w:rsidR="001F3440">
        <w:rPr>
          <w:szCs w:val="22"/>
        </w:rPr>
        <w:t>at question 5</w:t>
      </w:r>
      <w:r w:rsidRPr="00E170EB">
        <w:rPr>
          <w:szCs w:val="22"/>
        </w:rPr>
        <w:t>.</w:t>
      </w:r>
      <w:r w:rsidR="00A2701B">
        <w:rPr>
          <w:szCs w:val="22"/>
        </w:rPr>
        <w:t xml:space="preserve"> Joint Applicants have also advised of their agreement to an employment reporting condition in a settlement </w:t>
      </w:r>
      <w:r w:rsidR="005B292E">
        <w:rPr>
          <w:szCs w:val="22"/>
        </w:rPr>
        <w:t>currently pending in West Virginia.  Response to Data Request at question 5, updated.</w:t>
      </w:r>
    </w:p>
  </w:footnote>
  <w:footnote w:id="35">
    <w:p w14:paraId="554BAFCB" w14:textId="1C52B655" w:rsidR="002C5B3B" w:rsidRPr="000B468D" w:rsidRDefault="002C5B3B" w:rsidP="00191DEB">
      <w:pPr>
        <w:pStyle w:val="FootnoteText"/>
      </w:pPr>
      <w:r w:rsidRPr="00B27B19">
        <w:rPr>
          <w:rStyle w:val="FootnoteReference"/>
          <w:szCs w:val="22"/>
        </w:rPr>
        <w:footnoteRef/>
      </w:r>
      <w:r w:rsidRPr="00A30B69">
        <w:rPr>
          <w:szCs w:val="22"/>
        </w:rPr>
        <w:t xml:space="preserve"> </w:t>
      </w:r>
      <w:r w:rsidRPr="00B27B19">
        <w:rPr>
          <w:i/>
          <w:iCs/>
          <w:szCs w:val="22"/>
        </w:rPr>
        <w:t xml:space="preserve">See, e.g., Joint Application of Windstream Holdings, Inc. </w:t>
      </w:r>
      <w:r w:rsidRPr="00690660">
        <w:rPr>
          <w:szCs w:val="22"/>
        </w:rPr>
        <w:t>et al., Docket Nos. A-2020-3020132 et al. (Se</w:t>
      </w:r>
      <w:r w:rsidRPr="00A50FF2">
        <w:rPr>
          <w:szCs w:val="22"/>
        </w:rPr>
        <w:t xml:space="preserve">cretarial Letters issued August 25, 2020; September 3, 2020); </w:t>
      </w:r>
      <w:r w:rsidRPr="00A30B69">
        <w:rPr>
          <w:i/>
          <w:iCs/>
          <w:color w:val="000000" w:themeColor="text1"/>
          <w:szCs w:val="22"/>
        </w:rPr>
        <w:t xml:space="preserve">Joint Application of Lingo Communications, LLC; Lingo Communications of the Northeast, LLC; Matrix Telecom, LLC; and Garrison LM LLC for Approval of the Proposed Transfer of Indirect Control of </w:t>
      </w:r>
      <w:r w:rsidRPr="00FC37CD">
        <w:rPr>
          <w:i/>
          <w:iCs/>
          <w:color w:val="000000" w:themeColor="text1"/>
          <w:szCs w:val="22"/>
        </w:rPr>
        <w:t>Lingo Communications of the Northeast, LLC and Matrix Telecom, LLC to Garrison LM LLC</w:t>
      </w:r>
      <w:r w:rsidRPr="00FC37CD">
        <w:rPr>
          <w:color w:val="000000" w:themeColor="text1"/>
          <w:szCs w:val="22"/>
        </w:rPr>
        <w:t xml:space="preserve">, Docket Nos. </w:t>
      </w:r>
      <w:bookmarkStart w:id="39" w:name="_Hlk34891544"/>
      <w:r w:rsidRPr="00FC37CD">
        <w:rPr>
          <w:color w:val="000000" w:themeColor="text1"/>
          <w:szCs w:val="22"/>
        </w:rPr>
        <w:t>A-2019-3015020</w:t>
      </w:r>
      <w:bookmarkEnd w:id="39"/>
      <w:r w:rsidRPr="00FC37CD">
        <w:rPr>
          <w:color w:val="000000" w:themeColor="text1"/>
          <w:szCs w:val="22"/>
        </w:rPr>
        <w:t xml:space="preserve"> et al., Secretarial Letter issued March 12, 2020; </w:t>
      </w:r>
      <w:r w:rsidRPr="00FC37CD">
        <w:rPr>
          <w:i/>
          <w:iCs/>
          <w:color w:val="000000" w:themeColor="text1"/>
          <w:szCs w:val="22"/>
        </w:rPr>
        <w:t xml:space="preserve">Joint Application for the Consolidation of Crown Castle NG East LLC, Fiber Technologies Networks L.L.C., PA – CLEC LLC and </w:t>
      </w:r>
      <w:proofErr w:type="spellStart"/>
      <w:r w:rsidRPr="00FC37CD">
        <w:rPr>
          <w:i/>
          <w:iCs/>
          <w:color w:val="000000" w:themeColor="text1"/>
          <w:szCs w:val="22"/>
        </w:rPr>
        <w:t>Sunesys</w:t>
      </w:r>
      <w:proofErr w:type="spellEnd"/>
      <w:r w:rsidRPr="00FC37CD">
        <w:rPr>
          <w:i/>
          <w:iCs/>
          <w:color w:val="000000" w:themeColor="text1"/>
          <w:szCs w:val="22"/>
        </w:rPr>
        <w:t>, LLC into Crown Castle Fiber, LLC and Subsequent Abandonment by the Consolidated Companies</w:t>
      </w:r>
      <w:r w:rsidRPr="00FC37CD">
        <w:rPr>
          <w:color w:val="000000" w:themeColor="text1"/>
          <w:szCs w:val="22"/>
        </w:rPr>
        <w:t>, Docket Nos. A-2018-3004131 et seq. (Secretarial Letter issued December 11,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57BD"/>
    <w:multiLevelType w:val="hybridMultilevel"/>
    <w:tmpl w:val="6BB8E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0F5D99"/>
    <w:multiLevelType w:val="hybridMultilevel"/>
    <w:tmpl w:val="ABB269B8"/>
    <w:lvl w:ilvl="0" w:tplc="23F6EB60">
      <w:start w:val="1"/>
      <w:numFmt w:val="decimal"/>
      <w:lvlText w:val="%1."/>
      <w:lvlJc w:val="left"/>
      <w:pPr>
        <w:ind w:left="3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0B16"/>
    <w:rsid w:val="00000CDD"/>
    <w:rsid w:val="00000FDC"/>
    <w:rsid w:val="0000558D"/>
    <w:rsid w:val="00005915"/>
    <w:rsid w:val="00007D1A"/>
    <w:rsid w:val="000109BF"/>
    <w:rsid w:val="00010B34"/>
    <w:rsid w:val="00010B7E"/>
    <w:rsid w:val="00010D95"/>
    <w:rsid w:val="0001123D"/>
    <w:rsid w:val="000140D1"/>
    <w:rsid w:val="00014FAC"/>
    <w:rsid w:val="0002057C"/>
    <w:rsid w:val="00022EE2"/>
    <w:rsid w:val="000233A9"/>
    <w:rsid w:val="0002444D"/>
    <w:rsid w:val="000248E6"/>
    <w:rsid w:val="000267A0"/>
    <w:rsid w:val="00026F1F"/>
    <w:rsid w:val="00030119"/>
    <w:rsid w:val="000333CF"/>
    <w:rsid w:val="00034783"/>
    <w:rsid w:val="00034C94"/>
    <w:rsid w:val="00034D07"/>
    <w:rsid w:val="00035C42"/>
    <w:rsid w:val="00037E3A"/>
    <w:rsid w:val="00042E5F"/>
    <w:rsid w:val="00042E91"/>
    <w:rsid w:val="0004341E"/>
    <w:rsid w:val="000515C7"/>
    <w:rsid w:val="00051F17"/>
    <w:rsid w:val="0005363E"/>
    <w:rsid w:val="00053B85"/>
    <w:rsid w:val="0005402C"/>
    <w:rsid w:val="000559DC"/>
    <w:rsid w:val="00056E04"/>
    <w:rsid w:val="00057A06"/>
    <w:rsid w:val="00057F4A"/>
    <w:rsid w:val="00060832"/>
    <w:rsid w:val="00061D65"/>
    <w:rsid w:val="00063A7C"/>
    <w:rsid w:val="00063AF1"/>
    <w:rsid w:val="0006564A"/>
    <w:rsid w:val="00065D59"/>
    <w:rsid w:val="0006621E"/>
    <w:rsid w:val="00066696"/>
    <w:rsid w:val="0006790B"/>
    <w:rsid w:val="00067C2E"/>
    <w:rsid w:val="00071D41"/>
    <w:rsid w:val="000722B3"/>
    <w:rsid w:val="000723FA"/>
    <w:rsid w:val="00072528"/>
    <w:rsid w:val="000728A1"/>
    <w:rsid w:val="00074446"/>
    <w:rsid w:val="00075640"/>
    <w:rsid w:val="000761C0"/>
    <w:rsid w:val="00076243"/>
    <w:rsid w:val="0007792C"/>
    <w:rsid w:val="0008071A"/>
    <w:rsid w:val="000825C4"/>
    <w:rsid w:val="00082BE3"/>
    <w:rsid w:val="0008427B"/>
    <w:rsid w:val="00087E73"/>
    <w:rsid w:val="000902EE"/>
    <w:rsid w:val="00090318"/>
    <w:rsid w:val="000910E2"/>
    <w:rsid w:val="00091186"/>
    <w:rsid w:val="00091C23"/>
    <w:rsid w:val="00091EE2"/>
    <w:rsid w:val="0009284F"/>
    <w:rsid w:val="00097524"/>
    <w:rsid w:val="00097A1F"/>
    <w:rsid w:val="000A2451"/>
    <w:rsid w:val="000A37D7"/>
    <w:rsid w:val="000A777B"/>
    <w:rsid w:val="000B0A1F"/>
    <w:rsid w:val="000B14DA"/>
    <w:rsid w:val="000B2CBA"/>
    <w:rsid w:val="000B36D3"/>
    <w:rsid w:val="000B42BA"/>
    <w:rsid w:val="000B649D"/>
    <w:rsid w:val="000B707A"/>
    <w:rsid w:val="000B775C"/>
    <w:rsid w:val="000B7F98"/>
    <w:rsid w:val="000C1349"/>
    <w:rsid w:val="000C1530"/>
    <w:rsid w:val="000C191F"/>
    <w:rsid w:val="000C210A"/>
    <w:rsid w:val="000C2672"/>
    <w:rsid w:val="000C5DFC"/>
    <w:rsid w:val="000C64DB"/>
    <w:rsid w:val="000C6861"/>
    <w:rsid w:val="000C68FE"/>
    <w:rsid w:val="000C7246"/>
    <w:rsid w:val="000D01DF"/>
    <w:rsid w:val="000D03CA"/>
    <w:rsid w:val="000D0FD9"/>
    <w:rsid w:val="000D1DAC"/>
    <w:rsid w:val="000D42BC"/>
    <w:rsid w:val="000D528A"/>
    <w:rsid w:val="000D6FAE"/>
    <w:rsid w:val="000D7B38"/>
    <w:rsid w:val="000E05C6"/>
    <w:rsid w:val="000E07BF"/>
    <w:rsid w:val="000E1231"/>
    <w:rsid w:val="000E248E"/>
    <w:rsid w:val="000E36BC"/>
    <w:rsid w:val="000E3B2C"/>
    <w:rsid w:val="000E4C59"/>
    <w:rsid w:val="000E5229"/>
    <w:rsid w:val="000E6A31"/>
    <w:rsid w:val="000E7676"/>
    <w:rsid w:val="000F4066"/>
    <w:rsid w:val="000F6690"/>
    <w:rsid w:val="00101514"/>
    <w:rsid w:val="00101E4C"/>
    <w:rsid w:val="00103306"/>
    <w:rsid w:val="00103435"/>
    <w:rsid w:val="001036F3"/>
    <w:rsid w:val="0010461E"/>
    <w:rsid w:val="00105992"/>
    <w:rsid w:val="00106088"/>
    <w:rsid w:val="00107623"/>
    <w:rsid w:val="00107FB8"/>
    <w:rsid w:val="0011013E"/>
    <w:rsid w:val="001113A4"/>
    <w:rsid w:val="00111771"/>
    <w:rsid w:val="00112F4D"/>
    <w:rsid w:val="001142B3"/>
    <w:rsid w:val="00115414"/>
    <w:rsid w:val="00115489"/>
    <w:rsid w:val="00115C98"/>
    <w:rsid w:val="001179FD"/>
    <w:rsid w:val="00117BC0"/>
    <w:rsid w:val="001202A2"/>
    <w:rsid w:val="00120CB3"/>
    <w:rsid w:val="0012110E"/>
    <w:rsid w:val="00122F61"/>
    <w:rsid w:val="001245B0"/>
    <w:rsid w:val="00125352"/>
    <w:rsid w:val="001260BA"/>
    <w:rsid w:val="001264B6"/>
    <w:rsid w:val="00126541"/>
    <w:rsid w:val="00126F3E"/>
    <w:rsid w:val="00131DDA"/>
    <w:rsid w:val="00131F30"/>
    <w:rsid w:val="00132035"/>
    <w:rsid w:val="00132043"/>
    <w:rsid w:val="0013228F"/>
    <w:rsid w:val="00132B84"/>
    <w:rsid w:val="001334FC"/>
    <w:rsid w:val="001348CB"/>
    <w:rsid w:val="001363BE"/>
    <w:rsid w:val="00136449"/>
    <w:rsid w:val="001377F5"/>
    <w:rsid w:val="0014020D"/>
    <w:rsid w:val="00141BEE"/>
    <w:rsid w:val="001427BC"/>
    <w:rsid w:val="00142BA3"/>
    <w:rsid w:val="00143659"/>
    <w:rsid w:val="00144CE3"/>
    <w:rsid w:val="00146B3E"/>
    <w:rsid w:val="00146DFD"/>
    <w:rsid w:val="001501C8"/>
    <w:rsid w:val="00150A3B"/>
    <w:rsid w:val="00150F8B"/>
    <w:rsid w:val="001535C8"/>
    <w:rsid w:val="0015699C"/>
    <w:rsid w:val="0015792E"/>
    <w:rsid w:val="00157C40"/>
    <w:rsid w:val="00162439"/>
    <w:rsid w:val="0016278E"/>
    <w:rsid w:val="00164239"/>
    <w:rsid w:val="001662BA"/>
    <w:rsid w:val="001662C3"/>
    <w:rsid w:val="00166D3E"/>
    <w:rsid w:val="00167298"/>
    <w:rsid w:val="001735E5"/>
    <w:rsid w:val="0017540A"/>
    <w:rsid w:val="00176F31"/>
    <w:rsid w:val="0017760B"/>
    <w:rsid w:val="00180CFB"/>
    <w:rsid w:val="00182777"/>
    <w:rsid w:val="00183DE9"/>
    <w:rsid w:val="00184397"/>
    <w:rsid w:val="00185214"/>
    <w:rsid w:val="0018720B"/>
    <w:rsid w:val="001914E4"/>
    <w:rsid w:val="00191C4D"/>
    <w:rsid w:val="00191DEB"/>
    <w:rsid w:val="00191FE1"/>
    <w:rsid w:val="00195331"/>
    <w:rsid w:val="00196204"/>
    <w:rsid w:val="00196CC9"/>
    <w:rsid w:val="001A1A45"/>
    <w:rsid w:val="001A1CA6"/>
    <w:rsid w:val="001A2153"/>
    <w:rsid w:val="001A2F36"/>
    <w:rsid w:val="001A2FBB"/>
    <w:rsid w:val="001A3317"/>
    <w:rsid w:val="001A3E95"/>
    <w:rsid w:val="001A56AF"/>
    <w:rsid w:val="001A56FB"/>
    <w:rsid w:val="001A6D02"/>
    <w:rsid w:val="001A791E"/>
    <w:rsid w:val="001B0975"/>
    <w:rsid w:val="001B1F66"/>
    <w:rsid w:val="001B3E44"/>
    <w:rsid w:val="001B4A58"/>
    <w:rsid w:val="001B50B2"/>
    <w:rsid w:val="001B50E0"/>
    <w:rsid w:val="001B6DB1"/>
    <w:rsid w:val="001B70F6"/>
    <w:rsid w:val="001B7ADD"/>
    <w:rsid w:val="001C1000"/>
    <w:rsid w:val="001C1597"/>
    <w:rsid w:val="001C3034"/>
    <w:rsid w:val="001C3EBB"/>
    <w:rsid w:val="001C3FA9"/>
    <w:rsid w:val="001C5C78"/>
    <w:rsid w:val="001D1712"/>
    <w:rsid w:val="001D20F8"/>
    <w:rsid w:val="001D3208"/>
    <w:rsid w:val="001D45B2"/>
    <w:rsid w:val="001D5749"/>
    <w:rsid w:val="001D6546"/>
    <w:rsid w:val="001E100C"/>
    <w:rsid w:val="001E14E1"/>
    <w:rsid w:val="001E2B22"/>
    <w:rsid w:val="001E4413"/>
    <w:rsid w:val="001E4435"/>
    <w:rsid w:val="001E47D4"/>
    <w:rsid w:val="001E54B7"/>
    <w:rsid w:val="001E5562"/>
    <w:rsid w:val="001E6213"/>
    <w:rsid w:val="001E68C0"/>
    <w:rsid w:val="001E69D2"/>
    <w:rsid w:val="001E74FC"/>
    <w:rsid w:val="001F055A"/>
    <w:rsid w:val="001F3440"/>
    <w:rsid w:val="001F4A76"/>
    <w:rsid w:val="001F7B00"/>
    <w:rsid w:val="002004BF"/>
    <w:rsid w:val="00200693"/>
    <w:rsid w:val="00201BFD"/>
    <w:rsid w:val="002022B9"/>
    <w:rsid w:val="002049DD"/>
    <w:rsid w:val="00206AF2"/>
    <w:rsid w:val="002118D4"/>
    <w:rsid w:val="00211C6C"/>
    <w:rsid w:val="00212299"/>
    <w:rsid w:val="002145F6"/>
    <w:rsid w:val="00220925"/>
    <w:rsid w:val="002219AF"/>
    <w:rsid w:val="00223080"/>
    <w:rsid w:val="00224CD8"/>
    <w:rsid w:val="00226358"/>
    <w:rsid w:val="00227576"/>
    <w:rsid w:val="00227E51"/>
    <w:rsid w:val="00230433"/>
    <w:rsid w:val="00230C3D"/>
    <w:rsid w:val="002311BE"/>
    <w:rsid w:val="002311CC"/>
    <w:rsid w:val="00231244"/>
    <w:rsid w:val="00232E6E"/>
    <w:rsid w:val="00234BD0"/>
    <w:rsid w:val="002354DC"/>
    <w:rsid w:val="00235E60"/>
    <w:rsid w:val="00236D2D"/>
    <w:rsid w:val="00241203"/>
    <w:rsid w:val="002421F5"/>
    <w:rsid w:val="00244511"/>
    <w:rsid w:val="00245034"/>
    <w:rsid w:val="00245C27"/>
    <w:rsid w:val="002470E1"/>
    <w:rsid w:val="002477BA"/>
    <w:rsid w:val="00247B21"/>
    <w:rsid w:val="00247F2C"/>
    <w:rsid w:val="00252295"/>
    <w:rsid w:val="00253E92"/>
    <w:rsid w:val="00254083"/>
    <w:rsid w:val="00254DCE"/>
    <w:rsid w:val="002551E4"/>
    <w:rsid w:val="00255E4A"/>
    <w:rsid w:val="00256182"/>
    <w:rsid w:val="00256241"/>
    <w:rsid w:val="00257390"/>
    <w:rsid w:val="002602C9"/>
    <w:rsid w:val="002635D1"/>
    <w:rsid w:val="0026506D"/>
    <w:rsid w:val="00265F12"/>
    <w:rsid w:val="0026629B"/>
    <w:rsid w:val="0026688B"/>
    <w:rsid w:val="00266A2D"/>
    <w:rsid w:val="00266BF8"/>
    <w:rsid w:val="002705D9"/>
    <w:rsid w:val="00272D3C"/>
    <w:rsid w:val="00277C32"/>
    <w:rsid w:val="00281E6E"/>
    <w:rsid w:val="00282AAB"/>
    <w:rsid w:val="00284A9E"/>
    <w:rsid w:val="00285B4B"/>
    <w:rsid w:val="0028686B"/>
    <w:rsid w:val="0028704F"/>
    <w:rsid w:val="00290F95"/>
    <w:rsid w:val="00292715"/>
    <w:rsid w:val="00293DB5"/>
    <w:rsid w:val="00294686"/>
    <w:rsid w:val="00294A78"/>
    <w:rsid w:val="00294B4B"/>
    <w:rsid w:val="002950A1"/>
    <w:rsid w:val="00295BF0"/>
    <w:rsid w:val="002A147E"/>
    <w:rsid w:val="002A1A8A"/>
    <w:rsid w:val="002A25EF"/>
    <w:rsid w:val="002A274D"/>
    <w:rsid w:val="002A40F0"/>
    <w:rsid w:val="002A53E4"/>
    <w:rsid w:val="002A545C"/>
    <w:rsid w:val="002A5525"/>
    <w:rsid w:val="002A6327"/>
    <w:rsid w:val="002A6A0F"/>
    <w:rsid w:val="002A7251"/>
    <w:rsid w:val="002B0DEB"/>
    <w:rsid w:val="002B0F49"/>
    <w:rsid w:val="002B1362"/>
    <w:rsid w:val="002B1776"/>
    <w:rsid w:val="002B2EF1"/>
    <w:rsid w:val="002B4044"/>
    <w:rsid w:val="002B4A2E"/>
    <w:rsid w:val="002B544F"/>
    <w:rsid w:val="002B7028"/>
    <w:rsid w:val="002C1890"/>
    <w:rsid w:val="002C21C0"/>
    <w:rsid w:val="002C5B3B"/>
    <w:rsid w:val="002C748D"/>
    <w:rsid w:val="002C79D7"/>
    <w:rsid w:val="002D043D"/>
    <w:rsid w:val="002D0969"/>
    <w:rsid w:val="002D0A5D"/>
    <w:rsid w:val="002D3BA9"/>
    <w:rsid w:val="002D3C70"/>
    <w:rsid w:val="002D47A1"/>
    <w:rsid w:val="002D51FF"/>
    <w:rsid w:val="002D6B95"/>
    <w:rsid w:val="002D707A"/>
    <w:rsid w:val="002D7A07"/>
    <w:rsid w:val="002E1A32"/>
    <w:rsid w:val="002E29B7"/>
    <w:rsid w:val="002E5260"/>
    <w:rsid w:val="002E699B"/>
    <w:rsid w:val="002E7134"/>
    <w:rsid w:val="002E72BD"/>
    <w:rsid w:val="002E7670"/>
    <w:rsid w:val="002E7C64"/>
    <w:rsid w:val="002F0F99"/>
    <w:rsid w:val="002F1221"/>
    <w:rsid w:val="002F1645"/>
    <w:rsid w:val="002F2CF3"/>
    <w:rsid w:val="002F300D"/>
    <w:rsid w:val="002F503B"/>
    <w:rsid w:val="002F5213"/>
    <w:rsid w:val="002F5798"/>
    <w:rsid w:val="002F5E92"/>
    <w:rsid w:val="002F611D"/>
    <w:rsid w:val="002F65B4"/>
    <w:rsid w:val="003027F8"/>
    <w:rsid w:val="00302A0E"/>
    <w:rsid w:val="00302CBB"/>
    <w:rsid w:val="00302F83"/>
    <w:rsid w:val="00303975"/>
    <w:rsid w:val="00303F21"/>
    <w:rsid w:val="00305D55"/>
    <w:rsid w:val="0030756B"/>
    <w:rsid w:val="003105FF"/>
    <w:rsid w:val="003107D6"/>
    <w:rsid w:val="00312439"/>
    <w:rsid w:val="00313EFA"/>
    <w:rsid w:val="003143D3"/>
    <w:rsid w:val="0031646B"/>
    <w:rsid w:val="00317A7A"/>
    <w:rsid w:val="003203B5"/>
    <w:rsid w:val="003204A8"/>
    <w:rsid w:val="003212C6"/>
    <w:rsid w:val="00322D70"/>
    <w:rsid w:val="00323D97"/>
    <w:rsid w:val="0032466A"/>
    <w:rsid w:val="00326879"/>
    <w:rsid w:val="003274B3"/>
    <w:rsid w:val="003278D9"/>
    <w:rsid w:val="003312A8"/>
    <w:rsid w:val="00331386"/>
    <w:rsid w:val="003314F2"/>
    <w:rsid w:val="0033190F"/>
    <w:rsid w:val="00331BA5"/>
    <w:rsid w:val="003329BC"/>
    <w:rsid w:val="00332B99"/>
    <w:rsid w:val="0033489B"/>
    <w:rsid w:val="00334999"/>
    <w:rsid w:val="00335CE1"/>
    <w:rsid w:val="003361CE"/>
    <w:rsid w:val="003372D3"/>
    <w:rsid w:val="003375A8"/>
    <w:rsid w:val="00340506"/>
    <w:rsid w:val="00340804"/>
    <w:rsid w:val="0034239B"/>
    <w:rsid w:val="003437D2"/>
    <w:rsid w:val="00343FD3"/>
    <w:rsid w:val="0034777A"/>
    <w:rsid w:val="0035043A"/>
    <w:rsid w:val="00350B76"/>
    <w:rsid w:val="0035136D"/>
    <w:rsid w:val="00351AF6"/>
    <w:rsid w:val="00352AFA"/>
    <w:rsid w:val="003533B4"/>
    <w:rsid w:val="00353843"/>
    <w:rsid w:val="00356000"/>
    <w:rsid w:val="00356382"/>
    <w:rsid w:val="0035659A"/>
    <w:rsid w:val="00356B4F"/>
    <w:rsid w:val="00357D67"/>
    <w:rsid w:val="0036191C"/>
    <w:rsid w:val="003623DD"/>
    <w:rsid w:val="00367386"/>
    <w:rsid w:val="00367994"/>
    <w:rsid w:val="003679D5"/>
    <w:rsid w:val="00367F80"/>
    <w:rsid w:val="003702D7"/>
    <w:rsid w:val="0037068F"/>
    <w:rsid w:val="00375780"/>
    <w:rsid w:val="0038183E"/>
    <w:rsid w:val="00381C5C"/>
    <w:rsid w:val="00383BD4"/>
    <w:rsid w:val="003844B9"/>
    <w:rsid w:val="00384EBF"/>
    <w:rsid w:val="0038569A"/>
    <w:rsid w:val="003859C2"/>
    <w:rsid w:val="00386D0B"/>
    <w:rsid w:val="003873C0"/>
    <w:rsid w:val="003878F3"/>
    <w:rsid w:val="00390A8B"/>
    <w:rsid w:val="003912F4"/>
    <w:rsid w:val="003919F7"/>
    <w:rsid w:val="003944D1"/>
    <w:rsid w:val="00395C61"/>
    <w:rsid w:val="003967CE"/>
    <w:rsid w:val="003A0C78"/>
    <w:rsid w:val="003A0D89"/>
    <w:rsid w:val="003A31A9"/>
    <w:rsid w:val="003A35A2"/>
    <w:rsid w:val="003A37FB"/>
    <w:rsid w:val="003A38FA"/>
    <w:rsid w:val="003A44A6"/>
    <w:rsid w:val="003B10F0"/>
    <w:rsid w:val="003B19C3"/>
    <w:rsid w:val="003B1A94"/>
    <w:rsid w:val="003B2533"/>
    <w:rsid w:val="003B3507"/>
    <w:rsid w:val="003B466A"/>
    <w:rsid w:val="003B484E"/>
    <w:rsid w:val="003B4ECF"/>
    <w:rsid w:val="003B68F2"/>
    <w:rsid w:val="003C06E2"/>
    <w:rsid w:val="003C0834"/>
    <w:rsid w:val="003C1936"/>
    <w:rsid w:val="003C20A9"/>
    <w:rsid w:val="003C2ACF"/>
    <w:rsid w:val="003C2B1F"/>
    <w:rsid w:val="003C3833"/>
    <w:rsid w:val="003C3A21"/>
    <w:rsid w:val="003C49E8"/>
    <w:rsid w:val="003C6EB4"/>
    <w:rsid w:val="003C7DE0"/>
    <w:rsid w:val="003D021C"/>
    <w:rsid w:val="003D0F3E"/>
    <w:rsid w:val="003D22D1"/>
    <w:rsid w:val="003D25EF"/>
    <w:rsid w:val="003D3CEE"/>
    <w:rsid w:val="003D47CE"/>
    <w:rsid w:val="003D4809"/>
    <w:rsid w:val="003D6B30"/>
    <w:rsid w:val="003E01A3"/>
    <w:rsid w:val="003E308C"/>
    <w:rsid w:val="003E3BC1"/>
    <w:rsid w:val="003E6E97"/>
    <w:rsid w:val="003E75C4"/>
    <w:rsid w:val="003F0AAA"/>
    <w:rsid w:val="003F0B3D"/>
    <w:rsid w:val="003F11A0"/>
    <w:rsid w:val="003F44B6"/>
    <w:rsid w:val="003F6D99"/>
    <w:rsid w:val="003F7CE2"/>
    <w:rsid w:val="00401C75"/>
    <w:rsid w:val="00402218"/>
    <w:rsid w:val="00402817"/>
    <w:rsid w:val="0040389A"/>
    <w:rsid w:val="00403AF6"/>
    <w:rsid w:val="0040526A"/>
    <w:rsid w:val="00405B96"/>
    <w:rsid w:val="00406529"/>
    <w:rsid w:val="00407BCF"/>
    <w:rsid w:val="00412DC9"/>
    <w:rsid w:val="00413F6C"/>
    <w:rsid w:val="00414554"/>
    <w:rsid w:val="004159C6"/>
    <w:rsid w:val="004171A5"/>
    <w:rsid w:val="00420A15"/>
    <w:rsid w:val="00420AD2"/>
    <w:rsid w:val="00420E46"/>
    <w:rsid w:val="00425606"/>
    <w:rsid w:val="00425955"/>
    <w:rsid w:val="00426BF2"/>
    <w:rsid w:val="00427347"/>
    <w:rsid w:val="004275CE"/>
    <w:rsid w:val="00427CEC"/>
    <w:rsid w:val="00430D33"/>
    <w:rsid w:val="0043483D"/>
    <w:rsid w:val="00434D2A"/>
    <w:rsid w:val="00435DE4"/>
    <w:rsid w:val="00435E5E"/>
    <w:rsid w:val="00436507"/>
    <w:rsid w:val="004376E3"/>
    <w:rsid w:val="0044017C"/>
    <w:rsid w:val="00440B7F"/>
    <w:rsid w:val="00440CE5"/>
    <w:rsid w:val="004413DD"/>
    <w:rsid w:val="00441C42"/>
    <w:rsid w:val="00444C6E"/>
    <w:rsid w:val="00444F49"/>
    <w:rsid w:val="0044765E"/>
    <w:rsid w:val="00450037"/>
    <w:rsid w:val="00452432"/>
    <w:rsid w:val="00452B54"/>
    <w:rsid w:val="00452F6C"/>
    <w:rsid w:val="00453A71"/>
    <w:rsid w:val="00454485"/>
    <w:rsid w:val="004553EB"/>
    <w:rsid w:val="00455978"/>
    <w:rsid w:val="00455D78"/>
    <w:rsid w:val="00457FB4"/>
    <w:rsid w:val="00461748"/>
    <w:rsid w:val="004621AB"/>
    <w:rsid w:val="00464951"/>
    <w:rsid w:val="004657AF"/>
    <w:rsid w:val="00465D82"/>
    <w:rsid w:val="00466A76"/>
    <w:rsid w:val="00466AD7"/>
    <w:rsid w:val="0046744E"/>
    <w:rsid w:val="00470AE3"/>
    <w:rsid w:val="00471C2A"/>
    <w:rsid w:val="004728E1"/>
    <w:rsid w:val="004743CF"/>
    <w:rsid w:val="004764BC"/>
    <w:rsid w:val="00476910"/>
    <w:rsid w:val="004802DA"/>
    <w:rsid w:val="004812DF"/>
    <w:rsid w:val="0048335E"/>
    <w:rsid w:val="00484304"/>
    <w:rsid w:val="00484B4C"/>
    <w:rsid w:val="004858B2"/>
    <w:rsid w:val="0048610D"/>
    <w:rsid w:val="00486A7A"/>
    <w:rsid w:val="0048755C"/>
    <w:rsid w:val="00492109"/>
    <w:rsid w:val="00492E3D"/>
    <w:rsid w:val="0049342F"/>
    <w:rsid w:val="004952CE"/>
    <w:rsid w:val="00497962"/>
    <w:rsid w:val="004A1B8F"/>
    <w:rsid w:val="004A2072"/>
    <w:rsid w:val="004A333E"/>
    <w:rsid w:val="004A4BC0"/>
    <w:rsid w:val="004A6663"/>
    <w:rsid w:val="004A6903"/>
    <w:rsid w:val="004A6ECF"/>
    <w:rsid w:val="004A7B06"/>
    <w:rsid w:val="004A7EE8"/>
    <w:rsid w:val="004B11F1"/>
    <w:rsid w:val="004B30C3"/>
    <w:rsid w:val="004B3F1D"/>
    <w:rsid w:val="004B4721"/>
    <w:rsid w:val="004B6F33"/>
    <w:rsid w:val="004B7938"/>
    <w:rsid w:val="004C4A7F"/>
    <w:rsid w:val="004C59A9"/>
    <w:rsid w:val="004C6701"/>
    <w:rsid w:val="004C692A"/>
    <w:rsid w:val="004D07B5"/>
    <w:rsid w:val="004D1898"/>
    <w:rsid w:val="004D1A5B"/>
    <w:rsid w:val="004D248D"/>
    <w:rsid w:val="004D2C06"/>
    <w:rsid w:val="004D6478"/>
    <w:rsid w:val="004D77C5"/>
    <w:rsid w:val="004E0233"/>
    <w:rsid w:val="004E0BC9"/>
    <w:rsid w:val="004E17EF"/>
    <w:rsid w:val="004E181E"/>
    <w:rsid w:val="004E3DA6"/>
    <w:rsid w:val="004E4F7D"/>
    <w:rsid w:val="004E6012"/>
    <w:rsid w:val="004E73D2"/>
    <w:rsid w:val="004E7455"/>
    <w:rsid w:val="004F3823"/>
    <w:rsid w:val="004F51F9"/>
    <w:rsid w:val="004F5AB2"/>
    <w:rsid w:val="004F66B3"/>
    <w:rsid w:val="004F757C"/>
    <w:rsid w:val="005025C3"/>
    <w:rsid w:val="00502CB0"/>
    <w:rsid w:val="005033F4"/>
    <w:rsid w:val="00503CF7"/>
    <w:rsid w:val="00505755"/>
    <w:rsid w:val="005107E9"/>
    <w:rsid w:val="00513171"/>
    <w:rsid w:val="0051462B"/>
    <w:rsid w:val="0051580C"/>
    <w:rsid w:val="0051589B"/>
    <w:rsid w:val="00515CB8"/>
    <w:rsid w:val="00515CBD"/>
    <w:rsid w:val="00516E4E"/>
    <w:rsid w:val="00517D78"/>
    <w:rsid w:val="00522057"/>
    <w:rsid w:val="00522C76"/>
    <w:rsid w:val="00522DF7"/>
    <w:rsid w:val="00523A2C"/>
    <w:rsid w:val="00525960"/>
    <w:rsid w:val="005269AF"/>
    <w:rsid w:val="00527E1A"/>
    <w:rsid w:val="00531804"/>
    <w:rsid w:val="00531CAA"/>
    <w:rsid w:val="005327E1"/>
    <w:rsid w:val="00533514"/>
    <w:rsid w:val="00533855"/>
    <w:rsid w:val="005364F6"/>
    <w:rsid w:val="005368B6"/>
    <w:rsid w:val="005401E4"/>
    <w:rsid w:val="00541572"/>
    <w:rsid w:val="00541F25"/>
    <w:rsid w:val="0054443D"/>
    <w:rsid w:val="0054596A"/>
    <w:rsid w:val="0054688F"/>
    <w:rsid w:val="00550F4D"/>
    <w:rsid w:val="005519DE"/>
    <w:rsid w:val="00551DC3"/>
    <w:rsid w:val="005533C9"/>
    <w:rsid w:val="00553EF4"/>
    <w:rsid w:val="00554517"/>
    <w:rsid w:val="005548F3"/>
    <w:rsid w:val="00554A65"/>
    <w:rsid w:val="005553DC"/>
    <w:rsid w:val="0055589E"/>
    <w:rsid w:val="00556720"/>
    <w:rsid w:val="0055779D"/>
    <w:rsid w:val="005579E3"/>
    <w:rsid w:val="00560DD8"/>
    <w:rsid w:val="00561D63"/>
    <w:rsid w:val="00562529"/>
    <w:rsid w:val="005634FE"/>
    <w:rsid w:val="00564781"/>
    <w:rsid w:val="0056567C"/>
    <w:rsid w:val="00567C04"/>
    <w:rsid w:val="00570362"/>
    <w:rsid w:val="00570FF8"/>
    <w:rsid w:val="00571CC5"/>
    <w:rsid w:val="0057257F"/>
    <w:rsid w:val="00572B47"/>
    <w:rsid w:val="005734EF"/>
    <w:rsid w:val="00573DFD"/>
    <w:rsid w:val="0057425F"/>
    <w:rsid w:val="0057451F"/>
    <w:rsid w:val="00574819"/>
    <w:rsid w:val="00574F8B"/>
    <w:rsid w:val="00574FCF"/>
    <w:rsid w:val="005757DC"/>
    <w:rsid w:val="005758E5"/>
    <w:rsid w:val="00575EB2"/>
    <w:rsid w:val="00580951"/>
    <w:rsid w:val="005811B0"/>
    <w:rsid w:val="00582E1C"/>
    <w:rsid w:val="00582F4D"/>
    <w:rsid w:val="005837A6"/>
    <w:rsid w:val="00583A30"/>
    <w:rsid w:val="0058733C"/>
    <w:rsid w:val="00587C09"/>
    <w:rsid w:val="0059037C"/>
    <w:rsid w:val="005934C0"/>
    <w:rsid w:val="0059791D"/>
    <w:rsid w:val="00597A80"/>
    <w:rsid w:val="00597EC1"/>
    <w:rsid w:val="005A0824"/>
    <w:rsid w:val="005A239A"/>
    <w:rsid w:val="005A3784"/>
    <w:rsid w:val="005A3D29"/>
    <w:rsid w:val="005A48DC"/>
    <w:rsid w:val="005A4E20"/>
    <w:rsid w:val="005A7DAD"/>
    <w:rsid w:val="005A7E07"/>
    <w:rsid w:val="005B0782"/>
    <w:rsid w:val="005B1EEC"/>
    <w:rsid w:val="005B2669"/>
    <w:rsid w:val="005B292E"/>
    <w:rsid w:val="005B3339"/>
    <w:rsid w:val="005B50E5"/>
    <w:rsid w:val="005B5748"/>
    <w:rsid w:val="005B66C3"/>
    <w:rsid w:val="005C0EB2"/>
    <w:rsid w:val="005C3086"/>
    <w:rsid w:val="005C3B58"/>
    <w:rsid w:val="005C5074"/>
    <w:rsid w:val="005C616A"/>
    <w:rsid w:val="005C784C"/>
    <w:rsid w:val="005C78E9"/>
    <w:rsid w:val="005C79F1"/>
    <w:rsid w:val="005D0EA3"/>
    <w:rsid w:val="005D1E79"/>
    <w:rsid w:val="005D298F"/>
    <w:rsid w:val="005D3757"/>
    <w:rsid w:val="005D4486"/>
    <w:rsid w:val="005D669C"/>
    <w:rsid w:val="005D6A29"/>
    <w:rsid w:val="005D7F4C"/>
    <w:rsid w:val="005E2C8D"/>
    <w:rsid w:val="005E3870"/>
    <w:rsid w:val="005E4164"/>
    <w:rsid w:val="005E46AE"/>
    <w:rsid w:val="005E5E9E"/>
    <w:rsid w:val="005F3F27"/>
    <w:rsid w:val="005F444E"/>
    <w:rsid w:val="005F4C7F"/>
    <w:rsid w:val="00600756"/>
    <w:rsid w:val="006011EB"/>
    <w:rsid w:val="006032F5"/>
    <w:rsid w:val="00604763"/>
    <w:rsid w:val="00604A13"/>
    <w:rsid w:val="00606A7C"/>
    <w:rsid w:val="00607ACD"/>
    <w:rsid w:val="00610238"/>
    <w:rsid w:val="00610350"/>
    <w:rsid w:val="00612BB3"/>
    <w:rsid w:val="00612FDC"/>
    <w:rsid w:val="006130D8"/>
    <w:rsid w:val="00614FDE"/>
    <w:rsid w:val="00617246"/>
    <w:rsid w:val="00617ED9"/>
    <w:rsid w:val="0062056D"/>
    <w:rsid w:val="0062138D"/>
    <w:rsid w:val="00621754"/>
    <w:rsid w:val="006223C3"/>
    <w:rsid w:val="006238FB"/>
    <w:rsid w:val="00624376"/>
    <w:rsid w:val="006257CA"/>
    <w:rsid w:val="006266E1"/>
    <w:rsid w:val="0063071F"/>
    <w:rsid w:val="00630A08"/>
    <w:rsid w:val="0063104D"/>
    <w:rsid w:val="00632A67"/>
    <w:rsid w:val="00632C10"/>
    <w:rsid w:val="006338E1"/>
    <w:rsid w:val="00633EEA"/>
    <w:rsid w:val="00635A69"/>
    <w:rsid w:val="0063662C"/>
    <w:rsid w:val="00637436"/>
    <w:rsid w:val="00642AD9"/>
    <w:rsid w:val="00642E27"/>
    <w:rsid w:val="00645E9C"/>
    <w:rsid w:val="0064739F"/>
    <w:rsid w:val="006504C9"/>
    <w:rsid w:val="00651853"/>
    <w:rsid w:val="00651F52"/>
    <w:rsid w:val="0065313C"/>
    <w:rsid w:val="0065332E"/>
    <w:rsid w:val="0065384C"/>
    <w:rsid w:val="00653D03"/>
    <w:rsid w:val="00654399"/>
    <w:rsid w:val="00654F79"/>
    <w:rsid w:val="00657116"/>
    <w:rsid w:val="00660CD7"/>
    <w:rsid w:val="006630BA"/>
    <w:rsid w:val="00663517"/>
    <w:rsid w:val="0066479E"/>
    <w:rsid w:val="00664BDA"/>
    <w:rsid w:val="006666F6"/>
    <w:rsid w:val="006669DD"/>
    <w:rsid w:val="00667476"/>
    <w:rsid w:val="006721A8"/>
    <w:rsid w:val="0067271C"/>
    <w:rsid w:val="00674132"/>
    <w:rsid w:val="00674304"/>
    <w:rsid w:val="006746AA"/>
    <w:rsid w:val="0067692B"/>
    <w:rsid w:val="00677D3A"/>
    <w:rsid w:val="0068125E"/>
    <w:rsid w:val="00681C8D"/>
    <w:rsid w:val="006860CB"/>
    <w:rsid w:val="006901A9"/>
    <w:rsid w:val="00690660"/>
    <w:rsid w:val="00690CD5"/>
    <w:rsid w:val="006940FF"/>
    <w:rsid w:val="0069596E"/>
    <w:rsid w:val="00696C42"/>
    <w:rsid w:val="006A0190"/>
    <w:rsid w:val="006A19DE"/>
    <w:rsid w:val="006A20E0"/>
    <w:rsid w:val="006A2EC2"/>
    <w:rsid w:val="006A47A8"/>
    <w:rsid w:val="006A4BAB"/>
    <w:rsid w:val="006A605A"/>
    <w:rsid w:val="006A7608"/>
    <w:rsid w:val="006B1842"/>
    <w:rsid w:val="006B4E4F"/>
    <w:rsid w:val="006C264F"/>
    <w:rsid w:val="006C2EF5"/>
    <w:rsid w:val="006C34E1"/>
    <w:rsid w:val="006C3B0D"/>
    <w:rsid w:val="006C40D3"/>
    <w:rsid w:val="006C536F"/>
    <w:rsid w:val="006C7457"/>
    <w:rsid w:val="006D00A8"/>
    <w:rsid w:val="006D0812"/>
    <w:rsid w:val="006D31F7"/>
    <w:rsid w:val="006D366C"/>
    <w:rsid w:val="006D36C1"/>
    <w:rsid w:val="006D648E"/>
    <w:rsid w:val="006D7175"/>
    <w:rsid w:val="006D75B2"/>
    <w:rsid w:val="006E0491"/>
    <w:rsid w:val="006E0B3F"/>
    <w:rsid w:val="006E0FE5"/>
    <w:rsid w:val="006E1263"/>
    <w:rsid w:val="006E1895"/>
    <w:rsid w:val="006E1A6B"/>
    <w:rsid w:val="006E22D3"/>
    <w:rsid w:val="006E2B02"/>
    <w:rsid w:val="006E3794"/>
    <w:rsid w:val="006E3A3E"/>
    <w:rsid w:val="006E3EC2"/>
    <w:rsid w:val="006F0346"/>
    <w:rsid w:val="006F03DF"/>
    <w:rsid w:val="006F0721"/>
    <w:rsid w:val="006F1E86"/>
    <w:rsid w:val="006F359E"/>
    <w:rsid w:val="006F3BC3"/>
    <w:rsid w:val="006F726A"/>
    <w:rsid w:val="006F79B4"/>
    <w:rsid w:val="006F7BD8"/>
    <w:rsid w:val="00701979"/>
    <w:rsid w:val="00701F89"/>
    <w:rsid w:val="00702D99"/>
    <w:rsid w:val="007033F7"/>
    <w:rsid w:val="00704B05"/>
    <w:rsid w:val="00704C80"/>
    <w:rsid w:val="00705A2C"/>
    <w:rsid w:val="0070664E"/>
    <w:rsid w:val="00706BF3"/>
    <w:rsid w:val="007070B4"/>
    <w:rsid w:val="00707F3C"/>
    <w:rsid w:val="0071092E"/>
    <w:rsid w:val="00710937"/>
    <w:rsid w:val="00711C80"/>
    <w:rsid w:val="007132B9"/>
    <w:rsid w:val="00713FB0"/>
    <w:rsid w:val="00714424"/>
    <w:rsid w:val="007166E9"/>
    <w:rsid w:val="007206BB"/>
    <w:rsid w:val="007207F2"/>
    <w:rsid w:val="00720D14"/>
    <w:rsid w:val="00721ADF"/>
    <w:rsid w:val="00721DB1"/>
    <w:rsid w:val="00722527"/>
    <w:rsid w:val="0072294C"/>
    <w:rsid w:val="00722F08"/>
    <w:rsid w:val="00723B79"/>
    <w:rsid w:val="00727178"/>
    <w:rsid w:val="00727E82"/>
    <w:rsid w:val="00730751"/>
    <w:rsid w:val="00730DA5"/>
    <w:rsid w:val="00731B2E"/>
    <w:rsid w:val="00731CBF"/>
    <w:rsid w:val="007320AD"/>
    <w:rsid w:val="00732A26"/>
    <w:rsid w:val="007331FA"/>
    <w:rsid w:val="00734009"/>
    <w:rsid w:val="007345C5"/>
    <w:rsid w:val="00735C67"/>
    <w:rsid w:val="00736988"/>
    <w:rsid w:val="0073729E"/>
    <w:rsid w:val="007415A2"/>
    <w:rsid w:val="007433C4"/>
    <w:rsid w:val="007451E1"/>
    <w:rsid w:val="007464AF"/>
    <w:rsid w:val="007469E9"/>
    <w:rsid w:val="00747AED"/>
    <w:rsid w:val="00747D46"/>
    <w:rsid w:val="00747DAD"/>
    <w:rsid w:val="007513BB"/>
    <w:rsid w:val="007532DF"/>
    <w:rsid w:val="007533A6"/>
    <w:rsid w:val="007560BD"/>
    <w:rsid w:val="00756A92"/>
    <w:rsid w:val="007575C5"/>
    <w:rsid w:val="0076567D"/>
    <w:rsid w:val="00765ADD"/>
    <w:rsid w:val="007668CE"/>
    <w:rsid w:val="0077052B"/>
    <w:rsid w:val="007726C7"/>
    <w:rsid w:val="00774679"/>
    <w:rsid w:val="00777420"/>
    <w:rsid w:val="00780EBB"/>
    <w:rsid w:val="0078188E"/>
    <w:rsid w:val="007844AD"/>
    <w:rsid w:val="0078459B"/>
    <w:rsid w:val="00785E7C"/>
    <w:rsid w:val="00786052"/>
    <w:rsid w:val="0078625D"/>
    <w:rsid w:val="00786595"/>
    <w:rsid w:val="007900B8"/>
    <w:rsid w:val="007914D2"/>
    <w:rsid w:val="00791D6F"/>
    <w:rsid w:val="007920E1"/>
    <w:rsid w:val="00792DF7"/>
    <w:rsid w:val="007930D6"/>
    <w:rsid w:val="00794AEA"/>
    <w:rsid w:val="00794F94"/>
    <w:rsid w:val="007979C9"/>
    <w:rsid w:val="007A03E7"/>
    <w:rsid w:val="007A14F8"/>
    <w:rsid w:val="007A1958"/>
    <w:rsid w:val="007A259B"/>
    <w:rsid w:val="007A2F47"/>
    <w:rsid w:val="007B14C1"/>
    <w:rsid w:val="007B2046"/>
    <w:rsid w:val="007B2BC7"/>
    <w:rsid w:val="007B3873"/>
    <w:rsid w:val="007B3A3A"/>
    <w:rsid w:val="007B40A4"/>
    <w:rsid w:val="007B5AA3"/>
    <w:rsid w:val="007B682E"/>
    <w:rsid w:val="007B72FE"/>
    <w:rsid w:val="007B7A61"/>
    <w:rsid w:val="007C04F4"/>
    <w:rsid w:val="007C070E"/>
    <w:rsid w:val="007C1F54"/>
    <w:rsid w:val="007C2237"/>
    <w:rsid w:val="007C3384"/>
    <w:rsid w:val="007C3C93"/>
    <w:rsid w:val="007C5683"/>
    <w:rsid w:val="007C5D52"/>
    <w:rsid w:val="007D0340"/>
    <w:rsid w:val="007D0D28"/>
    <w:rsid w:val="007D0DDC"/>
    <w:rsid w:val="007D16B5"/>
    <w:rsid w:val="007D19AA"/>
    <w:rsid w:val="007D34C6"/>
    <w:rsid w:val="007D3718"/>
    <w:rsid w:val="007D3B04"/>
    <w:rsid w:val="007D57B0"/>
    <w:rsid w:val="007D7934"/>
    <w:rsid w:val="007E00EB"/>
    <w:rsid w:val="007E17FA"/>
    <w:rsid w:val="007E47C0"/>
    <w:rsid w:val="007F0010"/>
    <w:rsid w:val="007F16BF"/>
    <w:rsid w:val="007F36B4"/>
    <w:rsid w:val="007F3AB3"/>
    <w:rsid w:val="007F3BE4"/>
    <w:rsid w:val="007F4E2F"/>
    <w:rsid w:val="007F6325"/>
    <w:rsid w:val="007F6472"/>
    <w:rsid w:val="007F73E5"/>
    <w:rsid w:val="007F7700"/>
    <w:rsid w:val="007F78A1"/>
    <w:rsid w:val="007F7B70"/>
    <w:rsid w:val="00801FE7"/>
    <w:rsid w:val="00802396"/>
    <w:rsid w:val="00804460"/>
    <w:rsid w:val="00806BE3"/>
    <w:rsid w:val="008071FD"/>
    <w:rsid w:val="00810146"/>
    <w:rsid w:val="00811475"/>
    <w:rsid w:val="00811EB4"/>
    <w:rsid w:val="00814788"/>
    <w:rsid w:val="008159FD"/>
    <w:rsid w:val="00815CE4"/>
    <w:rsid w:val="00816A5B"/>
    <w:rsid w:val="00817921"/>
    <w:rsid w:val="00820C2C"/>
    <w:rsid w:val="008213FC"/>
    <w:rsid w:val="008224CC"/>
    <w:rsid w:val="008235C7"/>
    <w:rsid w:val="00823C9F"/>
    <w:rsid w:val="00825F9F"/>
    <w:rsid w:val="0082619C"/>
    <w:rsid w:val="00826402"/>
    <w:rsid w:val="008276A9"/>
    <w:rsid w:val="008302B1"/>
    <w:rsid w:val="008302B7"/>
    <w:rsid w:val="00830C9F"/>
    <w:rsid w:val="008316AF"/>
    <w:rsid w:val="008316ED"/>
    <w:rsid w:val="00833958"/>
    <w:rsid w:val="00834BEC"/>
    <w:rsid w:val="00834FC7"/>
    <w:rsid w:val="00837227"/>
    <w:rsid w:val="0083773B"/>
    <w:rsid w:val="00837EB4"/>
    <w:rsid w:val="00841028"/>
    <w:rsid w:val="0084182E"/>
    <w:rsid w:val="00841BD1"/>
    <w:rsid w:val="0084213B"/>
    <w:rsid w:val="008440BD"/>
    <w:rsid w:val="008470A6"/>
    <w:rsid w:val="00851207"/>
    <w:rsid w:val="00854B80"/>
    <w:rsid w:val="00854BF6"/>
    <w:rsid w:val="00854C2C"/>
    <w:rsid w:val="00855190"/>
    <w:rsid w:val="00856AB4"/>
    <w:rsid w:val="00857DD6"/>
    <w:rsid w:val="00861A7D"/>
    <w:rsid w:val="00862F80"/>
    <w:rsid w:val="00863658"/>
    <w:rsid w:val="0086497A"/>
    <w:rsid w:val="00865011"/>
    <w:rsid w:val="00865C89"/>
    <w:rsid w:val="00866123"/>
    <w:rsid w:val="0086686A"/>
    <w:rsid w:val="00866CBC"/>
    <w:rsid w:val="00867D85"/>
    <w:rsid w:val="008704FE"/>
    <w:rsid w:val="00873F14"/>
    <w:rsid w:val="008748D7"/>
    <w:rsid w:val="00876381"/>
    <w:rsid w:val="00876569"/>
    <w:rsid w:val="0087775E"/>
    <w:rsid w:val="00880965"/>
    <w:rsid w:val="0088213A"/>
    <w:rsid w:val="00882E3F"/>
    <w:rsid w:val="008834E0"/>
    <w:rsid w:val="00884D8A"/>
    <w:rsid w:val="00885F07"/>
    <w:rsid w:val="00886E09"/>
    <w:rsid w:val="00887B18"/>
    <w:rsid w:val="00887EF5"/>
    <w:rsid w:val="008904D0"/>
    <w:rsid w:val="008915E6"/>
    <w:rsid w:val="00891C2E"/>
    <w:rsid w:val="0089320F"/>
    <w:rsid w:val="008946B9"/>
    <w:rsid w:val="008970CE"/>
    <w:rsid w:val="00897334"/>
    <w:rsid w:val="00897392"/>
    <w:rsid w:val="008A2CAC"/>
    <w:rsid w:val="008A3576"/>
    <w:rsid w:val="008A4059"/>
    <w:rsid w:val="008A6E17"/>
    <w:rsid w:val="008B0C6A"/>
    <w:rsid w:val="008B108F"/>
    <w:rsid w:val="008B125A"/>
    <w:rsid w:val="008B162F"/>
    <w:rsid w:val="008B3037"/>
    <w:rsid w:val="008B47E8"/>
    <w:rsid w:val="008B4EAD"/>
    <w:rsid w:val="008B53AC"/>
    <w:rsid w:val="008B66F2"/>
    <w:rsid w:val="008B7249"/>
    <w:rsid w:val="008B7B5D"/>
    <w:rsid w:val="008C1A0B"/>
    <w:rsid w:val="008C2311"/>
    <w:rsid w:val="008C2E2F"/>
    <w:rsid w:val="008C37D1"/>
    <w:rsid w:val="008C5915"/>
    <w:rsid w:val="008C5A62"/>
    <w:rsid w:val="008D018C"/>
    <w:rsid w:val="008D2C9E"/>
    <w:rsid w:val="008D32EE"/>
    <w:rsid w:val="008D39CD"/>
    <w:rsid w:val="008D3B76"/>
    <w:rsid w:val="008D56BF"/>
    <w:rsid w:val="008D61AE"/>
    <w:rsid w:val="008E0D47"/>
    <w:rsid w:val="008E0E3D"/>
    <w:rsid w:val="008E19DC"/>
    <w:rsid w:val="008E20CF"/>
    <w:rsid w:val="008E2661"/>
    <w:rsid w:val="008E73B0"/>
    <w:rsid w:val="008E7C41"/>
    <w:rsid w:val="008F2A9C"/>
    <w:rsid w:val="008F2E05"/>
    <w:rsid w:val="008F3AEB"/>
    <w:rsid w:val="008F3D75"/>
    <w:rsid w:val="008F4603"/>
    <w:rsid w:val="008F4B6C"/>
    <w:rsid w:val="00900849"/>
    <w:rsid w:val="009012B4"/>
    <w:rsid w:val="00903135"/>
    <w:rsid w:val="00905ACF"/>
    <w:rsid w:val="0090659E"/>
    <w:rsid w:val="00906BA8"/>
    <w:rsid w:val="009078FA"/>
    <w:rsid w:val="00907CAB"/>
    <w:rsid w:val="00907D7B"/>
    <w:rsid w:val="00911A53"/>
    <w:rsid w:val="009122F7"/>
    <w:rsid w:val="00913710"/>
    <w:rsid w:val="00913812"/>
    <w:rsid w:val="00914709"/>
    <w:rsid w:val="00914CFE"/>
    <w:rsid w:val="00914FE0"/>
    <w:rsid w:val="00917E6B"/>
    <w:rsid w:val="00922B76"/>
    <w:rsid w:val="009243D0"/>
    <w:rsid w:val="00924AC0"/>
    <w:rsid w:val="00925380"/>
    <w:rsid w:val="009267D3"/>
    <w:rsid w:val="00927099"/>
    <w:rsid w:val="009276EB"/>
    <w:rsid w:val="00927DE8"/>
    <w:rsid w:val="009322CE"/>
    <w:rsid w:val="00933935"/>
    <w:rsid w:val="009347DE"/>
    <w:rsid w:val="00940F87"/>
    <w:rsid w:val="0094172F"/>
    <w:rsid w:val="009417CD"/>
    <w:rsid w:val="009421CB"/>
    <w:rsid w:val="00942210"/>
    <w:rsid w:val="0094284C"/>
    <w:rsid w:val="0094533C"/>
    <w:rsid w:val="009510AC"/>
    <w:rsid w:val="0095390B"/>
    <w:rsid w:val="009553BA"/>
    <w:rsid w:val="00955C6D"/>
    <w:rsid w:val="009569FB"/>
    <w:rsid w:val="009575BA"/>
    <w:rsid w:val="00960081"/>
    <w:rsid w:val="009603CA"/>
    <w:rsid w:val="009612BE"/>
    <w:rsid w:val="00961A05"/>
    <w:rsid w:val="009642AC"/>
    <w:rsid w:val="00967F7C"/>
    <w:rsid w:val="009705F3"/>
    <w:rsid w:val="009711E7"/>
    <w:rsid w:val="009720FE"/>
    <w:rsid w:val="009733E1"/>
    <w:rsid w:val="00974D7F"/>
    <w:rsid w:val="00974ED1"/>
    <w:rsid w:val="00975044"/>
    <w:rsid w:val="009765E3"/>
    <w:rsid w:val="00977298"/>
    <w:rsid w:val="0097765A"/>
    <w:rsid w:val="0098123D"/>
    <w:rsid w:val="00982D60"/>
    <w:rsid w:val="009847E8"/>
    <w:rsid w:val="00984D39"/>
    <w:rsid w:val="009861AD"/>
    <w:rsid w:val="009877CD"/>
    <w:rsid w:val="00987EC7"/>
    <w:rsid w:val="00991306"/>
    <w:rsid w:val="00991607"/>
    <w:rsid w:val="00991801"/>
    <w:rsid w:val="00991887"/>
    <w:rsid w:val="00991F7B"/>
    <w:rsid w:val="009925D5"/>
    <w:rsid w:val="00992D66"/>
    <w:rsid w:val="00993F00"/>
    <w:rsid w:val="00994686"/>
    <w:rsid w:val="00994784"/>
    <w:rsid w:val="009948DD"/>
    <w:rsid w:val="009952B7"/>
    <w:rsid w:val="00996057"/>
    <w:rsid w:val="009A0740"/>
    <w:rsid w:val="009A0779"/>
    <w:rsid w:val="009A3276"/>
    <w:rsid w:val="009A3ACE"/>
    <w:rsid w:val="009A3D30"/>
    <w:rsid w:val="009A5B8A"/>
    <w:rsid w:val="009A5CEE"/>
    <w:rsid w:val="009A7F1D"/>
    <w:rsid w:val="009B2A99"/>
    <w:rsid w:val="009B3677"/>
    <w:rsid w:val="009B3994"/>
    <w:rsid w:val="009B4B00"/>
    <w:rsid w:val="009B571F"/>
    <w:rsid w:val="009B5E7B"/>
    <w:rsid w:val="009B65D7"/>
    <w:rsid w:val="009C0D81"/>
    <w:rsid w:val="009C2EDE"/>
    <w:rsid w:val="009C30AA"/>
    <w:rsid w:val="009C62F8"/>
    <w:rsid w:val="009C7E2D"/>
    <w:rsid w:val="009D0413"/>
    <w:rsid w:val="009D0771"/>
    <w:rsid w:val="009D2226"/>
    <w:rsid w:val="009D4442"/>
    <w:rsid w:val="009E1AE5"/>
    <w:rsid w:val="009E33A9"/>
    <w:rsid w:val="009E3C6E"/>
    <w:rsid w:val="009E44C9"/>
    <w:rsid w:val="009E4875"/>
    <w:rsid w:val="009E51A4"/>
    <w:rsid w:val="009E5493"/>
    <w:rsid w:val="009E5E08"/>
    <w:rsid w:val="009E681C"/>
    <w:rsid w:val="009E6DBD"/>
    <w:rsid w:val="009F036E"/>
    <w:rsid w:val="009F0475"/>
    <w:rsid w:val="009F0A97"/>
    <w:rsid w:val="009F49F6"/>
    <w:rsid w:val="009F58EE"/>
    <w:rsid w:val="009F77F8"/>
    <w:rsid w:val="009F77FB"/>
    <w:rsid w:val="00A00879"/>
    <w:rsid w:val="00A0093B"/>
    <w:rsid w:val="00A015CE"/>
    <w:rsid w:val="00A02474"/>
    <w:rsid w:val="00A02DA2"/>
    <w:rsid w:val="00A04032"/>
    <w:rsid w:val="00A04DAF"/>
    <w:rsid w:val="00A059A1"/>
    <w:rsid w:val="00A06EBA"/>
    <w:rsid w:val="00A07588"/>
    <w:rsid w:val="00A1006D"/>
    <w:rsid w:val="00A1046C"/>
    <w:rsid w:val="00A10484"/>
    <w:rsid w:val="00A109A1"/>
    <w:rsid w:val="00A10A55"/>
    <w:rsid w:val="00A12DE2"/>
    <w:rsid w:val="00A1555B"/>
    <w:rsid w:val="00A16B99"/>
    <w:rsid w:val="00A171DB"/>
    <w:rsid w:val="00A17816"/>
    <w:rsid w:val="00A179EF"/>
    <w:rsid w:val="00A22879"/>
    <w:rsid w:val="00A23080"/>
    <w:rsid w:val="00A230E8"/>
    <w:rsid w:val="00A2372B"/>
    <w:rsid w:val="00A23AA7"/>
    <w:rsid w:val="00A23E8C"/>
    <w:rsid w:val="00A24641"/>
    <w:rsid w:val="00A255FC"/>
    <w:rsid w:val="00A2701B"/>
    <w:rsid w:val="00A30B69"/>
    <w:rsid w:val="00A31208"/>
    <w:rsid w:val="00A31BDD"/>
    <w:rsid w:val="00A32696"/>
    <w:rsid w:val="00A32BBE"/>
    <w:rsid w:val="00A33ADA"/>
    <w:rsid w:val="00A34F44"/>
    <w:rsid w:val="00A35DD0"/>
    <w:rsid w:val="00A36E51"/>
    <w:rsid w:val="00A37801"/>
    <w:rsid w:val="00A4044C"/>
    <w:rsid w:val="00A40593"/>
    <w:rsid w:val="00A40CFE"/>
    <w:rsid w:val="00A4143C"/>
    <w:rsid w:val="00A43E59"/>
    <w:rsid w:val="00A44224"/>
    <w:rsid w:val="00A44C93"/>
    <w:rsid w:val="00A4504A"/>
    <w:rsid w:val="00A45400"/>
    <w:rsid w:val="00A46305"/>
    <w:rsid w:val="00A46B6A"/>
    <w:rsid w:val="00A4708E"/>
    <w:rsid w:val="00A472F2"/>
    <w:rsid w:val="00A47D19"/>
    <w:rsid w:val="00A50166"/>
    <w:rsid w:val="00A50FF2"/>
    <w:rsid w:val="00A52A00"/>
    <w:rsid w:val="00A52FDD"/>
    <w:rsid w:val="00A53455"/>
    <w:rsid w:val="00A56CE8"/>
    <w:rsid w:val="00A60366"/>
    <w:rsid w:val="00A60AD5"/>
    <w:rsid w:val="00A60FB2"/>
    <w:rsid w:val="00A61BB2"/>
    <w:rsid w:val="00A61E6B"/>
    <w:rsid w:val="00A629A1"/>
    <w:rsid w:val="00A63FC3"/>
    <w:rsid w:val="00A703F1"/>
    <w:rsid w:val="00A70F62"/>
    <w:rsid w:val="00A74383"/>
    <w:rsid w:val="00A75211"/>
    <w:rsid w:val="00A7604C"/>
    <w:rsid w:val="00A767D9"/>
    <w:rsid w:val="00A84752"/>
    <w:rsid w:val="00A8534B"/>
    <w:rsid w:val="00A85FE4"/>
    <w:rsid w:val="00A87322"/>
    <w:rsid w:val="00A87DCF"/>
    <w:rsid w:val="00A933FD"/>
    <w:rsid w:val="00A938E3"/>
    <w:rsid w:val="00A94770"/>
    <w:rsid w:val="00A949CA"/>
    <w:rsid w:val="00A965DF"/>
    <w:rsid w:val="00A97571"/>
    <w:rsid w:val="00A97DFF"/>
    <w:rsid w:val="00AA1ED0"/>
    <w:rsid w:val="00AA2AF8"/>
    <w:rsid w:val="00AA2E05"/>
    <w:rsid w:val="00AA2E2F"/>
    <w:rsid w:val="00AA46E1"/>
    <w:rsid w:val="00AA4F00"/>
    <w:rsid w:val="00AA68F8"/>
    <w:rsid w:val="00AA746E"/>
    <w:rsid w:val="00AB0C2C"/>
    <w:rsid w:val="00AB4C0B"/>
    <w:rsid w:val="00AB556F"/>
    <w:rsid w:val="00AB5F58"/>
    <w:rsid w:val="00AB67BC"/>
    <w:rsid w:val="00AB6FEC"/>
    <w:rsid w:val="00AC0368"/>
    <w:rsid w:val="00AC09D1"/>
    <w:rsid w:val="00AC112A"/>
    <w:rsid w:val="00AC1AF5"/>
    <w:rsid w:val="00AC1C1B"/>
    <w:rsid w:val="00AC3F28"/>
    <w:rsid w:val="00AC3FFF"/>
    <w:rsid w:val="00AC4ED2"/>
    <w:rsid w:val="00AC597D"/>
    <w:rsid w:val="00AC6161"/>
    <w:rsid w:val="00AC62AC"/>
    <w:rsid w:val="00AD098C"/>
    <w:rsid w:val="00AD1ACE"/>
    <w:rsid w:val="00AD1F1A"/>
    <w:rsid w:val="00AD3595"/>
    <w:rsid w:val="00AD47DE"/>
    <w:rsid w:val="00AD4A67"/>
    <w:rsid w:val="00AD5039"/>
    <w:rsid w:val="00AD66E2"/>
    <w:rsid w:val="00AD7DEE"/>
    <w:rsid w:val="00AE138D"/>
    <w:rsid w:val="00AE180E"/>
    <w:rsid w:val="00AE4FCE"/>
    <w:rsid w:val="00AE5767"/>
    <w:rsid w:val="00AE6113"/>
    <w:rsid w:val="00AE6245"/>
    <w:rsid w:val="00AE7673"/>
    <w:rsid w:val="00AF0D8C"/>
    <w:rsid w:val="00AF1186"/>
    <w:rsid w:val="00AF12AA"/>
    <w:rsid w:val="00AF21C3"/>
    <w:rsid w:val="00AF33F5"/>
    <w:rsid w:val="00AF3B4A"/>
    <w:rsid w:val="00AF45F1"/>
    <w:rsid w:val="00AF4EFE"/>
    <w:rsid w:val="00AF5BD4"/>
    <w:rsid w:val="00AF6EA6"/>
    <w:rsid w:val="00AF7C34"/>
    <w:rsid w:val="00B007A1"/>
    <w:rsid w:val="00B007D3"/>
    <w:rsid w:val="00B020F6"/>
    <w:rsid w:val="00B0469F"/>
    <w:rsid w:val="00B0488D"/>
    <w:rsid w:val="00B0499A"/>
    <w:rsid w:val="00B04AD8"/>
    <w:rsid w:val="00B05AA8"/>
    <w:rsid w:val="00B0703C"/>
    <w:rsid w:val="00B074B4"/>
    <w:rsid w:val="00B10D25"/>
    <w:rsid w:val="00B115C0"/>
    <w:rsid w:val="00B1162E"/>
    <w:rsid w:val="00B11DA5"/>
    <w:rsid w:val="00B13454"/>
    <w:rsid w:val="00B135B7"/>
    <w:rsid w:val="00B13ECF"/>
    <w:rsid w:val="00B14B91"/>
    <w:rsid w:val="00B1675D"/>
    <w:rsid w:val="00B16E7A"/>
    <w:rsid w:val="00B172E1"/>
    <w:rsid w:val="00B17855"/>
    <w:rsid w:val="00B20396"/>
    <w:rsid w:val="00B20FF0"/>
    <w:rsid w:val="00B2241D"/>
    <w:rsid w:val="00B2325D"/>
    <w:rsid w:val="00B23F5E"/>
    <w:rsid w:val="00B264D5"/>
    <w:rsid w:val="00B275E1"/>
    <w:rsid w:val="00B27B19"/>
    <w:rsid w:val="00B30143"/>
    <w:rsid w:val="00B30D4F"/>
    <w:rsid w:val="00B32990"/>
    <w:rsid w:val="00B32F7C"/>
    <w:rsid w:val="00B350EA"/>
    <w:rsid w:val="00B40DA1"/>
    <w:rsid w:val="00B42135"/>
    <w:rsid w:val="00B425AA"/>
    <w:rsid w:val="00B42B8F"/>
    <w:rsid w:val="00B42C38"/>
    <w:rsid w:val="00B4386E"/>
    <w:rsid w:val="00B44A83"/>
    <w:rsid w:val="00B4715B"/>
    <w:rsid w:val="00B472C6"/>
    <w:rsid w:val="00B47903"/>
    <w:rsid w:val="00B5004E"/>
    <w:rsid w:val="00B503B9"/>
    <w:rsid w:val="00B506BC"/>
    <w:rsid w:val="00B51166"/>
    <w:rsid w:val="00B51C84"/>
    <w:rsid w:val="00B575E4"/>
    <w:rsid w:val="00B606F8"/>
    <w:rsid w:val="00B62E05"/>
    <w:rsid w:val="00B65042"/>
    <w:rsid w:val="00B65FDF"/>
    <w:rsid w:val="00B6707E"/>
    <w:rsid w:val="00B72CD6"/>
    <w:rsid w:val="00B73C33"/>
    <w:rsid w:val="00B7480D"/>
    <w:rsid w:val="00B761DD"/>
    <w:rsid w:val="00B76FAF"/>
    <w:rsid w:val="00B77728"/>
    <w:rsid w:val="00B800A0"/>
    <w:rsid w:val="00B800F7"/>
    <w:rsid w:val="00B8278F"/>
    <w:rsid w:val="00B843F4"/>
    <w:rsid w:val="00B86123"/>
    <w:rsid w:val="00B87587"/>
    <w:rsid w:val="00B87AA5"/>
    <w:rsid w:val="00B9013D"/>
    <w:rsid w:val="00B910E1"/>
    <w:rsid w:val="00B91634"/>
    <w:rsid w:val="00B91642"/>
    <w:rsid w:val="00B930FA"/>
    <w:rsid w:val="00B9343A"/>
    <w:rsid w:val="00B938F2"/>
    <w:rsid w:val="00B942B0"/>
    <w:rsid w:val="00B953D6"/>
    <w:rsid w:val="00B95752"/>
    <w:rsid w:val="00B95D5B"/>
    <w:rsid w:val="00B95E2E"/>
    <w:rsid w:val="00B960C9"/>
    <w:rsid w:val="00B96B17"/>
    <w:rsid w:val="00B977B2"/>
    <w:rsid w:val="00BA064B"/>
    <w:rsid w:val="00BA0E50"/>
    <w:rsid w:val="00BA1799"/>
    <w:rsid w:val="00BA1F44"/>
    <w:rsid w:val="00BA21AA"/>
    <w:rsid w:val="00BA25D2"/>
    <w:rsid w:val="00BA466E"/>
    <w:rsid w:val="00BA60CC"/>
    <w:rsid w:val="00BA61E2"/>
    <w:rsid w:val="00BA6D76"/>
    <w:rsid w:val="00BA6EC8"/>
    <w:rsid w:val="00BA6EF1"/>
    <w:rsid w:val="00BA7D2E"/>
    <w:rsid w:val="00BB0595"/>
    <w:rsid w:val="00BB0A6C"/>
    <w:rsid w:val="00BB6EE5"/>
    <w:rsid w:val="00BB7DE4"/>
    <w:rsid w:val="00BC3E91"/>
    <w:rsid w:val="00BC4B97"/>
    <w:rsid w:val="00BC5DEC"/>
    <w:rsid w:val="00BC5FD1"/>
    <w:rsid w:val="00BC6D86"/>
    <w:rsid w:val="00BC76A3"/>
    <w:rsid w:val="00BC7F20"/>
    <w:rsid w:val="00BD0D74"/>
    <w:rsid w:val="00BD13EF"/>
    <w:rsid w:val="00BD24A2"/>
    <w:rsid w:val="00BD2E09"/>
    <w:rsid w:val="00BD2FAC"/>
    <w:rsid w:val="00BD506F"/>
    <w:rsid w:val="00BD55FC"/>
    <w:rsid w:val="00BD6687"/>
    <w:rsid w:val="00BD6B09"/>
    <w:rsid w:val="00BD77D4"/>
    <w:rsid w:val="00BD7F60"/>
    <w:rsid w:val="00BE13FF"/>
    <w:rsid w:val="00BE1769"/>
    <w:rsid w:val="00BE195D"/>
    <w:rsid w:val="00BE1E2E"/>
    <w:rsid w:val="00BE46FD"/>
    <w:rsid w:val="00BE51B8"/>
    <w:rsid w:val="00BE51E5"/>
    <w:rsid w:val="00BE7355"/>
    <w:rsid w:val="00BE7C84"/>
    <w:rsid w:val="00BF0703"/>
    <w:rsid w:val="00BF0CE9"/>
    <w:rsid w:val="00BF17A8"/>
    <w:rsid w:val="00BF1D9D"/>
    <w:rsid w:val="00BF28FE"/>
    <w:rsid w:val="00BF2C95"/>
    <w:rsid w:val="00BF43C5"/>
    <w:rsid w:val="00BF5376"/>
    <w:rsid w:val="00BF57F7"/>
    <w:rsid w:val="00BF68F7"/>
    <w:rsid w:val="00BF73B1"/>
    <w:rsid w:val="00BF795B"/>
    <w:rsid w:val="00BF7FB5"/>
    <w:rsid w:val="00C004CD"/>
    <w:rsid w:val="00C02BA1"/>
    <w:rsid w:val="00C04F65"/>
    <w:rsid w:val="00C072A2"/>
    <w:rsid w:val="00C075F0"/>
    <w:rsid w:val="00C10A72"/>
    <w:rsid w:val="00C13E40"/>
    <w:rsid w:val="00C145F4"/>
    <w:rsid w:val="00C14E0A"/>
    <w:rsid w:val="00C16285"/>
    <w:rsid w:val="00C172BB"/>
    <w:rsid w:val="00C203DD"/>
    <w:rsid w:val="00C22074"/>
    <w:rsid w:val="00C224CB"/>
    <w:rsid w:val="00C240B7"/>
    <w:rsid w:val="00C2545D"/>
    <w:rsid w:val="00C25A0A"/>
    <w:rsid w:val="00C26C20"/>
    <w:rsid w:val="00C31C4F"/>
    <w:rsid w:val="00C31FCD"/>
    <w:rsid w:val="00C32C59"/>
    <w:rsid w:val="00C33E42"/>
    <w:rsid w:val="00C34ADF"/>
    <w:rsid w:val="00C3562A"/>
    <w:rsid w:val="00C3663C"/>
    <w:rsid w:val="00C40B32"/>
    <w:rsid w:val="00C41EF2"/>
    <w:rsid w:val="00C434F2"/>
    <w:rsid w:val="00C43B08"/>
    <w:rsid w:val="00C458F5"/>
    <w:rsid w:val="00C45BCB"/>
    <w:rsid w:val="00C46587"/>
    <w:rsid w:val="00C46AB4"/>
    <w:rsid w:val="00C4767C"/>
    <w:rsid w:val="00C4791D"/>
    <w:rsid w:val="00C53DAD"/>
    <w:rsid w:val="00C56045"/>
    <w:rsid w:val="00C56B96"/>
    <w:rsid w:val="00C57116"/>
    <w:rsid w:val="00C57657"/>
    <w:rsid w:val="00C60844"/>
    <w:rsid w:val="00C61587"/>
    <w:rsid w:val="00C655C3"/>
    <w:rsid w:val="00C67135"/>
    <w:rsid w:val="00C70A0F"/>
    <w:rsid w:val="00C72169"/>
    <w:rsid w:val="00C72945"/>
    <w:rsid w:val="00C74757"/>
    <w:rsid w:val="00C75554"/>
    <w:rsid w:val="00C7770C"/>
    <w:rsid w:val="00C77B1B"/>
    <w:rsid w:val="00C83360"/>
    <w:rsid w:val="00C83DFA"/>
    <w:rsid w:val="00C90A60"/>
    <w:rsid w:val="00C91A02"/>
    <w:rsid w:val="00C92AAA"/>
    <w:rsid w:val="00C9325A"/>
    <w:rsid w:val="00C936F9"/>
    <w:rsid w:val="00C939FF"/>
    <w:rsid w:val="00C94633"/>
    <w:rsid w:val="00C947BC"/>
    <w:rsid w:val="00C9613D"/>
    <w:rsid w:val="00C96346"/>
    <w:rsid w:val="00C9644C"/>
    <w:rsid w:val="00C974FF"/>
    <w:rsid w:val="00C97AC7"/>
    <w:rsid w:val="00C97C4D"/>
    <w:rsid w:val="00CA02E9"/>
    <w:rsid w:val="00CA2C7D"/>
    <w:rsid w:val="00CA41A6"/>
    <w:rsid w:val="00CA70F9"/>
    <w:rsid w:val="00CA790D"/>
    <w:rsid w:val="00CB0F99"/>
    <w:rsid w:val="00CB1306"/>
    <w:rsid w:val="00CB2274"/>
    <w:rsid w:val="00CB3A5E"/>
    <w:rsid w:val="00CB43E9"/>
    <w:rsid w:val="00CB5E49"/>
    <w:rsid w:val="00CB60D5"/>
    <w:rsid w:val="00CB622C"/>
    <w:rsid w:val="00CB6D3B"/>
    <w:rsid w:val="00CB7AAA"/>
    <w:rsid w:val="00CC0C11"/>
    <w:rsid w:val="00CD029F"/>
    <w:rsid w:val="00CD0616"/>
    <w:rsid w:val="00CD1246"/>
    <w:rsid w:val="00CD323F"/>
    <w:rsid w:val="00CD42E2"/>
    <w:rsid w:val="00CD6709"/>
    <w:rsid w:val="00CE2BCC"/>
    <w:rsid w:val="00CE5144"/>
    <w:rsid w:val="00CE63C0"/>
    <w:rsid w:val="00CF103F"/>
    <w:rsid w:val="00CF2445"/>
    <w:rsid w:val="00CF4324"/>
    <w:rsid w:val="00CF57C9"/>
    <w:rsid w:val="00CF5CC5"/>
    <w:rsid w:val="00CF6646"/>
    <w:rsid w:val="00CF7CEF"/>
    <w:rsid w:val="00D00848"/>
    <w:rsid w:val="00D017AA"/>
    <w:rsid w:val="00D0212F"/>
    <w:rsid w:val="00D02C14"/>
    <w:rsid w:val="00D056B1"/>
    <w:rsid w:val="00D0673D"/>
    <w:rsid w:val="00D0731A"/>
    <w:rsid w:val="00D07812"/>
    <w:rsid w:val="00D07C85"/>
    <w:rsid w:val="00D112C7"/>
    <w:rsid w:val="00D1198E"/>
    <w:rsid w:val="00D11C96"/>
    <w:rsid w:val="00D12221"/>
    <w:rsid w:val="00D124F4"/>
    <w:rsid w:val="00D1312E"/>
    <w:rsid w:val="00D137C6"/>
    <w:rsid w:val="00D15212"/>
    <w:rsid w:val="00D15C97"/>
    <w:rsid w:val="00D15E34"/>
    <w:rsid w:val="00D15E76"/>
    <w:rsid w:val="00D16CD5"/>
    <w:rsid w:val="00D1770C"/>
    <w:rsid w:val="00D212C3"/>
    <w:rsid w:val="00D21505"/>
    <w:rsid w:val="00D217D2"/>
    <w:rsid w:val="00D22085"/>
    <w:rsid w:val="00D223F3"/>
    <w:rsid w:val="00D22D7A"/>
    <w:rsid w:val="00D23E68"/>
    <w:rsid w:val="00D2435B"/>
    <w:rsid w:val="00D259C5"/>
    <w:rsid w:val="00D26B03"/>
    <w:rsid w:val="00D26D1D"/>
    <w:rsid w:val="00D27278"/>
    <w:rsid w:val="00D30549"/>
    <w:rsid w:val="00D311E3"/>
    <w:rsid w:val="00D332DE"/>
    <w:rsid w:val="00D3463E"/>
    <w:rsid w:val="00D34F03"/>
    <w:rsid w:val="00D35D81"/>
    <w:rsid w:val="00D35E9C"/>
    <w:rsid w:val="00D367C8"/>
    <w:rsid w:val="00D36951"/>
    <w:rsid w:val="00D37381"/>
    <w:rsid w:val="00D42EA4"/>
    <w:rsid w:val="00D44B27"/>
    <w:rsid w:val="00D45BCC"/>
    <w:rsid w:val="00D4608E"/>
    <w:rsid w:val="00D460BF"/>
    <w:rsid w:val="00D4668B"/>
    <w:rsid w:val="00D46847"/>
    <w:rsid w:val="00D47687"/>
    <w:rsid w:val="00D4773C"/>
    <w:rsid w:val="00D50679"/>
    <w:rsid w:val="00D50808"/>
    <w:rsid w:val="00D527E9"/>
    <w:rsid w:val="00D53A93"/>
    <w:rsid w:val="00D53E6B"/>
    <w:rsid w:val="00D54E43"/>
    <w:rsid w:val="00D556CC"/>
    <w:rsid w:val="00D5571A"/>
    <w:rsid w:val="00D56553"/>
    <w:rsid w:val="00D56608"/>
    <w:rsid w:val="00D56B87"/>
    <w:rsid w:val="00D56F2A"/>
    <w:rsid w:val="00D56F54"/>
    <w:rsid w:val="00D61112"/>
    <w:rsid w:val="00D613C4"/>
    <w:rsid w:val="00D62397"/>
    <w:rsid w:val="00D6437A"/>
    <w:rsid w:val="00D652FA"/>
    <w:rsid w:val="00D6758E"/>
    <w:rsid w:val="00D7018C"/>
    <w:rsid w:val="00D70A45"/>
    <w:rsid w:val="00D714E6"/>
    <w:rsid w:val="00D71542"/>
    <w:rsid w:val="00D719EA"/>
    <w:rsid w:val="00D7341E"/>
    <w:rsid w:val="00D74454"/>
    <w:rsid w:val="00D7448C"/>
    <w:rsid w:val="00D74916"/>
    <w:rsid w:val="00D75BF8"/>
    <w:rsid w:val="00D773DD"/>
    <w:rsid w:val="00D77CB6"/>
    <w:rsid w:val="00D808A0"/>
    <w:rsid w:val="00D82441"/>
    <w:rsid w:val="00D83CB1"/>
    <w:rsid w:val="00D847C6"/>
    <w:rsid w:val="00D84FF1"/>
    <w:rsid w:val="00D85707"/>
    <w:rsid w:val="00D858BA"/>
    <w:rsid w:val="00D858D4"/>
    <w:rsid w:val="00D85CD3"/>
    <w:rsid w:val="00D875A6"/>
    <w:rsid w:val="00D87F4B"/>
    <w:rsid w:val="00D90DA2"/>
    <w:rsid w:val="00D92653"/>
    <w:rsid w:val="00D92F53"/>
    <w:rsid w:val="00D945DC"/>
    <w:rsid w:val="00D94E2A"/>
    <w:rsid w:val="00D9512E"/>
    <w:rsid w:val="00D95496"/>
    <w:rsid w:val="00D95EDB"/>
    <w:rsid w:val="00D96967"/>
    <w:rsid w:val="00DA08DB"/>
    <w:rsid w:val="00DA0B3B"/>
    <w:rsid w:val="00DA1554"/>
    <w:rsid w:val="00DA168C"/>
    <w:rsid w:val="00DA202A"/>
    <w:rsid w:val="00DA267A"/>
    <w:rsid w:val="00DA3EBA"/>
    <w:rsid w:val="00DA49ED"/>
    <w:rsid w:val="00DA670A"/>
    <w:rsid w:val="00DA7314"/>
    <w:rsid w:val="00DB0564"/>
    <w:rsid w:val="00DB2F16"/>
    <w:rsid w:val="00DB3763"/>
    <w:rsid w:val="00DB3860"/>
    <w:rsid w:val="00DB4280"/>
    <w:rsid w:val="00DB5950"/>
    <w:rsid w:val="00DB6062"/>
    <w:rsid w:val="00DB62B6"/>
    <w:rsid w:val="00DB7502"/>
    <w:rsid w:val="00DC21B9"/>
    <w:rsid w:val="00DC2378"/>
    <w:rsid w:val="00DC28DA"/>
    <w:rsid w:val="00DC3ACB"/>
    <w:rsid w:val="00DC5351"/>
    <w:rsid w:val="00DC6980"/>
    <w:rsid w:val="00DC6DE9"/>
    <w:rsid w:val="00DC7062"/>
    <w:rsid w:val="00DC7ED0"/>
    <w:rsid w:val="00DD0701"/>
    <w:rsid w:val="00DD0892"/>
    <w:rsid w:val="00DD1390"/>
    <w:rsid w:val="00DD2096"/>
    <w:rsid w:val="00DD35FE"/>
    <w:rsid w:val="00DD3A29"/>
    <w:rsid w:val="00DD3AE5"/>
    <w:rsid w:val="00DD3B63"/>
    <w:rsid w:val="00DD5F93"/>
    <w:rsid w:val="00DD6F5A"/>
    <w:rsid w:val="00DE30DC"/>
    <w:rsid w:val="00DE34B0"/>
    <w:rsid w:val="00DE3AD6"/>
    <w:rsid w:val="00DE4EA4"/>
    <w:rsid w:val="00DE7E3F"/>
    <w:rsid w:val="00DF0131"/>
    <w:rsid w:val="00DF2CD3"/>
    <w:rsid w:val="00DF2DEF"/>
    <w:rsid w:val="00DF2E12"/>
    <w:rsid w:val="00DF319E"/>
    <w:rsid w:val="00DF38D6"/>
    <w:rsid w:val="00DF742C"/>
    <w:rsid w:val="00E0074F"/>
    <w:rsid w:val="00E01BA3"/>
    <w:rsid w:val="00E039F4"/>
    <w:rsid w:val="00E0486E"/>
    <w:rsid w:val="00E0533C"/>
    <w:rsid w:val="00E060EE"/>
    <w:rsid w:val="00E06695"/>
    <w:rsid w:val="00E0673C"/>
    <w:rsid w:val="00E07858"/>
    <w:rsid w:val="00E1089C"/>
    <w:rsid w:val="00E11251"/>
    <w:rsid w:val="00E13AE9"/>
    <w:rsid w:val="00E13CC5"/>
    <w:rsid w:val="00E145D6"/>
    <w:rsid w:val="00E170EB"/>
    <w:rsid w:val="00E200A1"/>
    <w:rsid w:val="00E20A24"/>
    <w:rsid w:val="00E213E0"/>
    <w:rsid w:val="00E22A88"/>
    <w:rsid w:val="00E22E01"/>
    <w:rsid w:val="00E23D7C"/>
    <w:rsid w:val="00E23E4D"/>
    <w:rsid w:val="00E249F7"/>
    <w:rsid w:val="00E24D9C"/>
    <w:rsid w:val="00E2671D"/>
    <w:rsid w:val="00E270C5"/>
    <w:rsid w:val="00E27881"/>
    <w:rsid w:val="00E27F9D"/>
    <w:rsid w:val="00E30C75"/>
    <w:rsid w:val="00E31EC3"/>
    <w:rsid w:val="00E31FD0"/>
    <w:rsid w:val="00E326CA"/>
    <w:rsid w:val="00E357DA"/>
    <w:rsid w:val="00E35CAF"/>
    <w:rsid w:val="00E36AE3"/>
    <w:rsid w:val="00E36D68"/>
    <w:rsid w:val="00E37DE5"/>
    <w:rsid w:val="00E4066C"/>
    <w:rsid w:val="00E407E8"/>
    <w:rsid w:val="00E4150E"/>
    <w:rsid w:val="00E41E09"/>
    <w:rsid w:val="00E4351A"/>
    <w:rsid w:val="00E44F60"/>
    <w:rsid w:val="00E4534A"/>
    <w:rsid w:val="00E46BDD"/>
    <w:rsid w:val="00E477B2"/>
    <w:rsid w:val="00E5063F"/>
    <w:rsid w:val="00E50F8B"/>
    <w:rsid w:val="00E51855"/>
    <w:rsid w:val="00E522D5"/>
    <w:rsid w:val="00E53372"/>
    <w:rsid w:val="00E5439B"/>
    <w:rsid w:val="00E5456F"/>
    <w:rsid w:val="00E547B4"/>
    <w:rsid w:val="00E56AD9"/>
    <w:rsid w:val="00E579D8"/>
    <w:rsid w:val="00E6280A"/>
    <w:rsid w:val="00E6767E"/>
    <w:rsid w:val="00E71EF0"/>
    <w:rsid w:val="00E73EC1"/>
    <w:rsid w:val="00E73F89"/>
    <w:rsid w:val="00E743F4"/>
    <w:rsid w:val="00E744D9"/>
    <w:rsid w:val="00E756DD"/>
    <w:rsid w:val="00E76A2A"/>
    <w:rsid w:val="00E80F9C"/>
    <w:rsid w:val="00E82C42"/>
    <w:rsid w:val="00E82EEE"/>
    <w:rsid w:val="00E836B3"/>
    <w:rsid w:val="00E86FC9"/>
    <w:rsid w:val="00E8752B"/>
    <w:rsid w:val="00E87C60"/>
    <w:rsid w:val="00E90C28"/>
    <w:rsid w:val="00E90C7A"/>
    <w:rsid w:val="00E91B13"/>
    <w:rsid w:val="00E935EB"/>
    <w:rsid w:val="00E937B6"/>
    <w:rsid w:val="00E93B6E"/>
    <w:rsid w:val="00E965F7"/>
    <w:rsid w:val="00E9717D"/>
    <w:rsid w:val="00E97B70"/>
    <w:rsid w:val="00EA0BAD"/>
    <w:rsid w:val="00EA131E"/>
    <w:rsid w:val="00EA2F8E"/>
    <w:rsid w:val="00EA3376"/>
    <w:rsid w:val="00EA3725"/>
    <w:rsid w:val="00EA3BAB"/>
    <w:rsid w:val="00EA42A6"/>
    <w:rsid w:val="00EA42F2"/>
    <w:rsid w:val="00EA44F7"/>
    <w:rsid w:val="00EA6E47"/>
    <w:rsid w:val="00EA71DB"/>
    <w:rsid w:val="00EA7574"/>
    <w:rsid w:val="00EB08E5"/>
    <w:rsid w:val="00EB09E0"/>
    <w:rsid w:val="00EB2933"/>
    <w:rsid w:val="00EB3096"/>
    <w:rsid w:val="00EB3229"/>
    <w:rsid w:val="00EB4268"/>
    <w:rsid w:val="00EB6E43"/>
    <w:rsid w:val="00EC0D8F"/>
    <w:rsid w:val="00EC4769"/>
    <w:rsid w:val="00EC631A"/>
    <w:rsid w:val="00EC67D0"/>
    <w:rsid w:val="00EC68EB"/>
    <w:rsid w:val="00EC6997"/>
    <w:rsid w:val="00EC73EB"/>
    <w:rsid w:val="00ED021A"/>
    <w:rsid w:val="00ED0E66"/>
    <w:rsid w:val="00ED0F20"/>
    <w:rsid w:val="00ED0FD4"/>
    <w:rsid w:val="00ED16E6"/>
    <w:rsid w:val="00ED3CF7"/>
    <w:rsid w:val="00ED3FF8"/>
    <w:rsid w:val="00ED411C"/>
    <w:rsid w:val="00ED4B7F"/>
    <w:rsid w:val="00ED653E"/>
    <w:rsid w:val="00ED6C3C"/>
    <w:rsid w:val="00ED78C6"/>
    <w:rsid w:val="00ED7D18"/>
    <w:rsid w:val="00EE0C5C"/>
    <w:rsid w:val="00EE0D1A"/>
    <w:rsid w:val="00EE0E87"/>
    <w:rsid w:val="00EE1396"/>
    <w:rsid w:val="00EE2764"/>
    <w:rsid w:val="00EE2F4E"/>
    <w:rsid w:val="00EE34A4"/>
    <w:rsid w:val="00EE3DC3"/>
    <w:rsid w:val="00EE45CC"/>
    <w:rsid w:val="00EE5329"/>
    <w:rsid w:val="00EE5AD0"/>
    <w:rsid w:val="00EE5D1E"/>
    <w:rsid w:val="00EE639C"/>
    <w:rsid w:val="00EE6833"/>
    <w:rsid w:val="00EE705A"/>
    <w:rsid w:val="00EE714C"/>
    <w:rsid w:val="00EF0C37"/>
    <w:rsid w:val="00EF0FFC"/>
    <w:rsid w:val="00EF21CF"/>
    <w:rsid w:val="00EF3697"/>
    <w:rsid w:val="00EF564F"/>
    <w:rsid w:val="00EF596F"/>
    <w:rsid w:val="00EF6558"/>
    <w:rsid w:val="00EF6B14"/>
    <w:rsid w:val="00EF7625"/>
    <w:rsid w:val="00EF76F7"/>
    <w:rsid w:val="00EF7CCD"/>
    <w:rsid w:val="00EF7DE4"/>
    <w:rsid w:val="00F0007F"/>
    <w:rsid w:val="00F007AF"/>
    <w:rsid w:val="00F02B10"/>
    <w:rsid w:val="00F032D4"/>
    <w:rsid w:val="00F03730"/>
    <w:rsid w:val="00F05C96"/>
    <w:rsid w:val="00F07AB1"/>
    <w:rsid w:val="00F07B3B"/>
    <w:rsid w:val="00F10C7F"/>
    <w:rsid w:val="00F113F2"/>
    <w:rsid w:val="00F11504"/>
    <w:rsid w:val="00F11F75"/>
    <w:rsid w:val="00F125AD"/>
    <w:rsid w:val="00F128C5"/>
    <w:rsid w:val="00F12B60"/>
    <w:rsid w:val="00F13E75"/>
    <w:rsid w:val="00F15DC4"/>
    <w:rsid w:val="00F16923"/>
    <w:rsid w:val="00F17751"/>
    <w:rsid w:val="00F20234"/>
    <w:rsid w:val="00F21753"/>
    <w:rsid w:val="00F242E0"/>
    <w:rsid w:val="00F25353"/>
    <w:rsid w:val="00F256B0"/>
    <w:rsid w:val="00F31BB0"/>
    <w:rsid w:val="00F32273"/>
    <w:rsid w:val="00F32371"/>
    <w:rsid w:val="00F32B15"/>
    <w:rsid w:val="00F3436F"/>
    <w:rsid w:val="00F3539E"/>
    <w:rsid w:val="00F363D7"/>
    <w:rsid w:val="00F36990"/>
    <w:rsid w:val="00F3779D"/>
    <w:rsid w:val="00F408CF"/>
    <w:rsid w:val="00F418D9"/>
    <w:rsid w:val="00F43766"/>
    <w:rsid w:val="00F46BCC"/>
    <w:rsid w:val="00F50CBC"/>
    <w:rsid w:val="00F51E15"/>
    <w:rsid w:val="00F53C73"/>
    <w:rsid w:val="00F543F6"/>
    <w:rsid w:val="00F55698"/>
    <w:rsid w:val="00F5665E"/>
    <w:rsid w:val="00F56666"/>
    <w:rsid w:val="00F5675D"/>
    <w:rsid w:val="00F5715B"/>
    <w:rsid w:val="00F6097D"/>
    <w:rsid w:val="00F61260"/>
    <w:rsid w:val="00F63E3C"/>
    <w:rsid w:val="00F6451B"/>
    <w:rsid w:val="00F6561C"/>
    <w:rsid w:val="00F657E1"/>
    <w:rsid w:val="00F67793"/>
    <w:rsid w:val="00F70F0D"/>
    <w:rsid w:val="00F721B6"/>
    <w:rsid w:val="00F72E88"/>
    <w:rsid w:val="00F7321B"/>
    <w:rsid w:val="00F7338D"/>
    <w:rsid w:val="00F7367E"/>
    <w:rsid w:val="00F743A5"/>
    <w:rsid w:val="00F756B5"/>
    <w:rsid w:val="00F765DC"/>
    <w:rsid w:val="00F77405"/>
    <w:rsid w:val="00F80460"/>
    <w:rsid w:val="00F8135A"/>
    <w:rsid w:val="00F84B16"/>
    <w:rsid w:val="00F851EF"/>
    <w:rsid w:val="00F8550C"/>
    <w:rsid w:val="00F867DC"/>
    <w:rsid w:val="00F9065B"/>
    <w:rsid w:val="00F90BEA"/>
    <w:rsid w:val="00F91E51"/>
    <w:rsid w:val="00F92255"/>
    <w:rsid w:val="00F93B8B"/>
    <w:rsid w:val="00F94022"/>
    <w:rsid w:val="00F94142"/>
    <w:rsid w:val="00F954ED"/>
    <w:rsid w:val="00F959E4"/>
    <w:rsid w:val="00F95E6C"/>
    <w:rsid w:val="00FA0EE6"/>
    <w:rsid w:val="00FA10D3"/>
    <w:rsid w:val="00FA1190"/>
    <w:rsid w:val="00FA418F"/>
    <w:rsid w:val="00FA4762"/>
    <w:rsid w:val="00FA638B"/>
    <w:rsid w:val="00FA712E"/>
    <w:rsid w:val="00FA7E24"/>
    <w:rsid w:val="00FB053A"/>
    <w:rsid w:val="00FB082A"/>
    <w:rsid w:val="00FB1170"/>
    <w:rsid w:val="00FB1E17"/>
    <w:rsid w:val="00FB31E7"/>
    <w:rsid w:val="00FB3A3F"/>
    <w:rsid w:val="00FB3F71"/>
    <w:rsid w:val="00FB61EF"/>
    <w:rsid w:val="00FB64A6"/>
    <w:rsid w:val="00FC07BD"/>
    <w:rsid w:val="00FC0EB6"/>
    <w:rsid w:val="00FC226A"/>
    <w:rsid w:val="00FC37CD"/>
    <w:rsid w:val="00FC56E0"/>
    <w:rsid w:val="00FC6026"/>
    <w:rsid w:val="00FC7942"/>
    <w:rsid w:val="00FD000E"/>
    <w:rsid w:val="00FD03EF"/>
    <w:rsid w:val="00FD164C"/>
    <w:rsid w:val="00FD19A2"/>
    <w:rsid w:val="00FD3668"/>
    <w:rsid w:val="00FD4E1E"/>
    <w:rsid w:val="00FD4F42"/>
    <w:rsid w:val="00FD5FF4"/>
    <w:rsid w:val="00FE0436"/>
    <w:rsid w:val="00FE15C8"/>
    <w:rsid w:val="00FE3056"/>
    <w:rsid w:val="00FE394D"/>
    <w:rsid w:val="00FE39BE"/>
    <w:rsid w:val="00FE4152"/>
    <w:rsid w:val="00FE44CC"/>
    <w:rsid w:val="00FE4AC7"/>
    <w:rsid w:val="00FE6807"/>
    <w:rsid w:val="00FF05B5"/>
    <w:rsid w:val="00FF1170"/>
    <w:rsid w:val="00FF50E0"/>
    <w:rsid w:val="00FF548A"/>
    <w:rsid w:val="00FF5E83"/>
    <w:rsid w:val="00FF5FF4"/>
    <w:rsid w:val="00FF62B1"/>
    <w:rsid w:val="00FF68DA"/>
    <w:rsid w:val="00FF6B6C"/>
    <w:rsid w:val="01BAE417"/>
    <w:rsid w:val="05794A8E"/>
    <w:rsid w:val="0BBB29E9"/>
    <w:rsid w:val="0C6BDFAA"/>
    <w:rsid w:val="121C4C63"/>
    <w:rsid w:val="12434CB9"/>
    <w:rsid w:val="1345EF07"/>
    <w:rsid w:val="13BDA2D9"/>
    <w:rsid w:val="1430CED0"/>
    <w:rsid w:val="19CBDB0E"/>
    <w:rsid w:val="200B49B2"/>
    <w:rsid w:val="20B1FCD5"/>
    <w:rsid w:val="23287294"/>
    <w:rsid w:val="281565F3"/>
    <w:rsid w:val="2C52E5FB"/>
    <w:rsid w:val="2DE38A75"/>
    <w:rsid w:val="317EE58A"/>
    <w:rsid w:val="33CBACFE"/>
    <w:rsid w:val="369E974E"/>
    <w:rsid w:val="3B9CAAFD"/>
    <w:rsid w:val="3E602418"/>
    <w:rsid w:val="423CE4EC"/>
    <w:rsid w:val="4969CF6B"/>
    <w:rsid w:val="4AAF3B35"/>
    <w:rsid w:val="4C168630"/>
    <w:rsid w:val="4DDB5483"/>
    <w:rsid w:val="4FBDD95D"/>
    <w:rsid w:val="57C503CD"/>
    <w:rsid w:val="5924DE17"/>
    <w:rsid w:val="5EAED086"/>
    <w:rsid w:val="6985939A"/>
    <w:rsid w:val="6BC90EA3"/>
    <w:rsid w:val="7298B515"/>
    <w:rsid w:val="72D72B20"/>
    <w:rsid w:val="73E17ADE"/>
    <w:rsid w:val="78074CE8"/>
    <w:rsid w:val="7B89A103"/>
    <w:rsid w:val="7E6C9F4C"/>
    <w:rsid w:val="7ECE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B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B69"/>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ft"/>
    <w:basedOn w:val="Normal"/>
    <w:link w:val="FootnoteTextChar"/>
    <w:rsid w:val="00A30B69"/>
    <w:rPr>
      <w:sz w:val="22"/>
    </w:rPr>
  </w:style>
  <w:style w:type="character" w:styleId="FootnoteReference">
    <w:name w:val="footnote reference"/>
    <w:aliases w:val="(NECG) Footnote Reference,Appel note de bas de p,FC,FR,Footnote Reference/,St,Style 10,Style 12,Style 121,Style 124,Style 13,Style 15,Style 16,Style 17,Style 18,Style 20,Style 23,Style 3,Style 34,Style 6,Style 7,Style 9,callout,fr,o"/>
    <w:basedOn w:val="DefaultParagraphFont"/>
    <w:qFormat/>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30B69"/>
    <w:rPr>
      <w:sz w:val="22"/>
    </w:rPr>
  </w:style>
  <w:style w:type="character" w:customStyle="1" w:styleId="FooterChar">
    <w:name w:val="Footer Char"/>
    <w:basedOn w:val="DefaultParagraphFont"/>
    <w:link w:val="Footer"/>
    <w:uiPriority w:val="99"/>
    <w:rsid w:val="00982D60"/>
    <w:rPr>
      <w:sz w:val="24"/>
    </w:rPr>
  </w:style>
  <w:style w:type="character" w:styleId="FollowedHyperlink">
    <w:name w:val="FollowedHyperlink"/>
    <w:basedOn w:val="DefaultParagraphFont"/>
    <w:semiHidden/>
    <w:unhideWhenUsed/>
    <w:rsid w:val="00465D82"/>
    <w:rPr>
      <w:color w:val="800080" w:themeColor="followedHyperlink"/>
      <w:u w:val="single"/>
    </w:rPr>
  </w:style>
  <w:style w:type="character" w:styleId="CommentReference">
    <w:name w:val="annotation reference"/>
    <w:basedOn w:val="DefaultParagraphFont"/>
    <w:semiHidden/>
    <w:unhideWhenUsed/>
    <w:rsid w:val="008E0E3D"/>
    <w:rPr>
      <w:sz w:val="16"/>
      <w:szCs w:val="16"/>
    </w:rPr>
  </w:style>
  <w:style w:type="paragraph" w:styleId="CommentText">
    <w:name w:val="annotation text"/>
    <w:basedOn w:val="Normal"/>
    <w:link w:val="CommentTextChar"/>
    <w:semiHidden/>
    <w:unhideWhenUsed/>
    <w:rsid w:val="008E0E3D"/>
    <w:rPr>
      <w:sz w:val="20"/>
    </w:rPr>
  </w:style>
  <w:style w:type="character" w:customStyle="1" w:styleId="CommentTextChar">
    <w:name w:val="Comment Text Char"/>
    <w:basedOn w:val="DefaultParagraphFont"/>
    <w:link w:val="CommentText"/>
    <w:semiHidden/>
    <w:rsid w:val="008E0E3D"/>
  </w:style>
  <w:style w:type="paragraph" w:styleId="CommentSubject">
    <w:name w:val="annotation subject"/>
    <w:basedOn w:val="CommentText"/>
    <w:next w:val="CommentText"/>
    <w:link w:val="CommentSubjectChar"/>
    <w:semiHidden/>
    <w:unhideWhenUsed/>
    <w:rsid w:val="008E0E3D"/>
    <w:rPr>
      <w:b/>
      <w:bCs/>
    </w:rPr>
  </w:style>
  <w:style w:type="character" w:customStyle="1" w:styleId="CommentSubjectChar">
    <w:name w:val="Comment Subject Char"/>
    <w:basedOn w:val="CommentTextChar"/>
    <w:link w:val="CommentSubject"/>
    <w:semiHidden/>
    <w:rsid w:val="008E0E3D"/>
    <w:rPr>
      <w:b/>
      <w:bCs/>
    </w:rPr>
  </w:style>
  <w:style w:type="character" w:customStyle="1" w:styleId="UnresolvedMention1">
    <w:name w:val="Unresolved Mention1"/>
    <w:basedOn w:val="DefaultParagraphFont"/>
    <w:uiPriority w:val="99"/>
    <w:semiHidden/>
    <w:unhideWhenUsed/>
    <w:rsid w:val="00ED411C"/>
    <w:rPr>
      <w:color w:val="808080"/>
      <w:shd w:val="clear" w:color="auto" w:fill="E6E6E6"/>
    </w:rPr>
  </w:style>
  <w:style w:type="paragraph" w:styleId="Revision">
    <w:name w:val="Revision"/>
    <w:hidden/>
    <w:uiPriority w:val="99"/>
    <w:semiHidden/>
    <w:rsid w:val="00115414"/>
    <w:rPr>
      <w:sz w:val="24"/>
    </w:rPr>
  </w:style>
  <w:style w:type="paragraph" w:styleId="BodyText2">
    <w:name w:val="Body Text 2"/>
    <w:basedOn w:val="Normal"/>
    <w:link w:val="BodyText2Char"/>
    <w:semiHidden/>
    <w:unhideWhenUsed/>
    <w:rsid w:val="006266E1"/>
    <w:pPr>
      <w:spacing w:after="120" w:line="480" w:lineRule="auto"/>
    </w:pPr>
  </w:style>
  <w:style w:type="character" w:customStyle="1" w:styleId="BodyText2Char">
    <w:name w:val="Body Text 2 Char"/>
    <w:basedOn w:val="DefaultParagraphFont"/>
    <w:link w:val="BodyText2"/>
    <w:semiHidden/>
    <w:rsid w:val="006266E1"/>
    <w:rPr>
      <w:sz w:val="24"/>
    </w:rPr>
  </w:style>
  <w:style w:type="character" w:styleId="UnresolvedMention">
    <w:name w:val="Unresolved Mention"/>
    <w:basedOn w:val="DefaultParagraphFont"/>
    <w:uiPriority w:val="99"/>
    <w:semiHidden/>
    <w:unhideWhenUsed/>
    <w:rsid w:val="00FB053A"/>
    <w:rPr>
      <w:color w:val="605E5C"/>
      <w:shd w:val="clear" w:color="auto" w:fill="E1DFDD"/>
    </w:rPr>
  </w:style>
  <w:style w:type="paragraph" w:styleId="ListParagraph">
    <w:name w:val="List Paragraph"/>
    <w:basedOn w:val="Normal"/>
    <w:uiPriority w:val="34"/>
    <w:qFormat/>
    <w:rsid w:val="009F0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2042">
      <w:bodyDiv w:val="1"/>
      <w:marLeft w:val="0"/>
      <w:marRight w:val="0"/>
      <w:marTop w:val="0"/>
      <w:marBottom w:val="0"/>
      <w:divBdr>
        <w:top w:val="none" w:sz="0" w:space="0" w:color="auto"/>
        <w:left w:val="none" w:sz="0" w:space="0" w:color="auto"/>
        <w:bottom w:val="none" w:sz="0" w:space="0" w:color="auto"/>
        <w:right w:val="none" w:sz="0" w:space="0" w:color="auto"/>
      </w:divBdr>
    </w:div>
    <w:div w:id="117651946">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440102908">
      <w:bodyDiv w:val="1"/>
      <w:marLeft w:val="0"/>
      <w:marRight w:val="0"/>
      <w:marTop w:val="0"/>
      <w:marBottom w:val="0"/>
      <w:divBdr>
        <w:top w:val="none" w:sz="0" w:space="0" w:color="auto"/>
        <w:left w:val="none" w:sz="0" w:space="0" w:color="auto"/>
        <w:bottom w:val="none" w:sz="0" w:space="0" w:color="auto"/>
        <w:right w:val="none" w:sz="0" w:space="0" w:color="auto"/>
      </w:divBdr>
    </w:div>
    <w:div w:id="535504349">
      <w:bodyDiv w:val="1"/>
      <w:marLeft w:val="0"/>
      <w:marRight w:val="0"/>
      <w:marTop w:val="0"/>
      <w:marBottom w:val="0"/>
      <w:divBdr>
        <w:top w:val="none" w:sz="0" w:space="0" w:color="auto"/>
        <w:left w:val="none" w:sz="0" w:space="0" w:color="auto"/>
        <w:bottom w:val="none" w:sz="0" w:space="0" w:color="auto"/>
        <w:right w:val="none" w:sz="0" w:space="0" w:color="auto"/>
      </w:divBdr>
      <w:divsChild>
        <w:div w:id="599068137">
          <w:marLeft w:val="0"/>
          <w:marRight w:val="0"/>
          <w:marTop w:val="0"/>
          <w:marBottom w:val="375"/>
          <w:divBdr>
            <w:top w:val="none" w:sz="0" w:space="0" w:color="auto"/>
            <w:left w:val="none" w:sz="0" w:space="0" w:color="auto"/>
            <w:bottom w:val="none" w:sz="0" w:space="0" w:color="auto"/>
            <w:right w:val="none" w:sz="0" w:space="0" w:color="auto"/>
          </w:divBdr>
          <w:divsChild>
            <w:div w:id="1749157816">
              <w:marLeft w:val="0"/>
              <w:marRight w:val="0"/>
              <w:marTop w:val="0"/>
              <w:marBottom w:val="0"/>
              <w:divBdr>
                <w:top w:val="none" w:sz="0" w:space="0" w:color="auto"/>
                <w:left w:val="none" w:sz="0" w:space="0" w:color="auto"/>
                <w:bottom w:val="none" w:sz="0" w:space="0" w:color="auto"/>
                <w:right w:val="none" w:sz="0" w:space="0" w:color="auto"/>
              </w:divBdr>
              <w:divsChild>
                <w:div w:id="157506159">
                  <w:marLeft w:val="0"/>
                  <w:marRight w:val="0"/>
                  <w:marTop w:val="0"/>
                  <w:marBottom w:val="0"/>
                  <w:divBdr>
                    <w:top w:val="none" w:sz="0" w:space="0" w:color="auto"/>
                    <w:left w:val="none" w:sz="0" w:space="0" w:color="auto"/>
                    <w:bottom w:val="none" w:sz="0" w:space="0" w:color="auto"/>
                    <w:right w:val="none" w:sz="0" w:space="0" w:color="auto"/>
                  </w:divBdr>
                  <w:divsChild>
                    <w:div w:id="525212517">
                      <w:marLeft w:val="-225"/>
                      <w:marRight w:val="-225"/>
                      <w:marTop w:val="0"/>
                      <w:marBottom w:val="0"/>
                      <w:divBdr>
                        <w:top w:val="none" w:sz="0" w:space="0" w:color="auto"/>
                        <w:left w:val="none" w:sz="0" w:space="0" w:color="auto"/>
                        <w:bottom w:val="none" w:sz="0" w:space="0" w:color="auto"/>
                        <w:right w:val="none" w:sz="0" w:space="0" w:color="auto"/>
                      </w:divBdr>
                      <w:divsChild>
                        <w:div w:id="2045867220">
                          <w:marLeft w:val="0"/>
                          <w:marRight w:val="0"/>
                          <w:marTop w:val="0"/>
                          <w:marBottom w:val="0"/>
                          <w:divBdr>
                            <w:top w:val="none" w:sz="0" w:space="0" w:color="auto"/>
                            <w:left w:val="none" w:sz="0" w:space="0" w:color="auto"/>
                            <w:bottom w:val="none" w:sz="0" w:space="0" w:color="auto"/>
                            <w:right w:val="none" w:sz="0" w:space="0" w:color="auto"/>
                          </w:divBdr>
                          <w:divsChild>
                            <w:div w:id="1557351743">
                              <w:marLeft w:val="0"/>
                              <w:marRight w:val="0"/>
                              <w:marTop w:val="0"/>
                              <w:marBottom w:val="0"/>
                              <w:divBdr>
                                <w:top w:val="single" w:sz="6" w:space="0" w:color="E8E8E8"/>
                                <w:left w:val="none" w:sz="0" w:space="0" w:color="auto"/>
                                <w:bottom w:val="single" w:sz="6" w:space="0" w:color="E8E8E8"/>
                                <w:right w:val="none" w:sz="0" w:space="0" w:color="auto"/>
                              </w:divBdr>
                              <w:divsChild>
                                <w:div w:id="1285965107">
                                  <w:marLeft w:val="-225"/>
                                  <w:marRight w:val="-225"/>
                                  <w:marTop w:val="0"/>
                                  <w:marBottom w:val="0"/>
                                  <w:divBdr>
                                    <w:top w:val="none" w:sz="0" w:space="0" w:color="auto"/>
                                    <w:left w:val="none" w:sz="0" w:space="0" w:color="auto"/>
                                    <w:bottom w:val="none" w:sz="0" w:space="0" w:color="auto"/>
                                    <w:right w:val="none" w:sz="0" w:space="0" w:color="auto"/>
                                  </w:divBdr>
                                  <w:divsChild>
                                    <w:div w:id="932518373">
                                      <w:marLeft w:val="0"/>
                                      <w:marRight w:val="0"/>
                                      <w:marTop w:val="0"/>
                                      <w:marBottom w:val="0"/>
                                      <w:divBdr>
                                        <w:top w:val="none" w:sz="0" w:space="0" w:color="auto"/>
                                        <w:left w:val="none" w:sz="0" w:space="0" w:color="auto"/>
                                        <w:bottom w:val="none" w:sz="0" w:space="0" w:color="auto"/>
                                        <w:right w:val="none" w:sz="0" w:space="0" w:color="auto"/>
                                      </w:divBdr>
                                      <w:divsChild>
                                        <w:div w:id="821001373">
                                          <w:marLeft w:val="0"/>
                                          <w:marRight w:val="0"/>
                                          <w:marTop w:val="0"/>
                                          <w:marBottom w:val="900"/>
                                          <w:divBdr>
                                            <w:top w:val="none" w:sz="0" w:space="0" w:color="auto"/>
                                            <w:left w:val="none" w:sz="0" w:space="0" w:color="auto"/>
                                            <w:bottom w:val="none" w:sz="0" w:space="0" w:color="auto"/>
                                            <w:right w:val="none" w:sz="0" w:space="0" w:color="auto"/>
                                          </w:divBdr>
                                        </w:div>
                                      </w:divsChild>
                                    </w:div>
                                    <w:div w:id="1438671824">
                                      <w:marLeft w:val="0"/>
                                      <w:marRight w:val="0"/>
                                      <w:marTop w:val="0"/>
                                      <w:marBottom w:val="0"/>
                                      <w:divBdr>
                                        <w:top w:val="none" w:sz="0" w:space="0" w:color="auto"/>
                                        <w:left w:val="none" w:sz="0" w:space="0" w:color="auto"/>
                                        <w:bottom w:val="none" w:sz="0" w:space="0" w:color="auto"/>
                                        <w:right w:val="none" w:sz="0" w:space="0" w:color="auto"/>
                                      </w:divBdr>
                                      <w:divsChild>
                                        <w:div w:id="240413195">
                                          <w:marLeft w:val="-225"/>
                                          <w:marRight w:val="-225"/>
                                          <w:marTop w:val="0"/>
                                          <w:marBottom w:val="0"/>
                                          <w:divBdr>
                                            <w:top w:val="none" w:sz="0" w:space="0" w:color="auto"/>
                                            <w:left w:val="none" w:sz="0" w:space="0" w:color="auto"/>
                                            <w:bottom w:val="none" w:sz="0" w:space="0" w:color="auto"/>
                                            <w:right w:val="none" w:sz="0" w:space="0" w:color="auto"/>
                                          </w:divBdr>
                                          <w:divsChild>
                                            <w:div w:id="17318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86740">
                  <w:marLeft w:val="0"/>
                  <w:marRight w:val="0"/>
                  <w:marTop w:val="0"/>
                  <w:marBottom w:val="0"/>
                  <w:divBdr>
                    <w:top w:val="none" w:sz="0" w:space="0" w:color="auto"/>
                    <w:left w:val="none" w:sz="0" w:space="0" w:color="auto"/>
                    <w:bottom w:val="none" w:sz="0" w:space="0" w:color="auto"/>
                    <w:right w:val="none" w:sz="0" w:space="0" w:color="auto"/>
                  </w:divBdr>
                  <w:divsChild>
                    <w:div w:id="206182616">
                      <w:marLeft w:val="-225"/>
                      <w:marRight w:val="-225"/>
                      <w:marTop w:val="0"/>
                      <w:marBottom w:val="0"/>
                      <w:divBdr>
                        <w:top w:val="none" w:sz="0" w:space="0" w:color="auto"/>
                        <w:left w:val="none" w:sz="0" w:space="0" w:color="auto"/>
                        <w:bottom w:val="none" w:sz="0" w:space="0" w:color="auto"/>
                        <w:right w:val="none" w:sz="0" w:space="0" w:color="auto"/>
                      </w:divBdr>
                      <w:divsChild>
                        <w:div w:id="430977021">
                          <w:marLeft w:val="0"/>
                          <w:marRight w:val="0"/>
                          <w:marTop w:val="0"/>
                          <w:marBottom w:val="0"/>
                          <w:divBdr>
                            <w:top w:val="none" w:sz="0" w:space="0" w:color="auto"/>
                            <w:left w:val="none" w:sz="0" w:space="0" w:color="auto"/>
                            <w:bottom w:val="none" w:sz="0" w:space="0" w:color="auto"/>
                            <w:right w:val="none" w:sz="0" w:space="0" w:color="auto"/>
                          </w:divBdr>
                          <w:divsChild>
                            <w:div w:id="888959355">
                              <w:marLeft w:val="0"/>
                              <w:marRight w:val="0"/>
                              <w:marTop w:val="0"/>
                              <w:marBottom w:val="0"/>
                              <w:divBdr>
                                <w:top w:val="none" w:sz="0" w:space="0" w:color="auto"/>
                                <w:left w:val="none" w:sz="0" w:space="0" w:color="auto"/>
                                <w:bottom w:val="none" w:sz="0" w:space="0" w:color="auto"/>
                                <w:right w:val="none" w:sz="0" w:space="0" w:color="auto"/>
                              </w:divBdr>
                            </w:div>
                          </w:divsChild>
                        </w:div>
                        <w:div w:id="719279504">
                          <w:marLeft w:val="0"/>
                          <w:marRight w:val="0"/>
                          <w:marTop w:val="0"/>
                          <w:marBottom w:val="0"/>
                          <w:divBdr>
                            <w:top w:val="none" w:sz="0" w:space="0" w:color="auto"/>
                            <w:left w:val="none" w:sz="0" w:space="0" w:color="auto"/>
                            <w:bottom w:val="none" w:sz="0" w:space="0" w:color="auto"/>
                            <w:right w:val="none" w:sz="0" w:space="0" w:color="auto"/>
                          </w:divBdr>
                          <w:divsChild>
                            <w:div w:id="610010150">
                              <w:marLeft w:val="0"/>
                              <w:marRight w:val="0"/>
                              <w:marTop w:val="0"/>
                              <w:marBottom w:val="225"/>
                              <w:divBdr>
                                <w:top w:val="none" w:sz="0" w:space="0" w:color="auto"/>
                                <w:left w:val="none" w:sz="0" w:space="0" w:color="auto"/>
                                <w:bottom w:val="none" w:sz="0" w:space="0" w:color="auto"/>
                                <w:right w:val="none" w:sz="0" w:space="0" w:color="auto"/>
                              </w:divBdr>
                              <w:divsChild>
                                <w:div w:id="842357150">
                                  <w:marLeft w:val="0"/>
                                  <w:marRight w:val="0"/>
                                  <w:marTop w:val="0"/>
                                  <w:marBottom w:val="0"/>
                                  <w:divBdr>
                                    <w:top w:val="none" w:sz="0" w:space="0" w:color="auto"/>
                                    <w:left w:val="none" w:sz="0" w:space="0" w:color="auto"/>
                                    <w:bottom w:val="none" w:sz="0" w:space="0" w:color="auto"/>
                                    <w:right w:val="none" w:sz="0" w:space="0" w:color="auto"/>
                                  </w:divBdr>
                                  <w:divsChild>
                                    <w:div w:id="1058210854">
                                      <w:marLeft w:val="0"/>
                                      <w:marRight w:val="0"/>
                                      <w:marTop w:val="0"/>
                                      <w:marBottom w:val="0"/>
                                      <w:divBdr>
                                        <w:top w:val="none" w:sz="0" w:space="0" w:color="auto"/>
                                        <w:left w:val="none" w:sz="0" w:space="0" w:color="auto"/>
                                        <w:bottom w:val="none" w:sz="0" w:space="0" w:color="auto"/>
                                        <w:right w:val="none" w:sz="0" w:space="0" w:color="auto"/>
                                      </w:divBdr>
                                    </w:div>
                                    <w:div w:id="1755861336">
                                      <w:marLeft w:val="0"/>
                                      <w:marRight w:val="0"/>
                                      <w:marTop w:val="0"/>
                                      <w:marBottom w:val="0"/>
                                      <w:divBdr>
                                        <w:top w:val="none" w:sz="0" w:space="0" w:color="auto"/>
                                        <w:left w:val="none" w:sz="0" w:space="0" w:color="auto"/>
                                        <w:bottom w:val="none" w:sz="0" w:space="0" w:color="auto"/>
                                        <w:right w:val="none" w:sz="0" w:space="0" w:color="auto"/>
                                      </w:divBdr>
                                      <w:divsChild>
                                        <w:div w:id="773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10222">
                          <w:marLeft w:val="0"/>
                          <w:marRight w:val="0"/>
                          <w:marTop w:val="0"/>
                          <w:marBottom w:val="0"/>
                          <w:divBdr>
                            <w:top w:val="none" w:sz="0" w:space="0" w:color="auto"/>
                            <w:left w:val="none" w:sz="0" w:space="0" w:color="auto"/>
                            <w:bottom w:val="none" w:sz="0" w:space="0" w:color="auto"/>
                            <w:right w:val="none" w:sz="0" w:space="0" w:color="auto"/>
                          </w:divBdr>
                          <w:divsChild>
                            <w:div w:id="151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9693">
                      <w:marLeft w:val="-225"/>
                      <w:marRight w:val="-225"/>
                      <w:marTop w:val="0"/>
                      <w:marBottom w:val="0"/>
                      <w:divBdr>
                        <w:top w:val="none" w:sz="0" w:space="0" w:color="auto"/>
                        <w:left w:val="none" w:sz="0" w:space="0" w:color="auto"/>
                        <w:bottom w:val="none" w:sz="0" w:space="0" w:color="auto"/>
                        <w:right w:val="none" w:sz="0" w:space="0" w:color="auto"/>
                      </w:divBdr>
                      <w:divsChild>
                        <w:div w:id="305745878">
                          <w:marLeft w:val="0"/>
                          <w:marRight w:val="0"/>
                          <w:marTop w:val="0"/>
                          <w:marBottom w:val="0"/>
                          <w:divBdr>
                            <w:top w:val="none" w:sz="0" w:space="0" w:color="auto"/>
                            <w:left w:val="none" w:sz="0" w:space="0" w:color="auto"/>
                            <w:bottom w:val="none" w:sz="0" w:space="0" w:color="auto"/>
                            <w:right w:val="none" w:sz="0" w:space="0" w:color="auto"/>
                          </w:divBdr>
                          <w:divsChild>
                            <w:div w:id="873032535">
                              <w:marLeft w:val="0"/>
                              <w:marRight w:val="0"/>
                              <w:marTop w:val="0"/>
                              <w:marBottom w:val="225"/>
                              <w:divBdr>
                                <w:top w:val="none" w:sz="0" w:space="0" w:color="auto"/>
                                <w:left w:val="none" w:sz="0" w:space="0" w:color="auto"/>
                                <w:bottom w:val="none" w:sz="0" w:space="0" w:color="auto"/>
                                <w:right w:val="none" w:sz="0" w:space="0" w:color="auto"/>
                              </w:divBdr>
                              <w:divsChild>
                                <w:div w:id="544829529">
                                  <w:marLeft w:val="0"/>
                                  <w:marRight w:val="0"/>
                                  <w:marTop w:val="0"/>
                                  <w:marBottom w:val="0"/>
                                  <w:divBdr>
                                    <w:top w:val="none" w:sz="0" w:space="0" w:color="auto"/>
                                    <w:left w:val="none" w:sz="0" w:space="0" w:color="auto"/>
                                    <w:bottom w:val="none" w:sz="0" w:space="0" w:color="auto"/>
                                    <w:right w:val="none" w:sz="0" w:space="0" w:color="auto"/>
                                  </w:divBdr>
                                  <w:divsChild>
                                    <w:div w:id="328800472">
                                      <w:marLeft w:val="0"/>
                                      <w:marRight w:val="0"/>
                                      <w:marTop w:val="0"/>
                                      <w:marBottom w:val="0"/>
                                      <w:divBdr>
                                        <w:top w:val="none" w:sz="0" w:space="0" w:color="auto"/>
                                        <w:left w:val="none" w:sz="0" w:space="0" w:color="auto"/>
                                        <w:bottom w:val="none" w:sz="0" w:space="0" w:color="auto"/>
                                        <w:right w:val="none" w:sz="0" w:space="0" w:color="auto"/>
                                      </w:divBdr>
                                      <w:divsChild>
                                        <w:div w:id="1057624783">
                                          <w:marLeft w:val="0"/>
                                          <w:marRight w:val="0"/>
                                          <w:marTop w:val="0"/>
                                          <w:marBottom w:val="0"/>
                                          <w:divBdr>
                                            <w:top w:val="none" w:sz="0" w:space="0" w:color="auto"/>
                                            <w:left w:val="none" w:sz="0" w:space="0" w:color="auto"/>
                                            <w:bottom w:val="none" w:sz="0" w:space="0" w:color="auto"/>
                                            <w:right w:val="none" w:sz="0" w:space="0" w:color="auto"/>
                                          </w:divBdr>
                                        </w:div>
                                      </w:divsChild>
                                    </w:div>
                                    <w:div w:id="18157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2996">
                          <w:marLeft w:val="0"/>
                          <w:marRight w:val="0"/>
                          <w:marTop w:val="0"/>
                          <w:marBottom w:val="0"/>
                          <w:divBdr>
                            <w:top w:val="none" w:sz="0" w:space="0" w:color="auto"/>
                            <w:left w:val="none" w:sz="0" w:space="0" w:color="auto"/>
                            <w:bottom w:val="none" w:sz="0" w:space="0" w:color="auto"/>
                            <w:right w:val="none" w:sz="0" w:space="0" w:color="auto"/>
                          </w:divBdr>
                          <w:divsChild>
                            <w:div w:id="982273799">
                              <w:marLeft w:val="0"/>
                              <w:marRight w:val="0"/>
                              <w:marTop w:val="0"/>
                              <w:marBottom w:val="0"/>
                              <w:divBdr>
                                <w:top w:val="none" w:sz="0" w:space="0" w:color="auto"/>
                                <w:left w:val="none" w:sz="0" w:space="0" w:color="auto"/>
                                <w:bottom w:val="none" w:sz="0" w:space="0" w:color="auto"/>
                                <w:right w:val="none" w:sz="0" w:space="0" w:color="auto"/>
                              </w:divBdr>
                            </w:div>
                          </w:divsChild>
                        </w:div>
                        <w:div w:id="1826969737">
                          <w:marLeft w:val="0"/>
                          <w:marRight w:val="0"/>
                          <w:marTop w:val="0"/>
                          <w:marBottom w:val="0"/>
                          <w:divBdr>
                            <w:top w:val="none" w:sz="0" w:space="0" w:color="auto"/>
                            <w:left w:val="none" w:sz="0" w:space="0" w:color="auto"/>
                            <w:bottom w:val="none" w:sz="0" w:space="0" w:color="auto"/>
                            <w:right w:val="none" w:sz="0" w:space="0" w:color="auto"/>
                          </w:divBdr>
                          <w:divsChild>
                            <w:div w:id="3062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4732">
                      <w:marLeft w:val="-225"/>
                      <w:marRight w:val="-225"/>
                      <w:marTop w:val="0"/>
                      <w:marBottom w:val="0"/>
                      <w:divBdr>
                        <w:top w:val="none" w:sz="0" w:space="0" w:color="auto"/>
                        <w:left w:val="none" w:sz="0" w:space="0" w:color="auto"/>
                        <w:bottom w:val="none" w:sz="0" w:space="0" w:color="auto"/>
                        <w:right w:val="none" w:sz="0" w:space="0" w:color="auto"/>
                      </w:divBdr>
                      <w:divsChild>
                        <w:div w:id="1135755711">
                          <w:marLeft w:val="0"/>
                          <w:marRight w:val="0"/>
                          <w:marTop w:val="0"/>
                          <w:marBottom w:val="0"/>
                          <w:divBdr>
                            <w:top w:val="none" w:sz="0" w:space="0" w:color="auto"/>
                            <w:left w:val="none" w:sz="0" w:space="0" w:color="auto"/>
                            <w:bottom w:val="none" w:sz="0" w:space="0" w:color="auto"/>
                            <w:right w:val="none" w:sz="0" w:space="0" w:color="auto"/>
                          </w:divBdr>
                          <w:divsChild>
                            <w:div w:id="1072850222">
                              <w:marLeft w:val="0"/>
                              <w:marRight w:val="0"/>
                              <w:marTop w:val="0"/>
                              <w:marBottom w:val="0"/>
                              <w:divBdr>
                                <w:top w:val="none" w:sz="0" w:space="0" w:color="auto"/>
                                <w:left w:val="none" w:sz="0" w:space="0" w:color="auto"/>
                                <w:bottom w:val="none" w:sz="0" w:space="0" w:color="auto"/>
                                <w:right w:val="none" w:sz="0" w:space="0" w:color="auto"/>
                              </w:divBdr>
                            </w:div>
                          </w:divsChild>
                        </w:div>
                        <w:div w:id="1412045859">
                          <w:marLeft w:val="0"/>
                          <w:marRight w:val="0"/>
                          <w:marTop w:val="0"/>
                          <w:marBottom w:val="0"/>
                          <w:divBdr>
                            <w:top w:val="none" w:sz="0" w:space="0" w:color="auto"/>
                            <w:left w:val="none" w:sz="0" w:space="0" w:color="auto"/>
                            <w:bottom w:val="none" w:sz="0" w:space="0" w:color="auto"/>
                            <w:right w:val="none" w:sz="0" w:space="0" w:color="auto"/>
                          </w:divBdr>
                          <w:divsChild>
                            <w:div w:id="1313679548">
                              <w:marLeft w:val="0"/>
                              <w:marRight w:val="0"/>
                              <w:marTop w:val="0"/>
                              <w:marBottom w:val="225"/>
                              <w:divBdr>
                                <w:top w:val="none" w:sz="0" w:space="0" w:color="auto"/>
                                <w:left w:val="none" w:sz="0" w:space="0" w:color="auto"/>
                                <w:bottom w:val="none" w:sz="0" w:space="0" w:color="auto"/>
                                <w:right w:val="none" w:sz="0" w:space="0" w:color="auto"/>
                              </w:divBdr>
                              <w:divsChild>
                                <w:div w:id="716509627">
                                  <w:marLeft w:val="0"/>
                                  <w:marRight w:val="0"/>
                                  <w:marTop w:val="0"/>
                                  <w:marBottom w:val="0"/>
                                  <w:divBdr>
                                    <w:top w:val="none" w:sz="0" w:space="0" w:color="auto"/>
                                    <w:left w:val="none" w:sz="0" w:space="0" w:color="auto"/>
                                    <w:bottom w:val="none" w:sz="0" w:space="0" w:color="auto"/>
                                    <w:right w:val="none" w:sz="0" w:space="0" w:color="auto"/>
                                  </w:divBdr>
                                  <w:divsChild>
                                    <w:div w:id="707340412">
                                      <w:marLeft w:val="0"/>
                                      <w:marRight w:val="0"/>
                                      <w:marTop w:val="0"/>
                                      <w:marBottom w:val="0"/>
                                      <w:divBdr>
                                        <w:top w:val="none" w:sz="0" w:space="0" w:color="auto"/>
                                        <w:left w:val="none" w:sz="0" w:space="0" w:color="auto"/>
                                        <w:bottom w:val="none" w:sz="0" w:space="0" w:color="auto"/>
                                        <w:right w:val="none" w:sz="0" w:space="0" w:color="auto"/>
                                      </w:divBdr>
                                      <w:divsChild>
                                        <w:div w:id="992484251">
                                          <w:marLeft w:val="0"/>
                                          <w:marRight w:val="0"/>
                                          <w:marTop w:val="0"/>
                                          <w:marBottom w:val="0"/>
                                          <w:divBdr>
                                            <w:top w:val="none" w:sz="0" w:space="0" w:color="auto"/>
                                            <w:left w:val="none" w:sz="0" w:space="0" w:color="auto"/>
                                            <w:bottom w:val="none" w:sz="0" w:space="0" w:color="auto"/>
                                            <w:right w:val="none" w:sz="0" w:space="0" w:color="auto"/>
                                          </w:divBdr>
                                        </w:div>
                                      </w:divsChild>
                                    </w:div>
                                    <w:div w:id="12682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5641">
                          <w:marLeft w:val="0"/>
                          <w:marRight w:val="0"/>
                          <w:marTop w:val="0"/>
                          <w:marBottom w:val="0"/>
                          <w:divBdr>
                            <w:top w:val="none" w:sz="0" w:space="0" w:color="auto"/>
                            <w:left w:val="none" w:sz="0" w:space="0" w:color="auto"/>
                            <w:bottom w:val="none" w:sz="0" w:space="0" w:color="auto"/>
                            <w:right w:val="none" w:sz="0" w:space="0" w:color="auto"/>
                          </w:divBdr>
                          <w:divsChild>
                            <w:div w:id="7361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2744">
                      <w:marLeft w:val="-225"/>
                      <w:marRight w:val="-225"/>
                      <w:marTop w:val="0"/>
                      <w:marBottom w:val="0"/>
                      <w:divBdr>
                        <w:top w:val="none" w:sz="0" w:space="0" w:color="auto"/>
                        <w:left w:val="none" w:sz="0" w:space="0" w:color="auto"/>
                        <w:bottom w:val="none" w:sz="0" w:space="0" w:color="auto"/>
                        <w:right w:val="none" w:sz="0" w:space="0" w:color="auto"/>
                      </w:divBdr>
                      <w:divsChild>
                        <w:div w:id="654843931">
                          <w:marLeft w:val="0"/>
                          <w:marRight w:val="0"/>
                          <w:marTop w:val="0"/>
                          <w:marBottom w:val="0"/>
                          <w:divBdr>
                            <w:top w:val="none" w:sz="0" w:space="0" w:color="auto"/>
                            <w:left w:val="none" w:sz="0" w:space="0" w:color="auto"/>
                            <w:bottom w:val="none" w:sz="0" w:space="0" w:color="auto"/>
                            <w:right w:val="none" w:sz="0" w:space="0" w:color="auto"/>
                          </w:divBdr>
                          <w:divsChild>
                            <w:div w:id="1179469740">
                              <w:marLeft w:val="0"/>
                              <w:marRight w:val="0"/>
                              <w:marTop w:val="0"/>
                              <w:marBottom w:val="225"/>
                              <w:divBdr>
                                <w:top w:val="none" w:sz="0" w:space="0" w:color="auto"/>
                                <w:left w:val="none" w:sz="0" w:space="0" w:color="auto"/>
                                <w:bottom w:val="none" w:sz="0" w:space="0" w:color="auto"/>
                                <w:right w:val="none" w:sz="0" w:space="0" w:color="auto"/>
                              </w:divBdr>
                              <w:divsChild>
                                <w:div w:id="852570387">
                                  <w:marLeft w:val="0"/>
                                  <w:marRight w:val="0"/>
                                  <w:marTop w:val="0"/>
                                  <w:marBottom w:val="0"/>
                                  <w:divBdr>
                                    <w:top w:val="none" w:sz="0" w:space="0" w:color="auto"/>
                                    <w:left w:val="none" w:sz="0" w:space="0" w:color="auto"/>
                                    <w:bottom w:val="none" w:sz="0" w:space="0" w:color="auto"/>
                                    <w:right w:val="none" w:sz="0" w:space="0" w:color="auto"/>
                                  </w:divBdr>
                                  <w:divsChild>
                                    <w:div w:id="314451815">
                                      <w:marLeft w:val="0"/>
                                      <w:marRight w:val="0"/>
                                      <w:marTop w:val="0"/>
                                      <w:marBottom w:val="0"/>
                                      <w:divBdr>
                                        <w:top w:val="none" w:sz="0" w:space="0" w:color="auto"/>
                                        <w:left w:val="none" w:sz="0" w:space="0" w:color="auto"/>
                                        <w:bottom w:val="none" w:sz="0" w:space="0" w:color="auto"/>
                                        <w:right w:val="none" w:sz="0" w:space="0" w:color="auto"/>
                                      </w:divBdr>
                                      <w:divsChild>
                                        <w:div w:id="2088723053">
                                          <w:marLeft w:val="0"/>
                                          <w:marRight w:val="0"/>
                                          <w:marTop w:val="0"/>
                                          <w:marBottom w:val="0"/>
                                          <w:divBdr>
                                            <w:top w:val="none" w:sz="0" w:space="0" w:color="auto"/>
                                            <w:left w:val="none" w:sz="0" w:space="0" w:color="auto"/>
                                            <w:bottom w:val="none" w:sz="0" w:space="0" w:color="auto"/>
                                            <w:right w:val="none" w:sz="0" w:space="0" w:color="auto"/>
                                          </w:divBdr>
                                        </w:div>
                                      </w:divsChild>
                                    </w:div>
                                    <w:div w:id="19745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8311">
                          <w:marLeft w:val="0"/>
                          <w:marRight w:val="0"/>
                          <w:marTop w:val="0"/>
                          <w:marBottom w:val="0"/>
                          <w:divBdr>
                            <w:top w:val="none" w:sz="0" w:space="0" w:color="auto"/>
                            <w:left w:val="none" w:sz="0" w:space="0" w:color="auto"/>
                            <w:bottom w:val="none" w:sz="0" w:space="0" w:color="auto"/>
                            <w:right w:val="none" w:sz="0" w:space="0" w:color="auto"/>
                          </w:divBdr>
                          <w:divsChild>
                            <w:div w:id="2084863377">
                              <w:marLeft w:val="0"/>
                              <w:marRight w:val="0"/>
                              <w:marTop w:val="0"/>
                              <w:marBottom w:val="225"/>
                              <w:divBdr>
                                <w:top w:val="none" w:sz="0" w:space="0" w:color="auto"/>
                                <w:left w:val="none" w:sz="0" w:space="0" w:color="auto"/>
                                <w:bottom w:val="none" w:sz="0" w:space="0" w:color="auto"/>
                                <w:right w:val="none" w:sz="0" w:space="0" w:color="auto"/>
                              </w:divBdr>
                              <w:divsChild>
                                <w:div w:id="1485199606">
                                  <w:marLeft w:val="0"/>
                                  <w:marRight w:val="0"/>
                                  <w:marTop w:val="0"/>
                                  <w:marBottom w:val="0"/>
                                  <w:divBdr>
                                    <w:top w:val="none" w:sz="0" w:space="0" w:color="auto"/>
                                    <w:left w:val="none" w:sz="0" w:space="0" w:color="auto"/>
                                    <w:bottom w:val="none" w:sz="0" w:space="0" w:color="auto"/>
                                    <w:right w:val="none" w:sz="0" w:space="0" w:color="auto"/>
                                  </w:divBdr>
                                  <w:divsChild>
                                    <w:div w:id="1446197781">
                                      <w:marLeft w:val="0"/>
                                      <w:marRight w:val="0"/>
                                      <w:marTop w:val="0"/>
                                      <w:marBottom w:val="0"/>
                                      <w:divBdr>
                                        <w:top w:val="none" w:sz="0" w:space="0" w:color="auto"/>
                                        <w:left w:val="none" w:sz="0" w:space="0" w:color="auto"/>
                                        <w:bottom w:val="none" w:sz="0" w:space="0" w:color="auto"/>
                                        <w:right w:val="none" w:sz="0" w:space="0" w:color="auto"/>
                                      </w:divBdr>
                                      <w:divsChild>
                                        <w:div w:id="186797080">
                                          <w:marLeft w:val="0"/>
                                          <w:marRight w:val="0"/>
                                          <w:marTop w:val="0"/>
                                          <w:marBottom w:val="0"/>
                                          <w:divBdr>
                                            <w:top w:val="none" w:sz="0" w:space="0" w:color="auto"/>
                                            <w:left w:val="none" w:sz="0" w:space="0" w:color="auto"/>
                                            <w:bottom w:val="none" w:sz="0" w:space="0" w:color="auto"/>
                                            <w:right w:val="none" w:sz="0" w:space="0" w:color="auto"/>
                                          </w:divBdr>
                                        </w:div>
                                      </w:divsChild>
                                    </w:div>
                                    <w:div w:id="1828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5900">
                          <w:marLeft w:val="0"/>
                          <w:marRight w:val="0"/>
                          <w:marTop w:val="0"/>
                          <w:marBottom w:val="0"/>
                          <w:divBdr>
                            <w:top w:val="none" w:sz="0" w:space="0" w:color="auto"/>
                            <w:left w:val="none" w:sz="0" w:space="0" w:color="auto"/>
                            <w:bottom w:val="none" w:sz="0" w:space="0" w:color="auto"/>
                            <w:right w:val="none" w:sz="0" w:space="0" w:color="auto"/>
                          </w:divBdr>
                          <w:divsChild>
                            <w:div w:id="1784421511">
                              <w:marLeft w:val="0"/>
                              <w:marRight w:val="0"/>
                              <w:marTop w:val="0"/>
                              <w:marBottom w:val="225"/>
                              <w:divBdr>
                                <w:top w:val="none" w:sz="0" w:space="0" w:color="auto"/>
                                <w:left w:val="none" w:sz="0" w:space="0" w:color="auto"/>
                                <w:bottom w:val="none" w:sz="0" w:space="0" w:color="auto"/>
                                <w:right w:val="none" w:sz="0" w:space="0" w:color="auto"/>
                              </w:divBdr>
                              <w:divsChild>
                                <w:div w:id="682129653">
                                  <w:marLeft w:val="0"/>
                                  <w:marRight w:val="0"/>
                                  <w:marTop w:val="0"/>
                                  <w:marBottom w:val="0"/>
                                  <w:divBdr>
                                    <w:top w:val="none" w:sz="0" w:space="0" w:color="auto"/>
                                    <w:left w:val="none" w:sz="0" w:space="0" w:color="auto"/>
                                    <w:bottom w:val="none" w:sz="0" w:space="0" w:color="auto"/>
                                    <w:right w:val="none" w:sz="0" w:space="0" w:color="auto"/>
                                  </w:divBdr>
                                  <w:divsChild>
                                    <w:div w:id="1035958895">
                                      <w:marLeft w:val="0"/>
                                      <w:marRight w:val="0"/>
                                      <w:marTop w:val="0"/>
                                      <w:marBottom w:val="0"/>
                                      <w:divBdr>
                                        <w:top w:val="none" w:sz="0" w:space="0" w:color="auto"/>
                                        <w:left w:val="none" w:sz="0" w:space="0" w:color="auto"/>
                                        <w:bottom w:val="none" w:sz="0" w:space="0" w:color="auto"/>
                                        <w:right w:val="none" w:sz="0" w:space="0" w:color="auto"/>
                                      </w:divBdr>
                                    </w:div>
                                    <w:div w:id="1981886935">
                                      <w:marLeft w:val="0"/>
                                      <w:marRight w:val="0"/>
                                      <w:marTop w:val="0"/>
                                      <w:marBottom w:val="0"/>
                                      <w:divBdr>
                                        <w:top w:val="none" w:sz="0" w:space="0" w:color="auto"/>
                                        <w:left w:val="none" w:sz="0" w:space="0" w:color="auto"/>
                                        <w:bottom w:val="none" w:sz="0" w:space="0" w:color="auto"/>
                                        <w:right w:val="none" w:sz="0" w:space="0" w:color="auto"/>
                                      </w:divBdr>
                                      <w:divsChild>
                                        <w:div w:id="2734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775451">
                      <w:marLeft w:val="-225"/>
                      <w:marRight w:val="-225"/>
                      <w:marTop w:val="0"/>
                      <w:marBottom w:val="0"/>
                      <w:divBdr>
                        <w:top w:val="none" w:sz="0" w:space="0" w:color="auto"/>
                        <w:left w:val="none" w:sz="0" w:space="0" w:color="auto"/>
                        <w:bottom w:val="none" w:sz="0" w:space="0" w:color="auto"/>
                        <w:right w:val="none" w:sz="0" w:space="0" w:color="auto"/>
                      </w:divBdr>
                      <w:divsChild>
                        <w:div w:id="178858137">
                          <w:marLeft w:val="0"/>
                          <w:marRight w:val="0"/>
                          <w:marTop w:val="0"/>
                          <w:marBottom w:val="0"/>
                          <w:divBdr>
                            <w:top w:val="none" w:sz="0" w:space="0" w:color="auto"/>
                            <w:left w:val="none" w:sz="0" w:space="0" w:color="auto"/>
                            <w:bottom w:val="none" w:sz="0" w:space="0" w:color="auto"/>
                            <w:right w:val="none" w:sz="0" w:space="0" w:color="auto"/>
                          </w:divBdr>
                          <w:divsChild>
                            <w:div w:id="1917546394">
                              <w:marLeft w:val="0"/>
                              <w:marRight w:val="0"/>
                              <w:marTop w:val="0"/>
                              <w:marBottom w:val="0"/>
                              <w:divBdr>
                                <w:top w:val="none" w:sz="0" w:space="0" w:color="auto"/>
                                <w:left w:val="none" w:sz="0" w:space="0" w:color="auto"/>
                                <w:bottom w:val="none" w:sz="0" w:space="0" w:color="auto"/>
                                <w:right w:val="none" w:sz="0" w:space="0" w:color="auto"/>
                              </w:divBdr>
                            </w:div>
                          </w:divsChild>
                        </w:div>
                        <w:div w:id="788092076">
                          <w:marLeft w:val="0"/>
                          <w:marRight w:val="0"/>
                          <w:marTop w:val="0"/>
                          <w:marBottom w:val="0"/>
                          <w:divBdr>
                            <w:top w:val="none" w:sz="0" w:space="0" w:color="auto"/>
                            <w:left w:val="none" w:sz="0" w:space="0" w:color="auto"/>
                            <w:bottom w:val="none" w:sz="0" w:space="0" w:color="auto"/>
                            <w:right w:val="none" w:sz="0" w:space="0" w:color="auto"/>
                          </w:divBdr>
                          <w:divsChild>
                            <w:div w:id="1397820795">
                              <w:marLeft w:val="0"/>
                              <w:marRight w:val="0"/>
                              <w:marTop w:val="0"/>
                              <w:marBottom w:val="0"/>
                              <w:divBdr>
                                <w:top w:val="none" w:sz="0" w:space="0" w:color="auto"/>
                                <w:left w:val="none" w:sz="0" w:space="0" w:color="auto"/>
                                <w:bottom w:val="none" w:sz="0" w:space="0" w:color="auto"/>
                                <w:right w:val="none" w:sz="0" w:space="0" w:color="auto"/>
                              </w:divBdr>
                            </w:div>
                          </w:divsChild>
                        </w:div>
                        <w:div w:id="2044209948">
                          <w:marLeft w:val="0"/>
                          <w:marRight w:val="0"/>
                          <w:marTop w:val="0"/>
                          <w:marBottom w:val="0"/>
                          <w:divBdr>
                            <w:top w:val="none" w:sz="0" w:space="0" w:color="auto"/>
                            <w:left w:val="none" w:sz="0" w:space="0" w:color="auto"/>
                            <w:bottom w:val="none" w:sz="0" w:space="0" w:color="auto"/>
                            <w:right w:val="none" w:sz="0" w:space="0" w:color="auto"/>
                          </w:divBdr>
                          <w:divsChild>
                            <w:div w:id="1102452891">
                              <w:marLeft w:val="0"/>
                              <w:marRight w:val="0"/>
                              <w:marTop w:val="0"/>
                              <w:marBottom w:val="225"/>
                              <w:divBdr>
                                <w:top w:val="none" w:sz="0" w:space="0" w:color="auto"/>
                                <w:left w:val="none" w:sz="0" w:space="0" w:color="auto"/>
                                <w:bottom w:val="none" w:sz="0" w:space="0" w:color="auto"/>
                                <w:right w:val="none" w:sz="0" w:space="0" w:color="auto"/>
                              </w:divBdr>
                              <w:divsChild>
                                <w:div w:id="1936788249">
                                  <w:marLeft w:val="0"/>
                                  <w:marRight w:val="0"/>
                                  <w:marTop w:val="0"/>
                                  <w:marBottom w:val="0"/>
                                  <w:divBdr>
                                    <w:top w:val="none" w:sz="0" w:space="0" w:color="auto"/>
                                    <w:left w:val="none" w:sz="0" w:space="0" w:color="auto"/>
                                    <w:bottom w:val="none" w:sz="0" w:space="0" w:color="auto"/>
                                    <w:right w:val="none" w:sz="0" w:space="0" w:color="auto"/>
                                  </w:divBdr>
                                  <w:divsChild>
                                    <w:div w:id="1927037836">
                                      <w:marLeft w:val="0"/>
                                      <w:marRight w:val="0"/>
                                      <w:marTop w:val="0"/>
                                      <w:marBottom w:val="0"/>
                                      <w:divBdr>
                                        <w:top w:val="none" w:sz="0" w:space="0" w:color="auto"/>
                                        <w:left w:val="none" w:sz="0" w:space="0" w:color="auto"/>
                                        <w:bottom w:val="none" w:sz="0" w:space="0" w:color="auto"/>
                                        <w:right w:val="none" w:sz="0" w:space="0" w:color="auto"/>
                                      </w:divBdr>
                                      <w:divsChild>
                                        <w:div w:id="133066132">
                                          <w:marLeft w:val="0"/>
                                          <w:marRight w:val="0"/>
                                          <w:marTop w:val="0"/>
                                          <w:marBottom w:val="0"/>
                                          <w:divBdr>
                                            <w:top w:val="none" w:sz="0" w:space="0" w:color="auto"/>
                                            <w:left w:val="none" w:sz="0" w:space="0" w:color="auto"/>
                                            <w:bottom w:val="none" w:sz="0" w:space="0" w:color="auto"/>
                                            <w:right w:val="none" w:sz="0" w:space="0" w:color="auto"/>
                                          </w:divBdr>
                                        </w:div>
                                      </w:divsChild>
                                    </w:div>
                                    <w:div w:id="19401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25806">
                  <w:marLeft w:val="0"/>
                  <w:marRight w:val="0"/>
                  <w:marTop w:val="0"/>
                  <w:marBottom w:val="375"/>
                  <w:divBdr>
                    <w:top w:val="single" w:sz="12" w:space="11" w:color="E5F5FB"/>
                    <w:left w:val="single" w:sz="12" w:space="11" w:color="E5F5FB"/>
                    <w:bottom w:val="single" w:sz="12" w:space="1" w:color="E5F5FB"/>
                    <w:right w:val="single" w:sz="12" w:space="11" w:color="E5F5FB"/>
                  </w:divBdr>
                </w:div>
              </w:divsChild>
            </w:div>
          </w:divsChild>
        </w:div>
        <w:div w:id="1007364884">
          <w:marLeft w:val="0"/>
          <w:marRight w:val="0"/>
          <w:marTop w:val="0"/>
          <w:marBottom w:val="585"/>
          <w:divBdr>
            <w:top w:val="none" w:sz="0" w:space="0" w:color="auto"/>
            <w:left w:val="none" w:sz="0" w:space="0" w:color="auto"/>
            <w:bottom w:val="none" w:sz="0" w:space="0" w:color="auto"/>
            <w:right w:val="none" w:sz="0" w:space="0" w:color="auto"/>
          </w:divBdr>
        </w:div>
      </w:divsChild>
    </w:div>
    <w:div w:id="594629876">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795679069">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48411009">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255671182">
      <w:bodyDiv w:val="1"/>
      <w:marLeft w:val="0"/>
      <w:marRight w:val="0"/>
      <w:marTop w:val="0"/>
      <w:marBottom w:val="0"/>
      <w:divBdr>
        <w:top w:val="none" w:sz="0" w:space="0" w:color="auto"/>
        <w:left w:val="none" w:sz="0" w:space="0" w:color="auto"/>
        <w:bottom w:val="none" w:sz="0" w:space="0" w:color="auto"/>
        <w:right w:val="none" w:sz="0" w:space="0" w:color="auto"/>
      </w:divBdr>
    </w:div>
    <w:div w:id="1315910253">
      <w:bodyDiv w:val="1"/>
      <w:marLeft w:val="0"/>
      <w:marRight w:val="0"/>
      <w:marTop w:val="0"/>
      <w:marBottom w:val="0"/>
      <w:divBdr>
        <w:top w:val="none" w:sz="0" w:space="0" w:color="auto"/>
        <w:left w:val="none" w:sz="0" w:space="0" w:color="auto"/>
        <w:bottom w:val="none" w:sz="0" w:space="0" w:color="auto"/>
        <w:right w:val="none" w:sz="0" w:space="0" w:color="auto"/>
      </w:divBdr>
    </w:div>
    <w:div w:id="1331177906">
      <w:bodyDiv w:val="1"/>
      <w:marLeft w:val="0"/>
      <w:marRight w:val="0"/>
      <w:marTop w:val="0"/>
      <w:marBottom w:val="0"/>
      <w:divBdr>
        <w:top w:val="none" w:sz="0" w:space="0" w:color="auto"/>
        <w:left w:val="none" w:sz="0" w:space="0" w:color="auto"/>
        <w:bottom w:val="none" w:sz="0" w:space="0" w:color="auto"/>
        <w:right w:val="none" w:sz="0" w:space="0" w:color="auto"/>
      </w:divBdr>
    </w:div>
    <w:div w:id="1435244734">
      <w:bodyDiv w:val="1"/>
      <w:marLeft w:val="0"/>
      <w:marRight w:val="0"/>
      <w:marTop w:val="0"/>
      <w:marBottom w:val="0"/>
      <w:divBdr>
        <w:top w:val="none" w:sz="0" w:space="0" w:color="auto"/>
        <w:left w:val="none" w:sz="0" w:space="0" w:color="auto"/>
        <w:bottom w:val="none" w:sz="0" w:space="0" w:color="auto"/>
        <w:right w:val="none" w:sz="0" w:space="0" w:color="auto"/>
      </w:divBdr>
    </w:div>
    <w:div w:id="1499737221">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puc.pa.gov/media/1276/ucare_2019.pdf" TargetMode="External"/><Relationship Id="rId1" Type="http://schemas.openxmlformats.org/officeDocument/2006/relationships/hyperlink" Target="https://nam02.safelinks.protection.outlook.com/?url=https%3A%2F%2Fdocs.frontierpucapproval.com%2Ffrontier-rsa.pdf&amp;data=02%7C01%7Cgregory.c.brubaker%40ftr.com%7C377de336ef3c482924cb08d7fc1bb696%7C5fe198e9aa7c45d29da74fbbeb5d542e%7C0%7C0%7C637255068274784717&amp;sdata=twuOLcWBGsBzqCknPAnCW0t78Zq%2BtYaRIXANdJzM5L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33158-99EE-4E70-9C70-9172A766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37070</CharactersWithSpaces>
  <SharedDoc>false</SharedDoc>
  <HLinks>
    <vt:vector size="12" baseType="variant">
      <vt:variant>
        <vt:i4>7536722</vt:i4>
      </vt:variant>
      <vt:variant>
        <vt:i4>3</vt:i4>
      </vt:variant>
      <vt:variant>
        <vt:i4>0</vt:i4>
      </vt:variant>
      <vt:variant>
        <vt:i4>5</vt:i4>
      </vt:variant>
      <vt:variant>
        <vt:lpwstr>https://www.puc.pa.gov/media/1276/ucare_2019.pdf</vt:lpwstr>
      </vt:variant>
      <vt:variant>
        <vt:lpwstr/>
      </vt:variant>
      <vt:variant>
        <vt:i4>3932218</vt:i4>
      </vt:variant>
      <vt:variant>
        <vt:i4>0</vt:i4>
      </vt:variant>
      <vt:variant>
        <vt:i4>0</vt:i4>
      </vt:variant>
      <vt:variant>
        <vt:i4>5</vt:i4>
      </vt:variant>
      <vt:variant>
        <vt:lpwstr>https://nam02.safelinks.protection.outlook.com/?url=https%3A%2F%2Fdocs.frontierpucapproval.com%2Ffrontier-rsa.pdf&amp;data=02%7C01%7Cgregory.c.brubaker%40ftr.com%7C377de336ef3c482924cb08d7fc1bb696%7C5fe198e9aa7c45d29da74fbbeb5d542e%7C0%7C0%7C637255068274784717&amp;sdata=twuOLcWBGsBzqCknPAnCW0t78Zq%2BtYaRIXANdJzM5L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2021-01-19T15:37:00Z</dcterms:created>
  <dcterms:modified xsi:type="dcterms:W3CDTF">2021-01-19T20:20:00Z</dcterms:modified>
  <cp:contentStatus/>
</cp:coreProperties>
</file>