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429B" w14:textId="752955B4" w:rsidR="000E1F2B" w:rsidRPr="002B6B5C" w:rsidRDefault="000E1F2B" w:rsidP="00B35908">
      <w:pPr>
        <w:tabs>
          <w:tab w:val="center" w:pos="4680"/>
        </w:tabs>
        <w:suppressAutoHyphens/>
        <w:jc w:val="center"/>
        <w:rPr>
          <w:rFonts w:cs="Times New Roman"/>
          <w:i/>
          <w:iCs/>
          <w:spacing w:val="-3"/>
        </w:rPr>
      </w:pPr>
      <w:r w:rsidRPr="002B6B5C">
        <w:rPr>
          <w:rFonts w:cs="Times New Roman"/>
          <w:i/>
          <w:iCs/>
          <w:spacing w:val="-3"/>
        </w:rPr>
        <w:t>Via e</w:t>
      </w:r>
      <w:r w:rsidR="00783B52" w:rsidRPr="002B6B5C">
        <w:rPr>
          <w:rFonts w:cs="Times New Roman"/>
          <w:i/>
          <w:iCs/>
          <w:spacing w:val="-3"/>
        </w:rPr>
        <w:t>lectronic service</w:t>
      </w:r>
      <w:r w:rsidRPr="002B6B5C">
        <w:rPr>
          <w:rFonts w:cs="Times New Roman"/>
          <w:i/>
          <w:iCs/>
          <w:spacing w:val="-3"/>
        </w:rPr>
        <w:t xml:space="preserve"> only due to Emergency Order at M-2020-3019262</w:t>
      </w:r>
    </w:p>
    <w:p w14:paraId="729AE1F4" w14:textId="77777777" w:rsidR="000E1F2B" w:rsidRPr="002B6B5C" w:rsidRDefault="000E1F2B" w:rsidP="00B35908">
      <w:pPr>
        <w:tabs>
          <w:tab w:val="center" w:pos="4680"/>
        </w:tabs>
        <w:suppressAutoHyphens/>
        <w:jc w:val="center"/>
        <w:rPr>
          <w:rFonts w:cs="Times New Roman"/>
          <w:b/>
          <w:bCs/>
          <w:spacing w:val="-3"/>
        </w:rPr>
      </w:pPr>
    </w:p>
    <w:p w14:paraId="2AD4A9CD" w14:textId="678EF6B1" w:rsidR="003D3D02" w:rsidRPr="002B6B5C" w:rsidRDefault="003D3D02" w:rsidP="00B35908">
      <w:pPr>
        <w:tabs>
          <w:tab w:val="center" w:pos="4680"/>
        </w:tabs>
        <w:suppressAutoHyphens/>
        <w:jc w:val="center"/>
        <w:rPr>
          <w:rFonts w:cs="Times New Roman"/>
          <w:b/>
          <w:bCs/>
          <w:spacing w:val="-3"/>
        </w:rPr>
      </w:pPr>
      <w:r w:rsidRPr="002B6B5C">
        <w:rPr>
          <w:rFonts w:cs="Times New Roman"/>
          <w:b/>
          <w:bCs/>
          <w:spacing w:val="-3"/>
        </w:rPr>
        <w:t>BEFORE THE</w:t>
      </w:r>
    </w:p>
    <w:p w14:paraId="3B82D765" w14:textId="77777777" w:rsidR="003D3D02" w:rsidRPr="002B6B5C" w:rsidRDefault="003D3D02" w:rsidP="00B35908">
      <w:pPr>
        <w:tabs>
          <w:tab w:val="center" w:pos="4680"/>
        </w:tabs>
        <w:suppressAutoHyphens/>
        <w:jc w:val="center"/>
        <w:rPr>
          <w:rFonts w:cs="Times New Roman"/>
          <w:b/>
          <w:bCs/>
          <w:spacing w:val="-3"/>
        </w:rPr>
      </w:pPr>
      <w:r w:rsidRPr="002B6B5C">
        <w:rPr>
          <w:rFonts w:cs="Times New Roman"/>
          <w:b/>
          <w:bCs/>
          <w:spacing w:val="-3"/>
        </w:rPr>
        <w:t>PENNSYLVANIA PUBLIC UTILITY COMMISSION</w:t>
      </w:r>
    </w:p>
    <w:p w14:paraId="258E00D4" w14:textId="77777777" w:rsidR="003D3D02" w:rsidRPr="002B6B5C" w:rsidRDefault="003D3D02" w:rsidP="00B35908">
      <w:pPr>
        <w:tabs>
          <w:tab w:val="center" w:pos="4680"/>
        </w:tabs>
        <w:suppressAutoHyphens/>
        <w:rPr>
          <w:rFonts w:cs="Times New Roman"/>
          <w:spacing w:val="-3"/>
        </w:rPr>
      </w:pPr>
    </w:p>
    <w:p w14:paraId="53C29543" w14:textId="77777777" w:rsidR="0019593D" w:rsidRPr="002B6B5C" w:rsidRDefault="0019593D" w:rsidP="00B35908">
      <w:pPr>
        <w:tabs>
          <w:tab w:val="left" w:pos="0"/>
        </w:tabs>
        <w:autoSpaceDE/>
        <w:autoSpaceDN/>
        <w:jc w:val="both"/>
        <w:rPr>
          <w:rFonts w:cs="Times New Roman"/>
          <w:b/>
        </w:rPr>
      </w:pPr>
    </w:p>
    <w:p w14:paraId="6AE519C8" w14:textId="77777777" w:rsidR="0019593D" w:rsidRPr="002B6B5C" w:rsidRDefault="0019593D" w:rsidP="00B35908">
      <w:pPr>
        <w:tabs>
          <w:tab w:val="left" w:pos="0"/>
        </w:tabs>
        <w:autoSpaceDE/>
        <w:autoSpaceDN/>
        <w:jc w:val="both"/>
        <w:rPr>
          <w:rFonts w:cs="Times New Roman"/>
          <w:b/>
        </w:rPr>
      </w:pPr>
    </w:p>
    <w:p w14:paraId="1D54924F" w14:textId="5F03F703" w:rsidR="00302007" w:rsidRPr="002B6B5C" w:rsidRDefault="008D3109" w:rsidP="00B35908">
      <w:pPr>
        <w:tabs>
          <w:tab w:val="left" w:pos="0"/>
          <w:tab w:val="left" w:pos="5040"/>
        </w:tabs>
        <w:autoSpaceDE/>
        <w:autoSpaceDN/>
        <w:jc w:val="both"/>
        <w:rPr>
          <w:rFonts w:cs="Times New Roman"/>
        </w:rPr>
      </w:pPr>
      <w:r w:rsidRPr="002B6B5C">
        <w:rPr>
          <w:rFonts w:cs="Times New Roman"/>
        </w:rPr>
        <w:t>Stephen Morgan</w:t>
      </w:r>
      <w:r w:rsidR="00302007" w:rsidRPr="002B6B5C">
        <w:rPr>
          <w:rFonts w:cs="Times New Roman"/>
        </w:rPr>
        <w:tab/>
        <w:t>:</w:t>
      </w:r>
    </w:p>
    <w:p w14:paraId="116E5400" w14:textId="4098F942" w:rsidR="0019593D" w:rsidRPr="002B6B5C" w:rsidRDefault="0019593D" w:rsidP="003418B1">
      <w:pPr>
        <w:tabs>
          <w:tab w:val="left" w:pos="0"/>
          <w:tab w:val="left" w:pos="5040"/>
        </w:tabs>
        <w:autoSpaceDE/>
        <w:autoSpaceDN/>
        <w:jc w:val="both"/>
        <w:rPr>
          <w:rFonts w:cs="Times New Roman"/>
          <w:b/>
        </w:rPr>
      </w:pPr>
      <w:r w:rsidRPr="002B6B5C">
        <w:rPr>
          <w:rFonts w:cs="Times New Roman"/>
          <w:b/>
        </w:rPr>
        <w:tab/>
      </w:r>
      <w:r w:rsidRPr="002B6B5C">
        <w:rPr>
          <w:rFonts w:cs="Times New Roman"/>
        </w:rPr>
        <w:t>:</w:t>
      </w:r>
      <w:r w:rsidR="002937A7" w:rsidRPr="002B6B5C">
        <w:rPr>
          <w:rFonts w:cs="Times New Roman"/>
        </w:rPr>
        <w:tab/>
      </w:r>
      <w:r w:rsidR="00302007" w:rsidRPr="002B6B5C">
        <w:rPr>
          <w:rFonts w:cs="Times New Roman"/>
        </w:rPr>
        <w:tab/>
      </w:r>
      <w:r w:rsidR="007A60F7" w:rsidRPr="002B6B5C">
        <w:rPr>
          <w:rFonts w:cs="Times New Roman"/>
        </w:rPr>
        <w:tab/>
      </w:r>
    </w:p>
    <w:p w14:paraId="50994D34" w14:textId="479F2E2B" w:rsidR="0019593D" w:rsidRPr="002B6B5C" w:rsidRDefault="0019593D" w:rsidP="00B35908">
      <w:pPr>
        <w:tabs>
          <w:tab w:val="left" w:pos="0"/>
        </w:tabs>
        <w:autoSpaceDE/>
        <w:autoSpaceDN/>
        <w:jc w:val="both"/>
        <w:rPr>
          <w:rFonts w:cs="Times New Roman"/>
        </w:rPr>
      </w:pPr>
      <w:r w:rsidRPr="002B6B5C">
        <w:rPr>
          <w:rFonts w:cs="Times New Roman"/>
        </w:rPr>
        <w:tab/>
        <w:t>v.</w:t>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t>:</w:t>
      </w:r>
      <w:r w:rsidRPr="002B6B5C">
        <w:rPr>
          <w:rFonts w:cs="Times New Roman"/>
          <w:b/>
        </w:rPr>
        <w:tab/>
      </w:r>
      <w:r w:rsidR="007A60F7" w:rsidRPr="002B6B5C">
        <w:rPr>
          <w:rFonts w:cs="Times New Roman"/>
          <w:b/>
        </w:rPr>
        <w:tab/>
      </w:r>
      <w:r w:rsidR="003418B1" w:rsidRPr="002B6B5C">
        <w:rPr>
          <w:rFonts w:cs="Times New Roman"/>
        </w:rPr>
        <w:t>C-2020-3021730</w:t>
      </w:r>
    </w:p>
    <w:p w14:paraId="2433AF7D" w14:textId="6B53F90C" w:rsidR="0019593D" w:rsidRPr="002B6B5C" w:rsidRDefault="0019593D" w:rsidP="00B35908">
      <w:pPr>
        <w:tabs>
          <w:tab w:val="left" w:pos="0"/>
        </w:tabs>
        <w:autoSpaceDE/>
        <w:autoSpaceDN/>
        <w:jc w:val="both"/>
        <w:rPr>
          <w:rFonts w:cs="Times New Roman"/>
        </w:rPr>
      </w:pP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t>:</w:t>
      </w:r>
      <w:r w:rsidR="00A41EC6" w:rsidRPr="002B6B5C">
        <w:rPr>
          <w:rFonts w:cs="Times New Roman"/>
        </w:rPr>
        <w:tab/>
      </w:r>
      <w:r w:rsidR="007A60F7" w:rsidRPr="002B6B5C">
        <w:rPr>
          <w:rFonts w:cs="Times New Roman"/>
        </w:rPr>
        <w:tab/>
      </w:r>
    </w:p>
    <w:p w14:paraId="6DE021F4" w14:textId="1C66AC18" w:rsidR="00A41EC6" w:rsidRPr="002B6B5C" w:rsidRDefault="008D3109" w:rsidP="00B35908">
      <w:pPr>
        <w:tabs>
          <w:tab w:val="left" w:pos="0"/>
        </w:tabs>
        <w:autoSpaceDE/>
        <w:autoSpaceDN/>
        <w:jc w:val="both"/>
        <w:rPr>
          <w:rFonts w:cs="Times New Roman"/>
        </w:rPr>
      </w:pPr>
      <w:r w:rsidRPr="002B6B5C">
        <w:rPr>
          <w:rFonts w:cs="Times New Roman"/>
        </w:rPr>
        <w:t>Columbia Gas of Pennsylvania, Inc.</w:t>
      </w:r>
      <w:r w:rsidRPr="002B6B5C">
        <w:rPr>
          <w:rFonts w:cs="Times New Roman"/>
        </w:rPr>
        <w:tab/>
      </w:r>
      <w:r w:rsidRPr="002B6B5C">
        <w:rPr>
          <w:rFonts w:cs="Times New Roman"/>
        </w:rPr>
        <w:tab/>
      </w:r>
      <w:r w:rsidR="00A41EC6" w:rsidRPr="002B6B5C">
        <w:rPr>
          <w:rFonts w:cs="Times New Roman"/>
        </w:rPr>
        <w:tab/>
      </w:r>
      <w:r w:rsidR="0019593D" w:rsidRPr="002B6B5C">
        <w:rPr>
          <w:rFonts w:cs="Times New Roman"/>
        </w:rPr>
        <w:t>:</w:t>
      </w:r>
      <w:r w:rsidR="007C256D" w:rsidRPr="002B6B5C">
        <w:rPr>
          <w:rFonts w:cs="Times New Roman"/>
        </w:rPr>
        <w:tab/>
      </w:r>
      <w:r w:rsidR="007A60F7" w:rsidRPr="002B6B5C">
        <w:rPr>
          <w:rFonts w:cs="Times New Roman"/>
        </w:rPr>
        <w:tab/>
      </w:r>
      <w:r w:rsidR="007C256D" w:rsidRPr="002B6B5C">
        <w:rPr>
          <w:rFonts w:cs="Times New Roman"/>
        </w:rPr>
        <w:tab/>
      </w:r>
    </w:p>
    <w:p w14:paraId="4ED23F7C" w14:textId="77777777" w:rsidR="00A41EC6" w:rsidRPr="002B6B5C" w:rsidRDefault="00A41EC6" w:rsidP="00B35908">
      <w:pPr>
        <w:tabs>
          <w:tab w:val="left" w:pos="0"/>
          <w:tab w:val="left" w:pos="5040"/>
        </w:tabs>
        <w:autoSpaceDE/>
        <w:autoSpaceDN/>
        <w:jc w:val="both"/>
        <w:rPr>
          <w:rFonts w:cs="Times New Roman"/>
          <w:b/>
        </w:rPr>
      </w:pPr>
    </w:p>
    <w:p w14:paraId="72DA50C2" w14:textId="4EBB7993" w:rsidR="0019593D" w:rsidRPr="002B6B5C" w:rsidRDefault="0019593D" w:rsidP="00B35908">
      <w:pPr>
        <w:tabs>
          <w:tab w:val="left" w:pos="0"/>
        </w:tabs>
        <w:autoSpaceDE/>
        <w:autoSpaceDN/>
        <w:jc w:val="both"/>
        <w:rPr>
          <w:rFonts w:cs="Times New Roman"/>
          <w:b/>
        </w:rPr>
      </w:pPr>
    </w:p>
    <w:p w14:paraId="0933C95B" w14:textId="77777777" w:rsidR="00F37495" w:rsidRPr="002B6B5C" w:rsidRDefault="00F37495" w:rsidP="00B35908">
      <w:pPr>
        <w:tabs>
          <w:tab w:val="left" w:pos="0"/>
        </w:tabs>
        <w:autoSpaceDE/>
        <w:autoSpaceDN/>
        <w:jc w:val="both"/>
        <w:rPr>
          <w:rFonts w:cs="Times New Roman"/>
          <w:b/>
        </w:rPr>
      </w:pPr>
    </w:p>
    <w:p w14:paraId="33AA5AF9" w14:textId="77777777" w:rsidR="008D3109" w:rsidRPr="002B6B5C" w:rsidRDefault="008D3109" w:rsidP="00D0153E">
      <w:pPr>
        <w:tabs>
          <w:tab w:val="center" w:pos="4680"/>
        </w:tabs>
        <w:suppressAutoHyphens/>
        <w:jc w:val="center"/>
        <w:rPr>
          <w:rFonts w:cs="Times New Roman"/>
          <w:b/>
          <w:bCs/>
          <w:spacing w:val="-3"/>
        </w:rPr>
      </w:pPr>
      <w:r w:rsidRPr="002B6B5C">
        <w:rPr>
          <w:rFonts w:cs="Times New Roman"/>
          <w:b/>
          <w:bCs/>
          <w:spacing w:val="-3"/>
        </w:rPr>
        <w:t>INTERIM ORDER</w:t>
      </w:r>
    </w:p>
    <w:p w14:paraId="3C592514" w14:textId="2D33D65A" w:rsidR="003D3D02" w:rsidRPr="002B6B5C" w:rsidRDefault="0054117B" w:rsidP="00D0153E">
      <w:pPr>
        <w:tabs>
          <w:tab w:val="center" w:pos="4680"/>
        </w:tabs>
        <w:suppressAutoHyphens/>
        <w:jc w:val="center"/>
        <w:rPr>
          <w:rFonts w:cs="Times New Roman"/>
          <w:b/>
          <w:bCs/>
          <w:spacing w:val="-3"/>
          <w:u w:val="single"/>
        </w:rPr>
      </w:pPr>
      <w:r w:rsidRPr="002B6B5C">
        <w:rPr>
          <w:rFonts w:cs="Times New Roman"/>
          <w:b/>
          <w:bCs/>
          <w:spacing w:val="-3"/>
          <w:u w:val="single"/>
        </w:rPr>
        <w:t>DENYING MOTION FOR JUDGEMENT ON THE PLEADINGS</w:t>
      </w:r>
    </w:p>
    <w:p w14:paraId="42F03AD2" w14:textId="77777777" w:rsidR="003D3D02" w:rsidRPr="002B6B5C" w:rsidRDefault="003D3D02" w:rsidP="002B6B5C">
      <w:pPr>
        <w:tabs>
          <w:tab w:val="center" w:pos="4680"/>
        </w:tabs>
        <w:suppressAutoHyphens/>
        <w:spacing w:line="360" w:lineRule="auto"/>
        <w:rPr>
          <w:rFonts w:cs="Times New Roman"/>
          <w:spacing w:val="-3"/>
          <w:u w:val="single"/>
        </w:rPr>
      </w:pPr>
    </w:p>
    <w:p w14:paraId="4713DDDB" w14:textId="6D53E7CC" w:rsidR="00A57B75" w:rsidRPr="002B6B5C" w:rsidRDefault="00A57B75" w:rsidP="002B6B5C">
      <w:pPr>
        <w:widowControl w:val="0"/>
        <w:adjustRightInd w:val="0"/>
        <w:spacing w:line="360" w:lineRule="auto"/>
        <w:rPr>
          <w:rFonts w:cs="Times New Roman"/>
          <w:color w:val="000000"/>
          <w:w w:val="107"/>
          <w:u w:val="single"/>
        </w:rPr>
      </w:pPr>
      <w:r w:rsidRPr="002B6B5C">
        <w:rPr>
          <w:rFonts w:cs="Times New Roman"/>
          <w:color w:val="000000"/>
          <w:w w:val="107"/>
          <w:u w:val="single"/>
        </w:rPr>
        <w:t>Procedural History</w:t>
      </w:r>
    </w:p>
    <w:p w14:paraId="1D8EE1F6" w14:textId="77777777" w:rsidR="00A57B75" w:rsidRPr="002B6B5C" w:rsidRDefault="00A57B75" w:rsidP="002B6B5C">
      <w:pPr>
        <w:widowControl w:val="0"/>
        <w:adjustRightInd w:val="0"/>
        <w:spacing w:line="360" w:lineRule="auto"/>
        <w:ind w:firstLine="1440"/>
        <w:rPr>
          <w:rFonts w:cs="Times New Roman"/>
          <w:color w:val="000000"/>
          <w:w w:val="107"/>
        </w:rPr>
      </w:pPr>
    </w:p>
    <w:p w14:paraId="09C892BD" w14:textId="78155746" w:rsidR="008D3109" w:rsidRPr="002B6B5C" w:rsidRDefault="008D3109" w:rsidP="002B6B5C">
      <w:pPr>
        <w:widowControl w:val="0"/>
        <w:adjustRightInd w:val="0"/>
        <w:spacing w:line="360" w:lineRule="auto"/>
        <w:ind w:firstLine="1440"/>
        <w:rPr>
          <w:rFonts w:cs="Times New Roman"/>
          <w:color w:val="000000"/>
          <w:w w:val="107"/>
        </w:rPr>
      </w:pPr>
      <w:r w:rsidRPr="002B6B5C">
        <w:rPr>
          <w:rFonts w:cs="Times New Roman"/>
          <w:color w:val="000000"/>
          <w:w w:val="107"/>
        </w:rPr>
        <w:t xml:space="preserve">On August 6, 2020, Stephen Morgan (Mr. Morgan) </w:t>
      </w:r>
      <w:r w:rsidRPr="002B6B5C">
        <w:rPr>
          <w:rFonts w:cs="Times New Roman"/>
          <w:color w:val="000000"/>
          <w:w w:val="108"/>
        </w:rPr>
        <w:t xml:space="preserve">filed a Formal Complaint, using the Commission’s Formal Complaint form, against Columbia Gas of Pennsylvania, Inc. (Respondent or </w:t>
      </w:r>
      <w:r w:rsidRPr="002B6B5C">
        <w:rPr>
          <w:rFonts w:cs="Times New Roman"/>
          <w:color w:val="000000"/>
          <w:w w:val="107"/>
        </w:rPr>
        <w:t xml:space="preserve">Columbia or Company), alleging, “a slide occurred after Columbia Gas installed a line, [and] Columbia Gas did not restore the property to the condition it was in prior to the installation work.”  The Complaint includes a section instructing, “If your complaint involves utility service provided to a different address or in a different name than your mailing address, please provide this information below.”  Under this section, Mr. Morgan wrote the name of “Dolfi and Morgan” and the addresses of “623 Hamilton Avenue and 745 Fellsburg Road, Belle Vernon, PA 15012.”  </w:t>
      </w:r>
      <w:r w:rsidRPr="002B6B5C">
        <w:rPr>
          <w:rFonts w:cs="Times New Roman"/>
          <w:color w:val="000000"/>
          <w:w w:val="108"/>
        </w:rPr>
        <w:t xml:space="preserve">For relief, </w:t>
      </w:r>
      <w:r w:rsidR="00542A52" w:rsidRPr="002B6B5C">
        <w:rPr>
          <w:rFonts w:cs="Times New Roman"/>
          <w:color w:val="000000"/>
          <w:w w:val="108"/>
        </w:rPr>
        <w:t>Mr. Morgan</w:t>
      </w:r>
      <w:r w:rsidRPr="002B6B5C">
        <w:rPr>
          <w:rFonts w:cs="Times New Roman"/>
          <w:color w:val="000000"/>
          <w:w w:val="108"/>
        </w:rPr>
        <w:t xml:space="preserve"> request</w:t>
      </w:r>
      <w:r w:rsidR="00011F74" w:rsidRPr="002B6B5C">
        <w:rPr>
          <w:rFonts w:cs="Times New Roman"/>
          <w:color w:val="000000"/>
          <w:w w:val="108"/>
        </w:rPr>
        <w:t>ed</w:t>
      </w:r>
      <w:r w:rsidRPr="002B6B5C">
        <w:rPr>
          <w:rFonts w:cs="Times New Roman"/>
          <w:color w:val="000000"/>
          <w:w w:val="108"/>
        </w:rPr>
        <w:t xml:space="preserve"> the Company “restor[e] the property to the prework condition [and] repair damage done by the slide.” </w:t>
      </w:r>
    </w:p>
    <w:p w14:paraId="6EB200A0" w14:textId="77777777" w:rsidR="008D3109" w:rsidRPr="002B6B5C" w:rsidRDefault="008D3109" w:rsidP="002B6B5C">
      <w:pPr>
        <w:widowControl w:val="0"/>
        <w:adjustRightInd w:val="0"/>
        <w:spacing w:line="360" w:lineRule="auto"/>
        <w:rPr>
          <w:rFonts w:cs="Times New Roman"/>
          <w:color w:val="000000"/>
          <w:w w:val="107"/>
        </w:rPr>
      </w:pPr>
    </w:p>
    <w:p w14:paraId="3DCEDB28" w14:textId="00618179" w:rsidR="008D3109" w:rsidRPr="002B6B5C" w:rsidRDefault="008D3109" w:rsidP="002B6B5C">
      <w:pPr>
        <w:widowControl w:val="0"/>
        <w:adjustRightInd w:val="0"/>
        <w:spacing w:line="360" w:lineRule="auto"/>
        <w:rPr>
          <w:rFonts w:cs="Times New Roman"/>
          <w:color w:val="000000"/>
          <w:w w:val="108"/>
        </w:rPr>
      </w:pPr>
      <w:r w:rsidRPr="002B6B5C">
        <w:rPr>
          <w:rFonts w:cs="Times New Roman"/>
          <w:color w:val="000000"/>
          <w:w w:val="107"/>
        </w:rPr>
        <w:tab/>
      </w:r>
      <w:r w:rsidRPr="002B6B5C">
        <w:rPr>
          <w:rFonts w:cs="Times New Roman"/>
          <w:color w:val="000000"/>
          <w:w w:val="107"/>
        </w:rPr>
        <w:tab/>
        <w:t xml:space="preserve">On September 22, 2020, Columbia filed an Answer and New Matter to the Formal Complaint, as well as two Preliminary Objections </w:t>
      </w:r>
      <w:r w:rsidRPr="002B6B5C">
        <w:rPr>
          <w:rFonts w:cs="Times New Roman"/>
          <w:color w:val="000000"/>
          <w:w w:val="108"/>
        </w:rPr>
        <w:t>pursuant to 52 Pa.Code § 5.101</w:t>
      </w:r>
      <w:r w:rsidR="002B6B5C">
        <w:rPr>
          <w:rFonts w:cs="Times New Roman"/>
          <w:color w:val="000000"/>
          <w:w w:val="108"/>
        </w:rPr>
        <w:t>.</w:t>
      </w:r>
      <w:r w:rsidRPr="002B6B5C">
        <w:rPr>
          <w:rFonts w:cs="Times New Roman"/>
          <w:color w:val="000000"/>
          <w:w w:val="108"/>
        </w:rPr>
        <w:t xml:space="preserve">  In its Answer, the Company </w:t>
      </w:r>
      <w:r w:rsidRPr="002B6B5C">
        <w:rPr>
          <w:rFonts w:cs="Times New Roman"/>
          <w:color w:val="000000"/>
          <w:w w:val="107"/>
        </w:rPr>
        <w:t>aver</w:t>
      </w:r>
      <w:r w:rsidR="00011F74" w:rsidRPr="002B6B5C">
        <w:rPr>
          <w:rFonts w:cs="Times New Roman"/>
          <w:color w:val="000000"/>
          <w:w w:val="107"/>
        </w:rPr>
        <w:t>re</w:t>
      </w:r>
      <w:r w:rsidR="003418B1" w:rsidRPr="002B6B5C">
        <w:rPr>
          <w:rFonts w:cs="Times New Roman"/>
          <w:color w:val="000000"/>
          <w:w w:val="107"/>
        </w:rPr>
        <w:t>d</w:t>
      </w:r>
      <w:r w:rsidRPr="002B6B5C">
        <w:rPr>
          <w:rFonts w:cs="Times New Roman"/>
          <w:color w:val="000000"/>
          <w:w w:val="107"/>
        </w:rPr>
        <w:t xml:space="preserve">, </w:t>
      </w:r>
      <w:r w:rsidRPr="002B6B5C">
        <w:rPr>
          <w:rFonts w:cs="Times New Roman"/>
          <w:i/>
          <w:iCs/>
          <w:color w:val="000000"/>
          <w:w w:val="107"/>
        </w:rPr>
        <w:t>inter alia</w:t>
      </w:r>
      <w:r w:rsidRPr="002B6B5C">
        <w:rPr>
          <w:rFonts w:cs="Times New Roman"/>
          <w:color w:val="000000"/>
          <w:w w:val="107"/>
        </w:rPr>
        <w:t xml:space="preserve">, Columbia installed a main gas line in the public street in the vicinity of Scenery Drive, Belle Vernon, PA in 2011/2012 and that a land slide occurred thereafter in September 2018 in the vicinity of 1810 Scenery Drive, </w:t>
      </w:r>
      <w:r w:rsidRPr="002B6B5C">
        <w:rPr>
          <w:rFonts w:cs="Times New Roman"/>
          <w:color w:val="000000"/>
          <w:w w:val="107"/>
        </w:rPr>
        <w:lastRenderedPageBreak/>
        <w:t>Belle Vernon, PA that damaged the main gas line in the public street.  Columbia aver</w:t>
      </w:r>
      <w:r w:rsidR="00011F74" w:rsidRPr="002B6B5C">
        <w:rPr>
          <w:rFonts w:cs="Times New Roman"/>
          <w:color w:val="000000"/>
          <w:w w:val="107"/>
        </w:rPr>
        <w:t>red</w:t>
      </w:r>
      <w:r w:rsidRPr="002B6B5C">
        <w:rPr>
          <w:rFonts w:cs="Times New Roman"/>
          <w:color w:val="000000"/>
          <w:w w:val="107"/>
        </w:rPr>
        <w:t xml:space="preserve"> that it made all appropriate repairs and that a new gas line was installed at another location in the public street.  Columbia denie</w:t>
      </w:r>
      <w:r w:rsidR="00011F74" w:rsidRPr="002B6B5C">
        <w:rPr>
          <w:rFonts w:cs="Times New Roman"/>
          <w:color w:val="000000"/>
          <w:w w:val="107"/>
        </w:rPr>
        <w:t>d</w:t>
      </w:r>
      <w:r w:rsidRPr="002B6B5C">
        <w:rPr>
          <w:rFonts w:cs="Times New Roman"/>
          <w:color w:val="000000"/>
          <w:w w:val="107"/>
        </w:rPr>
        <w:t xml:space="preserve"> knowledge of any damage to property located at 745 Fellsburg Road and denie</w:t>
      </w:r>
      <w:r w:rsidR="00011F74" w:rsidRPr="002B6B5C">
        <w:rPr>
          <w:rFonts w:cs="Times New Roman"/>
          <w:color w:val="000000"/>
          <w:w w:val="107"/>
        </w:rPr>
        <w:t>d</w:t>
      </w:r>
      <w:r w:rsidRPr="002B6B5C">
        <w:rPr>
          <w:rFonts w:cs="Times New Roman"/>
          <w:color w:val="000000"/>
          <w:w w:val="107"/>
        </w:rPr>
        <w:t xml:space="preserve"> the other material averments in the Complaint</w:t>
      </w:r>
      <w:r w:rsidRPr="002B6B5C">
        <w:rPr>
          <w:rFonts w:cs="Times New Roman"/>
          <w:color w:val="000000"/>
          <w:w w:val="108"/>
        </w:rPr>
        <w:t>.</w:t>
      </w:r>
    </w:p>
    <w:p w14:paraId="43BA7010" w14:textId="77777777" w:rsidR="008D3109" w:rsidRPr="002B6B5C" w:rsidRDefault="008D3109" w:rsidP="002B6B5C">
      <w:pPr>
        <w:widowControl w:val="0"/>
        <w:adjustRightInd w:val="0"/>
        <w:spacing w:line="360" w:lineRule="auto"/>
        <w:rPr>
          <w:rFonts w:cs="Times New Roman"/>
          <w:color w:val="000000"/>
          <w:w w:val="108"/>
        </w:rPr>
      </w:pPr>
    </w:p>
    <w:p w14:paraId="6269EA2E" w14:textId="11677ADC" w:rsidR="008D3109" w:rsidRPr="002B6B5C" w:rsidRDefault="008D3109" w:rsidP="002B6B5C">
      <w:pPr>
        <w:widowControl w:val="0"/>
        <w:adjustRightInd w:val="0"/>
        <w:spacing w:line="360" w:lineRule="auto"/>
        <w:rPr>
          <w:rFonts w:cs="Times New Roman"/>
          <w:color w:val="000000"/>
          <w:w w:val="107"/>
        </w:rPr>
      </w:pPr>
      <w:r w:rsidRPr="002B6B5C">
        <w:rPr>
          <w:rFonts w:cs="Times New Roman"/>
          <w:color w:val="000000"/>
          <w:w w:val="108"/>
        </w:rPr>
        <w:tab/>
      </w:r>
      <w:r w:rsidRPr="002B6B5C">
        <w:rPr>
          <w:rFonts w:cs="Times New Roman"/>
          <w:color w:val="000000"/>
          <w:w w:val="108"/>
        </w:rPr>
        <w:tab/>
        <w:t>In its New Matter and Preliminary Objections, Columbia argue</w:t>
      </w:r>
      <w:r w:rsidR="00011F74" w:rsidRPr="002B6B5C">
        <w:rPr>
          <w:rFonts w:cs="Times New Roman"/>
          <w:color w:val="000000"/>
          <w:w w:val="108"/>
        </w:rPr>
        <w:t>d</w:t>
      </w:r>
      <w:r w:rsidRPr="002B6B5C">
        <w:rPr>
          <w:rFonts w:cs="Times New Roman"/>
          <w:color w:val="000000"/>
          <w:w w:val="108"/>
        </w:rPr>
        <w:t xml:space="preserve"> </w:t>
      </w:r>
      <w:r w:rsidRPr="002B6B5C">
        <w:rPr>
          <w:rFonts w:cs="Times New Roman"/>
          <w:color w:val="000000"/>
          <w:w w:val="107"/>
        </w:rPr>
        <w:t xml:space="preserve">the Complaint must be dismissed because: (1) the Commission lacks jurisdiction to order the requested relief, and (2) because Mr. Morgan lacks the capacity as an individual to pursue this </w:t>
      </w:r>
      <w:r w:rsidR="00044DBB" w:rsidRPr="002B6B5C">
        <w:rPr>
          <w:rFonts w:cs="Times New Roman"/>
          <w:color w:val="000000"/>
          <w:w w:val="107"/>
        </w:rPr>
        <w:t>C</w:t>
      </w:r>
      <w:r w:rsidRPr="002B6B5C">
        <w:rPr>
          <w:rFonts w:cs="Times New Roman"/>
          <w:color w:val="000000"/>
          <w:w w:val="107"/>
        </w:rPr>
        <w:t xml:space="preserve">omplaint.  </w:t>
      </w:r>
    </w:p>
    <w:p w14:paraId="1449D4C9" w14:textId="77777777" w:rsidR="008D3109" w:rsidRPr="002B6B5C" w:rsidRDefault="008D3109" w:rsidP="002B6B5C">
      <w:pPr>
        <w:widowControl w:val="0"/>
        <w:adjustRightInd w:val="0"/>
        <w:spacing w:line="360" w:lineRule="auto"/>
        <w:rPr>
          <w:rFonts w:cs="Times New Roman"/>
          <w:color w:val="000000"/>
          <w:w w:val="107"/>
        </w:rPr>
      </w:pPr>
    </w:p>
    <w:p w14:paraId="6F74CFF9" w14:textId="77777777" w:rsidR="008D3109" w:rsidRPr="002B6B5C" w:rsidRDefault="008D3109" w:rsidP="002B6B5C">
      <w:pPr>
        <w:widowControl w:val="0"/>
        <w:adjustRightInd w:val="0"/>
        <w:spacing w:line="360" w:lineRule="auto"/>
        <w:rPr>
          <w:rFonts w:cs="Times New Roman"/>
          <w:color w:val="000000"/>
          <w:w w:val="107"/>
        </w:rPr>
      </w:pPr>
      <w:r w:rsidRPr="002B6B5C">
        <w:rPr>
          <w:rFonts w:cs="Times New Roman"/>
          <w:color w:val="000000"/>
          <w:w w:val="107"/>
        </w:rPr>
        <w:tab/>
      </w:r>
      <w:r w:rsidRPr="002B6B5C">
        <w:rPr>
          <w:rFonts w:cs="Times New Roman"/>
          <w:color w:val="000000"/>
          <w:w w:val="107"/>
        </w:rPr>
        <w:tab/>
      </w:r>
      <w:r w:rsidRPr="002B6B5C">
        <w:rPr>
          <w:rFonts w:cs="Times New Roman"/>
          <w:color w:val="000000"/>
          <w:w w:val="108"/>
        </w:rPr>
        <w:t xml:space="preserve">Both the New Matter and the Preliminary Objections contained </w:t>
      </w:r>
      <w:r w:rsidRPr="002B6B5C">
        <w:rPr>
          <w:rFonts w:cs="Times New Roman"/>
          <w:color w:val="000000"/>
          <w:w w:val="107"/>
        </w:rPr>
        <w:t>Notices to Plead.  Complainant did not submit any response to either the New Matter or the Preliminary Objections.</w:t>
      </w:r>
    </w:p>
    <w:p w14:paraId="6F5B830F" w14:textId="77777777" w:rsidR="008D3109" w:rsidRPr="002B6B5C" w:rsidRDefault="008D3109" w:rsidP="002B6B5C">
      <w:pPr>
        <w:widowControl w:val="0"/>
        <w:adjustRightInd w:val="0"/>
        <w:spacing w:line="360" w:lineRule="auto"/>
        <w:rPr>
          <w:rFonts w:cs="Times New Roman"/>
          <w:color w:val="000000"/>
          <w:w w:val="107"/>
        </w:rPr>
      </w:pPr>
    </w:p>
    <w:p w14:paraId="24BFBD2E" w14:textId="77777777" w:rsidR="008D3109" w:rsidRPr="002B6B5C" w:rsidRDefault="008D3109" w:rsidP="002B6B5C">
      <w:pPr>
        <w:widowControl w:val="0"/>
        <w:adjustRightInd w:val="0"/>
        <w:spacing w:line="360" w:lineRule="auto"/>
        <w:rPr>
          <w:rFonts w:cs="Times New Roman"/>
          <w:color w:val="000000"/>
          <w:w w:val="107"/>
        </w:rPr>
      </w:pPr>
      <w:r w:rsidRPr="002B6B5C">
        <w:rPr>
          <w:rFonts w:cs="Times New Roman"/>
          <w:color w:val="000000"/>
          <w:w w:val="107"/>
        </w:rPr>
        <w:tab/>
      </w:r>
      <w:r w:rsidRPr="002B6B5C">
        <w:rPr>
          <w:rFonts w:cs="Times New Roman"/>
          <w:color w:val="000000"/>
          <w:w w:val="107"/>
        </w:rPr>
        <w:tab/>
        <w:t xml:space="preserve">This matter was assigned to the undersigned via a Motion Judge Assignment notice issued October 19, 2020. </w:t>
      </w:r>
    </w:p>
    <w:p w14:paraId="6AC94262" w14:textId="77777777" w:rsidR="008D3109" w:rsidRPr="002B6B5C" w:rsidRDefault="008D3109" w:rsidP="002B6B5C">
      <w:pPr>
        <w:widowControl w:val="0"/>
        <w:adjustRightInd w:val="0"/>
        <w:spacing w:line="360" w:lineRule="auto"/>
        <w:rPr>
          <w:rFonts w:cs="Times New Roman"/>
          <w:color w:val="000000"/>
          <w:w w:val="107"/>
        </w:rPr>
      </w:pPr>
    </w:p>
    <w:p w14:paraId="46049E0A" w14:textId="4A626AE6" w:rsidR="008D3109" w:rsidRPr="002B6B5C" w:rsidRDefault="008D3109" w:rsidP="002B6B5C">
      <w:pPr>
        <w:tabs>
          <w:tab w:val="left" w:pos="-720"/>
        </w:tabs>
        <w:suppressAutoHyphens/>
        <w:spacing w:line="360" w:lineRule="auto"/>
        <w:ind w:firstLine="1440"/>
        <w:rPr>
          <w:rFonts w:cs="Times New Roman"/>
        </w:rPr>
      </w:pPr>
      <w:r w:rsidRPr="002B6B5C">
        <w:rPr>
          <w:rFonts w:cs="Times New Roman"/>
          <w:color w:val="000000"/>
          <w:w w:val="107"/>
        </w:rPr>
        <w:t xml:space="preserve">On October 26, 2020, an Interim Order was entered, granting in part and denying in part </w:t>
      </w:r>
      <w:r w:rsidRPr="002B6B5C">
        <w:rPr>
          <w:rFonts w:cs="Times New Roman"/>
        </w:rPr>
        <w:t xml:space="preserve">the Company’s Preliminary Objection regarding lack of jurisdiction.  It was granted in part such that the portion of the Complaint, if any, that requests monetary damages is dismissed.  It was denied in part such that, assuming </w:t>
      </w:r>
      <w:r w:rsidR="00011F74" w:rsidRPr="002B6B5C">
        <w:rPr>
          <w:rFonts w:cs="Times New Roman"/>
        </w:rPr>
        <w:t>Mr. Morgan</w:t>
      </w:r>
      <w:r w:rsidRPr="002B6B5C">
        <w:rPr>
          <w:rFonts w:cs="Times New Roman"/>
        </w:rPr>
        <w:t xml:space="preserve"> ha</w:t>
      </w:r>
      <w:r w:rsidR="00011F74" w:rsidRPr="002B6B5C">
        <w:rPr>
          <w:rFonts w:cs="Times New Roman"/>
        </w:rPr>
        <w:t>d</w:t>
      </w:r>
      <w:r w:rsidRPr="002B6B5C">
        <w:rPr>
          <w:rFonts w:cs="Times New Roman"/>
        </w:rPr>
        <w:t xml:space="preserve"> standing/capacity to sue, the Complaint could move forward on the issue of whether the Company violated Section 1501 or some other statute, rule, order, or tariff provision.  The Interim Order also held the Company’s Preliminary Objection regarding standing/capacity to sue in abeyance pending the Complainant’s filing of an amended complaint.  The Order directed Complainant to file and serve an amended complaint by November 4, 2020.   </w:t>
      </w:r>
    </w:p>
    <w:p w14:paraId="3A2FC9F6" w14:textId="77777777" w:rsidR="008D3109" w:rsidRPr="002B6B5C" w:rsidRDefault="008D3109" w:rsidP="002B6B5C">
      <w:pPr>
        <w:tabs>
          <w:tab w:val="left" w:pos="-720"/>
        </w:tabs>
        <w:suppressAutoHyphens/>
        <w:spacing w:line="360" w:lineRule="auto"/>
        <w:ind w:firstLine="1440"/>
        <w:rPr>
          <w:rFonts w:cs="Times New Roman"/>
        </w:rPr>
      </w:pPr>
    </w:p>
    <w:p w14:paraId="758B6D05" w14:textId="72C53ED4" w:rsidR="008D3109" w:rsidRPr="002B6B5C" w:rsidRDefault="008D3109" w:rsidP="002B6B5C">
      <w:pPr>
        <w:tabs>
          <w:tab w:val="left" w:pos="-720"/>
        </w:tabs>
        <w:suppressAutoHyphens/>
        <w:spacing w:line="360" w:lineRule="auto"/>
        <w:ind w:firstLine="1440"/>
        <w:rPr>
          <w:rFonts w:cs="Times New Roman"/>
        </w:rPr>
      </w:pPr>
      <w:r w:rsidRPr="002B6B5C">
        <w:rPr>
          <w:rFonts w:cs="Times New Roman"/>
        </w:rPr>
        <w:t xml:space="preserve">On October 30, 2020, counsel for </w:t>
      </w:r>
      <w:r w:rsidR="00011F74" w:rsidRPr="002B6B5C">
        <w:rPr>
          <w:rFonts w:cs="Times New Roman"/>
        </w:rPr>
        <w:t>Mr. Morgan</w:t>
      </w:r>
      <w:r w:rsidRPr="002B6B5C">
        <w:rPr>
          <w:rFonts w:cs="Times New Roman"/>
        </w:rPr>
        <w:t xml:space="preserve"> entered his appearance and contacted the undersigned’s legal assistant requesting an extension of the deadline by which </w:t>
      </w:r>
      <w:r w:rsidR="00011F74" w:rsidRPr="002B6B5C">
        <w:rPr>
          <w:rFonts w:cs="Times New Roman"/>
        </w:rPr>
        <w:t>Mr.</w:t>
      </w:r>
      <w:r w:rsidR="00044DBB" w:rsidRPr="002B6B5C">
        <w:rPr>
          <w:rFonts w:cs="Times New Roman"/>
        </w:rPr>
        <w:t> </w:t>
      </w:r>
      <w:r w:rsidR="00011F74" w:rsidRPr="002B6B5C">
        <w:rPr>
          <w:rFonts w:cs="Times New Roman"/>
        </w:rPr>
        <w:t>Morgan was required to</w:t>
      </w:r>
      <w:r w:rsidRPr="002B6B5C">
        <w:rPr>
          <w:rFonts w:cs="Times New Roman"/>
        </w:rPr>
        <w:t xml:space="preserve"> file an amended complaint.  </w:t>
      </w:r>
      <w:r w:rsidR="00011F74" w:rsidRPr="002B6B5C">
        <w:rPr>
          <w:rFonts w:cs="Times New Roman"/>
        </w:rPr>
        <w:t>Mr. Morgan’s</w:t>
      </w:r>
      <w:r w:rsidRPr="002B6B5C">
        <w:rPr>
          <w:rFonts w:cs="Times New Roman"/>
        </w:rPr>
        <w:t xml:space="preserve"> counsel represented that the Company’s </w:t>
      </w:r>
      <w:r w:rsidR="00011F74" w:rsidRPr="002B6B5C">
        <w:rPr>
          <w:rFonts w:cs="Times New Roman"/>
        </w:rPr>
        <w:t>c</w:t>
      </w:r>
      <w:r w:rsidRPr="002B6B5C">
        <w:rPr>
          <w:rFonts w:cs="Times New Roman"/>
        </w:rPr>
        <w:t xml:space="preserve">ounsel had consented to a 20-day extension.  </w:t>
      </w:r>
      <w:r w:rsidR="00011F74" w:rsidRPr="002B6B5C">
        <w:rPr>
          <w:rFonts w:cs="Times New Roman"/>
        </w:rPr>
        <w:t>Mr. Morgan’s</w:t>
      </w:r>
      <w:r w:rsidRPr="002B6B5C">
        <w:rPr>
          <w:rFonts w:cs="Times New Roman"/>
        </w:rPr>
        <w:t xml:space="preserve"> counsel requested </w:t>
      </w:r>
      <w:r w:rsidRPr="002B6B5C">
        <w:rPr>
          <w:rFonts w:cs="Times New Roman"/>
        </w:rPr>
        <w:lastRenderedPageBreak/>
        <w:t xml:space="preserve">that the deadline be extended to November 24, 2020, and this extension was granted by an Interim Order was issued on November 3, 2020. </w:t>
      </w:r>
    </w:p>
    <w:p w14:paraId="14083425" w14:textId="77777777" w:rsidR="000E1F2B" w:rsidRPr="002B6B5C" w:rsidRDefault="000E1F2B" w:rsidP="002B6B5C">
      <w:pPr>
        <w:tabs>
          <w:tab w:val="left" w:pos="-720"/>
        </w:tabs>
        <w:suppressAutoHyphens/>
        <w:spacing w:line="360" w:lineRule="auto"/>
        <w:ind w:firstLine="1440"/>
        <w:rPr>
          <w:rFonts w:cs="Times New Roman"/>
        </w:rPr>
      </w:pPr>
    </w:p>
    <w:p w14:paraId="0929CB8D" w14:textId="40767EC7" w:rsidR="00056F6F" w:rsidRPr="002B6B5C" w:rsidRDefault="00542A52" w:rsidP="002B6B5C">
      <w:pPr>
        <w:tabs>
          <w:tab w:val="left" w:pos="-720"/>
        </w:tabs>
        <w:suppressAutoHyphens/>
        <w:spacing w:line="360" w:lineRule="auto"/>
        <w:ind w:firstLine="1440"/>
        <w:rPr>
          <w:rFonts w:cs="Times New Roman"/>
        </w:rPr>
      </w:pPr>
      <w:r w:rsidRPr="002B6B5C">
        <w:rPr>
          <w:rFonts w:cs="Times New Roman"/>
        </w:rPr>
        <w:t>An</w:t>
      </w:r>
      <w:r w:rsidR="008D3109" w:rsidRPr="002B6B5C">
        <w:rPr>
          <w:rFonts w:cs="Times New Roman"/>
        </w:rPr>
        <w:t xml:space="preserve"> Amended Complaint </w:t>
      </w:r>
      <w:r w:rsidRPr="002B6B5C">
        <w:rPr>
          <w:rFonts w:cs="Times New Roman"/>
        </w:rPr>
        <w:t xml:space="preserve">was filed </w:t>
      </w:r>
      <w:r w:rsidR="008D3109" w:rsidRPr="002B6B5C">
        <w:rPr>
          <w:rFonts w:cs="Times New Roman"/>
        </w:rPr>
        <w:t>on December 1, 2020.</w:t>
      </w:r>
      <w:r w:rsidR="008D3109" w:rsidRPr="002B6B5C">
        <w:rPr>
          <w:rStyle w:val="FootnoteReference"/>
        </w:rPr>
        <w:footnoteReference w:id="1"/>
      </w:r>
      <w:r w:rsidRPr="002B6B5C">
        <w:rPr>
          <w:rFonts w:cs="Times New Roman"/>
        </w:rPr>
        <w:t xml:space="preserve">  The Amended Complaint </w:t>
      </w:r>
      <w:r w:rsidR="00011F74" w:rsidRPr="002B6B5C">
        <w:rPr>
          <w:rFonts w:cs="Times New Roman"/>
        </w:rPr>
        <w:t>identifie</w:t>
      </w:r>
      <w:r w:rsidR="00606A56" w:rsidRPr="002B6B5C">
        <w:rPr>
          <w:rFonts w:cs="Times New Roman"/>
        </w:rPr>
        <w:t>s both</w:t>
      </w:r>
      <w:r w:rsidR="00011F74" w:rsidRPr="002B6B5C">
        <w:rPr>
          <w:rFonts w:cs="Times New Roman"/>
        </w:rPr>
        <w:t xml:space="preserve"> Mr. Morgan and Brian Dolfi (“Mr. Dolfi”) (collectively, “Complainants”)</w:t>
      </w:r>
      <w:r w:rsidRPr="002B6B5C">
        <w:rPr>
          <w:rFonts w:cs="Times New Roman"/>
        </w:rPr>
        <w:t xml:space="preserve"> </w:t>
      </w:r>
      <w:r w:rsidR="00011F74" w:rsidRPr="002B6B5C">
        <w:rPr>
          <w:rFonts w:cs="Times New Roman"/>
        </w:rPr>
        <w:t>as complainants.  It identifie</w:t>
      </w:r>
      <w:r w:rsidR="00606A56" w:rsidRPr="002B6B5C">
        <w:rPr>
          <w:rFonts w:cs="Times New Roman"/>
        </w:rPr>
        <w:t>s</w:t>
      </w:r>
      <w:r w:rsidR="00011F74" w:rsidRPr="002B6B5C">
        <w:rPr>
          <w:rFonts w:cs="Times New Roman"/>
        </w:rPr>
        <w:t xml:space="preserve"> Mr. Morgan as the owner of two properties serviced by the address of 745 Fellsburg Road, Belle Vernon, PA (“Morgan Properties”)</w:t>
      </w:r>
      <w:r w:rsidR="00606A56" w:rsidRPr="002B6B5C">
        <w:rPr>
          <w:rStyle w:val="FootnoteReference"/>
        </w:rPr>
        <w:footnoteReference w:id="2"/>
      </w:r>
      <w:r w:rsidR="00011F74" w:rsidRPr="002B6B5C">
        <w:rPr>
          <w:rFonts w:cs="Times New Roman"/>
        </w:rPr>
        <w:t xml:space="preserve">, and Mr. Dolfi as the owner of </w:t>
      </w:r>
      <w:r w:rsidR="00D707DB" w:rsidRPr="002B6B5C">
        <w:rPr>
          <w:rFonts w:cs="Times New Roman"/>
        </w:rPr>
        <w:t>property located at 623 Hamilton Avenue, Belle Vernon, PA 15012 (“Dolfi Property)</w:t>
      </w:r>
      <w:r w:rsidR="00606A56" w:rsidRPr="002B6B5C">
        <w:rPr>
          <w:rStyle w:val="FootnoteReference"/>
        </w:rPr>
        <w:footnoteReference w:id="3"/>
      </w:r>
      <w:r w:rsidR="00D707DB" w:rsidRPr="002B6B5C">
        <w:rPr>
          <w:rFonts w:cs="Times New Roman"/>
        </w:rPr>
        <w:t>.  Complainants aver that the Morgan Properties and the Dolfi Property (collectively, “subject properties”) are adjacent properties that border Scenery Drive, Belle Vernon, PA.</w:t>
      </w:r>
      <w:r w:rsidR="00606A56" w:rsidRPr="002B6B5C">
        <w:rPr>
          <w:rStyle w:val="FootnoteReference"/>
        </w:rPr>
        <w:footnoteReference w:id="4"/>
      </w:r>
      <w:r w:rsidR="00D707DB" w:rsidRPr="002B6B5C">
        <w:rPr>
          <w:rFonts w:cs="Times New Roman"/>
        </w:rPr>
        <w:t xml:space="preserve">  </w:t>
      </w:r>
    </w:p>
    <w:p w14:paraId="7CDB543B" w14:textId="77777777" w:rsidR="00056F6F" w:rsidRPr="002B6B5C" w:rsidRDefault="00056F6F" w:rsidP="002B6B5C">
      <w:pPr>
        <w:tabs>
          <w:tab w:val="left" w:pos="-720"/>
        </w:tabs>
        <w:suppressAutoHyphens/>
        <w:spacing w:line="360" w:lineRule="auto"/>
        <w:ind w:firstLine="1440"/>
        <w:rPr>
          <w:rFonts w:cs="Times New Roman"/>
        </w:rPr>
      </w:pPr>
    </w:p>
    <w:p w14:paraId="6F49EED6" w14:textId="0BFB218B" w:rsidR="00056F6F" w:rsidRPr="002B6B5C" w:rsidRDefault="00D707DB" w:rsidP="002B6B5C">
      <w:pPr>
        <w:tabs>
          <w:tab w:val="left" w:pos="-720"/>
        </w:tabs>
        <w:suppressAutoHyphens/>
        <w:spacing w:line="360" w:lineRule="auto"/>
        <w:ind w:firstLine="1440"/>
        <w:rPr>
          <w:rFonts w:cs="Times New Roman"/>
        </w:rPr>
      </w:pPr>
      <w:r w:rsidRPr="002B6B5C">
        <w:rPr>
          <w:rFonts w:cs="Times New Roman"/>
        </w:rPr>
        <w:t>Complainants aver that, sometime prior to September 2018, Columbia installed a gas line in the vicinity of Scenery Drive along and/or within the property line of the subject properties.</w:t>
      </w:r>
      <w:r w:rsidR="00606A56" w:rsidRPr="002B6B5C">
        <w:rPr>
          <w:rStyle w:val="FootnoteReference"/>
        </w:rPr>
        <w:footnoteReference w:id="5"/>
      </w:r>
      <w:r w:rsidRPr="002B6B5C">
        <w:rPr>
          <w:rFonts w:cs="Times New Roman"/>
        </w:rPr>
        <w:t xml:space="preserve">  Complainants aver that in or about September 2018, a landslide occurred near and/or along the entire length where the Morgan Properties border Scenery Drive and near and/or along a portion of where the Dolfi Property borders Scenery Drive.</w:t>
      </w:r>
      <w:r w:rsidR="00606A56" w:rsidRPr="002B6B5C">
        <w:rPr>
          <w:rStyle w:val="FootnoteReference"/>
        </w:rPr>
        <w:footnoteReference w:id="6"/>
      </w:r>
      <w:r w:rsidRPr="002B6B5C">
        <w:rPr>
          <w:rFonts w:cs="Times New Roman"/>
        </w:rPr>
        <w:t xml:space="preserve">  Complainants allege that the landslide was caused by Columbia’s improper gas line installation, including, but not limited to the failure to use proper materials</w:t>
      </w:r>
      <w:r w:rsidR="00056F6F" w:rsidRPr="002B6B5C">
        <w:rPr>
          <w:rFonts w:cs="Times New Roman"/>
        </w:rPr>
        <w:t>, failure to compact properly, and failure to  properly repair the trench after settlement occurred.</w:t>
      </w:r>
      <w:r w:rsidR="00606A56" w:rsidRPr="002B6B5C">
        <w:rPr>
          <w:rStyle w:val="FootnoteReference"/>
        </w:rPr>
        <w:footnoteReference w:id="7"/>
      </w:r>
      <w:r w:rsidR="00056F6F" w:rsidRPr="002B6B5C">
        <w:rPr>
          <w:rFonts w:cs="Times New Roman"/>
        </w:rPr>
        <w:t xml:space="preserve">  Complainants allege that the landslide damaged the subject properties as well as the gas line.</w:t>
      </w:r>
      <w:r w:rsidR="00606A56" w:rsidRPr="002B6B5C">
        <w:rPr>
          <w:rStyle w:val="FootnoteReference"/>
        </w:rPr>
        <w:footnoteReference w:id="8"/>
      </w:r>
      <w:r w:rsidR="00056F6F" w:rsidRPr="002B6B5C">
        <w:rPr>
          <w:rFonts w:cs="Times New Roman"/>
        </w:rPr>
        <w:t xml:space="preserve">  </w:t>
      </w:r>
    </w:p>
    <w:p w14:paraId="42DED28F" w14:textId="2DD8F889" w:rsidR="00F2629A" w:rsidRPr="002B6B5C" w:rsidRDefault="00056F6F" w:rsidP="002B6B5C">
      <w:pPr>
        <w:tabs>
          <w:tab w:val="left" w:pos="-720"/>
        </w:tabs>
        <w:suppressAutoHyphens/>
        <w:spacing w:line="360" w:lineRule="auto"/>
        <w:ind w:firstLine="1440"/>
        <w:rPr>
          <w:rFonts w:cs="Times New Roman"/>
        </w:rPr>
      </w:pPr>
      <w:r w:rsidRPr="002B6B5C">
        <w:rPr>
          <w:rFonts w:cs="Times New Roman"/>
        </w:rPr>
        <w:lastRenderedPageBreak/>
        <w:t>Complainants aver that, instead of repairing the damaged gas line and restoring the subject properties to their original condition, Columbia installed a new gas line under the middle of Scenery Drive and further away from the damaged areas of the subject properties (“2018 Installation”).</w:t>
      </w:r>
      <w:r w:rsidR="00606A56" w:rsidRPr="002B6B5C">
        <w:rPr>
          <w:rStyle w:val="FootnoteReference"/>
        </w:rPr>
        <w:footnoteReference w:id="9"/>
      </w:r>
      <w:r w:rsidRPr="002B6B5C">
        <w:rPr>
          <w:rFonts w:cs="Times New Roman"/>
        </w:rPr>
        <w:t xml:space="preserve">  Complainants allege that during the 2018 Installation, a Columbia representative informed Mr. Morgan that Columbia would properly repair the damage done to the subject properties by the landslide.</w:t>
      </w:r>
      <w:r w:rsidR="00606A56" w:rsidRPr="002B6B5C">
        <w:rPr>
          <w:rStyle w:val="FootnoteReference"/>
        </w:rPr>
        <w:footnoteReference w:id="10"/>
      </w:r>
      <w:r w:rsidRPr="002B6B5C">
        <w:rPr>
          <w:rFonts w:cs="Times New Roman"/>
        </w:rPr>
        <w:t xml:space="preserve"> </w:t>
      </w:r>
      <w:r w:rsidR="005E4363" w:rsidRPr="002B6B5C">
        <w:rPr>
          <w:rFonts w:cs="Times New Roman"/>
        </w:rPr>
        <w:t xml:space="preserve"> Complainants aver that Columbia failed to restore the subject properties to their original condition.</w:t>
      </w:r>
      <w:r w:rsidR="00606A56" w:rsidRPr="002B6B5C">
        <w:rPr>
          <w:rStyle w:val="FootnoteReference"/>
        </w:rPr>
        <w:footnoteReference w:id="11"/>
      </w:r>
      <w:r w:rsidR="005E4363" w:rsidRPr="002B6B5C">
        <w:rPr>
          <w:rFonts w:cs="Times New Roman"/>
        </w:rPr>
        <w:t xml:space="preserve">  Compl</w:t>
      </w:r>
      <w:r w:rsidR="00F2629A" w:rsidRPr="002B6B5C">
        <w:rPr>
          <w:rFonts w:cs="Times New Roman"/>
        </w:rPr>
        <w:t>ainants aver that Complainants contacted the Company on or about January 23, 2019, February 6, 2019, July 1, 2019, July 3, 2019,</w:t>
      </w:r>
      <w:r w:rsidR="00606A56" w:rsidRPr="002B6B5C">
        <w:rPr>
          <w:rFonts w:cs="Times New Roman"/>
        </w:rPr>
        <w:t xml:space="preserve"> and July 10, 2019,</w:t>
      </w:r>
      <w:r w:rsidR="00F2629A" w:rsidRPr="002B6B5C">
        <w:rPr>
          <w:rFonts w:cs="Times New Roman"/>
        </w:rPr>
        <w:t xml:space="preserve"> inquiring about the status of the </w:t>
      </w:r>
      <w:r w:rsidR="00606A56" w:rsidRPr="002B6B5C">
        <w:rPr>
          <w:rFonts w:cs="Times New Roman"/>
        </w:rPr>
        <w:t>restoration of their property.</w:t>
      </w:r>
      <w:r w:rsidR="00196190" w:rsidRPr="002B6B5C">
        <w:rPr>
          <w:rStyle w:val="FootnoteReference"/>
        </w:rPr>
        <w:footnoteReference w:id="12"/>
      </w:r>
      <w:r w:rsidR="00606A56" w:rsidRPr="002B6B5C">
        <w:rPr>
          <w:rFonts w:cs="Times New Roman"/>
        </w:rPr>
        <w:t xml:space="preserve">  Complainants aver that Columbia eventually denied liability.</w:t>
      </w:r>
      <w:r w:rsidR="00606A56" w:rsidRPr="002B6B5C">
        <w:rPr>
          <w:rStyle w:val="FootnoteReference"/>
        </w:rPr>
        <w:footnoteReference w:id="13"/>
      </w:r>
      <w:r w:rsidR="00606A56" w:rsidRPr="002B6B5C">
        <w:rPr>
          <w:rFonts w:cs="Times New Roman"/>
        </w:rPr>
        <w:t xml:space="preserve"> </w:t>
      </w:r>
    </w:p>
    <w:p w14:paraId="77C36E11" w14:textId="1F627B43" w:rsidR="00196190" w:rsidRPr="002B6B5C" w:rsidRDefault="00196190" w:rsidP="002B6B5C">
      <w:pPr>
        <w:tabs>
          <w:tab w:val="left" w:pos="-720"/>
        </w:tabs>
        <w:suppressAutoHyphens/>
        <w:spacing w:line="360" w:lineRule="auto"/>
        <w:ind w:firstLine="1440"/>
        <w:rPr>
          <w:rFonts w:cs="Times New Roman"/>
        </w:rPr>
      </w:pPr>
    </w:p>
    <w:p w14:paraId="201F8133" w14:textId="7E5C4D30" w:rsidR="00196190" w:rsidRPr="002B6B5C" w:rsidRDefault="00196190" w:rsidP="002B6B5C">
      <w:pPr>
        <w:tabs>
          <w:tab w:val="left" w:pos="-720"/>
        </w:tabs>
        <w:suppressAutoHyphens/>
        <w:spacing w:line="360" w:lineRule="auto"/>
        <w:ind w:firstLine="1440"/>
        <w:rPr>
          <w:rFonts w:cs="Times New Roman"/>
        </w:rPr>
      </w:pPr>
      <w:r w:rsidRPr="002B6B5C">
        <w:rPr>
          <w:rFonts w:cs="Times New Roman"/>
        </w:rPr>
        <w:t>Complainants argue that Columbia violated 66 Pa. C.S.A § 1501 by failing to maintain adequate, efficient, safe, and reasonable facilities and by failing to make all proper repairs, changes, alterations, substitutions, extensions, and/or improvements regarding the gas line installation and the 2018 Installation and by failing to restore the subject properties to their previous condition.</w:t>
      </w:r>
      <w:r w:rsidRPr="002B6B5C">
        <w:rPr>
          <w:rStyle w:val="FootnoteReference"/>
        </w:rPr>
        <w:footnoteReference w:id="14"/>
      </w:r>
      <w:r w:rsidRPr="002B6B5C">
        <w:rPr>
          <w:rFonts w:cs="Times New Roman"/>
        </w:rPr>
        <w:t xml:space="preserve"> </w:t>
      </w:r>
      <w:r w:rsidR="00BC2EF9" w:rsidRPr="002B6B5C">
        <w:rPr>
          <w:rFonts w:cs="Times New Roman"/>
        </w:rPr>
        <w:t xml:space="preserve"> </w:t>
      </w:r>
      <w:r w:rsidRPr="002B6B5C">
        <w:rPr>
          <w:rFonts w:cs="Times New Roman"/>
        </w:rPr>
        <w:t>As relief, Complainants request that the Commission order the Company to retore the subject properties to their condition prior to the gas line installation by properly repairing the damage done to the subject properties caused by the Company, including but not limited to the damage from the 2018 landslide.</w:t>
      </w:r>
      <w:r w:rsidR="00653BFD" w:rsidRPr="002B6B5C">
        <w:rPr>
          <w:rStyle w:val="FootnoteReference"/>
        </w:rPr>
        <w:footnoteReference w:id="15"/>
      </w:r>
    </w:p>
    <w:p w14:paraId="408414EC" w14:textId="262377D4" w:rsidR="00653BFD" w:rsidRPr="002B6B5C" w:rsidRDefault="00653BFD" w:rsidP="002B6B5C">
      <w:pPr>
        <w:tabs>
          <w:tab w:val="left" w:pos="-720"/>
        </w:tabs>
        <w:suppressAutoHyphens/>
        <w:spacing w:line="360" w:lineRule="auto"/>
        <w:ind w:firstLine="1440"/>
        <w:rPr>
          <w:rFonts w:cs="Times New Roman"/>
        </w:rPr>
      </w:pPr>
    </w:p>
    <w:p w14:paraId="39B8CE8B" w14:textId="5A22FF2D" w:rsidR="00653BFD" w:rsidRPr="002B6B5C" w:rsidRDefault="00653BFD" w:rsidP="002B6B5C">
      <w:pPr>
        <w:tabs>
          <w:tab w:val="left" w:pos="-720"/>
        </w:tabs>
        <w:suppressAutoHyphens/>
        <w:spacing w:line="360" w:lineRule="auto"/>
        <w:ind w:firstLine="1440"/>
        <w:rPr>
          <w:rFonts w:cs="Times New Roman"/>
        </w:rPr>
      </w:pPr>
      <w:r w:rsidRPr="002B6B5C">
        <w:rPr>
          <w:rFonts w:cs="Times New Roman"/>
        </w:rPr>
        <w:t xml:space="preserve">On December 21, 2020, the Company filed an Answer to the Amended Complaint. </w:t>
      </w:r>
      <w:r w:rsidR="00CF3941" w:rsidRPr="002B6B5C">
        <w:rPr>
          <w:rFonts w:cs="Times New Roman"/>
        </w:rPr>
        <w:t xml:space="preserve"> The Company avers it renewed an existing main gas distribution line in 2012 within </w:t>
      </w:r>
      <w:r w:rsidR="00CF3941" w:rsidRPr="002B6B5C">
        <w:rPr>
          <w:rFonts w:cs="Times New Roman"/>
        </w:rPr>
        <w:lastRenderedPageBreak/>
        <w:t>the public boundaries of Scenery Drive, Belle Vernon, PA.</w:t>
      </w:r>
      <w:r w:rsidR="00CF3941" w:rsidRPr="002B6B5C">
        <w:rPr>
          <w:rStyle w:val="FootnoteReference"/>
        </w:rPr>
        <w:footnoteReference w:id="16"/>
      </w:r>
      <w:r w:rsidR="00CF3941" w:rsidRPr="002B6B5C">
        <w:rPr>
          <w:rFonts w:cs="Times New Roman"/>
        </w:rPr>
        <w:t xml:space="preserve">  It admits that the main gas line was damaged by a landslide in 2018.</w:t>
      </w:r>
      <w:r w:rsidR="00CF3941" w:rsidRPr="002B6B5C">
        <w:rPr>
          <w:rStyle w:val="FootnoteReference"/>
        </w:rPr>
        <w:footnoteReference w:id="17"/>
      </w:r>
      <w:r w:rsidR="00CF3941" w:rsidRPr="002B6B5C">
        <w:rPr>
          <w:rFonts w:cs="Times New Roman"/>
        </w:rPr>
        <w:t xml:space="preserve">  It denies that the 2018 landslide was caused by any improper installation, and avers that the 2012 installation was performed in accordance with applicable industry standards.</w:t>
      </w:r>
      <w:r w:rsidR="00CF3941" w:rsidRPr="002B6B5C">
        <w:rPr>
          <w:rStyle w:val="FootnoteReference"/>
        </w:rPr>
        <w:footnoteReference w:id="18"/>
      </w:r>
      <w:r w:rsidR="00CF3941" w:rsidRPr="002B6B5C">
        <w:rPr>
          <w:rFonts w:cs="Times New Roman"/>
        </w:rPr>
        <w:t xml:space="preserve">  Columbia admits that after the landslide, it relocated a part of the main gas line to the Center of Scenery Drive.</w:t>
      </w:r>
      <w:r w:rsidR="00CF3941" w:rsidRPr="002B6B5C">
        <w:rPr>
          <w:rStyle w:val="FootnoteReference"/>
        </w:rPr>
        <w:footnoteReference w:id="19"/>
      </w:r>
      <w:r w:rsidR="00CF3941" w:rsidRPr="002B6B5C">
        <w:rPr>
          <w:rFonts w:cs="Times New Roman"/>
        </w:rPr>
        <w:t xml:space="preserve">  It denies that the 2012 installation contributed in any way or was the proximate cause of any damage to the subject properties.</w:t>
      </w:r>
      <w:r w:rsidR="00CF3941" w:rsidRPr="002B6B5C">
        <w:rPr>
          <w:rStyle w:val="FootnoteReference"/>
        </w:rPr>
        <w:footnoteReference w:id="20"/>
      </w:r>
    </w:p>
    <w:p w14:paraId="0BA45989" w14:textId="3B0B9DBC" w:rsidR="000A4B38" w:rsidRPr="002B6B5C" w:rsidRDefault="000A4B38" w:rsidP="002B6B5C">
      <w:pPr>
        <w:tabs>
          <w:tab w:val="left" w:pos="-720"/>
        </w:tabs>
        <w:suppressAutoHyphens/>
        <w:spacing w:line="360" w:lineRule="auto"/>
        <w:ind w:firstLine="1440"/>
        <w:rPr>
          <w:rFonts w:cs="Times New Roman"/>
        </w:rPr>
      </w:pPr>
    </w:p>
    <w:p w14:paraId="47AEFB48" w14:textId="53FD482C" w:rsidR="000A4B38" w:rsidRPr="002B6B5C" w:rsidRDefault="000A4B38" w:rsidP="002B6B5C">
      <w:pPr>
        <w:tabs>
          <w:tab w:val="left" w:pos="-720"/>
        </w:tabs>
        <w:suppressAutoHyphens/>
        <w:spacing w:line="360" w:lineRule="auto"/>
        <w:ind w:firstLine="1440"/>
        <w:rPr>
          <w:rFonts w:cs="Times New Roman"/>
        </w:rPr>
      </w:pPr>
      <w:r w:rsidRPr="002B6B5C">
        <w:rPr>
          <w:rFonts w:cs="Times New Roman"/>
        </w:rPr>
        <w:t>Columbia denies that any representative told Mr. Morgan during the 2018 Installation that the Company would restore the subject properties,</w:t>
      </w:r>
      <w:r w:rsidR="004C1CA8" w:rsidRPr="002B6B5C">
        <w:rPr>
          <w:rFonts w:cs="Times New Roman"/>
        </w:rPr>
        <w:t xml:space="preserve"> and disputes Complainants’ averments regarding the timeline and representations of contact between Complainants and the Company after the landslide.</w:t>
      </w:r>
      <w:r w:rsidR="004C1CA8" w:rsidRPr="002B6B5C">
        <w:rPr>
          <w:rStyle w:val="FootnoteReference"/>
        </w:rPr>
        <w:footnoteReference w:id="21"/>
      </w:r>
    </w:p>
    <w:p w14:paraId="36C6B074" w14:textId="7F6C1E44" w:rsidR="004C1CA8" w:rsidRPr="002B6B5C" w:rsidRDefault="004C1CA8" w:rsidP="002B6B5C">
      <w:pPr>
        <w:tabs>
          <w:tab w:val="left" w:pos="-720"/>
        </w:tabs>
        <w:suppressAutoHyphens/>
        <w:spacing w:line="360" w:lineRule="auto"/>
        <w:ind w:firstLine="1440"/>
        <w:rPr>
          <w:rFonts w:cs="Times New Roman"/>
        </w:rPr>
      </w:pPr>
    </w:p>
    <w:p w14:paraId="71D20585" w14:textId="0AF96F2D" w:rsidR="004C1CA8" w:rsidRPr="002B6B5C" w:rsidRDefault="004C1CA8" w:rsidP="002B6B5C">
      <w:pPr>
        <w:tabs>
          <w:tab w:val="left" w:pos="-720"/>
        </w:tabs>
        <w:suppressAutoHyphens/>
        <w:spacing w:line="360" w:lineRule="auto"/>
        <w:ind w:firstLine="1440"/>
        <w:rPr>
          <w:rFonts w:cs="Times New Roman"/>
        </w:rPr>
      </w:pPr>
      <w:r w:rsidRPr="002B6B5C">
        <w:rPr>
          <w:rFonts w:cs="Times New Roman"/>
        </w:rPr>
        <w:t xml:space="preserve">On December 22, 2020, a Hearing Notice was issued, scheduling an evidentiary hearing for January 20, 2021.  Shortly thereafter, but still on December 22, 2020, </w:t>
      </w:r>
      <w:r w:rsidR="000E3423" w:rsidRPr="002B6B5C">
        <w:rPr>
          <w:rFonts w:cs="Times New Roman"/>
        </w:rPr>
        <w:t xml:space="preserve">Complainants’ counsel called the undersigned’s office, requesting that the January 20, 2021 proceeding be converted to a prehearing conference.  </w:t>
      </w:r>
    </w:p>
    <w:p w14:paraId="1E2AC2F4" w14:textId="6985C78E" w:rsidR="005232CC" w:rsidRPr="002B6B5C" w:rsidRDefault="005232CC" w:rsidP="002B6B5C">
      <w:pPr>
        <w:tabs>
          <w:tab w:val="left" w:pos="-720"/>
        </w:tabs>
        <w:suppressAutoHyphens/>
        <w:spacing w:line="360" w:lineRule="auto"/>
        <w:ind w:firstLine="1440"/>
        <w:rPr>
          <w:rFonts w:cs="Times New Roman"/>
        </w:rPr>
      </w:pPr>
    </w:p>
    <w:p w14:paraId="4C458646" w14:textId="2C933D37" w:rsidR="005232CC" w:rsidRPr="002B6B5C" w:rsidRDefault="005232CC" w:rsidP="002B6B5C">
      <w:pPr>
        <w:tabs>
          <w:tab w:val="left" w:pos="-720"/>
        </w:tabs>
        <w:suppressAutoHyphens/>
        <w:spacing w:line="360" w:lineRule="auto"/>
        <w:rPr>
          <w:rFonts w:cs="Times New Roman"/>
          <w:u w:val="single"/>
        </w:rPr>
      </w:pPr>
      <w:r w:rsidRPr="002B6B5C">
        <w:rPr>
          <w:rFonts w:cs="Times New Roman"/>
          <w:u w:val="single"/>
        </w:rPr>
        <w:t>Motion for Judgement on the Pleadings</w:t>
      </w:r>
    </w:p>
    <w:p w14:paraId="243EC7BF" w14:textId="1781BB9D" w:rsidR="000E3423" w:rsidRPr="002B6B5C" w:rsidRDefault="000E3423" w:rsidP="002B6B5C">
      <w:pPr>
        <w:tabs>
          <w:tab w:val="left" w:pos="-720"/>
        </w:tabs>
        <w:suppressAutoHyphens/>
        <w:spacing w:line="360" w:lineRule="auto"/>
        <w:ind w:firstLine="1440"/>
        <w:rPr>
          <w:rFonts w:cs="Times New Roman"/>
        </w:rPr>
      </w:pPr>
    </w:p>
    <w:p w14:paraId="76411FEF" w14:textId="35735538" w:rsidR="008D3109" w:rsidRPr="002B6B5C" w:rsidRDefault="000E3423" w:rsidP="002B6B5C">
      <w:pPr>
        <w:tabs>
          <w:tab w:val="left" w:pos="-720"/>
        </w:tabs>
        <w:suppressAutoHyphens/>
        <w:spacing w:line="360" w:lineRule="auto"/>
        <w:ind w:firstLine="1440"/>
        <w:rPr>
          <w:rFonts w:cs="Times New Roman"/>
        </w:rPr>
      </w:pPr>
      <w:r w:rsidRPr="002B6B5C">
        <w:rPr>
          <w:rFonts w:cs="Times New Roman"/>
        </w:rPr>
        <w:t>Also on December 22, 2020, Counsel for the Company filed a Motion for Judgment on the Pleadings (“Motion”)</w:t>
      </w:r>
      <w:r w:rsidR="00B34235" w:rsidRPr="002B6B5C">
        <w:rPr>
          <w:rFonts w:cs="Times New Roman"/>
        </w:rPr>
        <w:t xml:space="preserve">, arguing that the Complaint should be dismissed because the claims are time-barred by the Commission’s rules and the Commission is not the appropriate </w:t>
      </w:r>
      <w:r w:rsidR="00B34235" w:rsidRPr="002B6B5C">
        <w:rPr>
          <w:rFonts w:cs="Times New Roman"/>
        </w:rPr>
        <w:lastRenderedPageBreak/>
        <w:t>forum to determine the proximate cause of the landslide or any possible damages to the landslide.</w:t>
      </w:r>
      <w:r w:rsidR="00B34235" w:rsidRPr="002B6B5C">
        <w:rPr>
          <w:rStyle w:val="FootnoteReference"/>
        </w:rPr>
        <w:footnoteReference w:id="22"/>
      </w:r>
      <w:r w:rsidR="00B34235" w:rsidRPr="002B6B5C">
        <w:rPr>
          <w:rFonts w:cs="Times New Roman"/>
        </w:rPr>
        <w:t xml:space="preserve"> </w:t>
      </w:r>
    </w:p>
    <w:p w14:paraId="79244720" w14:textId="2E914514" w:rsidR="000E3423" w:rsidRPr="002B6B5C" w:rsidRDefault="000E3423" w:rsidP="002B6B5C">
      <w:pPr>
        <w:tabs>
          <w:tab w:val="left" w:pos="-720"/>
        </w:tabs>
        <w:suppressAutoHyphens/>
        <w:spacing w:line="360" w:lineRule="auto"/>
        <w:ind w:firstLine="1440"/>
        <w:rPr>
          <w:rFonts w:cs="Times New Roman"/>
        </w:rPr>
      </w:pPr>
    </w:p>
    <w:p w14:paraId="62DA5E51" w14:textId="27A03F8C" w:rsidR="00E82F46" w:rsidRPr="002B6B5C" w:rsidRDefault="00050B9B" w:rsidP="002B6B5C">
      <w:pPr>
        <w:tabs>
          <w:tab w:val="left" w:pos="-720"/>
        </w:tabs>
        <w:suppressAutoHyphens/>
        <w:spacing w:line="360" w:lineRule="auto"/>
        <w:ind w:firstLine="1440"/>
        <w:rPr>
          <w:rFonts w:cs="Times New Roman"/>
        </w:rPr>
      </w:pPr>
      <w:r w:rsidRPr="002B6B5C">
        <w:rPr>
          <w:rFonts w:cs="Times New Roman"/>
        </w:rPr>
        <w:t>On January 11, 2021, the Complainants filed an Answer to the Motion and a Brief in opposition to the Motion.  Complainants argue that, while the general rule is that the statute of limitations begins to run as soon as the plaintiff could have maintained an action</w:t>
      </w:r>
      <w:r w:rsidR="004514DE" w:rsidRPr="002B6B5C">
        <w:rPr>
          <w:rStyle w:val="FootnoteReference"/>
        </w:rPr>
        <w:footnoteReference w:id="23"/>
      </w:r>
      <w:r w:rsidRPr="002B6B5C">
        <w:rPr>
          <w:rFonts w:cs="Times New Roman"/>
        </w:rPr>
        <w:t xml:space="preserve">, the limitations period </w:t>
      </w:r>
      <w:r w:rsidR="00E82F46" w:rsidRPr="002B6B5C">
        <w:rPr>
          <w:rFonts w:cs="Times New Roman"/>
        </w:rPr>
        <w:t>in this matter was</w:t>
      </w:r>
      <w:r w:rsidRPr="002B6B5C">
        <w:rPr>
          <w:rFonts w:cs="Times New Roman"/>
        </w:rPr>
        <w:t xml:space="preserve"> tolled</w:t>
      </w:r>
      <w:r w:rsidR="00E82F46" w:rsidRPr="002B6B5C">
        <w:rPr>
          <w:rFonts w:cs="Times New Roman"/>
        </w:rPr>
        <w:t xml:space="preserve"> under the “discovery rule” and did not begin to run until the landslide occurred in September 2018, at the earliest</w:t>
      </w:r>
      <w:r w:rsidR="004514DE" w:rsidRPr="002B6B5C">
        <w:rPr>
          <w:rFonts w:cs="Times New Roman"/>
        </w:rPr>
        <w:t>.</w:t>
      </w:r>
      <w:r w:rsidR="00E82F46" w:rsidRPr="002B6B5C">
        <w:rPr>
          <w:rStyle w:val="FootnoteReference"/>
        </w:rPr>
        <w:footnoteReference w:id="24"/>
      </w:r>
      <w:r w:rsidRPr="002B6B5C">
        <w:rPr>
          <w:rFonts w:cs="Times New Roman"/>
        </w:rPr>
        <w:t xml:space="preserve">  </w:t>
      </w:r>
      <w:r w:rsidR="00E82F46" w:rsidRPr="002B6B5C">
        <w:rPr>
          <w:rFonts w:cs="Times New Roman"/>
        </w:rPr>
        <w:t>Furthermore, Complainants argue that the Company failed to raise statute of limitations as a defense in its responsive pleadings and, as such, it is waived.</w:t>
      </w:r>
      <w:r w:rsidR="00E82F46" w:rsidRPr="002B6B5C">
        <w:rPr>
          <w:rStyle w:val="FootnoteReference"/>
        </w:rPr>
        <w:footnoteReference w:id="25"/>
      </w:r>
      <w:r w:rsidR="00E82F46" w:rsidRPr="002B6B5C">
        <w:rPr>
          <w:rFonts w:cs="Times New Roman"/>
        </w:rPr>
        <w:t xml:space="preserve">  Finally, Complainants argue that the dispute at issue concerns the reasonableness, adequacy and sufficiency of Respondent’s installation and repair of the Gas Line—subject matter which has long been considered within the jurisdiction of the Commission.</w:t>
      </w:r>
      <w:r w:rsidR="00E82F46" w:rsidRPr="002B6B5C">
        <w:rPr>
          <w:rStyle w:val="FootnoteReference"/>
        </w:rPr>
        <w:footnoteReference w:id="26"/>
      </w:r>
      <w:r w:rsidR="00E82F46" w:rsidRPr="002B6B5C">
        <w:rPr>
          <w:rFonts w:cs="Times New Roman"/>
        </w:rPr>
        <w:t xml:space="preserve">  </w:t>
      </w:r>
    </w:p>
    <w:p w14:paraId="49B2AC29" w14:textId="6683739D" w:rsidR="005232CC" w:rsidRPr="002B6B5C" w:rsidRDefault="005232CC" w:rsidP="002B6B5C">
      <w:pPr>
        <w:tabs>
          <w:tab w:val="left" w:pos="-720"/>
        </w:tabs>
        <w:suppressAutoHyphens/>
        <w:spacing w:line="360" w:lineRule="auto"/>
        <w:ind w:firstLine="1440"/>
        <w:rPr>
          <w:rFonts w:cs="Times New Roman"/>
        </w:rPr>
      </w:pPr>
    </w:p>
    <w:p w14:paraId="5BF73C41" w14:textId="0E49F267" w:rsidR="005232CC" w:rsidRPr="002B6B5C" w:rsidRDefault="005232CC" w:rsidP="002B6B5C">
      <w:pPr>
        <w:tabs>
          <w:tab w:val="left" w:pos="-720"/>
        </w:tabs>
        <w:suppressAutoHyphens/>
        <w:spacing w:line="360" w:lineRule="auto"/>
        <w:rPr>
          <w:rFonts w:cs="Times New Roman"/>
          <w:u w:val="single"/>
        </w:rPr>
      </w:pPr>
      <w:r w:rsidRPr="002B6B5C">
        <w:rPr>
          <w:rFonts w:cs="Times New Roman"/>
          <w:u w:val="single"/>
        </w:rPr>
        <w:t>Legal Standards</w:t>
      </w:r>
    </w:p>
    <w:p w14:paraId="45E518E2" w14:textId="28A3692B" w:rsidR="005232CC" w:rsidRPr="002B6B5C" w:rsidRDefault="005232CC" w:rsidP="002B6B5C">
      <w:pPr>
        <w:tabs>
          <w:tab w:val="left" w:pos="-720"/>
        </w:tabs>
        <w:suppressAutoHyphens/>
        <w:spacing w:line="360" w:lineRule="auto"/>
        <w:rPr>
          <w:rFonts w:cs="Times New Roman"/>
          <w:u w:val="single"/>
        </w:rPr>
      </w:pPr>
    </w:p>
    <w:p w14:paraId="3226696D" w14:textId="77777777" w:rsidR="00442CC5" w:rsidRPr="002B6B5C" w:rsidRDefault="00442CC5" w:rsidP="002B6B5C">
      <w:pPr>
        <w:spacing w:line="360" w:lineRule="auto"/>
        <w:ind w:firstLine="1440"/>
        <w:contextualSpacing/>
        <w:rPr>
          <w:rFonts w:eastAsia="Calibri" w:cs="Times New Roman"/>
        </w:rPr>
      </w:pPr>
      <w:r w:rsidRPr="002B6B5C">
        <w:rPr>
          <w:rFonts w:cs="Times New Roman"/>
          <w:color w:val="000000"/>
        </w:rPr>
        <w:t>The Commission's Rules of Administrative Practice and Procedure permit parties</w:t>
      </w:r>
    </w:p>
    <w:p w14:paraId="06A73D70" w14:textId="1620A016" w:rsidR="00442CC5" w:rsidRPr="002B6B5C" w:rsidRDefault="00442CC5" w:rsidP="002B6B5C">
      <w:pPr>
        <w:spacing w:line="360" w:lineRule="auto"/>
        <w:ind w:left="72" w:right="360"/>
        <w:contextualSpacing/>
        <w:textAlignment w:val="baseline"/>
        <w:rPr>
          <w:rFonts w:cs="Times New Roman"/>
          <w:color w:val="000000"/>
        </w:rPr>
      </w:pPr>
      <w:r w:rsidRPr="002B6B5C">
        <w:rPr>
          <w:rFonts w:cs="Times New Roman"/>
          <w:color w:val="000000"/>
        </w:rPr>
        <w:t>to file motions.  Specifically, a party may file for summary judgment pursuant to 52 Pa.Code §5.102.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w:t>
      </w:r>
      <w:r w:rsidRPr="002B6B5C">
        <w:rPr>
          <w:rStyle w:val="FootnoteReference"/>
          <w:color w:val="000000"/>
        </w:rPr>
        <w:footnoteReference w:id="27"/>
      </w:r>
      <w:r w:rsidRPr="002B6B5C">
        <w:rPr>
          <w:rFonts w:cs="Times New Roman"/>
          <w:color w:val="000000"/>
        </w:rPr>
        <w:t xml:space="preserve">  All doubts as to the existence of a genuine issue of </w:t>
      </w:r>
      <w:r w:rsidRPr="002B6B5C">
        <w:rPr>
          <w:rFonts w:cs="Times New Roman"/>
          <w:color w:val="000000"/>
        </w:rPr>
        <w:lastRenderedPageBreak/>
        <w:t>material fact must be resolved against the moving party.</w:t>
      </w:r>
      <w:r w:rsidRPr="002B6B5C">
        <w:rPr>
          <w:rStyle w:val="FootnoteReference"/>
          <w:color w:val="000000"/>
        </w:rPr>
        <w:footnoteReference w:id="28"/>
      </w:r>
      <w:r w:rsidRPr="002B6B5C">
        <w:rPr>
          <w:rFonts w:cs="Times New Roman"/>
          <w:color w:val="000000"/>
        </w:rPr>
        <w:t xml:space="preserve">  The non-moving party in a motion for summary judgment must allege facts showing that an issue for trial exists.</w:t>
      </w:r>
      <w:r w:rsidRPr="002B6B5C">
        <w:rPr>
          <w:rStyle w:val="FootnoteReference"/>
          <w:color w:val="000000"/>
        </w:rPr>
        <w:footnoteReference w:id="29"/>
      </w:r>
      <w:r w:rsidRPr="002B6B5C">
        <w:rPr>
          <w:rFonts w:cs="Times New Roman"/>
          <w:color w:val="000000"/>
        </w:rPr>
        <w:t xml:space="preserve"> </w:t>
      </w:r>
    </w:p>
    <w:p w14:paraId="58ECA610" w14:textId="77777777" w:rsidR="00442CC5" w:rsidRPr="002B6B5C" w:rsidRDefault="00442CC5" w:rsidP="002B6B5C">
      <w:pPr>
        <w:spacing w:line="360" w:lineRule="auto"/>
        <w:ind w:left="72" w:right="72"/>
        <w:contextualSpacing/>
        <w:textAlignment w:val="baseline"/>
        <w:rPr>
          <w:rFonts w:cs="Times New Roman"/>
          <w:color w:val="000000"/>
          <w:spacing w:val="-1"/>
        </w:rPr>
      </w:pPr>
      <w:r w:rsidRPr="002B6B5C">
        <w:rPr>
          <w:rFonts w:cs="Times New Roman"/>
          <w:color w:val="000000"/>
          <w:spacing w:val="-1"/>
        </w:rPr>
        <w:tab/>
      </w:r>
      <w:r w:rsidRPr="002B6B5C">
        <w:rPr>
          <w:rFonts w:cs="Times New Roman"/>
          <w:color w:val="000000"/>
          <w:spacing w:val="-1"/>
        </w:rPr>
        <w:tab/>
      </w:r>
    </w:p>
    <w:p w14:paraId="09AB8C62" w14:textId="77777777" w:rsidR="00442CC5" w:rsidRPr="002B6B5C" w:rsidRDefault="00442CC5" w:rsidP="002B6B5C">
      <w:pPr>
        <w:spacing w:line="360" w:lineRule="auto"/>
        <w:rPr>
          <w:rFonts w:eastAsiaTheme="minorHAnsi" w:cs="Times New Roman"/>
        </w:rPr>
      </w:pPr>
      <w:r w:rsidRPr="002B6B5C">
        <w:rPr>
          <w:rFonts w:cs="Times New Roman"/>
          <w:color w:val="000000"/>
          <w:spacing w:val="-1"/>
        </w:rPr>
        <w:tab/>
      </w:r>
      <w:r w:rsidRPr="002B6B5C">
        <w:rPr>
          <w:rFonts w:cs="Times New Roman"/>
          <w:color w:val="000000"/>
          <w:spacing w:val="-1"/>
        </w:rPr>
        <w:tab/>
        <w:t xml:space="preserve">In civil practice, a non-moving party may not rely solely upon denials in its pleadings, but must submit some materials to establish that a genuine issue of material fact </w:t>
      </w:r>
    </w:p>
    <w:p w14:paraId="7B1C63F2" w14:textId="77777777" w:rsidR="00442CC5" w:rsidRPr="002B6B5C" w:rsidRDefault="00442CC5" w:rsidP="002B6B5C">
      <w:pPr>
        <w:spacing w:line="360" w:lineRule="auto"/>
        <w:ind w:left="72" w:right="72"/>
        <w:contextualSpacing/>
        <w:textAlignment w:val="baseline"/>
        <w:rPr>
          <w:rFonts w:cs="Times New Roman"/>
          <w:color w:val="000000"/>
        </w:rPr>
      </w:pPr>
      <w:r w:rsidRPr="002B6B5C">
        <w:rPr>
          <w:rFonts w:cs="Times New Roman"/>
          <w:color w:val="000000"/>
          <w:spacing w:val="-1"/>
        </w:rPr>
        <w:t>exists.</w:t>
      </w:r>
      <w:r w:rsidRPr="002B6B5C">
        <w:rPr>
          <w:rStyle w:val="FootnoteReference"/>
          <w:color w:val="000000"/>
          <w:spacing w:val="-1"/>
        </w:rPr>
        <w:footnoteReference w:id="30"/>
      </w:r>
      <w:r w:rsidRPr="002B6B5C">
        <w:rPr>
          <w:rFonts w:cs="Times New Roman"/>
          <w:color w:val="000000"/>
          <w:spacing w:val="-1"/>
        </w:rPr>
        <w:t xml:space="preserve">  The Commission has discretion to dismiss any complaint without a hearing if, in its opinion, a hearing is not necessary to the public interest.</w:t>
      </w:r>
      <w:r w:rsidRPr="002B6B5C">
        <w:rPr>
          <w:rStyle w:val="FootnoteReference"/>
          <w:color w:val="000000"/>
          <w:spacing w:val="-1"/>
        </w:rPr>
        <w:footnoteReference w:id="31"/>
      </w:r>
      <w:r w:rsidRPr="002B6B5C">
        <w:rPr>
          <w:rFonts w:cs="Times New Roman"/>
          <w:color w:val="000000"/>
          <w:spacing w:val="-1"/>
        </w:rPr>
        <w:t xml:space="preserve">  A hearing is necessary only to resolve the disputed questions of fact, and when the question presented is one of law, the Commission need not hold a hearing.</w:t>
      </w:r>
      <w:r w:rsidRPr="002B6B5C">
        <w:rPr>
          <w:rStyle w:val="FootnoteReference"/>
          <w:color w:val="000000"/>
          <w:spacing w:val="-1"/>
        </w:rPr>
        <w:footnoteReference w:id="32"/>
      </w:r>
    </w:p>
    <w:p w14:paraId="0B332E88" w14:textId="77777777" w:rsidR="00442CC5" w:rsidRPr="002B6B5C" w:rsidRDefault="00442CC5" w:rsidP="002B6B5C">
      <w:pPr>
        <w:spacing w:line="360" w:lineRule="auto"/>
        <w:ind w:left="72" w:right="72"/>
        <w:contextualSpacing/>
        <w:textAlignment w:val="baseline"/>
        <w:rPr>
          <w:rFonts w:cs="Times New Roman"/>
          <w:color w:val="000000"/>
        </w:rPr>
      </w:pPr>
    </w:p>
    <w:p w14:paraId="458CD55F" w14:textId="34E7816B" w:rsidR="00442CC5" w:rsidRDefault="00442CC5" w:rsidP="002B6B5C">
      <w:pPr>
        <w:spacing w:line="360" w:lineRule="auto"/>
        <w:ind w:left="72" w:right="72"/>
        <w:contextualSpacing/>
        <w:textAlignment w:val="baseline"/>
        <w:rPr>
          <w:rFonts w:cs="Times New Roman"/>
          <w:color w:val="000000"/>
        </w:rPr>
      </w:pPr>
      <w:r w:rsidRPr="002B6B5C">
        <w:rPr>
          <w:rFonts w:cs="Times New Roman"/>
          <w:color w:val="000000"/>
        </w:rPr>
        <w:tab/>
      </w:r>
      <w:r w:rsidRPr="002B6B5C">
        <w:rPr>
          <w:rFonts w:cs="Times New Roman"/>
          <w:color w:val="000000"/>
        </w:rPr>
        <w:tab/>
        <w:t>The Commission, as a creation of the General Assembly, has only the powers and authority granted to it by the General Assembly contained in the Code.</w:t>
      </w:r>
      <w:r w:rsidRPr="002B6B5C">
        <w:rPr>
          <w:rStyle w:val="FootnoteReference"/>
          <w:color w:val="000000"/>
        </w:rPr>
        <w:footnoteReference w:id="33"/>
      </w:r>
      <w:r w:rsidRPr="002B6B5C">
        <w:rPr>
          <w:rFonts w:cs="Times New Roman"/>
          <w:color w:val="000000"/>
        </w:rPr>
        <w:t xml:space="preserve">  The Commission must act within, and cannot exceed, its jurisdiction.</w:t>
      </w:r>
      <w:r w:rsidRPr="002B6B5C">
        <w:rPr>
          <w:rStyle w:val="FootnoteReference"/>
          <w:color w:val="000000"/>
        </w:rPr>
        <w:footnoteReference w:id="34"/>
      </w:r>
      <w:r w:rsidRPr="002B6B5C">
        <w:rPr>
          <w:rFonts w:cs="Times New Roman"/>
          <w:color w:val="000000"/>
        </w:rPr>
        <w:t xml:space="preserve">  Jurisdiction may not be conferred by the parties where none exists.</w:t>
      </w:r>
      <w:r w:rsidRPr="002B6B5C">
        <w:rPr>
          <w:rStyle w:val="FootnoteReference"/>
          <w:color w:val="000000"/>
        </w:rPr>
        <w:footnoteReference w:id="35"/>
      </w:r>
      <w:r w:rsidRPr="002B6B5C">
        <w:rPr>
          <w:rFonts w:cs="Times New Roman"/>
          <w:color w:val="000000"/>
        </w:rPr>
        <w:t xml:space="preserve">  Subject matter jurisdiction is a prerequisite to the exercise of power to decide a controversy.</w:t>
      </w:r>
      <w:r w:rsidRPr="002B6B5C">
        <w:rPr>
          <w:rStyle w:val="FootnoteReference"/>
          <w:color w:val="000000"/>
        </w:rPr>
        <w:footnoteReference w:id="36"/>
      </w:r>
      <w:r w:rsidRPr="002B6B5C">
        <w:rPr>
          <w:rFonts w:cs="Times New Roman"/>
          <w:color w:val="000000"/>
        </w:rPr>
        <w:t xml:space="preserve"> </w:t>
      </w:r>
    </w:p>
    <w:p w14:paraId="305CA590" w14:textId="6D4847EC" w:rsidR="00114EAE" w:rsidRDefault="00114EAE" w:rsidP="002B6B5C">
      <w:pPr>
        <w:spacing w:line="360" w:lineRule="auto"/>
        <w:ind w:left="72" w:right="72"/>
        <w:contextualSpacing/>
        <w:textAlignment w:val="baseline"/>
        <w:rPr>
          <w:rFonts w:cs="Times New Roman"/>
          <w:color w:val="000000"/>
        </w:rPr>
      </w:pPr>
    </w:p>
    <w:p w14:paraId="08FC14EF" w14:textId="77777777" w:rsidR="00114EAE" w:rsidRPr="002B6B5C" w:rsidRDefault="00114EAE" w:rsidP="002B6B5C">
      <w:pPr>
        <w:spacing w:line="360" w:lineRule="auto"/>
        <w:ind w:left="72" w:right="72"/>
        <w:contextualSpacing/>
        <w:textAlignment w:val="baseline"/>
        <w:rPr>
          <w:rFonts w:cs="Times New Roman"/>
          <w:color w:val="000000"/>
        </w:rPr>
      </w:pPr>
    </w:p>
    <w:p w14:paraId="40E23B4E" w14:textId="5EEB6B6C" w:rsidR="00442CC5" w:rsidRDefault="005232CC" w:rsidP="00347E07">
      <w:pPr>
        <w:ind w:left="72" w:right="72"/>
        <w:contextualSpacing/>
        <w:textAlignment w:val="baseline"/>
        <w:rPr>
          <w:rFonts w:cs="Times New Roman"/>
          <w:color w:val="000000"/>
        </w:rPr>
      </w:pPr>
      <w:r w:rsidRPr="002B6B5C">
        <w:rPr>
          <w:rFonts w:cs="Times New Roman"/>
        </w:rPr>
        <w:tab/>
      </w:r>
      <w:r w:rsidRPr="002B6B5C">
        <w:rPr>
          <w:rFonts w:cs="Times New Roman"/>
        </w:rPr>
        <w:tab/>
      </w:r>
      <w:r w:rsidR="00442CC5" w:rsidRPr="002B6B5C">
        <w:rPr>
          <w:rFonts w:cs="Times New Roman"/>
          <w:color w:val="000000"/>
        </w:rPr>
        <w:t>Section 3314(a) of the Code provides as follows:</w:t>
      </w:r>
    </w:p>
    <w:p w14:paraId="4D6A485E" w14:textId="77777777" w:rsidR="00347E07" w:rsidRPr="002B6B5C" w:rsidRDefault="00347E07" w:rsidP="00347E07">
      <w:pPr>
        <w:ind w:left="72" w:right="72"/>
        <w:contextualSpacing/>
        <w:textAlignment w:val="baseline"/>
        <w:rPr>
          <w:rFonts w:cs="Times New Roman"/>
          <w:color w:val="000000"/>
        </w:rPr>
      </w:pPr>
    </w:p>
    <w:p w14:paraId="4209FD5F" w14:textId="77777777" w:rsidR="00442CC5" w:rsidRPr="002B6B5C" w:rsidRDefault="00442CC5" w:rsidP="00347E07">
      <w:pPr>
        <w:ind w:left="1512" w:right="1440"/>
        <w:contextualSpacing/>
        <w:textAlignment w:val="baseline"/>
        <w:rPr>
          <w:rFonts w:cs="Times New Roman"/>
          <w:color w:val="000000"/>
        </w:rPr>
      </w:pPr>
      <w:r w:rsidRPr="002B6B5C">
        <w:rPr>
          <w:rFonts w:cs="Times New Roman"/>
          <w:color w:val="000000"/>
        </w:rPr>
        <w:lastRenderedPageBreak/>
        <w:t xml:space="preserve">No action for the recovery of any penalties or forfeitures incurred under the provisions of this part, and </w:t>
      </w:r>
      <w:r w:rsidRPr="002B6B5C">
        <w:rPr>
          <w:rFonts w:cs="Times New Roman"/>
          <w:b/>
          <w:bCs/>
          <w:color w:val="000000"/>
        </w:rPr>
        <w:t>no prosecutions</w:t>
      </w:r>
      <w:r w:rsidRPr="002B6B5C">
        <w:rPr>
          <w:rFonts w:cs="Times New Roman"/>
          <w:color w:val="000000"/>
        </w:rPr>
        <w:t xml:space="preserve"> on account of any matter or thing mentioned in this part, </w:t>
      </w:r>
      <w:r w:rsidRPr="002B6B5C">
        <w:rPr>
          <w:rFonts w:cs="Times New Roman"/>
          <w:b/>
          <w:bCs/>
          <w:color w:val="000000"/>
        </w:rPr>
        <w:t>shall be maintained</w:t>
      </w:r>
      <w:r w:rsidRPr="002B6B5C">
        <w:rPr>
          <w:rFonts w:cs="Times New Roman"/>
          <w:color w:val="000000"/>
        </w:rPr>
        <w:t xml:space="preserve"> </w:t>
      </w:r>
      <w:r w:rsidRPr="002B6B5C">
        <w:rPr>
          <w:rFonts w:cs="Times New Roman"/>
          <w:b/>
          <w:bCs/>
          <w:color w:val="000000"/>
        </w:rPr>
        <w:t>unless brought within three years from the date at which the liability therefore arose</w:t>
      </w:r>
      <w:r w:rsidRPr="002B6B5C">
        <w:rPr>
          <w:rFonts w:cs="Times New Roman"/>
          <w:color w:val="000000"/>
        </w:rPr>
        <w:t>, except as otherwise provided in this part.</w:t>
      </w:r>
      <w:r w:rsidRPr="002B6B5C">
        <w:rPr>
          <w:rStyle w:val="FootnoteReference"/>
          <w:color w:val="000000"/>
        </w:rPr>
        <w:footnoteReference w:id="37"/>
      </w:r>
    </w:p>
    <w:p w14:paraId="325643E6" w14:textId="48599620" w:rsidR="00423689" w:rsidRPr="002B6B5C" w:rsidRDefault="00423689" w:rsidP="002B6B5C">
      <w:pPr>
        <w:tabs>
          <w:tab w:val="left" w:pos="-720"/>
        </w:tabs>
        <w:suppressAutoHyphens/>
        <w:spacing w:line="360" w:lineRule="auto"/>
        <w:rPr>
          <w:rFonts w:cs="Times New Roman"/>
        </w:rPr>
      </w:pPr>
      <w:r w:rsidRPr="002B6B5C">
        <w:rPr>
          <w:rFonts w:cs="Times New Roman"/>
        </w:rPr>
        <w:t xml:space="preserve"> </w:t>
      </w:r>
    </w:p>
    <w:p w14:paraId="5EFC415B" w14:textId="4D6E6CA2" w:rsidR="00050B9B" w:rsidRPr="002B6B5C" w:rsidRDefault="00423689" w:rsidP="002B6B5C">
      <w:pPr>
        <w:tabs>
          <w:tab w:val="left" w:pos="-720"/>
        </w:tabs>
        <w:suppressAutoHyphens/>
        <w:spacing w:line="360" w:lineRule="auto"/>
        <w:rPr>
          <w:rFonts w:cs="Times New Roman"/>
        </w:rPr>
      </w:pPr>
      <w:r w:rsidRPr="002B6B5C">
        <w:rPr>
          <w:rFonts w:cs="Times New Roman"/>
        </w:rPr>
        <w:tab/>
      </w:r>
      <w:r w:rsidRPr="002B6B5C">
        <w:rPr>
          <w:rFonts w:cs="Times New Roman"/>
        </w:rPr>
        <w:tab/>
      </w:r>
      <w:r w:rsidR="005232CC" w:rsidRPr="002B6B5C">
        <w:rPr>
          <w:rFonts w:cs="Times New Roman"/>
        </w:rPr>
        <w:t>Generally, the statute of limitations begins to run as soon as the plaintiff could have first maintained an action.</w:t>
      </w:r>
      <w:r w:rsidRPr="002B6B5C">
        <w:rPr>
          <w:rStyle w:val="FootnoteReference"/>
        </w:rPr>
        <w:footnoteReference w:id="38"/>
      </w:r>
      <w:r w:rsidRPr="002B6B5C">
        <w:rPr>
          <w:rFonts w:cs="Times New Roman"/>
        </w:rPr>
        <w:t xml:space="preserve">  However, in certain circumstances, the limitations period can be tolled. </w:t>
      </w:r>
      <w:r w:rsidR="00347E07">
        <w:rPr>
          <w:rFonts w:cs="Times New Roman"/>
        </w:rPr>
        <w:t xml:space="preserve"> </w:t>
      </w:r>
      <w:r w:rsidR="00050B9B" w:rsidRPr="002B6B5C">
        <w:rPr>
          <w:rFonts w:cs="Times New Roman"/>
        </w:rPr>
        <w:t>“</w:t>
      </w:r>
      <w:r w:rsidRPr="002B6B5C">
        <w:rPr>
          <w:rFonts w:cs="Times New Roman"/>
        </w:rPr>
        <w:t>O</w:t>
      </w:r>
      <w:r w:rsidR="00050B9B" w:rsidRPr="002B6B5C">
        <w:rPr>
          <w:rFonts w:cs="Times New Roman"/>
        </w:rPr>
        <w:t xml:space="preserve">ne such instance, entitled the </w:t>
      </w:r>
      <w:r w:rsidR="00E80E51" w:rsidRPr="002B6B5C">
        <w:rPr>
          <w:rFonts w:cs="Times New Roman"/>
        </w:rPr>
        <w:t>‘</w:t>
      </w:r>
      <w:r w:rsidR="00050B9B" w:rsidRPr="002B6B5C">
        <w:rPr>
          <w:rFonts w:cs="Times New Roman"/>
        </w:rPr>
        <w:t xml:space="preserve">discovery rule’ </w:t>
      </w:r>
      <w:r w:rsidR="00E80E51" w:rsidRPr="002B6B5C">
        <w:rPr>
          <w:rFonts w:cs="Times New Roman"/>
        </w:rPr>
        <w:t>is when ‘the injury or its cause was neither known nor reasonably knowable’ to a plaintiff who exercised ‘reasonable diligence’ to learn about the issue.”</w:t>
      </w:r>
      <w:r w:rsidR="004514DE" w:rsidRPr="002B6B5C">
        <w:rPr>
          <w:rStyle w:val="FootnoteReference"/>
        </w:rPr>
        <w:footnoteReference w:id="39"/>
      </w:r>
      <w:r w:rsidR="00E80E51" w:rsidRPr="002B6B5C">
        <w:rPr>
          <w:rFonts w:cs="Times New Roman"/>
        </w:rPr>
        <w:t xml:space="preserve">  </w:t>
      </w:r>
      <w:r w:rsidRPr="002B6B5C">
        <w:rPr>
          <w:rFonts w:cs="Times New Roman"/>
        </w:rPr>
        <w:t>In</w:t>
      </w:r>
      <w:r w:rsidR="00E80E51" w:rsidRPr="002B6B5C">
        <w:rPr>
          <w:rFonts w:cs="Times New Roman"/>
        </w:rPr>
        <w:t xml:space="preserve"> such circumstances, ‘the clock only begins to run once the plaintiff discovers or reasonably should have discovered she was injured by another party’s conduct.</w:t>
      </w:r>
      <w:r w:rsidR="004514DE" w:rsidRPr="002B6B5C">
        <w:rPr>
          <w:rStyle w:val="FootnoteReference"/>
        </w:rPr>
        <w:footnoteReference w:id="40"/>
      </w:r>
      <w:r w:rsidR="00E80E51" w:rsidRPr="002B6B5C">
        <w:rPr>
          <w:rFonts w:cs="Times New Roman"/>
        </w:rPr>
        <w:t xml:space="preserve">  “The discovery rule tolls the limitations period when the injury or its cause were not reasonably knowable.”</w:t>
      </w:r>
      <w:r w:rsidR="004514DE" w:rsidRPr="002B6B5C">
        <w:rPr>
          <w:rStyle w:val="FootnoteReference"/>
        </w:rPr>
        <w:footnoteReference w:id="41"/>
      </w:r>
      <w:r w:rsidR="00E80E51" w:rsidRPr="002B6B5C">
        <w:rPr>
          <w:rFonts w:cs="Times New Roman"/>
        </w:rPr>
        <w:t xml:space="preserve">  “[T]he statute of limitation in subsurface injury runs from the time of discovery of the cause of the harm or when the cause should have reasonably discovered.</w:t>
      </w:r>
      <w:r w:rsidRPr="002B6B5C">
        <w:rPr>
          <w:rFonts w:cs="Times New Roman"/>
        </w:rPr>
        <w:t>”</w:t>
      </w:r>
      <w:r w:rsidR="004514DE" w:rsidRPr="002B6B5C">
        <w:rPr>
          <w:rStyle w:val="FootnoteReference"/>
        </w:rPr>
        <w:footnoteReference w:id="42"/>
      </w:r>
      <w:r w:rsidR="00E80E51" w:rsidRPr="002B6B5C">
        <w:rPr>
          <w:rFonts w:cs="Times New Roman"/>
        </w:rPr>
        <w:t xml:space="preserve">  </w:t>
      </w:r>
    </w:p>
    <w:p w14:paraId="4352D502" w14:textId="5BC27847" w:rsidR="00442CC5" w:rsidRPr="002B6B5C" w:rsidRDefault="00442CC5" w:rsidP="002B6B5C">
      <w:pPr>
        <w:tabs>
          <w:tab w:val="left" w:pos="-720"/>
        </w:tabs>
        <w:suppressAutoHyphens/>
        <w:spacing w:line="360" w:lineRule="auto"/>
        <w:rPr>
          <w:rFonts w:cs="Times New Roman"/>
        </w:rPr>
      </w:pPr>
    </w:p>
    <w:p w14:paraId="4E8D31BB" w14:textId="7CFB8D44" w:rsidR="00442CC5" w:rsidRPr="002B6B5C" w:rsidRDefault="00442CC5" w:rsidP="002B6B5C">
      <w:pPr>
        <w:autoSpaceDE/>
        <w:autoSpaceDN/>
        <w:spacing w:line="360" w:lineRule="auto"/>
        <w:rPr>
          <w:rFonts w:cs="Times New Roman"/>
        </w:rPr>
      </w:pPr>
      <w:r w:rsidRPr="002B6B5C">
        <w:rPr>
          <w:rFonts w:cs="Times New Roman"/>
        </w:rPr>
        <w:tab/>
      </w:r>
      <w:r w:rsidRPr="002B6B5C">
        <w:rPr>
          <w:rFonts w:cs="Times New Roman"/>
        </w:rPr>
        <w:tab/>
        <w:t>The statute of limitations can also be tolled by the doctrine of equitable estoppel.</w:t>
      </w:r>
      <w:r w:rsidRPr="002B6B5C">
        <w:rPr>
          <w:rStyle w:val="FootnoteReference"/>
        </w:rPr>
        <w:footnoteReference w:id="43"/>
      </w:r>
      <w:r w:rsidRPr="002B6B5C">
        <w:rPr>
          <w:rFonts w:cs="Times New Roman"/>
        </w:rPr>
        <w:t xml:space="preserve">  In </w:t>
      </w:r>
      <w:r w:rsidRPr="002B6B5C">
        <w:rPr>
          <w:rFonts w:cs="Times New Roman"/>
          <w:i/>
          <w:iCs/>
        </w:rPr>
        <w:t>Lester Ely v. Pennsylvania American Water Company</w:t>
      </w:r>
      <w:r w:rsidRPr="002B6B5C">
        <w:rPr>
          <w:rFonts w:cs="Times New Roman"/>
        </w:rPr>
        <w:t xml:space="preserve">, the Commission held that the doctrine of equitable estoppel, which is based on the theory of estoppel, tolled the statute of limitations </w:t>
      </w:r>
      <w:r w:rsidRPr="002B6B5C">
        <w:rPr>
          <w:rFonts w:cs="Times New Roman"/>
        </w:rPr>
        <w:lastRenderedPageBreak/>
        <w:t>when respondent’s repeated assurances that it would restore complainant’s driveway caused the complainant to essentially “relax his vigilance.”</w:t>
      </w:r>
      <w:r w:rsidRPr="002B6B5C">
        <w:rPr>
          <w:rStyle w:val="FootnoteReference"/>
        </w:rPr>
        <w:footnoteReference w:id="44"/>
      </w:r>
      <w:r w:rsidRPr="002B6B5C">
        <w:rPr>
          <w:rFonts w:cs="Times New Roman"/>
        </w:rPr>
        <w:t xml:space="preserve">  </w:t>
      </w:r>
    </w:p>
    <w:p w14:paraId="4705B25D" w14:textId="409884EF" w:rsidR="00423689" w:rsidRPr="002B6B5C" w:rsidRDefault="00423689" w:rsidP="002B6B5C">
      <w:pPr>
        <w:tabs>
          <w:tab w:val="left" w:pos="-720"/>
        </w:tabs>
        <w:suppressAutoHyphens/>
        <w:spacing w:line="360" w:lineRule="auto"/>
        <w:rPr>
          <w:rFonts w:cs="Times New Roman"/>
        </w:rPr>
      </w:pPr>
    </w:p>
    <w:p w14:paraId="23F2C2D7" w14:textId="07B49A0B" w:rsidR="00423689" w:rsidRPr="002B6B5C" w:rsidRDefault="00423689" w:rsidP="002B6B5C">
      <w:pPr>
        <w:tabs>
          <w:tab w:val="left" w:pos="-720"/>
        </w:tabs>
        <w:suppressAutoHyphens/>
        <w:spacing w:line="360" w:lineRule="auto"/>
        <w:rPr>
          <w:rFonts w:cs="Times New Roman"/>
        </w:rPr>
      </w:pPr>
      <w:r w:rsidRPr="002B6B5C">
        <w:rPr>
          <w:rFonts w:cs="Times New Roman"/>
        </w:rPr>
        <w:tab/>
      </w:r>
      <w:r w:rsidRPr="002B6B5C">
        <w:rPr>
          <w:rFonts w:cs="Times New Roman"/>
        </w:rPr>
        <w:tab/>
        <w:t>“The defense of the bar of a statute of frauds or statute of limitations can be asserted only in a responsive pleading as new matter under Rule 1030.”</w:t>
      </w:r>
      <w:r w:rsidRPr="002B6B5C">
        <w:rPr>
          <w:rStyle w:val="FootnoteReference"/>
        </w:rPr>
        <w:footnoteReference w:id="45"/>
      </w:r>
      <w:r w:rsidRPr="002B6B5C">
        <w:rPr>
          <w:rFonts w:cs="Times New Roman"/>
        </w:rPr>
        <w:t xml:space="preserve"> </w:t>
      </w:r>
    </w:p>
    <w:p w14:paraId="368640C2" w14:textId="576F251F" w:rsidR="00423689" w:rsidRPr="002B6B5C" w:rsidRDefault="00423689" w:rsidP="002B6B5C">
      <w:pPr>
        <w:tabs>
          <w:tab w:val="left" w:pos="-720"/>
        </w:tabs>
        <w:suppressAutoHyphens/>
        <w:spacing w:line="360" w:lineRule="auto"/>
        <w:rPr>
          <w:rFonts w:cs="Times New Roman"/>
        </w:rPr>
      </w:pPr>
    </w:p>
    <w:p w14:paraId="5DEFFD83" w14:textId="2C40A4E0" w:rsidR="00423689" w:rsidRPr="002B6B5C" w:rsidRDefault="00423689" w:rsidP="00347E07">
      <w:pPr>
        <w:tabs>
          <w:tab w:val="left" w:pos="-720"/>
        </w:tabs>
        <w:suppressAutoHyphens/>
        <w:ind w:left="1440"/>
        <w:rPr>
          <w:rFonts w:cs="Times New Roman"/>
        </w:rPr>
      </w:pPr>
      <w:r w:rsidRPr="002B6B5C">
        <w:rPr>
          <w:rFonts w:cs="Times New Roman"/>
        </w:rPr>
        <w:t xml:space="preserve">Except as provided by subdivision (b), all affirmative defenses including but not limited to the defenses of accord and satisfaction, arbitration and award, consent, discharge in bankruptcy, duress, estoppel, failure of consideration, fair comment, fraud, illegality, immunity from suit, impossibility of performance, justification, laches, license, payment, privilege, release, res judicata, statute of frauds, statute of limitations, truth and waiver </w:t>
      </w:r>
      <w:r w:rsidRPr="002B6B5C">
        <w:rPr>
          <w:rFonts w:cs="Times New Roman"/>
          <w:i/>
          <w:iCs/>
        </w:rPr>
        <w:t>shall be pleaded</w:t>
      </w:r>
      <w:r w:rsidRPr="002B6B5C">
        <w:rPr>
          <w:rFonts w:cs="Times New Roman"/>
        </w:rPr>
        <w:t xml:space="preserve"> </w:t>
      </w:r>
      <w:r w:rsidRPr="002B6B5C">
        <w:rPr>
          <w:rFonts w:cs="Times New Roman"/>
          <w:i/>
          <w:iCs/>
        </w:rPr>
        <w:t>in a responsive pleading under the heading “New Matter</w:t>
      </w:r>
      <w:r w:rsidRPr="002B6B5C">
        <w:rPr>
          <w:rFonts w:cs="Times New Roman"/>
        </w:rPr>
        <w:t>.</w:t>
      </w:r>
      <w:r w:rsidRPr="002B6B5C">
        <w:rPr>
          <w:rStyle w:val="FootnoteReference"/>
        </w:rPr>
        <w:footnoteReference w:id="46"/>
      </w:r>
    </w:p>
    <w:p w14:paraId="59FC2AD4" w14:textId="77777777" w:rsidR="00423689" w:rsidRPr="002B6B5C" w:rsidRDefault="00423689" w:rsidP="002B6B5C">
      <w:pPr>
        <w:tabs>
          <w:tab w:val="left" w:pos="-720"/>
        </w:tabs>
        <w:suppressAutoHyphens/>
        <w:spacing w:line="360" w:lineRule="auto"/>
        <w:rPr>
          <w:rFonts w:cs="Times New Roman"/>
        </w:rPr>
      </w:pPr>
    </w:p>
    <w:p w14:paraId="363094EC" w14:textId="5AA83405" w:rsidR="00423689" w:rsidRPr="002B6B5C" w:rsidRDefault="00423689" w:rsidP="002B6B5C">
      <w:pPr>
        <w:tabs>
          <w:tab w:val="left" w:pos="-720"/>
        </w:tabs>
        <w:suppressAutoHyphens/>
        <w:spacing w:line="360" w:lineRule="auto"/>
        <w:rPr>
          <w:rFonts w:cs="Times New Roman"/>
          <w:u w:val="single"/>
        </w:rPr>
      </w:pPr>
      <w:r w:rsidRPr="002B6B5C">
        <w:rPr>
          <w:rFonts w:cs="Times New Roman"/>
        </w:rPr>
        <w:t>“A party waives all defenses and objections which are not presented either by preliminary objection, answer or reply, except a defense which is not required to be pleaded under Rule 1030(b).”</w:t>
      </w:r>
      <w:r w:rsidRPr="002B6B5C">
        <w:rPr>
          <w:rStyle w:val="FootnoteReference"/>
        </w:rPr>
        <w:footnoteReference w:id="47"/>
      </w:r>
    </w:p>
    <w:p w14:paraId="57B4FF7F" w14:textId="55BA8A72" w:rsidR="005232CC" w:rsidRPr="002B6B5C" w:rsidRDefault="005232CC" w:rsidP="002B6B5C">
      <w:pPr>
        <w:tabs>
          <w:tab w:val="left" w:pos="-720"/>
        </w:tabs>
        <w:suppressAutoHyphens/>
        <w:spacing w:line="360" w:lineRule="auto"/>
        <w:ind w:firstLine="1440"/>
        <w:rPr>
          <w:rFonts w:cs="Times New Roman"/>
        </w:rPr>
      </w:pPr>
    </w:p>
    <w:p w14:paraId="705E130C" w14:textId="5967767E" w:rsidR="005232CC" w:rsidRPr="002B6B5C" w:rsidRDefault="005232CC" w:rsidP="002B6B5C">
      <w:pPr>
        <w:tabs>
          <w:tab w:val="left" w:pos="-720"/>
        </w:tabs>
        <w:suppressAutoHyphens/>
        <w:spacing w:line="360" w:lineRule="auto"/>
        <w:rPr>
          <w:rFonts w:cs="Times New Roman"/>
          <w:u w:val="single"/>
        </w:rPr>
      </w:pPr>
      <w:r w:rsidRPr="002B6B5C">
        <w:rPr>
          <w:rFonts w:cs="Times New Roman"/>
          <w:u w:val="single"/>
        </w:rPr>
        <w:t xml:space="preserve">Analysis </w:t>
      </w:r>
    </w:p>
    <w:p w14:paraId="01E08E1F" w14:textId="1EB8DCFB" w:rsidR="00B56539" w:rsidRPr="002B6B5C" w:rsidRDefault="00B56539" w:rsidP="002B6B5C">
      <w:pPr>
        <w:tabs>
          <w:tab w:val="left" w:pos="-720"/>
        </w:tabs>
        <w:suppressAutoHyphens/>
        <w:spacing w:line="360" w:lineRule="auto"/>
        <w:ind w:firstLine="1440"/>
        <w:rPr>
          <w:rFonts w:cs="Times New Roman"/>
        </w:rPr>
      </w:pPr>
    </w:p>
    <w:p w14:paraId="6F683B2E" w14:textId="721C033A" w:rsidR="00F040DC" w:rsidRDefault="00F040DC" w:rsidP="002B6B5C">
      <w:pPr>
        <w:tabs>
          <w:tab w:val="left" w:pos="-720"/>
        </w:tabs>
        <w:suppressAutoHyphens/>
        <w:spacing w:line="360" w:lineRule="auto"/>
        <w:ind w:firstLine="1440"/>
        <w:rPr>
          <w:rFonts w:cs="Times New Roman"/>
        </w:rPr>
      </w:pPr>
      <w:r w:rsidRPr="002B6B5C">
        <w:rPr>
          <w:rFonts w:cs="Times New Roman"/>
          <w:color w:val="000000"/>
        </w:rPr>
        <w:t xml:space="preserve">Although the Company did not </w:t>
      </w:r>
      <w:r w:rsidRPr="002B6B5C">
        <w:rPr>
          <w:rFonts w:cs="Times New Roman"/>
        </w:rPr>
        <w:t>assert a statute of limitations defense in any responsive pleading, the undersigned now considers the statute of limitations defense on the merits so as to make a clear ruling for the parties as they proceed with the litigation in this matter.</w:t>
      </w:r>
    </w:p>
    <w:p w14:paraId="37B4BFBB" w14:textId="77777777" w:rsidR="00110550" w:rsidRPr="002B6B5C" w:rsidRDefault="00110550" w:rsidP="002B6B5C">
      <w:pPr>
        <w:tabs>
          <w:tab w:val="left" w:pos="-720"/>
        </w:tabs>
        <w:suppressAutoHyphens/>
        <w:spacing w:line="360" w:lineRule="auto"/>
        <w:ind w:firstLine="1440"/>
        <w:rPr>
          <w:rFonts w:cs="Times New Roman"/>
        </w:rPr>
      </w:pPr>
    </w:p>
    <w:p w14:paraId="6A9343FA" w14:textId="0959EF2A" w:rsidR="00E95F78" w:rsidRPr="002B6B5C" w:rsidRDefault="00442CC5" w:rsidP="002B6B5C">
      <w:pPr>
        <w:tabs>
          <w:tab w:val="left" w:pos="-720"/>
        </w:tabs>
        <w:suppressAutoHyphens/>
        <w:spacing w:line="360" w:lineRule="auto"/>
        <w:ind w:firstLine="1440"/>
        <w:rPr>
          <w:rFonts w:cs="Times New Roman"/>
        </w:rPr>
      </w:pPr>
      <w:r w:rsidRPr="002B6B5C">
        <w:rPr>
          <w:rFonts w:cs="Times New Roman"/>
        </w:rPr>
        <w:t xml:space="preserve">In this case, </w:t>
      </w:r>
      <w:r w:rsidR="00E95F78" w:rsidRPr="002B6B5C">
        <w:rPr>
          <w:rFonts w:cs="Times New Roman"/>
        </w:rPr>
        <w:t>Complainants aver that, sometime prior to September 2018, Columbia installed a gas line in the vicinity of Scenery Drive along and/or within the property line of the subject properties.</w:t>
      </w:r>
      <w:r w:rsidR="00E95F78" w:rsidRPr="002B6B5C">
        <w:rPr>
          <w:rStyle w:val="FootnoteReference"/>
        </w:rPr>
        <w:footnoteReference w:id="48"/>
      </w:r>
      <w:r w:rsidR="00E95F78" w:rsidRPr="002B6B5C">
        <w:rPr>
          <w:rFonts w:cs="Times New Roman"/>
        </w:rPr>
        <w:t xml:space="preserve">  Complainants also aver that in or about September 2018, a </w:t>
      </w:r>
      <w:r w:rsidR="00E95F78" w:rsidRPr="002B6B5C">
        <w:rPr>
          <w:rFonts w:cs="Times New Roman"/>
        </w:rPr>
        <w:lastRenderedPageBreak/>
        <w:t>landslide occurred near and/or along Scenery Drive</w:t>
      </w:r>
      <w:r w:rsidR="00E95F78" w:rsidRPr="002B6B5C">
        <w:rPr>
          <w:rStyle w:val="FootnoteReference"/>
        </w:rPr>
        <w:footnoteReference w:id="49"/>
      </w:r>
      <w:r w:rsidR="00D40B94" w:rsidRPr="002B6B5C">
        <w:rPr>
          <w:rFonts w:cs="Times New Roman"/>
        </w:rPr>
        <w:t xml:space="preserve"> and </w:t>
      </w:r>
      <w:r w:rsidR="00E95F78" w:rsidRPr="002B6B5C">
        <w:rPr>
          <w:rFonts w:cs="Times New Roman"/>
        </w:rPr>
        <w:t>the landslide was caused by Columbia’s improper gas line installation, including but not limited to failure to use proper materials, failure to compact properly, and failure to properly repair the trench after settlement occurred.</w:t>
      </w:r>
      <w:r w:rsidR="00E95F78" w:rsidRPr="002B6B5C">
        <w:rPr>
          <w:rStyle w:val="FootnoteReference"/>
        </w:rPr>
        <w:footnoteReference w:id="50"/>
      </w:r>
      <w:r w:rsidR="00E95F78" w:rsidRPr="002B6B5C">
        <w:rPr>
          <w:rFonts w:cs="Times New Roman"/>
        </w:rPr>
        <w:t xml:space="preserve">  Complainants allege that the landslide damaged the subject properties as well as the gas line.</w:t>
      </w:r>
      <w:r w:rsidR="00E95F78" w:rsidRPr="002B6B5C">
        <w:rPr>
          <w:rStyle w:val="FootnoteReference"/>
        </w:rPr>
        <w:footnoteReference w:id="51"/>
      </w:r>
      <w:r w:rsidR="00E95F78" w:rsidRPr="002B6B5C">
        <w:rPr>
          <w:rFonts w:cs="Times New Roman"/>
        </w:rPr>
        <w:t xml:space="preserve">  </w:t>
      </w:r>
    </w:p>
    <w:p w14:paraId="4B355030" w14:textId="57522CE2" w:rsidR="00901C9C" w:rsidRPr="002B6B5C" w:rsidRDefault="00901C9C" w:rsidP="002B6B5C">
      <w:pPr>
        <w:tabs>
          <w:tab w:val="left" w:pos="-720"/>
        </w:tabs>
        <w:suppressAutoHyphens/>
        <w:spacing w:line="360" w:lineRule="auto"/>
        <w:ind w:firstLine="1440"/>
        <w:rPr>
          <w:rFonts w:cs="Times New Roman"/>
        </w:rPr>
      </w:pPr>
    </w:p>
    <w:p w14:paraId="56410573" w14:textId="13F95722" w:rsidR="00377680" w:rsidRPr="002B6B5C" w:rsidRDefault="00901C9C" w:rsidP="002B6B5C">
      <w:pPr>
        <w:spacing w:line="360" w:lineRule="auto"/>
        <w:ind w:left="72"/>
        <w:contextualSpacing/>
        <w:textAlignment w:val="baseline"/>
        <w:rPr>
          <w:rFonts w:cs="Times New Roman"/>
          <w:color w:val="000000"/>
        </w:rPr>
      </w:pPr>
      <w:r w:rsidRPr="002B6B5C">
        <w:rPr>
          <w:rFonts w:cs="Times New Roman"/>
          <w:color w:val="000000"/>
        </w:rPr>
        <w:tab/>
      </w:r>
      <w:r w:rsidRPr="002B6B5C">
        <w:rPr>
          <w:rFonts w:cs="Times New Roman"/>
          <w:color w:val="000000"/>
        </w:rPr>
        <w:tab/>
        <w:t xml:space="preserve">The act or omission on the part of the Company that Complainants complain of is the alleged improper installation of gas line.  The Amended Complaint does not specifically aver when the installation occurred, alleging only that it was sometime before </w:t>
      </w:r>
      <w:r w:rsidR="007D02D1" w:rsidRPr="002B6B5C">
        <w:rPr>
          <w:rFonts w:cs="Times New Roman"/>
          <w:color w:val="000000"/>
        </w:rPr>
        <w:t xml:space="preserve">September </w:t>
      </w:r>
      <w:r w:rsidRPr="002B6B5C">
        <w:rPr>
          <w:rFonts w:cs="Times New Roman"/>
          <w:color w:val="000000"/>
        </w:rPr>
        <w:t xml:space="preserve">2018.  The Company avers in its Answer and Motion that </w:t>
      </w:r>
      <w:r w:rsidR="00377680" w:rsidRPr="002B6B5C">
        <w:rPr>
          <w:rFonts w:cs="Times New Roman"/>
          <w:color w:val="000000"/>
        </w:rPr>
        <w:t>the installation</w:t>
      </w:r>
      <w:r w:rsidRPr="002B6B5C">
        <w:rPr>
          <w:rFonts w:cs="Times New Roman"/>
          <w:color w:val="000000"/>
        </w:rPr>
        <w:t xml:space="preserve"> occurred in 2012</w:t>
      </w:r>
      <w:r w:rsidR="00F040DC" w:rsidRPr="002B6B5C">
        <w:rPr>
          <w:rFonts w:cs="Times New Roman"/>
          <w:color w:val="000000"/>
        </w:rPr>
        <w:t>,</w:t>
      </w:r>
      <w:r w:rsidRPr="002B6B5C">
        <w:rPr>
          <w:rFonts w:cs="Times New Roman"/>
          <w:color w:val="000000"/>
        </w:rPr>
        <w:t xml:space="preserve"> and Complainants do not dispute this in </w:t>
      </w:r>
      <w:r w:rsidR="00F040DC" w:rsidRPr="002B6B5C">
        <w:rPr>
          <w:rFonts w:cs="Times New Roman"/>
          <w:color w:val="000000"/>
        </w:rPr>
        <w:t>their</w:t>
      </w:r>
      <w:r w:rsidRPr="002B6B5C">
        <w:rPr>
          <w:rFonts w:cs="Times New Roman"/>
          <w:color w:val="000000"/>
        </w:rPr>
        <w:t xml:space="preserve"> Answer to the Motion.  </w:t>
      </w:r>
      <w:r w:rsidR="00377680" w:rsidRPr="002B6B5C">
        <w:rPr>
          <w:rFonts w:cs="Times New Roman"/>
          <w:color w:val="000000"/>
        </w:rPr>
        <w:t>It</w:t>
      </w:r>
      <w:r w:rsidR="00072698" w:rsidRPr="002B6B5C">
        <w:rPr>
          <w:rFonts w:cs="Times New Roman"/>
          <w:color w:val="000000"/>
        </w:rPr>
        <w:t xml:space="preserve"> is unclear whether the</w:t>
      </w:r>
      <w:r w:rsidR="00377680" w:rsidRPr="002B6B5C">
        <w:rPr>
          <w:rFonts w:cs="Times New Roman"/>
          <w:color w:val="000000"/>
        </w:rPr>
        <w:t xml:space="preserve"> date of installation </w:t>
      </w:r>
      <w:r w:rsidR="00072698" w:rsidRPr="002B6B5C">
        <w:rPr>
          <w:rFonts w:cs="Times New Roman"/>
          <w:color w:val="000000"/>
        </w:rPr>
        <w:t>is</w:t>
      </w:r>
      <w:r w:rsidR="00377680" w:rsidRPr="002B6B5C">
        <w:rPr>
          <w:rFonts w:cs="Times New Roman"/>
          <w:color w:val="000000"/>
        </w:rPr>
        <w:t xml:space="preserve"> in dispute.  </w:t>
      </w:r>
    </w:p>
    <w:p w14:paraId="5FF6D831" w14:textId="77777777" w:rsidR="00377680" w:rsidRPr="002B6B5C" w:rsidRDefault="00377680" w:rsidP="002B6B5C">
      <w:pPr>
        <w:spacing w:line="360" w:lineRule="auto"/>
        <w:ind w:left="72"/>
        <w:contextualSpacing/>
        <w:textAlignment w:val="baseline"/>
        <w:rPr>
          <w:rFonts w:cs="Times New Roman"/>
          <w:color w:val="000000"/>
        </w:rPr>
      </w:pPr>
    </w:p>
    <w:p w14:paraId="7C25680B" w14:textId="3FEF0E8C" w:rsidR="00377680" w:rsidRPr="002B6B5C" w:rsidRDefault="00377680" w:rsidP="002B6B5C">
      <w:pPr>
        <w:spacing w:line="360" w:lineRule="auto"/>
        <w:ind w:left="72"/>
        <w:contextualSpacing/>
        <w:textAlignment w:val="baseline"/>
        <w:rPr>
          <w:rFonts w:cs="Times New Roman"/>
          <w:color w:val="000000"/>
        </w:rPr>
      </w:pPr>
      <w:r w:rsidRPr="002B6B5C">
        <w:rPr>
          <w:rFonts w:cs="Times New Roman"/>
          <w:color w:val="000000"/>
        </w:rPr>
        <w:tab/>
      </w:r>
      <w:r w:rsidRPr="002B6B5C">
        <w:rPr>
          <w:rFonts w:cs="Times New Roman"/>
          <w:color w:val="000000"/>
        </w:rPr>
        <w:tab/>
      </w:r>
      <w:r w:rsidR="00072698" w:rsidRPr="002B6B5C">
        <w:rPr>
          <w:rFonts w:cs="Times New Roman"/>
          <w:color w:val="000000"/>
        </w:rPr>
        <w:t>A</w:t>
      </w:r>
      <w:r w:rsidRPr="002B6B5C">
        <w:rPr>
          <w:rFonts w:cs="Times New Roman"/>
          <w:color w:val="000000"/>
        </w:rPr>
        <w:t>ssuming</w:t>
      </w:r>
      <w:r w:rsidR="00072698" w:rsidRPr="002B6B5C">
        <w:rPr>
          <w:rFonts w:cs="Times New Roman"/>
          <w:color w:val="000000"/>
        </w:rPr>
        <w:t>, however, that</w:t>
      </w:r>
      <w:r w:rsidRPr="002B6B5C">
        <w:rPr>
          <w:rFonts w:cs="Times New Roman"/>
          <w:color w:val="000000"/>
        </w:rPr>
        <w:t xml:space="preserve"> the parties agree that the installation occurred in 2012, the Company argues the statute of limitations began running at the date of installation in 2012 and bars any claim brought more than three years from that date, or after 2015.  Complainants argue that the statute of limitations </w:t>
      </w:r>
      <w:r w:rsidR="00D40B94" w:rsidRPr="002B6B5C">
        <w:rPr>
          <w:rFonts w:cs="Times New Roman"/>
          <w:color w:val="000000"/>
        </w:rPr>
        <w:t>was tolled until</w:t>
      </w:r>
      <w:r w:rsidR="0000514A" w:rsidRPr="002B6B5C">
        <w:rPr>
          <w:rFonts w:cs="Times New Roman"/>
          <w:color w:val="000000"/>
        </w:rPr>
        <w:t xml:space="preserve"> </w:t>
      </w:r>
      <w:r w:rsidR="007D02D1" w:rsidRPr="002B6B5C">
        <w:rPr>
          <w:rFonts w:cs="Times New Roman"/>
          <w:color w:val="000000"/>
        </w:rPr>
        <w:t xml:space="preserve">September </w:t>
      </w:r>
      <w:r w:rsidR="0000514A" w:rsidRPr="002B6B5C">
        <w:rPr>
          <w:rFonts w:cs="Times New Roman"/>
          <w:color w:val="000000"/>
        </w:rPr>
        <w:t>2018</w:t>
      </w:r>
      <w:r w:rsidR="00D40B94" w:rsidRPr="002B6B5C">
        <w:rPr>
          <w:rFonts w:cs="Times New Roman"/>
          <w:color w:val="000000"/>
        </w:rPr>
        <w:t xml:space="preserve">, </w:t>
      </w:r>
      <w:r w:rsidR="0000514A" w:rsidRPr="002B6B5C">
        <w:rPr>
          <w:rFonts w:cs="Times New Roman"/>
          <w:color w:val="000000"/>
        </w:rPr>
        <w:t xml:space="preserve">the date of the landslide, because that was the </w:t>
      </w:r>
      <w:r w:rsidR="00ED412C" w:rsidRPr="002B6B5C">
        <w:rPr>
          <w:rFonts w:cs="Times New Roman"/>
          <w:color w:val="000000"/>
        </w:rPr>
        <w:t>earliest,</w:t>
      </w:r>
      <w:r w:rsidR="0000514A" w:rsidRPr="002B6B5C">
        <w:rPr>
          <w:rFonts w:cs="Times New Roman"/>
          <w:color w:val="000000"/>
        </w:rPr>
        <w:t xml:space="preserve"> they could have known </w:t>
      </w:r>
      <w:r w:rsidR="00D40B94" w:rsidRPr="002B6B5C">
        <w:rPr>
          <w:rFonts w:cs="Times New Roman"/>
          <w:color w:val="000000"/>
        </w:rPr>
        <w:t xml:space="preserve">of the alleged faulty installation.  </w:t>
      </w:r>
    </w:p>
    <w:p w14:paraId="57AC7B5B" w14:textId="0F053E2F" w:rsidR="00D40B94" w:rsidRPr="002B6B5C" w:rsidRDefault="00D40B94" w:rsidP="002B6B5C">
      <w:pPr>
        <w:spacing w:line="360" w:lineRule="auto"/>
        <w:ind w:left="72"/>
        <w:contextualSpacing/>
        <w:textAlignment w:val="baseline"/>
        <w:rPr>
          <w:rFonts w:cs="Times New Roman"/>
          <w:color w:val="000000"/>
        </w:rPr>
      </w:pPr>
    </w:p>
    <w:p w14:paraId="572F48AC" w14:textId="6EE97878" w:rsidR="00D40B94" w:rsidRPr="002B6B5C" w:rsidRDefault="00D40B94" w:rsidP="002B6B5C">
      <w:pPr>
        <w:spacing w:line="360" w:lineRule="auto"/>
        <w:ind w:left="72"/>
        <w:contextualSpacing/>
        <w:textAlignment w:val="baseline"/>
        <w:rPr>
          <w:rFonts w:cs="Times New Roman"/>
          <w:color w:val="000000"/>
        </w:rPr>
      </w:pPr>
      <w:r w:rsidRPr="002B6B5C">
        <w:rPr>
          <w:rFonts w:cs="Times New Roman"/>
          <w:color w:val="000000"/>
        </w:rPr>
        <w:tab/>
      </w:r>
      <w:r w:rsidRPr="002B6B5C">
        <w:rPr>
          <w:rFonts w:cs="Times New Roman"/>
          <w:color w:val="000000"/>
        </w:rPr>
        <w:tab/>
        <w:t xml:space="preserve">In this case, there is no dispute that the gas main was installed </w:t>
      </w:r>
      <w:r w:rsidR="00414DBF" w:rsidRPr="002B6B5C">
        <w:rPr>
          <w:rFonts w:cs="Times New Roman"/>
          <w:color w:val="000000"/>
        </w:rPr>
        <w:t>underground,</w:t>
      </w:r>
      <w:r w:rsidRPr="002B6B5C">
        <w:rPr>
          <w:rFonts w:cs="Times New Roman"/>
          <w:color w:val="000000"/>
        </w:rPr>
        <w:t xml:space="preserve"> and Complainants aver that the first they became aware of the alleged faulty installation was in</w:t>
      </w:r>
      <w:r w:rsidR="007D02D1" w:rsidRPr="002B6B5C">
        <w:rPr>
          <w:rFonts w:cs="Times New Roman"/>
          <w:color w:val="000000"/>
        </w:rPr>
        <w:t xml:space="preserve"> September</w:t>
      </w:r>
      <w:r w:rsidRPr="002B6B5C">
        <w:rPr>
          <w:rFonts w:cs="Times New Roman"/>
          <w:color w:val="000000"/>
        </w:rPr>
        <w:t xml:space="preserve"> 2018 when the faulty installation allegedly caused the landslide.  </w:t>
      </w:r>
    </w:p>
    <w:p w14:paraId="1D5C1D72" w14:textId="71E25482" w:rsidR="00D40B94" w:rsidRPr="002B6B5C" w:rsidRDefault="00D40B94" w:rsidP="002B6B5C">
      <w:pPr>
        <w:spacing w:line="360" w:lineRule="auto"/>
        <w:ind w:left="72"/>
        <w:contextualSpacing/>
        <w:textAlignment w:val="baseline"/>
        <w:rPr>
          <w:rFonts w:cs="Times New Roman"/>
          <w:color w:val="000000"/>
        </w:rPr>
      </w:pPr>
    </w:p>
    <w:p w14:paraId="7B0B96EC" w14:textId="5F9073CA" w:rsidR="00901C9C" w:rsidRPr="002B6B5C" w:rsidRDefault="00D40B94" w:rsidP="002B6B5C">
      <w:pPr>
        <w:spacing w:line="360" w:lineRule="auto"/>
        <w:ind w:left="72"/>
        <w:contextualSpacing/>
        <w:textAlignment w:val="baseline"/>
        <w:rPr>
          <w:rFonts w:cs="Times New Roman"/>
          <w:color w:val="000000"/>
          <w:w w:val="107"/>
        </w:rPr>
      </w:pPr>
      <w:r w:rsidRPr="002B6B5C">
        <w:rPr>
          <w:rFonts w:cs="Times New Roman"/>
        </w:rPr>
        <w:tab/>
      </w:r>
      <w:r w:rsidRPr="002B6B5C">
        <w:rPr>
          <w:rFonts w:cs="Times New Roman"/>
        </w:rPr>
        <w:tab/>
        <w:t xml:space="preserve">Considering the averments in the Amended Complaint in the light most favorable to Complainants, the Company installed an underground gas main in 2012, and had no reason to suspect anything was wrong with the installation until </w:t>
      </w:r>
      <w:r w:rsidR="007D02D1" w:rsidRPr="002B6B5C">
        <w:rPr>
          <w:rFonts w:cs="Times New Roman"/>
          <w:color w:val="000000"/>
        </w:rPr>
        <w:t xml:space="preserve">September </w:t>
      </w:r>
      <w:r w:rsidRPr="002B6B5C">
        <w:rPr>
          <w:rFonts w:cs="Times New Roman"/>
        </w:rPr>
        <w:t xml:space="preserve">2018 when the landslide </w:t>
      </w:r>
      <w:r w:rsidRPr="002B6B5C">
        <w:rPr>
          <w:rFonts w:cs="Times New Roman"/>
        </w:rPr>
        <w:lastRenderedPageBreak/>
        <w:t xml:space="preserve">occurred.  </w:t>
      </w:r>
      <w:r w:rsidR="007D02D1" w:rsidRPr="002B6B5C">
        <w:rPr>
          <w:rFonts w:cs="Times New Roman"/>
        </w:rPr>
        <w:t>Therefore,</w:t>
      </w:r>
      <w:r w:rsidRPr="002B6B5C">
        <w:rPr>
          <w:rFonts w:cs="Times New Roman"/>
        </w:rPr>
        <w:t xml:space="preserve"> the statute of limitations was tolled until the landslide occurred in </w:t>
      </w:r>
      <w:r w:rsidR="007D02D1" w:rsidRPr="002B6B5C">
        <w:rPr>
          <w:rFonts w:cs="Times New Roman"/>
          <w:color w:val="000000"/>
        </w:rPr>
        <w:t xml:space="preserve">September </w:t>
      </w:r>
      <w:r w:rsidRPr="002B6B5C">
        <w:rPr>
          <w:rFonts w:cs="Times New Roman"/>
        </w:rPr>
        <w:t>2018.  Therefore, the</w:t>
      </w:r>
      <w:r w:rsidR="007D02D1" w:rsidRPr="002B6B5C">
        <w:rPr>
          <w:rFonts w:cs="Times New Roman"/>
        </w:rPr>
        <w:t xml:space="preserve"> three-year</w:t>
      </w:r>
      <w:r w:rsidRPr="002B6B5C">
        <w:rPr>
          <w:rFonts w:cs="Times New Roman"/>
        </w:rPr>
        <w:t xml:space="preserve"> statute of limitations in this </w:t>
      </w:r>
      <w:r w:rsidR="007D02D1" w:rsidRPr="002B6B5C">
        <w:rPr>
          <w:rFonts w:cs="Times New Roman"/>
        </w:rPr>
        <w:t xml:space="preserve">case began running in </w:t>
      </w:r>
      <w:r w:rsidR="007D02D1" w:rsidRPr="002B6B5C">
        <w:rPr>
          <w:rFonts w:cs="Times New Roman"/>
          <w:color w:val="000000"/>
        </w:rPr>
        <w:t>September</w:t>
      </w:r>
      <w:r w:rsidR="007D02D1" w:rsidRPr="002B6B5C">
        <w:rPr>
          <w:rFonts w:cs="Times New Roman"/>
        </w:rPr>
        <w:t xml:space="preserve"> 2018 and bars claims brought three years after that date, or September 2021.</w:t>
      </w:r>
      <w:r w:rsidR="007D02D1" w:rsidRPr="002B6B5C">
        <w:rPr>
          <w:rFonts w:cs="Times New Roman"/>
          <w:color w:val="000000"/>
        </w:rPr>
        <w:t xml:space="preserve">  </w:t>
      </w:r>
      <w:r w:rsidR="00901C9C" w:rsidRPr="002B6B5C">
        <w:rPr>
          <w:rFonts w:cs="Times New Roman"/>
          <w:color w:val="000000"/>
        </w:rPr>
        <w:t xml:space="preserve">The original Complaint in this proceeding was filed on </w:t>
      </w:r>
      <w:r w:rsidR="00901C9C" w:rsidRPr="002B6B5C">
        <w:rPr>
          <w:rFonts w:cs="Times New Roman"/>
          <w:color w:val="000000"/>
          <w:w w:val="107"/>
        </w:rPr>
        <w:t>August 6, 2020</w:t>
      </w:r>
      <w:r w:rsidR="007D02D1" w:rsidRPr="002B6B5C">
        <w:rPr>
          <w:rFonts w:cs="Times New Roman"/>
          <w:color w:val="000000"/>
          <w:w w:val="107"/>
        </w:rPr>
        <w:t xml:space="preserve">, a date within the statute of limitations.  </w:t>
      </w:r>
    </w:p>
    <w:p w14:paraId="4636607F" w14:textId="06C20E17" w:rsidR="008D3109" w:rsidRPr="002B6B5C" w:rsidRDefault="008D3109" w:rsidP="002B6B5C">
      <w:pPr>
        <w:spacing w:line="360" w:lineRule="auto"/>
        <w:ind w:left="72"/>
        <w:contextualSpacing/>
        <w:textAlignment w:val="baseline"/>
        <w:rPr>
          <w:rFonts w:cs="Times New Roman"/>
          <w:color w:val="000000"/>
        </w:rPr>
      </w:pPr>
    </w:p>
    <w:p w14:paraId="4C772092" w14:textId="77777777" w:rsidR="008D3109" w:rsidRPr="002B6B5C" w:rsidRDefault="008D3109" w:rsidP="002B6B5C">
      <w:pPr>
        <w:widowControl w:val="0"/>
        <w:adjustRightInd w:val="0"/>
        <w:spacing w:line="360" w:lineRule="auto"/>
        <w:jc w:val="center"/>
        <w:rPr>
          <w:rFonts w:cs="Times New Roman"/>
          <w:color w:val="000000"/>
          <w:w w:val="107"/>
        </w:rPr>
      </w:pPr>
      <w:r w:rsidRPr="002B6B5C">
        <w:rPr>
          <w:rFonts w:cs="Times New Roman"/>
          <w:u w:val="single"/>
        </w:rPr>
        <w:t>ORDER</w:t>
      </w:r>
    </w:p>
    <w:p w14:paraId="11295D5B" w14:textId="77777777" w:rsidR="008D3109" w:rsidRPr="002B6B5C" w:rsidRDefault="008D3109" w:rsidP="002B6B5C">
      <w:pPr>
        <w:spacing w:line="360" w:lineRule="auto"/>
        <w:jc w:val="center"/>
        <w:rPr>
          <w:rFonts w:cs="Times New Roman"/>
        </w:rPr>
      </w:pPr>
    </w:p>
    <w:p w14:paraId="7AEF1724" w14:textId="77777777" w:rsidR="008D3109" w:rsidRPr="002B6B5C" w:rsidRDefault="008D3109" w:rsidP="002B6B5C">
      <w:pPr>
        <w:spacing w:line="360" w:lineRule="auto"/>
        <w:rPr>
          <w:rFonts w:cs="Times New Roman"/>
        </w:rPr>
      </w:pPr>
    </w:p>
    <w:p w14:paraId="4157AAED" w14:textId="77777777" w:rsidR="008D3109" w:rsidRPr="002B6B5C" w:rsidRDefault="008D3109" w:rsidP="002B6B5C">
      <w:pPr>
        <w:spacing w:line="360" w:lineRule="auto"/>
        <w:rPr>
          <w:rFonts w:cs="Times New Roman"/>
        </w:rPr>
      </w:pPr>
      <w:r w:rsidRPr="002B6B5C">
        <w:rPr>
          <w:rFonts w:cs="Times New Roman"/>
        </w:rPr>
        <w:tab/>
      </w:r>
      <w:r w:rsidRPr="002B6B5C">
        <w:rPr>
          <w:rFonts w:cs="Times New Roman"/>
        </w:rPr>
        <w:tab/>
        <w:t>THEREFORE,</w:t>
      </w:r>
    </w:p>
    <w:p w14:paraId="5B4520D6" w14:textId="77777777" w:rsidR="008D3109" w:rsidRPr="002B6B5C" w:rsidRDefault="008D3109" w:rsidP="002B6B5C">
      <w:pPr>
        <w:spacing w:line="360" w:lineRule="auto"/>
        <w:rPr>
          <w:rFonts w:cs="Times New Roman"/>
        </w:rPr>
      </w:pPr>
    </w:p>
    <w:p w14:paraId="2F0B3D81" w14:textId="7B26A012" w:rsidR="008D3109" w:rsidRPr="002B6B5C" w:rsidRDefault="008D3109" w:rsidP="002B6B5C">
      <w:pPr>
        <w:spacing w:line="360" w:lineRule="auto"/>
        <w:rPr>
          <w:rFonts w:cs="Times New Roman"/>
        </w:rPr>
      </w:pPr>
      <w:r w:rsidRPr="002B6B5C">
        <w:rPr>
          <w:rFonts w:cs="Times New Roman"/>
        </w:rPr>
        <w:tab/>
      </w:r>
      <w:r w:rsidRPr="002B6B5C">
        <w:rPr>
          <w:rFonts w:cs="Times New Roman"/>
        </w:rPr>
        <w:tab/>
        <w:t>IT IS ORDERED:</w:t>
      </w:r>
    </w:p>
    <w:p w14:paraId="778BF3F8" w14:textId="77777777" w:rsidR="008D3109" w:rsidRPr="002B6B5C" w:rsidRDefault="008D3109" w:rsidP="002B6B5C">
      <w:pPr>
        <w:tabs>
          <w:tab w:val="left" w:pos="-720"/>
        </w:tabs>
        <w:suppressAutoHyphens/>
        <w:spacing w:line="360" w:lineRule="auto"/>
        <w:ind w:firstLine="1440"/>
        <w:rPr>
          <w:rFonts w:cs="Times New Roman"/>
          <w:spacing w:val="-3"/>
        </w:rPr>
      </w:pPr>
    </w:p>
    <w:p w14:paraId="66DF0DD3" w14:textId="7BB87FD0" w:rsidR="000E3423" w:rsidRPr="002B6B5C" w:rsidRDefault="000E3423" w:rsidP="002B6B5C">
      <w:pPr>
        <w:tabs>
          <w:tab w:val="left" w:pos="-720"/>
        </w:tabs>
        <w:suppressAutoHyphens/>
        <w:spacing w:line="360" w:lineRule="auto"/>
        <w:ind w:firstLine="1440"/>
        <w:rPr>
          <w:rFonts w:cs="Times New Roman"/>
          <w:spacing w:val="-3"/>
        </w:rPr>
      </w:pPr>
      <w:r w:rsidRPr="002B6B5C">
        <w:rPr>
          <w:rFonts w:cs="Times New Roman"/>
          <w:spacing w:val="-3"/>
        </w:rPr>
        <w:t>1.</w:t>
      </w:r>
      <w:r w:rsidRPr="002B6B5C">
        <w:rPr>
          <w:rFonts w:cs="Times New Roman"/>
          <w:spacing w:val="-3"/>
        </w:rPr>
        <w:tab/>
        <w:t>T</w:t>
      </w:r>
      <w:r w:rsidR="00F040DC" w:rsidRPr="002B6B5C">
        <w:rPr>
          <w:rFonts w:cs="Times New Roman"/>
          <w:spacing w:val="-3"/>
        </w:rPr>
        <w:t>hat t</w:t>
      </w:r>
      <w:r w:rsidRPr="002B6B5C">
        <w:rPr>
          <w:rFonts w:cs="Times New Roman"/>
          <w:spacing w:val="-3"/>
        </w:rPr>
        <w:t xml:space="preserve">he Company’s </w:t>
      </w:r>
      <w:r w:rsidR="00F040DC" w:rsidRPr="002B6B5C">
        <w:rPr>
          <w:rFonts w:cs="Times New Roman"/>
          <w:spacing w:val="-3"/>
        </w:rPr>
        <w:t>Motion for Judgment on the Pleadings is denied</w:t>
      </w:r>
      <w:r w:rsidRPr="002B6B5C">
        <w:rPr>
          <w:rFonts w:cs="Times New Roman"/>
          <w:spacing w:val="-3"/>
        </w:rPr>
        <w:t>.</w:t>
      </w:r>
    </w:p>
    <w:p w14:paraId="700C4E50" w14:textId="77777777" w:rsidR="00F040DC" w:rsidRPr="002B6B5C" w:rsidRDefault="00F040DC" w:rsidP="002B6B5C">
      <w:pPr>
        <w:tabs>
          <w:tab w:val="left" w:pos="-720"/>
        </w:tabs>
        <w:suppressAutoHyphens/>
        <w:spacing w:line="360" w:lineRule="auto"/>
        <w:ind w:firstLine="1440"/>
        <w:rPr>
          <w:rFonts w:cs="Times New Roman"/>
          <w:spacing w:val="-3"/>
        </w:rPr>
      </w:pPr>
    </w:p>
    <w:p w14:paraId="308FBBDF" w14:textId="61037A82" w:rsidR="005011AC" w:rsidRPr="002B6B5C" w:rsidRDefault="005011AC" w:rsidP="002B6B5C">
      <w:pPr>
        <w:tabs>
          <w:tab w:val="left" w:pos="-720"/>
        </w:tabs>
        <w:suppressAutoHyphens/>
        <w:spacing w:line="360" w:lineRule="auto"/>
        <w:ind w:firstLine="1440"/>
        <w:rPr>
          <w:rFonts w:cs="Times New Roman"/>
          <w:spacing w:val="-3"/>
        </w:rPr>
      </w:pPr>
      <w:r w:rsidRPr="002B6B5C">
        <w:rPr>
          <w:rFonts w:cs="Times New Roman"/>
          <w:spacing w:val="-3"/>
        </w:rPr>
        <w:t>2.</w:t>
      </w:r>
      <w:r w:rsidRPr="002B6B5C">
        <w:rPr>
          <w:rFonts w:cs="Times New Roman"/>
          <w:spacing w:val="-3"/>
        </w:rPr>
        <w:tab/>
      </w:r>
      <w:r w:rsidR="00F040DC" w:rsidRPr="002B6B5C">
        <w:rPr>
          <w:rFonts w:cs="Times New Roman"/>
          <w:spacing w:val="-3"/>
        </w:rPr>
        <w:t>That t</w:t>
      </w:r>
      <w:r w:rsidRPr="002B6B5C">
        <w:rPr>
          <w:rFonts w:cs="Times New Roman"/>
          <w:spacing w:val="-3"/>
        </w:rPr>
        <w:t xml:space="preserve">he </w:t>
      </w:r>
      <w:r w:rsidR="00F040DC" w:rsidRPr="002B6B5C">
        <w:rPr>
          <w:rFonts w:cs="Times New Roman"/>
          <w:spacing w:val="-3"/>
        </w:rPr>
        <w:t xml:space="preserve">parties shall file a </w:t>
      </w:r>
      <w:r w:rsidR="00414DBF">
        <w:rPr>
          <w:rFonts w:cs="Times New Roman"/>
          <w:spacing w:val="-3"/>
        </w:rPr>
        <w:t>S</w:t>
      </w:r>
      <w:r w:rsidR="00F040DC" w:rsidRPr="002B6B5C">
        <w:rPr>
          <w:rFonts w:cs="Times New Roman"/>
          <w:spacing w:val="-3"/>
        </w:rPr>
        <w:t xml:space="preserve">tatus </w:t>
      </w:r>
      <w:r w:rsidR="00414DBF">
        <w:rPr>
          <w:rFonts w:cs="Times New Roman"/>
          <w:spacing w:val="-3"/>
        </w:rPr>
        <w:t>R</w:t>
      </w:r>
      <w:r w:rsidR="00F040DC" w:rsidRPr="002B6B5C">
        <w:rPr>
          <w:rFonts w:cs="Times New Roman"/>
          <w:spacing w:val="-3"/>
        </w:rPr>
        <w:t>eport by July 5, 2021.</w:t>
      </w:r>
      <w:r w:rsidRPr="002B6B5C">
        <w:rPr>
          <w:rFonts w:cs="Times New Roman"/>
          <w:spacing w:val="-3"/>
        </w:rPr>
        <w:t xml:space="preserve"> </w:t>
      </w:r>
    </w:p>
    <w:p w14:paraId="302F5562" w14:textId="77777777" w:rsidR="003D3D02" w:rsidRPr="002B6B5C" w:rsidRDefault="003D3D02" w:rsidP="002B6B5C">
      <w:pPr>
        <w:pStyle w:val="ParaTab1"/>
        <w:spacing w:line="360" w:lineRule="auto"/>
        <w:ind w:firstLine="0"/>
        <w:rPr>
          <w:rFonts w:ascii="Times New Roman" w:hAnsi="Times New Roman" w:cs="Times New Roman"/>
          <w:spacing w:val="-3"/>
        </w:rPr>
      </w:pPr>
    </w:p>
    <w:p w14:paraId="22EB6A71" w14:textId="77777777" w:rsidR="00D0153E" w:rsidRPr="002B6B5C" w:rsidRDefault="00D0153E" w:rsidP="00F37495">
      <w:pPr>
        <w:pStyle w:val="ParaTab1"/>
        <w:spacing w:line="360" w:lineRule="auto"/>
        <w:ind w:firstLine="0"/>
        <w:rPr>
          <w:rFonts w:ascii="Times New Roman" w:hAnsi="Times New Roman" w:cs="Times New Roman"/>
          <w:spacing w:val="-3"/>
        </w:rPr>
      </w:pPr>
    </w:p>
    <w:p w14:paraId="3C5F42B9" w14:textId="62DE10A2" w:rsidR="00F65533" w:rsidRPr="002B6B5C" w:rsidRDefault="003D3D02" w:rsidP="00D0153E">
      <w:pPr>
        <w:pStyle w:val="ParaTab1"/>
        <w:ind w:firstLine="0"/>
        <w:rPr>
          <w:rFonts w:ascii="Times New Roman" w:hAnsi="Times New Roman" w:cs="Times New Roman"/>
          <w:spacing w:val="-3"/>
        </w:rPr>
      </w:pPr>
      <w:r w:rsidRPr="002B6B5C">
        <w:rPr>
          <w:rFonts w:ascii="Times New Roman" w:hAnsi="Times New Roman" w:cs="Times New Roman"/>
          <w:spacing w:val="-3"/>
        </w:rPr>
        <w:t>Date:</w:t>
      </w:r>
      <w:r w:rsidRPr="002B6B5C">
        <w:rPr>
          <w:rFonts w:ascii="Times New Roman" w:hAnsi="Times New Roman" w:cs="Times New Roman"/>
          <w:spacing w:val="-3"/>
        </w:rPr>
        <w:tab/>
      </w:r>
      <w:r w:rsidR="00F040DC" w:rsidRPr="002B6B5C">
        <w:rPr>
          <w:rFonts w:ascii="Times New Roman" w:hAnsi="Times New Roman" w:cs="Times New Roman"/>
          <w:spacing w:val="-3"/>
          <w:u w:val="single"/>
        </w:rPr>
        <w:t>January 25</w:t>
      </w:r>
      <w:r w:rsidR="000E1F2B" w:rsidRPr="002B6B5C">
        <w:rPr>
          <w:rFonts w:ascii="Times New Roman" w:hAnsi="Times New Roman" w:cs="Times New Roman"/>
          <w:spacing w:val="-3"/>
          <w:u w:val="single"/>
        </w:rPr>
        <w:t>, 202</w:t>
      </w:r>
      <w:r w:rsidR="00F040DC" w:rsidRPr="002B6B5C">
        <w:rPr>
          <w:rFonts w:ascii="Times New Roman" w:hAnsi="Times New Roman" w:cs="Times New Roman"/>
          <w:spacing w:val="-3"/>
          <w:u w:val="single"/>
        </w:rPr>
        <w:t>1</w:t>
      </w:r>
      <w:r w:rsidR="005613C1">
        <w:rPr>
          <w:rFonts w:ascii="Times New Roman" w:hAnsi="Times New Roman" w:cs="Times New Roman"/>
          <w:spacing w:val="-3"/>
        </w:rPr>
        <w:tab/>
      </w:r>
      <w:r w:rsidR="005613C1">
        <w:rPr>
          <w:rFonts w:ascii="Times New Roman" w:hAnsi="Times New Roman" w:cs="Times New Roman"/>
          <w:spacing w:val="-3"/>
        </w:rPr>
        <w:tab/>
      </w:r>
      <w:r w:rsidRPr="002B6B5C">
        <w:rPr>
          <w:rFonts w:ascii="Times New Roman" w:hAnsi="Times New Roman" w:cs="Times New Roman"/>
          <w:spacing w:val="-3"/>
        </w:rPr>
        <w:tab/>
      </w:r>
      <w:r w:rsidR="00F65533" w:rsidRPr="002B6B5C">
        <w:rPr>
          <w:rFonts w:ascii="Times New Roman" w:hAnsi="Times New Roman" w:cs="Times New Roman"/>
          <w:spacing w:val="-3"/>
        </w:rPr>
        <w:tab/>
      </w:r>
      <w:r w:rsidR="00F65533" w:rsidRPr="002B6B5C">
        <w:rPr>
          <w:rFonts w:ascii="Times New Roman" w:hAnsi="Times New Roman" w:cs="Times New Roman"/>
          <w:spacing w:val="-3"/>
          <w:u w:val="single"/>
        </w:rPr>
        <w:t>________________</w:t>
      </w:r>
      <w:r w:rsidR="0089782E" w:rsidRPr="002B6B5C">
        <w:rPr>
          <w:rFonts w:ascii="Times New Roman" w:hAnsi="Times New Roman" w:cs="Times New Roman"/>
          <w:spacing w:val="-3"/>
          <w:u w:val="single"/>
        </w:rPr>
        <w:t>/s/</w:t>
      </w:r>
      <w:r w:rsidR="00F65533" w:rsidRPr="002B6B5C">
        <w:rPr>
          <w:rFonts w:ascii="Times New Roman" w:hAnsi="Times New Roman" w:cs="Times New Roman"/>
          <w:spacing w:val="-3"/>
          <w:u w:val="single"/>
        </w:rPr>
        <w:t>________</w:t>
      </w:r>
      <w:r w:rsidR="00BF716F" w:rsidRPr="002B6B5C">
        <w:rPr>
          <w:rFonts w:ascii="Times New Roman" w:hAnsi="Times New Roman" w:cs="Times New Roman"/>
          <w:spacing w:val="-3"/>
          <w:u w:val="single"/>
        </w:rPr>
        <w:t>___________</w:t>
      </w:r>
    </w:p>
    <w:p w14:paraId="2D8F8C99" w14:textId="50155585" w:rsidR="00F65533" w:rsidRPr="002B6B5C" w:rsidRDefault="00F65533" w:rsidP="00D0153E">
      <w:pPr>
        <w:pStyle w:val="ParaTab1"/>
        <w:rPr>
          <w:rFonts w:ascii="Times New Roman" w:hAnsi="Times New Roman" w:cs="Times New Roman"/>
          <w:spacing w:val="-3"/>
        </w:rPr>
      </w:pPr>
      <w:r w:rsidRPr="002B6B5C">
        <w:rPr>
          <w:rFonts w:ascii="Times New Roman" w:hAnsi="Times New Roman" w:cs="Times New Roman"/>
          <w:spacing w:val="-3"/>
        </w:rPr>
        <w:tab/>
      </w:r>
      <w:r w:rsidRPr="002B6B5C">
        <w:rPr>
          <w:rFonts w:ascii="Times New Roman" w:hAnsi="Times New Roman" w:cs="Times New Roman"/>
          <w:spacing w:val="-3"/>
        </w:rPr>
        <w:tab/>
      </w:r>
      <w:r w:rsidRPr="002B6B5C">
        <w:rPr>
          <w:rFonts w:ascii="Times New Roman" w:hAnsi="Times New Roman" w:cs="Times New Roman"/>
          <w:spacing w:val="-3"/>
        </w:rPr>
        <w:tab/>
      </w:r>
      <w:r w:rsidRPr="002B6B5C">
        <w:rPr>
          <w:rFonts w:ascii="Times New Roman" w:hAnsi="Times New Roman" w:cs="Times New Roman"/>
          <w:spacing w:val="-3"/>
        </w:rPr>
        <w:tab/>
      </w:r>
      <w:r w:rsidRPr="002B6B5C">
        <w:rPr>
          <w:rFonts w:ascii="Times New Roman" w:hAnsi="Times New Roman" w:cs="Times New Roman"/>
          <w:spacing w:val="-3"/>
        </w:rPr>
        <w:tab/>
      </w:r>
      <w:r w:rsidR="003418B1" w:rsidRPr="002B6B5C">
        <w:rPr>
          <w:rFonts w:ascii="Times New Roman" w:hAnsi="Times New Roman" w:cs="Times New Roman"/>
          <w:spacing w:val="-3"/>
        </w:rPr>
        <w:t>Emily I. DeVoe</w:t>
      </w:r>
    </w:p>
    <w:p w14:paraId="1257C0D4" w14:textId="77777777" w:rsidR="002722EC" w:rsidRDefault="00F65533" w:rsidP="00D0153E">
      <w:pPr>
        <w:rPr>
          <w:rFonts w:cs="Times New Roman"/>
        </w:rPr>
        <w:sectPr w:rsidR="002722EC" w:rsidSect="002067A5">
          <w:footerReference w:type="default" r:id="rId8"/>
          <w:pgSz w:w="12240" w:h="15840" w:code="1"/>
          <w:pgMar w:top="1440" w:right="1440" w:bottom="1440" w:left="1440" w:header="720" w:footer="720" w:gutter="0"/>
          <w:pgNumType w:start="1"/>
          <w:cols w:space="720"/>
          <w:noEndnote/>
          <w:titlePg/>
          <w:docGrid w:linePitch="326"/>
        </w:sectPr>
      </w:pP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r>
      <w:r w:rsidRPr="002B6B5C">
        <w:rPr>
          <w:rFonts w:cs="Times New Roman"/>
        </w:rPr>
        <w:tab/>
        <w:t>Administrative Law Judge</w:t>
      </w:r>
    </w:p>
    <w:p w14:paraId="78F9ABF3" w14:textId="7938C7D9" w:rsidR="007218E2" w:rsidRPr="002B6B5C" w:rsidRDefault="007218E2" w:rsidP="00D0153E">
      <w:pPr>
        <w:rPr>
          <w:rFonts w:cs="Times New Roman"/>
          <w:caps/>
        </w:rPr>
        <w:sectPr w:rsidR="007218E2" w:rsidRPr="002B6B5C" w:rsidSect="002067A5">
          <w:pgSz w:w="12240" w:h="15840" w:code="1"/>
          <w:pgMar w:top="1440" w:right="1440" w:bottom="1440" w:left="1440" w:header="720" w:footer="720" w:gutter="0"/>
          <w:pgNumType w:start="1"/>
          <w:cols w:space="720"/>
          <w:noEndnote/>
          <w:titlePg/>
          <w:docGrid w:linePitch="326"/>
        </w:sectPr>
      </w:pPr>
    </w:p>
    <w:p w14:paraId="4CC17005" w14:textId="77777777" w:rsidR="009D0BED" w:rsidRPr="009D0BED" w:rsidRDefault="009D0BED" w:rsidP="009D0BED">
      <w:pPr>
        <w:autoSpaceDE/>
        <w:autoSpaceDN/>
        <w:rPr>
          <w:rFonts w:ascii="Microsoft Sans Serif" w:eastAsia="Microsoft Sans Serif" w:hAnsi="Microsoft Sans Serif" w:cs="Microsoft Sans Serif"/>
          <w:bCs/>
          <w:i/>
          <w:iCs/>
          <w:szCs w:val="22"/>
        </w:rPr>
      </w:pPr>
      <w:r w:rsidRPr="009D0BED">
        <w:rPr>
          <w:rFonts w:ascii="Microsoft Sans Serif" w:eastAsia="Microsoft Sans Serif" w:hAnsi="Microsoft Sans Serif" w:cs="Microsoft Sans Serif"/>
          <w:b/>
          <w:szCs w:val="22"/>
          <w:u w:val="single"/>
        </w:rPr>
        <w:t>C-2020-3021730 - STEPHEN MORGAN v. COLUMBIA GAS OF PENNSYLVANIA, INC</w:t>
      </w:r>
      <w:r w:rsidRPr="009D0BED">
        <w:rPr>
          <w:rFonts w:ascii="Microsoft Sans Serif" w:eastAsia="Microsoft Sans Serif" w:hAnsi="Microsoft Sans Serif" w:cs="Microsoft Sans Serif"/>
          <w:b/>
          <w:szCs w:val="22"/>
          <w:u w:val="single"/>
        </w:rPr>
        <w:cr/>
      </w:r>
      <w:r w:rsidRPr="009D0BED">
        <w:rPr>
          <w:rFonts w:ascii="Microsoft Sans Serif" w:eastAsia="Microsoft Sans Serif" w:hAnsi="Microsoft Sans Serif" w:cs="Microsoft Sans Serif"/>
          <w:b/>
          <w:szCs w:val="22"/>
          <w:u w:val="single"/>
        </w:rPr>
        <w:cr/>
      </w:r>
      <w:r w:rsidRPr="009D0BED">
        <w:rPr>
          <w:rFonts w:ascii="Microsoft Sans Serif" w:eastAsia="Microsoft Sans Serif" w:hAnsi="Microsoft Sans Serif" w:cs="Microsoft Sans Serif"/>
          <w:bCs/>
          <w:i/>
          <w:iCs/>
          <w:szCs w:val="22"/>
        </w:rPr>
        <w:t>Revised 11/2/20</w:t>
      </w:r>
    </w:p>
    <w:p w14:paraId="33F33F8B" w14:textId="77777777" w:rsidR="009D0BED" w:rsidRPr="009D0BED" w:rsidRDefault="009D0BED" w:rsidP="009D0BED">
      <w:pPr>
        <w:autoSpaceDE/>
        <w:autoSpaceDN/>
        <w:rPr>
          <w:rFonts w:ascii="Microsoft Sans Serif" w:eastAsia="Microsoft Sans Serif" w:hAnsi="Microsoft Sans Serif" w:cs="Microsoft Sans Serif"/>
          <w:bCs/>
          <w:szCs w:val="22"/>
        </w:rPr>
      </w:pPr>
    </w:p>
    <w:p w14:paraId="15D9752A"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 xml:space="preserve">CHRISTOPHER C </w:t>
      </w:r>
      <w:proofErr w:type="spellStart"/>
      <w:r w:rsidRPr="009D0BED">
        <w:rPr>
          <w:rFonts w:ascii="Microsoft Sans Serif" w:eastAsia="Microsoft Sans Serif" w:hAnsi="Microsoft Sans Serif" w:cs="Microsoft Sans Serif"/>
          <w:bCs/>
          <w:szCs w:val="22"/>
        </w:rPr>
        <w:t>CAFARDI</w:t>
      </w:r>
      <w:proofErr w:type="spellEnd"/>
      <w:r w:rsidRPr="009D0BED">
        <w:rPr>
          <w:rFonts w:ascii="Microsoft Sans Serif" w:eastAsia="Microsoft Sans Serif" w:hAnsi="Microsoft Sans Serif" w:cs="Microsoft Sans Serif"/>
          <w:bCs/>
          <w:szCs w:val="22"/>
        </w:rPr>
        <w:t xml:space="preserve"> ESQUIRE</w:t>
      </w:r>
    </w:p>
    <w:p w14:paraId="5270928A"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*DENNIS R VERY ESQUIRE</w:t>
      </w:r>
    </w:p>
    <w:p w14:paraId="43B2A082" w14:textId="77777777" w:rsidR="009D0BED" w:rsidRPr="009D0BED" w:rsidRDefault="009D0BED" w:rsidP="009D0BED">
      <w:pPr>
        <w:autoSpaceDE/>
        <w:autoSpaceDN/>
        <w:rPr>
          <w:rFonts w:ascii="Microsoft Sans Serif" w:eastAsia="Microsoft Sans Serif" w:hAnsi="Microsoft Sans Serif" w:cs="Microsoft Sans Serif"/>
          <w:bCs/>
          <w:szCs w:val="22"/>
        </w:rPr>
      </w:pPr>
      <w:proofErr w:type="spellStart"/>
      <w:r w:rsidRPr="009D0BED">
        <w:rPr>
          <w:rFonts w:ascii="Microsoft Sans Serif" w:eastAsia="Microsoft Sans Serif" w:hAnsi="Microsoft Sans Serif" w:cs="Microsoft Sans Serif"/>
          <w:bCs/>
          <w:szCs w:val="22"/>
        </w:rPr>
        <w:t>CARFARDI</w:t>
      </w:r>
      <w:proofErr w:type="spellEnd"/>
      <w:r w:rsidRPr="009D0BED">
        <w:rPr>
          <w:rFonts w:ascii="Microsoft Sans Serif" w:eastAsia="Microsoft Sans Serif" w:hAnsi="Microsoft Sans Serif" w:cs="Microsoft Sans Serif"/>
          <w:bCs/>
          <w:szCs w:val="22"/>
        </w:rPr>
        <w:t xml:space="preserve"> FERGUSON WYRICK WEIS &amp; GABRIEL LLC</w:t>
      </w:r>
    </w:p>
    <w:p w14:paraId="36C4760A"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2605 NICHOLSON RD STE 2201</w:t>
      </w:r>
    </w:p>
    <w:p w14:paraId="29F13D2B"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SEWICKLEY PA 15143</w:t>
      </w:r>
    </w:p>
    <w:p w14:paraId="26C464CD" w14:textId="77777777" w:rsidR="009D0BED" w:rsidRPr="009D0BED" w:rsidRDefault="009D0BED" w:rsidP="009D0BED">
      <w:pPr>
        <w:autoSpaceDE/>
        <w:autoSpaceDN/>
        <w:rPr>
          <w:rFonts w:ascii="Microsoft Sans Serif" w:eastAsia="Microsoft Sans Serif" w:hAnsi="Microsoft Sans Serif" w:cs="Microsoft Sans Serif"/>
          <w:b/>
          <w:szCs w:val="22"/>
        </w:rPr>
      </w:pPr>
      <w:r w:rsidRPr="009D0BED">
        <w:rPr>
          <w:rFonts w:ascii="Microsoft Sans Serif" w:eastAsia="Microsoft Sans Serif" w:hAnsi="Microsoft Sans Serif" w:cs="Microsoft Sans Serif"/>
          <w:b/>
          <w:szCs w:val="22"/>
        </w:rPr>
        <w:t>412-515-8900</w:t>
      </w:r>
    </w:p>
    <w:p w14:paraId="575BDF91"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*Accepts eService</w:t>
      </w:r>
    </w:p>
    <w:p w14:paraId="7A9CA85F" w14:textId="77777777" w:rsidR="009D0BED" w:rsidRPr="009D0BED" w:rsidRDefault="009D0BED" w:rsidP="009D0BED">
      <w:pPr>
        <w:autoSpaceDE/>
        <w:autoSpaceDN/>
        <w:rPr>
          <w:rFonts w:ascii="Microsoft Sans Serif" w:eastAsia="Microsoft Sans Serif" w:hAnsi="Microsoft Sans Serif" w:cs="Microsoft Sans Serif"/>
          <w:bCs/>
          <w:i/>
          <w:iCs/>
          <w:szCs w:val="22"/>
        </w:rPr>
      </w:pPr>
      <w:r w:rsidRPr="009D0BED">
        <w:rPr>
          <w:rFonts w:ascii="Microsoft Sans Serif" w:eastAsia="Microsoft Sans Serif" w:hAnsi="Microsoft Sans Serif" w:cs="Microsoft Sans Serif"/>
          <w:bCs/>
          <w:i/>
          <w:iCs/>
          <w:szCs w:val="22"/>
        </w:rPr>
        <w:t>Representing Stephen Morgan</w:t>
      </w:r>
    </w:p>
    <w:p w14:paraId="66F43786" w14:textId="77777777" w:rsidR="009D0BED" w:rsidRPr="009D0BED" w:rsidRDefault="009D0BED" w:rsidP="009D0BED">
      <w:pPr>
        <w:autoSpaceDE/>
        <w:autoSpaceDN/>
        <w:rPr>
          <w:rFonts w:ascii="Microsoft Sans Serif" w:eastAsia="Microsoft Sans Serif" w:hAnsi="Microsoft Sans Serif" w:cs="Microsoft Sans Serif"/>
          <w:bCs/>
          <w:szCs w:val="22"/>
        </w:rPr>
      </w:pPr>
      <w:r w:rsidRPr="009D0BED">
        <w:rPr>
          <w:rFonts w:ascii="Microsoft Sans Serif" w:eastAsia="Microsoft Sans Serif" w:hAnsi="Microsoft Sans Serif" w:cs="Microsoft Sans Serif"/>
          <w:bCs/>
          <w:szCs w:val="22"/>
        </w:rPr>
        <w:t>Via e-mail only due to Emergency Order at M-2020-3019262</w:t>
      </w:r>
    </w:p>
    <w:p w14:paraId="420308FD" w14:textId="77777777" w:rsidR="009D0BED" w:rsidRPr="009D0BED" w:rsidRDefault="009D0BED" w:rsidP="009D0BED">
      <w:pPr>
        <w:autoSpaceDE/>
        <w:autoSpaceDN/>
        <w:rPr>
          <w:rFonts w:ascii="Microsoft Sans Serif" w:eastAsia="Microsoft Sans Serif" w:hAnsi="Microsoft Sans Serif" w:cs="Microsoft Sans Serif"/>
          <w:bCs/>
          <w:szCs w:val="22"/>
        </w:rPr>
      </w:pPr>
      <w:hyperlink r:id="rId9" w:history="1">
        <w:r w:rsidRPr="009D0BED">
          <w:rPr>
            <w:rFonts w:ascii="Microsoft Sans Serif" w:eastAsia="Microsoft Sans Serif" w:hAnsi="Microsoft Sans Serif" w:cs="Microsoft Sans Serif"/>
            <w:bCs/>
            <w:color w:val="0563C1"/>
            <w:szCs w:val="22"/>
            <w:u w:val="single"/>
          </w:rPr>
          <w:t>ccafardi@cfwwg.com</w:t>
        </w:r>
      </w:hyperlink>
    </w:p>
    <w:p w14:paraId="097CAEAD" w14:textId="77777777" w:rsidR="009D0BED" w:rsidRPr="009D0BED" w:rsidRDefault="009D0BED" w:rsidP="009D0BED">
      <w:pPr>
        <w:autoSpaceDE/>
        <w:autoSpaceDN/>
        <w:rPr>
          <w:rFonts w:ascii="Microsoft Sans Serif" w:eastAsia="Microsoft Sans Serif" w:hAnsi="Microsoft Sans Serif" w:cs="Microsoft Sans Serif"/>
          <w:bCs/>
          <w:szCs w:val="22"/>
        </w:rPr>
      </w:pPr>
      <w:hyperlink r:id="rId10" w:history="1">
        <w:r w:rsidRPr="009D0BED">
          <w:rPr>
            <w:rFonts w:ascii="Microsoft Sans Serif" w:eastAsia="Microsoft Sans Serif" w:hAnsi="Microsoft Sans Serif" w:cs="Microsoft Sans Serif"/>
            <w:bCs/>
            <w:color w:val="0563C1"/>
            <w:szCs w:val="22"/>
            <w:u w:val="single"/>
          </w:rPr>
          <w:t>dvery@cfwwg.com</w:t>
        </w:r>
      </w:hyperlink>
      <w:r w:rsidRPr="009D0BED">
        <w:rPr>
          <w:rFonts w:ascii="Microsoft Sans Serif" w:eastAsia="Microsoft Sans Serif" w:hAnsi="Microsoft Sans Serif" w:cs="Microsoft Sans Serif"/>
          <w:bCs/>
          <w:szCs w:val="22"/>
        </w:rPr>
        <w:t xml:space="preserve"> </w:t>
      </w:r>
    </w:p>
    <w:p w14:paraId="0F45D162" w14:textId="77777777" w:rsidR="009D0BED" w:rsidRPr="009D0BED" w:rsidRDefault="009D0BED" w:rsidP="009D0BED">
      <w:pPr>
        <w:autoSpaceDE/>
        <w:autoSpaceDN/>
        <w:rPr>
          <w:rFonts w:ascii="Microsoft Sans Serif" w:eastAsia="Microsoft Sans Serif" w:hAnsi="Microsoft Sans Serif" w:cs="Microsoft Sans Serif"/>
          <w:b/>
          <w:szCs w:val="22"/>
          <w:u w:val="single"/>
        </w:rPr>
      </w:pPr>
    </w:p>
    <w:p w14:paraId="047E485D" w14:textId="77777777" w:rsidR="009D0BED" w:rsidRPr="009D0BED" w:rsidRDefault="009D0BED" w:rsidP="009D0BED">
      <w:pPr>
        <w:autoSpaceDE/>
        <w:autoSpaceDN/>
        <w:rPr>
          <w:rFonts w:ascii="Microsoft Sans Serif" w:eastAsia="Microsoft Sans Serif" w:hAnsi="Microsoft Sans Serif" w:cs="Microsoft Sans Serif"/>
          <w:szCs w:val="22"/>
        </w:rPr>
      </w:pPr>
      <w:r w:rsidRPr="009D0BED">
        <w:rPr>
          <w:rFonts w:ascii="Microsoft Sans Serif" w:eastAsia="Microsoft Sans Serif" w:hAnsi="Microsoft Sans Serif" w:cs="Microsoft Sans Serif"/>
          <w:szCs w:val="22"/>
        </w:rPr>
        <w:t xml:space="preserve">STEPHEN MORGAN </w:t>
      </w:r>
      <w:r w:rsidRPr="009D0BED">
        <w:rPr>
          <w:rFonts w:ascii="Microsoft Sans Serif" w:eastAsia="Microsoft Sans Serif" w:hAnsi="Microsoft Sans Serif" w:cs="Microsoft Sans Serif"/>
          <w:szCs w:val="22"/>
        </w:rPr>
        <w:cr/>
        <w:t xml:space="preserve">15 </w:t>
      </w:r>
      <w:proofErr w:type="spellStart"/>
      <w:r w:rsidRPr="009D0BED">
        <w:rPr>
          <w:rFonts w:ascii="Microsoft Sans Serif" w:eastAsia="Microsoft Sans Serif" w:hAnsi="Microsoft Sans Serif" w:cs="Microsoft Sans Serif"/>
          <w:szCs w:val="22"/>
        </w:rPr>
        <w:t>ARENTZEN</w:t>
      </w:r>
      <w:proofErr w:type="spellEnd"/>
      <w:r w:rsidRPr="009D0BED">
        <w:rPr>
          <w:rFonts w:ascii="Microsoft Sans Serif" w:eastAsia="Microsoft Sans Serif" w:hAnsi="Microsoft Sans Serif" w:cs="Microsoft Sans Serif"/>
          <w:szCs w:val="22"/>
        </w:rPr>
        <w:t xml:space="preserve"> BLVD </w:t>
      </w:r>
      <w:r w:rsidRPr="009D0BED">
        <w:rPr>
          <w:rFonts w:ascii="Microsoft Sans Serif" w:eastAsia="Microsoft Sans Serif" w:hAnsi="Microsoft Sans Serif" w:cs="Microsoft Sans Serif"/>
          <w:szCs w:val="22"/>
        </w:rPr>
        <w:cr/>
        <w:t>UPPER SUITE</w:t>
      </w:r>
      <w:r w:rsidRPr="009D0BED">
        <w:rPr>
          <w:rFonts w:ascii="Microsoft Sans Serif" w:eastAsia="Microsoft Sans Serif" w:hAnsi="Microsoft Sans Serif" w:cs="Microsoft Sans Serif"/>
          <w:szCs w:val="22"/>
        </w:rPr>
        <w:cr/>
        <w:t>CHARLEROI PA  15022</w:t>
      </w:r>
      <w:r w:rsidRPr="009D0BED">
        <w:rPr>
          <w:rFonts w:ascii="Microsoft Sans Serif" w:eastAsia="Microsoft Sans Serif" w:hAnsi="Microsoft Sans Serif" w:cs="Microsoft Sans Serif"/>
          <w:szCs w:val="22"/>
        </w:rPr>
        <w:cr/>
      </w:r>
      <w:r w:rsidRPr="009D0BED">
        <w:rPr>
          <w:rFonts w:ascii="Microsoft Sans Serif" w:eastAsia="Microsoft Sans Serif" w:hAnsi="Microsoft Sans Serif" w:cs="Microsoft Sans Serif"/>
          <w:b/>
          <w:bCs/>
          <w:szCs w:val="22"/>
        </w:rPr>
        <w:t>724-872-6589</w:t>
      </w:r>
      <w:r w:rsidRPr="009D0BED">
        <w:rPr>
          <w:rFonts w:ascii="Microsoft Sans Serif" w:eastAsia="Microsoft Sans Serif" w:hAnsi="Microsoft Sans Serif" w:cs="Microsoft Sans Serif"/>
          <w:b/>
          <w:bCs/>
          <w:szCs w:val="22"/>
        </w:rPr>
        <w:br/>
      </w:r>
      <w:r w:rsidRPr="009D0BED">
        <w:rPr>
          <w:rFonts w:ascii="Microsoft Sans Serif" w:eastAsia="Microsoft Sans Serif" w:hAnsi="Microsoft Sans Serif" w:cs="Microsoft Sans Serif"/>
          <w:szCs w:val="22"/>
        </w:rPr>
        <w:t>Via e-mail only due to Emergency Order at M-2020-3019262</w:t>
      </w:r>
      <w:r w:rsidRPr="009D0BED">
        <w:rPr>
          <w:rFonts w:ascii="Microsoft Sans Serif" w:eastAsia="Microsoft Sans Serif" w:hAnsi="Microsoft Sans Serif" w:cs="Microsoft Sans Serif"/>
          <w:szCs w:val="22"/>
        </w:rPr>
        <w:br/>
      </w:r>
      <w:hyperlink r:id="rId11" w:history="1">
        <w:r w:rsidRPr="009D0BED">
          <w:rPr>
            <w:rFonts w:ascii="Microsoft Sans Serif" w:eastAsia="Microsoft Sans Serif" w:hAnsi="Microsoft Sans Serif" w:cs="Microsoft Sans Serif"/>
            <w:color w:val="0563C1"/>
            <w:szCs w:val="22"/>
            <w:u w:val="single"/>
          </w:rPr>
          <w:t>info@morganexcavating.com</w:t>
        </w:r>
      </w:hyperlink>
    </w:p>
    <w:p w14:paraId="7BAACE41" w14:textId="77777777" w:rsidR="009D0BED" w:rsidRPr="009D0BED" w:rsidRDefault="009D0BED" w:rsidP="009D0BED">
      <w:pPr>
        <w:autoSpaceDE/>
        <w:autoSpaceDN/>
        <w:rPr>
          <w:rFonts w:ascii="Calibri" w:hAnsi="Calibri" w:cs="Times New Roman"/>
          <w:color w:val="0563C1"/>
          <w:sz w:val="22"/>
          <w:szCs w:val="22"/>
          <w:u w:val="single"/>
        </w:rPr>
      </w:pPr>
      <w:r w:rsidRPr="009D0BED">
        <w:rPr>
          <w:rFonts w:ascii="Microsoft Sans Serif" w:eastAsia="Microsoft Sans Serif" w:hAnsi="Microsoft Sans Serif" w:cs="Microsoft Sans Serif"/>
          <w:szCs w:val="22"/>
        </w:rPr>
        <w:cr/>
        <w:t xml:space="preserve">LARRY R </w:t>
      </w:r>
      <w:proofErr w:type="spellStart"/>
      <w:r w:rsidRPr="009D0BED">
        <w:rPr>
          <w:rFonts w:ascii="Microsoft Sans Serif" w:eastAsia="Microsoft Sans Serif" w:hAnsi="Microsoft Sans Serif" w:cs="Microsoft Sans Serif"/>
          <w:szCs w:val="22"/>
        </w:rPr>
        <w:t>CRAYNE</w:t>
      </w:r>
      <w:proofErr w:type="spellEnd"/>
      <w:r w:rsidRPr="009D0BED">
        <w:rPr>
          <w:rFonts w:ascii="Microsoft Sans Serif" w:eastAsia="Microsoft Sans Serif" w:hAnsi="Microsoft Sans Serif" w:cs="Microsoft Sans Serif"/>
          <w:szCs w:val="22"/>
        </w:rPr>
        <w:t xml:space="preserve"> ESQUIRE</w:t>
      </w:r>
      <w:r w:rsidRPr="009D0BED">
        <w:rPr>
          <w:rFonts w:ascii="Microsoft Sans Serif" w:eastAsia="Microsoft Sans Serif" w:hAnsi="Microsoft Sans Serif" w:cs="Microsoft Sans Serif"/>
          <w:szCs w:val="22"/>
        </w:rPr>
        <w:cr/>
        <w:t>238 JOHNSTON ROAD</w:t>
      </w:r>
      <w:r w:rsidRPr="009D0BED">
        <w:rPr>
          <w:rFonts w:ascii="Microsoft Sans Serif" w:eastAsia="Microsoft Sans Serif" w:hAnsi="Microsoft Sans Serif" w:cs="Microsoft Sans Serif"/>
          <w:szCs w:val="22"/>
        </w:rPr>
        <w:cr/>
        <w:t>PITTSBURGH PA  15241-2556</w:t>
      </w:r>
      <w:r w:rsidRPr="009D0BED">
        <w:rPr>
          <w:rFonts w:ascii="Microsoft Sans Serif" w:eastAsia="Microsoft Sans Serif" w:hAnsi="Microsoft Sans Serif" w:cs="Microsoft Sans Serif"/>
          <w:szCs w:val="22"/>
        </w:rPr>
        <w:cr/>
      </w:r>
      <w:r w:rsidRPr="009D0BED">
        <w:rPr>
          <w:rFonts w:ascii="Microsoft Sans Serif" w:eastAsia="Microsoft Sans Serif" w:hAnsi="Microsoft Sans Serif" w:cs="Microsoft Sans Serif"/>
          <w:b/>
          <w:bCs/>
          <w:szCs w:val="22"/>
        </w:rPr>
        <w:t>412-831-5462</w:t>
      </w:r>
      <w:r w:rsidRPr="009D0BED">
        <w:rPr>
          <w:rFonts w:ascii="Microsoft Sans Serif" w:eastAsia="Microsoft Sans Serif" w:hAnsi="Microsoft Sans Serif" w:cs="Microsoft Sans Serif"/>
          <w:b/>
          <w:bCs/>
          <w:szCs w:val="22"/>
        </w:rPr>
        <w:br/>
      </w:r>
      <w:r w:rsidRPr="009D0BED">
        <w:rPr>
          <w:rFonts w:ascii="Microsoft Sans Serif" w:eastAsia="Microsoft Sans Serif" w:hAnsi="Microsoft Sans Serif" w:cs="Microsoft Sans Serif"/>
          <w:szCs w:val="22"/>
        </w:rPr>
        <w:t>Accepts eService</w:t>
      </w:r>
      <w:r w:rsidRPr="009D0BED">
        <w:rPr>
          <w:rFonts w:ascii="Microsoft Sans Serif" w:eastAsia="Microsoft Sans Serif" w:hAnsi="Microsoft Sans Serif" w:cs="Microsoft Sans Serif"/>
          <w:szCs w:val="22"/>
        </w:rPr>
        <w:br/>
      </w:r>
      <w:r w:rsidRPr="009D0BED">
        <w:rPr>
          <w:rFonts w:ascii="Microsoft Sans Serif" w:eastAsia="Microsoft Sans Serif" w:hAnsi="Microsoft Sans Serif" w:cs="Microsoft Sans Serif"/>
          <w:i/>
          <w:iCs/>
          <w:szCs w:val="22"/>
        </w:rPr>
        <w:t>Representing Columbia Gas of Pennsylvania, Inc</w:t>
      </w:r>
      <w:r w:rsidRPr="009D0BED">
        <w:rPr>
          <w:rFonts w:ascii="Microsoft Sans Serif" w:eastAsia="Microsoft Sans Serif" w:hAnsi="Microsoft Sans Serif" w:cs="Microsoft Sans Serif"/>
          <w:szCs w:val="22"/>
        </w:rPr>
        <w:br/>
      </w:r>
      <w:r w:rsidRPr="009D0BED">
        <w:rPr>
          <w:rFonts w:ascii="Microsoft Sans Serif" w:eastAsia="Microsoft Sans Serif" w:hAnsi="Microsoft Sans Serif" w:cs="Microsoft Sans Serif"/>
          <w:color w:val="0563C1"/>
          <w:szCs w:val="22"/>
          <w:u w:val="single"/>
        </w:rPr>
        <w:t>lrcrayne@comcast.net</w:t>
      </w:r>
    </w:p>
    <w:p w14:paraId="62B795D6" w14:textId="77777777" w:rsidR="009D0BED" w:rsidRPr="009D0BED" w:rsidRDefault="009D0BED" w:rsidP="009D0BED">
      <w:pPr>
        <w:autoSpaceDE/>
        <w:autoSpaceDN/>
        <w:rPr>
          <w:rFonts w:ascii="Microsoft Sans Serif" w:eastAsia="Microsoft Sans Serif" w:hAnsi="Microsoft Sans Serif" w:cs="Microsoft Sans Serif"/>
          <w:szCs w:val="22"/>
        </w:rPr>
      </w:pPr>
      <w:r w:rsidRPr="009D0BED">
        <w:rPr>
          <w:rFonts w:ascii="Microsoft Sans Serif" w:eastAsia="Microsoft Sans Serif" w:hAnsi="Microsoft Sans Serif" w:cs="Microsoft Sans Serif"/>
          <w:szCs w:val="22"/>
        </w:rPr>
        <w:cr/>
      </w:r>
    </w:p>
    <w:p w14:paraId="5073FF48" w14:textId="5A51ACBE" w:rsidR="003A6746" w:rsidRPr="002B6B5C" w:rsidRDefault="003A6746" w:rsidP="00EA5376">
      <w:pPr>
        <w:tabs>
          <w:tab w:val="left" w:pos="4680"/>
        </w:tabs>
        <w:contextualSpacing/>
        <w:rPr>
          <w:rFonts w:cs="Times New Roman"/>
        </w:rPr>
      </w:pPr>
    </w:p>
    <w:sectPr w:rsidR="003A6746" w:rsidRPr="002B6B5C" w:rsidSect="009D0BED">
      <w:footerReference w:type="default" r:id="rId12"/>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0F30" w14:textId="77777777" w:rsidR="000F73CE" w:rsidRDefault="000F73CE">
      <w:pPr>
        <w:spacing w:line="20" w:lineRule="exact"/>
        <w:rPr>
          <w:sz w:val="22"/>
          <w:szCs w:val="22"/>
        </w:rPr>
      </w:pPr>
    </w:p>
  </w:endnote>
  <w:endnote w:type="continuationSeparator" w:id="0">
    <w:p w14:paraId="5D8A02A3" w14:textId="77777777" w:rsidR="000F73CE" w:rsidRDefault="000F73CE">
      <w:pPr>
        <w:pStyle w:val="ParaTab1"/>
        <w:rPr>
          <w:sz w:val="22"/>
          <w:szCs w:val="22"/>
        </w:rPr>
      </w:pPr>
      <w:r>
        <w:rPr>
          <w:sz w:val="22"/>
          <w:szCs w:val="22"/>
        </w:rPr>
        <w:t xml:space="preserve"> </w:t>
      </w:r>
    </w:p>
  </w:endnote>
  <w:endnote w:type="continuationNotice" w:id="1">
    <w:p w14:paraId="526F4DF7" w14:textId="77777777" w:rsidR="000F73CE" w:rsidRDefault="000F73CE">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3C1920" w:rsidRDefault="003C1920">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3C1920" w:rsidRDefault="003C19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BF189" w14:textId="77777777" w:rsidR="000F73CE" w:rsidRDefault="000F73CE" w:rsidP="000B3A36">
      <w:pPr>
        <w:pStyle w:val="ParaTab1"/>
        <w:ind w:firstLine="0"/>
        <w:rPr>
          <w:sz w:val="22"/>
          <w:szCs w:val="22"/>
        </w:rPr>
      </w:pPr>
      <w:r>
        <w:rPr>
          <w:sz w:val="22"/>
          <w:szCs w:val="22"/>
        </w:rPr>
        <w:separator/>
      </w:r>
    </w:p>
  </w:footnote>
  <w:footnote w:type="continuationSeparator" w:id="0">
    <w:p w14:paraId="675D219E" w14:textId="77777777" w:rsidR="000F73CE" w:rsidRDefault="000F73CE">
      <w:r>
        <w:continuationSeparator/>
      </w:r>
    </w:p>
  </w:footnote>
  <w:footnote w:id="1">
    <w:p w14:paraId="097AC45A" w14:textId="6A34959B"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 xml:space="preserve">Complainant attempted to file an </w:t>
      </w:r>
      <w:r w:rsidR="00BC2EF9" w:rsidRPr="00414DBF">
        <w:rPr>
          <w:rFonts w:cs="Times New Roman"/>
          <w:sz w:val="20"/>
          <w:szCs w:val="20"/>
        </w:rPr>
        <w:t>a</w:t>
      </w:r>
      <w:r w:rsidRPr="00414DBF">
        <w:rPr>
          <w:rFonts w:cs="Times New Roman"/>
          <w:sz w:val="20"/>
          <w:szCs w:val="20"/>
        </w:rPr>
        <w:t>mended complaint on November 2, 2020, but the filing was rejected by the Commission’s Secretary’s Bureau.  Complainant resubmitted the Amended Complaint and it was successfully filed on December 1, 2020.</w:t>
      </w:r>
    </w:p>
    <w:p w14:paraId="4DF7F1DA" w14:textId="77777777" w:rsidR="003418B1" w:rsidRPr="00414DBF" w:rsidRDefault="003418B1" w:rsidP="00414DBF">
      <w:pPr>
        <w:pStyle w:val="FootnoteText"/>
        <w:rPr>
          <w:rFonts w:cs="Times New Roman"/>
          <w:sz w:val="20"/>
          <w:szCs w:val="20"/>
        </w:rPr>
      </w:pPr>
    </w:p>
  </w:footnote>
  <w:footnote w:id="2">
    <w:p w14:paraId="0D5A4AE5" w14:textId="3C061927"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5.</w:t>
      </w:r>
    </w:p>
    <w:p w14:paraId="50FFC8A8" w14:textId="77777777" w:rsidR="003418B1" w:rsidRPr="00414DBF" w:rsidRDefault="003418B1" w:rsidP="00414DBF">
      <w:pPr>
        <w:pStyle w:val="FootnoteText"/>
        <w:rPr>
          <w:rFonts w:cs="Times New Roman"/>
          <w:sz w:val="20"/>
          <w:szCs w:val="20"/>
        </w:rPr>
      </w:pPr>
    </w:p>
  </w:footnote>
  <w:footnote w:id="3">
    <w:p w14:paraId="6F623766" w14:textId="7FC1A68D"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7.</w:t>
      </w:r>
    </w:p>
    <w:p w14:paraId="431F610A" w14:textId="77777777" w:rsidR="003418B1" w:rsidRPr="00414DBF" w:rsidRDefault="003418B1" w:rsidP="00414DBF">
      <w:pPr>
        <w:pStyle w:val="FootnoteText"/>
        <w:rPr>
          <w:rFonts w:cs="Times New Roman"/>
          <w:sz w:val="20"/>
          <w:szCs w:val="20"/>
        </w:rPr>
      </w:pPr>
    </w:p>
  </w:footnote>
  <w:footnote w:id="4">
    <w:p w14:paraId="1CEA69AB" w14:textId="25DA932D"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3, 4, 6.</w:t>
      </w:r>
    </w:p>
    <w:p w14:paraId="4D4CF752" w14:textId="77777777" w:rsidR="003418B1" w:rsidRPr="00414DBF" w:rsidRDefault="003418B1" w:rsidP="00414DBF">
      <w:pPr>
        <w:pStyle w:val="FootnoteText"/>
        <w:rPr>
          <w:rFonts w:cs="Times New Roman"/>
          <w:sz w:val="20"/>
          <w:szCs w:val="20"/>
        </w:rPr>
      </w:pPr>
    </w:p>
  </w:footnote>
  <w:footnote w:id="5">
    <w:p w14:paraId="2BEFCDD4" w14:textId="1CB8D3B1"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8.</w:t>
      </w:r>
    </w:p>
    <w:p w14:paraId="799DEB0A" w14:textId="77777777" w:rsidR="003418B1" w:rsidRPr="00414DBF" w:rsidRDefault="003418B1" w:rsidP="00414DBF">
      <w:pPr>
        <w:pStyle w:val="FootnoteText"/>
        <w:rPr>
          <w:rFonts w:cs="Times New Roman"/>
          <w:sz w:val="20"/>
          <w:szCs w:val="20"/>
        </w:rPr>
      </w:pPr>
    </w:p>
  </w:footnote>
  <w:footnote w:id="6">
    <w:p w14:paraId="12C086C0" w14:textId="3A4ED23F"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9.</w:t>
      </w:r>
    </w:p>
    <w:p w14:paraId="7CE49F36" w14:textId="77777777" w:rsidR="003418B1" w:rsidRPr="00414DBF" w:rsidRDefault="003418B1" w:rsidP="00414DBF">
      <w:pPr>
        <w:pStyle w:val="FootnoteText"/>
        <w:rPr>
          <w:rFonts w:cs="Times New Roman"/>
          <w:sz w:val="20"/>
          <w:szCs w:val="20"/>
        </w:rPr>
      </w:pPr>
    </w:p>
  </w:footnote>
  <w:footnote w:id="7">
    <w:p w14:paraId="11598107" w14:textId="69BCE322"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10.</w:t>
      </w:r>
    </w:p>
    <w:p w14:paraId="0E628DC2" w14:textId="77777777" w:rsidR="003418B1" w:rsidRPr="00414DBF" w:rsidRDefault="003418B1" w:rsidP="00414DBF">
      <w:pPr>
        <w:pStyle w:val="FootnoteText"/>
        <w:rPr>
          <w:rFonts w:cs="Times New Roman"/>
          <w:sz w:val="20"/>
          <w:szCs w:val="20"/>
        </w:rPr>
      </w:pPr>
    </w:p>
  </w:footnote>
  <w:footnote w:id="8">
    <w:p w14:paraId="217BA811" w14:textId="670EF448"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11-12.</w:t>
      </w:r>
    </w:p>
    <w:p w14:paraId="3C427995" w14:textId="1FEB60E8" w:rsidR="003C1920" w:rsidRPr="00414DBF" w:rsidRDefault="003C1920" w:rsidP="00414DBF">
      <w:pPr>
        <w:pStyle w:val="FootnoteText"/>
        <w:rPr>
          <w:rFonts w:cs="Times New Roman"/>
          <w:sz w:val="20"/>
          <w:szCs w:val="20"/>
        </w:rPr>
      </w:pPr>
    </w:p>
  </w:footnote>
  <w:footnote w:id="9">
    <w:p w14:paraId="05A7A7F2" w14:textId="5147F9CA"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13.</w:t>
      </w:r>
    </w:p>
    <w:p w14:paraId="1A432CE6" w14:textId="0BE2ACF5" w:rsidR="003C1920" w:rsidRPr="00414DBF" w:rsidRDefault="003C1920" w:rsidP="00414DBF">
      <w:pPr>
        <w:pStyle w:val="FootnoteText"/>
        <w:rPr>
          <w:rFonts w:cs="Times New Roman"/>
          <w:sz w:val="20"/>
          <w:szCs w:val="20"/>
        </w:rPr>
      </w:pPr>
    </w:p>
  </w:footnote>
  <w:footnote w:id="10">
    <w:p w14:paraId="5E7B0BC0" w14:textId="75E50F5C"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14.</w:t>
      </w:r>
    </w:p>
    <w:p w14:paraId="6F8B2BFD" w14:textId="77777777" w:rsidR="003418B1" w:rsidRPr="00414DBF" w:rsidRDefault="003418B1" w:rsidP="00414DBF">
      <w:pPr>
        <w:pStyle w:val="FootnoteText"/>
        <w:rPr>
          <w:rFonts w:cs="Times New Roman"/>
          <w:sz w:val="20"/>
          <w:szCs w:val="20"/>
        </w:rPr>
      </w:pPr>
    </w:p>
  </w:footnote>
  <w:footnote w:id="11">
    <w:p w14:paraId="5A367111" w14:textId="49237495"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15.</w:t>
      </w:r>
    </w:p>
    <w:p w14:paraId="703C52B7" w14:textId="77777777" w:rsidR="003418B1" w:rsidRPr="00414DBF" w:rsidRDefault="003418B1" w:rsidP="00414DBF">
      <w:pPr>
        <w:pStyle w:val="FootnoteText"/>
        <w:rPr>
          <w:rFonts w:cs="Times New Roman"/>
          <w:sz w:val="20"/>
          <w:szCs w:val="20"/>
        </w:rPr>
      </w:pPr>
    </w:p>
  </w:footnote>
  <w:footnote w:id="12">
    <w:p w14:paraId="42E34CE8" w14:textId="553E2779"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16-24.</w:t>
      </w:r>
    </w:p>
    <w:p w14:paraId="4C7D2380" w14:textId="77777777" w:rsidR="003418B1" w:rsidRPr="00414DBF" w:rsidRDefault="003418B1" w:rsidP="00414DBF">
      <w:pPr>
        <w:pStyle w:val="FootnoteText"/>
        <w:rPr>
          <w:rFonts w:cs="Times New Roman"/>
          <w:sz w:val="20"/>
          <w:szCs w:val="20"/>
        </w:rPr>
      </w:pPr>
    </w:p>
  </w:footnote>
  <w:footnote w:id="13">
    <w:p w14:paraId="67A29BBF" w14:textId="77C7B778"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25.</w:t>
      </w:r>
    </w:p>
    <w:p w14:paraId="43D66BDB" w14:textId="77777777" w:rsidR="003418B1" w:rsidRPr="00414DBF" w:rsidRDefault="003418B1" w:rsidP="00414DBF">
      <w:pPr>
        <w:pStyle w:val="FootnoteText"/>
        <w:rPr>
          <w:rFonts w:cs="Times New Roman"/>
          <w:sz w:val="20"/>
          <w:szCs w:val="20"/>
        </w:rPr>
      </w:pPr>
    </w:p>
  </w:footnote>
  <w:footnote w:id="14">
    <w:p w14:paraId="5683E67D" w14:textId="13F494BE"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35.</w:t>
      </w:r>
    </w:p>
    <w:p w14:paraId="28FAEAE2" w14:textId="77777777" w:rsidR="003418B1" w:rsidRPr="00414DBF" w:rsidRDefault="003418B1" w:rsidP="00414DBF">
      <w:pPr>
        <w:pStyle w:val="FootnoteText"/>
        <w:rPr>
          <w:rFonts w:cs="Times New Roman"/>
          <w:sz w:val="20"/>
          <w:szCs w:val="20"/>
        </w:rPr>
      </w:pPr>
    </w:p>
  </w:footnote>
  <w:footnote w:id="15">
    <w:p w14:paraId="613063DD" w14:textId="56571C20" w:rsidR="003C1920" w:rsidRPr="00414DBF" w:rsidRDefault="003C1920" w:rsidP="00414DBF">
      <w:pPr>
        <w:pStyle w:val="FootnoteText"/>
        <w:rPr>
          <w:rFonts w:cs="Times New Roman"/>
          <w:i/>
          <w:iCs/>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003418B1" w:rsidRPr="00414DBF">
        <w:rPr>
          <w:rFonts w:cs="Times New Roman"/>
          <w:i/>
          <w:iCs/>
          <w:sz w:val="20"/>
          <w:szCs w:val="20"/>
        </w:rPr>
        <w:t>Id.</w:t>
      </w:r>
    </w:p>
  </w:footnote>
  <w:footnote w:id="16">
    <w:p w14:paraId="6380DE2D" w14:textId="66DEEB76"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8.</w:t>
      </w:r>
    </w:p>
    <w:p w14:paraId="10FC0708" w14:textId="77777777" w:rsidR="003418B1" w:rsidRPr="00414DBF" w:rsidRDefault="003418B1" w:rsidP="00414DBF">
      <w:pPr>
        <w:pStyle w:val="FootnoteText"/>
        <w:rPr>
          <w:rFonts w:cs="Times New Roman"/>
          <w:sz w:val="20"/>
          <w:szCs w:val="20"/>
        </w:rPr>
      </w:pPr>
    </w:p>
  </w:footnote>
  <w:footnote w:id="17">
    <w:p w14:paraId="73DB9E6B" w14:textId="2FA6665E"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12.</w:t>
      </w:r>
    </w:p>
    <w:p w14:paraId="1DB20149" w14:textId="77777777" w:rsidR="003418B1" w:rsidRPr="00414DBF" w:rsidRDefault="003418B1" w:rsidP="00414DBF">
      <w:pPr>
        <w:pStyle w:val="FootnoteText"/>
        <w:rPr>
          <w:rFonts w:cs="Times New Roman"/>
          <w:sz w:val="20"/>
          <w:szCs w:val="20"/>
        </w:rPr>
      </w:pPr>
    </w:p>
  </w:footnote>
  <w:footnote w:id="18">
    <w:p w14:paraId="72168E1C" w14:textId="50E81EE4"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10.</w:t>
      </w:r>
    </w:p>
    <w:p w14:paraId="73F5F4B4" w14:textId="77777777" w:rsidR="003418B1" w:rsidRPr="00414DBF" w:rsidRDefault="003418B1" w:rsidP="00414DBF">
      <w:pPr>
        <w:pStyle w:val="FootnoteText"/>
        <w:rPr>
          <w:rFonts w:cs="Times New Roman"/>
          <w:sz w:val="20"/>
          <w:szCs w:val="20"/>
        </w:rPr>
      </w:pPr>
    </w:p>
  </w:footnote>
  <w:footnote w:id="19">
    <w:p w14:paraId="58C136F3" w14:textId="3DB9A277"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13.</w:t>
      </w:r>
    </w:p>
    <w:p w14:paraId="159A797D" w14:textId="77777777" w:rsidR="003418B1" w:rsidRPr="00414DBF" w:rsidRDefault="003418B1" w:rsidP="00414DBF">
      <w:pPr>
        <w:pStyle w:val="FootnoteText"/>
        <w:rPr>
          <w:rFonts w:cs="Times New Roman"/>
          <w:sz w:val="20"/>
          <w:szCs w:val="20"/>
        </w:rPr>
      </w:pPr>
    </w:p>
  </w:footnote>
  <w:footnote w:id="20">
    <w:p w14:paraId="525C94B6" w14:textId="6233641C"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13, 32.</w:t>
      </w:r>
    </w:p>
    <w:p w14:paraId="68946CBF" w14:textId="77777777" w:rsidR="003418B1" w:rsidRPr="00414DBF" w:rsidRDefault="003418B1" w:rsidP="00414DBF">
      <w:pPr>
        <w:pStyle w:val="FootnoteText"/>
        <w:rPr>
          <w:rFonts w:cs="Times New Roman"/>
          <w:sz w:val="20"/>
          <w:szCs w:val="20"/>
        </w:rPr>
      </w:pPr>
    </w:p>
  </w:footnote>
  <w:footnote w:id="21">
    <w:p w14:paraId="76C91275" w14:textId="1D30E735" w:rsidR="003C1920" w:rsidRPr="00414DBF" w:rsidRDefault="003C1920"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Answer to Amended Complaint, ¶¶ 14, 16-19, 22, 24.</w:t>
      </w:r>
    </w:p>
    <w:p w14:paraId="78229F16" w14:textId="77777777" w:rsidR="00050B9B" w:rsidRPr="00414DBF" w:rsidRDefault="00050B9B" w:rsidP="00414DBF">
      <w:pPr>
        <w:pStyle w:val="FootnoteText"/>
        <w:rPr>
          <w:rFonts w:cs="Times New Roman"/>
          <w:sz w:val="20"/>
          <w:szCs w:val="20"/>
        </w:rPr>
      </w:pPr>
    </w:p>
  </w:footnote>
  <w:footnote w:id="22">
    <w:p w14:paraId="24991E36" w14:textId="5D3B5DBC" w:rsidR="00B34235" w:rsidRPr="00414DBF" w:rsidRDefault="00B34235"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Motion, ¶¶ 1</w:t>
      </w:r>
      <w:r w:rsidR="00050B9B" w:rsidRPr="00414DBF">
        <w:rPr>
          <w:rFonts w:cs="Times New Roman"/>
          <w:sz w:val="20"/>
          <w:szCs w:val="20"/>
        </w:rPr>
        <w:t>0-</w:t>
      </w:r>
      <w:r w:rsidRPr="00414DBF">
        <w:rPr>
          <w:rFonts w:cs="Times New Roman"/>
          <w:sz w:val="20"/>
          <w:szCs w:val="20"/>
        </w:rPr>
        <w:t>13.</w:t>
      </w:r>
    </w:p>
    <w:p w14:paraId="4987D1AF" w14:textId="77777777" w:rsidR="00423689" w:rsidRPr="00414DBF" w:rsidRDefault="00423689" w:rsidP="00414DBF">
      <w:pPr>
        <w:pStyle w:val="FootnoteText"/>
        <w:rPr>
          <w:rFonts w:cs="Times New Roman"/>
          <w:sz w:val="20"/>
          <w:szCs w:val="20"/>
        </w:rPr>
      </w:pPr>
    </w:p>
  </w:footnote>
  <w:footnote w:id="23">
    <w:p w14:paraId="391F3AEC" w14:textId="0428F138" w:rsidR="004514DE" w:rsidRPr="00414DBF" w:rsidRDefault="004514DE"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Marcum v. Columbia Gas Transmission, LLC</w:t>
      </w:r>
      <w:r w:rsidRPr="00414DBF">
        <w:rPr>
          <w:rFonts w:cs="Times New Roman"/>
          <w:sz w:val="20"/>
          <w:szCs w:val="20"/>
        </w:rPr>
        <w:t xml:space="preserve">, 423 F. Supp. 3d 115, 126 (E.D. Pa. 2019) (citing </w:t>
      </w:r>
      <w:r w:rsidRPr="00414DBF">
        <w:rPr>
          <w:rFonts w:cs="Times New Roman"/>
          <w:i/>
          <w:iCs/>
          <w:sz w:val="20"/>
          <w:szCs w:val="20"/>
        </w:rPr>
        <w:t>Fine v. Checcio</w:t>
      </w:r>
      <w:r w:rsidRPr="00414DBF">
        <w:rPr>
          <w:rFonts w:cs="Times New Roman"/>
          <w:sz w:val="20"/>
          <w:szCs w:val="20"/>
        </w:rPr>
        <w:t>, 582 Pa. 253, 870 A.2d 850, 857 (2005)).</w:t>
      </w:r>
    </w:p>
    <w:p w14:paraId="31BAB59B" w14:textId="77777777" w:rsidR="004514DE" w:rsidRPr="00414DBF" w:rsidRDefault="004514DE" w:rsidP="00414DBF">
      <w:pPr>
        <w:pStyle w:val="FootnoteText"/>
        <w:rPr>
          <w:rFonts w:cs="Times New Roman"/>
          <w:sz w:val="20"/>
          <w:szCs w:val="20"/>
        </w:rPr>
      </w:pPr>
    </w:p>
  </w:footnote>
  <w:footnote w:id="24">
    <w:p w14:paraId="710B0017" w14:textId="7A83FEFD" w:rsidR="00E82F46" w:rsidRPr="00414DBF" w:rsidRDefault="00E82F46"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Complainant’s Brief in Opposition to the Motion, p. 7.</w:t>
      </w:r>
    </w:p>
    <w:p w14:paraId="34DA16A3" w14:textId="77777777" w:rsidR="00423689" w:rsidRPr="00414DBF" w:rsidRDefault="00423689" w:rsidP="00414DBF">
      <w:pPr>
        <w:pStyle w:val="FootnoteText"/>
        <w:rPr>
          <w:rFonts w:cs="Times New Roman"/>
          <w:sz w:val="20"/>
          <w:szCs w:val="20"/>
        </w:rPr>
      </w:pPr>
    </w:p>
  </w:footnote>
  <w:footnote w:id="25">
    <w:p w14:paraId="0080CDC8" w14:textId="2DA34641" w:rsidR="00E82F46" w:rsidRPr="00414DBF" w:rsidRDefault="00E82F46" w:rsidP="00414DBF">
      <w:pPr>
        <w:pStyle w:val="FootnoteText"/>
        <w:rPr>
          <w:rFonts w:cs="Times New Roman"/>
          <w:i/>
          <w:iCs/>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Id.</w:t>
      </w:r>
    </w:p>
    <w:p w14:paraId="6BCAF9B0" w14:textId="77777777" w:rsidR="00423689" w:rsidRPr="00414DBF" w:rsidRDefault="00423689" w:rsidP="00414DBF">
      <w:pPr>
        <w:pStyle w:val="FootnoteText"/>
        <w:rPr>
          <w:rFonts w:cs="Times New Roman"/>
          <w:i/>
          <w:iCs/>
          <w:sz w:val="20"/>
          <w:szCs w:val="20"/>
        </w:rPr>
      </w:pPr>
    </w:p>
  </w:footnote>
  <w:footnote w:id="26">
    <w:p w14:paraId="3C80FF26" w14:textId="013DF0DD" w:rsidR="00E82F46" w:rsidRPr="00414DBF" w:rsidRDefault="00E82F46"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 xml:space="preserve">Id. </w:t>
      </w:r>
      <w:r w:rsidRPr="00414DBF">
        <w:rPr>
          <w:rFonts w:cs="Times New Roman"/>
          <w:sz w:val="20"/>
          <w:szCs w:val="20"/>
        </w:rPr>
        <w:t>at 8.</w:t>
      </w:r>
    </w:p>
    <w:p w14:paraId="404E0D60" w14:textId="77777777" w:rsidR="00347E07" w:rsidRPr="00414DBF" w:rsidRDefault="00347E07" w:rsidP="00414DBF">
      <w:pPr>
        <w:pStyle w:val="FootnoteText"/>
        <w:rPr>
          <w:rFonts w:cs="Times New Roman"/>
          <w:sz w:val="20"/>
          <w:szCs w:val="20"/>
        </w:rPr>
      </w:pPr>
    </w:p>
  </w:footnote>
  <w:footnote w:id="27">
    <w:p w14:paraId="1535338B" w14:textId="77777777" w:rsidR="00442CC5" w:rsidRPr="00414DBF" w:rsidRDefault="00442CC5" w:rsidP="00414DBF">
      <w:pPr>
        <w:pStyle w:val="FootnoteText"/>
        <w:contextualSpacing/>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First Mortgage Co. of Pennsylvania v. McCall, </w:t>
      </w:r>
      <w:r w:rsidRPr="00414DBF">
        <w:rPr>
          <w:rFonts w:cs="Times New Roman"/>
          <w:color w:val="000000"/>
          <w:sz w:val="20"/>
          <w:szCs w:val="20"/>
        </w:rPr>
        <w:t xml:space="preserve">459 A.2d 406 (Pa. Super. 1983); </w:t>
      </w:r>
      <w:r w:rsidRPr="00414DBF">
        <w:rPr>
          <w:rFonts w:cs="Times New Roman"/>
          <w:i/>
          <w:color w:val="000000"/>
          <w:sz w:val="20"/>
          <w:szCs w:val="20"/>
        </w:rPr>
        <w:t xml:space="preserve">Mertz v. Lakatos, </w:t>
      </w:r>
      <w:r w:rsidRPr="00414DBF">
        <w:rPr>
          <w:rFonts w:cs="Times New Roman"/>
          <w:color w:val="000000"/>
          <w:sz w:val="20"/>
          <w:szCs w:val="20"/>
        </w:rPr>
        <w:t>381 A.2d 497 (Pa. Cmwlth. 1976).</w:t>
      </w:r>
    </w:p>
    <w:p w14:paraId="350707DB" w14:textId="77777777" w:rsidR="00442CC5" w:rsidRPr="00414DBF" w:rsidRDefault="00442CC5" w:rsidP="00414DBF">
      <w:pPr>
        <w:pStyle w:val="FootnoteText"/>
        <w:contextualSpacing/>
        <w:rPr>
          <w:rFonts w:eastAsia="Calibri" w:cs="Times New Roman"/>
          <w:sz w:val="20"/>
          <w:szCs w:val="20"/>
        </w:rPr>
      </w:pPr>
    </w:p>
  </w:footnote>
  <w:footnote w:id="28">
    <w:p w14:paraId="69C5246A" w14:textId="77777777" w:rsidR="00442CC5" w:rsidRPr="00414DBF" w:rsidRDefault="00442CC5" w:rsidP="00414DBF">
      <w:pPr>
        <w:ind w:right="72"/>
        <w:contextualSpacing/>
        <w:textAlignment w:val="baseline"/>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Thompson Coal Company v. Pike Coal Company, </w:t>
      </w:r>
      <w:r w:rsidRPr="00414DBF">
        <w:rPr>
          <w:rFonts w:cs="Times New Roman"/>
          <w:color w:val="000000"/>
          <w:sz w:val="20"/>
          <w:szCs w:val="20"/>
        </w:rPr>
        <w:t>412 A.2d 466 (Pa. 1979).</w:t>
      </w:r>
    </w:p>
    <w:p w14:paraId="4B12D7C4" w14:textId="77777777" w:rsidR="00442CC5" w:rsidRPr="00414DBF" w:rsidRDefault="00442CC5" w:rsidP="00414DBF">
      <w:pPr>
        <w:ind w:right="72"/>
        <w:contextualSpacing/>
        <w:textAlignment w:val="baseline"/>
        <w:rPr>
          <w:rFonts w:cs="Times New Roman"/>
          <w:color w:val="000000"/>
          <w:sz w:val="20"/>
          <w:szCs w:val="20"/>
        </w:rPr>
      </w:pPr>
    </w:p>
  </w:footnote>
  <w:footnote w:id="29">
    <w:p w14:paraId="2CEC4B34" w14:textId="77777777" w:rsidR="00442CC5" w:rsidRPr="00414DBF" w:rsidRDefault="00442CC5" w:rsidP="00414DBF">
      <w:pPr>
        <w:ind w:right="72"/>
        <w:contextualSpacing/>
        <w:textAlignment w:val="baseline"/>
        <w:rPr>
          <w:rFonts w:cs="Times New Roman"/>
          <w:color w:val="000000"/>
          <w:spacing w:val="-1"/>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First Mortgage Co. of Pennsylvania, supra</w:t>
      </w:r>
      <w:r w:rsidRPr="00414DBF">
        <w:rPr>
          <w:rFonts w:cs="Times New Roman"/>
          <w:iCs/>
          <w:color w:val="000000"/>
          <w:sz w:val="20"/>
          <w:szCs w:val="20"/>
        </w:rPr>
        <w:t xml:space="preserve">; </w:t>
      </w:r>
      <w:r w:rsidRPr="00414DBF">
        <w:rPr>
          <w:rFonts w:cs="Times New Roman"/>
          <w:i/>
          <w:color w:val="000000"/>
          <w:spacing w:val="-1"/>
          <w:sz w:val="20"/>
          <w:szCs w:val="20"/>
        </w:rPr>
        <w:t xml:space="preserve">Commonwealth v. Diamond Shamrock Chemical Co., </w:t>
      </w:r>
      <w:r w:rsidRPr="00414DBF">
        <w:rPr>
          <w:rFonts w:cs="Times New Roman"/>
          <w:color w:val="000000"/>
          <w:spacing w:val="-1"/>
          <w:sz w:val="20"/>
          <w:szCs w:val="20"/>
        </w:rPr>
        <w:t xml:space="preserve">391 A.2d 1333 (Pa. Cmwlth. 1978); </w:t>
      </w:r>
      <w:r w:rsidRPr="00414DBF">
        <w:rPr>
          <w:rFonts w:cs="Times New Roman"/>
          <w:i/>
          <w:color w:val="000000"/>
          <w:spacing w:val="-1"/>
          <w:sz w:val="20"/>
          <w:szCs w:val="20"/>
        </w:rPr>
        <w:t xml:space="preserve">Stover v. The United Telephone Co. of Pennsylvania, </w:t>
      </w:r>
      <w:r w:rsidRPr="00414DBF">
        <w:rPr>
          <w:rFonts w:cs="Times New Roman"/>
          <w:color w:val="000000"/>
          <w:spacing w:val="-1"/>
          <w:sz w:val="20"/>
          <w:szCs w:val="20"/>
        </w:rPr>
        <w:t>Docket No. C-00923833 (Order entered July 21, 1992).</w:t>
      </w:r>
    </w:p>
    <w:p w14:paraId="000DCAEF" w14:textId="77777777" w:rsidR="00442CC5" w:rsidRPr="00414DBF" w:rsidRDefault="00442CC5" w:rsidP="00414DBF">
      <w:pPr>
        <w:spacing w:before="11"/>
        <w:ind w:right="72"/>
        <w:contextualSpacing/>
        <w:textAlignment w:val="baseline"/>
        <w:rPr>
          <w:rFonts w:cs="Times New Roman"/>
          <w:iCs/>
          <w:color w:val="000000"/>
          <w:sz w:val="20"/>
          <w:szCs w:val="20"/>
        </w:rPr>
      </w:pPr>
    </w:p>
  </w:footnote>
  <w:footnote w:id="30">
    <w:p w14:paraId="46E27FAB" w14:textId="77777777" w:rsidR="00442CC5" w:rsidRPr="00414DBF" w:rsidRDefault="00442CC5" w:rsidP="00414DBF">
      <w:pPr>
        <w:ind w:right="72"/>
        <w:contextualSpacing/>
        <w:textAlignment w:val="baseline"/>
        <w:rPr>
          <w:rFonts w:cs="Times New Roman"/>
          <w:color w:val="000000"/>
          <w:spacing w:val="-1"/>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pacing w:val="-1"/>
          <w:sz w:val="20"/>
          <w:szCs w:val="20"/>
        </w:rPr>
        <w:t xml:space="preserve">Nicastro v. Cuyler, </w:t>
      </w:r>
      <w:r w:rsidRPr="00414DBF">
        <w:rPr>
          <w:rFonts w:cs="Times New Roman"/>
          <w:color w:val="000000"/>
          <w:spacing w:val="-1"/>
          <w:sz w:val="20"/>
          <w:szCs w:val="20"/>
        </w:rPr>
        <w:t xml:space="preserve">467 A.2d 1218 (Pa. Cmwlth. 1983); </w:t>
      </w:r>
      <w:r w:rsidRPr="00414DBF">
        <w:rPr>
          <w:rFonts w:cs="Times New Roman"/>
          <w:i/>
          <w:color w:val="000000"/>
          <w:spacing w:val="-1"/>
          <w:sz w:val="20"/>
          <w:szCs w:val="20"/>
        </w:rPr>
        <w:t xml:space="preserve">Pennsylvania Gas &amp; Water Co. v. Nenna &amp; Frain, Inc., </w:t>
      </w:r>
      <w:r w:rsidRPr="00414DBF">
        <w:rPr>
          <w:rFonts w:cs="Times New Roman"/>
          <w:color w:val="000000"/>
          <w:spacing w:val="-1"/>
          <w:sz w:val="20"/>
          <w:szCs w:val="20"/>
        </w:rPr>
        <w:t xml:space="preserve">467 A.2d 330 (Pa. Super. 1983); </w:t>
      </w:r>
      <w:r w:rsidRPr="00414DBF">
        <w:rPr>
          <w:rFonts w:cs="Times New Roman"/>
          <w:i/>
          <w:color w:val="000000"/>
          <w:spacing w:val="-1"/>
          <w:sz w:val="20"/>
          <w:szCs w:val="20"/>
        </w:rPr>
        <w:t>Geriot v. Council of Borough of Darby,</w:t>
      </w:r>
      <w:r w:rsidRPr="00414DBF">
        <w:rPr>
          <w:rFonts w:cs="Times New Roman"/>
          <w:color w:val="000000"/>
          <w:spacing w:val="-1"/>
          <w:sz w:val="20"/>
          <w:szCs w:val="20"/>
        </w:rPr>
        <w:t>457 A.2d 202 (Pa. Cmwlth. 1983).</w:t>
      </w:r>
    </w:p>
    <w:p w14:paraId="7A489B02" w14:textId="77777777" w:rsidR="00442CC5" w:rsidRPr="00414DBF" w:rsidRDefault="00442CC5" w:rsidP="00414DBF">
      <w:pPr>
        <w:spacing w:before="9"/>
        <w:ind w:right="72"/>
        <w:contextualSpacing/>
        <w:textAlignment w:val="baseline"/>
        <w:rPr>
          <w:rFonts w:cs="Times New Roman"/>
          <w:i/>
          <w:color w:val="000000"/>
          <w:spacing w:val="-1"/>
          <w:sz w:val="20"/>
          <w:szCs w:val="20"/>
        </w:rPr>
      </w:pPr>
    </w:p>
  </w:footnote>
  <w:footnote w:id="31">
    <w:p w14:paraId="4E6F9E67" w14:textId="1F10B48E" w:rsidR="00442CC5" w:rsidRPr="00414DBF" w:rsidRDefault="00442CC5" w:rsidP="00414DBF">
      <w:pPr>
        <w:pStyle w:val="FootnoteText"/>
        <w:contextualSpacing/>
        <w:rPr>
          <w:rFonts w:cs="Times New Roman"/>
          <w:color w:val="000000"/>
          <w:spacing w:val="-1"/>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color w:val="000000"/>
          <w:spacing w:val="-1"/>
          <w:sz w:val="20"/>
          <w:szCs w:val="20"/>
        </w:rPr>
        <w:t>66 Pa.C.S. § 703(b); 52 Pa.Code § 5.21(d).</w:t>
      </w:r>
    </w:p>
    <w:p w14:paraId="2B1CA6DE" w14:textId="77777777" w:rsidR="00442CC5" w:rsidRPr="00414DBF" w:rsidRDefault="00442CC5" w:rsidP="00414DBF">
      <w:pPr>
        <w:pStyle w:val="FootnoteText"/>
        <w:contextualSpacing/>
        <w:rPr>
          <w:rFonts w:eastAsia="Calibri" w:cs="Times New Roman"/>
          <w:sz w:val="20"/>
          <w:szCs w:val="20"/>
        </w:rPr>
      </w:pPr>
    </w:p>
  </w:footnote>
  <w:footnote w:id="32">
    <w:p w14:paraId="053A5723" w14:textId="77777777" w:rsidR="00442CC5" w:rsidRPr="00414DBF" w:rsidRDefault="00442CC5" w:rsidP="00414DBF">
      <w:pPr>
        <w:ind w:right="504"/>
        <w:contextualSpacing/>
        <w:textAlignment w:val="baseline"/>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pacing w:val="-1"/>
          <w:sz w:val="20"/>
          <w:szCs w:val="20"/>
        </w:rPr>
        <w:t>Lehigh Valley Power</w:t>
      </w:r>
      <w:r w:rsidRPr="00414DBF">
        <w:rPr>
          <w:rFonts w:cs="Times New Roman"/>
          <w:i/>
          <w:color w:val="000000"/>
          <w:sz w:val="20"/>
          <w:szCs w:val="20"/>
        </w:rPr>
        <w:t xml:space="preserve"> Comm. v. Pa. Pub. Util. Comm'n., </w:t>
      </w:r>
      <w:r w:rsidRPr="00414DBF">
        <w:rPr>
          <w:rFonts w:cs="Times New Roman"/>
          <w:color w:val="000000"/>
          <w:sz w:val="20"/>
          <w:szCs w:val="20"/>
        </w:rPr>
        <w:t xml:space="preserve">563 A.2d 548 (Pa. Cmwlth. 1989); </w:t>
      </w:r>
      <w:r w:rsidRPr="00414DBF">
        <w:rPr>
          <w:rFonts w:cs="Times New Roman"/>
          <w:i/>
          <w:color w:val="000000"/>
          <w:sz w:val="20"/>
          <w:szCs w:val="20"/>
        </w:rPr>
        <w:t xml:space="preserve">Edan Transportation Corp. v. Pa. Pub. Util. Comm'n, </w:t>
      </w:r>
      <w:r w:rsidRPr="00414DBF">
        <w:rPr>
          <w:rFonts w:cs="Times New Roman"/>
          <w:color w:val="000000"/>
          <w:sz w:val="20"/>
          <w:szCs w:val="20"/>
        </w:rPr>
        <w:t>623 A.2d 6 (Pa. Cmwlth. 1993).</w:t>
      </w:r>
    </w:p>
    <w:p w14:paraId="2A2D8DF1" w14:textId="77777777" w:rsidR="00442CC5" w:rsidRPr="00414DBF" w:rsidRDefault="00442CC5" w:rsidP="00414DBF">
      <w:pPr>
        <w:ind w:right="504"/>
        <w:contextualSpacing/>
        <w:textAlignment w:val="baseline"/>
        <w:rPr>
          <w:rFonts w:cs="Times New Roman"/>
          <w:i/>
          <w:color w:val="000000"/>
          <w:sz w:val="20"/>
          <w:szCs w:val="20"/>
        </w:rPr>
      </w:pPr>
    </w:p>
  </w:footnote>
  <w:footnote w:id="33">
    <w:p w14:paraId="30AB212E" w14:textId="77777777" w:rsidR="00442CC5" w:rsidRPr="00414DBF" w:rsidRDefault="00442CC5" w:rsidP="00414DBF">
      <w:pPr>
        <w:pStyle w:val="FootnoteText"/>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Shedlosky v. Pennsylvania Electric Company, </w:t>
      </w:r>
      <w:r w:rsidRPr="00414DBF">
        <w:rPr>
          <w:rFonts w:cs="Times New Roman"/>
          <w:color w:val="000000"/>
          <w:sz w:val="20"/>
          <w:szCs w:val="20"/>
        </w:rPr>
        <w:t xml:space="preserve">Docket No. C-20066937 (Opinion and Order entered May 28, 2008); </w:t>
      </w:r>
      <w:r w:rsidRPr="00414DBF">
        <w:rPr>
          <w:rFonts w:cs="Times New Roman"/>
          <w:i/>
          <w:color w:val="000000"/>
          <w:sz w:val="20"/>
          <w:szCs w:val="20"/>
        </w:rPr>
        <w:t xml:space="preserve">Feingold v. Bell Tel. Co. of Pa., </w:t>
      </w:r>
      <w:r w:rsidRPr="00414DBF">
        <w:rPr>
          <w:rFonts w:cs="Times New Roman"/>
          <w:color w:val="000000"/>
          <w:sz w:val="20"/>
          <w:szCs w:val="20"/>
        </w:rPr>
        <w:t xml:space="preserve">383 A.2d 791 (Pa. 1977).  </w:t>
      </w:r>
    </w:p>
    <w:p w14:paraId="3024B841" w14:textId="77777777" w:rsidR="00442CC5" w:rsidRPr="00414DBF" w:rsidRDefault="00442CC5" w:rsidP="00414DBF">
      <w:pPr>
        <w:pStyle w:val="FootnoteText"/>
        <w:contextualSpacing/>
        <w:rPr>
          <w:rFonts w:eastAsia="Calibri" w:cs="Times New Roman"/>
          <w:sz w:val="20"/>
          <w:szCs w:val="20"/>
        </w:rPr>
      </w:pPr>
    </w:p>
  </w:footnote>
  <w:footnote w:id="34">
    <w:p w14:paraId="0BBD6797" w14:textId="77777777" w:rsidR="00442CC5" w:rsidRPr="00414DBF" w:rsidRDefault="00442CC5" w:rsidP="00414DBF">
      <w:pPr>
        <w:pStyle w:val="FootnoteText"/>
        <w:contextualSpacing/>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City of Pittsburgh v. Pa. Pub. Util. Comm'n, </w:t>
      </w:r>
      <w:r w:rsidRPr="00414DBF">
        <w:rPr>
          <w:rFonts w:cs="Times New Roman"/>
          <w:color w:val="000000"/>
          <w:sz w:val="20"/>
          <w:szCs w:val="20"/>
        </w:rPr>
        <w:t xml:space="preserve">43 A.2d 348 (Pa.Super 1945).  </w:t>
      </w:r>
    </w:p>
    <w:p w14:paraId="7C3BB463" w14:textId="77777777" w:rsidR="00442CC5" w:rsidRPr="00414DBF" w:rsidRDefault="00442CC5" w:rsidP="00414DBF">
      <w:pPr>
        <w:pStyle w:val="FootnoteText"/>
        <w:contextualSpacing/>
        <w:rPr>
          <w:rFonts w:eastAsia="Calibri" w:cs="Times New Roman"/>
          <w:sz w:val="20"/>
          <w:szCs w:val="20"/>
        </w:rPr>
      </w:pPr>
    </w:p>
  </w:footnote>
  <w:footnote w:id="35">
    <w:p w14:paraId="1984446F" w14:textId="77777777" w:rsidR="00442CC5" w:rsidRPr="00414DBF" w:rsidRDefault="00442CC5" w:rsidP="00414DBF">
      <w:pPr>
        <w:pStyle w:val="FootnoteText"/>
        <w:contextualSpacing/>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Roberts v. Martorano, </w:t>
      </w:r>
      <w:r w:rsidRPr="00414DBF">
        <w:rPr>
          <w:rFonts w:cs="Times New Roman"/>
          <w:color w:val="000000"/>
          <w:sz w:val="20"/>
          <w:szCs w:val="20"/>
        </w:rPr>
        <w:t xml:space="preserve">235 A.2d 602 (Pa. 1967).  </w:t>
      </w:r>
    </w:p>
    <w:p w14:paraId="02422394" w14:textId="77777777" w:rsidR="00442CC5" w:rsidRPr="00414DBF" w:rsidRDefault="00442CC5" w:rsidP="00414DBF">
      <w:pPr>
        <w:pStyle w:val="FootnoteText"/>
        <w:contextualSpacing/>
        <w:rPr>
          <w:rFonts w:eastAsia="Calibri" w:cs="Times New Roman"/>
          <w:sz w:val="20"/>
          <w:szCs w:val="20"/>
        </w:rPr>
      </w:pPr>
    </w:p>
  </w:footnote>
  <w:footnote w:id="36">
    <w:p w14:paraId="3E5BA2A8" w14:textId="77777777" w:rsidR="00442CC5" w:rsidRPr="00414DBF" w:rsidRDefault="00442CC5" w:rsidP="00414DBF">
      <w:pPr>
        <w:pStyle w:val="FootnoteText"/>
        <w:contextualSpacing/>
        <w:rPr>
          <w:rFonts w:cs="Times New Roman"/>
          <w:color w:val="000000"/>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color w:val="000000"/>
          <w:sz w:val="20"/>
          <w:szCs w:val="20"/>
        </w:rPr>
        <w:t xml:space="preserve">Hughes v. Pennsylvania State Police, </w:t>
      </w:r>
      <w:r w:rsidRPr="00414DBF">
        <w:rPr>
          <w:rFonts w:cs="Times New Roman"/>
          <w:color w:val="000000"/>
          <w:sz w:val="20"/>
          <w:szCs w:val="20"/>
        </w:rPr>
        <w:t>619 A.2d 390 (Pa.Cmwlth. 1992), alloc. denied 637 A.2d 293 (Pa. 1993).</w:t>
      </w:r>
    </w:p>
    <w:p w14:paraId="5C7BE238" w14:textId="77777777" w:rsidR="00442CC5" w:rsidRPr="00414DBF" w:rsidRDefault="00442CC5" w:rsidP="00414DBF">
      <w:pPr>
        <w:pStyle w:val="FootnoteText"/>
        <w:contextualSpacing/>
        <w:rPr>
          <w:rFonts w:eastAsia="Calibri" w:cs="Times New Roman"/>
          <w:sz w:val="20"/>
          <w:szCs w:val="20"/>
        </w:rPr>
      </w:pPr>
    </w:p>
  </w:footnote>
  <w:footnote w:id="37">
    <w:p w14:paraId="75999414" w14:textId="77777777" w:rsidR="00442CC5" w:rsidRPr="00414DBF" w:rsidRDefault="00442CC5" w:rsidP="00414DBF">
      <w:pPr>
        <w:contextualSpacing/>
        <w:textAlignment w:val="baseline"/>
        <w:rPr>
          <w:rFonts w:cs="Times New Roman"/>
          <w:color w:val="000000"/>
          <w:spacing w:val="-2"/>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color w:val="000000"/>
          <w:spacing w:val="-2"/>
          <w:sz w:val="20"/>
          <w:szCs w:val="20"/>
        </w:rPr>
        <w:t>66 Pa.C.S. § 3314(a) (emphasis added).</w:t>
      </w:r>
    </w:p>
    <w:p w14:paraId="1FD2CCD6" w14:textId="77777777" w:rsidR="00442CC5" w:rsidRPr="00414DBF" w:rsidRDefault="00442CC5" w:rsidP="00414DBF">
      <w:pPr>
        <w:spacing w:before="5"/>
        <w:contextualSpacing/>
        <w:textAlignment w:val="baseline"/>
        <w:rPr>
          <w:rFonts w:cs="Times New Roman"/>
          <w:color w:val="000000"/>
          <w:spacing w:val="-2"/>
          <w:sz w:val="20"/>
          <w:szCs w:val="20"/>
        </w:rPr>
      </w:pPr>
    </w:p>
  </w:footnote>
  <w:footnote w:id="38">
    <w:p w14:paraId="0F9F8832" w14:textId="653EF344" w:rsidR="00423689" w:rsidRPr="00414DBF" w:rsidRDefault="00423689"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Marcum v. Columbia Gas Transmission, LLC, 423 F. Supp. 3d 115, 126 (E.D. Pa. 2019) (citing Fine v. Checcio, 582 Pa. 253, 870 A.2d 850, 857 (2005)).</w:t>
      </w:r>
    </w:p>
    <w:p w14:paraId="3B076D57" w14:textId="77777777" w:rsidR="00423689" w:rsidRPr="00414DBF" w:rsidRDefault="00423689" w:rsidP="00414DBF">
      <w:pPr>
        <w:pStyle w:val="FootnoteText"/>
        <w:rPr>
          <w:rFonts w:cs="Times New Roman"/>
          <w:sz w:val="20"/>
          <w:szCs w:val="20"/>
        </w:rPr>
      </w:pPr>
    </w:p>
  </w:footnote>
  <w:footnote w:id="39">
    <w:p w14:paraId="7860F635" w14:textId="62D5C0FD" w:rsidR="004514DE" w:rsidRPr="00414DBF" w:rsidRDefault="004514DE"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Id.</w:t>
      </w:r>
      <w:r w:rsidRPr="00414DBF">
        <w:rPr>
          <w:rFonts w:cs="Times New Roman"/>
          <w:sz w:val="20"/>
          <w:szCs w:val="20"/>
        </w:rPr>
        <w:t xml:space="preserve"> (quoting </w:t>
      </w:r>
      <w:r w:rsidRPr="00414DBF">
        <w:rPr>
          <w:rFonts w:cs="Times New Roman"/>
          <w:i/>
          <w:iCs/>
          <w:sz w:val="20"/>
          <w:szCs w:val="20"/>
        </w:rPr>
        <w:t>Fine</w:t>
      </w:r>
      <w:r w:rsidRPr="00414DBF">
        <w:rPr>
          <w:rFonts w:cs="Times New Roman"/>
          <w:sz w:val="20"/>
          <w:szCs w:val="20"/>
        </w:rPr>
        <w:t>, 870 A.2d at 858).</w:t>
      </w:r>
    </w:p>
    <w:p w14:paraId="3D59A744" w14:textId="77777777" w:rsidR="004514DE" w:rsidRPr="00414DBF" w:rsidRDefault="004514DE" w:rsidP="00414DBF">
      <w:pPr>
        <w:pStyle w:val="FootnoteText"/>
        <w:rPr>
          <w:rFonts w:cs="Times New Roman"/>
          <w:sz w:val="20"/>
          <w:szCs w:val="20"/>
        </w:rPr>
      </w:pPr>
    </w:p>
  </w:footnote>
  <w:footnote w:id="40">
    <w:p w14:paraId="3CC1FBF5" w14:textId="3372B11F" w:rsidR="004514DE" w:rsidRPr="00414DBF" w:rsidRDefault="004514DE"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Id.</w:t>
      </w:r>
      <w:r w:rsidRPr="00414DBF">
        <w:rPr>
          <w:rFonts w:cs="Times New Roman"/>
          <w:sz w:val="20"/>
          <w:szCs w:val="20"/>
        </w:rPr>
        <w:t xml:space="preserve"> (citing Fine, 870 A.2d at 859).</w:t>
      </w:r>
    </w:p>
    <w:p w14:paraId="5201CECC" w14:textId="77777777" w:rsidR="004514DE" w:rsidRPr="00414DBF" w:rsidRDefault="004514DE" w:rsidP="00414DBF">
      <w:pPr>
        <w:pStyle w:val="FootnoteText"/>
        <w:rPr>
          <w:rFonts w:cs="Times New Roman"/>
          <w:sz w:val="20"/>
          <w:szCs w:val="20"/>
        </w:rPr>
      </w:pPr>
    </w:p>
  </w:footnote>
  <w:footnote w:id="41">
    <w:p w14:paraId="74FEC0B7" w14:textId="2A674E77" w:rsidR="004514DE" w:rsidRPr="00414DBF" w:rsidRDefault="004514DE"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Id.</w:t>
      </w:r>
      <w:r w:rsidRPr="00414DBF">
        <w:rPr>
          <w:rFonts w:cs="Times New Roman"/>
          <w:sz w:val="20"/>
          <w:szCs w:val="20"/>
        </w:rPr>
        <w:t xml:space="preserve"> at 126-127 (quoting Fine, 870 A.2dat 858) emphasis added); </w:t>
      </w:r>
      <w:r w:rsidRPr="00414DBF">
        <w:rPr>
          <w:rFonts w:cs="Times New Roman"/>
          <w:i/>
          <w:iCs/>
          <w:sz w:val="20"/>
          <w:szCs w:val="20"/>
        </w:rPr>
        <w:t>see also</w:t>
      </w:r>
      <w:r w:rsidRPr="00414DBF">
        <w:rPr>
          <w:rFonts w:cs="Times New Roman"/>
          <w:sz w:val="20"/>
          <w:szCs w:val="20"/>
        </w:rPr>
        <w:t xml:space="preserve"> </w:t>
      </w:r>
      <w:r w:rsidRPr="00414DBF">
        <w:rPr>
          <w:rFonts w:cs="Times New Roman"/>
          <w:i/>
          <w:iCs/>
          <w:sz w:val="20"/>
          <w:szCs w:val="20"/>
        </w:rPr>
        <w:t>Kelly v. Carman Corp.</w:t>
      </w:r>
      <w:r w:rsidRPr="00414DBF">
        <w:rPr>
          <w:rFonts w:cs="Times New Roman"/>
          <w:sz w:val="20"/>
          <w:szCs w:val="20"/>
        </w:rPr>
        <w:t>, 229 A.3d 634, 648 (Pa. Super. 2020) (“In Pennsylvania, the occurrence rule is used to determine when the statute of limitations begins to run ... An exception to this rule is the equitable discovery rule which will be applied when the injured party is unable, despite the exercise of due diligence, to know of the injury or its cause”).</w:t>
      </w:r>
    </w:p>
    <w:p w14:paraId="5839E35A" w14:textId="77777777" w:rsidR="004514DE" w:rsidRPr="00414DBF" w:rsidRDefault="004514DE" w:rsidP="00414DBF">
      <w:pPr>
        <w:pStyle w:val="FootnoteText"/>
        <w:rPr>
          <w:rFonts w:cs="Times New Roman"/>
          <w:sz w:val="20"/>
          <w:szCs w:val="20"/>
        </w:rPr>
      </w:pPr>
    </w:p>
  </w:footnote>
  <w:footnote w:id="42">
    <w:p w14:paraId="5EA7DE40" w14:textId="2B00277C" w:rsidR="004514DE" w:rsidRPr="00414DBF" w:rsidRDefault="004514DE"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Welsh v. City of</w:t>
      </w:r>
      <w:r w:rsidR="00B56539" w:rsidRPr="00414DBF">
        <w:rPr>
          <w:rFonts w:cs="Times New Roman"/>
          <w:i/>
          <w:iCs/>
          <w:sz w:val="20"/>
          <w:szCs w:val="20"/>
        </w:rPr>
        <w:t xml:space="preserve"> </w:t>
      </w:r>
      <w:r w:rsidRPr="00414DBF">
        <w:rPr>
          <w:rFonts w:cs="Times New Roman"/>
          <w:i/>
          <w:iCs/>
          <w:sz w:val="20"/>
          <w:szCs w:val="20"/>
        </w:rPr>
        <w:t>Philadelphia, et al.</w:t>
      </w:r>
      <w:r w:rsidRPr="00414DBF">
        <w:rPr>
          <w:rFonts w:cs="Times New Roman"/>
          <w:sz w:val="20"/>
          <w:szCs w:val="20"/>
        </w:rPr>
        <w:t xml:space="preserve">, 1987 WL 582723, 16 Phila.Co.Rptr.130, *139 (Pa. Com. Pl. May 13, 1987) (citing </w:t>
      </w:r>
      <w:r w:rsidRPr="00414DBF">
        <w:rPr>
          <w:rFonts w:cs="Times New Roman"/>
          <w:i/>
          <w:iCs/>
          <w:sz w:val="20"/>
          <w:szCs w:val="20"/>
        </w:rPr>
        <w:t>Smith v. Bell Telephone</w:t>
      </w:r>
      <w:r w:rsidRPr="00414DBF">
        <w:rPr>
          <w:rFonts w:cs="Times New Roman"/>
          <w:sz w:val="20"/>
          <w:szCs w:val="20"/>
        </w:rPr>
        <w:t>, 153 A.2d477, 481 (Pa. 1959).</w:t>
      </w:r>
    </w:p>
    <w:p w14:paraId="3FF79265" w14:textId="77777777" w:rsidR="00423689" w:rsidRPr="00414DBF" w:rsidRDefault="00423689" w:rsidP="00414DBF">
      <w:pPr>
        <w:pStyle w:val="FootnoteText"/>
        <w:rPr>
          <w:rFonts w:cs="Times New Roman"/>
          <w:sz w:val="20"/>
          <w:szCs w:val="20"/>
        </w:rPr>
      </w:pPr>
    </w:p>
  </w:footnote>
  <w:footnote w:id="43">
    <w:p w14:paraId="0AA887C2" w14:textId="258A845B" w:rsidR="00442CC5" w:rsidRDefault="00442CC5"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See</w:t>
      </w:r>
      <w:r w:rsidRPr="00414DBF">
        <w:rPr>
          <w:rFonts w:cs="Times New Roman"/>
          <w:sz w:val="20"/>
          <w:szCs w:val="20"/>
        </w:rPr>
        <w:t xml:space="preserve"> </w:t>
      </w:r>
      <w:r w:rsidRPr="00414DBF">
        <w:rPr>
          <w:rFonts w:cs="Times New Roman"/>
          <w:i/>
          <w:iCs/>
          <w:sz w:val="20"/>
          <w:szCs w:val="20"/>
        </w:rPr>
        <w:t>Lester Ely v. Pennsylvania American Water Company</w:t>
      </w:r>
      <w:r w:rsidRPr="00414DBF">
        <w:rPr>
          <w:rFonts w:cs="Times New Roman"/>
          <w:sz w:val="20"/>
          <w:szCs w:val="20"/>
        </w:rPr>
        <w:t>, C-20055616 (Order entered July 10, 2006).</w:t>
      </w:r>
    </w:p>
    <w:p w14:paraId="4E045579" w14:textId="77777777" w:rsidR="00414DBF" w:rsidRPr="00414DBF" w:rsidRDefault="00414DBF" w:rsidP="00414DBF">
      <w:pPr>
        <w:pStyle w:val="FootnoteText"/>
        <w:rPr>
          <w:rFonts w:cs="Times New Roman"/>
          <w:sz w:val="20"/>
          <w:szCs w:val="20"/>
        </w:rPr>
      </w:pPr>
    </w:p>
  </w:footnote>
  <w:footnote w:id="44">
    <w:p w14:paraId="7E6CCF86" w14:textId="49BBD364" w:rsidR="00442CC5" w:rsidRDefault="00442CC5" w:rsidP="00414DBF">
      <w:pPr>
        <w:pStyle w:val="FootnoteText"/>
        <w:rPr>
          <w:rFonts w:cs="Times New Roman"/>
          <w:i/>
          <w:iCs/>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Id.</w:t>
      </w:r>
    </w:p>
    <w:p w14:paraId="45A97081" w14:textId="77777777" w:rsidR="00114EAE" w:rsidRPr="00414DBF" w:rsidRDefault="00114EAE" w:rsidP="00414DBF">
      <w:pPr>
        <w:pStyle w:val="FootnoteText"/>
        <w:rPr>
          <w:rFonts w:cs="Times New Roman"/>
          <w:i/>
          <w:iCs/>
          <w:sz w:val="20"/>
          <w:szCs w:val="20"/>
        </w:rPr>
      </w:pPr>
    </w:p>
  </w:footnote>
  <w:footnote w:id="45">
    <w:p w14:paraId="57063473" w14:textId="7B3DA9FF" w:rsidR="00423689" w:rsidRPr="00414DBF" w:rsidRDefault="00423689"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r>
      <w:r w:rsidRPr="00414DBF">
        <w:rPr>
          <w:rFonts w:cs="Times New Roman"/>
          <w:i/>
          <w:iCs/>
          <w:sz w:val="20"/>
          <w:szCs w:val="20"/>
        </w:rPr>
        <w:t>See</w:t>
      </w:r>
      <w:r w:rsidRPr="00414DBF">
        <w:rPr>
          <w:rFonts w:cs="Times New Roman"/>
          <w:sz w:val="20"/>
          <w:szCs w:val="20"/>
        </w:rPr>
        <w:t xml:space="preserve"> Official Note to 231 Pa.Code §</w:t>
      </w:r>
      <w:r w:rsidR="00414DBF">
        <w:rPr>
          <w:rFonts w:cs="Times New Roman"/>
          <w:sz w:val="20"/>
          <w:szCs w:val="20"/>
        </w:rPr>
        <w:t xml:space="preserve"> </w:t>
      </w:r>
      <w:r w:rsidRPr="00414DBF">
        <w:rPr>
          <w:rFonts w:cs="Times New Roman"/>
          <w:sz w:val="20"/>
          <w:szCs w:val="20"/>
        </w:rPr>
        <w:t>1028.</w:t>
      </w:r>
    </w:p>
    <w:p w14:paraId="4C3ED59D" w14:textId="77777777" w:rsidR="00442CC5" w:rsidRPr="00414DBF" w:rsidRDefault="00442CC5" w:rsidP="00414DBF">
      <w:pPr>
        <w:pStyle w:val="FootnoteText"/>
        <w:rPr>
          <w:rFonts w:cs="Times New Roman"/>
          <w:sz w:val="20"/>
          <w:szCs w:val="20"/>
        </w:rPr>
      </w:pPr>
    </w:p>
  </w:footnote>
  <w:footnote w:id="46">
    <w:p w14:paraId="4701FED7" w14:textId="1297C4B0" w:rsidR="00423689" w:rsidRDefault="00423689"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231 Pa.Code §</w:t>
      </w:r>
      <w:r w:rsidR="00414DBF">
        <w:rPr>
          <w:rFonts w:cs="Times New Roman"/>
          <w:sz w:val="20"/>
          <w:szCs w:val="20"/>
        </w:rPr>
        <w:t xml:space="preserve"> </w:t>
      </w:r>
      <w:r w:rsidRPr="00414DBF">
        <w:rPr>
          <w:rFonts w:cs="Times New Roman"/>
          <w:sz w:val="20"/>
          <w:szCs w:val="20"/>
        </w:rPr>
        <w:t>1030(a) (emphasis added).</w:t>
      </w:r>
    </w:p>
    <w:p w14:paraId="23F21187" w14:textId="77777777" w:rsidR="00414DBF" w:rsidRPr="00414DBF" w:rsidRDefault="00414DBF" w:rsidP="00414DBF">
      <w:pPr>
        <w:pStyle w:val="FootnoteText"/>
        <w:rPr>
          <w:rFonts w:cs="Times New Roman"/>
          <w:sz w:val="20"/>
          <w:szCs w:val="20"/>
        </w:rPr>
      </w:pPr>
    </w:p>
  </w:footnote>
  <w:footnote w:id="47">
    <w:p w14:paraId="3DFA53DA" w14:textId="0C9A3ADE" w:rsidR="00423689" w:rsidRPr="00414DBF" w:rsidRDefault="00423689" w:rsidP="00414DBF">
      <w:pPr>
        <w:tabs>
          <w:tab w:val="left" w:pos="-720"/>
        </w:tabs>
        <w:suppressAutoHyphens/>
        <w:rPr>
          <w:rFonts w:cs="Times New Roman"/>
          <w:sz w:val="20"/>
          <w:szCs w:val="20"/>
          <w:u w:val="single"/>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231 Pa.Code §</w:t>
      </w:r>
      <w:r w:rsidR="00414DBF">
        <w:rPr>
          <w:rFonts w:cs="Times New Roman"/>
          <w:sz w:val="20"/>
          <w:szCs w:val="20"/>
        </w:rPr>
        <w:t xml:space="preserve"> </w:t>
      </w:r>
      <w:r w:rsidRPr="00414DBF">
        <w:rPr>
          <w:rFonts w:cs="Times New Roman"/>
          <w:sz w:val="20"/>
          <w:szCs w:val="20"/>
        </w:rPr>
        <w:t xml:space="preserve">1032(a); </w:t>
      </w:r>
      <w:r w:rsidRPr="00414DBF">
        <w:rPr>
          <w:rFonts w:cs="Times New Roman"/>
          <w:i/>
          <w:iCs/>
          <w:sz w:val="20"/>
          <w:szCs w:val="20"/>
        </w:rPr>
        <w:t>see also Tanner v. Allstate Ins. Co.</w:t>
      </w:r>
      <w:r w:rsidRPr="00414DBF">
        <w:rPr>
          <w:rFonts w:cs="Times New Roman"/>
          <w:sz w:val="20"/>
          <w:szCs w:val="20"/>
        </w:rPr>
        <w:t xml:space="preserve">, 467 A.2d 1164, 1168 (Pa. Super. 1983) (“The statute of limitations is an affirmative defense which must be specifically </w:t>
      </w:r>
      <w:r w:rsidR="00ED412C" w:rsidRPr="00414DBF">
        <w:rPr>
          <w:rFonts w:cs="Times New Roman"/>
          <w:sz w:val="20"/>
          <w:szCs w:val="20"/>
        </w:rPr>
        <w:t>pleaded,</w:t>
      </w:r>
      <w:r w:rsidRPr="00414DBF">
        <w:rPr>
          <w:rFonts w:cs="Times New Roman"/>
          <w:sz w:val="20"/>
          <w:szCs w:val="20"/>
        </w:rPr>
        <w:t xml:space="preserve"> or the defense is waived”).</w:t>
      </w:r>
    </w:p>
    <w:p w14:paraId="793EEC5B" w14:textId="476F99E7" w:rsidR="00423689" w:rsidRPr="00414DBF" w:rsidRDefault="00423689" w:rsidP="00414DBF">
      <w:pPr>
        <w:pStyle w:val="FootnoteText"/>
        <w:rPr>
          <w:rFonts w:cs="Times New Roman"/>
          <w:sz w:val="20"/>
          <w:szCs w:val="20"/>
        </w:rPr>
      </w:pPr>
    </w:p>
  </w:footnote>
  <w:footnote w:id="48">
    <w:p w14:paraId="5D5A2B65" w14:textId="377B44D4" w:rsidR="00E95F78" w:rsidRPr="00414DBF" w:rsidRDefault="00E95F78"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 xml:space="preserve">Amended Complaint, ¶ 8.  In its Answer to the Amended Complaint, the Company avers this installation occurred in 2012.  </w:t>
      </w:r>
    </w:p>
    <w:p w14:paraId="673F9981" w14:textId="77777777" w:rsidR="00E95F78" w:rsidRPr="00414DBF" w:rsidRDefault="00E95F78" w:rsidP="00414DBF">
      <w:pPr>
        <w:pStyle w:val="FootnoteText"/>
        <w:rPr>
          <w:rFonts w:cs="Times New Roman"/>
          <w:sz w:val="20"/>
          <w:szCs w:val="20"/>
        </w:rPr>
      </w:pPr>
    </w:p>
  </w:footnote>
  <w:footnote w:id="49">
    <w:p w14:paraId="0DF0E593" w14:textId="3FB777E5" w:rsidR="00E95F78" w:rsidRPr="00414DBF" w:rsidRDefault="00E95F78"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 xml:space="preserve">Amended Complaint, ¶ 9.  In its Answer to the Amended Complaint, the Company admits the landslide occurred in 2018, but disputes that it was caused by </w:t>
      </w:r>
      <w:r w:rsidR="00901C9C" w:rsidRPr="00414DBF">
        <w:rPr>
          <w:rFonts w:cs="Times New Roman"/>
          <w:sz w:val="20"/>
          <w:szCs w:val="20"/>
        </w:rPr>
        <w:t xml:space="preserve">the 2012 installation. </w:t>
      </w:r>
    </w:p>
    <w:p w14:paraId="6DA3E79B" w14:textId="77777777" w:rsidR="00E95F78" w:rsidRPr="00414DBF" w:rsidRDefault="00E95F78" w:rsidP="00414DBF">
      <w:pPr>
        <w:pStyle w:val="FootnoteText"/>
        <w:rPr>
          <w:rFonts w:cs="Times New Roman"/>
          <w:sz w:val="20"/>
          <w:szCs w:val="20"/>
        </w:rPr>
      </w:pPr>
    </w:p>
  </w:footnote>
  <w:footnote w:id="50">
    <w:p w14:paraId="43F90FC8" w14:textId="77777777" w:rsidR="00E95F78" w:rsidRPr="00414DBF" w:rsidRDefault="00E95F78"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10.</w:t>
      </w:r>
    </w:p>
    <w:p w14:paraId="44DF49D7" w14:textId="77777777" w:rsidR="00E95F78" w:rsidRPr="00414DBF" w:rsidRDefault="00E95F78" w:rsidP="00414DBF">
      <w:pPr>
        <w:pStyle w:val="FootnoteText"/>
        <w:rPr>
          <w:rFonts w:cs="Times New Roman"/>
          <w:sz w:val="20"/>
          <w:szCs w:val="20"/>
        </w:rPr>
      </w:pPr>
    </w:p>
  </w:footnote>
  <w:footnote w:id="51">
    <w:p w14:paraId="4520A34F" w14:textId="77777777" w:rsidR="00E95F78" w:rsidRPr="00414DBF" w:rsidRDefault="00E95F78" w:rsidP="00414DBF">
      <w:pPr>
        <w:pStyle w:val="FootnoteText"/>
        <w:rPr>
          <w:rFonts w:cs="Times New Roman"/>
          <w:sz w:val="20"/>
          <w:szCs w:val="20"/>
        </w:rPr>
      </w:pPr>
      <w:r w:rsidRPr="00414DBF">
        <w:rPr>
          <w:rStyle w:val="FootnoteReference"/>
          <w:sz w:val="20"/>
          <w:szCs w:val="20"/>
        </w:rPr>
        <w:footnoteRef/>
      </w:r>
      <w:r w:rsidRPr="00414DBF">
        <w:rPr>
          <w:rFonts w:cs="Times New Roman"/>
          <w:sz w:val="20"/>
          <w:szCs w:val="20"/>
        </w:rPr>
        <w:t xml:space="preserve"> </w:t>
      </w:r>
      <w:r w:rsidRPr="00414DBF">
        <w:rPr>
          <w:rFonts w:cs="Times New Roman"/>
          <w:sz w:val="20"/>
          <w:szCs w:val="20"/>
        </w:rPr>
        <w:tab/>
        <w:t>Amended Complaint, ¶¶ 11-12.</w:t>
      </w:r>
    </w:p>
    <w:p w14:paraId="1025DE40" w14:textId="77777777" w:rsidR="00E95F78" w:rsidRPr="00423689" w:rsidRDefault="00E95F78" w:rsidP="00E95F78">
      <w:pPr>
        <w:pStyle w:val="FootnoteText"/>
        <w:rPr>
          <w:rFonts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514A"/>
    <w:rsid w:val="00007B1E"/>
    <w:rsid w:val="00011F74"/>
    <w:rsid w:val="00042BBD"/>
    <w:rsid w:val="00044DBB"/>
    <w:rsid w:val="00050B9B"/>
    <w:rsid w:val="00052B83"/>
    <w:rsid w:val="00053E84"/>
    <w:rsid w:val="00056F6F"/>
    <w:rsid w:val="00057980"/>
    <w:rsid w:val="00062DD8"/>
    <w:rsid w:val="00072698"/>
    <w:rsid w:val="00072AD6"/>
    <w:rsid w:val="00087B28"/>
    <w:rsid w:val="00097F48"/>
    <w:rsid w:val="000A4B38"/>
    <w:rsid w:val="000B15BC"/>
    <w:rsid w:val="000B3A36"/>
    <w:rsid w:val="000D0A76"/>
    <w:rsid w:val="000E031E"/>
    <w:rsid w:val="000E1F2B"/>
    <w:rsid w:val="000E3423"/>
    <w:rsid w:val="000E4CE0"/>
    <w:rsid w:val="000F3F61"/>
    <w:rsid w:val="000F73CE"/>
    <w:rsid w:val="00100FF1"/>
    <w:rsid w:val="00110550"/>
    <w:rsid w:val="001109E2"/>
    <w:rsid w:val="00114EAE"/>
    <w:rsid w:val="001158FD"/>
    <w:rsid w:val="00122CB5"/>
    <w:rsid w:val="0013028F"/>
    <w:rsid w:val="001331E9"/>
    <w:rsid w:val="00133A3E"/>
    <w:rsid w:val="001577A0"/>
    <w:rsid w:val="00161EFF"/>
    <w:rsid w:val="00165155"/>
    <w:rsid w:val="00166CFB"/>
    <w:rsid w:val="00167BE4"/>
    <w:rsid w:val="00171844"/>
    <w:rsid w:val="00180DE8"/>
    <w:rsid w:val="0019273B"/>
    <w:rsid w:val="0019593D"/>
    <w:rsid w:val="001959CB"/>
    <w:rsid w:val="00196190"/>
    <w:rsid w:val="00197D9A"/>
    <w:rsid w:val="001B128D"/>
    <w:rsid w:val="001C7DCC"/>
    <w:rsid w:val="001D2816"/>
    <w:rsid w:val="001E1DD9"/>
    <w:rsid w:val="001E1E83"/>
    <w:rsid w:val="001E2BB8"/>
    <w:rsid w:val="001E4FF7"/>
    <w:rsid w:val="001F1ACC"/>
    <w:rsid w:val="001F5A49"/>
    <w:rsid w:val="00204E75"/>
    <w:rsid w:val="002067A5"/>
    <w:rsid w:val="00210794"/>
    <w:rsid w:val="0022395F"/>
    <w:rsid w:val="002241BE"/>
    <w:rsid w:val="00243D8C"/>
    <w:rsid w:val="00245F55"/>
    <w:rsid w:val="002472F5"/>
    <w:rsid w:val="00252219"/>
    <w:rsid w:val="00267BEF"/>
    <w:rsid w:val="00267F8A"/>
    <w:rsid w:val="002722EC"/>
    <w:rsid w:val="002815C8"/>
    <w:rsid w:val="0029169F"/>
    <w:rsid w:val="00292335"/>
    <w:rsid w:val="002937A7"/>
    <w:rsid w:val="00297BDB"/>
    <w:rsid w:val="00297FC9"/>
    <w:rsid w:val="002B1380"/>
    <w:rsid w:val="002B4B27"/>
    <w:rsid w:val="002B6B5C"/>
    <w:rsid w:val="002C547E"/>
    <w:rsid w:val="002D06AA"/>
    <w:rsid w:val="002D744F"/>
    <w:rsid w:val="002D7A9C"/>
    <w:rsid w:val="002E22B3"/>
    <w:rsid w:val="002E2FD9"/>
    <w:rsid w:val="002F0C51"/>
    <w:rsid w:val="002F6AE0"/>
    <w:rsid w:val="00302007"/>
    <w:rsid w:val="00317F7F"/>
    <w:rsid w:val="00320DDD"/>
    <w:rsid w:val="00330DBF"/>
    <w:rsid w:val="003418B1"/>
    <w:rsid w:val="0034352C"/>
    <w:rsid w:val="00347E07"/>
    <w:rsid w:val="00352EE3"/>
    <w:rsid w:val="00372899"/>
    <w:rsid w:val="00377680"/>
    <w:rsid w:val="00383B5F"/>
    <w:rsid w:val="00393E45"/>
    <w:rsid w:val="0039678B"/>
    <w:rsid w:val="00397BDD"/>
    <w:rsid w:val="003A2715"/>
    <w:rsid w:val="003A3ED9"/>
    <w:rsid w:val="003A6746"/>
    <w:rsid w:val="003A72B8"/>
    <w:rsid w:val="003B479E"/>
    <w:rsid w:val="003C1920"/>
    <w:rsid w:val="003C4433"/>
    <w:rsid w:val="003C6039"/>
    <w:rsid w:val="003D3D02"/>
    <w:rsid w:val="003E08D0"/>
    <w:rsid w:val="003E413E"/>
    <w:rsid w:val="003F6DFE"/>
    <w:rsid w:val="003F7E9B"/>
    <w:rsid w:val="004121D3"/>
    <w:rsid w:val="00414DBF"/>
    <w:rsid w:val="00423689"/>
    <w:rsid w:val="00425EC6"/>
    <w:rsid w:val="00431564"/>
    <w:rsid w:val="00434A06"/>
    <w:rsid w:val="00441692"/>
    <w:rsid w:val="00442CC5"/>
    <w:rsid w:val="004514DE"/>
    <w:rsid w:val="004554F6"/>
    <w:rsid w:val="0045783A"/>
    <w:rsid w:val="004805AC"/>
    <w:rsid w:val="004864C2"/>
    <w:rsid w:val="00495BB0"/>
    <w:rsid w:val="004A540C"/>
    <w:rsid w:val="004A5779"/>
    <w:rsid w:val="004B6291"/>
    <w:rsid w:val="004C1CA8"/>
    <w:rsid w:val="004D26E4"/>
    <w:rsid w:val="004D460A"/>
    <w:rsid w:val="004D6595"/>
    <w:rsid w:val="004F6991"/>
    <w:rsid w:val="005011AC"/>
    <w:rsid w:val="005042A4"/>
    <w:rsid w:val="00507D15"/>
    <w:rsid w:val="00510988"/>
    <w:rsid w:val="005202CC"/>
    <w:rsid w:val="00520DE6"/>
    <w:rsid w:val="005210FB"/>
    <w:rsid w:val="005232CC"/>
    <w:rsid w:val="00523C23"/>
    <w:rsid w:val="0052541D"/>
    <w:rsid w:val="005325B2"/>
    <w:rsid w:val="0054117B"/>
    <w:rsid w:val="00542A52"/>
    <w:rsid w:val="00551CCF"/>
    <w:rsid w:val="005613C1"/>
    <w:rsid w:val="00563361"/>
    <w:rsid w:val="00564E1C"/>
    <w:rsid w:val="005672A7"/>
    <w:rsid w:val="00571B96"/>
    <w:rsid w:val="00573D69"/>
    <w:rsid w:val="00574A43"/>
    <w:rsid w:val="005832EC"/>
    <w:rsid w:val="0058409B"/>
    <w:rsid w:val="00585977"/>
    <w:rsid w:val="00593BBB"/>
    <w:rsid w:val="00594803"/>
    <w:rsid w:val="005A6CCB"/>
    <w:rsid w:val="005A75A8"/>
    <w:rsid w:val="005B4725"/>
    <w:rsid w:val="005C3228"/>
    <w:rsid w:val="005E4363"/>
    <w:rsid w:val="005E6B98"/>
    <w:rsid w:val="005F0D3B"/>
    <w:rsid w:val="0060372F"/>
    <w:rsid w:val="00606A56"/>
    <w:rsid w:val="00617160"/>
    <w:rsid w:val="00621A56"/>
    <w:rsid w:val="0063705F"/>
    <w:rsid w:val="00637A0F"/>
    <w:rsid w:val="00653BFD"/>
    <w:rsid w:val="00653D09"/>
    <w:rsid w:val="00665D09"/>
    <w:rsid w:val="0067328E"/>
    <w:rsid w:val="00680848"/>
    <w:rsid w:val="00684BED"/>
    <w:rsid w:val="00686B90"/>
    <w:rsid w:val="00686ED6"/>
    <w:rsid w:val="006870A2"/>
    <w:rsid w:val="006A09D4"/>
    <w:rsid w:val="006A199E"/>
    <w:rsid w:val="006A6ED9"/>
    <w:rsid w:val="006B17AF"/>
    <w:rsid w:val="006C0B56"/>
    <w:rsid w:val="006C0C55"/>
    <w:rsid w:val="006C3F0D"/>
    <w:rsid w:val="006D71E0"/>
    <w:rsid w:val="006F21FF"/>
    <w:rsid w:val="006F3439"/>
    <w:rsid w:val="007002BB"/>
    <w:rsid w:val="00707B10"/>
    <w:rsid w:val="007143B9"/>
    <w:rsid w:val="0071579D"/>
    <w:rsid w:val="007218E2"/>
    <w:rsid w:val="007221DD"/>
    <w:rsid w:val="007224CB"/>
    <w:rsid w:val="00731452"/>
    <w:rsid w:val="007325EC"/>
    <w:rsid w:val="00736638"/>
    <w:rsid w:val="00746B62"/>
    <w:rsid w:val="00750498"/>
    <w:rsid w:val="00756C59"/>
    <w:rsid w:val="00766964"/>
    <w:rsid w:val="007723DA"/>
    <w:rsid w:val="0077433E"/>
    <w:rsid w:val="00777F27"/>
    <w:rsid w:val="00783B52"/>
    <w:rsid w:val="00793A26"/>
    <w:rsid w:val="00795433"/>
    <w:rsid w:val="007A080E"/>
    <w:rsid w:val="007A60F7"/>
    <w:rsid w:val="007A64A8"/>
    <w:rsid w:val="007A6A51"/>
    <w:rsid w:val="007B142C"/>
    <w:rsid w:val="007B7482"/>
    <w:rsid w:val="007C256D"/>
    <w:rsid w:val="007D02D1"/>
    <w:rsid w:val="007D21A9"/>
    <w:rsid w:val="007D2CE0"/>
    <w:rsid w:val="007D75FA"/>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1086"/>
    <w:rsid w:val="008D3109"/>
    <w:rsid w:val="008D5BFF"/>
    <w:rsid w:val="008F56A9"/>
    <w:rsid w:val="008F7A83"/>
    <w:rsid w:val="00901541"/>
    <w:rsid w:val="00901C9C"/>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65AF"/>
    <w:rsid w:val="0099785C"/>
    <w:rsid w:val="009B456C"/>
    <w:rsid w:val="009B7C03"/>
    <w:rsid w:val="009D0BED"/>
    <w:rsid w:val="009D106E"/>
    <w:rsid w:val="009D4037"/>
    <w:rsid w:val="009D7847"/>
    <w:rsid w:val="009F79C0"/>
    <w:rsid w:val="00A01979"/>
    <w:rsid w:val="00A03EB6"/>
    <w:rsid w:val="00A1051A"/>
    <w:rsid w:val="00A10C22"/>
    <w:rsid w:val="00A22C46"/>
    <w:rsid w:val="00A23D27"/>
    <w:rsid w:val="00A33B96"/>
    <w:rsid w:val="00A366E5"/>
    <w:rsid w:val="00A36A20"/>
    <w:rsid w:val="00A41EC6"/>
    <w:rsid w:val="00A57B75"/>
    <w:rsid w:val="00A6139D"/>
    <w:rsid w:val="00A622AA"/>
    <w:rsid w:val="00A7178A"/>
    <w:rsid w:val="00A93CA2"/>
    <w:rsid w:val="00AB1FB8"/>
    <w:rsid w:val="00AB79E5"/>
    <w:rsid w:val="00AD0BEE"/>
    <w:rsid w:val="00AD298A"/>
    <w:rsid w:val="00AF4687"/>
    <w:rsid w:val="00AF5060"/>
    <w:rsid w:val="00AF6785"/>
    <w:rsid w:val="00B01456"/>
    <w:rsid w:val="00B07613"/>
    <w:rsid w:val="00B10CBB"/>
    <w:rsid w:val="00B14406"/>
    <w:rsid w:val="00B331B3"/>
    <w:rsid w:val="00B33EE9"/>
    <w:rsid w:val="00B34235"/>
    <w:rsid w:val="00B35908"/>
    <w:rsid w:val="00B37D57"/>
    <w:rsid w:val="00B51423"/>
    <w:rsid w:val="00B51D3B"/>
    <w:rsid w:val="00B56539"/>
    <w:rsid w:val="00B761E3"/>
    <w:rsid w:val="00B85B44"/>
    <w:rsid w:val="00B92872"/>
    <w:rsid w:val="00BA29C3"/>
    <w:rsid w:val="00BB5FDD"/>
    <w:rsid w:val="00BC2EF9"/>
    <w:rsid w:val="00BF5524"/>
    <w:rsid w:val="00BF716F"/>
    <w:rsid w:val="00C07341"/>
    <w:rsid w:val="00C17D34"/>
    <w:rsid w:val="00C17F99"/>
    <w:rsid w:val="00C21984"/>
    <w:rsid w:val="00C51970"/>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CF3941"/>
    <w:rsid w:val="00D001EF"/>
    <w:rsid w:val="00D01428"/>
    <w:rsid w:val="00D0153E"/>
    <w:rsid w:val="00D050AA"/>
    <w:rsid w:val="00D1215F"/>
    <w:rsid w:val="00D226D1"/>
    <w:rsid w:val="00D25B35"/>
    <w:rsid w:val="00D40B94"/>
    <w:rsid w:val="00D549E7"/>
    <w:rsid w:val="00D5527A"/>
    <w:rsid w:val="00D707DB"/>
    <w:rsid w:val="00D70D51"/>
    <w:rsid w:val="00D734AA"/>
    <w:rsid w:val="00D76885"/>
    <w:rsid w:val="00D929BA"/>
    <w:rsid w:val="00DA2A8E"/>
    <w:rsid w:val="00DA5DC0"/>
    <w:rsid w:val="00DB683B"/>
    <w:rsid w:val="00DB70A9"/>
    <w:rsid w:val="00DF2A1E"/>
    <w:rsid w:val="00DF36CD"/>
    <w:rsid w:val="00E06A1A"/>
    <w:rsid w:val="00E1598A"/>
    <w:rsid w:val="00E175C7"/>
    <w:rsid w:val="00E22A38"/>
    <w:rsid w:val="00E24924"/>
    <w:rsid w:val="00E24E6B"/>
    <w:rsid w:val="00E2610C"/>
    <w:rsid w:val="00E325F8"/>
    <w:rsid w:val="00E56FD2"/>
    <w:rsid w:val="00E630B8"/>
    <w:rsid w:val="00E65B43"/>
    <w:rsid w:val="00E75A05"/>
    <w:rsid w:val="00E76861"/>
    <w:rsid w:val="00E80E51"/>
    <w:rsid w:val="00E82F46"/>
    <w:rsid w:val="00E9324C"/>
    <w:rsid w:val="00E95F78"/>
    <w:rsid w:val="00EA5376"/>
    <w:rsid w:val="00EA74A9"/>
    <w:rsid w:val="00EB3DB6"/>
    <w:rsid w:val="00ED412C"/>
    <w:rsid w:val="00F040DC"/>
    <w:rsid w:val="00F144D2"/>
    <w:rsid w:val="00F22CE7"/>
    <w:rsid w:val="00F2629A"/>
    <w:rsid w:val="00F2779A"/>
    <w:rsid w:val="00F30186"/>
    <w:rsid w:val="00F32248"/>
    <w:rsid w:val="00F33E27"/>
    <w:rsid w:val="00F37495"/>
    <w:rsid w:val="00F44DB3"/>
    <w:rsid w:val="00F45D8E"/>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aliases w:val="Car"/>
    <w:basedOn w:val="Normal"/>
    <w:link w:val="FootnoteTextChar"/>
    <w:uiPriority w:val="99"/>
    <w:qFormat/>
    <w:rsid w:val="009D4037"/>
  </w:style>
  <w:style w:type="character" w:customStyle="1" w:styleId="FootnoteTextChar">
    <w:name w:val="Footnote Text Char"/>
    <w:aliases w:val="Car Char"/>
    <w:basedOn w:val="DefaultParagraphFont"/>
    <w:link w:val="FootnoteText"/>
    <w:uiPriority w:val="99"/>
    <w:locked/>
    <w:rsid w:val="001E1DD9"/>
    <w:rPr>
      <w:rFonts w:ascii="CG Times" w:hAnsi="CG Times" w:cs="CG Times"/>
      <w:sz w:val="20"/>
      <w:szCs w:val="20"/>
    </w:rPr>
  </w:style>
  <w:style w:type="character" w:styleId="FootnoteReference">
    <w:name w:val="footnote reference"/>
    <w:aliases w:val="o,fr"/>
    <w:basedOn w:val="DefaultParagraphFont"/>
    <w:uiPriority w:val="99"/>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685524611">
      <w:bodyDiv w:val="1"/>
      <w:marLeft w:val="0"/>
      <w:marRight w:val="0"/>
      <w:marTop w:val="0"/>
      <w:marBottom w:val="0"/>
      <w:divBdr>
        <w:top w:val="none" w:sz="0" w:space="0" w:color="auto"/>
        <w:left w:val="none" w:sz="0" w:space="0" w:color="auto"/>
        <w:bottom w:val="none" w:sz="0" w:space="0" w:color="auto"/>
        <w:right w:val="none" w:sz="0" w:space="0" w:color="auto"/>
      </w:divBdr>
    </w:div>
    <w:div w:id="919098717">
      <w:bodyDiv w:val="1"/>
      <w:marLeft w:val="0"/>
      <w:marRight w:val="0"/>
      <w:marTop w:val="0"/>
      <w:marBottom w:val="0"/>
      <w:divBdr>
        <w:top w:val="none" w:sz="0" w:space="0" w:color="auto"/>
        <w:left w:val="none" w:sz="0" w:space="0" w:color="auto"/>
        <w:bottom w:val="none" w:sz="0" w:space="0" w:color="auto"/>
        <w:right w:val="none" w:sz="0" w:space="0" w:color="auto"/>
      </w:divBdr>
    </w:div>
    <w:div w:id="1251354353">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 w:id="17338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rganexcavating.com" TargetMode="External"/><Relationship Id="rId5" Type="http://schemas.openxmlformats.org/officeDocument/2006/relationships/webSettings" Target="webSettings.xml"/><Relationship Id="rId10" Type="http://schemas.openxmlformats.org/officeDocument/2006/relationships/hyperlink" Target="mailto:dvery@cfwwg.com" TargetMode="External"/><Relationship Id="rId4" Type="http://schemas.openxmlformats.org/officeDocument/2006/relationships/settings" Target="settings.xml"/><Relationship Id="rId9" Type="http://schemas.openxmlformats.org/officeDocument/2006/relationships/hyperlink" Target="mailto:ccafardi@cfww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2658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8</cp:revision>
  <cp:lastPrinted>2016-06-09T17:16:00Z</cp:lastPrinted>
  <dcterms:created xsi:type="dcterms:W3CDTF">2021-01-25T14:55:00Z</dcterms:created>
  <dcterms:modified xsi:type="dcterms:W3CDTF">2021-01-25T14:59:00Z</dcterms:modified>
</cp:coreProperties>
</file>