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2AF4602B" w:rsidR="002F142B" w:rsidRPr="002F142B" w:rsidRDefault="00F463DE" w:rsidP="00F463DE">
      <w:pPr>
        <w:jc w:val="center"/>
        <w:rPr>
          <w:sz w:val="24"/>
          <w:szCs w:val="24"/>
        </w:rPr>
      </w:pPr>
      <w:r>
        <w:rPr>
          <w:sz w:val="24"/>
          <w:szCs w:val="24"/>
        </w:rPr>
        <w:t>February 5, 2021</w:t>
      </w:r>
    </w:p>
    <w:p w14:paraId="25E73416" w14:textId="69CFD08F" w:rsidR="002F142B" w:rsidRDefault="00224095" w:rsidP="002F142B">
      <w:pPr>
        <w:jc w:val="right"/>
        <w:rPr>
          <w:sz w:val="24"/>
          <w:szCs w:val="24"/>
        </w:rPr>
      </w:pPr>
      <w:r>
        <w:rPr>
          <w:sz w:val="24"/>
          <w:szCs w:val="24"/>
        </w:rPr>
        <w:t>A-</w:t>
      </w:r>
      <w:r w:rsidR="00E055B8">
        <w:rPr>
          <w:sz w:val="24"/>
          <w:szCs w:val="24"/>
        </w:rPr>
        <w:t>8917196</w:t>
      </w:r>
    </w:p>
    <w:p w14:paraId="392C3665" w14:textId="42A5FB38" w:rsidR="002F142B" w:rsidRDefault="002F142B" w:rsidP="002F142B">
      <w:pPr>
        <w:jc w:val="right"/>
        <w:rPr>
          <w:sz w:val="24"/>
          <w:szCs w:val="24"/>
        </w:rPr>
      </w:pPr>
      <w:r>
        <w:rPr>
          <w:sz w:val="24"/>
          <w:szCs w:val="24"/>
        </w:rPr>
        <w:t>C-</w:t>
      </w:r>
      <w:r w:rsidR="00AA4D70">
        <w:rPr>
          <w:sz w:val="24"/>
          <w:szCs w:val="24"/>
        </w:rPr>
        <w:t>2020-</w:t>
      </w:r>
      <w:r w:rsidR="00E055B8">
        <w:rPr>
          <w:sz w:val="24"/>
          <w:szCs w:val="24"/>
        </w:rPr>
        <w:t>3020945</w:t>
      </w:r>
    </w:p>
    <w:p w14:paraId="70C99351" w14:textId="00258DC8" w:rsidR="002F142B" w:rsidRDefault="002F142B" w:rsidP="002F142B">
      <w:pPr>
        <w:rPr>
          <w:sz w:val="24"/>
          <w:szCs w:val="24"/>
        </w:rPr>
      </w:pPr>
    </w:p>
    <w:p w14:paraId="5A75FC40" w14:textId="2402E92F" w:rsidR="00AA4D70" w:rsidRDefault="00E055B8" w:rsidP="002F142B">
      <w:pPr>
        <w:rPr>
          <w:sz w:val="24"/>
          <w:szCs w:val="24"/>
        </w:rPr>
      </w:pPr>
      <w:r>
        <w:rPr>
          <w:sz w:val="24"/>
          <w:szCs w:val="24"/>
        </w:rPr>
        <w:t>MILE PEELERS FREIGHT SYSTEM LLC</w:t>
      </w:r>
    </w:p>
    <w:p w14:paraId="20F1187D" w14:textId="5481764F" w:rsidR="002F142B" w:rsidRDefault="00E055B8" w:rsidP="002F142B">
      <w:pPr>
        <w:rPr>
          <w:sz w:val="24"/>
          <w:szCs w:val="24"/>
        </w:rPr>
      </w:pPr>
      <w:r>
        <w:rPr>
          <w:sz w:val="24"/>
          <w:szCs w:val="24"/>
        </w:rPr>
        <w:t>PO BOX 1756</w:t>
      </w:r>
    </w:p>
    <w:p w14:paraId="05A4A4B9" w14:textId="482B6DE5" w:rsidR="00E055B8" w:rsidRDefault="00E055B8" w:rsidP="002F142B">
      <w:pPr>
        <w:rPr>
          <w:sz w:val="24"/>
          <w:szCs w:val="24"/>
        </w:rPr>
      </w:pPr>
      <w:r>
        <w:rPr>
          <w:sz w:val="24"/>
          <w:szCs w:val="24"/>
        </w:rPr>
        <w:t>100 N WILKES BARRE BLVD</w:t>
      </w:r>
    </w:p>
    <w:p w14:paraId="278C806E" w14:textId="1219CE66" w:rsidR="002F142B" w:rsidRDefault="00E055B8" w:rsidP="002F142B">
      <w:pPr>
        <w:rPr>
          <w:sz w:val="24"/>
          <w:szCs w:val="24"/>
        </w:rPr>
      </w:pPr>
      <w:r>
        <w:rPr>
          <w:sz w:val="24"/>
          <w:szCs w:val="24"/>
        </w:rPr>
        <w:t>WILKES BARRE PA  18702</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02E105F"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E055B8">
        <w:rPr>
          <w:sz w:val="24"/>
          <w:szCs w:val="24"/>
        </w:rPr>
        <w:t>Mile Peelers Freight System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17FA6F66" w:rsidR="002F142B" w:rsidRDefault="002F142B" w:rsidP="002F142B">
      <w:pPr>
        <w:rPr>
          <w:sz w:val="24"/>
          <w:szCs w:val="24"/>
        </w:rPr>
      </w:pPr>
      <w:r>
        <w:rPr>
          <w:sz w:val="24"/>
          <w:szCs w:val="24"/>
        </w:rPr>
        <w:tab/>
        <w:t xml:space="preserve">On </w:t>
      </w:r>
      <w:r w:rsidR="00224095">
        <w:rPr>
          <w:sz w:val="24"/>
          <w:szCs w:val="24"/>
        </w:rPr>
        <w:t xml:space="preserve">August </w:t>
      </w:r>
      <w:r w:rsidR="00E055B8">
        <w:rPr>
          <w:sz w:val="24"/>
          <w:szCs w:val="24"/>
        </w:rPr>
        <w:t>10</w:t>
      </w:r>
      <w:r>
        <w:rPr>
          <w:sz w:val="24"/>
          <w:szCs w:val="24"/>
        </w:rPr>
        <w:t xml:space="preserve">, 2020, the Bureau of Investigation and Enforcement instituted a Complaint against </w:t>
      </w:r>
      <w:r w:rsidR="00E055B8">
        <w:rPr>
          <w:sz w:val="24"/>
          <w:szCs w:val="24"/>
        </w:rPr>
        <w:t>Mile Peelers Freight System LLC</w:t>
      </w:r>
      <w:r>
        <w:rPr>
          <w:sz w:val="24"/>
          <w:szCs w:val="24"/>
        </w:rPr>
        <w:t>, Respondent, for failure to maintain evidence of Liability</w:t>
      </w:r>
      <w:r w:rsidR="00AA4D70">
        <w:rPr>
          <w:sz w:val="24"/>
          <w:szCs w:val="24"/>
        </w:rPr>
        <w:t xml:space="preserve"> </w:t>
      </w:r>
      <w:r>
        <w:rPr>
          <w:sz w:val="24"/>
          <w:szCs w:val="24"/>
        </w:rPr>
        <w:t xml:space="preserve">Insurance </w:t>
      </w:r>
      <w:r w:rsidR="00224095">
        <w:rPr>
          <w:sz w:val="24"/>
          <w:szCs w:val="24"/>
        </w:rPr>
        <w:t xml:space="preserve">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5FEB0400" w:rsidR="002F142B" w:rsidRDefault="002F142B" w:rsidP="002F142B">
      <w:pPr>
        <w:rPr>
          <w:sz w:val="24"/>
          <w:szCs w:val="24"/>
        </w:rPr>
      </w:pPr>
      <w:r>
        <w:rPr>
          <w:sz w:val="24"/>
          <w:szCs w:val="24"/>
        </w:rPr>
        <w:tab/>
        <w:t xml:space="preserve">The Complaint was served on Respondent, </w:t>
      </w:r>
      <w:r w:rsidR="00224095">
        <w:rPr>
          <w:sz w:val="24"/>
          <w:szCs w:val="24"/>
        </w:rPr>
        <w:t xml:space="preserve">August </w:t>
      </w:r>
      <w:r w:rsidR="00E055B8">
        <w:rPr>
          <w:sz w:val="24"/>
          <w:szCs w:val="24"/>
        </w:rPr>
        <w:t>11</w:t>
      </w:r>
      <w:r>
        <w:rPr>
          <w:sz w:val="24"/>
          <w:szCs w:val="24"/>
        </w:rPr>
        <w:t xml:space="preserve">, 2020, by e-mail.  On November </w:t>
      </w:r>
      <w:r w:rsidR="00E055B8">
        <w:rPr>
          <w:sz w:val="24"/>
          <w:szCs w:val="24"/>
        </w:rPr>
        <w:t>21</w:t>
      </w:r>
      <w:r>
        <w:rPr>
          <w:sz w:val="24"/>
          <w:szCs w:val="24"/>
        </w:rPr>
        <w:t xml:space="preserve">, 2020,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37377927" w14:textId="77777777" w:rsidR="00224095"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26174422" w:rsidR="00492FA4" w:rsidRPr="00A82F96" w:rsidRDefault="00224095" w:rsidP="00492FA4">
      <w:pPr>
        <w:rPr>
          <w:sz w:val="24"/>
          <w:szCs w:val="24"/>
        </w:rPr>
      </w:pPr>
      <w:r>
        <w:rPr>
          <w:sz w:val="24"/>
          <w:szCs w:val="24"/>
        </w:rPr>
        <w:t>A-</w:t>
      </w:r>
      <w:r w:rsidR="00E055B8">
        <w:rPr>
          <w:sz w:val="24"/>
          <w:szCs w:val="24"/>
        </w:rPr>
        <w:t>8917196</w:t>
      </w:r>
      <w:r w:rsidR="00492FA4">
        <w:rPr>
          <w:sz w:val="24"/>
          <w:szCs w:val="24"/>
        </w:rPr>
        <w:t xml:space="preserve"> </w:t>
      </w:r>
      <w:r w:rsidR="00492FA4" w:rsidRPr="00A82F96">
        <w:rPr>
          <w:i/>
          <w:sz w:val="24"/>
          <w:szCs w:val="24"/>
        </w:rPr>
        <w:t>is</w:t>
      </w:r>
      <w:r w:rsidR="00492FA4" w:rsidRPr="00A82F96">
        <w:rPr>
          <w:sz w:val="24"/>
          <w:szCs w:val="24"/>
        </w:rPr>
        <w:t xml:space="preserve"> </w:t>
      </w:r>
      <w:r w:rsidR="00492FA4" w:rsidRPr="00A82F96">
        <w:rPr>
          <w:i/>
          <w:sz w:val="24"/>
          <w:szCs w:val="24"/>
        </w:rPr>
        <w:t xml:space="preserve">hereby </w:t>
      </w:r>
      <w:r w:rsidR="00492FA4" w:rsidRPr="00A82F96">
        <w:rPr>
          <w:i/>
          <w:sz w:val="24"/>
          <w:szCs w:val="24"/>
          <w:u w:val="single"/>
        </w:rPr>
        <w:t>CANCELLED</w:t>
      </w:r>
      <w:r w:rsidR="00492FA4"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t>
      </w:r>
      <w:r w:rsidRPr="00A82F96">
        <w:rPr>
          <w:sz w:val="24"/>
          <w:szCs w:val="24"/>
        </w:rPr>
        <w:lastRenderedPageBreak/>
        <w:t xml:space="preserve">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02759539" w:rsidR="00492FA4" w:rsidRPr="00A82F96" w:rsidRDefault="00492FA4" w:rsidP="00492FA4">
      <w:pPr>
        <w:ind w:firstLine="720"/>
        <w:rPr>
          <w:sz w:val="24"/>
          <w:szCs w:val="24"/>
        </w:rPr>
      </w:pPr>
    </w:p>
    <w:p w14:paraId="386871CD" w14:textId="4AF18974" w:rsidR="00492FA4" w:rsidRPr="00A82F96" w:rsidRDefault="00492FA4" w:rsidP="00492FA4">
      <w:pPr>
        <w:ind w:firstLine="720"/>
        <w:rPr>
          <w:sz w:val="24"/>
          <w:szCs w:val="24"/>
        </w:rPr>
      </w:pPr>
    </w:p>
    <w:p w14:paraId="19E2A78E" w14:textId="1D322761"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0D777CD7" w:rsidR="00492FA4" w:rsidRPr="00A82F96" w:rsidRDefault="00492FA4" w:rsidP="00492FA4">
      <w:pPr>
        <w:rPr>
          <w:sz w:val="24"/>
          <w:szCs w:val="24"/>
        </w:rPr>
      </w:pPr>
    </w:p>
    <w:p w14:paraId="475332A9" w14:textId="73EA5FEE" w:rsidR="00492FA4" w:rsidRPr="00A82F96" w:rsidRDefault="00F463DE" w:rsidP="00492FA4">
      <w:pPr>
        <w:rPr>
          <w:sz w:val="24"/>
          <w:szCs w:val="24"/>
        </w:rPr>
      </w:pPr>
      <w:r>
        <w:rPr>
          <w:noProof/>
        </w:rPr>
        <w:drawing>
          <wp:anchor distT="0" distB="0" distL="114300" distR="114300" simplePos="0" relativeHeight="251659264" behindDoc="1" locked="0" layoutInCell="1" allowOverlap="1" wp14:anchorId="55899136" wp14:editId="7A462D26">
            <wp:simplePos x="0" y="0"/>
            <wp:positionH relativeFrom="column">
              <wp:posOffset>2800350</wp:posOffset>
            </wp:positionH>
            <wp:positionV relativeFrom="paragraph">
              <wp:posOffset>128905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0B6ACC35"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24095"/>
    <w:rsid w:val="002F142B"/>
    <w:rsid w:val="00492FA4"/>
    <w:rsid w:val="00AA4D70"/>
    <w:rsid w:val="00E055B8"/>
    <w:rsid w:val="00F463DE"/>
    <w:rsid w:val="00F5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2021-02-05T13:29:00Z</dcterms:created>
  <dcterms:modified xsi:type="dcterms:W3CDTF">2021-02-05T13:29:00Z</dcterms:modified>
</cp:coreProperties>
</file>