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CFB992" w14:textId="77777777" w:rsidR="00432C71" w:rsidRPr="00E9174E" w:rsidRDefault="00432C71" w:rsidP="00E9174E">
      <w:pPr>
        <w:pStyle w:val="NoSpacing"/>
        <w:contextualSpacing/>
        <w:jc w:val="center"/>
        <w:rPr>
          <w:b/>
          <w:sz w:val="26"/>
          <w:szCs w:val="26"/>
        </w:rPr>
      </w:pPr>
      <w:r w:rsidRPr="00E9174E">
        <w:rPr>
          <w:b/>
          <w:sz w:val="26"/>
          <w:szCs w:val="26"/>
        </w:rPr>
        <w:t xml:space="preserve">PENNSYLVANIA </w:t>
      </w:r>
    </w:p>
    <w:p w14:paraId="1C0EF86C" w14:textId="77777777" w:rsidR="00432C71" w:rsidRPr="00E9174E" w:rsidRDefault="00432C71" w:rsidP="00E9174E">
      <w:pPr>
        <w:pStyle w:val="NoSpacing"/>
        <w:contextualSpacing/>
        <w:jc w:val="center"/>
        <w:rPr>
          <w:b/>
          <w:sz w:val="26"/>
          <w:szCs w:val="26"/>
        </w:rPr>
      </w:pPr>
      <w:r w:rsidRPr="00E9174E">
        <w:rPr>
          <w:b/>
          <w:sz w:val="26"/>
          <w:szCs w:val="26"/>
        </w:rPr>
        <w:t>PUBLIC UT</w:t>
      </w:r>
      <w:r w:rsidR="00DF5285" w:rsidRPr="00E9174E">
        <w:rPr>
          <w:b/>
          <w:sz w:val="26"/>
          <w:szCs w:val="26"/>
        </w:rPr>
        <w:t>I</w:t>
      </w:r>
      <w:r w:rsidRPr="00E9174E">
        <w:rPr>
          <w:b/>
          <w:sz w:val="26"/>
          <w:szCs w:val="26"/>
        </w:rPr>
        <w:t>LITY COMMISSION</w:t>
      </w:r>
    </w:p>
    <w:p w14:paraId="055D0DAC" w14:textId="20F6735E" w:rsidR="00432C71" w:rsidRPr="00E9174E" w:rsidRDefault="00432C71" w:rsidP="00E9174E">
      <w:pPr>
        <w:pStyle w:val="NoSpacing"/>
        <w:contextualSpacing/>
        <w:jc w:val="center"/>
        <w:rPr>
          <w:b/>
          <w:sz w:val="26"/>
          <w:szCs w:val="26"/>
        </w:rPr>
      </w:pPr>
      <w:r w:rsidRPr="00E9174E">
        <w:rPr>
          <w:b/>
          <w:sz w:val="26"/>
          <w:szCs w:val="26"/>
        </w:rPr>
        <w:t>Harrisburg, PA 171</w:t>
      </w:r>
      <w:r w:rsidR="00A33E80" w:rsidRPr="00E9174E">
        <w:rPr>
          <w:b/>
          <w:sz w:val="26"/>
          <w:szCs w:val="26"/>
        </w:rPr>
        <w:t>20</w:t>
      </w:r>
    </w:p>
    <w:p w14:paraId="5DE22911" w14:textId="36528E35" w:rsidR="00BF7AE3" w:rsidRPr="00E9174E" w:rsidRDefault="00BF7AE3" w:rsidP="00E9174E">
      <w:pPr>
        <w:pStyle w:val="NoSpacing"/>
        <w:contextualSpacing/>
        <w:jc w:val="center"/>
        <w:rPr>
          <w:b/>
          <w:sz w:val="26"/>
          <w:szCs w:val="26"/>
        </w:rPr>
      </w:pPr>
    </w:p>
    <w:p w14:paraId="4751D6D4" w14:textId="52B4F822" w:rsidR="00BF7AE3" w:rsidRPr="00E9174E" w:rsidRDefault="00BF7AE3" w:rsidP="00E9174E">
      <w:pPr>
        <w:pStyle w:val="NoSpacing"/>
        <w:contextualSpacing/>
        <w:jc w:val="right"/>
        <w:rPr>
          <w:sz w:val="26"/>
          <w:szCs w:val="26"/>
        </w:rPr>
      </w:pPr>
    </w:p>
    <w:p w14:paraId="29AB621A" w14:textId="77777777" w:rsidR="00BF7AE3" w:rsidRPr="00E9174E" w:rsidRDefault="00BF7AE3" w:rsidP="00E9174E">
      <w:pPr>
        <w:pStyle w:val="NoSpacing"/>
        <w:contextualSpacing/>
        <w:jc w:val="right"/>
        <w:rPr>
          <w:sz w:val="26"/>
          <w:szCs w:val="26"/>
        </w:rPr>
      </w:pPr>
    </w:p>
    <w:p w14:paraId="2EDF462E" w14:textId="77777777" w:rsidR="006F7D6F" w:rsidRPr="00E9174E" w:rsidRDefault="006F7D6F" w:rsidP="00E9174E">
      <w:pPr>
        <w:pStyle w:val="NoSpacing"/>
        <w:contextualSpacing/>
        <w:jc w:val="right"/>
        <w:rPr>
          <w:sz w:val="26"/>
          <w:szCs w:val="26"/>
        </w:rPr>
      </w:pPr>
    </w:p>
    <w:p w14:paraId="78721E51" w14:textId="77777777" w:rsidR="00BF7AE3" w:rsidRPr="00E9174E" w:rsidRDefault="00BF7AE3" w:rsidP="00E9174E">
      <w:pPr>
        <w:widowControl/>
        <w:contextualSpacing/>
        <w:rPr>
          <w:sz w:val="26"/>
          <w:szCs w:val="26"/>
        </w:rPr>
      </w:pPr>
      <w:r w:rsidRPr="00E9174E">
        <w:rPr>
          <w:sz w:val="26"/>
          <w:szCs w:val="26"/>
        </w:rPr>
        <w:t>Commissioners Present:</w:t>
      </w:r>
    </w:p>
    <w:p w14:paraId="4D020B33" w14:textId="77777777" w:rsidR="00BF7AE3" w:rsidRPr="00E9174E" w:rsidRDefault="00BF7AE3" w:rsidP="00E9174E">
      <w:pPr>
        <w:widowControl/>
        <w:contextualSpacing/>
        <w:rPr>
          <w:sz w:val="26"/>
          <w:szCs w:val="26"/>
        </w:rPr>
      </w:pPr>
    </w:p>
    <w:p w14:paraId="73CCFA9E" w14:textId="49A9F6EC" w:rsidR="003531C8" w:rsidRPr="00E9174E" w:rsidRDefault="003531C8" w:rsidP="00E9174E">
      <w:pPr>
        <w:widowControl/>
        <w:tabs>
          <w:tab w:val="left" w:pos="705"/>
        </w:tabs>
        <w:ind w:left="720" w:right="-555"/>
        <w:contextualSpacing/>
        <w:rPr>
          <w:sz w:val="26"/>
          <w:szCs w:val="26"/>
        </w:rPr>
      </w:pPr>
      <w:r w:rsidRPr="00E9174E">
        <w:rPr>
          <w:sz w:val="26"/>
          <w:szCs w:val="26"/>
        </w:rPr>
        <w:t>Gladys Brown Dutr</w:t>
      </w:r>
      <w:r w:rsidR="00AC3C62" w:rsidRPr="00E9174E">
        <w:rPr>
          <w:sz w:val="26"/>
          <w:szCs w:val="26"/>
        </w:rPr>
        <w:t>ie</w:t>
      </w:r>
      <w:r w:rsidRPr="00E9174E">
        <w:rPr>
          <w:sz w:val="26"/>
          <w:szCs w:val="26"/>
        </w:rPr>
        <w:t>uille, Chairman</w:t>
      </w:r>
      <w:r w:rsidR="00C85D59">
        <w:rPr>
          <w:sz w:val="26"/>
          <w:szCs w:val="26"/>
        </w:rPr>
        <w:t>, Joint Statement</w:t>
      </w:r>
    </w:p>
    <w:p w14:paraId="19B77BEF" w14:textId="1CE89F67" w:rsidR="003531C8" w:rsidRPr="00E9174E" w:rsidRDefault="003531C8" w:rsidP="00E9174E">
      <w:pPr>
        <w:widowControl/>
        <w:tabs>
          <w:tab w:val="left" w:pos="705"/>
        </w:tabs>
        <w:ind w:left="720"/>
        <w:contextualSpacing/>
        <w:rPr>
          <w:sz w:val="26"/>
          <w:szCs w:val="26"/>
        </w:rPr>
      </w:pPr>
      <w:r w:rsidRPr="00E9174E">
        <w:rPr>
          <w:sz w:val="26"/>
          <w:szCs w:val="26"/>
        </w:rPr>
        <w:t>David W. Sweet, Vice Chairman</w:t>
      </w:r>
      <w:r w:rsidR="00C85D59">
        <w:rPr>
          <w:sz w:val="26"/>
          <w:szCs w:val="26"/>
        </w:rPr>
        <w:t>, Joint Statement</w:t>
      </w:r>
    </w:p>
    <w:p w14:paraId="2F1A2F1B" w14:textId="77777777" w:rsidR="003531C8" w:rsidRPr="00E9174E" w:rsidRDefault="003531C8" w:rsidP="00E9174E">
      <w:pPr>
        <w:widowControl/>
        <w:tabs>
          <w:tab w:val="left" w:pos="705"/>
        </w:tabs>
        <w:ind w:left="720"/>
        <w:contextualSpacing/>
        <w:rPr>
          <w:sz w:val="26"/>
          <w:szCs w:val="26"/>
        </w:rPr>
      </w:pPr>
      <w:r w:rsidRPr="00E9174E">
        <w:rPr>
          <w:sz w:val="26"/>
          <w:szCs w:val="26"/>
        </w:rPr>
        <w:t>John F. Coleman, Jr.</w:t>
      </w:r>
    </w:p>
    <w:p w14:paraId="1A8DE9E4" w14:textId="77777777" w:rsidR="003531C8" w:rsidRPr="00E9174E" w:rsidRDefault="003531C8" w:rsidP="00E9174E">
      <w:pPr>
        <w:widowControl/>
        <w:tabs>
          <w:tab w:val="left" w:pos="705"/>
        </w:tabs>
        <w:ind w:left="720"/>
        <w:contextualSpacing/>
        <w:rPr>
          <w:sz w:val="26"/>
          <w:szCs w:val="26"/>
        </w:rPr>
      </w:pPr>
      <w:r w:rsidRPr="00E9174E">
        <w:rPr>
          <w:sz w:val="26"/>
          <w:szCs w:val="26"/>
        </w:rPr>
        <w:t>Ralph V. Yanora</w:t>
      </w:r>
    </w:p>
    <w:p w14:paraId="615AFD34" w14:textId="77777777" w:rsidR="00A33E80" w:rsidRPr="00E9174E" w:rsidRDefault="00A33E80" w:rsidP="00E9174E">
      <w:pPr>
        <w:widowControl/>
        <w:contextualSpacing/>
        <w:rPr>
          <w:sz w:val="26"/>
          <w:szCs w:val="26"/>
        </w:rPr>
      </w:pPr>
    </w:p>
    <w:p w14:paraId="5A50EE52" w14:textId="77777777" w:rsidR="006F7D6F" w:rsidRPr="00E9174E" w:rsidRDefault="006F7D6F" w:rsidP="00E9174E">
      <w:pPr>
        <w:widowControl/>
        <w:contextualSpacing/>
        <w:rPr>
          <w:sz w:val="26"/>
          <w:szCs w:val="26"/>
        </w:rPr>
      </w:pPr>
    </w:p>
    <w:p w14:paraId="6DD3B679" w14:textId="77777777" w:rsidR="00BF7AE3" w:rsidRPr="00E9174E" w:rsidRDefault="00BF7AE3" w:rsidP="00E9174E">
      <w:pPr>
        <w:widowControl/>
        <w:contextualSpacing/>
        <w:rPr>
          <w:sz w:val="26"/>
          <w:szCs w:val="26"/>
        </w:rPr>
      </w:pPr>
    </w:p>
    <w:p w14:paraId="17C23BA0" w14:textId="77777777" w:rsidR="00511378" w:rsidRPr="00E9174E" w:rsidRDefault="00511378" w:rsidP="00E9174E">
      <w:pPr>
        <w:widowControl/>
        <w:tabs>
          <w:tab w:val="left" w:pos="-720"/>
        </w:tabs>
        <w:suppressAutoHyphens/>
        <w:contextualSpacing/>
        <w:jc w:val="both"/>
        <w:rPr>
          <w:sz w:val="26"/>
          <w:szCs w:val="26"/>
        </w:rPr>
      </w:pPr>
      <w:r w:rsidRPr="00E9174E">
        <w:rPr>
          <w:sz w:val="26"/>
          <w:szCs w:val="26"/>
        </w:rPr>
        <w:t>Pennsylvania Public Utility Commission</w:t>
      </w:r>
      <w:r w:rsidRPr="00E9174E">
        <w:rPr>
          <w:sz w:val="26"/>
          <w:szCs w:val="26"/>
        </w:rPr>
        <w:tab/>
      </w:r>
      <w:r w:rsidRPr="00E9174E">
        <w:rPr>
          <w:sz w:val="26"/>
          <w:szCs w:val="26"/>
        </w:rPr>
        <w:tab/>
      </w:r>
      <w:r w:rsidRPr="00E9174E">
        <w:rPr>
          <w:sz w:val="26"/>
          <w:szCs w:val="26"/>
        </w:rPr>
        <w:tab/>
      </w:r>
      <w:r w:rsidRPr="00E9174E">
        <w:rPr>
          <w:sz w:val="26"/>
          <w:szCs w:val="26"/>
        </w:rPr>
        <w:tab/>
      </w:r>
      <w:r w:rsidRPr="00E9174E">
        <w:rPr>
          <w:sz w:val="26"/>
          <w:szCs w:val="26"/>
        </w:rPr>
        <w:tab/>
        <w:t xml:space="preserve">   R-2020-3018835</w:t>
      </w:r>
    </w:p>
    <w:p w14:paraId="1176266B" w14:textId="77777777" w:rsidR="00511378" w:rsidRPr="00E9174E" w:rsidRDefault="00511378" w:rsidP="00E9174E">
      <w:pPr>
        <w:widowControl/>
        <w:contextualSpacing/>
        <w:rPr>
          <w:sz w:val="26"/>
          <w:szCs w:val="26"/>
        </w:rPr>
      </w:pPr>
      <w:r w:rsidRPr="00E9174E">
        <w:rPr>
          <w:sz w:val="26"/>
          <w:szCs w:val="26"/>
        </w:rPr>
        <w:t xml:space="preserve">Office of Small Business Advocate </w:t>
      </w:r>
      <w:r w:rsidRPr="00E9174E">
        <w:rPr>
          <w:sz w:val="26"/>
          <w:szCs w:val="26"/>
        </w:rPr>
        <w:tab/>
      </w:r>
      <w:r w:rsidRPr="00E9174E">
        <w:rPr>
          <w:sz w:val="26"/>
          <w:szCs w:val="26"/>
        </w:rPr>
        <w:tab/>
      </w:r>
      <w:r w:rsidRPr="00E9174E">
        <w:rPr>
          <w:sz w:val="26"/>
          <w:szCs w:val="26"/>
        </w:rPr>
        <w:tab/>
      </w:r>
      <w:r w:rsidRPr="00E9174E">
        <w:rPr>
          <w:sz w:val="26"/>
          <w:szCs w:val="26"/>
        </w:rPr>
        <w:tab/>
      </w:r>
      <w:r w:rsidRPr="00E9174E">
        <w:rPr>
          <w:sz w:val="26"/>
          <w:szCs w:val="26"/>
        </w:rPr>
        <w:tab/>
        <w:t xml:space="preserve">   C-2020-3019702</w:t>
      </w:r>
    </w:p>
    <w:p w14:paraId="7CACA0AC" w14:textId="51D20B67" w:rsidR="00511378" w:rsidRPr="00E9174E" w:rsidRDefault="00511378" w:rsidP="00E9174E">
      <w:pPr>
        <w:widowControl/>
        <w:tabs>
          <w:tab w:val="left" w:pos="-720"/>
        </w:tabs>
        <w:suppressAutoHyphens/>
        <w:contextualSpacing/>
        <w:jc w:val="both"/>
        <w:rPr>
          <w:sz w:val="26"/>
          <w:szCs w:val="26"/>
        </w:rPr>
      </w:pPr>
      <w:r w:rsidRPr="00E9174E">
        <w:rPr>
          <w:sz w:val="26"/>
          <w:szCs w:val="26"/>
        </w:rPr>
        <w:t>Office of Consumer Advocate</w:t>
      </w:r>
      <w:r w:rsidRPr="00E9174E">
        <w:rPr>
          <w:sz w:val="26"/>
          <w:szCs w:val="26"/>
        </w:rPr>
        <w:tab/>
      </w:r>
      <w:r w:rsidRPr="00E9174E">
        <w:rPr>
          <w:sz w:val="26"/>
          <w:szCs w:val="26"/>
        </w:rPr>
        <w:tab/>
      </w:r>
      <w:r w:rsidRPr="00E9174E">
        <w:rPr>
          <w:sz w:val="26"/>
          <w:szCs w:val="26"/>
        </w:rPr>
        <w:tab/>
      </w:r>
      <w:r w:rsidRPr="00E9174E">
        <w:rPr>
          <w:sz w:val="26"/>
          <w:szCs w:val="26"/>
        </w:rPr>
        <w:tab/>
      </w:r>
      <w:r w:rsidRPr="00E9174E">
        <w:rPr>
          <w:sz w:val="26"/>
          <w:szCs w:val="26"/>
        </w:rPr>
        <w:tab/>
      </w:r>
      <w:r w:rsidRPr="00E9174E">
        <w:rPr>
          <w:sz w:val="26"/>
          <w:szCs w:val="26"/>
        </w:rPr>
        <w:tab/>
        <w:t xml:space="preserve">   C-2020-3019714</w:t>
      </w:r>
    </w:p>
    <w:p w14:paraId="059CE378" w14:textId="77777777" w:rsidR="00511378" w:rsidRPr="00E9174E" w:rsidRDefault="00511378" w:rsidP="00E9174E">
      <w:pPr>
        <w:widowControl/>
        <w:tabs>
          <w:tab w:val="left" w:pos="-720"/>
        </w:tabs>
        <w:suppressAutoHyphens/>
        <w:contextualSpacing/>
        <w:jc w:val="both"/>
        <w:rPr>
          <w:sz w:val="26"/>
          <w:szCs w:val="26"/>
        </w:rPr>
      </w:pPr>
      <w:r w:rsidRPr="00E9174E">
        <w:rPr>
          <w:sz w:val="26"/>
          <w:szCs w:val="26"/>
        </w:rPr>
        <w:t>Columbia Industrial Intervenors</w:t>
      </w:r>
      <w:r w:rsidRPr="00E9174E">
        <w:rPr>
          <w:sz w:val="26"/>
          <w:szCs w:val="26"/>
        </w:rPr>
        <w:tab/>
      </w:r>
      <w:r w:rsidRPr="00E9174E">
        <w:rPr>
          <w:sz w:val="26"/>
          <w:szCs w:val="26"/>
        </w:rPr>
        <w:tab/>
      </w:r>
      <w:r w:rsidRPr="00E9174E">
        <w:rPr>
          <w:sz w:val="26"/>
          <w:szCs w:val="26"/>
        </w:rPr>
        <w:tab/>
      </w:r>
      <w:r w:rsidRPr="00E9174E">
        <w:rPr>
          <w:sz w:val="26"/>
          <w:szCs w:val="26"/>
        </w:rPr>
        <w:tab/>
      </w:r>
      <w:r w:rsidRPr="00E9174E">
        <w:rPr>
          <w:sz w:val="26"/>
          <w:szCs w:val="26"/>
        </w:rPr>
        <w:tab/>
      </w:r>
      <w:r w:rsidRPr="00E9174E">
        <w:rPr>
          <w:sz w:val="26"/>
          <w:szCs w:val="26"/>
        </w:rPr>
        <w:tab/>
        <w:t xml:space="preserve">   C-2020-3020105</w:t>
      </w:r>
    </w:p>
    <w:p w14:paraId="6ECF252B" w14:textId="77777777" w:rsidR="00511378" w:rsidRPr="00E9174E" w:rsidRDefault="00511378" w:rsidP="00E9174E">
      <w:pPr>
        <w:widowControl/>
        <w:tabs>
          <w:tab w:val="left" w:pos="-720"/>
        </w:tabs>
        <w:suppressAutoHyphens/>
        <w:contextualSpacing/>
        <w:jc w:val="both"/>
        <w:rPr>
          <w:sz w:val="26"/>
          <w:szCs w:val="26"/>
        </w:rPr>
      </w:pPr>
      <w:r w:rsidRPr="00E9174E">
        <w:rPr>
          <w:sz w:val="26"/>
          <w:szCs w:val="26"/>
        </w:rPr>
        <w:t>Dr. Richard Collins</w:t>
      </w:r>
      <w:r w:rsidRPr="00E9174E">
        <w:rPr>
          <w:sz w:val="26"/>
          <w:szCs w:val="26"/>
        </w:rPr>
        <w:tab/>
      </w:r>
      <w:r w:rsidRPr="00E9174E">
        <w:rPr>
          <w:sz w:val="26"/>
          <w:szCs w:val="26"/>
        </w:rPr>
        <w:tab/>
      </w:r>
      <w:r w:rsidRPr="00E9174E">
        <w:rPr>
          <w:sz w:val="26"/>
          <w:szCs w:val="26"/>
        </w:rPr>
        <w:tab/>
      </w:r>
      <w:r w:rsidRPr="00E9174E">
        <w:rPr>
          <w:sz w:val="26"/>
          <w:szCs w:val="26"/>
        </w:rPr>
        <w:tab/>
      </w:r>
      <w:r w:rsidRPr="00E9174E">
        <w:rPr>
          <w:sz w:val="26"/>
          <w:szCs w:val="26"/>
        </w:rPr>
        <w:tab/>
      </w:r>
      <w:r w:rsidRPr="00E9174E">
        <w:rPr>
          <w:sz w:val="26"/>
          <w:szCs w:val="26"/>
        </w:rPr>
        <w:tab/>
      </w:r>
      <w:r w:rsidRPr="00E9174E">
        <w:rPr>
          <w:sz w:val="26"/>
          <w:szCs w:val="26"/>
        </w:rPr>
        <w:tab/>
      </w:r>
      <w:r w:rsidRPr="00E9174E">
        <w:rPr>
          <w:sz w:val="26"/>
          <w:szCs w:val="26"/>
        </w:rPr>
        <w:tab/>
        <w:t xml:space="preserve">   C-2020-3020207</w:t>
      </w:r>
    </w:p>
    <w:p w14:paraId="1BD1D3C4" w14:textId="77777777" w:rsidR="00511378" w:rsidRPr="00E9174E" w:rsidRDefault="00511378" w:rsidP="00E9174E">
      <w:pPr>
        <w:widowControl/>
        <w:tabs>
          <w:tab w:val="left" w:pos="-720"/>
        </w:tabs>
        <w:suppressAutoHyphens/>
        <w:contextualSpacing/>
        <w:jc w:val="both"/>
        <w:rPr>
          <w:sz w:val="26"/>
          <w:szCs w:val="26"/>
        </w:rPr>
      </w:pPr>
      <w:proofErr w:type="spellStart"/>
      <w:r w:rsidRPr="00E9174E">
        <w:rPr>
          <w:sz w:val="26"/>
          <w:szCs w:val="26"/>
        </w:rPr>
        <w:t>Ionut</w:t>
      </w:r>
      <w:proofErr w:type="spellEnd"/>
      <w:r w:rsidRPr="00E9174E">
        <w:rPr>
          <w:sz w:val="26"/>
          <w:szCs w:val="26"/>
        </w:rPr>
        <w:t xml:space="preserve"> R. </w:t>
      </w:r>
      <w:proofErr w:type="spellStart"/>
      <w:r w:rsidRPr="00E9174E">
        <w:rPr>
          <w:sz w:val="26"/>
          <w:szCs w:val="26"/>
        </w:rPr>
        <w:t>Ilie</w:t>
      </w:r>
      <w:proofErr w:type="spellEnd"/>
      <w:r w:rsidRPr="00E9174E">
        <w:rPr>
          <w:sz w:val="26"/>
          <w:szCs w:val="26"/>
        </w:rPr>
        <w:tab/>
      </w:r>
      <w:r w:rsidRPr="00E9174E">
        <w:rPr>
          <w:sz w:val="26"/>
          <w:szCs w:val="26"/>
        </w:rPr>
        <w:tab/>
      </w:r>
      <w:r w:rsidRPr="00E9174E">
        <w:rPr>
          <w:sz w:val="26"/>
          <w:szCs w:val="26"/>
        </w:rPr>
        <w:tab/>
      </w:r>
      <w:r w:rsidRPr="00E9174E">
        <w:rPr>
          <w:sz w:val="26"/>
          <w:szCs w:val="26"/>
        </w:rPr>
        <w:tab/>
      </w:r>
      <w:r w:rsidRPr="00E9174E">
        <w:rPr>
          <w:sz w:val="26"/>
          <w:szCs w:val="26"/>
        </w:rPr>
        <w:tab/>
      </w:r>
      <w:r w:rsidRPr="00E9174E">
        <w:rPr>
          <w:sz w:val="26"/>
          <w:szCs w:val="26"/>
        </w:rPr>
        <w:tab/>
      </w:r>
      <w:r w:rsidRPr="00E9174E">
        <w:rPr>
          <w:sz w:val="26"/>
          <w:szCs w:val="26"/>
        </w:rPr>
        <w:tab/>
      </w:r>
      <w:r w:rsidRPr="00E9174E">
        <w:rPr>
          <w:sz w:val="26"/>
          <w:szCs w:val="26"/>
        </w:rPr>
        <w:tab/>
      </w:r>
      <w:r w:rsidRPr="00E9174E">
        <w:rPr>
          <w:sz w:val="26"/>
          <w:szCs w:val="26"/>
        </w:rPr>
        <w:tab/>
        <w:t xml:space="preserve">   C-2020-3020498</w:t>
      </w:r>
    </w:p>
    <w:p w14:paraId="5BB5C478" w14:textId="4BC31397" w:rsidR="00511378" w:rsidRPr="00E9174E" w:rsidRDefault="00511378" w:rsidP="00E9174E">
      <w:pPr>
        <w:widowControl/>
        <w:tabs>
          <w:tab w:val="left" w:pos="-720"/>
        </w:tabs>
        <w:suppressAutoHyphens/>
        <w:contextualSpacing/>
        <w:jc w:val="both"/>
        <w:rPr>
          <w:sz w:val="26"/>
          <w:szCs w:val="26"/>
        </w:rPr>
      </w:pPr>
      <w:r w:rsidRPr="00E9174E">
        <w:rPr>
          <w:sz w:val="26"/>
          <w:szCs w:val="26"/>
        </w:rPr>
        <w:t>The Pennsylvania State University</w:t>
      </w:r>
      <w:r w:rsidRPr="00E9174E">
        <w:rPr>
          <w:sz w:val="26"/>
          <w:szCs w:val="26"/>
        </w:rPr>
        <w:tab/>
      </w:r>
      <w:r w:rsidRPr="00E9174E">
        <w:rPr>
          <w:sz w:val="26"/>
          <w:szCs w:val="26"/>
        </w:rPr>
        <w:tab/>
      </w:r>
      <w:r w:rsidRPr="00E9174E">
        <w:rPr>
          <w:sz w:val="26"/>
          <w:szCs w:val="26"/>
        </w:rPr>
        <w:tab/>
      </w:r>
      <w:r w:rsidR="007D6B7D" w:rsidRPr="00E9174E">
        <w:rPr>
          <w:sz w:val="26"/>
          <w:szCs w:val="26"/>
        </w:rPr>
        <w:tab/>
      </w:r>
      <w:r w:rsidR="007D6B7D" w:rsidRPr="00E9174E">
        <w:rPr>
          <w:sz w:val="26"/>
          <w:szCs w:val="26"/>
        </w:rPr>
        <w:tab/>
        <w:t xml:space="preserve">   </w:t>
      </w:r>
      <w:r w:rsidRPr="00E9174E">
        <w:rPr>
          <w:sz w:val="26"/>
          <w:szCs w:val="26"/>
        </w:rPr>
        <w:t>C-2020-3020666</w:t>
      </w:r>
    </w:p>
    <w:p w14:paraId="673F0742" w14:textId="77777777" w:rsidR="00511378" w:rsidRPr="00E9174E" w:rsidRDefault="00511378" w:rsidP="00E9174E">
      <w:pPr>
        <w:widowControl/>
        <w:tabs>
          <w:tab w:val="left" w:pos="-720"/>
        </w:tabs>
        <w:suppressAutoHyphens/>
        <w:contextualSpacing/>
        <w:jc w:val="both"/>
        <w:rPr>
          <w:sz w:val="26"/>
          <w:szCs w:val="26"/>
        </w:rPr>
      </w:pPr>
    </w:p>
    <w:p w14:paraId="78065CBE" w14:textId="2CC46EAF" w:rsidR="00511378" w:rsidRPr="00E9174E" w:rsidRDefault="00511378" w:rsidP="00E9174E">
      <w:pPr>
        <w:widowControl/>
        <w:tabs>
          <w:tab w:val="left" w:pos="-720"/>
        </w:tabs>
        <w:suppressAutoHyphens/>
        <w:contextualSpacing/>
        <w:jc w:val="both"/>
        <w:rPr>
          <w:sz w:val="26"/>
          <w:szCs w:val="26"/>
        </w:rPr>
      </w:pPr>
      <w:r w:rsidRPr="00E9174E">
        <w:rPr>
          <w:sz w:val="26"/>
          <w:szCs w:val="26"/>
        </w:rPr>
        <w:tab/>
      </w:r>
      <w:r w:rsidRPr="00E9174E">
        <w:rPr>
          <w:sz w:val="26"/>
          <w:szCs w:val="26"/>
        </w:rPr>
        <w:tab/>
        <w:t>v.</w:t>
      </w:r>
    </w:p>
    <w:p w14:paraId="2720E933" w14:textId="77777777" w:rsidR="00511378" w:rsidRPr="00E9174E" w:rsidRDefault="00511378" w:rsidP="00E9174E">
      <w:pPr>
        <w:widowControl/>
        <w:tabs>
          <w:tab w:val="left" w:pos="-720"/>
        </w:tabs>
        <w:suppressAutoHyphens/>
        <w:contextualSpacing/>
        <w:jc w:val="both"/>
        <w:rPr>
          <w:sz w:val="26"/>
          <w:szCs w:val="26"/>
        </w:rPr>
      </w:pPr>
    </w:p>
    <w:p w14:paraId="349F0CE4" w14:textId="77777777" w:rsidR="00511378" w:rsidRPr="00E9174E" w:rsidRDefault="00511378" w:rsidP="00E9174E">
      <w:pPr>
        <w:widowControl/>
        <w:tabs>
          <w:tab w:val="left" w:pos="-720"/>
        </w:tabs>
        <w:suppressAutoHyphens/>
        <w:contextualSpacing/>
        <w:jc w:val="both"/>
        <w:rPr>
          <w:sz w:val="26"/>
          <w:szCs w:val="26"/>
        </w:rPr>
      </w:pPr>
      <w:r w:rsidRPr="00E9174E">
        <w:rPr>
          <w:sz w:val="26"/>
          <w:szCs w:val="26"/>
        </w:rPr>
        <w:t>Columbia Gas of Pennsylvania, Inc.</w:t>
      </w:r>
    </w:p>
    <w:p w14:paraId="505E53EF" w14:textId="77777777" w:rsidR="006F7D6F" w:rsidRPr="00E9174E" w:rsidRDefault="006F7D6F" w:rsidP="00E9174E">
      <w:pPr>
        <w:pStyle w:val="ListParagraph"/>
        <w:ind w:left="0"/>
        <w:contextualSpacing/>
        <w:rPr>
          <w:b/>
          <w:sz w:val="26"/>
          <w:szCs w:val="26"/>
        </w:rPr>
      </w:pPr>
    </w:p>
    <w:p w14:paraId="4DC6E033" w14:textId="77777777" w:rsidR="006F7D6F" w:rsidRPr="00E9174E" w:rsidRDefault="006F7D6F" w:rsidP="00E9174E">
      <w:pPr>
        <w:pStyle w:val="ListParagraph"/>
        <w:ind w:left="0"/>
        <w:contextualSpacing/>
        <w:rPr>
          <w:b/>
          <w:sz w:val="26"/>
          <w:szCs w:val="26"/>
        </w:rPr>
      </w:pPr>
    </w:p>
    <w:p w14:paraId="6193DF57" w14:textId="77777777" w:rsidR="006F7D6F" w:rsidRPr="00E9174E" w:rsidRDefault="006F7D6F" w:rsidP="00E9174E">
      <w:pPr>
        <w:pStyle w:val="ListParagraph"/>
        <w:ind w:left="0"/>
        <w:contextualSpacing/>
        <w:rPr>
          <w:b/>
          <w:sz w:val="26"/>
          <w:szCs w:val="26"/>
        </w:rPr>
      </w:pPr>
    </w:p>
    <w:p w14:paraId="00EBEC25" w14:textId="77777777" w:rsidR="006F7D6F" w:rsidRPr="00E9174E" w:rsidRDefault="006F7D6F" w:rsidP="00E9174E">
      <w:pPr>
        <w:pStyle w:val="ListParagraph"/>
        <w:ind w:left="0"/>
        <w:contextualSpacing/>
        <w:rPr>
          <w:b/>
          <w:sz w:val="26"/>
          <w:szCs w:val="26"/>
        </w:rPr>
      </w:pPr>
    </w:p>
    <w:p w14:paraId="4B75FE7C" w14:textId="77777777" w:rsidR="00432C71" w:rsidRPr="00E9174E" w:rsidRDefault="00432C71" w:rsidP="00E9174E">
      <w:pPr>
        <w:pStyle w:val="ListParagraph"/>
        <w:ind w:left="0"/>
        <w:contextualSpacing/>
        <w:jc w:val="center"/>
        <w:rPr>
          <w:b/>
          <w:sz w:val="26"/>
          <w:szCs w:val="26"/>
        </w:rPr>
      </w:pPr>
      <w:r w:rsidRPr="00E9174E">
        <w:rPr>
          <w:b/>
          <w:sz w:val="26"/>
          <w:szCs w:val="26"/>
        </w:rPr>
        <w:t>OPINION AND ORDER</w:t>
      </w:r>
    </w:p>
    <w:p w14:paraId="08B0C4A0" w14:textId="77777777" w:rsidR="00432C71" w:rsidRPr="00E9174E" w:rsidRDefault="00432C71" w:rsidP="00E9174E">
      <w:pPr>
        <w:pStyle w:val="ListParagraph"/>
        <w:ind w:left="0"/>
        <w:contextualSpacing/>
        <w:jc w:val="center"/>
        <w:rPr>
          <w:sz w:val="26"/>
          <w:szCs w:val="26"/>
        </w:rPr>
      </w:pPr>
    </w:p>
    <w:p w14:paraId="0073DEFC" w14:textId="77777777" w:rsidR="00BF7AE3" w:rsidRPr="00E9174E" w:rsidRDefault="00BF7AE3" w:rsidP="00E9174E">
      <w:pPr>
        <w:pStyle w:val="ListParagraph"/>
        <w:ind w:left="0"/>
        <w:contextualSpacing/>
        <w:jc w:val="center"/>
        <w:rPr>
          <w:sz w:val="26"/>
          <w:szCs w:val="26"/>
        </w:rPr>
      </w:pPr>
    </w:p>
    <w:p w14:paraId="35415A63" w14:textId="77777777" w:rsidR="006F7D6F" w:rsidRPr="00E9174E" w:rsidRDefault="006F7D6F" w:rsidP="00E9174E">
      <w:pPr>
        <w:pStyle w:val="ListParagraph"/>
        <w:ind w:left="0"/>
        <w:contextualSpacing/>
        <w:rPr>
          <w:sz w:val="26"/>
          <w:szCs w:val="26"/>
        </w:rPr>
      </w:pPr>
    </w:p>
    <w:p w14:paraId="25CCE2FB" w14:textId="77777777" w:rsidR="00941359" w:rsidRPr="00E9174E" w:rsidRDefault="00941359" w:rsidP="00E9174E">
      <w:pPr>
        <w:widowControl/>
        <w:contextualSpacing/>
        <w:rPr>
          <w:sz w:val="26"/>
          <w:szCs w:val="26"/>
        </w:rPr>
      </w:pPr>
    </w:p>
    <w:p w14:paraId="04C23306" w14:textId="77777777" w:rsidR="00941359" w:rsidRPr="00E9174E" w:rsidRDefault="00941359" w:rsidP="00E9174E">
      <w:pPr>
        <w:widowControl/>
        <w:contextualSpacing/>
        <w:rPr>
          <w:sz w:val="26"/>
          <w:szCs w:val="26"/>
        </w:rPr>
      </w:pPr>
    </w:p>
    <w:p w14:paraId="1EDEE855" w14:textId="77777777" w:rsidR="00941359" w:rsidRPr="00E9174E" w:rsidRDefault="00941359" w:rsidP="00E9174E">
      <w:pPr>
        <w:widowControl/>
        <w:contextualSpacing/>
        <w:rPr>
          <w:sz w:val="26"/>
          <w:szCs w:val="26"/>
        </w:rPr>
      </w:pPr>
    </w:p>
    <w:p w14:paraId="229751F6" w14:textId="77777777" w:rsidR="00941359" w:rsidRPr="00E9174E" w:rsidRDefault="00941359" w:rsidP="00E9174E">
      <w:pPr>
        <w:widowControl/>
        <w:contextualSpacing/>
        <w:rPr>
          <w:sz w:val="26"/>
          <w:szCs w:val="26"/>
        </w:rPr>
      </w:pPr>
    </w:p>
    <w:p w14:paraId="2A7CC75A" w14:textId="16174A7C" w:rsidR="00941359" w:rsidRPr="00E9174E" w:rsidRDefault="00941359" w:rsidP="00E9174E">
      <w:pPr>
        <w:widowControl/>
        <w:tabs>
          <w:tab w:val="left" w:pos="3765"/>
        </w:tabs>
        <w:contextualSpacing/>
        <w:rPr>
          <w:sz w:val="26"/>
          <w:szCs w:val="26"/>
        </w:rPr>
      </w:pPr>
    </w:p>
    <w:p w14:paraId="04CF34F5" w14:textId="77777777" w:rsidR="00941359" w:rsidRPr="00E9174E" w:rsidRDefault="00941359" w:rsidP="00E9174E">
      <w:pPr>
        <w:widowControl/>
        <w:contextualSpacing/>
        <w:rPr>
          <w:sz w:val="26"/>
          <w:szCs w:val="26"/>
        </w:rPr>
      </w:pPr>
    </w:p>
    <w:p w14:paraId="783E0724" w14:textId="3788591B" w:rsidR="00941359" w:rsidRPr="00E9174E" w:rsidRDefault="00941359" w:rsidP="00E9174E">
      <w:pPr>
        <w:widowControl/>
        <w:contextualSpacing/>
        <w:rPr>
          <w:sz w:val="26"/>
          <w:szCs w:val="26"/>
        </w:rPr>
        <w:sectPr w:rsidR="00941359" w:rsidRPr="00E9174E" w:rsidSect="002179E4">
          <w:footerReference w:type="default" r:id="rId8"/>
          <w:pgSz w:w="12240" w:h="15840"/>
          <w:pgMar w:top="1440" w:right="1440" w:bottom="1440" w:left="1440" w:header="720" w:footer="720" w:gutter="0"/>
          <w:cols w:space="720"/>
          <w:titlePg/>
          <w:docGrid w:linePitch="360"/>
        </w:sectPr>
      </w:pPr>
    </w:p>
    <w:bookmarkStart w:id="0" w:name="_Toc63764407" w:displacedByCustomXml="next"/>
    <w:bookmarkStart w:id="1" w:name="_Toc63761411" w:displacedByCustomXml="next"/>
    <w:bookmarkStart w:id="2" w:name="_Toc63761266" w:displacedByCustomXml="next"/>
    <w:bookmarkStart w:id="3" w:name="_Toc63760878" w:displacedByCustomXml="next"/>
    <w:sdt>
      <w:sdtPr>
        <w:rPr>
          <w:rFonts w:eastAsia="Times New Roman"/>
          <w:b w:val="0"/>
          <w:bCs w:val="0"/>
          <w:caps/>
          <w:sz w:val="20"/>
          <w:szCs w:val="20"/>
        </w:rPr>
        <w:id w:val="1104454530"/>
        <w:docPartObj>
          <w:docPartGallery w:val="Table of Contents"/>
          <w:docPartUnique/>
        </w:docPartObj>
      </w:sdtPr>
      <w:sdtEndPr>
        <w:rPr>
          <w:caps w:val="0"/>
          <w:noProof/>
        </w:rPr>
      </w:sdtEndPr>
      <w:sdtContent>
        <w:p w14:paraId="1447C897" w14:textId="528D9B55" w:rsidR="004F3A28" w:rsidRPr="00E9174E" w:rsidRDefault="003E04A0" w:rsidP="003E04A0">
          <w:pPr>
            <w:pStyle w:val="Heading1"/>
            <w:numPr>
              <w:ilvl w:val="0"/>
              <w:numId w:val="0"/>
            </w:numPr>
          </w:pPr>
          <w:r w:rsidRPr="00E9174E">
            <w:t xml:space="preserve">Table </w:t>
          </w:r>
          <w:r>
            <w:t>o</w:t>
          </w:r>
          <w:r w:rsidRPr="00E9174E">
            <w:t>f Contents</w:t>
          </w:r>
          <w:bookmarkEnd w:id="3"/>
          <w:bookmarkEnd w:id="2"/>
          <w:bookmarkEnd w:id="1"/>
          <w:bookmarkEnd w:id="0"/>
        </w:p>
        <w:p w14:paraId="1FCB1A4C" w14:textId="2EA12A56" w:rsidR="00565D19" w:rsidRPr="00E9174E" w:rsidRDefault="00565D19" w:rsidP="00E9174E">
          <w:pPr>
            <w:widowControl/>
            <w:rPr>
              <w:sz w:val="26"/>
              <w:szCs w:val="26"/>
            </w:rPr>
          </w:pPr>
        </w:p>
        <w:p w14:paraId="6763A938" w14:textId="602A9A70" w:rsidR="00B7440B" w:rsidRPr="00B7440B" w:rsidRDefault="00651BF7">
          <w:pPr>
            <w:pStyle w:val="TOC1"/>
            <w:rPr>
              <w:rFonts w:eastAsiaTheme="minorEastAsia"/>
              <w:b w:val="0"/>
              <w:bCs w:val="0"/>
            </w:rPr>
          </w:pPr>
          <w:r>
            <w:fldChar w:fldCharType="begin"/>
          </w:r>
          <w:r>
            <w:instrText xml:space="preserve"> TOC \o "1-5" \h \z \u </w:instrText>
          </w:r>
          <w:r>
            <w:fldChar w:fldCharType="separate"/>
          </w:r>
          <w:hyperlink w:anchor="_Toc63764408" w:history="1">
            <w:r w:rsidR="00B7440B" w:rsidRPr="00B7440B">
              <w:rPr>
                <w:rStyle w:val="Hyperlink"/>
                <w:b w:val="0"/>
                <w:bCs w:val="0"/>
              </w:rPr>
              <w:t>I.</w:t>
            </w:r>
            <w:r w:rsidR="00B7440B" w:rsidRPr="00B7440B">
              <w:rPr>
                <w:rFonts w:eastAsiaTheme="minorEastAsia"/>
                <w:b w:val="0"/>
                <w:bCs w:val="0"/>
              </w:rPr>
              <w:tab/>
            </w:r>
            <w:r w:rsidR="00B7440B" w:rsidRPr="00B7440B">
              <w:rPr>
                <w:rStyle w:val="Hyperlink"/>
                <w:b w:val="0"/>
                <w:bCs w:val="0"/>
              </w:rPr>
              <w:t>Background</w:t>
            </w:r>
            <w:r w:rsidR="00B7440B" w:rsidRPr="00B7440B">
              <w:rPr>
                <w:b w:val="0"/>
                <w:bCs w:val="0"/>
                <w:webHidden/>
              </w:rPr>
              <w:tab/>
            </w:r>
            <w:r w:rsidR="00B7440B" w:rsidRPr="00B7440B">
              <w:rPr>
                <w:b w:val="0"/>
                <w:bCs w:val="0"/>
                <w:webHidden/>
              </w:rPr>
              <w:fldChar w:fldCharType="begin"/>
            </w:r>
            <w:r w:rsidR="00B7440B" w:rsidRPr="00B7440B">
              <w:rPr>
                <w:b w:val="0"/>
                <w:bCs w:val="0"/>
                <w:webHidden/>
              </w:rPr>
              <w:instrText xml:space="preserve"> PAGEREF _Toc63764408 \h </w:instrText>
            </w:r>
            <w:r w:rsidR="00B7440B" w:rsidRPr="00B7440B">
              <w:rPr>
                <w:b w:val="0"/>
                <w:bCs w:val="0"/>
                <w:webHidden/>
              </w:rPr>
            </w:r>
            <w:r w:rsidR="00B7440B" w:rsidRPr="00B7440B">
              <w:rPr>
                <w:b w:val="0"/>
                <w:bCs w:val="0"/>
                <w:webHidden/>
              </w:rPr>
              <w:fldChar w:fldCharType="separate"/>
            </w:r>
            <w:r w:rsidR="0066040B">
              <w:rPr>
                <w:b w:val="0"/>
                <w:bCs w:val="0"/>
                <w:webHidden/>
              </w:rPr>
              <w:t>2</w:t>
            </w:r>
            <w:r w:rsidR="00B7440B" w:rsidRPr="00B7440B">
              <w:rPr>
                <w:b w:val="0"/>
                <w:bCs w:val="0"/>
                <w:webHidden/>
              </w:rPr>
              <w:fldChar w:fldCharType="end"/>
            </w:r>
          </w:hyperlink>
        </w:p>
        <w:p w14:paraId="755FBDDB" w14:textId="10DAA168" w:rsidR="00B7440B" w:rsidRPr="00B7440B" w:rsidRDefault="00E131BD">
          <w:pPr>
            <w:pStyle w:val="TOC1"/>
            <w:rPr>
              <w:rFonts w:eastAsiaTheme="minorEastAsia"/>
              <w:b w:val="0"/>
              <w:bCs w:val="0"/>
            </w:rPr>
          </w:pPr>
          <w:hyperlink w:anchor="_Toc63764409" w:history="1">
            <w:r w:rsidR="00B7440B" w:rsidRPr="00B7440B">
              <w:rPr>
                <w:rStyle w:val="Hyperlink"/>
                <w:b w:val="0"/>
                <w:bCs w:val="0"/>
              </w:rPr>
              <w:t>II.</w:t>
            </w:r>
            <w:r w:rsidR="00B7440B" w:rsidRPr="00B7440B">
              <w:rPr>
                <w:rFonts w:eastAsiaTheme="minorEastAsia"/>
                <w:b w:val="0"/>
                <w:bCs w:val="0"/>
              </w:rPr>
              <w:tab/>
            </w:r>
            <w:r w:rsidR="00B7440B" w:rsidRPr="00B7440B">
              <w:rPr>
                <w:rStyle w:val="Hyperlink"/>
                <w:b w:val="0"/>
                <w:bCs w:val="0"/>
              </w:rPr>
              <w:t>History of the Proceeding</w:t>
            </w:r>
            <w:r w:rsidR="00B7440B" w:rsidRPr="00B7440B">
              <w:rPr>
                <w:b w:val="0"/>
                <w:bCs w:val="0"/>
                <w:webHidden/>
              </w:rPr>
              <w:tab/>
            </w:r>
            <w:r w:rsidR="00B7440B" w:rsidRPr="00B7440B">
              <w:rPr>
                <w:b w:val="0"/>
                <w:bCs w:val="0"/>
                <w:webHidden/>
              </w:rPr>
              <w:fldChar w:fldCharType="begin"/>
            </w:r>
            <w:r w:rsidR="00B7440B" w:rsidRPr="00B7440B">
              <w:rPr>
                <w:b w:val="0"/>
                <w:bCs w:val="0"/>
                <w:webHidden/>
              </w:rPr>
              <w:instrText xml:space="preserve"> PAGEREF _Toc63764409 \h </w:instrText>
            </w:r>
            <w:r w:rsidR="00B7440B" w:rsidRPr="00B7440B">
              <w:rPr>
                <w:b w:val="0"/>
                <w:bCs w:val="0"/>
                <w:webHidden/>
              </w:rPr>
            </w:r>
            <w:r w:rsidR="00B7440B" w:rsidRPr="00B7440B">
              <w:rPr>
                <w:b w:val="0"/>
                <w:bCs w:val="0"/>
                <w:webHidden/>
              </w:rPr>
              <w:fldChar w:fldCharType="separate"/>
            </w:r>
            <w:r w:rsidR="0066040B">
              <w:rPr>
                <w:b w:val="0"/>
                <w:bCs w:val="0"/>
                <w:webHidden/>
              </w:rPr>
              <w:t>3</w:t>
            </w:r>
            <w:r w:rsidR="00B7440B" w:rsidRPr="00B7440B">
              <w:rPr>
                <w:b w:val="0"/>
                <w:bCs w:val="0"/>
                <w:webHidden/>
              </w:rPr>
              <w:fldChar w:fldCharType="end"/>
            </w:r>
          </w:hyperlink>
        </w:p>
        <w:p w14:paraId="750365B4" w14:textId="2EF6AD39" w:rsidR="00B7440B" w:rsidRPr="00B7440B" w:rsidRDefault="00E131BD">
          <w:pPr>
            <w:pStyle w:val="TOC1"/>
            <w:rPr>
              <w:rFonts w:eastAsiaTheme="minorEastAsia"/>
              <w:b w:val="0"/>
              <w:bCs w:val="0"/>
            </w:rPr>
          </w:pPr>
          <w:hyperlink w:anchor="_Toc63764410" w:history="1">
            <w:r w:rsidR="00B7440B" w:rsidRPr="00B7440B">
              <w:rPr>
                <w:rStyle w:val="Hyperlink"/>
                <w:b w:val="0"/>
                <w:bCs w:val="0"/>
              </w:rPr>
              <w:t>III.</w:t>
            </w:r>
            <w:r w:rsidR="00B7440B" w:rsidRPr="00B7440B">
              <w:rPr>
                <w:rFonts w:eastAsiaTheme="minorEastAsia"/>
                <w:b w:val="0"/>
                <w:bCs w:val="0"/>
              </w:rPr>
              <w:tab/>
            </w:r>
            <w:r w:rsidR="00B7440B" w:rsidRPr="00B7440B">
              <w:rPr>
                <w:rStyle w:val="Hyperlink"/>
                <w:b w:val="0"/>
                <w:bCs w:val="0"/>
              </w:rPr>
              <w:t>Legal Standards</w:t>
            </w:r>
            <w:r w:rsidR="00B7440B" w:rsidRPr="00B7440B">
              <w:rPr>
                <w:b w:val="0"/>
                <w:bCs w:val="0"/>
                <w:webHidden/>
              </w:rPr>
              <w:tab/>
            </w:r>
            <w:r w:rsidR="00B7440B" w:rsidRPr="00B7440B">
              <w:rPr>
                <w:b w:val="0"/>
                <w:bCs w:val="0"/>
                <w:webHidden/>
              </w:rPr>
              <w:fldChar w:fldCharType="begin"/>
            </w:r>
            <w:r w:rsidR="00B7440B" w:rsidRPr="00B7440B">
              <w:rPr>
                <w:b w:val="0"/>
                <w:bCs w:val="0"/>
                <w:webHidden/>
              </w:rPr>
              <w:instrText xml:space="preserve"> PAGEREF _Toc63764410 \h </w:instrText>
            </w:r>
            <w:r w:rsidR="00B7440B" w:rsidRPr="00B7440B">
              <w:rPr>
                <w:b w:val="0"/>
                <w:bCs w:val="0"/>
                <w:webHidden/>
              </w:rPr>
            </w:r>
            <w:r w:rsidR="00B7440B" w:rsidRPr="00B7440B">
              <w:rPr>
                <w:b w:val="0"/>
                <w:bCs w:val="0"/>
                <w:webHidden/>
              </w:rPr>
              <w:fldChar w:fldCharType="separate"/>
            </w:r>
            <w:r w:rsidR="0066040B">
              <w:rPr>
                <w:b w:val="0"/>
                <w:bCs w:val="0"/>
                <w:webHidden/>
              </w:rPr>
              <w:t>8</w:t>
            </w:r>
            <w:r w:rsidR="00B7440B" w:rsidRPr="00B7440B">
              <w:rPr>
                <w:b w:val="0"/>
                <w:bCs w:val="0"/>
                <w:webHidden/>
              </w:rPr>
              <w:fldChar w:fldCharType="end"/>
            </w:r>
          </w:hyperlink>
        </w:p>
        <w:p w14:paraId="1E61A101" w14:textId="27359568" w:rsidR="00B7440B" w:rsidRPr="00B7440B" w:rsidRDefault="00E131BD">
          <w:pPr>
            <w:pStyle w:val="TOC1"/>
            <w:rPr>
              <w:rFonts w:eastAsiaTheme="minorEastAsia"/>
              <w:b w:val="0"/>
              <w:bCs w:val="0"/>
            </w:rPr>
          </w:pPr>
          <w:hyperlink w:anchor="_Toc63764411" w:history="1">
            <w:r w:rsidR="00B7440B" w:rsidRPr="00B7440B">
              <w:rPr>
                <w:rStyle w:val="Hyperlink"/>
                <w:b w:val="0"/>
                <w:bCs w:val="0"/>
              </w:rPr>
              <w:t>IV.</w:t>
            </w:r>
            <w:r w:rsidR="00B7440B" w:rsidRPr="00B7440B">
              <w:rPr>
                <w:rFonts w:eastAsiaTheme="minorEastAsia"/>
                <w:b w:val="0"/>
                <w:bCs w:val="0"/>
              </w:rPr>
              <w:tab/>
            </w:r>
            <w:r w:rsidR="00B7440B" w:rsidRPr="00B7440B">
              <w:rPr>
                <w:rStyle w:val="Hyperlink"/>
                <w:b w:val="0"/>
                <w:bCs w:val="0"/>
              </w:rPr>
              <w:t>Overall Rate Increase Request</w:t>
            </w:r>
            <w:r w:rsidR="00B7440B" w:rsidRPr="00B7440B">
              <w:rPr>
                <w:b w:val="0"/>
                <w:bCs w:val="0"/>
                <w:webHidden/>
              </w:rPr>
              <w:tab/>
            </w:r>
            <w:r w:rsidR="00B7440B" w:rsidRPr="00B7440B">
              <w:rPr>
                <w:b w:val="0"/>
                <w:bCs w:val="0"/>
                <w:webHidden/>
              </w:rPr>
              <w:fldChar w:fldCharType="begin"/>
            </w:r>
            <w:r w:rsidR="00B7440B" w:rsidRPr="00B7440B">
              <w:rPr>
                <w:b w:val="0"/>
                <w:bCs w:val="0"/>
                <w:webHidden/>
              </w:rPr>
              <w:instrText xml:space="preserve"> PAGEREF _Toc63764411 \h </w:instrText>
            </w:r>
            <w:r w:rsidR="00B7440B" w:rsidRPr="00B7440B">
              <w:rPr>
                <w:b w:val="0"/>
                <w:bCs w:val="0"/>
                <w:webHidden/>
              </w:rPr>
            </w:r>
            <w:r w:rsidR="00B7440B" w:rsidRPr="00B7440B">
              <w:rPr>
                <w:b w:val="0"/>
                <w:bCs w:val="0"/>
                <w:webHidden/>
              </w:rPr>
              <w:fldChar w:fldCharType="separate"/>
            </w:r>
            <w:r w:rsidR="0066040B">
              <w:rPr>
                <w:b w:val="0"/>
                <w:bCs w:val="0"/>
                <w:webHidden/>
              </w:rPr>
              <w:t>13</w:t>
            </w:r>
            <w:r w:rsidR="00B7440B" w:rsidRPr="00B7440B">
              <w:rPr>
                <w:b w:val="0"/>
                <w:bCs w:val="0"/>
                <w:webHidden/>
              </w:rPr>
              <w:fldChar w:fldCharType="end"/>
            </w:r>
          </w:hyperlink>
        </w:p>
        <w:p w14:paraId="226A6B85" w14:textId="17A11FB4" w:rsidR="00B7440B" w:rsidRPr="00B7440B" w:rsidRDefault="00E131BD">
          <w:pPr>
            <w:pStyle w:val="TOC2"/>
            <w:tabs>
              <w:tab w:val="left" w:pos="1440"/>
            </w:tabs>
            <w:rPr>
              <w:rFonts w:eastAsiaTheme="minorEastAsia"/>
              <w:noProof/>
              <w:sz w:val="26"/>
              <w:szCs w:val="26"/>
            </w:rPr>
          </w:pPr>
          <w:hyperlink w:anchor="_Toc63764412" w:history="1">
            <w:r w:rsidR="00B7440B" w:rsidRPr="00B7440B">
              <w:rPr>
                <w:rStyle w:val="Hyperlink"/>
                <w:noProof/>
                <w:sz w:val="26"/>
                <w:szCs w:val="26"/>
              </w:rPr>
              <w:t>A.</w:t>
            </w:r>
            <w:r w:rsidR="00B7440B" w:rsidRPr="00B7440B">
              <w:rPr>
                <w:rFonts w:eastAsiaTheme="minorEastAsia"/>
                <w:noProof/>
                <w:sz w:val="26"/>
                <w:szCs w:val="26"/>
              </w:rPr>
              <w:tab/>
            </w:r>
            <w:r w:rsidR="00B7440B" w:rsidRPr="00B7440B">
              <w:rPr>
                <w:rStyle w:val="Hyperlink"/>
                <w:noProof/>
                <w:sz w:val="26"/>
                <w:szCs w:val="26"/>
              </w:rPr>
              <w:t>Positions of the Parties</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_Toc63764412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13</w:t>
            </w:r>
            <w:r w:rsidR="00B7440B" w:rsidRPr="00B7440B">
              <w:rPr>
                <w:noProof/>
                <w:webHidden/>
                <w:sz w:val="26"/>
                <w:szCs w:val="26"/>
              </w:rPr>
              <w:fldChar w:fldCharType="end"/>
            </w:r>
          </w:hyperlink>
        </w:p>
        <w:p w14:paraId="67ABA415" w14:textId="5C31FA24" w:rsidR="00B7440B" w:rsidRPr="00B7440B" w:rsidRDefault="00E131BD">
          <w:pPr>
            <w:pStyle w:val="TOC2"/>
            <w:tabs>
              <w:tab w:val="left" w:pos="1440"/>
            </w:tabs>
            <w:rPr>
              <w:rFonts w:eastAsiaTheme="minorEastAsia"/>
              <w:noProof/>
              <w:sz w:val="26"/>
              <w:szCs w:val="26"/>
            </w:rPr>
          </w:pPr>
          <w:hyperlink w:anchor="_Toc63764413" w:history="1">
            <w:r w:rsidR="00B7440B" w:rsidRPr="00B7440B">
              <w:rPr>
                <w:rStyle w:val="Hyperlink"/>
                <w:noProof/>
                <w:sz w:val="26"/>
                <w:szCs w:val="26"/>
              </w:rPr>
              <w:t>B.</w:t>
            </w:r>
            <w:r w:rsidR="00B7440B" w:rsidRPr="00B7440B">
              <w:rPr>
                <w:rFonts w:eastAsiaTheme="minorEastAsia"/>
                <w:noProof/>
                <w:sz w:val="26"/>
                <w:szCs w:val="26"/>
              </w:rPr>
              <w:tab/>
            </w:r>
            <w:r w:rsidR="00B7440B" w:rsidRPr="00B7440B">
              <w:rPr>
                <w:rStyle w:val="Hyperlink"/>
                <w:noProof/>
                <w:sz w:val="26"/>
                <w:szCs w:val="26"/>
              </w:rPr>
              <w:t>Recommended Decision</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_Toc63764413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14</w:t>
            </w:r>
            <w:r w:rsidR="00B7440B" w:rsidRPr="00B7440B">
              <w:rPr>
                <w:noProof/>
                <w:webHidden/>
                <w:sz w:val="26"/>
                <w:szCs w:val="26"/>
              </w:rPr>
              <w:fldChar w:fldCharType="end"/>
            </w:r>
          </w:hyperlink>
        </w:p>
        <w:p w14:paraId="3EC2A081" w14:textId="3457196A" w:rsidR="00B7440B" w:rsidRPr="00B7440B" w:rsidRDefault="00E131BD">
          <w:pPr>
            <w:pStyle w:val="TOC2"/>
            <w:tabs>
              <w:tab w:val="left" w:pos="1440"/>
            </w:tabs>
            <w:rPr>
              <w:rFonts w:eastAsiaTheme="minorEastAsia"/>
              <w:noProof/>
              <w:sz w:val="26"/>
              <w:szCs w:val="26"/>
            </w:rPr>
          </w:pPr>
          <w:hyperlink w:anchor="_Toc63764414" w:history="1">
            <w:r w:rsidR="00B7440B" w:rsidRPr="00B7440B">
              <w:rPr>
                <w:rStyle w:val="Hyperlink"/>
                <w:noProof/>
                <w:sz w:val="26"/>
                <w:szCs w:val="26"/>
              </w:rPr>
              <w:t>C.</w:t>
            </w:r>
            <w:r w:rsidR="00B7440B" w:rsidRPr="00B7440B">
              <w:rPr>
                <w:rFonts w:eastAsiaTheme="minorEastAsia"/>
                <w:noProof/>
                <w:sz w:val="26"/>
                <w:szCs w:val="26"/>
              </w:rPr>
              <w:tab/>
            </w:r>
            <w:r w:rsidR="00B7440B" w:rsidRPr="00B7440B">
              <w:rPr>
                <w:rStyle w:val="Hyperlink"/>
                <w:noProof/>
                <w:sz w:val="26"/>
                <w:szCs w:val="26"/>
              </w:rPr>
              <w:t>Exceptions and Replies</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_Toc63764414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20</w:t>
            </w:r>
            <w:r w:rsidR="00B7440B" w:rsidRPr="00B7440B">
              <w:rPr>
                <w:noProof/>
                <w:webHidden/>
                <w:sz w:val="26"/>
                <w:szCs w:val="26"/>
              </w:rPr>
              <w:fldChar w:fldCharType="end"/>
            </w:r>
          </w:hyperlink>
        </w:p>
        <w:p w14:paraId="4B945DC3" w14:textId="71DE0BDE" w:rsidR="00B7440B" w:rsidRPr="00B7440B" w:rsidRDefault="00E131BD">
          <w:pPr>
            <w:pStyle w:val="TOC3"/>
            <w:rPr>
              <w:rFonts w:eastAsiaTheme="minorEastAsia"/>
              <w:noProof/>
              <w:sz w:val="26"/>
              <w:szCs w:val="26"/>
            </w:rPr>
          </w:pPr>
          <w:hyperlink w:anchor="_Toc63764415" w:history="1">
            <w:r w:rsidR="00B7440B" w:rsidRPr="00B7440B">
              <w:rPr>
                <w:rStyle w:val="Hyperlink"/>
                <w:noProof/>
                <w:sz w:val="26"/>
                <w:szCs w:val="26"/>
              </w:rPr>
              <w:t>1.</w:t>
            </w:r>
            <w:r w:rsidR="00B7440B" w:rsidRPr="00B7440B">
              <w:rPr>
                <w:rFonts w:eastAsiaTheme="minorEastAsia"/>
                <w:noProof/>
                <w:sz w:val="26"/>
                <w:szCs w:val="26"/>
              </w:rPr>
              <w:tab/>
            </w:r>
            <w:r w:rsidR="00B7440B" w:rsidRPr="00B7440B">
              <w:rPr>
                <w:rStyle w:val="Hyperlink"/>
                <w:noProof/>
                <w:sz w:val="26"/>
                <w:szCs w:val="26"/>
              </w:rPr>
              <w:t>Columbia Exception No. 1 and Replies</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_Toc63764415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20</w:t>
            </w:r>
            <w:r w:rsidR="00B7440B" w:rsidRPr="00B7440B">
              <w:rPr>
                <w:noProof/>
                <w:webHidden/>
                <w:sz w:val="26"/>
                <w:szCs w:val="26"/>
              </w:rPr>
              <w:fldChar w:fldCharType="end"/>
            </w:r>
          </w:hyperlink>
        </w:p>
        <w:p w14:paraId="15DDE712" w14:textId="69864FAD" w:rsidR="00B7440B" w:rsidRPr="00B7440B" w:rsidRDefault="00E131BD">
          <w:pPr>
            <w:pStyle w:val="TOC3"/>
            <w:rPr>
              <w:rFonts w:eastAsiaTheme="minorEastAsia"/>
              <w:noProof/>
              <w:sz w:val="26"/>
              <w:szCs w:val="26"/>
            </w:rPr>
          </w:pPr>
          <w:hyperlink w:anchor="_Toc63764416" w:history="1">
            <w:r w:rsidR="00B7440B" w:rsidRPr="00B7440B">
              <w:rPr>
                <w:rStyle w:val="Hyperlink"/>
                <w:noProof/>
                <w:sz w:val="26"/>
                <w:szCs w:val="26"/>
              </w:rPr>
              <w:t>2.</w:t>
            </w:r>
            <w:r w:rsidR="00B7440B" w:rsidRPr="00B7440B">
              <w:rPr>
                <w:rFonts w:eastAsiaTheme="minorEastAsia"/>
                <w:noProof/>
                <w:sz w:val="26"/>
                <w:szCs w:val="26"/>
              </w:rPr>
              <w:tab/>
            </w:r>
            <w:r w:rsidR="00B7440B" w:rsidRPr="00B7440B">
              <w:rPr>
                <w:rStyle w:val="Hyperlink"/>
                <w:noProof/>
                <w:sz w:val="26"/>
                <w:szCs w:val="26"/>
              </w:rPr>
              <w:t>Columbia Exception No. 2 and Replies</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_Toc63764416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32</w:t>
            </w:r>
            <w:r w:rsidR="00B7440B" w:rsidRPr="00B7440B">
              <w:rPr>
                <w:noProof/>
                <w:webHidden/>
                <w:sz w:val="26"/>
                <w:szCs w:val="26"/>
              </w:rPr>
              <w:fldChar w:fldCharType="end"/>
            </w:r>
          </w:hyperlink>
        </w:p>
        <w:p w14:paraId="7CF66039" w14:textId="7DA637BC" w:rsidR="00B7440B" w:rsidRPr="00B7440B" w:rsidRDefault="00E131BD">
          <w:pPr>
            <w:pStyle w:val="TOC3"/>
            <w:rPr>
              <w:rFonts w:eastAsiaTheme="minorEastAsia"/>
              <w:noProof/>
              <w:sz w:val="26"/>
              <w:szCs w:val="26"/>
            </w:rPr>
          </w:pPr>
          <w:hyperlink w:anchor="_Toc63764417" w:history="1">
            <w:r w:rsidR="00B7440B" w:rsidRPr="00B7440B">
              <w:rPr>
                <w:rStyle w:val="Hyperlink"/>
                <w:noProof/>
                <w:sz w:val="26"/>
                <w:szCs w:val="26"/>
              </w:rPr>
              <w:t>3.</w:t>
            </w:r>
            <w:r w:rsidR="00B7440B" w:rsidRPr="00B7440B">
              <w:rPr>
                <w:rFonts w:eastAsiaTheme="minorEastAsia"/>
                <w:noProof/>
                <w:sz w:val="26"/>
                <w:szCs w:val="26"/>
              </w:rPr>
              <w:tab/>
            </w:r>
            <w:r w:rsidR="00B7440B" w:rsidRPr="00B7440B">
              <w:rPr>
                <w:rStyle w:val="Hyperlink"/>
                <w:noProof/>
                <w:sz w:val="26"/>
                <w:szCs w:val="26"/>
              </w:rPr>
              <w:t>I&amp;E Exception No. 1 and Replies</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_Toc63764417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35</w:t>
            </w:r>
            <w:r w:rsidR="00B7440B" w:rsidRPr="00B7440B">
              <w:rPr>
                <w:noProof/>
                <w:webHidden/>
                <w:sz w:val="26"/>
                <w:szCs w:val="26"/>
              </w:rPr>
              <w:fldChar w:fldCharType="end"/>
            </w:r>
          </w:hyperlink>
        </w:p>
        <w:p w14:paraId="12D65DE0" w14:textId="3B6FF9A2" w:rsidR="00B7440B" w:rsidRPr="00B7440B" w:rsidRDefault="00E131BD">
          <w:pPr>
            <w:pStyle w:val="TOC2"/>
            <w:tabs>
              <w:tab w:val="left" w:pos="1440"/>
            </w:tabs>
            <w:rPr>
              <w:rFonts w:eastAsiaTheme="minorEastAsia"/>
              <w:noProof/>
              <w:sz w:val="26"/>
              <w:szCs w:val="26"/>
            </w:rPr>
          </w:pPr>
          <w:hyperlink w:anchor="_Toc63764418" w:history="1">
            <w:r w:rsidR="00B7440B" w:rsidRPr="00B7440B">
              <w:rPr>
                <w:rStyle w:val="Hyperlink"/>
                <w:noProof/>
                <w:sz w:val="26"/>
                <w:szCs w:val="26"/>
              </w:rPr>
              <w:t>D.</w:t>
            </w:r>
            <w:r w:rsidR="00B7440B" w:rsidRPr="00B7440B">
              <w:rPr>
                <w:rFonts w:eastAsiaTheme="minorEastAsia"/>
                <w:noProof/>
                <w:sz w:val="26"/>
                <w:szCs w:val="26"/>
              </w:rPr>
              <w:tab/>
            </w:r>
            <w:r w:rsidR="00B7440B" w:rsidRPr="00B7440B">
              <w:rPr>
                <w:rStyle w:val="Hyperlink"/>
                <w:noProof/>
                <w:sz w:val="26"/>
                <w:szCs w:val="26"/>
              </w:rPr>
              <w:t>Disposition</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_Toc63764418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42</w:t>
            </w:r>
            <w:r w:rsidR="00B7440B" w:rsidRPr="00B7440B">
              <w:rPr>
                <w:noProof/>
                <w:webHidden/>
                <w:sz w:val="26"/>
                <w:szCs w:val="26"/>
              </w:rPr>
              <w:fldChar w:fldCharType="end"/>
            </w:r>
          </w:hyperlink>
        </w:p>
        <w:p w14:paraId="44DC14E5" w14:textId="767BF516" w:rsidR="00B7440B" w:rsidRPr="00B7440B" w:rsidRDefault="00E131BD">
          <w:pPr>
            <w:pStyle w:val="TOC1"/>
            <w:rPr>
              <w:rFonts w:eastAsiaTheme="minorEastAsia"/>
              <w:b w:val="0"/>
              <w:bCs w:val="0"/>
            </w:rPr>
          </w:pPr>
          <w:hyperlink w:anchor="_Toc63764419" w:history="1">
            <w:r w:rsidR="00B7440B" w:rsidRPr="00B7440B">
              <w:rPr>
                <w:rStyle w:val="Hyperlink"/>
                <w:b w:val="0"/>
                <w:bCs w:val="0"/>
              </w:rPr>
              <w:t>V.</w:t>
            </w:r>
            <w:r w:rsidR="00B7440B" w:rsidRPr="00B7440B">
              <w:rPr>
                <w:rFonts w:eastAsiaTheme="minorEastAsia"/>
                <w:b w:val="0"/>
                <w:bCs w:val="0"/>
              </w:rPr>
              <w:tab/>
            </w:r>
            <w:r w:rsidR="00B7440B" w:rsidRPr="00B7440B">
              <w:rPr>
                <w:rStyle w:val="Hyperlink"/>
                <w:b w:val="0"/>
                <w:bCs w:val="0"/>
              </w:rPr>
              <w:t>Rate Base</w:t>
            </w:r>
            <w:r w:rsidR="00B7440B" w:rsidRPr="00B7440B">
              <w:rPr>
                <w:b w:val="0"/>
                <w:bCs w:val="0"/>
                <w:webHidden/>
              </w:rPr>
              <w:tab/>
            </w:r>
            <w:r w:rsidR="00B7440B" w:rsidRPr="00B7440B">
              <w:rPr>
                <w:b w:val="0"/>
                <w:bCs w:val="0"/>
                <w:webHidden/>
              </w:rPr>
              <w:fldChar w:fldCharType="begin"/>
            </w:r>
            <w:r w:rsidR="00B7440B" w:rsidRPr="00B7440B">
              <w:rPr>
                <w:b w:val="0"/>
                <w:bCs w:val="0"/>
                <w:webHidden/>
              </w:rPr>
              <w:instrText xml:space="preserve"> PAGEREF _Toc63764419 \h </w:instrText>
            </w:r>
            <w:r w:rsidR="00B7440B" w:rsidRPr="00B7440B">
              <w:rPr>
                <w:b w:val="0"/>
                <w:bCs w:val="0"/>
                <w:webHidden/>
              </w:rPr>
            </w:r>
            <w:r w:rsidR="00B7440B" w:rsidRPr="00B7440B">
              <w:rPr>
                <w:b w:val="0"/>
                <w:bCs w:val="0"/>
                <w:webHidden/>
              </w:rPr>
              <w:fldChar w:fldCharType="separate"/>
            </w:r>
            <w:r w:rsidR="0066040B">
              <w:rPr>
                <w:b w:val="0"/>
                <w:bCs w:val="0"/>
                <w:webHidden/>
              </w:rPr>
              <w:t>55</w:t>
            </w:r>
            <w:r w:rsidR="00B7440B" w:rsidRPr="00B7440B">
              <w:rPr>
                <w:b w:val="0"/>
                <w:bCs w:val="0"/>
                <w:webHidden/>
              </w:rPr>
              <w:fldChar w:fldCharType="end"/>
            </w:r>
          </w:hyperlink>
        </w:p>
        <w:p w14:paraId="4A1A69B6" w14:textId="4AFC8656" w:rsidR="00B7440B" w:rsidRPr="00B7440B" w:rsidRDefault="00E131BD">
          <w:pPr>
            <w:pStyle w:val="TOC2"/>
            <w:tabs>
              <w:tab w:val="left" w:pos="1440"/>
            </w:tabs>
            <w:rPr>
              <w:rFonts w:eastAsiaTheme="minorEastAsia"/>
              <w:noProof/>
              <w:sz w:val="26"/>
              <w:szCs w:val="26"/>
            </w:rPr>
          </w:pPr>
          <w:hyperlink w:anchor="_Toc63764420" w:history="1">
            <w:r w:rsidR="00B7440B" w:rsidRPr="00B7440B">
              <w:rPr>
                <w:rStyle w:val="Hyperlink"/>
                <w:noProof/>
                <w:sz w:val="26"/>
                <w:szCs w:val="26"/>
              </w:rPr>
              <w:t>A.</w:t>
            </w:r>
            <w:r w:rsidR="00B7440B" w:rsidRPr="00B7440B">
              <w:rPr>
                <w:rFonts w:eastAsiaTheme="minorEastAsia"/>
                <w:noProof/>
                <w:sz w:val="26"/>
                <w:szCs w:val="26"/>
              </w:rPr>
              <w:tab/>
            </w:r>
            <w:r w:rsidR="00B7440B" w:rsidRPr="00B7440B">
              <w:rPr>
                <w:rStyle w:val="Hyperlink"/>
                <w:noProof/>
                <w:sz w:val="26"/>
                <w:szCs w:val="26"/>
              </w:rPr>
              <w:t>Cloud-Based Computing</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_Toc63764420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55</w:t>
            </w:r>
            <w:r w:rsidR="00B7440B" w:rsidRPr="00B7440B">
              <w:rPr>
                <w:noProof/>
                <w:webHidden/>
                <w:sz w:val="26"/>
                <w:szCs w:val="26"/>
              </w:rPr>
              <w:fldChar w:fldCharType="end"/>
            </w:r>
          </w:hyperlink>
        </w:p>
        <w:p w14:paraId="725640C2" w14:textId="55294452" w:rsidR="00B7440B" w:rsidRPr="00B7440B" w:rsidRDefault="00E131BD">
          <w:pPr>
            <w:pStyle w:val="TOC3"/>
            <w:rPr>
              <w:rFonts w:eastAsiaTheme="minorEastAsia"/>
              <w:noProof/>
              <w:sz w:val="26"/>
              <w:szCs w:val="26"/>
            </w:rPr>
          </w:pPr>
          <w:hyperlink w:anchor="_Toc63764421" w:history="1">
            <w:r w:rsidR="00B7440B" w:rsidRPr="00B7440B">
              <w:rPr>
                <w:rStyle w:val="Hyperlink"/>
                <w:noProof/>
                <w:sz w:val="26"/>
                <w:szCs w:val="26"/>
              </w:rPr>
              <w:t>1.</w:t>
            </w:r>
            <w:r w:rsidR="00B7440B" w:rsidRPr="00B7440B">
              <w:rPr>
                <w:rFonts w:eastAsiaTheme="minorEastAsia"/>
                <w:noProof/>
                <w:sz w:val="26"/>
                <w:szCs w:val="26"/>
              </w:rPr>
              <w:tab/>
            </w:r>
            <w:r w:rsidR="00B7440B" w:rsidRPr="00B7440B">
              <w:rPr>
                <w:rStyle w:val="Hyperlink"/>
                <w:noProof/>
                <w:sz w:val="26"/>
                <w:szCs w:val="26"/>
              </w:rPr>
              <w:t>Positions of the Parties</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_Toc63764421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55</w:t>
            </w:r>
            <w:r w:rsidR="00B7440B" w:rsidRPr="00B7440B">
              <w:rPr>
                <w:noProof/>
                <w:webHidden/>
                <w:sz w:val="26"/>
                <w:szCs w:val="26"/>
              </w:rPr>
              <w:fldChar w:fldCharType="end"/>
            </w:r>
          </w:hyperlink>
        </w:p>
        <w:p w14:paraId="71FF43EA" w14:textId="6DF7A117" w:rsidR="00B7440B" w:rsidRPr="00B7440B" w:rsidRDefault="00E131BD">
          <w:pPr>
            <w:pStyle w:val="TOC3"/>
            <w:rPr>
              <w:rFonts w:eastAsiaTheme="minorEastAsia"/>
              <w:noProof/>
              <w:sz w:val="26"/>
              <w:szCs w:val="26"/>
            </w:rPr>
          </w:pPr>
          <w:hyperlink w:anchor="_Toc63764422" w:history="1">
            <w:r w:rsidR="00B7440B" w:rsidRPr="00B7440B">
              <w:rPr>
                <w:rStyle w:val="Hyperlink"/>
                <w:noProof/>
                <w:sz w:val="26"/>
                <w:szCs w:val="26"/>
              </w:rPr>
              <w:t>2.</w:t>
            </w:r>
            <w:r w:rsidR="00B7440B" w:rsidRPr="00B7440B">
              <w:rPr>
                <w:rFonts w:eastAsiaTheme="minorEastAsia"/>
                <w:noProof/>
                <w:sz w:val="26"/>
                <w:szCs w:val="26"/>
              </w:rPr>
              <w:tab/>
            </w:r>
            <w:r w:rsidR="00B7440B" w:rsidRPr="00B7440B">
              <w:rPr>
                <w:rStyle w:val="Hyperlink"/>
                <w:noProof/>
                <w:sz w:val="26"/>
                <w:szCs w:val="26"/>
              </w:rPr>
              <w:t>Recommended Decision</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_Toc63764422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56</w:t>
            </w:r>
            <w:r w:rsidR="00B7440B" w:rsidRPr="00B7440B">
              <w:rPr>
                <w:noProof/>
                <w:webHidden/>
                <w:sz w:val="26"/>
                <w:szCs w:val="26"/>
              </w:rPr>
              <w:fldChar w:fldCharType="end"/>
            </w:r>
          </w:hyperlink>
        </w:p>
        <w:p w14:paraId="68DD6882" w14:textId="4ABD32F5" w:rsidR="00B7440B" w:rsidRPr="00B7440B" w:rsidRDefault="00E131BD">
          <w:pPr>
            <w:pStyle w:val="TOC3"/>
            <w:rPr>
              <w:rFonts w:eastAsiaTheme="minorEastAsia"/>
              <w:noProof/>
              <w:sz w:val="26"/>
              <w:szCs w:val="26"/>
            </w:rPr>
          </w:pPr>
          <w:hyperlink w:anchor="_Toc63764423" w:history="1">
            <w:r w:rsidR="00B7440B" w:rsidRPr="00B7440B">
              <w:rPr>
                <w:rStyle w:val="Hyperlink"/>
                <w:noProof/>
                <w:sz w:val="26"/>
                <w:szCs w:val="26"/>
              </w:rPr>
              <w:t>3.</w:t>
            </w:r>
            <w:r w:rsidR="00B7440B" w:rsidRPr="00B7440B">
              <w:rPr>
                <w:rFonts w:eastAsiaTheme="minorEastAsia"/>
                <w:noProof/>
                <w:sz w:val="26"/>
                <w:szCs w:val="26"/>
              </w:rPr>
              <w:tab/>
            </w:r>
            <w:r w:rsidR="00B7440B" w:rsidRPr="00B7440B">
              <w:rPr>
                <w:rStyle w:val="Hyperlink"/>
                <w:noProof/>
                <w:sz w:val="26"/>
                <w:szCs w:val="26"/>
              </w:rPr>
              <w:t>Disposition</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_Toc63764423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56</w:t>
            </w:r>
            <w:r w:rsidR="00B7440B" w:rsidRPr="00B7440B">
              <w:rPr>
                <w:noProof/>
                <w:webHidden/>
                <w:sz w:val="26"/>
                <w:szCs w:val="26"/>
              </w:rPr>
              <w:fldChar w:fldCharType="end"/>
            </w:r>
          </w:hyperlink>
        </w:p>
        <w:p w14:paraId="10FF30DA" w14:textId="19272F22" w:rsidR="00B7440B" w:rsidRPr="00B7440B" w:rsidRDefault="00E131BD">
          <w:pPr>
            <w:pStyle w:val="TOC2"/>
            <w:tabs>
              <w:tab w:val="left" w:pos="1440"/>
            </w:tabs>
            <w:rPr>
              <w:rFonts w:eastAsiaTheme="minorEastAsia"/>
              <w:noProof/>
              <w:sz w:val="26"/>
              <w:szCs w:val="26"/>
            </w:rPr>
          </w:pPr>
          <w:hyperlink w:anchor="_Toc63764424" w:history="1">
            <w:r w:rsidR="00B7440B" w:rsidRPr="00B7440B">
              <w:rPr>
                <w:rStyle w:val="Hyperlink"/>
                <w:noProof/>
                <w:sz w:val="26"/>
                <w:szCs w:val="26"/>
              </w:rPr>
              <w:t>B.</w:t>
            </w:r>
            <w:r w:rsidR="00B7440B" w:rsidRPr="00B7440B">
              <w:rPr>
                <w:rFonts w:eastAsiaTheme="minorEastAsia"/>
                <w:noProof/>
                <w:sz w:val="26"/>
                <w:szCs w:val="26"/>
              </w:rPr>
              <w:tab/>
            </w:r>
            <w:r w:rsidR="00B7440B" w:rsidRPr="00B7440B">
              <w:rPr>
                <w:rStyle w:val="Hyperlink"/>
                <w:noProof/>
                <w:sz w:val="26"/>
                <w:szCs w:val="26"/>
              </w:rPr>
              <w:t>Utility Plant in Service / Depreciation Reserve / ADIT</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_Toc63764424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56</w:t>
            </w:r>
            <w:r w:rsidR="00B7440B" w:rsidRPr="00B7440B">
              <w:rPr>
                <w:noProof/>
                <w:webHidden/>
                <w:sz w:val="26"/>
                <w:szCs w:val="26"/>
              </w:rPr>
              <w:fldChar w:fldCharType="end"/>
            </w:r>
          </w:hyperlink>
        </w:p>
        <w:p w14:paraId="2901C4B5" w14:textId="3B43718F" w:rsidR="00B7440B" w:rsidRPr="00B7440B" w:rsidRDefault="00E131BD">
          <w:pPr>
            <w:pStyle w:val="TOC3"/>
            <w:rPr>
              <w:rFonts w:eastAsiaTheme="minorEastAsia"/>
              <w:noProof/>
              <w:sz w:val="26"/>
              <w:szCs w:val="26"/>
            </w:rPr>
          </w:pPr>
          <w:hyperlink w:anchor="_Toc63764425" w:history="1">
            <w:r w:rsidR="00B7440B" w:rsidRPr="00B7440B">
              <w:rPr>
                <w:rStyle w:val="Hyperlink"/>
                <w:noProof/>
                <w:sz w:val="26"/>
                <w:szCs w:val="26"/>
              </w:rPr>
              <w:t>1.</w:t>
            </w:r>
            <w:r w:rsidR="00B7440B" w:rsidRPr="00B7440B">
              <w:rPr>
                <w:rFonts w:eastAsiaTheme="minorEastAsia"/>
                <w:noProof/>
                <w:sz w:val="26"/>
                <w:szCs w:val="26"/>
              </w:rPr>
              <w:tab/>
            </w:r>
            <w:r w:rsidR="00B7440B" w:rsidRPr="00B7440B">
              <w:rPr>
                <w:rStyle w:val="Hyperlink"/>
                <w:noProof/>
                <w:sz w:val="26"/>
                <w:szCs w:val="26"/>
              </w:rPr>
              <w:t>Positions of the Parties</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_Toc63764425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56</w:t>
            </w:r>
            <w:r w:rsidR="00B7440B" w:rsidRPr="00B7440B">
              <w:rPr>
                <w:noProof/>
                <w:webHidden/>
                <w:sz w:val="26"/>
                <w:szCs w:val="26"/>
              </w:rPr>
              <w:fldChar w:fldCharType="end"/>
            </w:r>
          </w:hyperlink>
        </w:p>
        <w:p w14:paraId="43E41F5B" w14:textId="73DC099A" w:rsidR="00B7440B" w:rsidRPr="00B7440B" w:rsidRDefault="00E131BD">
          <w:pPr>
            <w:pStyle w:val="TOC3"/>
            <w:rPr>
              <w:rFonts w:eastAsiaTheme="minorEastAsia"/>
              <w:noProof/>
              <w:sz w:val="26"/>
              <w:szCs w:val="26"/>
            </w:rPr>
          </w:pPr>
          <w:hyperlink w:anchor="_Toc63764426" w:history="1">
            <w:r w:rsidR="00B7440B" w:rsidRPr="00B7440B">
              <w:rPr>
                <w:rStyle w:val="Hyperlink"/>
                <w:rFonts w:eastAsiaTheme="majorEastAsia"/>
                <w:noProof/>
                <w:sz w:val="26"/>
                <w:szCs w:val="26"/>
              </w:rPr>
              <w:t>2.</w:t>
            </w:r>
            <w:r w:rsidR="00B7440B" w:rsidRPr="00B7440B">
              <w:rPr>
                <w:rFonts w:eastAsiaTheme="minorEastAsia"/>
                <w:noProof/>
                <w:sz w:val="26"/>
                <w:szCs w:val="26"/>
              </w:rPr>
              <w:tab/>
            </w:r>
            <w:r w:rsidR="00B7440B" w:rsidRPr="00B7440B">
              <w:rPr>
                <w:rStyle w:val="Hyperlink"/>
                <w:rFonts w:eastAsiaTheme="majorEastAsia"/>
                <w:noProof/>
                <w:sz w:val="26"/>
                <w:szCs w:val="26"/>
              </w:rPr>
              <w:t>Recommended Decision</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_Toc63764426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59</w:t>
            </w:r>
            <w:r w:rsidR="00B7440B" w:rsidRPr="00B7440B">
              <w:rPr>
                <w:noProof/>
                <w:webHidden/>
                <w:sz w:val="26"/>
                <w:szCs w:val="26"/>
              </w:rPr>
              <w:fldChar w:fldCharType="end"/>
            </w:r>
          </w:hyperlink>
        </w:p>
        <w:p w14:paraId="2193CA77" w14:textId="65459D46" w:rsidR="00B7440B" w:rsidRPr="00B7440B" w:rsidRDefault="00E131BD">
          <w:pPr>
            <w:pStyle w:val="TOC3"/>
            <w:rPr>
              <w:rFonts w:eastAsiaTheme="minorEastAsia"/>
              <w:noProof/>
              <w:sz w:val="26"/>
              <w:szCs w:val="26"/>
            </w:rPr>
          </w:pPr>
          <w:hyperlink w:anchor="_Toc63764427" w:history="1">
            <w:r w:rsidR="00B7440B" w:rsidRPr="00B7440B">
              <w:rPr>
                <w:rStyle w:val="Hyperlink"/>
                <w:rFonts w:eastAsiaTheme="majorEastAsia"/>
                <w:noProof/>
                <w:sz w:val="26"/>
                <w:szCs w:val="26"/>
              </w:rPr>
              <w:t>3.</w:t>
            </w:r>
            <w:r w:rsidR="00B7440B" w:rsidRPr="00B7440B">
              <w:rPr>
                <w:rFonts w:eastAsiaTheme="minorEastAsia"/>
                <w:noProof/>
                <w:sz w:val="26"/>
                <w:szCs w:val="26"/>
              </w:rPr>
              <w:tab/>
            </w:r>
            <w:r w:rsidR="00B7440B" w:rsidRPr="00B7440B">
              <w:rPr>
                <w:rStyle w:val="Hyperlink"/>
                <w:rFonts w:eastAsiaTheme="majorEastAsia"/>
                <w:noProof/>
                <w:sz w:val="26"/>
                <w:szCs w:val="26"/>
              </w:rPr>
              <w:t>Columbia Exception No. 3 and Replies</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_Toc63764427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60</w:t>
            </w:r>
            <w:r w:rsidR="00B7440B" w:rsidRPr="00B7440B">
              <w:rPr>
                <w:noProof/>
                <w:webHidden/>
                <w:sz w:val="26"/>
                <w:szCs w:val="26"/>
              </w:rPr>
              <w:fldChar w:fldCharType="end"/>
            </w:r>
          </w:hyperlink>
        </w:p>
        <w:p w14:paraId="3DCAF9FE" w14:textId="2319FCB1" w:rsidR="00B7440B" w:rsidRPr="00B7440B" w:rsidRDefault="00E131BD">
          <w:pPr>
            <w:pStyle w:val="TOC3"/>
            <w:rPr>
              <w:rFonts w:eastAsiaTheme="minorEastAsia"/>
              <w:noProof/>
              <w:sz w:val="26"/>
              <w:szCs w:val="26"/>
            </w:rPr>
          </w:pPr>
          <w:hyperlink w:anchor="_Toc63764428" w:history="1">
            <w:r w:rsidR="00B7440B" w:rsidRPr="00B7440B">
              <w:rPr>
                <w:rStyle w:val="Hyperlink"/>
                <w:rFonts w:eastAsiaTheme="majorEastAsia"/>
                <w:noProof/>
                <w:sz w:val="26"/>
                <w:szCs w:val="26"/>
              </w:rPr>
              <w:t>4.</w:t>
            </w:r>
            <w:r w:rsidR="00B7440B" w:rsidRPr="00B7440B">
              <w:rPr>
                <w:rFonts w:eastAsiaTheme="minorEastAsia"/>
                <w:noProof/>
                <w:sz w:val="26"/>
                <w:szCs w:val="26"/>
              </w:rPr>
              <w:tab/>
            </w:r>
            <w:r w:rsidR="00B7440B" w:rsidRPr="00B7440B">
              <w:rPr>
                <w:rStyle w:val="Hyperlink"/>
                <w:rFonts w:eastAsiaTheme="majorEastAsia"/>
                <w:noProof/>
                <w:sz w:val="26"/>
                <w:szCs w:val="26"/>
              </w:rPr>
              <w:t>Disposition</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_Toc63764428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61</w:t>
            </w:r>
            <w:r w:rsidR="00B7440B" w:rsidRPr="00B7440B">
              <w:rPr>
                <w:noProof/>
                <w:webHidden/>
                <w:sz w:val="26"/>
                <w:szCs w:val="26"/>
              </w:rPr>
              <w:fldChar w:fldCharType="end"/>
            </w:r>
          </w:hyperlink>
        </w:p>
        <w:p w14:paraId="2EE5590B" w14:textId="2E654118" w:rsidR="00B7440B" w:rsidRPr="00B7440B" w:rsidRDefault="00E131BD">
          <w:pPr>
            <w:pStyle w:val="TOC1"/>
            <w:rPr>
              <w:rFonts w:eastAsiaTheme="minorEastAsia"/>
              <w:b w:val="0"/>
              <w:bCs w:val="0"/>
            </w:rPr>
          </w:pPr>
          <w:hyperlink w:anchor="_Toc63764429" w:history="1">
            <w:r w:rsidR="00B7440B" w:rsidRPr="00B7440B">
              <w:rPr>
                <w:rStyle w:val="Hyperlink"/>
                <w:b w:val="0"/>
                <w:bCs w:val="0"/>
              </w:rPr>
              <w:t>VI.</w:t>
            </w:r>
            <w:r w:rsidR="00B7440B" w:rsidRPr="00B7440B">
              <w:rPr>
                <w:rFonts w:eastAsiaTheme="minorEastAsia"/>
                <w:b w:val="0"/>
                <w:bCs w:val="0"/>
              </w:rPr>
              <w:tab/>
            </w:r>
            <w:r w:rsidR="00B7440B" w:rsidRPr="00B7440B">
              <w:rPr>
                <w:rStyle w:val="Hyperlink"/>
                <w:b w:val="0"/>
                <w:bCs w:val="0"/>
              </w:rPr>
              <w:t>Revenue</w:t>
            </w:r>
            <w:r w:rsidR="00B7440B" w:rsidRPr="00B7440B">
              <w:rPr>
                <w:b w:val="0"/>
                <w:bCs w:val="0"/>
                <w:webHidden/>
              </w:rPr>
              <w:tab/>
            </w:r>
            <w:r w:rsidR="00B7440B" w:rsidRPr="00B7440B">
              <w:rPr>
                <w:b w:val="0"/>
                <w:bCs w:val="0"/>
                <w:webHidden/>
              </w:rPr>
              <w:fldChar w:fldCharType="begin"/>
            </w:r>
            <w:r w:rsidR="00B7440B" w:rsidRPr="00B7440B">
              <w:rPr>
                <w:b w:val="0"/>
                <w:bCs w:val="0"/>
                <w:webHidden/>
              </w:rPr>
              <w:instrText xml:space="preserve"> PAGEREF _Toc63764429 \h </w:instrText>
            </w:r>
            <w:r w:rsidR="00B7440B" w:rsidRPr="00B7440B">
              <w:rPr>
                <w:b w:val="0"/>
                <w:bCs w:val="0"/>
                <w:webHidden/>
              </w:rPr>
            </w:r>
            <w:r w:rsidR="00B7440B" w:rsidRPr="00B7440B">
              <w:rPr>
                <w:b w:val="0"/>
                <w:bCs w:val="0"/>
                <w:webHidden/>
              </w:rPr>
              <w:fldChar w:fldCharType="separate"/>
            </w:r>
            <w:r w:rsidR="0066040B">
              <w:rPr>
                <w:b w:val="0"/>
                <w:bCs w:val="0"/>
                <w:webHidden/>
              </w:rPr>
              <w:t>62</w:t>
            </w:r>
            <w:r w:rsidR="00B7440B" w:rsidRPr="00B7440B">
              <w:rPr>
                <w:b w:val="0"/>
                <w:bCs w:val="0"/>
                <w:webHidden/>
              </w:rPr>
              <w:fldChar w:fldCharType="end"/>
            </w:r>
          </w:hyperlink>
        </w:p>
        <w:p w14:paraId="2F95D7AF" w14:textId="2D96F205" w:rsidR="00B7440B" w:rsidRPr="00B7440B" w:rsidRDefault="00E131BD">
          <w:pPr>
            <w:pStyle w:val="TOC2"/>
            <w:tabs>
              <w:tab w:val="left" w:pos="1440"/>
            </w:tabs>
            <w:rPr>
              <w:rFonts w:eastAsiaTheme="minorEastAsia"/>
              <w:noProof/>
              <w:sz w:val="26"/>
              <w:szCs w:val="26"/>
            </w:rPr>
          </w:pPr>
          <w:hyperlink w:anchor="_Toc63764430" w:history="1">
            <w:r w:rsidR="00B7440B" w:rsidRPr="00B7440B">
              <w:rPr>
                <w:rStyle w:val="Hyperlink"/>
                <w:noProof/>
                <w:sz w:val="26"/>
                <w:szCs w:val="26"/>
              </w:rPr>
              <w:t>A.</w:t>
            </w:r>
            <w:r w:rsidR="00B7440B" w:rsidRPr="00B7440B">
              <w:rPr>
                <w:rFonts w:eastAsiaTheme="minorEastAsia"/>
                <w:noProof/>
                <w:sz w:val="26"/>
                <w:szCs w:val="26"/>
              </w:rPr>
              <w:tab/>
            </w:r>
            <w:r w:rsidR="00B7440B" w:rsidRPr="00B7440B">
              <w:rPr>
                <w:rStyle w:val="Hyperlink"/>
                <w:noProof/>
                <w:sz w:val="26"/>
                <w:szCs w:val="26"/>
              </w:rPr>
              <w:t>Positions of the Parties</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_Toc63764430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62</w:t>
            </w:r>
            <w:r w:rsidR="00B7440B" w:rsidRPr="00B7440B">
              <w:rPr>
                <w:noProof/>
                <w:webHidden/>
                <w:sz w:val="26"/>
                <w:szCs w:val="26"/>
              </w:rPr>
              <w:fldChar w:fldCharType="end"/>
            </w:r>
          </w:hyperlink>
        </w:p>
        <w:p w14:paraId="22802280" w14:textId="2A2C1C8B" w:rsidR="00B7440B" w:rsidRPr="00B7440B" w:rsidRDefault="00E131BD">
          <w:pPr>
            <w:pStyle w:val="TOC2"/>
            <w:tabs>
              <w:tab w:val="left" w:pos="1440"/>
            </w:tabs>
            <w:rPr>
              <w:rFonts w:eastAsiaTheme="minorEastAsia"/>
              <w:noProof/>
              <w:sz w:val="26"/>
              <w:szCs w:val="26"/>
            </w:rPr>
          </w:pPr>
          <w:hyperlink w:anchor="_Toc63764431" w:history="1">
            <w:r w:rsidR="00B7440B" w:rsidRPr="00B7440B">
              <w:rPr>
                <w:rStyle w:val="Hyperlink"/>
                <w:iCs/>
                <w:noProof/>
                <w:sz w:val="26"/>
                <w:szCs w:val="26"/>
              </w:rPr>
              <w:t>B.</w:t>
            </w:r>
            <w:r w:rsidR="00B7440B" w:rsidRPr="00B7440B">
              <w:rPr>
                <w:rFonts w:eastAsiaTheme="minorEastAsia"/>
                <w:noProof/>
                <w:sz w:val="26"/>
                <w:szCs w:val="26"/>
              </w:rPr>
              <w:tab/>
            </w:r>
            <w:r w:rsidR="00B7440B" w:rsidRPr="00B7440B">
              <w:rPr>
                <w:rStyle w:val="Hyperlink"/>
                <w:noProof/>
                <w:sz w:val="26"/>
                <w:szCs w:val="26"/>
              </w:rPr>
              <w:t>Recommended Decision</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_Toc63764431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64</w:t>
            </w:r>
            <w:r w:rsidR="00B7440B" w:rsidRPr="00B7440B">
              <w:rPr>
                <w:noProof/>
                <w:webHidden/>
                <w:sz w:val="26"/>
                <w:szCs w:val="26"/>
              </w:rPr>
              <w:fldChar w:fldCharType="end"/>
            </w:r>
          </w:hyperlink>
        </w:p>
        <w:p w14:paraId="28B85EBF" w14:textId="226AEF2B" w:rsidR="00B7440B" w:rsidRPr="00B7440B" w:rsidRDefault="00E131BD">
          <w:pPr>
            <w:pStyle w:val="TOC2"/>
            <w:tabs>
              <w:tab w:val="left" w:pos="1440"/>
            </w:tabs>
            <w:rPr>
              <w:rFonts w:eastAsiaTheme="minorEastAsia"/>
              <w:noProof/>
              <w:sz w:val="26"/>
              <w:szCs w:val="26"/>
            </w:rPr>
          </w:pPr>
          <w:hyperlink w:anchor="_Toc63764432" w:history="1">
            <w:r w:rsidR="00B7440B" w:rsidRPr="00B7440B">
              <w:rPr>
                <w:rStyle w:val="Hyperlink"/>
                <w:noProof/>
                <w:sz w:val="26"/>
                <w:szCs w:val="26"/>
              </w:rPr>
              <w:t>C.</w:t>
            </w:r>
            <w:r w:rsidR="00B7440B" w:rsidRPr="00B7440B">
              <w:rPr>
                <w:rFonts w:eastAsiaTheme="minorEastAsia"/>
                <w:noProof/>
                <w:sz w:val="26"/>
                <w:szCs w:val="26"/>
              </w:rPr>
              <w:tab/>
            </w:r>
            <w:r w:rsidR="00B7440B" w:rsidRPr="00B7440B">
              <w:rPr>
                <w:rStyle w:val="Hyperlink"/>
                <w:noProof/>
                <w:sz w:val="26"/>
                <w:szCs w:val="26"/>
              </w:rPr>
              <w:t>Columbia Exception No. 4</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_Toc63764432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64</w:t>
            </w:r>
            <w:r w:rsidR="00B7440B" w:rsidRPr="00B7440B">
              <w:rPr>
                <w:noProof/>
                <w:webHidden/>
                <w:sz w:val="26"/>
                <w:szCs w:val="26"/>
              </w:rPr>
              <w:fldChar w:fldCharType="end"/>
            </w:r>
          </w:hyperlink>
        </w:p>
        <w:p w14:paraId="44177B7C" w14:textId="1E0D2273" w:rsidR="00B7440B" w:rsidRPr="00B7440B" w:rsidRDefault="00E131BD">
          <w:pPr>
            <w:pStyle w:val="TOC2"/>
            <w:tabs>
              <w:tab w:val="left" w:pos="1440"/>
            </w:tabs>
            <w:rPr>
              <w:rFonts w:eastAsiaTheme="minorEastAsia"/>
              <w:noProof/>
              <w:sz w:val="26"/>
              <w:szCs w:val="26"/>
            </w:rPr>
          </w:pPr>
          <w:hyperlink w:anchor="_Toc63764433" w:history="1">
            <w:r w:rsidR="00B7440B" w:rsidRPr="00B7440B">
              <w:rPr>
                <w:rStyle w:val="Hyperlink"/>
                <w:noProof/>
                <w:sz w:val="26"/>
                <w:szCs w:val="26"/>
              </w:rPr>
              <w:t>D.</w:t>
            </w:r>
            <w:r w:rsidR="00B7440B" w:rsidRPr="00B7440B">
              <w:rPr>
                <w:rFonts w:eastAsiaTheme="minorEastAsia"/>
                <w:noProof/>
                <w:sz w:val="26"/>
                <w:szCs w:val="26"/>
              </w:rPr>
              <w:tab/>
            </w:r>
            <w:r w:rsidR="00B7440B" w:rsidRPr="00B7440B">
              <w:rPr>
                <w:rStyle w:val="Hyperlink"/>
                <w:noProof/>
                <w:sz w:val="26"/>
                <w:szCs w:val="26"/>
              </w:rPr>
              <w:t>Disposition</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_Toc63764433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65</w:t>
            </w:r>
            <w:r w:rsidR="00B7440B" w:rsidRPr="00B7440B">
              <w:rPr>
                <w:noProof/>
                <w:webHidden/>
                <w:sz w:val="26"/>
                <w:szCs w:val="26"/>
              </w:rPr>
              <w:fldChar w:fldCharType="end"/>
            </w:r>
          </w:hyperlink>
        </w:p>
        <w:p w14:paraId="53E9236E" w14:textId="2B488114" w:rsidR="00B7440B" w:rsidRPr="00B7440B" w:rsidRDefault="00E131BD">
          <w:pPr>
            <w:pStyle w:val="TOC1"/>
            <w:rPr>
              <w:rFonts w:eastAsiaTheme="minorEastAsia"/>
              <w:b w:val="0"/>
              <w:bCs w:val="0"/>
            </w:rPr>
          </w:pPr>
          <w:hyperlink w:anchor="_Toc63764434" w:history="1">
            <w:r w:rsidR="00B7440B" w:rsidRPr="00B7440B">
              <w:rPr>
                <w:rStyle w:val="Hyperlink"/>
                <w:b w:val="0"/>
                <w:bCs w:val="0"/>
              </w:rPr>
              <w:t>VII.</w:t>
            </w:r>
            <w:r w:rsidR="00B7440B" w:rsidRPr="00B7440B">
              <w:rPr>
                <w:rFonts w:eastAsiaTheme="minorEastAsia"/>
                <w:b w:val="0"/>
                <w:bCs w:val="0"/>
              </w:rPr>
              <w:tab/>
            </w:r>
            <w:r w:rsidR="00B7440B" w:rsidRPr="00B7440B">
              <w:rPr>
                <w:rStyle w:val="Hyperlink"/>
                <w:b w:val="0"/>
                <w:bCs w:val="0"/>
              </w:rPr>
              <w:t>Expenses</w:t>
            </w:r>
            <w:r w:rsidR="00B7440B" w:rsidRPr="00B7440B">
              <w:rPr>
                <w:b w:val="0"/>
                <w:bCs w:val="0"/>
                <w:webHidden/>
              </w:rPr>
              <w:tab/>
            </w:r>
            <w:r w:rsidR="00B7440B" w:rsidRPr="00B7440B">
              <w:rPr>
                <w:b w:val="0"/>
                <w:bCs w:val="0"/>
                <w:webHidden/>
              </w:rPr>
              <w:fldChar w:fldCharType="begin"/>
            </w:r>
            <w:r w:rsidR="00B7440B" w:rsidRPr="00B7440B">
              <w:rPr>
                <w:b w:val="0"/>
                <w:bCs w:val="0"/>
                <w:webHidden/>
              </w:rPr>
              <w:instrText xml:space="preserve"> PAGEREF _Toc63764434 \h </w:instrText>
            </w:r>
            <w:r w:rsidR="00B7440B" w:rsidRPr="00B7440B">
              <w:rPr>
                <w:b w:val="0"/>
                <w:bCs w:val="0"/>
                <w:webHidden/>
              </w:rPr>
            </w:r>
            <w:r w:rsidR="00B7440B" w:rsidRPr="00B7440B">
              <w:rPr>
                <w:b w:val="0"/>
                <w:bCs w:val="0"/>
                <w:webHidden/>
              </w:rPr>
              <w:fldChar w:fldCharType="separate"/>
            </w:r>
            <w:r w:rsidR="0066040B">
              <w:rPr>
                <w:b w:val="0"/>
                <w:bCs w:val="0"/>
                <w:webHidden/>
              </w:rPr>
              <w:t>66</w:t>
            </w:r>
            <w:r w:rsidR="00B7440B" w:rsidRPr="00B7440B">
              <w:rPr>
                <w:b w:val="0"/>
                <w:bCs w:val="0"/>
                <w:webHidden/>
              </w:rPr>
              <w:fldChar w:fldCharType="end"/>
            </w:r>
          </w:hyperlink>
        </w:p>
        <w:p w14:paraId="32011591" w14:textId="2E86F13F" w:rsidR="00B7440B" w:rsidRPr="00B7440B" w:rsidRDefault="00E131BD">
          <w:pPr>
            <w:pStyle w:val="TOC2"/>
            <w:tabs>
              <w:tab w:val="left" w:pos="1440"/>
            </w:tabs>
            <w:rPr>
              <w:rFonts w:eastAsiaTheme="minorEastAsia"/>
              <w:noProof/>
              <w:sz w:val="26"/>
              <w:szCs w:val="26"/>
            </w:rPr>
          </w:pPr>
          <w:hyperlink w:anchor="_Toc63764435" w:history="1">
            <w:r w:rsidR="00B7440B" w:rsidRPr="00B7440B">
              <w:rPr>
                <w:rStyle w:val="Hyperlink"/>
                <w:noProof/>
                <w:sz w:val="26"/>
                <w:szCs w:val="26"/>
              </w:rPr>
              <w:t>A.</w:t>
            </w:r>
            <w:r w:rsidR="00B7440B" w:rsidRPr="00B7440B">
              <w:rPr>
                <w:rFonts w:eastAsiaTheme="minorEastAsia"/>
                <w:noProof/>
                <w:sz w:val="26"/>
                <w:szCs w:val="26"/>
              </w:rPr>
              <w:tab/>
            </w:r>
            <w:r w:rsidR="00B7440B" w:rsidRPr="00B7440B">
              <w:rPr>
                <w:rStyle w:val="Hyperlink"/>
                <w:noProof/>
                <w:sz w:val="26"/>
                <w:szCs w:val="26"/>
              </w:rPr>
              <w:t>Labor Expense</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_Toc63764435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66</w:t>
            </w:r>
            <w:r w:rsidR="00B7440B" w:rsidRPr="00B7440B">
              <w:rPr>
                <w:noProof/>
                <w:webHidden/>
                <w:sz w:val="26"/>
                <w:szCs w:val="26"/>
              </w:rPr>
              <w:fldChar w:fldCharType="end"/>
            </w:r>
          </w:hyperlink>
        </w:p>
        <w:p w14:paraId="6EA53703" w14:textId="07B185BB" w:rsidR="00B7440B" w:rsidRPr="00B7440B" w:rsidRDefault="00E131BD">
          <w:pPr>
            <w:pStyle w:val="TOC3"/>
            <w:rPr>
              <w:rFonts w:eastAsiaTheme="minorEastAsia"/>
              <w:noProof/>
              <w:sz w:val="26"/>
              <w:szCs w:val="26"/>
            </w:rPr>
          </w:pPr>
          <w:hyperlink w:anchor="_Toc63764436" w:history="1">
            <w:r w:rsidR="00B7440B" w:rsidRPr="00B7440B">
              <w:rPr>
                <w:rStyle w:val="Hyperlink"/>
                <w:noProof/>
                <w:sz w:val="26"/>
                <w:szCs w:val="26"/>
              </w:rPr>
              <w:t>1.</w:t>
            </w:r>
            <w:r w:rsidR="00B7440B" w:rsidRPr="00B7440B">
              <w:rPr>
                <w:rFonts w:eastAsiaTheme="minorEastAsia"/>
                <w:noProof/>
                <w:sz w:val="26"/>
                <w:szCs w:val="26"/>
              </w:rPr>
              <w:tab/>
            </w:r>
            <w:r w:rsidR="00B7440B" w:rsidRPr="00B7440B">
              <w:rPr>
                <w:rStyle w:val="Hyperlink"/>
                <w:noProof/>
                <w:sz w:val="26"/>
                <w:szCs w:val="26"/>
              </w:rPr>
              <w:t>Positions of the Parties</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_Toc63764436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66</w:t>
            </w:r>
            <w:r w:rsidR="00B7440B" w:rsidRPr="00B7440B">
              <w:rPr>
                <w:noProof/>
                <w:webHidden/>
                <w:sz w:val="26"/>
                <w:szCs w:val="26"/>
              </w:rPr>
              <w:fldChar w:fldCharType="end"/>
            </w:r>
          </w:hyperlink>
        </w:p>
        <w:p w14:paraId="533C580A" w14:textId="60467E54" w:rsidR="00B7440B" w:rsidRPr="00B7440B" w:rsidRDefault="00E131BD">
          <w:pPr>
            <w:pStyle w:val="TOC4"/>
            <w:rPr>
              <w:rFonts w:eastAsiaTheme="minorEastAsia"/>
              <w:noProof/>
              <w:sz w:val="26"/>
              <w:szCs w:val="26"/>
            </w:rPr>
          </w:pPr>
          <w:hyperlink w:anchor="_Toc63764437" w:history="1">
            <w:r w:rsidR="00B7440B" w:rsidRPr="00B7440B">
              <w:rPr>
                <w:rStyle w:val="Hyperlink"/>
                <w:noProof/>
                <w:sz w:val="26"/>
                <w:szCs w:val="26"/>
              </w:rPr>
              <w:t>a.</w:t>
            </w:r>
            <w:r w:rsidR="00B7440B" w:rsidRPr="00B7440B">
              <w:rPr>
                <w:rFonts w:eastAsiaTheme="minorEastAsia"/>
                <w:noProof/>
                <w:sz w:val="26"/>
                <w:szCs w:val="26"/>
              </w:rPr>
              <w:tab/>
            </w:r>
            <w:r w:rsidR="00B7440B" w:rsidRPr="00B7440B">
              <w:rPr>
                <w:rStyle w:val="Hyperlink"/>
                <w:noProof/>
                <w:sz w:val="26"/>
                <w:szCs w:val="26"/>
              </w:rPr>
              <w:t>Annualization Adjustment</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_Toc63764437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67</w:t>
            </w:r>
            <w:r w:rsidR="00B7440B" w:rsidRPr="00B7440B">
              <w:rPr>
                <w:noProof/>
                <w:webHidden/>
                <w:sz w:val="26"/>
                <w:szCs w:val="26"/>
              </w:rPr>
              <w:fldChar w:fldCharType="end"/>
            </w:r>
          </w:hyperlink>
        </w:p>
        <w:p w14:paraId="4D0A4B7A" w14:textId="2004545C" w:rsidR="00B7440B" w:rsidRPr="00B7440B" w:rsidRDefault="00E131BD">
          <w:pPr>
            <w:pStyle w:val="TOC4"/>
            <w:rPr>
              <w:rFonts w:eastAsiaTheme="minorEastAsia"/>
              <w:noProof/>
              <w:sz w:val="26"/>
              <w:szCs w:val="26"/>
            </w:rPr>
          </w:pPr>
          <w:hyperlink w:anchor="_Toc63764438" w:history="1">
            <w:r w:rsidR="00B7440B" w:rsidRPr="00B7440B">
              <w:rPr>
                <w:rStyle w:val="Hyperlink"/>
                <w:noProof/>
                <w:sz w:val="26"/>
                <w:szCs w:val="26"/>
              </w:rPr>
              <w:t>b.</w:t>
            </w:r>
            <w:r w:rsidR="00B7440B" w:rsidRPr="00B7440B">
              <w:rPr>
                <w:rFonts w:eastAsiaTheme="minorEastAsia"/>
                <w:noProof/>
                <w:sz w:val="26"/>
                <w:szCs w:val="26"/>
              </w:rPr>
              <w:tab/>
            </w:r>
            <w:r w:rsidR="00B7440B" w:rsidRPr="00B7440B">
              <w:rPr>
                <w:rStyle w:val="Hyperlink"/>
                <w:noProof/>
                <w:sz w:val="26"/>
                <w:szCs w:val="26"/>
              </w:rPr>
              <w:t>Employee Complement</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_Toc63764438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67</w:t>
            </w:r>
            <w:r w:rsidR="00B7440B" w:rsidRPr="00B7440B">
              <w:rPr>
                <w:noProof/>
                <w:webHidden/>
                <w:sz w:val="26"/>
                <w:szCs w:val="26"/>
              </w:rPr>
              <w:fldChar w:fldCharType="end"/>
            </w:r>
          </w:hyperlink>
        </w:p>
        <w:p w14:paraId="1EFE6AFA" w14:textId="6F498994" w:rsidR="00B7440B" w:rsidRPr="00B7440B" w:rsidRDefault="00E131BD">
          <w:pPr>
            <w:pStyle w:val="TOC3"/>
            <w:rPr>
              <w:rFonts w:eastAsiaTheme="minorEastAsia"/>
              <w:noProof/>
              <w:sz w:val="26"/>
              <w:szCs w:val="26"/>
            </w:rPr>
          </w:pPr>
          <w:hyperlink w:anchor="_Toc63764439" w:history="1">
            <w:r w:rsidR="00B7440B" w:rsidRPr="00B7440B">
              <w:rPr>
                <w:rStyle w:val="Hyperlink"/>
                <w:noProof/>
                <w:sz w:val="26"/>
                <w:szCs w:val="26"/>
              </w:rPr>
              <w:t>2.</w:t>
            </w:r>
            <w:r w:rsidR="00B7440B" w:rsidRPr="00B7440B">
              <w:rPr>
                <w:rFonts w:eastAsiaTheme="minorEastAsia"/>
                <w:noProof/>
                <w:sz w:val="26"/>
                <w:szCs w:val="26"/>
              </w:rPr>
              <w:tab/>
            </w:r>
            <w:r w:rsidR="00B7440B" w:rsidRPr="00B7440B">
              <w:rPr>
                <w:rStyle w:val="Hyperlink"/>
                <w:noProof/>
                <w:sz w:val="26"/>
                <w:szCs w:val="26"/>
              </w:rPr>
              <w:t>Recommended Decision</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_Toc63764439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68</w:t>
            </w:r>
            <w:r w:rsidR="00B7440B" w:rsidRPr="00B7440B">
              <w:rPr>
                <w:noProof/>
                <w:webHidden/>
                <w:sz w:val="26"/>
                <w:szCs w:val="26"/>
              </w:rPr>
              <w:fldChar w:fldCharType="end"/>
            </w:r>
          </w:hyperlink>
        </w:p>
        <w:p w14:paraId="215AC2A0" w14:textId="197A3706" w:rsidR="00B7440B" w:rsidRPr="00B7440B" w:rsidRDefault="00E131BD">
          <w:pPr>
            <w:pStyle w:val="TOC4"/>
            <w:rPr>
              <w:rFonts w:eastAsiaTheme="minorEastAsia"/>
              <w:noProof/>
              <w:sz w:val="26"/>
              <w:szCs w:val="26"/>
            </w:rPr>
          </w:pPr>
          <w:hyperlink w:anchor="_Toc63764440" w:history="1">
            <w:r w:rsidR="00B7440B" w:rsidRPr="00B7440B">
              <w:rPr>
                <w:rStyle w:val="Hyperlink"/>
                <w:noProof/>
                <w:sz w:val="26"/>
                <w:szCs w:val="26"/>
              </w:rPr>
              <w:t>a.</w:t>
            </w:r>
            <w:r w:rsidR="00B7440B" w:rsidRPr="00B7440B">
              <w:rPr>
                <w:rFonts w:eastAsiaTheme="minorEastAsia"/>
                <w:noProof/>
                <w:sz w:val="26"/>
                <w:szCs w:val="26"/>
              </w:rPr>
              <w:tab/>
            </w:r>
            <w:r w:rsidR="00B7440B" w:rsidRPr="00B7440B">
              <w:rPr>
                <w:rStyle w:val="Hyperlink"/>
                <w:noProof/>
                <w:sz w:val="26"/>
                <w:szCs w:val="26"/>
              </w:rPr>
              <w:t>Annualization Adjustment</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_Toc63764440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68</w:t>
            </w:r>
            <w:r w:rsidR="00B7440B" w:rsidRPr="00B7440B">
              <w:rPr>
                <w:noProof/>
                <w:webHidden/>
                <w:sz w:val="26"/>
                <w:szCs w:val="26"/>
              </w:rPr>
              <w:fldChar w:fldCharType="end"/>
            </w:r>
          </w:hyperlink>
        </w:p>
        <w:p w14:paraId="31E94ABE" w14:textId="377E7318" w:rsidR="00B7440B" w:rsidRPr="00B7440B" w:rsidRDefault="00E131BD">
          <w:pPr>
            <w:pStyle w:val="TOC4"/>
            <w:rPr>
              <w:rFonts w:eastAsiaTheme="minorEastAsia"/>
              <w:noProof/>
              <w:sz w:val="26"/>
              <w:szCs w:val="26"/>
            </w:rPr>
          </w:pPr>
          <w:hyperlink w:anchor="_Toc63764441" w:history="1">
            <w:r w:rsidR="00B7440B" w:rsidRPr="00B7440B">
              <w:rPr>
                <w:rStyle w:val="Hyperlink"/>
                <w:noProof/>
                <w:sz w:val="26"/>
                <w:szCs w:val="26"/>
              </w:rPr>
              <w:t>b.</w:t>
            </w:r>
            <w:r w:rsidR="00B7440B" w:rsidRPr="00B7440B">
              <w:rPr>
                <w:rFonts w:eastAsiaTheme="minorEastAsia"/>
                <w:noProof/>
                <w:sz w:val="26"/>
                <w:szCs w:val="26"/>
              </w:rPr>
              <w:tab/>
            </w:r>
            <w:r w:rsidR="00B7440B" w:rsidRPr="00B7440B">
              <w:rPr>
                <w:rStyle w:val="Hyperlink"/>
                <w:noProof/>
                <w:sz w:val="26"/>
                <w:szCs w:val="26"/>
              </w:rPr>
              <w:t>Employee Complement</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_Toc63764441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69</w:t>
            </w:r>
            <w:r w:rsidR="00B7440B" w:rsidRPr="00B7440B">
              <w:rPr>
                <w:noProof/>
                <w:webHidden/>
                <w:sz w:val="26"/>
                <w:szCs w:val="26"/>
              </w:rPr>
              <w:fldChar w:fldCharType="end"/>
            </w:r>
          </w:hyperlink>
        </w:p>
        <w:p w14:paraId="5DE533F6" w14:textId="6BB01CD8" w:rsidR="00B7440B" w:rsidRPr="00B7440B" w:rsidRDefault="00E131BD">
          <w:pPr>
            <w:pStyle w:val="TOC3"/>
            <w:rPr>
              <w:rFonts w:eastAsiaTheme="minorEastAsia"/>
              <w:noProof/>
              <w:sz w:val="26"/>
              <w:szCs w:val="26"/>
            </w:rPr>
          </w:pPr>
          <w:hyperlink w:anchor="_Toc63764442" w:history="1">
            <w:r w:rsidR="00B7440B" w:rsidRPr="00B7440B">
              <w:rPr>
                <w:rStyle w:val="Hyperlink"/>
                <w:noProof/>
                <w:sz w:val="26"/>
                <w:szCs w:val="26"/>
              </w:rPr>
              <w:t>3.</w:t>
            </w:r>
            <w:r w:rsidR="00B7440B" w:rsidRPr="00B7440B">
              <w:rPr>
                <w:rFonts w:eastAsiaTheme="minorEastAsia"/>
                <w:noProof/>
                <w:sz w:val="26"/>
                <w:szCs w:val="26"/>
              </w:rPr>
              <w:tab/>
            </w:r>
            <w:r w:rsidR="00B7440B" w:rsidRPr="00B7440B">
              <w:rPr>
                <w:rStyle w:val="Hyperlink"/>
                <w:noProof/>
                <w:sz w:val="26"/>
                <w:szCs w:val="26"/>
              </w:rPr>
              <w:t>Exceptions and Replies</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_Toc63764442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69</w:t>
            </w:r>
            <w:r w:rsidR="00B7440B" w:rsidRPr="00B7440B">
              <w:rPr>
                <w:noProof/>
                <w:webHidden/>
                <w:sz w:val="26"/>
                <w:szCs w:val="26"/>
              </w:rPr>
              <w:fldChar w:fldCharType="end"/>
            </w:r>
          </w:hyperlink>
        </w:p>
        <w:p w14:paraId="3D075582" w14:textId="1DD5B740" w:rsidR="00B7440B" w:rsidRPr="00B7440B" w:rsidRDefault="00E131BD">
          <w:pPr>
            <w:pStyle w:val="TOC4"/>
            <w:rPr>
              <w:rFonts w:eastAsiaTheme="minorEastAsia"/>
              <w:noProof/>
              <w:sz w:val="26"/>
              <w:szCs w:val="26"/>
            </w:rPr>
          </w:pPr>
          <w:hyperlink w:anchor="_Toc63764443" w:history="1">
            <w:r w:rsidR="00B7440B" w:rsidRPr="00B7440B">
              <w:rPr>
                <w:rStyle w:val="Hyperlink"/>
                <w:noProof/>
                <w:sz w:val="26"/>
                <w:szCs w:val="26"/>
              </w:rPr>
              <w:t>a.</w:t>
            </w:r>
            <w:r w:rsidR="00B7440B" w:rsidRPr="00B7440B">
              <w:rPr>
                <w:rFonts w:eastAsiaTheme="minorEastAsia"/>
                <w:noProof/>
                <w:sz w:val="26"/>
                <w:szCs w:val="26"/>
              </w:rPr>
              <w:tab/>
            </w:r>
            <w:r w:rsidR="00B7440B" w:rsidRPr="00B7440B">
              <w:rPr>
                <w:rStyle w:val="Hyperlink"/>
                <w:noProof/>
                <w:sz w:val="26"/>
                <w:szCs w:val="26"/>
              </w:rPr>
              <w:t>Columbia Exception No. 5 and Replies</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_Toc63764443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69</w:t>
            </w:r>
            <w:r w:rsidR="00B7440B" w:rsidRPr="00B7440B">
              <w:rPr>
                <w:noProof/>
                <w:webHidden/>
                <w:sz w:val="26"/>
                <w:szCs w:val="26"/>
              </w:rPr>
              <w:fldChar w:fldCharType="end"/>
            </w:r>
          </w:hyperlink>
        </w:p>
        <w:p w14:paraId="5D6840B4" w14:textId="0022843E" w:rsidR="00B7440B" w:rsidRPr="00B7440B" w:rsidRDefault="00E131BD">
          <w:pPr>
            <w:pStyle w:val="TOC4"/>
            <w:rPr>
              <w:rFonts w:eastAsiaTheme="minorEastAsia"/>
              <w:noProof/>
              <w:sz w:val="26"/>
              <w:szCs w:val="26"/>
            </w:rPr>
          </w:pPr>
          <w:hyperlink w:anchor="_Toc63764444" w:history="1">
            <w:r w:rsidR="00B7440B" w:rsidRPr="00B7440B">
              <w:rPr>
                <w:rStyle w:val="Hyperlink"/>
                <w:noProof/>
                <w:sz w:val="26"/>
                <w:szCs w:val="26"/>
              </w:rPr>
              <w:t>b.</w:t>
            </w:r>
            <w:r w:rsidR="00B7440B" w:rsidRPr="00B7440B">
              <w:rPr>
                <w:rFonts w:eastAsiaTheme="minorEastAsia"/>
                <w:noProof/>
                <w:sz w:val="26"/>
                <w:szCs w:val="26"/>
              </w:rPr>
              <w:tab/>
            </w:r>
            <w:r w:rsidR="00B7440B" w:rsidRPr="00B7440B">
              <w:rPr>
                <w:rStyle w:val="Hyperlink"/>
                <w:noProof/>
                <w:sz w:val="26"/>
                <w:szCs w:val="26"/>
              </w:rPr>
              <w:t>Columbia Exception No. 6 and Replies</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_Toc63764444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70</w:t>
            </w:r>
            <w:r w:rsidR="00B7440B" w:rsidRPr="00B7440B">
              <w:rPr>
                <w:noProof/>
                <w:webHidden/>
                <w:sz w:val="26"/>
                <w:szCs w:val="26"/>
              </w:rPr>
              <w:fldChar w:fldCharType="end"/>
            </w:r>
          </w:hyperlink>
        </w:p>
        <w:p w14:paraId="0387297D" w14:textId="14555B10" w:rsidR="00B7440B" w:rsidRPr="00B7440B" w:rsidRDefault="00E131BD">
          <w:pPr>
            <w:pStyle w:val="TOC3"/>
            <w:rPr>
              <w:rFonts w:eastAsiaTheme="minorEastAsia"/>
              <w:noProof/>
              <w:sz w:val="26"/>
              <w:szCs w:val="26"/>
            </w:rPr>
          </w:pPr>
          <w:hyperlink w:anchor="_Toc63764445" w:history="1">
            <w:r w:rsidR="00B7440B" w:rsidRPr="00B7440B">
              <w:rPr>
                <w:rStyle w:val="Hyperlink"/>
                <w:noProof/>
                <w:sz w:val="26"/>
                <w:szCs w:val="26"/>
              </w:rPr>
              <w:t>4.</w:t>
            </w:r>
            <w:r w:rsidR="00B7440B" w:rsidRPr="00B7440B">
              <w:rPr>
                <w:rFonts w:eastAsiaTheme="minorEastAsia"/>
                <w:noProof/>
                <w:sz w:val="26"/>
                <w:szCs w:val="26"/>
              </w:rPr>
              <w:tab/>
            </w:r>
            <w:r w:rsidR="00B7440B" w:rsidRPr="00B7440B">
              <w:rPr>
                <w:rStyle w:val="Hyperlink"/>
                <w:noProof/>
                <w:sz w:val="26"/>
                <w:szCs w:val="26"/>
              </w:rPr>
              <w:t>Disposition</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_Toc63764445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70</w:t>
            </w:r>
            <w:r w:rsidR="00B7440B" w:rsidRPr="00B7440B">
              <w:rPr>
                <w:noProof/>
                <w:webHidden/>
                <w:sz w:val="26"/>
                <w:szCs w:val="26"/>
              </w:rPr>
              <w:fldChar w:fldCharType="end"/>
            </w:r>
          </w:hyperlink>
        </w:p>
        <w:p w14:paraId="734F49B1" w14:textId="381F6A99" w:rsidR="00B7440B" w:rsidRPr="00B7440B" w:rsidRDefault="00E131BD">
          <w:pPr>
            <w:pStyle w:val="TOC2"/>
            <w:tabs>
              <w:tab w:val="left" w:pos="1440"/>
            </w:tabs>
            <w:rPr>
              <w:rFonts w:eastAsiaTheme="minorEastAsia"/>
              <w:noProof/>
              <w:sz w:val="26"/>
              <w:szCs w:val="26"/>
            </w:rPr>
          </w:pPr>
          <w:hyperlink w:anchor="_Toc63764446" w:history="1">
            <w:r w:rsidR="00B7440B" w:rsidRPr="00B7440B">
              <w:rPr>
                <w:rStyle w:val="Hyperlink"/>
                <w:noProof/>
                <w:sz w:val="26"/>
                <w:szCs w:val="26"/>
              </w:rPr>
              <w:t>B.</w:t>
            </w:r>
            <w:r w:rsidR="00B7440B" w:rsidRPr="00B7440B">
              <w:rPr>
                <w:rFonts w:eastAsiaTheme="minorEastAsia"/>
                <w:noProof/>
                <w:sz w:val="26"/>
                <w:szCs w:val="26"/>
              </w:rPr>
              <w:tab/>
            </w:r>
            <w:r w:rsidR="00B7440B" w:rsidRPr="00B7440B">
              <w:rPr>
                <w:rStyle w:val="Hyperlink"/>
                <w:noProof/>
                <w:sz w:val="26"/>
                <w:szCs w:val="26"/>
              </w:rPr>
              <w:t>Other Employee Benefits</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_Toc63764446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72</w:t>
            </w:r>
            <w:r w:rsidR="00B7440B" w:rsidRPr="00B7440B">
              <w:rPr>
                <w:noProof/>
                <w:webHidden/>
                <w:sz w:val="26"/>
                <w:szCs w:val="26"/>
              </w:rPr>
              <w:fldChar w:fldCharType="end"/>
            </w:r>
          </w:hyperlink>
        </w:p>
        <w:p w14:paraId="43CB0EBA" w14:textId="355399BF" w:rsidR="00B7440B" w:rsidRPr="00B7440B" w:rsidRDefault="00E131BD">
          <w:pPr>
            <w:pStyle w:val="TOC3"/>
            <w:rPr>
              <w:rFonts w:eastAsiaTheme="minorEastAsia"/>
              <w:noProof/>
              <w:sz w:val="26"/>
              <w:szCs w:val="26"/>
            </w:rPr>
          </w:pPr>
          <w:hyperlink w:anchor="_Toc63764447" w:history="1">
            <w:r w:rsidR="00B7440B" w:rsidRPr="00B7440B">
              <w:rPr>
                <w:rStyle w:val="Hyperlink"/>
                <w:noProof/>
                <w:sz w:val="26"/>
                <w:szCs w:val="26"/>
              </w:rPr>
              <w:t>1.</w:t>
            </w:r>
            <w:r w:rsidR="00B7440B" w:rsidRPr="00B7440B">
              <w:rPr>
                <w:rFonts w:eastAsiaTheme="minorEastAsia"/>
                <w:noProof/>
                <w:sz w:val="26"/>
                <w:szCs w:val="26"/>
              </w:rPr>
              <w:tab/>
            </w:r>
            <w:r w:rsidR="00B7440B" w:rsidRPr="00B7440B">
              <w:rPr>
                <w:rStyle w:val="Hyperlink"/>
                <w:noProof/>
                <w:sz w:val="26"/>
                <w:szCs w:val="26"/>
              </w:rPr>
              <w:t>Positions of the Parties</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_Toc63764447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72</w:t>
            </w:r>
            <w:r w:rsidR="00B7440B" w:rsidRPr="00B7440B">
              <w:rPr>
                <w:noProof/>
                <w:webHidden/>
                <w:sz w:val="26"/>
                <w:szCs w:val="26"/>
              </w:rPr>
              <w:fldChar w:fldCharType="end"/>
            </w:r>
          </w:hyperlink>
        </w:p>
        <w:p w14:paraId="6000C01F" w14:textId="55608CC1" w:rsidR="00B7440B" w:rsidRPr="00B7440B" w:rsidRDefault="00E131BD">
          <w:pPr>
            <w:pStyle w:val="TOC3"/>
            <w:rPr>
              <w:rFonts w:eastAsiaTheme="minorEastAsia"/>
              <w:noProof/>
              <w:sz w:val="26"/>
              <w:szCs w:val="26"/>
            </w:rPr>
          </w:pPr>
          <w:hyperlink w:anchor="_Toc63764448" w:history="1">
            <w:r w:rsidR="00B7440B" w:rsidRPr="00B7440B">
              <w:rPr>
                <w:rStyle w:val="Hyperlink"/>
                <w:noProof/>
                <w:sz w:val="26"/>
                <w:szCs w:val="26"/>
              </w:rPr>
              <w:t>2.</w:t>
            </w:r>
            <w:r w:rsidR="00B7440B" w:rsidRPr="00B7440B">
              <w:rPr>
                <w:rFonts w:eastAsiaTheme="minorEastAsia"/>
                <w:noProof/>
                <w:sz w:val="26"/>
                <w:szCs w:val="26"/>
              </w:rPr>
              <w:tab/>
            </w:r>
            <w:r w:rsidR="00B7440B" w:rsidRPr="00B7440B">
              <w:rPr>
                <w:rStyle w:val="Hyperlink"/>
                <w:noProof/>
                <w:sz w:val="26"/>
                <w:szCs w:val="26"/>
              </w:rPr>
              <w:t>Recommended Decision</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_Toc63764448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72</w:t>
            </w:r>
            <w:r w:rsidR="00B7440B" w:rsidRPr="00B7440B">
              <w:rPr>
                <w:noProof/>
                <w:webHidden/>
                <w:sz w:val="26"/>
                <w:szCs w:val="26"/>
              </w:rPr>
              <w:fldChar w:fldCharType="end"/>
            </w:r>
          </w:hyperlink>
        </w:p>
        <w:p w14:paraId="17D75B34" w14:textId="4E829033" w:rsidR="00B7440B" w:rsidRPr="00B7440B" w:rsidRDefault="00E131BD">
          <w:pPr>
            <w:pStyle w:val="TOC3"/>
            <w:rPr>
              <w:rFonts w:eastAsiaTheme="minorEastAsia"/>
              <w:noProof/>
              <w:sz w:val="26"/>
              <w:szCs w:val="26"/>
            </w:rPr>
          </w:pPr>
          <w:hyperlink w:anchor="_Toc63764449" w:history="1">
            <w:r w:rsidR="00B7440B" w:rsidRPr="00B7440B">
              <w:rPr>
                <w:rStyle w:val="Hyperlink"/>
                <w:noProof/>
                <w:sz w:val="26"/>
                <w:szCs w:val="26"/>
              </w:rPr>
              <w:t>3.</w:t>
            </w:r>
            <w:r w:rsidR="00B7440B" w:rsidRPr="00B7440B">
              <w:rPr>
                <w:rFonts w:eastAsiaTheme="minorEastAsia"/>
                <w:noProof/>
                <w:sz w:val="26"/>
                <w:szCs w:val="26"/>
              </w:rPr>
              <w:tab/>
            </w:r>
            <w:r w:rsidR="00B7440B" w:rsidRPr="00B7440B">
              <w:rPr>
                <w:rStyle w:val="Hyperlink"/>
                <w:noProof/>
                <w:sz w:val="26"/>
                <w:szCs w:val="26"/>
              </w:rPr>
              <w:t>Disposition</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_Toc63764449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72</w:t>
            </w:r>
            <w:r w:rsidR="00B7440B" w:rsidRPr="00B7440B">
              <w:rPr>
                <w:noProof/>
                <w:webHidden/>
                <w:sz w:val="26"/>
                <w:szCs w:val="26"/>
              </w:rPr>
              <w:fldChar w:fldCharType="end"/>
            </w:r>
          </w:hyperlink>
        </w:p>
        <w:p w14:paraId="3BD2899F" w14:textId="18C350BA" w:rsidR="00B7440B" w:rsidRPr="00B7440B" w:rsidRDefault="00E131BD">
          <w:pPr>
            <w:pStyle w:val="TOC2"/>
            <w:tabs>
              <w:tab w:val="left" w:pos="1440"/>
            </w:tabs>
            <w:rPr>
              <w:rFonts w:eastAsiaTheme="minorEastAsia"/>
              <w:noProof/>
              <w:sz w:val="26"/>
              <w:szCs w:val="26"/>
            </w:rPr>
          </w:pPr>
          <w:hyperlink w:anchor="_Toc63764450" w:history="1">
            <w:r w:rsidR="00B7440B" w:rsidRPr="00B7440B">
              <w:rPr>
                <w:rStyle w:val="Hyperlink"/>
                <w:noProof/>
                <w:sz w:val="26"/>
                <w:szCs w:val="26"/>
              </w:rPr>
              <w:t>C.</w:t>
            </w:r>
            <w:r w:rsidR="00B7440B" w:rsidRPr="00B7440B">
              <w:rPr>
                <w:rFonts w:eastAsiaTheme="minorEastAsia"/>
                <w:noProof/>
                <w:sz w:val="26"/>
                <w:szCs w:val="26"/>
              </w:rPr>
              <w:tab/>
            </w:r>
            <w:r w:rsidR="00B7440B" w:rsidRPr="00B7440B">
              <w:rPr>
                <w:rStyle w:val="Hyperlink"/>
                <w:noProof/>
                <w:sz w:val="26"/>
                <w:szCs w:val="26"/>
              </w:rPr>
              <w:t>Incentive Compensation and Stock Rewards</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_Toc63764450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73</w:t>
            </w:r>
            <w:r w:rsidR="00B7440B" w:rsidRPr="00B7440B">
              <w:rPr>
                <w:noProof/>
                <w:webHidden/>
                <w:sz w:val="26"/>
                <w:szCs w:val="26"/>
              </w:rPr>
              <w:fldChar w:fldCharType="end"/>
            </w:r>
          </w:hyperlink>
        </w:p>
        <w:p w14:paraId="16F6674A" w14:textId="09AAA2D4" w:rsidR="00B7440B" w:rsidRPr="00B7440B" w:rsidRDefault="00E131BD">
          <w:pPr>
            <w:pStyle w:val="TOC3"/>
            <w:rPr>
              <w:rFonts w:eastAsiaTheme="minorEastAsia"/>
              <w:noProof/>
              <w:sz w:val="26"/>
              <w:szCs w:val="26"/>
            </w:rPr>
          </w:pPr>
          <w:hyperlink w:anchor="_Toc63764451" w:history="1">
            <w:r w:rsidR="00B7440B" w:rsidRPr="00B7440B">
              <w:rPr>
                <w:rStyle w:val="Hyperlink"/>
                <w:noProof/>
                <w:sz w:val="26"/>
                <w:szCs w:val="26"/>
              </w:rPr>
              <w:t>1.</w:t>
            </w:r>
            <w:r w:rsidR="00B7440B" w:rsidRPr="00B7440B">
              <w:rPr>
                <w:rFonts w:eastAsiaTheme="minorEastAsia"/>
                <w:noProof/>
                <w:sz w:val="26"/>
                <w:szCs w:val="26"/>
              </w:rPr>
              <w:tab/>
            </w:r>
            <w:r w:rsidR="00B7440B" w:rsidRPr="00B7440B">
              <w:rPr>
                <w:rStyle w:val="Hyperlink"/>
                <w:noProof/>
                <w:sz w:val="26"/>
                <w:szCs w:val="26"/>
              </w:rPr>
              <w:t>Positions of the Parties</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_Toc63764451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73</w:t>
            </w:r>
            <w:r w:rsidR="00B7440B" w:rsidRPr="00B7440B">
              <w:rPr>
                <w:noProof/>
                <w:webHidden/>
                <w:sz w:val="26"/>
                <w:szCs w:val="26"/>
              </w:rPr>
              <w:fldChar w:fldCharType="end"/>
            </w:r>
          </w:hyperlink>
        </w:p>
        <w:p w14:paraId="05E54326" w14:textId="028C0E81" w:rsidR="00B7440B" w:rsidRPr="00B7440B" w:rsidRDefault="00E131BD">
          <w:pPr>
            <w:pStyle w:val="TOC4"/>
            <w:rPr>
              <w:rFonts w:eastAsiaTheme="minorEastAsia"/>
              <w:noProof/>
              <w:sz w:val="26"/>
              <w:szCs w:val="26"/>
            </w:rPr>
          </w:pPr>
          <w:hyperlink w:anchor="_Toc63764452" w:history="1">
            <w:r w:rsidR="00B7440B" w:rsidRPr="00B7440B">
              <w:rPr>
                <w:rStyle w:val="Hyperlink"/>
                <w:noProof/>
                <w:sz w:val="26"/>
                <w:szCs w:val="26"/>
              </w:rPr>
              <w:t>a.</w:t>
            </w:r>
            <w:r w:rsidR="00B7440B" w:rsidRPr="00B7440B">
              <w:rPr>
                <w:rFonts w:eastAsiaTheme="minorEastAsia"/>
                <w:noProof/>
                <w:sz w:val="26"/>
                <w:szCs w:val="26"/>
              </w:rPr>
              <w:tab/>
            </w:r>
            <w:r w:rsidR="00B7440B" w:rsidRPr="00B7440B">
              <w:rPr>
                <w:rStyle w:val="Hyperlink"/>
                <w:noProof/>
                <w:sz w:val="26"/>
                <w:szCs w:val="26"/>
              </w:rPr>
              <w:t>Incentive Compensation</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_Toc63764452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73</w:t>
            </w:r>
            <w:r w:rsidR="00B7440B" w:rsidRPr="00B7440B">
              <w:rPr>
                <w:noProof/>
                <w:webHidden/>
                <w:sz w:val="26"/>
                <w:szCs w:val="26"/>
              </w:rPr>
              <w:fldChar w:fldCharType="end"/>
            </w:r>
          </w:hyperlink>
        </w:p>
        <w:p w14:paraId="474DC44C" w14:textId="7EE34501" w:rsidR="00B7440B" w:rsidRPr="00B7440B" w:rsidRDefault="00E131BD">
          <w:pPr>
            <w:pStyle w:val="TOC4"/>
            <w:rPr>
              <w:rFonts w:eastAsiaTheme="minorEastAsia"/>
              <w:noProof/>
              <w:sz w:val="26"/>
              <w:szCs w:val="26"/>
            </w:rPr>
          </w:pPr>
          <w:hyperlink w:anchor="_Toc63764453" w:history="1">
            <w:r w:rsidR="00B7440B" w:rsidRPr="00B7440B">
              <w:rPr>
                <w:rStyle w:val="Hyperlink"/>
                <w:noProof/>
                <w:sz w:val="26"/>
                <w:szCs w:val="26"/>
              </w:rPr>
              <w:t>b.</w:t>
            </w:r>
            <w:r w:rsidR="00B7440B" w:rsidRPr="00B7440B">
              <w:rPr>
                <w:rFonts w:eastAsiaTheme="minorEastAsia"/>
                <w:noProof/>
                <w:sz w:val="26"/>
                <w:szCs w:val="26"/>
              </w:rPr>
              <w:tab/>
            </w:r>
            <w:r w:rsidR="00B7440B" w:rsidRPr="00B7440B">
              <w:rPr>
                <w:rStyle w:val="Hyperlink"/>
                <w:noProof/>
                <w:sz w:val="26"/>
                <w:szCs w:val="26"/>
              </w:rPr>
              <w:t>Stock Rewards</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_Toc63764453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73</w:t>
            </w:r>
            <w:r w:rsidR="00B7440B" w:rsidRPr="00B7440B">
              <w:rPr>
                <w:noProof/>
                <w:webHidden/>
                <w:sz w:val="26"/>
                <w:szCs w:val="26"/>
              </w:rPr>
              <w:fldChar w:fldCharType="end"/>
            </w:r>
          </w:hyperlink>
        </w:p>
        <w:p w14:paraId="0D7079FE" w14:textId="6EBA841F" w:rsidR="00B7440B" w:rsidRPr="00B7440B" w:rsidRDefault="00E131BD">
          <w:pPr>
            <w:pStyle w:val="TOC3"/>
            <w:rPr>
              <w:rFonts w:eastAsiaTheme="minorEastAsia"/>
              <w:noProof/>
              <w:sz w:val="26"/>
              <w:szCs w:val="26"/>
            </w:rPr>
          </w:pPr>
          <w:hyperlink w:anchor="_Toc63764454" w:history="1">
            <w:r w:rsidR="00B7440B" w:rsidRPr="00B7440B">
              <w:rPr>
                <w:rStyle w:val="Hyperlink"/>
                <w:noProof/>
                <w:sz w:val="26"/>
                <w:szCs w:val="26"/>
              </w:rPr>
              <w:t>2.</w:t>
            </w:r>
            <w:r w:rsidR="00B7440B" w:rsidRPr="00B7440B">
              <w:rPr>
                <w:rFonts w:eastAsiaTheme="minorEastAsia"/>
                <w:noProof/>
                <w:sz w:val="26"/>
                <w:szCs w:val="26"/>
              </w:rPr>
              <w:tab/>
            </w:r>
            <w:r w:rsidR="00B7440B" w:rsidRPr="00B7440B">
              <w:rPr>
                <w:rStyle w:val="Hyperlink"/>
                <w:noProof/>
                <w:sz w:val="26"/>
                <w:szCs w:val="26"/>
              </w:rPr>
              <w:t>Recommended Decision</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_Toc63764454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74</w:t>
            </w:r>
            <w:r w:rsidR="00B7440B" w:rsidRPr="00B7440B">
              <w:rPr>
                <w:noProof/>
                <w:webHidden/>
                <w:sz w:val="26"/>
                <w:szCs w:val="26"/>
              </w:rPr>
              <w:fldChar w:fldCharType="end"/>
            </w:r>
          </w:hyperlink>
        </w:p>
        <w:p w14:paraId="2F04CBB5" w14:textId="0E396F75" w:rsidR="00B7440B" w:rsidRPr="00B7440B" w:rsidRDefault="00E131BD">
          <w:pPr>
            <w:pStyle w:val="TOC4"/>
            <w:rPr>
              <w:rFonts w:eastAsiaTheme="minorEastAsia"/>
              <w:noProof/>
              <w:sz w:val="26"/>
              <w:szCs w:val="26"/>
            </w:rPr>
          </w:pPr>
          <w:hyperlink w:anchor="_Toc63764455" w:history="1">
            <w:r w:rsidR="00B7440B" w:rsidRPr="00B7440B">
              <w:rPr>
                <w:rStyle w:val="Hyperlink"/>
                <w:noProof/>
                <w:sz w:val="26"/>
                <w:szCs w:val="26"/>
              </w:rPr>
              <w:t>a.</w:t>
            </w:r>
            <w:r w:rsidR="00B7440B" w:rsidRPr="00B7440B">
              <w:rPr>
                <w:rFonts w:eastAsiaTheme="minorEastAsia"/>
                <w:noProof/>
                <w:sz w:val="26"/>
                <w:szCs w:val="26"/>
              </w:rPr>
              <w:tab/>
            </w:r>
            <w:r w:rsidR="00B7440B" w:rsidRPr="00B7440B">
              <w:rPr>
                <w:rStyle w:val="Hyperlink"/>
                <w:noProof/>
                <w:sz w:val="26"/>
                <w:szCs w:val="26"/>
              </w:rPr>
              <w:t>Incentive Compensation</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_Toc63764455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74</w:t>
            </w:r>
            <w:r w:rsidR="00B7440B" w:rsidRPr="00B7440B">
              <w:rPr>
                <w:noProof/>
                <w:webHidden/>
                <w:sz w:val="26"/>
                <w:szCs w:val="26"/>
              </w:rPr>
              <w:fldChar w:fldCharType="end"/>
            </w:r>
          </w:hyperlink>
        </w:p>
        <w:p w14:paraId="6607AEB3" w14:textId="463A590E" w:rsidR="00B7440B" w:rsidRPr="00B7440B" w:rsidRDefault="00E131BD">
          <w:pPr>
            <w:pStyle w:val="TOC4"/>
            <w:rPr>
              <w:rFonts w:eastAsiaTheme="minorEastAsia"/>
              <w:noProof/>
              <w:sz w:val="26"/>
              <w:szCs w:val="26"/>
            </w:rPr>
          </w:pPr>
          <w:hyperlink w:anchor="_Toc63764456" w:history="1">
            <w:r w:rsidR="00B7440B" w:rsidRPr="00B7440B">
              <w:rPr>
                <w:rStyle w:val="Hyperlink"/>
                <w:noProof/>
                <w:sz w:val="26"/>
                <w:szCs w:val="26"/>
              </w:rPr>
              <w:t>b.</w:t>
            </w:r>
            <w:r w:rsidR="00B7440B" w:rsidRPr="00B7440B">
              <w:rPr>
                <w:rFonts w:eastAsiaTheme="minorEastAsia"/>
                <w:noProof/>
                <w:sz w:val="26"/>
                <w:szCs w:val="26"/>
              </w:rPr>
              <w:tab/>
            </w:r>
            <w:r w:rsidR="00B7440B" w:rsidRPr="00B7440B">
              <w:rPr>
                <w:rStyle w:val="Hyperlink"/>
                <w:noProof/>
                <w:sz w:val="26"/>
                <w:szCs w:val="26"/>
              </w:rPr>
              <w:t>Stock Rewards</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_Toc63764456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74</w:t>
            </w:r>
            <w:r w:rsidR="00B7440B" w:rsidRPr="00B7440B">
              <w:rPr>
                <w:noProof/>
                <w:webHidden/>
                <w:sz w:val="26"/>
                <w:szCs w:val="26"/>
              </w:rPr>
              <w:fldChar w:fldCharType="end"/>
            </w:r>
          </w:hyperlink>
        </w:p>
        <w:p w14:paraId="4FC601F6" w14:textId="10A0AC60" w:rsidR="00B7440B" w:rsidRPr="00B7440B" w:rsidRDefault="00E131BD">
          <w:pPr>
            <w:pStyle w:val="TOC3"/>
            <w:rPr>
              <w:rFonts w:eastAsiaTheme="minorEastAsia"/>
              <w:noProof/>
              <w:sz w:val="26"/>
              <w:szCs w:val="26"/>
            </w:rPr>
          </w:pPr>
          <w:hyperlink w:anchor="_Toc63764457" w:history="1">
            <w:r w:rsidR="00B7440B" w:rsidRPr="00B7440B">
              <w:rPr>
                <w:rStyle w:val="Hyperlink"/>
                <w:noProof/>
                <w:sz w:val="26"/>
                <w:szCs w:val="26"/>
              </w:rPr>
              <w:t>3.</w:t>
            </w:r>
            <w:r w:rsidR="00B7440B" w:rsidRPr="00B7440B">
              <w:rPr>
                <w:rFonts w:eastAsiaTheme="minorEastAsia"/>
                <w:noProof/>
                <w:sz w:val="26"/>
                <w:szCs w:val="26"/>
              </w:rPr>
              <w:tab/>
            </w:r>
            <w:r w:rsidR="00B7440B" w:rsidRPr="00B7440B">
              <w:rPr>
                <w:rStyle w:val="Hyperlink"/>
                <w:noProof/>
                <w:sz w:val="26"/>
                <w:szCs w:val="26"/>
              </w:rPr>
              <w:t>Disposition</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_Toc63764457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75</w:t>
            </w:r>
            <w:r w:rsidR="00B7440B" w:rsidRPr="00B7440B">
              <w:rPr>
                <w:noProof/>
                <w:webHidden/>
                <w:sz w:val="26"/>
                <w:szCs w:val="26"/>
              </w:rPr>
              <w:fldChar w:fldCharType="end"/>
            </w:r>
          </w:hyperlink>
        </w:p>
        <w:p w14:paraId="7A461AA6" w14:textId="4F5EBDC2" w:rsidR="00B7440B" w:rsidRPr="00B7440B" w:rsidRDefault="00E131BD">
          <w:pPr>
            <w:pStyle w:val="TOC2"/>
            <w:tabs>
              <w:tab w:val="left" w:pos="1440"/>
            </w:tabs>
            <w:rPr>
              <w:rFonts w:eastAsiaTheme="minorEastAsia"/>
              <w:noProof/>
              <w:sz w:val="26"/>
              <w:szCs w:val="26"/>
            </w:rPr>
          </w:pPr>
          <w:hyperlink w:anchor="_Toc63764458" w:history="1">
            <w:r w:rsidR="00B7440B" w:rsidRPr="00B7440B">
              <w:rPr>
                <w:rStyle w:val="Hyperlink"/>
                <w:noProof/>
                <w:sz w:val="26"/>
                <w:szCs w:val="26"/>
              </w:rPr>
              <w:t>D.</w:t>
            </w:r>
            <w:r w:rsidR="00B7440B" w:rsidRPr="00B7440B">
              <w:rPr>
                <w:rFonts w:eastAsiaTheme="minorEastAsia"/>
                <w:noProof/>
                <w:sz w:val="26"/>
                <w:szCs w:val="26"/>
              </w:rPr>
              <w:tab/>
            </w:r>
            <w:r w:rsidR="00B7440B" w:rsidRPr="00B7440B">
              <w:rPr>
                <w:rStyle w:val="Hyperlink"/>
                <w:noProof/>
                <w:sz w:val="26"/>
                <w:szCs w:val="26"/>
              </w:rPr>
              <w:t>PUC, the OCA, and the OSBA Fees</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_Toc63764458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76</w:t>
            </w:r>
            <w:r w:rsidR="00B7440B" w:rsidRPr="00B7440B">
              <w:rPr>
                <w:noProof/>
                <w:webHidden/>
                <w:sz w:val="26"/>
                <w:szCs w:val="26"/>
              </w:rPr>
              <w:fldChar w:fldCharType="end"/>
            </w:r>
          </w:hyperlink>
        </w:p>
        <w:p w14:paraId="6E793BCD" w14:textId="42D87147" w:rsidR="00B7440B" w:rsidRPr="00B7440B" w:rsidRDefault="00E131BD">
          <w:pPr>
            <w:pStyle w:val="TOC3"/>
            <w:rPr>
              <w:rFonts w:eastAsiaTheme="minorEastAsia"/>
              <w:noProof/>
              <w:sz w:val="26"/>
              <w:szCs w:val="26"/>
            </w:rPr>
          </w:pPr>
          <w:hyperlink w:anchor="_Toc63764459" w:history="1">
            <w:r w:rsidR="00B7440B" w:rsidRPr="00B7440B">
              <w:rPr>
                <w:rStyle w:val="Hyperlink"/>
                <w:noProof/>
                <w:sz w:val="26"/>
                <w:szCs w:val="26"/>
              </w:rPr>
              <w:t>1.</w:t>
            </w:r>
            <w:r w:rsidR="00B7440B" w:rsidRPr="00B7440B">
              <w:rPr>
                <w:rFonts w:eastAsiaTheme="minorEastAsia"/>
                <w:noProof/>
                <w:sz w:val="26"/>
                <w:szCs w:val="26"/>
              </w:rPr>
              <w:tab/>
            </w:r>
            <w:r w:rsidR="00B7440B" w:rsidRPr="00B7440B">
              <w:rPr>
                <w:rStyle w:val="Hyperlink"/>
                <w:noProof/>
                <w:sz w:val="26"/>
                <w:szCs w:val="26"/>
              </w:rPr>
              <w:t>Positions of the Parties</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_Toc63764459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76</w:t>
            </w:r>
            <w:r w:rsidR="00B7440B" w:rsidRPr="00B7440B">
              <w:rPr>
                <w:noProof/>
                <w:webHidden/>
                <w:sz w:val="26"/>
                <w:szCs w:val="26"/>
              </w:rPr>
              <w:fldChar w:fldCharType="end"/>
            </w:r>
          </w:hyperlink>
        </w:p>
        <w:p w14:paraId="3BF81E16" w14:textId="0782D624" w:rsidR="00B7440B" w:rsidRPr="00B7440B" w:rsidRDefault="00E131BD">
          <w:pPr>
            <w:pStyle w:val="TOC3"/>
            <w:rPr>
              <w:rFonts w:eastAsiaTheme="minorEastAsia"/>
              <w:noProof/>
              <w:sz w:val="26"/>
              <w:szCs w:val="26"/>
            </w:rPr>
          </w:pPr>
          <w:hyperlink w:anchor="_Toc63764460" w:history="1">
            <w:r w:rsidR="00B7440B" w:rsidRPr="00B7440B">
              <w:rPr>
                <w:rStyle w:val="Hyperlink"/>
                <w:noProof/>
                <w:sz w:val="26"/>
                <w:szCs w:val="26"/>
              </w:rPr>
              <w:t>2.</w:t>
            </w:r>
            <w:r w:rsidR="00B7440B" w:rsidRPr="00B7440B">
              <w:rPr>
                <w:rFonts w:eastAsiaTheme="minorEastAsia"/>
                <w:noProof/>
                <w:sz w:val="26"/>
                <w:szCs w:val="26"/>
              </w:rPr>
              <w:tab/>
            </w:r>
            <w:r w:rsidR="00B7440B" w:rsidRPr="00B7440B">
              <w:rPr>
                <w:rStyle w:val="Hyperlink"/>
                <w:noProof/>
                <w:sz w:val="26"/>
                <w:szCs w:val="26"/>
              </w:rPr>
              <w:t>Recommended Decision</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_Toc63764460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76</w:t>
            </w:r>
            <w:r w:rsidR="00B7440B" w:rsidRPr="00B7440B">
              <w:rPr>
                <w:noProof/>
                <w:webHidden/>
                <w:sz w:val="26"/>
                <w:szCs w:val="26"/>
              </w:rPr>
              <w:fldChar w:fldCharType="end"/>
            </w:r>
          </w:hyperlink>
        </w:p>
        <w:p w14:paraId="38A6FA26" w14:textId="31F021A3" w:rsidR="00B7440B" w:rsidRPr="00B7440B" w:rsidRDefault="00E131BD">
          <w:pPr>
            <w:pStyle w:val="TOC3"/>
            <w:rPr>
              <w:rFonts w:eastAsiaTheme="minorEastAsia"/>
              <w:noProof/>
              <w:sz w:val="26"/>
              <w:szCs w:val="26"/>
            </w:rPr>
          </w:pPr>
          <w:hyperlink w:anchor="_Toc63764461" w:history="1">
            <w:r w:rsidR="00B7440B" w:rsidRPr="00B7440B">
              <w:rPr>
                <w:rStyle w:val="Hyperlink"/>
                <w:noProof/>
                <w:sz w:val="26"/>
                <w:szCs w:val="26"/>
              </w:rPr>
              <w:t>3.</w:t>
            </w:r>
            <w:r w:rsidR="00B7440B" w:rsidRPr="00B7440B">
              <w:rPr>
                <w:rFonts w:eastAsiaTheme="minorEastAsia"/>
                <w:noProof/>
                <w:sz w:val="26"/>
                <w:szCs w:val="26"/>
              </w:rPr>
              <w:tab/>
            </w:r>
            <w:r w:rsidR="00B7440B" w:rsidRPr="00B7440B">
              <w:rPr>
                <w:rStyle w:val="Hyperlink"/>
                <w:noProof/>
                <w:sz w:val="26"/>
                <w:szCs w:val="26"/>
              </w:rPr>
              <w:t>Columbia Exception No. 7 and Replies</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_Toc63764461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76</w:t>
            </w:r>
            <w:r w:rsidR="00B7440B" w:rsidRPr="00B7440B">
              <w:rPr>
                <w:noProof/>
                <w:webHidden/>
                <w:sz w:val="26"/>
                <w:szCs w:val="26"/>
              </w:rPr>
              <w:fldChar w:fldCharType="end"/>
            </w:r>
          </w:hyperlink>
        </w:p>
        <w:p w14:paraId="78D75A92" w14:textId="726DDB26" w:rsidR="00B7440B" w:rsidRPr="00B7440B" w:rsidRDefault="00E131BD">
          <w:pPr>
            <w:pStyle w:val="TOC3"/>
            <w:rPr>
              <w:rFonts w:eastAsiaTheme="minorEastAsia"/>
              <w:noProof/>
              <w:sz w:val="26"/>
              <w:szCs w:val="26"/>
            </w:rPr>
          </w:pPr>
          <w:hyperlink w:anchor="_Toc63764462" w:history="1">
            <w:r w:rsidR="00B7440B" w:rsidRPr="00B7440B">
              <w:rPr>
                <w:rStyle w:val="Hyperlink"/>
                <w:noProof/>
                <w:sz w:val="26"/>
                <w:szCs w:val="26"/>
              </w:rPr>
              <w:t>4.</w:t>
            </w:r>
            <w:r w:rsidR="00B7440B" w:rsidRPr="00B7440B">
              <w:rPr>
                <w:rFonts w:eastAsiaTheme="minorEastAsia"/>
                <w:noProof/>
                <w:sz w:val="26"/>
                <w:szCs w:val="26"/>
              </w:rPr>
              <w:tab/>
            </w:r>
            <w:r w:rsidR="00B7440B" w:rsidRPr="00B7440B">
              <w:rPr>
                <w:rStyle w:val="Hyperlink"/>
                <w:noProof/>
                <w:sz w:val="26"/>
                <w:szCs w:val="26"/>
              </w:rPr>
              <w:t>Disposition</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_Toc63764462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77</w:t>
            </w:r>
            <w:r w:rsidR="00B7440B" w:rsidRPr="00B7440B">
              <w:rPr>
                <w:noProof/>
                <w:webHidden/>
                <w:sz w:val="26"/>
                <w:szCs w:val="26"/>
              </w:rPr>
              <w:fldChar w:fldCharType="end"/>
            </w:r>
          </w:hyperlink>
        </w:p>
        <w:p w14:paraId="78BA79EA" w14:textId="0FFF9A9E" w:rsidR="00B7440B" w:rsidRPr="00B7440B" w:rsidRDefault="00E131BD">
          <w:pPr>
            <w:pStyle w:val="TOC2"/>
            <w:tabs>
              <w:tab w:val="left" w:pos="1440"/>
            </w:tabs>
            <w:rPr>
              <w:rFonts w:eastAsiaTheme="minorEastAsia"/>
              <w:noProof/>
              <w:sz w:val="26"/>
              <w:szCs w:val="26"/>
            </w:rPr>
          </w:pPr>
          <w:hyperlink w:anchor="_Toc63764463" w:history="1">
            <w:r w:rsidR="00B7440B" w:rsidRPr="00B7440B">
              <w:rPr>
                <w:rStyle w:val="Hyperlink"/>
                <w:noProof/>
                <w:sz w:val="26"/>
                <w:szCs w:val="26"/>
              </w:rPr>
              <w:t>E.</w:t>
            </w:r>
            <w:r w:rsidR="00B7440B" w:rsidRPr="00B7440B">
              <w:rPr>
                <w:rFonts w:eastAsiaTheme="minorEastAsia"/>
                <w:noProof/>
                <w:sz w:val="26"/>
                <w:szCs w:val="26"/>
              </w:rPr>
              <w:tab/>
            </w:r>
            <w:r w:rsidR="00B7440B" w:rsidRPr="00B7440B">
              <w:rPr>
                <w:rStyle w:val="Hyperlink"/>
                <w:noProof/>
                <w:sz w:val="26"/>
                <w:szCs w:val="26"/>
              </w:rPr>
              <w:t>Rate Case Expense</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_Toc63764463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77</w:t>
            </w:r>
            <w:r w:rsidR="00B7440B" w:rsidRPr="00B7440B">
              <w:rPr>
                <w:noProof/>
                <w:webHidden/>
                <w:sz w:val="26"/>
                <w:szCs w:val="26"/>
              </w:rPr>
              <w:fldChar w:fldCharType="end"/>
            </w:r>
          </w:hyperlink>
        </w:p>
        <w:p w14:paraId="24E3EEFC" w14:textId="5F44585B" w:rsidR="00B7440B" w:rsidRPr="00B7440B" w:rsidRDefault="00E131BD">
          <w:pPr>
            <w:pStyle w:val="TOC3"/>
            <w:rPr>
              <w:rFonts w:eastAsiaTheme="minorEastAsia"/>
              <w:noProof/>
              <w:sz w:val="26"/>
              <w:szCs w:val="26"/>
            </w:rPr>
          </w:pPr>
          <w:hyperlink w:anchor="_Toc63764464" w:history="1">
            <w:r w:rsidR="00B7440B" w:rsidRPr="00B7440B">
              <w:rPr>
                <w:rStyle w:val="Hyperlink"/>
                <w:noProof/>
                <w:sz w:val="26"/>
                <w:szCs w:val="26"/>
              </w:rPr>
              <w:t>1.</w:t>
            </w:r>
            <w:r w:rsidR="00B7440B" w:rsidRPr="00B7440B">
              <w:rPr>
                <w:rFonts w:eastAsiaTheme="minorEastAsia"/>
                <w:noProof/>
                <w:sz w:val="26"/>
                <w:szCs w:val="26"/>
              </w:rPr>
              <w:tab/>
            </w:r>
            <w:r w:rsidR="00B7440B" w:rsidRPr="00B7440B">
              <w:rPr>
                <w:rStyle w:val="Hyperlink"/>
                <w:noProof/>
                <w:sz w:val="26"/>
                <w:szCs w:val="26"/>
              </w:rPr>
              <w:t>Positions of the Parties</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_Toc63764464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77</w:t>
            </w:r>
            <w:r w:rsidR="00B7440B" w:rsidRPr="00B7440B">
              <w:rPr>
                <w:noProof/>
                <w:webHidden/>
                <w:sz w:val="26"/>
                <w:szCs w:val="26"/>
              </w:rPr>
              <w:fldChar w:fldCharType="end"/>
            </w:r>
          </w:hyperlink>
        </w:p>
        <w:p w14:paraId="5753FF74" w14:textId="57558E77" w:rsidR="00B7440B" w:rsidRPr="00B7440B" w:rsidRDefault="00E131BD">
          <w:pPr>
            <w:pStyle w:val="TOC3"/>
            <w:rPr>
              <w:rFonts w:eastAsiaTheme="minorEastAsia"/>
              <w:noProof/>
              <w:sz w:val="26"/>
              <w:szCs w:val="26"/>
            </w:rPr>
          </w:pPr>
          <w:hyperlink w:anchor="_Toc63764465" w:history="1">
            <w:r w:rsidR="00B7440B" w:rsidRPr="00B7440B">
              <w:rPr>
                <w:rStyle w:val="Hyperlink"/>
                <w:noProof/>
                <w:sz w:val="26"/>
                <w:szCs w:val="26"/>
              </w:rPr>
              <w:t>2.</w:t>
            </w:r>
            <w:r w:rsidR="00B7440B" w:rsidRPr="00B7440B">
              <w:rPr>
                <w:rFonts w:eastAsiaTheme="minorEastAsia"/>
                <w:noProof/>
                <w:sz w:val="26"/>
                <w:szCs w:val="26"/>
              </w:rPr>
              <w:tab/>
            </w:r>
            <w:r w:rsidR="00B7440B" w:rsidRPr="00B7440B">
              <w:rPr>
                <w:rStyle w:val="Hyperlink"/>
                <w:noProof/>
                <w:sz w:val="26"/>
                <w:szCs w:val="26"/>
              </w:rPr>
              <w:t>Recommended Decision</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_Toc63764465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78</w:t>
            </w:r>
            <w:r w:rsidR="00B7440B" w:rsidRPr="00B7440B">
              <w:rPr>
                <w:noProof/>
                <w:webHidden/>
                <w:sz w:val="26"/>
                <w:szCs w:val="26"/>
              </w:rPr>
              <w:fldChar w:fldCharType="end"/>
            </w:r>
          </w:hyperlink>
        </w:p>
        <w:p w14:paraId="4C7BF109" w14:textId="0CCD43F9" w:rsidR="00B7440B" w:rsidRPr="00B7440B" w:rsidRDefault="00E131BD">
          <w:pPr>
            <w:pStyle w:val="TOC3"/>
            <w:rPr>
              <w:rFonts w:eastAsiaTheme="minorEastAsia"/>
              <w:noProof/>
              <w:sz w:val="26"/>
              <w:szCs w:val="26"/>
            </w:rPr>
          </w:pPr>
          <w:hyperlink w:anchor="_Toc63764466" w:history="1">
            <w:r w:rsidR="00B7440B" w:rsidRPr="00B7440B">
              <w:rPr>
                <w:rStyle w:val="Hyperlink"/>
                <w:noProof/>
                <w:sz w:val="26"/>
                <w:szCs w:val="26"/>
              </w:rPr>
              <w:t>3.</w:t>
            </w:r>
            <w:r w:rsidR="00B7440B" w:rsidRPr="00B7440B">
              <w:rPr>
                <w:rFonts w:eastAsiaTheme="minorEastAsia"/>
                <w:noProof/>
                <w:sz w:val="26"/>
                <w:szCs w:val="26"/>
              </w:rPr>
              <w:tab/>
            </w:r>
            <w:r w:rsidR="00B7440B" w:rsidRPr="00B7440B">
              <w:rPr>
                <w:rStyle w:val="Hyperlink"/>
                <w:noProof/>
                <w:sz w:val="26"/>
                <w:szCs w:val="26"/>
              </w:rPr>
              <w:t>Disposition</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_Toc63764466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78</w:t>
            </w:r>
            <w:r w:rsidR="00B7440B" w:rsidRPr="00B7440B">
              <w:rPr>
                <w:noProof/>
                <w:webHidden/>
                <w:sz w:val="26"/>
                <w:szCs w:val="26"/>
              </w:rPr>
              <w:fldChar w:fldCharType="end"/>
            </w:r>
          </w:hyperlink>
        </w:p>
        <w:p w14:paraId="49DAD5B0" w14:textId="3F56B242" w:rsidR="00B7440B" w:rsidRPr="00B7440B" w:rsidRDefault="00E131BD">
          <w:pPr>
            <w:pStyle w:val="TOC2"/>
            <w:tabs>
              <w:tab w:val="left" w:pos="1440"/>
            </w:tabs>
            <w:rPr>
              <w:rFonts w:eastAsiaTheme="minorEastAsia"/>
              <w:noProof/>
              <w:sz w:val="26"/>
              <w:szCs w:val="26"/>
            </w:rPr>
          </w:pPr>
          <w:hyperlink w:anchor="_Toc63764467" w:history="1">
            <w:r w:rsidR="00B7440B" w:rsidRPr="00B7440B">
              <w:rPr>
                <w:rStyle w:val="Hyperlink"/>
                <w:noProof/>
                <w:sz w:val="26"/>
                <w:szCs w:val="26"/>
              </w:rPr>
              <w:t>F.</w:t>
            </w:r>
            <w:r w:rsidR="00B7440B" w:rsidRPr="00B7440B">
              <w:rPr>
                <w:rFonts w:eastAsiaTheme="minorEastAsia"/>
                <w:noProof/>
                <w:sz w:val="26"/>
                <w:szCs w:val="26"/>
              </w:rPr>
              <w:tab/>
            </w:r>
            <w:r w:rsidR="00B7440B" w:rsidRPr="00B7440B">
              <w:rPr>
                <w:rStyle w:val="Hyperlink"/>
                <w:noProof/>
                <w:sz w:val="26"/>
                <w:szCs w:val="26"/>
              </w:rPr>
              <w:t>Outside Services</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_Toc63764467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79</w:t>
            </w:r>
            <w:r w:rsidR="00B7440B" w:rsidRPr="00B7440B">
              <w:rPr>
                <w:noProof/>
                <w:webHidden/>
                <w:sz w:val="26"/>
                <w:szCs w:val="26"/>
              </w:rPr>
              <w:fldChar w:fldCharType="end"/>
            </w:r>
          </w:hyperlink>
        </w:p>
        <w:p w14:paraId="6B449E98" w14:textId="5A7133DF" w:rsidR="00B7440B" w:rsidRPr="00B7440B" w:rsidRDefault="00E131BD">
          <w:pPr>
            <w:pStyle w:val="TOC3"/>
            <w:rPr>
              <w:rFonts w:eastAsiaTheme="minorEastAsia"/>
              <w:noProof/>
              <w:sz w:val="26"/>
              <w:szCs w:val="26"/>
            </w:rPr>
          </w:pPr>
          <w:hyperlink w:anchor="_Toc63764468" w:history="1">
            <w:r w:rsidR="00B7440B" w:rsidRPr="00B7440B">
              <w:rPr>
                <w:rStyle w:val="Hyperlink"/>
                <w:noProof/>
                <w:sz w:val="26"/>
                <w:szCs w:val="26"/>
              </w:rPr>
              <w:t>1.</w:t>
            </w:r>
            <w:r w:rsidR="00B7440B" w:rsidRPr="00B7440B">
              <w:rPr>
                <w:rFonts w:eastAsiaTheme="minorEastAsia"/>
                <w:noProof/>
                <w:sz w:val="26"/>
                <w:szCs w:val="26"/>
              </w:rPr>
              <w:tab/>
            </w:r>
            <w:r w:rsidR="00B7440B" w:rsidRPr="00B7440B">
              <w:rPr>
                <w:rStyle w:val="Hyperlink"/>
                <w:noProof/>
                <w:sz w:val="26"/>
                <w:szCs w:val="26"/>
              </w:rPr>
              <w:t>Positions of the Parties</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_Toc63764468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79</w:t>
            </w:r>
            <w:r w:rsidR="00B7440B" w:rsidRPr="00B7440B">
              <w:rPr>
                <w:noProof/>
                <w:webHidden/>
                <w:sz w:val="26"/>
                <w:szCs w:val="26"/>
              </w:rPr>
              <w:fldChar w:fldCharType="end"/>
            </w:r>
          </w:hyperlink>
        </w:p>
        <w:p w14:paraId="42852F5F" w14:textId="006BAEC7" w:rsidR="00B7440B" w:rsidRPr="00B7440B" w:rsidRDefault="00E131BD">
          <w:pPr>
            <w:pStyle w:val="TOC3"/>
            <w:rPr>
              <w:rFonts w:eastAsiaTheme="minorEastAsia"/>
              <w:noProof/>
              <w:sz w:val="26"/>
              <w:szCs w:val="26"/>
            </w:rPr>
          </w:pPr>
          <w:hyperlink w:anchor="_Toc63764469" w:history="1">
            <w:r w:rsidR="00B7440B" w:rsidRPr="00B7440B">
              <w:rPr>
                <w:rStyle w:val="Hyperlink"/>
                <w:noProof/>
                <w:sz w:val="26"/>
                <w:szCs w:val="26"/>
              </w:rPr>
              <w:t>2.</w:t>
            </w:r>
            <w:r w:rsidR="00B7440B" w:rsidRPr="00B7440B">
              <w:rPr>
                <w:rFonts w:eastAsiaTheme="minorEastAsia"/>
                <w:noProof/>
                <w:sz w:val="26"/>
                <w:szCs w:val="26"/>
              </w:rPr>
              <w:tab/>
            </w:r>
            <w:r w:rsidR="00B7440B" w:rsidRPr="00B7440B">
              <w:rPr>
                <w:rStyle w:val="Hyperlink"/>
                <w:noProof/>
                <w:sz w:val="26"/>
                <w:szCs w:val="26"/>
              </w:rPr>
              <w:t>Recommended Decision</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_Toc63764469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80</w:t>
            </w:r>
            <w:r w:rsidR="00B7440B" w:rsidRPr="00B7440B">
              <w:rPr>
                <w:noProof/>
                <w:webHidden/>
                <w:sz w:val="26"/>
                <w:szCs w:val="26"/>
              </w:rPr>
              <w:fldChar w:fldCharType="end"/>
            </w:r>
          </w:hyperlink>
        </w:p>
        <w:p w14:paraId="0A77169F" w14:textId="7D0002A3" w:rsidR="00B7440B" w:rsidRPr="00B7440B" w:rsidRDefault="00E131BD">
          <w:pPr>
            <w:pStyle w:val="TOC3"/>
            <w:rPr>
              <w:rFonts w:eastAsiaTheme="minorEastAsia"/>
              <w:noProof/>
              <w:sz w:val="26"/>
              <w:szCs w:val="26"/>
            </w:rPr>
          </w:pPr>
          <w:hyperlink w:anchor="_Toc63764470" w:history="1">
            <w:r w:rsidR="00B7440B" w:rsidRPr="00B7440B">
              <w:rPr>
                <w:rStyle w:val="Hyperlink"/>
                <w:noProof/>
                <w:sz w:val="26"/>
                <w:szCs w:val="26"/>
              </w:rPr>
              <w:t>3.</w:t>
            </w:r>
            <w:r w:rsidR="00B7440B" w:rsidRPr="00B7440B">
              <w:rPr>
                <w:rFonts w:eastAsiaTheme="minorEastAsia"/>
                <w:noProof/>
                <w:sz w:val="26"/>
                <w:szCs w:val="26"/>
              </w:rPr>
              <w:tab/>
            </w:r>
            <w:r w:rsidR="00B7440B" w:rsidRPr="00B7440B">
              <w:rPr>
                <w:rStyle w:val="Hyperlink"/>
                <w:noProof/>
                <w:sz w:val="26"/>
                <w:szCs w:val="26"/>
              </w:rPr>
              <w:t>Columbia Exception No. 8 and Replies</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_Toc63764470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80</w:t>
            </w:r>
            <w:r w:rsidR="00B7440B" w:rsidRPr="00B7440B">
              <w:rPr>
                <w:noProof/>
                <w:webHidden/>
                <w:sz w:val="26"/>
                <w:szCs w:val="26"/>
              </w:rPr>
              <w:fldChar w:fldCharType="end"/>
            </w:r>
          </w:hyperlink>
        </w:p>
        <w:p w14:paraId="15AB93B4" w14:textId="41E68D51" w:rsidR="00B7440B" w:rsidRPr="00B7440B" w:rsidRDefault="00E131BD">
          <w:pPr>
            <w:pStyle w:val="TOC3"/>
            <w:rPr>
              <w:rFonts w:eastAsiaTheme="minorEastAsia"/>
              <w:noProof/>
              <w:sz w:val="26"/>
              <w:szCs w:val="26"/>
            </w:rPr>
          </w:pPr>
          <w:hyperlink w:anchor="_Toc63764471" w:history="1">
            <w:r w:rsidR="00B7440B" w:rsidRPr="00B7440B">
              <w:rPr>
                <w:rStyle w:val="Hyperlink"/>
                <w:noProof/>
                <w:sz w:val="26"/>
                <w:szCs w:val="26"/>
              </w:rPr>
              <w:t>4.</w:t>
            </w:r>
            <w:r w:rsidR="00B7440B" w:rsidRPr="00B7440B">
              <w:rPr>
                <w:rFonts w:eastAsiaTheme="minorEastAsia"/>
                <w:noProof/>
                <w:sz w:val="26"/>
                <w:szCs w:val="26"/>
              </w:rPr>
              <w:tab/>
            </w:r>
            <w:r w:rsidR="00B7440B" w:rsidRPr="00B7440B">
              <w:rPr>
                <w:rStyle w:val="Hyperlink"/>
                <w:noProof/>
                <w:sz w:val="26"/>
                <w:szCs w:val="26"/>
              </w:rPr>
              <w:t>Disposition</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_Toc63764471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81</w:t>
            </w:r>
            <w:r w:rsidR="00B7440B" w:rsidRPr="00B7440B">
              <w:rPr>
                <w:noProof/>
                <w:webHidden/>
                <w:sz w:val="26"/>
                <w:szCs w:val="26"/>
              </w:rPr>
              <w:fldChar w:fldCharType="end"/>
            </w:r>
          </w:hyperlink>
        </w:p>
        <w:p w14:paraId="724E0DDF" w14:textId="5460300B" w:rsidR="00B7440B" w:rsidRPr="00B7440B" w:rsidRDefault="00E131BD">
          <w:pPr>
            <w:pStyle w:val="TOC2"/>
            <w:tabs>
              <w:tab w:val="left" w:pos="1440"/>
            </w:tabs>
            <w:rPr>
              <w:rFonts w:eastAsiaTheme="minorEastAsia"/>
              <w:noProof/>
              <w:sz w:val="26"/>
              <w:szCs w:val="26"/>
            </w:rPr>
          </w:pPr>
          <w:hyperlink w:anchor="_Toc63764472" w:history="1">
            <w:r w:rsidR="00B7440B" w:rsidRPr="00B7440B">
              <w:rPr>
                <w:rStyle w:val="Hyperlink"/>
                <w:noProof/>
                <w:sz w:val="26"/>
                <w:szCs w:val="26"/>
              </w:rPr>
              <w:t>G.</w:t>
            </w:r>
            <w:r w:rsidR="00B7440B" w:rsidRPr="00B7440B">
              <w:rPr>
                <w:rFonts w:eastAsiaTheme="minorEastAsia"/>
                <w:noProof/>
                <w:sz w:val="26"/>
                <w:szCs w:val="26"/>
              </w:rPr>
              <w:tab/>
            </w:r>
            <w:r w:rsidR="00B7440B" w:rsidRPr="00B7440B">
              <w:rPr>
                <w:rStyle w:val="Hyperlink"/>
                <w:noProof/>
                <w:sz w:val="26"/>
                <w:szCs w:val="26"/>
              </w:rPr>
              <w:t>Other Adjustments for Safety Initiatives and Compensation</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_Toc63764472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82</w:t>
            </w:r>
            <w:r w:rsidR="00B7440B" w:rsidRPr="00B7440B">
              <w:rPr>
                <w:noProof/>
                <w:webHidden/>
                <w:sz w:val="26"/>
                <w:szCs w:val="26"/>
              </w:rPr>
              <w:fldChar w:fldCharType="end"/>
            </w:r>
          </w:hyperlink>
        </w:p>
        <w:p w14:paraId="377707AB" w14:textId="4994A7C5" w:rsidR="00B7440B" w:rsidRPr="00B7440B" w:rsidRDefault="00E131BD">
          <w:pPr>
            <w:pStyle w:val="TOC3"/>
            <w:rPr>
              <w:rFonts w:eastAsiaTheme="minorEastAsia"/>
              <w:noProof/>
              <w:sz w:val="26"/>
              <w:szCs w:val="26"/>
            </w:rPr>
          </w:pPr>
          <w:hyperlink w:anchor="_Toc63764473" w:history="1">
            <w:r w:rsidR="00B7440B" w:rsidRPr="00B7440B">
              <w:rPr>
                <w:rStyle w:val="Hyperlink"/>
                <w:noProof/>
                <w:sz w:val="26"/>
                <w:szCs w:val="26"/>
              </w:rPr>
              <w:t>1.</w:t>
            </w:r>
            <w:r w:rsidR="00B7440B" w:rsidRPr="00B7440B">
              <w:rPr>
                <w:rFonts w:eastAsiaTheme="minorEastAsia"/>
                <w:noProof/>
                <w:sz w:val="26"/>
                <w:szCs w:val="26"/>
              </w:rPr>
              <w:tab/>
            </w:r>
            <w:r w:rsidR="00B7440B" w:rsidRPr="00B7440B">
              <w:rPr>
                <w:rStyle w:val="Hyperlink"/>
                <w:noProof/>
                <w:sz w:val="26"/>
                <w:szCs w:val="26"/>
              </w:rPr>
              <w:t>Cross Bore Identification</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_Toc63764473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83</w:t>
            </w:r>
            <w:r w:rsidR="00B7440B" w:rsidRPr="00B7440B">
              <w:rPr>
                <w:noProof/>
                <w:webHidden/>
                <w:sz w:val="26"/>
                <w:szCs w:val="26"/>
              </w:rPr>
              <w:fldChar w:fldCharType="end"/>
            </w:r>
          </w:hyperlink>
        </w:p>
        <w:p w14:paraId="6C6DF513" w14:textId="681C10C9" w:rsidR="00B7440B" w:rsidRPr="00B7440B" w:rsidRDefault="00E131BD">
          <w:pPr>
            <w:pStyle w:val="TOC4"/>
            <w:rPr>
              <w:rFonts w:eastAsiaTheme="minorEastAsia"/>
              <w:noProof/>
              <w:sz w:val="26"/>
              <w:szCs w:val="26"/>
            </w:rPr>
          </w:pPr>
          <w:hyperlink w:anchor="_Toc63764474" w:history="1">
            <w:r w:rsidR="00B7440B" w:rsidRPr="00B7440B">
              <w:rPr>
                <w:rStyle w:val="Hyperlink"/>
                <w:noProof/>
                <w:sz w:val="26"/>
                <w:szCs w:val="26"/>
              </w:rPr>
              <w:t>a.</w:t>
            </w:r>
            <w:r w:rsidR="00B7440B" w:rsidRPr="00B7440B">
              <w:rPr>
                <w:rFonts w:eastAsiaTheme="minorEastAsia"/>
                <w:noProof/>
                <w:sz w:val="26"/>
                <w:szCs w:val="26"/>
              </w:rPr>
              <w:tab/>
            </w:r>
            <w:r w:rsidR="00B7440B" w:rsidRPr="00B7440B">
              <w:rPr>
                <w:rStyle w:val="Hyperlink"/>
                <w:noProof/>
                <w:sz w:val="26"/>
                <w:szCs w:val="26"/>
              </w:rPr>
              <w:t>Positions of the Parties</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_Toc63764474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83</w:t>
            </w:r>
            <w:r w:rsidR="00B7440B" w:rsidRPr="00B7440B">
              <w:rPr>
                <w:noProof/>
                <w:webHidden/>
                <w:sz w:val="26"/>
                <w:szCs w:val="26"/>
              </w:rPr>
              <w:fldChar w:fldCharType="end"/>
            </w:r>
          </w:hyperlink>
        </w:p>
        <w:p w14:paraId="515FBE75" w14:textId="561099D0" w:rsidR="00B7440B" w:rsidRPr="00B7440B" w:rsidRDefault="00E131BD">
          <w:pPr>
            <w:pStyle w:val="TOC4"/>
            <w:rPr>
              <w:rFonts w:eastAsiaTheme="minorEastAsia"/>
              <w:noProof/>
              <w:sz w:val="26"/>
              <w:szCs w:val="26"/>
            </w:rPr>
          </w:pPr>
          <w:hyperlink w:anchor="_Toc63764475" w:history="1">
            <w:r w:rsidR="00B7440B" w:rsidRPr="00B7440B">
              <w:rPr>
                <w:rStyle w:val="Hyperlink"/>
                <w:noProof/>
                <w:sz w:val="26"/>
                <w:szCs w:val="26"/>
              </w:rPr>
              <w:t>b.</w:t>
            </w:r>
            <w:r w:rsidR="00B7440B" w:rsidRPr="00B7440B">
              <w:rPr>
                <w:rFonts w:eastAsiaTheme="minorEastAsia"/>
                <w:noProof/>
                <w:sz w:val="26"/>
                <w:szCs w:val="26"/>
              </w:rPr>
              <w:tab/>
            </w:r>
            <w:r w:rsidR="00B7440B" w:rsidRPr="00B7440B">
              <w:rPr>
                <w:rStyle w:val="Hyperlink"/>
                <w:noProof/>
                <w:sz w:val="26"/>
                <w:szCs w:val="26"/>
              </w:rPr>
              <w:t>Recommended Decision</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_Toc63764475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84</w:t>
            </w:r>
            <w:r w:rsidR="00B7440B" w:rsidRPr="00B7440B">
              <w:rPr>
                <w:noProof/>
                <w:webHidden/>
                <w:sz w:val="26"/>
                <w:szCs w:val="26"/>
              </w:rPr>
              <w:fldChar w:fldCharType="end"/>
            </w:r>
          </w:hyperlink>
        </w:p>
        <w:p w14:paraId="611A5F5A" w14:textId="595752B7" w:rsidR="00B7440B" w:rsidRPr="00B7440B" w:rsidRDefault="00E131BD">
          <w:pPr>
            <w:pStyle w:val="TOC4"/>
            <w:rPr>
              <w:rFonts w:eastAsiaTheme="minorEastAsia"/>
              <w:noProof/>
              <w:sz w:val="26"/>
              <w:szCs w:val="26"/>
            </w:rPr>
          </w:pPr>
          <w:hyperlink w:anchor="_Toc63764476" w:history="1">
            <w:r w:rsidR="00B7440B" w:rsidRPr="00B7440B">
              <w:rPr>
                <w:rStyle w:val="Hyperlink"/>
                <w:noProof/>
                <w:sz w:val="26"/>
                <w:szCs w:val="26"/>
              </w:rPr>
              <w:t>c.</w:t>
            </w:r>
            <w:r w:rsidR="00B7440B" w:rsidRPr="00B7440B">
              <w:rPr>
                <w:rFonts w:eastAsiaTheme="minorEastAsia"/>
                <w:noProof/>
                <w:sz w:val="26"/>
                <w:szCs w:val="26"/>
              </w:rPr>
              <w:tab/>
            </w:r>
            <w:r w:rsidR="00B7440B" w:rsidRPr="00B7440B">
              <w:rPr>
                <w:rStyle w:val="Hyperlink"/>
                <w:noProof/>
                <w:sz w:val="26"/>
                <w:szCs w:val="26"/>
              </w:rPr>
              <w:t>Columbia Exception No. 9 and Replies</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_Toc63764476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84</w:t>
            </w:r>
            <w:r w:rsidR="00B7440B" w:rsidRPr="00B7440B">
              <w:rPr>
                <w:noProof/>
                <w:webHidden/>
                <w:sz w:val="26"/>
                <w:szCs w:val="26"/>
              </w:rPr>
              <w:fldChar w:fldCharType="end"/>
            </w:r>
          </w:hyperlink>
        </w:p>
        <w:p w14:paraId="4BC8D929" w14:textId="173CB3F6" w:rsidR="00B7440B" w:rsidRPr="00B7440B" w:rsidRDefault="00E131BD">
          <w:pPr>
            <w:pStyle w:val="TOC4"/>
            <w:rPr>
              <w:rFonts w:eastAsiaTheme="minorEastAsia"/>
              <w:noProof/>
              <w:sz w:val="26"/>
              <w:szCs w:val="26"/>
            </w:rPr>
          </w:pPr>
          <w:hyperlink w:anchor="_Toc63764477" w:history="1">
            <w:r w:rsidR="00B7440B" w:rsidRPr="00B7440B">
              <w:rPr>
                <w:rStyle w:val="Hyperlink"/>
                <w:noProof/>
                <w:sz w:val="26"/>
                <w:szCs w:val="26"/>
              </w:rPr>
              <w:t>d.</w:t>
            </w:r>
            <w:r w:rsidR="00B7440B" w:rsidRPr="00B7440B">
              <w:rPr>
                <w:rFonts w:eastAsiaTheme="minorEastAsia"/>
                <w:noProof/>
                <w:sz w:val="26"/>
                <w:szCs w:val="26"/>
              </w:rPr>
              <w:tab/>
            </w:r>
            <w:r w:rsidR="00B7440B" w:rsidRPr="00B7440B">
              <w:rPr>
                <w:rStyle w:val="Hyperlink"/>
                <w:noProof/>
                <w:sz w:val="26"/>
                <w:szCs w:val="26"/>
              </w:rPr>
              <w:t>Disposition</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_Toc63764477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85</w:t>
            </w:r>
            <w:r w:rsidR="00B7440B" w:rsidRPr="00B7440B">
              <w:rPr>
                <w:noProof/>
                <w:webHidden/>
                <w:sz w:val="26"/>
                <w:szCs w:val="26"/>
              </w:rPr>
              <w:fldChar w:fldCharType="end"/>
            </w:r>
          </w:hyperlink>
        </w:p>
        <w:p w14:paraId="733FCF16" w14:textId="775BC7DE" w:rsidR="00B7440B" w:rsidRPr="00B7440B" w:rsidRDefault="00E131BD">
          <w:pPr>
            <w:pStyle w:val="TOC3"/>
            <w:rPr>
              <w:rFonts w:eastAsiaTheme="minorEastAsia"/>
              <w:noProof/>
              <w:sz w:val="26"/>
              <w:szCs w:val="26"/>
            </w:rPr>
          </w:pPr>
          <w:hyperlink w:anchor="_Toc63764478" w:history="1">
            <w:r w:rsidR="00B7440B" w:rsidRPr="00B7440B">
              <w:rPr>
                <w:rStyle w:val="Hyperlink"/>
                <w:noProof/>
                <w:sz w:val="26"/>
                <w:szCs w:val="26"/>
              </w:rPr>
              <w:t>2.</w:t>
            </w:r>
            <w:r w:rsidR="00B7440B" w:rsidRPr="00B7440B">
              <w:rPr>
                <w:rFonts w:eastAsiaTheme="minorEastAsia"/>
                <w:noProof/>
                <w:sz w:val="26"/>
                <w:szCs w:val="26"/>
              </w:rPr>
              <w:tab/>
            </w:r>
            <w:r w:rsidR="00B7440B" w:rsidRPr="00B7440B">
              <w:rPr>
                <w:rStyle w:val="Hyperlink"/>
                <w:noProof/>
                <w:sz w:val="26"/>
                <w:szCs w:val="26"/>
              </w:rPr>
              <w:t>Gas Qualification Specialists</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_Toc63764478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86</w:t>
            </w:r>
            <w:r w:rsidR="00B7440B" w:rsidRPr="00B7440B">
              <w:rPr>
                <w:noProof/>
                <w:webHidden/>
                <w:sz w:val="26"/>
                <w:szCs w:val="26"/>
              </w:rPr>
              <w:fldChar w:fldCharType="end"/>
            </w:r>
          </w:hyperlink>
        </w:p>
        <w:p w14:paraId="71F86CFC" w14:textId="68CC6396" w:rsidR="00B7440B" w:rsidRPr="00B7440B" w:rsidRDefault="00E131BD">
          <w:pPr>
            <w:pStyle w:val="TOC4"/>
            <w:rPr>
              <w:rFonts w:eastAsiaTheme="minorEastAsia"/>
              <w:noProof/>
              <w:sz w:val="26"/>
              <w:szCs w:val="26"/>
            </w:rPr>
          </w:pPr>
          <w:hyperlink w:anchor="_Toc63764479" w:history="1">
            <w:r w:rsidR="00B7440B" w:rsidRPr="00B7440B">
              <w:rPr>
                <w:rStyle w:val="Hyperlink"/>
                <w:noProof/>
                <w:sz w:val="26"/>
                <w:szCs w:val="26"/>
              </w:rPr>
              <w:t>a.</w:t>
            </w:r>
            <w:r w:rsidR="00B7440B" w:rsidRPr="00B7440B">
              <w:rPr>
                <w:rFonts w:eastAsiaTheme="minorEastAsia"/>
                <w:noProof/>
                <w:sz w:val="26"/>
                <w:szCs w:val="26"/>
              </w:rPr>
              <w:tab/>
            </w:r>
            <w:r w:rsidR="00B7440B" w:rsidRPr="00B7440B">
              <w:rPr>
                <w:rStyle w:val="Hyperlink"/>
                <w:noProof/>
                <w:sz w:val="26"/>
                <w:szCs w:val="26"/>
              </w:rPr>
              <w:t>Positions of the Parties</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_Toc63764479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86</w:t>
            </w:r>
            <w:r w:rsidR="00B7440B" w:rsidRPr="00B7440B">
              <w:rPr>
                <w:noProof/>
                <w:webHidden/>
                <w:sz w:val="26"/>
                <w:szCs w:val="26"/>
              </w:rPr>
              <w:fldChar w:fldCharType="end"/>
            </w:r>
          </w:hyperlink>
        </w:p>
        <w:p w14:paraId="6279F243" w14:textId="49BD4C06" w:rsidR="00B7440B" w:rsidRPr="00B7440B" w:rsidRDefault="00E131BD">
          <w:pPr>
            <w:pStyle w:val="TOC4"/>
            <w:rPr>
              <w:rFonts w:eastAsiaTheme="minorEastAsia"/>
              <w:noProof/>
              <w:sz w:val="26"/>
              <w:szCs w:val="26"/>
            </w:rPr>
          </w:pPr>
          <w:hyperlink w:anchor="_Toc63764480" w:history="1">
            <w:r w:rsidR="00B7440B" w:rsidRPr="00B7440B">
              <w:rPr>
                <w:rStyle w:val="Hyperlink"/>
                <w:noProof/>
                <w:sz w:val="26"/>
                <w:szCs w:val="26"/>
              </w:rPr>
              <w:t>b.</w:t>
            </w:r>
            <w:r w:rsidR="00B7440B" w:rsidRPr="00B7440B">
              <w:rPr>
                <w:rFonts w:eastAsiaTheme="minorEastAsia"/>
                <w:noProof/>
                <w:sz w:val="26"/>
                <w:szCs w:val="26"/>
              </w:rPr>
              <w:tab/>
            </w:r>
            <w:r w:rsidR="00B7440B" w:rsidRPr="00B7440B">
              <w:rPr>
                <w:rStyle w:val="Hyperlink"/>
                <w:noProof/>
                <w:sz w:val="26"/>
                <w:szCs w:val="26"/>
              </w:rPr>
              <w:t>Recommended Decision</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_Toc63764480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87</w:t>
            </w:r>
            <w:r w:rsidR="00B7440B" w:rsidRPr="00B7440B">
              <w:rPr>
                <w:noProof/>
                <w:webHidden/>
                <w:sz w:val="26"/>
                <w:szCs w:val="26"/>
              </w:rPr>
              <w:fldChar w:fldCharType="end"/>
            </w:r>
          </w:hyperlink>
        </w:p>
        <w:p w14:paraId="7B4FD1C6" w14:textId="0B82D2DB" w:rsidR="00B7440B" w:rsidRPr="00B7440B" w:rsidRDefault="00E131BD">
          <w:pPr>
            <w:pStyle w:val="TOC4"/>
            <w:rPr>
              <w:rFonts w:eastAsiaTheme="minorEastAsia"/>
              <w:noProof/>
              <w:sz w:val="26"/>
              <w:szCs w:val="26"/>
            </w:rPr>
          </w:pPr>
          <w:hyperlink w:anchor="_Toc63764481" w:history="1">
            <w:r w:rsidR="00B7440B" w:rsidRPr="00B7440B">
              <w:rPr>
                <w:rStyle w:val="Hyperlink"/>
                <w:noProof/>
                <w:sz w:val="26"/>
                <w:szCs w:val="26"/>
              </w:rPr>
              <w:t>c.</w:t>
            </w:r>
            <w:r w:rsidR="00B7440B" w:rsidRPr="00B7440B">
              <w:rPr>
                <w:rFonts w:eastAsiaTheme="minorEastAsia"/>
                <w:noProof/>
                <w:sz w:val="26"/>
                <w:szCs w:val="26"/>
              </w:rPr>
              <w:tab/>
            </w:r>
            <w:r w:rsidR="00B7440B" w:rsidRPr="00B7440B">
              <w:rPr>
                <w:rStyle w:val="Hyperlink"/>
                <w:noProof/>
                <w:sz w:val="26"/>
                <w:szCs w:val="26"/>
              </w:rPr>
              <w:t>Columbia Exception No. 10 and Replies</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_Toc63764481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87</w:t>
            </w:r>
            <w:r w:rsidR="00B7440B" w:rsidRPr="00B7440B">
              <w:rPr>
                <w:noProof/>
                <w:webHidden/>
                <w:sz w:val="26"/>
                <w:szCs w:val="26"/>
              </w:rPr>
              <w:fldChar w:fldCharType="end"/>
            </w:r>
          </w:hyperlink>
        </w:p>
        <w:p w14:paraId="402F862D" w14:textId="0C4F53A8" w:rsidR="00B7440B" w:rsidRPr="00B7440B" w:rsidRDefault="00E131BD">
          <w:pPr>
            <w:pStyle w:val="TOC4"/>
            <w:rPr>
              <w:rFonts w:eastAsiaTheme="minorEastAsia"/>
              <w:noProof/>
              <w:sz w:val="26"/>
              <w:szCs w:val="26"/>
            </w:rPr>
          </w:pPr>
          <w:hyperlink w:anchor="_Toc63764482" w:history="1">
            <w:r w:rsidR="00B7440B" w:rsidRPr="00B7440B">
              <w:rPr>
                <w:rStyle w:val="Hyperlink"/>
                <w:noProof/>
                <w:sz w:val="26"/>
                <w:szCs w:val="26"/>
              </w:rPr>
              <w:t>d.</w:t>
            </w:r>
            <w:r w:rsidR="00B7440B" w:rsidRPr="00B7440B">
              <w:rPr>
                <w:rFonts w:eastAsiaTheme="minorEastAsia"/>
                <w:noProof/>
                <w:sz w:val="26"/>
                <w:szCs w:val="26"/>
              </w:rPr>
              <w:tab/>
            </w:r>
            <w:r w:rsidR="00B7440B" w:rsidRPr="00B7440B">
              <w:rPr>
                <w:rStyle w:val="Hyperlink"/>
                <w:noProof/>
                <w:sz w:val="26"/>
                <w:szCs w:val="26"/>
              </w:rPr>
              <w:t>Disposition</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_Toc63764482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88</w:t>
            </w:r>
            <w:r w:rsidR="00B7440B" w:rsidRPr="00B7440B">
              <w:rPr>
                <w:noProof/>
                <w:webHidden/>
                <w:sz w:val="26"/>
                <w:szCs w:val="26"/>
              </w:rPr>
              <w:fldChar w:fldCharType="end"/>
            </w:r>
          </w:hyperlink>
        </w:p>
        <w:p w14:paraId="7A3B3FE4" w14:textId="045DA16D" w:rsidR="00B7440B" w:rsidRPr="00B7440B" w:rsidRDefault="00E131BD">
          <w:pPr>
            <w:pStyle w:val="TOC3"/>
            <w:rPr>
              <w:rFonts w:eastAsiaTheme="minorEastAsia"/>
              <w:noProof/>
              <w:sz w:val="26"/>
              <w:szCs w:val="26"/>
            </w:rPr>
          </w:pPr>
          <w:hyperlink w:anchor="_Toc63764483" w:history="1">
            <w:r w:rsidR="00B7440B" w:rsidRPr="00B7440B">
              <w:rPr>
                <w:rStyle w:val="Hyperlink"/>
                <w:noProof/>
                <w:sz w:val="26"/>
                <w:szCs w:val="26"/>
              </w:rPr>
              <w:t>3.</w:t>
            </w:r>
            <w:r w:rsidR="00B7440B" w:rsidRPr="00B7440B">
              <w:rPr>
                <w:rFonts w:eastAsiaTheme="minorEastAsia"/>
                <w:noProof/>
                <w:sz w:val="26"/>
                <w:szCs w:val="26"/>
              </w:rPr>
              <w:tab/>
            </w:r>
            <w:r w:rsidR="00B7440B" w:rsidRPr="00B7440B">
              <w:rPr>
                <w:rStyle w:val="Hyperlink"/>
                <w:noProof/>
                <w:sz w:val="26"/>
                <w:szCs w:val="26"/>
              </w:rPr>
              <w:t>Legacy Service Line Records</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_Toc63764483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89</w:t>
            </w:r>
            <w:r w:rsidR="00B7440B" w:rsidRPr="00B7440B">
              <w:rPr>
                <w:noProof/>
                <w:webHidden/>
                <w:sz w:val="26"/>
                <w:szCs w:val="26"/>
              </w:rPr>
              <w:fldChar w:fldCharType="end"/>
            </w:r>
          </w:hyperlink>
        </w:p>
        <w:p w14:paraId="4E0EFBF9" w14:textId="73213715" w:rsidR="00B7440B" w:rsidRPr="00B7440B" w:rsidRDefault="00E131BD">
          <w:pPr>
            <w:pStyle w:val="TOC4"/>
            <w:rPr>
              <w:rFonts w:eastAsiaTheme="minorEastAsia"/>
              <w:noProof/>
              <w:sz w:val="26"/>
              <w:szCs w:val="26"/>
            </w:rPr>
          </w:pPr>
          <w:hyperlink w:anchor="_Toc63764484" w:history="1">
            <w:r w:rsidR="00B7440B" w:rsidRPr="00B7440B">
              <w:rPr>
                <w:rStyle w:val="Hyperlink"/>
                <w:noProof/>
                <w:sz w:val="26"/>
                <w:szCs w:val="26"/>
              </w:rPr>
              <w:t>a.</w:t>
            </w:r>
            <w:r w:rsidR="00B7440B" w:rsidRPr="00B7440B">
              <w:rPr>
                <w:rFonts w:eastAsiaTheme="minorEastAsia"/>
                <w:noProof/>
                <w:sz w:val="26"/>
                <w:szCs w:val="26"/>
              </w:rPr>
              <w:tab/>
            </w:r>
            <w:r w:rsidR="00B7440B" w:rsidRPr="00B7440B">
              <w:rPr>
                <w:rStyle w:val="Hyperlink"/>
                <w:noProof/>
                <w:sz w:val="26"/>
                <w:szCs w:val="26"/>
              </w:rPr>
              <w:t>Positions of the Parties</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_Toc63764484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89</w:t>
            </w:r>
            <w:r w:rsidR="00B7440B" w:rsidRPr="00B7440B">
              <w:rPr>
                <w:noProof/>
                <w:webHidden/>
                <w:sz w:val="26"/>
                <w:szCs w:val="26"/>
              </w:rPr>
              <w:fldChar w:fldCharType="end"/>
            </w:r>
          </w:hyperlink>
        </w:p>
        <w:p w14:paraId="2FE559E6" w14:textId="4943F768" w:rsidR="00B7440B" w:rsidRPr="00B7440B" w:rsidRDefault="00E131BD">
          <w:pPr>
            <w:pStyle w:val="TOC4"/>
            <w:rPr>
              <w:rFonts w:eastAsiaTheme="minorEastAsia"/>
              <w:noProof/>
              <w:sz w:val="26"/>
              <w:szCs w:val="26"/>
            </w:rPr>
          </w:pPr>
          <w:hyperlink w:anchor="_Toc63764485" w:history="1">
            <w:r w:rsidR="00B7440B" w:rsidRPr="00B7440B">
              <w:rPr>
                <w:rStyle w:val="Hyperlink"/>
                <w:noProof/>
                <w:sz w:val="26"/>
                <w:szCs w:val="26"/>
              </w:rPr>
              <w:t>b.</w:t>
            </w:r>
            <w:r w:rsidR="00B7440B" w:rsidRPr="00B7440B">
              <w:rPr>
                <w:rFonts w:eastAsiaTheme="minorEastAsia"/>
                <w:noProof/>
                <w:sz w:val="26"/>
                <w:szCs w:val="26"/>
              </w:rPr>
              <w:tab/>
            </w:r>
            <w:r w:rsidR="00B7440B" w:rsidRPr="00B7440B">
              <w:rPr>
                <w:rStyle w:val="Hyperlink"/>
                <w:noProof/>
                <w:sz w:val="26"/>
                <w:szCs w:val="26"/>
              </w:rPr>
              <w:t>Recommended Decision</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_Toc63764485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90</w:t>
            </w:r>
            <w:r w:rsidR="00B7440B" w:rsidRPr="00B7440B">
              <w:rPr>
                <w:noProof/>
                <w:webHidden/>
                <w:sz w:val="26"/>
                <w:szCs w:val="26"/>
              </w:rPr>
              <w:fldChar w:fldCharType="end"/>
            </w:r>
          </w:hyperlink>
        </w:p>
        <w:p w14:paraId="0CB68940" w14:textId="2C6F35DE" w:rsidR="00B7440B" w:rsidRPr="00B7440B" w:rsidRDefault="00E131BD">
          <w:pPr>
            <w:pStyle w:val="TOC4"/>
            <w:rPr>
              <w:rFonts w:eastAsiaTheme="minorEastAsia"/>
              <w:noProof/>
              <w:sz w:val="26"/>
              <w:szCs w:val="26"/>
            </w:rPr>
          </w:pPr>
          <w:hyperlink w:anchor="_Toc63764486" w:history="1">
            <w:r w:rsidR="00B7440B" w:rsidRPr="00B7440B">
              <w:rPr>
                <w:rStyle w:val="Hyperlink"/>
                <w:noProof/>
                <w:sz w:val="26"/>
                <w:szCs w:val="26"/>
              </w:rPr>
              <w:t>c.</w:t>
            </w:r>
            <w:r w:rsidR="00B7440B" w:rsidRPr="00B7440B">
              <w:rPr>
                <w:rFonts w:eastAsiaTheme="minorEastAsia"/>
                <w:noProof/>
                <w:sz w:val="26"/>
                <w:szCs w:val="26"/>
              </w:rPr>
              <w:tab/>
            </w:r>
            <w:r w:rsidR="00B7440B" w:rsidRPr="00B7440B">
              <w:rPr>
                <w:rStyle w:val="Hyperlink"/>
                <w:noProof/>
                <w:sz w:val="26"/>
                <w:szCs w:val="26"/>
              </w:rPr>
              <w:t>Columbia Exception No. 11 and Replies</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_Toc63764486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90</w:t>
            </w:r>
            <w:r w:rsidR="00B7440B" w:rsidRPr="00B7440B">
              <w:rPr>
                <w:noProof/>
                <w:webHidden/>
                <w:sz w:val="26"/>
                <w:szCs w:val="26"/>
              </w:rPr>
              <w:fldChar w:fldCharType="end"/>
            </w:r>
          </w:hyperlink>
        </w:p>
        <w:p w14:paraId="51BC14AC" w14:textId="704E85BF" w:rsidR="00B7440B" w:rsidRPr="00B7440B" w:rsidRDefault="00E131BD">
          <w:pPr>
            <w:pStyle w:val="TOC4"/>
            <w:rPr>
              <w:rFonts w:eastAsiaTheme="minorEastAsia"/>
              <w:noProof/>
              <w:sz w:val="26"/>
              <w:szCs w:val="26"/>
            </w:rPr>
          </w:pPr>
          <w:hyperlink w:anchor="_Toc63764487" w:history="1">
            <w:r w:rsidR="00B7440B" w:rsidRPr="00B7440B">
              <w:rPr>
                <w:rStyle w:val="Hyperlink"/>
                <w:noProof/>
                <w:sz w:val="26"/>
                <w:szCs w:val="26"/>
              </w:rPr>
              <w:t>d.</w:t>
            </w:r>
            <w:r w:rsidR="00B7440B" w:rsidRPr="00B7440B">
              <w:rPr>
                <w:rFonts w:eastAsiaTheme="minorEastAsia"/>
                <w:noProof/>
                <w:sz w:val="26"/>
                <w:szCs w:val="26"/>
              </w:rPr>
              <w:tab/>
            </w:r>
            <w:r w:rsidR="00B7440B" w:rsidRPr="00B7440B">
              <w:rPr>
                <w:rStyle w:val="Hyperlink"/>
                <w:noProof/>
                <w:sz w:val="26"/>
                <w:szCs w:val="26"/>
              </w:rPr>
              <w:t>Disposition</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_Toc63764487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91</w:t>
            </w:r>
            <w:r w:rsidR="00B7440B" w:rsidRPr="00B7440B">
              <w:rPr>
                <w:noProof/>
                <w:webHidden/>
                <w:sz w:val="26"/>
                <w:szCs w:val="26"/>
              </w:rPr>
              <w:fldChar w:fldCharType="end"/>
            </w:r>
          </w:hyperlink>
        </w:p>
        <w:p w14:paraId="3771DBB5" w14:textId="51390AE9" w:rsidR="00B7440B" w:rsidRPr="00B7440B" w:rsidRDefault="00E131BD">
          <w:pPr>
            <w:pStyle w:val="TOC3"/>
            <w:rPr>
              <w:rFonts w:eastAsiaTheme="minorEastAsia"/>
              <w:noProof/>
              <w:sz w:val="26"/>
              <w:szCs w:val="26"/>
            </w:rPr>
          </w:pPr>
          <w:hyperlink w:anchor="_Toc63764488" w:history="1">
            <w:r w:rsidR="00B7440B" w:rsidRPr="00B7440B">
              <w:rPr>
                <w:rStyle w:val="Hyperlink"/>
                <w:noProof/>
                <w:sz w:val="26"/>
                <w:szCs w:val="26"/>
              </w:rPr>
              <w:t>4.</w:t>
            </w:r>
            <w:r w:rsidR="00B7440B" w:rsidRPr="00B7440B">
              <w:rPr>
                <w:rFonts w:eastAsiaTheme="minorEastAsia"/>
                <w:noProof/>
                <w:sz w:val="26"/>
                <w:szCs w:val="26"/>
              </w:rPr>
              <w:tab/>
            </w:r>
            <w:r w:rsidR="00B7440B" w:rsidRPr="00B7440B">
              <w:rPr>
                <w:rStyle w:val="Hyperlink"/>
                <w:noProof/>
                <w:sz w:val="26"/>
                <w:szCs w:val="26"/>
              </w:rPr>
              <w:t>Customer-owned Field-Assembled Riser Replacement</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_Toc63764488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92</w:t>
            </w:r>
            <w:r w:rsidR="00B7440B" w:rsidRPr="00B7440B">
              <w:rPr>
                <w:noProof/>
                <w:webHidden/>
                <w:sz w:val="26"/>
                <w:szCs w:val="26"/>
              </w:rPr>
              <w:fldChar w:fldCharType="end"/>
            </w:r>
          </w:hyperlink>
        </w:p>
        <w:p w14:paraId="260684B3" w14:textId="678D42A2" w:rsidR="00B7440B" w:rsidRPr="00B7440B" w:rsidRDefault="00E131BD">
          <w:pPr>
            <w:pStyle w:val="TOC4"/>
            <w:rPr>
              <w:rFonts w:eastAsiaTheme="minorEastAsia"/>
              <w:noProof/>
              <w:sz w:val="26"/>
              <w:szCs w:val="26"/>
            </w:rPr>
          </w:pPr>
          <w:hyperlink w:anchor="_Toc63764489" w:history="1">
            <w:r w:rsidR="00B7440B" w:rsidRPr="00B7440B">
              <w:rPr>
                <w:rStyle w:val="Hyperlink"/>
                <w:noProof/>
                <w:sz w:val="26"/>
                <w:szCs w:val="26"/>
              </w:rPr>
              <w:t>a.</w:t>
            </w:r>
            <w:r w:rsidR="00B7440B" w:rsidRPr="00B7440B">
              <w:rPr>
                <w:rFonts w:eastAsiaTheme="minorEastAsia"/>
                <w:noProof/>
                <w:sz w:val="26"/>
                <w:szCs w:val="26"/>
              </w:rPr>
              <w:tab/>
            </w:r>
            <w:r w:rsidR="00B7440B" w:rsidRPr="00B7440B">
              <w:rPr>
                <w:rStyle w:val="Hyperlink"/>
                <w:noProof/>
                <w:sz w:val="26"/>
                <w:szCs w:val="26"/>
              </w:rPr>
              <w:t>Positions of the Parties</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_Toc63764489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92</w:t>
            </w:r>
            <w:r w:rsidR="00B7440B" w:rsidRPr="00B7440B">
              <w:rPr>
                <w:noProof/>
                <w:webHidden/>
                <w:sz w:val="26"/>
                <w:szCs w:val="26"/>
              </w:rPr>
              <w:fldChar w:fldCharType="end"/>
            </w:r>
          </w:hyperlink>
        </w:p>
        <w:p w14:paraId="631D879D" w14:textId="191E04DD" w:rsidR="00B7440B" w:rsidRPr="00B7440B" w:rsidRDefault="00E131BD">
          <w:pPr>
            <w:pStyle w:val="TOC4"/>
            <w:rPr>
              <w:rFonts w:eastAsiaTheme="minorEastAsia"/>
              <w:noProof/>
              <w:sz w:val="26"/>
              <w:szCs w:val="26"/>
            </w:rPr>
          </w:pPr>
          <w:hyperlink w:anchor="_Toc63764490" w:history="1">
            <w:r w:rsidR="00B7440B" w:rsidRPr="00B7440B">
              <w:rPr>
                <w:rStyle w:val="Hyperlink"/>
                <w:noProof/>
                <w:sz w:val="26"/>
                <w:szCs w:val="26"/>
              </w:rPr>
              <w:t>b.</w:t>
            </w:r>
            <w:r w:rsidR="00B7440B" w:rsidRPr="00B7440B">
              <w:rPr>
                <w:rFonts w:eastAsiaTheme="minorEastAsia"/>
                <w:noProof/>
                <w:sz w:val="26"/>
                <w:szCs w:val="26"/>
              </w:rPr>
              <w:tab/>
            </w:r>
            <w:r w:rsidR="00B7440B" w:rsidRPr="00B7440B">
              <w:rPr>
                <w:rStyle w:val="Hyperlink"/>
                <w:noProof/>
                <w:sz w:val="26"/>
                <w:szCs w:val="26"/>
              </w:rPr>
              <w:t>Recommended Decision</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_Toc63764490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93</w:t>
            </w:r>
            <w:r w:rsidR="00B7440B" w:rsidRPr="00B7440B">
              <w:rPr>
                <w:noProof/>
                <w:webHidden/>
                <w:sz w:val="26"/>
                <w:szCs w:val="26"/>
              </w:rPr>
              <w:fldChar w:fldCharType="end"/>
            </w:r>
          </w:hyperlink>
        </w:p>
        <w:p w14:paraId="7EE881E6" w14:textId="31DB02F1" w:rsidR="00B7440B" w:rsidRPr="00B7440B" w:rsidRDefault="00E131BD">
          <w:pPr>
            <w:pStyle w:val="TOC4"/>
            <w:rPr>
              <w:rFonts w:eastAsiaTheme="minorEastAsia"/>
              <w:noProof/>
              <w:sz w:val="26"/>
              <w:szCs w:val="26"/>
            </w:rPr>
          </w:pPr>
          <w:hyperlink w:anchor="_Toc63764491" w:history="1">
            <w:r w:rsidR="00B7440B" w:rsidRPr="00B7440B">
              <w:rPr>
                <w:rStyle w:val="Hyperlink"/>
                <w:noProof/>
                <w:sz w:val="26"/>
                <w:szCs w:val="26"/>
              </w:rPr>
              <w:t>c.</w:t>
            </w:r>
            <w:r w:rsidR="00B7440B" w:rsidRPr="00B7440B">
              <w:rPr>
                <w:rFonts w:eastAsiaTheme="minorEastAsia"/>
                <w:noProof/>
                <w:sz w:val="26"/>
                <w:szCs w:val="26"/>
              </w:rPr>
              <w:tab/>
            </w:r>
            <w:r w:rsidR="00B7440B" w:rsidRPr="00B7440B">
              <w:rPr>
                <w:rStyle w:val="Hyperlink"/>
                <w:noProof/>
                <w:sz w:val="26"/>
                <w:szCs w:val="26"/>
              </w:rPr>
              <w:t>Columbia Exception No. 12 and Replies</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_Toc63764491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94</w:t>
            </w:r>
            <w:r w:rsidR="00B7440B" w:rsidRPr="00B7440B">
              <w:rPr>
                <w:noProof/>
                <w:webHidden/>
                <w:sz w:val="26"/>
                <w:szCs w:val="26"/>
              </w:rPr>
              <w:fldChar w:fldCharType="end"/>
            </w:r>
          </w:hyperlink>
        </w:p>
        <w:p w14:paraId="38CC5C07" w14:textId="7104981B" w:rsidR="00B7440B" w:rsidRPr="00B7440B" w:rsidRDefault="00E131BD">
          <w:pPr>
            <w:pStyle w:val="TOC4"/>
            <w:rPr>
              <w:rFonts w:eastAsiaTheme="minorEastAsia"/>
              <w:noProof/>
              <w:sz w:val="26"/>
              <w:szCs w:val="26"/>
            </w:rPr>
          </w:pPr>
          <w:hyperlink w:anchor="_Toc63764492" w:history="1">
            <w:r w:rsidR="00B7440B" w:rsidRPr="00B7440B">
              <w:rPr>
                <w:rStyle w:val="Hyperlink"/>
                <w:noProof/>
                <w:sz w:val="26"/>
                <w:szCs w:val="26"/>
              </w:rPr>
              <w:t>d.</w:t>
            </w:r>
            <w:r w:rsidR="00B7440B" w:rsidRPr="00B7440B">
              <w:rPr>
                <w:rFonts w:eastAsiaTheme="minorEastAsia"/>
                <w:noProof/>
                <w:sz w:val="26"/>
                <w:szCs w:val="26"/>
              </w:rPr>
              <w:tab/>
            </w:r>
            <w:r w:rsidR="00B7440B" w:rsidRPr="00B7440B">
              <w:rPr>
                <w:rStyle w:val="Hyperlink"/>
                <w:noProof/>
                <w:sz w:val="26"/>
                <w:szCs w:val="26"/>
              </w:rPr>
              <w:t>Disposition</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_Toc63764492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95</w:t>
            </w:r>
            <w:r w:rsidR="00B7440B" w:rsidRPr="00B7440B">
              <w:rPr>
                <w:noProof/>
                <w:webHidden/>
                <w:sz w:val="26"/>
                <w:szCs w:val="26"/>
              </w:rPr>
              <w:fldChar w:fldCharType="end"/>
            </w:r>
          </w:hyperlink>
        </w:p>
        <w:p w14:paraId="12F33B9B" w14:textId="45CA7B81" w:rsidR="00B7440B" w:rsidRPr="00B7440B" w:rsidRDefault="00E131BD">
          <w:pPr>
            <w:pStyle w:val="TOC3"/>
            <w:rPr>
              <w:rFonts w:eastAsiaTheme="minorEastAsia"/>
              <w:noProof/>
              <w:sz w:val="26"/>
              <w:szCs w:val="26"/>
            </w:rPr>
          </w:pPr>
          <w:hyperlink w:anchor="_Toc63764493" w:history="1">
            <w:r w:rsidR="00B7440B" w:rsidRPr="00B7440B">
              <w:rPr>
                <w:rStyle w:val="Hyperlink"/>
                <w:noProof/>
                <w:sz w:val="26"/>
                <w:szCs w:val="26"/>
              </w:rPr>
              <w:t>5.</w:t>
            </w:r>
            <w:r w:rsidR="00B7440B" w:rsidRPr="00B7440B">
              <w:rPr>
                <w:rFonts w:eastAsiaTheme="minorEastAsia"/>
                <w:noProof/>
                <w:sz w:val="26"/>
                <w:szCs w:val="26"/>
              </w:rPr>
              <w:tab/>
            </w:r>
            <w:r w:rsidR="00B7440B" w:rsidRPr="00B7440B">
              <w:rPr>
                <w:rStyle w:val="Hyperlink"/>
                <w:noProof/>
                <w:sz w:val="26"/>
                <w:szCs w:val="26"/>
              </w:rPr>
              <w:t>Compensation Adjustment</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_Toc63764493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96</w:t>
            </w:r>
            <w:r w:rsidR="00B7440B" w:rsidRPr="00B7440B">
              <w:rPr>
                <w:noProof/>
                <w:webHidden/>
                <w:sz w:val="26"/>
                <w:szCs w:val="26"/>
              </w:rPr>
              <w:fldChar w:fldCharType="end"/>
            </w:r>
          </w:hyperlink>
        </w:p>
        <w:p w14:paraId="18427297" w14:textId="1AEEB1B6" w:rsidR="00B7440B" w:rsidRPr="00B7440B" w:rsidRDefault="00E131BD">
          <w:pPr>
            <w:pStyle w:val="TOC4"/>
            <w:rPr>
              <w:rFonts w:eastAsiaTheme="minorEastAsia"/>
              <w:noProof/>
              <w:sz w:val="26"/>
              <w:szCs w:val="26"/>
            </w:rPr>
          </w:pPr>
          <w:hyperlink w:anchor="_Toc63764494" w:history="1">
            <w:r w:rsidR="00B7440B" w:rsidRPr="00B7440B">
              <w:rPr>
                <w:rStyle w:val="Hyperlink"/>
                <w:noProof/>
                <w:sz w:val="26"/>
                <w:szCs w:val="26"/>
              </w:rPr>
              <w:t>a.</w:t>
            </w:r>
            <w:r w:rsidR="00B7440B" w:rsidRPr="00B7440B">
              <w:rPr>
                <w:rFonts w:eastAsiaTheme="minorEastAsia"/>
                <w:noProof/>
                <w:sz w:val="26"/>
                <w:szCs w:val="26"/>
              </w:rPr>
              <w:tab/>
            </w:r>
            <w:r w:rsidR="00B7440B" w:rsidRPr="00B7440B">
              <w:rPr>
                <w:rStyle w:val="Hyperlink"/>
                <w:noProof/>
                <w:sz w:val="26"/>
                <w:szCs w:val="26"/>
              </w:rPr>
              <w:t>Positions of the Parties</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_Toc63764494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96</w:t>
            </w:r>
            <w:r w:rsidR="00B7440B" w:rsidRPr="00B7440B">
              <w:rPr>
                <w:noProof/>
                <w:webHidden/>
                <w:sz w:val="26"/>
                <w:szCs w:val="26"/>
              </w:rPr>
              <w:fldChar w:fldCharType="end"/>
            </w:r>
          </w:hyperlink>
        </w:p>
        <w:p w14:paraId="4832D70F" w14:textId="0A6B35AE" w:rsidR="00B7440B" w:rsidRPr="00B7440B" w:rsidRDefault="00E131BD">
          <w:pPr>
            <w:pStyle w:val="TOC4"/>
            <w:rPr>
              <w:rFonts w:eastAsiaTheme="minorEastAsia"/>
              <w:noProof/>
              <w:sz w:val="26"/>
              <w:szCs w:val="26"/>
            </w:rPr>
          </w:pPr>
          <w:hyperlink w:anchor="_Toc63764495" w:history="1">
            <w:r w:rsidR="00B7440B" w:rsidRPr="00B7440B">
              <w:rPr>
                <w:rStyle w:val="Hyperlink"/>
                <w:rFonts w:eastAsia="Calibri"/>
                <w:noProof/>
                <w:sz w:val="26"/>
                <w:szCs w:val="26"/>
              </w:rPr>
              <w:t>b.</w:t>
            </w:r>
            <w:r w:rsidR="00B7440B" w:rsidRPr="00B7440B">
              <w:rPr>
                <w:rFonts w:eastAsiaTheme="minorEastAsia"/>
                <w:noProof/>
                <w:sz w:val="26"/>
                <w:szCs w:val="26"/>
              </w:rPr>
              <w:tab/>
            </w:r>
            <w:r w:rsidR="00B7440B" w:rsidRPr="00B7440B">
              <w:rPr>
                <w:rStyle w:val="Hyperlink"/>
                <w:rFonts w:eastAsia="Calibri"/>
                <w:noProof/>
                <w:sz w:val="26"/>
                <w:szCs w:val="26"/>
              </w:rPr>
              <w:t>Recommended Decision</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_Toc63764495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96</w:t>
            </w:r>
            <w:r w:rsidR="00B7440B" w:rsidRPr="00B7440B">
              <w:rPr>
                <w:noProof/>
                <w:webHidden/>
                <w:sz w:val="26"/>
                <w:szCs w:val="26"/>
              </w:rPr>
              <w:fldChar w:fldCharType="end"/>
            </w:r>
          </w:hyperlink>
        </w:p>
        <w:p w14:paraId="617129DF" w14:textId="3D39B248" w:rsidR="00B7440B" w:rsidRPr="00B7440B" w:rsidRDefault="00E131BD">
          <w:pPr>
            <w:pStyle w:val="TOC4"/>
            <w:rPr>
              <w:rFonts w:eastAsiaTheme="minorEastAsia"/>
              <w:noProof/>
              <w:sz w:val="26"/>
              <w:szCs w:val="26"/>
            </w:rPr>
          </w:pPr>
          <w:hyperlink w:anchor="_Toc63764496" w:history="1">
            <w:r w:rsidR="00B7440B" w:rsidRPr="00B7440B">
              <w:rPr>
                <w:rStyle w:val="Hyperlink"/>
                <w:noProof/>
                <w:sz w:val="26"/>
                <w:szCs w:val="26"/>
              </w:rPr>
              <w:t>c.</w:t>
            </w:r>
            <w:r w:rsidR="00B7440B" w:rsidRPr="00B7440B">
              <w:rPr>
                <w:rFonts w:eastAsiaTheme="minorEastAsia"/>
                <w:noProof/>
                <w:sz w:val="26"/>
                <w:szCs w:val="26"/>
              </w:rPr>
              <w:tab/>
            </w:r>
            <w:r w:rsidR="00B7440B" w:rsidRPr="00B7440B">
              <w:rPr>
                <w:rStyle w:val="Hyperlink"/>
                <w:noProof/>
                <w:sz w:val="26"/>
                <w:szCs w:val="26"/>
              </w:rPr>
              <w:t>Columbia Exception No. 13 and Replies</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_Toc63764496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96</w:t>
            </w:r>
            <w:r w:rsidR="00B7440B" w:rsidRPr="00B7440B">
              <w:rPr>
                <w:noProof/>
                <w:webHidden/>
                <w:sz w:val="26"/>
                <w:szCs w:val="26"/>
              </w:rPr>
              <w:fldChar w:fldCharType="end"/>
            </w:r>
          </w:hyperlink>
        </w:p>
        <w:p w14:paraId="4D603E88" w14:textId="4D86CD21" w:rsidR="00B7440B" w:rsidRPr="00B7440B" w:rsidRDefault="00E131BD">
          <w:pPr>
            <w:pStyle w:val="TOC4"/>
            <w:rPr>
              <w:rFonts w:eastAsiaTheme="minorEastAsia"/>
              <w:noProof/>
              <w:sz w:val="26"/>
              <w:szCs w:val="26"/>
            </w:rPr>
          </w:pPr>
          <w:hyperlink w:anchor="_Toc63764497" w:history="1">
            <w:r w:rsidR="00B7440B" w:rsidRPr="00B7440B">
              <w:rPr>
                <w:rStyle w:val="Hyperlink"/>
                <w:noProof/>
                <w:sz w:val="26"/>
                <w:szCs w:val="26"/>
              </w:rPr>
              <w:t>d.</w:t>
            </w:r>
            <w:r w:rsidR="00B7440B" w:rsidRPr="00B7440B">
              <w:rPr>
                <w:rFonts w:eastAsiaTheme="minorEastAsia"/>
                <w:noProof/>
                <w:sz w:val="26"/>
                <w:szCs w:val="26"/>
              </w:rPr>
              <w:tab/>
            </w:r>
            <w:r w:rsidR="00B7440B" w:rsidRPr="00B7440B">
              <w:rPr>
                <w:rStyle w:val="Hyperlink"/>
                <w:noProof/>
                <w:sz w:val="26"/>
                <w:szCs w:val="26"/>
              </w:rPr>
              <w:t>Disposition</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_Toc63764497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97</w:t>
            </w:r>
            <w:r w:rsidR="00B7440B" w:rsidRPr="00B7440B">
              <w:rPr>
                <w:noProof/>
                <w:webHidden/>
                <w:sz w:val="26"/>
                <w:szCs w:val="26"/>
              </w:rPr>
              <w:fldChar w:fldCharType="end"/>
            </w:r>
          </w:hyperlink>
        </w:p>
        <w:p w14:paraId="004BBE2D" w14:textId="30594E84" w:rsidR="00B7440B" w:rsidRPr="00B7440B" w:rsidRDefault="00E131BD">
          <w:pPr>
            <w:pStyle w:val="TOC2"/>
            <w:tabs>
              <w:tab w:val="left" w:pos="1440"/>
            </w:tabs>
            <w:rPr>
              <w:rFonts w:eastAsiaTheme="minorEastAsia"/>
              <w:noProof/>
              <w:sz w:val="26"/>
              <w:szCs w:val="26"/>
            </w:rPr>
          </w:pPr>
          <w:hyperlink w:anchor="_Toc63764498" w:history="1">
            <w:r w:rsidR="00B7440B" w:rsidRPr="00B7440B">
              <w:rPr>
                <w:rStyle w:val="Hyperlink"/>
                <w:noProof/>
                <w:sz w:val="26"/>
                <w:szCs w:val="26"/>
              </w:rPr>
              <w:t>H.</w:t>
            </w:r>
            <w:r w:rsidR="00B7440B" w:rsidRPr="00B7440B">
              <w:rPr>
                <w:rFonts w:eastAsiaTheme="minorEastAsia"/>
                <w:noProof/>
                <w:sz w:val="26"/>
                <w:szCs w:val="26"/>
              </w:rPr>
              <w:tab/>
            </w:r>
            <w:r w:rsidR="00B7440B" w:rsidRPr="00B7440B">
              <w:rPr>
                <w:rStyle w:val="Hyperlink"/>
                <w:noProof/>
                <w:sz w:val="26"/>
                <w:szCs w:val="26"/>
              </w:rPr>
              <w:t>Depreciation Expense</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_Toc63764498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98</w:t>
            </w:r>
            <w:r w:rsidR="00B7440B" w:rsidRPr="00B7440B">
              <w:rPr>
                <w:noProof/>
                <w:webHidden/>
                <w:sz w:val="26"/>
                <w:szCs w:val="26"/>
              </w:rPr>
              <w:fldChar w:fldCharType="end"/>
            </w:r>
          </w:hyperlink>
        </w:p>
        <w:p w14:paraId="74CB84DC" w14:textId="5631470B" w:rsidR="00B7440B" w:rsidRPr="00B7440B" w:rsidRDefault="00E131BD">
          <w:pPr>
            <w:pStyle w:val="TOC3"/>
            <w:rPr>
              <w:rFonts w:eastAsiaTheme="minorEastAsia"/>
              <w:noProof/>
              <w:sz w:val="26"/>
              <w:szCs w:val="26"/>
            </w:rPr>
          </w:pPr>
          <w:hyperlink w:anchor="_Toc63764499" w:history="1">
            <w:r w:rsidR="00B7440B" w:rsidRPr="00B7440B">
              <w:rPr>
                <w:rStyle w:val="Hyperlink"/>
                <w:noProof/>
                <w:sz w:val="26"/>
                <w:szCs w:val="26"/>
              </w:rPr>
              <w:t>1.</w:t>
            </w:r>
            <w:r w:rsidR="00B7440B" w:rsidRPr="00B7440B">
              <w:rPr>
                <w:rFonts w:eastAsiaTheme="minorEastAsia"/>
                <w:noProof/>
                <w:sz w:val="26"/>
                <w:szCs w:val="26"/>
              </w:rPr>
              <w:tab/>
            </w:r>
            <w:r w:rsidR="00B7440B" w:rsidRPr="00B7440B">
              <w:rPr>
                <w:rStyle w:val="Hyperlink"/>
                <w:noProof/>
                <w:sz w:val="26"/>
                <w:szCs w:val="26"/>
              </w:rPr>
              <w:t>Positions of the Parties</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_Toc63764499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98</w:t>
            </w:r>
            <w:r w:rsidR="00B7440B" w:rsidRPr="00B7440B">
              <w:rPr>
                <w:noProof/>
                <w:webHidden/>
                <w:sz w:val="26"/>
                <w:szCs w:val="26"/>
              </w:rPr>
              <w:fldChar w:fldCharType="end"/>
            </w:r>
          </w:hyperlink>
        </w:p>
        <w:p w14:paraId="3EB4D4D3" w14:textId="6CD2AFC3" w:rsidR="00B7440B" w:rsidRPr="00B7440B" w:rsidRDefault="00E131BD">
          <w:pPr>
            <w:pStyle w:val="TOC3"/>
            <w:rPr>
              <w:rFonts w:eastAsiaTheme="minorEastAsia"/>
              <w:noProof/>
              <w:sz w:val="26"/>
              <w:szCs w:val="26"/>
            </w:rPr>
          </w:pPr>
          <w:hyperlink w:anchor="_Toc63764500" w:history="1">
            <w:r w:rsidR="00B7440B" w:rsidRPr="00B7440B">
              <w:rPr>
                <w:rStyle w:val="Hyperlink"/>
                <w:noProof/>
                <w:sz w:val="26"/>
                <w:szCs w:val="26"/>
              </w:rPr>
              <w:t>2.</w:t>
            </w:r>
            <w:r w:rsidR="00B7440B" w:rsidRPr="00B7440B">
              <w:rPr>
                <w:rFonts w:eastAsiaTheme="minorEastAsia"/>
                <w:noProof/>
                <w:sz w:val="26"/>
                <w:szCs w:val="26"/>
              </w:rPr>
              <w:tab/>
            </w:r>
            <w:r w:rsidR="00B7440B" w:rsidRPr="00B7440B">
              <w:rPr>
                <w:rStyle w:val="Hyperlink"/>
                <w:noProof/>
                <w:sz w:val="26"/>
                <w:szCs w:val="26"/>
              </w:rPr>
              <w:t>Recommended Decision</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_Toc63764500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98</w:t>
            </w:r>
            <w:r w:rsidR="00B7440B" w:rsidRPr="00B7440B">
              <w:rPr>
                <w:noProof/>
                <w:webHidden/>
                <w:sz w:val="26"/>
                <w:szCs w:val="26"/>
              </w:rPr>
              <w:fldChar w:fldCharType="end"/>
            </w:r>
          </w:hyperlink>
        </w:p>
        <w:p w14:paraId="3A556FE7" w14:textId="1E88019F" w:rsidR="00B7440B" w:rsidRPr="00B7440B" w:rsidRDefault="00E131BD">
          <w:pPr>
            <w:pStyle w:val="TOC3"/>
            <w:rPr>
              <w:rFonts w:eastAsiaTheme="minorEastAsia"/>
              <w:noProof/>
              <w:sz w:val="26"/>
              <w:szCs w:val="26"/>
            </w:rPr>
          </w:pPr>
          <w:hyperlink w:anchor="_Toc63764501" w:history="1">
            <w:r w:rsidR="00B7440B" w:rsidRPr="00B7440B">
              <w:rPr>
                <w:rStyle w:val="Hyperlink"/>
                <w:noProof/>
                <w:sz w:val="26"/>
                <w:szCs w:val="26"/>
              </w:rPr>
              <w:t>3.</w:t>
            </w:r>
            <w:r w:rsidR="00B7440B" w:rsidRPr="00B7440B">
              <w:rPr>
                <w:rFonts w:eastAsiaTheme="minorEastAsia"/>
                <w:noProof/>
                <w:sz w:val="26"/>
                <w:szCs w:val="26"/>
              </w:rPr>
              <w:tab/>
            </w:r>
            <w:r w:rsidR="00B7440B" w:rsidRPr="00B7440B">
              <w:rPr>
                <w:rStyle w:val="Hyperlink"/>
                <w:noProof/>
                <w:sz w:val="26"/>
                <w:szCs w:val="26"/>
              </w:rPr>
              <w:t>Columbia Exception No. 14 and Replies</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_Toc63764501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98</w:t>
            </w:r>
            <w:r w:rsidR="00B7440B" w:rsidRPr="00B7440B">
              <w:rPr>
                <w:noProof/>
                <w:webHidden/>
                <w:sz w:val="26"/>
                <w:szCs w:val="26"/>
              </w:rPr>
              <w:fldChar w:fldCharType="end"/>
            </w:r>
          </w:hyperlink>
        </w:p>
        <w:p w14:paraId="7AB2D52B" w14:textId="5CC552FF" w:rsidR="00B7440B" w:rsidRPr="00B7440B" w:rsidRDefault="00E131BD">
          <w:pPr>
            <w:pStyle w:val="TOC3"/>
            <w:rPr>
              <w:rFonts w:eastAsiaTheme="minorEastAsia"/>
              <w:noProof/>
              <w:sz w:val="26"/>
              <w:szCs w:val="26"/>
            </w:rPr>
          </w:pPr>
          <w:hyperlink w:anchor="_Toc63764502" w:history="1">
            <w:r w:rsidR="00B7440B" w:rsidRPr="00B7440B">
              <w:rPr>
                <w:rStyle w:val="Hyperlink"/>
                <w:noProof/>
                <w:sz w:val="26"/>
                <w:szCs w:val="26"/>
              </w:rPr>
              <w:t>4.</w:t>
            </w:r>
            <w:r w:rsidR="00B7440B" w:rsidRPr="00B7440B">
              <w:rPr>
                <w:rFonts w:eastAsiaTheme="minorEastAsia"/>
                <w:noProof/>
                <w:sz w:val="26"/>
                <w:szCs w:val="26"/>
              </w:rPr>
              <w:tab/>
            </w:r>
            <w:r w:rsidR="00B7440B" w:rsidRPr="00B7440B">
              <w:rPr>
                <w:rStyle w:val="Hyperlink"/>
                <w:noProof/>
                <w:sz w:val="26"/>
                <w:szCs w:val="26"/>
              </w:rPr>
              <w:t>Disposition</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_Toc63764502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99</w:t>
            </w:r>
            <w:r w:rsidR="00B7440B" w:rsidRPr="00B7440B">
              <w:rPr>
                <w:noProof/>
                <w:webHidden/>
                <w:sz w:val="26"/>
                <w:szCs w:val="26"/>
              </w:rPr>
              <w:fldChar w:fldCharType="end"/>
            </w:r>
          </w:hyperlink>
        </w:p>
        <w:p w14:paraId="39A8D42C" w14:textId="2A1329BA" w:rsidR="00B7440B" w:rsidRPr="00B7440B" w:rsidRDefault="00E131BD">
          <w:pPr>
            <w:pStyle w:val="TOC1"/>
            <w:rPr>
              <w:rFonts w:eastAsiaTheme="minorEastAsia"/>
              <w:b w:val="0"/>
              <w:bCs w:val="0"/>
            </w:rPr>
          </w:pPr>
          <w:hyperlink w:anchor="_Toc63764503" w:history="1">
            <w:r w:rsidR="00B7440B" w:rsidRPr="00B7440B">
              <w:rPr>
                <w:rStyle w:val="Hyperlink"/>
                <w:b w:val="0"/>
                <w:bCs w:val="0"/>
              </w:rPr>
              <w:t>VIII.</w:t>
            </w:r>
            <w:r w:rsidR="00B7440B" w:rsidRPr="00B7440B">
              <w:rPr>
                <w:rFonts w:eastAsiaTheme="minorEastAsia"/>
                <w:b w:val="0"/>
                <w:bCs w:val="0"/>
              </w:rPr>
              <w:tab/>
            </w:r>
            <w:r w:rsidR="00B7440B" w:rsidRPr="00B7440B">
              <w:rPr>
                <w:rStyle w:val="Hyperlink"/>
                <w:b w:val="0"/>
                <w:bCs w:val="0"/>
              </w:rPr>
              <w:t>Taxes</w:t>
            </w:r>
            <w:r w:rsidR="00B7440B" w:rsidRPr="00B7440B">
              <w:rPr>
                <w:b w:val="0"/>
                <w:bCs w:val="0"/>
                <w:webHidden/>
              </w:rPr>
              <w:tab/>
            </w:r>
            <w:r w:rsidR="00B7440B" w:rsidRPr="00B7440B">
              <w:rPr>
                <w:b w:val="0"/>
                <w:bCs w:val="0"/>
                <w:webHidden/>
              </w:rPr>
              <w:fldChar w:fldCharType="begin"/>
            </w:r>
            <w:r w:rsidR="00B7440B" w:rsidRPr="00B7440B">
              <w:rPr>
                <w:b w:val="0"/>
                <w:bCs w:val="0"/>
                <w:webHidden/>
              </w:rPr>
              <w:instrText xml:space="preserve"> PAGEREF _Toc63764503 \h </w:instrText>
            </w:r>
            <w:r w:rsidR="00B7440B" w:rsidRPr="00B7440B">
              <w:rPr>
                <w:b w:val="0"/>
                <w:bCs w:val="0"/>
                <w:webHidden/>
              </w:rPr>
            </w:r>
            <w:r w:rsidR="00B7440B" w:rsidRPr="00B7440B">
              <w:rPr>
                <w:b w:val="0"/>
                <w:bCs w:val="0"/>
                <w:webHidden/>
              </w:rPr>
              <w:fldChar w:fldCharType="separate"/>
            </w:r>
            <w:r w:rsidR="0066040B">
              <w:rPr>
                <w:b w:val="0"/>
                <w:bCs w:val="0"/>
                <w:webHidden/>
              </w:rPr>
              <w:t>99</w:t>
            </w:r>
            <w:r w:rsidR="00B7440B" w:rsidRPr="00B7440B">
              <w:rPr>
                <w:b w:val="0"/>
                <w:bCs w:val="0"/>
                <w:webHidden/>
              </w:rPr>
              <w:fldChar w:fldCharType="end"/>
            </w:r>
          </w:hyperlink>
        </w:p>
        <w:p w14:paraId="1CE07813" w14:textId="70BA3A7F" w:rsidR="00B7440B" w:rsidRPr="00B7440B" w:rsidRDefault="00E131BD">
          <w:pPr>
            <w:pStyle w:val="TOC2"/>
            <w:tabs>
              <w:tab w:val="left" w:pos="1440"/>
            </w:tabs>
            <w:rPr>
              <w:rFonts w:eastAsiaTheme="minorEastAsia"/>
              <w:noProof/>
              <w:sz w:val="26"/>
              <w:szCs w:val="26"/>
            </w:rPr>
          </w:pPr>
          <w:hyperlink w:anchor="_Toc63764504" w:history="1">
            <w:r w:rsidR="00B7440B" w:rsidRPr="00B7440B">
              <w:rPr>
                <w:rStyle w:val="Hyperlink"/>
                <w:noProof/>
                <w:sz w:val="26"/>
                <w:szCs w:val="26"/>
              </w:rPr>
              <w:t>A.</w:t>
            </w:r>
            <w:r w:rsidR="00B7440B" w:rsidRPr="00B7440B">
              <w:rPr>
                <w:rFonts w:eastAsiaTheme="minorEastAsia"/>
                <w:noProof/>
                <w:sz w:val="26"/>
                <w:szCs w:val="26"/>
              </w:rPr>
              <w:tab/>
            </w:r>
            <w:r w:rsidR="00B7440B" w:rsidRPr="00B7440B">
              <w:rPr>
                <w:rStyle w:val="Hyperlink"/>
                <w:noProof/>
                <w:sz w:val="26"/>
                <w:szCs w:val="26"/>
              </w:rPr>
              <w:t>Taxes Other Than Income Taxes</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_Toc63764504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99</w:t>
            </w:r>
            <w:r w:rsidR="00B7440B" w:rsidRPr="00B7440B">
              <w:rPr>
                <w:noProof/>
                <w:webHidden/>
                <w:sz w:val="26"/>
                <w:szCs w:val="26"/>
              </w:rPr>
              <w:fldChar w:fldCharType="end"/>
            </w:r>
          </w:hyperlink>
        </w:p>
        <w:p w14:paraId="6A6B2D71" w14:textId="37A70A0F" w:rsidR="00B7440B" w:rsidRPr="00B7440B" w:rsidRDefault="00E131BD">
          <w:pPr>
            <w:pStyle w:val="TOC3"/>
            <w:rPr>
              <w:rFonts w:eastAsiaTheme="minorEastAsia"/>
              <w:noProof/>
              <w:sz w:val="26"/>
              <w:szCs w:val="26"/>
            </w:rPr>
          </w:pPr>
          <w:hyperlink w:anchor="_Toc63764505" w:history="1">
            <w:r w:rsidR="00B7440B" w:rsidRPr="00B7440B">
              <w:rPr>
                <w:rStyle w:val="Hyperlink"/>
                <w:noProof/>
                <w:sz w:val="26"/>
                <w:szCs w:val="26"/>
              </w:rPr>
              <w:t>1.</w:t>
            </w:r>
            <w:r w:rsidR="00B7440B" w:rsidRPr="00B7440B">
              <w:rPr>
                <w:rFonts w:eastAsiaTheme="minorEastAsia"/>
                <w:noProof/>
                <w:sz w:val="26"/>
                <w:szCs w:val="26"/>
              </w:rPr>
              <w:tab/>
            </w:r>
            <w:r w:rsidR="00B7440B" w:rsidRPr="00B7440B">
              <w:rPr>
                <w:rStyle w:val="Hyperlink"/>
                <w:noProof/>
                <w:sz w:val="26"/>
                <w:szCs w:val="26"/>
              </w:rPr>
              <w:t>Positions of the Parties</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_Toc63764505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99</w:t>
            </w:r>
            <w:r w:rsidR="00B7440B" w:rsidRPr="00B7440B">
              <w:rPr>
                <w:noProof/>
                <w:webHidden/>
                <w:sz w:val="26"/>
                <w:szCs w:val="26"/>
              </w:rPr>
              <w:fldChar w:fldCharType="end"/>
            </w:r>
          </w:hyperlink>
        </w:p>
        <w:p w14:paraId="2CBB3F43" w14:textId="4123F62A" w:rsidR="00B7440B" w:rsidRPr="00B7440B" w:rsidRDefault="00E131BD">
          <w:pPr>
            <w:pStyle w:val="TOC3"/>
            <w:rPr>
              <w:rFonts w:eastAsiaTheme="minorEastAsia"/>
              <w:noProof/>
              <w:sz w:val="26"/>
              <w:szCs w:val="26"/>
            </w:rPr>
          </w:pPr>
          <w:hyperlink w:anchor="_Toc63764506" w:history="1">
            <w:r w:rsidR="00B7440B" w:rsidRPr="00B7440B">
              <w:rPr>
                <w:rStyle w:val="Hyperlink"/>
                <w:noProof/>
                <w:sz w:val="26"/>
                <w:szCs w:val="26"/>
              </w:rPr>
              <w:t>2.</w:t>
            </w:r>
            <w:r w:rsidR="00B7440B" w:rsidRPr="00B7440B">
              <w:rPr>
                <w:rFonts w:eastAsiaTheme="minorEastAsia"/>
                <w:noProof/>
                <w:sz w:val="26"/>
                <w:szCs w:val="26"/>
              </w:rPr>
              <w:tab/>
            </w:r>
            <w:r w:rsidR="00B7440B" w:rsidRPr="00B7440B">
              <w:rPr>
                <w:rStyle w:val="Hyperlink"/>
                <w:noProof/>
                <w:sz w:val="26"/>
                <w:szCs w:val="26"/>
              </w:rPr>
              <w:t>Recommended Decision</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_Toc63764506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100</w:t>
            </w:r>
            <w:r w:rsidR="00B7440B" w:rsidRPr="00B7440B">
              <w:rPr>
                <w:noProof/>
                <w:webHidden/>
                <w:sz w:val="26"/>
                <w:szCs w:val="26"/>
              </w:rPr>
              <w:fldChar w:fldCharType="end"/>
            </w:r>
          </w:hyperlink>
        </w:p>
        <w:p w14:paraId="2676C6CE" w14:textId="2CA77663" w:rsidR="00B7440B" w:rsidRPr="00B7440B" w:rsidRDefault="00E131BD">
          <w:pPr>
            <w:pStyle w:val="TOC3"/>
            <w:rPr>
              <w:rFonts w:eastAsiaTheme="minorEastAsia"/>
              <w:noProof/>
              <w:sz w:val="26"/>
              <w:szCs w:val="26"/>
            </w:rPr>
          </w:pPr>
          <w:hyperlink w:anchor="_Toc63764507" w:history="1">
            <w:r w:rsidR="00B7440B" w:rsidRPr="00B7440B">
              <w:rPr>
                <w:rStyle w:val="Hyperlink"/>
                <w:noProof/>
                <w:sz w:val="26"/>
                <w:szCs w:val="26"/>
              </w:rPr>
              <w:t>3.</w:t>
            </w:r>
            <w:r w:rsidR="00B7440B" w:rsidRPr="00B7440B">
              <w:rPr>
                <w:rFonts w:eastAsiaTheme="minorEastAsia"/>
                <w:noProof/>
                <w:sz w:val="26"/>
                <w:szCs w:val="26"/>
              </w:rPr>
              <w:tab/>
            </w:r>
            <w:r w:rsidR="00B7440B" w:rsidRPr="00B7440B">
              <w:rPr>
                <w:rStyle w:val="Hyperlink"/>
                <w:noProof/>
                <w:sz w:val="26"/>
                <w:szCs w:val="26"/>
              </w:rPr>
              <w:t>Exceptions and Replies</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_Toc63764507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100</w:t>
            </w:r>
            <w:r w:rsidR="00B7440B" w:rsidRPr="00B7440B">
              <w:rPr>
                <w:noProof/>
                <w:webHidden/>
                <w:sz w:val="26"/>
                <w:szCs w:val="26"/>
              </w:rPr>
              <w:fldChar w:fldCharType="end"/>
            </w:r>
          </w:hyperlink>
        </w:p>
        <w:p w14:paraId="35B5A208" w14:textId="53914628" w:rsidR="00B7440B" w:rsidRPr="00B7440B" w:rsidRDefault="00E131BD">
          <w:pPr>
            <w:pStyle w:val="TOC3"/>
            <w:rPr>
              <w:rFonts w:eastAsiaTheme="minorEastAsia"/>
              <w:noProof/>
              <w:sz w:val="26"/>
              <w:szCs w:val="26"/>
            </w:rPr>
          </w:pPr>
          <w:hyperlink w:anchor="_Toc63764508" w:history="1">
            <w:r w:rsidR="00B7440B" w:rsidRPr="00B7440B">
              <w:rPr>
                <w:rStyle w:val="Hyperlink"/>
                <w:noProof/>
                <w:sz w:val="26"/>
                <w:szCs w:val="26"/>
              </w:rPr>
              <w:t>4.</w:t>
            </w:r>
            <w:r w:rsidR="00B7440B" w:rsidRPr="00B7440B">
              <w:rPr>
                <w:rFonts w:eastAsiaTheme="minorEastAsia"/>
                <w:noProof/>
                <w:sz w:val="26"/>
                <w:szCs w:val="26"/>
              </w:rPr>
              <w:tab/>
            </w:r>
            <w:r w:rsidR="00B7440B" w:rsidRPr="00B7440B">
              <w:rPr>
                <w:rStyle w:val="Hyperlink"/>
                <w:noProof/>
                <w:sz w:val="26"/>
                <w:szCs w:val="26"/>
              </w:rPr>
              <w:t>Disposition</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_Toc63764508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101</w:t>
            </w:r>
            <w:r w:rsidR="00B7440B" w:rsidRPr="00B7440B">
              <w:rPr>
                <w:noProof/>
                <w:webHidden/>
                <w:sz w:val="26"/>
                <w:szCs w:val="26"/>
              </w:rPr>
              <w:fldChar w:fldCharType="end"/>
            </w:r>
          </w:hyperlink>
        </w:p>
        <w:p w14:paraId="1415D48A" w14:textId="2FBDC0CA" w:rsidR="00B7440B" w:rsidRPr="00B7440B" w:rsidRDefault="00E131BD">
          <w:pPr>
            <w:pStyle w:val="TOC2"/>
            <w:tabs>
              <w:tab w:val="left" w:pos="1440"/>
            </w:tabs>
            <w:rPr>
              <w:rFonts w:eastAsiaTheme="minorEastAsia"/>
              <w:noProof/>
              <w:sz w:val="26"/>
              <w:szCs w:val="26"/>
            </w:rPr>
          </w:pPr>
          <w:hyperlink w:anchor="_Toc63764509" w:history="1">
            <w:r w:rsidR="00B7440B" w:rsidRPr="00B7440B">
              <w:rPr>
                <w:rStyle w:val="Hyperlink"/>
                <w:noProof/>
                <w:sz w:val="26"/>
                <w:szCs w:val="26"/>
              </w:rPr>
              <w:t>B.</w:t>
            </w:r>
            <w:r w:rsidR="00B7440B" w:rsidRPr="00B7440B">
              <w:rPr>
                <w:rFonts w:eastAsiaTheme="minorEastAsia"/>
                <w:noProof/>
                <w:sz w:val="26"/>
                <w:szCs w:val="26"/>
              </w:rPr>
              <w:tab/>
            </w:r>
            <w:r w:rsidR="00B7440B" w:rsidRPr="00B7440B">
              <w:rPr>
                <w:rStyle w:val="Hyperlink"/>
                <w:noProof/>
                <w:sz w:val="26"/>
                <w:szCs w:val="26"/>
              </w:rPr>
              <w:t>Income Taxes</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_Toc63764509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101</w:t>
            </w:r>
            <w:r w:rsidR="00B7440B" w:rsidRPr="00B7440B">
              <w:rPr>
                <w:noProof/>
                <w:webHidden/>
                <w:sz w:val="26"/>
                <w:szCs w:val="26"/>
              </w:rPr>
              <w:fldChar w:fldCharType="end"/>
            </w:r>
          </w:hyperlink>
        </w:p>
        <w:p w14:paraId="24877E7D" w14:textId="7801A235" w:rsidR="00B7440B" w:rsidRPr="00B7440B" w:rsidRDefault="00E131BD">
          <w:pPr>
            <w:pStyle w:val="TOC3"/>
            <w:rPr>
              <w:rFonts w:eastAsiaTheme="minorEastAsia"/>
              <w:noProof/>
              <w:sz w:val="26"/>
              <w:szCs w:val="26"/>
            </w:rPr>
          </w:pPr>
          <w:hyperlink w:anchor="_Toc63764510" w:history="1">
            <w:r w:rsidR="00B7440B" w:rsidRPr="00B7440B">
              <w:rPr>
                <w:rStyle w:val="Hyperlink"/>
                <w:noProof/>
                <w:sz w:val="26"/>
                <w:szCs w:val="26"/>
              </w:rPr>
              <w:t>1.</w:t>
            </w:r>
            <w:r w:rsidR="00B7440B" w:rsidRPr="00B7440B">
              <w:rPr>
                <w:rFonts w:eastAsiaTheme="minorEastAsia"/>
                <w:noProof/>
                <w:sz w:val="26"/>
                <w:szCs w:val="26"/>
              </w:rPr>
              <w:tab/>
            </w:r>
            <w:r w:rsidR="00B7440B" w:rsidRPr="00B7440B">
              <w:rPr>
                <w:rStyle w:val="Hyperlink"/>
                <w:noProof/>
                <w:sz w:val="26"/>
                <w:szCs w:val="26"/>
              </w:rPr>
              <w:t>Positions of the Parties</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_Toc63764510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101</w:t>
            </w:r>
            <w:r w:rsidR="00B7440B" w:rsidRPr="00B7440B">
              <w:rPr>
                <w:noProof/>
                <w:webHidden/>
                <w:sz w:val="26"/>
                <w:szCs w:val="26"/>
              </w:rPr>
              <w:fldChar w:fldCharType="end"/>
            </w:r>
          </w:hyperlink>
        </w:p>
        <w:p w14:paraId="7D0C3867" w14:textId="2F775679" w:rsidR="00B7440B" w:rsidRPr="00B7440B" w:rsidRDefault="00E131BD">
          <w:pPr>
            <w:pStyle w:val="TOC3"/>
            <w:rPr>
              <w:rFonts w:eastAsiaTheme="minorEastAsia"/>
              <w:noProof/>
              <w:sz w:val="26"/>
              <w:szCs w:val="26"/>
            </w:rPr>
          </w:pPr>
          <w:hyperlink w:anchor="_Toc63764511" w:history="1">
            <w:r w:rsidR="00B7440B" w:rsidRPr="00B7440B">
              <w:rPr>
                <w:rStyle w:val="Hyperlink"/>
                <w:noProof/>
                <w:sz w:val="26"/>
                <w:szCs w:val="26"/>
              </w:rPr>
              <w:t>2.</w:t>
            </w:r>
            <w:r w:rsidR="00B7440B" w:rsidRPr="00B7440B">
              <w:rPr>
                <w:rFonts w:eastAsiaTheme="minorEastAsia"/>
                <w:noProof/>
                <w:sz w:val="26"/>
                <w:szCs w:val="26"/>
              </w:rPr>
              <w:tab/>
            </w:r>
            <w:r w:rsidR="00B7440B" w:rsidRPr="00B7440B">
              <w:rPr>
                <w:rStyle w:val="Hyperlink"/>
                <w:noProof/>
                <w:sz w:val="26"/>
                <w:szCs w:val="26"/>
              </w:rPr>
              <w:t>Recommended Decision</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_Toc63764511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102</w:t>
            </w:r>
            <w:r w:rsidR="00B7440B" w:rsidRPr="00B7440B">
              <w:rPr>
                <w:noProof/>
                <w:webHidden/>
                <w:sz w:val="26"/>
                <w:szCs w:val="26"/>
              </w:rPr>
              <w:fldChar w:fldCharType="end"/>
            </w:r>
          </w:hyperlink>
        </w:p>
        <w:p w14:paraId="58DCD40F" w14:textId="1663BE76" w:rsidR="00B7440B" w:rsidRPr="00B7440B" w:rsidRDefault="00E131BD">
          <w:pPr>
            <w:pStyle w:val="TOC3"/>
            <w:rPr>
              <w:rFonts w:eastAsiaTheme="minorEastAsia"/>
              <w:noProof/>
              <w:sz w:val="26"/>
              <w:szCs w:val="26"/>
            </w:rPr>
          </w:pPr>
          <w:hyperlink w:anchor="_Toc63764512" w:history="1">
            <w:r w:rsidR="00B7440B" w:rsidRPr="00B7440B">
              <w:rPr>
                <w:rStyle w:val="Hyperlink"/>
                <w:noProof/>
                <w:sz w:val="26"/>
                <w:szCs w:val="26"/>
              </w:rPr>
              <w:t>3.</w:t>
            </w:r>
            <w:r w:rsidR="00B7440B" w:rsidRPr="00B7440B">
              <w:rPr>
                <w:rFonts w:eastAsiaTheme="minorEastAsia"/>
                <w:noProof/>
                <w:sz w:val="26"/>
                <w:szCs w:val="26"/>
              </w:rPr>
              <w:tab/>
            </w:r>
            <w:r w:rsidR="00B7440B" w:rsidRPr="00B7440B">
              <w:rPr>
                <w:rStyle w:val="Hyperlink"/>
                <w:noProof/>
                <w:sz w:val="26"/>
                <w:szCs w:val="26"/>
              </w:rPr>
              <w:t>Disposition</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_Toc63764512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102</w:t>
            </w:r>
            <w:r w:rsidR="00B7440B" w:rsidRPr="00B7440B">
              <w:rPr>
                <w:noProof/>
                <w:webHidden/>
                <w:sz w:val="26"/>
                <w:szCs w:val="26"/>
              </w:rPr>
              <w:fldChar w:fldCharType="end"/>
            </w:r>
          </w:hyperlink>
        </w:p>
        <w:p w14:paraId="2AC01B0B" w14:textId="7740B30A" w:rsidR="00B7440B" w:rsidRPr="00B7440B" w:rsidRDefault="00E131BD">
          <w:pPr>
            <w:pStyle w:val="TOC1"/>
            <w:rPr>
              <w:rFonts w:eastAsiaTheme="minorEastAsia"/>
              <w:b w:val="0"/>
              <w:bCs w:val="0"/>
            </w:rPr>
          </w:pPr>
          <w:hyperlink w:anchor="_Toc63764513" w:history="1">
            <w:r w:rsidR="00B7440B" w:rsidRPr="00B7440B">
              <w:rPr>
                <w:rStyle w:val="Hyperlink"/>
                <w:b w:val="0"/>
                <w:bCs w:val="0"/>
              </w:rPr>
              <w:t>IX.</w:t>
            </w:r>
            <w:r w:rsidR="00B7440B" w:rsidRPr="00B7440B">
              <w:rPr>
                <w:rFonts w:eastAsiaTheme="minorEastAsia"/>
                <w:b w:val="0"/>
                <w:bCs w:val="0"/>
              </w:rPr>
              <w:tab/>
            </w:r>
            <w:r w:rsidR="00B7440B" w:rsidRPr="00B7440B">
              <w:rPr>
                <w:rStyle w:val="Hyperlink"/>
                <w:b w:val="0"/>
                <w:bCs w:val="0"/>
              </w:rPr>
              <w:t>Fair Rate of Return</w:t>
            </w:r>
            <w:r w:rsidR="00B7440B" w:rsidRPr="00B7440B">
              <w:rPr>
                <w:b w:val="0"/>
                <w:bCs w:val="0"/>
                <w:webHidden/>
              </w:rPr>
              <w:tab/>
            </w:r>
            <w:r w:rsidR="00B7440B" w:rsidRPr="00B7440B">
              <w:rPr>
                <w:b w:val="0"/>
                <w:bCs w:val="0"/>
                <w:webHidden/>
              </w:rPr>
              <w:fldChar w:fldCharType="begin"/>
            </w:r>
            <w:r w:rsidR="00B7440B" w:rsidRPr="00B7440B">
              <w:rPr>
                <w:b w:val="0"/>
                <w:bCs w:val="0"/>
                <w:webHidden/>
              </w:rPr>
              <w:instrText xml:space="preserve"> PAGEREF _Toc63764513 \h </w:instrText>
            </w:r>
            <w:r w:rsidR="00B7440B" w:rsidRPr="00B7440B">
              <w:rPr>
                <w:b w:val="0"/>
                <w:bCs w:val="0"/>
                <w:webHidden/>
              </w:rPr>
            </w:r>
            <w:r w:rsidR="00B7440B" w:rsidRPr="00B7440B">
              <w:rPr>
                <w:b w:val="0"/>
                <w:bCs w:val="0"/>
                <w:webHidden/>
              </w:rPr>
              <w:fldChar w:fldCharType="separate"/>
            </w:r>
            <w:r w:rsidR="0066040B">
              <w:rPr>
                <w:b w:val="0"/>
                <w:bCs w:val="0"/>
                <w:webHidden/>
              </w:rPr>
              <w:t>103</w:t>
            </w:r>
            <w:r w:rsidR="00B7440B" w:rsidRPr="00B7440B">
              <w:rPr>
                <w:b w:val="0"/>
                <w:bCs w:val="0"/>
                <w:webHidden/>
              </w:rPr>
              <w:fldChar w:fldCharType="end"/>
            </w:r>
          </w:hyperlink>
        </w:p>
        <w:p w14:paraId="26DA3570" w14:textId="052182EE" w:rsidR="00B7440B" w:rsidRPr="00B7440B" w:rsidRDefault="00E131BD">
          <w:pPr>
            <w:pStyle w:val="TOC2"/>
            <w:tabs>
              <w:tab w:val="left" w:pos="1440"/>
            </w:tabs>
            <w:rPr>
              <w:rFonts w:eastAsiaTheme="minorEastAsia"/>
              <w:noProof/>
              <w:sz w:val="26"/>
              <w:szCs w:val="26"/>
            </w:rPr>
          </w:pPr>
          <w:hyperlink w:anchor="_Toc63764514" w:history="1">
            <w:r w:rsidR="00B7440B" w:rsidRPr="00B7440B">
              <w:rPr>
                <w:rStyle w:val="Hyperlink"/>
                <w:noProof/>
                <w:sz w:val="26"/>
                <w:szCs w:val="26"/>
              </w:rPr>
              <w:t>A.</w:t>
            </w:r>
            <w:r w:rsidR="00B7440B" w:rsidRPr="00B7440B">
              <w:rPr>
                <w:rFonts w:eastAsiaTheme="minorEastAsia"/>
                <w:noProof/>
                <w:sz w:val="26"/>
                <w:szCs w:val="26"/>
              </w:rPr>
              <w:tab/>
            </w:r>
            <w:r w:rsidR="00B7440B" w:rsidRPr="00B7440B">
              <w:rPr>
                <w:rStyle w:val="Hyperlink"/>
                <w:noProof/>
                <w:sz w:val="26"/>
                <w:szCs w:val="26"/>
              </w:rPr>
              <w:t>Proxy Groups</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_Toc63764514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103</w:t>
            </w:r>
            <w:r w:rsidR="00B7440B" w:rsidRPr="00B7440B">
              <w:rPr>
                <w:noProof/>
                <w:webHidden/>
                <w:sz w:val="26"/>
                <w:szCs w:val="26"/>
              </w:rPr>
              <w:fldChar w:fldCharType="end"/>
            </w:r>
          </w:hyperlink>
        </w:p>
        <w:p w14:paraId="1C40C542" w14:textId="79734E38" w:rsidR="00B7440B" w:rsidRPr="00B7440B" w:rsidRDefault="00E131BD">
          <w:pPr>
            <w:pStyle w:val="TOC3"/>
            <w:rPr>
              <w:rFonts w:eastAsiaTheme="minorEastAsia"/>
              <w:noProof/>
              <w:sz w:val="26"/>
              <w:szCs w:val="26"/>
            </w:rPr>
          </w:pPr>
          <w:hyperlink w:anchor="_Toc63764515" w:history="1">
            <w:r w:rsidR="00B7440B" w:rsidRPr="00B7440B">
              <w:rPr>
                <w:rStyle w:val="Hyperlink"/>
                <w:noProof/>
                <w:sz w:val="26"/>
                <w:szCs w:val="26"/>
              </w:rPr>
              <w:t>1.</w:t>
            </w:r>
            <w:r w:rsidR="00B7440B" w:rsidRPr="00B7440B">
              <w:rPr>
                <w:rFonts w:eastAsiaTheme="minorEastAsia"/>
                <w:noProof/>
                <w:sz w:val="26"/>
                <w:szCs w:val="26"/>
              </w:rPr>
              <w:tab/>
            </w:r>
            <w:r w:rsidR="00B7440B" w:rsidRPr="00B7440B">
              <w:rPr>
                <w:rStyle w:val="Hyperlink"/>
                <w:noProof/>
                <w:sz w:val="26"/>
                <w:szCs w:val="26"/>
              </w:rPr>
              <w:t>Positions of the Parties</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_Toc63764515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103</w:t>
            </w:r>
            <w:r w:rsidR="00B7440B" w:rsidRPr="00B7440B">
              <w:rPr>
                <w:noProof/>
                <w:webHidden/>
                <w:sz w:val="26"/>
                <w:szCs w:val="26"/>
              </w:rPr>
              <w:fldChar w:fldCharType="end"/>
            </w:r>
          </w:hyperlink>
        </w:p>
        <w:p w14:paraId="7BDC37F6" w14:textId="6FE581E7" w:rsidR="00B7440B" w:rsidRPr="00B7440B" w:rsidRDefault="00E131BD">
          <w:pPr>
            <w:pStyle w:val="TOC3"/>
            <w:rPr>
              <w:rFonts w:eastAsiaTheme="minorEastAsia"/>
              <w:noProof/>
              <w:sz w:val="26"/>
              <w:szCs w:val="26"/>
            </w:rPr>
          </w:pPr>
          <w:hyperlink w:anchor="_Toc63764516" w:history="1">
            <w:r w:rsidR="00B7440B" w:rsidRPr="00B7440B">
              <w:rPr>
                <w:rStyle w:val="Hyperlink"/>
                <w:noProof/>
                <w:sz w:val="26"/>
                <w:szCs w:val="26"/>
              </w:rPr>
              <w:t>2.</w:t>
            </w:r>
            <w:r w:rsidR="00B7440B" w:rsidRPr="00B7440B">
              <w:rPr>
                <w:rFonts w:eastAsiaTheme="minorEastAsia"/>
                <w:noProof/>
                <w:sz w:val="26"/>
                <w:szCs w:val="26"/>
              </w:rPr>
              <w:tab/>
            </w:r>
            <w:r w:rsidR="00B7440B" w:rsidRPr="00B7440B">
              <w:rPr>
                <w:rStyle w:val="Hyperlink"/>
                <w:noProof/>
                <w:sz w:val="26"/>
                <w:szCs w:val="26"/>
              </w:rPr>
              <w:t>Recommended Decision</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_Toc63764516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107</w:t>
            </w:r>
            <w:r w:rsidR="00B7440B" w:rsidRPr="00B7440B">
              <w:rPr>
                <w:noProof/>
                <w:webHidden/>
                <w:sz w:val="26"/>
                <w:szCs w:val="26"/>
              </w:rPr>
              <w:fldChar w:fldCharType="end"/>
            </w:r>
          </w:hyperlink>
        </w:p>
        <w:p w14:paraId="4A5BC10B" w14:textId="27FFBC4C" w:rsidR="00B7440B" w:rsidRPr="00B7440B" w:rsidRDefault="00E131BD">
          <w:pPr>
            <w:pStyle w:val="TOC3"/>
            <w:rPr>
              <w:rFonts w:eastAsiaTheme="minorEastAsia"/>
              <w:noProof/>
              <w:sz w:val="26"/>
              <w:szCs w:val="26"/>
            </w:rPr>
          </w:pPr>
          <w:hyperlink w:anchor="_Toc63764517" w:history="1">
            <w:r w:rsidR="00B7440B" w:rsidRPr="00B7440B">
              <w:rPr>
                <w:rStyle w:val="Hyperlink"/>
                <w:noProof/>
                <w:sz w:val="26"/>
                <w:szCs w:val="26"/>
              </w:rPr>
              <w:t>3.</w:t>
            </w:r>
            <w:r w:rsidR="00B7440B" w:rsidRPr="00B7440B">
              <w:rPr>
                <w:rFonts w:eastAsiaTheme="minorEastAsia"/>
                <w:noProof/>
                <w:sz w:val="26"/>
                <w:szCs w:val="26"/>
              </w:rPr>
              <w:tab/>
            </w:r>
            <w:r w:rsidR="00B7440B" w:rsidRPr="00B7440B">
              <w:rPr>
                <w:rStyle w:val="Hyperlink"/>
                <w:noProof/>
                <w:sz w:val="26"/>
                <w:szCs w:val="26"/>
              </w:rPr>
              <w:t>OCA Exception No. 3A and Replies</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_Toc63764517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108</w:t>
            </w:r>
            <w:r w:rsidR="00B7440B" w:rsidRPr="00B7440B">
              <w:rPr>
                <w:noProof/>
                <w:webHidden/>
                <w:sz w:val="26"/>
                <w:szCs w:val="26"/>
              </w:rPr>
              <w:fldChar w:fldCharType="end"/>
            </w:r>
          </w:hyperlink>
        </w:p>
        <w:p w14:paraId="3D099365" w14:textId="6CFDD839" w:rsidR="00B7440B" w:rsidRPr="00B7440B" w:rsidRDefault="00E131BD">
          <w:pPr>
            <w:pStyle w:val="TOC3"/>
            <w:rPr>
              <w:rFonts w:eastAsiaTheme="minorEastAsia"/>
              <w:noProof/>
              <w:sz w:val="26"/>
              <w:szCs w:val="26"/>
            </w:rPr>
          </w:pPr>
          <w:hyperlink w:anchor="_Toc63764518" w:history="1">
            <w:r w:rsidR="00B7440B" w:rsidRPr="00B7440B">
              <w:rPr>
                <w:rStyle w:val="Hyperlink"/>
                <w:noProof/>
                <w:sz w:val="26"/>
                <w:szCs w:val="26"/>
              </w:rPr>
              <w:t>4.</w:t>
            </w:r>
            <w:r w:rsidR="00B7440B" w:rsidRPr="00B7440B">
              <w:rPr>
                <w:rFonts w:eastAsiaTheme="minorEastAsia"/>
                <w:noProof/>
                <w:sz w:val="26"/>
                <w:szCs w:val="26"/>
              </w:rPr>
              <w:tab/>
            </w:r>
            <w:r w:rsidR="00B7440B" w:rsidRPr="00B7440B">
              <w:rPr>
                <w:rStyle w:val="Hyperlink"/>
                <w:noProof/>
                <w:sz w:val="26"/>
                <w:szCs w:val="26"/>
              </w:rPr>
              <w:t>Disposition</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_Toc63764518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110</w:t>
            </w:r>
            <w:r w:rsidR="00B7440B" w:rsidRPr="00B7440B">
              <w:rPr>
                <w:noProof/>
                <w:webHidden/>
                <w:sz w:val="26"/>
                <w:szCs w:val="26"/>
              </w:rPr>
              <w:fldChar w:fldCharType="end"/>
            </w:r>
          </w:hyperlink>
        </w:p>
        <w:p w14:paraId="33685FB6" w14:textId="757FE310" w:rsidR="00B7440B" w:rsidRPr="00B7440B" w:rsidRDefault="00E131BD">
          <w:pPr>
            <w:pStyle w:val="TOC2"/>
            <w:tabs>
              <w:tab w:val="left" w:pos="1440"/>
            </w:tabs>
            <w:rPr>
              <w:rFonts w:eastAsiaTheme="minorEastAsia"/>
              <w:noProof/>
              <w:sz w:val="26"/>
              <w:szCs w:val="26"/>
            </w:rPr>
          </w:pPr>
          <w:hyperlink w:anchor="_Toc63764519" w:history="1">
            <w:r w:rsidR="00B7440B" w:rsidRPr="00B7440B">
              <w:rPr>
                <w:rStyle w:val="Hyperlink"/>
                <w:noProof/>
                <w:sz w:val="26"/>
                <w:szCs w:val="26"/>
              </w:rPr>
              <w:t>B.</w:t>
            </w:r>
            <w:r w:rsidR="00B7440B" w:rsidRPr="00B7440B">
              <w:rPr>
                <w:rFonts w:eastAsiaTheme="minorEastAsia"/>
                <w:noProof/>
                <w:sz w:val="26"/>
                <w:szCs w:val="26"/>
              </w:rPr>
              <w:tab/>
            </w:r>
            <w:r w:rsidR="00B7440B" w:rsidRPr="00B7440B">
              <w:rPr>
                <w:rStyle w:val="Hyperlink"/>
                <w:noProof/>
                <w:sz w:val="26"/>
                <w:szCs w:val="26"/>
              </w:rPr>
              <w:t>Capital Structure Ratios</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_Toc63764519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112</w:t>
            </w:r>
            <w:r w:rsidR="00B7440B" w:rsidRPr="00B7440B">
              <w:rPr>
                <w:noProof/>
                <w:webHidden/>
                <w:sz w:val="26"/>
                <w:szCs w:val="26"/>
              </w:rPr>
              <w:fldChar w:fldCharType="end"/>
            </w:r>
          </w:hyperlink>
        </w:p>
        <w:p w14:paraId="462C90AC" w14:textId="51031528" w:rsidR="00B7440B" w:rsidRPr="00B7440B" w:rsidRDefault="00E131BD">
          <w:pPr>
            <w:pStyle w:val="TOC3"/>
            <w:rPr>
              <w:rFonts w:eastAsiaTheme="minorEastAsia"/>
              <w:noProof/>
              <w:sz w:val="26"/>
              <w:szCs w:val="26"/>
            </w:rPr>
          </w:pPr>
          <w:hyperlink w:anchor="_Toc63764520" w:history="1">
            <w:r w:rsidR="00B7440B" w:rsidRPr="00B7440B">
              <w:rPr>
                <w:rStyle w:val="Hyperlink"/>
                <w:noProof/>
                <w:sz w:val="26"/>
                <w:szCs w:val="26"/>
              </w:rPr>
              <w:t>1.</w:t>
            </w:r>
            <w:r w:rsidR="00B7440B" w:rsidRPr="00B7440B">
              <w:rPr>
                <w:rFonts w:eastAsiaTheme="minorEastAsia"/>
                <w:noProof/>
                <w:sz w:val="26"/>
                <w:szCs w:val="26"/>
              </w:rPr>
              <w:tab/>
            </w:r>
            <w:r w:rsidR="00B7440B" w:rsidRPr="00B7440B">
              <w:rPr>
                <w:rStyle w:val="Hyperlink"/>
                <w:noProof/>
                <w:sz w:val="26"/>
                <w:szCs w:val="26"/>
              </w:rPr>
              <w:t>Positions of the Parties</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_Toc63764520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112</w:t>
            </w:r>
            <w:r w:rsidR="00B7440B" w:rsidRPr="00B7440B">
              <w:rPr>
                <w:noProof/>
                <w:webHidden/>
                <w:sz w:val="26"/>
                <w:szCs w:val="26"/>
              </w:rPr>
              <w:fldChar w:fldCharType="end"/>
            </w:r>
          </w:hyperlink>
        </w:p>
        <w:p w14:paraId="36B7023B" w14:textId="23205400" w:rsidR="00B7440B" w:rsidRPr="00B7440B" w:rsidRDefault="00E131BD">
          <w:pPr>
            <w:pStyle w:val="TOC3"/>
            <w:rPr>
              <w:rFonts w:eastAsiaTheme="minorEastAsia"/>
              <w:noProof/>
              <w:sz w:val="26"/>
              <w:szCs w:val="26"/>
            </w:rPr>
          </w:pPr>
          <w:hyperlink w:anchor="_Toc63764521" w:history="1">
            <w:r w:rsidR="00B7440B" w:rsidRPr="00B7440B">
              <w:rPr>
                <w:rStyle w:val="Hyperlink"/>
                <w:noProof/>
                <w:sz w:val="26"/>
                <w:szCs w:val="26"/>
              </w:rPr>
              <w:t>2.</w:t>
            </w:r>
            <w:r w:rsidR="00B7440B" w:rsidRPr="00B7440B">
              <w:rPr>
                <w:rFonts w:eastAsiaTheme="minorEastAsia"/>
                <w:noProof/>
                <w:sz w:val="26"/>
                <w:szCs w:val="26"/>
              </w:rPr>
              <w:tab/>
            </w:r>
            <w:r w:rsidR="00B7440B" w:rsidRPr="00B7440B">
              <w:rPr>
                <w:rStyle w:val="Hyperlink"/>
                <w:noProof/>
                <w:sz w:val="26"/>
                <w:szCs w:val="26"/>
              </w:rPr>
              <w:t>Recommended Decision</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_Toc63764521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114</w:t>
            </w:r>
            <w:r w:rsidR="00B7440B" w:rsidRPr="00B7440B">
              <w:rPr>
                <w:noProof/>
                <w:webHidden/>
                <w:sz w:val="26"/>
                <w:szCs w:val="26"/>
              </w:rPr>
              <w:fldChar w:fldCharType="end"/>
            </w:r>
          </w:hyperlink>
        </w:p>
        <w:p w14:paraId="25DD72EB" w14:textId="64842A26" w:rsidR="00B7440B" w:rsidRPr="00B7440B" w:rsidRDefault="00E131BD">
          <w:pPr>
            <w:pStyle w:val="TOC3"/>
            <w:rPr>
              <w:rFonts w:eastAsiaTheme="minorEastAsia"/>
              <w:noProof/>
              <w:sz w:val="26"/>
              <w:szCs w:val="26"/>
            </w:rPr>
          </w:pPr>
          <w:hyperlink w:anchor="_Toc63764522" w:history="1">
            <w:r w:rsidR="00B7440B" w:rsidRPr="00B7440B">
              <w:rPr>
                <w:rStyle w:val="Hyperlink"/>
                <w:noProof/>
                <w:sz w:val="26"/>
                <w:szCs w:val="26"/>
              </w:rPr>
              <w:t>3.</w:t>
            </w:r>
            <w:r w:rsidR="00B7440B" w:rsidRPr="00B7440B">
              <w:rPr>
                <w:rFonts w:eastAsiaTheme="minorEastAsia"/>
                <w:noProof/>
                <w:sz w:val="26"/>
                <w:szCs w:val="26"/>
              </w:rPr>
              <w:tab/>
            </w:r>
            <w:r w:rsidR="00B7440B" w:rsidRPr="00B7440B">
              <w:rPr>
                <w:rStyle w:val="Hyperlink"/>
                <w:noProof/>
                <w:sz w:val="26"/>
                <w:szCs w:val="26"/>
              </w:rPr>
              <w:t>Columbia Exception No. 16 and Replies</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_Toc63764522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114</w:t>
            </w:r>
            <w:r w:rsidR="00B7440B" w:rsidRPr="00B7440B">
              <w:rPr>
                <w:noProof/>
                <w:webHidden/>
                <w:sz w:val="26"/>
                <w:szCs w:val="26"/>
              </w:rPr>
              <w:fldChar w:fldCharType="end"/>
            </w:r>
          </w:hyperlink>
        </w:p>
        <w:p w14:paraId="3B8E60E9" w14:textId="2400A5D0" w:rsidR="00B7440B" w:rsidRPr="00B7440B" w:rsidRDefault="00E131BD">
          <w:pPr>
            <w:pStyle w:val="TOC3"/>
            <w:rPr>
              <w:rFonts w:eastAsiaTheme="minorEastAsia"/>
              <w:noProof/>
              <w:sz w:val="26"/>
              <w:szCs w:val="26"/>
            </w:rPr>
          </w:pPr>
          <w:hyperlink w:anchor="_Toc63764523" w:history="1">
            <w:r w:rsidR="00B7440B" w:rsidRPr="00B7440B">
              <w:rPr>
                <w:rStyle w:val="Hyperlink"/>
                <w:noProof/>
                <w:sz w:val="26"/>
                <w:szCs w:val="26"/>
              </w:rPr>
              <w:t>4.</w:t>
            </w:r>
            <w:r w:rsidR="00B7440B" w:rsidRPr="00B7440B">
              <w:rPr>
                <w:rFonts w:eastAsiaTheme="minorEastAsia"/>
                <w:noProof/>
                <w:sz w:val="26"/>
                <w:szCs w:val="26"/>
              </w:rPr>
              <w:tab/>
            </w:r>
            <w:r w:rsidR="00B7440B" w:rsidRPr="00B7440B">
              <w:rPr>
                <w:rStyle w:val="Hyperlink"/>
                <w:noProof/>
                <w:sz w:val="26"/>
                <w:szCs w:val="26"/>
              </w:rPr>
              <w:t>Disposition</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_Toc63764523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116</w:t>
            </w:r>
            <w:r w:rsidR="00B7440B" w:rsidRPr="00B7440B">
              <w:rPr>
                <w:noProof/>
                <w:webHidden/>
                <w:sz w:val="26"/>
                <w:szCs w:val="26"/>
              </w:rPr>
              <w:fldChar w:fldCharType="end"/>
            </w:r>
          </w:hyperlink>
        </w:p>
        <w:p w14:paraId="6028A5AE" w14:textId="101BB091" w:rsidR="00B7440B" w:rsidRPr="00B7440B" w:rsidRDefault="00E131BD">
          <w:pPr>
            <w:pStyle w:val="TOC2"/>
            <w:tabs>
              <w:tab w:val="left" w:pos="1440"/>
            </w:tabs>
            <w:rPr>
              <w:rFonts w:eastAsiaTheme="minorEastAsia"/>
              <w:noProof/>
              <w:sz w:val="26"/>
              <w:szCs w:val="26"/>
            </w:rPr>
          </w:pPr>
          <w:hyperlink w:anchor="_Toc63764524" w:history="1">
            <w:r w:rsidR="00B7440B" w:rsidRPr="00B7440B">
              <w:rPr>
                <w:rStyle w:val="Hyperlink"/>
                <w:noProof/>
                <w:sz w:val="26"/>
                <w:szCs w:val="26"/>
              </w:rPr>
              <w:t>C.</w:t>
            </w:r>
            <w:r w:rsidR="00B7440B" w:rsidRPr="00B7440B">
              <w:rPr>
                <w:rFonts w:eastAsiaTheme="minorEastAsia"/>
                <w:noProof/>
                <w:sz w:val="26"/>
                <w:szCs w:val="26"/>
              </w:rPr>
              <w:tab/>
            </w:r>
            <w:r w:rsidR="00B7440B" w:rsidRPr="00B7440B">
              <w:rPr>
                <w:rStyle w:val="Hyperlink"/>
                <w:noProof/>
                <w:sz w:val="26"/>
                <w:szCs w:val="26"/>
              </w:rPr>
              <w:t>Cost of Debt</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_Toc63764524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119</w:t>
            </w:r>
            <w:r w:rsidR="00B7440B" w:rsidRPr="00B7440B">
              <w:rPr>
                <w:noProof/>
                <w:webHidden/>
                <w:sz w:val="26"/>
                <w:szCs w:val="26"/>
              </w:rPr>
              <w:fldChar w:fldCharType="end"/>
            </w:r>
          </w:hyperlink>
        </w:p>
        <w:p w14:paraId="1268F8A7" w14:textId="22F8A897" w:rsidR="00B7440B" w:rsidRPr="00B7440B" w:rsidRDefault="00E131BD">
          <w:pPr>
            <w:pStyle w:val="TOC3"/>
            <w:rPr>
              <w:rFonts w:eastAsiaTheme="minorEastAsia"/>
              <w:noProof/>
              <w:sz w:val="26"/>
              <w:szCs w:val="26"/>
            </w:rPr>
          </w:pPr>
          <w:hyperlink w:anchor="_Toc63764525" w:history="1">
            <w:r w:rsidR="00B7440B" w:rsidRPr="00B7440B">
              <w:rPr>
                <w:rStyle w:val="Hyperlink"/>
                <w:noProof/>
                <w:sz w:val="26"/>
                <w:szCs w:val="26"/>
              </w:rPr>
              <w:t>1.</w:t>
            </w:r>
            <w:r w:rsidR="00B7440B" w:rsidRPr="00B7440B">
              <w:rPr>
                <w:rFonts w:eastAsiaTheme="minorEastAsia"/>
                <w:noProof/>
                <w:sz w:val="26"/>
                <w:szCs w:val="26"/>
              </w:rPr>
              <w:tab/>
            </w:r>
            <w:r w:rsidR="00B7440B" w:rsidRPr="00B7440B">
              <w:rPr>
                <w:rStyle w:val="Hyperlink"/>
                <w:noProof/>
                <w:sz w:val="26"/>
                <w:szCs w:val="26"/>
              </w:rPr>
              <w:t>Positions of the Parties</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_Toc63764525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119</w:t>
            </w:r>
            <w:r w:rsidR="00B7440B" w:rsidRPr="00B7440B">
              <w:rPr>
                <w:noProof/>
                <w:webHidden/>
                <w:sz w:val="26"/>
                <w:szCs w:val="26"/>
              </w:rPr>
              <w:fldChar w:fldCharType="end"/>
            </w:r>
          </w:hyperlink>
        </w:p>
        <w:p w14:paraId="6017DC7B" w14:textId="0D0DD5ED" w:rsidR="00B7440B" w:rsidRPr="00B7440B" w:rsidRDefault="00E131BD">
          <w:pPr>
            <w:pStyle w:val="TOC3"/>
            <w:rPr>
              <w:rFonts w:eastAsiaTheme="minorEastAsia"/>
              <w:noProof/>
              <w:sz w:val="26"/>
              <w:szCs w:val="26"/>
            </w:rPr>
          </w:pPr>
          <w:hyperlink w:anchor="_Toc63764526" w:history="1">
            <w:r w:rsidR="00B7440B" w:rsidRPr="00B7440B">
              <w:rPr>
                <w:rStyle w:val="Hyperlink"/>
                <w:noProof/>
                <w:sz w:val="26"/>
                <w:szCs w:val="26"/>
              </w:rPr>
              <w:t>2.</w:t>
            </w:r>
            <w:r w:rsidR="00B7440B" w:rsidRPr="00B7440B">
              <w:rPr>
                <w:rFonts w:eastAsiaTheme="minorEastAsia"/>
                <w:noProof/>
                <w:sz w:val="26"/>
                <w:szCs w:val="26"/>
              </w:rPr>
              <w:tab/>
            </w:r>
            <w:r w:rsidR="00B7440B" w:rsidRPr="00B7440B">
              <w:rPr>
                <w:rStyle w:val="Hyperlink"/>
                <w:noProof/>
                <w:sz w:val="26"/>
                <w:szCs w:val="26"/>
              </w:rPr>
              <w:t>Recommended Decision</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_Toc63764526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119</w:t>
            </w:r>
            <w:r w:rsidR="00B7440B" w:rsidRPr="00B7440B">
              <w:rPr>
                <w:noProof/>
                <w:webHidden/>
                <w:sz w:val="26"/>
                <w:szCs w:val="26"/>
              </w:rPr>
              <w:fldChar w:fldCharType="end"/>
            </w:r>
          </w:hyperlink>
        </w:p>
        <w:p w14:paraId="0E725545" w14:textId="2BC2B8D2" w:rsidR="00B7440B" w:rsidRPr="00B7440B" w:rsidRDefault="00E131BD">
          <w:pPr>
            <w:pStyle w:val="TOC3"/>
            <w:rPr>
              <w:rFonts w:eastAsiaTheme="minorEastAsia"/>
              <w:noProof/>
              <w:sz w:val="26"/>
              <w:szCs w:val="26"/>
            </w:rPr>
          </w:pPr>
          <w:hyperlink w:anchor="_Toc63764527" w:history="1">
            <w:r w:rsidR="00B7440B" w:rsidRPr="00B7440B">
              <w:rPr>
                <w:rStyle w:val="Hyperlink"/>
                <w:noProof/>
                <w:sz w:val="26"/>
                <w:szCs w:val="26"/>
              </w:rPr>
              <w:t>3.</w:t>
            </w:r>
            <w:r w:rsidR="00B7440B" w:rsidRPr="00B7440B">
              <w:rPr>
                <w:rFonts w:eastAsiaTheme="minorEastAsia"/>
                <w:noProof/>
                <w:sz w:val="26"/>
                <w:szCs w:val="26"/>
              </w:rPr>
              <w:tab/>
            </w:r>
            <w:r w:rsidR="00B7440B" w:rsidRPr="00B7440B">
              <w:rPr>
                <w:rStyle w:val="Hyperlink"/>
                <w:noProof/>
                <w:sz w:val="26"/>
                <w:szCs w:val="26"/>
              </w:rPr>
              <w:t>Disposition</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_Toc63764527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120</w:t>
            </w:r>
            <w:r w:rsidR="00B7440B" w:rsidRPr="00B7440B">
              <w:rPr>
                <w:noProof/>
                <w:webHidden/>
                <w:sz w:val="26"/>
                <w:szCs w:val="26"/>
              </w:rPr>
              <w:fldChar w:fldCharType="end"/>
            </w:r>
          </w:hyperlink>
        </w:p>
        <w:p w14:paraId="533DF1D6" w14:textId="35C6C84F" w:rsidR="00B7440B" w:rsidRPr="00B7440B" w:rsidRDefault="00E131BD">
          <w:pPr>
            <w:pStyle w:val="TOC2"/>
            <w:tabs>
              <w:tab w:val="left" w:pos="1440"/>
            </w:tabs>
            <w:rPr>
              <w:rFonts w:eastAsiaTheme="minorEastAsia"/>
              <w:noProof/>
              <w:sz w:val="26"/>
              <w:szCs w:val="26"/>
            </w:rPr>
          </w:pPr>
          <w:hyperlink w:anchor="_Toc63764528" w:history="1">
            <w:r w:rsidR="00B7440B" w:rsidRPr="00B7440B">
              <w:rPr>
                <w:rStyle w:val="Hyperlink"/>
                <w:noProof/>
                <w:sz w:val="26"/>
                <w:szCs w:val="26"/>
              </w:rPr>
              <w:t>D.</w:t>
            </w:r>
            <w:r w:rsidR="00B7440B" w:rsidRPr="00B7440B">
              <w:rPr>
                <w:rFonts w:eastAsiaTheme="minorEastAsia"/>
                <w:noProof/>
                <w:sz w:val="26"/>
                <w:szCs w:val="26"/>
              </w:rPr>
              <w:tab/>
            </w:r>
            <w:r w:rsidR="00B7440B" w:rsidRPr="00B7440B">
              <w:rPr>
                <w:rStyle w:val="Hyperlink"/>
                <w:noProof/>
                <w:sz w:val="26"/>
                <w:szCs w:val="26"/>
              </w:rPr>
              <w:t>Cost of Common Equity</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_Toc63764528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120</w:t>
            </w:r>
            <w:r w:rsidR="00B7440B" w:rsidRPr="00B7440B">
              <w:rPr>
                <w:noProof/>
                <w:webHidden/>
                <w:sz w:val="26"/>
                <w:szCs w:val="26"/>
              </w:rPr>
              <w:fldChar w:fldCharType="end"/>
            </w:r>
          </w:hyperlink>
        </w:p>
        <w:p w14:paraId="0A737A4F" w14:textId="04A2C4B9" w:rsidR="00B7440B" w:rsidRPr="00B7440B" w:rsidRDefault="00E131BD">
          <w:pPr>
            <w:pStyle w:val="TOC3"/>
            <w:rPr>
              <w:rFonts w:eastAsiaTheme="minorEastAsia"/>
              <w:noProof/>
              <w:sz w:val="26"/>
              <w:szCs w:val="26"/>
            </w:rPr>
          </w:pPr>
          <w:hyperlink w:anchor="_Toc63764529" w:history="1">
            <w:r w:rsidR="00B7440B" w:rsidRPr="00B7440B">
              <w:rPr>
                <w:rStyle w:val="Hyperlink"/>
                <w:rFonts w:eastAsiaTheme="minorHAnsi"/>
                <w:noProof/>
                <w:sz w:val="26"/>
                <w:szCs w:val="26"/>
              </w:rPr>
              <w:t>1.</w:t>
            </w:r>
            <w:r w:rsidR="00B7440B" w:rsidRPr="00B7440B">
              <w:rPr>
                <w:rFonts w:eastAsiaTheme="minorEastAsia"/>
                <w:noProof/>
                <w:sz w:val="26"/>
                <w:szCs w:val="26"/>
              </w:rPr>
              <w:tab/>
            </w:r>
            <w:r w:rsidR="00B7440B" w:rsidRPr="00B7440B">
              <w:rPr>
                <w:rStyle w:val="Hyperlink"/>
                <w:noProof/>
                <w:sz w:val="26"/>
                <w:szCs w:val="26"/>
              </w:rPr>
              <w:t>Methods</w:t>
            </w:r>
            <w:r w:rsidR="00B7440B" w:rsidRPr="00B7440B">
              <w:rPr>
                <w:rStyle w:val="Hyperlink"/>
                <w:rFonts w:eastAsiaTheme="minorHAnsi"/>
                <w:noProof/>
                <w:sz w:val="26"/>
                <w:szCs w:val="26"/>
              </w:rPr>
              <w:t xml:space="preserve"> for Determining the Cost of Common Equity</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_Toc63764529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121</w:t>
            </w:r>
            <w:r w:rsidR="00B7440B" w:rsidRPr="00B7440B">
              <w:rPr>
                <w:noProof/>
                <w:webHidden/>
                <w:sz w:val="26"/>
                <w:szCs w:val="26"/>
              </w:rPr>
              <w:fldChar w:fldCharType="end"/>
            </w:r>
          </w:hyperlink>
        </w:p>
        <w:p w14:paraId="0B27DAD4" w14:textId="07A873D0" w:rsidR="00B7440B" w:rsidRPr="00B7440B" w:rsidRDefault="00E131BD">
          <w:pPr>
            <w:pStyle w:val="TOC4"/>
            <w:rPr>
              <w:rFonts w:eastAsiaTheme="minorEastAsia"/>
              <w:noProof/>
              <w:sz w:val="26"/>
              <w:szCs w:val="26"/>
            </w:rPr>
          </w:pPr>
          <w:hyperlink w:anchor="_Toc63764530" w:history="1">
            <w:r w:rsidR="00B7440B" w:rsidRPr="00B7440B">
              <w:rPr>
                <w:rStyle w:val="Hyperlink"/>
                <w:rFonts w:eastAsiaTheme="minorHAnsi"/>
                <w:noProof/>
                <w:sz w:val="26"/>
                <w:szCs w:val="26"/>
              </w:rPr>
              <w:t>a.</w:t>
            </w:r>
            <w:r w:rsidR="00B7440B" w:rsidRPr="00B7440B">
              <w:rPr>
                <w:rFonts w:eastAsiaTheme="minorEastAsia"/>
                <w:noProof/>
                <w:sz w:val="26"/>
                <w:szCs w:val="26"/>
              </w:rPr>
              <w:tab/>
            </w:r>
            <w:r w:rsidR="00B7440B" w:rsidRPr="00B7440B">
              <w:rPr>
                <w:rStyle w:val="Hyperlink"/>
                <w:noProof/>
                <w:sz w:val="26"/>
                <w:szCs w:val="26"/>
              </w:rPr>
              <w:t>Discounted Cash Flow Method (DCF)</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_Toc63764530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121</w:t>
            </w:r>
            <w:r w:rsidR="00B7440B" w:rsidRPr="00B7440B">
              <w:rPr>
                <w:noProof/>
                <w:webHidden/>
                <w:sz w:val="26"/>
                <w:szCs w:val="26"/>
              </w:rPr>
              <w:fldChar w:fldCharType="end"/>
            </w:r>
          </w:hyperlink>
        </w:p>
        <w:p w14:paraId="1302BE5A" w14:textId="0D8C93C4" w:rsidR="00B7440B" w:rsidRPr="00B7440B" w:rsidRDefault="00E131BD">
          <w:pPr>
            <w:pStyle w:val="TOC5"/>
            <w:rPr>
              <w:rFonts w:eastAsiaTheme="minorEastAsia"/>
              <w:noProof/>
              <w:szCs w:val="26"/>
            </w:rPr>
          </w:pPr>
          <w:hyperlink w:anchor="_Toc63764531" w:history="1">
            <w:r w:rsidR="00B7440B" w:rsidRPr="00B7440B">
              <w:rPr>
                <w:rStyle w:val="Hyperlink"/>
                <w:noProof/>
                <w:szCs w:val="26"/>
              </w:rPr>
              <w:t>i.</w:t>
            </w:r>
            <w:r w:rsidR="00B7440B" w:rsidRPr="00B7440B">
              <w:rPr>
                <w:rFonts w:eastAsiaTheme="minorEastAsia"/>
                <w:noProof/>
                <w:szCs w:val="26"/>
              </w:rPr>
              <w:tab/>
            </w:r>
            <w:r w:rsidR="00B7440B" w:rsidRPr="00B7440B">
              <w:rPr>
                <w:rStyle w:val="Hyperlink"/>
                <w:noProof/>
                <w:szCs w:val="26"/>
              </w:rPr>
              <w:t>Positions of the Parties</w:t>
            </w:r>
            <w:r w:rsidR="00B7440B" w:rsidRPr="00B7440B">
              <w:rPr>
                <w:noProof/>
                <w:webHidden/>
                <w:szCs w:val="26"/>
              </w:rPr>
              <w:tab/>
            </w:r>
            <w:r w:rsidR="00B7440B" w:rsidRPr="00B7440B">
              <w:rPr>
                <w:noProof/>
                <w:webHidden/>
                <w:szCs w:val="26"/>
              </w:rPr>
              <w:fldChar w:fldCharType="begin"/>
            </w:r>
            <w:r w:rsidR="00B7440B" w:rsidRPr="00B7440B">
              <w:rPr>
                <w:noProof/>
                <w:webHidden/>
                <w:szCs w:val="26"/>
              </w:rPr>
              <w:instrText xml:space="preserve"> PAGEREF _Toc63764531 \h </w:instrText>
            </w:r>
            <w:r w:rsidR="00B7440B" w:rsidRPr="00B7440B">
              <w:rPr>
                <w:noProof/>
                <w:webHidden/>
                <w:szCs w:val="26"/>
              </w:rPr>
            </w:r>
            <w:r w:rsidR="00B7440B" w:rsidRPr="00B7440B">
              <w:rPr>
                <w:noProof/>
                <w:webHidden/>
                <w:szCs w:val="26"/>
              </w:rPr>
              <w:fldChar w:fldCharType="separate"/>
            </w:r>
            <w:r w:rsidR="0066040B">
              <w:rPr>
                <w:noProof/>
                <w:webHidden/>
                <w:szCs w:val="26"/>
              </w:rPr>
              <w:t>121</w:t>
            </w:r>
            <w:r w:rsidR="00B7440B" w:rsidRPr="00B7440B">
              <w:rPr>
                <w:noProof/>
                <w:webHidden/>
                <w:szCs w:val="26"/>
              </w:rPr>
              <w:fldChar w:fldCharType="end"/>
            </w:r>
          </w:hyperlink>
        </w:p>
        <w:p w14:paraId="6B4D332C" w14:textId="77FA2AAF" w:rsidR="00B7440B" w:rsidRPr="00B7440B" w:rsidRDefault="00E131BD">
          <w:pPr>
            <w:pStyle w:val="TOC4"/>
            <w:rPr>
              <w:rFonts w:eastAsiaTheme="minorEastAsia"/>
              <w:noProof/>
              <w:sz w:val="26"/>
              <w:szCs w:val="26"/>
            </w:rPr>
          </w:pPr>
          <w:hyperlink w:anchor="_Toc63764532" w:history="1">
            <w:r w:rsidR="00B7440B" w:rsidRPr="00B7440B">
              <w:rPr>
                <w:rStyle w:val="Hyperlink"/>
                <w:rFonts w:eastAsiaTheme="minorHAnsi"/>
                <w:noProof/>
                <w:sz w:val="26"/>
                <w:szCs w:val="26"/>
              </w:rPr>
              <w:t>b.</w:t>
            </w:r>
            <w:r w:rsidR="00B7440B" w:rsidRPr="00B7440B">
              <w:rPr>
                <w:rFonts w:eastAsiaTheme="minorEastAsia"/>
                <w:noProof/>
                <w:sz w:val="26"/>
                <w:szCs w:val="26"/>
              </w:rPr>
              <w:tab/>
            </w:r>
            <w:r w:rsidR="00B7440B" w:rsidRPr="00B7440B">
              <w:rPr>
                <w:rStyle w:val="Hyperlink"/>
                <w:noProof/>
                <w:sz w:val="26"/>
                <w:szCs w:val="26"/>
              </w:rPr>
              <w:t>Capital Asset Pricing Model (CAPM)</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_Toc63764532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125</w:t>
            </w:r>
            <w:r w:rsidR="00B7440B" w:rsidRPr="00B7440B">
              <w:rPr>
                <w:noProof/>
                <w:webHidden/>
                <w:sz w:val="26"/>
                <w:szCs w:val="26"/>
              </w:rPr>
              <w:fldChar w:fldCharType="end"/>
            </w:r>
          </w:hyperlink>
        </w:p>
        <w:p w14:paraId="0BB10CD5" w14:textId="70BB1102" w:rsidR="00B7440B" w:rsidRPr="00B7440B" w:rsidRDefault="00E131BD">
          <w:pPr>
            <w:pStyle w:val="TOC5"/>
            <w:rPr>
              <w:rFonts w:eastAsiaTheme="minorEastAsia"/>
              <w:noProof/>
              <w:szCs w:val="26"/>
            </w:rPr>
          </w:pPr>
          <w:hyperlink w:anchor="_Toc63764533" w:history="1">
            <w:r w:rsidR="00B7440B" w:rsidRPr="00B7440B">
              <w:rPr>
                <w:rStyle w:val="Hyperlink"/>
                <w:noProof/>
                <w:szCs w:val="26"/>
              </w:rPr>
              <w:t>i.</w:t>
            </w:r>
            <w:r w:rsidR="00B7440B" w:rsidRPr="00B7440B">
              <w:rPr>
                <w:rFonts w:eastAsiaTheme="minorEastAsia"/>
                <w:noProof/>
                <w:szCs w:val="26"/>
              </w:rPr>
              <w:tab/>
            </w:r>
            <w:r w:rsidR="00B7440B" w:rsidRPr="00B7440B">
              <w:rPr>
                <w:rStyle w:val="Hyperlink"/>
                <w:noProof/>
                <w:szCs w:val="26"/>
              </w:rPr>
              <w:t>Positions of the Parties</w:t>
            </w:r>
            <w:r w:rsidR="00B7440B" w:rsidRPr="00B7440B">
              <w:rPr>
                <w:noProof/>
                <w:webHidden/>
                <w:szCs w:val="26"/>
              </w:rPr>
              <w:tab/>
            </w:r>
            <w:r w:rsidR="00B7440B" w:rsidRPr="00B7440B">
              <w:rPr>
                <w:noProof/>
                <w:webHidden/>
                <w:szCs w:val="26"/>
              </w:rPr>
              <w:fldChar w:fldCharType="begin"/>
            </w:r>
            <w:r w:rsidR="00B7440B" w:rsidRPr="00B7440B">
              <w:rPr>
                <w:noProof/>
                <w:webHidden/>
                <w:szCs w:val="26"/>
              </w:rPr>
              <w:instrText xml:space="preserve"> PAGEREF _Toc63764533 \h </w:instrText>
            </w:r>
            <w:r w:rsidR="00B7440B" w:rsidRPr="00B7440B">
              <w:rPr>
                <w:noProof/>
                <w:webHidden/>
                <w:szCs w:val="26"/>
              </w:rPr>
            </w:r>
            <w:r w:rsidR="00B7440B" w:rsidRPr="00B7440B">
              <w:rPr>
                <w:noProof/>
                <w:webHidden/>
                <w:szCs w:val="26"/>
              </w:rPr>
              <w:fldChar w:fldCharType="separate"/>
            </w:r>
            <w:r w:rsidR="0066040B">
              <w:rPr>
                <w:noProof/>
                <w:webHidden/>
                <w:szCs w:val="26"/>
              </w:rPr>
              <w:t>126</w:t>
            </w:r>
            <w:r w:rsidR="00B7440B" w:rsidRPr="00B7440B">
              <w:rPr>
                <w:noProof/>
                <w:webHidden/>
                <w:szCs w:val="26"/>
              </w:rPr>
              <w:fldChar w:fldCharType="end"/>
            </w:r>
          </w:hyperlink>
        </w:p>
        <w:p w14:paraId="224605F2" w14:textId="2F53D303" w:rsidR="00B7440B" w:rsidRPr="00B7440B" w:rsidRDefault="00E131BD">
          <w:pPr>
            <w:pStyle w:val="TOC4"/>
            <w:rPr>
              <w:rFonts w:eastAsiaTheme="minorEastAsia"/>
              <w:noProof/>
              <w:sz w:val="26"/>
              <w:szCs w:val="26"/>
            </w:rPr>
          </w:pPr>
          <w:hyperlink w:anchor="_Toc63764534" w:history="1">
            <w:r w:rsidR="00B7440B" w:rsidRPr="00B7440B">
              <w:rPr>
                <w:rStyle w:val="Hyperlink"/>
                <w:rFonts w:eastAsiaTheme="minorHAnsi"/>
                <w:noProof/>
                <w:sz w:val="26"/>
                <w:szCs w:val="26"/>
              </w:rPr>
              <w:t>c.</w:t>
            </w:r>
            <w:r w:rsidR="00B7440B" w:rsidRPr="00B7440B">
              <w:rPr>
                <w:rFonts w:eastAsiaTheme="minorEastAsia"/>
                <w:noProof/>
                <w:sz w:val="26"/>
                <w:szCs w:val="26"/>
              </w:rPr>
              <w:tab/>
            </w:r>
            <w:r w:rsidR="00B7440B" w:rsidRPr="00B7440B">
              <w:rPr>
                <w:rStyle w:val="Hyperlink"/>
                <w:rFonts w:eastAsiaTheme="minorHAnsi"/>
                <w:noProof/>
                <w:sz w:val="26"/>
                <w:szCs w:val="26"/>
              </w:rPr>
              <w:t>Risk Premium (RP) Model and Comparable Earnings (CE)</w:t>
            </w:r>
            <w:r w:rsidR="00B7440B">
              <w:rPr>
                <w:rStyle w:val="Hyperlink"/>
                <w:rFonts w:eastAsiaTheme="minorHAnsi"/>
                <w:noProof/>
                <w:sz w:val="26"/>
                <w:szCs w:val="26"/>
              </w:rPr>
              <w:t> </w:t>
            </w:r>
            <w:r w:rsidR="00B7440B" w:rsidRPr="00B7440B">
              <w:rPr>
                <w:rStyle w:val="Hyperlink"/>
                <w:noProof/>
                <w:sz w:val="26"/>
                <w:szCs w:val="26"/>
              </w:rPr>
              <w:t>Model</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_Toc63764534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127</w:t>
            </w:r>
            <w:r w:rsidR="00B7440B" w:rsidRPr="00B7440B">
              <w:rPr>
                <w:noProof/>
                <w:webHidden/>
                <w:sz w:val="26"/>
                <w:szCs w:val="26"/>
              </w:rPr>
              <w:fldChar w:fldCharType="end"/>
            </w:r>
          </w:hyperlink>
        </w:p>
        <w:p w14:paraId="735EE216" w14:textId="54B941BE" w:rsidR="00B7440B" w:rsidRPr="00B7440B" w:rsidRDefault="00E131BD">
          <w:pPr>
            <w:pStyle w:val="TOC5"/>
            <w:rPr>
              <w:rFonts w:eastAsiaTheme="minorEastAsia"/>
              <w:noProof/>
              <w:szCs w:val="26"/>
            </w:rPr>
          </w:pPr>
          <w:hyperlink w:anchor="_Toc63764535" w:history="1">
            <w:r w:rsidR="00B7440B" w:rsidRPr="00B7440B">
              <w:rPr>
                <w:rStyle w:val="Hyperlink"/>
                <w:noProof/>
                <w:szCs w:val="26"/>
              </w:rPr>
              <w:t>i.</w:t>
            </w:r>
            <w:r w:rsidR="00B7440B" w:rsidRPr="00B7440B">
              <w:rPr>
                <w:rFonts w:eastAsiaTheme="minorEastAsia"/>
                <w:noProof/>
                <w:szCs w:val="26"/>
              </w:rPr>
              <w:tab/>
            </w:r>
            <w:r w:rsidR="00B7440B" w:rsidRPr="00B7440B">
              <w:rPr>
                <w:rStyle w:val="Hyperlink"/>
                <w:noProof/>
                <w:szCs w:val="26"/>
              </w:rPr>
              <w:t>Positions of the Parties</w:t>
            </w:r>
            <w:r w:rsidR="00B7440B" w:rsidRPr="00B7440B">
              <w:rPr>
                <w:noProof/>
                <w:webHidden/>
                <w:szCs w:val="26"/>
              </w:rPr>
              <w:tab/>
            </w:r>
            <w:r w:rsidR="00B7440B" w:rsidRPr="00B7440B">
              <w:rPr>
                <w:noProof/>
                <w:webHidden/>
                <w:szCs w:val="26"/>
              </w:rPr>
              <w:fldChar w:fldCharType="begin"/>
            </w:r>
            <w:r w:rsidR="00B7440B" w:rsidRPr="00B7440B">
              <w:rPr>
                <w:noProof/>
                <w:webHidden/>
                <w:szCs w:val="26"/>
              </w:rPr>
              <w:instrText xml:space="preserve"> PAGEREF _Toc63764535 \h </w:instrText>
            </w:r>
            <w:r w:rsidR="00B7440B" w:rsidRPr="00B7440B">
              <w:rPr>
                <w:noProof/>
                <w:webHidden/>
                <w:szCs w:val="26"/>
              </w:rPr>
            </w:r>
            <w:r w:rsidR="00B7440B" w:rsidRPr="00B7440B">
              <w:rPr>
                <w:noProof/>
                <w:webHidden/>
                <w:szCs w:val="26"/>
              </w:rPr>
              <w:fldChar w:fldCharType="separate"/>
            </w:r>
            <w:r w:rsidR="0066040B">
              <w:rPr>
                <w:noProof/>
                <w:webHidden/>
                <w:szCs w:val="26"/>
              </w:rPr>
              <w:t>128</w:t>
            </w:r>
            <w:r w:rsidR="00B7440B" w:rsidRPr="00B7440B">
              <w:rPr>
                <w:noProof/>
                <w:webHidden/>
                <w:szCs w:val="26"/>
              </w:rPr>
              <w:fldChar w:fldCharType="end"/>
            </w:r>
          </w:hyperlink>
        </w:p>
        <w:p w14:paraId="1A1469A5" w14:textId="581F4A5A" w:rsidR="00B7440B" w:rsidRPr="00B7440B" w:rsidRDefault="00E131BD">
          <w:pPr>
            <w:pStyle w:val="TOC5"/>
            <w:rPr>
              <w:rFonts w:eastAsiaTheme="minorEastAsia"/>
              <w:noProof/>
              <w:szCs w:val="26"/>
            </w:rPr>
          </w:pPr>
          <w:hyperlink w:anchor="_Toc63764536" w:history="1">
            <w:r w:rsidR="00B7440B" w:rsidRPr="00B7440B">
              <w:rPr>
                <w:rStyle w:val="Hyperlink"/>
                <w:noProof/>
                <w:szCs w:val="26"/>
              </w:rPr>
              <w:t>ii.</w:t>
            </w:r>
            <w:r w:rsidR="00B7440B" w:rsidRPr="00B7440B">
              <w:rPr>
                <w:rFonts w:eastAsiaTheme="minorEastAsia"/>
                <w:noProof/>
                <w:szCs w:val="26"/>
              </w:rPr>
              <w:tab/>
            </w:r>
            <w:r w:rsidR="00B7440B" w:rsidRPr="00B7440B">
              <w:rPr>
                <w:rStyle w:val="Hyperlink"/>
                <w:noProof/>
                <w:szCs w:val="26"/>
              </w:rPr>
              <w:t>Recommended Decision</w:t>
            </w:r>
            <w:r w:rsidR="00B7440B" w:rsidRPr="00B7440B">
              <w:rPr>
                <w:noProof/>
                <w:webHidden/>
                <w:szCs w:val="26"/>
              </w:rPr>
              <w:tab/>
            </w:r>
            <w:r w:rsidR="00B7440B" w:rsidRPr="00B7440B">
              <w:rPr>
                <w:noProof/>
                <w:webHidden/>
                <w:szCs w:val="26"/>
              </w:rPr>
              <w:fldChar w:fldCharType="begin"/>
            </w:r>
            <w:r w:rsidR="00B7440B" w:rsidRPr="00B7440B">
              <w:rPr>
                <w:noProof/>
                <w:webHidden/>
                <w:szCs w:val="26"/>
              </w:rPr>
              <w:instrText xml:space="preserve"> PAGEREF _Toc63764536 \h </w:instrText>
            </w:r>
            <w:r w:rsidR="00B7440B" w:rsidRPr="00B7440B">
              <w:rPr>
                <w:noProof/>
                <w:webHidden/>
                <w:szCs w:val="26"/>
              </w:rPr>
            </w:r>
            <w:r w:rsidR="00B7440B" w:rsidRPr="00B7440B">
              <w:rPr>
                <w:noProof/>
                <w:webHidden/>
                <w:szCs w:val="26"/>
              </w:rPr>
              <w:fldChar w:fldCharType="separate"/>
            </w:r>
            <w:r w:rsidR="0066040B">
              <w:rPr>
                <w:noProof/>
                <w:webHidden/>
                <w:szCs w:val="26"/>
              </w:rPr>
              <w:t>130</w:t>
            </w:r>
            <w:r w:rsidR="00B7440B" w:rsidRPr="00B7440B">
              <w:rPr>
                <w:noProof/>
                <w:webHidden/>
                <w:szCs w:val="26"/>
              </w:rPr>
              <w:fldChar w:fldCharType="end"/>
            </w:r>
          </w:hyperlink>
        </w:p>
        <w:p w14:paraId="1C2597F7" w14:textId="047E702B" w:rsidR="00B7440B" w:rsidRPr="00B7440B" w:rsidRDefault="00E131BD">
          <w:pPr>
            <w:pStyle w:val="TOC5"/>
            <w:rPr>
              <w:rFonts w:eastAsiaTheme="minorEastAsia"/>
              <w:noProof/>
              <w:szCs w:val="26"/>
            </w:rPr>
          </w:pPr>
          <w:hyperlink w:anchor="_Toc63764537" w:history="1">
            <w:r w:rsidR="00B7440B" w:rsidRPr="00B7440B">
              <w:rPr>
                <w:rStyle w:val="Hyperlink"/>
                <w:noProof/>
                <w:szCs w:val="26"/>
              </w:rPr>
              <w:t>iii.</w:t>
            </w:r>
            <w:r w:rsidR="00B7440B" w:rsidRPr="00B7440B">
              <w:rPr>
                <w:rFonts w:eastAsiaTheme="minorEastAsia"/>
                <w:noProof/>
                <w:szCs w:val="26"/>
              </w:rPr>
              <w:tab/>
            </w:r>
            <w:r w:rsidR="00B7440B" w:rsidRPr="00B7440B">
              <w:rPr>
                <w:rStyle w:val="Hyperlink"/>
                <w:noProof/>
                <w:szCs w:val="26"/>
              </w:rPr>
              <w:t>Exceptions</w:t>
            </w:r>
            <w:r w:rsidR="00B7440B" w:rsidRPr="00B7440B">
              <w:rPr>
                <w:noProof/>
                <w:webHidden/>
                <w:szCs w:val="26"/>
              </w:rPr>
              <w:tab/>
            </w:r>
            <w:r w:rsidR="00B7440B" w:rsidRPr="00B7440B">
              <w:rPr>
                <w:noProof/>
                <w:webHidden/>
                <w:szCs w:val="26"/>
              </w:rPr>
              <w:fldChar w:fldCharType="begin"/>
            </w:r>
            <w:r w:rsidR="00B7440B" w:rsidRPr="00B7440B">
              <w:rPr>
                <w:noProof/>
                <w:webHidden/>
                <w:szCs w:val="26"/>
              </w:rPr>
              <w:instrText xml:space="preserve"> PAGEREF _Toc63764537 \h </w:instrText>
            </w:r>
            <w:r w:rsidR="00B7440B" w:rsidRPr="00B7440B">
              <w:rPr>
                <w:noProof/>
                <w:webHidden/>
                <w:szCs w:val="26"/>
              </w:rPr>
            </w:r>
            <w:r w:rsidR="00B7440B" w:rsidRPr="00B7440B">
              <w:rPr>
                <w:noProof/>
                <w:webHidden/>
                <w:szCs w:val="26"/>
              </w:rPr>
              <w:fldChar w:fldCharType="separate"/>
            </w:r>
            <w:r w:rsidR="0066040B">
              <w:rPr>
                <w:noProof/>
                <w:webHidden/>
                <w:szCs w:val="26"/>
              </w:rPr>
              <w:t>131</w:t>
            </w:r>
            <w:r w:rsidR="00B7440B" w:rsidRPr="00B7440B">
              <w:rPr>
                <w:noProof/>
                <w:webHidden/>
                <w:szCs w:val="26"/>
              </w:rPr>
              <w:fldChar w:fldCharType="end"/>
            </w:r>
          </w:hyperlink>
        </w:p>
        <w:p w14:paraId="69439AF8" w14:textId="0EB4330F" w:rsidR="00B7440B" w:rsidRPr="00B7440B" w:rsidRDefault="00E131BD">
          <w:pPr>
            <w:pStyle w:val="TOC5"/>
            <w:rPr>
              <w:rFonts w:eastAsiaTheme="minorEastAsia"/>
              <w:noProof/>
              <w:szCs w:val="26"/>
            </w:rPr>
          </w:pPr>
          <w:hyperlink w:anchor="_Toc63764538" w:history="1">
            <w:r w:rsidR="00B7440B" w:rsidRPr="00B7440B">
              <w:rPr>
                <w:rStyle w:val="Hyperlink"/>
                <w:noProof/>
                <w:szCs w:val="26"/>
              </w:rPr>
              <w:t>iv.</w:t>
            </w:r>
            <w:r w:rsidR="00B7440B" w:rsidRPr="00B7440B">
              <w:rPr>
                <w:rFonts w:eastAsiaTheme="minorEastAsia"/>
                <w:noProof/>
                <w:szCs w:val="26"/>
              </w:rPr>
              <w:tab/>
            </w:r>
            <w:r w:rsidR="00B7440B" w:rsidRPr="00B7440B">
              <w:rPr>
                <w:rStyle w:val="Hyperlink"/>
                <w:noProof/>
                <w:szCs w:val="26"/>
              </w:rPr>
              <w:t>Disposition</w:t>
            </w:r>
            <w:r w:rsidR="00B7440B" w:rsidRPr="00B7440B">
              <w:rPr>
                <w:noProof/>
                <w:webHidden/>
                <w:szCs w:val="26"/>
              </w:rPr>
              <w:tab/>
            </w:r>
            <w:r w:rsidR="00B7440B" w:rsidRPr="00B7440B">
              <w:rPr>
                <w:noProof/>
                <w:webHidden/>
                <w:szCs w:val="26"/>
              </w:rPr>
              <w:fldChar w:fldCharType="begin"/>
            </w:r>
            <w:r w:rsidR="00B7440B" w:rsidRPr="00B7440B">
              <w:rPr>
                <w:noProof/>
                <w:webHidden/>
                <w:szCs w:val="26"/>
              </w:rPr>
              <w:instrText xml:space="preserve"> PAGEREF _Toc63764538 \h </w:instrText>
            </w:r>
            <w:r w:rsidR="00B7440B" w:rsidRPr="00B7440B">
              <w:rPr>
                <w:noProof/>
                <w:webHidden/>
                <w:szCs w:val="26"/>
              </w:rPr>
            </w:r>
            <w:r w:rsidR="00B7440B" w:rsidRPr="00B7440B">
              <w:rPr>
                <w:noProof/>
                <w:webHidden/>
                <w:szCs w:val="26"/>
              </w:rPr>
              <w:fldChar w:fldCharType="separate"/>
            </w:r>
            <w:r w:rsidR="0066040B">
              <w:rPr>
                <w:noProof/>
                <w:webHidden/>
                <w:szCs w:val="26"/>
              </w:rPr>
              <w:t>131</w:t>
            </w:r>
            <w:r w:rsidR="00B7440B" w:rsidRPr="00B7440B">
              <w:rPr>
                <w:noProof/>
                <w:webHidden/>
                <w:szCs w:val="26"/>
              </w:rPr>
              <w:fldChar w:fldCharType="end"/>
            </w:r>
          </w:hyperlink>
        </w:p>
        <w:p w14:paraId="619D1DCB" w14:textId="19E207EA" w:rsidR="00B7440B" w:rsidRPr="00B7440B" w:rsidRDefault="00E131BD">
          <w:pPr>
            <w:pStyle w:val="TOC3"/>
            <w:rPr>
              <w:rFonts w:eastAsiaTheme="minorEastAsia"/>
              <w:noProof/>
              <w:sz w:val="26"/>
              <w:szCs w:val="26"/>
            </w:rPr>
          </w:pPr>
          <w:hyperlink w:anchor="_Toc63764539" w:history="1">
            <w:r w:rsidR="00B7440B" w:rsidRPr="00B7440B">
              <w:rPr>
                <w:rStyle w:val="Hyperlink"/>
                <w:rFonts w:eastAsiaTheme="minorHAnsi"/>
                <w:noProof/>
                <w:sz w:val="26"/>
                <w:szCs w:val="26"/>
              </w:rPr>
              <w:t>2.</w:t>
            </w:r>
            <w:r w:rsidR="00B7440B" w:rsidRPr="00B7440B">
              <w:rPr>
                <w:rFonts w:eastAsiaTheme="minorEastAsia"/>
                <w:noProof/>
                <w:sz w:val="26"/>
                <w:szCs w:val="26"/>
              </w:rPr>
              <w:tab/>
            </w:r>
            <w:r w:rsidR="00B7440B" w:rsidRPr="00B7440B">
              <w:rPr>
                <w:rStyle w:val="Hyperlink"/>
                <w:noProof/>
                <w:sz w:val="26"/>
                <w:szCs w:val="26"/>
              </w:rPr>
              <w:t>Management</w:t>
            </w:r>
            <w:r w:rsidR="00B7440B" w:rsidRPr="00B7440B">
              <w:rPr>
                <w:rStyle w:val="Hyperlink"/>
                <w:rFonts w:eastAsiaTheme="minorHAnsi"/>
                <w:noProof/>
                <w:sz w:val="26"/>
                <w:szCs w:val="26"/>
              </w:rPr>
              <w:t xml:space="preserve"> Effectiveness Adjustment</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_Toc63764539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132</w:t>
            </w:r>
            <w:r w:rsidR="00B7440B" w:rsidRPr="00B7440B">
              <w:rPr>
                <w:noProof/>
                <w:webHidden/>
                <w:sz w:val="26"/>
                <w:szCs w:val="26"/>
              </w:rPr>
              <w:fldChar w:fldCharType="end"/>
            </w:r>
          </w:hyperlink>
        </w:p>
        <w:p w14:paraId="638CDEB1" w14:textId="171046F8" w:rsidR="00B7440B" w:rsidRPr="00B7440B" w:rsidRDefault="00E131BD">
          <w:pPr>
            <w:pStyle w:val="TOC4"/>
            <w:rPr>
              <w:rFonts w:eastAsiaTheme="minorEastAsia"/>
              <w:noProof/>
              <w:sz w:val="26"/>
              <w:szCs w:val="26"/>
            </w:rPr>
          </w:pPr>
          <w:hyperlink w:anchor="_Toc63764540" w:history="1">
            <w:r w:rsidR="00B7440B" w:rsidRPr="00B7440B">
              <w:rPr>
                <w:rStyle w:val="Hyperlink"/>
                <w:rFonts w:eastAsiaTheme="minorHAnsi"/>
                <w:noProof/>
                <w:sz w:val="26"/>
                <w:szCs w:val="26"/>
              </w:rPr>
              <w:t>a.</w:t>
            </w:r>
            <w:r w:rsidR="00B7440B" w:rsidRPr="00B7440B">
              <w:rPr>
                <w:rFonts w:eastAsiaTheme="minorEastAsia"/>
                <w:noProof/>
                <w:sz w:val="26"/>
                <w:szCs w:val="26"/>
              </w:rPr>
              <w:tab/>
            </w:r>
            <w:r w:rsidR="00B7440B" w:rsidRPr="00B7440B">
              <w:rPr>
                <w:rStyle w:val="Hyperlink"/>
                <w:noProof/>
                <w:sz w:val="26"/>
                <w:szCs w:val="26"/>
              </w:rPr>
              <w:t>Positions</w:t>
            </w:r>
            <w:r w:rsidR="00B7440B" w:rsidRPr="00B7440B">
              <w:rPr>
                <w:rStyle w:val="Hyperlink"/>
                <w:rFonts w:eastAsiaTheme="minorHAnsi"/>
                <w:noProof/>
                <w:sz w:val="26"/>
                <w:szCs w:val="26"/>
              </w:rPr>
              <w:t xml:space="preserve"> of the Parties</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_Toc63764540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132</w:t>
            </w:r>
            <w:r w:rsidR="00B7440B" w:rsidRPr="00B7440B">
              <w:rPr>
                <w:noProof/>
                <w:webHidden/>
                <w:sz w:val="26"/>
                <w:szCs w:val="26"/>
              </w:rPr>
              <w:fldChar w:fldCharType="end"/>
            </w:r>
          </w:hyperlink>
        </w:p>
        <w:p w14:paraId="2E48265C" w14:textId="7273503D" w:rsidR="00B7440B" w:rsidRPr="00B7440B" w:rsidRDefault="00E131BD">
          <w:pPr>
            <w:pStyle w:val="TOC4"/>
            <w:rPr>
              <w:rFonts w:eastAsiaTheme="minorEastAsia"/>
              <w:noProof/>
              <w:sz w:val="26"/>
              <w:szCs w:val="26"/>
            </w:rPr>
          </w:pPr>
          <w:hyperlink w:anchor="_Toc63764541" w:history="1">
            <w:r w:rsidR="00B7440B" w:rsidRPr="00B7440B">
              <w:rPr>
                <w:rStyle w:val="Hyperlink"/>
                <w:rFonts w:eastAsiaTheme="minorHAnsi"/>
                <w:noProof/>
                <w:sz w:val="26"/>
                <w:szCs w:val="26"/>
              </w:rPr>
              <w:t>b.</w:t>
            </w:r>
            <w:r w:rsidR="00B7440B" w:rsidRPr="00B7440B">
              <w:rPr>
                <w:rFonts w:eastAsiaTheme="minorEastAsia"/>
                <w:noProof/>
                <w:sz w:val="26"/>
                <w:szCs w:val="26"/>
              </w:rPr>
              <w:tab/>
            </w:r>
            <w:r w:rsidR="00B7440B" w:rsidRPr="00B7440B">
              <w:rPr>
                <w:rStyle w:val="Hyperlink"/>
                <w:noProof/>
                <w:sz w:val="26"/>
                <w:szCs w:val="26"/>
              </w:rPr>
              <w:t>Recommended Decision</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_Toc63764541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134</w:t>
            </w:r>
            <w:r w:rsidR="00B7440B" w:rsidRPr="00B7440B">
              <w:rPr>
                <w:noProof/>
                <w:webHidden/>
                <w:sz w:val="26"/>
                <w:szCs w:val="26"/>
              </w:rPr>
              <w:fldChar w:fldCharType="end"/>
            </w:r>
          </w:hyperlink>
        </w:p>
        <w:p w14:paraId="20F46D24" w14:textId="169BB9C4" w:rsidR="00B7440B" w:rsidRPr="00B7440B" w:rsidRDefault="00E131BD">
          <w:pPr>
            <w:pStyle w:val="TOC4"/>
            <w:rPr>
              <w:rFonts w:eastAsiaTheme="minorEastAsia"/>
              <w:noProof/>
              <w:sz w:val="26"/>
              <w:szCs w:val="26"/>
            </w:rPr>
          </w:pPr>
          <w:hyperlink w:anchor="_Toc63764542" w:history="1">
            <w:r w:rsidR="00B7440B" w:rsidRPr="00B7440B">
              <w:rPr>
                <w:rStyle w:val="Hyperlink"/>
                <w:rFonts w:eastAsiaTheme="minorHAnsi"/>
                <w:noProof/>
                <w:sz w:val="26"/>
                <w:szCs w:val="26"/>
              </w:rPr>
              <w:t>c.</w:t>
            </w:r>
            <w:r w:rsidR="00B7440B" w:rsidRPr="00B7440B">
              <w:rPr>
                <w:rFonts w:eastAsiaTheme="minorEastAsia"/>
                <w:noProof/>
                <w:sz w:val="26"/>
                <w:szCs w:val="26"/>
              </w:rPr>
              <w:tab/>
            </w:r>
            <w:r w:rsidR="00B7440B" w:rsidRPr="00B7440B">
              <w:rPr>
                <w:rStyle w:val="Hyperlink"/>
                <w:noProof/>
                <w:sz w:val="26"/>
                <w:szCs w:val="26"/>
              </w:rPr>
              <w:t>Exceptions</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_Toc63764542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134</w:t>
            </w:r>
            <w:r w:rsidR="00B7440B" w:rsidRPr="00B7440B">
              <w:rPr>
                <w:noProof/>
                <w:webHidden/>
                <w:sz w:val="26"/>
                <w:szCs w:val="26"/>
              </w:rPr>
              <w:fldChar w:fldCharType="end"/>
            </w:r>
          </w:hyperlink>
        </w:p>
        <w:p w14:paraId="5C0BD020" w14:textId="6318D875" w:rsidR="00B7440B" w:rsidRPr="00B7440B" w:rsidRDefault="00E131BD">
          <w:pPr>
            <w:pStyle w:val="TOC4"/>
            <w:rPr>
              <w:rFonts w:eastAsiaTheme="minorEastAsia"/>
              <w:noProof/>
              <w:sz w:val="26"/>
              <w:szCs w:val="26"/>
            </w:rPr>
          </w:pPr>
          <w:hyperlink w:anchor="_Toc63764543" w:history="1">
            <w:r w:rsidR="00B7440B" w:rsidRPr="00B7440B">
              <w:rPr>
                <w:rStyle w:val="Hyperlink"/>
                <w:rFonts w:eastAsiaTheme="minorHAnsi"/>
                <w:noProof/>
                <w:sz w:val="26"/>
                <w:szCs w:val="26"/>
              </w:rPr>
              <w:t>d.</w:t>
            </w:r>
            <w:r w:rsidR="00B7440B" w:rsidRPr="00B7440B">
              <w:rPr>
                <w:rFonts w:eastAsiaTheme="minorEastAsia"/>
                <w:noProof/>
                <w:sz w:val="26"/>
                <w:szCs w:val="26"/>
              </w:rPr>
              <w:tab/>
            </w:r>
            <w:r w:rsidR="00B7440B" w:rsidRPr="00B7440B">
              <w:rPr>
                <w:rStyle w:val="Hyperlink"/>
                <w:rFonts w:eastAsiaTheme="minorHAnsi"/>
                <w:noProof/>
                <w:sz w:val="26"/>
                <w:szCs w:val="26"/>
              </w:rPr>
              <w:t>Disposition</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_Toc63764543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135</w:t>
            </w:r>
            <w:r w:rsidR="00B7440B" w:rsidRPr="00B7440B">
              <w:rPr>
                <w:noProof/>
                <w:webHidden/>
                <w:sz w:val="26"/>
                <w:szCs w:val="26"/>
              </w:rPr>
              <w:fldChar w:fldCharType="end"/>
            </w:r>
          </w:hyperlink>
        </w:p>
        <w:p w14:paraId="4C3C317E" w14:textId="78E5CEAA" w:rsidR="00B7440B" w:rsidRPr="00B7440B" w:rsidRDefault="00E131BD">
          <w:pPr>
            <w:pStyle w:val="TOC3"/>
            <w:rPr>
              <w:rFonts w:eastAsiaTheme="minorEastAsia"/>
              <w:noProof/>
              <w:sz w:val="26"/>
              <w:szCs w:val="26"/>
            </w:rPr>
          </w:pPr>
          <w:hyperlink w:anchor="_Toc63764544" w:history="1">
            <w:r w:rsidR="00B7440B" w:rsidRPr="00B7440B">
              <w:rPr>
                <w:rStyle w:val="Hyperlink"/>
                <w:rFonts w:eastAsiaTheme="minorHAnsi"/>
                <w:noProof/>
                <w:sz w:val="26"/>
                <w:szCs w:val="26"/>
              </w:rPr>
              <w:t>3.</w:t>
            </w:r>
            <w:r w:rsidR="00B7440B" w:rsidRPr="00B7440B">
              <w:rPr>
                <w:rFonts w:eastAsiaTheme="minorEastAsia"/>
                <w:noProof/>
                <w:sz w:val="26"/>
                <w:szCs w:val="26"/>
              </w:rPr>
              <w:tab/>
            </w:r>
            <w:r w:rsidR="00B7440B" w:rsidRPr="00B7440B">
              <w:rPr>
                <w:rStyle w:val="Hyperlink"/>
                <w:noProof/>
                <w:sz w:val="26"/>
                <w:szCs w:val="26"/>
              </w:rPr>
              <w:t>Rate</w:t>
            </w:r>
            <w:r w:rsidR="00B7440B" w:rsidRPr="00B7440B">
              <w:rPr>
                <w:rStyle w:val="Hyperlink"/>
                <w:rFonts w:eastAsiaTheme="minorHAnsi"/>
                <w:noProof/>
                <w:sz w:val="26"/>
                <w:szCs w:val="26"/>
              </w:rPr>
              <w:t xml:space="preserve"> of Return on Common Equity</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_Toc63764544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135</w:t>
            </w:r>
            <w:r w:rsidR="00B7440B" w:rsidRPr="00B7440B">
              <w:rPr>
                <w:noProof/>
                <w:webHidden/>
                <w:sz w:val="26"/>
                <w:szCs w:val="26"/>
              </w:rPr>
              <w:fldChar w:fldCharType="end"/>
            </w:r>
          </w:hyperlink>
        </w:p>
        <w:p w14:paraId="3C438EC2" w14:textId="5880C366" w:rsidR="00B7440B" w:rsidRPr="00B7440B" w:rsidRDefault="00E131BD">
          <w:pPr>
            <w:pStyle w:val="TOC4"/>
            <w:rPr>
              <w:rFonts w:eastAsiaTheme="minorEastAsia"/>
              <w:noProof/>
              <w:sz w:val="26"/>
              <w:szCs w:val="26"/>
            </w:rPr>
          </w:pPr>
          <w:hyperlink w:anchor="_Toc63764545" w:history="1">
            <w:r w:rsidR="00B7440B" w:rsidRPr="00B7440B">
              <w:rPr>
                <w:rStyle w:val="Hyperlink"/>
                <w:rFonts w:eastAsiaTheme="minorHAnsi"/>
                <w:noProof/>
                <w:sz w:val="26"/>
                <w:szCs w:val="26"/>
              </w:rPr>
              <w:t>a.</w:t>
            </w:r>
            <w:r w:rsidR="00B7440B" w:rsidRPr="00B7440B">
              <w:rPr>
                <w:rFonts w:eastAsiaTheme="minorEastAsia"/>
                <w:noProof/>
                <w:sz w:val="26"/>
                <w:szCs w:val="26"/>
              </w:rPr>
              <w:tab/>
            </w:r>
            <w:r w:rsidR="00B7440B" w:rsidRPr="00B7440B">
              <w:rPr>
                <w:rStyle w:val="Hyperlink"/>
                <w:noProof/>
                <w:sz w:val="26"/>
                <w:szCs w:val="26"/>
              </w:rPr>
              <w:t>Positions</w:t>
            </w:r>
            <w:r w:rsidR="00B7440B" w:rsidRPr="00B7440B">
              <w:rPr>
                <w:rStyle w:val="Hyperlink"/>
                <w:rFonts w:eastAsiaTheme="minorHAnsi"/>
                <w:noProof/>
                <w:sz w:val="26"/>
                <w:szCs w:val="26"/>
              </w:rPr>
              <w:t xml:space="preserve"> of the Parties</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_Toc63764545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135</w:t>
            </w:r>
            <w:r w:rsidR="00B7440B" w:rsidRPr="00B7440B">
              <w:rPr>
                <w:noProof/>
                <w:webHidden/>
                <w:sz w:val="26"/>
                <w:szCs w:val="26"/>
              </w:rPr>
              <w:fldChar w:fldCharType="end"/>
            </w:r>
          </w:hyperlink>
        </w:p>
        <w:p w14:paraId="06C8761B" w14:textId="40E7BB5E" w:rsidR="00B7440B" w:rsidRPr="00B7440B" w:rsidRDefault="00E131BD">
          <w:pPr>
            <w:pStyle w:val="TOC4"/>
            <w:rPr>
              <w:rFonts w:eastAsiaTheme="minorEastAsia"/>
              <w:noProof/>
              <w:sz w:val="26"/>
              <w:szCs w:val="26"/>
            </w:rPr>
          </w:pPr>
          <w:hyperlink w:anchor="_Toc63764546" w:history="1">
            <w:r w:rsidR="00B7440B" w:rsidRPr="00B7440B">
              <w:rPr>
                <w:rStyle w:val="Hyperlink"/>
                <w:rFonts w:eastAsiaTheme="minorHAnsi"/>
                <w:noProof/>
                <w:sz w:val="26"/>
                <w:szCs w:val="26"/>
              </w:rPr>
              <w:t>b.</w:t>
            </w:r>
            <w:r w:rsidR="00B7440B" w:rsidRPr="00B7440B">
              <w:rPr>
                <w:rFonts w:eastAsiaTheme="minorEastAsia"/>
                <w:noProof/>
                <w:sz w:val="26"/>
                <w:szCs w:val="26"/>
              </w:rPr>
              <w:tab/>
            </w:r>
            <w:r w:rsidR="00B7440B" w:rsidRPr="00B7440B">
              <w:rPr>
                <w:rStyle w:val="Hyperlink"/>
                <w:noProof/>
                <w:sz w:val="26"/>
                <w:szCs w:val="26"/>
              </w:rPr>
              <w:t>Recommended Decision</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_Toc63764546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137</w:t>
            </w:r>
            <w:r w:rsidR="00B7440B" w:rsidRPr="00B7440B">
              <w:rPr>
                <w:noProof/>
                <w:webHidden/>
                <w:sz w:val="26"/>
                <w:szCs w:val="26"/>
              </w:rPr>
              <w:fldChar w:fldCharType="end"/>
            </w:r>
          </w:hyperlink>
        </w:p>
        <w:p w14:paraId="5367A42D" w14:textId="269E10EA" w:rsidR="00B7440B" w:rsidRPr="00B7440B" w:rsidRDefault="00E131BD">
          <w:pPr>
            <w:pStyle w:val="TOC4"/>
            <w:rPr>
              <w:rFonts w:eastAsiaTheme="minorEastAsia"/>
              <w:noProof/>
              <w:sz w:val="26"/>
              <w:szCs w:val="26"/>
            </w:rPr>
          </w:pPr>
          <w:hyperlink w:anchor="_Toc63764547" w:history="1">
            <w:r w:rsidR="00B7440B" w:rsidRPr="00B7440B">
              <w:rPr>
                <w:rStyle w:val="Hyperlink"/>
                <w:rFonts w:eastAsiaTheme="minorHAnsi"/>
                <w:noProof/>
                <w:sz w:val="26"/>
                <w:szCs w:val="26"/>
              </w:rPr>
              <w:t>c.</w:t>
            </w:r>
            <w:r w:rsidR="00B7440B" w:rsidRPr="00B7440B">
              <w:rPr>
                <w:rFonts w:eastAsiaTheme="minorEastAsia"/>
                <w:noProof/>
                <w:sz w:val="26"/>
                <w:szCs w:val="26"/>
              </w:rPr>
              <w:tab/>
            </w:r>
            <w:r w:rsidR="00B7440B" w:rsidRPr="00B7440B">
              <w:rPr>
                <w:rStyle w:val="Hyperlink"/>
                <w:noProof/>
                <w:sz w:val="26"/>
                <w:szCs w:val="26"/>
              </w:rPr>
              <w:t>Exceptions</w:t>
            </w:r>
            <w:r w:rsidR="00B7440B" w:rsidRPr="00B7440B">
              <w:rPr>
                <w:rStyle w:val="Hyperlink"/>
                <w:rFonts w:eastAsiaTheme="minorHAnsi"/>
                <w:noProof/>
                <w:sz w:val="26"/>
                <w:szCs w:val="26"/>
              </w:rPr>
              <w:t xml:space="preserve"> and Replies</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_Toc63764547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138</w:t>
            </w:r>
            <w:r w:rsidR="00B7440B" w:rsidRPr="00B7440B">
              <w:rPr>
                <w:noProof/>
                <w:webHidden/>
                <w:sz w:val="26"/>
                <w:szCs w:val="26"/>
              </w:rPr>
              <w:fldChar w:fldCharType="end"/>
            </w:r>
          </w:hyperlink>
        </w:p>
        <w:p w14:paraId="4A123F4B" w14:textId="333FD124" w:rsidR="00B7440B" w:rsidRPr="00B7440B" w:rsidRDefault="00E131BD">
          <w:pPr>
            <w:pStyle w:val="TOC5"/>
            <w:rPr>
              <w:rFonts w:eastAsiaTheme="minorEastAsia"/>
              <w:noProof/>
              <w:szCs w:val="26"/>
            </w:rPr>
          </w:pPr>
          <w:hyperlink w:anchor="_Toc63764548" w:history="1">
            <w:r w:rsidR="00B7440B" w:rsidRPr="00B7440B">
              <w:rPr>
                <w:rStyle w:val="Hyperlink"/>
                <w:noProof/>
                <w:szCs w:val="26"/>
              </w:rPr>
              <w:t>i.</w:t>
            </w:r>
            <w:r w:rsidR="00B7440B" w:rsidRPr="00B7440B">
              <w:rPr>
                <w:rFonts w:eastAsiaTheme="minorEastAsia"/>
                <w:noProof/>
                <w:szCs w:val="26"/>
              </w:rPr>
              <w:tab/>
            </w:r>
            <w:r w:rsidR="00B7440B" w:rsidRPr="00B7440B">
              <w:rPr>
                <w:rStyle w:val="Hyperlink"/>
                <w:noProof/>
                <w:szCs w:val="26"/>
              </w:rPr>
              <w:t>Columbia Exception No. 17 and Replies</w:t>
            </w:r>
            <w:r w:rsidR="00B7440B" w:rsidRPr="00B7440B">
              <w:rPr>
                <w:noProof/>
                <w:webHidden/>
                <w:szCs w:val="26"/>
              </w:rPr>
              <w:tab/>
            </w:r>
            <w:r w:rsidR="00B7440B" w:rsidRPr="00B7440B">
              <w:rPr>
                <w:noProof/>
                <w:webHidden/>
                <w:szCs w:val="26"/>
              </w:rPr>
              <w:fldChar w:fldCharType="begin"/>
            </w:r>
            <w:r w:rsidR="00B7440B" w:rsidRPr="00B7440B">
              <w:rPr>
                <w:noProof/>
                <w:webHidden/>
                <w:szCs w:val="26"/>
              </w:rPr>
              <w:instrText xml:space="preserve"> PAGEREF _Toc63764548 \h </w:instrText>
            </w:r>
            <w:r w:rsidR="00B7440B" w:rsidRPr="00B7440B">
              <w:rPr>
                <w:noProof/>
                <w:webHidden/>
                <w:szCs w:val="26"/>
              </w:rPr>
            </w:r>
            <w:r w:rsidR="00B7440B" w:rsidRPr="00B7440B">
              <w:rPr>
                <w:noProof/>
                <w:webHidden/>
                <w:szCs w:val="26"/>
              </w:rPr>
              <w:fldChar w:fldCharType="separate"/>
            </w:r>
            <w:r w:rsidR="0066040B">
              <w:rPr>
                <w:noProof/>
                <w:webHidden/>
                <w:szCs w:val="26"/>
              </w:rPr>
              <w:t>138</w:t>
            </w:r>
            <w:r w:rsidR="00B7440B" w:rsidRPr="00B7440B">
              <w:rPr>
                <w:noProof/>
                <w:webHidden/>
                <w:szCs w:val="26"/>
              </w:rPr>
              <w:fldChar w:fldCharType="end"/>
            </w:r>
          </w:hyperlink>
        </w:p>
        <w:p w14:paraId="3912FE22" w14:textId="7B9618DD" w:rsidR="00B7440B" w:rsidRPr="00B7440B" w:rsidRDefault="00E131BD">
          <w:pPr>
            <w:pStyle w:val="TOC5"/>
            <w:rPr>
              <w:rFonts w:eastAsiaTheme="minorEastAsia"/>
              <w:noProof/>
              <w:szCs w:val="26"/>
            </w:rPr>
          </w:pPr>
          <w:hyperlink w:anchor="_Toc63764549" w:history="1">
            <w:r w:rsidR="00B7440B" w:rsidRPr="00B7440B">
              <w:rPr>
                <w:rStyle w:val="Hyperlink"/>
                <w:noProof/>
                <w:szCs w:val="26"/>
              </w:rPr>
              <w:t>ii.</w:t>
            </w:r>
            <w:r w:rsidR="00B7440B" w:rsidRPr="00B7440B">
              <w:rPr>
                <w:rFonts w:eastAsiaTheme="minorEastAsia"/>
                <w:noProof/>
                <w:szCs w:val="26"/>
              </w:rPr>
              <w:tab/>
            </w:r>
            <w:r w:rsidR="00B7440B" w:rsidRPr="00B7440B">
              <w:rPr>
                <w:rStyle w:val="Hyperlink"/>
                <w:noProof/>
                <w:szCs w:val="26"/>
              </w:rPr>
              <w:t>OCA Exception No. 3B and Replies</w:t>
            </w:r>
            <w:r w:rsidR="00B7440B" w:rsidRPr="00B7440B">
              <w:rPr>
                <w:noProof/>
                <w:webHidden/>
                <w:szCs w:val="26"/>
              </w:rPr>
              <w:tab/>
            </w:r>
            <w:r w:rsidR="00B7440B" w:rsidRPr="00B7440B">
              <w:rPr>
                <w:noProof/>
                <w:webHidden/>
                <w:szCs w:val="26"/>
              </w:rPr>
              <w:fldChar w:fldCharType="begin"/>
            </w:r>
            <w:r w:rsidR="00B7440B" w:rsidRPr="00B7440B">
              <w:rPr>
                <w:noProof/>
                <w:webHidden/>
                <w:szCs w:val="26"/>
              </w:rPr>
              <w:instrText xml:space="preserve"> PAGEREF _Toc63764549 \h </w:instrText>
            </w:r>
            <w:r w:rsidR="00B7440B" w:rsidRPr="00B7440B">
              <w:rPr>
                <w:noProof/>
                <w:webHidden/>
                <w:szCs w:val="26"/>
              </w:rPr>
            </w:r>
            <w:r w:rsidR="00B7440B" w:rsidRPr="00B7440B">
              <w:rPr>
                <w:noProof/>
                <w:webHidden/>
                <w:szCs w:val="26"/>
              </w:rPr>
              <w:fldChar w:fldCharType="separate"/>
            </w:r>
            <w:r w:rsidR="0066040B">
              <w:rPr>
                <w:noProof/>
                <w:webHidden/>
                <w:szCs w:val="26"/>
              </w:rPr>
              <w:t>139</w:t>
            </w:r>
            <w:r w:rsidR="00B7440B" w:rsidRPr="00B7440B">
              <w:rPr>
                <w:noProof/>
                <w:webHidden/>
                <w:szCs w:val="26"/>
              </w:rPr>
              <w:fldChar w:fldCharType="end"/>
            </w:r>
          </w:hyperlink>
        </w:p>
        <w:p w14:paraId="28AC28AF" w14:textId="004BA043" w:rsidR="00B7440B" w:rsidRPr="00B7440B" w:rsidRDefault="00E131BD">
          <w:pPr>
            <w:pStyle w:val="TOC4"/>
            <w:rPr>
              <w:rFonts w:eastAsiaTheme="minorEastAsia"/>
              <w:noProof/>
              <w:sz w:val="26"/>
              <w:szCs w:val="26"/>
            </w:rPr>
          </w:pPr>
          <w:hyperlink w:anchor="_Toc63764550" w:history="1">
            <w:r w:rsidR="00B7440B" w:rsidRPr="00B7440B">
              <w:rPr>
                <w:rStyle w:val="Hyperlink"/>
                <w:noProof/>
                <w:sz w:val="26"/>
                <w:szCs w:val="26"/>
              </w:rPr>
              <w:t>d.</w:t>
            </w:r>
            <w:r w:rsidR="00B7440B" w:rsidRPr="00B7440B">
              <w:rPr>
                <w:rFonts w:eastAsiaTheme="minorEastAsia"/>
                <w:noProof/>
                <w:sz w:val="26"/>
                <w:szCs w:val="26"/>
              </w:rPr>
              <w:tab/>
            </w:r>
            <w:r w:rsidR="00B7440B" w:rsidRPr="00B7440B">
              <w:rPr>
                <w:rStyle w:val="Hyperlink"/>
                <w:noProof/>
                <w:sz w:val="26"/>
                <w:szCs w:val="26"/>
              </w:rPr>
              <w:t>Disposition</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_Toc63764550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141</w:t>
            </w:r>
            <w:r w:rsidR="00B7440B" w:rsidRPr="00B7440B">
              <w:rPr>
                <w:noProof/>
                <w:webHidden/>
                <w:sz w:val="26"/>
                <w:szCs w:val="26"/>
              </w:rPr>
              <w:fldChar w:fldCharType="end"/>
            </w:r>
          </w:hyperlink>
        </w:p>
        <w:p w14:paraId="6FA17C3E" w14:textId="5C155033" w:rsidR="00B7440B" w:rsidRPr="00B7440B" w:rsidRDefault="00E131BD">
          <w:pPr>
            <w:pStyle w:val="TOC2"/>
            <w:tabs>
              <w:tab w:val="left" w:pos="1440"/>
            </w:tabs>
            <w:rPr>
              <w:rFonts w:eastAsiaTheme="minorEastAsia"/>
              <w:noProof/>
              <w:sz w:val="26"/>
              <w:szCs w:val="26"/>
            </w:rPr>
          </w:pPr>
          <w:hyperlink w:anchor="_Toc63764551" w:history="1">
            <w:r w:rsidR="00B7440B" w:rsidRPr="00B7440B">
              <w:rPr>
                <w:rStyle w:val="Hyperlink"/>
                <w:noProof/>
                <w:sz w:val="26"/>
                <w:szCs w:val="26"/>
              </w:rPr>
              <w:t>E.</w:t>
            </w:r>
            <w:r w:rsidR="00B7440B" w:rsidRPr="00B7440B">
              <w:rPr>
                <w:rFonts w:eastAsiaTheme="minorEastAsia"/>
                <w:noProof/>
                <w:sz w:val="26"/>
                <w:szCs w:val="26"/>
              </w:rPr>
              <w:tab/>
            </w:r>
            <w:r w:rsidR="00B7440B" w:rsidRPr="00B7440B">
              <w:rPr>
                <w:rStyle w:val="Hyperlink"/>
                <w:noProof/>
                <w:sz w:val="26"/>
                <w:szCs w:val="26"/>
              </w:rPr>
              <w:t>Overall Rate of Return</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_Toc63764551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141</w:t>
            </w:r>
            <w:r w:rsidR="00B7440B" w:rsidRPr="00B7440B">
              <w:rPr>
                <w:noProof/>
                <w:webHidden/>
                <w:sz w:val="26"/>
                <w:szCs w:val="26"/>
              </w:rPr>
              <w:fldChar w:fldCharType="end"/>
            </w:r>
          </w:hyperlink>
        </w:p>
        <w:p w14:paraId="212838FB" w14:textId="721926DB" w:rsidR="00B7440B" w:rsidRPr="00B7440B" w:rsidRDefault="00E131BD">
          <w:pPr>
            <w:pStyle w:val="TOC3"/>
            <w:rPr>
              <w:rFonts w:eastAsiaTheme="minorEastAsia"/>
              <w:noProof/>
              <w:sz w:val="26"/>
              <w:szCs w:val="26"/>
            </w:rPr>
          </w:pPr>
          <w:hyperlink w:anchor="_Toc63764552" w:history="1">
            <w:r w:rsidR="00B7440B" w:rsidRPr="00B7440B">
              <w:rPr>
                <w:rStyle w:val="Hyperlink"/>
                <w:rFonts w:eastAsiaTheme="minorHAnsi"/>
                <w:noProof/>
                <w:sz w:val="26"/>
                <w:szCs w:val="26"/>
              </w:rPr>
              <w:t>1.</w:t>
            </w:r>
            <w:r w:rsidR="00B7440B" w:rsidRPr="00B7440B">
              <w:rPr>
                <w:rFonts w:eastAsiaTheme="minorEastAsia"/>
                <w:noProof/>
                <w:sz w:val="26"/>
                <w:szCs w:val="26"/>
              </w:rPr>
              <w:tab/>
            </w:r>
            <w:r w:rsidR="00B7440B" w:rsidRPr="00B7440B">
              <w:rPr>
                <w:rStyle w:val="Hyperlink"/>
                <w:noProof/>
                <w:sz w:val="26"/>
                <w:szCs w:val="26"/>
              </w:rPr>
              <w:t>Positions</w:t>
            </w:r>
            <w:r w:rsidR="00B7440B" w:rsidRPr="00B7440B">
              <w:rPr>
                <w:rStyle w:val="Hyperlink"/>
                <w:rFonts w:eastAsiaTheme="minorHAnsi"/>
                <w:noProof/>
                <w:sz w:val="26"/>
                <w:szCs w:val="26"/>
              </w:rPr>
              <w:t xml:space="preserve"> of the Parties</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_Toc63764552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141</w:t>
            </w:r>
            <w:r w:rsidR="00B7440B" w:rsidRPr="00B7440B">
              <w:rPr>
                <w:noProof/>
                <w:webHidden/>
                <w:sz w:val="26"/>
                <w:szCs w:val="26"/>
              </w:rPr>
              <w:fldChar w:fldCharType="end"/>
            </w:r>
          </w:hyperlink>
        </w:p>
        <w:p w14:paraId="1F1EC2BD" w14:textId="363A43A6" w:rsidR="00B7440B" w:rsidRPr="00B7440B" w:rsidRDefault="00E131BD">
          <w:pPr>
            <w:pStyle w:val="TOC3"/>
            <w:rPr>
              <w:rFonts w:eastAsiaTheme="minorEastAsia"/>
              <w:noProof/>
              <w:sz w:val="26"/>
              <w:szCs w:val="26"/>
            </w:rPr>
          </w:pPr>
          <w:hyperlink w:anchor="_Toc63764553" w:history="1">
            <w:r w:rsidR="00B7440B" w:rsidRPr="00B7440B">
              <w:rPr>
                <w:rStyle w:val="Hyperlink"/>
                <w:rFonts w:eastAsiaTheme="minorHAnsi"/>
                <w:noProof/>
                <w:sz w:val="26"/>
                <w:szCs w:val="26"/>
              </w:rPr>
              <w:t>2.</w:t>
            </w:r>
            <w:r w:rsidR="00B7440B" w:rsidRPr="00B7440B">
              <w:rPr>
                <w:rFonts w:eastAsiaTheme="minorEastAsia"/>
                <w:noProof/>
                <w:sz w:val="26"/>
                <w:szCs w:val="26"/>
              </w:rPr>
              <w:tab/>
            </w:r>
            <w:r w:rsidR="00B7440B" w:rsidRPr="00B7440B">
              <w:rPr>
                <w:rStyle w:val="Hyperlink"/>
                <w:noProof/>
                <w:sz w:val="26"/>
                <w:szCs w:val="26"/>
              </w:rPr>
              <w:t>Recommended</w:t>
            </w:r>
            <w:r w:rsidR="00B7440B" w:rsidRPr="00B7440B">
              <w:rPr>
                <w:rStyle w:val="Hyperlink"/>
                <w:rFonts w:eastAsiaTheme="minorHAnsi"/>
                <w:noProof/>
                <w:sz w:val="26"/>
                <w:szCs w:val="26"/>
              </w:rPr>
              <w:t xml:space="preserve"> Decision</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_Toc63764553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142</w:t>
            </w:r>
            <w:r w:rsidR="00B7440B" w:rsidRPr="00B7440B">
              <w:rPr>
                <w:noProof/>
                <w:webHidden/>
                <w:sz w:val="26"/>
                <w:szCs w:val="26"/>
              </w:rPr>
              <w:fldChar w:fldCharType="end"/>
            </w:r>
          </w:hyperlink>
        </w:p>
        <w:p w14:paraId="7A21800F" w14:textId="28EAC5F5" w:rsidR="00B7440B" w:rsidRPr="00B7440B" w:rsidRDefault="00E131BD">
          <w:pPr>
            <w:pStyle w:val="TOC3"/>
            <w:rPr>
              <w:rFonts w:eastAsiaTheme="minorEastAsia"/>
              <w:noProof/>
              <w:sz w:val="26"/>
              <w:szCs w:val="26"/>
            </w:rPr>
          </w:pPr>
          <w:hyperlink w:anchor="_Toc63764554" w:history="1">
            <w:r w:rsidR="00B7440B" w:rsidRPr="00B7440B">
              <w:rPr>
                <w:rStyle w:val="Hyperlink"/>
                <w:rFonts w:eastAsiaTheme="minorHAnsi"/>
                <w:noProof/>
                <w:sz w:val="26"/>
                <w:szCs w:val="26"/>
              </w:rPr>
              <w:t>3.</w:t>
            </w:r>
            <w:r w:rsidR="00B7440B" w:rsidRPr="00B7440B">
              <w:rPr>
                <w:rFonts w:eastAsiaTheme="minorEastAsia"/>
                <w:noProof/>
                <w:sz w:val="26"/>
                <w:szCs w:val="26"/>
              </w:rPr>
              <w:tab/>
            </w:r>
            <w:r w:rsidR="00B7440B" w:rsidRPr="00B7440B">
              <w:rPr>
                <w:rStyle w:val="Hyperlink"/>
                <w:rFonts w:eastAsiaTheme="minorHAnsi"/>
                <w:noProof/>
                <w:sz w:val="26"/>
                <w:szCs w:val="26"/>
              </w:rPr>
              <w:t>Exceptions and Replies</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_Toc63764554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142</w:t>
            </w:r>
            <w:r w:rsidR="00B7440B" w:rsidRPr="00B7440B">
              <w:rPr>
                <w:noProof/>
                <w:webHidden/>
                <w:sz w:val="26"/>
                <w:szCs w:val="26"/>
              </w:rPr>
              <w:fldChar w:fldCharType="end"/>
            </w:r>
          </w:hyperlink>
        </w:p>
        <w:p w14:paraId="723AB083" w14:textId="2673B494" w:rsidR="00B7440B" w:rsidRPr="00B7440B" w:rsidRDefault="00E131BD">
          <w:pPr>
            <w:pStyle w:val="TOC3"/>
            <w:rPr>
              <w:rFonts w:eastAsiaTheme="minorEastAsia"/>
              <w:noProof/>
              <w:sz w:val="26"/>
              <w:szCs w:val="26"/>
            </w:rPr>
          </w:pPr>
          <w:hyperlink w:anchor="_Toc63764555" w:history="1">
            <w:r w:rsidR="00B7440B" w:rsidRPr="00B7440B">
              <w:rPr>
                <w:rStyle w:val="Hyperlink"/>
                <w:rFonts w:eastAsiaTheme="minorHAnsi"/>
                <w:noProof/>
                <w:sz w:val="26"/>
                <w:szCs w:val="26"/>
              </w:rPr>
              <w:t>4.</w:t>
            </w:r>
            <w:r w:rsidR="00B7440B" w:rsidRPr="00B7440B">
              <w:rPr>
                <w:rFonts w:eastAsiaTheme="minorEastAsia"/>
                <w:noProof/>
                <w:sz w:val="26"/>
                <w:szCs w:val="26"/>
              </w:rPr>
              <w:tab/>
            </w:r>
            <w:r w:rsidR="00B7440B" w:rsidRPr="00B7440B">
              <w:rPr>
                <w:rStyle w:val="Hyperlink"/>
                <w:rFonts w:eastAsiaTheme="minorHAnsi"/>
                <w:noProof/>
                <w:sz w:val="26"/>
                <w:szCs w:val="26"/>
              </w:rPr>
              <w:t>Disposition</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_Toc63764555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143</w:t>
            </w:r>
            <w:r w:rsidR="00B7440B" w:rsidRPr="00B7440B">
              <w:rPr>
                <w:noProof/>
                <w:webHidden/>
                <w:sz w:val="26"/>
                <w:szCs w:val="26"/>
              </w:rPr>
              <w:fldChar w:fldCharType="end"/>
            </w:r>
          </w:hyperlink>
        </w:p>
        <w:p w14:paraId="5092958A" w14:textId="7173ED0D" w:rsidR="00B7440B" w:rsidRPr="00B7440B" w:rsidRDefault="00E131BD">
          <w:pPr>
            <w:pStyle w:val="TOC1"/>
            <w:rPr>
              <w:rFonts w:eastAsiaTheme="minorEastAsia"/>
              <w:b w:val="0"/>
              <w:bCs w:val="0"/>
            </w:rPr>
          </w:pPr>
          <w:hyperlink w:anchor="_Toc63764556" w:history="1">
            <w:r w:rsidR="00B7440B" w:rsidRPr="00B7440B">
              <w:rPr>
                <w:rStyle w:val="Hyperlink"/>
                <w:b w:val="0"/>
                <w:bCs w:val="0"/>
              </w:rPr>
              <w:t>X.</w:t>
            </w:r>
            <w:r w:rsidR="00B7440B" w:rsidRPr="00B7440B">
              <w:rPr>
                <w:rFonts w:eastAsiaTheme="minorEastAsia"/>
                <w:b w:val="0"/>
                <w:bCs w:val="0"/>
              </w:rPr>
              <w:tab/>
            </w:r>
            <w:r w:rsidR="00B7440B" w:rsidRPr="00B7440B">
              <w:rPr>
                <w:rStyle w:val="Hyperlink"/>
                <w:b w:val="0"/>
                <w:bCs w:val="0"/>
              </w:rPr>
              <w:t>Miscellaneous Issues</w:t>
            </w:r>
            <w:r w:rsidR="00B7440B" w:rsidRPr="00B7440B">
              <w:rPr>
                <w:b w:val="0"/>
                <w:bCs w:val="0"/>
                <w:webHidden/>
              </w:rPr>
              <w:tab/>
            </w:r>
            <w:r w:rsidR="00B7440B" w:rsidRPr="00B7440B">
              <w:rPr>
                <w:b w:val="0"/>
                <w:bCs w:val="0"/>
                <w:webHidden/>
              </w:rPr>
              <w:fldChar w:fldCharType="begin"/>
            </w:r>
            <w:r w:rsidR="00B7440B" w:rsidRPr="00B7440B">
              <w:rPr>
                <w:b w:val="0"/>
                <w:bCs w:val="0"/>
                <w:webHidden/>
              </w:rPr>
              <w:instrText xml:space="preserve"> PAGEREF _Toc63764556 \h </w:instrText>
            </w:r>
            <w:r w:rsidR="00B7440B" w:rsidRPr="00B7440B">
              <w:rPr>
                <w:b w:val="0"/>
                <w:bCs w:val="0"/>
                <w:webHidden/>
              </w:rPr>
            </w:r>
            <w:r w:rsidR="00B7440B" w:rsidRPr="00B7440B">
              <w:rPr>
                <w:b w:val="0"/>
                <w:bCs w:val="0"/>
                <w:webHidden/>
              </w:rPr>
              <w:fldChar w:fldCharType="separate"/>
            </w:r>
            <w:r w:rsidR="0066040B">
              <w:rPr>
                <w:b w:val="0"/>
                <w:bCs w:val="0"/>
                <w:webHidden/>
              </w:rPr>
              <w:t>144</w:t>
            </w:r>
            <w:r w:rsidR="00B7440B" w:rsidRPr="00B7440B">
              <w:rPr>
                <w:b w:val="0"/>
                <w:bCs w:val="0"/>
                <w:webHidden/>
              </w:rPr>
              <w:fldChar w:fldCharType="end"/>
            </w:r>
          </w:hyperlink>
        </w:p>
        <w:p w14:paraId="227FA407" w14:textId="4488F469" w:rsidR="00B7440B" w:rsidRPr="00B7440B" w:rsidRDefault="00E131BD">
          <w:pPr>
            <w:pStyle w:val="TOC2"/>
            <w:tabs>
              <w:tab w:val="left" w:pos="1440"/>
            </w:tabs>
            <w:rPr>
              <w:rFonts w:eastAsiaTheme="minorEastAsia"/>
              <w:noProof/>
              <w:sz w:val="26"/>
              <w:szCs w:val="26"/>
            </w:rPr>
          </w:pPr>
          <w:hyperlink w:anchor="_Toc63764557" w:history="1">
            <w:r w:rsidR="00B7440B" w:rsidRPr="00B7440B">
              <w:rPr>
                <w:rStyle w:val="Hyperlink"/>
                <w:noProof/>
                <w:sz w:val="26"/>
                <w:szCs w:val="26"/>
              </w:rPr>
              <w:t>A.</w:t>
            </w:r>
            <w:r w:rsidR="00B7440B" w:rsidRPr="00B7440B">
              <w:rPr>
                <w:rFonts w:eastAsiaTheme="minorEastAsia"/>
                <w:noProof/>
                <w:sz w:val="26"/>
                <w:szCs w:val="26"/>
              </w:rPr>
              <w:tab/>
            </w:r>
            <w:r w:rsidR="00B7440B" w:rsidRPr="00B7440B">
              <w:rPr>
                <w:rStyle w:val="Hyperlink"/>
                <w:noProof/>
                <w:sz w:val="26"/>
                <w:szCs w:val="26"/>
              </w:rPr>
              <w:t>Low-Income Customer Issues</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_Toc63764557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144</w:t>
            </w:r>
            <w:r w:rsidR="00B7440B" w:rsidRPr="00B7440B">
              <w:rPr>
                <w:noProof/>
                <w:webHidden/>
                <w:sz w:val="26"/>
                <w:szCs w:val="26"/>
              </w:rPr>
              <w:fldChar w:fldCharType="end"/>
            </w:r>
          </w:hyperlink>
        </w:p>
        <w:p w14:paraId="15C472AB" w14:textId="7E9059F2" w:rsidR="00B7440B" w:rsidRPr="00B7440B" w:rsidRDefault="00E131BD" w:rsidP="00B7440B">
          <w:pPr>
            <w:pStyle w:val="TOC3"/>
            <w:rPr>
              <w:rFonts w:eastAsiaTheme="minorEastAsia"/>
              <w:noProof/>
              <w:sz w:val="26"/>
              <w:szCs w:val="26"/>
            </w:rPr>
          </w:pPr>
          <w:hyperlink w:anchor="_Toc63764558" w:history="1">
            <w:r w:rsidR="00B7440B" w:rsidRPr="00B7440B">
              <w:rPr>
                <w:rStyle w:val="Hyperlink"/>
                <w:rFonts w:eastAsiaTheme="minorHAnsi"/>
                <w:noProof/>
                <w:sz w:val="26"/>
                <w:szCs w:val="26"/>
              </w:rPr>
              <w:t>1.</w:t>
            </w:r>
            <w:r w:rsidR="00B7440B" w:rsidRPr="00B7440B">
              <w:rPr>
                <w:rFonts w:eastAsiaTheme="minorEastAsia"/>
                <w:noProof/>
                <w:sz w:val="26"/>
                <w:szCs w:val="26"/>
              </w:rPr>
              <w:tab/>
            </w:r>
            <w:r w:rsidR="00B7440B" w:rsidRPr="00B7440B">
              <w:rPr>
                <w:rStyle w:val="Hyperlink"/>
                <w:noProof/>
                <w:sz w:val="26"/>
                <w:szCs w:val="26"/>
              </w:rPr>
              <w:t>Customer</w:t>
            </w:r>
            <w:r w:rsidR="00B7440B" w:rsidRPr="00B7440B">
              <w:rPr>
                <w:rStyle w:val="Hyperlink"/>
                <w:rFonts w:eastAsiaTheme="minorHAnsi"/>
                <w:noProof/>
                <w:sz w:val="26"/>
                <w:szCs w:val="26"/>
              </w:rPr>
              <w:t xml:space="preserve"> Assistance Program</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_Toc63764558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144</w:t>
            </w:r>
            <w:r w:rsidR="00B7440B" w:rsidRPr="00B7440B">
              <w:rPr>
                <w:noProof/>
                <w:webHidden/>
                <w:sz w:val="26"/>
                <w:szCs w:val="26"/>
              </w:rPr>
              <w:fldChar w:fldCharType="end"/>
            </w:r>
          </w:hyperlink>
        </w:p>
        <w:p w14:paraId="2C6FC098" w14:textId="59F77935" w:rsidR="00B7440B" w:rsidRPr="00B7440B" w:rsidRDefault="00E131BD" w:rsidP="00B7440B">
          <w:pPr>
            <w:pStyle w:val="TOC4"/>
            <w:keepNext w:val="0"/>
            <w:rPr>
              <w:rFonts w:eastAsiaTheme="minorEastAsia"/>
              <w:noProof/>
              <w:sz w:val="26"/>
              <w:szCs w:val="26"/>
            </w:rPr>
          </w:pPr>
          <w:hyperlink w:anchor="_Toc63764559" w:history="1">
            <w:r w:rsidR="00B7440B" w:rsidRPr="00B7440B">
              <w:rPr>
                <w:rStyle w:val="Hyperlink"/>
                <w:rFonts w:eastAsiaTheme="minorHAnsi"/>
                <w:noProof/>
                <w:sz w:val="26"/>
                <w:szCs w:val="26"/>
              </w:rPr>
              <w:t>a.</w:t>
            </w:r>
            <w:r w:rsidR="00B7440B" w:rsidRPr="00B7440B">
              <w:rPr>
                <w:rFonts w:eastAsiaTheme="minorEastAsia"/>
                <w:noProof/>
                <w:sz w:val="26"/>
                <w:szCs w:val="26"/>
              </w:rPr>
              <w:tab/>
            </w:r>
            <w:r w:rsidR="00B7440B" w:rsidRPr="00B7440B">
              <w:rPr>
                <w:rStyle w:val="Hyperlink"/>
                <w:noProof/>
                <w:sz w:val="26"/>
                <w:szCs w:val="26"/>
              </w:rPr>
              <w:t>Positions</w:t>
            </w:r>
            <w:r w:rsidR="00B7440B" w:rsidRPr="00B7440B">
              <w:rPr>
                <w:rStyle w:val="Hyperlink"/>
                <w:rFonts w:eastAsiaTheme="minorHAnsi"/>
                <w:noProof/>
                <w:sz w:val="26"/>
                <w:szCs w:val="26"/>
              </w:rPr>
              <w:t xml:space="preserve"> of the Parties</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_Toc63764559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144</w:t>
            </w:r>
            <w:r w:rsidR="00B7440B" w:rsidRPr="00B7440B">
              <w:rPr>
                <w:noProof/>
                <w:webHidden/>
                <w:sz w:val="26"/>
                <w:szCs w:val="26"/>
              </w:rPr>
              <w:fldChar w:fldCharType="end"/>
            </w:r>
          </w:hyperlink>
        </w:p>
        <w:p w14:paraId="563C6314" w14:textId="7272D55C" w:rsidR="00B7440B" w:rsidRPr="00B7440B" w:rsidRDefault="00E131BD" w:rsidP="00B7440B">
          <w:pPr>
            <w:pStyle w:val="TOC4"/>
            <w:keepNext w:val="0"/>
            <w:rPr>
              <w:rFonts w:eastAsiaTheme="minorEastAsia"/>
              <w:noProof/>
              <w:sz w:val="26"/>
              <w:szCs w:val="26"/>
            </w:rPr>
          </w:pPr>
          <w:hyperlink w:anchor="_Toc63764560" w:history="1">
            <w:r w:rsidR="00B7440B" w:rsidRPr="00B7440B">
              <w:rPr>
                <w:rStyle w:val="Hyperlink"/>
                <w:rFonts w:eastAsiaTheme="minorHAnsi"/>
                <w:noProof/>
                <w:sz w:val="26"/>
                <w:szCs w:val="26"/>
              </w:rPr>
              <w:t>b.</w:t>
            </w:r>
            <w:r w:rsidR="00B7440B" w:rsidRPr="00B7440B">
              <w:rPr>
                <w:rFonts w:eastAsiaTheme="minorEastAsia"/>
                <w:noProof/>
                <w:sz w:val="26"/>
                <w:szCs w:val="26"/>
              </w:rPr>
              <w:tab/>
            </w:r>
            <w:r w:rsidR="00B7440B" w:rsidRPr="00B7440B">
              <w:rPr>
                <w:rStyle w:val="Hyperlink"/>
                <w:noProof/>
                <w:sz w:val="26"/>
                <w:szCs w:val="26"/>
              </w:rPr>
              <w:t>Recommended</w:t>
            </w:r>
            <w:r w:rsidR="00B7440B" w:rsidRPr="00B7440B">
              <w:rPr>
                <w:rStyle w:val="Hyperlink"/>
                <w:rFonts w:eastAsiaTheme="minorHAnsi"/>
                <w:noProof/>
                <w:sz w:val="26"/>
                <w:szCs w:val="26"/>
              </w:rPr>
              <w:t xml:space="preserve"> Decision</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_Toc63764560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146</w:t>
            </w:r>
            <w:r w:rsidR="00B7440B" w:rsidRPr="00B7440B">
              <w:rPr>
                <w:noProof/>
                <w:webHidden/>
                <w:sz w:val="26"/>
                <w:szCs w:val="26"/>
              </w:rPr>
              <w:fldChar w:fldCharType="end"/>
            </w:r>
          </w:hyperlink>
        </w:p>
        <w:p w14:paraId="65B1EAA1" w14:textId="04B2D387" w:rsidR="00B7440B" w:rsidRPr="00B7440B" w:rsidRDefault="00E131BD" w:rsidP="00B7440B">
          <w:pPr>
            <w:pStyle w:val="TOC4"/>
            <w:keepNext w:val="0"/>
            <w:rPr>
              <w:rFonts w:eastAsiaTheme="minorEastAsia"/>
              <w:noProof/>
              <w:sz w:val="26"/>
              <w:szCs w:val="26"/>
            </w:rPr>
          </w:pPr>
          <w:hyperlink w:anchor="_Toc63764561" w:history="1">
            <w:r w:rsidR="00B7440B" w:rsidRPr="00B7440B">
              <w:rPr>
                <w:rStyle w:val="Hyperlink"/>
                <w:rFonts w:eastAsiaTheme="minorHAnsi"/>
                <w:noProof/>
                <w:sz w:val="26"/>
                <w:szCs w:val="26"/>
              </w:rPr>
              <w:t>c.</w:t>
            </w:r>
            <w:r w:rsidR="00B7440B" w:rsidRPr="00B7440B">
              <w:rPr>
                <w:rFonts w:eastAsiaTheme="minorEastAsia"/>
                <w:noProof/>
                <w:sz w:val="26"/>
                <w:szCs w:val="26"/>
              </w:rPr>
              <w:tab/>
            </w:r>
            <w:r w:rsidR="00B7440B" w:rsidRPr="00B7440B">
              <w:rPr>
                <w:rStyle w:val="Hyperlink"/>
                <w:noProof/>
                <w:sz w:val="26"/>
                <w:szCs w:val="26"/>
              </w:rPr>
              <w:t>Columbia</w:t>
            </w:r>
            <w:r w:rsidR="00B7440B" w:rsidRPr="00B7440B">
              <w:rPr>
                <w:rStyle w:val="Hyperlink"/>
                <w:rFonts w:eastAsiaTheme="minorHAnsi"/>
                <w:noProof/>
                <w:sz w:val="26"/>
                <w:szCs w:val="26"/>
              </w:rPr>
              <w:t xml:space="preserve"> Exception No. 22 and Replies</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_Toc63764561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147</w:t>
            </w:r>
            <w:r w:rsidR="00B7440B" w:rsidRPr="00B7440B">
              <w:rPr>
                <w:noProof/>
                <w:webHidden/>
                <w:sz w:val="26"/>
                <w:szCs w:val="26"/>
              </w:rPr>
              <w:fldChar w:fldCharType="end"/>
            </w:r>
          </w:hyperlink>
        </w:p>
        <w:p w14:paraId="7582FFB2" w14:textId="1D231A0B" w:rsidR="00B7440B" w:rsidRPr="00B7440B" w:rsidRDefault="00E131BD" w:rsidP="00B7440B">
          <w:pPr>
            <w:pStyle w:val="TOC4"/>
            <w:keepNext w:val="0"/>
            <w:rPr>
              <w:rFonts w:eastAsiaTheme="minorEastAsia"/>
              <w:noProof/>
              <w:sz w:val="26"/>
              <w:szCs w:val="26"/>
            </w:rPr>
          </w:pPr>
          <w:hyperlink w:anchor="_Toc63764562" w:history="1">
            <w:r w:rsidR="00B7440B" w:rsidRPr="00B7440B">
              <w:rPr>
                <w:rStyle w:val="Hyperlink"/>
                <w:rFonts w:eastAsiaTheme="minorHAnsi"/>
                <w:noProof/>
                <w:sz w:val="26"/>
                <w:szCs w:val="26"/>
              </w:rPr>
              <w:t>d.</w:t>
            </w:r>
            <w:r w:rsidR="00B7440B" w:rsidRPr="00B7440B">
              <w:rPr>
                <w:rFonts w:eastAsiaTheme="minorEastAsia"/>
                <w:noProof/>
                <w:sz w:val="26"/>
                <w:szCs w:val="26"/>
              </w:rPr>
              <w:tab/>
            </w:r>
            <w:r w:rsidR="00B7440B" w:rsidRPr="00B7440B">
              <w:rPr>
                <w:rStyle w:val="Hyperlink"/>
                <w:noProof/>
                <w:sz w:val="26"/>
                <w:szCs w:val="26"/>
              </w:rPr>
              <w:t>Disposition</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_Toc63764562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148</w:t>
            </w:r>
            <w:r w:rsidR="00B7440B" w:rsidRPr="00B7440B">
              <w:rPr>
                <w:noProof/>
                <w:webHidden/>
                <w:sz w:val="26"/>
                <w:szCs w:val="26"/>
              </w:rPr>
              <w:fldChar w:fldCharType="end"/>
            </w:r>
          </w:hyperlink>
        </w:p>
        <w:p w14:paraId="3D984E5E" w14:textId="087F1A7D" w:rsidR="00B7440B" w:rsidRPr="00B7440B" w:rsidRDefault="00E131BD">
          <w:pPr>
            <w:pStyle w:val="TOC1"/>
            <w:rPr>
              <w:rFonts w:eastAsiaTheme="minorEastAsia"/>
              <w:b w:val="0"/>
              <w:bCs w:val="0"/>
            </w:rPr>
          </w:pPr>
          <w:hyperlink w:anchor="_Toc63764563" w:history="1">
            <w:r w:rsidR="00B7440B" w:rsidRPr="00B7440B">
              <w:rPr>
                <w:rStyle w:val="Hyperlink"/>
                <w:b w:val="0"/>
                <w:bCs w:val="0"/>
              </w:rPr>
              <w:t>XI.</w:t>
            </w:r>
            <w:r w:rsidR="00B7440B" w:rsidRPr="00B7440B">
              <w:rPr>
                <w:rFonts w:eastAsiaTheme="minorEastAsia"/>
                <w:b w:val="0"/>
                <w:bCs w:val="0"/>
              </w:rPr>
              <w:tab/>
            </w:r>
            <w:r w:rsidR="00B7440B" w:rsidRPr="00B7440B">
              <w:rPr>
                <w:rStyle w:val="Hyperlink"/>
                <w:b w:val="0"/>
                <w:bCs w:val="0"/>
              </w:rPr>
              <w:t>Energy Burdens</w:t>
            </w:r>
            <w:r w:rsidR="00B7440B" w:rsidRPr="00B7440B">
              <w:rPr>
                <w:b w:val="0"/>
                <w:bCs w:val="0"/>
                <w:webHidden/>
              </w:rPr>
              <w:tab/>
            </w:r>
            <w:r w:rsidR="00B7440B" w:rsidRPr="00B7440B">
              <w:rPr>
                <w:b w:val="0"/>
                <w:bCs w:val="0"/>
                <w:webHidden/>
              </w:rPr>
              <w:fldChar w:fldCharType="begin"/>
            </w:r>
            <w:r w:rsidR="00B7440B" w:rsidRPr="00B7440B">
              <w:rPr>
                <w:b w:val="0"/>
                <w:bCs w:val="0"/>
                <w:webHidden/>
              </w:rPr>
              <w:instrText xml:space="preserve"> PAGEREF _Toc63764563 \h </w:instrText>
            </w:r>
            <w:r w:rsidR="00B7440B" w:rsidRPr="00B7440B">
              <w:rPr>
                <w:b w:val="0"/>
                <w:bCs w:val="0"/>
                <w:webHidden/>
              </w:rPr>
            </w:r>
            <w:r w:rsidR="00B7440B" w:rsidRPr="00B7440B">
              <w:rPr>
                <w:b w:val="0"/>
                <w:bCs w:val="0"/>
                <w:webHidden/>
              </w:rPr>
              <w:fldChar w:fldCharType="separate"/>
            </w:r>
            <w:r w:rsidR="0066040B">
              <w:rPr>
                <w:b w:val="0"/>
                <w:bCs w:val="0"/>
                <w:webHidden/>
              </w:rPr>
              <w:t>152</w:t>
            </w:r>
            <w:r w:rsidR="00B7440B" w:rsidRPr="00B7440B">
              <w:rPr>
                <w:b w:val="0"/>
                <w:bCs w:val="0"/>
                <w:webHidden/>
              </w:rPr>
              <w:fldChar w:fldCharType="end"/>
            </w:r>
          </w:hyperlink>
        </w:p>
        <w:p w14:paraId="17034BFC" w14:textId="14C29208" w:rsidR="00B7440B" w:rsidRPr="00B7440B" w:rsidRDefault="00E131BD">
          <w:pPr>
            <w:pStyle w:val="TOC2"/>
            <w:tabs>
              <w:tab w:val="left" w:pos="1440"/>
            </w:tabs>
            <w:rPr>
              <w:rFonts w:eastAsiaTheme="minorEastAsia"/>
              <w:noProof/>
              <w:sz w:val="26"/>
              <w:szCs w:val="26"/>
            </w:rPr>
          </w:pPr>
          <w:hyperlink w:anchor="_Toc63764564" w:history="1">
            <w:r w:rsidR="00B7440B" w:rsidRPr="00B7440B">
              <w:rPr>
                <w:rStyle w:val="Hyperlink"/>
                <w:noProof/>
                <w:sz w:val="26"/>
                <w:szCs w:val="26"/>
              </w:rPr>
              <w:t>A.</w:t>
            </w:r>
            <w:r w:rsidR="00B7440B" w:rsidRPr="00B7440B">
              <w:rPr>
                <w:rFonts w:eastAsiaTheme="minorEastAsia"/>
                <w:noProof/>
                <w:sz w:val="26"/>
                <w:szCs w:val="26"/>
              </w:rPr>
              <w:tab/>
            </w:r>
            <w:r w:rsidR="00B7440B" w:rsidRPr="00B7440B">
              <w:rPr>
                <w:rStyle w:val="Hyperlink"/>
                <w:noProof/>
                <w:sz w:val="26"/>
                <w:szCs w:val="26"/>
              </w:rPr>
              <w:t>Positions of the Parties</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_Toc63764564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152</w:t>
            </w:r>
            <w:r w:rsidR="00B7440B" w:rsidRPr="00B7440B">
              <w:rPr>
                <w:noProof/>
                <w:webHidden/>
                <w:sz w:val="26"/>
                <w:szCs w:val="26"/>
              </w:rPr>
              <w:fldChar w:fldCharType="end"/>
            </w:r>
          </w:hyperlink>
        </w:p>
        <w:p w14:paraId="7486C23C" w14:textId="0B4ED262" w:rsidR="00B7440B" w:rsidRPr="00B7440B" w:rsidRDefault="00E131BD">
          <w:pPr>
            <w:pStyle w:val="TOC2"/>
            <w:tabs>
              <w:tab w:val="left" w:pos="1440"/>
            </w:tabs>
            <w:rPr>
              <w:rFonts w:eastAsiaTheme="minorEastAsia"/>
              <w:noProof/>
              <w:sz w:val="26"/>
              <w:szCs w:val="26"/>
            </w:rPr>
          </w:pPr>
          <w:hyperlink w:anchor="_Toc63764565" w:history="1">
            <w:r w:rsidR="00B7440B" w:rsidRPr="00B7440B">
              <w:rPr>
                <w:rStyle w:val="Hyperlink"/>
                <w:noProof/>
                <w:sz w:val="26"/>
                <w:szCs w:val="26"/>
              </w:rPr>
              <w:t>B.</w:t>
            </w:r>
            <w:r w:rsidR="00B7440B" w:rsidRPr="00B7440B">
              <w:rPr>
                <w:rFonts w:eastAsiaTheme="minorEastAsia"/>
                <w:noProof/>
                <w:sz w:val="26"/>
                <w:szCs w:val="26"/>
              </w:rPr>
              <w:tab/>
            </w:r>
            <w:r w:rsidR="00B7440B" w:rsidRPr="00B7440B">
              <w:rPr>
                <w:rStyle w:val="Hyperlink"/>
                <w:noProof/>
                <w:sz w:val="26"/>
                <w:szCs w:val="26"/>
              </w:rPr>
              <w:t>Recommended Decision</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_Toc63764565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154</w:t>
            </w:r>
            <w:r w:rsidR="00B7440B" w:rsidRPr="00B7440B">
              <w:rPr>
                <w:noProof/>
                <w:webHidden/>
                <w:sz w:val="26"/>
                <w:szCs w:val="26"/>
              </w:rPr>
              <w:fldChar w:fldCharType="end"/>
            </w:r>
          </w:hyperlink>
        </w:p>
        <w:p w14:paraId="70D660C5" w14:textId="16AEC959" w:rsidR="00B7440B" w:rsidRPr="00B7440B" w:rsidRDefault="00E131BD">
          <w:pPr>
            <w:pStyle w:val="TOC2"/>
            <w:tabs>
              <w:tab w:val="left" w:pos="1440"/>
            </w:tabs>
            <w:rPr>
              <w:rFonts w:eastAsiaTheme="minorEastAsia"/>
              <w:noProof/>
              <w:sz w:val="26"/>
              <w:szCs w:val="26"/>
            </w:rPr>
          </w:pPr>
          <w:hyperlink w:anchor="_Toc63764566" w:history="1">
            <w:r w:rsidR="00B7440B" w:rsidRPr="00B7440B">
              <w:rPr>
                <w:rStyle w:val="Hyperlink"/>
                <w:noProof/>
                <w:sz w:val="26"/>
                <w:szCs w:val="26"/>
              </w:rPr>
              <w:t>C.</w:t>
            </w:r>
            <w:r w:rsidR="00B7440B" w:rsidRPr="00B7440B">
              <w:rPr>
                <w:rFonts w:eastAsiaTheme="minorEastAsia"/>
                <w:noProof/>
                <w:sz w:val="26"/>
                <w:szCs w:val="26"/>
              </w:rPr>
              <w:tab/>
            </w:r>
            <w:r w:rsidR="00B7440B" w:rsidRPr="00B7440B">
              <w:rPr>
                <w:rStyle w:val="Hyperlink"/>
                <w:noProof/>
                <w:sz w:val="26"/>
                <w:szCs w:val="26"/>
              </w:rPr>
              <w:t>CAUSE-PA Exception No. 1 and Replies</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_Toc63764566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155</w:t>
            </w:r>
            <w:r w:rsidR="00B7440B" w:rsidRPr="00B7440B">
              <w:rPr>
                <w:noProof/>
                <w:webHidden/>
                <w:sz w:val="26"/>
                <w:szCs w:val="26"/>
              </w:rPr>
              <w:fldChar w:fldCharType="end"/>
            </w:r>
          </w:hyperlink>
        </w:p>
        <w:p w14:paraId="6B4B51D6" w14:textId="5C28C630" w:rsidR="00B7440B" w:rsidRPr="00B7440B" w:rsidRDefault="00E131BD">
          <w:pPr>
            <w:pStyle w:val="TOC2"/>
            <w:tabs>
              <w:tab w:val="left" w:pos="1440"/>
            </w:tabs>
            <w:rPr>
              <w:rFonts w:eastAsiaTheme="minorEastAsia"/>
              <w:noProof/>
              <w:sz w:val="26"/>
              <w:szCs w:val="26"/>
            </w:rPr>
          </w:pPr>
          <w:hyperlink w:anchor="_Toc63764567" w:history="1">
            <w:r w:rsidR="00B7440B" w:rsidRPr="00B7440B">
              <w:rPr>
                <w:rStyle w:val="Hyperlink"/>
                <w:noProof/>
                <w:sz w:val="26"/>
                <w:szCs w:val="26"/>
              </w:rPr>
              <w:t>D.</w:t>
            </w:r>
            <w:r w:rsidR="00B7440B" w:rsidRPr="00B7440B">
              <w:rPr>
                <w:rFonts w:eastAsiaTheme="minorEastAsia"/>
                <w:noProof/>
                <w:sz w:val="26"/>
                <w:szCs w:val="26"/>
              </w:rPr>
              <w:tab/>
            </w:r>
            <w:r w:rsidR="00B7440B" w:rsidRPr="00B7440B">
              <w:rPr>
                <w:rStyle w:val="Hyperlink"/>
                <w:noProof/>
                <w:sz w:val="26"/>
                <w:szCs w:val="26"/>
              </w:rPr>
              <w:t>Disposition</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_Toc63764567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160</w:t>
            </w:r>
            <w:r w:rsidR="00B7440B" w:rsidRPr="00B7440B">
              <w:rPr>
                <w:noProof/>
                <w:webHidden/>
                <w:sz w:val="26"/>
                <w:szCs w:val="26"/>
              </w:rPr>
              <w:fldChar w:fldCharType="end"/>
            </w:r>
          </w:hyperlink>
        </w:p>
        <w:p w14:paraId="438F6AB7" w14:textId="38ACA87B" w:rsidR="00B7440B" w:rsidRPr="00B7440B" w:rsidRDefault="00E131BD">
          <w:pPr>
            <w:pStyle w:val="TOC3"/>
            <w:rPr>
              <w:rFonts w:eastAsiaTheme="minorEastAsia"/>
              <w:noProof/>
              <w:sz w:val="26"/>
              <w:szCs w:val="26"/>
            </w:rPr>
          </w:pPr>
          <w:hyperlink w:anchor="_Toc63764568" w:history="1">
            <w:r w:rsidR="00B7440B" w:rsidRPr="00B7440B">
              <w:rPr>
                <w:rStyle w:val="Hyperlink"/>
                <w:rFonts w:eastAsiaTheme="minorHAnsi"/>
                <w:noProof/>
                <w:sz w:val="26"/>
                <w:szCs w:val="26"/>
              </w:rPr>
              <w:t>1.</w:t>
            </w:r>
            <w:r w:rsidR="00B7440B" w:rsidRPr="00B7440B">
              <w:rPr>
                <w:rFonts w:eastAsiaTheme="minorEastAsia"/>
                <w:noProof/>
                <w:sz w:val="26"/>
                <w:szCs w:val="26"/>
              </w:rPr>
              <w:tab/>
            </w:r>
            <w:r w:rsidR="00B7440B" w:rsidRPr="00B7440B">
              <w:rPr>
                <w:rStyle w:val="Hyperlink"/>
                <w:rFonts w:eastAsiaTheme="minorHAnsi"/>
                <w:noProof/>
                <w:sz w:val="26"/>
                <w:szCs w:val="26"/>
              </w:rPr>
              <w:t>Low-Income Customer Outreach</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_Toc63764568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161</w:t>
            </w:r>
            <w:r w:rsidR="00B7440B" w:rsidRPr="00B7440B">
              <w:rPr>
                <w:noProof/>
                <w:webHidden/>
                <w:sz w:val="26"/>
                <w:szCs w:val="26"/>
              </w:rPr>
              <w:fldChar w:fldCharType="end"/>
            </w:r>
          </w:hyperlink>
        </w:p>
        <w:p w14:paraId="6FFDBE94" w14:textId="08856E54" w:rsidR="00B7440B" w:rsidRPr="00B7440B" w:rsidRDefault="00E131BD">
          <w:pPr>
            <w:pStyle w:val="TOC4"/>
            <w:rPr>
              <w:rFonts w:eastAsiaTheme="minorEastAsia"/>
              <w:noProof/>
              <w:sz w:val="26"/>
              <w:szCs w:val="26"/>
            </w:rPr>
          </w:pPr>
          <w:hyperlink w:anchor="_Toc63764569" w:history="1">
            <w:r w:rsidR="00B7440B" w:rsidRPr="00B7440B">
              <w:rPr>
                <w:rStyle w:val="Hyperlink"/>
                <w:rFonts w:eastAsiaTheme="minorHAnsi"/>
                <w:noProof/>
                <w:sz w:val="26"/>
                <w:szCs w:val="26"/>
              </w:rPr>
              <w:t>a.</w:t>
            </w:r>
            <w:r w:rsidR="00B7440B" w:rsidRPr="00B7440B">
              <w:rPr>
                <w:rFonts w:eastAsiaTheme="minorEastAsia"/>
                <w:noProof/>
                <w:sz w:val="26"/>
                <w:szCs w:val="26"/>
              </w:rPr>
              <w:tab/>
            </w:r>
            <w:r w:rsidR="00B7440B" w:rsidRPr="00B7440B">
              <w:rPr>
                <w:rStyle w:val="Hyperlink"/>
                <w:noProof/>
                <w:sz w:val="26"/>
                <w:szCs w:val="26"/>
              </w:rPr>
              <w:t>Positions</w:t>
            </w:r>
            <w:r w:rsidR="00B7440B" w:rsidRPr="00B7440B">
              <w:rPr>
                <w:rStyle w:val="Hyperlink"/>
                <w:rFonts w:eastAsiaTheme="minorHAnsi"/>
                <w:noProof/>
                <w:sz w:val="26"/>
                <w:szCs w:val="26"/>
              </w:rPr>
              <w:t xml:space="preserve"> of the Parties</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_Toc63764569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161</w:t>
            </w:r>
            <w:r w:rsidR="00B7440B" w:rsidRPr="00B7440B">
              <w:rPr>
                <w:noProof/>
                <w:webHidden/>
                <w:sz w:val="26"/>
                <w:szCs w:val="26"/>
              </w:rPr>
              <w:fldChar w:fldCharType="end"/>
            </w:r>
          </w:hyperlink>
        </w:p>
        <w:p w14:paraId="74851445" w14:textId="7D262F83" w:rsidR="00B7440B" w:rsidRPr="00B7440B" w:rsidRDefault="00E131BD">
          <w:pPr>
            <w:pStyle w:val="TOC4"/>
            <w:rPr>
              <w:rFonts w:eastAsiaTheme="minorEastAsia"/>
              <w:noProof/>
              <w:sz w:val="26"/>
              <w:szCs w:val="26"/>
            </w:rPr>
          </w:pPr>
          <w:hyperlink w:anchor="_Toc63764570" w:history="1">
            <w:r w:rsidR="00B7440B" w:rsidRPr="00B7440B">
              <w:rPr>
                <w:rStyle w:val="Hyperlink"/>
                <w:rFonts w:eastAsiaTheme="minorHAnsi"/>
                <w:noProof/>
                <w:sz w:val="26"/>
                <w:szCs w:val="26"/>
              </w:rPr>
              <w:t>b.</w:t>
            </w:r>
            <w:r w:rsidR="00B7440B" w:rsidRPr="00B7440B">
              <w:rPr>
                <w:rFonts w:eastAsiaTheme="minorEastAsia"/>
                <w:noProof/>
                <w:sz w:val="26"/>
                <w:szCs w:val="26"/>
              </w:rPr>
              <w:tab/>
            </w:r>
            <w:r w:rsidR="00B7440B" w:rsidRPr="00B7440B">
              <w:rPr>
                <w:rStyle w:val="Hyperlink"/>
                <w:rFonts w:eastAsiaTheme="minorHAnsi"/>
                <w:noProof/>
                <w:sz w:val="26"/>
                <w:szCs w:val="26"/>
              </w:rPr>
              <w:t>Recommended Decision</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_Toc63764570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165</w:t>
            </w:r>
            <w:r w:rsidR="00B7440B" w:rsidRPr="00B7440B">
              <w:rPr>
                <w:noProof/>
                <w:webHidden/>
                <w:sz w:val="26"/>
                <w:szCs w:val="26"/>
              </w:rPr>
              <w:fldChar w:fldCharType="end"/>
            </w:r>
          </w:hyperlink>
        </w:p>
        <w:p w14:paraId="30679979" w14:textId="102F4F6B" w:rsidR="00B7440B" w:rsidRPr="00B7440B" w:rsidRDefault="00E131BD">
          <w:pPr>
            <w:pStyle w:val="TOC4"/>
            <w:rPr>
              <w:rFonts w:eastAsiaTheme="minorEastAsia"/>
              <w:noProof/>
              <w:sz w:val="26"/>
              <w:szCs w:val="26"/>
            </w:rPr>
          </w:pPr>
          <w:hyperlink w:anchor="_Toc63764571" w:history="1">
            <w:r w:rsidR="00B7440B" w:rsidRPr="00B7440B">
              <w:rPr>
                <w:rStyle w:val="Hyperlink"/>
                <w:rFonts w:eastAsiaTheme="minorHAnsi"/>
                <w:noProof/>
                <w:sz w:val="26"/>
                <w:szCs w:val="26"/>
              </w:rPr>
              <w:t>c.</w:t>
            </w:r>
            <w:r w:rsidR="00B7440B" w:rsidRPr="00B7440B">
              <w:rPr>
                <w:rFonts w:eastAsiaTheme="minorEastAsia"/>
                <w:noProof/>
                <w:sz w:val="26"/>
                <w:szCs w:val="26"/>
              </w:rPr>
              <w:tab/>
            </w:r>
            <w:r w:rsidR="00B7440B" w:rsidRPr="00B7440B">
              <w:rPr>
                <w:rStyle w:val="Hyperlink"/>
                <w:rFonts w:eastAsiaTheme="minorHAnsi"/>
                <w:noProof/>
                <w:sz w:val="26"/>
                <w:szCs w:val="26"/>
              </w:rPr>
              <w:t>OCA Exception No. 2 and CAUSE-PA Exception No. 3 and</w:t>
            </w:r>
            <w:r w:rsidR="00B7440B">
              <w:rPr>
                <w:rStyle w:val="Hyperlink"/>
                <w:rFonts w:eastAsiaTheme="minorHAnsi"/>
                <w:noProof/>
                <w:sz w:val="26"/>
                <w:szCs w:val="26"/>
              </w:rPr>
              <w:t> </w:t>
            </w:r>
            <w:r w:rsidR="00B7440B" w:rsidRPr="00B7440B">
              <w:rPr>
                <w:rStyle w:val="Hyperlink"/>
                <w:rFonts w:eastAsiaTheme="minorHAnsi"/>
                <w:noProof/>
                <w:sz w:val="26"/>
                <w:szCs w:val="26"/>
              </w:rPr>
              <w:t>Replies</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_Toc63764571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165</w:t>
            </w:r>
            <w:r w:rsidR="00B7440B" w:rsidRPr="00B7440B">
              <w:rPr>
                <w:noProof/>
                <w:webHidden/>
                <w:sz w:val="26"/>
                <w:szCs w:val="26"/>
              </w:rPr>
              <w:fldChar w:fldCharType="end"/>
            </w:r>
          </w:hyperlink>
        </w:p>
        <w:p w14:paraId="11777AEC" w14:textId="427D2321" w:rsidR="00B7440B" w:rsidRPr="00B7440B" w:rsidRDefault="00E131BD">
          <w:pPr>
            <w:pStyle w:val="TOC4"/>
            <w:rPr>
              <w:rFonts w:eastAsiaTheme="minorEastAsia"/>
              <w:noProof/>
              <w:sz w:val="26"/>
              <w:szCs w:val="26"/>
            </w:rPr>
          </w:pPr>
          <w:hyperlink w:anchor="_Toc63764572" w:history="1">
            <w:r w:rsidR="00B7440B" w:rsidRPr="00B7440B">
              <w:rPr>
                <w:rStyle w:val="Hyperlink"/>
                <w:rFonts w:eastAsiaTheme="minorHAnsi"/>
                <w:noProof/>
                <w:sz w:val="26"/>
                <w:szCs w:val="26"/>
              </w:rPr>
              <w:t>d.</w:t>
            </w:r>
            <w:r w:rsidR="00B7440B" w:rsidRPr="00B7440B">
              <w:rPr>
                <w:rFonts w:eastAsiaTheme="minorEastAsia"/>
                <w:noProof/>
                <w:sz w:val="26"/>
                <w:szCs w:val="26"/>
              </w:rPr>
              <w:tab/>
            </w:r>
            <w:r w:rsidR="00B7440B" w:rsidRPr="00B7440B">
              <w:rPr>
                <w:rStyle w:val="Hyperlink"/>
                <w:rFonts w:eastAsiaTheme="minorHAnsi"/>
                <w:noProof/>
                <w:sz w:val="26"/>
                <w:szCs w:val="26"/>
              </w:rPr>
              <w:t>Disposition</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_Toc63764572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172</w:t>
            </w:r>
            <w:r w:rsidR="00B7440B" w:rsidRPr="00B7440B">
              <w:rPr>
                <w:noProof/>
                <w:webHidden/>
                <w:sz w:val="26"/>
                <w:szCs w:val="26"/>
              </w:rPr>
              <w:fldChar w:fldCharType="end"/>
            </w:r>
          </w:hyperlink>
        </w:p>
        <w:p w14:paraId="2FB3598C" w14:textId="2D0AEE94" w:rsidR="00B7440B" w:rsidRPr="00B7440B" w:rsidRDefault="00E131BD">
          <w:pPr>
            <w:pStyle w:val="TOC3"/>
            <w:rPr>
              <w:rFonts w:eastAsiaTheme="minorEastAsia"/>
              <w:noProof/>
              <w:sz w:val="26"/>
              <w:szCs w:val="26"/>
            </w:rPr>
          </w:pPr>
          <w:hyperlink w:anchor="_Toc63764573" w:history="1">
            <w:r w:rsidR="00B7440B" w:rsidRPr="00B7440B">
              <w:rPr>
                <w:rStyle w:val="Hyperlink"/>
                <w:rFonts w:eastAsiaTheme="minorHAnsi"/>
                <w:noProof/>
                <w:sz w:val="26"/>
                <w:szCs w:val="26"/>
              </w:rPr>
              <w:t>2.</w:t>
            </w:r>
            <w:r w:rsidR="00B7440B" w:rsidRPr="00B7440B">
              <w:rPr>
                <w:rFonts w:eastAsiaTheme="minorEastAsia"/>
                <w:noProof/>
                <w:sz w:val="26"/>
                <w:szCs w:val="26"/>
              </w:rPr>
              <w:tab/>
            </w:r>
            <w:r w:rsidR="00B7440B" w:rsidRPr="00B7440B">
              <w:rPr>
                <w:rStyle w:val="Hyperlink"/>
                <w:rFonts w:eastAsiaTheme="minorHAnsi"/>
                <w:noProof/>
                <w:sz w:val="26"/>
                <w:szCs w:val="26"/>
              </w:rPr>
              <w:t>Health and Safety Pilot</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_Toc63764573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173</w:t>
            </w:r>
            <w:r w:rsidR="00B7440B" w:rsidRPr="00B7440B">
              <w:rPr>
                <w:noProof/>
                <w:webHidden/>
                <w:sz w:val="26"/>
                <w:szCs w:val="26"/>
              </w:rPr>
              <w:fldChar w:fldCharType="end"/>
            </w:r>
          </w:hyperlink>
        </w:p>
        <w:p w14:paraId="0E7F10FA" w14:textId="231937C3" w:rsidR="00B7440B" w:rsidRPr="00B7440B" w:rsidRDefault="00E131BD">
          <w:pPr>
            <w:pStyle w:val="TOC4"/>
            <w:rPr>
              <w:rFonts w:eastAsiaTheme="minorEastAsia"/>
              <w:noProof/>
              <w:sz w:val="26"/>
              <w:szCs w:val="26"/>
            </w:rPr>
          </w:pPr>
          <w:hyperlink w:anchor="_Toc63764574" w:history="1">
            <w:r w:rsidR="00B7440B" w:rsidRPr="00B7440B">
              <w:rPr>
                <w:rStyle w:val="Hyperlink"/>
                <w:rFonts w:eastAsiaTheme="minorHAnsi"/>
                <w:noProof/>
                <w:sz w:val="26"/>
                <w:szCs w:val="26"/>
              </w:rPr>
              <w:t>a.</w:t>
            </w:r>
            <w:r w:rsidR="00B7440B" w:rsidRPr="00B7440B">
              <w:rPr>
                <w:rFonts w:eastAsiaTheme="minorEastAsia"/>
                <w:noProof/>
                <w:sz w:val="26"/>
                <w:szCs w:val="26"/>
              </w:rPr>
              <w:tab/>
            </w:r>
            <w:r w:rsidR="00B7440B" w:rsidRPr="00B7440B">
              <w:rPr>
                <w:rStyle w:val="Hyperlink"/>
                <w:noProof/>
                <w:sz w:val="26"/>
                <w:szCs w:val="26"/>
              </w:rPr>
              <w:t>Positions</w:t>
            </w:r>
            <w:r w:rsidR="00B7440B" w:rsidRPr="00B7440B">
              <w:rPr>
                <w:rStyle w:val="Hyperlink"/>
                <w:rFonts w:eastAsiaTheme="minorHAnsi"/>
                <w:noProof/>
                <w:sz w:val="26"/>
                <w:szCs w:val="26"/>
              </w:rPr>
              <w:t xml:space="preserve"> of the Parties</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_Toc63764574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173</w:t>
            </w:r>
            <w:r w:rsidR="00B7440B" w:rsidRPr="00B7440B">
              <w:rPr>
                <w:noProof/>
                <w:webHidden/>
                <w:sz w:val="26"/>
                <w:szCs w:val="26"/>
              </w:rPr>
              <w:fldChar w:fldCharType="end"/>
            </w:r>
          </w:hyperlink>
        </w:p>
        <w:p w14:paraId="3BBAF461" w14:textId="7461D574" w:rsidR="00B7440B" w:rsidRPr="00B7440B" w:rsidRDefault="00E131BD">
          <w:pPr>
            <w:pStyle w:val="TOC4"/>
            <w:rPr>
              <w:rFonts w:eastAsiaTheme="minorEastAsia"/>
              <w:noProof/>
              <w:sz w:val="26"/>
              <w:szCs w:val="26"/>
            </w:rPr>
          </w:pPr>
          <w:hyperlink w:anchor="_Toc63764575" w:history="1">
            <w:r w:rsidR="00B7440B" w:rsidRPr="00B7440B">
              <w:rPr>
                <w:rStyle w:val="Hyperlink"/>
                <w:rFonts w:eastAsiaTheme="minorHAnsi"/>
                <w:noProof/>
                <w:sz w:val="26"/>
                <w:szCs w:val="26"/>
              </w:rPr>
              <w:t>b.</w:t>
            </w:r>
            <w:r w:rsidR="00B7440B" w:rsidRPr="00B7440B">
              <w:rPr>
                <w:rFonts w:eastAsiaTheme="minorEastAsia"/>
                <w:noProof/>
                <w:sz w:val="26"/>
                <w:szCs w:val="26"/>
              </w:rPr>
              <w:tab/>
            </w:r>
            <w:r w:rsidR="00B7440B" w:rsidRPr="00B7440B">
              <w:rPr>
                <w:rStyle w:val="Hyperlink"/>
                <w:noProof/>
                <w:sz w:val="26"/>
                <w:szCs w:val="26"/>
              </w:rPr>
              <w:t>Recommended</w:t>
            </w:r>
            <w:r w:rsidR="00B7440B" w:rsidRPr="00B7440B">
              <w:rPr>
                <w:rStyle w:val="Hyperlink"/>
                <w:rFonts w:eastAsiaTheme="minorHAnsi"/>
                <w:noProof/>
                <w:sz w:val="26"/>
                <w:szCs w:val="26"/>
              </w:rPr>
              <w:t xml:space="preserve"> Decision</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_Toc63764575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174</w:t>
            </w:r>
            <w:r w:rsidR="00B7440B" w:rsidRPr="00B7440B">
              <w:rPr>
                <w:noProof/>
                <w:webHidden/>
                <w:sz w:val="26"/>
                <w:szCs w:val="26"/>
              </w:rPr>
              <w:fldChar w:fldCharType="end"/>
            </w:r>
          </w:hyperlink>
        </w:p>
        <w:p w14:paraId="0E3DF180" w14:textId="03F94287" w:rsidR="00B7440B" w:rsidRPr="00B7440B" w:rsidRDefault="00E131BD">
          <w:pPr>
            <w:pStyle w:val="TOC4"/>
            <w:rPr>
              <w:rFonts w:eastAsiaTheme="minorEastAsia"/>
              <w:noProof/>
              <w:sz w:val="26"/>
              <w:szCs w:val="26"/>
            </w:rPr>
          </w:pPr>
          <w:hyperlink w:anchor="_Toc63764576" w:history="1">
            <w:r w:rsidR="00B7440B" w:rsidRPr="00B7440B">
              <w:rPr>
                <w:rStyle w:val="Hyperlink"/>
                <w:rFonts w:eastAsiaTheme="minorHAnsi"/>
                <w:noProof/>
                <w:sz w:val="26"/>
                <w:szCs w:val="26"/>
              </w:rPr>
              <w:t>c.</w:t>
            </w:r>
            <w:r w:rsidR="00B7440B" w:rsidRPr="00B7440B">
              <w:rPr>
                <w:rFonts w:eastAsiaTheme="minorEastAsia"/>
                <w:noProof/>
                <w:sz w:val="26"/>
                <w:szCs w:val="26"/>
              </w:rPr>
              <w:tab/>
            </w:r>
            <w:r w:rsidR="00B7440B" w:rsidRPr="00B7440B">
              <w:rPr>
                <w:rStyle w:val="Hyperlink"/>
                <w:rFonts w:eastAsiaTheme="minorHAnsi"/>
                <w:noProof/>
                <w:sz w:val="26"/>
                <w:szCs w:val="26"/>
              </w:rPr>
              <w:t>Disposition</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_Toc63764576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174</w:t>
            </w:r>
            <w:r w:rsidR="00B7440B" w:rsidRPr="00B7440B">
              <w:rPr>
                <w:noProof/>
                <w:webHidden/>
                <w:sz w:val="26"/>
                <w:szCs w:val="26"/>
              </w:rPr>
              <w:fldChar w:fldCharType="end"/>
            </w:r>
          </w:hyperlink>
        </w:p>
        <w:p w14:paraId="7966812E" w14:textId="2A8B817E" w:rsidR="00B7440B" w:rsidRPr="00B7440B" w:rsidRDefault="00E131BD">
          <w:pPr>
            <w:pStyle w:val="TOC3"/>
            <w:rPr>
              <w:rFonts w:eastAsiaTheme="minorEastAsia"/>
              <w:noProof/>
              <w:sz w:val="26"/>
              <w:szCs w:val="26"/>
            </w:rPr>
          </w:pPr>
          <w:hyperlink w:anchor="_Toc63764577" w:history="1">
            <w:r w:rsidR="00B7440B" w:rsidRPr="00B7440B">
              <w:rPr>
                <w:rStyle w:val="Hyperlink"/>
                <w:rFonts w:eastAsiaTheme="minorHAnsi"/>
                <w:noProof/>
                <w:sz w:val="26"/>
                <w:szCs w:val="26"/>
              </w:rPr>
              <w:t>3.</w:t>
            </w:r>
            <w:r w:rsidR="00B7440B" w:rsidRPr="00B7440B">
              <w:rPr>
                <w:rFonts w:eastAsiaTheme="minorEastAsia"/>
                <w:noProof/>
                <w:sz w:val="26"/>
                <w:szCs w:val="26"/>
              </w:rPr>
              <w:tab/>
            </w:r>
            <w:r w:rsidR="00B7440B" w:rsidRPr="00B7440B">
              <w:rPr>
                <w:rStyle w:val="Hyperlink"/>
                <w:rFonts w:eastAsiaTheme="minorHAnsi"/>
                <w:noProof/>
                <w:sz w:val="26"/>
                <w:szCs w:val="26"/>
              </w:rPr>
              <w:t>LIURP</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_Toc63764577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174</w:t>
            </w:r>
            <w:r w:rsidR="00B7440B" w:rsidRPr="00B7440B">
              <w:rPr>
                <w:noProof/>
                <w:webHidden/>
                <w:sz w:val="26"/>
                <w:szCs w:val="26"/>
              </w:rPr>
              <w:fldChar w:fldCharType="end"/>
            </w:r>
          </w:hyperlink>
        </w:p>
        <w:p w14:paraId="6C76BF10" w14:textId="31F36405" w:rsidR="00B7440B" w:rsidRPr="00B7440B" w:rsidRDefault="00E131BD">
          <w:pPr>
            <w:pStyle w:val="TOC4"/>
            <w:rPr>
              <w:rFonts w:eastAsiaTheme="minorEastAsia"/>
              <w:noProof/>
              <w:sz w:val="26"/>
              <w:szCs w:val="26"/>
            </w:rPr>
          </w:pPr>
          <w:hyperlink w:anchor="_Toc63764578" w:history="1">
            <w:r w:rsidR="00B7440B" w:rsidRPr="00B7440B">
              <w:rPr>
                <w:rStyle w:val="Hyperlink"/>
                <w:rFonts w:eastAsiaTheme="minorHAnsi"/>
                <w:noProof/>
                <w:sz w:val="26"/>
                <w:szCs w:val="26"/>
              </w:rPr>
              <w:t>a.</w:t>
            </w:r>
            <w:r w:rsidR="00B7440B" w:rsidRPr="00B7440B">
              <w:rPr>
                <w:rFonts w:eastAsiaTheme="minorEastAsia"/>
                <w:noProof/>
                <w:sz w:val="26"/>
                <w:szCs w:val="26"/>
              </w:rPr>
              <w:tab/>
            </w:r>
            <w:r w:rsidR="00B7440B" w:rsidRPr="00B7440B">
              <w:rPr>
                <w:rStyle w:val="Hyperlink"/>
                <w:noProof/>
                <w:sz w:val="26"/>
                <w:szCs w:val="26"/>
              </w:rPr>
              <w:t>Positions</w:t>
            </w:r>
            <w:r w:rsidR="00B7440B" w:rsidRPr="00B7440B">
              <w:rPr>
                <w:rStyle w:val="Hyperlink"/>
                <w:rFonts w:eastAsiaTheme="minorHAnsi"/>
                <w:noProof/>
                <w:sz w:val="26"/>
                <w:szCs w:val="26"/>
              </w:rPr>
              <w:t xml:space="preserve"> of the Parties</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_Toc63764578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174</w:t>
            </w:r>
            <w:r w:rsidR="00B7440B" w:rsidRPr="00B7440B">
              <w:rPr>
                <w:noProof/>
                <w:webHidden/>
                <w:sz w:val="26"/>
                <w:szCs w:val="26"/>
              </w:rPr>
              <w:fldChar w:fldCharType="end"/>
            </w:r>
          </w:hyperlink>
        </w:p>
        <w:p w14:paraId="228CC4AC" w14:textId="441AB72C" w:rsidR="00B7440B" w:rsidRPr="00B7440B" w:rsidRDefault="00E131BD">
          <w:pPr>
            <w:pStyle w:val="TOC4"/>
            <w:rPr>
              <w:rFonts w:eastAsiaTheme="minorEastAsia"/>
              <w:noProof/>
              <w:sz w:val="26"/>
              <w:szCs w:val="26"/>
            </w:rPr>
          </w:pPr>
          <w:hyperlink w:anchor="_Toc63764579" w:history="1">
            <w:r w:rsidR="00B7440B" w:rsidRPr="00B7440B">
              <w:rPr>
                <w:rStyle w:val="Hyperlink"/>
                <w:rFonts w:eastAsiaTheme="minorHAnsi"/>
                <w:noProof/>
                <w:sz w:val="26"/>
                <w:szCs w:val="26"/>
              </w:rPr>
              <w:t>b.</w:t>
            </w:r>
            <w:r w:rsidR="00B7440B" w:rsidRPr="00B7440B">
              <w:rPr>
                <w:rFonts w:eastAsiaTheme="minorEastAsia"/>
                <w:noProof/>
                <w:sz w:val="26"/>
                <w:szCs w:val="26"/>
              </w:rPr>
              <w:tab/>
            </w:r>
            <w:r w:rsidR="00B7440B" w:rsidRPr="00B7440B">
              <w:rPr>
                <w:rStyle w:val="Hyperlink"/>
                <w:noProof/>
                <w:sz w:val="26"/>
                <w:szCs w:val="26"/>
              </w:rPr>
              <w:t>Recommended</w:t>
            </w:r>
            <w:r w:rsidR="00B7440B" w:rsidRPr="00B7440B">
              <w:rPr>
                <w:rStyle w:val="Hyperlink"/>
                <w:rFonts w:eastAsiaTheme="minorHAnsi"/>
                <w:noProof/>
                <w:sz w:val="26"/>
                <w:szCs w:val="26"/>
              </w:rPr>
              <w:t xml:space="preserve"> Decision</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_Toc63764579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175</w:t>
            </w:r>
            <w:r w:rsidR="00B7440B" w:rsidRPr="00B7440B">
              <w:rPr>
                <w:noProof/>
                <w:webHidden/>
                <w:sz w:val="26"/>
                <w:szCs w:val="26"/>
              </w:rPr>
              <w:fldChar w:fldCharType="end"/>
            </w:r>
          </w:hyperlink>
        </w:p>
        <w:p w14:paraId="0D61B7B4" w14:textId="49A8616C" w:rsidR="00B7440B" w:rsidRPr="00B7440B" w:rsidRDefault="00E131BD">
          <w:pPr>
            <w:pStyle w:val="TOC4"/>
            <w:rPr>
              <w:rFonts w:eastAsiaTheme="minorEastAsia"/>
              <w:noProof/>
              <w:sz w:val="26"/>
              <w:szCs w:val="26"/>
            </w:rPr>
          </w:pPr>
          <w:hyperlink w:anchor="_Toc63764580" w:history="1">
            <w:r w:rsidR="00B7440B" w:rsidRPr="00B7440B">
              <w:rPr>
                <w:rStyle w:val="Hyperlink"/>
                <w:rFonts w:eastAsiaTheme="minorHAnsi"/>
                <w:noProof/>
                <w:sz w:val="26"/>
                <w:szCs w:val="26"/>
              </w:rPr>
              <w:t>c.</w:t>
            </w:r>
            <w:r w:rsidR="00B7440B" w:rsidRPr="00B7440B">
              <w:rPr>
                <w:rFonts w:eastAsiaTheme="minorEastAsia"/>
                <w:noProof/>
                <w:sz w:val="26"/>
                <w:szCs w:val="26"/>
              </w:rPr>
              <w:tab/>
            </w:r>
            <w:r w:rsidR="00B7440B" w:rsidRPr="00B7440B">
              <w:rPr>
                <w:rStyle w:val="Hyperlink"/>
                <w:noProof/>
                <w:sz w:val="26"/>
                <w:szCs w:val="26"/>
              </w:rPr>
              <w:t>Disposition</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_Toc63764580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175</w:t>
            </w:r>
            <w:r w:rsidR="00B7440B" w:rsidRPr="00B7440B">
              <w:rPr>
                <w:noProof/>
                <w:webHidden/>
                <w:sz w:val="26"/>
                <w:szCs w:val="26"/>
              </w:rPr>
              <w:fldChar w:fldCharType="end"/>
            </w:r>
          </w:hyperlink>
        </w:p>
        <w:p w14:paraId="78D13739" w14:textId="1E293F22" w:rsidR="00B7440B" w:rsidRPr="00B7440B" w:rsidRDefault="00E131BD">
          <w:pPr>
            <w:pStyle w:val="TOC3"/>
            <w:rPr>
              <w:rFonts w:eastAsiaTheme="minorEastAsia"/>
              <w:noProof/>
              <w:sz w:val="26"/>
              <w:szCs w:val="26"/>
            </w:rPr>
          </w:pPr>
          <w:hyperlink w:anchor="_Toc63764581" w:history="1">
            <w:r w:rsidR="00B7440B" w:rsidRPr="00B7440B">
              <w:rPr>
                <w:rStyle w:val="Hyperlink"/>
                <w:rFonts w:eastAsiaTheme="minorHAnsi"/>
                <w:noProof/>
                <w:sz w:val="26"/>
                <w:szCs w:val="26"/>
              </w:rPr>
              <w:t>4.</w:t>
            </w:r>
            <w:r w:rsidR="00B7440B" w:rsidRPr="00B7440B">
              <w:rPr>
                <w:rFonts w:eastAsiaTheme="minorEastAsia"/>
                <w:noProof/>
                <w:sz w:val="26"/>
                <w:szCs w:val="26"/>
              </w:rPr>
              <w:tab/>
            </w:r>
            <w:r w:rsidR="00B7440B" w:rsidRPr="00B7440B">
              <w:rPr>
                <w:rStyle w:val="Hyperlink"/>
                <w:rFonts w:eastAsiaTheme="minorHAnsi"/>
                <w:noProof/>
                <w:sz w:val="26"/>
                <w:szCs w:val="26"/>
              </w:rPr>
              <w:t>Hardship Fund</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_Toc63764581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176</w:t>
            </w:r>
            <w:r w:rsidR="00B7440B" w:rsidRPr="00B7440B">
              <w:rPr>
                <w:noProof/>
                <w:webHidden/>
                <w:sz w:val="26"/>
                <w:szCs w:val="26"/>
              </w:rPr>
              <w:fldChar w:fldCharType="end"/>
            </w:r>
          </w:hyperlink>
        </w:p>
        <w:p w14:paraId="0D4086D0" w14:textId="3A22E7ED" w:rsidR="00B7440B" w:rsidRPr="00B7440B" w:rsidRDefault="00E131BD">
          <w:pPr>
            <w:pStyle w:val="TOC4"/>
            <w:rPr>
              <w:rFonts w:eastAsiaTheme="minorEastAsia"/>
              <w:noProof/>
              <w:sz w:val="26"/>
              <w:szCs w:val="26"/>
            </w:rPr>
          </w:pPr>
          <w:hyperlink w:anchor="_Toc63764582" w:history="1">
            <w:r w:rsidR="00B7440B" w:rsidRPr="00B7440B">
              <w:rPr>
                <w:rStyle w:val="Hyperlink"/>
                <w:rFonts w:eastAsiaTheme="minorHAnsi"/>
                <w:noProof/>
                <w:sz w:val="26"/>
                <w:szCs w:val="26"/>
              </w:rPr>
              <w:t>a.</w:t>
            </w:r>
            <w:r w:rsidR="00B7440B" w:rsidRPr="00B7440B">
              <w:rPr>
                <w:rFonts w:eastAsiaTheme="minorEastAsia"/>
                <w:noProof/>
                <w:sz w:val="26"/>
                <w:szCs w:val="26"/>
              </w:rPr>
              <w:tab/>
            </w:r>
            <w:r w:rsidR="00B7440B" w:rsidRPr="00B7440B">
              <w:rPr>
                <w:rStyle w:val="Hyperlink"/>
                <w:noProof/>
                <w:sz w:val="26"/>
                <w:szCs w:val="26"/>
              </w:rPr>
              <w:t>Positions</w:t>
            </w:r>
            <w:r w:rsidR="00B7440B" w:rsidRPr="00B7440B">
              <w:rPr>
                <w:rStyle w:val="Hyperlink"/>
                <w:rFonts w:eastAsiaTheme="minorHAnsi"/>
                <w:noProof/>
                <w:sz w:val="26"/>
                <w:szCs w:val="26"/>
              </w:rPr>
              <w:t xml:space="preserve"> of the Parties</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_Toc63764582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176</w:t>
            </w:r>
            <w:r w:rsidR="00B7440B" w:rsidRPr="00B7440B">
              <w:rPr>
                <w:noProof/>
                <w:webHidden/>
                <w:sz w:val="26"/>
                <w:szCs w:val="26"/>
              </w:rPr>
              <w:fldChar w:fldCharType="end"/>
            </w:r>
          </w:hyperlink>
        </w:p>
        <w:p w14:paraId="7F808BD6" w14:textId="5F2EF939" w:rsidR="00B7440B" w:rsidRPr="00B7440B" w:rsidRDefault="00E131BD">
          <w:pPr>
            <w:pStyle w:val="TOC4"/>
            <w:rPr>
              <w:rFonts w:eastAsiaTheme="minorEastAsia"/>
              <w:noProof/>
              <w:sz w:val="26"/>
              <w:szCs w:val="26"/>
            </w:rPr>
          </w:pPr>
          <w:hyperlink w:anchor="_Toc63764583" w:history="1">
            <w:r w:rsidR="00B7440B" w:rsidRPr="00B7440B">
              <w:rPr>
                <w:rStyle w:val="Hyperlink"/>
                <w:rFonts w:eastAsiaTheme="minorHAnsi"/>
                <w:noProof/>
                <w:sz w:val="26"/>
                <w:szCs w:val="26"/>
              </w:rPr>
              <w:t>b.</w:t>
            </w:r>
            <w:r w:rsidR="00B7440B" w:rsidRPr="00B7440B">
              <w:rPr>
                <w:rFonts w:eastAsiaTheme="minorEastAsia"/>
                <w:noProof/>
                <w:sz w:val="26"/>
                <w:szCs w:val="26"/>
              </w:rPr>
              <w:tab/>
            </w:r>
            <w:r w:rsidR="00B7440B" w:rsidRPr="00B7440B">
              <w:rPr>
                <w:rStyle w:val="Hyperlink"/>
                <w:noProof/>
                <w:sz w:val="26"/>
                <w:szCs w:val="26"/>
              </w:rPr>
              <w:t>Recommended</w:t>
            </w:r>
            <w:r w:rsidR="00B7440B" w:rsidRPr="00B7440B">
              <w:rPr>
                <w:rStyle w:val="Hyperlink"/>
                <w:rFonts w:eastAsiaTheme="minorHAnsi"/>
                <w:noProof/>
                <w:sz w:val="26"/>
                <w:szCs w:val="26"/>
              </w:rPr>
              <w:t xml:space="preserve"> Decision</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_Toc63764583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177</w:t>
            </w:r>
            <w:r w:rsidR="00B7440B" w:rsidRPr="00B7440B">
              <w:rPr>
                <w:noProof/>
                <w:webHidden/>
                <w:sz w:val="26"/>
                <w:szCs w:val="26"/>
              </w:rPr>
              <w:fldChar w:fldCharType="end"/>
            </w:r>
          </w:hyperlink>
        </w:p>
        <w:p w14:paraId="01818C61" w14:textId="5CABCA5D" w:rsidR="00B7440B" w:rsidRPr="00B7440B" w:rsidRDefault="00E131BD">
          <w:pPr>
            <w:pStyle w:val="TOC4"/>
            <w:rPr>
              <w:rFonts w:eastAsiaTheme="minorEastAsia"/>
              <w:noProof/>
              <w:sz w:val="26"/>
              <w:szCs w:val="26"/>
            </w:rPr>
          </w:pPr>
          <w:hyperlink w:anchor="_Toc63764584" w:history="1">
            <w:r w:rsidR="00B7440B" w:rsidRPr="00B7440B">
              <w:rPr>
                <w:rStyle w:val="Hyperlink"/>
                <w:rFonts w:eastAsiaTheme="minorHAnsi"/>
                <w:noProof/>
                <w:sz w:val="26"/>
                <w:szCs w:val="26"/>
              </w:rPr>
              <w:t>c.</w:t>
            </w:r>
            <w:r w:rsidR="00B7440B" w:rsidRPr="00B7440B">
              <w:rPr>
                <w:rFonts w:eastAsiaTheme="minorEastAsia"/>
                <w:noProof/>
                <w:sz w:val="26"/>
                <w:szCs w:val="26"/>
              </w:rPr>
              <w:tab/>
            </w:r>
            <w:r w:rsidR="00B7440B" w:rsidRPr="00B7440B">
              <w:rPr>
                <w:rStyle w:val="Hyperlink"/>
                <w:noProof/>
                <w:sz w:val="26"/>
                <w:szCs w:val="26"/>
              </w:rPr>
              <w:t>Disposition</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_Toc63764584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177</w:t>
            </w:r>
            <w:r w:rsidR="00B7440B" w:rsidRPr="00B7440B">
              <w:rPr>
                <w:noProof/>
                <w:webHidden/>
                <w:sz w:val="26"/>
                <w:szCs w:val="26"/>
              </w:rPr>
              <w:fldChar w:fldCharType="end"/>
            </w:r>
          </w:hyperlink>
        </w:p>
        <w:p w14:paraId="61F30D9F" w14:textId="4A5A6547" w:rsidR="00B7440B" w:rsidRPr="00B7440B" w:rsidRDefault="00E131BD">
          <w:pPr>
            <w:pStyle w:val="TOC2"/>
            <w:tabs>
              <w:tab w:val="left" w:pos="1440"/>
            </w:tabs>
            <w:rPr>
              <w:rFonts w:eastAsiaTheme="minorEastAsia"/>
              <w:noProof/>
              <w:sz w:val="26"/>
              <w:szCs w:val="26"/>
            </w:rPr>
          </w:pPr>
          <w:hyperlink w:anchor="_Toc63764585" w:history="1">
            <w:r w:rsidR="00B7440B" w:rsidRPr="00B7440B">
              <w:rPr>
                <w:rStyle w:val="Hyperlink"/>
                <w:noProof/>
                <w:sz w:val="26"/>
                <w:szCs w:val="26"/>
              </w:rPr>
              <w:t>E.</w:t>
            </w:r>
            <w:r w:rsidR="00B7440B" w:rsidRPr="00B7440B">
              <w:rPr>
                <w:rFonts w:eastAsiaTheme="minorEastAsia"/>
                <w:noProof/>
                <w:sz w:val="26"/>
                <w:szCs w:val="26"/>
              </w:rPr>
              <w:tab/>
            </w:r>
            <w:r w:rsidR="00B7440B" w:rsidRPr="00B7440B">
              <w:rPr>
                <w:rStyle w:val="Hyperlink"/>
                <w:noProof/>
                <w:sz w:val="26"/>
                <w:szCs w:val="26"/>
              </w:rPr>
              <w:t>Pipeline Replacement Issues</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_Toc63764585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177</w:t>
            </w:r>
            <w:r w:rsidR="00B7440B" w:rsidRPr="00B7440B">
              <w:rPr>
                <w:noProof/>
                <w:webHidden/>
                <w:sz w:val="26"/>
                <w:szCs w:val="26"/>
              </w:rPr>
              <w:fldChar w:fldCharType="end"/>
            </w:r>
          </w:hyperlink>
        </w:p>
        <w:p w14:paraId="445E894B" w14:textId="63E8A5D8" w:rsidR="00B7440B" w:rsidRPr="00B7440B" w:rsidRDefault="00E131BD">
          <w:pPr>
            <w:pStyle w:val="TOC3"/>
            <w:rPr>
              <w:rFonts w:eastAsiaTheme="minorEastAsia"/>
              <w:noProof/>
              <w:sz w:val="26"/>
              <w:szCs w:val="26"/>
            </w:rPr>
          </w:pPr>
          <w:hyperlink w:anchor="_Toc63764586" w:history="1">
            <w:r w:rsidR="00B7440B" w:rsidRPr="00B7440B">
              <w:rPr>
                <w:rStyle w:val="Hyperlink"/>
                <w:rFonts w:eastAsiaTheme="minorHAnsi"/>
                <w:noProof/>
                <w:sz w:val="26"/>
                <w:szCs w:val="26"/>
              </w:rPr>
              <w:t>1.</w:t>
            </w:r>
            <w:r w:rsidR="00B7440B" w:rsidRPr="00B7440B">
              <w:rPr>
                <w:rFonts w:eastAsiaTheme="minorEastAsia"/>
                <w:noProof/>
                <w:sz w:val="26"/>
                <w:szCs w:val="26"/>
              </w:rPr>
              <w:tab/>
            </w:r>
            <w:r w:rsidR="00B7440B" w:rsidRPr="00B7440B">
              <w:rPr>
                <w:rStyle w:val="Hyperlink"/>
                <w:noProof/>
                <w:sz w:val="26"/>
                <w:szCs w:val="26"/>
              </w:rPr>
              <w:t>Distribution</w:t>
            </w:r>
            <w:r w:rsidR="00B7440B" w:rsidRPr="00B7440B">
              <w:rPr>
                <w:rStyle w:val="Hyperlink"/>
                <w:rFonts w:eastAsiaTheme="minorHAnsi"/>
                <w:noProof/>
                <w:sz w:val="26"/>
                <w:szCs w:val="26"/>
              </w:rPr>
              <w:t xml:space="preserve"> Integrity Management Program</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_Toc63764586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177</w:t>
            </w:r>
            <w:r w:rsidR="00B7440B" w:rsidRPr="00B7440B">
              <w:rPr>
                <w:noProof/>
                <w:webHidden/>
                <w:sz w:val="26"/>
                <w:szCs w:val="26"/>
              </w:rPr>
              <w:fldChar w:fldCharType="end"/>
            </w:r>
          </w:hyperlink>
        </w:p>
        <w:p w14:paraId="79C5E333" w14:textId="44092AD8" w:rsidR="00B7440B" w:rsidRPr="00B7440B" w:rsidRDefault="00E131BD">
          <w:pPr>
            <w:pStyle w:val="TOC4"/>
            <w:rPr>
              <w:rFonts w:eastAsiaTheme="minorEastAsia"/>
              <w:noProof/>
              <w:sz w:val="26"/>
              <w:szCs w:val="26"/>
            </w:rPr>
          </w:pPr>
          <w:hyperlink w:anchor="_Toc63764587" w:history="1">
            <w:r w:rsidR="00B7440B" w:rsidRPr="00B7440B">
              <w:rPr>
                <w:rStyle w:val="Hyperlink"/>
                <w:rFonts w:eastAsiaTheme="minorHAnsi"/>
                <w:noProof/>
                <w:sz w:val="26"/>
                <w:szCs w:val="26"/>
              </w:rPr>
              <w:t>a.</w:t>
            </w:r>
            <w:r w:rsidR="00B7440B" w:rsidRPr="00B7440B">
              <w:rPr>
                <w:rFonts w:eastAsiaTheme="minorEastAsia"/>
                <w:noProof/>
                <w:sz w:val="26"/>
                <w:szCs w:val="26"/>
              </w:rPr>
              <w:tab/>
            </w:r>
            <w:r w:rsidR="00B7440B" w:rsidRPr="00B7440B">
              <w:rPr>
                <w:rStyle w:val="Hyperlink"/>
                <w:noProof/>
                <w:sz w:val="26"/>
                <w:szCs w:val="26"/>
              </w:rPr>
              <w:t>Positions</w:t>
            </w:r>
            <w:r w:rsidR="00B7440B" w:rsidRPr="00B7440B">
              <w:rPr>
                <w:rStyle w:val="Hyperlink"/>
                <w:rFonts w:eastAsiaTheme="minorHAnsi"/>
                <w:noProof/>
                <w:sz w:val="26"/>
                <w:szCs w:val="26"/>
              </w:rPr>
              <w:t xml:space="preserve"> of the Parties</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_Toc63764587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177</w:t>
            </w:r>
            <w:r w:rsidR="00B7440B" w:rsidRPr="00B7440B">
              <w:rPr>
                <w:noProof/>
                <w:webHidden/>
                <w:sz w:val="26"/>
                <w:szCs w:val="26"/>
              </w:rPr>
              <w:fldChar w:fldCharType="end"/>
            </w:r>
          </w:hyperlink>
        </w:p>
        <w:p w14:paraId="37AA1D61" w14:textId="2F447648" w:rsidR="00B7440B" w:rsidRPr="00B7440B" w:rsidRDefault="00E131BD">
          <w:pPr>
            <w:pStyle w:val="TOC4"/>
            <w:rPr>
              <w:rFonts w:eastAsiaTheme="minorEastAsia"/>
              <w:noProof/>
              <w:sz w:val="26"/>
              <w:szCs w:val="26"/>
            </w:rPr>
          </w:pPr>
          <w:hyperlink w:anchor="_Toc63764588" w:history="1">
            <w:r w:rsidR="00B7440B" w:rsidRPr="00B7440B">
              <w:rPr>
                <w:rStyle w:val="Hyperlink"/>
                <w:rFonts w:eastAsiaTheme="minorHAnsi"/>
                <w:noProof/>
                <w:sz w:val="26"/>
                <w:szCs w:val="26"/>
              </w:rPr>
              <w:t>b.</w:t>
            </w:r>
            <w:r w:rsidR="00B7440B" w:rsidRPr="00B7440B">
              <w:rPr>
                <w:rFonts w:eastAsiaTheme="minorEastAsia"/>
                <w:noProof/>
                <w:sz w:val="26"/>
                <w:szCs w:val="26"/>
              </w:rPr>
              <w:tab/>
            </w:r>
            <w:r w:rsidR="00B7440B" w:rsidRPr="00B7440B">
              <w:rPr>
                <w:rStyle w:val="Hyperlink"/>
                <w:rFonts w:eastAsiaTheme="minorHAnsi"/>
                <w:noProof/>
                <w:sz w:val="26"/>
                <w:szCs w:val="26"/>
              </w:rPr>
              <w:t>Recommended Decision</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_Toc63764588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178</w:t>
            </w:r>
            <w:r w:rsidR="00B7440B" w:rsidRPr="00B7440B">
              <w:rPr>
                <w:noProof/>
                <w:webHidden/>
                <w:sz w:val="26"/>
                <w:szCs w:val="26"/>
              </w:rPr>
              <w:fldChar w:fldCharType="end"/>
            </w:r>
          </w:hyperlink>
        </w:p>
        <w:p w14:paraId="1435E3D7" w14:textId="3FB6F74D" w:rsidR="00B7440B" w:rsidRPr="00B7440B" w:rsidRDefault="00E131BD">
          <w:pPr>
            <w:pStyle w:val="TOC4"/>
            <w:rPr>
              <w:rFonts w:eastAsiaTheme="minorEastAsia"/>
              <w:noProof/>
              <w:sz w:val="26"/>
              <w:szCs w:val="26"/>
            </w:rPr>
          </w:pPr>
          <w:hyperlink w:anchor="_Toc63764589" w:history="1">
            <w:r w:rsidR="00B7440B" w:rsidRPr="00B7440B">
              <w:rPr>
                <w:rStyle w:val="Hyperlink"/>
                <w:rFonts w:eastAsiaTheme="minorHAnsi"/>
                <w:noProof/>
                <w:sz w:val="26"/>
                <w:szCs w:val="26"/>
              </w:rPr>
              <w:t>c.</w:t>
            </w:r>
            <w:r w:rsidR="00B7440B" w:rsidRPr="00B7440B">
              <w:rPr>
                <w:rFonts w:eastAsiaTheme="minorEastAsia"/>
                <w:noProof/>
                <w:sz w:val="26"/>
                <w:szCs w:val="26"/>
              </w:rPr>
              <w:tab/>
            </w:r>
            <w:r w:rsidR="00B7440B" w:rsidRPr="00B7440B">
              <w:rPr>
                <w:rStyle w:val="Hyperlink"/>
                <w:rFonts w:eastAsiaTheme="minorHAnsi"/>
                <w:noProof/>
                <w:sz w:val="26"/>
                <w:szCs w:val="26"/>
              </w:rPr>
              <w:t>Disposition</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_Toc63764589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179</w:t>
            </w:r>
            <w:r w:rsidR="00B7440B" w:rsidRPr="00B7440B">
              <w:rPr>
                <w:noProof/>
                <w:webHidden/>
                <w:sz w:val="26"/>
                <w:szCs w:val="26"/>
              </w:rPr>
              <w:fldChar w:fldCharType="end"/>
            </w:r>
          </w:hyperlink>
        </w:p>
        <w:p w14:paraId="72725B29" w14:textId="2F84DFAB" w:rsidR="00B7440B" w:rsidRPr="00B7440B" w:rsidRDefault="00E131BD" w:rsidP="00B7440B">
          <w:pPr>
            <w:pStyle w:val="TOC3"/>
            <w:keepNext/>
            <w:rPr>
              <w:rFonts w:eastAsiaTheme="minorEastAsia"/>
              <w:noProof/>
              <w:sz w:val="26"/>
              <w:szCs w:val="26"/>
            </w:rPr>
          </w:pPr>
          <w:hyperlink w:anchor="_Toc63764590" w:history="1">
            <w:r w:rsidR="00B7440B" w:rsidRPr="00B7440B">
              <w:rPr>
                <w:rStyle w:val="Hyperlink"/>
                <w:rFonts w:eastAsiaTheme="minorHAnsi"/>
                <w:noProof/>
                <w:sz w:val="26"/>
                <w:szCs w:val="26"/>
              </w:rPr>
              <w:t>2.</w:t>
            </w:r>
            <w:r w:rsidR="00B7440B" w:rsidRPr="00B7440B">
              <w:rPr>
                <w:rFonts w:eastAsiaTheme="minorEastAsia"/>
                <w:noProof/>
                <w:sz w:val="26"/>
                <w:szCs w:val="26"/>
              </w:rPr>
              <w:tab/>
            </w:r>
            <w:r w:rsidR="00B7440B" w:rsidRPr="00B7440B">
              <w:rPr>
                <w:rStyle w:val="Hyperlink"/>
                <w:noProof/>
                <w:sz w:val="26"/>
                <w:szCs w:val="26"/>
              </w:rPr>
              <w:t>Pipeline</w:t>
            </w:r>
            <w:r w:rsidR="00B7440B" w:rsidRPr="00B7440B">
              <w:rPr>
                <w:rStyle w:val="Hyperlink"/>
                <w:rFonts w:eastAsiaTheme="minorHAnsi"/>
                <w:noProof/>
                <w:sz w:val="26"/>
                <w:szCs w:val="26"/>
              </w:rPr>
              <w:t xml:space="preserve"> Replacement</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_Toc63764590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180</w:t>
            </w:r>
            <w:r w:rsidR="00B7440B" w:rsidRPr="00B7440B">
              <w:rPr>
                <w:noProof/>
                <w:webHidden/>
                <w:sz w:val="26"/>
                <w:szCs w:val="26"/>
              </w:rPr>
              <w:fldChar w:fldCharType="end"/>
            </w:r>
          </w:hyperlink>
        </w:p>
        <w:p w14:paraId="28202C9B" w14:textId="0639CA65" w:rsidR="00B7440B" w:rsidRPr="00B7440B" w:rsidRDefault="00E131BD">
          <w:pPr>
            <w:pStyle w:val="TOC4"/>
            <w:rPr>
              <w:rFonts w:eastAsiaTheme="minorEastAsia"/>
              <w:noProof/>
              <w:sz w:val="26"/>
              <w:szCs w:val="26"/>
            </w:rPr>
          </w:pPr>
          <w:hyperlink w:anchor="_Toc63764591" w:history="1">
            <w:r w:rsidR="00B7440B" w:rsidRPr="00B7440B">
              <w:rPr>
                <w:rStyle w:val="Hyperlink"/>
                <w:rFonts w:eastAsiaTheme="minorHAnsi"/>
                <w:noProof/>
                <w:sz w:val="26"/>
                <w:szCs w:val="26"/>
              </w:rPr>
              <w:t>a.</w:t>
            </w:r>
            <w:r w:rsidR="00B7440B" w:rsidRPr="00B7440B">
              <w:rPr>
                <w:rFonts w:eastAsiaTheme="minorEastAsia"/>
                <w:noProof/>
                <w:sz w:val="26"/>
                <w:szCs w:val="26"/>
              </w:rPr>
              <w:tab/>
            </w:r>
            <w:r w:rsidR="00B7440B" w:rsidRPr="00B7440B">
              <w:rPr>
                <w:rStyle w:val="Hyperlink"/>
                <w:rFonts w:eastAsiaTheme="minorHAnsi"/>
                <w:noProof/>
                <w:sz w:val="26"/>
                <w:szCs w:val="26"/>
              </w:rPr>
              <w:t>Positions of the Parties</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_Toc63764591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180</w:t>
            </w:r>
            <w:r w:rsidR="00B7440B" w:rsidRPr="00B7440B">
              <w:rPr>
                <w:noProof/>
                <w:webHidden/>
                <w:sz w:val="26"/>
                <w:szCs w:val="26"/>
              </w:rPr>
              <w:fldChar w:fldCharType="end"/>
            </w:r>
          </w:hyperlink>
        </w:p>
        <w:p w14:paraId="755C01C2" w14:textId="7C13CE5A" w:rsidR="00B7440B" w:rsidRPr="00B7440B" w:rsidRDefault="00E131BD">
          <w:pPr>
            <w:pStyle w:val="TOC4"/>
            <w:rPr>
              <w:rFonts w:eastAsiaTheme="minorEastAsia"/>
              <w:noProof/>
              <w:sz w:val="26"/>
              <w:szCs w:val="26"/>
            </w:rPr>
          </w:pPr>
          <w:hyperlink w:anchor="_Toc63764592" w:history="1">
            <w:r w:rsidR="00B7440B" w:rsidRPr="00B7440B">
              <w:rPr>
                <w:rStyle w:val="Hyperlink"/>
                <w:rFonts w:eastAsiaTheme="minorHAnsi"/>
                <w:noProof/>
                <w:sz w:val="26"/>
                <w:szCs w:val="26"/>
              </w:rPr>
              <w:t>b.</w:t>
            </w:r>
            <w:r w:rsidR="00B7440B" w:rsidRPr="00B7440B">
              <w:rPr>
                <w:rFonts w:eastAsiaTheme="minorEastAsia"/>
                <w:noProof/>
                <w:sz w:val="26"/>
                <w:szCs w:val="26"/>
              </w:rPr>
              <w:tab/>
            </w:r>
            <w:r w:rsidR="00B7440B" w:rsidRPr="00B7440B">
              <w:rPr>
                <w:rStyle w:val="Hyperlink"/>
                <w:rFonts w:eastAsiaTheme="minorHAnsi"/>
                <w:noProof/>
                <w:sz w:val="26"/>
                <w:szCs w:val="26"/>
              </w:rPr>
              <w:t>Recommended Decision</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_Toc63764592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181</w:t>
            </w:r>
            <w:r w:rsidR="00B7440B" w:rsidRPr="00B7440B">
              <w:rPr>
                <w:noProof/>
                <w:webHidden/>
                <w:sz w:val="26"/>
                <w:szCs w:val="26"/>
              </w:rPr>
              <w:fldChar w:fldCharType="end"/>
            </w:r>
          </w:hyperlink>
        </w:p>
        <w:p w14:paraId="65BC6C4E" w14:textId="61691FBF" w:rsidR="00B7440B" w:rsidRPr="00B7440B" w:rsidRDefault="00E131BD">
          <w:pPr>
            <w:pStyle w:val="TOC4"/>
            <w:rPr>
              <w:rFonts w:eastAsiaTheme="minorEastAsia"/>
              <w:noProof/>
              <w:sz w:val="26"/>
              <w:szCs w:val="26"/>
            </w:rPr>
          </w:pPr>
          <w:hyperlink w:anchor="_Toc63764593" w:history="1">
            <w:r w:rsidR="00B7440B" w:rsidRPr="00B7440B">
              <w:rPr>
                <w:rStyle w:val="Hyperlink"/>
                <w:rFonts w:eastAsiaTheme="minorHAnsi"/>
                <w:noProof/>
                <w:sz w:val="26"/>
                <w:szCs w:val="26"/>
              </w:rPr>
              <w:t>c.</w:t>
            </w:r>
            <w:r w:rsidR="00B7440B" w:rsidRPr="00B7440B">
              <w:rPr>
                <w:rFonts w:eastAsiaTheme="minorEastAsia"/>
                <w:noProof/>
                <w:sz w:val="26"/>
                <w:szCs w:val="26"/>
              </w:rPr>
              <w:tab/>
            </w:r>
            <w:r w:rsidR="00B7440B" w:rsidRPr="00B7440B">
              <w:rPr>
                <w:rStyle w:val="Hyperlink"/>
                <w:rFonts w:eastAsiaTheme="minorHAnsi"/>
                <w:noProof/>
                <w:sz w:val="26"/>
                <w:szCs w:val="26"/>
              </w:rPr>
              <w:t>Disposition</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_Toc63764593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181</w:t>
            </w:r>
            <w:r w:rsidR="00B7440B" w:rsidRPr="00B7440B">
              <w:rPr>
                <w:noProof/>
                <w:webHidden/>
                <w:sz w:val="26"/>
                <w:szCs w:val="26"/>
              </w:rPr>
              <w:fldChar w:fldCharType="end"/>
            </w:r>
          </w:hyperlink>
        </w:p>
        <w:p w14:paraId="0893DDDB" w14:textId="117FFC25" w:rsidR="00B7440B" w:rsidRPr="00B7440B" w:rsidRDefault="00E131BD">
          <w:pPr>
            <w:pStyle w:val="TOC3"/>
            <w:rPr>
              <w:rFonts w:eastAsiaTheme="minorEastAsia"/>
              <w:noProof/>
              <w:sz w:val="26"/>
              <w:szCs w:val="26"/>
            </w:rPr>
          </w:pPr>
          <w:hyperlink w:anchor="_Toc63764594" w:history="1">
            <w:r w:rsidR="00B7440B" w:rsidRPr="00B7440B">
              <w:rPr>
                <w:rStyle w:val="Hyperlink"/>
                <w:rFonts w:eastAsiaTheme="minorHAnsi"/>
                <w:noProof/>
                <w:sz w:val="26"/>
                <w:szCs w:val="26"/>
              </w:rPr>
              <w:t>3.</w:t>
            </w:r>
            <w:r w:rsidR="00B7440B" w:rsidRPr="00B7440B">
              <w:rPr>
                <w:rFonts w:eastAsiaTheme="minorEastAsia"/>
                <w:noProof/>
                <w:sz w:val="26"/>
                <w:szCs w:val="26"/>
              </w:rPr>
              <w:tab/>
            </w:r>
            <w:r w:rsidR="00B7440B" w:rsidRPr="00B7440B">
              <w:rPr>
                <w:rStyle w:val="Hyperlink"/>
                <w:noProof/>
                <w:sz w:val="26"/>
                <w:szCs w:val="26"/>
              </w:rPr>
              <w:t>Pipeline</w:t>
            </w:r>
            <w:r w:rsidR="00B7440B" w:rsidRPr="00B7440B">
              <w:rPr>
                <w:rStyle w:val="Hyperlink"/>
                <w:rFonts w:eastAsiaTheme="minorHAnsi"/>
                <w:noProof/>
                <w:sz w:val="26"/>
                <w:szCs w:val="26"/>
              </w:rPr>
              <w:t xml:space="preserve"> Replacement Costs</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_Toc63764594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181</w:t>
            </w:r>
            <w:r w:rsidR="00B7440B" w:rsidRPr="00B7440B">
              <w:rPr>
                <w:noProof/>
                <w:webHidden/>
                <w:sz w:val="26"/>
                <w:szCs w:val="26"/>
              </w:rPr>
              <w:fldChar w:fldCharType="end"/>
            </w:r>
          </w:hyperlink>
        </w:p>
        <w:p w14:paraId="2BB2D527" w14:textId="6755D401" w:rsidR="00B7440B" w:rsidRPr="00B7440B" w:rsidRDefault="00E131BD">
          <w:pPr>
            <w:pStyle w:val="TOC4"/>
            <w:rPr>
              <w:rFonts w:eastAsiaTheme="minorEastAsia"/>
              <w:noProof/>
              <w:sz w:val="26"/>
              <w:szCs w:val="26"/>
            </w:rPr>
          </w:pPr>
          <w:hyperlink w:anchor="_Toc63764595" w:history="1">
            <w:r w:rsidR="00B7440B" w:rsidRPr="00B7440B">
              <w:rPr>
                <w:rStyle w:val="Hyperlink"/>
                <w:rFonts w:eastAsiaTheme="minorHAnsi"/>
                <w:noProof/>
                <w:sz w:val="26"/>
                <w:szCs w:val="26"/>
              </w:rPr>
              <w:t>a.</w:t>
            </w:r>
            <w:r w:rsidR="00B7440B" w:rsidRPr="00B7440B">
              <w:rPr>
                <w:rFonts w:eastAsiaTheme="minorEastAsia"/>
                <w:noProof/>
                <w:sz w:val="26"/>
                <w:szCs w:val="26"/>
              </w:rPr>
              <w:tab/>
            </w:r>
            <w:r w:rsidR="00B7440B" w:rsidRPr="00B7440B">
              <w:rPr>
                <w:rStyle w:val="Hyperlink"/>
                <w:rFonts w:eastAsiaTheme="minorHAnsi"/>
                <w:noProof/>
                <w:sz w:val="26"/>
                <w:szCs w:val="26"/>
              </w:rPr>
              <w:t>Positions of the Parties</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_Toc63764595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181</w:t>
            </w:r>
            <w:r w:rsidR="00B7440B" w:rsidRPr="00B7440B">
              <w:rPr>
                <w:noProof/>
                <w:webHidden/>
                <w:sz w:val="26"/>
                <w:szCs w:val="26"/>
              </w:rPr>
              <w:fldChar w:fldCharType="end"/>
            </w:r>
          </w:hyperlink>
        </w:p>
        <w:p w14:paraId="06A814A9" w14:textId="602AAC38" w:rsidR="00B7440B" w:rsidRPr="00B7440B" w:rsidRDefault="00E131BD">
          <w:pPr>
            <w:pStyle w:val="TOC4"/>
            <w:rPr>
              <w:rFonts w:eastAsiaTheme="minorEastAsia"/>
              <w:noProof/>
              <w:sz w:val="26"/>
              <w:szCs w:val="26"/>
            </w:rPr>
          </w:pPr>
          <w:hyperlink w:anchor="_Toc63764596" w:history="1">
            <w:r w:rsidR="00B7440B" w:rsidRPr="00B7440B">
              <w:rPr>
                <w:rStyle w:val="Hyperlink"/>
                <w:rFonts w:eastAsiaTheme="minorHAnsi"/>
                <w:noProof/>
                <w:sz w:val="26"/>
                <w:szCs w:val="26"/>
              </w:rPr>
              <w:t>b.</w:t>
            </w:r>
            <w:r w:rsidR="00B7440B" w:rsidRPr="00B7440B">
              <w:rPr>
                <w:rFonts w:eastAsiaTheme="minorEastAsia"/>
                <w:noProof/>
                <w:sz w:val="26"/>
                <w:szCs w:val="26"/>
              </w:rPr>
              <w:tab/>
            </w:r>
            <w:r w:rsidR="00B7440B" w:rsidRPr="00B7440B">
              <w:rPr>
                <w:rStyle w:val="Hyperlink"/>
                <w:rFonts w:eastAsiaTheme="minorHAnsi"/>
                <w:noProof/>
                <w:sz w:val="26"/>
                <w:szCs w:val="26"/>
              </w:rPr>
              <w:t>Recommended Decision</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_Toc63764596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182</w:t>
            </w:r>
            <w:r w:rsidR="00B7440B" w:rsidRPr="00B7440B">
              <w:rPr>
                <w:noProof/>
                <w:webHidden/>
                <w:sz w:val="26"/>
                <w:szCs w:val="26"/>
              </w:rPr>
              <w:fldChar w:fldCharType="end"/>
            </w:r>
          </w:hyperlink>
        </w:p>
        <w:p w14:paraId="792D428D" w14:textId="75767A52" w:rsidR="00B7440B" w:rsidRPr="00B7440B" w:rsidRDefault="00E131BD">
          <w:pPr>
            <w:pStyle w:val="TOC4"/>
            <w:rPr>
              <w:rFonts w:eastAsiaTheme="minorEastAsia"/>
              <w:noProof/>
              <w:sz w:val="26"/>
              <w:szCs w:val="26"/>
            </w:rPr>
          </w:pPr>
          <w:hyperlink w:anchor="_Toc63764597" w:history="1">
            <w:r w:rsidR="00B7440B" w:rsidRPr="00B7440B">
              <w:rPr>
                <w:rStyle w:val="Hyperlink"/>
                <w:rFonts w:eastAsiaTheme="minorHAnsi"/>
                <w:noProof/>
                <w:sz w:val="26"/>
                <w:szCs w:val="26"/>
              </w:rPr>
              <w:t>c.</w:t>
            </w:r>
            <w:r w:rsidR="00B7440B" w:rsidRPr="00B7440B">
              <w:rPr>
                <w:rFonts w:eastAsiaTheme="minorEastAsia"/>
                <w:noProof/>
                <w:sz w:val="26"/>
                <w:szCs w:val="26"/>
              </w:rPr>
              <w:tab/>
            </w:r>
            <w:r w:rsidR="00B7440B" w:rsidRPr="00B7440B">
              <w:rPr>
                <w:rStyle w:val="Hyperlink"/>
                <w:rFonts w:eastAsiaTheme="minorHAnsi"/>
                <w:noProof/>
                <w:sz w:val="26"/>
                <w:szCs w:val="26"/>
              </w:rPr>
              <w:t>Disposition</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_Toc63764597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183</w:t>
            </w:r>
            <w:r w:rsidR="00B7440B" w:rsidRPr="00B7440B">
              <w:rPr>
                <w:noProof/>
                <w:webHidden/>
                <w:sz w:val="26"/>
                <w:szCs w:val="26"/>
              </w:rPr>
              <w:fldChar w:fldCharType="end"/>
            </w:r>
          </w:hyperlink>
        </w:p>
        <w:p w14:paraId="585F0D0A" w14:textId="3AA3D3A9" w:rsidR="00B7440B" w:rsidRPr="00B7440B" w:rsidRDefault="00E131BD">
          <w:pPr>
            <w:pStyle w:val="TOC3"/>
            <w:rPr>
              <w:rFonts w:eastAsiaTheme="minorEastAsia"/>
              <w:noProof/>
              <w:sz w:val="26"/>
              <w:szCs w:val="26"/>
            </w:rPr>
          </w:pPr>
          <w:hyperlink w:anchor="_Toc63764598" w:history="1">
            <w:r w:rsidR="00B7440B" w:rsidRPr="00B7440B">
              <w:rPr>
                <w:rStyle w:val="Hyperlink"/>
                <w:rFonts w:eastAsiaTheme="minorHAnsi"/>
                <w:noProof/>
                <w:sz w:val="26"/>
                <w:szCs w:val="26"/>
              </w:rPr>
              <w:t>4.</w:t>
            </w:r>
            <w:r w:rsidR="00B7440B" w:rsidRPr="00B7440B">
              <w:rPr>
                <w:rFonts w:eastAsiaTheme="minorEastAsia"/>
                <w:noProof/>
                <w:sz w:val="26"/>
                <w:szCs w:val="26"/>
              </w:rPr>
              <w:tab/>
            </w:r>
            <w:r w:rsidR="00B7440B" w:rsidRPr="00B7440B">
              <w:rPr>
                <w:rStyle w:val="Hyperlink"/>
                <w:rFonts w:eastAsiaTheme="minorHAnsi"/>
                <w:noProof/>
                <w:sz w:val="26"/>
                <w:szCs w:val="26"/>
              </w:rPr>
              <w:t>Risk Reduction</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_Toc63764598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183</w:t>
            </w:r>
            <w:r w:rsidR="00B7440B" w:rsidRPr="00B7440B">
              <w:rPr>
                <w:noProof/>
                <w:webHidden/>
                <w:sz w:val="26"/>
                <w:szCs w:val="26"/>
              </w:rPr>
              <w:fldChar w:fldCharType="end"/>
            </w:r>
          </w:hyperlink>
        </w:p>
        <w:p w14:paraId="51840F2D" w14:textId="6676BF74" w:rsidR="00B7440B" w:rsidRPr="00B7440B" w:rsidRDefault="00E131BD">
          <w:pPr>
            <w:pStyle w:val="TOC4"/>
            <w:rPr>
              <w:rFonts w:eastAsiaTheme="minorEastAsia"/>
              <w:noProof/>
              <w:sz w:val="26"/>
              <w:szCs w:val="26"/>
            </w:rPr>
          </w:pPr>
          <w:hyperlink w:anchor="_Toc63764599" w:history="1">
            <w:r w:rsidR="00B7440B" w:rsidRPr="00B7440B">
              <w:rPr>
                <w:rStyle w:val="Hyperlink"/>
                <w:rFonts w:eastAsiaTheme="minorHAnsi"/>
                <w:noProof/>
                <w:sz w:val="26"/>
                <w:szCs w:val="26"/>
              </w:rPr>
              <w:t>a.</w:t>
            </w:r>
            <w:r w:rsidR="00B7440B" w:rsidRPr="00B7440B">
              <w:rPr>
                <w:rFonts w:eastAsiaTheme="minorEastAsia"/>
                <w:noProof/>
                <w:sz w:val="26"/>
                <w:szCs w:val="26"/>
              </w:rPr>
              <w:tab/>
            </w:r>
            <w:r w:rsidR="00B7440B" w:rsidRPr="00B7440B">
              <w:rPr>
                <w:rStyle w:val="Hyperlink"/>
                <w:rFonts w:eastAsiaTheme="minorHAnsi"/>
                <w:noProof/>
                <w:sz w:val="26"/>
                <w:szCs w:val="26"/>
              </w:rPr>
              <w:t>Positions of the Parties</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_Toc63764599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183</w:t>
            </w:r>
            <w:r w:rsidR="00B7440B" w:rsidRPr="00B7440B">
              <w:rPr>
                <w:noProof/>
                <w:webHidden/>
                <w:sz w:val="26"/>
                <w:szCs w:val="26"/>
              </w:rPr>
              <w:fldChar w:fldCharType="end"/>
            </w:r>
          </w:hyperlink>
        </w:p>
        <w:p w14:paraId="52470352" w14:textId="074BE355" w:rsidR="00B7440B" w:rsidRPr="00B7440B" w:rsidRDefault="00E131BD">
          <w:pPr>
            <w:pStyle w:val="TOC4"/>
            <w:rPr>
              <w:rFonts w:eastAsiaTheme="minorEastAsia"/>
              <w:noProof/>
              <w:sz w:val="26"/>
              <w:szCs w:val="26"/>
            </w:rPr>
          </w:pPr>
          <w:hyperlink w:anchor="_Toc63764600" w:history="1">
            <w:r w:rsidR="00B7440B" w:rsidRPr="00B7440B">
              <w:rPr>
                <w:rStyle w:val="Hyperlink"/>
                <w:rFonts w:eastAsiaTheme="minorHAnsi"/>
                <w:noProof/>
                <w:sz w:val="26"/>
                <w:szCs w:val="26"/>
              </w:rPr>
              <w:t>b.</w:t>
            </w:r>
            <w:r w:rsidR="00B7440B" w:rsidRPr="00B7440B">
              <w:rPr>
                <w:rFonts w:eastAsiaTheme="minorEastAsia"/>
                <w:noProof/>
                <w:sz w:val="26"/>
                <w:szCs w:val="26"/>
              </w:rPr>
              <w:tab/>
            </w:r>
            <w:r w:rsidR="00B7440B" w:rsidRPr="00B7440B">
              <w:rPr>
                <w:rStyle w:val="Hyperlink"/>
                <w:rFonts w:eastAsiaTheme="minorHAnsi"/>
                <w:noProof/>
                <w:sz w:val="26"/>
                <w:szCs w:val="26"/>
              </w:rPr>
              <w:t>Recommended Decision</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_Toc63764600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185</w:t>
            </w:r>
            <w:r w:rsidR="00B7440B" w:rsidRPr="00B7440B">
              <w:rPr>
                <w:noProof/>
                <w:webHidden/>
                <w:sz w:val="26"/>
                <w:szCs w:val="26"/>
              </w:rPr>
              <w:fldChar w:fldCharType="end"/>
            </w:r>
          </w:hyperlink>
        </w:p>
        <w:p w14:paraId="09572FB1" w14:textId="5CF43297" w:rsidR="00B7440B" w:rsidRPr="00B7440B" w:rsidRDefault="00E131BD">
          <w:pPr>
            <w:pStyle w:val="TOC4"/>
            <w:rPr>
              <w:rFonts w:eastAsiaTheme="minorEastAsia"/>
              <w:noProof/>
              <w:sz w:val="26"/>
              <w:szCs w:val="26"/>
            </w:rPr>
          </w:pPr>
          <w:hyperlink w:anchor="_Toc63764601" w:history="1">
            <w:r w:rsidR="00B7440B" w:rsidRPr="00B7440B">
              <w:rPr>
                <w:rStyle w:val="Hyperlink"/>
                <w:rFonts w:eastAsiaTheme="minorHAnsi"/>
                <w:noProof/>
                <w:sz w:val="26"/>
                <w:szCs w:val="26"/>
              </w:rPr>
              <w:t>c.</w:t>
            </w:r>
            <w:r w:rsidR="00B7440B" w:rsidRPr="00B7440B">
              <w:rPr>
                <w:rFonts w:eastAsiaTheme="minorEastAsia"/>
                <w:noProof/>
                <w:sz w:val="26"/>
                <w:szCs w:val="26"/>
              </w:rPr>
              <w:tab/>
            </w:r>
            <w:r w:rsidR="00B7440B" w:rsidRPr="00B7440B">
              <w:rPr>
                <w:rStyle w:val="Hyperlink"/>
                <w:rFonts w:eastAsiaTheme="minorHAnsi"/>
                <w:noProof/>
                <w:sz w:val="26"/>
                <w:szCs w:val="26"/>
              </w:rPr>
              <w:t>Disposition</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_Toc63764601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186</w:t>
            </w:r>
            <w:r w:rsidR="00B7440B" w:rsidRPr="00B7440B">
              <w:rPr>
                <w:noProof/>
                <w:webHidden/>
                <w:sz w:val="26"/>
                <w:szCs w:val="26"/>
              </w:rPr>
              <w:fldChar w:fldCharType="end"/>
            </w:r>
          </w:hyperlink>
        </w:p>
        <w:p w14:paraId="70CD570A" w14:textId="14AC3AED" w:rsidR="00B7440B" w:rsidRPr="00B7440B" w:rsidRDefault="00E131BD">
          <w:pPr>
            <w:pStyle w:val="TOC1"/>
            <w:rPr>
              <w:rFonts w:eastAsiaTheme="minorEastAsia"/>
              <w:b w:val="0"/>
              <w:bCs w:val="0"/>
            </w:rPr>
          </w:pPr>
          <w:hyperlink w:anchor="_Toc63764602" w:history="1">
            <w:r w:rsidR="00B7440B" w:rsidRPr="00B7440B">
              <w:rPr>
                <w:rStyle w:val="Hyperlink"/>
                <w:b w:val="0"/>
                <w:bCs w:val="0"/>
              </w:rPr>
              <w:t>XII.</w:t>
            </w:r>
            <w:r w:rsidR="00B7440B" w:rsidRPr="00B7440B">
              <w:rPr>
                <w:rFonts w:eastAsiaTheme="minorEastAsia"/>
                <w:b w:val="0"/>
                <w:bCs w:val="0"/>
              </w:rPr>
              <w:tab/>
            </w:r>
            <w:r w:rsidR="00B7440B" w:rsidRPr="00B7440B">
              <w:rPr>
                <w:rStyle w:val="Hyperlink"/>
                <w:b w:val="0"/>
                <w:bCs w:val="0"/>
              </w:rPr>
              <w:t>Rate Structure</w:t>
            </w:r>
            <w:r w:rsidR="00B7440B" w:rsidRPr="00B7440B">
              <w:rPr>
                <w:b w:val="0"/>
                <w:bCs w:val="0"/>
                <w:webHidden/>
              </w:rPr>
              <w:tab/>
            </w:r>
            <w:r w:rsidR="00B7440B" w:rsidRPr="00B7440B">
              <w:rPr>
                <w:b w:val="0"/>
                <w:bCs w:val="0"/>
                <w:webHidden/>
              </w:rPr>
              <w:fldChar w:fldCharType="begin"/>
            </w:r>
            <w:r w:rsidR="00B7440B" w:rsidRPr="00B7440B">
              <w:rPr>
                <w:b w:val="0"/>
                <w:bCs w:val="0"/>
                <w:webHidden/>
              </w:rPr>
              <w:instrText xml:space="preserve"> PAGEREF _Toc63764602 \h </w:instrText>
            </w:r>
            <w:r w:rsidR="00B7440B" w:rsidRPr="00B7440B">
              <w:rPr>
                <w:b w:val="0"/>
                <w:bCs w:val="0"/>
                <w:webHidden/>
              </w:rPr>
            </w:r>
            <w:r w:rsidR="00B7440B" w:rsidRPr="00B7440B">
              <w:rPr>
                <w:b w:val="0"/>
                <w:bCs w:val="0"/>
                <w:webHidden/>
              </w:rPr>
              <w:fldChar w:fldCharType="separate"/>
            </w:r>
            <w:r w:rsidR="0066040B">
              <w:rPr>
                <w:b w:val="0"/>
                <w:bCs w:val="0"/>
                <w:webHidden/>
              </w:rPr>
              <w:t>186</w:t>
            </w:r>
            <w:r w:rsidR="00B7440B" w:rsidRPr="00B7440B">
              <w:rPr>
                <w:b w:val="0"/>
                <w:bCs w:val="0"/>
                <w:webHidden/>
              </w:rPr>
              <w:fldChar w:fldCharType="end"/>
            </w:r>
          </w:hyperlink>
        </w:p>
        <w:p w14:paraId="10910E40" w14:textId="1C9BF0AA" w:rsidR="00B7440B" w:rsidRPr="00B7440B" w:rsidRDefault="00E131BD">
          <w:pPr>
            <w:pStyle w:val="TOC2"/>
            <w:tabs>
              <w:tab w:val="left" w:pos="1440"/>
            </w:tabs>
            <w:rPr>
              <w:rFonts w:eastAsiaTheme="minorEastAsia"/>
              <w:noProof/>
              <w:sz w:val="26"/>
              <w:szCs w:val="26"/>
            </w:rPr>
          </w:pPr>
          <w:hyperlink w:anchor="_Toc63764603" w:history="1">
            <w:r w:rsidR="00B7440B" w:rsidRPr="00B7440B">
              <w:rPr>
                <w:rStyle w:val="Hyperlink"/>
                <w:rFonts w:eastAsiaTheme="majorEastAsia"/>
                <w:noProof/>
                <w:sz w:val="26"/>
                <w:szCs w:val="26"/>
              </w:rPr>
              <w:t>A.</w:t>
            </w:r>
            <w:r w:rsidR="00B7440B" w:rsidRPr="00B7440B">
              <w:rPr>
                <w:rFonts w:eastAsiaTheme="minorEastAsia"/>
                <w:noProof/>
                <w:sz w:val="26"/>
                <w:szCs w:val="26"/>
              </w:rPr>
              <w:tab/>
            </w:r>
            <w:r w:rsidR="00B7440B" w:rsidRPr="00B7440B">
              <w:rPr>
                <w:rStyle w:val="Hyperlink"/>
                <w:rFonts w:eastAsiaTheme="majorEastAsia"/>
                <w:noProof/>
                <w:sz w:val="26"/>
                <w:szCs w:val="26"/>
              </w:rPr>
              <w:t>Allocated</w:t>
            </w:r>
            <w:r w:rsidR="00B7440B" w:rsidRPr="00B7440B">
              <w:rPr>
                <w:rStyle w:val="Hyperlink"/>
                <w:noProof/>
                <w:sz w:val="26"/>
                <w:szCs w:val="26"/>
              </w:rPr>
              <w:t xml:space="preserve"> Class Cost of Service Study (ACCOSS)</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_Toc63764603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187</w:t>
            </w:r>
            <w:r w:rsidR="00B7440B" w:rsidRPr="00B7440B">
              <w:rPr>
                <w:noProof/>
                <w:webHidden/>
                <w:sz w:val="26"/>
                <w:szCs w:val="26"/>
              </w:rPr>
              <w:fldChar w:fldCharType="end"/>
            </w:r>
          </w:hyperlink>
        </w:p>
        <w:p w14:paraId="27DC6B38" w14:textId="44EBD9BD" w:rsidR="00B7440B" w:rsidRPr="00B7440B" w:rsidRDefault="00E131BD">
          <w:pPr>
            <w:pStyle w:val="TOC3"/>
            <w:rPr>
              <w:rFonts w:eastAsiaTheme="minorEastAsia"/>
              <w:noProof/>
              <w:sz w:val="26"/>
              <w:szCs w:val="26"/>
            </w:rPr>
          </w:pPr>
          <w:hyperlink w:anchor="_Toc63764604" w:history="1">
            <w:r w:rsidR="00B7440B" w:rsidRPr="00B7440B">
              <w:rPr>
                <w:rStyle w:val="Hyperlink"/>
                <w:noProof/>
                <w:sz w:val="26"/>
                <w:szCs w:val="26"/>
              </w:rPr>
              <w:t>1.</w:t>
            </w:r>
            <w:r w:rsidR="00B7440B" w:rsidRPr="00B7440B">
              <w:rPr>
                <w:rFonts w:eastAsiaTheme="minorEastAsia"/>
                <w:noProof/>
                <w:sz w:val="26"/>
                <w:szCs w:val="26"/>
              </w:rPr>
              <w:tab/>
            </w:r>
            <w:r w:rsidR="00B7440B" w:rsidRPr="00B7440B">
              <w:rPr>
                <w:rStyle w:val="Hyperlink"/>
                <w:noProof/>
                <w:sz w:val="26"/>
                <w:szCs w:val="26"/>
              </w:rPr>
              <w:t>Positions of the Parties</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_Toc63764604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190</w:t>
            </w:r>
            <w:r w:rsidR="00B7440B" w:rsidRPr="00B7440B">
              <w:rPr>
                <w:noProof/>
                <w:webHidden/>
                <w:sz w:val="26"/>
                <w:szCs w:val="26"/>
              </w:rPr>
              <w:fldChar w:fldCharType="end"/>
            </w:r>
          </w:hyperlink>
        </w:p>
        <w:p w14:paraId="4E09FF23" w14:textId="783C5515" w:rsidR="00B7440B" w:rsidRPr="00B7440B" w:rsidRDefault="00E131BD">
          <w:pPr>
            <w:pStyle w:val="TOC3"/>
            <w:rPr>
              <w:rFonts w:eastAsiaTheme="minorEastAsia"/>
              <w:noProof/>
              <w:sz w:val="26"/>
              <w:szCs w:val="26"/>
            </w:rPr>
          </w:pPr>
          <w:hyperlink w:anchor="_Toc63764605" w:history="1">
            <w:r w:rsidR="00B7440B" w:rsidRPr="00B7440B">
              <w:rPr>
                <w:rStyle w:val="Hyperlink"/>
                <w:noProof/>
                <w:sz w:val="26"/>
                <w:szCs w:val="26"/>
              </w:rPr>
              <w:t>2.</w:t>
            </w:r>
            <w:r w:rsidR="00B7440B" w:rsidRPr="00B7440B">
              <w:rPr>
                <w:rFonts w:eastAsiaTheme="minorEastAsia"/>
                <w:noProof/>
                <w:sz w:val="26"/>
                <w:szCs w:val="26"/>
              </w:rPr>
              <w:tab/>
            </w:r>
            <w:r w:rsidR="00B7440B" w:rsidRPr="00B7440B">
              <w:rPr>
                <w:rStyle w:val="Hyperlink"/>
                <w:noProof/>
                <w:sz w:val="26"/>
                <w:szCs w:val="26"/>
              </w:rPr>
              <w:t>Recommended Decision</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_Toc63764605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197</w:t>
            </w:r>
            <w:r w:rsidR="00B7440B" w:rsidRPr="00B7440B">
              <w:rPr>
                <w:noProof/>
                <w:webHidden/>
                <w:sz w:val="26"/>
                <w:szCs w:val="26"/>
              </w:rPr>
              <w:fldChar w:fldCharType="end"/>
            </w:r>
          </w:hyperlink>
        </w:p>
        <w:p w14:paraId="708DB99A" w14:textId="5398E372" w:rsidR="00B7440B" w:rsidRPr="00B7440B" w:rsidRDefault="00E131BD">
          <w:pPr>
            <w:pStyle w:val="TOC3"/>
            <w:rPr>
              <w:rFonts w:eastAsiaTheme="minorEastAsia"/>
              <w:noProof/>
              <w:sz w:val="26"/>
              <w:szCs w:val="26"/>
            </w:rPr>
          </w:pPr>
          <w:hyperlink w:anchor="_Toc63764606" w:history="1">
            <w:r w:rsidR="00B7440B" w:rsidRPr="00B7440B">
              <w:rPr>
                <w:rStyle w:val="Hyperlink"/>
                <w:noProof/>
                <w:sz w:val="26"/>
                <w:szCs w:val="26"/>
              </w:rPr>
              <w:t>3.</w:t>
            </w:r>
            <w:r w:rsidR="00B7440B" w:rsidRPr="00B7440B">
              <w:rPr>
                <w:rFonts w:eastAsiaTheme="minorEastAsia"/>
                <w:noProof/>
                <w:sz w:val="26"/>
                <w:szCs w:val="26"/>
              </w:rPr>
              <w:tab/>
            </w:r>
            <w:r w:rsidR="00B7440B" w:rsidRPr="00B7440B">
              <w:rPr>
                <w:rStyle w:val="Hyperlink"/>
                <w:noProof/>
                <w:sz w:val="26"/>
                <w:szCs w:val="26"/>
              </w:rPr>
              <w:t>Exceptions and Replies</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_Toc63764606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198</w:t>
            </w:r>
            <w:r w:rsidR="00B7440B" w:rsidRPr="00B7440B">
              <w:rPr>
                <w:noProof/>
                <w:webHidden/>
                <w:sz w:val="26"/>
                <w:szCs w:val="26"/>
              </w:rPr>
              <w:fldChar w:fldCharType="end"/>
            </w:r>
          </w:hyperlink>
        </w:p>
        <w:p w14:paraId="08164BA0" w14:textId="47E8C03B" w:rsidR="00B7440B" w:rsidRPr="00B7440B" w:rsidRDefault="00E131BD">
          <w:pPr>
            <w:pStyle w:val="TOC4"/>
            <w:rPr>
              <w:rFonts w:eastAsiaTheme="minorEastAsia"/>
              <w:noProof/>
              <w:sz w:val="26"/>
              <w:szCs w:val="26"/>
            </w:rPr>
          </w:pPr>
          <w:hyperlink w:anchor="_Toc63764607" w:history="1">
            <w:r w:rsidR="00B7440B" w:rsidRPr="00B7440B">
              <w:rPr>
                <w:rStyle w:val="Hyperlink"/>
                <w:noProof/>
                <w:sz w:val="26"/>
                <w:szCs w:val="26"/>
              </w:rPr>
              <w:t>a.</w:t>
            </w:r>
            <w:r w:rsidR="00B7440B" w:rsidRPr="00B7440B">
              <w:rPr>
                <w:rFonts w:eastAsiaTheme="minorEastAsia"/>
                <w:noProof/>
                <w:sz w:val="26"/>
                <w:szCs w:val="26"/>
              </w:rPr>
              <w:tab/>
            </w:r>
            <w:r w:rsidR="00B7440B" w:rsidRPr="00B7440B">
              <w:rPr>
                <w:rStyle w:val="Hyperlink"/>
                <w:noProof/>
                <w:sz w:val="26"/>
                <w:szCs w:val="26"/>
              </w:rPr>
              <w:t>Columbia Exceptions Nos. 18 &amp; 19</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_Toc63764607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198</w:t>
            </w:r>
            <w:r w:rsidR="00B7440B" w:rsidRPr="00B7440B">
              <w:rPr>
                <w:noProof/>
                <w:webHidden/>
                <w:sz w:val="26"/>
                <w:szCs w:val="26"/>
              </w:rPr>
              <w:fldChar w:fldCharType="end"/>
            </w:r>
          </w:hyperlink>
        </w:p>
        <w:p w14:paraId="5A5FE435" w14:textId="65CA205A" w:rsidR="00B7440B" w:rsidRPr="00B7440B" w:rsidRDefault="00E131BD">
          <w:pPr>
            <w:pStyle w:val="TOC4"/>
            <w:rPr>
              <w:rFonts w:eastAsiaTheme="minorEastAsia"/>
              <w:noProof/>
              <w:sz w:val="26"/>
              <w:szCs w:val="26"/>
            </w:rPr>
          </w:pPr>
          <w:hyperlink w:anchor="_Toc63764608" w:history="1">
            <w:r w:rsidR="00B7440B" w:rsidRPr="00B7440B">
              <w:rPr>
                <w:rStyle w:val="Hyperlink"/>
                <w:noProof/>
                <w:sz w:val="26"/>
                <w:szCs w:val="26"/>
              </w:rPr>
              <w:t>b.</w:t>
            </w:r>
            <w:r w:rsidR="00B7440B" w:rsidRPr="00B7440B">
              <w:rPr>
                <w:rFonts w:eastAsiaTheme="minorEastAsia"/>
                <w:noProof/>
                <w:sz w:val="26"/>
                <w:szCs w:val="26"/>
              </w:rPr>
              <w:tab/>
            </w:r>
            <w:r w:rsidR="00B7440B" w:rsidRPr="00B7440B">
              <w:rPr>
                <w:rStyle w:val="Hyperlink"/>
                <w:noProof/>
                <w:sz w:val="26"/>
                <w:szCs w:val="26"/>
              </w:rPr>
              <w:t>OSBA Exception No. 1</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_Toc63764608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202</w:t>
            </w:r>
            <w:r w:rsidR="00B7440B" w:rsidRPr="00B7440B">
              <w:rPr>
                <w:noProof/>
                <w:webHidden/>
                <w:sz w:val="26"/>
                <w:szCs w:val="26"/>
              </w:rPr>
              <w:fldChar w:fldCharType="end"/>
            </w:r>
          </w:hyperlink>
        </w:p>
        <w:p w14:paraId="2BC2B01A" w14:textId="1C4FF1FA" w:rsidR="00B7440B" w:rsidRPr="00B7440B" w:rsidRDefault="00E131BD">
          <w:pPr>
            <w:pStyle w:val="TOC4"/>
            <w:rPr>
              <w:rFonts w:eastAsiaTheme="minorEastAsia"/>
              <w:noProof/>
              <w:sz w:val="26"/>
              <w:szCs w:val="26"/>
            </w:rPr>
          </w:pPr>
          <w:hyperlink w:anchor="_Toc63764609" w:history="1">
            <w:r w:rsidR="00B7440B" w:rsidRPr="00B7440B">
              <w:rPr>
                <w:rStyle w:val="Hyperlink"/>
                <w:noProof/>
                <w:sz w:val="26"/>
                <w:szCs w:val="26"/>
              </w:rPr>
              <w:t>c.</w:t>
            </w:r>
            <w:r w:rsidR="00B7440B" w:rsidRPr="00B7440B">
              <w:rPr>
                <w:rFonts w:eastAsiaTheme="minorEastAsia"/>
                <w:noProof/>
                <w:sz w:val="26"/>
                <w:szCs w:val="26"/>
              </w:rPr>
              <w:tab/>
            </w:r>
            <w:r w:rsidR="00B7440B" w:rsidRPr="00B7440B">
              <w:rPr>
                <w:rStyle w:val="Hyperlink"/>
                <w:noProof/>
                <w:sz w:val="26"/>
                <w:szCs w:val="26"/>
              </w:rPr>
              <w:t>PSU Exception No. 1</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_Toc63764609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205</w:t>
            </w:r>
            <w:r w:rsidR="00B7440B" w:rsidRPr="00B7440B">
              <w:rPr>
                <w:noProof/>
                <w:webHidden/>
                <w:sz w:val="26"/>
                <w:szCs w:val="26"/>
              </w:rPr>
              <w:fldChar w:fldCharType="end"/>
            </w:r>
          </w:hyperlink>
        </w:p>
        <w:p w14:paraId="66EAB008" w14:textId="551EDF28" w:rsidR="00B7440B" w:rsidRPr="00B7440B" w:rsidRDefault="00E131BD">
          <w:pPr>
            <w:pStyle w:val="TOC4"/>
            <w:rPr>
              <w:rFonts w:eastAsiaTheme="minorEastAsia"/>
              <w:noProof/>
              <w:sz w:val="26"/>
              <w:szCs w:val="26"/>
            </w:rPr>
          </w:pPr>
          <w:hyperlink w:anchor="_Toc63764610" w:history="1">
            <w:r w:rsidR="00B7440B" w:rsidRPr="00B7440B">
              <w:rPr>
                <w:rStyle w:val="Hyperlink"/>
                <w:noProof/>
                <w:sz w:val="26"/>
                <w:szCs w:val="26"/>
              </w:rPr>
              <w:t>d.</w:t>
            </w:r>
            <w:r w:rsidR="00B7440B" w:rsidRPr="00B7440B">
              <w:rPr>
                <w:rFonts w:eastAsiaTheme="minorEastAsia"/>
                <w:noProof/>
                <w:sz w:val="26"/>
                <w:szCs w:val="26"/>
              </w:rPr>
              <w:tab/>
            </w:r>
            <w:r w:rsidR="00B7440B" w:rsidRPr="00B7440B">
              <w:rPr>
                <w:rStyle w:val="Hyperlink"/>
                <w:noProof/>
                <w:sz w:val="26"/>
                <w:szCs w:val="26"/>
              </w:rPr>
              <w:t>Replies to Exceptions</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_Toc63764610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209</w:t>
            </w:r>
            <w:r w:rsidR="00B7440B" w:rsidRPr="00B7440B">
              <w:rPr>
                <w:noProof/>
                <w:webHidden/>
                <w:sz w:val="26"/>
                <w:szCs w:val="26"/>
              </w:rPr>
              <w:fldChar w:fldCharType="end"/>
            </w:r>
          </w:hyperlink>
        </w:p>
        <w:p w14:paraId="547013E6" w14:textId="38164A7A" w:rsidR="00B7440B" w:rsidRPr="00B7440B" w:rsidRDefault="00E131BD">
          <w:pPr>
            <w:pStyle w:val="TOC3"/>
            <w:rPr>
              <w:rFonts w:eastAsiaTheme="minorEastAsia"/>
              <w:noProof/>
              <w:sz w:val="26"/>
              <w:szCs w:val="26"/>
            </w:rPr>
          </w:pPr>
          <w:hyperlink w:anchor="_Toc63764611" w:history="1">
            <w:r w:rsidR="00B7440B" w:rsidRPr="00B7440B">
              <w:rPr>
                <w:rStyle w:val="Hyperlink"/>
                <w:noProof/>
                <w:sz w:val="26"/>
                <w:szCs w:val="26"/>
              </w:rPr>
              <w:t>4.</w:t>
            </w:r>
            <w:r w:rsidR="00B7440B" w:rsidRPr="00B7440B">
              <w:rPr>
                <w:rFonts w:eastAsiaTheme="minorEastAsia"/>
                <w:noProof/>
                <w:sz w:val="26"/>
                <w:szCs w:val="26"/>
              </w:rPr>
              <w:tab/>
            </w:r>
            <w:r w:rsidR="00B7440B" w:rsidRPr="00B7440B">
              <w:rPr>
                <w:rStyle w:val="Hyperlink"/>
                <w:noProof/>
                <w:sz w:val="26"/>
                <w:szCs w:val="26"/>
              </w:rPr>
              <w:t>Disposition</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_Toc63764611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211</w:t>
            </w:r>
            <w:r w:rsidR="00B7440B" w:rsidRPr="00B7440B">
              <w:rPr>
                <w:noProof/>
                <w:webHidden/>
                <w:sz w:val="26"/>
                <w:szCs w:val="26"/>
              </w:rPr>
              <w:fldChar w:fldCharType="end"/>
            </w:r>
          </w:hyperlink>
        </w:p>
        <w:p w14:paraId="6AB83518" w14:textId="344D7204" w:rsidR="00B7440B" w:rsidRPr="00B7440B" w:rsidRDefault="00E131BD">
          <w:pPr>
            <w:pStyle w:val="TOC2"/>
            <w:tabs>
              <w:tab w:val="left" w:pos="1440"/>
            </w:tabs>
            <w:rPr>
              <w:rFonts w:eastAsiaTheme="minorEastAsia"/>
              <w:noProof/>
              <w:sz w:val="26"/>
              <w:szCs w:val="26"/>
            </w:rPr>
          </w:pPr>
          <w:hyperlink w:anchor="_Toc63764612" w:history="1">
            <w:r w:rsidR="00B7440B" w:rsidRPr="00B7440B">
              <w:rPr>
                <w:rStyle w:val="Hyperlink"/>
                <w:rFonts w:eastAsiaTheme="majorEastAsia"/>
                <w:noProof/>
                <w:sz w:val="26"/>
                <w:szCs w:val="26"/>
              </w:rPr>
              <w:t>B.</w:t>
            </w:r>
            <w:r w:rsidR="00B7440B" w:rsidRPr="00B7440B">
              <w:rPr>
                <w:rFonts w:eastAsiaTheme="minorEastAsia"/>
                <w:noProof/>
                <w:sz w:val="26"/>
                <w:szCs w:val="26"/>
              </w:rPr>
              <w:tab/>
            </w:r>
            <w:r w:rsidR="00B7440B" w:rsidRPr="00B7440B">
              <w:rPr>
                <w:rStyle w:val="Hyperlink"/>
                <w:noProof/>
                <w:sz w:val="26"/>
                <w:szCs w:val="26"/>
              </w:rPr>
              <w:t>Revenue Allocation</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_Toc63764612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218</w:t>
            </w:r>
            <w:r w:rsidR="00B7440B" w:rsidRPr="00B7440B">
              <w:rPr>
                <w:noProof/>
                <w:webHidden/>
                <w:sz w:val="26"/>
                <w:szCs w:val="26"/>
              </w:rPr>
              <w:fldChar w:fldCharType="end"/>
            </w:r>
          </w:hyperlink>
        </w:p>
        <w:p w14:paraId="37D9D20E" w14:textId="4316227A" w:rsidR="00B7440B" w:rsidRPr="00B7440B" w:rsidRDefault="00E131BD">
          <w:pPr>
            <w:pStyle w:val="TOC3"/>
            <w:rPr>
              <w:rFonts w:eastAsiaTheme="minorEastAsia"/>
              <w:noProof/>
              <w:sz w:val="26"/>
              <w:szCs w:val="26"/>
            </w:rPr>
          </w:pPr>
          <w:hyperlink w:anchor="_Toc63764613" w:history="1">
            <w:r w:rsidR="00B7440B" w:rsidRPr="00B7440B">
              <w:rPr>
                <w:rStyle w:val="Hyperlink"/>
                <w:noProof/>
                <w:sz w:val="26"/>
                <w:szCs w:val="26"/>
              </w:rPr>
              <w:t>1.</w:t>
            </w:r>
            <w:r w:rsidR="00B7440B" w:rsidRPr="00B7440B">
              <w:rPr>
                <w:rFonts w:eastAsiaTheme="minorEastAsia"/>
                <w:noProof/>
                <w:sz w:val="26"/>
                <w:szCs w:val="26"/>
              </w:rPr>
              <w:tab/>
            </w:r>
            <w:r w:rsidR="00B7440B" w:rsidRPr="00B7440B">
              <w:rPr>
                <w:rStyle w:val="Hyperlink"/>
                <w:noProof/>
                <w:sz w:val="26"/>
                <w:szCs w:val="26"/>
              </w:rPr>
              <w:t>Proposed Revenue Allocation and Alternatives</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_Toc63764613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218</w:t>
            </w:r>
            <w:r w:rsidR="00B7440B" w:rsidRPr="00B7440B">
              <w:rPr>
                <w:noProof/>
                <w:webHidden/>
                <w:sz w:val="26"/>
                <w:szCs w:val="26"/>
              </w:rPr>
              <w:fldChar w:fldCharType="end"/>
            </w:r>
          </w:hyperlink>
        </w:p>
        <w:p w14:paraId="3A5C31FC" w14:textId="3C7F4A9C" w:rsidR="00B7440B" w:rsidRPr="00B7440B" w:rsidRDefault="00E131BD">
          <w:pPr>
            <w:pStyle w:val="TOC4"/>
            <w:rPr>
              <w:rFonts w:eastAsiaTheme="minorEastAsia"/>
              <w:noProof/>
              <w:sz w:val="26"/>
              <w:szCs w:val="26"/>
            </w:rPr>
          </w:pPr>
          <w:hyperlink w:anchor="_Toc63764614" w:history="1">
            <w:r w:rsidR="00B7440B" w:rsidRPr="00B7440B">
              <w:rPr>
                <w:rStyle w:val="Hyperlink"/>
                <w:noProof/>
                <w:sz w:val="26"/>
                <w:szCs w:val="26"/>
              </w:rPr>
              <w:t>a.</w:t>
            </w:r>
            <w:r w:rsidR="00B7440B" w:rsidRPr="00B7440B">
              <w:rPr>
                <w:rFonts w:eastAsiaTheme="minorEastAsia"/>
                <w:noProof/>
                <w:sz w:val="26"/>
                <w:szCs w:val="26"/>
              </w:rPr>
              <w:tab/>
            </w:r>
            <w:r w:rsidR="00B7440B" w:rsidRPr="00B7440B">
              <w:rPr>
                <w:rStyle w:val="Hyperlink"/>
                <w:noProof/>
                <w:sz w:val="26"/>
                <w:szCs w:val="26"/>
              </w:rPr>
              <w:t>Positions of the Parties</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_Toc63764614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218</w:t>
            </w:r>
            <w:r w:rsidR="00B7440B" w:rsidRPr="00B7440B">
              <w:rPr>
                <w:noProof/>
                <w:webHidden/>
                <w:sz w:val="26"/>
                <w:szCs w:val="26"/>
              </w:rPr>
              <w:fldChar w:fldCharType="end"/>
            </w:r>
          </w:hyperlink>
        </w:p>
        <w:p w14:paraId="7DF674A6" w14:textId="0CCB408F" w:rsidR="00B7440B" w:rsidRPr="00B7440B" w:rsidRDefault="00E131BD">
          <w:pPr>
            <w:pStyle w:val="TOC4"/>
            <w:rPr>
              <w:rFonts w:eastAsiaTheme="minorEastAsia"/>
              <w:noProof/>
              <w:sz w:val="26"/>
              <w:szCs w:val="26"/>
            </w:rPr>
          </w:pPr>
          <w:hyperlink w:anchor="_Toc63764615" w:history="1">
            <w:r w:rsidR="00B7440B" w:rsidRPr="00B7440B">
              <w:rPr>
                <w:rStyle w:val="Hyperlink"/>
                <w:noProof/>
                <w:sz w:val="26"/>
                <w:szCs w:val="26"/>
              </w:rPr>
              <w:t>b.</w:t>
            </w:r>
            <w:r w:rsidR="00B7440B" w:rsidRPr="00B7440B">
              <w:rPr>
                <w:rFonts w:eastAsiaTheme="minorEastAsia"/>
                <w:noProof/>
                <w:sz w:val="26"/>
                <w:szCs w:val="26"/>
              </w:rPr>
              <w:tab/>
            </w:r>
            <w:r w:rsidR="00B7440B" w:rsidRPr="00B7440B">
              <w:rPr>
                <w:rStyle w:val="Hyperlink"/>
                <w:noProof/>
                <w:sz w:val="26"/>
                <w:szCs w:val="26"/>
              </w:rPr>
              <w:t>Recommended Decision</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_Toc63764615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226</w:t>
            </w:r>
            <w:r w:rsidR="00B7440B" w:rsidRPr="00B7440B">
              <w:rPr>
                <w:noProof/>
                <w:webHidden/>
                <w:sz w:val="26"/>
                <w:szCs w:val="26"/>
              </w:rPr>
              <w:fldChar w:fldCharType="end"/>
            </w:r>
          </w:hyperlink>
        </w:p>
        <w:p w14:paraId="72E5F7EB" w14:textId="5306AF94" w:rsidR="00B7440B" w:rsidRPr="00B7440B" w:rsidRDefault="00E131BD">
          <w:pPr>
            <w:pStyle w:val="TOC4"/>
            <w:rPr>
              <w:rFonts w:eastAsiaTheme="minorEastAsia"/>
              <w:noProof/>
              <w:sz w:val="26"/>
              <w:szCs w:val="26"/>
            </w:rPr>
          </w:pPr>
          <w:hyperlink w:anchor="_Toc63764616" w:history="1">
            <w:r w:rsidR="00B7440B" w:rsidRPr="00B7440B">
              <w:rPr>
                <w:rStyle w:val="Hyperlink"/>
                <w:noProof/>
                <w:sz w:val="26"/>
                <w:szCs w:val="26"/>
              </w:rPr>
              <w:t>c.</w:t>
            </w:r>
            <w:r w:rsidR="00B7440B" w:rsidRPr="00B7440B">
              <w:rPr>
                <w:rFonts w:eastAsiaTheme="minorEastAsia"/>
                <w:noProof/>
                <w:sz w:val="26"/>
                <w:szCs w:val="26"/>
              </w:rPr>
              <w:tab/>
            </w:r>
            <w:r w:rsidR="00B7440B" w:rsidRPr="00B7440B">
              <w:rPr>
                <w:rStyle w:val="Hyperlink"/>
                <w:noProof/>
                <w:sz w:val="26"/>
                <w:szCs w:val="26"/>
              </w:rPr>
              <w:t>Exception and Replies</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_Toc63764616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226</w:t>
            </w:r>
            <w:r w:rsidR="00B7440B" w:rsidRPr="00B7440B">
              <w:rPr>
                <w:noProof/>
                <w:webHidden/>
                <w:sz w:val="26"/>
                <w:szCs w:val="26"/>
              </w:rPr>
              <w:fldChar w:fldCharType="end"/>
            </w:r>
          </w:hyperlink>
        </w:p>
        <w:p w14:paraId="7B64D6B2" w14:textId="3B859198" w:rsidR="00B7440B" w:rsidRPr="00B7440B" w:rsidRDefault="00E131BD">
          <w:pPr>
            <w:pStyle w:val="TOC5"/>
            <w:rPr>
              <w:rFonts w:eastAsiaTheme="minorEastAsia"/>
              <w:noProof/>
              <w:szCs w:val="26"/>
            </w:rPr>
          </w:pPr>
          <w:hyperlink w:anchor="_Toc63764617" w:history="1">
            <w:r w:rsidR="00B7440B" w:rsidRPr="00B7440B">
              <w:rPr>
                <w:rStyle w:val="Hyperlink"/>
                <w:noProof/>
                <w:szCs w:val="26"/>
              </w:rPr>
              <w:t>i.</w:t>
            </w:r>
            <w:r w:rsidR="00B7440B" w:rsidRPr="00B7440B">
              <w:rPr>
                <w:rFonts w:eastAsiaTheme="minorEastAsia"/>
                <w:noProof/>
                <w:szCs w:val="26"/>
              </w:rPr>
              <w:tab/>
            </w:r>
            <w:r w:rsidR="00B7440B" w:rsidRPr="00B7440B">
              <w:rPr>
                <w:rStyle w:val="Hyperlink"/>
                <w:noProof/>
                <w:szCs w:val="26"/>
              </w:rPr>
              <w:t>Columbia Exception No. 20</w:t>
            </w:r>
            <w:r w:rsidR="00B7440B" w:rsidRPr="00B7440B">
              <w:rPr>
                <w:noProof/>
                <w:webHidden/>
                <w:szCs w:val="26"/>
              </w:rPr>
              <w:tab/>
            </w:r>
            <w:r w:rsidR="00B7440B" w:rsidRPr="00B7440B">
              <w:rPr>
                <w:noProof/>
                <w:webHidden/>
                <w:szCs w:val="26"/>
              </w:rPr>
              <w:fldChar w:fldCharType="begin"/>
            </w:r>
            <w:r w:rsidR="00B7440B" w:rsidRPr="00B7440B">
              <w:rPr>
                <w:noProof/>
                <w:webHidden/>
                <w:szCs w:val="26"/>
              </w:rPr>
              <w:instrText xml:space="preserve"> PAGEREF _Toc63764617 \h </w:instrText>
            </w:r>
            <w:r w:rsidR="00B7440B" w:rsidRPr="00B7440B">
              <w:rPr>
                <w:noProof/>
                <w:webHidden/>
                <w:szCs w:val="26"/>
              </w:rPr>
            </w:r>
            <w:r w:rsidR="00B7440B" w:rsidRPr="00B7440B">
              <w:rPr>
                <w:noProof/>
                <w:webHidden/>
                <w:szCs w:val="26"/>
              </w:rPr>
              <w:fldChar w:fldCharType="separate"/>
            </w:r>
            <w:r w:rsidR="0066040B">
              <w:rPr>
                <w:noProof/>
                <w:webHidden/>
                <w:szCs w:val="26"/>
              </w:rPr>
              <w:t>226</w:t>
            </w:r>
            <w:r w:rsidR="00B7440B" w:rsidRPr="00B7440B">
              <w:rPr>
                <w:noProof/>
                <w:webHidden/>
                <w:szCs w:val="26"/>
              </w:rPr>
              <w:fldChar w:fldCharType="end"/>
            </w:r>
          </w:hyperlink>
        </w:p>
        <w:p w14:paraId="668D7342" w14:textId="56B9FEAB" w:rsidR="00B7440B" w:rsidRPr="00B7440B" w:rsidRDefault="00E131BD">
          <w:pPr>
            <w:pStyle w:val="TOC5"/>
            <w:rPr>
              <w:rFonts w:eastAsiaTheme="minorEastAsia"/>
              <w:noProof/>
              <w:szCs w:val="26"/>
            </w:rPr>
          </w:pPr>
          <w:hyperlink w:anchor="_Toc63764618" w:history="1">
            <w:r w:rsidR="00B7440B" w:rsidRPr="00B7440B">
              <w:rPr>
                <w:rStyle w:val="Hyperlink"/>
                <w:noProof/>
                <w:szCs w:val="26"/>
              </w:rPr>
              <w:t>ii.</w:t>
            </w:r>
            <w:r w:rsidR="00B7440B" w:rsidRPr="00B7440B">
              <w:rPr>
                <w:rFonts w:eastAsiaTheme="minorEastAsia"/>
                <w:noProof/>
                <w:szCs w:val="26"/>
              </w:rPr>
              <w:tab/>
            </w:r>
            <w:r w:rsidR="00B7440B" w:rsidRPr="00B7440B">
              <w:rPr>
                <w:rStyle w:val="Hyperlink"/>
                <w:noProof/>
                <w:szCs w:val="26"/>
              </w:rPr>
              <w:t>OSBA Exception No. 1 and PSU Exception No. 1</w:t>
            </w:r>
            <w:r w:rsidR="00B7440B" w:rsidRPr="00B7440B">
              <w:rPr>
                <w:noProof/>
                <w:webHidden/>
                <w:szCs w:val="26"/>
              </w:rPr>
              <w:tab/>
            </w:r>
            <w:r w:rsidR="00B7440B" w:rsidRPr="00B7440B">
              <w:rPr>
                <w:noProof/>
                <w:webHidden/>
                <w:szCs w:val="26"/>
              </w:rPr>
              <w:fldChar w:fldCharType="begin"/>
            </w:r>
            <w:r w:rsidR="00B7440B" w:rsidRPr="00B7440B">
              <w:rPr>
                <w:noProof/>
                <w:webHidden/>
                <w:szCs w:val="26"/>
              </w:rPr>
              <w:instrText xml:space="preserve"> PAGEREF _Toc63764618 \h </w:instrText>
            </w:r>
            <w:r w:rsidR="00B7440B" w:rsidRPr="00B7440B">
              <w:rPr>
                <w:noProof/>
                <w:webHidden/>
                <w:szCs w:val="26"/>
              </w:rPr>
            </w:r>
            <w:r w:rsidR="00B7440B" w:rsidRPr="00B7440B">
              <w:rPr>
                <w:noProof/>
                <w:webHidden/>
                <w:szCs w:val="26"/>
              </w:rPr>
              <w:fldChar w:fldCharType="separate"/>
            </w:r>
            <w:r w:rsidR="0066040B">
              <w:rPr>
                <w:noProof/>
                <w:webHidden/>
                <w:szCs w:val="26"/>
              </w:rPr>
              <w:t>228</w:t>
            </w:r>
            <w:r w:rsidR="00B7440B" w:rsidRPr="00B7440B">
              <w:rPr>
                <w:noProof/>
                <w:webHidden/>
                <w:szCs w:val="26"/>
              </w:rPr>
              <w:fldChar w:fldCharType="end"/>
            </w:r>
          </w:hyperlink>
        </w:p>
        <w:p w14:paraId="5B8B89E9" w14:textId="31094F26" w:rsidR="00B7440B" w:rsidRPr="00B7440B" w:rsidRDefault="00E131BD">
          <w:pPr>
            <w:pStyle w:val="TOC5"/>
            <w:rPr>
              <w:rFonts w:eastAsiaTheme="minorEastAsia"/>
              <w:noProof/>
              <w:szCs w:val="26"/>
            </w:rPr>
          </w:pPr>
          <w:hyperlink w:anchor="_Toc63764619" w:history="1">
            <w:r w:rsidR="00B7440B" w:rsidRPr="00B7440B">
              <w:rPr>
                <w:rStyle w:val="Hyperlink"/>
                <w:noProof/>
                <w:szCs w:val="26"/>
              </w:rPr>
              <w:t>iii.</w:t>
            </w:r>
            <w:r w:rsidR="00B7440B" w:rsidRPr="00B7440B">
              <w:rPr>
                <w:rFonts w:eastAsiaTheme="minorEastAsia"/>
                <w:noProof/>
                <w:szCs w:val="26"/>
              </w:rPr>
              <w:tab/>
            </w:r>
            <w:r w:rsidR="00B7440B" w:rsidRPr="00B7440B">
              <w:rPr>
                <w:rStyle w:val="Hyperlink"/>
                <w:noProof/>
                <w:szCs w:val="26"/>
              </w:rPr>
              <w:t>OCA’s Replies</w:t>
            </w:r>
            <w:r w:rsidR="00B7440B" w:rsidRPr="00B7440B">
              <w:rPr>
                <w:noProof/>
                <w:webHidden/>
                <w:szCs w:val="26"/>
              </w:rPr>
              <w:tab/>
            </w:r>
            <w:r w:rsidR="00B7440B" w:rsidRPr="00B7440B">
              <w:rPr>
                <w:noProof/>
                <w:webHidden/>
                <w:szCs w:val="26"/>
              </w:rPr>
              <w:fldChar w:fldCharType="begin"/>
            </w:r>
            <w:r w:rsidR="00B7440B" w:rsidRPr="00B7440B">
              <w:rPr>
                <w:noProof/>
                <w:webHidden/>
                <w:szCs w:val="26"/>
              </w:rPr>
              <w:instrText xml:space="preserve"> PAGEREF _Toc63764619 \h </w:instrText>
            </w:r>
            <w:r w:rsidR="00B7440B" w:rsidRPr="00B7440B">
              <w:rPr>
                <w:noProof/>
                <w:webHidden/>
                <w:szCs w:val="26"/>
              </w:rPr>
            </w:r>
            <w:r w:rsidR="00B7440B" w:rsidRPr="00B7440B">
              <w:rPr>
                <w:noProof/>
                <w:webHidden/>
                <w:szCs w:val="26"/>
              </w:rPr>
              <w:fldChar w:fldCharType="separate"/>
            </w:r>
            <w:r w:rsidR="0066040B">
              <w:rPr>
                <w:noProof/>
                <w:webHidden/>
                <w:szCs w:val="26"/>
              </w:rPr>
              <w:t>229</w:t>
            </w:r>
            <w:r w:rsidR="00B7440B" w:rsidRPr="00B7440B">
              <w:rPr>
                <w:noProof/>
                <w:webHidden/>
                <w:szCs w:val="26"/>
              </w:rPr>
              <w:fldChar w:fldCharType="end"/>
            </w:r>
          </w:hyperlink>
        </w:p>
        <w:p w14:paraId="13368ECE" w14:textId="7A476CE9" w:rsidR="00B7440B" w:rsidRPr="00B7440B" w:rsidRDefault="00E131BD">
          <w:pPr>
            <w:pStyle w:val="TOC4"/>
            <w:rPr>
              <w:rFonts w:eastAsiaTheme="minorEastAsia"/>
              <w:noProof/>
              <w:sz w:val="26"/>
              <w:szCs w:val="26"/>
            </w:rPr>
          </w:pPr>
          <w:hyperlink w:anchor="_Toc63764620" w:history="1">
            <w:r w:rsidR="00B7440B" w:rsidRPr="00B7440B">
              <w:rPr>
                <w:rStyle w:val="Hyperlink"/>
                <w:noProof/>
                <w:sz w:val="26"/>
                <w:szCs w:val="26"/>
              </w:rPr>
              <w:t>d.</w:t>
            </w:r>
            <w:r w:rsidR="00B7440B" w:rsidRPr="00B7440B">
              <w:rPr>
                <w:rFonts w:eastAsiaTheme="minorEastAsia"/>
                <w:noProof/>
                <w:sz w:val="26"/>
                <w:szCs w:val="26"/>
              </w:rPr>
              <w:tab/>
            </w:r>
            <w:r w:rsidR="00B7440B" w:rsidRPr="00B7440B">
              <w:rPr>
                <w:rStyle w:val="Hyperlink"/>
                <w:noProof/>
                <w:sz w:val="26"/>
                <w:szCs w:val="26"/>
              </w:rPr>
              <w:t>Disposition</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_Toc63764620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230</w:t>
            </w:r>
            <w:r w:rsidR="00B7440B" w:rsidRPr="00B7440B">
              <w:rPr>
                <w:noProof/>
                <w:webHidden/>
                <w:sz w:val="26"/>
                <w:szCs w:val="26"/>
              </w:rPr>
              <w:fldChar w:fldCharType="end"/>
            </w:r>
          </w:hyperlink>
        </w:p>
        <w:p w14:paraId="2F11428A" w14:textId="3B912477" w:rsidR="00B7440B" w:rsidRPr="00B7440B" w:rsidRDefault="00E131BD">
          <w:pPr>
            <w:pStyle w:val="TOC3"/>
            <w:rPr>
              <w:rFonts w:eastAsiaTheme="minorEastAsia"/>
              <w:noProof/>
              <w:sz w:val="26"/>
              <w:szCs w:val="26"/>
            </w:rPr>
          </w:pPr>
          <w:hyperlink w:anchor="_Toc63764621" w:history="1">
            <w:r w:rsidR="00B7440B" w:rsidRPr="00B7440B">
              <w:rPr>
                <w:rStyle w:val="Hyperlink"/>
                <w:noProof/>
                <w:sz w:val="26"/>
                <w:szCs w:val="26"/>
              </w:rPr>
              <w:t>2.</w:t>
            </w:r>
            <w:r w:rsidR="00B7440B" w:rsidRPr="00B7440B">
              <w:rPr>
                <w:rFonts w:eastAsiaTheme="minorEastAsia"/>
                <w:noProof/>
                <w:sz w:val="26"/>
                <w:szCs w:val="26"/>
              </w:rPr>
              <w:tab/>
            </w:r>
            <w:r w:rsidR="00B7440B" w:rsidRPr="00B7440B">
              <w:rPr>
                <w:rStyle w:val="Hyperlink"/>
                <w:noProof/>
                <w:sz w:val="26"/>
                <w:szCs w:val="26"/>
              </w:rPr>
              <w:t>Flex Customers</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_Toc63764621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236</w:t>
            </w:r>
            <w:r w:rsidR="00B7440B" w:rsidRPr="00B7440B">
              <w:rPr>
                <w:noProof/>
                <w:webHidden/>
                <w:sz w:val="26"/>
                <w:szCs w:val="26"/>
              </w:rPr>
              <w:fldChar w:fldCharType="end"/>
            </w:r>
          </w:hyperlink>
        </w:p>
        <w:p w14:paraId="44326978" w14:textId="25DCF6B2" w:rsidR="00B7440B" w:rsidRPr="00B7440B" w:rsidRDefault="00E131BD">
          <w:pPr>
            <w:pStyle w:val="TOC4"/>
            <w:rPr>
              <w:rFonts w:eastAsiaTheme="minorEastAsia"/>
              <w:noProof/>
              <w:sz w:val="26"/>
              <w:szCs w:val="26"/>
            </w:rPr>
          </w:pPr>
          <w:hyperlink w:anchor="_Toc63764622" w:history="1">
            <w:r w:rsidR="00B7440B" w:rsidRPr="00B7440B">
              <w:rPr>
                <w:rStyle w:val="Hyperlink"/>
                <w:noProof/>
                <w:sz w:val="26"/>
                <w:szCs w:val="26"/>
              </w:rPr>
              <w:t>a.</w:t>
            </w:r>
            <w:r w:rsidR="00B7440B" w:rsidRPr="00B7440B">
              <w:rPr>
                <w:rFonts w:eastAsiaTheme="minorEastAsia"/>
                <w:noProof/>
                <w:sz w:val="26"/>
                <w:szCs w:val="26"/>
              </w:rPr>
              <w:tab/>
            </w:r>
            <w:r w:rsidR="00B7440B" w:rsidRPr="00B7440B">
              <w:rPr>
                <w:rStyle w:val="Hyperlink"/>
                <w:noProof/>
                <w:sz w:val="26"/>
                <w:szCs w:val="26"/>
              </w:rPr>
              <w:t>Positions of the Parties</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_Toc63764622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236</w:t>
            </w:r>
            <w:r w:rsidR="00B7440B" w:rsidRPr="00B7440B">
              <w:rPr>
                <w:noProof/>
                <w:webHidden/>
                <w:sz w:val="26"/>
                <w:szCs w:val="26"/>
              </w:rPr>
              <w:fldChar w:fldCharType="end"/>
            </w:r>
          </w:hyperlink>
        </w:p>
        <w:p w14:paraId="5D05096B" w14:textId="68C8E78B" w:rsidR="00B7440B" w:rsidRPr="00B7440B" w:rsidRDefault="00E131BD">
          <w:pPr>
            <w:pStyle w:val="TOC4"/>
            <w:rPr>
              <w:rFonts w:eastAsiaTheme="minorEastAsia"/>
              <w:noProof/>
              <w:sz w:val="26"/>
              <w:szCs w:val="26"/>
            </w:rPr>
          </w:pPr>
          <w:hyperlink w:anchor="_Toc63764623" w:history="1">
            <w:r w:rsidR="00B7440B" w:rsidRPr="00B7440B">
              <w:rPr>
                <w:rStyle w:val="Hyperlink"/>
                <w:noProof/>
                <w:sz w:val="26"/>
                <w:szCs w:val="26"/>
              </w:rPr>
              <w:t>b.</w:t>
            </w:r>
            <w:r w:rsidR="00B7440B" w:rsidRPr="00B7440B">
              <w:rPr>
                <w:rFonts w:eastAsiaTheme="minorEastAsia"/>
                <w:noProof/>
                <w:sz w:val="26"/>
                <w:szCs w:val="26"/>
              </w:rPr>
              <w:tab/>
            </w:r>
            <w:r w:rsidR="00B7440B" w:rsidRPr="00B7440B">
              <w:rPr>
                <w:rStyle w:val="Hyperlink"/>
                <w:noProof/>
                <w:sz w:val="26"/>
                <w:szCs w:val="26"/>
              </w:rPr>
              <w:t>Recommended Decision</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_Toc63764623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237</w:t>
            </w:r>
            <w:r w:rsidR="00B7440B" w:rsidRPr="00B7440B">
              <w:rPr>
                <w:noProof/>
                <w:webHidden/>
                <w:sz w:val="26"/>
                <w:szCs w:val="26"/>
              </w:rPr>
              <w:fldChar w:fldCharType="end"/>
            </w:r>
          </w:hyperlink>
        </w:p>
        <w:p w14:paraId="25472C22" w14:textId="5EE96851" w:rsidR="00B7440B" w:rsidRPr="00B7440B" w:rsidRDefault="00E131BD">
          <w:pPr>
            <w:pStyle w:val="TOC4"/>
            <w:rPr>
              <w:rFonts w:eastAsiaTheme="minorEastAsia"/>
              <w:noProof/>
              <w:sz w:val="26"/>
              <w:szCs w:val="26"/>
            </w:rPr>
          </w:pPr>
          <w:hyperlink w:anchor="_Toc63764624" w:history="1">
            <w:r w:rsidR="00B7440B" w:rsidRPr="00B7440B">
              <w:rPr>
                <w:rStyle w:val="Hyperlink"/>
                <w:noProof/>
                <w:sz w:val="26"/>
                <w:szCs w:val="26"/>
              </w:rPr>
              <w:t>c.</w:t>
            </w:r>
            <w:r w:rsidR="00B7440B" w:rsidRPr="00B7440B">
              <w:rPr>
                <w:rFonts w:eastAsiaTheme="minorEastAsia"/>
                <w:noProof/>
                <w:sz w:val="26"/>
                <w:szCs w:val="26"/>
              </w:rPr>
              <w:tab/>
            </w:r>
            <w:r w:rsidR="00B7440B" w:rsidRPr="00B7440B">
              <w:rPr>
                <w:rStyle w:val="Hyperlink"/>
                <w:noProof/>
                <w:sz w:val="26"/>
                <w:szCs w:val="26"/>
              </w:rPr>
              <w:t>Columbia Exception No. 21 and Replies</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_Toc63764624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238</w:t>
            </w:r>
            <w:r w:rsidR="00B7440B" w:rsidRPr="00B7440B">
              <w:rPr>
                <w:noProof/>
                <w:webHidden/>
                <w:sz w:val="26"/>
                <w:szCs w:val="26"/>
              </w:rPr>
              <w:fldChar w:fldCharType="end"/>
            </w:r>
          </w:hyperlink>
        </w:p>
        <w:p w14:paraId="3674DB29" w14:textId="61FD74A6" w:rsidR="00B7440B" w:rsidRPr="00B7440B" w:rsidRDefault="00E131BD">
          <w:pPr>
            <w:pStyle w:val="TOC4"/>
            <w:rPr>
              <w:rFonts w:eastAsiaTheme="minorEastAsia"/>
              <w:noProof/>
              <w:sz w:val="26"/>
              <w:szCs w:val="26"/>
            </w:rPr>
          </w:pPr>
          <w:hyperlink w:anchor="_Toc63764625" w:history="1">
            <w:r w:rsidR="00B7440B" w:rsidRPr="00B7440B">
              <w:rPr>
                <w:rStyle w:val="Hyperlink"/>
                <w:noProof/>
                <w:sz w:val="26"/>
                <w:szCs w:val="26"/>
              </w:rPr>
              <w:t>d.</w:t>
            </w:r>
            <w:r w:rsidR="00B7440B" w:rsidRPr="00B7440B">
              <w:rPr>
                <w:rFonts w:eastAsiaTheme="minorEastAsia"/>
                <w:noProof/>
                <w:sz w:val="26"/>
                <w:szCs w:val="26"/>
              </w:rPr>
              <w:tab/>
            </w:r>
            <w:r w:rsidR="00B7440B" w:rsidRPr="00B7440B">
              <w:rPr>
                <w:rStyle w:val="Hyperlink"/>
                <w:noProof/>
                <w:sz w:val="26"/>
                <w:szCs w:val="26"/>
              </w:rPr>
              <w:t>Disposition</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_Toc63764625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240</w:t>
            </w:r>
            <w:r w:rsidR="00B7440B" w:rsidRPr="00B7440B">
              <w:rPr>
                <w:noProof/>
                <w:webHidden/>
                <w:sz w:val="26"/>
                <w:szCs w:val="26"/>
              </w:rPr>
              <w:fldChar w:fldCharType="end"/>
            </w:r>
          </w:hyperlink>
        </w:p>
        <w:p w14:paraId="3C088052" w14:textId="56D8B2C3" w:rsidR="00B7440B" w:rsidRPr="00B7440B" w:rsidRDefault="00E131BD">
          <w:pPr>
            <w:pStyle w:val="TOC3"/>
            <w:rPr>
              <w:rFonts w:eastAsiaTheme="minorEastAsia"/>
              <w:noProof/>
              <w:sz w:val="26"/>
              <w:szCs w:val="26"/>
            </w:rPr>
          </w:pPr>
          <w:hyperlink w:anchor="_Toc63764626" w:history="1">
            <w:r w:rsidR="00B7440B" w:rsidRPr="00B7440B">
              <w:rPr>
                <w:rStyle w:val="Hyperlink"/>
                <w:noProof/>
                <w:sz w:val="26"/>
                <w:szCs w:val="26"/>
              </w:rPr>
              <w:t>3.</w:t>
            </w:r>
            <w:r w:rsidR="00B7440B" w:rsidRPr="00B7440B">
              <w:rPr>
                <w:rFonts w:eastAsiaTheme="minorEastAsia"/>
                <w:noProof/>
                <w:sz w:val="26"/>
                <w:szCs w:val="26"/>
              </w:rPr>
              <w:tab/>
            </w:r>
            <w:r w:rsidR="00B7440B" w:rsidRPr="00B7440B">
              <w:rPr>
                <w:rStyle w:val="Hyperlink"/>
                <w:noProof/>
                <w:sz w:val="26"/>
                <w:szCs w:val="26"/>
              </w:rPr>
              <w:t>Allocation of Universal Service Costs</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_Toc63764626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241</w:t>
            </w:r>
            <w:r w:rsidR="00B7440B" w:rsidRPr="00B7440B">
              <w:rPr>
                <w:noProof/>
                <w:webHidden/>
                <w:sz w:val="26"/>
                <w:szCs w:val="26"/>
              </w:rPr>
              <w:fldChar w:fldCharType="end"/>
            </w:r>
          </w:hyperlink>
        </w:p>
        <w:p w14:paraId="2D2FAE1F" w14:textId="626A8B95" w:rsidR="00B7440B" w:rsidRPr="00B7440B" w:rsidRDefault="00E131BD">
          <w:pPr>
            <w:pStyle w:val="TOC4"/>
            <w:rPr>
              <w:rFonts w:eastAsiaTheme="minorEastAsia"/>
              <w:noProof/>
              <w:sz w:val="26"/>
              <w:szCs w:val="26"/>
            </w:rPr>
          </w:pPr>
          <w:hyperlink w:anchor="_Toc63764627" w:history="1">
            <w:r w:rsidR="00B7440B" w:rsidRPr="00B7440B">
              <w:rPr>
                <w:rStyle w:val="Hyperlink"/>
                <w:rFonts w:eastAsiaTheme="minorHAnsi"/>
                <w:noProof/>
                <w:sz w:val="26"/>
                <w:szCs w:val="26"/>
              </w:rPr>
              <w:t>a.</w:t>
            </w:r>
            <w:r w:rsidR="00B7440B" w:rsidRPr="00B7440B">
              <w:rPr>
                <w:rFonts w:eastAsiaTheme="minorEastAsia"/>
                <w:noProof/>
                <w:sz w:val="26"/>
                <w:szCs w:val="26"/>
              </w:rPr>
              <w:tab/>
            </w:r>
            <w:r w:rsidR="00B7440B" w:rsidRPr="00B7440B">
              <w:rPr>
                <w:rStyle w:val="Hyperlink"/>
                <w:noProof/>
                <w:sz w:val="26"/>
                <w:szCs w:val="26"/>
              </w:rPr>
              <w:t>Positions</w:t>
            </w:r>
            <w:r w:rsidR="00B7440B" w:rsidRPr="00B7440B">
              <w:rPr>
                <w:rStyle w:val="Hyperlink"/>
                <w:rFonts w:eastAsiaTheme="minorHAnsi"/>
                <w:noProof/>
                <w:sz w:val="26"/>
                <w:szCs w:val="26"/>
              </w:rPr>
              <w:t xml:space="preserve"> of the Parties</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_Toc63764627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241</w:t>
            </w:r>
            <w:r w:rsidR="00B7440B" w:rsidRPr="00B7440B">
              <w:rPr>
                <w:noProof/>
                <w:webHidden/>
                <w:sz w:val="26"/>
                <w:szCs w:val="26"/>
              </w:rPr>
              <w:fldChar w:fldCharType="end"/>
            </w:r>
          </w:hyperlink>
        </w:p>
        <w:p w14:paraId="1937970F" w14:textId="61851303" w:rsidR="00B7440B" w:rsidRPr="00B7440B" w:rsidRDefault="00E131BD">
          <w:pPr>
            <w:pStyle w:val="TOC4"/>
            <w:rPr>
              <w:rFonts w:eastAsiaTheme="minorEastAsia"/>
              <w:noProof/>
              <w:sz w:val="26"/>
              <w:szCs w:val="26"/>
            </w:rPr>
          </w:pPr>
          <w:hyperlink w:anchor="_Toc63764628" w:history="1">
            <w:r w:rsidR="00B7440B" w:rsidRPr="00B7440B">
              <w:rPr>
                <w:rStyle w:val="Hyperlink"/>
                <w:rFonts w:eastAsiaTheme="minorHAnsi"/>
                <w:noProof/>
                <w:sz w:val="26"/>
                <w:szCs w:val="26"/>
              </w:rPr>
              <w:t>b.</w:t>
            </w:r>
            <w:r w:rsidR="00B7440B" w:rsidRPr="00B7440B">
              <w:rPr>
                <w:rFonts w:eastAsiaTheme="minorEastAsia"/>
                <w:noProof/>
                <w:sz w:val="26"/>
                <w:szCs w:val="26"/>
              </w:rPr>
              <w:tab/>
            </w:r>
            <w:r w:rsidR="00B7440B" w:rsidRPr="00B7440B">
              <w:rPr>
                <w:rStyle w:val="Hyperlink"/>
                <w:noProof/>
                <w:sz w:val="26"/>
                <w:szCs w:val="26"/>
              </w:rPr>
              <w:t>Recommended</w:t>
            </w:r>
            <w:r w:rsidR="00B7440B" w:rsidRPr="00B7440B">
              <w:rPr>
                <w:rStyle w:val="Hyperlink"/>
                <w:rFonts w:eastAsiaTheme="minorHAnsi"/>
                <w:noProof/>
                <w:sz w:val="26"/>
                <w:szCs w:val="26"/>
              </w:rPr>
              <w:t xml:space="preserve"> Decision</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_Toc63764628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244</w:t>
            </w:r>
            <w:r w:rsidR="00B7440B" w:rsidRPr="00B7440B">
              <w:rPr>
                <w:noProof/>
                <w:webHidden/>
                <w:sz w:val="26"/>
                <w:szCs w:val="26"/>
              </w:rPr>
              <w:fldChar w:fldCharType="end"/>
            </w:r>
          </w:hyperlink>
        </w:p>
        <w:p w14:paraId="04AACBFB" w14:textId="4065D0D1" w:rsidR="00B7440B" w:rsidRPr="00B7440B" w:rsidRDefault="00E131BD">
          <w:pPr>
            <w:pStyle w:val="TOC4"/>
            <w:rPr>
              <w:rFonts w:eastAsiaTheme="minorEastAsia"/>
              <w:noProof/>
              <w:sz w:val="26"/>
              <w:szCs w:val="26"/>
            </w:rPr>
          </w:pPr>
          <w:hyperlink w:anchor="_Toc63764629" w:history="1">
            <w:r w:rsidR="00B7440B" w:rsidRPr="00B7440B">
              <w:rPr>
                <w:rStyle w:val="Hyperlink"/>
                <w:rFonts w:eastAsiaTheme="minorHAnsi"/>
                <w:noProof/>
                <w:sz w:val="26"/>
                <w:szCs w:val="26"/>
              </w:rPr>
              <w:t>c.</w:t>
            </w:r>
            <w:r w:rsidR="00B7440B" w:rsidRPr="00B7440B">
              <w:rPr>
                <w:rFonts w:eastAsiaTheme="minorEastAsia"/>
                <w:noProof/>
                <w:sz w:val="26"/>
                <w:szCs w:val="26"/>
              </w:rPr>
              <w:tab/>
            </w:r>
            <w:r w:rsidR="00B7440B" w:rsidRPr="00B7440B">
              <w:rPr>
                <w:rStyle w:val="Hyperlink"/>
                <w:rFonts w:eastAsiaTheme="minorHAnsi"/>
                <w:noProof/>
                <w:sz w:val="26"/>
                <w:szCs w:val="26"/>
              </w:rPr>
              <w:t>Exceptions and Replies</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_Toc63764629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245</w:t>
            </w:r>
            <w:r w:rsidR="00B7440B" w:rsidRPr="00B7440B">
              <w:rPr>
                <w:noProof/>
                <w:webHidden/>
                <w:sz w:val="26"/>
                <w:szCs w:val="26"/>
              </w:rPr>
              <w:fldChar w:fldCharType="end"/>
            </w:r>
          </w:hyperlink>
        </w:p>
        <w:p w14:paraId="27601222" w14:textId="7E022105" w:rsidR="00B7440B" w:rsidRPr="00B7440B" w:rsidRDefault="00E131BD">
          <w:pPr>
            <w:pStyle w:val="TOC5"/>
            <w:rPr>
              <w:rFonts w:eastAsiaTheme="minorEastAsia"/>
              <w:noProof/>
              <w:szCs w:val="26"/>
            </w:rPr>
          </w:pPr>
          <w:hyperlink w:anchor="_Toc63764630" w:history="1">
            <w:r w:rsidR="00B7440B" w:rsidRPr="00B7440B">
              <w:rPr>
                <w:rStyle w:val="Hyperlink"/>
                <w:noProof/>
                <w:szCs w:val="26"/>
              </w:rPr>
              <w:t>i.</w:t>
            </w:r>
            <w:r w:rsidR="00B7440B" w:rsidRPr="00B7440B">
              <w:rPr>
                <w:rFonts w:eastAsiaTheme="minorEastAsia"/>
                <w:noProof/>
                <w:szCs w:val="26"/>
              </w:rPr>
              <w:tab/>
            </w:r>
            <w:r w:rsidR="00B7440B" w:rsidRPr="00B7440B">
              <w:rPr>
                <w:rStyle w:val="Hyperlink"/>
                <w:noProof/>
                <w:szCs w:val="26"/>
              </w:rPr>
              <w:t>OCA Exception No. 1</w:t>
            </w:r>
            <w:r w:rsidR="00B7440B" w:rsidRPr="00B7440B">
              <w:rPr>
                <w:noProof/>
                <w:webHidden/>
                <w:szCs w:val="26"/>
              </w:rPr>
              <w:tab/>
            </w:r>
            <w:r w:rsidR="00B7440B" w:rsidRPr="00B7440B">
              <w:rPr>
                <w:noProof/>
                <w:webHidden/>
                <w:szCs w:val="26"/>
              </w:rPr>
              <w:fldChar w:fldCharType="begin"/>
            </w:r>
            <w:r w:rsidR="00B7440B" w:rsidRPr="00B7440B">
              <w:rPr>
                <w:noProof/>
                <w:webHidden/>
                <w:szCs w:val="26"/>
              </w:rPr>
              <w:instrText xml:space="preserve"> PAGEREF _Toc63764630 \h </w:instrText>
            </w:r>
            <w:r w:rsidR="00B7440B" w:rsidRPr="00B7440B">
              <w:rPr>
                <w:noProof/>
                <w:webHidden/>
                <w:szCs w:val="26"/>
              </w:rPr>
            </w:r>
            <w:r w:rsidR="00B7440B" w:rsidRPr="00B7440B">
              <w:rPr>
                <w:noProof/>
                <w:webHidden/>
                <w:szCs w:val="26"/>
              </w:rPr>
              <w:fldChar w:fldCharType="separate"/>
            </w:r>
            <w:r w:rsidR="0066040B">
              <w:rPr>
                <w:noProof/>
                <w:webHidden/>
                <w:szCs w:val="26"/>
              </w:rPr>
              <w:t>245</w:t>
            </w:r>
            <w:r w:rsidR="00B7440B" w:rsidRPr="00B7440B">
              <w:rPr>
                <w:noProof/>
                <w:webHidden/>
                <w:szCs w:val="26"/>
              </w:rPr>
              <w:fldChar w:fldCharType="end"/>
            </w:r>
          </w:hyperlink>
        </w:p>
        <w:p w14:paraId="2BA473CD" w14:textId="13D70DBA" w:rsidR="00B7440B" w:rsidRPr="00B7440B" w:rsidRDefault="00E131BD">
          <w:pPr>
            <w:pStyle w:val="TOC5"/>
            <w:rPr>
              <w:rFonts w:eastAsiaTheme="minorEastAsia"/>
              <w:noProof/>
              <w:szCs w:val="26"/>
            </w:rPr>
          </w:pPr>
          <w:hyperlink w:anchor="_Toc63764631" w:history="1">
            <w:r w:rsidR="00B7440B" w:rsidRPr="00B7440B">
              <w:rPr>
                <w:rStyle w:val="Hyperlink"/>
                <w:noProof/>
                <w:szCs w:val="26"/>
              </w:rPr>
              <w:t>ii.</w:t>
            </w:r>
            <w:r w:rsidR="00B7440B" w:rsidRPr="00B7440B">
              <w:rPr>
                <w:rFonts w:eastAsiaTheme="minorEastAsia"/>
                <w:noProof/>
                <w:szCs w:val="26"/>
              </w:rPr>
              <w:tab/>
            </w:r>
            <w:r w:rsidR="00B7440B" w:rsidRPr="00B7440B">
              <w:rPr>
                <w:rStyle w:val="Hyperlink"/>
                <w:noProof/>
                <w:szCs w:val="26"/>
              </w:rPr>
              <w:t>CAUSE-PA Exception No. 2</w:t>
            </w:r>
            <w:r w:rsidR="00B7440B" w:rsidRPr="00B7440B">
              <w:rPr>
                <w:noProof/>
                <w:webHidden/>
                <w:szCs w:val="26"/>
              </w:rPr>
              <w:tab/>
            </w:r>
            <w:r w:rsidR="00B7440B" w:rsidRPr="00B7440B">
              <w:rPr>
                <w:noProof/>
                <w:webHidden/>
                <w:szCs w:val="26"/>
              </w:rPr>
              <w:fldChar w:fldCharType="begin"/>
            </w:r>
            <w:r w:rsidR="00B7440B" w:rsidRPr="00B7440B">
              <w:rPr>
                <w:noProof/>
                <w:webHidden/>
                <w:szCs w:val="26"/>
              </w:rPr>
              <w:instrText xml:space="preserve"> PAGEREF _Toc63764631 \h </w:instrText>
            </w:r>
            <w:r w:rsidR="00B7440B" w:rsidRPr="00B7440B">
              <w:rPr>
                <w:noProof/>
                <w:webHidden/>
                <w:szCs w:val="26"/>
              </w:rPr>
            </w:r>
            <w:r w:rsidR="00B7440B" w:rsidRPr="00B7440B">
              <w:rPr>
                <w:noProof/>
                <w:webHidden/>
                <w:szCs w:val="26"/>
              </w:rPr>
              <w:fldChar w:fldCharType="separate"/>
            </w:r>
            <w:r w:rsidR="0066040B">
              <w:rPr>
                <w:noProof/>
                <w:webHidden/>
                <w:szCs w:val="26"/>
              </w:rPr>
              <w:t>249</w:t>
            </w:r>
            <w:r w:rsidR="00B7440B" w:rsidRPr="00B7440B">
              <w:rPr>
                <w:noProof/>
                <w:webHidden/>
                <w:szCs w:val="26"/>
              </w:rPr>
              <w:fldChar w:fldCharType="end"/>
            </w:r>
          </w:hyperlink>
        </w:p>
        <w:p w14:paraId="5EFB43F5" w14:textId="2DB43C93" w:rsidR="00B7440B" w:rsidRPr="00B7440B" w:rsidRDefault="00E131BD">
          <w:pPr>
            <w:pStyle w:val="TOC5"/>
            <w:rPr>
              <w:rFonts w:eastAsiaTheme="minorEastAsia"/>
              <w:noProof/>
              <w:szCs w:val="26"/>
            </w:rPr>
          </w:pPr>
          <w:hyperlink w:anchor="_Toc63764632" w:history="1">
            <w:r w:rsidR="00B7440B" w:rsidRPr="00B7440B">
              <w:rPr>
                <w:rStyle w:val="Hyperlink"/>
                <w:noProof/>
                <w:szCs w:val="26"/>
              </w:rPr>
              <w:t>iii.</w:t>
            </w:r>
            <w:r w:rsidR="00B7440B" w:rsidRPr="00B7440B">
              <w:rPr>
                <w:rFonts w:eastAsiaTheme="minorEastAsia"/>
                <w:noProof/>
                <w:szCs w:val="26"/>
              </w:rPr>
              <w:tab/>
            </w:r>
            <w:r w:rsidR="00B7440B" w:rsidRPr="00B7440B">
              <w:rPr>
                <w:rStyle w:val="Hyperlink"/>
                <w:noProof/>
                <w:szCs w:val="26"/>
              </w:rPr>
              <w:t>Replies</w:t>
            </w:r>
            <w:r w:rsidR="00B7440B" w:rsidRPr="00B7440B">
              <w:rPr>
                <w:noProof/>
                <w:webHidden/>
                <w:szCs w:val="26"/>
              </w:rPr>
              <w:tab/>
            </w:r>
            <w:r w:rsidR="00B7440B" w:rsidRPr="00B7440B">
              <w:rPr>
                <w:noProof/>
                <w:webHidden/>
                <w:szCs w:val="26"/>
              </w:rPr>
              <w:fldChar w:fldCharType="begin"/>
            </w:r>
            <w:r w:rsidR="00B7440B" w:rsidRPr="00B7440B">
              <w:rPr>
                <w:noProof/>
                <w:webHidden/>
                <w:szCs w:val="26"/>
              </w:rPr>
              <w:instrText xml:space="preserve"> PAGEREF _Toc63764632 \h </w:instrText>
            </w:r>
            <w:r w:rsidR="00B7440B" w:rsidRPr="00B7440B">
              <w:rPr>
                <w:noProof/>
                <w:webHidden/>
                <w:szCs w:val="26"/>
              </w:rPr>
            </w:r>
            <w:r w:rsidR="00B7440B" w:rsidRPr="00B7440B">
              <w:rPr>
                <w:noProof/>
                <w:webHidden/>
                <w:szCs w:val="26"/>
              </w:rPr>
              <w:fldChar w:fldCharType="separate"/>
            </w:r>
            <w:r w:rsidR="0066040B">
              <w:rPr>
                <w:noProof/>
                <w:webHidden/>
                <w:szCs w:val="26"/>
              </w:rPr>
              <w:t>252</w:t>
            </w:r>
            <w:r w:rsidR="00B7440B" w:rsidRPr="00B7440B">
              <w:rPr>
                <w:noProof/>
                <w:webHidden/>
                <w:szCs w:val="26"/>
              </w:rPr>
              <w:fldChar w:fldCharType="end"/>
            </w:r>
          </w:hyperlink>
        </w:p>
        <w:p w14:paraId="686AE897" w14:textId="22149AFC" w:rsidR="00B7440B" w:rsidRPr="00B7440B" w:rsidRDefault="00E131BD">
          <w:pPr>
            <w:pStyle w:val="TOC4"/>
            <w:rPr>
              <w:rFonts w:eastAsiaTheme="minorEastAsia"/>
              <w:noProof/>
              <w:sz w:val="26"/>
              <w:szCs w:val="26"/>
            </w:rPr>
          </w:pPr>
          <w:hyperlink w:anchor="_Toc63764633" w:history="1">
            <w:r w:rsidR="00B7440B" w:rsidRPr="00B7440B">
              <w:rPr>
                <w:rStyle w:val="Hyperlink"/>
                <w:rFonts w:eastAsiaTheme="minorHAnsi"/>
                <w:noProof/>
                <w:sz w:val="26"/>
                <w:szCs w:val="26"/>
              </w:rPr>
              <w:t>d.</w:t>
            </w:r>
            <w:r w:rsidR="00B7440B" w:rsidRPr="00B7440B">
              <w:rPr>
                <w:rFonts w:eastAsiaTheme="minorEastAsia"/>
                <w:noProof/>
                <w:sz w:val="26"/>
                <w:szCs w:val="26"/>
              </w:rPr>
              <w:tab/>
            </w:r>
            <w:r w:rsidR="00B7440B" w:rsidRPr="00B7440B">
              <w:rPr>
                <w:rStyle w:val="Hyperlink"/>
                <w:rFonts w:eastAsiaTheme="minorHAnsi"/>
                <w:noProof/>
                <w:sz w:val="26"/>
                <w:szCs w:val="26"/>
              </w:rPr>
              <w:t>Disposition</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_Toc63764633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258</w:t>
            </w:r>
            <w:r w:rsidR="00B7440B" w:rsidRPr="00B7440B">
              <w:rPr>
                <w:noProof/>
                <w:webHidden/>
                <w:sz w:val="26"/>
                <w:szCs w:val="26"/>
              </w:rPr>
              <w:fldChar w:fldCharType="end"/>
            </w:r>
          </w:hyperlink>
        </w:p>
        <w:p w14:paraId="6869D9D8" w14:textId="11B6A72E" w:rsidR="00B7440B" w:rsidRPr="00B7440B" w:rsidRDefault="00E131BD">
          <w:pPr>
            <w:pStyle w:val="TOC2"/>
            <w:tabs>
              <w:tab w:val="left" w:pos="1440"/>
            </w:tabs>
            <w:rPr>
              <w:rFonts w:eastAsiaTheme="minorEastAsia"/>
              <w:noProof/>
              <w:sz w:val="26"/>
              <w:szCs w:val="26"/>
            </w:rPr>
          </w:pPr>
          <w:hyperlink w:anchor="_Toc63764634" w:history="1">
            <w:r w:rsidR="00B7440B" w:rsidRPr="00B7440B">
              <w:rPr>
                <w:rStyle w:val="Hyperlink"/>
                <w:rFonts w:eastAsiaTheme="majorEastAsia"/>
                <w:noProof/>
                <w:sz w:val="26"/>
                <w:szCs w:val="26"/>
              </w:rPr>
              <w:t>C.</w:t>
            </w:r>
            <w:r w:rsidR="00B7440B" w:rsidRPr="00B7440B">
              <w:rPr>
                <w:rFonts w:eastAsiaTheme="minorEastAsia"/>
                <w:noProof/>
                <w:sz w:val="26"/>
                <w:szCs w:val="26"/>
              </w:rPr>
              <w:tab/>
            </w:r>
            <w:r w:rsidR="00B7440B" w:rsidRPr="00B7440B">
              <w:rPr>
                <w:rStyle w:val="Hyperlink"/>
                <w:noProof/>
                <w:sz w:val="26"/>
                <w:szCs w:val="26"/>
              </w:rPr>
              <w:t>Rate Design</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_Toc63764634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261</w:t>
            </w:r>
            <w:r w:rsidR="00B7440B" w:rsidRPr="00B7440B">
              <w:rPr>
                <w:noProof/>
                <w:webHidden/>
                <w:sz w:val="26"/>
                <w:szCs w:val="26"/>
              </w:rPr>
              <w:fldChar w:fldCharType="end"/>
            </w:r>
          </w:hyperlink>
        </w:p>
        <w:p w14:paraId="3FD73060" w14:textId="6049596A" w:rsidR="00B7440B" w:rsidRPr="00B7440B" w:rsidRDefault="00E131BD">
          <w:pPr>
            <w:pStyle w:val="TOC3"/>
            <w:rPr>
              <w:rFonts w:eastAsiaTheme="minorEastAsia"/>
              <w:noProof/>
              <w:sz w:val="26"/>
              <w:szCs w:val="26"/>
            </w:rPr>
          </w:pPr>
          <w:hyperlink w:anchor="_Toc63764635" w:history="1">
            <w:r w:rsidR="00B7440B" w:rsidRPr="00B7440B">
              <w:rPr>
                <w:rStyle w:val="Hyperlink"/>
                <w:noProof/>
                <w:sz w:val="26"/>
                <w:szCs w:val="26"/>
              </w:rPr>
              <w:t>1.</w:t>
            </w:r>
            <w:r w:rsidR="00B7440B" w:rsidRPr="00B7440B">
              <w:rPr>
                <w:rFonts w:eastAsiaTheme="minorEastAsia"/>
                <w:noProof/>
                <w:sz w:val="26"/>
                <w:szCs w:val="26"/>
              </w:rPr>
              <w:tab/>
            </w:r>
            <w:r w:rsidR="00B7440B" w:rsidRPr="00B7440B">
              <w:rPr>
                <w:rStyle w:val="Hyperlink"/>
                <w:rFonts w:eastAsiaTheme="minorHAnsi"/>
                <w:noProof/>
                <w:sz w:val="26"/>
                <w:szCs w:val="26"/>
              </w:rPr>
              <w:t>Residential</w:t>
            </w:r>
            <w:r w:rsidR="00B7440B" w:rsidRPr="00B7440B">
              <w:rPr>
                <w:rStyle w:val="Hyperlink"/>
                <w:noProof/>
                <w:sz w:val="26"/>
                <w:szCs w:val="26"/>
              </w:rPr>
              <w:t xml:space="preserve"> Rate Design</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_Toc63764635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262</w:t>
            </w:r>
            <w:r w:rsidR="00B7440B" w:rsidRPr="00B7440B">
              <w:rPr>
                <w:noProof/>
                <w:webHidden/>
                <w:sz w:val="26"/>
                <w:szCs w:val="26"/>
              </w:rPr>
              <w:fldChar w:fldCharType="end"/>
            </w:r>
          </w:hyperlink>
        </w:p>
        <w:p w14:paraId="3D67A4D9" w14:textId="7DDA3F02" w:rsidR="00B7440B" w:rsidRPr="00B7440B" w:rsidRDefault="00E131BD">
          <w:pPr>
            <w:pStyle w:val="TOC4"/>
            <w:rPr>
              <w:rFonts w:eastAsiaTheme="minorEastAsia"/>
              <w:noProof/>
              <w:sz w:val="26"/>
              <w:szCs w:val="26"/>
            </w:rPr>
          </w:pPr>
          <w:hyperlink w:anchor="_Toc63764636" w:history="1">
            <w:r w:rsidR="00B7440B" w:rsidRPr="00B7440B">
              <w:rPr>
                <w:rStyle w:val="Hyperlink"/>
                <w:noProof/>
                <w:sz w:val="26"/>
                <w:szCs w:val="26"/>
              </w:rPr>
              <w:t>a.</w:t>
            </w:r>
            <w:r w:rsidR="00B7440B" w:rsidRPr="00B7440B">
              <w:rPr>
                <w:rFonts w:eastAsiaTheme="minorEastAsia"/>
                <w:noProof/>
                <w:sz w:val="26"/>
                <w:szCs w:val="26"/>
              </w:rPr>
              <w:tab/>
            </w:r>
            <w:r w:rsidR="00B7440B" w:rsidRPr="00B7440B">
              <w:rPr>
                <w:rStyle w:val="Hyperlink"/>
                <w:noProof/>
                <w:sz w:val="26"/>
                <w:szCs w:val="26"/>
              </w:rPr>
              <w:t>Positions of the Parties</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_Toc63764636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262</w:t>
            </w:r>
            <w:r w:rsidR="00B7440B" w:rsidRPr="00B7440B">
              <w:rPr>
                <w:noProof/>
                <w:webHidden/>
                <w:sz w:val="26"/>
                <w:szCs w:val="26"/>
              </w:rPr>
              <w:fldChar w:fldCharType="end"/>
            </w:r>
          </w:hyperlink>
        </w:p>
        <w:p w14:paraId="4C2BE7BB" w14:textId="3AC9BE60" w:rsidR="00B7440B" w:rsidRPr="00B7440B" w:rsidRDefault="00E131BD">
          <w:pPr>
            <w:pStyle w:val="TOC5"/>
            <w:rPr>
              <w:rFonts w:eastAsiaTheme="minorEastAsia"/>
              <w:noProof/>
              <w:szCs w:val="26"/>
            </w:rPr>
          </w:pPr>
          <w:hyperlink w:anchor="_Toc63764637" w:history="1">
            <w:r w:rsidR="00B7440B" w:rsidRPr="00B7440B">
              <w:rPr>
                <w:rStyle w:val="Hyperlink"/>
                <w:noProof/>
                <w:szCs w:val="26"/>
              </w:rPr>
              <w:t>i.</w:t>
            </w:r>
            <w:r w:rsidR="00B7440B" w:rsidRPr="00B7440B">
              <w:rPr>
                <w:rFonts w:eastAsiaTheme="minorEastAsia"/>
                <w:noProof/>
                <w:szCs w:val="26"/>
              </w:rPr>
              <w:tab/>
            </w:r>
            <w:r w:rsidR="00B7440B" w:rsidRPr="00B7440B">
              <w:rPr>
                <w:rStyle w:val="Hyperlink"/>
                <w:noProof/>
                <w:szCs w:val="26"/>
              </w:rPr>
              <w:t>Residential Customer Charge</w:t>
            </w:r>
            <w:r w:rsidR="00B7440B" w:rsidRPr="00B7440B">
              <w:rPr>
                <w:noProof/>
                <w:webHidden/>
                <w:szCs w:val="26"/>
              </w:rPr>
              <w:tab/>
            </w:r>
            <w:r w:rsidR="00B7440B" w:rsidRPr="00B7440B">
              <w:rPr>
                <w:noProof/>
                <w:webHidden/>
                <w:szCs w:val="26"/>
              </w:rPr>
              <w:fldChar w:fldCharType="begin"/>
            </w:r>
            <w:r w:rsidR="00B7440B" w:rsidRPr="00B7440B">
              <w:rPr>
                <w:noProof/>
                <w:webHidden/>
                <w:szCs w:val="26"/>
              </w:rPr>
              <w:instrText xml:space="preserve"> PAGEREF _Toc63764637 \h </w:instrText>
            </w:r>
            <w:r w:rsidR="00B7440B" w:rsidRPr="00B7440B">
              <w:rPr>
                <w:noProof/>
                <w:webHidden/>
                <w:szCs w:val="26"/>
              </w:rPr>
            </w:r>
            <w:r w:rsidR="00B7440B" w:rsidRPr="00B7440B">
              <w:rPr>
                <w:noProof/>
                <w:webHidden/>
                <w:szCs w:val="26"/>
              </w:rPr>
              <w:fldChar w:fldCharType="separate"/>
            </w:r>
            <w:r w:rsidR="0066040B">
              <w:rPr>
                <w:noProof/>
                <w:webHidden/>
                <w:szCs w:val="26"/>
              </w:rPr>
              <w:t>262</w:t>
            </w:r>
            <w:r w:rsidR="00B7440B" w:rsidRPr="00B7440B">
              <w:rPr>
                <w:noProof/>
                <w:webHidden/>
                <w:szCs w:val="26"/>
              </w:rPr>
              <w:fldChar w:fldCharType="end"/>
            </w:r>
          </w:hyperlink>
        </w:p>
        <w:p w14:paraId="4B65D50A" w14:textId="4C4FBCB8" w:rsidR="00B7440B" w:rsidRPr="00B7440B" w:rsidRDefault="00E131BD">
          <w:pPr>
            <w:pStyle w:val="TOC5"/>
            <w:rPr>
              <w:rFonts w:eastAsiaTheme="minorEastAsia"/>
              <w:noProof/>
              <w:szCs w:val="26"/>
            </w:rPr>
          </w:pPr>
          <w:hyperlink w:anchor="_Toc63764638" w:history="1">
            <w:r w:rsidR="00B7440B" w:rsidRPr="00B7440B">
              <w:rPr>
                <w:rStyle w:val="Hyperlink"/>
                <w:noProof/>
                <w:szCs w:val="26"/>
              </w:rPr>
              <w:t>ii.</w:t>
            </w:r>
            <w:r w:rsidR="00B7440B" w:rsidRPr="00B7440B">
              <w:rPr>
                <w:rFonts w:eastAsiaTheme="minorEastAsia"/>
                <w:noProof/>
                <w:szCs w:val="26"/>
              </w:rPr>
              <w:tab/>
            </w:r>
            <w:r w:rsidR="00B7440B" w:rsidRPr="00B7440B">
              <w:rPr>
                <w:rStyle w:val="Hyperlink"/>
                <w:noProof/>
                <w:szCs w:val="26"/>
              </w:rPr>
              <w:t>Weather Normalization Adjustment</w:t>
            </w:r>
            <w:r w:rsidR="00B7440B" w:rsidRPr="00B7440B">
              <w:rPr>
                <w:noProof/>
                <w:webHidden/>
                <w:szCs w:val="26"/>
              </w:rPr>
              <w:tab/>
            </w:r>
            <w:r w:rsidR="00B7440B" w:rsidRPr="00B7440B">
              <w:rPr>
                <w:noProof/>
                <w:webHidden/>
                <w:szCs w:val="26"/>
              </w:rPr>
              <w:fldChar w:fldCharType="begin"/>
            </w:r>
            <w:r w:rsidR="00B7440B" w:rsidRPr="00B7440B">
              <w:rPr>
                <w:noProof/>
                <w:webHidden/>
                <w:szCs w:val="26"/>
              </w:rPr>
              <w:instrText xml:space="preserve"> PAGEREF _Toc63764638 \h </w:instrText>
            </w:r>
            <w:r w:rsidR="00B7440B" w:rsidRPr="00B7440B">
              <w:rPr>
                <w:noProof/>
                <w:webHidden/>
                <w:szCs w:val="26"/>
              </w:rPr>
            </w:r>
            <w:r w:rsidR="00B7440B" w:rsidRPr="00B7440B">
              <w:rPr>
                <w:noProof/>
                <w:webHidden/>
                <w:szCs w:val="26"/>
              </w:rPr>
              <w:fldChar w:fldCharType="separate"/>
            </w:r>
            <w:r w:rsidR="0066040B">
              <w:rPr>
                <w:noProof/>
                <w:webHidden/>
                <w:szCs w:val="26"/>
              </w:rPr>
              <w:t>263</w:t>
            </w:r>
            <w:r w:rsidR="00B7440B" w:rsidRPr="00B7440B">
              <w:rPr>
                <w:noProof/>
                <w:webHidden/>
                <w:szCs w:val="26"/>
              </w:rPr>
              <w:fldChar w:fldCharType="end"/>
            </w:r>
          </w:hyperlink>
        </w:p>
        <w:p w14:paraId="1CAAADE3" w14:textId="1D235C04" w:rsidR="00B7440B" w:rsidRPr="00B7440B" w:rsidRDefault="00E131BD">
          <w:pPr>
            <w:pStyle w:val="TOC5"/>
            <w:rPr>
              <w:rFonts w:eastAsiaTheme="minorEastAsia"/>
              <w:noProof/>
              <w:szCs w:val="26"/>
            </w:rPr>
          </w:pPr>
          <w:hyperlink w:anchor="_Toc63764639" w:history="1">
            <w:r w:rsidR="00B7440B" w:rsidRPr="00B7440B">
              <w:rPr>
                <w:rStyle w:val="Hyperlink"/>
                <w:noProof/>
                <w:szCs w:val="26"/>
              </w:rPr>
              <w:t>iii.</w:t>
            </w:r>
            <w:r w:rsidR="00B7440B" w:rsidRPr="00B7440B">
              <w:rPr>
                <w:rFonts w:eastAsiaTheme="minorEastAsia"/>
                <w:noProof/>
                <w:szCs w:val="26"/>
              </w:rPr>
              <w:tab/>
            </w:r>
            <w:r w:rsidR="00B7440B" w:rsidRPr="00B7440B">
              <w:rPr>
                <w:rStyle w:val="Hyperlink"/>
                <w:noProof/>
                <w:szCs w:val="26"/>
              </w:rPr>
              <w:t>Revenue Normalization Adjustment</w:t>
            </w:r>
            <w:r w:rsidR="00B7440B" w:rsidRPr="00B7440B">
              <w:rPr>
                <w:noProof/>
                <w:webHidden/>
                <w:szCs w:val="26"/>
              </w:rPr>
              <w:tab/>
            </w:r>
            <w:r w:rsidR="00B7440B" w:rsidRPr="00B7440B">
              <w:rPr>
                <w:noProof/>
                <w:webHidden/>
                <w:szCs w:val="26"/>
              </w:rPr>
              <w:fldChar w:fldCharType="begin"/>
            </w:r>
            <w:r w:rsidR="00B7440B" w:rsidRPr="00B7440B">
              <w:rPr>
                <w:noProof/>
                <w:webHidden/>
                <w:szCs w:val="26"/>
              </w:rPr>
              <w:instrText xml:space="preserve"> PAGEREF _Toc63764639 \h </w:instrText>
            </w:r>
            <w:r w:rsidR="00B7440B" w:rsidRPr="00B7440B">
              <w:rPr>
                <w:noProof/>
                <w:webHidden/>
                <w:szCs w:val="26"/>
              </w:rPr>
            </w:r>
            <w:r w:rsidR="00B7440B" w:rsidRPr="00B7440B">
              <w:rPr>
                <w:noProof/>
                <w:webHidden/>
                <w:szCs w:val="26"/>
              </w:rPr>
              <w:fldChar w:fldCharType="separate"/>
            </w:r>
            <w:r w:rsidR="0066040B">
              <w:rPr>
                <w:noProof/>
                <w:webHidden/>
                <w:szCs w:val="26"/>
              </w:rPr>
              <w:t>263</w:t>
            </w:r>
            <w:r w:rsidR="00B7440B" w:rsidRPr="00B7440B">
              <w:rPr>
                <w:noProof/>
                <w:webHidden/>
                <w:szCs w:val="26"/>
              </w:rPr>
              <w:fldChar w:fldCharType="end"/>
            </w:r>
          </w:hyperlink>
        </w:p>
        <w:p w14:paraId="5ADD9B5B" w14:textId="09395E89" w:rsidR="00B7440B" w:rsidRPr="00B7440B" w:rsidRDefault="00E131BD">
          <w:pPr>
            <w:pStyle w:val="TOC4"/>
            <w:rPr>
              <w:rFonts w:eastAsiaTheme="minorEastAsia"/>
              <w:noProof/>
              <w:sz w:val="26"/>
              <w:szCs w:val="26"/>
            </w:rPr>
          </w:pPr>
          <w:hyperlink w:anchor="_Toc63764640" w:history="1">
            <w:r w:rsidR="00B7440B" w:rsidRPr="00B7440B">
              <w:rPr>
                <w:rStyle w:val="Hyperlink"/>
                <w:noProof/>
                <w:sz w:val="26"/>
                <w:szCs w:val="26"/>
              </w:rPr>
              <w:t>b.</w:t>
            </w:r>
            <w:r w:rsidR="00B7440B" w:rsidRPr="00B7440B">
              <w:rPr>
                <w:rFonts w:eastAsiaTheme="minorEastAsia"/>
                <w:noProof/>
                <w:sz w:val="26"/>
                <w:szCs w:val="26"/>
              </w:rPr>
              <w:tab/>
            </w:r>
            <w:r w:rsidR="00B7440B" w:rsidRPr="00B7440B">
              <w:rPr>
                <w:rStyle w:val="Hyperlink"/>
                <w:noProof/>
                <w:sz w:val="26"/>
                <w:szCs w:val="26"/>
              </w:rPr>
              <w:t>Recommended Decision</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_Toc63764640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264</w:t>
            </w:r>
            <w:r w:rsidR="00B7440B" w:rsidRPr="00B7440B">
              <w:rPr>
                <w:noProof/>
                <w:webHidden/>
                <w:sz w:val="26"/>
                <w:szCs w:val="26"/>
              </w:rPr>
              <w:fldChar w:fldCharType="end"/>
            </w:r>
          </w:hyperlink>
        </w:p>
        <w:p w14:paraId="029DCD40" w14:textId="1A89A824" w:rsidR="00B7440B" w:rsidRPr="00B7440B" w:rsidRDefault="00E131BD">
          <w:pPr>
            <w:pStyle w:val="TOC4"/>
            <w:rPr>
              <w:rFonts w:eastAsiaTheme="minorEastAsia"/>
              <w:noProof/>
              <w:sz w:val="26"/>
              <w:szCs w:val="26"/>
            </w:rPr>
          </w:pPr>
          <w:hyperlink w:anchor="_Toc63764641" w:history="1">
            <w:r w:rsidR="00B7440B" w:rsidRPr="00B7440B">
              <w:rPr>
                <w:rStyle w:val="Hyperlink"/>
                <w:noProof/>
                <w:sz w:val="26"/>
                <w:szCs w:val="26"/>
              </w:rPr>
              <w:t>c.</w:t>
            </w:r>
            <w:r w:rsidR="00B7440B" w:rsidRPr="00B7440B">
              <w:rPr>
                <w:rFonts w:eastAsiaTheme="minorEastAsia"/>
                <w:noProof/>
                <w:sz w:val="26"/>
                <w:szCs w:val="26"/>
              </w:rPr>
              <w:tab/>
            </w:r>
            <w:r w:rsidR="00B7440B" w:rsidRPr="00B7440B">
              <w:rPr>
                <w:rStyle w:val="Hyperlink"/>
                <w:noProof/>
                <w:sz w:val="26"/>
                <w:szCs w:val="26"/>
              </w:rPr>
              <w:t>Disposition</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_Toc63764641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265</w:t>
            </w:r>
            <w:r w:rsidR="00B7440B" w:rsidRPr="00B7440B">
              <w:rPr>
                <w:noProof/>
                <w:webHidden/>
                <w:sz w:val="26"/>
                <w:szCs w:val="26"/>
              </w:rPr>
              <w:fldChar w:fldCharType="end"/>
            </w:r>
          </w:hyperlink>
        </w:p>
        <w:p w14:paraId="7AD7C5E5" w14:textId="240BD9D6" w:rsidR="00B7440B" w:rsidRPr="00B7440B" w:rsidRDefault="00E131BD">
          <w:pPr>
            <w:pStyle w:val="TOC3"/>
            <w:rPr>
              <w:rFonts w:eastAsiaTheme="minorEastAsia"/>
              <w:noProof/>
              <w:sz w:val="26"/>
              <w:szCs w:val="26"/>
            </w:rPr>
          </w:pPr>
          <w:hyperlink w:anchor="_Toc63764642" w:history="1">
            <w:r w:rsidR="00B7440B" w:rsidRPr="00B7440B">
              <w:rPr>
                <w:rStyle w:val="Hyperlink"/>
                <w:noProof/>
                <w:sz w:val="26"/>
                <w:szCs w:val="26"/>
              </w:rPr>
              <w:t>2.</w:t>
            </w:r>
            <w:r w:rsidR="00B7440B" w:rsidRPr="00B7440B">
              <w:rPr>
                <w:rFonts w:eastAsiaTheme="minorEastAsia"/>
                <w:noProof/>
                <w:sz w:val="26"/>
                <w:szCs w:val="26"/>
              </w:rPr>
              <w:tab/>
            </w:r>
            <w:r w:rsidR="00B7440B" w:rsidRPr="00B7440B">
              <w:rPr>
                <w:rStyle w:val="Hyperlink"/>
                <w:noProof/>
                <w:sz w:val="26"/>
                <w:szCs w:val="26"/>
              </w:rPr>
              <w:t>Small C&amp;I Customer Rate Design</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_Toc63764642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265</w:t>
            </w:r>
            <w:r w:rsidR="00B7440B" w:rsidRPr="00B7440B">
              <w:rPr>
                <w:noProof/>
                <w:webHidden/>
                <w:sz w:val="26"/>
                <w:szCs w:val="26"/>
              </w:rPr>
              <w:fldChar w:fldCharType="end"/>
            </w:r>
          </w:hyperlink>
        </w:p>
        <w:p w14:paraId="42CFE47F" w14:textId="0D8ADF01" w:rsidR="00B7440B" w:rsidRPr="00B7440B" w:rsidRDefault="00E131BD">
          <w:pPr>
            <w:pStyle w:val="TOC4"/>
            <w:rPr>
              <w:rFonts w:eastAsiaTheme="minorEastAsia"/>
              <w:noProof/>
              <w:sz w:val="26"/>
              <w:szCs w:val="26"/>
            </w:rPr>
          </w:pPr>
          <w:hyperlink w:anchor="_Toc63764643" w:history="1">
            <w:r w:rsidR="00B7440B" w:rsidRPr="00B7440B">
              <w:rPr>
                <w:rStyle w:val="Hyperlink"/>
                <w:noProof/>
                <w:sz w:val="26"/>
                <w:szCs w:val="26"/>
              </w:rPr>
              <w:t>a.</w:t>
            </w:r>
            <w:r w:rsidR="00B7440B" w:rsidRPr="00B7440B">
              <w:rPr>
                <w:rFonts w:eastAsiaTheme="minorEastAsia"/>
                <w:noProof/>
                <w:sz w:val="26"/>
                <w:szCs w:val="26"/>
              </w:rPr>
              <w:tab/>
            </w:r>
            <w:r w:rsidR="00B7440B" w:rsidRPr="00B7440B">
              <w:rPr>
                <w:rStyle w:val="Hyperlink"/>
                <w:noProof/>
                <w:sz w:val="26"/>
                <w:szCs w:val="26"/>
              </w:rPr>
              <w:t>Positions of the Parties</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_Toc63764643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265</w:t>
            </w:r>
            <w:r w:rsidR="00B7440B" w:rsidRPr="00B7440B">
              <w:rPr>
                <w:noProof/>
                <w:webHidden/>
                <w:sz w:val="26"/>
                <w:szCs w:val="26"/>
              </w:rPr>
              <w:fldChar w:fldCharType="end"/>
            </w:r>
          </w:hyperlink>
        </w:p>
        <w:p w14:paraId="3C7DA1BF" w14:textId="7A07634D" w:rsidR="00B7440B" w:rsidRPr="00B7440B" w:rsidRDefault="00E131BD">
          <w:pPr>
            <w:pStyle w:val="TOC4"/>
            <w:rPr>
              <w:rFonts w:eastAsiaTheme="minorEastAsia"/>
              <w:noProof/>
              <w:sz w:val="26"/>
              <w:szCs w:val="26"/>
            </w:rPr>
          </w:pPr>
          <w:hyperlink w:anchor="_Toc63764644" w:history="1">
            <w:r w:rsidR="00B7440B" w:rsidRPr="00B7440B">
              <w:rPr>
                <w:rStyle w:val="Hyperlink"/>
                <w:noProof/>
                <w:sz w:val="26"/>
                <w:szCs w:val="26"/>
              </w:rPr>
              <w:t>b.</w:t>
            </w:r>
            <w:r w:rsidR="00B7440B" w:rsidRPr="00B7440B">
              <w:rPr>
                <w:rFonts w:eastAsiaTheme="minorEastAsia"/>
                <w:noProof/>
                <w:sz w:val="26"/>
                <w:szCs w:val="26"/>
              </w:rPr>
              <w:tab/>
            </w:r>
            <w:r w:rsidR="00B7440B" w:rsidRPr="00B7440B">
              <w:rPr>
                <w:rStyle w:val="Hyperlink"/>
                <w:noProof/>
                <w:sz w:val="26"/>
                <w:szCs w:val="26"/>
              </w:rPr>
              <w:t>Recommended Decision</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_Toc63764644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266</w:t>
            </w:r>
            <w:r w:rsidR="00B7440B" w:rsidRPr="00B7440B">
              <w:rPr>
                <w:noProof/>
                <w:webHidden/>
                <w:sz w:val="26"/>
                <w:szCs w:val="26"/>
              </w:rPr>
              <w:fldChar w:fldCharType="end"/>
            </w:r>
          </w:hyperlink>
        </w:p>
        <w:p w14:paraId="3AB2EC69" w14:textId="2CC52E11" w:rsidR="00B7440B" w:rsidRPr="00B7440B" w:rsidRDefault="00E131BD">
          <w:pPr>
            <w:pStyle w:val="TOC4"/>
            <w:rPr>
              <w:rFonts w:eastAsiaTheme="minorEastAsia"/>
              <w:noProof/>
              <w:sz w:val="26"/>
              <w:szCs w:val="26"/>
            </w:rPr>
          </w:pPr>
          <w:hyperlink w:anchor="_Toc63764645" w:history="1">
            <w:r w:rsidR="00B7440B" w:rsidRPr="00B7440B">
              <w:rPr>
                <w:rStyle w:val="Hyperlink"/>
                <w:noProof/>
                <w:sz w:val="26"/>
                <w:szCs w:val="26"/>
              </w:rPr>
              <w:t>c.</w:t>
            </w:r>
            <w:r w:rsidR="00B7440B" w:rsidRPr="00B7440B">
              <w:rPr>
                <w:rFonts w:eastAsiaTheme="minorEastAsia"/>
                <w:noProof/>
                <w:sz w:val="26"/>
                <w:szCs w:val="26"/>
              </w:rPr>
              <w:tab/>
            </w:r>
            <w:r w:rsidR="00B7440B" w:rsidRPr="00B7440B">
              <w:rPr>
                <w:rStyle w:val="Hyperlink"/>
                <w:noProof/>
                <w:sz w:val="26"/>
                <w:szCs w:val="26"/>
              </w:rPr>
              <w:t>Disposition</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_Toc63764645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266</w:t>
            </w:r>
            <w:r w:rsidR="00B7440B" w:rsidRPr="00B7440B">
              <w:rPr>
                <w:noProof/>
                <w:webHidden/>
                <w:sz w:val="26"/>
                <w:szCs w:val="26"/>
              </w:rPr>
              <w:fldChar w:fldCharType="end"/>
            </w:r>
          </w:hyperlink>
        </w:p>
        <w:p w14:paraId="7D2451AE" w14:textId="4AA986FC" w:rsidR="00B7440B" w:rsidRPr="00B7440B" w:rsidRDefault="00E131BD">
          <w:pPr>
            <w:pStyle w:val="TOC3"/>
            <w:rPr>
              <w:rFonts w:eastAsiaTheme="minorEastAsia"/>
              <w:noProof/>
              <w:sz w:val="26"/>
              <w:szCs w:val="26"/>
            </w:rPr>
          </w:pPr>
          <w:hyperlink w:anchor="_Toc63764646" w:history="1">
            <w:r w:rsidR="00B7440B" w:rsidRPr="00B7440B">
              <w:rPr>
                <w:rStyle w:val="Hyperlink"/>
                <w:noProof/>
                <w:sz w:val="26"/>
                <w:szCs w:val="26"/>
              </w:rPr>
              <w:t>3.</w:t>
            </w:r>
            <w:r w:rsidR="00B7440B" w:rsidRPr="00B7440B">
              <w:rPr>
                <w:rFonts w:eastAsiaTheme="minorEastAsia"/>
                <w:noProof/>
                <w:sz w:val="26"/>
                <w:szCs w:val="26"/>
              </w:rPr>
              <w:tab/>
            </w:r>
            <w:r w:rsidR="00B7440B" w:rsidRPr="00B7440B">
              <w:rPr>
                <w:rStyle w:val="Hyperlink"/>
                <w:noProof/>
                <w:sz w:val="26"/>
                <w:szCs w:val="26"/>
              </w:rPr>
              <w:t>Large C&amp;I Customer Rate Design</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_Toc63764646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267</w:t>
            </w:r>
            <w:r w:rsidR="00B7440B" w:rsidRPr="00B7440B">
              <w:rPr>
                <w:noProof/>
                <w:webHidden/>
                <w:sz w:val="26"/>
                <w:szCs w:val="26"/>
              </w:rPr>
              <w:fldChar w:fldCharType="end"/>
            </w:r>
          </w:hyperlink>
        </w:p>
        <w:p w14:paraId="755E82BC" w14:textId="1141DA68" w:rsidR="00B7440B" w:rsidRPr="00B7440B" w:rsidRDefault="00E131BD">
          <w:pPr>
            <w:pStyle w:val="TOC4"/>
            <w:rPr>
              <w:rFonts w:eastAsiaTheme="minorEastAsia"/>
              <w:noProof/>
              <w:sz w:val="26"/>
              <w:szCs w:val="26"/>
            </w:rPr>
          </w:pPr>
          <w:hyperlink w:anchor="_Toc63764647" w:history="1">
            <w:r w:rsidR="00B7440B" w:rsidRPr="00B7440B">
              <w:rPr>
                <w:rStyle w:val="Hyperlink"/>
                <w:noProof/>
                <w:sz w:val="26"/>
                <w:szCs w:val="26"/>
              </w:rPr>
              <w:t>a.</w:t>
            </w:r>
            <w:r w:rsidR="00B7440B" w:rsidRPr="00B7440B">
              <w:rPr>
                <w:rFonts w:eastAsiaTheme="minorEastAsia"/>
                <w:noProof/>
                <w:sz w:val="26"/>
                <w:szCs w:val="26"/>
              </w:rPr>
              <w:tab/>
            </w:r>
            <w:r w:rsidR="00B7440B" w:rsidRPr="00B7440B">
              <w:rPr>
                <w:rStyle w:val="Hyperlink"/>
                <w:noProof/>
                <w:sz w:val="26"/>
                <w:szCs w:val="26"/>
              </w:rPr>
              <w:t>Positions of the Parties</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_Toc63764647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267</w:t>
            </w:r>
            <w:r w:rsidR="00B7440B" w:rsidRPr="00B7440B">
              <w:rPr>
                <w:noProof/>
                <w:webHidden/>
                <w:sz w:val="26"/>
                <w:szCs w:val="26"/>
              </w:rPr>
              <w:fldChar w:fldCharType="end"/>
            </w:r>
          </w:hyperlink>
        </w:p>
        <w:p w14:paraId="45CA5052" w14:textId="2E7A0DA4" w:rsidR="00B7440B" w:rsidRPr="00B7440B" w:rsidRDefault="00E131BD">
          <w:pPr>
            <w:pStyle w:val="TOC4"/>
            <w:rPr>
              <w:rFonts w:eastAsiaTheme="minorEastAsia"/>
              <w:noProof/>
              <w:sz w:val="26"/>
              <w:szCs w:val="26"/>
            </w:rPr>
          </w:pPr>
          <w:hyperlink w:anchor="_Toc63764648" w:history="1">
            <w:r w:rsidR="00B7440B" w:rsidRPr="00B7440B">
              <w:rPr>
                <w:rStyle w:val="Hyperlink"/>
                <w:noProof/>
                <w:sz w:val="26"/>
                <w:szCs w:val="26"/>
              </w:rPr>
              <w:t>b.</w:t>
            </w:r>
            <w:r w:rsidR="00B7440B" w:rsidRPr="00B7440B">
              <w:rPr>
                <w:rFonts w:eastAsiaTheme="minorEastAsia"/>
                <w:noProof/>
                <w:sz w:val="26"/>
                <w:szCs w:val="26"/>
              </w:rPr>
              <w:tab/>
            </w:r>
            <w:r w:rsidR="00B7440B" w:rsidRPr="00B7440B">
              <w:rPr>
                <w:rStyle w:val="Hyperlink"/>
                <w:noProof/>
                <w:sz w:val="26"/>
                <w:szCs w:val="26"/>
              </w:rPr>
              <w:t>Recommended Decision</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_Toc63764648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268</w:t>
            </w:r>
            <w:r w:rsidR="00B7440B" w:rsidRPr="00B7440B">
              <w:rPr>
                <w:noProof/>
                <w:webHidden/>
                <w:sz w:val="26"/>
                <w:szCs w:val="26"/>
              </w:rPr>
              <w:fldChar w:fldCharType="end"/>
            </w:r>
          </w:hyperlink>
        </w:p>
        <w:p w14:paraId="7D783486" w14:textId="61EA7269" w:rsidR="00B7440B" w:rsidRPr="00B7440B" w:rsidRDefault="00E131BD">
          <w:pPr>
            <w:pStyle w:val="TOC4"/>
            <w:rPr>
              <w:rFonts w:eastAsiaTheme="minorEastAsia"/>
              <w:noProof/>
              <w:sz w:val="26"/>
              <w:szCs w:val="26"/>
            </w:rPr>
          </w:pPr>
          <w:hyperlink w:anchor="_Toc63764649" w:history="1">
            <w:r w:rsidR="00B7440B" w:rsidRPr="00B7440B">
              <w:rPr>
                <w:rStyle w:val="Hyperlink"/>
                <w:noProof/>
                <w:sz w:val="26"/>
                <w:szCs w:val="26"/>
              </w:rPr>
              <w:t>c.</w:t>
            </w:r>
            <w:r w:rsidR="00B7440B" w:rsidRPr="00B7440B">
              <w:rPr>
                <w:rFonts w:eastAsiaTheme="minorEastAsia"/>
                <w:noProof/>
                <w:sz w:val="26"/>
                <w:szCs w:val="26"/>
              </w:rPr>
              <w:tab/>
            </w:r>
            <w:r w:rsidR="00B7440B" w:rsidRPr="00B7440B">
              <w:rPr>
                <w:rStyle w:val="Hyperlink"/>
                <w:noProof/>
                <w:sz w:val="26"/>
                <w:szCs w:val="26"/>
              </w:rPr>
              <w:t>Disposition</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_Toc63764649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268</w:t>
            </w:r>
            <w:r w:rsidR="00B7440B" w:rsidRPr="00B7440B">
              <w:rPr>
                <w:noProof/>
                <w:webHidden/>
                <w:sz w:val="26"/>
                <w:szCs w:val="26"/>
              </w:rPr>
              <w:fldChar w:fldCharType="end"/>
            </w:r>
          </w:hyperlink>
        </w:p>
        <w:p w14:paraId="0783F79D" w14:textId="6B69B76F" w:rsidR="00B7440B" w:rsidRPr="00B7440B" w:rsidRDefault="00E131BD">
          <w:pPr>
            <w:pStyle w:val="TOC3"/>
            <w:rPr>
              <w:rFonts w:eastAsiaTheme="minorEastAsia"/>
              <w:noProof/>
              <w:sz w:val="26"/>
              <w:szCs w:val="26"/>
            </w:rPr>
          </w:pPr>
          <w:hyperlink w:anchor="_Toc63764650" w:history="1">
            <w:r w:rsidR="00B7440B" w:rsidRPr="00B7440B">
              <w:rPr>
                <w:rStyle w:val="Hyperlink"/>
                <w:noProof/>
                <w:sz w:val="26"/>
                <w:szCs w:val="26"/>
              </w:rPr>
              <w:t>4.</w:t>
            </w:r>
            <w:r w:rsidR="00B7440B" w:rsidRPr="00B7440B">
              <w:rPr>
                <w:rFonts w:eastAsiaTheme="minorEastAsia"/>
                <w:noProof/>
                <w:sz w:val="26"/>
                <w:szCs w:val="26"/>
              </w:rPr>
              <w:tab/>
            </w:r>
            <w:r w:rsidR="00B7440B" w:rsidRPr="00B7440B">
              <w:rPr>
                <w:rStyle w:val="Hyperlink"/>
                <w:noProof/>
                <w:sz w:val="26"/>
                <w:szCs w:val="26"/>
              </w:rPr>
              <w:t>Gas Procurement Charge Rider</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_Toc63764650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268</w:t>
            </w:r>
            <w:r w:rsidR="00B7440B" w:rsidRPr="00B7440B">
              <w:rPr>
                <w:noProof/>
                <w:webHidden/>
                <w:sz w:val="26"/>
                <w:szCs w:val="26"/>
              </w:rPr>
              <w:fldChar w:fldCharType="end"/>
            </w:r>
          </w:hyperlink>
        </w:p>
        <w:p w14:paraId="6CBEEA1F" w14:textId="236881B1" w:rsidR="00B7440B" w:rsidRPr="00B7440B" w:rsidRDefault="00E131BD">
          <w:pPr>
            <w:pStyle w:val="TOC4"/>
            <w:rPr>
              <w:rFonts w:eastAsiaTheme="minorEastAsia"/>
              <w:noProof/>
              <w:sz w:val="26"/>
              <w:szCs w:val="26"/>
            </w:rPr>
          </w:pPr>
          <w:hyperlink w:anchor="_Toc63764651" w:history="1">
            <w:r w:rsidR="00B7440B" w:rsidRPr="00B7440B">
              <w:rPr>
                <w:rStyle w:val="Hyperlink"/>
                <w:noProof/>
                <w:sz w:val="26"/>
                <w:szCs w:val="26"/>
              </w:rPr>
              <w:t>a.</w:t>
            </w:r>
            <w:r w:rsidR="00B7440B" w:rsidRPr="00B7440B">
              <w:rPr>
                <w:rFonts w:eastAsiaTheme="minorEastAsia"/>
                <w:noProof/>
                <w:sz w:val="26"/>
                <w:szCs w:val="26"/>
              </w:rPr>
              <w:tab/>
            </w:r>
            <w:r w:rsidR="00B7440B" w:rsidRPr="00B7440B">
              <w:rPr>
                <w:rStyle w:val="Hyperlink"/>
                <w:noProof/>
                <w:sz w:val="26"/>
                <w:szCs w:val="26"/>
              </w:rPr>
              <w:t>Positions of the Parties</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_Toc63764651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268</w:t>
            </w:r>
            <w:r w:rsidR="00B7440B" w:rsidRPr="00B7440B">
              <w:rPr>
                <w:noProof/>
                <w:webHidden/>
                <w:sz w:val="26"/>
                <w:szCs w:val="26"/>
              </w:rPr>
              <w:fldChar w:fldCharType="end"/>
            </w:r>
          </w:hyperlink>
        </w:p>
        <w:p w14:paraId="732887EB" w14:textId="3C3E1B39" w:rsidR="00B7440B" w:rsidRPr="00B7440B" w:rsidRDefault="00E131BD">
          <w:pPr>
            <w:pStyle w:val="TOC4"/>
            <w:rPr>
              <w:rFonts w:eastAsiaTheme="minorEastAsia"/>
              <w:noProof/>
              <w:sz w:val="26"/>
              <w:szCs w:val="26"/>
            </w:rPr>
          </w:pPr>
          <w:hyperlink w:anchor="_Toc63764652" w:history="1">
            <w:r w:rsidR="00B7440B" w:rsidRPr="00B7440B">
              <w:rPr>
                <w:rStyle w:val="Hyperlink"/>
                <w:noProof/>
                <w:sz w:val="26"/>
                <w:szCs w:val="26"/>
              </w:rPr>
              <w:t>b.</w:t>
            </w:r>
            <w:r w:rsidR="00B7440B" w:rsidRPr="00B7440B">
              <w:rPr>
                <w:rFonts w:eastAsiaTheme="minorEastAsia"/>
                <w:noProof/>
                <w:sz w:val="26"/>
                <w:szCs w:val="26"/>
              </w:rPr>
              <w:tab/>
            </w:r>
            <w:r w:rsidR="00B7440B" w:rsidRPr="00B7440B">
              <w:rPr>
                <w:rStyle w:val="Hyperlink"/>
                <w:noProof/>
                <w:sz w:val="26"/>
                <w:szCs w:val="26"/>
              </w:rPr>
              <w:t>Recommended Decision</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_Toc63764652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269</w:t>
            </w:r>
            <w:r w:rsidR="00B7440B" w:rsidRPr="00B7440B">
              <w:rPr>
                <w:noProof/>
                <w:webHidden/>
                <w:sz w:val="26"/>
                <w:szCs w:val="26"/>
              </w:rPr>
              <w:fldChar w:fldCharType="end"/>
            </w:r>
          </w:hyperlink>
        </w:p>
        <w:p w14:paraId="74F3287F" w14:textId="125D4670" w:rsidR="00B7440B" w:rsidRPr="00B7440B" w:rsidRDefault="00E131BD">
          <w:pPr>
            <w:pStyle w:val="TOC4"/>
            <w:rPr>
              <w:rFonts w:eastAsiaTheme="minorEastAsia"/>
              <w:noProof/>
              <w:sz w:val="26"/>
              <w:szCs w:val="26"/>
            </w:rPr>
          </w:pPr>
          <w:hyperlink w:anchor="_Toc63764653" w:history="1">
            <w:r w:rsidR="00B7440B" w:rsidRPr="00B7440B">
              <w:rPr>
                <w:rStyle w:val="Hyperlink"/>
                <w:noProof/>
                <w:sz w:val="26"/>
                <w:szCs w:val="26"/>
              </w:rPr>
              <w:t>c.</w:t>
            </w:r>
            <w:r w:rsidR="00B7440B" w:rsidRPr="00B7440B">
              <w:rPr>
                <w:rFonts w:eastAsiaTheme="minorEastAsia"/>
                <w:noProof/>
                <w:sz w:val="26"/>
                <w:szCs w:val="26"/>
              </w:rPr>
              <w:tab/>
            </w:r>
            <w:r w:rsidR="00B7440B" w:rsidRPr="00B7440B">
              <w:rPr>
                <w:rStyle w:val="Hyperlink"/>
                <w:noProof/>
                <w:sz w:val="26"/>
                <w:szCs w:val="26"/>
              </w:rPr>
              <w:t>Disposition</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_Toc63764653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269</w:t>
            </w:r>
            <w:r w:rsidR="00B7440B" w:rsidRPr="00B7440B">
              <w:rPr>
                <w:noProof/>
                <w:webHidden/>
                <w:sz w:val="26"/>
                <w:szCs w:val="26"/>
              </w:rPr>
              <w:fldChar w:fldCharType="end"/>
            </w:r>
          </w:hyperlink>
        </w:p>
        <w:p w14:paraId="2F658028" w14:textId="38EFF331" w:rsidR="00B7440B" w:rsidRPr="00B7440B" w:rsidRDefault="00E131BD">
          <w:pPr>
            <w:pStyle w:val="TOC2"/>
            <w:tabs>
              <w:tab w:val="left" w:pos="1440"/>
            </w:tabs>
            <w:rPr>
              <w:rFonts w:eastAsiaTheme="minorEastAsia"/>
              <w:noProof/>
              <w:sz w:val="26"/>
              <w:szCs w:val="26"/>
            </w:rPr>
          </w:pPr>
          <w:hyperlink w:anchor="_Toc63764654" w:history="1">
            <w:r w:rsidR="00B7440B" w:rsidRPr="00B7440B">
              <w:rPr>
                <w:rStyle w:val="Hyperlink"/>
                <w:rFonts w:eastAsiaTheme="majorEastAsia"/>
                <w:noProof/>
                <w:sz w:val="26"/>
                <w:szCs w:val="26"/>
              </w:rPr>
              <w:t>D.</w:t>
            </w:r>
            <w:r w:rsidR="00B7440B" w:rsidRPr="00B7440B">
              <w:rPr>
                <w:rFonts w:eastAsiaTheme="minorEastAsia"/>
                <w:noProof/>
                <w:sz w:val="26"/>
                <w:szCs w:val="26"/>
              </w:rPr>
              <w:tab/>
            </w:r>
            <w:r w:rsidR="00B7440B" w:rsidRPr="00B7440B">
              <w:rPr>
                <w:rStyle w:val="Hyperlink"/>
                <w:noProof/>
                <w:sz w:val="26"/>
                <w:szCs w:val="26"/>
              </w:rPr>
              <w:t>Bill Impacts</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_Toc63764654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269</w:t>
            </w:r>
            <w:r w:rsidR="00B7440B" w:rsidRPr="00B7440B">
              <w:rPr>
                <w:noProof/>
                <w:webHidden/>
                <w:sz w:val="26"/>
                <w:szCs w:val="26"/>
              </w:rPr>
              <w:fldChar w:fldCharType="end"/>
            </w:r>
          </w:hyperlink>
        </w:p>
        <w:p w14:paraId="63F24749" w14:textId="1EA2B34E" w:rsidR="00B7440B" w:rsidRPr="00B7440B" w:rsidRDefault="00E131BD">
          <w:pPr>
            <w:pStyle w:val="TOC3"/>
            <w:rPr>
              <w:rFonts w:eastAsiaTheme="minorEastAsia"/>
              <w:noProof/>
              <w:sz w:val="26"/>
              <w:szCs w:val="26"/>
            </w:rPr>
          </w:pPr>
          <w:hyperlink w:anchor="_Toc63764655" w:history="1">
            <w:r w:rsidR="00B7440B" w:rsidRPr="00B7440B">
              <w:rPr>
                <w:rStyle w:val="Hyperlink"/>
                <w:noProof/>
                <w:sz w:val="26"/>
                <w:szCs w:val="26"/>
              </w:rPr>
              <w:t>1.</w:t>
            </w:r>
            <w:r w:rsidR="00B7440B" w:rsidRPr="00B7440B">
              <w:rPr>
                <w:rFonts w:eastAsiaTheme="minorEastAsia"/>
                <w:noProof/>
                <w:sz w:val="26"/>
                <w:szCs w:val="26"/>
              </w:rPr>
              <w:tab/>
            </w:r>
            <w:r w:rsidR="00B7440B" w:rsidRPr="00B7440B">
              <w:rPr>
                <w:rStyle w:val="Hyperlink"/>
                <w:noProof/>
                <w:sz w:val="26"/>
                <w:szCs w:val="26"/>
              </w:rPr>
              <w:t>Positions of the Parties</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_Toc63764655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269</w:t>
            </w:r>
            <w:r w:rsidR="00B7440B" w:rsidRPr="00B7440B">
              <w:rPr>
                <w:noProof/>
                <w:webHidden/>
                <w:sz w:val="26"/>
                <w:szCs w:val="26"/>
              </w:rPr>
              <w:fldChar w:fldCharType="end"/>
            </w:r>
          </w:hyperlink>
        </w:p>
        <w:p w14:paraId="60A5A3AB" w14:textId="5BC8F580" w:rsidR="00B7440B" w:rsidRPr="00B7440B" w:rsidRDefault="00E131BD">
          <w:pPr>
            <w:pStyle w:val="TOC3"/>
            <w:rPr>
              <w:rFonts w:eastAsiaTheme="minorEastAsia"/>
              <w:noProof/>
              <w:sz w:val="26"/>
              <w:szCs w:val="26"/>
            </w:rPr>
          </w:pPr>
          <w:hyperlink w:anchor="_Toc63764656" w:history="1">
            <w:r w:rsidR="00B7440B" w:rsidRPr="00B7440B">
              <w:rPr>
                <w:rStyle w:val="Hyperlink"/>
                <w:noProof/>
                <w:sz w:val="26"/>
                <w:szCs w:val="26"/>
              </w:rPr>
              <w:t>2.</w:t>
            </w:r>
            <w:r w:rsidR="00B7440B" w:rsidRPr="00B7440B">
              <w:rPr>
                <w:rFonts w:eastAsiaTheme="minorEastAsia"/>
                <w:noProof/>
                <w:sz w:val="26"/>
                <w:szCs w:val="26"/>
              </w:rPr>
              <w:tab/>
            </w:r>
            <w:r w:rsidR="00B7440B" w:rsidRPr="00B7440B">
              <w:rPr>
                <w:rStyle w:val="Hyperlink"/>
                <w:noProof/>
                <w:sz w:val="26"/>
                <w:szCs w:val="26"/>
              </w:rPr>
              <w:t>Recommended Decision</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_Toc63764656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270</w:t>
            </w:r>
            <w:r w:rsidR="00B7440B" w:rsidRPr="00B7440B">
              <w:rPr>
                <w:noProof/>
                <w:webHidden/>
                <w:sz w:val="26"/>
                <w:szCs w:val="26"/>
              </w:rPr>
              <w:fldChar w:fldCharType="end"/>
            </w:r>
          </w:hyperlink>
        </w:p>
        <w:p w14:paraId="4D84C364" w14:textId="0046E8B8" w:rsidR="00B7440B" w:rsidRPr="00B7440B" w:rsidRDefault="00E131BD">
          <w:pPr>
            <w:pStyle w:val="TOC3"/>
            <w:rPr>
              <w:rFonts w:eastAsiaTheme="minorEastAsia"/>
              <w:noProof/>
              <w:sz w:val="26"/>
              <w:szCs w:val="26"/>
            </w:rPr>
          </w:pPr>
          <w:hyperlink w:anchor="_Toc63764657" w:history="1">
            <w:r w:rsidR="00B7440B" w:rsidRPr="00B7440B">
              <w:rPr>
                <w:rStyle w:val="Hyperlink"/>
                <w:noProof/>
                <w:sz w:val="26"/>
                <w:szCs w:val="26"/>
              </w:rPr>
              <w:t>3.</w:t>
            </w:r>
            <w:r w:rsidR="00B7440B" w:rsidRPr="00B7440B">
              <w:rPr>
                <w:rFonts w:eastAsiaTheme="minorEastAsia"/>
                <w:noProof/>
                <w:sz w:val="26"/>
                <w:szCs w:val="26"/>
              </w:rPr>
              <w:tab/>
            </w:r>
            <w:r w:rsidR="00B7440B" w:rsidRPr="00B7440B">
              <w:rPr>
                <w:rStyle w:val="Hyperlink"/>
                <w:noProof/>
                <w:sz w:val="26"/>
                <w:szCs w:val="26"/>
              </w:rPr>
              <w:t>Disposition</w:t>
            </w:r>
            <w:r w:rsidR="00B7440B" w:rsidRPr="00B7440B">
              <w:rPr>
                <w:noProof/>
                <w:webHidden/>
                <w:sz w:val="26"/>
                <w:szCs w:val="26"/>
              </w:rPr>
              <w:tab/>
            </w:r>
            <w:r w:rsidR="00B7440B" w:rsidRPr="00B7440B">
              <w:rPr>
                <w:noProof/>
                <w:webHidden/>
                <w:sz w:val="26"/>
                <w:szCs w:val="26"/>
              </w:rPr>
              <w:fldChar w:fldCharType="begin"/>
            </w:r>
            <w:r w:rsidR="00B7440B" w:rsidRPr="00B7440B">
              <w:rPr>
                <w:noProof/>
                <w:webHidden/>
                <w:sz w:val="26"/>
                <w:szCs w:val="26"/>
              </w:rPr>
              <w:instrText xml:space="preserve"> PAGEREF _Toc63764657 \h </w:instrText>
            </w:r>
            <w:r w:rsidR="00B7440B" w:rsidRPr="00B7440B">
              <w:rPr>
                <w:noProof/>
                <w:webHidden/>
                <w:sz w:val="26"/>
                <w:szCs w:val="26"/>
              </w:rPr>
            </w:r>
            <w:r w:rsidR="00B7440B" w:rsidRPr="00B7440B">
              <w:rPr>
                <w:noProof/>
                <w:webHidden/>
                <w:sz w:val="26"/>
                <w:szCs w:val="26"/>
              </w:rPr>
              <w:fldChar w:fldCharType="separate"/>
            </w:r>
            <w:r w:rsidR="0066040B">
              <w:rPr>
                <w:noProof/>
                <w:webHidden/>
                <w:sz w:val="26"/>
                <w:szCs w:val="26"/>
              </w:rPr>
              <w:t>270</w:t>
            </w:r>
            <w:r w:rsidR="00B7440B" w:rsidRPr="00B7440B">
              <w:rPr>
                <w:noProof/>
                <w:webHidden/>
                <w:sz w:val="26"/>
                <w:szCs w:val="26"/>
              </w:rPr>
              <w:fldChar w:fldCharType="end"/>
            </w:r>
          </w:hyperlink>
        </w:p>
        <w:p w14:paraId="7948BF39" w14:textId="574773F4" w:rsidR="00B7440B" w:rsidRPr="00B7440B" w:rsidRDefault="00E131BD">
          <w:pPr>
            <w:pStyle w:val="TOC1"/>
            <w:rPr>
              <w:rFonts w:eastAsiaTheme="minorEastAsia"/>
              <w:b w:val="0"/>
              <w:bCs w:val="0"/>
            </w:rPr>
          </w:pPr>
          <w:hyperlink w:anchor="_Toc63764658" w:history="1">
            <w:r w:rsidR="00B7440B" w:rsidRPr="00B7440B">
              <w:rPr>
                <w:rStyle w:val="Hyperlink"/>
                <w:b w:val="0"/>
                <w:bCs w:val="0"/>
                <w:caps/>
              </w:rPr>
              <w:t>XIII.</w:t>
            </w:r>
            <w:r w:rsidR="00B7440B" w:rsidRPr="00B7440B">
              <w:rPr>
                <w:rFonts w:eastAsiaTheme="minorEastAsia"/>
                <w:b w:val="0"/>
                <w:bCs w:val="0"/>
              </w:rPr>
              <w:tab/>
            </w:r>
            <w:r w:rsidR="00B7440B" w:rsidRPr="00B7440B">
              <w:rPr>
                <w:rStyle w:val="Hyperlink"/>
                <w:b w:val="0"/>
                <w:bCs w:val="0"/>
              </w:rPr>
              <w:t>Conclusion</w:t>
            </w:r>
            <w:r w:rsidR="00B7440B" w:rsidRPr="00B7440B">
              <w:rPr>
                <w:b w:val="0"/>
                <w:bCs w:val="0"/>
                <w:webHidden/>
              </w:rPr>
              <w:tab/>
            </w:r>
            <w:r w:rsidR="00B7440B" w:rsidRPr="00B7440B">
              <w:rPr>
                <w:b w:val="0"/>
                <w:bCs w:val="0"/>
                <w:webHidden/>
              </w:rPr>
              <w:fldChar w:fldCharType="begin"/>
            </w:r>
            <w:r w:rsidR="00B7440B" w:rsidRPr="00B7440B">
              <w:rPr>
                <w:b w:val="0"/>
                <w:bCs w:val="0"/>
                <w:webHidden/>
              </w:rPr>
              <w:instrText xml:space="preserve"> PAGEREF _Toc63764658 \h </w:instrText>
            </w:r>
            <w:r w:rsidR="00B7440B" w:rsidRPr="00B7440B">
              <w:rPr>
                <w:b w:val="0"/>
                <w:bCs w:val="0"/>
                <w:webHidden/>
              </w:rPr>
            </w:r>
            <w:r w:rsidR="00B7440B" w:rsidRPr="00B7440B">
              <w:rPr>
                <w:b w:val="0"/>
                <w:bCs w:val="0"/>
                <w:webHidden/>
              </w:rPr>
              <w:fldChar w:fldCharType="separate"/>
            </w:r>
            <w:r w:rsidR="0066040B">
              <w:rPr>
                <w:b w:val="0"/>
                <w:bCs w:val="0"/>
                <w:webHidden/>
              </w:rPr>
              <w:t>270</w:t>
            </w:r>
            <w:r w:rsidR="00B7440B" w:rsidRPr="00B7440B">
              <w:rPr>
                <w:b w:val="0"/>
                <w:bCs w:val="0"/>
                <w:webHidden/>
              </w:rPr>
              <w:fldChar w:fldCharType="end"/>
            </w:r>
          </w:hyperlink>
        </w:p>
        <w:p w14:paraId="76DCDD1F" w14:textId="59523909" w:rsidR="00B7440B" w:rsidRPr="00B7440B" w:rsidRDefault="00E131BD">
          <w:pPr>
            <w:pStyle w:val="TOC1"/>
            <w:rPr>
              <w:rFonts w:eastAsiaTheme="minorEastAsia"/>
              <w:b w:val="0"/>
              <w:bCs w:val="0"/>
            </w:rPr>
          </w:pPr>
          <w:hyperlink w:anchor="_Toc63764659" w:history="1">
            <w:r w:rsidR="00B7440B" w:rsidRPr="00B7440B">
              <w:rPr>
                <w:rStyle w:val="Hyperlink"/>
                <w:b w:val="0"/>
                <w:bCs w:val="0"/>
              </w:rPr>
              <w:t>XIV.</w:t>
            </w:r>
            <w:r w:rsidR="00B7440B" w:rsidRPr="00B7440B">
              <w:rPr>
                <w:rFonts w:eastAsiaTheme="minorEastAsia"/>
                <w:b w:val="0"/>
                <w:bCs w:val="0"/>
              </w:rPr>
              <w:tab/>
            </w:r>
            <w:r w:rsidR="00B7440B" w:rsidRPr="00B7440B">
              <w:rPr>
                <w:rStyle w:val="Hyperlink"/>
                <w:b w:val="0"/>
                <w:bCs w:val="0"/>
              </w:rPr>
              <w:t>LIST OF ABBREVIATIONS</w:t>
            </w:r>
            <w:r w:rsidR="00B7440B" w:rsidRPr="00B7440B">
              <w:rPr>
                <w:b w:val="0"/>
                <w:bCs w:val="0"/>
                <w:webHidden/>
              </w:rPr>
              <w:tab/>
            </w:r>
            <w:r w:rsidR="00B7440B" w:rsidRPr="00B7440B">
              <w:rPr>
                <w:b w:val="0"/>
                <w:bCs w:val="0"/>
                <w:webHidden/>
              </w:rPr>
              <w:fldChar w:fldCharType="begin"/>
            </w:r>
            <w:r w:rsidR="00B7440B" w:rsidRPr="00B7440B">
              <w:rPr>
                <w:b w:val="0"/>
                <w:bCs w:val="0"/>
                <w:webHidden/>
              </w:rPr>
              <w:instrText xml:space="preserve"> PAGEREF _Toc63764659 \h </w:instrText>
            </w:r>
            <w:r w:rsidR="00B7440B" w:rsidRPr="00B7440B">
              <w:rPr>
                <w:b w:val="0"/>
                <w:bCs w:val="0"/>
                <w:webHidden/>
              </w:rPr>
            </w:r>
            <w:r w:rsidR="00B7440B" w:rsidRPr="00B7440B">
              <w:rPr>
                <w:b w:val="0"/>
                <w:bCs w:val="0"/>
                <w:webHidden/>
              </w:rPr>
              <w:fldChar w:fldCharType="separate"/>
            </w:r>
            <w:r w:rsidR="0066040B">
              <w:rPr>
                <w:b w:val="0"/>
                <w:bCs w:val="0"/>
                <w:webHidden/>
              </w:rPr>
              <w:t>1</w:t>
            </w:r>
            <w:r w:rsidR="00B7440B" w:rsidRPr="00B7440B">
              <w:rPr>
                <w:b w:val="0"/>
                <w:bCs w:val="0"/>
                <w:webHidden/>
              </w:rPr>
              <w:fldChar w:fldCharType="end"/>
            </w:r>
          </w:hyperlink>
        </w:p>
        <w:p w14:paraId="121BF25D" w14:textId="29DDAB38" w:rsidR="00B7440B" w:rsidRPr="00B7440B" w:rsidRDefault="00E131BD">
          <w:pPr>
            <w:pStyle w:val="TOC1"/>
            <w:rPr>
              <w:rFonts w:eastAsiaTheme="minorEastAsia"/>
              <w:b w:val="0"/>
              <w:bCs w:val="0"/>
            </w:rPr>
          </w:pPr>
          <w:hyperlink w:anchor="_Toc63764660" w:history="1">
            <w:r w:rsidR="00B7440B" w:rsidRPr="00B7440B">
              <w:rPr>
                <w:rStyle w:val="Hyperlink"/>
                <w:b w:val="0"/>
                <w:bCs w:val="0"/>
              </w:rPr>
              <w:t>XV.</w:t>
            </w:r>
            <w:r w:rsidR="00B7440B" w:rsidRPr="00B7440B">
              <w:rPr>
                <w:rFonts w:eastAsiaTheme="minorEastAsia"/>
                <w:b w:val="0"/>
                <w:bCs w:val="0"/>
              </w:rPr>
              <w:tab/>
            </w:r>
            <w:r w:rsidR="00B7440B" w:rsidRPr="00B7440B">
              <w:rPr>
                <w:rStyle w:val="Hyperlink"/>
                <w:b w:val="0"/>
                <w:bCs w:val="0"/>
              </w:rPr>
              <w:t>Commission Tables Calculating Allowed Revenue Increase</w:t>
            </w:r>
            <w:r w:rsidR="00B7440B" w:rsidRPr="00B7440B">
              <w:rPr>
                <w:b w:val="0"/>
                <w:bCs w:val="0"/>
                <w:webHidden/>
              </w:rPr>
              <w:tab/>
            </w:r>
            <w:r w:rsidR="00B7440B" w:rsidRPr="00B7440B">
              <w:rPr>
                <w:b w:val="0"/>
                <w:bCs w:val="0"/>
                <w:webHidden/>
              </w:rPr>
              <w:fldChar w:fldCharType="begin"/>
            </w:r>
            <w:r w:rsidR="00B7440B" w:rsidRPr="00B7440B">
              <w:rPr>
                <w:b w:val="0"/>
                <w:bCs w:val="0"/>
                <w:webHidden/>
              </w:rPr>
              <w:instrText xml:space="preserve"> PAGEREF _Toc63764660 \h </w:instrText>
            </w:r>
            <w:r w:rsidR="00B7440B" w:rsidRPr="00B7440B">
              <w:rPr>
                <w:b w:val="0"/>
                <w:bCs w:val="0"/>
                <w:webHidden/>
              </w:rPr>
            </w:r>
            <w:r w:rsidR="00B7440B" w:rsidRPr="00B7440B">
              <w:rPr>
                <w:b w:val="0"/>
                <w:bCs w:val="0"/>
                <w:webHidden/>
              </w:rPr>
              <w:fldChar w:fldCharType="separate"/>
            </w:r>
            <w:r w:rsidR="0066040B">
              <w:rPr>
                <w:b w:val="0"/>
                <w:bCs w:val="0"/>
                <w:webHidden/>
              </w:rPr>
              <w:t>3</w:t>
            </w:r>
            <w:r w:rsidR="00B7440B" w:rsidRPr="00B7440B">
              <w:rPr>
                <w:b w:val="0"/>
                <w:bCs w:val="0"/>
                <w:webHidden/>
              </w:rPr>
              <w:fldChar w:fldCharType="end"/>
            </w:r>
          </w:hyperlink>
        </w:p>
        <w:p w14:paraId="20E707DF" w14:textId="552D9640" w:rsidR="004F3A28" w:rsidRPr="00E9174E" w:rsidRDefault="00651BF7" w:rsidP="00E9174E">
          <w:pPr>
            <w:widowControl/>
            <w:contextualSpacing/>
            <w:rPr>
              <w:sz w:val="26"/>
              <w:szCs w:val="26"/>
            </w:rPr>
          </w:pPr>
          <w:r>
            <w:rPr>
              <w:rFonts w:eastAsiaTheme="majorEastAsia"/>
              <w:noProof/>
              <w:sz w:val="26"/>
              <w:szCs w:val="26"/>
            </w:rPr>
            <w:fldChar w:fldCharType="end"/>
          </w:r>
        </w:p>
      </w:sdtContent>
    </w:sdt>
    <w:p w14:paraId="6A1B79A2" w14:textId="77777777" w:rsidR="00A413B3" w:rsidRPr="00E9174E" w:rsidRDefault="00A413B3" w:rsidP="00E9174E">
      <w:pPr>
        <w:pStyle w:val="ListParagraph"/>
        <w:ind w:left="0"/>
        <w:contextualSpacing/>
        <w:rPr>
          <w:b/>
          <w:sz w:val="26"/>
          <w:szCs w:val="26"/>
        </w:rPr>
        <w:sectPr w:rsidR="00A413B3" w:rsidRPr="00E9174E" w:rsidSect="00151C5E">
          <w:footerReference w:type="first" r:id="rId9"/>
          <w:pgSz w:w="12240" w:h="15840"/>
          <w:pgMar w:top="1440" w:right="1440" w:bottom="1440" w:left="1440" w:header="720" w:footer="720" w:gutter="0"/>
          <w:pgNumType w:fmt="lowerRoman" w:start="1"/>
          <w:cols w:space="720"/>
          <w:docGrid w:linePitch="360"/>
        </w:sectPr>
      </w:pPr>
    </w:p>
    <w:p w14:paraId="74CDB6A4" w14:textId="6E9BCD2F" w:rsidR="008077D8" w:rsidRPr="00E9174E" w:rsidRDefault="008077D8" w:rsidP="00E9174E">
      <w:pPr>
        <w:pStyle w:val="ListParagraph"/>
        <w:keepNext/>
        <w:keepLines/>
        <w:ind w:left="0"/>
        <w:contextualSpacing/>
        <w:rPr>
          <w:b/>
          <w:sz w:val="26"/>
          <w:szCs w:val="26"/>
        </w:rPr>
      </w:pPr>
      <w:r w:rsidRPr="00E9174E">
        <w:rPr>
          <w:b/>
          <w:sz w:val="26"/>
          <w:szCs w:val="26"/>
        </w:rPr>
        <w:lastRenderedPageBreak/>
        <w:t>BY THE COMMISSION:</w:t>
      </w:r>
    </w:p>
    <w:p w14:paraId="12E49F0D" w14:textId="26580D71" w:rsidR="008077D8" w:rsidRPr="00E9174E" w:rsidRDefault="008077D8" w:rsidP="00E9174E">
      <w:pPr>
        <w:keepNext/>
        <w:keepLines/>
        <w:widowControl/>
        <w:spacing w:line="360" w:lineRule="auto"/>
        <w:contextualSpacing/>
        <w:rPr>
          <w:b/>
          <w:sz w:val="26"/>
          <w:szCs w:val="26"/>
        </w:rPr>
      </w:pPr>
    </w:p>
    <w:p w14:paraId="42556CC8" w14:textId="7E7A022C" w:rsidR="00873A95" w:rsidRPr="00E9174E" w:rsidRDefault="00873A95" w:rsidP="00E9174E">
      <w:pPr>
        <w:widowControl/>
        <w:tabs>
          <w:tab w:val="left" w:pos="-720"/>
        </w:tabs>
        <w:suppressAutoHyphens/>
        <w:spacing w:line="360" w:lineRule="auto"/>
        <w:ind w:firstLine="1440"/>
        <w:contextualSpacing/>
        <w:rPr>
          <w:sz w:val="26"/>
          <w:szCs w:val="26"/>
        </w:rPr>
      </w:pPr>
      <w:bookmarkStart w:id="4" w:name="_Hlk59539995"/>
      <w:r w:rsidRPr="00E9174E">
        <w:rPr>
          <w:sz w:val="26"/>
          <w:szCs w:val="26"/>
        </w:rPr>
        <w:t xml:space="preserve">Before the Pennsylvania Public Utility Commission (Commission) for consideration and </w:t>
      </w:r>
      <w:bookmarkStart w:id="5" w:name="_Hlk37835909"/>
      <w:r w:rsidRPr="00E9174E">
        <w:rPr>
          <w:sz w:val="26"/>
          <w:szCs w:val="26"/>
        </w:rPr>
        <w:t>disposition are the Exceptions of Columbia Gas of Pennsylvania, Inc. (Columbia</w:t>
      </w:r>
      <w:r w:rsidR="00877AFC" w:rsidRPr="00E9174E">
        <w:rPr>
          <w:sz w:val="26"/>
          <w:szCs w:val="26"/>
        </w:rPr>
        <w:t>,</w:t>
      </w:r>
      <w:r w:rsidR="00CE5E66" w:rsidRPr="00E9174E">
        <w:rPr>
          <w:sz w:val="26"/>
          <w:szCs w:val="26"/>
        </w:rPr>
        <w:t xml:space="preserve"> </w:t>
      </w:r>
      <w:r w:rsidR="002619B8" w:rsidRPr="00E9174E">
        <w:rPr>
          <w:sz w:val="26"/>
          <w:szCs w:val="26"/>
        </w:rPr>
        <w:t>CG</w:t>
      </w:r>
      <w:r w:rsidR="00877AFC" w:rsidRPr="00E9174E">
        <w:rPr>
          <w:sz w:val="26"/>
          <w:szCs w:val="26"/>
        </w:rPr>
        <w:t>,</w:t>
      </w:r>
      <w:r w:rsidRPr="00E9174E">
        <w:rPr>
          <w:sz w:val="26"/>
          <w:szCs w:val="26"/>
        </w:rPr>
        <w:t xml:space="preserve"> or the Company), the Commission’s Bureau of Investigation and Enforcement (I&amp;E), the Office of Consumer Advocate (OCA), the Office of Small Business Advocate (OSBA), the Coalition for Affordable Utility Services and Energy Efficiency in Pennsylvania (CAUSE-PA), and the Pennsylvania State University (PSU)</w:t>
      </w:r>
      <w:r w:rsidR="00844F3E" w:rsidRPr="00E9174E">
        <w:rPr>
          <w:sz w:val="26"/>
          <w:szCs w:val="26"/>
        </w:rPr>
        <w:t>,</w:t>
      </w:r>
      <w:r w:rsidRPr="00E9174E">
        <w:rPr>
          <w:sz w:val="26"/>
          <w:szCs w:val="26"/>
        </w:rPr>
        <w:t xml:space="preserve"> filed on December 22, 2020, to the Recommended Decision (R.D.) of Administrative Law Judge (ALJ) Katrina L. Dunderdale, issued on December 4, 2020, in the above-captioned proceeding.  Columbia, I&amp;E, the OCA, the OSBA, CAUSE-PA, and PSU </w:t>
      </w:r>
      <w:r w:rsidR="00294AEA" w:rsidRPr="00E9174E">
        <w:rPr>
          <w:sz w:val="26"/>
          <w:szCs w:val="26"/>
        </w:rPr>
        <w:t xml:space="preserve">filed Replies to Exceptions </w:t>
      </w:r>
      <w:r w:rsidRPr="00E9174E">
        <w:rPr>
          <w:sz w:val="26"/>
          <w:szCs w:val="26"/>
        </w:rPr>
        <w:t>on December 30, 2020.</w:t>
      </w:r>
    </w:p>
    <w:bookmarkEnd w:id="5"/>
    <w:p w14:paraId="623B0979" w14:textId="77777777" w:rsidR="00873A95" w:rsidRPr="00E9174E" w:rsidRDefault="00873A95" w:rsidP="00E9174E">
      <w:pPr>
        <w:widowControl/>
        <w:tabs>
          <w:tab w:val="left" w:pos="-720"/>
        </w:tabs>
        <w:suppressAutoHyphens/>
        <w:spacing w:line="360" w:lineRule="auto"/>
        <w:contextualSpacing/>
        <w:rPr>
          <w:sz w:val="26"/>
          <w:szCs w:val="26"/>
        </w:rPr>
      </w:pPr>
    </w:p>
    <w:p w14:paraId="19B4FD6F" w14:textId="5791CC09" w:rsidR="002423AE" w:rsidRPr="00E9174E" w:rsidRDefault="006D267B" w:rsidP="00E9174E">
      <w:pPr>
        <w:widowControl/>
        <w:tabs>
          <w:tab w:val="left" w:pos="-720"/>
        </w:tabs>
        <w:suppressAutoHyphens/>
        <w:spacing w:line="360" w:lineRule="auto"/>
        <w:rPr>
          <w:sz w:val="26"/>
          <w:szCs w:val="26"/>
        </w:rPr>
      </w:pPr>
      <w:r w:rsidRPr="00E9174E">
        <w:rPr>
          <w:sz w:val="26"/>
          <w:szCs w:val="26"/>
        </w:rPr>
        <w:tab/>
      </w:r>
      <w:r w:rsidRPr="00E9174E">
        <w:rPr>
          <w:sz w:val="26"/>
          <w:szCs w:val="26"/>
        </w:rPr>
        <w:tab/>
      </w:r>
      <w:r w:rsidR="002423AE" w:rsidRPr="00E9174E">
        <w:rPr>
          <w:sz w:val="26"/>
          <w:szCs w:val="26"/>
        </w:rPr>
        <w:t xml:space="preserve">For the reasons discussed below, we shall: </w:t>
      </w:r>
      <w:r w:rsidR="002423AE" w:rsidRPr="00E9174E">
        <w:rPr>
          <w:rFonts w:eastAsiaTheme="minorHAnsi"/>
          <w:sz w:val="26"/>
          <w:szCs w:val="26"/>
        </w:rPr>
        <w:t xml:space="preserve">(1) reverse the ALJ’s recommendation to completely deny Columbia’s requested rate relief due to the pandemic; (2) grant, in part, and deny, in part, the Exceptions filed by Columbia and I&amp;E; and (3) deny the Exceptions filed by the OCA, the OSBA, CAUSE-PA, and PSU.  </w:t>
      </w:r>
    </w:p>
    <w:p w14:paraId="7F39FAE9" w14:textId="77777777" w:rsidR="00873A95" w:rsidRPr="00E9174E" w:rsidRDefault="00873A95" w:rsidP="00E9174E">
      <w:pPr>
        <w:widowControl/>
        <w:tabs>
          <w:tab w:val="left" w:pos="-720"/>
        </w:tabs>
        <w:suppressAutoHyphens/>
        <w:spacing w:line="360" w:lineRule="auto"/>
        <w:contextualSpacing/>
        <w:rPr>
          <w:sz w:val="26"/>
          <w:szCs w:val="26"/>
        </w:rPr>
      </w:pPr>
    </w:p>
    <w:p w14:paraId="6E5BBE7E" w14:textId="1B0782E7" w:rsidR="00873A95" w:rsidRPr="00E9174E" w:rsidRDefault="006F4AD0" w:rsidP="00E9174E">
      <w:pPr>
        <w:widowControl/>
        <w:tabs>
          <w:tab w:val="left" w:pos="-720"/>
        </w:tabs>
        <w:suppressAutoHyphens/>
        <w:spacing w:line="360" w:lineRule="auto"/>
        <w:ind w:firstLine="1440"/>
        <w:contextualSpacing/>
        <w:rPr>
          <w:sz w:val="26"/>
          <w:szCs w:val="26"/>
        </w:rPr>
      </w:pPr>
      <w:r w:rsidRPr="00E9174E">
        <w:rPr>
          <w:sz w:val="26"/>
          <w:szCs w:val="26"/>
        </w:rPr>
        <w:t>Additionally, a</w:t>
      </w:r>
      <w:r w:rsidR="00873A95" w:rsidRPr="00E9174E">
        <w:rPr>
          <w:sz w:val="26"/>
          <w:szCs w:val="26"/>
        </w:rPr>
        <w:t xml:space="preserve">s discussed below, Columbia proposed rate changes that would have increased its total annual operating revenues by $100,437,420, or approximately 17.5%, </w:t>
      </w:r>
      <w:r w:rsidR="00294AEA" w:rsidRPr="00E9174E">
        <w:rPr>
          <w:sz w:val="26"/>
          <w:szCs w:val="26"/>
        </w:rPr>
        <w:t>b</w:t>
      </w:r>
      <w:r w:rsidR="00873A95" w:rsidRPr="00E9174E">
        <w:rPr>
          <w:sz w:val="26"/>
          <w:szCs w:val="26"/>
        </w:rPr>
        <w:t>ased on a fully projected future test year (FPFTY) ending December 31, 2021.</w:t>
      </w:r>
      <w:r w:rsidR="00873A95" w:rsidRPr="00E9174E">
        <w:rPr>
          <w:sz w:val="26"/>
          <w:szCs w:val="26"/>
          <w:vertAlign w:val="superscript"/>
        </w:rPr>
        <w:footnoteReference w:id="2"/>
      </w:r>
      <w:r w:rsidR="00843C29" w:rsidRPr="00E9174E">
        <w:rPr>
          <w:sz w:val="26"/>
          <w:szCs w:val="26"/>
        </w:rPr>
        <w:t xml:space="preserve">  </w:t>
      </w:r>
      <w:r w:rsidR="00873A95" w:rsidRPr="00E9174E">
        <w:rPr>
          <w:sz w:val="26"/>
          <w:szCs w:val="26"/>
        </w:rPr>
        <w:t xml:space="preserve">In this Opinion and Order, we shall approve an annual revenue </w:t>
      </w:r>
      <w:r w:rsidR="00873A95" w:rsidRPr="00E9174E">
        <w:rPr>
          <w:sz w:val="26"/>
          <w:szCs w:val="26"/>
        </w:rPr>
        <w:lastRenderedPageBreak/>
        <w:t xml:space="preserve">increase of </w:t>
      </w:r>
      <w:r w:rsidR="001675F9" w:rsidRPr="00E9174E">
        <w:rPr>
          <w:rFonts w:eastAsia="Calibri"/>
          <w:sz w:val="26"/>
          <w:szCs w:val="26"/>
        </w:rPr>
        <w:t>$63,548,905</w:t>
      </w:r>
      <w:r w:rsidR="00CA0887" w:rsidRPr="00E9174E">
        <w:rPr>
          <w:sz w:val="26"/>
          <w:szCs w:val="26"/>
        </w:rPr>
        <w:t xml:space="preserve"> </w:t>
      </w:r>
      <w:r w:rsidR="00873A95" w:rsidRPr="00E9174E">
        <w:rPr>
          <w:sz w:val="26"/>
          <w:szCs w:val="26"/>
        </w:rPr>
        <w:t>to the Company’s pro forma revenue at present rates of</w:t>
      </w:r>
      <w:r w:rsidR="00271301" w:rsidRPr="00E9174E">
        <w:rPr>
          <w:sz w:val="26"/>
          <w:szCs w:val="26"/>
        </w:rPr>
        <w:t xml:space="preserve"> $</w:t>
      </w:r>
      <w:r w:rsidR="003D550A" w:rsidRPr="00E9174E">
        <w:rPr>
          <w:sz w:val="26"/>
          <w:szCs w:val="26"/>
        </w:rPr>
        <w:t>572,769,574</w:t>
      </w:r>
      <w:r w:rsidR="00873A95" w:rsidRPr="00E9174E">
        <w:rPr>
          <w:sz w:val="26"/>
          <w:szCs w:val="26"/>
        </w:rPr>
        <w:t xml:space="preserve">, or approximately </w:t>
      </w:r>
      <w:r w:rsidR="003D550A" w:rsidRPr="00E9174E">
        <w:rPr>
          <w:sz w:val="26"/>
          <w:szCs w:val="26"/>
        </w:rPr>
        <w:t>11.10</w:t>
      </w:r>
      <w:r w:rsidR="00873A95" w:rsidRPr="00E9174E">
        <w:rPr>
          <w:sz w:val="26"/>
          <w:szCs w:val="26"/>
        </w:rPr>
        <w:t xml:space="preserve">%.  </w:t>
      </w:r>
    </w:p>
    <w:p w14:paraId="0A92E2C0" w14:textId="77777777" w:rsidR="00293C9E" w:rsidRPr="00E9174E" w:rsidRDefault="00293C9E" w:rsidP="00E9174E">
      <w:pPr>
        <w:widowControl/>
        <w:tabs>
          <w:tab w:val="left" w:pos="-720"/>
        </w:tabs>
        <w:suppressAutoHyphens/>
        <w:spacing w:line="360" w:lineRule="auto"/>
        <w:ind w:firstLine="1440"/>
        <w:contextualSpacing/>
        <w:rPr>
          <w:sz w:val="26"/>
          <w:szCs w:val="26"/>
        </w:rPr>
      </w:pPr>
    </w:p>
    <w:p w14:paraId="27AB40E3" w14:textId="05EC8954" w:rsidR="00432C71" w:rsidRPr="00E9174E" w:rsidRDefault="00E7420A" w:rsidP="00277ECF">
      <w:pPr>
        <w:pStyle w:val="Heading1"/>
        <w:numPr>
          <w:ilvl w:val="0"/>
          <w:numId w:val="36"/>
        </w:numPr>
      </w:pPr>
      <w:bookmarkStart w:id="6" w:name="_Toc63764408"/>
      <w:bookmarkEnd w:id="4"/>
      <w:r w:rsidRPr="00E9174E">
        <w:t>Background</w:t>
      </w:r>
      <w:bookmarkEnd w:id="6"/>
    </w:p>
    <w:p w14:paraId="6FE50FD7" w14:textId="77777777" w:rsidR="00340F8C" w:rsidRPr="00E9174E" w:rsidRDefault="00340F8C" w:rsidP="00E9174E">
      <w:pPr>
        <w:keepNext/>
        <w:widowControl/>
        <w:spacing w:line="360" w:lineRule="auto"/>
        <w:contextualSpacing/>
        <w:rPr>
          <w:b/>
          <w:sz w:val="26"/>
          <w:szCs w:val="26"/>
        </w:rPr>
      </w:pPr>
    </w:p>
    <w:p w14:paraId="03EF06B0" w14:textId="77777777" w:rsidR="00F5724B" w:rsidRPr="00E9174E" w:rsidRDefault="006B6A37" w:rsidP="00E9174E">
      <w:pPr>
        <w:widowControl/>
        <w:spacing w:line="360" w:lineRule="auto"/>
        <w:ind w:firstLine="1440"/>
        <w:contextualSpacing/>
        <w:rPr>
          <w:sz w:val="26"/>
          <w:szCs w:val="26"/>
        </w:rPr>
      </w:pPr>
      <w:r w:rsidRPr="00E9174E">
        <w:rPr>
          <w:sz w:val="26"/>
          <w:szCs w:val="26"/>
        </w:rPr>
        <w:t>Columbia is a public utility and natural gas distribution company (NGDC), as those terms are</w:t>
      </w:r>
      <w:r w:rsidRPr="00E9174E">
        <w:rPr>
          <w:color w:val="000000"/>
          <w:sz w:val="26"/>
          <w:szCs w:val="26"/>
        </w:rPr>
        <w:t xml:space="preserve"> </w:t>
      </w:r>
      <w:r w:rsidRPr="00E9174E">
        <w:rPr>
          <w:sz w:val="26"/>
          <w:szCs w:val="26"/>
        </w:rPr>
        <w:t xml:space="preserve">defined in the Pennsylvania Public Utility Code (Code), 66 Pa. C.S. </w:t>
      </w:r>
    </w:p>
    <w:p w14:paraId="7AE6BFD0" w14:textId="258D8A98" w:rsidR="006B6A37" w:rsidRPr="00E9174E" w:rsidRDefault="006B6A37" w:rsidP="00E9174E">
      <w:pPr>
        <w:widowControl/>
        <w:spacing w:line="360" w:lineRule="auto"/>
        <w:contextualSpacing/>
        <w:rPr>
          <w:sz w:val="26"/>
          <w:szCs w:val="26"/>
        </w:rPr>
      </w:pPr>
      <w:r w:rsidRPr="00E9174E">
        <w:rPr>
          <w:sz w:val="26"/>
          <w:szCs w:val="26"/>
        </w:rPr>
        <w:t xml:space="preserve">§§ 102 and 2202, providing natural gas distribution, sales, transportation, and/or supplier of last resort services to approximately 433,000 retail customers in portions of </w:t>
      </w:r>
      <w:r w:rsidR="006B0EBD" w:rsidRPr="00E9174E">
        <w:rPr>
          <w:sz w:val="26"/>
          <w:szCs w:val="26"/>
        </w:rPr>
        <w:t>twenty-six</w:t>
      </w:r>
      <w:r w:rsidRPr="00E9174E">
        <w:rPr>
          <w:sz w:val="26"/>
          <w:szCs w:val="26"/>
        </w:rPr>
        <w:t xml:space="preserve"> counties in western, northwestern, southern, and central Pennsylvania.  Columbia is a wholly-owned subsidiary of NiSource Gas Distribution Group, Inc., which </w:t>
      </w:r>
      <w:r w:rsidR="00A403C1" w:rsidRPr="00E9174E">
        <w:rPr>
          <w:sz w:val="26"/>
          <w:szCs w:val="26"/>
        </w:rPr>
        <w:t>is</w:t>
      </w:r>
      <w:r w:rsidRPr="00E9174E">
        <w:rPr>
          <w:sz w:val="26"/>
          <w:szCs w:val="26"/>
        </w:rPr>
        <w:t xml:space="preserve"> a subsidiary of NiSource, Inc.  NiSource, Inc. </w:t>
      </w:r>
      <w:r w:rsidR="00F310DD" w:rsidRPr="00E9174E">
        <w:rPr>
          <w:sz w:val="26"/>
          <w:szCs w:val="26"/>
        </w:rPr>
        <w:t>(NiSource</w:t>
      </w:r>
      <w:r w:rsidR="007D1D97" w:rsidRPr="00E9174E">
        <w:rPr>
          <w:sz w:val="26"/>
          <w:szCs w:val="26"/>
        </w:rPr>
        <w:t xml:space="preserve">) </w:t>
      </w:r>
      <w:r w:rsidRPr="00E9174E">
        <w:rPr>
          <w:sz w:val="26"/>
          <w:szCs w:val="26"/>
        </w:rPr>
        <w:t xml:space="preserve">acquired the Columbia Energy Group and its subsidiaries on November 1, 2000.  </w:t>
      </w:r>
    </w:p>
    <w:p w14:paraId="01597CDC" w14:textId="77777777" w:rsidR="006B6A37" w:rsidRPr="00E9174E" w:rsidRDefault="006B6A37" w:rsidP="00E9174E">
      <w:pPr>
        <w:widowControl/>
        <w:spacing w:line="360" w:lineRule="auto"/>
        <w:ind w:firstLine="1440"/>
        <w:contextualSpacing/>
        <w:rPr>
          <w:sz w:val="26"/>
          <w:szCs w:val="26"/>
        </w:rPr>
      </w:pPr>
    </w:p>
    <w:p w14:paraId="6117C5C8" w14:textId="7FEA0FD7" w:rsidR="006B6A37" w:rsidRPr="00E9174E" w:rsidRDefault="006B6A37" w:rsidP="00E9174E">
      <w:pPr>
        <w:widowControl/>
        <w:spacing w:line="360" w:lineRule="auto"/>
        <w:ind w:firstLine="1440"/>
        <w:contextualSpacing/>
        <w:rPr>
          <w:sz w:val="26"/>
          <w:szCs w:val="26"/>
        </w:rPr>
      </w:pPr>
      <w:r w:rsidRPr="00E9174E">
        <w:rPr>
          <w:sz w:val="26"/>
          <w:szCs w:val="26"/>
        </w:rPr>
        <w:t xml:space="preserve">Columbia’s testimony provided that its requested increase in annual operating revenues was driven by two main contributing factors: </w:t>
      </w:r>
      <w:r w:rsidR="00331BB5" w:rsidRPr="00E9174E">
        <w:rPr>
          <w:sz w:val="26"/>
          <w:szCs w:val="26"/>
        </w:rPr>
        <w:t>(</w:t>
      </w:r>
      <w:r w:rsidRPr="00E9174E">
        <w:rPr>
          <w:sz w:val="26"/>
          <w:szCs w:val="26"/>
        </w:rPr>
        <w:t xml:space="preserve">1) its continued investment in its accelerated pipeline replacement program and </w:t>
      </w:r>
      <w:r w:rsidR="005410EB" w:rsidRPr="00E9174E">
        <w:rPr>
          <w:sz w:val="26"/>
          <w:szCs w:val="26"/>
        </w:rPr>
        <w:t>(</w:t>
      </w:r>
      <w:r w:rsidRPr="00E9174E">
        <w:rPr>
          <w:sz w:val="26"/>
          <w:szCs w:val="26"/>
        </w:rPr>
        <w:t xml:space="preserve">2) the Company’s increased expenses on a variety of safety initiatives, including repairs to be undertaken on customer-owned pipes.  Columbia St. 1 at 7-9.  The Company’s original request, Supplement No. </w:t>
      </w:r>
      <w:r w:rsidRPr="00E9174E">
        <w:rPr>
          <w:rFonts w:eastAsiaTheme="minorHAnsi"/>
          <w:sz w:val="26"/>
          <w:szCs w:val="26"/>
        </w:rPr>
        <w:t xml:space="preserve">307 to Tariff Gas – Pa. P.U.C. No. 9 (Supplement No. 307), filed on April 24, 2020, sought an increase in annual distribution operating revenues of $100,437,420, based on a </w:t>
      </w:r>
      <w:r w:rsidR="00C61849" w:rsidRPr="00E9174E">
        <w:rPr>
          <w:rFonts w:eastAsiaTheme="minorHAnsi"/>
          <w:sz w:val="26"/>
          <w:szCs w:val="26"/>
        </w:rPr>
        <w:t xml:space="preserve">fully projected future test year </w:t>
      </w:r>
      <w:bookmarkStart w:id="7" w:name="_Hlk63272264"/>
      <w:r w:rsidR="00C61849" w:rsidRPr="00E9174E">
        <w:rPr>
          <w:rFonts w:eastAsiaTheme="minorHAnsi"/>
          <w:sz w:val="26"/>
          <w:szCs w:val="26"/>
        </w:rPr>
        <w:t>(</w:t>
      </w:r>
      <w:r w:rsidRPr="00E9174E">
        <w:rPr>
          <w:rFonts w:eastAsiaTheme="minorHAnsi"/>
          <w:sz w:val="26"/>
          <w:szCs w:val="26"/>
        </w:rPr>
        <w:t>FPFTY</w:t>
      </w:r>
      <w:bookmarkEnd w:id="7"/>
      <w:r w:rsidR="00C61849" w:rsidRPr="00E9174E">
        <w:rPr>
          <w:rFonts w:eastAsiaTheme="minorHAnsi"/>
          <w:sz w:val="26"/>
          <w:szCs w:val="26"/>
        </w:rPr>
        <w:t>)</w:t>
      </w:r>
      <w:r w:rsidRPr="00E9174E">
        <w:rPr>
          <w:rFonts w:eastAsiaTheme="minorHAnsi"/>
          <w:sz w:val="26"/>
          <w:szCs w:val="26"/>
        </w:rPr>
        <w:t xml:space="preserve"> ending December</w:t>
      </w:r>
      <w:r w:rsidR="007C046E" w:rsidRPr="00E9174E">
        <w:rPr>
          <w:rFonts w:eastAsiaTheme="minorHAnsi"/>
          <w:sz w:val="26"/>
          <w:szCs w:val="26"/>
        </w:rPr>
        <w:t> </w:t>
      </w:r>
      <w:r w:rsidRPr="00E9174E">
        <w:rPr>
          <w:rFonts w:eastAsiaTheme="minorHAnsi"/>
          <w:sz w:val="26"/>
          <w:szCs w:val="26"/>
        </w:rPr>
        <w:t>31,</w:t>
      </w:r>
      <w:r w:rsidR="007C046E" w:rsidRPr="00E9174E">
        <w:rPr>
          <w:rFonts w:eastAsiaTheme="minorHAnsi"/>
          <w:sz w:val="26"/>
          <w:szCs w:val="26"/>
        </w:rPr>
        <w:t> </w:t>
      </w:r>
      <w:r w:rsidRPr="00E9174E">
        <w:rPr>
          <w:rFonts w:eastAsiaTheme="minorHAnsi"/>
          <w:sz w:val="26"/>
          <w:szCs w:val="26"/>
        </w:rPr>
        <w:t>2021.</w:t>
      </w:r>
      <w:r w:rsidR="00FB1D6B" w:rsidRPr="00E9174E">
        <w:rPr>
          <w:rStyle w:val="FootnoteReference"/>
          <w:rFonts w:eastAsiaTheme="minorHAnsi"/>
          <w:sz w:val="26"/>
          <w:szCs w:val="26"/>
        </w:rPr>
        <w:footnoteReference w:id="3"/>
      </w:r>
      <w:r w:rsidRPr="00E9174E">
        <w:rPr>
          <w:rFonts w:eastAsiaTheme="minorHAnsi"/>
          <w:sz w:val="26"/>
          <w:szCs w:val="26"/>
        </w:rPr>
        <w:t xml:space="preserve">  Subsequently, the Company filed revised base rate schedules revis</w:t>
      </w:r>
      <w:r w:rsidR="00233E9B" w:rsidRPr="00E9174E">
        <w:rPr>
          <w:rFonts w:eastAsiaTheme="minorHAnsi"/>
          <w:sz w:val="26"/>
          <w:szCs w:val="26"/>
        </w:rPr>
        <w:t>ing</w:t>
      </w:r>
      <w:r w:rsidRPr="00E9174E">
        <w:rPr>
          <w:rFonts w:eastAsiaTheme="minorHAnsi"/>
          <w:sz w:val="26"/>
          <w:szCs w:val="26"/>
        </w:rPr>
        <w:t xml:space="preserve"> its requested increase to $100,366,797, which is designed to provide the Company with an opportunity to earn </w:t>
      </w:r>
      <w:r w:rsidRPr="00E9174E">
        <w:rPr>
          <w:sz w:val="26"/>
          <w:szCs w:val="26"/>
        </w:rPr>
        <w:t xml:space="preserve">an 8.00% overall rate of return, including a 10.95% return on common equity, on a claimed rate base of $2.401 billion.  </w:t>
      </w:r>
      <w:r w:rsidRPr="00E9174E">
        <w:rPr>
          <w:i/>
          <w:iCs/>
          <w:sz w:val="26"/>
          <w:szCs w:val="26"/>
        </w:rPr>
        <w:t>See</w:t>
      </w:r>
      <w:r w:rsidRPr="00E9174E">
        <w:rPr>
          <w:sz w:val="26"/>
          <w:szCs w:val="26"/>
        </w:rPr>
        <w:t xml:space="preserve"> CG </w:t>
      </w:r>
      <w:proofErr w:type="spellStart"/>
      <w:r w:rsidRPr="00E9174E">
        <w:rPr>
          <w:sz w:val="26"/>
          <w:szCs w:val="26"/>
        </w:rPr>
        <w:t>Exh</w:t>
      </w:r>
      <w:proofErr w:type="spellEnd"/>
      <w:r w:rsidRPr="00E9174E">
        <w:rPr>
          <w:sz w:val="26"/>
          <w:szCs w:val="26"/>
        </w:rPr>
        <w:t>. KKM</w:t>
      </w:r>
      <w:r w:rsidR="007C046E" w:rsidRPr="00E9174E">
        <w:rPr>
          <w:sz w:val="26"/>
          <w:szCs w:val="26"/>
        </w:rPr>
        <w:noBreakHyphen/>
      </w:r>
      <w:r w:rsidRPr="00E9174E">
        <w:rPr>
          <w:sz w:val="26"/>
          <w:szCs w:val="26"/>
        </w:rPr>
        <w:t xml:space="preserve">1R at 3; CG </w:t>
      </w:r>
      <w:proofErr w:type="spellStart"/>
      <w:r w:rsidRPr="00E9174E">
        <w:rPr>
          <w:sz w:val="26"/>
          <w:szCs w:val="26"/>
        </w:rPr>
        <w:t>Exh</w:t>
      </w:r>
      <w:proofErr w:type="spellEnd"/>
      <w:r w:rsidRPr="00E9174E">
        <w:rPr>
          <w:sz w:val="26"/>
          <w:szCs w:val="26"/>
        </w:rPr>
        <w:t xml:space="preserve">. 400 (Updated), Sch. 1 (accompanying CG St. 8-R).  Columbia </w:t>
      </w:r>
      <w:r w:rsidRPr="00E9174E">
        <w:rPr>
          <w:sz w:val="26"/>
          <w:szCs w:val="26"/>
        </w:rPr>
        <w:lastRenderedPageBreak/>
        <w:t xml:space="preserve">argued that absent rate relief, its overall rate of return on its FPFTY rate base will be “grossly inadequate” 4.88%.  CG M.B. at 1.  </w:t>
      </w:r>
    </w:p>
    <w:p w14:paraId="680B7CE5" w14:textId="77777777" w:rsidR="006B6A37" w:rsidRPr="00E9174E" w:rsidRDefault="006B6A37" w:rsidP="00E9174E">
      <w:pPr>
        <w:widowControl/>
        <w:spacing w:line="360" w:lineRule="auto"/>
        <w:ind w:firstLine="1440"/>
        <w:contextualSpacing/>
        <w:rPr>
          <w:sz w:val="26"/>
          <w:szCs w:val="26"/>
        </w:rPr>
      </w:pPr>
    </w:p>
    <w:p w14:paraId="1BC3506F" w14:textId="40F6D6A0" w:rsidR="006B6A37" w:rsidRPr="00E9174E" w:rsidRDefault="006B6A37" w:rsidP="00E9174E">
      <w:pPr>
        <w:widowControl/>
        <w:spacing w:line="360" w:lineRule="auto"/>
        <w:ind w:firstLine="1440"/>
        <w:contextualSpacing/>
        <w:rPr>
          <w:sz w:val="26"/>
          <w:szCs w:val="26"/>
        </w:rPr>
      </w:pPr>
      <w:r w:rsidRPr="00E9174E">
        <w:rPr>
          <w:sz w:val="26"/>
          <w:szCs w:val="26"/>
        </w:rPr>
        <w:t>Columbia also proposed the following tariff revisions in its filing: (1) an increase in the monthly residential customer charge from $16.75 to $23.00, or by 37.3%</w:t>
      </w:r>
      <w:r w:rsidR="008849FA" w:rsidRPr="00E9174E">
        <w:rPr>
          <w:sz w:val="26"/>
          <w:szCs w:val="26"/>
        </w:rPr>
        <w:t>;</w:t>
      </w:r>
      <w:r w:rsidRPr="00E9174E">
        <w:rPr>
          <w:sz w:val="26"/>
          <w:szCs w:val="26"/>
        </w:rPr>
        <w:t xml:space="preserve"> (2) the elimination of the 3 percent </w:t>
      </w:r>
      <w:proofErr w:type="spellStart"/>
      <w:r w:rsidRPr="00E9174E">
        <w:rPr>
          <w:sz w:val="26"/>
          <w:szCs w:val="26"/>
        </w:rPr>
        <w:t>deadband</w:t>
      </w:r>
      <w:proofErr w:type="spellEnd"/>
      <w:r w:rsidRPr="00E9174E">
        <w:rPr>
          <w:sz w:val="26"/>
          <w:szCs w:val="26"/>
        </w:rPr>
        <w:t xml:space="preserve"> provision of its </w:t>
      </w:r>
      <w:bookmarkStart w:id="9" w:name="_Hlk63272538"/>
      <w:r w:rsidRPr="00E9174E">
        <w:rPr>
          <w:sz w:val="26"/>
          <w:szCs w:val="26"/>
        </w:rPr>
        <w:t xml:space="preserve">Weather Normalization Adjustment </w:t>
      </w:r>
      <w:bookmarkEnd w:id="9"/>
      <w:r w:rsidRPr="00E9174E">
        <w:rPr>
          <w:sz w:val="26"/>
          <w:szCs w:val="26"/>
        </w:rPr>
        <w:t>(</w:t>
      </w:r>
      <w:bookmarkStart w:id="10" w:name="_Hlk63272517"/>
      <w:r w:rsidRPr="00E9174E">
        <w:rPr>
          <w:sz w:val="26"/>
          <w:szCs w:val="26"/>
        </w:rPr>
        <w:t>WNA</w:t>
      </w:r>
      <w:bookmarkEnd w:id="10"/>
      <w:r w:rsidRPr="00E9174E">
        <w:rPr>
          <w:sz w:val="26"/>
          <w:szCs w:val="26"/>
        </w:rPr>
        <w:t>) Rider program</w:t>
      </w:r>
      <w:r w:rsidR="008849FA" w:rsidRPr="00E9174E">
        <w:rPr>
          <w:sz w:val="26"/>
          <w:szCs w:val="26"/>
        </w:rPr>
        <w:t>;</w:t>
      </w:r>
      <w:r w:rsidRPr="00E9174E">
        <w:rPr>
          <w:sz w:val="26"/>
          <w:szCs w:val="26"/>
        </w:rPr>
        <w:t xml:space="preserve"> and (3) the introduction of a </w:t>
      </w:r>
      <w:bookmarkStart w:id="11" w:name="_Hlk63272586"/>
      <w:r w:rsidRPr="00E9174E">
        <w:rPr>
          <w:sz w:val="26"/>
          <w:szCs w:val="26"/>
        </w:rPr>
        <w:t>Revenue Normalization Adjustment</w:t>
      </w:r>
      <w:bookmarkEnd w:id="11"/>
      <w:r w:rsidRPr="00E9174E">
        <w:rPr>
          <w:sz w:val="26"/>
          <w:szCs w:val="26"/>
        </w:rPr>
        <w:t xml:space="preserve"> (</w:t>
      </w:r>
      <w:bookmarkStart w:id="12" w:name="_Hlk63272565"/>
      <w:r w:rsidRPr="00E9174E">
        <w:rPr>
          <w:sz w:val="26"/>
          <w:szCs w:val="26"/>
        </w:rPr>
        <w:t>RNA</w:t>
      </w:r>
      <w:bookmarkEnd w:id="12"/>
      <w:r w:rsidRPr="00E9174E">
        <w:rPr>
          <w:sz w:val="26"/>
          <w:szCs w:val="26"/>
        </w:rPr>
        <w:t xml:space="preserve">) Rider.  CG M.B. at 149-156.  </w:t>
      </w:r>
    </w:p>
    <w:p w14:paraId="2EF173BD" w14:textId="2DC9F0C7" w:rsidR="006B6A37" w:rsidRPr="00E9174E" w:rsidRDefault="006B6A37" w:rsidP="00E9174E">
      <w:pPr>
        <w:widowControl/>
        <w:tabs>
          <w:tab w:val="left" w:pos="-720"/>
        </w:tabs>
        <w:suppressAutoHyphens/>
        <w:spacing w:line="360" w:lineRule="auto"/>
        <w:contextualSpacing/>
        <w:rPr>
          <w:sz w:val="26"/>
          <w:szCs w:val="26"/>
        </w:rPr>
      </w:pPr>
    </w:p>
    <w:p w14:paraId="3726DFF4" w14:textId="1F98E931" w:rsidR="006B6A37" w:rsidRPr="00E9174E" w:rsidRDefault="0051509F" w:rsidP="00277ECF">
      <w:pPr>
        <w:pStyle w:val="Heading1"/>
        <w:numPr>
          <w:ilvl w:val="0"/>
          <w:numId w:val="35"/>
        </w:numPr>
      </w:pPr>
      <w:bookmarkStart w:id="13" w:name="_Toc63764409"/>
      <w:r w:rsidRPr="00E9174E">
        <w:t>History of the Proceeding</w:t>
      </w:r>
      <w:bookmarkEnd w:id="13"/>
    </w:p>
    <w:p w14:paraId="419DA0F8" w14:textId="6E556E03" w:rsidR="009D5949" w:rsidRPr="00E9174E" w:rsidRDefault="009D5949" w:rsidP="00E9174E">
      <w:pPr>
        <w:keepNext/>
        <w:keepLines/>
        <w:widowControl/>
        <w:spacing w:line="360" w:lineRule="auto"/>
        <w:contextualSpacing/>
        <w:rPr>
          <w:sz w:val="26"/>
          <w:szCs w:val="26"/>
        </w:rPr>
      </w:pPr>
    </w:p>
    <w:p w14:paraId="7A41173D" w14:textId="516EA46A" w:rsidR="006D0E84" w:rsidRPr="00E9174E" w:rsidRDefault="006D0E84" w:rsidP="00E9174E">
      <w:pPr>
        <w:widowControl/>
        <w:spacing w:line="360" w:lineRule="auto"/>
        <w:ind w:firstLine="1440"/>
        <w:contextualSpacing/>
        <w:rPr>
          <w:sz w:val="26"/>
          <w:szCs w:val="26"/>
        </w:rPr>
      </w:pPr>
      <w:r w:rsidRPr="00E9174E">
        <w:rPr>
          <w:sz w:val="26"/>
          <w:szCs w:val="26"/>
        </w:rPr>
        <w:t>On April 24, 2020, Columbia filed Supplement No. 307 at Docket No. R</w:t>
      </w:r>
      <w:r w:rsidR="008849FA" w:rsidRPr="00E9174E">
        <w:rPr>
          <w:sz w:val="26"/>
          <w:szCs w:val="26"/>
        </w:rPr>
        <w:noBreakHyphen/>
      </w:r>
      <w:r w:rsidRPr="00E9174E">
        <w:rPr>
          <w:sz w:val="26"/>
          <w:szCs w:val="26"/>
        </w:rPr>
        <w:t>2020-3018835, with an effective date of January 23, 2021.</w:t>
      </w:r>
      <w:r w:rsidRPr="00E9174E">
        <w:rPr>
          <w:sz w:val="26"/>
          <w:szCs w:val="26"/>
          <w:vertAlign w:val="superscript"/>
        </w:rPr>
        <w:footnoteReference w:id="4"/>
      </w:r>
      <w:r w:rsidRPr="00E9174E">
        <w:rPr>
          <w:sz w:val="26"/>
          <w:szCs w:val="26"/>
        </w:rPr>
        <w:t xml:space="preserve">  Columbia proposed to increase overall rates by approximately $100.4 million per year, or 17.54% over present revenues.  Columbia’s proposal, if granted, would increase the average </w:t>
      </w:r>
      <w:r w:rsidR="007D2023" w:rsidRPr="00E9174E">
        <w:rPr>
          <w:sz w:val="26"/>
          <w:szCs w:val="26"/>
        </w:rPr>
        <w:t xml:space="preserve">monthly </w:t>
      </w:r>
      <w:r w:rsidRPr="00E9174E">
        <w:rPr>
          <w:sz w:val="26"/>
          <w:szCs w:val="26"/>
        </w:rPr>
        <w:t xml:space="preserve">residential customer bill from $87.57 to $103.19, or by approximately 17.84%.  </w:t>
      </w:r>
    </w:p>
    <w:p w14:paraId="2E257267" w14:textId="77777777" w:rsidR="006D0E84" w:rsidRPr="00E9174E" w:rsidRDefault="006D0E84" w:rsidP="00E9174E">
      <w:pPr>
        <w:widowControl/>
        <w:spacing w:line="360" w:lineRule="auto"/>
        <w:ind w:firstLine="1440"/>
        <w:contextualSpacing/>
        <w:rPr>
          <w:sz w:val="26"/>
          <w:szCs w:val="26"/>
        </w:rPr>
      </w:pPr>
    </w:p>
    <w:p w14:paraId="6DA29AFA" w14:textId="51687F84" w:rsidR="006D0E84" w:rsidRPr="00E9174E" w:rsidRDefault="006D0E84" w:rsidP="00E9174E">
      <w:pPr>
        <w:widowControl/>
        <w:spacing w:line="360" w:lineRule="auto"/>
        <w:ind w:firstLine="1440"/>
        <w:contextualSpacing/>
        <w:rPr>
          <w:sz w:val="26"/>
          <w:szCs w:val="26"/>
        </w:rPr>
      </w:pPr>
      <w:r w:rsidRPr="00E9174E">
        <w:rPr>
          <w:sz w:val="26"/>
          <w:szCs w:val="26"/>
        </w:rPr>
        <w:t>On April 27, 2020, I&amp;E filed a Notice of Appearance.  On May 4, 2020, the OSBA filed a Public Statement and Formal Complaint at Docket No. C-2020-3019702.  On May 5, 2020, the OCA filed a Public Statement and Formal Complaint at Docket No. C-2020-3019714.</w:t>
      </w:r>
    </w:p>
    <w:p w14:paraId="000B0146" w14:textId="1573DC6B" w:rsidR="006D0E84" w:rsidRPr="00E9174E" w:rsidRDefault="006D0E84" w:rsidP="00E9174E">
      <w:pPr>
        <w:widowControl/>
        <w:spacing w:line="360" w:lineRule="auto"/>
        <w:ind w:firstLine="1440"/>
        <w:contextualSpacing/>
        <w:rPr>
          <w:sz w:val="26"/>
          <w:szCs w:val="26"/>
        </w:rPr>
      </w:pPr>
      <w:r w:rsidRPr="00E9174E">
        <w:rPr>
          <w:sz w:val="26"/>
          <w:szCs w:val="26"/>
        </w:rPr>
        <w:lastRenderedPageBreak/>
        <w:t>On May 14, 2020, the Community Action Association of Pennsylvania (CAAP), which represents Pennsylvania’s community action agencies that provide anti-poverty planning and community development activities for low-income communities and services to individuals and families who are customers of Columbia, filed a Petition to Intervene.</w:t>
      </w:r>
    </w:p>
    <w:p w14:paraId="4F982C45" w14:textId="77777777" w:rsidR="00A2428C" w:rsidRPr="00E9174E" w:rsidRDefault="00A2428C" w:rsidP="00E9174E">
      <w:pPr>
        <w:widowControl/>
        <w:spacing w:line="360" w:lineRule="auto"/>
        <w:ind w:firstLine="1440"/>
        <w:contextualSpacing/>
        <w:rPr>
          <w:sz w:val="26"/>
          <w:szCs w:val="26"/>
        </w:rPr>
      </w:pPr>
    </w:p>
    <w:p w14:paraId="413C89EF" w14:textId="77777777" w:rsidR="006D0E84" w:rsidRPr="00E9174E" w:rsidRDefault="006D0E84" w:rsidP="00E9174E">
      <w:pPr>
        <w:widowControl/>
        <w:spacing w:line="360" w:lineRule="auto"/>
        <w:ind w:firstLine="1440"/>
        <w:contextualSpacing/>
        <w:rPr>
          <w:sz w:val="26"/>
          <w:szCs w:val="26"/>
        </w:rPr>
      </w:pPr>
      <w:r w:rsidRPr="00E9174E">
        <w:rPr>
          <w:sz w:val="26"/>
          <w:szCs w:val="26"/>
        </w:rPr>
        <w:t xml:space="preserve">On May 18, 2020, CAUSE-PA, which represents low- and moderate-income individuals and advocates on behalf of its members to enable consumers of limited economic means to connect to and maintain affordable water, electric, heating, and telecommunication services, filed a Petition to Intervene. </w:t>
      </w:r>
    </w:p>
    <w:p w14:paraId="4A8475CF" w14:textId="77777777" w:rsidR="006D0E84" w:rsidRPr="00E9174E" w:rsidRDefault="006D0E84" w:rsidP="00E9174E">
      <w:pPr>
        <w:widowControl/>
        <w:spacing w:line="360" w:lineRule="auto"/>
        <w:ind w:firstLine="1440"/>
        <w:contextualSpacing/>
        <w:rPr>
          <w:sz w:val="26"/>
          <w:szCs w:val="26"/>
        </w:rPr>
      </w:pPr>
    </w:p>
    <w:p w14:paraId="56A86176" w14:textId="4FBECBDB" w:rsidR="006D0E84" w:rsidRPr="00E9174E" w:rsidRDefault="006D0E84" w:rsidP="00E9174E">
      <w:pPr>
        <w:widowControl/>
        <w:spacing w:line="360" w:lineRule="auto"/>
        <w:ind w:firstLine="1440"/>
        <w:contextualSpacing/>
        <w:rPr>
          <w:sz w:val="26"/>
          <w:szCs w:val="26"/>
        </w:rPr>
      </w:pPr>
      <w:r w:rsidRPr="00E9174E">
        <w:rPr>
          <w:sz w:val="26"/>
          <w:szCs w:val="26"/>
        </w:rPr>
        <w:t>By Order entered May 21, 2020, the Commission suspended the implementation of Supplement No. 307 by operation of law, pursuant to 66 Pa. C.S. §</w:t>
      </w:r>
      <w:r w:rsidR="00367452" w:rsidRPr="00E9174E">
        <w:rPr>
          <w:sz w:val="26"/>
          <w:szCs w:val="26"/>
        </w:rPr>
        <w:t> </w:t>
      </w:r>
      <w:r w:rsidRPr="00E9174E">
        <w:rPr>
          <w:sz w:val="26"/>
          <w:szCs w:val="26"/>
        </w:rPr>
        <w:t xml:space="preserve">1308(d), until January 23, 2021, unless permitted by Commission Order to become effective at an earlier date, and instituted an investigation into the lawfulness, justness, and reasonableness of the rates, rules, and regulations proposed.  The Commission assigned the matter to the Office of Administrative Law Judge (OALJ) for the prompt scheduling of such hearings as may be necessary and issuance of a Recommended Decision.  </w:t>
      </w:r>
    </w:p>
    <w:p w14:paraId="14AFCEDA" w14:textId="77777777" w:rsidR="006D0E84" w:rsidRPr="00E9174E" w:rsidRDefault="006D0E84" w:rsidP="00E9174E">
      <w:pPr>
        <w:widowControl/>
        <w:spacing w:line="360" w:lineRule="auto"/>
        <w:ind w:firstLine="1440"/>
        <w:contextualSpacing/>
        <w:rPr>
          <w:sz w:val="26"/>
          <w:szCs w:val="26"/>
        </w:rPr>
      </w:pPr>
    </w:p>
    <w:p w14:paraId="129EB8E0" w14:textId="77777777" w:rsidR="006D0E84" w:rsidRPr="00E9174E" w:rsidRDefault="006D0E84" w:rsidP="00E9174E">
      <w:pPr>
        <w:widowControl/>
        <w:spacing w:line="360" w:lineRule="auto"/>
        <w:ind w:firstLine="1440"/>
        <w:contextualSpacing/>
        <w:rPr>
          <w:sz w:val="26"/>
          <w:szCs w:val="26"/>
        </w:rPr>
      </w:pPr>
      <w:r w:rsidRPr="00E9174E">
        <w:rPr>
          <w:sz w:val="26"/>
          <w:szCs w:val="26"/>
        </w:rPr>
        <w:t xml:space="preserve">On May 29, 2020, the Columbia Industrial Intervenors (CII), on behalf of its members (Hanover Foods Corporation, </w:t>
      </w:r>
      <w:proofErr w:type="spellStart"/>
      <w:r w:rsidRPr="00E9174E">
        <w:rPr>
          <w:sz w:val="26"/>
          <w:szCs w:val="26"/>
        </w:rPr>
        <w:t>Knouse</w:t>
      </w:r>
      <w:proofErr w:type="spellEnd"/>
      <w:r w:rsidRPr="00E9174E">
        <w:rPr>
          <w:sz w:val="26"/>
          <w:szCs w:val="26"/>
        </w:rPr>
        <w:t xml:space="preserve"> Foods Cooperative, Inc. and RHI </w:t>
      </w:r>
      <w:proofErr w:type="spellStart"/>
      <w:r w:rsidRPr="00E9174E">
        <w:rPr>
          <w:sz w:val="26"/>
          <w:szCs w:val="26"/>
        </w:rPr>
        <w:t>Magnesita</w:t>
      </w:r>
      <w:proofErr w:type="spellEnd"/>
      <w:r w:rsidRPr="00E9174E">
        <w:rPr>
          <w:sz w:val="26"/>
          <w:szCs w:val="26"/>
        </w:rPr>
        <w:t xml:space="preserve">), filed a Formal Complaint at Docket No. C-2020-3020105. </w:t>
      </w:r>
    </w:p>
    <w:p w14:paraId="6E272DA2" w14:textId="77777777" w:rsidR="006D0E84" w:rsidRPr="00E9174E" w:rsidRDefault="006D0E84" w:rsidP="00E9174E">
      <w:pPr>
        <w:widowControl/>
        <w:spacing w:line="360" w:lineRule="auto"/>
        <w:ind w:firstLine="1440"/>
        <w:contextualSpacing/>
        <w:rPr>
          <w:sz w:val="26"/>
          <w:szCs w:val="26"/>
        </w:rPr>
      </w:pPr>
    </w:p>
    <w:p w14:paraId="700E8BE5" w14:textId="0A13A5A8" w:rsidR="006D0E84" w:rsidRPr="00E9174E" w:rsidRDefault="006D0E84" w:rsidP="00E9174E">
      <w:pPr>
        <w:widowControl/>
        <w:spacing w:line="360" w:lineRule="auto"/>
        <w:ind w:firstLine="1440"/>
        <w:contextualSpacing/>
        <w:rPr>
          <w:sz w:val="26"/>
          <w:szCs w:val="26"/>
        </w:rPr>
      </w:pPr>
      <w:r w:rsidRPr="00E9174E">
        <w:rPr>
          <w:sz w:val="26"/>
          <w:szCs w:val="26"/>
        </w:rPr>
        <w:t>On May 29, 2020, I&amp;E filed an Expedited Motion to Extend the Statutory Suspension Period During the Emergency Interruption of Normal Operations of the Pennsylvania Public Utility Commission (Motion to Extend).  I&amp;E asked Chief Administrative Law Judge (CALJ) Charles Rainey to grant an extension of the suspension period from January 23, 2021</w:t>
      </w:r>
      <w:r w:rsidR="008849FA" w:rsidRPr="00E9174E">
        <w:rPr>
          <w:sz w:val="26"/>
          <w:szCs w:val="26"/>
        </w:rPr>
        <w:t>,</w:t>
      </w:r>
      <w:r w:rsidRPr="00E9174E">
        <w:rPr>
          <w:sz w:val="26"/>
          <w:szCs w:val="26"/>
        </w:rPr>
        <w:t xml:space="preserve"> to February 4, 2021</w:t>
      </w:r>
      <w:r w:rsidR="008849FA" w:rsidRPr="00E9174E">
        <w:rPr>
          <w:sz w:val="26"/>
          <w:szCs w:val="26"/>
        </w:rPr>
        <w:t>,</w:t>
      </w:r>
      <w:r w:rsidRPr="00E9174E">
        <w:rPr>
          <w:sz w:val="26"/>
          <w:szCs w:val="26"/>
        </w:rPr>
        <w:t xml:space="preserve"> pursuant to the </w:t>
      </w:r>
      <w:r w:rsidRPr="00E9174E">
        <w:rPr>
          <w:sz w:val="26"/>
          <w:szCs w:val="26"/>
        </w:rPr>
        <w:lastRenderedPageBreak/>
        <w:t>Commission’s Emergency Order at Docket No. M-2020-3019262, dated March 20, 2020</w:t>
      </w:r>
      <w:r w:rsidR="008849FA" w:rsidRPr="00E9174E">
        <w:rPr>
          <w:sz w:val="26"/>
          <w:szCs w:val="26"/>
        </w:rPr>
        <w:t>,</w:t>
      </w:r>
      <w:r w:rsidRPr="00E9174E">
        <w:rPr>
          <w:sz w:val="26"/>
          <w:szCs w:val="26"/>
        </w:rPr>
        <w:t xml:space="preserve"> and ratified by the Commission on March 26, 2020, which authorized the CALJ to establish reasonable deadlines under the circumstances, after consideration of the position</w:t>
      </w:r>
      <w:r w:rsidR="007F0BA5" w:rsidRPr="00E9174E">
        <w:rPr>
          <w:sz w:val="26"/>
          <w:szCs w:val="26"/>
        </w:rPr>
        <w:t>s</w:t>
      </w:r>
      <w:r w:rsidRPr="00E9174E">
        <w:rPr>
          <w:sz w:val="26"/>
          <w:szCs w:val="26"/>
        </w:rPr>
        <w:t xml:space="preserve"> of the </w:t>
      </w:r>
      <w:r w:rsidR="00FF4FED" w:rsidRPr="00E9174E">
        <w:rPr>
          <w:sz w:val="26"/>
          <w:szCs w:val="26"/>
        </w:rPr>
        <w:t>P</w:t>
      </w:r>
      <w:r w:rsidRPr="00E9174E">
        <w:rPr>
          <w:sz w:val="26"/>
          <w:szCs w:val="26"/>
        </w:rPr>
        <w:t>arties and the presiding ALJ, if necessary</w:t>
      </w:r>
      <w:r w:rsidR="00FF4FED" w:rsidRPr="00E9174E">
        <w:rPr>
          <w:sz w:val="26"/>
          <w:szCs w:val="26"/>
        </w:rPr>
        <w:t>,</w:t>
      </w:r>
      <w:r w:rsidRPr="00E9174E">
        <w:rPr>
          <w:sz w:val="26"/>
          <w:szCs w:val="26"/>
        </w:rPr>
        <w:t xml:space="preserve"> in response to the obstacles created by the COVID-19 pandemic.</w:t>
      </w:r>
    </w:p>
    <w:p w14:paraId="7919CDB1" w14:textId="77777777" w:rsidR="006D0E84" w:rsidRPr="00E9174E" w:rsidRDefault="006D0E84" w:rsidP="00E9174E">
      <w:pPr>
        <w:widowControl/>
        <w:spacing w:line="360" w:lineRule="auto"/>
        <w:ind w:firstLine="1440"/>
        <w:contextualSpacing/>
        <w:rPr>
          <w:sz w:val="26"/>
          <w:szCs w:val="26"/>
        </w:rPr>
      </w:pPr>
    </w:p>
    <w:p w14:paraId="02C71737" w14:textId="203FE07E" w:rsidR="006D0E84" w:rsidRPr="00E9174E" w:rsidRDefault="006D0E84" w:rsidP="00E9174E">
      <w:pPr>
        <w:widowControl/>
        <w:spacing w:line="360" w:lineRule="auto"/>
        <w:ind w:firstLine="1440"/>
        <w:contextualSpacing/>
        <w:rPr>
          <w:sz w:val="26"/>
          <w:szCs w:val="26"/>
        </w:rPr>
      </w:pPr>
      <w:r w:rsidRPr="00E9174E">
        <w:rPr>
          <w:sz w:val="26"/>
          <w:szCs w:val="26"/>
        </w:rPr>
        <w:t xml:space="preserve">On June 3, 2020, the </w:t>
      </w:r>
      <w:r w:rsidR="008D1304" w:rsidRPr="00E9174E">
        <w:rPr>
          <w:sz w:val="26"/>
          <w:szCs w:val="26"/>
        </w:rPr>
        <w:t>ALJ</w:t>
      </w:r>
      <w:r w:rsidRPr="00E9174E">
        <w:rPr>
          <w:sz w:val="26"/>
          <w:szCs w:val="26"/>
        </w:rPr>
        <w:t xml:space="preserve"> conducted a prehearing conference in which various procedural matters were discussed and a litigation schedule was established.  Columbia, the OCA, the OSBA, I&amp;E, CII, CAAP, and CAUSE-PA</w:t>
      </w:r>
      <w:r w:rsidR="0050798E" w:rsidRPr="00E9174E">
        <w:rPr>
          <w:sz w:val="26"/>
          <w:szCs w:val="26"/>
        </w:rPr>
        <w:t xml:space="preserve"> were present and represented by counsel</w:t>
      </w:r>
      <w:r w:rsidRPr="00E9174E">
        <w:rPr>
          <w:sz w:val="26"/>
          <w:szCs w:val="26"/>
        </w:rPr>
        <w:t xml:space="preserve">. </w:t>
      </w:r>
      <w:r w:rsidR="005020AE" w:rsidRPr="00E9174E">
        <w:rPr>
          <w:sz w:val="26"/>
          <w:szCs w:val="26"/>
        </w:rPr>
        <w:t xml:space="preserve"> </w:t>
      </w:r>
      <w:r w:rsidRPr="00E9174E">
        <w:rPr>
          <w:sz w:val="26"/>
          <w:szCs w:val="26"/>
        </w:rPr>
        <w:t xml:space="preserve">After the Parties were provided with an opportunity to state their positions on the record, CALJ Rainey ruled orally to grant I&amp;E’s </w:t>
      </w:r>
      <w:r w:rsidR="005020AE" w:rsidRPr="00E9174E">
        <w:rPr>
          <w:sz w:val="26"/>
          <w:szCs w:val="26"/>
        </w:rPr>
        <w:t>Motion to Extend</w:t>
      </w:r>
      <w:r w:rsidRPr="00E9174E">
        <w:rPr>
          <w:sz w:val="26"/>
          <w:szCs w:val="26"/>
        </w:rPr>
        <w:t xml:space="preserve">.  </w:t>
      </w:r>
      <w:r w:rsidR="00B91389" w:rsidRPr="00E9174E">
        <w:rPr>
          <w:sz w:val="26"/>
          <w:szCs w:val="26"/>
        </w:rPr>
        <w:t>In a written Order dated June 3, 2020</w:t>
      </w:r>
      <w:r w:rsidR="00E97855" w:rsidRPr="00E9174E">
        <w:rPr>
          <w:sz w:val="26"/>
          <w:szCs w:val="26"/>
        </w:rPr>
        <w:t xml:space="preserve"> (</w:t>
      </w:r>
      <w:r w:rsidR="00E97855" w:rsidRPr="00E9174E">
        <w:rPr>
          <w:i/>
          <w:iCs/>
          <w:sz w:val="26"/>
          <w:szCs w:val="26"/>
        </w:rPr>
        <w:t>June 3 Order</w:t>
      </w:r>
      <w:r w:rsidR="00E97855" w:rsidRPr="00E9174E">
        <w:rPr>
          <w:sz w:val="26"/>
          <w:szCs w:val="26"/>
        </w:rPr>
        <w:t>)</w:t>
      </w:r>
      <w:r w:rsidR="00B91389" w:rsidRPr="00E9174E">
        <w:rPr>
          <w:sz w:val="26"/>
          <w:szCs w:val="26"/>
        </w:rPr>
        <w:t xml:space="preserve">, </w:t>
      </w:r>
      <w:r w:rsidRPr="00E9174E">
        <w:rPr>
          <w:sz w:val="26"/>
          <w:szCs w:val="26"/>
        </w:rPr>
        <w:t>CALJ Rainey granted I&amp;E’s Motion to Extend and extended the suspension period for resolution of this case by twelve days, from January 23, 2021 to February 4, 2021.</w:t>
      </w:r>
    </w:p>
    <w:p w14:paraId="2AD240EB" w14:textId="77777777" w:rsidR="006D0E84" w:rsidRPr="00E9174E" w:rsidRDefault="006D0E84" w:rsidP="00E9174E">
      <w:pPr>
        <w:widowControl/>
        <w:spacing w:line="360" w:lineRule="auto"/>
        <w:ind w:firstLine="1440"/>
        <w:contextualSpacing/>
        <w:rPr>
          <w:sz w:val="26"/>
          <w:szCs w:val="26"/>
        </w:rPr>
      </w:pPr>
    </w:p>
    <w:p w14:paraId="40F23302" w14:textId="662BD94D" w:rsidR="005936CD" w:rsidRPr="00E9174E" w:rsidRDefault="005936CD" w:rsidP="00E9174E">
      <w:pPr>
        <w:widowControl/>
        <w:spacing w:line="360" w:lineRule="auto"/>
        <w:ind w:firstLine="1440"/>
        <w:contextualSpacing/>
        <w:rPr>
          <w:sz w:val="26"/>
          <w:szCs w:val="26"/>
        </w:rPr>
      </w:pPr>
      <w:r w:rsidRPr="00E9174E">
        <w:rPr>
          <w:sz w:val="26"/>
          <w:szCs w:val="26"/>
        </w:rPr>
        <w:t xml:space="preserve">Also, on June 3, 2020, a </w:t>
      </w:r>
      <w:r w:rsidR="00C9620B" w:rsidRPr="00E9174E">
        <w:rPr>
          <w:sz w:val="26"/>
          <w:szCs w:val="26"/>
        </w:rPr>
        <w:t xml:space="preserve">Dr. Richard Collins filed a </w:t>
      </w:r>
      <w:r w:rsidRPr="00E9174E">
        <w:rPr>
          <w:sz w:val="26"/>
          <w:szCs w:val="26"/>
        </w:rPr>
        <w:t>Formal Complaint at Docket No. C-2020-3020207.</w:t>
      </w:r>
    </w:p>
    <w:p w14:paraId="35545994" w14:textId="57C8D488" w:rsidR="006D0E84" w:rsidRPr="00E9174E" w:rsidRDefault="006D0E84" w:rsidP="00E9174E">
      <w:pPr>
        <w:widowControl/>
        <w:spacing w:line="360" w:lineRule="auto"/>
        <w:ind w:firstLine="1440"/>
        <w:contextualSpacing/>
        <w:rPr>
          <w:sz w:val="26"/>
          <w:szCs w:val="26"/>
        </w:rPr>
      </w:pPr>
    </w:p>
    <w:p w14:paraId="657CC41F" w14:textId="77777777" w:rsidR="006D0E84" w:rsidRPr="00E9174E" w:rsidRDefault="006D0E84" w:rsidP="00E9174E">
      <w:pPr>
        <w:widowControl/>
        <w:spacing w:line="360" w:lineRule="auto"/>
        <w:ind w:firstLine="1440"/>
        <w:contextualSpacing/>
        <w:rPr>
          <w:sz w:val="26"/>
          <w:szCs w:val="26"/>
        </w:rPr>
      </w:pPr>
      <w:r w:rsidRPr="00E9174E">
        <w:rPr>
          <w:sz w:val="26"/>
          <w:szCs w:val="26"/>
        </w:rPr>
        <w:t xml:space="preserve">On June 18, 2020, Columbia submitted an unopposed Motion for Protective Order pursuant to 52 Pa. Code § 5.423(a), which was granted on June 23, 2020.  </w:t>
      </w:r>
    </w:p>
    <w:p w14:paraId="7E7CC48E" w14:textId="77777777" w:rsidR="006D0E84" w:rsidRPr="00E9174E" w:rsidRDefault="006D0E84" w:rsidP="00E9174E">
      <w:pPr>
        <w:widowControl/>
        <w:spacing w:line="360" w:lineRule="auto"/>
        <w:ind w:firstLine="1440"/>
        <w:contextualSpacing/>
        <w:rPr>
          <w:sz w:val="26"/>
          <w:szCs w:val="26"/>
        </w:rPr>
      </w:pPr>
    </w:p>
    <w:p w14:paraId="138D7FFD" w14:textId="66D3C51D" w:rsidR="006D0E84" w:rsidRPr="00E9174E" w:rsidRDefault="006D0E84" w:rsidP="00E9174E">
      <w:pPr>
        <w:widowControl/>
        <w:spacing w:line="360" w:lineRule="auto"/>
        <w:ind w:firstLine="1440"/>
        <w:contextualSpacing/>
        <w:rPr>
          <w:sz w:val="26"/>
          <w:szCs w:val="26"/>
        </w:rPr>
      </w:pPr>
      <w:r w:rsidRPr="00E9174E">
        <w:rPr>
          <w:sz w:val="26"/>
          <w:szCs w:val="26"/>
        </w:rPr>
        <w:t xml:space="preserve">Also, on June 23, 2020, Columbia filed a Petition for Reconsideration from Staff Action (Petition for Reconsideration) and sought a reversal of the CALJ’s </w:t>
      </w:r>
      <w:r w:rsidRPr="00E9174E">
        <w:rPr>
          <w:i/>
          <w:iCs/>
          <w:sz w:val="26"/>
          <w:szCs w:val="26"/>
        </w:rPr>
        <w:t>June</w:t>
      </w:r>
      <w:r w:rsidR="00AB1957">
        <w:rPr>
          <w:i/>
          <w:iCs/>
          <w:sz w:val="26"/>
          <w:szCs w:val="26"/>
        </w:rPr>
        <w:t> </w:t>
      </w:r>
      <w:r w:rsidRPr="00E9174E">
        <w:rPr>
          <w:i/>
          <w:iCs/>
          <w:sz w:val="26"/>
          <w:szCs w:val="26"/>
        </w:rPr>
        <w:t>3</w:t>
      </w:r>
      <w:r w:rsidR="00AB1957">
        <w:rPr>
          <w:i/>
          <w:iCs/>
          <w:sz w:val="26"/>
          <w:szCs w:val="26"/>
        </w:rPr>
        <w:t> </w:t>
      </w:r>
      <w:r w:rsidRPr="00E9174E">
        <w:rPr>
          <w:i/>
          <w:iCs/>
          <w:sz w:val="26"/>
          <w:szCs w:val="26"/>
        </w:rPr>
        <w:t>Order</w:t>
      </w:r>
      <w:r w:rsidRPr="00E9174E">
        <w:rPr>
          <w:sz w:val="26"/>
          <w:szCs w:val="26"/>
        </w:rPr>
        <w:t>.  I&amp;E, the OCA, and the OSBA</w:t>
      </w:r>
      <w:r w:rsidR="00C650F7" w:rsidRPr="00E9174E">
        <w:rPr>
          <w:sz w:val="26"/>
          <w:szCs w:val="26"/>
        </w:rPr>
        <w:t xml:space="preserve"> filed responses to the Petition</w:t>
      </w:r>
      <w:r w:rsidRPr="00E9174E">
        <w:rPr>
          <w:sz w:val="26"/>
          <w:szCs w:val="26"/>
        </w:rPr>
        <w:t xml:space="preserve">. </w:t>
      </w:r>
    </w:p>
    <w:p w14:paraId="3673BEE3" w14:textId="77777777" w:rsidR="006D0E84" w:rsidRPr="00E9174E" w:rsidRDefault="006D0E84" w:rsidP="00E9174E">
      <w:pPr>
        <w:widowControl/>
        <w:spacing w:line="360" w:lineRule="auto"/>
        <w:ind w:firstLine="1440"/>
        <w:contextualSpacing/>
        <w:rPr>
          <w:sz w:val="26"/>
          <w:szCs w:val="26"/>
        </w:rPr>
      </w:pPr>
    </w:p>
    <w:p w14:paraId="116EEA3A" w14:textId="15F21E51" w:rsidR="006D0E84" w:rsidRPr="00E9174E" w:rsidRDefault="006D0E84" w:rsidP="00E9174E">
      <w:pPr>
        <w:widowControl/>
        <w:spacing w:line="360" w:lineRule="auto"/>
        <w:ind w:firstLine="1440"/>
        <w:contextualSpacing/>
        <w:rPr>
          <w:sz w:val="26"/>
          <w:szCs w:val="26"/>
        </w:rPr>
      </w:pPr>
      <w:r w:rsidRPr="00E9174E">
        <w:rPr>
          <w:sz w:val="26"/>
          <w:szCs w:val="26"/>
        </w:rPr>
        <w:t xml:space="preserve">On June 24, 2020, </w:t>
      </w:r>
      <w:proofErr w:type="spellStart"/>
      <w:r w:rsidRPr="00E9174E">
        <w:rPr>
          <w:sz w:val="26"/>
          <w:szCs w:val="26"/>
        </w:rPr>
        <w:t>Ionut</w:t>
      </w:r>
      <w:proofErr w:type="spellEnd"/>
      <w:r w:rsidRPr="00E9174E">
        <w:rPr>
          <w:sz w:val="26"/>
          <w:szCs w:val="26"/>
        </w:rPr>
        <w:t xml:space="preserve"> (John) R. </w:t>
      </w:r>
      <w:proofErr w:type="spellStart"/>
      <w:r w:rsidRPr="00E9174E">
        <w:rPr>
          <w:sz w:val="26"/>
          <w:szCs w:val="26"/>
        </w:rPr>
        <w:t>Ilie</w:t>
      </w:r>
      <w:proofErr w:type="spellEnd"/>
      <w:r w:rsidRPr="00E9174E">
        <w:rPr>
          <w:sz w:val="26"/>
          <w:szCs w:val="26"/>
        </w:rPr>
        <w:t xml:space="preserve"> </w:t>
      </w:r>
      <w:r w:rsidR="00C650F7" w:rsidRPr="00E9174E">
        <w:rPr>
          <w:sz w:val="26"/>
          <w:szCs w:val="26"/>
        </w:rPr>
        <w:t xml:space="preserve">filed a Formal Complaint </w:t>
      </w:r>
      <w:r w:rsidRPr="00E9174E">
        <w:rPr>
          <w:sz w:val="26"/>
          <w:szCs w:val="26"/>
        </w:rPr>
        <w:t>at Docket No. C-2020-3020498.</w:t>
      </w:r>
      <w:r w:rsidRPr="00E9174E">
        <w:rPr>
          <w:sz w:val="26"/>
          <w:szCs w:val="26"/>
          <w:vertAlign w:val="superscript"/>
        </w:rPr>
        <w:footnoteReference w:id="5"/>
      </w:r>
    </w:p>
    <w:p w14:paraId="4860117A" w14:textId="1F87BA89" w:rsidR="006D0E84" w:rsidRPr="00E9174E" w:rsidRDefault="006D0E84" w:rsidP="00E9174E">
      <w:pPr>
        <w:widowControl/>
        <w:spacing w:line="360" w:lineRule="auto"/>
        <w:ind w:firstLine="1440"/>
        <w:contextualSpacing/>
        <w:rPr>
          <w:sz w:val="26"/>
          <w:szCs w:val="26"/>
        </w:rPr>
      </w:pPr>
      <w:r w:rsidRPr="00E9174E">
        <w:rPr>
          <w:sz w:val="26"/>
          <w:szCs w:val="26"/>
        </w:rPr>
        <w:lastRenderedPageBreak/>
        <w:t xml:space="preserve">On July 8, 2020, ALJ Dunderdale conducted a telephonic public input hearing </w:t>
      </w:r>
      <w:r w:rsidR="004A4F16" w:rsidRPr="00E9174E">
        <w:rPr>
          <w:sz w:val="26"/>
          <w:szCs w:val="26"/>
        </w:rPr>
        <w:t>during</w:t>
      </w:r>
      <w:r w:rsidRPr="00E9174E">
        <w:rPr>
          <w:sz w:val="26"/>
          <w:szCs w:val="26"/>
        </w:rPr>
        <w:t xml:space="preserve"> which two witnesses testified.  Also, on July 8, 2020, PSU filed a Formal Complaint at Docket No. C-2020-3020666.</w:t>
      </w:r>
    </w:p>
    <w:p w14:paraId="288B6125" w14:textId="77777777" w:rsidR="006D0E84" w:rsidRPr="00E9174E" w:rsidRDefault="006D0E84" w:rsidP="00E9174E">
      <w:pPr>
        <w:widowControl/>
        <w:spacing w:line="360" w:lineRule="auto"/>
        <w:ind w:firstLine="1440"/>
        <w:contextualSpacing/>
        <w:rPr>
          <w:sz w:val="26"/>
          <w:szCs w:val="26"/>
        </w:rPr>
      </w:pPr>
    </w:p>
    <w:p w14:paraId="39140011" w14:textId="3A5A2D78" w:rsidR="006D0E84" w:rsidRPr="00E9174E" w:rsidRDefault="006D0E84" w:rsidP="00E9174E">
      <w:pPr>
        <w:widowControl/>
        <w:spacing w:line="360" w:lineRule="auto"/>
        <w:ind w:firstLine="1440"/>
        <w:contextualSpacing/>
        <w:rPr>
          <w:sz w:val="26"/>
          <w:szCs w:val="26"/>
        </w:rPr>
      </w:pPr>
      <w:r w:rsidRPr="00E9174E">
        <w:rPr>
          <w:sz w:val="26"/>
          <w:szCs w:val="26"/>
        </w:rPr>
        <w:t>On July 15, 2020, Columbia filed Objections of Columbia Gas of Pennsylvania, Inc. to the Written Statement and Exhibits of Richard C. Culbertson (Objections to Culbertson Testimony)</w:t>
      </w:r>
      <w:r w:rsidR="001436B9" w:rsidRPr="00E9174E">
        <w:rPr>
          <w:sz w:val="26"/>
          <w:szCs w:val="26"/>
        </w:rPr>
        <w:t>,</w:t>
      </w:r>
      <w:r w:rsidRPr="00E9174E">
        <w:rPr>
          <w:sz w:val="26"/>
          <w:szCs w:val="26"/>
        </w:rPr>
        <w:t xml:space="preserve"> in which the Company requested the ALJ exclude certain portions of the written statement and exhibits Mr. Culbertson </w:t>
      </w:r>
      <w:r w:rsidR="001436B9" w:rsidRPr="00E9174E">
        <w:rPr>
          <w:sz w:val="26"/>
          <w:szCs w:val="26"/>
        </w:rPr>
        <w:t xml:space="preserve">submitted </w:t>
      </w:r>
      <w:r w:rsidRPr="00E9174E">
        <w:rPr>
          <w:sz w:val="26"/>
          <w:szCs w:val="26"/>
        </w:rPr>
        <w:t xml:space="preserve">at the public input hearing.  Columbia specifically objected to Public Input Exhibits 1, 5 and 6. On July 31, 2020, </w:t>
      </w:r>
      <w:r w:rsidR="001F5F28" w:rsidRPr="00E9174E">
        <w:rPr>
          <w:sz w:val="26"/>
          <w:szCs w:val="26"/>
        </w:rPr>
        <w:t>a</w:t>
      </w:r>
      <w:r w:rsidRPr="00E9174E">
        <w:rPr>
          <w:sz w:val="26"/>
          <w:szCs w:val="26"/>
        </w:rPr>
        <w:t xml:space="preserve"> prehearing conference was held at which Columbia argued in favor of its objections</w:t>
      </w:r>
      <w:r w:rsidR="001F5F28" w:rsidRPr="00E9174E">
        <w:rPr>
          <w:sz w:val="26"/>
          <w:szCs w:val="26"/>
        </w:rPr>
        <w:t>,</w:t>
      </w:r>
      <w:r w:rsidRPr="00E9174E">
        <w:rPr>
          <w:sz w:val="26"/>
          <w:szCs w:val="26"/>
        </w:rPr>
        <w:t xml:space="preserve"> and the OCA and CAAP argued against the objections. </w:t>
      </w:r>
    </w:p>
    <w:p w14:paraId="4F5356BB" w14:textId="77777777" w:rsidR="006D0E84" w:rsidRPr="00E9174E" w:rsidRDefault="006D0E84" w:rsidP="00E9174E">
      <w:pPr>
        <w:widowControl/>
        <w:spacing w:line="360" w:lineRule="auto"/>
        <w:ind w:firstLine="1440"/>
        <w:contextualSpacing/>
        <w:rPr>
          <w:sz w:val="26"/>
          <w:szCs w:val="26"/>
        </w:rPr>
      </w:pPr>
    </w:p>
    <w:p w14:paraId="4B331382" w14:textId="18DBB6BC" w:rsidR="006D0E84" w:rsidRPr="00E9174E" w:rsidRDefault="00114C30" w:rsidP="00E9174E">
      <w:pPr>
        <w:widowControl/>
        <w:spacing w:line="360" w:lineRule="auto"/>
        <w:ind w:firstLine="1440"/>
        <w:contextualSpacing/>
        <w:rPr>
          <w:sz w:val="26"/>
          <w:szCs w:val="26"/>
        </w:rPr>
      </w:pPr>
      <w:r w:rsidRPr="00E9174E">
        <w:rPr>
          <w:sz w:val="26"/>
          <w:szCs w:val="26"/>
        </w:rPr>
        <w:t>By Opinion and Order entered on August 20, 2020</w:t>
      </w:r>
      <w:r w:rsidR="00CE04DD" w:rsidRPr="00E9174E">
        <w:rPr>
          <w:sz w:val="26"/>
          <w:szCs w:val="26"/>
        </w:rPr>
        <w:t xml:space="preserve"> (</w:t>
      </w:r>
      <w:r w:rsidR="00CE04DD" w:rsidRPr="00E9174E">
        <w:rPr>
          <w:i/>
          <w:iCs/>
          <w:sz w:val="26"/>
          <w:szCs w:val="26"/>
        </w:rPr>
        <w:t>August 2020 Order</w:t>
      </w:r>
      <w:r w:rsidR="00CE04DD" w:rsidRPr="00E9174E">
        <w:rPr>
          <w:sz w:val="26"/>
          <w:szCs w:val="26"/>
        </w:rPr>
        <w:t>)</w:t>
      </w:r>
      <w:r w:rsidRPr="00E9174E">
        <w:rPr>
          <w:sz w:val="26"/>
          <w:szCs w:val="26"/>
        </w:rPr>
        <w:t xml:space="preserve">, </w:t>
      </w:r>
      <w:r w:rsidR="006D0E84" w:rsidRPr="00E9174E">
        <w:rPr>
          <w:sz w:val="26"/>
          <w:szCs w:val="26"/>
        </w:rPr>
        <w:t>Columbia’s Petition for Reconsideration</w:t>
      </w:r>
      <w:r w:rsidR="00404D83" w:rsidRPr="00E9174E">
        <w:rPr>
          <w:sz w:val="26"/>
          <w:szCs w:val="26"/>
        </w:rPr>
        <w:t xml:space="preserve"> </w:t>
      </w:r>
      <w:r w:rsidR="006D0E84" w:rsidRPr="00E9174E">
        <w:rPr>
          <w:sz w:val="26"/>
          <w:szCs w:val="26"/>
        </w:rPr>
        <w:t>was denied</w:t>
      </w:r>
      <w:r w:rsidR="00404D83" w:rsidRPr="00E9174E">
        <w:rPr>
          <w:sz w:val="26"/>
          <w:szCs w:val="26"/>
        </w:rPr>
        <w:t>,</w:t>
      </w:r>
      <w:r w:rsidR="006D0E84" w:rsidRPr="00E9174E">
        <w:rPr>
          <w:sz w:val="26"/>
          <w:szCs w:val="26"/>
        </w:rPr>
        <w:t xml:space="preserve"> in part</w:t>
      </w:r>
      <w:r w:rsidR="00404D83" w:rsidRPr="00E9174E">
        <w:rPr>
          <w:sz w:val="26"/>
          <w:szCs w:val="26"/>
        </w:rPr>
        <w:t>,</w:t>
      </w:r>
      <w:r w:rsidR="006D0E84" w:rsidRPr="00E9174E">
        <w:rPr>
          <w:sz w:val="26"/>
          <w:szCs w:val="26"/>
        </w:rPr>
        <w:t xml:space="preserve"> and granted</w:t>
      </w:r>
      <w:r w:rsidR="00404D83" w:rsidRPr="00E9174E">
        <w:rPr>
          <w:sz w:val="26"/>
          <w:szCs w:val="26"/>
        </w:rPr>
        <w:t>,</w:t>
      </w:r>
      <w:r w:rsidR="006D0E84" w:rsidRPr="00E9174E">
        <w:rPr>
          <w:sz w:val="26"/>
          <w:szCs w:val="26"/>
        </w:rPr>
        <w:t xml:space="preserve"> in part. </w:t>
      </w:r>
      <w:r w:rsidR="00404D83" w:rsidRPr="00E9174E">
        <w:rPr>
          <w:sz w:val="26"/>
          <w:szCs w:val="26"/>
        </w:rPr>
        <w:t xml:space="preserve"> T</w:t>
      </w:r>
      <w:r w:rsidR="006D0E84" w:rsidRPr="00E9174E">
        <w:rPr>
          <w:sz w:val="26"/>
          <w:szCs w:val="26"/>
        </w:rPr>
        <w:t xml:space="preserve">he Commission denied the Petition for Reconsideration in that it affirmed the </w:t>
      </w:r>
      <w:r w:rsidR="006D0E84" w:rsidRPr="00E9174E">
        <w:rPr>
          <w:i/>
          <w:iCs/>
          <w:sz w:val="26"/>
          <w:szCs w:val="26"/>
        </w:rPr>
        <w:t xml:space="preserve">June 3 Order </w:t>
      </w:r>
      <w:r w:rsidR="006D0E84" w:rsidRPr="00E9174E">
        <w:rPr>
          <w:sz w:val="26"/>
          <w:szCs w:val="26"/>
        </w:rPr>
        <w:t>of CALJ Rainey to grant the Petition for Extension and granted the Petition in that the effective suspension date remained January 23, 2021.  In addition, the OALJ was directed to issue a Recommended Decision in this matter on or before November 20, 2020.</w:t>
      </w:r>
    </w:p>
    <w:p w14:paraId="01803853" w14:textId="77777777" w:rsidR="006D0E84" w:rsidRPr="00E9174E" w:rsidRDefault="006D0E84" w:rsidP="00E9174E">
      <w:pPr>
        <w:widowControl/>
        <w:spacing w:line="360" w:lineRule="auto"/>
        <w:ind w:firstLine="1440"/>
        <w:contextualSpacing/>
        <w:rPr>
          <w:sz w:val="26"/>
          <w:szCs w:val="26"/>
        </w:rPr>
      </w:pPr>
    </w:p>
    <w:p w14:paraId="35B7114C" w14:textId="0AFA6518" w:rsidR="006D0E84" w:rsidRPr="00E9174E" w:rsidRDefault="006D0E84" w:rsidP="00E9174E">
      <w:pPr>
        <w:widowControl/>
        <w:spacing w:line="360" w:lineRule="auto"/>
        <w:ind w:firstLine="1440"/>
        <w:contextualSpacing/>
        <w:rPr>
          <w:sz w:val="26"/>
          <w:szCs w:val="26"/>
        </w:rPr>
      </w:pPr>
      <w:r w:rsidRPr="00E9174E">
        <w:rPr>
          <w:sz w:val="26"/>
          <w:szCs w:val="26"/>
        </w:rPr>
        <w:t>On August 11, 2020, the Parties notified the presiding officer via email that in an effort to maintain the original procedural schedule, an agreement had been reached by the Parties which would extend the suspension date to February 25, 2021, maintain the effective date of January 23, 2021</w:t>
      </w:r>
      <w:r w:rsidR="00ED69ED" w:rsidRPr="00E9174E">
        <w:rPr>
          <w:sz w:val="26"/>
          <w:szCs w:val="26"/>
        </w:rPr>
        <w:t>,</w:t>
      </w:r>
      <w:r w:rsidRPr="00E9174E">
        <w:rPr>
          <w:sz w:val="26"/>
          <w:szCs w:val="26"/>
        </w:rPr>
        <w:t xml:space="preserve"> as required by the Commission’s </w:t>
      </w:r>
      <w:r w:rsidR="004254C9" w:rsidRPr="00E9174E">
        <w:rPr>
          <w:i/>
          <w:iCs/>
          <w:sz w:val="26"/>
          <w:szCs w:val="26"/>
        </w:rPr>
        <w:t>August 2020 Order</w:t>
      </w:r>
      <w:r w:rsidRPr="00E9174E">
        <w:rPr>
          <w:sz w:val="26"/>
          <w:szCs w:val="26"/>
        </w:rPr>
        <w:t xml:space="preserve">, and move the due date for the Recommended Decision from November 20, 2020 to December 4, 2020. </w:t>
      </w:r>
    </w:p>
    <w:p w14:paraId="4B1F5B3D" w14:textId="77777777" w:rsidR="006D0E84" w:rsidRPr="00E9174E" w:rsidRDefault="006D0E84" w:rsidP="00E9174E">
      <w:pPr>
        <w:widowControl/>
        <w:spacing w:line="360" w:lineRule="auto"/>
        <w:ind w:firstLine="1440"/>
        <w:contextualSpacing/>
        <w:rPr>
          <w:sz w:val="26"/>
          <w:szCs w:val="26"/>
        </w:rPr>
      </w:pPr>
    </w:p>
    <w:p w14:paraId="0CFC09B5" w14:textId="77777777" w:rsidR="006D0E84" w:rsidRPr="00E9174E" w:rsidRDefault="006D0E84" w:rsidP="00E9174E">
      <w:pPr>
        <w:widowControl/>
        <w:spacing w:line="360" w:lineRule="auto"/>
        <w:ind w:firstLine="1440"/>
        <w:contextualSpacing/>
        <w:rPr>
          <w:sz w:val="26"/>
          <w:szCs w:val="26"/>
        </w:rPr>
      </w:pPr>
      <w:r w:rsidRPr="00E9174E">
        <w:rPr>
          <w:sz w:val="26"/>
          <w:szCs w:val="26"/>
        </w:rPr>
        <w:t xml:space="preserve">On August 12, 2020, Columbia filed Supplement No. 315 to Tariff Gas – Pa. P.U.C. No. 9 (Supplement No. 315), which voluntarily suspended its statutory suspension period from January 23, 2021 to February 25, 2021, with rates to go into </w:t>
      </w:r>
      <w:r w:rsidRPr="00E9174E">
        <w:rPr>
          <w:sz w:val="26"/>
          <w:szCs w:val="26"/>
        </w:rPr>
        <w:lastRenderedPageBreak/>
        <w:t xml:space="preserve">effect January 23, 2021 – </w:t>
      </w:r>
      <w:r w:rsidRPr="00E9174E">
        <w:rPr>
          <w:i/>
          <w:iCs/>
          <w:sz w:val="26"/>
          <w:szCs w:val="26"/>
        </w:rPr>
        <w:t>i.e</w:t>
      </w:r>
      <w:r w:rsidRPr="00E9174E">
        <w:rPr>
          <w:sz w:val="26"/>
          <w:szCs w:val="26"/>
        </w:rPr>
        <w:t>., subject to the condition that Columbia will bill retroactively for the revenues lost at the final approved rates for the period from the end of the statutory suspension period (January 23, 2021) through the date the Commission makes its approved rates effective by approving the requisite compliance filing.</w:t>
      </w:r>
    </w:p>
    <w:p w14:paraId="3C0D105D" w14:textId="77777777" w:rsidR="006D0E84" w:rsidRPr="00E9174E" w:rsidRDefault="006D0E84" w:rsidP="00E9174E">
      <w:pPr>
        <w:widowControl/>
        <w:spacing w:line="360" w:lineRule="auto"/>
        <w:ind w:firstLine="1440"/>
        <w:contextualSpacing/>
        <w:rPr>
          <w:sz w:val="26"/>
          <w:szCs w:val="26"/>
        </w:rPr>
      </w:pPr>
    </w:p>
    <w:p w14:paraId="1FB0E777" w14:textId="7C1011B8" w:rsidR="006D0E84" w:rsidRPr="00E9174E" w:rsidRDefault="00107058" w:rsidP="00E9174E">
      <w:pPr>
        <w:widowControl/>
        <w:spacing w:line="360" w:lineRule="auto"/>
        <w:ind w:firstLine="1440"/>
        <w:contextualSpacing/>
        <w:rPr>
          <w:sz w:val="26"/>
          <w:szCs w:val="26"/>
        </w:rPr>
      </w:pPr>
      <w:r w:rsidRPr="00E9174E">
        <w:rPr>
          <w:sz w:val="26"/>
          <w:szCs w:val="26"/>
        </w:rPr>
        <w:t>O</w:t>
      </w:r>
      <w:r w:rsidR="006D0E84" w:rsidRPr="00E9174E">
        <w:rPr>
          <w:sz w:val="26"/>
          <w:szCs w:val="26"/>
        </w:rPr>
        <w:t xml:space="preserve">n August 13, 2020, ALJ Dunderdale issued the Third Interim Order which denied Columbia’s Objections to </w:t>
      </w:r>
      <w:r w:rsidRPr="00E9174E">
        <w:rPr>
          <w:sz w:val="26"/>
          <w:szCs w:val="26"/>
        </w:rPr>
        <w:t xml:space="preserve">Mr. </w:t>
      </w:r>
      <w:r w:rsidR="006D0E84" w:rsidRPr="00E9174E">
        <w:rPr>
          <w:sz w:val="26"/>
          <w:szCs w:val="26"/>
        </w:rPr>
        <w:t xml:space="preserve">Culbertson’s Testimony and admitted the written statement and exhibits of Mr. Culbertson. </w:t>
      </w:r>
    </w:p>
    <w:p w14:paraId="60AC7E1F" w14:textId="77777777" w:rsidR="006D0E84" w:rsidRPr="00E9174E" w:rsidRDefault="006D0E84" w:rsidP="00E9174E">
      <w:pPr>
        <w:widowControl/>
        <w:spacing w:line="360" w:lineRule="auto"/>
        <w:ind w:firstLine="1440"/>
        <w:contextualSpacing/>
        <w:rPr>
          <w:sz w:val="26"/>
          <w:szCs w:val="26"/>
        </w:rPr>
      </w:pPr>
    </w:p>
    <w:p w14:paraId="546F4673" w14:textId="379624E6" w:rsidR="006D0E84" w:rsidRPr="00E9174E" w:rsidRDefault="006D0E84" w:rsidP="00E9174E">
      <w:pPr>
        <w:widowControl/>
        <w:spacing w:line="360" w:lineRule="auto"/>
        <w:ind w:firstLine="1440"/>
        <w:contextualSpacing/>
        <w:rPr>
          <w:sz w:val="26"/>
          <w:szCs w:val="26"/>
        </w:rPr>
      </w:pPr>
      <w:r w:rsidRPr="00E9174E">
        <w:rPr>
          <w:sz w:val="26"/>
          <w:szCs w:val="26"/>
        </w:rPr>
        <w:t xml:space="preserve">On September 24, 2020, ALJ Dunderdale conducted the telephonic evidentiary hearing.  At the hearing, the Parties submitted written statements, with signed affidavits from each witness, and exhibits of the various witnesses pursuant to an agreement between the Parties that cross-examination would not be necessary.  </w:t>
      </w:r>
    </w:p>
    <w:p w14:paraId="4BEE85CA" w14:textId="77777777" w:rsidR="006D0E84" w:rsidRPr="00E9174E" w:rsidRDefault="006D0E84" w:rsidP="00E9174E">
      <w:pPr>
        <w:widowControl/>
        <w:spacing w:line="360" w:lineRule="auto"/>
        <w:ind w:firstLine="1440"/>
        <w:contextualSpacing/>
        <w:rPr>
          <w:sz w:val="26"/>
          <w:szCs w:val="26"/>
        </w:rPr>
      </w:pPr>
    </w:p>
    <w:p w14:paraId="188F7253" w14:textId="4778E8DF" w:rsidR="006D0E84" w:rsidRPr="00E9174E" w:rsidRDefault="006D0E84" w:rsidP="00E9174E">
      <w:pPr>
        <w:widowControl/>
        <w:spacing w:line="360" w:lineRule="auto"/>
        <w:ind w:firstLine="1440"/>
        <w:contextualSpacing/>
        <w:rPr>
          <w:sz w:val="26"/>
          <w:szCs w:val="26"/>
        </w:rPr>
      </w:pPr>
      <w:r w:rsidRPr="00E9174E">
        <w:rPr>
          <w:sz w:val="26"/>
          <w:szCs w:val="26"/>
        </w:rPr>
        <w:t xml:space="preserve">On September 25, 2020, ALJ Dunderdale issued the Post-Hearing Order which ordered that the written statements, exhibits and verifications sponsored and moved into the hearing record by the Parties on September 24, 2020, should be entered into the Commission’s hearing record in the instant proceeding.  The Post-Hearing Order required all the Parties which had evidence admitted into the hearing record to file an accurate copy of </w:t>
      </w:r>
      <w:r w:rsidR="000B072D" w:rsidRPr="00E9174E">
        <w:rPr>
          <w:sz w:val="26"/>
          <w:szCs w:val="26"/>
        </w:rPr>
        <w:t>that evidence</w:t>
      </w:r>
      <w:r w:rsidRPr="00E9174E">
        <w:rPr>
          <w:sz w:val="26"/>
          <w:szCs w:val="26"/>
        </w:rPr>
        <w:t xml:space="preserve"> with the Commission on or before October 9, 2020.  By the same Order, the presiding officer closed the hearing record.</w:t>
      </w:r>
      <w:r w:rsidR="00B42BFA" w:rsidRPr="00E9174E">
        <w:rPr>
          <w:sz w:val="26"/>
          <w:szCs w:val="26"/>
        </w:rPr>
        <w:t xml:space="preserve">  The </w:t>
      </w:r>
      <w:r w:rsidR="004A3FA9" w:rsidRPr="00E9174E">
        <w:rPr>
          <w:sz w:val="26"/>
          <w:szCs w:val="26"/>
        </w:rPr>
        <w:t xml:space="preserve">pre-hearing and </w:t>
      </w:r>
      <w:r w:rsidR="00B42BFA" w:rsidRPr="00E9174E">
        <w:rPr>
          <w:sz w:val="26"/>
          <w:szCs w:val="26"/>
        </w:rPr>
        <w:t>hearing transcript</w:t>
      </w:r>
      <w:r w:rsidR="004A3FA9" w:rsidRPr="00E9174E">
        <w:rPr>
          <w:sz w:val="26"/>
          <w:szCs w:val="26"/>
        </w:rPr>
        <w:t>s</w:t>
      </w:r>
      <w:r w:rsidR="00B42BFA" w:rsidRPr="00E9174E">
        <w:rPr>
          <w:sz w:val="26"/>
          <w:szCs w:val="26"/>
        </w:rPr>
        <w:t xml:space="preserve"> consist of </w:t>
      </w:r>
      <w:r w:rsidR="00AE3090" w:rsidRPr="00E9174E">
        <w:rPr>
          <w:sz w:val="26"/>
          <w:szCs w:val="26"/>
        </w:rPr>
        <w:t>221 pages.</w:t>
      </w:r>
    </w:p>
    <w:p w14:paraId="522188C2" w14:textId="77777777" w:rsidR="006D0E84" w:rsidRPr="00E9174E" w:rsidRDefault="006D0E84" w:rsidP="00E9174E">
      <w:pPr>
        <w:widowControl/>
        <w:spacing w:line="360" w:lineRule="auto"/>
        <w:ind w:firstLine="1440"/>
        <w:contextualSpacing/>
        <w:rPr>
          <w:sz w:val="26"/>
          <w:szCs w:val="26"/>
        </w:rPr>
      </w:pPr>
    </w:p>
    <w:p w14:paraId="6B885390" w14:textId="11A3758F" w:rsidR="006D0E84" w:rsidRPr="00E9174E" w:rsidRDefault="006D0E84" w:rsidP="00E9174E">
      <w:pPr>
        <w:widowControl/>
        <w:spacing w:line="360" w:lineRule="auto"/>
        <w:ind w:firstLine="1440"/>
        <w:contextualSpacing/>
        <w:rPr>
          <w:sz w:val="26"/>
          <w:szCs w:val="26"/>
        </w:rPr>
      </w:pPr>
      <w:r w:rsidRPr="00E9174E">
        <w:rPr>
          <w:sz w:val="26"/>
          <w:szCs w:val="26"/>
        </w:rPr>
        <w:t>On October 16, 2020, Columbia, I&amp;E, the OCA, the OSBA, CAUSE-PA, CAAP, CII and PSU</w:t>
      </w:r>
      <w:r w:rsidR="002C0396" w:rsidRPr="00E9174E">
        <w:rPr>
          <w:sz w:val="26"/>
          <w:szCs w:val="26"/>
        </w:rPr>
        <w:t xml:space="preserve"> filed Main Briefs on the issues reserved for litigation</w:t>
      </w:r>
      <w:r w:rsidRPr="00E9174E">
        <w:rPr>
          <w:sz w:val="26"/>
          <w:szCs w:val="26"/>
        </w:rPr>
        <w:t xml:space="preserve">.  </w:t>
      </w:r>
      <w:r w:rsidR="00332769" w:rsidRPr="00E9174E">
        <w:rPr>
          <w:sz w:val="26"/>
          <w:szCs w:val="26"/>
        </w:rPr>
        <w:t xml:space="preserve">These Parties </w:t>
      </w:r>
      <w:r w:rsidRPr="00E9174E">
        <w:rPr>
          <w:sz w:val="26"/>
          <w:szCs w:val="26"/>
        </w:rPr>
        <w:t xml:space="preserve">filed </w:t>
      </w:r>
      <w:r w:rsidR="00C84F11" w:rsidRPr="00E9174E">
        <w:rPr>
          <w:sz w:val="26"/>
          <w:szCs w:val="26"/>
        </w:rPr>
        <w:t>Reply Briefs</w:t>
      </w:r>
      <w:r w:rsidRPr="00E9174E">
        <w:rPr>
          <w:sz w:val="26"/>
          <w:szCs w:val="26"/>
        </w:rPr>
        <w:t xml:space="preserve"> on October 30, 2020.</w:t>
      </w:r>
    </w:p>
    <w:p w14:paraId="67FABA64" w14:textId="77777777" w:rsidR="006D0E84" w:rsidRPr="00E9174E" w:rsidRDefault="006D0E84" w:rsidP="00E9174E">
      <w:pPr>
        <w:widowControl/>
        <w:spacing w:line="360" w:lineRule="auto"/>
        <w:ind w:firstLine="1440"/>
        <w:contextualSpacing/>
        <w:rPr>
          <w:sz w:val="26"/>
          <w:szCs w:val="26"/>
        </w:rPr>
      </w:pPr>
    </w:p>
    <w:p w14:paraId="18CD6A91" w14:textId="5B06CB69" w:rsidR="006D0E84" w:rsidRPr="00E9174E" w:rsidRDefault="006D0E84" w:rsidP="00E9174E">
      <w:pPr>
        <w:widowControl/>
        <w:spacing w:line="360" w:lineRule="auto"/>
        <w:ind w:firstLine="1440"/>
        <w:contextualSpacing/>
        <w:rPr>
          <w:sz w:val="26"/>
          <w:szCs w:val="26"/>
        </w:rPr>
      </w:pPr>
      <w:r w:rsidRPr="00E9174E">
        <w:rPr>
          <w:sz w:val="26"/>
          <w:szCs w:val="26"/>
        </w:rPr>
        <w:t xml:space="preserve">In the Recommended Decision, issued on December 4, 2020, ALJ Dunderdale recommended that the Commission deny Columbia’s request in its entirety </w:t>
      </w:r>
      <w:r w:rsidR="00FC3DA0" w:rsidRPr="00E9174E">
        <w:rPr>
          <w:sz w:val="26"/>
          <w:szCs w:val="26"/>
        </w:rPr>
        <w:lastRenderedPageBreak/>
        <w:t>on the basis that</w:t>
      </w:r>
      <w:r w:rsidRPr="00E9174E">
        <w:rPr>
          <w:sz w:val="26"/>
          <w:szCs w:val="26"/>
        </w:rPr>
        <w:t xml:space="preserve"> the Company </w:t>
      </w:r>
      <w:r w:rsidR="00FC3DA0" w:rsidRPr="00E9174E">
        <w:rPr>
          <w:sz w:val="26"/>
          <w:szCs w:val="26"/>
        </w:rPr>
        <w:t xml:space="preserve">did not </w:t>
      </w:r>
      <w:r w:rsidR="002D4A42" w:rsidRPr="00E9174E">
        <w:rPr>
          <w:sz w:val="26"/>
          <w:szCs w:val="26"/>
        </w:rPr>
        <w:t>satisfy</w:t>
      </w:r>
      <w:r w:rsidRPr="00E9174E">
        <w:rPr>
          <w:sz w:val="26"/>
          <w:szCs w:val="26"/>
        </w:rPr>
        <w:t xml:space="preserve"> its burden of proving, by substantial evidence, that the proposed base rate revenue increase will result in just and reasonable rates, as required by 66 Pa. C.S.§ 1301</w:t>
      </w:r>
      <w:r w:rsidR="00FC3DA0" w:rsidRPr="00E9174E">
        <w:rPr>
          <w:sz w:val="26"/>
          <w:szCs w:val="26"/>
        </w:rPr>
        <w:t>,</w:t>
      </w:r>
      <w:r w:rsidRPr="00E9174E">
        <w:rPr>
          <w:sz w:val="26"/>
          <w:szCs w:val="26"/>
        </w:rPr>
        <w:t xml:space="preserve"> during the current </w:t>
      </w:r>
      <w:r w:rsidR="005A53D0" w:rsidRPr="00E9174E">
        <w:rPr>
          <w:sz w:val="26"/>
          <w:szCs w:val="26"/>
        </w:rPr>
        <w:t>COVID-19</w:t>
      </w:r>
      <w:r w:rsidRPr="00E9174E">
        <w:rPr>
          <w:sz w:val="26"/>
          <w:szCs w:val="26"/>
        </w:rPr>
        <w:t xml:space="preserve"> pandemic.  </w:t>
      </w:r>
      <w:r w:rsidR="009F2009" w:rsidRPr="00E9174E">
        <w:rPr>
          <w:sz w:val="26"/>
          <w:szCs w:val="26"/>
        </w:rPr>
        <w:t>According to</w:t>
      </w:r>
      <w:r w:rsidR="00FB0D65" w:rsidRPr="00E9174E">
        <w:rPr>
          <w:sz w:val="26"/>
          <w:szCs w:val="26"/>
        </w:rPr>
        <w:t xml:space="preserve"> </w:t>
      </w:r>
      <w:r w:rsidR="009F2009" w:rsidRPr="00E9174E">
        <w:rPr>
          <w:sz w:val="26"/>
          <w:szCs w:val="26"/>
        </w:rPr>
        <w:t>ALJ</w:t>
      </w:r>
      <w:r w:rsidR="00FB0D65" w:rsidRPr="00E9174E">
        <w:rPr>
          <w:sz w:val="26"/>
          <w:szCs w:val="26"/>
        </w:rPr>
        <w:t xml:space="preserve"> Dunderdale</w:t>
      </w:r>
      <w:r w:rsidR="009F2009" w:rsidRPr="00E9174E">
        <w:rPr>
          <w:sz w:val="26"/>
          <w:szCs w:val="26"/>
        </w:rPr>
        <w:t xml:space="preserve">, </w:t>
      </w:r>
      <w:r w:rsidRPr="00E9174E">
        <w:rPr>
          <w:sz w:val="26"/>
          <w:szCs w:val="26"/>
        </w:rPr>
        <w:t xml:space="preserve">because the Commission may disagree with the recommendation to deny the proposed base rate revenue increase in its entirety, </w:t>
      </w:r>
      <w:r w:rsidR="008C63B3" w:rsidRPr="00E9174E">
        <w:rPr>
          <w:sz w:val="26"/>
          <w:szCs w:val="26"/>
        </w:rPr>
        <w:t>she</w:t>
      </w:r>
      <w:r w:rsidRPr="00E9174E">
        <w:rPr>
          <w:sz w:val="26"/>
          <w:szCs w:val="26"/>
        </w:rPr>
        <w:t xml:space="preserve"> reviewed each element in the proposed base rate increase and </w:t>
      </w:r>
      <w:r w:rsidR="00682DC8" w:rsidRPr="00E9174E">
        <w:rPr>
          <w:sz w:val="26"/>
          <w:szCs w:val="26"/>
        </w:rPr>
        <w:t>addressed</w:t>
      </w:r>
      <w:r w:rsidRPr="00E9174E">
        <w:rPr>
          <w:sz w:val="26"/>
          <w:szCs w:val="26"/>
        </w:rPr>
        <w:t xml:space="preserve"> whether Columbia proved each proposal by substantial evidence.</w:t>
      </w:r>
      <w:r w:rsidR="00105714" w:rsidRPr="00E9174E">
        <w:rPr>
          <w:rStyle w:val="FootnoteReference"/>
          <w:sz w:val="26"/>
          <w:szCs w:val="26"/>
        </w:rPr>
        <w:footnoteReference w:id="6"/>
      </w:r>
      <w:r w:rsidRPr="00E9174E">
        <w:rPr>
          <w:sz w:val="26"/>
          <w:szCs w:val="26"/>
        </w:rPr>
        <w:t xml:space="preserve">  F</w:t>
      </w:r>
      <w:r w:rsidR="00CF06DA" w:rsidRPr="00E9174E">
        <w:rPr>
          <w:sz w:val="26"/>
          <w:szCs w:val="26"/>
        </w:rPr>
        <w:t>urther</w:t>
      </w:r>
      <w:r w:rsidRPr="00E9174E">
        <w:rPr>
          <w:sz w:val="26"/>
          <w:szCs w:val="26"/>
        </w:rPr>
        <w:t xml:space="preserve">, </w:t>
      </w:r>
      <w:r w:rsidR="00CF06DA" w:rsidRPr="00E9174E">
        <w:rPr>
          <w:sz w:val="26"/>
          <w:szCs w:val="26"/>
        </w:rPr>
        <w:t>ALJ</w:t>
      </w:r>
      <w:r w:rsidRPr="00E9174E">
        <w:rPr>
          <w:sz w:val="26"/>
          <w:szCs w:val="26"/>
        </w:rPr>
        <w:t xml:space="preserve"> </w:t>
      </w:r>
      <w:r w:rsidR="00B073DD" w:rsidRPr="00E9174E">
        <w:rPr>
          <w:sz w:val="26"/>
          <w:szCs w:val="26"/>
        </w:rPr>
        <w:t xml:space="preserve">Dunderdale </w:t>
      </w:r>
      <w:r w:rsidRPr="00E9174E">
        <w:rPr>
          <w:sz w:val="26"/>
          <w:szCs w:val="26"/>
        </w:rPr>
        <w:t xml:space="preserve">stated </w:t>
      </w:r>
      <w:r w:rsidR="00EB03C6" w:rsidRPr="00E9174E">
        <w:rPr>
          <w:sz w:val="26"/>
          <w:szCs w:val="26"/>
        </w:rPr>
        <w:t>that</w:t>
      </w:r>
      <w:r w:rsidRPr="00E9174E">
        <w:rPr>
          <w:sz w:val="26"/>
          <w:szCs w:val="26"/>
        </w:rPr>
        <w:t xml:space="preserve"> </w:t>
      </w:r>
      <w:r w:rsidR="002D4A42" w:rsidRPr="00E9174E">
        <w:rPr>
          <w:sz w:val="26"/>
          <w:szCs w:val="26"/>
        </w:rPr>
        <w:t>she</w:t>
      </w:r>
      <w:r w:rsidRPr="00E9174E">
        <w:rPr>
          <w:sz w:val="26"/>
          <w:szCs w:val="26"/>
        </w:rPr>
        <w:t xml:space="preserve"> did not recommend an alternative revenue requirement and rate of return, as explained in Section III, Subsection C-9 of the Recommended Decision, because the mathematical calculation may change if the Commission agrees with some</w:t>
      </w:r>
      <w:r w:rsidR="00620ADB" w:rsidRPr="00E9174E">
        <w:rPr>
          <w:sz w:val="26"/>
          <w:szCs w:val="26"/>
        </w:rPr>
        <w:t>,</w:t>
      </w:r>
      <w:r w:rsidRPr="00E9174E">
        <w:rPr>
          <w:sz w:val="26"/>
          <w:szCs w:val="26"/>
        </w:rPr>
        <w:t xml:space="preserve"> but not all of the recommendations</w:t>
      </w:r>
      <w:r w:rsidR="00620ADB" w:rsidRPr="00E9174E">
        <w:rPr>
          <w:sz w:val="26"/>
          <w:szCs w:val="26"/>
        </w:rPr>
        <w:t>,</w:t>
      </w:r>
      <w:r w:rsidRPr="00E9174E">
        <w:rPr>
          <w:sz w:val="26"/>
          <w:szCs w:val="26"/>
        </w:rPr>
        <w:t xml:space="preserve"> for each proposal.  R.D. at 1, 409.</w:t>
      </w:r>
    </w:p>
    <w:p w14:paraId="1B7E0728" w14:textId="77777777" w:rsidR="006D0E84" w:rsidRPr="00E9174E" w:rsidRDefault="006D0E84" w:rsidP="00E9174E">
      <w:pPr>
        <w:widowControl/>
        <w:spacing w:line="360" w:lineRule="auto"/>
        <w:ind w:firstLine="1440"/>
        <w:contextualSpacing/>
        <w:rPr>
          <w:sz w:val="26"/>
          <w:szCs w:val="26"/>
        </w:rPr>
      </w:pPr>
    </w:p>
    <w:p w14:paraId="4CE55223" w14:textId="2EB674FB" w:rsidR="006D0E84" w:rsidRPr="00E9174E" w:rsidRDefault="006D0E84" w:rsidP="00E9174E">
      <w:pPr>
        <w:widowControl/>
        <w:spacing w:line="360" w:lineRule="auto"/>
        <w:ind w:firstLine="1440"/>
        <w:contextualSpacing/>
        <w:rPr>
          <w:sz w:val="26"/>
          <w:szCs w:val="26"/>
        </w:rPr>
      </w:pPr>
      <w:r w:rsidRPr="00E9174E">
        <w:rPr>
          <w:sz w:val="26"/>
          <w:szCs w:val="26"/>
        </w:rPr>
        <w:t>As previously noted, Columbia, I&amp;E, the OCA, the OSBA, CAUSE-PA, and PSU filed Exceptions to the Recommended Decision on December 22, 2020.  On December 30, 2020, Columbia, I&amp;E, the OCA, the OSBA, CAUSE-PA, and PSU filed Replies to Exceptions.</w:t>
      </w:r>
    </w:p>
    <w:p w14:paraId="0BE88F53" w14:textId="77777777" w:rsidR="009717E7" w:rsidRPr="00E9174E" w:rsidRDefault="009717E7" w:rsidP="00E9174E">
      <w:pPr>
        <w:widowControl/>
        <w:spacing w:line="360" w:lineRule="auto"/>
        <w:contextualSpacing/>
        <w:rPr>
          <w:sz w:val="26"/>
          <w:szCs w:val="26"/>
        </w:rPr>
      </w:pPr>
    </w:p>
    <w:p w14:paraId="1791E37F" w14:textId="44BDC5E6" w:rsidR="00315708" w:rsidRPr="00E9174E" w:rsidRDefault="00315708" w:rsidP="00E9174E">
      <w:pPr>
        <w:pStyle w:val="Heading1"/>
      </w:pPr>
      <w:bookmarkStart w:id="14" w:name="_Toc56512751"/>
      <w:bookmarkStart w:id="15" w:name="_Toc62487950"/>
      <w:bookmarkStart w:id="16" w:name="_Toc63764410"/>
      <w:r w:rsidRPr="00E9174E">
        <w:t>Legal Standards</w:t>
      </w:r>
      <w:bookmarkEnd w:id="14"/>
      <w:bookmarkEnd w:id="15"/>
      <w:bookmarkEnd w:id="16"/>
    </w:p>
    <w:p w14:paraId="52D13A41" w14:textId="2DCB5A95" w:rsidR="00315708" w:rsidRPr="00E9174E" w:rsidRDefault="00315708" w:rsidP="00E9174E">
      <w:pPr>
        <w:keepNext/>
        <w:keepLines/>
        <w:widowControl/>
        <w:spacing w:line="360" w:lineRule="auto"/>
        <w:contextualSpacing/>
        <w:rPr>
          <w:sz w:val="26"/>
          <w:szCs w:val="26"/>
        </w:rPr>
      </w:pPr>
    </w:p>
    <w:p w14:paraId="3B6AFF43" w14:textId="3D8C1D63" w:rsidR="00305AA0" w:rsidRPr="00E9174E" w:rsidRDefault="00305AA0" w:rsidP="00E9174E">
      <w:pPr>
        <w:widowControl/>
        <w:tabs>
          <w:tab w:val="left" w:pos="-720"/>
        </w:tabs>
        <w:spacing w:line="360" w:lineRule="auto"/>
        <w:ind w:firstLine="1440"/>
        <w:contextualSpacing/>
        <w:rPr>
          <w:sz w:val="26"/>
          <w:szCs w:val="26"/>
        </w:rPr>
      </w:pPr>
      <w:r w:rsidRPr="00E9174E">
        <w:rPr>
          <w:sz w:val="26"/>
          <w:szCs w:val="26"/>
        </w:rPr>
        <w:t xml:space="preserve">At issue here is the Company’s request for a general base rate increase, which is governed by Section 1308(d) of the Code.  Section 1308(d) of the Code provides the procedures for changing base rates, the time limitations for the suspension of the new </w:t>
      </w:r>
      <w:r w:rsidRPr="00E9174E">
        <w:rPr>
          <w:sz w:val="26"/>
          <w:szCs w:val="26"/>
        </w:rPr>
        <w:lastRenderedPageBreak/>
        <w:t xml:space="preserve">rates, and the time limitations on the Commission’s actions. </w:t>
      </w:r>
      <w:r w:rsidR="009D4899" w:rsidRPr="00E9174E">
        <w:rPr>
          <w:sz w:val="26"/>
          <w:szCs w:val="26"/>
        </w:rPr>
        <w:t xml:space="preserve"> </w:t>
      </w:r>
      <w:r w:rsidRPr="00E9174E">
        <w:rPr>
          <w:sz w:val="26"/>
          <w:szCs w:val="26"/>
        </w:rPr>
        <w:t>66 Pa. C.S. § 1308(d).</w:t>
      </w:r>
      <w:bookmarkStart w:id="17" w:name="co_fnRef_B00022050131946_ID0EO2AE_1"/>
      <w:bookmarkEnd w:id="17"/>
      <w:r w:rsidRPr="00E9174E">
        <w:rPr>
          <w:sz w:val="26"/>
          <w:szCs w:val="26"/>
          <w:vertAlign w:val="superscript"/>
        </w:rPr>
        <w:footnoteReference w:id="7"/>
      </w:r>
      <w:r w:rsidRPr="00E9174E">
        <w:rPr>
          <w:sz w:val="26"/>
          <w:szCs w:val="26"/>
        </w:rPr>
        <w:t xml:space="preserve">  </w:t>
      </w:r>
      <w:r w:rsidRPr="00E9174E">
        <w:rPr>
          <w:rFonts w:eastAsiaTheme="minorEastAsia"/>
          <w:sz w:val="26"/>
          <w:szCs w:val="26"/>
        </w:rPr>
        <w:t xml:space="preserve">“Under traditional ratemaking, utilities may not change rates charged to customers outside of a base rate case.” </w:t>
      </w:r>
      <w:r w:rsidR="00A94055" w:rsidRPr="00E9174E">
        <w:rPr>
          <w:rFonts w:eastAsiaTheme="minorEastAsia"/>
          <w:sz w:val="26"/>
          <w:szCs w:val="26"/>
        </w:rPr>
        <w:t xml:space="preserve"> </w:t>
      </w:r>
      <w:r w:rsidRPr="00E9174E">
        <w:rPr>
          <w:rFonts w:eastAsiaTheme="minorEastAsia"/>
          <w:i/>
          <w:iCs/>
          <w:sz w:val="26"/>
          <w:szCs w:val="26"/>
        </w:rPr>
        <w:t>McCloskey v. Pa. PUC</w:t>
      </w:r>
      <w:r w:rsidRPr="00E9174E">
        <w:rPr>
          <w:rFonts w:eastAsiaTheme="minorEastAsia"/>
          <w:sz w:val="26"/>
          <w:szCs w:val="26"/>
        </w:rPr>
        <w:t>, 127 A.3d 860, 863 n.2 (Pa.</w:t>
      </w:r>
      <w:r w:rsidR="0029004D">
        <w:rPr>
          <w:rFonts w:eastAsiaTheme="minorEastAsia"/>
          <w:sz w:val="26"/>
          <w:szCs w:val="26"/>
        </w:rPr>
        <w:t> </w:t>
      </w:r>
      <w:r w:rsidRPr="00E9174E">
        <w:rPr>
          <w:rFonts w:eastAsiaTheme="minorEastAsia"/>
          <w:sz w:val="26"/>
          <w:szCs w:val="26"/>
        </w:rPr>
        <w:t>Cmwlth.</w:t>
      </w:r>
      <w:r w:rsidR="0029004D">
        <w:rPr>
          <w:rFonts w:eastAsiaTheme="minorEastAsia"/>
          <w:sz w:val="26"/>
          <w:szCs w:val="26"/>
        </w:rPr>
        <w:t> </w:t>
      </w:r>
      <w:r w:rsidRPr="00E9174E">
        <w:rPr>
          <w:rFonts w:eastAsiaTheme="minorEastAsia"/>
          <w:sz w:val="26"/>
          <w:szCs w:val="26"/>
        </w:rPr>
        <w:t>2015).</w:t>
      </w:r>
    </w:p>
    <w:p w14:paraId="12CF8216" w14:textId="77777777" w:rsidR="00305AA0" w:rsidRPr="00E9174E" w:rsidRDefault="00305AA0" w:rsidP="00E9174E">
      <w:pPr>
        <w:widowControl/>
        <w:tabs>
          <w:tab w:val="left" w:pos="-720"/>
        </w:tabs>
        <w:spacing w:line="360" w:lineRule="auto"/>
        <w:ind w:firstLine="1440"/>
        <w:contextualSpacing/>
        <w:rPr>
          <w:sz w:val="26"/>
          <w:szCs w:val="26"/>
        </w:rPr>
      </w:pPr>
    </w:p>
    <w:p w14:paraId="3DBE4A2D" w14:textId="44CD63B4" w:rsidR="00305AA0" w:rsidRPr="00E9174E" w:rsidRDefault="00305AA0" w:rsidP="00E9174E">
      <w:pPr>
        <w:widowControl/>
        <w:tabs>
          <w:tab w:val="left" w:pos="-720"/>
        </w:tabs>
        <w:spacing w:line="360" w:lineRule="auto"/>
        <w:ind w:firstLine="1440"/>
        <w:contextualSpacing/>
        <w:rPr>
          <w:rFonts w:eastAsiaTheme="minorEastAsia"/>
          <w:sz w:val="26"/>
          <w:szCs w:val="26"/>
        </w:rPr>
      </w:pPr>
      <w:r w:rsidRPr="00E9174E">
        <w:rPr>
          <w:rFonts w:eastAsiaTheme="minorEastAsia"/>
          <w:sz w:val="26"/>
          <w:szCs w:val="26"/>
        </w:rPr>
        <w:t>Section 1301(a) of the Code mandates that “[e]very rate made, demanded, or received by any public utility ... shall be just and reasonable, and in conformity with [the] regulations or orders of the [C]</w:t>
      </w:r>
      <w:proofErr w:type="spellStart"/>
      <w:r w:rsidRPr="00E9174E">
        <w:rPr>
          <w:rFonts w:eastAsiaTheme="minorEastAsia"/>
          <w:sz w:val="26"/>
          <w:szCs w:val="26"/>
        </w:rPr>
        <w:t>ommission</w:t>
      </w:r>
      <w:proofErr w:type="spellEnd"/>
      <w:r w:rsidRPr="00E9174E">
        <w:rPr>
          <w:rFonts w:eastAsiaTheme="minorEastAsia"/>
          <w:sz w:val="26"/>
          <w:szCs w:val="26"/>
        </w:rPr>
        <w:t xml:space="preserve">.” </w:t>
      </w:r>
      <w:r w:rsidR="00424232" w:rsidRPr="00E9174E">
        <w:rPr>
          <w:rFonts w:eastAsiaTheme="minorEastAsia"/>
          <w:sz w:val="26"/>
          <w:szCs w:val="26"/>
        </w:rPr>
        <w:t xml:space="preserve"> </w:t>
      </w:r>
      <w:r w:rsidRPr="00E9174E">
        <w:rPr>
          <w:rFonts w:eastAsiaTheme="minorEastAsia"/>
          <w:sz w:val="26"/>
          <w:szCs w:val="26"/>
        </w:rPr>
        <w:t>66 Pa. C.S. § 1301(a).  Pursuant to the just and reasonable standard, a utility may obtain “a rate that allows it to recover those expenses that are reasonably necessary to provide service to its customers[,] as well as a reasonable rate of return on its investment.”</w:t>
      </w:r>
      <w:r w:rsidR="00A94055" w:rsidRPr="00E9174E">
        <w:rPr>
          <w:rFonts w:eastAsiaTheme="minorEastAsia"/>
          <w:sz w:val="26"/>
          <w:szCs w:val="26"/>
        </w:rPr>
        <w:t xml:space="preserve"> </w:t>
      </w:r>
      <w:r w:rsidRPr="00E9174E">
        <w:rPr>
          <w:rFonts w:eastAsiaTheme="minorEastAsia"/>
          <w:i/>
          <w:iCs/>
          <w:sz w:val="26"/>
          <w:szCs w:val="26"/>
        </w:rPr>
        <w:t>City of Lancaster Sewer Fund v. Pa. PUC</w:t>
      </w:r>
      <w:r w:rsidRPr="00E9174E">
        <w:rPr>
          <w:rFonts w:eastAsiaTheme="minorEastAsia"/>
          <w:sz w:val="26"/>
          <w:szCs w:val="26"/>
        </w:rPr>
        <w:t>, 793 A.2d 978, 982 (Pa. Cmwlth. 2002)</w:t>
      </w:r>
      <w:r w:rsidR="00B97EA1" w:rsidRPr="00E9174E">
        <w:rPr>
          <w:rFonts w:eastAsiaTheme="minorEastAsia"/>
          <w:sz w:val="26"/>
          <w:szCs w:val="26"/>
        </w:rPr>
        <w:t xml:space="preserve"> (</w:t>
      </w:r>
      <w:r w:rsidR="00B97EA1" w:rsidRPr="00E9174E">
        <w:rPr>
          <w:rFonts w:eastAsiaTheme="minorEastAsia"/>
          <w:i/>
          <w:iCs/>
          <w:sz w:val="26"/>
          <w:szCs w:val="26"/>
        </w:rPr>
        <w:t>City of Lancaster</w:t>
      </w:r>
      <w:r w:rsidR="00B97EA1" w:rsidRPr="00E9174E">
        <w:rPr>
          <w:rFonts w:eastAsiaTheme="minorEastAsia"/>
          <w:sz w:val="26"/>
          <w:szCs w:val="26"/>
        </w:rPr>
        <w:t>)</w:t>
      </w:r>
      <w:r w:rsidRPr="00E9174E">
        <w:rPr>
          <w:rFonts w:eastAsiaTheme="minorEastAsia"/>
          <w:sz w:val="26"/>
          <w:szCs w:val="26"/>
        </w:rPr>
        <w:t xml:space="preserve">.  There is no single way to arrive at just and reasonable rates, and “[t]he [Commission] has broad discretion in determining whether rates are reasonable” and “is vested with discretion to decide what factors it will consider in setting or evaluating a utility’s rates.” </w:t>
      </w:r>
      <w:r w:rsidR="005C563A" w:rsidRPr="00E9174E">
        <w:rPr>
          <w:rFonts w:eastAsiaTheme="minorEastAsia"/>
          <w:sz w:val="26"/>
          <w:szCs w:val="26"/>
        </w:rPr>
        <w:t xml:space="preserve"> </w:t>
      </w:r>
      <w:r w:rsidRPr="00E9174E">
        <w:rPr>
          <w:rFonts w:eastAsiaTheme="minorEastAsia"/>
          <w:i/>
          <w:iCs/>
          <w:sz w:val="26"/>
          <w:szCs w:val="26"/>
        </w:rPr>
        <w:t>Popowsky v. Pa. PUC</w:t>
      </w:r>
      <w:r w:rsidRPr="00E9174E">
        <w:rPr>
          <w:rFonts w:eastAsiaTheme="minorEastAsia"/>
          <w:sz w:val="26"/>
          <w:szCs w:val="26"/>
        </w:rPr>
        <w:t>, 683 A.2d 958, 961 (Pa. Cmwlth. 1996)</w:t>
      </w:r>
      <w:r w:rsidR="00974FB6" w:rsidRPr="00E9174E">
        <w:rPr>
          <w:rFonts w:eastAsiaTheme="minorEastAsia"/>
          <w:sz w:val="26"/>
          <w:szCs w:val="26"/>
        </w:rPr>
        <w:t xml:space="preserve"> (</w:t>
      </w:r>
      <w:r w:rsidR="00974FB6" w:rsidRPr="00E9174E">
        <w:rPr>
          <w:rFonts w:eastAsiaTheme="minorEastAsia"/>
          <w:i/>
          <w:iCs/>
          <w:sz w:val="26"/>
          <w:szCs w:val="26"/>
        </w:rPr>
        <w:t>Popowsky II</w:t>
      </w:r>
      <w:r w:rsidR="00974FB6" w:rsidRPr="00E9174E">
        <w:rPr>
          <w:rFonts w:eastAsiaTheme="minorEastAsia"/>
          <w:sz w:val="26"/>
          <w:szCs w:val="26"/>
        </w:rPr>
        <w:t>)</w:t>
      </w:r>
      <w:r w:rsidRPr="00E9174E">
        <w:rPr>
          <w:rFonts w:eastAsiaTheme="minorEastAsia"/>
          <w:sz w:val="26"/>
          <w:szCs w:val="26"/>
        </w:rPr>
        <w:t xml:space="preserve">. </w:t>
      </w:r>
    </w:p>
    <w:p w14:paraId="182D474E" w14:textId="10227D02" w:rsidR="00371754" w:rsidRPr="00E9174E" w:rsidRDefault="00371754" w:rsidP="00E9174E">
      <w:pPr>
        <w:widowControl/>
        <w:tabs>
          <w:tab w:val="left" w:pos="-720"/>
        </w:tabs>
        <w:spacing w:line="360" w:lineRule="auto"/>
        <w:ind w:firstLine="1440"/>
        <w:contextualSpacing/>
        <w:rPr>
          <w:rFonts w:eastAsiaTheme="minorEastAsia"/>
          <w:sz w:val="26"/>
          <w:szCs w:val="26"/>
        </w:rPr>
      </w:pPr>
    </w:p>
    <w:p w14:paraId="41FC981F" w14:textId="1676D878" w:rsidR="00345BFE" w:rsidRPr="00E9174E" w:rsidRDefault="00345BFE" w:rsidP="00E9174E">
      <w:pPr>
        <w:widowControl/>
        <w:spacing w:line="360" w:lineRule="auto"/>
        <w:ind w:firstLine="1440"/>
        <w:contextualSpacing/>
        <w:rPr>
          <w:sz w:val="26"/>
          <w:szCs w:val="26"/>
        </w:rPr>
      </w:pPr>
      <w:r w:rsidRPr="00E9174E">
        <w:rPr>
          <w:sz w:val="26"/>
          <w:szCs w:val="26"/>
        </w:rPr>
        <w:t xml:space="preserve">A public utility is entitled to an opportunity to earn a fair </w:t>
      </w:r>
      <w:r w:rsidRPr="00E9174E">
        <w:rPr>
          <w:bCs/>
          <w:sz w:val="26"/>
          <w:szCs w:val="26"/>
        </w:rPr>
        <w:t>rate</w:t>
      </w:r>
      <w:r w:rsidRPr="00E9174E">
        <w:rPr>
          <w:sz w:val="26"/>
          <w:szCs w:val="26"/>
        </w:rPr>
        <w:t xml:space="preserve"> of return on the value of the property dedicated to public service.  </w:t>
      </w:r>
      <w:r w:rsidRPr="00E9174E">
        <w:rPr>
          <w:i/>
          <w:iCs/>
          <w:sz w:val="26"/>
          <w:szCs w:val="26"/>
        </w:rPr>
        <w:t>Pennsylvania Gas and Water Co. v. Pa. PUC</w:t>
      </w:r>
      <w:r w:rsidRPr="00E9174E">
        <w:rPr>
          <w:sz w:val="26"/>
          <w:szCs w:val="26"/>
        </w:rPr>
        <w:t xml:space="preserve">, 341 A.2d 239, 251 (Pa. Cmwlth. 1975) (citations omitted).  In determining a fair </w:t>
      </w:r>
      <w:r w:rsidRPr="00E9174E">
        <w:rPr>
          <w:bCs/>
          <w:sz w:val="26"/>
          <w:szCs w:val="26"/>
        </w:rPr>
        <w:t>rate</w:t>
      </w:r>
      <w:r w:rsidRPr="00E9174E">
        <w:rPr>
          <w:sz w:val="26"/>
          <w:szCs w:val="26"/>
        </w:rPr>
        <w:t xml:space="preserve"> of return, the Commission must adhere to the constitutional standards established by the United States Supreme Court in the seminal cases </w:t>
      </w:r>
      <w:r w:rsidRPr="00E9174E">
        <w:rPr>
          <w:i/>
          <w:sz w:val="26"/>
          <w:szCs w:val="26"/>
        </w:rPr>
        <w:t xml:space="preserve">Bluefield Water Works and </w:t>
      </w:r>
      <w:r w:rsidRPr="00E9174E">
        <w:rPr>
          <w:i/>
          <w:sz w:val="26"/>
          <w:szCs w:val="26"/>
        </w:rPr>
        <w:lastRenderedPageBreak/>
        <w:t>Improvement Co. v. Public Service Comm’n of West Virginia</w:t>
      </w:r>
      <w:r w:rsidRPr="00344F65">
        <w:rPr>
          <w:iCs/>
          <w:sz w:val="26"/>
          <w:szCs w:val="26"/>
        </w:rPr>
        <w:t>,</w:t>
      </w:r>
      <w:r w:rsidRPr="00E9174E">
        <w:rPr>
          <w:sz w:val="26"/>
          <w:szCs w:val="26"/>
        </w:rPr>
        <w:t xml:space="preserve"> 262 U.S. 679, 692-93 (1923) (</w:t>
      </w:r>
      <w:r w:rsidRPr="00E9174E">
        <w:rPr>
          <w:i/>
          <w:sz w:val="26"/>
          <w:szCs w:val="26"/>
        </w:rPr>
        <w:t>Bluefield</w:t>
      </w:r>
      <w:r w:rsidRPr="00E9174E">
        <w:rPr>
          <w:sz w:val="26"/>
          <w:szCs w:val="26"/>
        </w:rPr>
        <w:t xml:space="preserve">) and </w:t>
      </w:r>
      <w:r w:rsidRPr="00E9174E">
        <w:rPr>
          <w:i/>
          <w:sz w:val="26"/>
          <w:szCs w:val="26"/>
        </w:rPr>
        <w:t>Federal Power Commission v. Hope Natural Gas Co.</w:t>
      </w:r>
      <w:r w:rsidRPr="00344F65">
        <w:rPr>
          <w:iCs/>
          <w:sz w:val="26"/>
          <w:szCs w:val="26"/>
        </w:rPr>
        <w:t>,</w:t>
      </w:r>
      <w:r w:rsidRPr="00E9174E">
        <w:rPr>
          <w:i/>
          <w:sz w:val="26"/>
          <w:szCs w:val="26"/>
        </w:rPr>
        <w:t xml:space="preserve"> </w:t>
      </w:r>
      <w:r w:rsidRPr="00E9174E">
        <w:rPr>
          <w:sz w:val="26"/>
          <w:szCs w:val="26"/>
        </w:rPr>
        <w:t>320 U.S. 591, 603 (1944) (</w:t>
      </w:r>
      <w:r w:rsidRPr="00E9174E">
        <w:rPr>
          <w:i/>
          <w:sz w:val="26"/>
          <w:szCs w:val="26"/>
        </w:rPr>
        <w:t>Hope Natural Gas</w:t>
      </w:r>
      <w:r w:rsidRPr="00E9174E">
        <w:rPr>
          <w:sz w:val="26"/>
          <w:szCs w:val="26"/>
        </w:rPr>
        <w:t xml:space="preserve">).  In </w:t>
      </w:r>
      <w:r w:rsidRPr="00E9174E">
        <w:rPr>
          <w:i/>
          <w:iCs/>
          <w:sz w:val="26"/>
          <w:szCs w:val="26"/>
        </w:rPr>
        <w:t>Bluefield</w:t>
      </w:r>
      <w:r w:rsidRPr="002E6019">
        <w:rPr>
          <w:sz w:val="26"/>
          <w:szCs w:val="26"/>
        </w:rPr>
        <w:t>,</w:t>
      </w:r>
      <w:r w:rsidRPr="00E9174E">
        <w:rPr>
          <w:sz w:val="26"/>
          <w:szCs w:val="26"/>
        </w:rPr>
        <w:t xml:space="preserve"> the Supreme Court stated:</w:t>
      </w:r>
    </w:p>
    <w:p w14:paraId="1264BCB9" w14:textId="77777777" w:rsidR="00345BFE" w:rsidRPr="00E9174E" w:rsidRDefault="00345BFE" w:rsidP="00E9174E">
      <w:pPr>
        <w:widowControl/>
        <w:contextualSpacing/>
        <w:rPr>
          <w:sz w:val="26"/>
          <w:szCs w:val="26"/>
        </w:rPr>
      </w:pPr>
    </w:p>
    <w:p w14:paraId="3DA8C86B" w14:textId="77777777" w:rsidR="00345BFE" w:rsidRPr="00E9174E" w:rsidRDefault="00345BFE" w:rsidP="00E9174E">
      <w:pPr>
        <w:widowControl/>
        <w:ind w:left="1440" w:right="1440"/>
        <w:contextualSpacing/>
        <w:rPr>
          <w:sz w:val="26"/>
          <w:szCs w:val="26"/>
        </w:rPr>
      </w:pPr>
      <w:bookmarkStart w:id="18" w:name="_Hlk61959192"/>
      <w:r w:rsidRPr="00E9174E">
        <w:rPr>
          <w:sz w:val="26"/>
          <w:szCs w:val="26"/>
        </w:rPr>
        <w:t xml:space="preserve">A public utility is entitled to such </w:t>
      </w:r>
      <w:r w:rsidRPr="00E9174E">
        <w:rPr>
          <w:bCs/>
          <w:sz w:val="26"/>
          <w:szCs w:val="26"/>
        </w:rPr>
        <w:t>rates</w:t>
      </w:r>
      <w:r w:rsidRPr="00E9174E">
        <w:rPr>
          <w:sz w:val="26"/>
          <w:szCs w:val="26"/>
        </w:rPr>
        <w:t xml:space="preserve"> as will permit it to earn a return on the value of the property which it employs for the convenience of the public equal to that generally being made at the same time and in the same general part of the country on investments in other business undertakings which are attended by corresponding risks and uncertainties; but it has no constitutional right to profits such as are realized or anticipated in highly profitable enterprises or speculative ventures.  The return should be reasonably sufficient to assure confidence in the financial soundness of the utility and should be adequate, under efficient and economical management, to maintain and support its credit and enable it to raise the money necessary for the proper discharge of its public duties. A </w:t>
      </w:r>
      <w:r w:rsidRPr="00E9174E">
        <w:rPr>
          <w:bCs/>
          <w:sz w:val="26"/>
          <w:szCs w:val="26"/>
        </w:rPr>
        <w:t>rate</w:t>
      </w:r>
      <w:r w:rsidRPr="00E9174E">
        <w:rPr>
          <w:sz w:val="26"/>
          <w:szCs w:val="26"/>
        </w:rPr>
        <w:t xml:space="preserve"> of return may be too high or too low by changes affecting opportunities for investment, the money market and business conditions generally.</w:t>
      </w:r>
    </w:p>
    <w:bookmarkEnd w:id="18"/>
    <w:p w14:paraId="15D85459" w14:textId="77777777" w:rsidR="00763D46" w:rsidRPr="00E9174E" w:rsidRDefault="00763D46" w:rsidP="00E9174E">
      <w:pPr>
        <w:widowControl/>
        <w:spacing w:line="360" w:lineRule="auto"/>
        <w:contextualSpacing/>
        <w:rPr>
          <w:i/>
          <w:iCs/>
          <w:sz w:val="26"/>
          <w:szCs w:val="26"/>
        </w:rPr>
      </w:pPr>
    </w:p>
    <w:p w14:paraId="7AFA9E50" w14:textId="721B2145" w:rsidR="00345BFE" w:rsidRPr="00E9174E" w:rsidRDefault="00345BFE" w:rsidP="00E9174E">
      <w:pPr>
        <w:widowControl/>
        <w:spacing w:line="360" w:lineRule="auto"/>
        <w:contextualSpacing/>
        <w:rPr>
          <w:sz w:val="26"/>
          <w:szCs w:val="26"/>
        </w:rPr>
      </w:pPr>
      <w:r w:rsidRPr="00E9174E">
        <w:rPr>
          <w:i/>
          <w:iCs/>
          <w:sz w:val="26"/>
          <w:szCs w:val="26"/>
        </w:rPr>
        <w:t>Bluefield,</w:t>
      </w:r>
      <w:r w:rsidRPr="00E9174E">
        <w:rPr>
          <w:sz w:val="26"/>
          <w:szCs w:val="26"/>
        </w:rPr>
        <w:t xml:space="preserve"> 262 U.S. at 692-93.  Twenty years later, in </w:t>
      </w:r>
      <w:r w:rsidRPr="00E9174E">
        <w:rPr>
          <w:i/>
          <w:sz w:val="26"/>
          <w:szCs w:val="26"/>
        </w:rPr>
        <w:t>Hope Natural Gas</w:t>
      </w:r>
      <w:r w:rsidRPr="00344F65">
        <w:rPr>
          <w:iCs/>
          <w:sz w:val="26"/>
          <w:szCs w:val="26"/>
        </w:rPr>
        <w:t>,</w:t>
      </w:r>
      <w:r w:rsidRPr="00E9174E">
        <w:rPr>
          <w:sz w:val="26"/>
          <w:szCs w:val="26"/>
        </w:rPr>
        <w:t xml:space="preserve"> the Supreme Court</w:t>
      </w:r>
      <w:r w:rsidRPr="00E9174E">
        <w:rPr>
          <w:i/>
          <w:sz w:val="26"/>
          <w:szCs w:val="26"/>
        </w:rPr>
        <w:t xml:space="preserve"> </w:t>
      </w:r>
      <w:r w:rsidRPr="00E9174E">
        <w:rPr>
          <w:sz w:val="26"/>
          <w:szCs w:val="26"/>
        </w:rPr>
        <w:t>reiterated:</w:t>
      </w:r>
    </w:p>
    <w:p w14:paraId="3067EEBA" w14:textId="77777777" w:rsidR="008D0D9E" w:rsidRPr="00E9174E" w:rsidRDefault="008D0D9E" w:rsidP="00E9174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right="1440"/>
        <w:contextualSpacing/>
        <w:rPr>
          <w:sz w:val="26"/>
          <w:szCs w:val="26"/>
        </w:rPr>
      </w:pPr>
    </w:p>
    <w:p w14:paraId="7B985999" w14:textId="1F1CD6C4" w:rsidR="00345BFE" w:rsidRPr="00E9174E" w:rsidRDefault="00345BFE" w:rsidP="00E9174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right="1440"/>
        <w:contextualSpacing/>
        <w:rPr>
          <w:sz w:val="26"/>
          <w:szCs w:val="26"/>
        </w:rPr>
      </w:pPr>
      <w:r w:rsidRPr="00E9174E">
        <w:rPr>
          <w:sz w:val="26"/>
          <w:szCs w:val="26"/>
        </w:rPr>
        <w:t>From the investor or company point of view it is important that there be enough revenue not only for operating expenses but also for the capital costs of the business.  These include service on the debt and dividends on the stock. By that standard the return to equity owner should be commensurate with returns on investments in other enterprises having corresponding risks.  That return, moreover, should be sufficient to assure confidence in the financial integrity of the enterprise, so as to maintain its credit and to attract capital.</w:t>
      </w:r>
    </w:p>
    <w:p w14:paraId="1D6AC72D" w14:textId="77777777" w:rsidR="008D0D9E" w:rsidRPr="00E9174E" w:rsidRDefault="008D0D9E" w:rsidP="00E9174E">
      <w:pPr>
        <w:widowControl/>
        <w:spacing w:line="360" w:lineRule="auto"/>
        <w:contextualSpacing/>
        <w:rPr>
          <w:i/>
          <w:sz w:val="26"/>
          <w:szCs w:val="26"/>
        </w:rPr>
      </w:pPr>
    </w:p>
    <w:p w14:paraId="340A1530" w14:textId="685B3288" w:rsidR="00345BFE" w:rsidRPr="00E9174E" w:rsidRDefault="00345BFE" w:rsidP="00E9174E">
      <w:pPr>
        <w:widowControl/>
        <w:spacing w:line="360" w:lineRule="auto"/>
        <w:contextualSpacing/>
        <w:rPr>
          <w:sz w:val="26"/>
          <w:szCs w:val="26"/>
        </w:rPr>
      </w:pPr>
      <w:r w:rsidRPr="00E9174E">
        <w:rPr>
          <w:i/>
          <w:sz w:val="26"/>
          <w:szCs w:val="26"/>
        </w:rPr>
        <w:t>Hope Natural Gas</w:t>
      </w:r>
      <w:r w:rsidRPr="00344F65">
        <w:rPr>
          <w:iCs/>
          <w:sz w:val="26"/>
          <w:szCs w:val="26"/>
        </w:rPr>
        <w:t>,</w:t>
      </w:r>
      <w:r w:rsidRPr="00E9174E">
        <w:rPr>
          <w:sz w:val="26"/>
          <w:szCs w:val="26"/>
        </w:rPr>
        <w:t xml:space="preserve"> 320 U.S. at 603.</w:t>
      </w:r>
    </w:p>
    <w:p w14:paraId="16226EAD" w14:textId="77777777" w:rsidR="00345BFE" w:rsidRPr="00E9174E" w:rsidRDefault="00345BFE" w:rsidP="00E9174E">
      <w:pPr>
        <w:widowControl/>
        <w:tabs>
          <w:tab w:val="left" w:pos="-720"/>
        </w:tabs>
        <w:spacing w:line="360" w:lineRule="auto"/>
        <w:ind w:firstLine="1440"/>
        <w:contextualSpacing/>
        <w:rPr>
          <w:rFonts w:eastAsiaTheme="minorEastAsia"/>
          <w:sz w:val="26"/>
          <w:szCs w:val="26"/>
        </w:rPr>
      </w:pPr>
    </w:p>
    <w:p w14:paraId="087B81B7" w14:textId="637B3363" w:rsidR="00305AA0" w:rsidRPr="00E9174E" w:rsidRDefault="00305AA0" w:rsidP="00E9174E">
      <w:pPr>
        <w:widowControl/>
        <w:tabs>
          <w:tab w:val="left" w:pos="-720"/>
        </w:tabs>
        <w:spacing w:line="360" w:lineRule="auto"/>
        <w:ind w:firstLine="1440"/>
        <w:contextualSpacing/>
        <w:rPr>
          <w:rFonts w:eastAsiaTheme="minorHAnsi"/>
          <w:sz w:val="26"/>
          <w:szCs w:val="26"/>
        </w:rPr>
      </w:pPr>
      <w:r w:rsidRPr="00E9174E">
        <w:rPr>
          <w:sz w:val="26"/>
          <w:szCs w:val="26"/>
        </w:rPr>
        <w:t xml:space="preserve">The Commission is required to investigate all general rate increase filings. </w:t>
      </w:r>
      <w:r w:rsidRPr="00E9174E">
        <w:rPr>
          <w:i/>
          <w:iCs/>
          <w:sz w:val="26"/>
          <w:szCs w:val="26"/>
        </w:rPr>
        <w:t>Popowsky</w:t>
      </w:r>
      <w:r w:rsidR="003A2EF0" w:rsidRPr="00E9174E">
        <w:rPr>
          <w:i/>
          <w:iCs/>
          <w:sz w:val="26"/>
          <w:szCs w:val="26"/>
        </w:rPr>
        <w:t xml:space="preserve"> II</w:t>
      </w:r>
      <w:r w:rsidRPr="00E9174E">
        <w:rPr>
          <w:sz w:val="26"/>
          <w:szCs w:val="26"/>
        </w:rPr>
        <w:t>, 683 A.2d at 961.</w:t>
      </w:r>
      <w:r w:rsidRPr="00E9174E">
        <w:rPr>
          <w:rFonts w:eastAsiaTheme="minorHAnsi"/>
          <w:sz w:val="26"/>
          <w:szCs w:val="26"/>
        </w:rPr>
        <w:t xml:space="preserve">  </w:t>
      </w:r>
      <w:bookmarkStart w:id="19" w:name="co_anchor_B32050131946_1"/>
      <w:bookmarkEnd w:id="19"/>
      <w:r w:rsidRPr="00E9174E">
        <w:rPr>
          <w:rFonts w:eastAsiaTheme="minorHAnsi"/>
          <w:sz w:val="26"/>
          <w:szCs w:val="26"/>
        </w:rPr>
        <w:t xml:space="preserve">The burden of proof to establish the justness and </w:t>
      </w:r>
      <w:r w:rsidRPr="00E9174E">
        <w:rPr>
          <w:rFonts w:eastAsiaTheme="minorHAnsi"/>
          <w:sz w:val="26"/>
          <w:szCs w:val="26"/>
        </w:rPr>
        <w:lastRenderedPageBreak/>
        <w:t xml:space="preserve">reasonableness of every element of a public utility’s rate increase request rests solely upon the public utility in all proceedings filed under Section 1308(d) of the Code.  66 Pa. C.S. </w:t>
      </w:r>
      <w:r w:rsidR="008A256D" w:rsidRPr="00E9174E">
        <w:rPr>
          <w:rFonts w:eastAsiaTheme="minorHAnsi"/>
          <w:sz w:val="26"/>
          <w:szCs w:val="26"/>
        </w:rPr>
        <w:t xml:space="preserve">§ </w:t>
      </w:r>
      <w:r w:rsidRPr="00E9174E">
        <w:rPr>
          <w:rFonts w:eastAsiaTheme="minorHAnsi"/>
          <w:sz w:val="26"/>
          <w:szCs w:val="26"/>
        </w:rPr>
        <w:t>315(a); s</w:t>
      </w:r>
      <w:r w:rsidRPr="00E9174E">
        <w:rPr>
          <w:i/>
          <w:iCs/>
          <w:sz w:val="26"/>
          <w:szCs w:val="26"/>
        </w:rPr>
        <w:t>ee also,</w:t>
      </w:r>
      <w:r w:rsidRPr="00E9174E">
        <w:rPr>
          <w:sz w:val="26"/>
          <w:szCs w:val="26"/>
        </w:rPr>
        <w:t xml:space="preserve"> </w:t>
      </w:r>
      <w:r w:rsidRPr="00E9174E">
        <w:rPr>
          <w:i/>
          <w:iCs/>
          <w:sz w:val="26"/>
          <w:szCs w:val="26"/>
        </w:rPr>
        <w:t>Lower Frederick Twp. Water Co. v. Pa. PUC</w:t>
      </w:r>
      <w:r w:rsidRPr="00E9174E">
        <w:rPr>
          <w:sz w:val="26"/>
          <w:szCs w:val="26"/>
        </w:rPr>
        <w:t>, 409 A.2d 505, 507 (Pa. Cmwlth. 1980) (</w:t>
      </w:r>
      <w:r w:rsidRPr="00E9174E">
        <w:rPr>
          <w:i/>
          <w:iCs/>
          <w:sz w:val="26"/>
          <w:szCs w:val="26"/>
        </w:rPr>
        <w:t>Lower Frederick</w:t>
      </w:r>
      <w:r w:rsidRPr="00E9174E">
        <w:rPr>
          <w:sz w:val="26"/>
          <w:szCs w:val="26"/>
        </w:rPr>
        <w:t xml:space="preserve">); </w:t>
      </w:r>
      <w:r w:rsidRPr="00E9174E">
        <w:rPr>
          <w:rFonts w:eastAsiaTheme="minorHAnsi"/>
          <w:i/>
          <w:sz w:val="26"/>
          <w:szCs w:val="26"/>
        </w:rPr>
        <w:t>see also</w:t>
      </w:r>
      <w:r w:rsidRPr="00E9174E">
        <w:rPr>
          <w:rFonts w:eastAsiaTheme="minorHAnsi"/>
          <w:sz w:val="26"/>
          <w:szCs w:val="26"/>
        </w:rPr>
        <w:t xml:space="preserve">, </w:t>
      </w:r>
      <w:r w:rsidRPr="00E9174E">
        <w:rPr>
          <w:rFonts w:eastAsiaTheme="minorHAnsi"/>
          <w:i/>
          <w:sz w:val="26"/>
          <w:szCs w:val="26"/>
        </w:rPr>
        <w:t>Brockway Glass Co. v. Pa. PUC</w:t>
      </w:r>
      <w:r w:rsidRPr="00E9174E">
        <w:rPr>
          <w:rFonts w:eastAsiaTheme="minorHAnsi"/>
          <w:sz w:val="26"/>
          <w:szCs w:val="26"/>
        </w:rPr>
        <w:t>, 437</w:t>
      </w:r>
      <w:r w:rsidR="007D3DD9">
        <w:rPr>
          <w:rFonts w:eastAsiaTheme="minorHAnsi"/>
          <w:sz w:val="26"/>
          <w:szCs w:val="26"/>
        </w:rPr>
        <w:t> </w:t>
      </w:r>
      <w:r w:rsidRPr="00E9174E">
        <w:rPr>
          <w:rFonts w:eastAsiaTheme="minorHAnsi"/>
          <w:sz w:val="26"/>
          <w:szCs w:val="26"/>
        </w:rPr>
        <w:t>A.2d 1067 (Pa. Cmwlth. 1981).  Section 315(a) of the Code provides as follows:</w:t>
      </w:r>
    </w:p>
    <w:p w14:paraId="052BF82A" w14:textId="77777777" w:rsidR="00305AA0" w:rsidRPr="00E9174E" w:rsidRDefault="00305AA0" w:rsidP="007D3DD9">
      <w:pPr>
        <w:widowControl/>
        <w:ind w:right="1440"/>
        <w:contextualSpacing/>
        <w:rPr>
          <w:rFonts w:eastAsiaTheme="minorHAnsi"/>
          <w:b/>
          <w:sz w:val="26"/>
          <w:szCs w:val="26"/>
        </w:rPr>
      </w:pPr>
    </w:p>
    <w:p w14:paraId="02DC1CF5" w14:textId="77777777" w:rsidR="00305AA0" w:rsidRPr="00E9174E" w:rsidRDefault="00305AA0" w:rsidP="00E9174E">
      <w:pPr>
        <w:widowControl/>
        <w:ind w:left="1440" w:right="1440"/>
        <w:contextualSpacing/>
        <w:rPr>
          <w:rFonts w:eastAsiaTheme="minorHAnsi"/>
          <w:sz w:val="26"/>
          <w:szCs w:val="26"/>
        </w:rPr>
      </w:pPr>
      <w:r w:rsidRPr="00E9174E">
        <w:rPr>
          <w:rFonts w:eastAsiaTheme="minorHAnsi"/>
          <w:b/>
          <w:sz w:val="26"/>
          <w:szCs w:val="26"/>
        </w:rPr>
        <w:t>Reasonableness of rates.</w:t>
      </w:r>
      <w:r w:rsidRPr="00E9174E">
        <w:rPr>
          <w:rFonts w:eastAsiaTheme="minorHAnsi"/>
          <w:sz w:val="26"/>
          <w:szCs w:val="26"/>
        </w:rPr>
        <w:t xml:space="preserve"> – In any proceeding upon the motion of the commission, involving any proposed or existing rate of any public utility, or in any proceedings upon complaint involving any proposed increase in rates, the burden of proof to show that the rate involved is just and reasonable shall be upon the public utility.</w:t>
      </w:r>
    </w:p>
    <w:p w14:paraId="40EF7F3C" w14:textId="77777777" w:rsidR="007A3DC4" w:rsidRPr="00E9174E" w:rsidRDefault="007A3DC4" w:rsidP="00E9174E">
      <w:pPr>
        <w:widowControl/>
        <w:spacing w:line="360" w:lineRule="auto"/>
        <w:contextualSpacing/>
        <w:rPr>
          <w:rFonts w:eastAsiaTheme="minorHAnsi"/>
          <w:sz w:val="26"/>
          <w:szCs w:val="26"/>
        </w:rPr>
      </w:pPr>
    </w:p>
    <w:p w14:paraId="74838768" w14:textId="7817B7B4" w:rsidR="00305AA0" w:rsidRPr="00E9174E" w:rsidRDefault="00305AA0" w:rsidP="00E9174E">
      <w:pPr>
        <w:widowControl/>
        <w:spacing w:line="360" w:lineRule="auto"/>
        <w:contextualSpacing/>
        <w:rPr>
          <w:rFonts w:eastAsiaTheme="minorHAnsi"/>
          <w:sz w:val="26"/>
          <w:szCs w:val="26"/>
        </w:rPr>
      </w:pPr>
      <w:r w:rsidRPr="00E9174E">
        <w:rPr>
          <w:rFonts w:eastAsiaTheme="minorHAnsi"/>
          <w:sz w:val="26"/>
          <w:szCs w:val="26"/>
        </w:rPr>
        <w:t>66 Pa. C.S. § 315(a).  The evidence necessary to meet that burden must be substantial.</w:t>
      </w:r>
      <w:r w:rsidRPr="00E9174E">
        <w:rPr>
          <w:sz w:val="26"/>
          <w:szCs w:val="26"/>
        </w:rPr>
        <w:t xml:space="preserve"> </w:t>
      </w:r>
      <w:r w:rsidRPr="00E9174E">
        <w:rPr>
          <w:i/>
          <w:iCs/>
          <w:sz w:val="26"/>
          <w:szCs w:val="26"/>
        </w:rPr>
        <w:t>Lower Frederick</w:t>
      </w:r>
      <w:r w:rsidRPr="00E9174E">
        <w:rPr>
          <w:sz w:val="26"/>
          <w:szCs w:val="26"/>
        </w:rPr>
        <w:t xml:space="preserve"> at 507.</w:t>
      </w:r>
    </w:p>
    <w:p w14:paraId="74EEA51A" w14:textId="77777777" w:rsidR="00305AA0" w:rsidRPr="00E9174E" w:rsidRDefault="00305AA0" w:rsidP="00E9174E">
      <w:pPr>
        <w:widowControl/>
        <w:spacing w:line="360" w:lineRule="auto"/>
        <w:contextualSpacing/>
        <w:rPr>
          <w:rFonts w:eastAsiaTheme="minorHAnsi"/>
          <w:sz w:val="26"/>
          <w:szCs w:val="26"/>
        </w:rPr>
      </w:pPr>
    </w:p>
    <w:p w14:paraId="0240CE42" w14:textId="77777777" w:rsidR="00305AA0" w:rsidRPr="00E9174E" w:rsidRDefault="00305AA0" w:rsidP="00E9174E">
      <w:pPr>
        <w:widowControl/>
        <w:spacing w:line="360" w:lineRule="auto"/>
        <w:ind w:firstLine="1440"/>
        <w:contextualSpacing/>
        <w:rPr>
          <w:rFonts w:eastAsiaTheme="minorHAnsi"/>
          <w:sz w:val="26"/>
          <w:szCs w:val="26"/>
        </w:rPr>
      </w:pPr>
      <w:r w:rsidRPr="00E9174E">
        <w:rPr>
          <w:rFonts w:eastAsiaTheme="minorHAnsi"/>
          <w:sz w:val="26"/>
          <w:szCs w:val="26"/>
        </w:rPr>
        <w:t>In general rate increase proceedings, the burden of proof does not shift to parties challenging a requested rate increase.  Rather, the utility’s burden of establishing the justness and reasonableness of every component of its rate request is an affirmative one, and that burden remains with the public utility throughout the course of the rate proceeding.  There is no similar burden placed on parties to justify a proposed adjustment to the Company’s filing.  The Pennsylvania Supreme Court has held:</w:t>
      </w:r>
    </w:p>
    <w:p w14:paraId="0B357E8A" w14:textId="77777777" w:rsidR="00305AA0" w:rsidRPr="00E9174E" w:rsidRDefault="00305AA0" w:rsidP="00E9174E">
      <w:pPr>
        <w:widowControl/>
        <w:ind w:firstLine="1440"/>
        <w:contextualSpacing/>
        <w:rPr>
          <w:rFonts w:eastAsiaTheme="minorHAnsi"/>
          <w:sz w:val="26"/>
          <w:szCs w:val="26"/>
        </w:rPr>
      </w:pPr>
    </w:p>
    <w:p w14:paraId="1E442F55" w14:textId="77777777" w:rsidR="00305AA0" w:rsidRPr="00E9174E" w:rsidRDefault="00305AA0" w:rsidP="00E9174E">
      <w:pPr>
        <w:widowControl/>
        <w:ind w:left="1440" w:right="1296"/>
        <w:contextualSpacing/>
        <w:rPr>
          <w:rFonts w:eastAsiaTheme="minorHAnsi"/>
          <w:sz w:val="26"/>
          <w:szCs w:val="26"/>
        </w:rPr>
      </w:pPr>
      <w:r w:rsidRPr="00E9174E">
        <w:rPr>
          <w:rFonts w:eastAsiaTheme="minorHAnsi"/>
          <w:sz w:val="26"/>
          <w:szCs w:val="26"/>
        </w:rPr>
        <w:t xml:space="preserve">[T]he appellants did not have the burden of proving that the plant additions were improper, </w:t>
      </w:r>
      <w:proofErr w:type="gramStart"/>
      <w:r w:rsidRPr="00E9174E">
        <w:rPr>
          <w:rFonts w:eastAsiaTheme="minorHAnsi"/>
          <w:sz w:val="26"/>
          <w:szCs w:val="26"/>
        </w:rPr>
        <w:t>unnecessary</w:t>
      </w:r>
      <w:proofErr w:type="gramEnd"/>
      <w:r w:rsidRPr="00E9174E">
        <w:rPr>
          <w:rFonts w:eastAsiaTheme="minorHAnsi"/>
          <w:sz w:val="26"/>
          <w:szCs w:val="26"/>
        </w:rPr>
        <w:t xml:space="preserve"> or too costly; on the contrary, that burden is, by statute, on the utility to </w:t>
      </w:r>
    </w:p>
    <w:p w14:paraId="38D88704" w14:textId="77777777" w:rsidR="00305AA0" w:rsidRPr="00E9174E" w:rsidRDefault="00305AA0" w:rsidP="00E9174E">
      <w:pPr>
        <w:widowControl/>
        <w:ind w:left="1440" w:right="1296"/>
        <w:contextualSpacing/>
        <w:rPr>
          <w:rFonts w:eastAsiaTheme="minorHAnsi"/>
          <w:sz w:val="26"/>
          <w:szCs w:val="26"/>
        </w:rPr>
      </w:pPr>
      <w:r w:rsidRPr="00E9174E">
        <w:rPr>
          <w:rFonts w:eastAsiaTheme="minorHAnsi"/>
          <w:sz w:val="26"/>
          <w:szCs w:val="26"/>
        </w:rPr>
        <w:t>demonstrate the reasonable necessity and cost of the installations, and that is the burden which the utility patently failed to carry.</w:t>
      </w:r>
    </w:p>
    <w:p w14:paraId="0F1D9088" w14:textId="77777777" w:rsidR="007A3DC4" w:rsidRPr="00E9174E" w:rsidRDefault="007A3DC4" w:rsidP="00E9174E">
      <w:pPr>
        <w:widowControl/>
        <w:spacing w:line="360" w:lineRule="auto"/>
        <w:ind w:right="1440"/>
        <w:contextualSpacing/>
        <w:rPr>
          <w:rFonts w:eastAsiaTheme="minorHAnsi"/>
          <w:i/>
          <w:sz w:val="26"/>
          <w:szCs w:val="26"/>
        </w:rPr>
      </w:pPr>
    </w:p>
    <w:p w14:paraId="2664B1AD" w14:textId="5914D433" w:rsidR="00305AA0" w:rsidRPr="00E9174E" w:rsidRDefault="00305AA0" w:rsidP="00E9174E">
      <w:pPr>
        <w:widowControl/>
        <w:spacing w:line="360" w:lineRule="auto"/>
        <w:ind w:right="1440"/>
        <w:contextualSpacing/>
        <w:rPr>
          <w:rFonts w:eastAsiaTheme="minorHAnsi"/>
          <w:sz w:val="26"/>
          <w:szCs w:val="26"/>
        </w:rPr>
      </w:pPr>
      <w:r w:rsidRPr="00E9174E">
        <w:rPr>
          <w:rFonts w:eastAsiaTheme="minorHAnsi"/>
          <w:i/>
          <w:sz w:val="26"/>
          <w:szCs w:val="26"/>
        </w:rPr>
        <w:t>Berner v. Pa. PUC</w:t>
      </w:r>
      <w:r w:rsidRPr="00E9174E">
        <w:rPr>
          <w:rFonts w:eastAsiaTheme="minorHAnsi"/>
          <w:sz w:val="26"/>
          <w:szCs w:val="26"/>
        </w:rPr>
        <w:t>, 116 A.2d 738, 744 (Pa. 1955).</w:t>
      </w:r>
    </w:p>
    <w:p w14:paraId="3BBA290F" w14:textId="77777777" w:rsidR="00763D46" w:rsidRPr="00E9174E" w:rsidRDefault="00763D46" w:rsidP="00E9174E">
      <w:pPr>
        <w:widowControl/>
        <w:spacing w:line="360" w:lineRule="auto"/>
        <w:ind w:right="1440"/>
        <w:contextualSpacing/>
        <w:rPr>
          <w:rFonts w:eastAsiaTheme="minorHAnsi"/>
          <w:sz w:val="26"/>
          <w:szCs w:val="26"/>
        </w:rPr>
      </w:pPr>
    </w:p>
    <w:p w14:paraId="440C9C3B" w14:textId="77777777" w:rsidR="00305AA0" w:rsidRPr="00E9174E" w:rsidRDefault="00305AA0" w:rsidP="00E9174E">
      <w:pPr>
        <w:widowControl/>
        <w:tabs>
          <w:tab w:val="left" w:pos="-720"/>
        </w:tabs>
        <w:spacing w:line="360" w:lineRule="auto"/>
        <w:ind w:firstLine="1440"/>
        <w:contextualSpacing/>
        <w:rPr>
          <w:rFonts w:eastAsiaTheme="minorHAnsi"/>
          <w:sz w:val="26"/>
          <w:szCs w:val="26"/>
        </w:rPr>
      </w:pPr>
      <w:r w:rsidRPr="00E9174E">
        <w:rPr>
          <w:rFonts w:eastAsiaTheme="minorHAnsi"/>
          <w:sz w:val="26"/>
          <w:szCs w:val="26"/>
        </w:rPr>
        <w:lastRenderedPageBreak/>
        <w:t>However, in proving that its proposed rates are just and reasonable, a public utility need not affirmatively defend every claim it has made in its filing, even those which no other party has questioned.  As the Pennsylvania Commonwealth Court has held:</w:t>
      </w:r>
    </w:p>
    <w:p w14:paraId="53C0A41B" w14:textId="77777777" w:rsidR="00E41F7D" w:rsidRPr="00E9174E" w:rsidRDefault="00E41F7D" w:rsidP="00E9174E">
      <w:pPr>
        <w:widowControl/>
        <w:ind w:left="1440" w:right="1296"/>
        <w:contextualSpacing/>
        <w:rPr>
          <w:rFonts w:eastAsiaTheme="minorHAnsi"/>
          <w:sz w:val="26"/>
          <w:szCs w:val="26"/>
        </w:rPr>
      </w:pPr>
    </w:p>
    <w:p w14:paraId="32D25D20" w14:textId="44CBA689" w:rsidR="00305AA0" w:rsidRPr="00E9174E" w:rsidRDefault="00305AA0" w:rsidP="00E9174E">
      <w:pPr>
        <w:widowControl/>
        <w:ind w:left="1440" w:right="1296"/>
        <w:contextualSpacing/>
        <w:rPr>
          <w:rFonts w:eastAsiaTheme="minorHAnsi"/>
          <w:sz w:val="26"/>
          <w:szCs w:val="26"/>
        </w:rPr>
      </w:pPr>
      <w:r w:rsidRPr="00E9174E">
        <w:rPr>
          <w:rFonts w:eastAsiaTheme="minorHAnsi"/>
          <w:sz w:val="26"/>
          <w:szCs w:val="26"/>
        </w:rPr>
        <w:t>While it is axiomatic that a utility has the burden of proving the justness and reasonableness of its proposed rates, it cannot be called upon to account for every action absent prior notice that such action is to be challenged.</w:t>
      </w:r>
    </w:p>
    <w:p w14:paraId="5C79590B" w14:textId="77777777" w:rsidR="00D36DF3" w:rsidRPr="00E9174E" w:rsidRDefault="00D36DF3" w:rsidP="00E9174E">
      <w:pPr>
        <w:widowControl/>
        <w:spacing w:line="360" w:lineRule="auto"/>
        <w:contextualSpacing/>
        <w:rPr>
          <w:rFonts w:eastAsiaTheme="minorHAnsi"/>
          <w:i/>
          <w:sz w:val="26"/>
          <w:szCs w:val="26"/>
        </w:rPr>
      </w:pPr>
    </w:p>
    <w:p w14:paraId="269D6B21" w14:textId="249753DF" w:rsidR="00305AA0" w:rsidRPr="00E9174E" w:rsidRDefault="00305AA0" w:rsidP="00E9174E">
      <w:pPr>
        <w:widowControl/>
        <w:spacing w:line="360" w:lineRule="auto"/>
        <w:contextualSpacing/>
        <w:rPr>
          <w:rFonts w:eastAsiaTheme="minorHAnsi"/>
          <w:sz w:val="26"/>
          <w:szCs w:val="26"/>
        </w:rPr>
      </w:pPr>
      <w:r w:rsidRPr="00E9174E">
        <w:rPr>
          <w:rFonts w:eastAsiaTheme="minorHAnsi"/>
          <w:i/>
          <w:sz w:val="26"/>
          <w:szCs w:val="26"/>
        </w:rPr>
        <w:t>Allegheny Center Assocs. v. Pa. PUC</w:t>
      </w:r>
      <w:r w:rsidRPr="00E9174E">
        <w:rPr>
          <w:rFonts w:eastAsiaTheme="minorHAnsi"/>
          <w:sz w:val="26"/>
          <w:szCs w:val="26"/>
        </w:rPr>
        <w:t xml:space="preserve">, 570 A.2d 149, 153 (Pa. Cmwlth. 1990) (citation omitted); </w:t>
      </w:r>
      <w:r w:rsidRPr="00E9174E">
        <w:rPr>
          <w:rFonts w:eastAsiaTheme="minorHAnsi"/>
          <w:i/>
          <w:iCs/>
          <w:sz w:val="26"/>
          <w:szCs w:val="26"/>
        </w:rPr>
        <w:t>s</w:t>
      </w:r>
      <w:r w:rsidRPr="00E9174E">
        <w:rPr>
          <w:rFonts w:eastAsiaTheme="minorHAnsi"/>
          <w:i/>
          <w:sz w:val="26"/>
          <w:szCs w:val="26"/>
        </w:rPr>
        <w:t>ee also Pa. PUC v. Equitable Gas Co.</w:t>
      </w:r>
      <w:r w:rsidRPr="00E9174E">
        <w:rPr>
          <w:rFonts w:eastAsiaTheme="minorHAnsi"/>
          <w:sz w:val="26"/>
          <w:szCs w:val="26"/>
        </w:rPr>
        <w:t>, 73 Pa. P.U.C. 310, 359-360 (1990).</w:t>
      </w:r>
    </w:p>
    <w:p w14:paraId="0023A357" w14:textId="77777777" w:rsidR="00305AA0" w:rsidRPr="00E9174E" w:rsidRDefault="00305AA0" w:rsidP="00E9174E">
      <w:pPr>
        <w:widowControl/>
        <w:spacing w:line="360" w:lineRule="auto"/>
        <w:ind w:firstLine="1440"/>
        <w:contextualSpacing/>
        <w:rPr>
          <w:rFonts w:eastAsiaTheme="minorHAnsi"/>
          <w:sz w:val="26"/>
          <w:szCs w:val="26"/>
        </w:rPr>
      </w:pPr>
    </w:p>
    <w:p w14:paraId="723DE59E" w14:textId="77777777" w:rsidR="00305AA0" w:rsidRPr="00E9174E" w:rsidRDefault="00305AA0" w:rsidP="00E9174E">
      <w:pPr>
        <w:widowControl/>
        <w:spacing w:line="360" w:lineRule="auto"/>
        <w:ind w:firstLine="1440"/>
        <w:contextualSpacing/>
        <w:rPr>
          <w:sz w:val="26"/>
          <w:szCs w:val="26"/>
        </w:rPr>
      </w:pPr>
      <w:r w:rsidRPr="00E9174E">
        <w:rPr>
          <w:rFonts w:eastAsiaTheme="minorHAnsi"/>
          <w:sz w:val="26"/>
          <w:szCs w:val="26"/>
        </w:rPr>
        <w:t xml:space="preserve">Additionally, Section 315(a) of the Code cannot reasonably be read to place the burden of proof on the utility with respect to an issue the utility did not include in its general rate case filing and which, frequently, the utility would oppose.  66 Pa. C.S. § 315(a).  The burden of proof must be on the party who proposes a rate increase beyond that sought by the utility.  </w:t>
      </w:r>
      <w:r w:rsidRPr="00E9174E">
        <w:rPr>
          <w:i/>
          <w:sz w:val="26"/>
          <w:szCs w:val="26"/>
        </w:rPr>
        <w:t>Pa. PUC v. Metropolitan Edison Company</w:t>
      </w:r>
      <w:r w:rsidRPr="00A90D05">
        <w:rPr>
          <w:iCs/>
          <w:sz w:val="26"/>
          <w:szCs w:val="26"/>
        </w:rPr>
        <w:t>,</w:t>
      </w:r>
      <w:r w:rsidRPr="00E9174E">
        <w:rPr>
          <w:i/>
          <w:sz w:val="26"/>
          <w:szCs w:val="26"/>
        </w:rPr>
        <w:t xml:space="preserve"> </w:t>
      </w:r>
      <w:r w:rsidRPr="00E9174E">
        <w:rPr>
          <w:sz w:val="26"/>
          <w:szCs w:val="26"/>
        </w:rPr>
        <w:t xml:space="preserve">Docket No. </w:t>
      </w:r>
    </w:p>
    <w:p w14:paraId="4B9ED443" w14:textId="77777777" w:rsidR="00305AA0" w:rsidRPr="00E9174E" w:rsidRDefault="00305AA0" w:rsidP="00E9174E">
      <w:pPr>
        <w:widowControl/>
        <w:spacing w:line="360" w:lineRule="auto"/>
        <w:contextualSpacing/>
        <w:rPr>
          <w:rFonts w:eastAsiaTheme="minorHAnsi"/>
          <w:sz w:val="26"/>
          <w:szCs w:val="26"/>
        </w:rPr>
      </w:pPr>
      <w:r w:rsidRPr="00E9174E">
        <w:rPr>
          <w:sz w:val="26"/>
          <w:szCs w:val="26"/>
        </w:rPr>
        <w:t xml:space="preserve">R-00061366, 2007 Pa. PUC LEXIS 5 (Order entered January 11, 2007).  </w:t>
      </w:r>
      <w:r w:rsidRPr="00E9174E">
        <w:rPr>
          <w:rFonts w:eastAsiaTheme="minorHAnsi"/>
          <w:sz w:val="26"/>
          <w:szCs w:val="26"/>
        </w:rPr>
        <w:t xml:space="preserve">The mere rejection of evidence contrary to that presented by the public utility is not an impermissible shifting of the evidentiary burden.  </w:t>
      </w:r>
      <w:r w:rsidRPr="00E9174E">
        <w:rPr>
          <w:rFonts w:eastAsiaTheme="minorHAnsi"/>
          <w:i/>
          <w:sz w:val="26"/>
          <w:szCs w:val="26"/>
        </w:rPr>
        <w:t>United States Steel Corp. v. Pa. PUC</w:t>
      </w:r>
      <w:r w:rsidRPr="00E9174E">
        <w:rPr>
          <w:rFonts w:eastAsiaTheme="minorHAnsi"/>
          <w:sz w:val="26"/>
          <w:szCs w:val="26"/>
        </w:rPr>
        <w:t>, 456 A.2d 686 (Pa. Cmwlth. 1983).</w:t>
      </w:r>
    </w:p>
    <w:p w14:paraId="2741EBED" w14:textId="77777777" w:rsidR="00305AA0" w:rsidRPr="00E9174E" w:rsidRDefault="00305AA0" w:rsidP="00E9174E">
      <w:pPr>
        <w:widowControl/>
        <w:spacing w:line="360" w:lineRule="auto"/>
        <w:contextualSpacing/>
        <w:rPr>
          <w:rFonts w:eastAsiaTheme="minorHAnsi"/>
          <w:sz w:val="26"/>
          <w:szCs w:val="26"/>
        </w:rPr>
      </w:pPr>
    </w:p>
    <w:p w14:paraId="2704B7EB" w14:textId="10D829ED" w:rsidR="00305AA0" w:rsidRPr="00E9174E" w:rsidRDefault="00305AA0" w:rsidP="00E9174E">
      <w:pPr>
        <w:widowControl/>
        <w:spacing w:line="360" w:lineRule="auto"/>
        <w:ind w:firstLine="1440"/>
        <w:contextualSpacing/>
        <w:rPr>
          <w:sz w:val="26"/>
          <w:szCs w:val="26"/>
        </w:rPr>
      </w:pPr>
      <w:r w:rsidRPr="00E9174E">
        <w:rPr>
          <w:rFonts w:eastAsiaTheme="minorHAnsi"/>
          <w:sz w:val="26"/>
          <w:szCs w:val="26"/>
        </w:rPr>
        <w:t xml:space="preserve">Finally, any issue or Exception that we do not specifically address </w:t>
      </w:r>
      <w:r w:rsidRPr="00E9174E">
        <w:rPr>
          <w:sz w:val="26"/>
          <w:szCs w:val="26"/>
        </w:rPr>
        <w:t xml:space="preserve">shall be deemed to have been duly considered and denied without further discussion.  The Commission is not required to consider expressly or at length each contention or argument raised by the parties.  </w:t>
      </w:r>
      <w:r w:rsidR="008849FA" w:rsidRPr="00E9174E">
        <w:rPr>
          <w:i/>
          <w:iCs/>
          <w:sz w:val="26"/>
          <w:szCs w:val="26"/>
        </w:rPr>
        <w:t>Consolidated Rail Corp. v. Pa. PUC</w:t>
      </w:r>
      <w:r w:rsidR="008849FA" w:rsidRPr="00E9174E">
        <w:rPr>
          <w:sz w:val="26"/>
          <w:szCs w:val="26"/>
        </w:rPr>
        <w:t>, 625 A.2d 741 (Pa. Cmwlth. 1993);</w:t>
      </w:r>
      <w:r w:rsidRPr="00E9174E">
        <w:rPr>
          <w:sz w:val="26"/>
          <w:szCs w:val="26"/>
        </w:rPr>
        <w:t xml:space="preserve"> </w:t>
      </w:r>
      <w:r w:rsidRPr="00E9174E">
        <w:rPr>
          <w:i/>
          <w:sz w:val="26"/>
          <w:szCs w:val="26"/>
        </w:rPr>
        <w:t xml:space="preserve">also </w:t>
      </w:r>
      <w:r w:rsidRPr="00E9174E">
        <w:rPr>
          <w:i/>
          <w:iCs/>
          <w:sz w:val="26"/>
          <w:szCs w:val="26"/>
        </w:rPr>
        <w:t xml:space="preserve">see, generally, </w:t>
      </w:r>
      <w:r w:rsidR="008849FA" w:rsidRPr="00E9174E">
        <w:rPr>
          <w:i/>
          <w:iCs/>
          <w:sz w:val="26"/>
          <w:szCs w:val="26"/>
        </w:rPr>
        <w:t>University of Pennsylvania v. Pa. PUC</w:t>
      </w:r>
      <w:r w:rsidR="008849FA" w:rsidRPr="00E9174E">
        <w:rPr>
          <w:sz w:val="26"/>
          <w:szCs w:val="26"/>
        </w:rPr>
        <w:t>, 485 A.2d 1217 (Pa. Cmwlth. 1984).</w:t>
      </w:r>
    </w:p>
    <w:p w14:paraId="49FC626C" w14:textId="7258979C" w:rsidR="006B5A73" w:rsidRPr="00E9174E" w:rsidRDefault="006B5A73" w:rsidP="00E9174E">
      <w:pPr>
        <w:widowControl/>
        <w:ind w:firstLine="720"/>
        <w:contextualSpacing/>
        <w:rPr>
          <w:b/>
          <w:bCs/>
          <w:sz w:val="26"/>
          <w:szCs w:val="26"/>
        </w:rPr>
      </w:pPr>
    </w:p>
    <w:p w14:paraId="60940227" w14:textId="7615C5F9" w:rsidR="004E2313" w:rsidRPr="00E9174E" w:rsidRDefault="0001027B" w:rsidP="00A90D05">
      <w:pPr>
        <w:pStyle w:val="Heading1"/>
        <w:keepNext/>
      </w:pPr>
      <w:bookmarkStart w:id="20" w:name="_Toc63764411"/>
      <w:r w:rsidRPr="00E9174E">
        <w:lastRenderedPageBreak/>
        <w:t>Overall Rate Increase Request</w:t>
      </w:r>
      <w:bookmarkEnd w:id="20"/>
      <w:r w:rsidR="00EA64E1" w:rsidRPr="00E9174E">
        <w:t xml:space="preserve"> </w:t>
      </w:r>
    </w:p>
    <w:p w14:paraId="2702DA5F" w14:textId="7600646A" w:rsidR="00976A12" w:rsidRPr="00E9174E" w:rsidRDefault="00976A12" w:rsidP="00A90D05">
      <w:pPr>
        <w:keepNext/>
        <w:keepLines/>
        <w:widowControl/>
        <w:spacing w:line="360" w:lineRule="auto"/>
        <w:ind w:firstLine="1440"/>
        <w:contextualSpacing/>
        <w:rPr>
          <w:sz w:val="26"/>
          <w:szCs w:val="26"/>
        </w:rPr>
      </w:pPr>
    </w:p>
    <w:p w14:paraId="395488BE" w14:textId="35BC49EC" w:rsidR="00556C3C" w:rsidRPr="006751AA" w:rsidRDefault="006751AA" w:rsidP="006751AA">
      <w:pPr>
        <w:pStyle w:val="Heading2"/>
      </w:pPr>
      <w:bookmarkStart w:id="21" w:name="_Toc62487953"/>
      <w:bookmarkStart w:id="22" w:name="_Toc63764412"/>
      <w:r w:rsidRPr="006751AA">
        <w:t>A.</w:t>
      </w:r>
      <w:r w:rsidRPr="006751AA">
        <w:tab/>
      </w:r>
      <w:r w:rsidR="00556C3C" w:rsidRPr="006751AA">
        <w:t>Position</w:t>
      </w:r>
      <w:r w:rsidR="004C5D69" w:rsidRPr="006751AA">
        <w:t>s</w:t>
      </w:r>
      <w:r w:rsidR="00556C3C" w:rsidRPr="006751AA">
        <w:t xml:space="preserve"> of the Parties</w:t>
      </w:r>
      <w:bookmarkEnd w:id="21"/>
      <w:bookmarkEnd w:id="22"/>
    </w:p>
    <w:p w14:paraId="764B5330" w14:textId="77777777" w:rsidR="0022556A" w:rsidRPr="00E9174E" w:rsidRDefault="0022556A" w:rsidP="00A90D05">
      <w:pPr>
        <w:pStyle w:val="BodyText2"/>
        <w:keepNext/>
        <w:keepLines/>
        <w:widowControl/>
        <w:spacing w:after="0" w:line="360" w:lineRule="auto"/>
        <w:contextualSpacing/>
        <w:rPr>
          <w:rFonts w:eastAsiaTheme="minorHAnsi"/>
          <w:sz w:val="26"/>
          <w:szCs w:val="26"/>
        </w:rPr>
      </w:pPr>
    </w:p>
    <w:p w14:paraId="30FEDA95" w14:textId="55239952" w:rsidR="00CE5AE0" w:rsidRPr="00E9174E" w:rsidRDefault="00556C3C" w:rsidP="00E9174E">
      <w:pPr>
        <w:widowControl/>
        <w:autoSpaceDE w:val="0"/>
        <w:autoSpaceDN w:val="0"/>
        <w:adjustRightInd w:val="0"/>
        <w:spacing w:line="360" w:lineRule="auto"/>
        <w:ind w:firstLine="1440"/>
        <w:contextualSpacing/>
        <w:rPr>
          <w:sz w:val="26"/>
          <w:szCs w:val="26"/>
        </w:rPr>
      </w:pPr>
      <w:r w:rsidRPr="00E9174E">
        <w:rPr>
          <w:sz w:val="26"/>
          <w:szCs w:val="26"/>
        </w:rPr>
        <w:t xml:space="preserve">In its base rate increase filing, Columbia </w:t>
      </w:r>
      <w:r w:rsidR="00496F7F" w:rsidRPr="00E9174E">
        <w:rPr>
          <w:sz w:val="26"/>
          <w:szCs w:val="26"/>
        </w:rPr>
        <w:t xml:space="preserve">requested </w:t>
      </w:r>
      <w:r w:rsidRPr="00E9174E">
        <w:rPr>
          <w:sz w:val="26"/>
          <w:szCs w:val="26"/>
        </w:rPr>
        <w:t>a $100.4 million</w:t>
      </w:r>
      <w:r w:rsidR="00496F7F" w:rsidRPr="00E9174E">
        <w:rPr>
          <w:sz w:val="26"/>
          <w:szCs w:val="26"/>
          <w:vertAlign w:val="superscript"/>
        </w:rPr>
        <w:footnoteReference w:id="8"/>
      </w:r>
      <w:r w:rsidR="00496F7F" w:rsidRPr="00E9174E">
        <w:rPr>
          <w:sz w:val="26"/>
          <w:szCs w:val="26"/>
        </w:rPr>
        <w:t xml:space="preserve"> </w:t>
      </w:r>
      <w:r w:rsidRPr="00E9174E">
        <w:rPr>
          <w:sz w:val="26"/>
          <w:szCs w:val="26"/>
        </w:rPr>
        <w:t xml:space="preserve">increase to its revenue requirement and an increase in the fixed residential customer charge, from $16.75 to $23.00 monthly.  </w:t>
      </w:r>
      <w:r w:rsidR="00E15E91" w:rsidRPr="00E9174E">
        <w:rPr>
          <w:rFonts w:eastAsiaTheme="minorHAnsi"/>
          <w:sz w:val="26"/>
          <w:szCs w:val="26"/>
        </w:rPr>
        <w:t xml:space="preserve">Columbia’s position is that it should receive </w:t>
      </w:r>
      <w:r w:rsidR="00496F7F" w:rsidRPr="00E9174E">
        <w:rPr>
          <w:rFonts w:eastAsiaTheme="minorHAnsi"/>
          <w:sz w:val="26"/>
          <w:szCs w:val="26"/>
        </w:rPr>
        <w:t>its requested</w:t>
      </w:r>
      <w:r w:rsidR="00E15E91" w:rsidRPr="00E9174E">
        <w:rPr>
          <w:rFonts w:eastAsiaTheme="minorHAnsi"/>
          <w:sz w:val="26"/>
          <w:szCs w:val="26"/>
        </w:rPr>
        <w:t xml:space="preserve"> increase, based upon the long-standing ratemaking process used in Pennsylvania, which reflects the </w:t>
      </w:r>
      <w:r w:rsidR="002C6301" w:rsidRPr="00E9174E">
        <w:rPr>
          <w:rFonts w:eastAsiaTheme="minorHAnsi"/>
          <w:sz w:val="26"/>
          <w:szCs w:val="26"/>
        </w:rPr>
        <w:t>“</w:t>
      </w:r>
      <w:r w:rsidR="00E15E91" w:rsidRPr="00E9174E">
        <w:rPr>
          <w:rFonts w:eastAsiaTheme="minorHAnsi"/>
          <w:sz w:val="26"/>
          <w:szCs w:val="26"/>
        </w:rPr>
        <w:t>formula</w:t>
      </w:r>
      <w:r w:rsidR="008849FA" w:rsidRPr="00E9174E">
        <w:rPr>
          <w:rFonts w:eastAsiaTheme="minorHAnsi"/>
          <w:sz w:val="26"/>
          <w:szCs w:val="26"/>
        </w:rPr>
        <w:t>:</w:t>
      </w:r>
      <w:r w:rsidR="002C6301" w:rsidRPr="00E9174E">
        <w:rPr>
          <w:rFonts w:eastAsiaTheme="minorHAnsi"/>
          <w:sz w:val="26"/>
          <w:szCs w:val="26"/>
        </w:rPr>
        <w:t>”</w:t>
      </w:r>
      <w:r w:rsidR="00E15E91" w:rsidRPr="00E9174E">
        <w:rPr>
          <w:rFonts w:eastAsiaTheme="minorHAnsi"/>
          <w:sz w:val="26"/>
          <w:szCs w:val="26"/>
        </w:rPr>
        <w:t xml:space="preserve"> expenses plus (rate base x rate of return) plus taxes. </w:t>
      </w:r>
      <w:r w:rsidR="0033656F" w:rsidRPr="00E9174E">
        <w:rPr>
          <w:rFonts w:eastAsiaTheme="minorHAnsi"/>
          <w:sz w:val="26"/>
          <w:szCs w:val="26"/>
        </w:rPr>
        <w:t xml:space="preserve"> </w:t>
      </w:r>
      <w:r w:rsidR="00DF754F" w:rsidRPr="00E9174E">
        <w:rPr>
          <w:rFonts w:eastAsiaTheme="minorHAnsi"/>
          <w:sz w:val="26"/>
          <w:szCs w:val="26"/>
        </w:rPr>
        <w:t xml:space="preserve">Columbia argues that a complete denial of its proposed rate increase in response to COVID-19 violates Section 1301 of the Code and the constitutional standards established in </w:t>
      </w:r>
      <w:r w:rsidR="00DF754F" w:rsidRPr="00E9174E">
        <w:rPr>
          <w:rFonts w:eastAsiaTheme="minorHAnsi"/>
          <w:i/>
          <w:iCs/>
          <w:sz w:val="26"/>
          <w:szCs w:val="26"/>
        </w:rPr>
        <w:t xml:space="preserve">Bluefield </w:t>
      </w:r>
      <w:r w:rsidR="00DF754F" w:rsidRPr="00E9174E">
        <w:rPr>
          <w:rFonts w:eastAsiaTheme="minorHAnsi"/>
          <w:sz w:val="26"/>
          <w:szCs w:val="26"/>
        </w:rPr>
        <w:t xml:space="preserve">and </w:t>
      </w:r>
      <w:r w:rsidR="00DF754F" w:rsidRPr="00E9174E">
        <w:rPr>
          <w:rFonts w:eastAsiaTheme="minorHAnsi"/>
          <w:i/>
          <w:iCs/>
          <w:sz w:val="26"/>
          <w:szCs w:val="26"/>
        </w:rPr>
        <w:t>Hope Natural Gas</w:t>
      </w:r>
      <w:r w:rsidR="00DF754F" w:rsidRPr="00E9174E">
        <w:rPr>
          <w:rFonts w:eastAsiaTheme="minorHAnsi"/>
          <w:sz w:val="26"/>
          <w:szCs w:val="26"/>
        </w:rPr>
        <w:t xml:space="preserve">. </w:t>
      </w:r>
      <w:r w:rsidR="002C6301" w:rsidRPr="00E9174E">
        <w:rPr>
          <w:rFonts w:eastAsiaTheme="minorHAnsi"/>
          <w:sz w:val="26"/>
          <w:szCs w:val="26"/>
        </w:rPr>
        <w:t xml:space="preserve"> </w:t>
      </w:r>
      <w:r w:rsidR="00E15E91" w:rsidRPr="00E9174E">
        <w:rPr>
          <w:rFonts w:eastAsiaTheme="minorHAnsi"/>
          <w:sz w:val="26"/>
          <w:szCs w:val="26"/>
        </w:rPr>
        <w:t xml:space="preserve">Columbia appreciates and empathizes with the concerns of various </w:t>
      </w:r>
      <w:r w:rsidR="00CF0CFC" w:rsidRPr="00E9174E">
        <w:rPr>
          <w:rFonts w:eastAsiaTheme="minorHAnsi"/>
          <w:sz w:val="26"/>
          <w:szCs w:val="26"/>
        </w:rPr>
        <w:t>Parties</w:t>
      </w:r>
      <w:r w:rsidR="00E15E91" w:rsidRPr="00E9174E">
        <w:rPr>
          <w:rFonts w:eastAsiaTheme="minorHAnsi"/>
          <w:sz w:val="26"/>
          <w:szCs w:val="26"/>
        </w:rPr>
        <w:t xml:space="preserve"> about the </w:t>
      </w:r>
      <w:r w:rsidR="007C1810" w:rsidRPr="00E9174E">
        <w:rPr>
          <w:rFonts w:eastAsiaTheme="minorHAnsi"/>
          <w:sz w:val="26"/>
          <w:szCs w:val="26"/>
        </w:rPr>
        <w:t>in</w:t>
      </w:r>
      <w:r w:rsidR="00E15E91" w:rsidRPr="00E9174E">
        <w:rPr>
          <w:rFonts w:eastAsiaTheme="minorHAnsi"/>
          <w:sz w:val="26"/>
          <w:szCs w:val="26"/>
        </w:rPr>
        <w:t xml:space="preserve">ability of some customers to pay an increase to their utility bills due to the recession brought on by the COVID-19 pandemic. However, </w:t>
      </w:r>
      <w:r w:rsidR="005B6B38" w:rsidRPr="00E9174E">
        <w:rPr>
          <w:rFonts w:eastAsiaTheme="minorHAnsi"/>
          <w:sz w:val="26"/>
          <w:szCs w:val="26"/>
        </w:rPr>
        <w:t xml:space="preserve">Columbia argues that simply </w:t>
      </w:r>
      <w:r w:rsidR="00E15E91" w:rsidRPr="00E9174E">
        <w:rPr>
          <w:rFonts w:eastAsiaTheme="minorHAnsi"/>
          <w:sz w:val="26"/>
          <w:szCs w:val="26"/>
        </w:rPr>
        <w:t xml:space="preserve">denying </w:t>
      </w:r>
      <w:r w:rsidR="005B6B38" w:rsidRPr="00E9174E">
        <w:rPr>
          <w:rFonts w:eastAsiaTheme="minorHAnsi"/>
          <w:sz w:val="26"/>
          <w:szCs w:val="26"/>
        </w:rPr>
        <w:t xml:space="preserve">it any </w:t>
      </w:r>
      <w:r w:rsidR="00E15E91" w:rsidRPr="00E9174E">
        <w:rPr>
          <w:rFonts w:eastAsiaTheme="minorHAnsi"/>
          <w:sz w:val="26"/>
          <w:szCs w:val="26"/>
        </w:rPr>
        <w:t>rate relief will only impair Columbia’s ability to invest in the construction and maintenance of a safe utility system. Supporting Columbia’s robust Commission-approved main</w:t>
      </w:r>
      <w:r w:rsidR="00AA4F6A" w:rsidRPr="00E9174E">
        <w:rPr>
          <w:rFonts w:eastAsiaTheme="minorHAnsi"/>
          <w:sz w:val="26"/>
          <w:szCs w:val="26"/>
        </w:rPr>
        <w:t xml:space="preserve"> replacement program also will assist the Commonwealth as it works out of the current recession, by providing employment and supporting jobs for thousands of Pennsylvanians.  </w:t>
      </w:r>
      <w:r w:rsidR="00FF5A0D" w:rsidRPr="00E9174E">
        <w:rPr>
          <w:rFonts w:eastAsiaTheme="minorHAnsi"/>
          <w:sz w:val="26"/>
          <w:szCs w:val="26"/>
        </w:rPr>
        <w:t xml:space="preserve">Furthermore, Columbia submits that its FPFTY data is reliable and cannot be disregarded.  </w:t>
      </w:r>
      <w:r w:rsidR="00AA4F6A" w:rsidRPr="00E9174E">
        <w:rPr>
          <w:rFonts w:eastAsiaTheme="minorHAnsi"/>
          <w:sz w:val="26"/>
          <w:szCs w:val="26"/>
        </w:rPr>
        <w:t>According to Columbia, the best response to increased payment difficulties brought on by the pandemic-induced recession is enhanced programs to assist customers with payment difficulties, as implemented by Columbia, and not to adopt an</w:t>
      </w:r>
      <w:r w:rsidR="008D636A" w:rsidRPr="00E9174E">
        <w:rPr>
          <w:rFonts w:eastAsiaTheme="minorHAnsi"/>
          <w:sz w:val="26"/>
          <w:szCs w:val="26"/>
        </w:rPr>
        <w:t xml:space="preserve"> </w:t>
      </w:r>
      <w:r w:rsidR="00AA4F6A" w:rsidRPr="00E9174E">
        <w:rPr>
          <w:rFonts w:eastAsiaTheme="minorHAnsi"/>
          <w:sz w:val="26"/>
          <w:szCs w:val="26"/>
        </w:rPr>
        <w:t>unprecedented and unconstitutional proposal to disregard traditional ratemaking concepts and</w:t>
      </w:r>
      <w:r w:rsidR="008D636A" w:rsidRPr="00E9174E">
        <w:rPr>
          <w:rFonts w:eastAsiaTheme="minorHAnsi"/>
          <w:sz w:val="26"/>
          <w:szCs w:val="26"/>
        </w:rPr>
        <w:t xml:space="preserve"> </w:t>
      </w:r>
      <w:r w:rsidR="00AA4F6A" w:rsidRPr="00E9174E">
        <w:rPr>
          <w:rFonts w:eastAsiaTheme="minorHAnsi"/>
          <w:sz w:val="26"/>
          <w:szCs w:val="26"/>
        </w:rPr>
        <w:t>disallow any rate increase.</w:t>
      </w:r>
      <w:r w:rsidR="008D636A" w:rsidRPr="00E9174E">
        <w:rPr>
          <w:rFonts w:eastAsiaTheme="minorHAnsi"/>
          <w:sz w:val="26"/>
          <w:szCs w:val="26"/>
        </w:rPr>
        <w:t xml:space="preserve">  CG M.B. at 15-</w:t>
      </w:r>
      <w:r w:rsidR="00E57EDF" w:rsidRPr="00E9174E">
        <w:rPr>
          <w:rFonts w:eastAsiaTheme="minorHAnsi"/>
          <w:sz w:val="26"/>
          <w:szCs w:val="26"/>
        </w:rPr>
        <w:t>30.</w:t>
      </w:r>
    </w:p>
    <w:p w14:paraId="5C380B38" w14:textId="77777777" w:rsidR="00C238EC" w:rsidRPr="00E9174E" w:rsidRDefault="00C238EC" w:rsidP="00E9174E">
      <w:pPr>
        <w:widowControl/>
        <w:spacing w:line="360" w:lineRule="auto"/>
        <w:ind w:firstLine="1440"/>
        <w:contextualSpacing/>
        <w:rPr>
          <w:sz w:val="26"/>
          <w:szCs w:val="26"/>
        </w:rPr>
      </w:pPr>
    </w:p>
    <w:p w14:paraId="46136BF5" w14:textId="40501B67" w:rsidR="00556C3C" w:rsidRPr="00E9174E" w:rsidRDefault="00E57EDF" w:rsidP="00E9174E">
      <w:pPr>
        <w:widowControl/>
        <w:spacing w:line="360" w:lineRule="auto"/>
        <w:ind w:firstLine="1440"/>
        <w:contextualSpacing/>
        <w:rPr>
          <w:sz w:val="26"/>
          <w:szCs w:val="26"/>
        </w:rPr>
      </w:pPr>
      <w:r w:rsidRPr="00E9174E">
        <w:rPr>
          <w:sz w:val="26"/>
          <w:szCs w:val="26"/>
        </w:rPr>
        <w:lastRenderedPageBreak/>
        <w:t>T</w:t>
      </w:r>
      <w:r w:rsidR="00556C3C" w:rsidRPr="00E9174E">
        <w:rPr>
          <w:sz w:val="26"/>
          <w:szCs w:val="26"/>
        </w:rPr>
        <w:t>he OCA, CAAP, CAUSE-PA and CII</w:t>
      </w:r>
      <w:r w:rsidRPr="00E9174E">
        <w:rPr>
          <w:sz w:val="26"/>
          <w:szCs w:val="26"/>
        </w:rPr>
        <w:t xml:space="preserve"> – the opposing </w:t>
      </w:r>
      <w:r w:rsidR="00CF0CFC" w:rsidRPr="00E9174E">
        <w:rPr>
          <w:sz w:val="26"/>
          <w:szCs w:val="26"/>
        </w:rPr>
        <w:t>Parties</w:t>
      </w:r>
      <w:r w:rsidRPr="00E9174E">
        <w:rPr>
          <w:sz w:val="26"/>
          <w:szCs w:val="26"/>
        </w:rPr>
        <w:t xml:space="preserve"> –</w:t>
      </w:r>
      <w:r w:rsidR="00556C3C" w:rsidRPr="00E9174E">
        <w:rPr>
          <w:sz w:val="26"/>
          <w:szCs w:val="26"/>
        </w:rPr>
        <w:t xml:space="preserve"> </w:t>
      </w:r>
      <w:r w:rsidR="001801F0" w:rsidRPr="00E9174E">
        <w:rPr>
          <w:sz w:val="26"/>
          <w:szCs w:val="26"/>
        </w:rPr>
        <w:t xml:space="preserve">strongly </w:t>
      </w:r>
      <w:r w:rsidR="00556C3C" w:rsidRPr="00E9174E">
        <w:rPr>
          <w:sz w:val="26"/>
          <w:szCs w:val="26"/>
        </w:rPr>
        <w:t>advocated that the Commission deny the increase request on its face, alleging Columbia’</w:t>
      </w:r>
      <w:r w:rsidR="001801F0" w:rsidRPr="00E9174E">
        <w:rPr>
          <w:sz w:val="26"/>
          <w:szCs w:val="26"/>
        </w:rPr>
        <w:t>s</w:t>
      </w:r>
      <w:r w:rsidR="00556C3C" w:rsidRPr="00E9174E">
        <w:rPr>
          <w:sz w:val="26"/>
          <w:szCs w:val="26"/>
        </w:rPr>
        <w:t xml:space="preserve"> failure to consider and appreciate the dire straits in which its customers and the Commonwealth find themselves due to the COVID-19 pandemic, and asserting the pandemic has altered the socio-economic landscape of Columbia’</w:t>
      </w:r>
      <w:r w:rsidR="004C5D69" w:rsidRPr="00E9174E">
        <w:rPr>
          <w:sz w:val="26"/>
          <w:szCs w:val="26"/>
        </w:rPr>
        <w:t>s</w:t>
      </w:r>
      <w:r w:rsidR="00556C3C" w:rsidRPr="00E9174E">
        <w:rPr>
          <w:sz w:val="26"/>
          <w:szCs w:val="26"/>
        </w:rPr>
        <w:t xml:space="preserve"> customers so drastically, that an</w:t>
      </w:r>
      <w:r w:rsidR="00FE7FC5" w:rsidRPr="00E9174E">
        <w:rPr>
          <w:sz w:val="26"/>
          <w:szCs w:val="26"/>
        </w:rPr>
        <w:t>y</w:t>
      </w:r>
      <w:r w:rsidR="00556C3C" w:rsidRPr="00E9174E">
        <w:rPr>
          <w:sz w:val="26"/>
          <w:szCs w:val="26"/>
        </w:rPr>
        <w:t xml:space="preserve"> increase would result in unjust and unreasonable rates.  </w:t>
      </w:r>
      <w:r w:rsidR="0080715E" w:rsidRPr="00E9174E">
        <w:rPr>
          <w:sz w:val="26"/>
          <w:szCs w:val="26"/>
        </w:rPr>
        <w:t xml:space="preserve">These </w:t>
      </w:r>
      <w:r w:rsidR="00CF0CFC" w:rsidRPr="00E9174E">
        <w:rPr>
          <w:sz w:val="26"/>
          <w:szCs w:val="26"/>
        </w:rPr>
        <w:t>Parties</w:t>
      </w:r>
      <w:r w:rsidR="0080715E" w:rsidRPr="00E9174E">
        <w:rPr>
          <w:sz w:val="26"/>
          <w:szCs w:val="26"/>
        </w:rPr>
        <w:t xml:space="preserve"> urge that </w:t>
      </w:r>
      <w:r w:rsidR="005B7B73" w:rsidRPr="00E9174E">
        <w:rPr>
          <w:sz w:val="26"/>
          <w:szCs w:val="26"/>
        </w:rPr>
        <w:t xml:space="preserve">the Commission’s </w:t>
      </w:r>
      <w:r w:rsidR="00FE7FC5" w:rsidRPr="00E9174E">
        <w:rPr>
          <w:sz w:val="26"/>
          <w:szCs w:val="26"/>
        </w:rPr>
        <w:t xml:space="preserve">ratemaking </w:t>
      </w:r>
      <w:r w:rsidR="005B7B73" w:rsidRPr="00E9174E">
        <w:rPr>
          <w:sz w:val="26"/>
          <w:szCs w:val="26"/>
        </w:rPr>
        <w:t xml:space="preserve">discretion is broad enough to include </w:t>
      </w:r>
      <w:r w:rsidR="00FE7FC5" w:rsidRPr="00E9174E">
        <w:rPr>
          <w:sz w:val="26"/>
          <w:szCs w:val="26"/>
        </w:rPr>
        <w:t xml:space="preserve">a complete denial of </w:t>
      </w:r>
      <w:r w:rsidR="0080715E" w:rsidRPr="00E9174E">
        <w:rPr>
          <w:sz w:val="26"/>
          <w:szCs w:val="26"/>
        </w:rPr>
        <w:t>Columbia’s rate increase</w:t>
      </w:r>
      <w:r w:rsidR="005B7B73" w:rsidRPr="00E9174E">
        <w:rPr>
          <w:sz w:val="26"/>
          <w:szCs w:val="26"/>
        </w:rPr>
        <w:t xml:space="preserve"> in its entirety</w:t>
      </w:r>
      <w:r w:rsidR="00FE7FC5" w:rsidRPr="00E9174E">
        <w:rPr>
          <w:sz w:val="26"/>
          <w:szCs w:val="26"/>
        </w:rPr>
        <w:t xml:space="preserve"> during an unprecedented and economically devastating pandemic.  Furthermore, they argue that </w:t>
      </w:r>
      <w:r w:rsidR="005B7B73" w:rsidRPr="00E9174E">
        <w:rPr>
          <w:sz w:val="26"/>
          <w:szCs w:val="26"/>
        </w:rPr>
        <w:t>denying</w:t>
      </w:r>
      <w:r w:rsidR="0080715E" w:rsidRPr="00E9174E">
        <w:rPr>
          <w:sz w:val="26"/>
          <w:szCs w:val="26"/>
        </w:rPr>
        <w:t xml:space="preserve"> </w:t>
      </w:r>
      <w:r w:rsidR="005B7B73" w:rsidRPr="00E9174E">
        <w:rPr>
          <w:sz w:val="26"/>
          <w:szCs w:val="26"/>
        </w:rPr>
        <w:t xml:space="preserve">rate relief </w:t>
      </w:r>
      <w:r w:rsidR="0080715E" w:rsidRPr="00E9174E">
        <w:rPr>
          <w:sz w:val="26"/>
          <w:szCs w:val="26"/>
        </w:rPr>
        <w:t xml:space="preserve">is </w:t>
      </w:r>
      <w:r w:rsidR="007E7237" w:rsidRPr="00E9174E">
        <w:rPr>
          <w:sz w:val="26"/>
          <w:szCs w:val="26"/>
        </w:rPr>
        <w:t xml:space="preserve">both </w:t>
      </w:r>
      <w:r w:rsidR="0080715E" w:rsidRPr="00E9174E">
        <w:rPr>
          <w:sz w:val="26"/>
          <w:szCs w:val="26"/>
        </w:rPr>
        <w:t>a reasonable</w:t>
      </w:r>
      <w:r w:rsidR="007E7237" w:rsidRPr="00E9174E">
        <w:rPr>
          <w:sz w:val="26"/>
          <w:szCs w:val="26"/>
        </w:rPr>
        <w:t xml:space="preserve"> </w:t>
      </w:r>
      <w:r w:rsidR="0080715E" w:rsidRPr="00E9174E">
        <w:rPr>
          <w:sz w:val="26"/>
          <w:szCs w:val="26"/>
        </w:rPr>
        <w:t>and temporary</w:t>
      </w:r>
      <w:r w:rsidR="007E7237" w:rsidRPr="00E9174E">
        <w:rPr>
          <w:sz w:val="26"/>
          <w:szCs w:val="26"/>
        </w:rPr>
        <w:t xml:space="preserve"> </w:t>
      </w:r>
      <w:r w:rsidR="0080715E" w:rsidRPr="00E9174E">
        <w:rPr>
          <w:sz w:val="26"/>
          <w:szCs w:val="26"/>
        </w:rPr>
        <w:t>outcome in these extraordinary times</w:t>
      </w:r>
      <w:r w:rsidR="007E7237" w:rsidRPr="00E9174E">
        <w:rPr>
          <w:sz w:val="26"/>
          <w:szCs w:val="26"/>
        </w:rPr>
        <w:t xml:space="preserve">, and </w:t>
      </w:r>
      <w:r w:rsidR="00FE7FC5" w:rsidRPr="00E9174E">
        <w:rPr>
          <w:sz w:val="26"/>
          <w:szCs w:val="26"/>
        </w:rPr>
        <w:t>that</w:t>
      </w:r>
      <w:r w:rsidR="007E7237" w:rsidRPr="00E9174E">
        <w:rPr>
          <w:sz w:val="26"/>
          <w:szCs w:val="26"/>
        </w:rPr>
        <w:t xml:space="preserve"> it</w:t>
      </w:r>
      <w:r w:rsidR="00FE7FC5" w:rsidRPr="00E9174E">
        <w:rPr>
          <w:sz w:val="26"/>
          <w:szCs w:val="26"/>
        </w:rPr>
        <w:t xml:space="preserve"> will result in just and reasonable rates</w:t>
      </w:r>
      <w:r w:rsidR="007E7237" w:rsidRPr="00E9174E">
        <w:rPr>
          <w:sz w:val="26"/>
          <w:szCs w:val="26"/>
        </w:rPr>
        <w:t xml:space="preserve"> </w:t>
      </w:r>
      <w:r w:rsidR="0080715E" w:rsidRPr="00E9174E">
        <w:rPr>
          <w:sz w:val="26"/>
          <w:szCs w:val="26"/>
        </w:rPr>
        <w:t xml:space="preserve">until </w:t>
      </w:r>
      <w:r w:rsidR="007E7237" w:rsidRPr="00E9174E">
        <w:rPr>
          <w:sz w:val="26"/>
          <w:szCs w:val="26"/>
        </w:rPr>
        <w:t xml:space="preserve">such time when </w:t>
      </w:r>
      <w:r w:rsidR="0080715E" w:rsidRPr="00E9174E">
        <w:rPr>
          <w:sz w:val="26"/>
          <w:szCs w:val="26"/>
        </w:rPr>
        <w:t xml:space="preserve">fewer customers are suffering </w:t>
      </w:r>
      <w:r w:rsidR="007E7237" w:rsidRPr="00E9174E">
        <w:rPr>
          <w:sz w:val="26"/>
          <w:szCs w:val="26"/>
        </w:rPr>
        <w:t>financially,</w:t>
      </w:r>
      <w:r w:rsidR="0080715E" w:rsidRPr="00E9174E">
        <w:rPr>
          <w:sz w:val="26"/>
          <w:szCs w:val="26"/>
        </w:rPr>
        <w:t xml:space="preserve"> and the future is more ascertainable for ratemaking. </w:t>
      </w:r>
      <w:r w:rsidR="00D709F9" w:rsidRPr="00E9174E">
        <w:rPr>
          <w:sz w:val="26"/>
          <w:szCs w:val="26"/>
        </w:rPr>
        <w:t xml:space="preserve"> Moreover, these </w:t>
      </w:r>
      <w:r w:rsidR="00CF0CFC" w:rsidRPr="00E9174E">
        <w:rPr>
          <w:sz w:val="26"/>
          <w:szCs w:val="26"/>
        </w:rPr>
        <w:t>Parties</w:t>
      </w:r>
      <w:r w:rsidR="00D709F9" w:rsidRPr="00E9174E">
        <w:rPr>
          <w:sz w:val="26"/>
          <w:szCs w:val="26"/>
        </w:rPr>
        <w:t xml:space="preserve"> argue that the FPF</w:t>
      </w:r>
      <w:r w:rsidR="005B7B73" w:rsidRPr="00E9174E">
        <w:rPr>
          <w:sz w:val="26"/>
          <w:szCs w:val="26"/>
        </w:rPr>
        <w:t>T</w:t>
      </w:r>
      <w:r w:rsidR="00D709F9" w:rsidRPr="00E9174E">
        <w:rPr>
          <w:sz w:val="26"/>
          <w:szCs w:val="26"/>
        </w:rPr>
        <w:t>Y projections in Columbia’s filing based on pre-pandemic historic data cannot be given any credence in determining future rates in a vastly different economic environment</w:t>
      </w:r>
      <w:r w:rsidR="005B7B73" w:rsidRPr="00E9174E">
        <w:rPr>
          <w:sz w:val="26"/>
          <w:szCs w:val="26"/>
        </w:rPr>
        <w:t>.</w:t>
      </w:r>
      <w:r w:rsidR="00D709F9" w:rsidRPr="00E9174E">
        <w:rPr>
          <w:sz w:val="26"/>
          <w:szCs w:val="26"/>
        </w:rPr>
        <w:t xml:space="preserve">  </w:t>
      </w:r>
      <w:r w:rsidR="00556C3C" w:rsidRPr="00E9174E">
        <w:rPr>
          <w:sz w:val="26"/>
          <w:szCs w:val="26"/>
        </w:rPr>
        <w:t>R.D. at 46-49</w:t>
      </w:r>
      <w:r w:rsidR="00177FDA" w:rsidRPr="00E9174E">
        <w:rPr>
          <w:sz w:val="26"/>
          <w:szCs w:val="26"/>
        </w:rPr>
        <w:t xml:space="preserve">; OCA M.B. at </w:t>
      </w:r>
      <w:r w:rsidR="005B7B73" w:rsidRPr="00E9174E">
        <w:rPr>
          <w:sz w:val="26"/>
          <w:szCs w:val="26"/>
        </w:rPr>
        <w:t xml:space="preserve">13-28; </w:t>
      </w:r>
      <w:r w:rsidR="009643CC" w:rsidRPr="00E9174E">
        <w:rPr>
          <w:sz w:val="26"/>
          <w:szCs w:val="26"/>
        </w:rPr>
        <w:t xml:space="preserve">CAUSE-PA M.B. at 6-11; </w:t>
      </w:r>
      <w:r w:rsidR="00622C65" w:rsidRPr="00E9174E">
        <w:rPr>
          <w:sz w:val="26"/>
          <w:szCs w:val="26"/>
        </w:rPr>
        <w:t xml:space="preserve">CAAP M.B. at 2-4; CII M.B. at 3-5; </w:t>
      </w:r>
      <w:r w:rsidR="003819B6" w:rsidRPr="00E9174E">
        <w:rPr>
          <w:sz w:val="26"/>
          <w:szCs w:val="26"/>
        </w:rPr>
        <w:t>OSBA M.B. at 3-4.</w:t>
      </w:r>
    </w:p>
    <w:p w14:paraId="705BF715" w14:textId="1322DDC3" w:rsidR="00BA7F05" w:rsidRPr="00E9174E" w:rsidRDefault="00BA7F05" w:rsidP="00E9174E">
      <w:pPr>
        <w:widowControl/>
        <w:spacing w:line="360" w:lineRule="auto"/>
        <w:ind w:firstLine="1440"/>
        <w:contextualSpacing/>
        <w:rPr>
          <w:sz w:val="26"/>
          <w:szCs w:val="26"/>
        </w:rPr>
      </w:pPr>
    </w:p>
    <w:p w14:paraId="3BA24281" w14:textId="2943809D" w:rsidR="00BA7F05" w:rsidRPr="00E9174E" w:rsidRDefault="00BA7F05" w:rsidP="00E9174E">
      <w:pPr>
        <w:widowControl/>
        <w:spacing w:line="360" w:lineRule="auto"/>
        <w:ind w:firstLine="1440"/>
        <w:contextualSpacing/>
        <w:rPr>
          <w:rFonts w:eastAsiaTheme="minorHAnsi"/>
          <w:sz w:val="26"/>
          <w:szCs w:val="26"/>
        </w:rPr>
      </w:pPr>
      <w:r w:rsidRPr="00E9174E">
        <w:rPr>
          <w:sz w:val="26"/>
          <w:szCs w:val="26"/>
        </w:rPr>
        <w:t>Meanwhile, I&amp;E recommended an overall rate increase of $75.9 million based on its use of traditional ratemaking methodologies.  I&amp;E’s recommended increase incorporates I&amp;E’s adjustments to rate base, expenses, taxes, and rate of return.  I&amp;E</w:t>
      </w:r>
      <w:r w:rsidR="00EF7580">
        <w:rPr>
          <w:sz w:val="26"/>
          <w:szCs w:val="26"/>
        </w:rPr>
        <w:t> </w:t>
      </w:r>
      <w:r w:rsidRPr="00E9174E">
        <w:rPr>
          <w:sz w:val="26"/>
          <w:szCs w:val="26"/>
        </w:rPr>
        <w:t>M.B. at</w:t>
      </w:r>
      <w:r w:rsidR="001321F2" w:rsidRPr="00E9174E">
        <w:rPr>
          <w:sz w:val="26"/>
          <w:szCs w:val="26"/>
        </w:rPr>
        <w:t xml:space="preserve"> </w:t>
      </w:r>
      <w:r w:rsidR="00094F42" w:rsidRPr="00E9174E">
        <w:rPr>
          <w:sz w:val="26"/>
          <w:szCs w:val="26"/>
        </w:rPr>
        <w:t>13-14.</w:t>
      </w:r>
    </w:p>
    <w:p w14:paraId="3CBF8D96" w14:textId="77777777" w:rsidR="00442347" w:rsidRPr="00E9174E" w:rsidRDefault="00442347" w:rsidP="00E9174E">
      <w:pPr>
        <w:widowControl/>
        <w:spacing w:line="360" w:lineRule="auto"/>
        <w:ind w:firstLine="1440"/>
        <w:contextualSpacing/>
        <w:rPr>
          <w:sz w:val="26"/>
          <w:szCs w:val="26"/>
        </w:rPr>
      </w:pPr>
    </w:p>
    <w:p w14:paraId="1722EA8B" w14:textId="4933A43D" w:rsidR="006C3CB3" w:rsidRPr="00E9174E" w:rsidRDefault="006751AA" w:rsidP="006751AA">
      <w:pPr>
        <w:pStyle w:val="Heading2"/>
      </w:pPr>
      <w:bookmarkStart w:id="23" w:name="_Toc62487954"/>
      <w:bookmarkStart w:id="24" w:name="_Toc63764413"/>
      <w:r>
        <w:t>B.</w:t>
      </w:r>
      <w:r>
        <w:tab/>
        <w:t>R</w:t>
      </w:r>
      <w:r w:rsidR="009945C4" w:rsidRPr="00E9174E">
        <w:t>ecommended Decision</w:t>
      </w:r>
      <w:bookmarkEnd w:id="23"/>
      <w:bookmarkEnd w:id="24"/>
    </w:p>
    <w:p w14:paraId="1646367A" w14:textId="77777777" w:rsidR="00132B35" w:rsidRPr="00E9174E" w:rsidRDefault="00132B35" w:rsidP="00E9174E">
      <w:pPr>
        <w:keepNext/>
        <w:keepLines/>
        <w:widowControl/>
        <w:spacing w:line="360" w:lineRule="auto"/>
        <w:contextualSpacing/>
        <w:rPr>
          <w:rFonts w:eastAsiaTheme="minorHAnsi"/>
          <w:sz w:val="26"/>
          <w:szCs w:val="26"/>
        </w:rPr>
      </w:pPr>
    </w:p>
    <w:p w14:paraId="13FAE63C" w14:textId="28B28200" w:rsidR="00712005" w:rsidRPr="00E9174E" w:rsidRDefault="00712005" w:rsidP="00E9174E">
      <w:pPr>
        <w:keepNext/>
        <w:widowControl/>
        <w:spacing w:line="360" w:lineRule="auto"/>
        <w:ind w:firstLine="1440"/>
        <w:contextualSpacing/>
        <w:rPr>
          <w:sz w:val="26"/>
          <w:szCs w:val="26"/>
        </w:rPr>
      </w:pPr>
      <w:bookmarkStart w:id="25" w:name="_Hlk63184996"/>
      <w:r w:rsidRPr="00E9174E">
        <w:rPr>
          <w:rFonts w:eastAsiaTheme="minorHAnsi"/>
          <w:sz w:val="26"/>
          <w:szCs w:val="26"/>
        </w:rPr>
        <w:t xml:space="preserve">The </w:t>
      </w:r>
      <w:r w:rsidR="008D4B11" w:rsidRPr="00E9174E">
        <w:rPr>
          <w:rFonts w:eastAsiaTheme="minorHAnsi"/>
          <w:sz w:val="26"/>
          <w:szCs w:val="26"/>
        </w:rPr>
        <w:t>ALJ</w:t>
      </w:r>
      <w:r w:rsidRPr="00E9174E">
        <w:rPr>
          <w:rFonts w:eastAsiaTheme="minorHAnsi"/>
          <w:sz w:val="26"/>
          <w:szCs w:val="26"/>
        </w:rPr>
        <w:t xml:space="preserve"> recommended that the </w:t>
      </w:r>
      <w:r w:rsidRPr="00E9174E">
        <w:rPr>
          <w:sz w:val="26"/>
          <w:szCs w:val="26"/>
        </w:rPr>
        <w:t xml:space="preserve">Commission deny Columbia’s requested rate relief, in its entirety.  </w:t>
      </w:r>
      <w:r w:rsidR="00842ADD" w:rsidRPr="00E9174E">
        <w:rPr>
          <w:sz w:val="26"/>
          <w:szCs w:val="26"/>
        </w:rPr>
        <w:t>T</w:t>
      </w:r>
      <w:r w:rsidRPr="00E9174E">
        <w:rPr>
          <w:sz w:val="26"/>
          <w:szCs w:val="26"/>
        </w:rPr>
        <w:t xml:space="preserve">he </w:t>
      </w:r>
      <w:r w:rsidR="008D4B11" w:rsidRPr="00E9174E">
        <w:rPr>
          <w:sz w:val="26"/>
          <w:szCs w:val="26"/>
        </w:rPr>
        <w:t>ALJ</w:t>
      </w:r>
      <w:r w:rsidRPr="00E9174E">
        <w:rPr>
          <w:sz w:val="26"/>
          <w:szCs w:val="26"/>
        </w:rPr>
        <w:t>’s recommendation was</w:t>
      </w:r>
      <w:r w:rsidR="00842ADD" w:rsidRPr="00E9174E">
        <w:rPr>
          <w:sz w:val="26"/>
          <w:szCs w:val="26"/>
        </w:rPr>
        <w:t xml:space="preserve"> </w:t>
      </w:r>
      <w:r w:rsidRPr="00E9174E">
        <w:rPr>
          <w:sz w:val="26"/>
          <w:szCs w:val="26"/>
        </w:rPr>
        <w:t>based on the following</w:t>
      </w:r>
      <w:r w:rsidR="004A6B05" w:rsidRPr="00E9174E">
        <w:rPr>
          <w:sz w:val="26"/>
          <w:szCs w:val="26"/>
        </w:rPr>
        <w:t xml:space="preserve"> conclusions</w:t>
      </w:r>
      <w:r w:rsidRPr="00E9174E">
        <w:rPr>
          <w:sz w:val="26"/>
          <w:szCs w:val="26"/>
        </w:rPr>
        <w:t xml:space="preserve">: (1) that, in light of the financial impact of the COVID-19 pandemic on customers, when balancing the interests of the utility, the ratepayers, the investors, and the public interest, a denial of the requested rate relief at this time is justified since </w:t>
      </w:r>
      <w:r w:rsidRPr="00E9174E">
        <w:rPr>
          <w:sz w:val="26"/>
          <w:szCs w:val="26"/>
        </w:rPr>
        <w:lastRenderedPageBreak/>
        <w:t>Columbia will still have the opportunity to earn a positive rate of return</w:t>
      </w:r>
      <w:r w:rsidR="009349EB" w:rsidRPr="00E9174E">
        <w:rPr>
          <w:sz w:val="26"/>
          <w:szCs w:val="26"/>
        </w:rPr>
        <w:t>;</w:t>
      </w:r>
      <w:r w:rsidR="009B6282" w:rsidRPr="00E9174E">
        <w:rPr>
          <w:sz w:val="26"/>
          <w:szCs w:val="26"/>
        </w:rPr>
        <w:t xml:space="preserve"> and (2)</w:t>
      </w:r>
      <w:r w:rsidRPr="00E9174E">
        <w:rPr>
          <w:sz w:val="26"/>
          <w:szCs w:val="26"/>
        </w:rPr>
        <w:t xml:space="preserve"> because Columbia could not prove the accuracy of its projections into the FPFTY using historic data </w:t>
      </w:r>
      <w:r w:rsidRPr="00E9174E">
        <w:rPr>
          <w:bCs/>
          <w:sz w:val="26"/>
          <w:szCs w:val="26"/>
        </w:rPr>
        <w:t>that predates the pandemic</w:t>
      </w:r>
      <w:bookmarkStart w:id="26" w:name="_Hlk61344135"/>
      <w:r w:rsidR="008849FA" w:rsidRPr="00E9174E">
        <w:rPr>
          <w:bCs/>
          <w:sz w:val="26"/>
          <w:szCs w:val="26"/>
        </w:rPr>
        <w:t>; and (3)</w:t>
      </w:r>
      <w:bookmarkEnd w:id="26"/>
      <w:r w:rsidRPr="00E9174E">
        <w:rPr>
          <w:bCs/>
          <w:sz w:val="26"/>
          <w:szCs w:val="26"/>
        </w:rPr>
        <w:t xml:space="preserve"> that the Commission has broad discretion in determining whether a utility’s rate increase is just and reasonable.  R.D. at </w:t>
      </w:r>
      <w:r w:rsidR="008849FA" w:rsidRPr="00E9174E">
        <w:rPr>
          <w:bCs/>
          <w:sz w:val="26"/>
          <w:szCs w:val="26"/>
        </w:rPr>
        <w:t>49-51</w:t>
      </w:r>
      <w:r w:rsidRPr="00E9174E">
        <w:rPr>
          <w:bCs/>
          <w:sz w:val="26"/>
          <w:szCs w:val="26"/>
        </w:rPr>
        <w:t>.  Based upon all surrounding circumstances of this case related to COVID-19</w:t>
      </w:r>
      <w:r w:rsidR="00D2459A" w:rsidRPr="00E9174E">
        <w:rPr>
          <w:bCs/>
          <w:sz w:val="26"/>
          <w:szCs w:val="26"/>
        </w:rPr>
        <w:t xml:space="preserve">, </w:t>
      </w:r>
      <w:r w:rsidRPr="00E9174E">
        <w:rPr>
          <w:bCs/>
          <w:sz w:val="26"/>
          <w:szCs w:val="26"/>
        </w:rPr>
        <w:t xml:space="preserve">the </w:t>
      </w:r>
      <w:r w:rsidR="00592ED8" w:rsidRPr="00E9174E">
        <w:rPr>
          <w:bCs/>
          <w:sz w:val="26"/>
          <w:szCs w:val="26"/>
        </w:rPr>
        <w:t>ALJ</w:t>
      </w:r>
      <w:r w:rsidRPr="00E9174E">
        <w:rPr>
          <w:bCs/>
          <w:sz w:val="26"/>
          <w:szCs w:val="26"/>
        </w:rPr>
        <w:t xml:space="preserve"> concluded that granting any rate relief</w:t>
      </w:r>
      <w:r w:rsidR="003624E9" w:rsidRPr="00E9174E">
        <w:rPr>
          <w:bCs/>
          <w:sz w:val="26"/>
          <w:szCs w:val="26"/>
        </w:rPr>
        <w:t xml:space="preserve"> at this time</w:t>
      </w:r>
      <w:r w:rsidRPr="00E9174E">
        <w:rPr>
          <w:bCs/>
          <w:sz w:val="26"/>
          <w:szCs w:val="26"/>
        </w:rPr>
        <w:t xml:space="preserve"> would not lead to just and reasonable rates in the public interest,</w:t>
      </w:r>
      <w:r w:rsidRPr="00E9174E">
        <w:rPr>
          <w:sz w:val="26"/>
          <w:szCs w:val="26"/>
        </w:rPr>
        <w:t xml:space="preserve"> especially for </w:t>
      </w:r>
      <w:r w:rsidR="001E332D" w:rsidRPr="00E9174E">
        <w:rPr>
          <w:sz w:val="26"/>
          <w:szCs w:val="26"/>
        </w:rPr>
        <w:t xml:space="preserve">those </w:t>
      </w:r>
      <w:r w:rsidRPr="00E9174E">
        <w:rPr>
          <w:sz w:val="26"/>
          <w:szCs w:val="26"/>
        </w:rPr>
        <w:t>residential customers who may be out of work, have suffered substantial reductions in wages</w:t>
      </w:r>
      <w:r w:rsidR="001E332D" w:rsidRPr="00E9174E">
        <w:rPr>
          <w:sz w:val="26"/>
          <w:szCs w:val="26"/>
        </w:rPr>
        <w:t>,</w:t>
      </w:r>
      <w:r w:rsidRPr="00E9174E">
        <w:rPr>
          <w:sz w:val="26"/>
          <w:szCs w:val="26"/>
        </w:rPr>
        <w:t xml:space="preserve"> and/or are attempting to make ends meet with the loss of income due to job loss or death.  </w:t>
      </w:r>
      <w:r w:rsidRPr="00E9174E">
        <w:rPr>
          <w:i/>
          <w:iCs/>
          <w:sz w:val="26"/>
          <w:szCs w:val="26"/>
        </w:rPr>
        <w:t>See</w:t>
      </w:r>
      <w:r w:rsidRPr="00E9174E">
        <w:rPr>
          <w:sz w:val="26"/>
          <w:szCs w:val="26"/>
        </w:rPr>
        <w:t xml:space="preserve"> </w:t>
      </w:r>
      <w:r w:rsidRPr="00E9174E">
        <w:rPr>
          <w:bCs/>
          <w:sz w:val="26"/>
          <w:szCs w:val="26"/>
        </w:rPr>
        <w:t xml:space="preserve">R.D. at 47-48, 50-51. </w:t>
      </w:r>
    </w:p>
    <w:bookmarkEnd w:id="25"/>
    <w:p w14:paraId="1B5F3995" w14:textId="77777777" w:rsidR="00712005" w:rsidRPr="00E9174E" w:rsidRDefault="00712005" w:rsidP="00E9174E">
      <w:pPr>
        <w:widowControl/>
        <w:spacing w:line="360" w:lineRule="auto"/>
        <w:ind w:firstLine="1440"/>
        <w:contextualSpacing/>
        <w:rPr>
          <w:bCs/>
          <w:sz w:val="26"/>
          <w:szCs w:val="26"/>
        </w:rPr>
      </w:pPr>
    </w:p>
    <w:p w14:paraId="2F30BBEF" w14:textId="4B46627D" w:rsidR="00712005" w:rsidRPr="00E9174E" w:rsidRDefault="00712005" w:rsidP="00E9174E">
      <w:pPr>
        <w:widowControl/>
        <w:spacing w:line="360" w:lineRule="auto"/>
        <w:ind w:firstLine="1440"/>
        <w:contextualSpacing/>
        <w:rPr>
          <w:sz w:val="26"/>
          <w:szCs w:val="26"/>
        </w:rPr>
      </w:pPr>
      <w:r w:rsidRPr="00E9174E">
        <w:rPr>
          <w:sz w:val="26"/>
          <w:szCs w:val="26"/>
        </w:rPr>
        <w:t xml:space="preserve">With regard to the impact of COVID-19 on Columbia’s customers, the </w:t>
      </w:r>
      <w:r w:rsidR="00592ED8" w:rsidRPr="00E9174E">
        <w:rPr>
          <w:sz w:val="26"/>
          <w:szCs w:val="26"/>
        </w:rPr>
        <w:t>ALJ</w:t>
      </w:r>
      <w:r w:rsidRPr="00E9174E">
        <w:rPr>
          <w:sz w:val="26"/>
          <w:szCs w:val="26"/>
        </w:rPr>
        <w:t xml:space="preserve"> noted that </w:t>
      </w:r>
      <w:bookmarkStart w:id="27" w:name="_Hlk61425081"/>
      <w:r w:rsidRPr="00E9174E">
        <w:rPr>
          <w:sz w:val="26"/>
          <w:szCs w:val="26"/>
        </w:rPr>
        <w:t xml:space="preserve">the OCA, CAAP, CAUSE-PA and CII argued about the need to establish utility rates that are just, reasonable and </w:t>
      </w:r>
      <w:r w:rsidR="008849FA" w:rsidRPr="00E9174E">
        <w:rPr>
          <w:sz w:val="26"/>
          <w:szCs w:val="26"/>
        </w:rPr>
        <w:t xml:space="preserve">that </w:t>
      </w:r>
      <w:r w:rsidRPr="00E9174E">
        <w:rPr>
          <w:sz w:val="26"/>
          <w:szCs w:val="26"/>
        </w:rPr>
        <w:t>do not unreasonably benefit the utility</w:t>
      </w:r>
      <w:r w:rsidR="004C499F" w:rsidRPr="00E9174E">
        <w:rPr>
          <w:sz w:val="26"/>
          <w:szCs w:val="26"/>
        </w:rPr>
        <w:t>’</w:t>
      </w:r>
      <w:r w:rsidRPr="00E9174E">
        <w:rPr>
          <w:sz w:val="26"/>
          <w:szCs w:val="26"/>
        </w:rPr>
        <w:t xml:space="preserve">s investors at the expense of unreasonably burdening the utility’s ratepayers.  R.D. at 47.  </w:t>
      </w:r>
      <w:r w:rsidR="00731E76" w:rsidRPr="00E9174E">
        <w:rPr>
          <w:sz w:val="26"/>
          <w:szCs w:val="26"/>
        </w:rPr>
        <w:t xml:space="preserve">According to </w:t>
      </w:r>
      <w:r w:rsidRPr="00E9174E">
        <w:rPr>
          <w:sz w:val="26"/>
          <w:szCs w:val="26"/>
        </w:rPr>
        <w:t>the OCA, CAAP, CAUSE-PA and CII</w:t>
      </w:r>
      <w:r w:rsidR="003B0C79" w:rsidRPr="00E9174E">
        <w:rPr>
          <w:sz w:val="26"/>
          <w:szCs w:val="26"/>
        </w:rPr>
        <w:t xml:space="preserve"> –</w:t>
      </w:r>
      <w:r w:rsidRPr="00E9174E">
        <w:rPr>
          <w:sz w:val="26"/>
          <w:szCs w:val="26"/>
        </w:rPr>
        <w:t xml:space="preserve"> the base rate request </w:t>
      </w:r>
      <w:r w:rsidR="003B0C79" w:rsidRPr="00E9174E">
        <w:rPr>
          <w:sz w:val="26"/>
          <w:szCs w:val="26"/>
        </w:rPr>
        <w:t>i</w:t>
      </w:r>
      <w:r w:rsidRPr="00E9174E">
        <w:rPr>
          <w:sz w:val="26"/>
          <w:szCs w:val="26"/>
        </w:rPr>
        <w:t>s unreasonable as a matter of fact and law</w:t>
      </w:r>
      <w:r w:rsidR="003B0C79" w:rsidRPr="00E9174E">
        <w:rPr>
          <w:sz w:val="26"/>
          <w:szCs w:val="26"/>
        </w:rPr>
        <w:t xml:space="preserve"> –</w:t>
      </w:r>
      <w:r w:rsidRPr="00E9174E">
        <w:rPr>
          <w:sz w:val="26"/>
          <w:szCs w:val="26"/>
        </w:rPr>
        <w:t xml:space="preserve"> and the Commission d</w:t>
      </w:r>
      <w:r w:rsidR="003B0C79" w:rsidRPr="00E9174E">
        <w:rPr>
          <w:sz w:val="26"/>
          <w:szCs w:val="26"/>
        </w:rPr>
        <w:t>oes</w:t>
      </w:r>
      <w:r w:rsidRPr="00E9174E">
        <w:rPr>
          <w:sz w:val="26"/>
          <w:szCs w:val="26"/>
        </w:rPr>
        <w:t xml:space="preserve"> not have to review every element of the rate base in order to determine Columbia’s request </w:t>
      </w:r>
      <w:r w:rsidR="003B0C79" w:rsidRPr="00E9174E">
        <w:rPr>
          <w:sz w:val="26"/>
          <w:szCs w:val="26"/>
        </w:rPr>
        <w:t>i</w:t>
      </w:r>
      <w:r w:rsidRPr="00E9174E">
        <w:rPr>
          <w:sz w:val="26"/>
          <w:szCs w:val="26"/>
        </w:rPr>
        <w:t xml:space="preserve">s unreasonable.  </w:t>
      </w:r>
      <w:bookmarkStart w:id="28" w:name="_Hlk61425164"/>
      <w:bookmarkEnd w:id="27"/>
      <w:r w:rsidRPr="00E9174E">
        <w:rPr>
          <w:sz w:val="26"/>
          <w:szCs w:val="26"/>
        </w:rPr>
        <w:t xml:space="preserve">The objecting </w:t>
      </w:r>
      <w:r w:rsidR="00CF0CFC" w:rsidRPr="00E9174E">
        <w:rPr>
          <w:sz w:val="26"/>
          <w:szCs w:val="26"/>
        </w:rPr>
        <w:t>Parties</w:t>
      </w:r>
      <w:r w:rsidRPr="00E9174E">
        <w:rPr>
          <w:sz w:val="26"/>
          <w:szCs w:val="26"/>
        </w:rPr>
        <w:t xml:space="preserve"> noted that particularly troubling was that Columbia requested a significant $100.4 million revenue increase at a time when many Pennsylvanians are struggling financially and need natural gas for heat, cooking, and hot water to curb the spread of the pandemic and to ensure their safety.  </w:t>
      </w:r>
      <w:bookmarkEnd w:id="28"/>
      <w:r w:rsidRPr="00E9174E">
        <w:rPr>
          <w:sz w:val="26"/>
          <w:szCs w:val="26"/>
        </w:rPr>
        <w:t>R.D. at 46, 48.</w:t>
      </w:r>
    </w:p>
    <w:p w14:paraId="7BA67924" w14:textId="77777777" w:rsidR="00712005" w:rsidRPr="00E9174E" w:rsidRDefault="00712005" w:rsidP="00E9174E">
      <w:pPr>
        <w:widowControl/>
        <w:autoSpaceDE w:val="0"/>
        <w:autoSpaceDN w:val="0"/>
        <w:adjustRightInd w:val="0"/>
        <w:spacing w:line="360" w:lineRule="auto"/>
        <w:contextualSpacing/>
        <w:rPr>
          <w:sz w:val="26"/>
          <w:szCs w:val="26"/>
        </w:rPr>
      </w:pPr>
    </w:p>
    <w:p w14:paraId="3C82588F" w14:textId="0816E582" w:rsidR="00712005" w:rsidRPr="00E9174E" w:rsidRDefault="00712005" w:rsidP="00E9174E">
      <w:pPr>
        <w:widowControl/>
        <w:autoSpaceDE w:val="0"/>
        <w:autoSpaceDN w:val="0"/>
        <w:adjustRightInd w:val="0"/>
        <w:spacing w:line="360" w:lineRule="auto"/>
        <w:ind w:firstLine="1440"/>
        <w:contextualSpacing/>
        <w:rPr>
          <w:sz w:val="26"/>
          <w:szCs w:val="26"/>
        </w:rPr>
      </w:pPr>
      <w:r w:rsidRPr="00E9174E">
        <w:rPr>
          <w:sz w:val="26"/>
          <w:szCs w:val="26"/>
        </w:rPr>
        <w:t>The ALJ relied on the following data provided in the record</w:t>
      </w:r>
      <w:r w:rsidR="00A975B2" w:rsidRPr="00E9174E">
        <w:rPr>
          <w:sz w:val="26"/>
          <w:szCs w:val="26"/>
        </w:rPr>
        <w:t xml:space="preserve"> to measure the impact of the pandemic on customers</w:t>
      </w:r>
      <w:r w:rsidRPr="00E9174E">
        <w:rPr>
          <w:sz w:val="26"/>
          <w:szCs w:val="26"/>
        </w:rPr>
        <w:t>: (1) over 2 million Pennsylvanians filed for unemployment starting in mid-March, when the onset of the pandemic caused Pennsylvania’s unemployment claims to skyrocket; (2) from mid-March through late August, approximately 38</w:t>
      </w:r>
      <w:r w:rsidR="001D2293" w:rsidRPr="00E9174E">
        <w:rPr>
          <w:sz w:val="26"/>
          <w:szCs w:val="26"/>
        </w:rPr>
        <w:t>%</w:t>
      </w:r>
      <w:r w:rsidRPr="00E9174E">
        <w:rPr>
          <w:sz w:val="26"/>
          <w:szCs w:val="26"/>
        </w:rPr>
        <w:t xml:space="preserve"> of Pennsylvania’s workforce filed an unemployment claim; (3) from February 2020 to July 2020, the unemployment rate for counties in Columbia’s service territory rose 186% and was at 13.1%, as of October 2020; and (4) as of </w:t>
      </w:r>
      <w:r w:rsidRPr="00E9174E">
        <w:rPr>
          <w:sz w:val="26"/>
          <w:szCs w:val="26"/>
        </w:rPr>
        <w:lastRenderedPageBreak/>
        <w:t>mid</w:t>
      </w:r>
      <w:r w:rsidR="00EF7580">
        <w:rPr>
          <w:sz w:val="26"/>
          <w:szCs w:val="26"/>
        </w:rPr>
        <w:noBreakHyphen/>
      </w:r>
      <w:r w:rsidRPr="00E9174E">
        <w:rPr>
          <w:sz w:val="26"/>
          <w:szCs w:val="26"/>
        </w:rPr>
        <w:t>July</w:t>
      </w:r>
      <w:r w:rsidR="00EF7580">
        <w:rPr>
          <w:sz w:val="26"/>
          <w:szCs w:val="26"/>
        </w:rPr>
        <w:t> </w:t>
      </w:r>
      <w:r w:rsidRPr="00E9174E">
        <w:rPr>
          <w:sz w:val="26"/>
          <w:szCs w:val="26"/>
        </w:rPr>
        <w:t>2020, the unemployment rates in the counties served by Columbia ranged from 8.8% to 19.2%.  R.D. at 48</w:t>
      </w:r>
      <w:r w:rsidR="00200E3D" w:rsidRPr="00E9174E">
        <w:rPr>
          <w:sz w:val="26"/>
          <w:szCs w:val="26"/>
        </w:rPr>
        <w:t xml:space="preserve">; see also </w:t>
      </w:r>
      <w:r w:rsidR="00D2152F" w:rsidRPr="00E9174E">
        <w:rPr>
          <w:sz w:val="26"/>
          <w:szCs w:val="26"/>
        </w:rPr>
        <w:t>OCA</w:t>
      </w:r>
      <w:r w:rsidR="008D5C89" w:rsidRPr="00E9174E">
        <w:rPr>
          <w:sz w:val="26"/>
          <w:szCs w:val="26"/>
        </w:rPr>
        <w:t xml:space="preserve"> </w:t>
      </w:r>
      <w:r w:rsidR="00D2152F" w:rsidRPr="00E9174E">
        <w:rPr>
          <w:sz w:val="26"/>
          <w:szCs w:val="26"/>
        </w:rPr>
        <w:t>St. 1-S, Schedule</w:t>
      </w:r>
      <w:r w:rsidR="00B61CD0" w:rsidRPr="00E9174E">
        <w:rPr>
          <w:sz w:val="26"/>
          <w:szCs w:val="26"/>
        </w:rPr>
        <w:t>s</w:t>
      </w:r>
      <w:r w:rsidR="00D2152F" w:rsidRPr="00E9174E">
        <w:rPr>
          <w:sz w:val="26"/>
          <w:szCs w:val="26"/>
        </w:rPr>
        <w:t xml:space="preserve"> SJR-1</w:t>
      </w:r>
      <w:r w:rsidR="00B61CD0" w:rsidRPr="00E9174E">
        <w:rPr>
          <w:sz w:val="26"/>
          <w:szCs w:val="26"/>
        </w:rPr>
        <w:t xml:space="preserve"> and SJR-6S</w:t>
      </w:r>
      <w:r w:rsidR="008D5C89" w:rsidRPr="00E9174E">
        <w:rPr>
          <w:sz w:val="26"/>
          <w:szCs w:val="26"/>
        </w:rPr>
        <w:t>.</w:t>
      </w:r>
      <w:r w:rsidRPr="00E9174E">
        <w:rPr>
          <w:sz w:val="26"/>
          <w:szCs w:val="26"/>
        </w:rPr>
        <w:t xml:space="preserve">  </w:t>
      </w:r>
    </w:p>
    <w:p w14:paraId="6F8C30CD" w14:textId="77777777" w:rsidR="00712005" w:rsidRPr="00E9174E" w:rsidRDefault="00712005" w:rsidP="00E9174E">
      <w:pPr>
        <w:widowControl/>
        <w:spacing w:line="360" w:lineRule="auto"/>
        <w:contextualSpacing/>
        <w:rPr>
          <w:sz w:val="26"/>
          <w:szCs w:val="26"/>
        </w:rPr>
      </w:pPr>
    </w:p>
    <w:p w14:paraId="703913EB" w14:textId="0CA6A8D8" w:rsidR="00712005" w:rsidRPr="00E9174E" w:rsidRDefault="00712005" w:rsidP="00E9174E">
      <w:pPr>
        <w:pStyle w:val="BodyText2"/>
        <w:widowControl/>
        <w:spacing w:after="0" w:line="360" w:lineRule="auto"/>
        <w:ind w:firstLine="1440"/>
        <w:contextualSpacing/>
        <w:rPr>
          <w:rFonts w:eastAsiaTheme="minorHAnsi"/>
          <w:sz w:val="26"/>
          <w:szCs w:val="26"/>
        </w:rPr>
      </w:pPr>
      <w:r w:rsidRPr="00E9174E">
        <w:rPr>
          <w:rFonts w:eastAsiaTheme="minorHAnsi"/>
          <w:sz w:val="26"/>
          <w:szCs w:val="26"/>
        </w:rPr>
        <w:t xml:space="preserve">While the </w:t>
      </w:r>
      <w:r w:rsidR="00C378E7" w:rsidRPr="00E9174E">
        <w:rPr>
          <w:rFonts w:eastAsiaTheme="minorHAnsi"/>
          <w:sz w:val="26"/>
          <w:szCs w:val="26"/>
        </w:rPr>
        <w:t>ALJ</w:t>
      </w:r>
      <w:r w:rsidRPr="00E9174E">
        <w:rPr>
          <w:rFonts w:eastAsiaTheme="minorHAnsi"/>
          <w:sz w:val="26"/>
          <w:szCs w:val="26"/>
        </w:rPr>
        <w:t xml:space="preserve"> reasoned that </w:t>
      </w:r>
      <w:bookmarkStart w:id="29" w:name="_Hlk61425014"/>
      <w:r w:rsidRPr="00E9174E">
        <w:rPr>
          <w:rFonts w:eastAsiaTheme="minorHAnsi"/>
          <w:sz w:val="26"/>
          <w:szCs w:val="26"/>
        </w:rPr>
        <w:t>Columbia is correct in its assertion that the law permits a utility to approach the Commission with an increase request for the purpose of ensuring that rates are just and reasonable and</w:t>
      </w:r>
      <w:r w:rsidR="004C0824" w:rsidRPr="00E9174E">
        <w:rPr>
          <w:rFonts w:eastAsiaTheme="minorHAnsi"/>
          <w:sz w:val="26"/>
          <w:szCs w:val="26"/>
        </w:rPr>
        <w:t xml:space="preserve"> t</w:t>
      </w:r>
      <w:r w:rsidR="00DD4DA8" w:rsidRPr="00E9174E">
        <w:rPr>
          <w:rFonts w:eastAsiaTheme="minorHAnsi"/>
          <w:sz w:val="26"/>
          <w:szCs w:val="26"/>
        </w:rPr>
        <w:t>o</w:t>
      </w:r>
      <w:r w:rsidRPr="00E9174E">
        <w:rPr>
          <w:rFonts w:eastAsiaTheme="minorHAnsi"/>
          <w:sz w:val="26"/>
          <w:szCs w:val="26"/>
        </w:rPr>
        <w:t xml:space="preserve"> cover all prudently incurred costs</w:t>
      </w:r>
      <w:bookmarkEnd w:id="29"/>
      <w:r w:rsidRPr="00E9174E">
        <w:rPr>
          <w:rFonts w:eastAsiaTheme="minorHAnsi"/>
          <w:sz w:val="26"/>
          <w:szCs w:val="26"/>
        </w:rPr>
        <w:t xml:space="preserve">, the </w:t>
      </w:r>
      <w:r w:rsidR="00C378E7" w:rsidRPr="00E9174E">
        <w:rPr>
          <w:rFonts w:eastAsiaTheme="minorHAnsi"/>
          <w:sz w:val="26"/>
          <w:szCs w:val="26"/>
        </w:rPr>
        <w:t>ALJ</w:t>
      </w:r>
      <w:r w:rsidRPr="00E9174E">
        <w:rPr>
          <w:rFonts w:eastAsiaTheme="minorHAnsi"/>
          <w:sz w:val="26"/>
          <w:szCs w:val="26"/>
        </w:rPr>
        <w:t xml:space="preserve"> disagreed with the Company’s argument that case law requires the granting of rate relief.  In support thereof, </w:t>
      </w:r>
      <w:r w:rsidRPr="00E9174E">
        <w:rPr>
          <w:sz w:val="26"/>
          <w:szCs w:val="26"/>
        </w:rPr>
        <w:t xml:space="preserve">the </w:t>
      </w:r>
      <w:r w:rsidR="00C378E7" w:rsidRPr="00E9174E">
        <w:rPr>
          <w:sz w:val="26"/>
          <w:szCs w:val="26"/>
        </w:rPr>
        <w:t>ALJ</w:t>
      </w:r>
      <w:r w:rsidRPr="00E9174E">
        <w:rPr>
          <w:sz w:val="26"/>
          <w:szCs w:val="26"/>
        </w:rPr>
        <w:t xml:space="preserve"> asserted that no constitutional provision, statute, regulation, or policy assures that “the utility will receive an approved rate which gives the utility an opportunity to earn a return for the investors.”  R.D. at 49.</w:t>
      </w:r>
      <w:r w:rsidR="00575EC9" w:rsidRPr="00E9174E">
        <w:rPr>
          <w:sz w:val="26"/>
          <w:szCs w:val="26"/>
        </w:rPr>
        <w:t xml:space="preserve"> </w:t>
      </w:r>
      <w:r w:rsidRPr="00E9174E">
        <w:rPr>
          <w:sz w:val="26"/>
          <w:szCs w:val="26"/>
        </w:rPr>
        <w:t xml:space="preserve"> Specifically, </w:t>
      </w:r>
      <w:r w:rsidRPr="00E9174E">
        <w:rPr>
          <w:rFonts w:eastAsiaTheme="minorHAnsi"/>
          <w:sz w:val="26"/>
          <w:szCs w:val="26"/>
        </w:rPr>
        <w:t>the ALJ concluded:</w:t>
      </w:r>
    </w:p>
    <w:p w14:paraId="58BE0A7E" w14:textId="77777777" w:rsidR="00712005" w:rsidRPr="00E9174E" w:rsidRDefault="00712005" w:rsidP="00E9174E">
      <w:pPr>
        <w:pStyle w:val="BodyText2"/>
        <w:widowControl/>
        <w:spacing w:after="0" w:line="240" w:lineRule="auto"/>
        <w:contextualSpacing/>
        <w:rPr>
          <w:rFonts w:eastAsiaTheme="minorHAnsi"/>
          <w:sz w:val="26"/>
          <w:szCs w:val="26"/>
        </w:rPr>
      </w:pPr>
    </w:p>
    <w:p w14:paraId="0DA561D0" w14:textId="77777777" w:rsidR="00712005" w:rsidRPr="00E9174E" w:rsidRDefault="00712005" w:rsidP="00E9174E">
      <w:pPr>
        <w:pStyle w:val="BodyText2"/>
        <w:widowControl/>
        <w:spacing w:after="0" w:line="240" w:lineRule="auto"/>
        <w:ind w:left="1440" w:right="1440"/>
        <w:contextualSpacing/>
        <w:rPr>
          <w:rFonts w:eastAsiaTheme="minorHAnsi"/>
          <w:sz w:val="26"/>
          <w:szCs w:val="26"/>
        </w:rPr>
      </w:pPr>
      <w:r w:rsidRPr="00E9174E">
        <w:rPr>
          <w:rFonts w:eastAsiaTheme="minorHAnsi"/>
          <w:sz w:val="26"/>
          <w:szCs w:val="26"/>
        </w:rPr>
        <w:t xml:space="preserve">[N]o constitutional provision, statute, </w:t>
      </w:r>
      <w:proofErr w:type="gramStart"/>
      <w:r w:rsidRPr="00E9174E">
        <w:rPr>
          <w:rFonts w:eastAsiaTheme="minorHAnsi"/>
          <w:sz w:val="26"/>
          <w:szCs w:val="26"/>
        </w:rPr>
        <w:t>regulation</w:t>
      </w:r>
      <w:proofErr w:type="gramEnd"/>
      <w:r w:rsidRPr="00E9174E">
        <w:rPr>
          <w:rFonts w:eastAsiaTheme="minorHAnsi"/>
          <w:sz w:val="26"/>
          <w:szCs w:val="26"/>
        </w:rPr>
        <w:t xml:space="preserve"> or policy statement guarantees a utility will receive a requested base rate increase.  In fact, there is no guarantee the utility will receive an approved rate which gives the utility an opportunity to earn a return for the investors.  Though not often seen, the Commission review of a utility request to increase the base rate may find the interests of the ratepayers and the public interest require a </w:t>
      </w:r>
      <w:r w:rsidRPr="00E9174E">
        <w:rPr>
          <w:rFonts w:eastAsiaTheme="minorHAnsi"/>
          <w:sz w:val="26"/>
          <w:szCs w:val="26"/>
          <w:u w:val="single"/>
        </w:rPr>
        <w:t>decreased</w:t>
      </w:r>
      <w:r w:rsidRPr="00E9174E">
        <w:rPr>
          <w:rFonts w:eastAsiaTheme="minorHAnsi"/>
          <w:sz w:val="26"/>
          <w:szCs w:val="26"/>
        </w:rPr>
        <w:t xml:space="preserve"> rate for the utility because, upon review of all costs, the Commission determines the utility requires less than it currently receives.  </w:t>
      </w:r>
    </w:p>
    <w:p w14:paraId="7757E8B5" w14:textId="77777777" w:rsidR="00575EC9" w:rsidRPr="00E9174E" w:rsidRDefault="00575EC9" w:rsidP="00E9174E">
      <w:pPr>
        <w:pStyle w:val="BodyText2"/>
        <w:widowControl/>
        <w:spacing w:after="0" w:line="360" w:lineRule="auto"/>
        <w:contextualSpacing/>
        <w:rPr>
          <w:rFonts w:eastAsiaTheme="minorHAnsi"/>
          <w:sz w:val="26"/>
          <w:szCs w:val="26"/>
        </w:rPr>
      </w:pPr>
    </w:p>
    <w:p w14:paraId="2B522006" w14:textId="2FA8BC98" w:rsidR="00712005" w:rsidRPr="00E9174E" w:rsidRDefault="00712005" w:rsidP="00E9174E">
      <w:pPr>
        <w:pStyle w:val="BodyText2"/>
        <w:widowControl/>
        <w:spacing w:after="0" w:line="360" w:lineRule="auto"/>
        <w:contextualSpacing/>
        <w:rPr>
          <w:rFonts w:eastAsiaTheme="minorHAnsi"/>
          <w:sz w:val="26"/>
          <w:szCs w:val="26"/>
        </w:rPr>
      </w:pPr>
      <w:r w:rsidRPr="00E9174E">
        <w:rPr>
          <w:rFonts w:eastAsiaTheme="minorHAnsi"/>
          <w:sz w:val="26"/>
          <w:szCs w:val="26"/>
        </w:rPr>
        <w:t>R.D. at 49 (emphasis in the original).</w:t>
      </w:r>
    </w:p>
    <w:p w14:paraId="08A34306" w14:textId="77777777" w:rsidR="00712005" w:rsidRPr="00E9174E" w:rsidRDefault="00712005" w:rsidP="00E9174E">
      <w:pPr>
        <w:pStyle w:val="BodyText2"/>
        <w:widowControl/>
        <w:spacing w:after="0" w:line="360" w:lineRule="auto"/>
        <w:contextualSpacing/>
        <w:rPr>
          <w:rFonts w:eastAsiaTheme="minorHAnsi"/>
          <w:sz w:val="26"/>
          <w:szCs w:val="26"/>
        </w:rPr>
      </w:pPr>
    </w:p>
    <w:p w14:paraId="7A4F0389" w14:textId="66E4A719" w:rsidR="00712005" w:rsidRPr="00E9174E" w:rsidRDefault="00712005" w:rsidP="00E9174E">
      <w:pPr>
        <w:widowControl/>
        <w:spacing w:line="360" w:lineRule="auto"/>
        <w:ind w:firstLine="1440"/>
        <w:contextualSpacing/>
        <w:rPr>
          <w:sz w:val="26"/>
          <w:szCs w:val="26"/>
        </w:rPr>
      </w:pPr>
      <w:r w:rsidRPr="00E9174E">
        <w:rPr>
          <w:rFonts w:eastAsiaTheme="minorHAnsi"/>
          <w:sz w:val="26"/>
          <w:szCs w:val="26"/>
        </w:rPr>
        <w:t xml:space="preserve">The </w:t>
      </w:r>
      <w:r w:rsidR="00127842" w:rsidRPr="00E9174E">
        <w:rPr>
          <w:rFonts w:eastAsiaTheme="minorHAnsi"/>
          <w:sz w:val="26"/>
          <w:szCs w:val="26"/>
        </w:rPr>
        <w:t>ALJ</w:t>
      </w:r>
      <w:r w:rsidRPr="00E9174E">
        <w:rPr>
          <w:rFonts w:eastAsiaTheme="minorHAnsi"/>
          <w:sz w:val="26"/>
          <w:szCs w:val="26"/>
        </w:rPr>
        <w:t xml:space="preserve"> further rejected </w:t>
      </w:r>
      <w:bookmarkStart w:id="30" w:name="_Hlk61424990"/>
      <w:r w:rsidRPr="00E9174E">
        <w:rPr>
          <w:rFonts w:eastAsiaTheme="minorHAnsi"/>
          <w:sz w:val="26"/>
          <w:szCs w:val="26"/>
        </w:rPr>
        <w:t xml:space="preserve">Columbia’s argument that a decision to deny any increase based on a subjective assessment related to the pandemic fails to balance the interests of customers and investors, and that investors will take their investment dollars to other states in the long term if the Commission does not grant Columbia’s request.  </w:t>
      </w:r>
      <w:bookmarkEnd w:id="30"/>
      <w:r w:rsidRPr="00E9174E">
        <w:rPr>
          <w:rFonts w:eastAsiaTheme="minorHAnsi"/>
          <w:sz w:val="26"/>
          <w:szCs w:val="26"/>
        </w:rPr>
        <w:t xml:space="preserve">R.D. at 49.  </w:t>
      </w:r>
      <w:r w:rsidRPr="00E9174E">
        <w:rPr>
          <w:sz w:val="26"/>
          <w:szCs w:val="26"/>
        </w:rPr>
        <w:t>The ALJ reasoned that</w:t>
      </w:r>
      <w:r w:rsidR="008849FA" w:rsidRPr="00E9174E">
        <w:rPr>
          <w:sz w:val="26"/>
          <w:szCs w:val="26"/>
        </w:rPr>
        <w:t>,</w:t>
      </w:r>
      <w:r w:rsidRPr="00E9174E">
        <w:rPr>
          <w:sz w:val="26"/>
          <w:szCs w:val="26"/>
        </w:rPr>
        <w:t xml:space="preserve"> while Columbia is correct that investors will invest their money elsewhere if the utility has no opportunity to earn a return, the ALJ noted that no </w:t>
      </w:r>
      <w:r w:rsidR="00182960" w:rsidRPr="00E9174E">
        <w:rPr>
          <w:sz w:val="26"/>
          <w:szCs w:val="26"/>
        </w:rPr>
        <w:t>Party</w:t>
      </w:r>
      <w:r w:rsidRPr="00E9174E">
        <w:rPr>
          <w:sz w:val="26"/>
          <w:szCs w:val="26"/>
        </w:rPr>
        <w:t xml:space="preserve"> advocated Columbia should not receive any return.  R.D. at 49.  Instead, the </w:t>
      </w:r>
      <w:r w:rsidRPr="00E9174E">
        <w:rPr>
          <w:sz w:val="26"/>
          <w:szCs w:val="26"/>
        </w:rPr>
        <w:lastRenderedPageBreak/>
        <w:t xml:space="preserve">four opposing </w:t>
      </w:r>
      <w:r w:rsidR="00CF0CFC" w:rsidRPr="00E9174E">
        <w:rPr>
          <w:sz w:val="26"/>
          <w:szCs w:val="26"/>
        </w:rPr>
        <w:t>Parties</w:t>
      </w:r>
      <w:r w:rsidRPr="00E9174E">
        <w:rPr>
          <w:sz w:val="26"/>
          <w:szCs w:val="26"/>
        </w:rPr>
        <w:t xml:space="preserve"> argued the just and reasonable actions herein are that Columbia should be able to provide safe, reliable service with the current return in place, although some expenses might have to be delayed until after the pandemic eases.  Those </w:t>
      </w:r>
      <w:r w:rsidR="00CF0CFC" w:rsidRPr="00E9174E">
        <w:rPr>
          <w:sz w:val="26"/>
          <w:szCs w:val="26"/>
        </w:rPr>
        <w:t>Parties</w:t>
      </w:r>
      <w:r w:rsidRPr="00E9174E">
        <w:rPr>
          <w:sz w:val="26"/>
          <w:szCs w:val="26"/>
        </w:rPr>
        <w:t xml:space="preserve"> argued this pandemic is of such unprecedented proportions that an unprecedented response is necessary from the Commission.  R.D. at 49-50.</w:t>
      </w:r>
    </w:p>
    <w:p w14:paraId="44478E1D" w14:textId="77777777" w:rsidR="00712005" w:rsidRPr="00E9174E" w:rsidRDefault="00712005" w:rsidP="00E9174E">
      <w:pPr>
        <w:pStyle w:val="ListParagraph"/>
        <w:spacing w:line="360" w:lineRule="auto"/>
        <w:contextualSpacing/>
        <w:rPr>
          <w:sz w:val="26"/>
          <w:szCs w:val="26"/>
        </w:rPr>
      </w:pPr>
    </w:p>
    <w:p w14:paraId="0823C561" w14:textId="4F2350F6" w:rsidR="00712005" w:rsidRPr="00E9174E" w:rsidRDefault="00712005" w:rsidP="00E9174E">
      <w:pPr>
        <w:widowControl/>
        <w:spacing w:line="360" w:lineRule="auto"/>
        <w:ind w:firstLine="1440"/>
        <w:contextualSpacing/>
        <w:rPr>
          <w:sz w:val="26"/>
          <w:szCs w:val="26"/>
        </w:rPr>
      </w:pPr>
      <w:r w:rsidRPr="00E9174E">
        <w:rPr>
          <w:sz w:val="26"/>
          <w:szCs w:val="26"/>
        </w:rPr>
        <w:t xml:space="preserve">Finally, the ALJ concluded that </w:t>
      </w:r>
      <w:bookmarkStart w:id="31" w:name="_Hlk61425043"/>
      <w:r w:rsidRPr="00E9174E">
        <w:rPr>
          <w:sz w:val="26"/>
          <w:szCs w:val="26"/>
        </w:rPr>
        <w:t xml:space="preserve">Columbia is incorrect that the Commission must review all elements of a base rate request before the Commission is able to determine if a requested rate is </w:t>
      </w:r>
      <w:r w:rsidR="00503690" w:rsidRPr="00E9174E">
        <w:rPr>
          <w:sz w:val="26"/>
          <w:szCs w:val="26"/>
        </w:rPr>
        <w:t>“</w:t>
      </w:r>
      <w:r w:rsidRPr="00E9174E">
        <w:rPr>
          <w:sz w:val="26"/>
          <w:szCs w:val="26"/>
        </w:rPr>
        <w:t>just and reasonable.</w:t>
      </w:r>
      <w:r w:rsidR="00503690" w:rsidRPr="00E9174E">
        <w:rPr>
          <w:sz w:val="26"/>
          <w:szCs w:val="26"/>
        </w:rPr>
        <w:t>”</w:t>
      </w:r>
      <w:r w:rsidRPr="00E9174E">
        <w:rPr>
          <w:sz w:val="26"/>
          <w:szCs w:val="26"/>
        </w:rPr>
        <w:t xml:space="preserve">  </w:t>
      </w:r>
      <w:bookmarkStart w:id="32" w:name="_Hlk57140484"/>
      <w:bookmarkEnd w:id="31"/>
      <w:r w:rsidR="00503690" w:rsidRPr="00E9174E">
        <w:rPr>
          <w:sz w:val="26"/>
          <w:szCs w:val="26"/>
        </w:rPr>
        <w:t>The</w:t>
      </w:r>
      <w:r w:rsidRPr="00E9174E">
        <w:rPr>
          <w:sz w:val="26"/>
          <w:szCs w:val="26"/>
        </w:rPr>
        <w:t xml:space="preserve"> ALJ concluded that the Commission’s regulatory discretion to determine if a requested rate is just and reasonable is not confined merely to “an absolute or mathematical formulation but rather to confer upon the regulatory body the power to make and apply policy.”  </w:t>
      </w:r>
      <w:r w:rsidR="00503690" w:rsidRPr="00E9174E">
        <w:rPr>
          <w:sz w:val="26"/>
          <w:szCs w:val="26"/>
        </w:rPr>
        <w:t xml:space="preserve">R.D. at 50 (citing </w:t>
      </w:r>
      <w:r w:rsidR="00503690" w:rsidRPr="00E9174E">
        <w:rPr>
          <w:i/>
          <w:iCs/>
          <w:sz w:val="26"/>
          <w:szCs w:val="26"/>
        </w:rPr>
        <w:t>Popowsky I</w:t>
      </w:r>
      <w:r w:rsidR="00503690" w:rsidRPr="00E9174E">
        <w:rPr>
          <w:sz w:val="26"/>
          <w:szCs w:val="26"/>
        </w:rPr>
        <w:t>, 665 A.2d at 812</w:t>
      </w:r>
      <w:r w:rsidR="00476119" w:rsidRPr="00E9174E">
        <w:rPr>
          <w:sz w:val="26"/>
          <w:szCs w:val="26"/>
        </w:rPr>
        <w:t>)</w:t>
      </w:r>
      <w:r w:rsidR="00503690" w:rsidRPr="00E9174E">
        <w:rPr>
          <w:sz w:val="26"/>
          <w:szCs w:val="26"/>
        </w:rPr>
        <w:t xml:space="preserve">.  </w:t>
      </w:r>
      <w:r w:rsidRPr="00E9174E">
        <w:rPr>
          <w:sz w:val="26"/>
          <w:szCs w:val="26"/>
        </w:rPr>
        <w:t xml:space="preserve">The ALJ concluded that the Commission has the authority to determine a requested increase is unreasonable and will lead to an unjust and unreasonable rate for a utility’s customers, based upon all surrounding circumstances, including the presence of a far-reaching pandemic with fatal and disastrous consequences for, </w:t>
      </w:r>
      <w:r w:rsidRPr="00E9174E">
        <w:rPr>
          <w:i/>
          <w:iCs/>
          <w:sz w:val="26"/>
          <w:szCs w:val="26"/>
        </w:rPr>
        <w:t>inter alia</w:t>
      </w:r>
      <w:r w:rsidRPr="00E9174E">
        <w:rPr>
          <w:sz w:val="26"/>
          <w:szCs w:val="26"/>
        </w:rPr>
        <w:t>, Columbia’s customers.  R.D. at 50.  According to the ALJ, “</w:t>
      </w:r>
      <w:r w:rsidR="00503690" w:rsidRPr="00E9174E">
        <w:rPr>
          <w:sz w:val="26"/>
          <w:szCs w:val="26"/>
        </w:rPr>
        <w:t>[s]</w:t>
      </w:r>
      <w:proofErr w:type="spellStart"/>
      <w:r w:rsidRPr="00E9174E">
        <w:rPr>
          <w:sz w:val="26"/>
          <w:szCs w:val="26"/>
        </w:rPr>
        <w:t>uch</w:t>
      </w:r>
      <w:proofErr w:type="spellEnd"/>
      <w:r w:rsidRPr="00E9174E">
        <w:rPr>
          <w:sz w:val="26"/>
          <w:szCs w:val="26"/>
        </w:rPr>
        <w:t xml:space="preserve"> a set of circumstances exists herein.”  R.D. at 50.  </w:t>
      </w:r>
    </w:p>
    <w:p w14:paraId="5F57E1B8" w14:textId="77777777" w:rsidR="00712005" w:rsidRPr="00E9174E" w:rsidRDefault="00712005" w:rsidP="00E9174E">
      <w:pPr>
        <w:widowControl/>
        <w:spacing w:line="360" w:lineRule="auto"/>
        <w:ind w:firstLine="1440"/>
        <w:contextualSpacing/>
        <w:rPr>
          <w:sz w:val="26"/>
          <w:szCs w:val="26"/>
        </w:rPr>
      </w:pPr>
    </w:p>
    <w:p w14:paraId="497B349F" w14:textId="76152CAB" w:rsidR="00712005" w:rsidRPr="00E9174E" w:rsidRDefault="00712005" w:rsidP="00E9174E">
      <w:pPr>
        <w:widowControl/>
        <w:spacing w:line="360" w:lineRule="auto"/>
        <w:ind w:firstLine="1440"/>
        <w:contextualSpacing/>
        <w:rPr>
          <w:sz w:val="26"/>
          <w:szCs w:val="26"/>
        </w:rPr>
      </w:pPr>
      <w:r w:rsidRPr="00E9174E">
        <w:rPr>
          <w:sz w:val="26"/>
          <w:szCs w:val="26"/>
        </w:rPr>
        <w:t xml:space="preserve">With regard to Columbia’s use of pre-pandemic data and calculations to support its revenue requirement projections in the FPFTY, the </w:t>
      </w:r>
      <w:r w:rsidR="00F21C62" w:rsidRPr="00E9174E">
        <w:rPr>
          <w:sz w:val="26"/>
          <w:szCs w:val="26"/>
        </w:rPr>
        <w:t>ALJ</w:t>
      </w:r>
      <w:r w:rsidRPr="00E9174E">
        <w:rPr>
          <w:sz w:val="26"/>
          <w:szCs w:val="26"/>
        </w:rPr>
        <w:t xml:space="preserve"> </w:t>
      </w:r>
      <w:bookmarkEnd w:id="32"/>
      <w:r w:rsidRPr="00E9174E">
        <w:rPr>
          <w:sz w:val="26"/>
          <w:szCs w:val="26"/>
        </w:rPr>
        <w:t xml:space="preserve">noted that </w:t>
      </w:r>
      <w:r w:rsidRPr="00E9174E">
        <w:rPr>
          <w:rFonts w:eastAsiaTheme="minorHAnsi"/>
          <w:sz w:val="26"/>
          <w:szCs w:val="26"/>
        </w:rPr>
        <w:t xml:space="preserve">Columbia based its filing on data from months earlier when Columbia and the Commonwealth functioned </w:t>
      </w:r>
      <w:r w:rsidRPr="00E9174E">
        <w:rPr>
          <w:sz w:val="26"/>
          <w:szCs w:val="26"/>
        </w:rPr>
        <w:t xml:space="preserve">under normal conditions but filed the request </w:t>
      </w:r>
      <w:r w:rsidRPr="00E9174E">
        <w:rPr>
          <w:rFonts w:eastAsiaTheme="minorHAnsi"/>
          <w:sz w:val="26"/>
          <w:szCs w:val="26"/>
        </w:rPr>
        <w:t xml:space="preserve">approximately </w:t>
      </w:r>
      <w:r w:rsidR="00F21C62" w:rsidRPr="00E9174E">
        <w:rPr>
          <w:rFonts w:eastAsiaTheme="minorHAnsi"/>
          <w:sz w:val="26"/>
          <w:szCs w:val="26"/>
        </w:rPr>
        <w:t>five</w:t>
      </w:r>
      <w:r w:rsidRPr="00E9174E">
        <w:rPr>
          <w:rFonts w:eastAsiaTheme="minorHAnsi"/>
          <w:sz w:val="26"/>
          <w:szCs w:val="26"/>
        </w:rPr>
        <w:t xml:space="preserve"> weeks after the Commonwealth became mired in fighting COVID-19 and an emergency declaration was issued</w:t>
      </w:r>
      <w:r w:rsidRPr="00E9174E">
        <w:rPr>
          <w:sz w:val="26"/>
          <w:szCs w:val="26"/>
        </w:rPr>
        <w:t xml:space="preserve">.  The </w:t>
      </w:r>
      <w:r w:rsidR="00F21C62" w:rsidRPr="00E9174E">
        <w:rPr>
          <w:sz w:val="26"/>
          <w:szCs w:val="26"/>
        </w:rPr>
        <w:t>ALJ</w:t>
      </w:r>
      <w:r w:rsidRPr="00E9174E">
        <w:rPr>
          <w:sz w:val="26"/>
          <w:szCs w:val="26"/>
        </w:rPr>
        <w:t xml:space="preserve"> found that Columbia did not alter its filing or its requests in response to the COVID-19 pandemic despite knowing the COVID-19 pandemic altered normal functioning in arguably every segment of society while adversely impacting finances for almost every person and entity within the Commonwealth.  R.D. at 46-47.</w:t>
      </w:r>
    </w:p>
    <w:p w14:paraId="169E9D5E" w14:textId="77777777" w:rsidR="00712005" w:rsidRPr="00E9174E" w:rsidRDefault="00712005" w:rsidP="00E9174E">
      <w:pPr>
        <w:widowControl/>
        <w:spacing w:line="360" w:lineRule="auto"/>
        <w:ind w:firstLine="1440"/>
        <w:contextualSpacing/>
        <w:rPr>
          <w:sz w:val="26"/>
          <w:szCs w:val="26"/>
        </w:rPr>
      </w:pPr>
    </w:p>
    <w:p w14:paraId="5E07DE50" w14:textId="7E22F19F" w:rsidR="00712005" w:rsidRPr="00E9174E" w:rsidRDefault="00712005" w:rsidP="00E9174E">
      <w:pPr>
        <w:pStyle w:val="BodyText2"/>
        <w:widowControl/>
        <w:spacing w:after="0" w:line="360" w:lineRule="auto"/>
        <w:ind w:firstLine="1440"/>
        <w:contextualSpacing/>
        <w:rPr>
          <w:sz w:val="26"/>
          <w:szCs w:val="26"/>
        </w:rPr>
      </w:pPr>
      <w:r w:rsidRPr="00E9174E">
        <w:rPr>
          <w:sz w:val="26"/>
          <w:szCs w:val="26"/>
        </w:rPr>
        <w:lastRenderedPageBreak/>
        <w:t xml:space="preserve">The ALJ noted that the OCA, CAAP, CAUSE-PA and CII argued strenuously against the Commission permitting Columbia to receive any increase until such time as the consequences of the pandemic can be ascertained, at which time the Commission can move forward in a coordinated manner to address the concerns and issues for all public utilities, ratepayers, Commonwealth citizens, </w:t>
      </w:r>
      <w:r w:rsidR="00091A57" w:rsidRPr="00E9174E">
        <w:rPr>
          <w:sz w:val="26"/>
          <w:szCs w:val="26"/>
        </w:rPr>
        <w:t>investors,</w:t>
      </w:r>
      <w:r w:rsidRPr="00E9174E">
        <w:rPr>
          <w:sz w:val="26"/>
          <w:szCs w:val="26"/>
        </w:rPr>
        <w:t xml:space="preserve"> and the public interest.  R.D. at 47.  More specifically, the ALJ noted that these </w:t>
      </w:r>
      <w:r w:rsidR="00CF0CFC" w:rsidRPr="00E9174E">
        <w:rPr>
          <w:sz w:val="26"/>
          <w:szCs w:val="26"/>
        </w:rPr>
        <w:t>Parties</w:t>
      </w:r>
      <w:r w:rsidRPr="00E9174E">
        <w:rPr>
          <w:sz w:val="26"/>
          <w:szCs w:val="26"/>
        </w:rPr>
        <w:t xml:space="preserve"> advocated that the Commission should not rely on predictions based on data collected prior to the pandemic.  To them, Columbia’s argument that a rejection of the increase will expose customers and the public to safety risks because investors will be denied a fair rate of return belied the fact that Columbia’s investors still receive a rate of return, though perhaps smaller than expected, while investors in other areas of the financial markets may not receive as much due to the downturn in the marketplace caused by COVID-19.  They emphasized that Columbia’s ratepayers, both individuals and businesses, have been devastated by the pandemic.  R.D. at 47.</w:t>
      </w:r>
    </w:p>
    <w:p w14:paraId="6EE8819F" w14:textId="77777777" w:rsidR="00712005" w:rsidRPr="00E9174E" w:rsidRDefault="00712005" w:rsidP="00E9174E">
      <w:pPr>
        <w:pStyle w:val="BodyText2"/>
        <w:widowControl/>
        <w:spacing w:after="0" w:line="360" w:lineRule="auto"/>
        <w:ind w:firstLine="1440"/>
        <w:contextualSpacing/>
        <w:rPr>
          <w:sz w:val="26"/>
          <w:szCs w:val="26"/>
        </w:rPr>
      </w:pPr>
    </w:p>
    <w:p w14:paraId="68C19371" w14:textId="7653458E" w:rsidR="00712005" w:rsidRPr="00E9174E" w:rsidRDefault="00712005" w:rsidP="00E9174E">
      <w:pPr>
        <w:pStyle w:val="BodyText2"/>
        <w:widowControl/>
        <w:spacing w:after="0" w:line="360" w:lineRule="auto"/>
        <w:ind w:firstLine="1440"/>
        <w:contextualSpacing/>
        <w:rPr>
          <w:sz w:val="26"/>
          <w:szCs w:val="26"/>
        </w:rPr>
      </w:pPr>
      <w:r w:rsidRPr="00E9174E">
        <w:rPr>
          <w:sz w:val="26"/>
          <w:szCs w:val="26"/>
        </w:rPr>
        <w:t xml:space="preserve">The ALJ noted that Columbia presented data and made future projections for its revenue requirement using data from before the pandemic.  The ALJ acknowledged that Columbia was correct and permitted to make future projections using historic data in a base rate request.  At the same time, however, the ALJ found that the pandemic obscured its financial, economic, and social impacts.  R.D. at 50.  The </w:t>
      </w:r>
      <w:r w:rsidR="00AE6B95" w:rsidRPr="00E9174E">
        <w:rPr>
          <w:sz w:val="26"/>
          <w:szCs w:val="26"/>
        </w:rPr>
        <w:t>ALJ</w:t>
      </w:r>
      <w:r w:rsidRPr="00E9174E">
        <w:rPr>
          <w:sz w:val="26"/>
          <w:szCs w:val="26"/>
        </w:rPr>
        <w:t xml:space="preserve"> concluded that, until the pandemic eases, it is near impossible to use historic data to project into the future with any confidence or reliability about the accuracy of the projections.  R.D. at 50.  The ALJ reasoned, for example, that, in April 2020, the Company, the Commission, the advocates, and the ratepayers did not know the pandemic would worsen in late 2020, and they did not know, in late 2020, how long the pandemic will last or what its impact will be on society or on business, or how many Pennsylvanians will not survive it.  </w:t>
      </w:r>
      <w:bookmarkStart w:id="33" w:name="_Hlk57542907"/>
      <w:r w:rsidRPr="00E9174E">
        <w:rPr>
          <w:sz w:val="26"/>
          <w:szCs w:val="26"/>
        </w:rPr>
        <w:t xml:space="preserve">Thus, the ALJ concluded that the base rate request is </w:t>
      </w:r>
      <w:r w:rsidRPr="00E9174E">
        <w:rPr>
          <w:sz w:val="26"/>
          <w:szCs w:val="26"/>
        </w:rPr>
        <w:lastRenderedPageBreak/>
        <w:t>unreasonable on its face</w:t>
      </w:r>
      <w:r w:rsidRPr="00E9174E">
        <w:rPr>
          <w:rStyle w:val="FootnoteReference"/>
          <w:sz w:val="26"/>
          <w:szCs w:val="26"/>
        </w:rPr>
        <w:footnoteReference w:id="9"/>
      </w:r>
      <w:r w:rsidRPr="00E9174E">
        <w:rPr>
          <w:sz w:val="26"/>
          <w:szCs w:val="26"/>
        </w:rPr>
        <w:t xml:space="preserve"> because</w:t>
      </w:r>
      <w:r w:rsidR="00ED3084" w:rsidRPr="00E9174E">
        <w:rPr>
          <w:sz w:val="26"/>
          <w:szCs w:val="26"/>
        </w:rPr>
        <w:t xml:space="preserve">, in </w:t>
      </w:r>
      <w:r w:rsidR="00C638B6" w:rsidRPr="00E9174E">
        <w:rPr>
          <w:sz w:val="26"/>
          <w:szCs w:val="26"/>
        </w:rPr>
        <w:t xml:space="preserve">her </w:t>
      </w:r>
      <w:r w:rsidR="00ED3084" w:rsidRPr="00E9174E">
        <w:rPr>
          <w:sz w:val="26"/>
          <w:szCs w:val="26"/>
        </w:rPr>
        <w:t>opinion,</w:t>
      </w:r>
      <w:r w:rsidRPr="00E9174E">
        <w:rPr>
          <w:sz w:val="26"/>
          <w:szCs w:val="26"/>
        </w:rPr>
        <w:t xml:space="preserve"> Columbia cannot prove the accuracy of its projections into the future using historic data predating this unprecedented pandemic. </w:t>
      </w:r>
      <w:bookmarkEnd w:id="33"/>
      <w:r w:rsidRPr="00E9174E">
        <w:rPr>
          <w:sz w:val="26"/>
          <w:szCs w:val="26"/>
        </w:rPr>
        <w:t xml:space="preserve"> R.D. at 50.</w:t>
      </w:r>
    </w:p>
    <w:p w14:paraId="6542386E" w14:textId="77777777" w:rsidR="00712005" w:rsidRPr="00E9174E" w:rsidRDefault="00712005" w:rsidP="00E9174E">
      <w:pPr>
        <w:pStyle w:val="BodyText2"/>
        <w:widowControl/>
        <w:spacing w:after="0" w:line="360" w:lineRule="auto"/>
        <w:ind w:firstLine="1440"/>
        <w:contextualSpacing/>
        <w:rPr>
          <w:sz w:val="26"/>
          <w:szCs w:val="26"/>
        </w:rPr>
      </w:pPr>
    </w:p>
    <w:p w14:paraId="387BC0C2" w14:textId="1E763A78" w:rsidR="00712005" w:rsidRPr="00E9174E" w:rsidRDefault="00712005" w:rsidP="00E9174E">
      <w:pPr>
        <w:pStyle w:val="BodyText2"/>
        <w:widowControl/>
        <w:spacing w:after="0" w:line="360" w:lineRule="auto"/>
        <w:ind w:firstLine="1440"/>
        <w:contextualSpacing/>
        <w:rPr>
          <w:sz w:val="26"/>
          <w:szCs w:val="26"/>
        </w:rPr>
      </w:pPr>
      <w:bookmarkStart w:id="34" w:name="_Hlk57542982"/>
      <w:r w:rsidRPr="00E9174E">
        <w:rPr>
          <w:sz w:val="26"/>
          <w:szCs w:val="26"/>
        </w:rPr>
        <w:t xml:space="preserve">The ALJ found that the evidence presented by all </w:t>
      </w:r>
      <w:r w:rsidR="00CF0CFC" w:rsidRPr="00E9174E">
        <w:rPr>
          <w:sz w:val="26"/>
          <w:szCs w:val="26"/>
        </w:rPr>
        <w:t>Parties</w:t>
      </w:r>
      <w:r w:rsidRPr="00E9174E">
        <w:rPr>
          <w:sz w:val="26"/>
          <w:szCs w:val="26"/>
        </w:rPr>
        <w:t>, including Columbia, reflects that</w:t>
      </w:r>
      <w:r w:rsidR="008849FA" w:rsidRPr="00E9174E">
        <w:rPr>
          <w:sz w:val="26"/>
          <w:szCs w:val="26"/>
        </w:rPr>
        <w:t>,</w:t>
      </w:r>
      <w:r w:rsidRPr="00E9174E">
        <w:rPr>
          <w:sz w:val="26"/>
          <w:szCs w:val="26"/>
        </w:rPr>
        <w:t xml:space="preserve"> if the base rate</w:t>
      </w:r>
      <w:r w:rsidR="006C66E5" w:rsidRPr="00E9174E">
        <w:rPr>
          <w:sz w:val="26"/>
          <w:szCs w:val="26"/>
        </w:rPr>
        <w:t>s</w:t>
      </w:r>
      <w:r w:rsidRPr="00E9174E">
        <w:rPr>
          <w:sz w:val="26"/>
          <w:szCs w:val="26"/>
        </w:rPr>
        <w:t xml:space="preserve"> remain unchanged, Columbia will have an opportunity to earn a positive rate of return in a range from 4% to 6%.  The ALJ recogniz</w:t>
      </w:r>
      <w:r w:rsidR="00213952" w:rsidRPr="00E9174E">
        <w:rPr>
          <w:sz w:val="26"/>
          <w:szCs w:val="26"/>
        </w:rPr>
        <w:t>ed</w:t>
      </w:r>
      <w:r w:rsidRPr="00E9174E">
        <w:rPr>
          <w:sz w:val="26"/>
          <w:szCs w:val="26"/>
        </w:rPr>
        <w:t xml:space="preserve"> that such a level of return</w:t>
      </w:r>
      <w:r w:rsidR="008849FA" w:rsidRPr="00E9174E">
        <w:rPr>
          <w:sz w:val="26"/>
          <w:szCs w:val="26"/>
        </w:rPr>
        <w:t>,</w:t>
      </w:r>
      <w:r w:rsidRPr="00E9174E">
        <w:rPr>
          <w:sz w:val="26"/>
          <w:szCs w:val="26"/>
        </w:rPr>
        <w:t xml:space="preserve"> if sustained long-term</w:t>
      </w:r>
      <w:r w:rsidR="008849FA" w:rsidRPr="00E9174E">
        <w:rPr>
          <w:sz w:val="26"/>
          <w:szCs w:val="26"/>
        </w:rPr>
        <w:t>,</w:t>
      </w:r>
      <w:r w:rsidRPr="00E9174E">
        <w:rPr>
          <w:sz w:val="26"/>
          <w:szCs w:val="26"/>
        </w:rPr>
        <w:t xml:space="preserve"> would create a challenge for Columbia to entice investors.  However, the ALJ found credible Columbia’s insistence that it files base rate proceedings every year and has made a business decision to file new base rate proceedings every year going forward for the foreseeable future, and relied on these statements to conclude that Columbia can and should wait for a rate increase until it files a new base rate filing in April 2021, at which time Columbia will have additional data essential to gauge: (1) the impacts this pandemic has had and will have on socio-economic income levels</w:t>
      </w:r>
      <w:r w:rsidR="009D0D08" w:rsidRPr="00E9174E">
        <w:rPr>
          <w:sz w:val="26"/>
          <w:szCs w:val="26"/>
        </w:rPr>
        <w:t>;</w:t>
      </w:r>
      <w:r w:rsidRPr="00E9174E">
        <w:rPr>
          <w:sz w:val="26"/>
          <w:szCs w:val="26"/>
        </w:rPr>
        <w:t xml:space="preserve"> (2) the percentage of customers in default due to late/non-payments</w:t>
      </w:r>
      <w:r w:rsidR="009D0D08" w:rsidRPr="00E9174E">
        <w:rPr>
          <w:sz w:val="26"/>
          <w:szCs w:val="26"/>
        </w:rPr>
        <w:t>;</w:t>
      </w:r>
      <w:r w:rsidRPr="00E9174E">
        <w:rPr>
          <w:sz w:val="26"/>
          <w:szCs w:val="26"/>
        </w:rPr>
        <w:t xml:space="preserve"> (3) the amount of uncollectible debt</w:t>
      </w:r>
      <w:r w:rsidR="009D0D08" w:rsidRPr="00E9174E">
        <w:rPr>
          <w:sz w:val="26"/>
          <w:szCs w:val="26"/>
        </w:rPr>
        <w:t>;</w:t>
      </w:r>
      <w:r w:rsidRPr="00E9174E">
        <w:rPr>
          <w:sz w:val="26"/>
          <w:szCs w:val="26"/>
        </w:rPr>
        <w:t xml:space="preserve"> and (4) a myriad of other economic indicators of health among customers, businesses</w:t>
      </w:r>
      <w:r w:rsidR="009D0D08" w:rsidRPr="00E9174E">
        <w:rPr>
          <w:sz w:val="26"/>
          <w:szCs w:val="26"/>
        </w:rPr>
        <w:t>,</w:t>
      </w:r>
      <w:r w:rsidRPr="00E9174E">
        <w:rPr>
          <w:sz w:val="26"/>
          <w:szCs w:val="26"/>
        </w:rPr>
        <w:t xml:space="preserve"> and the Commonwealth.  R.D.</w:t>
      </w:r>
      <w:r w:rsidR="005E082E">
        <w:rPr>
          <w:sz w:val="26"/>
          <w:szCs w:val="26"/>
        </w:rPr>
        <w:t> </w:t>
      </w:r>
      <w:r w:rsidRPr="00E9174E">
        <w:rPr>
          <w:sz w:val="26"/>
          <w:szCs w:val="26"/>
        </w:rPr>
        <w:t>at</w:t>
      </w:r>
      <w:r w:rsidR="005E082E">
        <w:rPr>
          <w:sz w:val="26"/>
          <w:szCs w:val="26"/>
        </w:rPr>
        <w:t> </w:t>
      </w:r>
      <w:r w:rsidRPr="00E9174E">
        <w:rPr>
          <w:sz w:val="26"/>
          <w:szCs w:val="26"/>
        </w:rPr>
        <w:t>50</w:t>
      </w:r>
      <w:r w:rsidR="00EE3B05" w:rsidRPr="00E9174E">
        <w:rPr>
          <w:sz w:val="26"/>
          <w:szCs w:val="26"/>
        </w:rPr>
        <w:noBreakHyphen/>
      </w:r>
      <w:r w:rsidRPr="00E9174E">
        <w:rPr>
          <w:sz w:val="26"/>
          <w:szCs w:val="26"/>
        </w:rPr>
        <w:t>51.</w:t>
      </w:r>
      <w:bookmarkEnd w:id="34"/>
      <w:r w:rsidRPr="00E9174E">
        <w:rPr>
          <w:sz w:val="26"/>
          <w:szCs w:val="26"/>
        </w:rPr>
        <w:t xml:space="preserve">  </w:t>
      </w:r>
    </w:p>
    <w:p w14:paraId="7E9EA26C" w14:textId="77777777" w:rsidR="00712005" w:rsidRPr="00E9174E" w:rsidRDefault="00712005" w:rsidP="00E9174E">
      <w:pPr>
        <w:pStyle w:val="BodyText2"/>
        <w:widowControl/>
        <w:spacing w:after="0" w:line="360" w:lineRule="auto"/>
        <w:ind w:firstLine="1440"/>
        <w:contextualSpacing/>
        <w:rPr>
          <w:sz w:val="26"/>
          <w:szCs w:val="26"/>
        </w:rPr>
      </w:pPr>
    </w:p>
    <w:p w14:paraId="2A8D85B7" w14:textId="7B307D43" w:rsidR="00132B35" w:rsidRPr="00E9174E" w:rsidRDefault="00213952" w:rsidP="005E082E">
      <w:pPr>
        <w:widowControl/>
        <w:spacing w:line="360" w:lineRule="auto"/>
        <w:ind w:firstLine="1440"/>
        <w:contextualSpacing/>
        <w:rPr>
          <w:sz w:val="26"/>
          <w:szCs w:val="26"/>
        </w:rPr>
      </w:pPr>
      <w:r w:rsidRPr="00E9174E">
        <w:rPr>
          <w:sz w:val="26"/>
          <w:szCs w:val="26"/>
        </w:rPr>
        <w:t>Based on the ALJ’s legal conclusions, and in balancing the interests of the utility, the ratepayers, the investors, and the public interest, the ALJ recommended that the Commission deny Columbia’s request to increase its base rates.  T</w:t>
      </w:r>
      <w:r w:rsidR="00712005" w:rsidRPr="00E9174E">
        <w:rPr>
          <w:sz w:val="26"/>
          <w:szCs w:val="26"/>
        </w:rPr>
        <w:t xml:space="preserve">he ALJ concluded that the Commission has the authority to deny this base rate increase </w:t>
      </w:r>
      <w:r w:rsidR="00592DD9" w:rsidRPr="00E9174E">
        <w:rPr>
          <w:sz w:val="26"/>
          <w:szCs w:val="26"/>
        </w:rPr>
        <w:t>in its entirety</w:t>
      </w:r>
      <w:r w:rsidR="00712005" w:rsidRPr="00E9174E">
        <w:rPr>
          <w:sz w:val="26"/>
          <w:szCs w:val="26"/>
        </w:rPr>
        <w:t xml:space="preserve"> because the request will not lead to just</w:t>
      </w:r>
      <w:r w:rsidR="00DE2EE5" w:rsidRPr="00E9174E">
        <w:rPr>
          <w:sz w:val="26"/>
          <w:szCs w:val="26"/>
        </w:rPr>
        <w:t xml:space="preserve"> and reasonable</w:t>
      </w:r>
      <w:r w:rsidR="00712005" w:rsidRPr="00E9174E">
        <w:rPr>
          <w:sz w:val="26"/>
          <w:szCs w:val="26"/>
        </w:rPr>
        <w:t xml:space="preserve"> rates in the public interest</w:t>
      </w:r>
      <w:r w:rsidR="00CB726F" w:rsidRPr="00E9174E">
        <w:rPr>
          <w:sz w:val="26"/>
          <w:szCs w:val="26"/>
        </w:rPr>
        <w:t xml:space="preserve"> due to the pandemic</w:t>
      </w:r>
      <w:r w:rsidR="00712005" w:rsidRPr="00E9174E">
        <w:rPr>
          <w:sz w:val="26"/>
          <w:szCs w:val="26"/>
        </w:rPr>
        <w:t>.  The ALJ also concluded the Commission is authorized to require Columbia to return with a new base rate filing, and to require Columbia</w:t>
      </w:r>
      <w:r w:rsidR="00CF2394" w:rsidRPr="00E9174E">
        <w:rPr>
          <w:sz w:val="26"/>
          <w:szCs w:val="26"/>
        </w:rPr>
        <w:t xml:space="preserve"> </w:t>
      </w:r>
      <w:r w:rsidR="00712005" w:rsidRPr="00E9174E">
        <w:rPr>
          <w:sz w:val="26"/>
          <w:szCs w:val="26"/>
        </w:rPr>
        <w:t xml:space="preserve">to collect specific </w:t>
      </w:r>
      <w:r w:rsidR="00712005" w:rsidRPr="00E9174E">
        <w:rPr>
          <w:sz w:val="26"/>
          <w:szCs w:val="26"/>
        </w:rPr>
        <w:lastRenderedPageBreak/>
        <w:t xml:space="preserve">data that will help Columbia, the Commission, the </w:t>
      </w:r>
      <w:r w:rsidR="00091A57" w:rsidRPr="00E9174E">
        <w:rPr>
          <w:sz w:val="26"/>
          <w:szCs w:val="26"/>
        </w:rPr>
        <w:t>advocates,</w:t>
      </w:r>
      <w:r w:rsidR="00712005" w:rsidRPr="00E9174E">
        <w:rPr>
          <w:sz w:val="26"/>
          <w:szCs w:val="26"/>
        </w:rPr>
        <w:t xml:space="preserve"> and the ratepayers to find the combination of rates, charges, </w:t>
      </w:r>
      <w:r w:rsidR="00091A57" w:rsidRPr="00E9174E">
        <w:rPr>
          <w:sz w:val="26"/>
          <w:szCs w:val="26"/>
        </w:rPr>
        <w:t>fees,</w:t>
      </w:r>
      <w:r w:rsidR="00712005" w:rsidRPr="00E9174E">
        <w:rPr>
          <w:sz w:val="26"/>
          <w:szCs w:val="26"/>
        </w:rPr>
        <w:t xml:space="preserve"> and programs that will work best for Columbia, its </w:t>
      </w:r>
      <w:r w:rsidR="00091A57" w:rsidRPr="00E9174E">
        <w:rPr>
          <w:sz w:val="26"/>
          <w:szCs w:val="26"/>
        </w:rPr>
        <w:t>customers,</w:t>
      </w:r>
      <w:r w:rsidR="00712005" w:rsidRPr="00E9174E">
        <w:rPr>
          <w:sz w:val="26"/>
          <w:szCs w:val="26"/>
        </w:rPr>
        <w:t xml:space="preserve"> and its investors specifically, and the Commonwealth generally.  R.D. at 51.</w:t>
      </w:r>
      <w:bookmarkStart w:id="35" w:name="_Hlk56963263"/>
      <w:r w:rsidR="00712005" w:rsidRPr="00E9174E">
        <w:rPr>
          <w:sz w:val="26"/>
          <w:szCs w:val="26"/>
        </w:rPr>
        <w:t xml:space="preserve">  Accordingly, the ALJ recommended the Commission keep in place the rates, charges, and tariff provisions, having been previously approved, and keep the current </w:t>
      </w:r>
      <w:r w:rsidR="00234736" w:rsidRPr="00E9174E">
        <w:rPr>
          <w:sz w:val="26"/>
          <w:szCs w:val="26"/>
        </w:rPr>
        <w:t>Distribution System Improvement Charge (</w:t>
      </w:r>
      <w:r w:rsidR="00712005" w:rsidRPr="00E9174E">
        <w:rPr>
          <w:sz w:val="26"/>
          <w:szCs w:val="26"/>
        </w:rPr>
        <w:t>DSIC</w:t>
      </w:r>
      <w:r w:rsidR="00234736" w:rsidRPr="00E9174E">
        <w:rPr>
          <w:sz w:val="26"/>
          <w:szCs w:val="26"/>
        </w:rPr>
        <w:t>)</w:t>
      </w:r>
      <w:r w:rsidR="00712005" w:rsidRPr="00E9174E">
        <w:rPr>
          <w:sz w:val="26"/>
          <w:szCs w:val="26"/>
        </w:rPr>
        <w:t xml:space="preserve"> charge in place, until Columbia’s next base rate case.  R.D. at 51. </w:t>
      </w:r>
      <w:bookmarkEnd w:id="35"/>
    </w:p>
    <w:p w14:paraId="69DF8530" w14:textId="77777777" w:rsidR="001F1A5E" w:rsidRPr="00E9174E" w:rsidRDefault="001F1A5E" w:rsidP="005E082E">
      <w:pPr>
        <w:widowControl/>
        <w:spacing w:line="360" w:lineRule="auto"/>
        <w:ind w:firstLine="1440"/>
        <w:contextualSpacing/>
        <w:rPr>
          <w:sz w:val="26"/>
          <w:szCs w:val="26"/>
        </w:rPr>
      </w:pPr>
    </w:p>
    <w:p w14:paraId="124F8CFC" w14:textId="284296E6" w:rsidR="00132B35" w:rsidRPr="00E9174E" w:rsidRDefault="001768DD" w:rsidP="006751AA">
      <w:pPr>
        <w:pStyle w:val="Heading2"/>
      </w:pPr>
      <w:bookmarkStart w:id="36" w:name="_Toc62487955"/>
      <w:bookmarkStart w:id="37" w:name="_Toc63764414"/>
      <w:r>
        <w:t>C.</w:t>
      </w:r>
      <w:r>
        <w:tab/>
      </w:r>
      <w:r w:rsidR="008F2DA3" w:rsidRPr="00E9174E">
        <w:t>Exceptions</w:t>
      </w:r>
      <w:r w:rsidR="00C47B6F" w:rsidRPr="00E9174E">
        <w:t xml:space="preserve"> and </w:t>
      </w:r>
      <w:r w:rsidR="00EF05E5" w:rsidRPr="00E9174E">
        <w:t>Replies</w:t>
      </w:r>
      <w:bookmarkEnd w:id="36"/>
      <w:bookmarkEnd w:id="37"/>
    </w:p>
    <w:p w14:paraId="2A8F787F" w14:textId="5D0E587B" w:rsidR="005B1D9C" w:rsidRPr="00E9174E" w:rsidRDefault="005B1D9C" w:rsidP="005E082E">
      <w:pPr>
        <w:pStyle w:val="BodyText2"/>
        <w:keepNext/>
        <w:keepLines/>
        <w:widowControl/>
        <w:spacing w:after="0" w:line="360" w:lineRule="auto"/>
        <w:contextualSpacing/>
        <w:rPr>
          <w:rFonts w:eastAsiaTheme="majorEastAsia"/>
          <w:sz w:val="26"/>
          <w:szCs w:val="26"/>
        </w:rPr>
      </w:pPr>
    </w:p>
    <w:p w14:paraId="2C7D7415" w14:textId="65EC8B61" w:rsidR="005B1D9C" w:rsidRPr="00E9174E" w:rsidRDefault="00F24393" w:rsidP="005E082E">
      <w:pPr>
        <w:pStyle w:val="Heading3"/>
        <w:numPr>
          <w:ilvl w:val="0"/>
          <w:numId w:val="3"/>
        </w:numPr>
        <w:ind w:left="1440" w:hanging="720"/>
      </w:pPr>
      <w:bookmarkStart w:id="38" w:name="_Toc62487956"/>
      <w:bookmarkStart w:id="39" w:name="_Toc63764415"/>
      <w:r w:rsidRPr="00E9174E">
        <w:t>Columbia Exception No. 1 and Replies</w:t>
      </w:r>
      <w:bookmarkEnd w:id="38"/>
      <w:bookmarkEnd w:id="39"/>
    </w:p>
    <w:p w14:paraId="109E3292" w14:textId="77777777" w:rsidR="00232FEB" w:rsidRPr="00E9174E" w:rsidRDefault="00232FEB" w:rsidP="005E082E">
      <w:pPr>
        <w:pStyle w:val="BodyText2"/>
        <w:keepNext/>
        <w:keepLines/>
        <w:widowControl/>
        <w:spacing w:after="0" w:line="360" w:lineRule="auto"/>
        <w:contextualSpacing/>
        <w:rPr>
          <w:sz w:val="26"/>
          <w:szCs w:val="26"/>
        </w:rPr>
      </w:pPr>
    </w:p>
    <w:p w14:paraId="35F0C928" w14:textId="2B567072" w:rsidR="00202E1C" w:rsidRPr="00E9174E" w:rsidRDefault="009C1F0A" w:rsidP="005E082E">
      <w:pPr>
        <w:pStyle w:val="BodyText2"/>
        <w:keepNext/>
        <w:widowControl/>
        <w:spacing w:after="0" w:line="360" w:lineRule="auto"/>
        <w:ind w:firstLine="1440"/>
        <w:contextualSpacing/>
        <w:rPr>
          <w:sz w:val="26"/>
          <w:szCs w:val="26"/>
        </w:rPr>
      </w:pPr>
      <w:r w:rsidRPr="00E9174E">
        <w:rPr>
          <w:sz w:val="26"/>
          <w:szCs w:val="26"/>
        </w:rPr>
        <w:t xml:space="preserve">In Columbia’s Exception No. 1, </w:t>
      </w:r>
      <w:r w:rsidR="00232FEB" w:rsidRPr="00E9174E">
        <w:rPr>
          <w:sz w:val="26"/>
          <w:szCs w:val="26"/>
        </w:rPr>
        <w:t xml:space="preserve">Columbia argues the ALJ erred in concluding that </w:t>
      </w:r>
      <w:r w:rsidR="00AF41F9" w:rsidRPr="00E9174E">
        <w:rPr>
          <w:sz w:val="26"/>
          <w:szCs w:val="26"/>
        </w:rPr>
        <w:t>its</w:t>
      </w:r>
      <w:r w:rsidR="00232FEB" w:rsidRPr="00E9174E">
        <w:rPr>
          <w:sz w:val="26"/>
          <w:szCs w:val="26"/>
        </w:rPr>
        <w:t xml:space="preserve"> proposed rate increase could be denied “without applying the ratemaking f</w:t>
      </w:r>
      <w:r w:rsidR="0089360C" w:rsidRPr="00E9174E">
        <w:rPr>
          <w:sz w:val="26"/>
          <w:szCs w:val="26"/>
        </w:rPr>
        <w:t xml:space="preserve">ormula.”  </w:t>
      </w:r>
      <w:r w:rsidR="00615AF7" w:rsidRPr="00E9174E">
        <w:rPr>
          <w:sz w:val="26"/>
          <w:szCs w:val="26"/>
        </w:rPr>
        <w:t>CG</w:t>
      </w:r>
      <w:r w:rsidR="0089360C" w:rsidRPr="00E9174E">
        <w:rPr>
          <w:sz w:val="26"/>
          <w:szCs w:val="26"/>
        </w:rPr>
        <w:t xml:space="preserve"> Exc. at 3 (citing R.D. at 50).  </w:t>
      </w:r>
      <w:r w:rsidR="00901E16" w:rsidRPr="00E9174E">
        <w:rPr>
          <w:sz w:val="26"/>
          <w:szCs w:val="26"/>
        </w:rPr>
        <w:t>Columbia</w:t>
      </w:r>
      <w:r w:rsidR="00CE32F8" w:rsidRPr="00E9174E">
        <w:rPr>
          <w:sz w:val="26"/>
          <w:szCs w:val="26"/>
        </w:rPr>
        <w:t xml:space="preserve"> </w:t>
      </w:r>
      <w:r w:rsidR="00901E16" w:rsidRPr="00E9174E">
        <w:rPr>
          <w:sz w:val="26"/>
          <w:szCs w:val="26"/>
        </w:rPr>
        <w:t>submits</w:t>
      </w:r>
      <w:r w:rsidR="00CE32F8" w:rsidRPr="00E9174E">
        <w:rPr>
          <w:sz w:val="26"/>
          <w:szCs w:val="26"/>
        </w:rPr>
        <w:t xml:space="preserve"> that the </w:t>
      </w:r>
      <w:r w:rsidR="00A737B1" w:rsidRPr="00E9174E">
        <w:rPr>
          <w:sz w:val="26"/>
          <w:szCs w:val="26"/>
        </w:rPr>
        <w:t xml:space="preserve">following </w:t>
      </w:r>
      <w:r w:rsidR="00CE32F8" w:rsidRPr="00E9174E">
        <w:rPr>
          <w:sz w:val="26"/>
          <w:szCs w:val="26"/>
        </w:rPr>
        <w:t>conclusions</w:t>
      </w:r>
      <w:r w:rsidR="00A737B1" w:rsidRPr="00E9174E">
        <w:rPr>
          <w:sz w:val="26"/>
          <w:szCs w:val="26"/>
        </w:rPr>
        <w:t xml:space="preserve"> in the R</w:t>
      </w:r>
      <w:r w:rsidR="008C7956" w:rsidRPr="00E9174E">
        <w:rPr>
          <w:sz w:val="26"/>
          <w:szCs w:val="26"/>
        </w:rPr>
        <w:t xml:space="preserve">ecommended </w:t>
      </w:r>
      <w:r w:rsidR="00A737B1" w:rsidRPr="00E9174E">
        <w:rPr>
          <w:sz w:val="26"/>
          <w:szCs w:val="26"/>
        </w:rPr>
        <w:t>D</w:t>
      </w:r>
      <w:r w:rsidR="008C7956" w:rsidRPr="00E9174E">
        <w:rPr>
          <w:sz w:val="26"/>
          <w:szCs w:val="26"/>
        </w:rPr>
        <w:t>ecision</w:t>
      </w:r>
      <w:r w:rsidR="00A737B1" w:rsidRPr="00E9174E">
        <w:rPr>
          <w:sz w:val="26"/>
          <w:szCs w:val="26"/>
        </w:rPr>
        <w:t xml:space="preserve"> are erroneous and fundamentally flawed:</w:t>
      </w:r>
      <w:r w:rsidR="00CE32F8" w:rsidRPr="00E9174E">
        <w:rPr>
          <w:sz w:val="26"/>
          <w:szCs w:val="26"/>
        </w:rPr>
        <w:t xml:space="preserve"> (1)</w:t>
      </w:r>
      <w:r w:rsidR="00A737B1" w:rsidRPr="00E9174E">
        <w:rPr>
          <w:sz w:val="26"/>
          <w:szCs w:val="26"/>
        </w:rPr>
        <w:t xml:space="preserve"> that there exists</w:t>
      </w:r>
      <w:r w:rsidR="00CE32F8" w:rsidRPr="00E9174E">
        <w:rPr>
          <w:sz w:val="26"/>
          <w:szCs w:val="26"/>
        </w:rPr>
        <w:t xml:space="preserve"> no constitutional provision, statute, regulation</w:t>
      </w:r>
      <w:r w:rsidR="00A737B1" w:rsidRPr="00E9174E">
        <w:rPr>
          <w:sz w:val="26"/>
          <w:szCs w:val="26"/>
        </w:rPr>
        <w:t>,</w:t>
      </w:r>
      <w:r w:rsidR="00CE32F8" w:rsidRPr="00E9174E">
        <w:rPr>
          <w:sz w:val="26"/>
          <w:szCs w:val="26"/>
        </w:rPr>
        <w:t xml:space="preserve"> or policy </w:t>
      </w:r>
      <w:r w:rsidR="00A737B1" w:rsidRPr="00E9174E">
        <w:rPr>
          <w:sz w:val="26"/>
          <w:szCs w:val="26"/>
        </w:rPr>
        <w:t xml:space="preserve">which </w:t>
      </w:r>
      <w:r w:rsidR="00CE32F8" w:rsidRPr="00E9174E">
        <w:rPr>
          <w:sz w:val="26"/>
          <w:szCs w:val="26"/>
        </w:rPr>
        <w:t>assures that “the utility will receive an approved rate which gives the utility an opportunity to earn a return for the investors</w:t>
      </w:r>
      <w:r w:rsidR="00926AA4" w:rsidRPr="00E9174E">
        <w:rPr>
          <w:sz w:val="26"/>
          <w:szCs w:val="26"/>
        </w:rPr>
        <w:t>;</w:t>
      </w:r>
      <w:r w:rsidR="00CE32F8" w:rsidRPr="00E9174E">
        <w:rPr>
          <w:sz w:val="26"/>
          <w:szCs w:val="26"/>
        </w:rPr>
        <w:t xml:space="preserve">” and (2) </w:t>
      </w:r>
      <w:r w:rsidR="00A737B1" w:rsidRPr="00E9174E">
        <w:rPr>
          <w:sz w:val="26"/>
          <w:szCs w:val="26"/>
        </w:rPr>
        <w:t xml:space="preserve">that </w:t>
      </w:r>
      <w:r w:rsidR="009722AA" w:rsidRPr="00E9174E">
        <w:rPr>
          <w:sz w:val="26"/>
          <w:szCs w:val="26"/>
        </w:rPr>
        <w:t>any positive return</w:t>
      </w:r>
      <w:r w:rsidR="00A737B1" w:rsidRPr="00E9174E">
        <w:rPr>
          <w:sz w:val="26"/>
          <w:szCs w:val="26"/>
        </w:rPr>
        <w:t xml:space="preserve"> set by the Commission</w:t>
      </w:r>
      <w:r w:rsidR="009722AA" w:rsidRPr="00E9174E">
        <w:rPr>
          <w:sz w:val="26"/>
          <w:szCs w:val="26"/>
        </w:rPr>
        <w:t>, in this case</w:t>
      </w:r>
      <w:r w:rsidR="00B761CC" w:rsidRPr="00E9174E">
        <w:rPr>
          <w:sz w:val="26"/>
          <w:szCs w:val="26"/>
        </w:rPr>
        <w:t>,</w:t>
      </w:r>
      <w:r w:rsidR="009722AA" w:rsidRPr="00E9174E">
        <w:rPr>
          <w:sz w:val="26"/>
          <w:szCs w:val="26"/>
        </w:rPr>
        <w:t xml:space="preserve"> a 5.52% overall return and a 6.53% return on equity for the FPFTY, </w:t>
      </w:r>
      <w:r w:rsidR="00A737B1" w:rsidRPr="00E9174E">
        <w:rPr>
          <w:sz w:val="26"/>
          <w:szCs w:val="26"/>
        </w:rPr>
        <w:t>is</w:t>
      </w:r>
      <w:r w:rsidR="009722AA" w:rsidRPr="00E9174E">
        <w:rPr>
          <w:sz w:val="26"/>
          <w:szCs w:val="26"/>
        </w:rPr>
        <w:t xml:space="preserve"> sufficient to meet constitutional standards</w:t>
      </w:r>
      <w:r w:rsidR="00AD78E9" w:rsidRPr="00E9174E">
        <w:rPr>
          <w:sz w:val="26"/>
          <w:szCs w:val="26"/>
        </w:rPr>
        <w:t xml:space="preserve">.  </w:t>
      </w:r>
      <w:r w:rsidR="00615AF7" w:rsidRPr="00E9174E">
        <w:rPr>
          <w:sz w:val="26"/>
          <w:szCs w:val="26"/>
        </w:rPr>
        <w:t>CG</w:t>
      </w:r>
      <w:r w:rsidR="00AD78E9" w:rsidRPr="00E9174E">
        <w:rPr>
          <w:sz w:val="26"/>
          <w:szCs w:val="26"/>
        </w:rPr>
        <w:t xml:space="preserve"> Exc. at 3-4 (citing R.D. at 49, </w:t>
      </w:r>
      <w:r w:rsidR="002B4E62" w:rsidRPr="00E9174E">
        <w:rPr>
          <w:sz w:val="26"/>
          <w:szCs w:val="26"/>
        </w:rPr>
        <w:t>51).</w:t>
      </w:r>
      <w:r w:rsidR="00852074" w:rsidRPr="00E9174E">
        <w:rPr>
          <w:sz w:val="26"/>
          <w:szCs w:val="26"/>
        </w:rPr>
        <w:t xml:space="preserve">  </w:t>
      </w:r>
      <w:r w:rsidR="002B4E62" w:rsidRPr="00E9174E">
        <w:rPr>
          <w:sz w:val="26"/>
          <w:szCs w:val="26"/>
        </w:rPr>
        <w:t>According to Columbia, lo</w:t>
      </w:r>
      <w:r w:rsidR="00901E16" w:rsidRPr="00E9174E">
        <w:rPr>
          <w:sz w:val="26"/>
          <w:szCs w:val="26"/>
        </w:rPr>
        <w:t>ng established public utility law provides that a utility must be permitted to recover its reasonable expenses and be provided an opportunity to earn a fair return.</w:t>
      </w:r>
      <w:r w:rsidR="002B4E62" w:rsidRPr="00E9174E">
        <w:rPr>
          <w:sz w:val="26"/>
          <w:szCs w:val="26"/>
        </w:rPr>
        <w:t xml:space="preserve">  </w:t>
      </w:r>
      <w:r w:rsidR="00615AF7" w:rsidRPr="00E9174E">
        <w:rPr>
          <w:sz w:val="26"/>
          <w:szCs w:val="26"/>
        </w:rPr>
        <w:t>CG</w:t>
      </w:r>
      <w:r w:rsidR="002B4E62" w:rsidRPr="00E9174E">
        <w:rPr>
          <w:sz w:val="26"/>
          <w:szCs w:val="26"/>
        </w:rPr>
        <w:t xml:space="preserve"> Exc. at 4 (citing</w:t>
      </w:r>
      <w:r w:rsidR="00901E16" w:rsidRPr="00E9174E">
        <w:rPr>
          <w:sz w:val="26"/>
          <w:szCs w:val="26"/>
        </w:rPr>
        <w:t xml:space="preserve"> </w:t>
      </w:r>
      <w:r w:rsidR="00901E16" w:rsidRPr="00E9174E">
        <w:rPr>
          <w:i/>
          <w:sz w:val="26"/>
          <w:szCs w:val="26"/>
        </w:rPr>
        <w:t>B</w:t>
      </w:r>
      <w:bookmarkStart w:id="40" w:name="_BA_Cite_EAF4C8_000960"/>
      <w:bookmarkEnd w:id="40"/>
      <w:r w:rsidR="00901E16" w:rsidRPr="00E9174E">
        <w:rPr>
          <w:i/>
          <w:sz w:val="26"/>
          <w:szCs w:val="26"/>
        </w:rPr>
        <w:t>luefield</w:t>
      </w:r>
      <w:r w:rsidR="003E4A7A" w:rsidRPr="005D5CD5">
        <w:rPr>
          <w:iCs/>
          <w:sz w:val="26"/>
          <w:szCs w:val="26"/>
        </w:rPr>
        <w:t>,</w:t>
      </w:r>
      <w:r w:rsidR="003E4A7A" w:rsidRPr="00E9174E">
        <w:rPr>
          <w:i/>
          <w:sz w:val="26"/>
          <w:szCs w:val="26"/>
        </w:rPr>
        <w:t xml:space="preserve"> </w:t>
      </w:r>
      <w:r w:rsidR="00901E16" w:rsidRPr="00E9174E">
        <w:rPr>
          <w:sz w:val="26"/>
          <w:szCs w:val="26"/>
        </w:rPr>
        <w:t xml:space="preserve">262 U.S. 679; </w:t>
      </w:r>
      <w:r w:rsidR="00DA5D69" w:rsidRPr="00E9174E">
        <w:rPr>
          <w:sz w:val="26"/>
          <w:szCs w:val="26"/>
        </w:rPr>
        <w:t>CG M.B. at</w:t>
      </w:r>
      <w:r w:rsidR="00901E16" w:rsidRPr="00E9174E">
        <w:rPr>
          <w:sz w:val="26"/>
          <w:szCs w:val="26"/>
        </w:rPr>
        <w:t xml:space="preserve"> 16-21</w:t>
      </w:r>
      <w:r w:rsidR="002B4E62" w:rsidRPr="00E9174E">
        <w:rPr>
          <w:sz w:val="26"/>
          <w:szCs w:val="26"/>
        </w:rPr>
        <w:t>)</w:t>
      </w:r>
      <w:r w:rsidR="00901E16" w:rsidRPr="00E9174E">
        <w:rPr>
          <w:sz w:val="26"/>
          <w:szCs w:val="26"/>
        </w:rPr>
        <w:t xml:space="preserve">. </w:t>
      </w:r>
      <w:r w:rsidR="002B4E62" w:rsidRPr="00E9174E">
        <w:rPr>
          <w:sz w:val="26"/>
          <w:szCs w:val="26"/>
        </w:rPr>
        <w:t xml:space="preserve"> Columbia submits that t</w:t>
      </w:r>
      <w:r w:rsidR="00901E16" w:rsidRPr="00E9174E">
        <w:rPr>
          <w:sz w:val="26"/>
          <w:szCs w:val="26"/>
        </w:rPr>
        <w:t xml:space="preserve">he </w:t>
      </w:r>
      <w:r w:rsidR="00F872F4" w:rsidRPr="00E9174E">
        <w:rPr>
          <w:sz w:val="26"/>
          <w:szCs w:val="26"/>
        </w:rPr>
        <w:t>“</w:t>
      </w:r>
      <w:r w:rsidR="00901E16" w:rsidRPr="00E9174E">
        <w:rPr>
          <w:sz w:val="26"/>
          <w:szCs w:val="26"/>
        </w:rPr>
        <w:t>ratemaking formula is designed to guide that process and determine the return at current rates</w:t>
      </w:r>
      <w:r w:rsidR="00F872F4" w:rsidRPr="00E9174E">
        <w:rPr>
          <w:sz w:val="26"/>
          <w:szCs w:val="26"/>
        </w:rPr>
        <w:t>” and “[e]</w:t>
      </w:r>
      <w:proofErr w:type="spellStart"/>
      <w:r w:rsidR="00901E16" w:rsidRPr="00E9174E">
        <w:rPr>
          <w:sz w:val="26"/>
          <w:szCs w:val="26"/>
        </w:rPr>
        <w:t>xpert</w:t>
      </w:r>
      <w:proofErr w:type="spellEnd"/>
      <w:r w:rsidR="00901E16" w:rsidRPr="00E9174E">
        <w:rPr>
          <w:sz w:val="26"/>
          <w:szCs w:val="26"/>
        </w:rPr>
        <w:t xml:space="preserve"> testimony is then used to determine the required return.</w:t>
      </w:r>
      <w:r w:rsidR="00F872F4" w:rsidRPr="00E9174E">
        <w:rPr>
          <w:sz w:val="26"/>
          <w:szCs w:val="26"/>
        </w:rPr>
        <w:t xml:space="preserve">” </w:t>
      </w:r>
      <w:r w:rsidR="00926AA4" w:rsidRPr="00E9174E">
        <w:rPr>
          <w:sz w:val="26"/>
          <w:szCs w:val="26"/>
        </w:rPr>
        <w:t xml:space="preserve"> </w:t>
      </w:r>
      <w:r w:rsidR="00615AF7" w:rsidRPr="00E9174E">
        <w:rPr>
          <w:sz w:val="26"/>
          <w:szCs w:val="26"/>
        </w:rPr>
        <w:t>CG</w:t>
      </w:r>
      <w:r w:rsidR="00F872F4" w:rsidRPr="00E9174E">
        <w:rPr>
          <w:sz w:val="26"/>
          <w:szCs w:val="26"/>
        </w:rPr>
        <w:t xml:space="preserve"> Exc. at 4.  Columbia submits that,</w:t>
      </w:r>
      <w:r w:rsidR="00901E16" w:rsidRPr="00E9174E">
        <w:rPr>
          <w:sz w:val="26"/>
          <w:szCs w:val="26"/>
        </w:rPr>
        <w:t xml:space="preserve"> </w:t>
      </w:r>
      <w:r w:rsidR="00F872F4" w:rsidRPr="00E9174E">
        <w:rPr>
          <w:sz w:val="26"/>
          <w:szCs w:val="26"/>
        </w:rPr>
        <w:t>b</w:t>
      </w:r>
      <w:r w:rsidR="00901E16" w:rsidRPr="00E9174E">
        <w:rPr>
          <w:sz w:val="26"/>
          <w:szCs w:val="26"/>
        </w:rPr>
        <w:t xml:space="preserve">y declining to apply the </w:t>
      </w:r>
      <w:r w:rsidR="00F872F4" w:rsidRPr="00E9174E">
        <w:rPr>
          <w:sz w:val="26"/>
          <w:szCs w:val="26"/>
        </w:rPr>
        <w:t>“</w:t>
      </w:r>
      <w:r w:rsidR="00901E16" w:rsidRPr="00E9174E">
        <w:rPr>
          <w:sz w:val="26"/>
          <w:szCs w:val="26"/>
        </w:rPr>
        <w:t>ratemaking formula and process</w:t>
      </w:r>
      <w:r w:rsidR="001003BD" w:rsidRPr="00E9174E">
        <w:rPr>
          <w:sz w:val="26"/>
          <w:szCs w:val="26"/>
        </w:rPr>
        <w:t>”</w:t>
      </w:r>
      <w:r w:rsidR="00901E16" w:rsidRPr="00E9174E">
        <w:rPr>
          <w:sz w:val="26"/>
          <w:szCs w:val="26"/>
        </w:rPr>
        <w:t xml:space="preserve"> on the basis that </w:t>
      </w:r>
      <w:r w:rsidR="00901E16" w:rsidRPr="00E9174E">
        <w:rPr>
          <w:i/>
          <w:iCs/>
          <w:sz w:val="26"/>
          <w:szCs w:val="26"/>
        </w:rPr>
        <w:t>some</w:t>
      </w:r>
      <w:r w:rsidR="00901E16" w:rsidRPr="00E9174E">
        <w:rPr>
          <w:sz w:val="26"/>
          <w:szCs w:val="26"/>
        </w:rPr>
        <w:t xml:space="preserve"> customers will not be able to afford an increase in rates, the R</w:t>
      </w:r>
      <w:r w:rsidR="00B647E8" w:rsidRPr="00E9174E">
        <w:rPr>
          <w:sz w:val="26"/>
          <w:szCs w:val="26"/>
        </w:rPr>
        <w:t xml:space="preserve">ecommended </w:t>
      </w:r>
      <w:r w:rsidR="00901E16" w:rsidRPr="00E9174E">
        <w:rPr>
          <w:sz w:val="26"/>
          <w:szCs w:val="26"/>
        </w:rPr>
        <w:t>D</w:t>
      </w:r>
      <w:r w:rsidR="00B647E8" w:rsidRPr="00E9174E">
        <w:rPr>
          <w:sz w:val="26"/>
          <w:szCs w:val="26"/>
        </w:rPr>
        <w:t>ecision</w:t>
      </w:r>
      <w:r w:rsidR="000719E3" w:rsidRPr="00E9174E">
        <w:rPr>
          <w:sz w:val="26"/>
          <w:szCs w:val="26"/>
        </w:rPr>
        <w:t>,</w:t>
      </w:r>
      <w:r w:rsidR="00901E16" w:rsidRPr="00E9174E">
        <w:rPr>
          <w:sz w:val="26"/>
          <w:szCs w:val="26"/>
        </w:rPr>
        <w:t xml:space="preserve"> fails to provide the fundamental </w:t>
      </w:r>
      <w:r w:rsidR="00901E16" w:rsidRPr="00E9174E">
        <w:rPr>
          <w:sz w:val="26"/>
          <w:szCs w:val="26"/>
        </w:rPr>
        <w:lastRenderedPageBreak/>
        <w:t xml:space="preserve">analysis that is necessary to determine whether increases are required to meet constitutional standards and are just and reasonable.  </w:t>
      </w:r>
      <w:r w:rsidR="00615AF7" w:rsidRPr="00E9174E">
        <w:rPr>
          <w:sz w:val="26"/>
          <w:szCs w:val="26"/>
        </w:rPr>
        <w:t>CG</w:t>
      </w:r>
      <w:r w:rsidR="001F78B5" w:rsidRPr="00E9174E">
        <w:rPr>
          <w:sz w:val="26"/>
          <w:szCs w:val="26"/>
        </w:rPr>
        <w:t xml:space="preserve"> Exc. at 4</w:t>
      </w:r>
      <w:r w:rsidR="00D1066F" w:rsidRPr="00E9174E">
        <w:rPr>
          <w:sz w:val="26"/>
          <w:szCs w:val="26"/>
        </w:rPr>
        <w:t xml:space="preserve"> (emphasis in original)</w:t>
      </w:r>
      <w:r w:rsidR="001F78B5" w:rsidRPr="00E9174E">
        <w:rPr>
          <w:sz w:val="26"/>
          <w:szCs w:val="26"/>
        </w:rPr>
        <w:t xml:space="preserve">.  </w:t>
      </w:r>
      <w:r w:rsidR="00D93B96" w:rsidRPr="00E9174E">
        <w:rPr>
          <w:sz w:val="26"/>
          <w:szCs w:val="26"/>
        </w:rPr>
        <w:t>Columbia argues that</w:t>
      </w:r>
      <w:r w:rsidR="003A320E" w:rsidRPr="00E9174E">
        <w:rPr>
          <w:sz w:val="26"/>
          <w:szCs w:val="26"/>
        </w:rPr>
        <w:t xml:space="preserve"> the “just and reasonable” standard under</w:t>
      </w:r>
      <w:r w:rsidR="00D93B96" w:rsidRPr="00E9174E">
        <w:rPr>
          <w:sz w:val="26"/>
          <w:szCs w:val="26"/>
        </w:rPr>
        <w:t xml:space="preserve"> Section 1301 of the Code requires the Commission to apply the “ratemaking formula” and the data required by the Commission’s </w:t>
      </w:r>
      <w:r w:rsidR="00B647E8" w:rsidRPr="00E9174E">
        <w:rPr>
          <w:sz w:val="26"/>
          <w:szCs w:val="26"/>
        </w:rPr>
        <w:t>R</w:t>
      </w:r>
      <w:r w:rsidR="00D93B96" w:rsidRPr="00E9174E">
        <w:rPr>
          <w:sz w:val="26"/>
          <w:szCs w:val="26"/>
        </w:rPr>
        <w:t>egulations in adjudicating a proposed increase in rates.</w:t>
      </w:r>
      <w:r w:rsidR="00520AEA" w:rsidRPr="00E9174E">
        <w:rPr>
          <w:sz w:val="26"/>
          <w:szCs w:val="26"/>
        </w:rPr>
        <w:t xml:space="preserve"> </w:t>
      </w:r>
      <w:r w:rsidR="00D93B96" w:rsidRPr="00E9174E">
        <w:rPr>
          <w:sz w:val="26"/>
          <w:szCs w:val="26"/>
        </w:rPr>
        <w:t xml:space="preserve"> </w:t>
      </w:r>
      <w:r w:rsidR="00615AF7" w:rsidRPr="00E9174E">
        <w:rPr>
          <w:sz w:val="26"/>
          <w:szCs w:val="26"/>
        </w:rPr>
        <w:t>CG</w:t>
      </w:r>
      <w:r w:rsidR="001F78B5" w:rsidRPr="00E9174E">
        <w:rPr>
          <w:sz w:val="26"/>
          <w:szCs w:val="26"/>
        </w:rPr>
        <w:t xml:space="preserve"> Exc. at 4</w:t>
      </w:r>
      <w:r w:rsidR="00615AF7" w:rsidRPr="00E9174E">
        <w:rPr>
          <w:sz w:val="26"/>
          <w:szCs w:val="26"/>
        </w:rPr>
        <w:t>, n.</w:t>
      </w:r>
      <w:r w:rsidR="008D01CB">
        <w:rPr>
          <w:sz w:val="26"/>
          <w:szCs w:val="26"/>
        </w:rPr>
        <w:t> </w:t>
      </w:r>
      <w:r w:rsidR="00615AF7" w:rsidRPr="00E9174E">
        <w:rPr>
          <w:sz w:val="26"/>
          <w:szCs w:val="26"/>
        </w:rPr>
        <w:t>6</w:t>
      </w:r>
      <w:r w:rsidR="001F78B5" w:rsidRPr="00E9174E">
        <w:rPr>
          <w:sz w:val="26"/>
          <w:szCs w:val="26"/>
        </w:rPr>
        <w:t xml:space="preserve"> (citing </w:t>
      </w:r>
      <w:r w:rsidR="00615AF7" w:rsidRPr="00E9174E">
        <w:rPr>
          <w:sz w:val="26"/>
          <w:szCs w:val="26"/>
        </w:rPr>
        <w:t>CG</w:t>
      </w:r>
      <w:r w:rsidR="001F78B5" w:rsidRPr="00E9174E">
        <w:rPr>
          <w:sz w:val="26"/>
          <w:szCs w:val="26"/>
        </w:rPr>
        <w:t xml:space="preserve"> </w:t>
      </w:r>
      <w:r w:rsidR="00D93B96" w:rsidRPr="00E9174E">
        <w:rPr>
          <w:sz w:val="26"/>
          <w:szCs w:val="26"/>
        </w:rPr>
        <w:t>M</w:t>
      </w:r>
      <w:r w:rsidR="001F78B5" w:rsidRPr="00E9174E">
        <w:rPr>
          <w:sz w:val="26"/>
          <w:szCs w:val="26"/>
        </w:rPr>
        <w:t>.</w:t>
      </w:r>
      <w:r w:rsidR="00D93B96" w:rsidRPr="00E9174E">
        <w:rPr>
          <w:sz w:val="26"/>
          <w:szCs w:val="26"/>
        </w:rPr>
        <w:t>B</w:t>
      </w:r>
      <w:r w:rsidR="001F78B5" w:rsidRPr="00E9174E">
        <w:rPr>
          <w:sz w:val="26"/>
          <w:szCs w:val="26"/>
        </w:rPr>
        <w:t>. at</w:t>
      </w:r>
      <w:r w:rsidR="00D93B96" w:rsidRPr="00E9174E">
        <w:rPr>
          <w:sz w:val="26"/>
          <w:szCs w:val="26"/>
        </w:rPr>
        <w:t xml:space="preserve"> 18</w:t>
      </w:r>
      <w:r w:rsidR="001F78B5" w:rsidRPr="00E9174E">
        <w:rPr>
          <w:sz w:val="26"/>
          <w:szCs w:val="26"/>
        </w:rPr>
        <w:t>)</w:t>
      </w:r>
      <w:r w:rsidR="00D93B96" w:rsidRPr="00E9174E">
        <w:rPr>
          <w:sz w:val="26"/>
          <w:szCs w:val="26"/>
        </w:rPr>
        <w:t>.</w:t>
      </w:r>
    </w:p>
    <w:p w14:paraId="2D54FF18" w14:textId="30CAFABC" w:rsidR="00600FC0" w:rsidRPr="00E9174E" w:rsidRDefault="00600FC0" w:rsidP="00E9174E">
      <w:pPr>
        <w:pStyle w:val="BodyText2"/>
        <w:widowControl/>
        <w:spacing w:after="0" w:line="360" w:lineRule="auto"/>
        <w:ind w:firstLine="1440"/>
        <w:contextualSpacing/>
        <w:rPr>
          <w:sz w:val="26"/>
          <w:szCs w:val="26"/>
        </w:rPr>
      </w:pPr>
    </w:p>
    <w:p w14:paraId="619B2266" w14:textId="2B47AF96" w:rsidR="003564F3" w:rsidRPr="00E9174E" w:rsidRDefault="00600FC0" w:rsidP="00E9174E">
      <w:pPr>
        <w:pStyle w:val="BodyText2"/>
        <w:widowControl/>
        <w:spacing w:after="0" w:line="360" w:lineRule="auto"/>
        <w:ind w:firstLine="1440"/>
        <w:contextualSpacing/>
        <w:rPr>
          <w:sz w:val="26"/>
          <w:szCs w:val="26"/>
        </w:rPr>
      </w:pPr>
      <w:r w:rsidRPr="00E9174E">
        <w:rPr>
          <w:sz w:val="26"/>
          <w:szCs w:val="26"/>
        </w:rPr>
        <w:t xml:space="preserve">Columbia submits that the fundamental process in ratemaking was explained in detailed testimony </w:t>
      </w:r>
      <w:r w:rsidR="008632CC" w:rsidRPr="00E9174E">
        <w:rPr>
          <w:sz w:val="26"/>
          <w:szCs w:val="26"/>
        </w:rPr>
        <w:t xml:space="preserve">by former </w:t>
      </w:r>
      <w:r w:rsidR="00AB3241" w:rsidRPr="00E9174E">
        <w:rPr>
          <w:sz w:val="26"/>
          <w:szCs w:val="26"/>
        </w:rPr>
        <w:t>C</w:t>
      </w:r>
      <w:r w:rsidR="00877AFC" w:rsidRPr="00E9174E">
        <w:rPr>
          <w:sz w:val="26"/>
          <w:szCs w:val="26"/>
        </w:rPr>
        <w:t>ommission</w:t>
      </w:r>
      <w:r w:rsidR="00AB3241" w:rsidRPr="00E9174E">
        <w:rPr>
          <w:sz w:val="26"/>
          <w:szCs w:val="26"/>
        </w:rPr>
        <w:t xml:space="preserve"> </w:t>
      </w:r>
      <w:r w:rsidR="008632CC" w:rsidRPr="00E9174E">
        <w:rPr>
          <w:sz w:val="26"/>
          <w:szCs w:val="26"/>
        </w:rPr>
        <w:t xml:space="preserve">Chairman </w:t>
      </w:r>
      <w:r w:rsidR="00AB3241" w:rsidRPr="00E9174E">
        <w:rPr>
          <w:sz w:val="26"/>
          <w:szCs w:val="26"/>
        </w:rPr>
        <w:t>James</w:t>
      </w:r>
      <w:r w:rsidR="008632CC" w:rsidRPr="00E9174E">
        <w:rPr>
          <w:sz w:val="26"/>
          <w:szCs w:val="26"/>
        </w:rPr>
        <w:t xml:space="preserve"> Cawley who explained that declining to increase rates based solely on customer effects, as the R</w:t>
      </w:r>
      <w:r w:rsidR="00B647E8" w:rsidRPr="00E9174E">
        <w:rPr>
          <w:sz w:val="26"/>
          <w:szCs w:val="26"/>
        </w:rPr>
        <w:t xml:space="preserve">ecommended </w:t>
      </w:r>
      <w:r w:rsidR="008632CC" w:rsidRPr="00E9174E">
        <w:rPr>
          <w:sz w:val="26"/>
          <w:szCs w:val="26"/>
        </w:rPr>
        <w:t>D</w:t>
      </w:r>
      <w:r w:rsidR="00B647E8" w:rsidRPr="00E9174E">
        <w:rPr>
          <w:sz w:val="26"/>
          <w:szCs w:val="26"/>
        </w:rPr>
        <w:t>ecision</w:t>
      </w:r>
      <w:r w:rsidR="008632CC" w:rsidRPr="00E9174E">
        <w:rPr>
          <w:sz w:val="26"/>
          <w:szCs w:val="26"/>
        </w:rPr>
        <w:t xml:space="preserve"> has done, fails to provide the constitutionally required balancing of the interests of both customers and investors and would be poor public policy.  </w:t>
      </w:r>
      <w:r w:rsidR="002B2EDF" w:rsidRPr="00E9174E">
        <w:rPr>
          <w:sz w:val="26"/>
          <w:szCs w:val="26"/>
        </w:rPr>
        <w:t>According to Columbia, a</w:t>
      </w:r>
      <w:r w:rsidR="008632CC" w:rsidRPr="00E9174E">
        <w:rPr>
          <w:sz w:val="26"/>
          <w:szCs w:val="26"/>
        </w:rPr>
        <w:t xml:space="preserve">s to the balancing of customer and investor interests, the </w:t>
      </w:r>
      <w:r w:rsidR="00265BA5" w:rsidRPr="00E9174E">
        <w:rPr>
          <w:sz w:val="26"/>
          <w:szCs w:val="26"/>
        </w:rPr>
        <w:t>“</w:t>
      </w:r>
      <w:r w:rsidR="008632CC" w:rsidRPr="00E9174E">
        <w:rPr>
          <w:sz w:val="26"/>
          <w:szCs w:val="26"/>
        </w:rPr>
        <w:t xml:space="preserve">R.D. improperly concludes, without </w:t>
      </w:r>
      <w:r w:rsidR="00AD4F9B" w:rsidRPr="00E9174E">
        <w:rPr>
          <w:sz w:val="26"/>
          <w:szCs w:val="26"/>
        </w:rPr>
        <w:t>any market-based evidence, that the very low returns for the FPFTY at present rates would not be confiscatory.</w:t>
      </w:r>
      <w:r w:rsidR="00265BA5" w:rsidRPr="00E9174E">
        <w:rPr>
          <w:sz w:val="26"/>
          <w:szCs w:val="26"/>
        </w:rPr>
        <w:t xml:space="preserve">”  </w:t>
      </w:r>
      <w:r w:rsidR="00615AF7" w:rsidRPr="00E9174E">
        <w:rPr>
          <w:sz w:val="26"/>
          <w:szCs w:val="26"/>
        </w:rPr>
        <w:t>CG</w:t>
      </w:r>
      <w:r w:rsidR="00265BA5" w:rsidRPr="00E9174E">
        <w:rPr>
          <w:sz w:val="26"/>
          <w:szCs w:val="26"/>
        </w:rPr>
        <w:t xml:space="preserve"> Exc. at 4.</w:t>
      </w:r>
      <w:r w:rsidR="00AD4F9B" w:rsidRPr="00E9174E">
        <w:rPr>
          <w:sz w:val="26"/>
          <w:szCs w:val="26"/>
        </w:rPr>
        <w:t xml:space="preserve">  Mr. Cawley also explained that denying a rate increase based on customer effects </w:t>
      </w:r>
      <w:r w:rsidR="009D0D08" w:rsidRPr="00E9174E">
        <w:rPr>
          <w:sz w:val="26"/>
          <w:szCs w:val="26"/>
        </w:rPr>
        <w:t xml:space="preserve">would provide </w:t>
      </w:r>
      <w:r w:rsidR="00AD4F9B" w:rsidRPr="00E9174E">
        <w:rPr>
          <w:sz w:val="26"/>
          <w:szCs w:val="26"/>
        </w:rPr>
        <w:t>no analytical standard on whether to allow increases in rates, would provide the Commission with total discretion to approve or deny rate increases</w:t>
      </w:r>
      <w:r w:rsidR="00C14C68" w:rsidRPr="00E9174E">
        <w:rPr>
          <w:sz w:val="26"/>
          <w:szCs w:val="26"/>
        </w:rPr>
        <w:t>,</w:t>
      </w:r>
      <w:r w:rsidR="00AD4F9B" w:rsidRPr="00E9174E">
        <w:rPr>
          <w:sz w:val="26"/>
          <w:szCs w:val="26"/>
        </w:rPr>
        <w:t xml:space="preserve"> and would create deep uncertainty as to both the amount and timing of future rate increases. </w:t>
      </w:r>
      <w:r w:rsidR="00CD7810" w:rsidRPr="00E9174E">
        <w:rPr>
          <w:sz w:val="26"/>
          <w:szCs w:val="26"/>
        </w:rPr>
        <w:t xml:space="preserve"> </w:t>
      </w:r>
      <w:r w:rsidR="00615AF7" w:rsidRPr="00E9174E">
        <w:rPr>
          <w:sz w:val="26"/>
          <w:szCs w:val="26"/>
        </w:rPr>
        <w:t>CG</w:t>
      </w:r>
      <w:r w:rsidR="00CD7810" w:rsidRPr="00E9174E">
        <w:rPr>
          <w:sz w:val="26"/>
          <w:szCs w:val="26"/>
        </w:rPr>
        <w:t xml:space="preserve"> Exc. at 4.  </w:t>
      </w:r>
      <w:r w:rsidR="00D904E1" w:rsidRPr="00E9174E">
        <w:rPr>
          <w:sz w:val="26"/>
          <w:szCs w:val="26"/>
        </w:rPr>
        <w:t xml:space="preserve">Mr. Cawley </w:t>
      </w:r>
      <w:r w:rsidR="00AD4F9B" w:rsidRPr="00E9174E">
        <w:rPr>
          <w:sz w:val="26"/>
          <w:szCs w:val="26"/>
        </w:rPr>
        <w:t xml:space="preserve">further explained that the ultimate result of such an action would be to disrupt the current reasonable expectations of capital markets </w:t>
      </w:r>
      <w:r w:rsidR="008D4BD8" w:rsidRPr="00E9174E">
        <w:rPr>
          <w:sz w:val="26"/>
          <w:szCs w:val="26"/>
        </w:rPr>
        <w:t xml:space="preserve">and </w:t>
      </w:r>
      <w:r w:rsidR="00AD4F9B" w:rsidRPr="00E9174E">
        <w:rPr>
          <w:sz w:val="26"/>
          <w:szCs w:val="26"/>
        </w:rPr>
        <w:t>that capital committed to jurisdictional utilities would be provided a fair</w:t>
      </w:r>
      <w:r w:rsidR="00F84B0D" w:rsidRPr="00E9174E">
        <w:rPr>
          <w:sz w:val="26"/>
          <w:szCs w:val="26"/>
        </w:rPr>
        <w:t xml:space="preserve"> opportunity to earn a reasonable return, thereby making it difficult to obtain capital on reasonable terms. </w:t>
      </w:r>
      <w:r w:rsidR="0081691D" w:rsidRPr="00E9174E">
        <w:rPr>
          <w:sz w:val="26"/>
          <w:szCs w:val="26"/>
        </w:rPr>
        <w:t xml:space="preserve"> </w:t>
      </w:r>
      <w:r w:rsidR="00615AF7" w:rsidRPr="00E9174E">
        <w:rPr>
          <w:sz w:val="26"/>
          <w:szCs w:val="26"/>
        </w:rPr>
        <w:t>CG</w:t>
      </w:r>
      <w:r w:rsidR="00F84B0D" w:rsidRPr="00E9174E">
        <w:rPr>
          <w:sz w:val="26"/>
          <w:szCs w:val="26"/>
        </w:rPr>
        <w:t xml:space="preserve"> Exc. at 4-5 (citing </w:t>
      </w:r>
      <w:r w:rsidR="004C5D69" w:rsidRPr="00E9174E">
        <w:rPr>
          <w:sz w:val="26"/>
          <w:szCs w:val="26"/>
        </w:rPr>
        <w:t>CG St.</w:t>
      </w:r>
      <w:r w:rsidR="00F84B0D" w:rsidRPr="00E9174E">
        <w:rPr>
          <w:sz w:val="26"/>
          <w:szCs w:val="26"/>
        </w:rPr>
        <w:t xml:space="preserve"> 16-R at</w:t>
      </w:r>
      <w:r w:rsidR="004A6B9F">
        <w:rPr>
          <w:sz w:val="26"/>
          <w:szCs w:val="26"/>
        </w:rPr>
        <w:t> </w:t>
      </w:r>
      <w:r w:rsidR="00F84B0D" w:rsidRPr="00E9174E">
        <w:rPr>
          <w:sz w:val="26"/>
          <w:szCs w:val="26"/>
        </w:rPr>
        <w:t xml:space="preserve">16-17; </w:t>
      </w:r>
      <w:r w:rsidR="004C5D69" w:rsidRPr="00E9174E">
        <w:rPr>
          <w:sz w:val="26"/>
          <w:szCs w:val="26"/>
        </w:rPr>
        <w:t>CG M.B.</w:t>
      </w:r>
      <w:r w:rsidR="00F84B0D" w:rsidRPr="00E9174E">
        <w:rPr>
          <w:sz w:val="26"/>
          <w:szCs w:val="26"/>
        </w:rPr>
        <w:t xml:space="preserve"> at 20-21).</w:t>
      </w:r>
    </w:p>
    <w:p w14:paraId="2D520CB9" w14:textId="44CBD16B" w:rsidR="003564F3" w:rsidRPr="00E9174E" w:rsidRDefault="003564F3" w:rsidP="00E9174E">
      <w:pPr>
        <w:pStyle w:val="BodyText2"/>
        <w:widowControl/>
        <w:spacing w:after="0" w:line="360" w:lineRule="auto"/>
        <w:ind w:firstLine="1440"/>
        <w:contextualSpacing/>
        <w:rPr>
          <w:sz w:val="26"/>
          <w:szCs w:val="26"/>
        </w:rPr>
      </w:pPr>
    </w:p>
    <w:p w14:paraId="1E4CA388" w14:textId="2D4460AA" w:rsidR="00565A04" w:rsidRPr="00E9174E" w:rsidRDefault="00565A04" w:rsidP="00E9174E">
      <w:pPr>
        <w:pStyle w:val="BodyText2"/>
        <w:widowControl/>
        <w:spacing w:after="0" w:line="360" w:lineRule="auto"/>
        <w:ind w:firstLine="1440"/>
        <w:contextualSpacing/>
        <w:rPr>
          <w:sz w:val="26"/>
          <w:szCs w:val="26"/>
        </w:rPr>
      </w:pPr>
      <w:r w:rsidRPr="00E9174E">
        <w:rPr>
          <w:sz w:val="26"/>
          <w:szCs w:val="26"/>
        </w:rPr>
        <w:t>Columbia submits that the R</w:t>
      </w:r>
      <w:r w:rsidR="00524DE4" w:rsidRPr="00E9174E">
        <w:rPr>
          <w:sz w:val="26"/>
          <w:szCs w:val="26"/>
        </w:rPr>
        <w:t xml:space="preserve">ecommended </w:t>
      </w:r>
      <w:r w:rsidRPr="00E9174E">
        <w:rPr>
          <w:sz w:val="26"/>
          <w:szCs w:val="26"/>
        </w:rPr>
        <w:t>D</w:t>
      </w:r>
      <w:r w:rsidR="00524DE4" w:rsidRPr="00E9174E">
        <w:rPr>
          <w:sz w:val="26"/>
          <w:szCs w:val="26"/>
        </w:rPr>
        <w:t>ecision</w:t>
      </w:r>
      <w:r w:rsidRPr="00E9174E">
        <w:rPr>
          <w:sz w:val="26"/>
          <w:szCs w:val="26"/>
        </w:rPr>
        <w:t xml:space="preserve">’s citation to </w:t>
      </w:r>
      <w:r w:rsidRPr="00E9174E">
        <w:rPr>
          <w:i/>
          <w:sz w:val="26"/>
          <w:szCs w:val="26"/>
        </w:rPr>
        <w:t>P</w:t>
      </w:r>
      <w:bookmarkStart w:id="41" w:name="_BA_Cite_EAF4C8_000962"/>
      <w:bookmarkEnd w:id="41"/>
      <w:r w:rsidRPr="00E9174E">
        <w:rPr>
          <w:i/>
          <w:sz w:val="26"/>
          <w:szCs w:val="26"/>
        </w:rPr>
        <w:t>opowsky</w:t>
      </w:r>
      <w:r w:rsidR="004A6B9F">
        <w:rPr>
          <w:i/>
          <w:sz w:val="26"/>
          <w:szCs w:val="26"/>
        </w:rPr>
        <w:t> </w:t>
      </w:r>
      <w:r w:rsidR="00DA66BC" w:rsidRPr="00E9174E">
        <w:rPr>
          <w:i/>
          <w:sz w:val="26"/>
          <w:szCs w:val="26"/>
        </w:rPr>
        <w:t>I</w:t>
      </w:r>
      <w:r w:rsidRPr="00E9174E">
        <w:rPr>
          <w:sz w:val="26"/>
          <w:szCs w:val="26"/>
        </w:rPr>
        <w:t xml:space="preserve"> does not provide the Commission complete discretion </w:t>
      </w:r>
      <w:r w:rsidR="00F00C54" w:rsidRPr="00E9174E">
        <w:rPr>
          <w:sz w:val="26"/>
          <w:szCs w:val="26"/>
        </w:rPr>
        <w:t xml:space="preserve">to </w:t>
      </w:r>
      <w:r w:rsidR="003744CE" w:rsidRPr="00E9174E">
        <w:rPr>
          <w:sz w:val="26"/>
          <w:szCs w:val="26"/>
        </w:rPr>
        <w:t>forego an analysis of the Company’s requested rate relief</w:t>
      </w:r>
      <w:r w:rsidR="00F00C54" w:rsidRPr="00E9174E">
        <w:rPr>
          <w:sz w:val="26"/>
          <w:szCs w:val="26"/>
        </w:rPr>
        <w:t>, as the R</w:t>
      </w:r>
      <w:r w:rsidR="00524DE4" w:rsidRPr="00E9174E">
        <w:rPr>
          <w:sz w:val="26"/>
          <w:szCs w:val="26"/>
        </w:rPr>
        <w:t xml:space="preserve">ecommended </w:t>
      </w:r>
      <w:r w:rsidR="00F00C54" w:rsidRPr="00E9174E">
        <w:rPr>
          <w:sz w:val="26"/>
          <w:szCs w:val="26"/>
        </w:rPr>
        <w:t>D</w:t>
      </w:r>
      <w:r w:rsidR="00524DE4" w:rsidRPr="00E9174E">
        <w:rPr>
          <w:sz w:val="26"/>
          <w:szCs w:val="26"/>
        </w:rPr>
        <w:t>ecision</w:t>
      </w:r>
      <w:r w:rsidR="00F00C54" w:rsidRPr="00E9174E">
        <w:rPr>
          <w:sz w:val="26"/>
          <w:szCs w:val="26"/>
        </w:rPr>
        <w:t xml:space="preserve"> suggests</w:t>
      </w:r>
      <w:r w:rsidRPr="00E9174E">
        <w:rPr>
          <w:sz w:val="26"/>
          <w:szCs w:val="26"/>
        </w:rPr>
        <w:t>.</w:t>
      </w:r>
      <w:r w:rsidR="000617F1" w:rsidRPr="00E9174E">
        <w:rPr>
          <w:sz w:val="26"/>
          <w:szCs w:val="26"/>
        </w:rPr>
        <w:t xml:space="preserve"> </w:t>
      </w:r>
      <w:r w:rsidR="006B336E" w:rsidRPr="00E9174E">
        <w:rPr>
          <w:sz w:val="26"/>
          <w:szCs w:val="26"/>
        </w:rPr>
        <w:t xml:space="preserve"> </w:t>
      </w:r>
      <w:r w:rsidR="000617F1" w:rsidRPr="00E9174E">
        <w:rPr>
          <w:sz w:val="26"/>
          <w:szCs w:val="26"/>
        </w:rPr>
        <w:t>C</w:t>
      </w:r>
      <w:r w:rsidR="00524DE4" w:rsidRPr="00E9174E">
        <w:rPr>
          <w:sz w:val="26"/>
          <w:szCs w:val="26"/>
        </w:rPr>
        <w:t>G</w:t>
      </w:r>
      <w:r w:rsidR="000617F1" w:rsidRPr="00E9174E">
        <w:rPr>
          <w:sz w:val="26"/>
          <w:szCs w:val="26"/>
        </w:rPr>
        <w:t xml:space="preserve"> Exc. at 5, n. 7 (citing</w:t>
      </w:r>
      <w:r w:rsidRPr="00E9174E">
        <w:rPr>
          <w:sz w:val="26"/>
          <w:szCs w:val="26"/>
        </w:rPr>
        <w:t xml:space="preserve"> R.D. at. 48-50</w:t>
      </w:r>
      <w:r w:rsidR="000617F1" w:rsidRPr="00E9174E">
        <w:rPr>
          <w:sz w:val="26"/>
          <w:szCs w:val="26"/>
        </w:rPr>
        <w:t>)</w:t>
      </w:r>
      <w:r w:rsidRPr="00E9174E">
        <w:rPr>
          <w:sz w:val="26"/>
          <w:szCs w:val="26"/>
        </w:rPr>
        <w:t xml:space="preserve">.  </w:t>
      </w:r>
      <w:r w:rsidR="00706D9A" w:rsidRPr="00E9174E">
        <w:rPr>
          <w:sz w:val="26"/>
          <w:szCs w:val="26"/>
        </w:rPr>
        <w:t xml:space="preserve">Rather, </w:t>
      </w:r>
      <w:r w:rsidR="003744CE" w:rsidRPr="00E9174E">
        <w:rPr>
          <w:sz w:val="26"/>
          <w:szCs w:val="26"/>
        </w:rPr>
        <w:t xml:space="preserve">Columbia argues that </w:t>
      </w:r>
      <w:r w:rsidR="003744CE" w:rsidRPr="00E9174E">
        <w:rPr>
          <w:i/>
          <w:iCs/>
          <w:sz w:val="26"/>
          <w:szCs w:val="26"/>
        </w:rPr>
        <w:t>Popowsky</w:t>
      </w:r>
      <w:r w:rsidR="00DA66BC" w:rsidRPr="00E9174E">
        <w:rPr>
          <w:i/>
          <w:iCs/>
          <w:sz w:val="26"/>
          <w:szCs w:val="26"/>
        </w:rPr>
        <w:t xml:space="preserve"> I</w:t>
      </w:r>
      <w:r w:rsidR="003744CE" w:rsidRPr="00E9174E">
        <w:rPr>
          <w:sz w:val="26"/>
          <w:szCs w:val="26"/>
        </w:rPr>
        <w:t xml:space="preserve"> </w:t>
      </w:r>
      <w:r w:rsidRPr="00E9174E">
        <w:rPr>
          <w:sz w:val="26"/>
          <w:szCs w:val="26"/>
        </w:rPr>
        <w:t xml:space="preserve">requires </w:t>
      </w:r>
      <w:r w:rsidRPr="00E9174E">
        <w:rPr>
          <w:sz w:val="26"/>
          <w:szCs w:val="26"/>
        </w:rPr>
        <w:lastRenderedPageBreak/>
        <w:t xml:space="preserve">both a conclusion based on evidence that rates are not confiscatory and still requires a balancing of the interests of the utility and customers in obtaining both safe and reliable service and reasonable rates.  </w:t>
      </w:r>
      <w:r w:rsidR="003744CE" w:rsidRPr="00E9174E">
        <w:rPr>
          <w:sz w:val="26"/>
          <w:szCs w:val="26"/>
        </w:rPr>
        <w:t>C</w:t>
      </w:r>
      <w:r w:rsidR="00524DE4" w:rsidRPr="00E9174E">
        <w:rPr>
          <w:sz w:val="26"/>
          <w:szCs w:val="26"/>
        </w:rPr>
        <w:t>G</w:t>
      </w:r>
      <w:r w:rsidR="003744CE" w:rsidRPr="00E9174E">
        <w:rPr>
          <w:sz w:val="26"/>
          <w:szCs w:val="26"/>
        </w:rPr>
        <w:t xml:space="preserve"> Exc. at 5, n. 7.  Further, Columbia submits that </w:t>
      </w:r>
      <w:r w:rsidR="003744CE" w:rsidRPr="00E9174E">
        <w:rPr>
          <w:i/>
          <w:iCs/>
          <w:sz w:val="26"/>
          <w:szCs w:val="26"/>
        </w:rPr>
        <w:t>Popowsky</w:t>
      </w:r>
      <w:r w:rsidR="00B02B52" w:rsidRPr="00E9174E">
        <w:rPr>
          <w:i/>
          <w:iCs/>
          <w:sz w:val="26"/>
          <w:szCs w:val="26"/>
        </w:rPr>
        <w:t xml:space="preserve"> I</w:t>
      </w:r>
      <w:r w:rsidRPr="00E9174E">
        <w:rPr>
          <w:sz w:val="26"/>
          <w:szCs w:val="26"/>
        </w:rPr>
        <w:t xml:space="preserve"> recognizes that constitutional protections are applicable to both the utility and its customers. </w:t>
      </w:r>
      <w:r w:rsidR="00524DE4" w:rsidRPr="00E9174E">
        <w:rPr>
          <w:sz w:val="26"/>
          <w:szCs w:val="26"/>
        </w:rPr>
        <w:t xml:space="preserve"> </w:t>
      </w:r>
      <w:r w:rsidR="003564F3" w:rsidRPr="00E9174E">
        <w:rPr>
          <w:sz w:val="26"/>
          <w:szCs w:val="26"/>
        </w:rPr>
        <w:t>C</w:t>
      </w:r>
      <w:r w:rsidR="00524DE4" w:rsidRPr="00E9174E">
        <w:rPr>
          <w:sz w:val="26"/>
          <w:szCs w:val="26"/>
        </w:rPr>
        <w:t>G</w:t>
      </w:r>
      <w:r w:rsidR="003564F3" w:rsidRPr="00E9174E">
        <w:rPr>
          <w:sz w:val="26"/>
          <w:szCs w:val="26"/>
        </w:rPr>
        <w:t xml:space="preserve"> Exc. at 5, n. 7. </w:t>
      </w:r>
      <w:r w:rsidR="00524DE4" w:rsidRPr="00E9174E">
        <w:rPr>
          <w:sz w:val="26"/>
          <w:szCs w:val="26"/>
        </w:rPr>
        <w:t xml:space="preserve"> </w:t>
      </w:r>
      <w:r w:rsidRPr="00E9174E">
        <w:rPr>
          <w:sz w:val="26"/>
          <w:szCs w:val="26"/>
        </w:rPr>
        <w:t>As explained by the United States Supreme Court:</w:t>
      </w:r>
    </w:p>
    <w:p w14:paraId="3CBC2600" w14:textId="77777777" w:rsidR="003564F3" w:rsidRPr="00E9174E" w:rsidRDefault="003564F3" w:rsidP="004A6B9F">
      <w:pPr>
        <w:pStyle w:val="BodyText2"/>
        <w:widowControl/>
        <w:spacing w:after="0" w:line="240" w:lineRule="auto"/>
        <w:ind w:firstLine="1440"/>
        <w:contextualSpacing/>
        <w:rPr>
          <w:sz w:val="26"/>
          <w:szCs w:val="26"/>
        </w:rPr>
      </w:pPr>
    </w:p>
    <w:p w14:paraId="7D2A4D01" w14:textId="14C73F1F" w:rsidR="00565A04" w:rsidRPr="00E9174E" w:rsidRDefault="00565A04" w:rsidP="00E9174E">
      <w:pPr>
        <w:pStyle w:val="CommentText"/>
        <w:widowControl/>
        <w:ind w:left="1440" w:right="1440"/>
        <w:contextualSpacing/>
        <w:rPr>
          <w:sz w:val="26"/>
          <w:szCs w:val="26"/>
        </w:rPr>
      </w:pPr>
      <w:r w:rsidRPr="00E9174E">
        <w:rPr>
          <w:sz w:val="26"/>
          <w:szCs w:val="26"/>
        </w:rPr>
        <w:t xml:space="preserve">a State’s decision to arbitrarily switch back and forth between methodologies in a way which required investors to bear the risk of bad investments at </w:t>
      </w:r>
      <w:proofErr w:type="gramStart"/>
      <w:r w:rsidRPr="00E9174E">
        <w:rPr>
          <w:sz w:val="26"/>
          <w:szCs w:val="26"/>
        </w:rPr>
        <w:t>some times</w:t>
      </w:r>
      <w:proofErr w:type="gramEnd"/>
      <w:r w:rsidRPr="00E9174E">
        <w:rPr>
          <w:sz w:val="26"/>
          <w:szCs w:val="26"/>
        </w:rPr>
        <w:t xml:space="preserve"> while denying them the benefit of good investments at others would raise serious constitutional questions.</w:t>
      </w:r>
    </w:p>
    <w:p w14:paraId="0E40BE4B" w14:textId="77777777" w:rsidR="0005058B" w:rsidRPr="00E9174E" w:rsidRDefault="0005058B" w:rsidP="00E9174E">
      <w:pPr>
        <w:pStyle w:val="BodyText2"/>
        <w:widowControl/>
        <w:spacing w:after="0" w:line="360" w:lineRule="auto"/>
        <w:contextualSpacing/>
        <w:rPr>
          <w:i/>
          <w:sz w:val="26"/>
          <w:szCs w:val="26"/>
        </w:rPr>
      </w:pPr>
    </w:p>
    <w:p w14:paraId="0929A932" w14:textId="3ACD3CA3" w:rsidR="00565A04" w:rsidRPr="00E9174E" w:rsidRDefault="00565A04" w:rsidP="00E9174E">
      <w:pPr>
        <w:pStyle w:val="BodyText2"/>
        <w:widowControl/>
        <w:spacing w:after="0" w:line="360" w:lineRule="auto"/>
        <w:contextualSpacing/>
        <w:rPr>
          <w:sz w:val="26"/>
          <w:szCs w:val="26"/>
        </w:rPr>
      </w:pPr>
      <w:r w:rsidRPr="00E9174E">
        <w:rPr>
          <w:i/>
          <w:sz w:val="26"/>
          <w:szCs w:val="26"/>
        </w:rPr>
        <w:t>D</w:t>
      </w:r>
      <w:bookmarkStart w:id="42" w:name="_BA_Cite_EAF4C8_000964"/>
      <w:bookmarkEnd w:id="42"/>
      <w:r w:rsidRPr="00E9174E">
        <w:rPr>
          <w:i/>
          <w:sz w:val="26"/>
          <w:szCs w:val="26"/>
        </w:rPr>
        <w:t xml:space="preserve">uquesne Light Co. v. </w:t>
      </w:r>
      <w:proofErr w:type="spellStart"/>
      <w:r w:rsidRPr="00E9174E">
        <w:rPr>
          <w:i/>
          <w:sz w:val="26"/>
          <w:szCs w:val="26"/>
        </w:rPr>
        <w:t>Barasch</w:t>
      </w:r>
      <w:proofErr w:type="spellEnd"/>
      <w:r w:rsidRPr="00E9174E">
        <w:rPr>
          <w:sz w:val="26"/>
          <w:szCs w:val="26"/>
        </w:rPr>
        <w:t>, 488 U.S. 299, 315 (1989).</w:t>
      </w:r>
      <w:r w:rsidR="0081062B" w:rsidRPr="00E9174E">
        <w:rPr>
          <w:sz w:val="26"/>
          <w:szCs w:val="26"/>
        </w:rPr>
        <w:t xml:space="preserve"> </w:t>
      </w:r>
      <w:r w:rsidR="003564F3" w:rsidRPr="00E9174E">
        <w:rPr>
          <w:sz w:val="26"/>
          <w:szCs w:val="26"/>
        </w:rPr>
        <w:t>C</w:t>
      </w:r>
      <w:r w:rsidR="0039025C" w:rsidRPr="00E9174E">
        <w:rPr>
          <w:sz w:val="26"/>
          <w:szCs w:val="26"/>
        </w:rPr>
        <w:t>G</w:t>
      </w:r>
      <w:r w:rsidR="003564F3" w:rsidRPr="00E9174E">
        <w:rPr>
          <w:sz w:val="26"/>
          <w:szCs w:val="26"/>
        </w:rPr>
        <w:t xml:space="preserve"> Exc. at 5, n. 7.</w:t>
      </w:r>
    </w:p>
    <w:p w14:paraId="61404231" w14:textId="40670E37" w:rsidR="00751572" w:rsidRPr="00E9174E" w:rsidRDefault="00751572" w:rsidP="00E9174E">
      <w:pPr>
        <w:pStyle w:val="BodyText2"/>
        <w:widowControl/>
        <w:spacing w:after="0" w:line="360" w:lineRule="auto"/>
        <w:contextualSpacing/>
        <w:rPr>
          <w:sz w:val="26"/>
          <w:szCs w:val="26"/>
        </w:rPr>
      </w:pPr>
    </w:p>
    <w:p w14:paraId="4A16998D" w14:textId="5A83EDE1" w:rsidR="003C4FF0" w:rsidRPr="00E9174E" w:rsidRDefault="00336433" w:rsidP="00E9174E">
      <w:pPr>
        <w:pStyle w:val="BodyText2"/>
        <w:widowControl/>
        <w:spacing w:after="0" w:line="360" w:lineRule="auto"/>
        <w:ind w:firstLine="1440"/>
        <w:contextualSpacing/>
        <w:rPr>
          <w:sz w:val="26"/>
          <w:szCs w:val="26"/>
        </w:rPr>
      </w:pPr>
      <w:r w:rsidRPr="00E9174E">
        <w:rPr>
          <w:sz w:val="26"/>
          <w:szCs w:val="26"/>
        </w:rPr>
        <w:t xml:space="preserve">Moreover, Columbia submits that the </w:t>
      </w:r>
      <w:bookmarkStart w:id="43" w:name="_Hlk62740404"/>
      <w:r w:rsidR="0001316D" w:rsidRPr="00E9174E">
        <w:rPr>
          <w:sz w:val="26"/>
          <w:szCs w:val="26"/>
        </w:rPr>
        <w:t>Recommended Decision</w:t>
      </w:r>
      <w:bookmarkEnd w:id="43"/>
      <w:r w:rsidR="0001316D" w:rsidRPr="00E9174E">
        <w:rPr>
          <w:sz w:val="26"/>
          <w:szCs w:val="26"/>
        </w:rPr>
        <w:t>’s</w:t>
      </w:r>
      <w:r w:rsidRPr="00E9174E">
        <w:rPr>
          <w:sz w:val="26"/>
          <w:szCs w:val="26"/>
        </w:rPr>
        <w:t xml:space="preserve"> </w:t>
      </w:r>
      <w:r w:rsidR="00667753" w:rsidRPr="00E9174E">
        <w:rPr>
          <w:sz w:val="26"/>
          <w:szCs w:val="26"/>
        </w:rPr>
        <w:t xml:space="preserve">conclusion to summarily deny its rate relief request is </w:t>
      </w:r>
      <w:r w:rsidRPr="00E9174E">
        <w:rPr>
          <w:sz w:val="26"/>
          <w:szCs w:val="26"/>
        </w:rPr>
        <w:t>in error because</w:t>
      </w:r>
      <w:r w:rsidR="00667753" w:rsidRPr="00E9174E">
        <w:rPr>
          <w:sz w:val="26"/>
          <w:szCs w:val="26"/>
        </w:rPr>
        <w:t xml:space="preserve"> it is</w:t>
      </w:r>
      <w:r w:rsidRPr="00E9174E">
        <w:rPr>
          <w:sz w:val="26"/>
          <w:szCs w:val="26"/>
        </w:rPr>
        <w:t xml:space="preserve"> not supported by substantial evidence.</w:t>
      </w:r>
      <w:r w:rsidR="00465D03" w:rsidRPr="00E9174E">
        <w:rPr>
          <w:sz w:val="26"/>
          <w:szCs w:val="26"/>
        </w:rPr>
        <w:t xml:space="preserve"> </w:t>
      </w:r>
      <w:r w:rsidR="003A29A0" w:rsidRPr="00E9174E">
        <w:rPr>
          <w:sz w:val="26"/>
          <w:szCs w:val="26"/>
        </w:rPr>
        <w:t xml:space="preserve"> Columbia acknowledges that t</w:t>
      </w:r>
      <w:r w:rsidR="004F3235" w:rsidRPr="00E9174E">
        <w:rPr>
          <w:sz w:val="26"/>
          <w:szCs w:val="26"/>
        </w:rPr>
        <w:t xml:space="preserve">he </w:t>
      </w:r>
      <w:r w:rsidR="0001316D" w:rsidRPr="00E9174E">
        <w:rPr>
          <w:sz w:val="26"/>
          <w:szCs w:val="26"/>
        </w:rPr>
        <w:t>Recommended Decision</w:t>
      </w:r>
      <w:r w:rsidR="002B1DE5" w:rsidRPr="00E9174E">
        <w:rPr>
          <w:sz w:val="26"/>
          <w:szCs w:val="26"/>
        </w:rPr>
        <w:t xml:space="preserve"> </w:t>
      </w:r>
      <w:r w:rsidR="004F3235" w:rsidRPr="00E9174E">
        <w:rPr>
          <w:sz w:val="26"/>
          <w:szCs w:val="26"/>
        </w:rPr>
        <w:t>cites unemployment rates of 8.8% to 19.2% of the working population in Columbia’s service area</w:t>
      </w:r>
      <w:r w:rsidR="00E11D6D" w:rsidRPr="00E9174E">
        <w:rPr>
          <w:sz w:val="26"/>
          <w:szCs w:val="26"/>
        </w:rPr>
        <w:t xml:space="preserve"> to justify summarily denying its rate relief</w:t>
      </w:r>
      <w:r w:rsidR="001E33DB" w:rsidRPr="00E9174E">
        <w:rPr>
          <w:sz w:val="26"/>
          <w:szCs w:val="26"/>
        </w:rPr>
        <w:t xml:space="preserve">.  </w:t>
      </w:r>
      <w:r w:rsidR="00615AF7" w:rsidRPr="00E9174E">
        <w:rPr>
          <w:sz w:val="26"/>
          <w:szCs w:val="26"/>
        </w:rPr>
        <w:t>CG</w:t>
      </w:r>
      <w:r w:rsidR="001E33DB" w:rsidRPr="00E9174E">
        <w:rPr>
          <w:sz w:val="26"/>
          <w:szCs w:val="26"/>
        </w:rPr>
        <w:t xml:space="preserve"> Exc. at 5 (citing R.D. at 48).  However,</w:t>
      </w:r>
      <w:r w:rsidR="004F3235" w:rsidRPr="00E9174E">
        <w:rPr>
          <w:sz w:val="26"/>
          <w:szCs w:val="26"/>
        </w:rPr>
        <w:t xml:space="preserve"> Columbia submits that th</w:t>
      </w:r>
      <w:r w:rsidR="00E11D6D" w:rsidRPr="00E9174E">
        <w:rPr>
          <w:sz w:val="26"/>
          <w:szCs w:val="26"/>
        </w:rPr>
        <w:t xml:space="preserve">ese unemployment rates </w:t>
      </w:r>
      <w:r w:rsidR="004F3235" w:rsidRPr="00E9174E">
        <w:rPr>
          <w:sz w:val="26"/>
          <w:szCs w:val="26"/>
        </w:rPr>
        <w:t>leave a large majority of customers who continue to be employed and remain capable of paying utility bills</w:t>
      </w:r>
      <w:r w:rsidR="005173D9" w:rsidRPr="00E9174E">
        <w:rPr>
          <w:sz w:val="26"/>
          <w:szCs w:val="26"/>
        </w:rPr>
        <w:t xml:space="preserve">, which the </w:t>
      </w:r>
      <w:r w:rsidR="0001316D" w:rsidRPr="00E9174E">
        <w:rPr>
          <w:sz w:val="26"/>
          <w:szCs w:val="26"/>
        </w:rPr>
        <w:t>Recommended Decision</w:t>
      </w:r>
      <w:r w:rsidR="00307D23" w:rsidRPr="00E9174E">
        <w:rPr>
          <w:sz w:val="26"/>
          <w:szCs w:val="26"/>
        </w:rPr>
        <w:t xml:space="preserve"> </w:t>
      </w:r>
      <w:r w:rsidR="005173D9" w:rsidRPr="00E9174E">
        <w:rPr>
          <w:sz w:val="26"/>
          <w:szCs w:val="26"/>
        </w:rPr>
        <w:t>did not address</w:t>
      </w:r>
      <w:r w:rsidR="004F3235" w:rsidRPr="00E9174E">
        <w:rPr>
          <w:sz w:val="26"/>
          <w:szCs w:val="26"/>
        </w:rPr>
        <w:t xml:space="preserve">. </w:t>
      </w:r>
      <w:r w:rsidR="0001316D" w:rsidRPr="00E9174E">
        <w:rPr>
          <w:sz w:val="26"/>
          <w:szCs w:val="26"/>
        </w:rPr>
        <w:t xml:space="preserve"> </w:t>
      </w:r>
      <w:r w:rsidR="00615AF7" w:rsidRPr="00E9174E">
        <w:rPr>
          <w:sz w:val="26"/>
          <w:szCs w:val="26"/>
        </w:rPr>
        <w:t>CG</w:t>
      </w:r>
      <w:r w:rsidR="004F3235" w:rsidRPr="00E9174E">
        <w:rPr>
          <w:sz w:val="26"/>
          <w:szCs w:val="26"/>
        </w:rPr>
        <w:t xml:space="preserve"> Exc. at 5.  In addition, </w:t>
      </w:r>
      <w:r w:rsidR="003C4FF0" w:rsidRPr="00E9174E">
        <w:rPr>
          <w:sz w:val="26"/>
          <w:szCs w:val="26"/>
        </w:rPr>
        <w:t>Columbia submits that</w:t>
      </w:r>
      <w:r w:rsidR="001E33DB" w:rsidRPr="00E9174E">
        <w:rPr>
          <w:sz w:val="26"/>
          <w:szCs w:val="26"/>
        </w:rPr>
        <w:t xml:space="preserve"> </w:t>
      </w:r>
      <w:r w:rsidR="00F5460F" w:rsidRPr="00E9174E">
        <w:rPr>
          <w:sz w:val="26"/>
          <w:szCs w:val="26"/>
        </w:rPr>
        <w:t>most</w:t>
      </w:r>
      <w:r w:rsidR="003C4FF0" w:rsidRPr="00E9174E">
        <w:rPr>
          <w:sz w:val="26"/>
          <w:szCs w:val="26"/>
        </w:rPr>
        <w:t xml:space="preserve"> </w:t>
      </w:r>
      <w:r w:rsidR="004F3235" w:rsidRPr="00E9174E">
        <w:rPr>
          <w:sz w:val="26"/>
          <w:szCs w:val="26"/>
        </w:rPr>
        <w:t xml:space="preserve">customers who have lost their jobs have received government support and may receive more support from the government, as well as assistance from </w:t>
      </w:r>
      <w:r w:rsidR="003C4FF0" w:rsidRPr="00E9174E">
        <w:rPr>
          <w:sz w:val="26"/>
          <w:szCs w:val="26"/>
        </w:rPr>
        <w:t>the Company itself</w:t>
      </w:r>
      <w:r w:rsidR="009D5E94" w:rsidRPr="00E9174E">
        <w:rPr>
          <w:sz w:val="26"/>
          <w:szCs w:val="26"/>
        </w:rPr>
        <w:t>, based on the assistance programs Columbia is providing to customers</w:t>
      </w:r>
      <w:r w:rsidR="008E516A" w:rsidRPr="00E9174E">
        <w:rPr>
          <w:sz w:val="26"/>
          <w:szCs w:val="26"/>
        </w:rPr>
        <w:t xml:space="preserve"> </w:t>
      </w:r>
      <w:r w:rsidR="009D5E94" w:rsidRPr="00E9174E">
        <w:rPr>
          <w:sz w:val="26"/>
          <w:szCs w:val="26"/>
        </w:rPr>
        <w:lastRenderedPageBreak/>
        <w:t>experiencing financial hardship due to COVID-19</w:t>
      </w:r>
      <w:r w:rsidR="001A5304" w:rsidRPr="00E9174E">
        <w:rPr>
          <w:sz w:val="26"/>
          <w:szCs w:val="26"/>
        </w:rPr>
        <w:t>, including CAP.</w:t>
      </w:r>
      <w:r w:rsidR="001A5304" w:rsidRPr="00E9174E">
        <w:rPr>
          <w:rStyle w:val="FootnoteReference"/>
          <w:sz w:val="26"/>
          <w:szCs w:val="26"/>
        </w:rPr>
        <w:footnoteReference w:id="10"/>
      </w:r>
      <w:r w:rsidR="001A5304" w:rsidRPr="00E9174E">
        <w:rPr>
          <w:sz w:val="26"/>
          <w:szCs w:val="26"/>
        </w:rPr>
        <w:t xml:space="preserve">  </w:t>
      </w:r>
      <w:r w:rsidR="00615AF7" w:rsidRPr="00E9174E">
        <w:rPr>
          <w:sz w:val="26"/>
          <w:szCs w:val="26"/>
        </w:rPr>
        <w:t>CG</w:t>
      </w:r>
      <w:r w:rsidR="00F702D1" w:rsidRPr="00E9174E">
        <w:rPr>
          <w:sz w:val="26"/>
          <w:szCs w:val="26"/>
        </w:rPr>
        <w:t xml:space="preserve"> Exc. at </w:t>
      </w:r>
      <w:r w:rsidR="00315489" w:rsidRPr="00E9174E">
        <w:rPr>
          <w:sz w:val="26"/>
          <w:szCs w:val="26"/>
        </w:rPr>
        <w:t xml:space="preserve">6 (citing </w:t>
      </w:r>
      <w:r w:rsidR="004C5D69" w:rsidRPr="00E9174E">
        <w:rPr>
          <w:sz w:val="26"/>
          <w:szCs w:val="26"/>
        </w:rPr>
        <w:t>CG M.B.</w:t>
      </w:r>
      <w:r w:rsidR="00315489" w:rsidRPr="00E9174E">
        <w:rPr>
          <w:sz w:val="26"/>
          <w:szCs w:val="26"/>
        </w:rPr>
        <w:t xml:space="preserve"> at</w:t>
      </w:r>
      <w:r w:rsidR="004F3235" w:rsidRPr="00E9174E">
        <w:rPr>
          <w:sz w:val="26"/>
          <w:szCs w:val="26"/>
        </w:rPr>
        <w:t xml:space="preserve"> 25-30</w:t>
      </w:r>
      <w:r w:rsidR="00315489" w:rsidRPr="00E9174E">
        <w:rPr>
          <w:sz w:val="26"/>
          <w:szCs w:val="26"/>
        </w:rPr>
        <w:t>)</w:t>
      </w:r>
      <w:r w:rsidR="004F3235" w:rsidRPr="00E9174E">
        <w:rPr>
          <w:sz w:val="26"/>
          <w:szCs w:val="26"/>
        </w:rPr>
        <w:t>.</w:t>
      </w:r>
      <w:r w:rsidR="00D63C61" w:rsidRPr="00E9174E">
        <w:rPr>
          <w:rStyle w:val="FootnoteReference"/>
          <w:sz w:val="26"/>
          <w:szCs w:val="26"/>
        </w:rPr>
        <w:footnoteReference w:id="11"/>
      </w:r>
      <w:r w:rsidR="007A1E7F" w:rsidRPr="00E9174E">
        <w:rPr>
          <w:sz w:val="26"/>
          <w:szCs w:val="26"/>
        </w:rPr>
        <w:t xml:space="preserve">  </w:t>
      </w:r>
    </w:p>
    <w:p w14:paraId="01571EC4" w14:textId="77777777" w:rsidR="003C4FF0" w:rsidRPr="00E9174E" w:rsidRDefault="003C4FF0" w:rsidP="00E9174E">
      <w:pPr>
        <w:pStyle w:val="BodyText2"/>
        <w:widowControl/>
        <w:spacing w:after="0" w:line="360" w:lineRule="auto"/>
        <w:ind w:firstLine="1440"/>
        <w:contextualSpacing/>
        <w:rPr>
          <w:sz w:val="26"/>
          <w:szCs w:val="26"/>
        </w:rPr>
      </w:pPr>
    </w:p>
    <w:p w14:paraId="47B8D5C1" w14:textId="485D8589" w:rsidR="00C655C2" w:rsidRPr="00E9174E" w:rsidRDefault="00DD1683" w:rsidP="00E9174E">
      <w:pPr>
        <w:pStyle w:val="BodyText2"/>
        <w:widowControl/>
        <w:spacing w:after="0" w:line="360" w:lineRule="auto"/>
        <w:ind w:firstLine="1440"/>
        <w:contextualSpacing/>
        <w:rPr>
          <w:sz w:val="26"/>
          <w:szCs w:val="26"/>
        </w:rPr>
      </w:pPr>
      <w:r w:rsidRPr="00E9174E">
        <w:rPr>
          <w:sz w:val="26"/>
          <w:szCs w:val="26"/>
        </w:rPr>
        <w:t>Furthermore, according to Columbia,</w:t>
      </w:r>
      <w:r w:rsidR="00BE29FD" w:rsidRPr="00E9174E">
        <w:rPr>
          <w:sz w:val="26"/>
          <w:szCs w:val="26"/>
        </w:rPr>
        <w:t xml:space="preserve"> </w:t>
      </w:r>
      <w:r w:rsidR="007331DD" w:rsidRPr="00E9174E">
        <w:rPr>
          <w:sz w:val="26"/>
          <w:szCs w:val="26"/>
        </w:rPr>
        <w:t xml:space="preserve">the </w:t>
      </w:r>
      <w:r w:rsidR="00036BE4" w:rsidRPr="00E9174E">
        <w:rPr>
          <w:sz w:val="26"/>
          <w:szCs w:val="26"/>
        </w:rPr>
        <w:t>Recommended Decision’s</w:t>
      </w:r>
      <w:r w:rsidR="00667753" w:rsidRPr="00E9174E">
        <w:rPr>
          <w:sz w:val="26"/>
          <w:szCs w:val="26"/>
        </w:rPr>
        <w:t xml:space="preserve"> conclusion to summarily deny its rate relief request is in error </w:t>
      </w:r>
      <w:r w:rsidR="00BE29FD" w:rsidRPr="00E9174E">
        <w:rPr>
          <w:sz w:val="26"/>
          <w:szCs w:val="26"/>
        </w:rPr>
        <w:t xml:space="preserve">because it </w:t>
      </w:r>
      <w:r w:rsidR="004E4E1D" w:rsidRPr="00E9174E">
        <w:rPr>
          <w:sz w:val="26"/>
          <w:szCs w:val="26"/>
        </w:rPr>
        <w:t xml:space="preserve">simply </w:t>
      </w:r>
      <w:r w:rsidR="00BE29FD" w:rsidRPr="00E9174E">
        <w:rPr>
          <w:sz w:val="26"/>
          <w:szCs w:val="26"/>
        </w:rPr>
        <w:t>disregard</w:t>
      </w:r>
      <w:r w:rsidR="007331DD" w:rsidRPr="00E9174E">
        <w:rPr>
          <w:sz w:val="26"/>
          <w:szCs w:val="26"/>
        </w:rPr>
        <w:t>s</w:t>
      </w:r>
      <w:r w:rsidR="002C390F" w:rsidRPr="00E9174E">
        <w:rPr>
          <w:sz w:val="26"/>
          <w:szCs w:val="26"/>
        </w:rPr>
        <w:t xml:space="preserve"> three pieces of</w:t>
      </w:r>
      <w:r w:rsidR="00BE29FD" w:rsidRPr="00E9174E">
        <w:rPr>
          <w:sz w:val="26"/>
          <w:szCs w:val="26"/>
        </w:rPr>
        <w:t xml:space="preserve"> substantial evidence </w:t>
      </w:r>
      <w:r w:rsidR="002C390F" w:rsidRPr="00E9174E">
        <w:rPr>
          <w:sz w:val="26"/>
          <w:szCs w:val="26"/>
        </w:rPr>
        <w:t>in this</w:t>
      </w:r>
      <w:r w:rsidR="00432971" w:rsidRPr="00E9174E">
        <w:rPr>
          <w:sz w:val="26"/>
          <w:szCs w:val="26"/>
        </w:rPr>
        <w:t xml:space="preserve"> record demonstrating that a revenue requirement increase is justified. </w:t>
      </w:r>
      <w:r w:rsidR="002C390F" w:rsidRPr="00E9174E">
        <w:rPr>
          <w:sz w:val="26"/>
          <w:szCs w:val="26"/>
        </w:rPr>
        <w:t xml:space="preserve"> F</w:t>
      </w:r>
      <w:r w:rsidR="0088300A" w:rsidRPr="00E9174E">
        <w:rPr>
          <w:sz w:val="26"/>
          <w:szCs w:val="26"/>
        </w:rPr>
        <w:t>irst</w:t>
      </w:r>
      <w:r w:rsidR="002C390F" w:rsidRPr="00E9174E">
        <w:rPr>
          <w:sz w:val="26"/>
          <w:szCs w:val="26"/>
        </w:rPr>
        <w:t>,</w:t>
      </w:r>
      <w:r w:rsidR="0088300A" w:rsidRPr="00E9174E">
        <w:rPr>
          <w:sz w:val="26"/>
          <w:szCs w:val="26"/>
        </w:rPr>
        <w:t xml:space="preserve"> t</w:t>
      </w:r>
      <w:r w:rsidR="000A4B51" w:rsidRPr="00E9174E">
        <w:rPr>
          <w:sz w:val="26"/>
          <w:szCs w:val="26"/>
        </w:rPr>
        <w:t xml:space="preserve">he </w:t>
      </w:r>
      <w:r w:rsidR="00036BE4" w:rsidRPr="00E9174E">
        <w:rPr>
          <w:sz w:val="26"/>
          <w:szCs w:val="26"/>
        </w:rPr>
        <w:t>Recommended Decision</w:t>
      </w:r>
      <w:r w:rsidR="00F77A21" w:rsidRPr="00E9174E">
        <w:rPr>
          <w:sz w:val="26"/>
          <w:szCs w:val="26"/>
        </w:rPr>
        <w:t xml:space="preserve"> </w:t>
      </w:r>
      <w:r w:rsidR="004E4E1D" w:rsidRPr="00E9174E">
        <w:rPr>
          <w:sz w:val="26"/>
          <w:szCs w:val="26"/>
        </w:rPr>
        <w:t>disregard</w:t>
      </w:r>
      <w:r w:rsidR="0073125D" w:rsidRPr="00E9174E">
        <w:rPr>
          <w:sz w:val="26"/>
          <w:szCs w:val="26"/>
        </w:rPr>
        <w:t>ed</w:t>
      </w:r>
      <w:r w:rsidR="004E4E1D" w:rsidRPr="00E9174E">
        <w:rPr>
          <w:sz w:val="26"/>
          <w:szCs w:val="26"/>
        </w:rPr>
        <w:t xml:space="preserve"> </w:t>
      </w:r>
      <w:r w:rsidR="00CD2D85" w:rsidRPr="00E9174E">
        <w:rPr>
          <w:sz w:val="26"/>
          <w:szCs w:val="26"/>
        </w:rPr>
        <w:t>th</w:t>
      </w:r>
      <w:r w:rsidR="006652C5" w:rsidRPr="00E9174E">
        <w:rPr>
          <w:sz w:val="26"/>
          <w:szCs w:val="26"/>
        </w:rPr>
        <w:t>e</w:t>
      </w:r>
      <w:r w:rsidR="00CD2D85" w:rsidRPr="00E9174E">
        <w:rPr>
          <w:sz w:val="26"/>
          <w:szCs w:val="26"/>
        </w:rPr>
        <w:t xml:space="preserve"> </w:t>
      </w:r>
      <w:r w:rsidR="005356E4" w:rsidRPr="00E9174E">
        <w:rPr>
          <w:sz w:val="26"/>
          <w:szCs w:val="26"/>
        </w:rPr>
        <w:t xml:space="preserve">market-based equity cost analyses </w:t>
      </w:r>
      <w:r w:rsidR="00CD2D85" w:rsidRPr="00E9174E">
        <w:rPr>
          <w:sz w:val="26"/>
          <w:szCs w:val="26"/>
        </w:rPr>
        <w:t>evidence presented by</w:t>
      </w:r>
      <w:r w:rsidR="00A53AA1" w:rsidRPr="00E9174E">
        <w:rPr>
          <w:sz w:val="26"/>
          <w:szCs w:val="26"/>
        </w:rPr>
        <w:t xml:space="preserve"> three </w:t>
      </w:r>
      <w:r w:rsidR="005356E4" w:rsidRPr="00E9174E">
        <w:rPr>
          <w:sz w:val="26"/>
          <w:szCs w:val="26"/>
        </w:rPr>
        <w:t xml:space="preserve">major </w:t>
      </w:r>
      <w:r w:rsidR="00CF0CFC" w:rsidRPr="00E9174E">
        <w:rPr>
          <w:sz w:val="26"/>
          <w:szCs w:val="26"/>
        </w:rPr>
        <w:t>Parties</w:t>
      </w:r>
      <w:r w:rsidR="002C2A5F" w:rsidRPr="00E9174E">
        <w:rPr>
          <w:sz w:val="26"/>
          <w:szCs w:val="26"/>
        </w:rPr>
        <w:t xml:space="preserve"> </w:t>
      </w:r>
      <w:r w:rsidR="00CD2D85" w:rsidRPr="00E9174E">
        <w:rPr>
          <w:sz w:val="26"/>
          <w:szCs w:val="26"/>
        </w:rPr>
        <w:t xml:space="preserve">in this </w:t>
      </w:r>
      <w:r w:rsidR="005356E4" w:rsidRPr="00E9174E">
        <w:rPr>
          <w:sz w:val="26"/>
          <w:szCs w:val="26"/>
        </w:rPr>
        <w:t>proceeding</w:t>
      </w:r>
      <w:r w:rsidR="00FB32D4" w:rsidRPr="00E9174E">
        <w:rPr>
          <w:sz w:val="26"/>
          <w:szCs w:val="26"/>
        </w:rPr>
        <w:t xml:space="preserve"> (Columbia, I&amp;E, and the OCA)</w:t>
      </w:r>
      <w:r w:rsidR="002C2A5F" w:rsidRPr="00E9174E">
        <w:rPr>
          <w:sz w:val="26"/>
          <w:szCs w:val="26"/>
        </w:rPr>
        <w:t>,</w:t>
      </w:r>
      <w:r w:rsidR="006652C5" w:rsidRPr="00E9174E">
        <w:rPr>
          <w:sz w:val="26"/>
          <w:szCs w:val="26"/>
        </w:rPr>
        <w:t xml:space="preserve"> all of which provide support for a revenue requirement increase in this case and none of which support the </w:t>
      </w:r>
      <w:r w:rsidR="008C5EFF" w:rsidRPr="00E9174E">
        <w:rPr>
          <w:sz w:val="26"/>
          <w:szCs w:val="26"/>
        </w:rPr>
        <w:t>Recommended Decision’s</w:t>
      </w:r>
      <w:r w:rsidR="006652C5" w:rsidRPr="00E9174E">
        <w:rPr>
          <w:sz w:val="26"/>
          <w:szCs w:val="26"/>
        </w:rPr>
        <w:t xml:space="preserve"> conclusion </w:t>
      </w:r>
      <w:r w:rsidR="005658B5" w:rsidRPr="00E9174E">
        <w:rPr>
          <w:sz w:val="26"/>
          <w:szCs w:val="26"/>
        </w:rPr>
        <w:t xml:space="preserve">to deny rate relief on its face.  </w:t>
      </w:r>
      <w:r w:rsidR="00C655C2" w:rsidRPr="00E9174E">
        <w:rPr>
          <w:sz w:val="26"/>
          <w:szCs w:val="26"/>
        </w:rPr>
        <w:t xml:space="preserve">These analyses reject the notion </w:t>
      </w:r>
      <w:r w:rsidR="006652C5" w:rsidRPr="00E9174E">
        <w:rPr>
          <w:sz w:val="26"/>
          <w:szCs w:val="26"/>
        </w:rPr>
        <w:t>that</w:t>
      </w:r>
      <w:r w:rsidR="002C2A5F" w:rsidRPr="00E9174E">
        <w:rPr>
          <w:sz w:val="26"/>
          <w:szCs w:val="26"/>
        </w:rPr>
        <w:t xml:space="preserve"> a </w:t>
      </w:r>
      <w:r w:rsidR="006652C5" w:rsidRPr="00E9174E">
        <w:rPr>
          <w:sz w:val="26"/>
          <w:szCs w:val="26"/>
        </w:rPr>
        <w:t>6.53% equity return for the FPFTY</w:t>
      </w:r>
      <w:r w:rsidR="00C655C2" w:rsidRPr="00E9174E">
        <w:rPr>
          <w:sz w:val="26"/>
          <w:szCs w:val="26"/>
        </w:rPr>
        <w:t xml:space="preserve"> </w:t>
      </w:r>
      <w:r w:rsidR="006652C5" w:rsidRPr="00E9174E">
        <w:rPr>
          <w:sz w:val="26"/>
          <w:szCs w:val="26"/>
        </w:rPr>
        <w:t>is a fair return</w:t>
      </w:r>
      <w:r w:rsidR="00F74A76" w:rsidRPr="00E9174E">
        <w:rPr>
          <w:sz w:val="26"/>
          <w:szCs w:val="26"/>
        </w:rPr>
        <w:t xml:space="preserve"> that satisfies constitution</w:t>
      </w:r>
      <w:r w:rsidR="00A9096A" w:rsidRPr="00E9174E">
        <w:rPr>
          <w:sz w:val="26"/>
          <w:szCs w:val="26"/>
        </w:rPr>
        <w:t>al</w:t>
      </w:r>
      <w:r w:rsidR="00F74A76" w:rsidRPr="00E9174E">
        <w:rPr>
          <w:sz w:val="26"/>
          <w:szCs w:val="26"/>
        </w:rPr>
        <w:t xml:space="preserve"> requirements</w:t>
      </w:r>
      <w:r w:rsidR="00C655C2" w:rsidRPr="00E9174E">
        <w:rPr>
          <w:sz w:val="26"/>
          <w:szCs w:val="26"/>
        </w:rPr>
        <w:t>.  S</w:t>
      </w:r>
      <w:r w:rsidR="002C390F" w:rsidRPr="00E9174E">
        <w:rPr>
          <w:sz w:val="26"/>
          <w:szCs w:val="26"/>
        </w:rPr>
        <w:t xml:space="preserve">pecifically, </w:t>
      </w:r>
      <w:r w:rsidR="0088300A" w:rsidRPr="00E9174E">
        <w:rPr>
          <w:sz w:val="26"/>
          <w:szCs w:val="26"/>
        </w:rPr>
        <w:t xml:space="preserve">(1) </w:t>
      </w:r>
      <w:r w:rsidR="002C2A5F" w:rsidRPr="00E9174E">
        <w:rPr>
          <w:sz w:val="26"/>
          <w:szCs w:val="26"/>
        </w:rPr>
        <w:t xml:space="preserve">Columbia’s analysis showed a $100.4 million revenue increase is required based upon a 10.95% equity return; </w:t>
      </w:r>
      <w:r w:rsidR="0088300A" w:rsidRPr="00E9174E">
        <w:rPr>
          <w:sz w:val="26"/>
          <w:szCs w:val="26"/>
        </w:rPr>
        <w:t xml:space="preserve">(2) </w:t>
      </w:r>
      <w:r w:rsidR="002C2A5F" w:rsidRPr="00E9174E">
        <w:rPr>
          <w:sz w:val="26"/>
          <w:szCs w:val="26"/>
        </w:rPr>
        <w:t>I&amp;E’s analysis showed a $75.9 million revenue increase</w:t>
      </w:r>
      <w:r w:rsidR="00C822AA" w:rsidRPr="00E9174E">
        <w:rPr>
          <w:sz w:val="26"/>
          <w:szCs w:val="26"/>
        </w:rPr>
        <w:t xml:space="preserve"> is required</w:t>
      </w:r>
      <w:r w:rsidR="002C2A5F" w:rsidRPr="00E9174E">
        <w:rPr>
          <w:sz w:val="26"/>
          <w:szCs w:val="26"/>
        </w:rPr>
        <w:t xml:space="preserve"> based upon a 9.86% equity return; and </w:t>
      </w:r>
      <w:r w:rsidR="0088300A" w:rsidRPr="00E9174E">
        <w:rPr>
          <w:sz w:val="26"/>
          <w:szCs w:val="26"/>
        </w:rPr>
        <w:t xml:space="preserve">(3) </w:t>
      </w:r>
      <w:r w:rsidR="002C2A5F" w:rsidRPr="00E9174E">
        <w:rPr>
          <w:sz w:val="26"/>
          <w:szCs w:val="26"/>
        </w:rPr>
        <w:t xml:space="preserve">the OCA’s analysis showed a $31.5 million revenue increase </w:t>
      </w:r>
      <w:r w:rsidR="00C822AA" w:rsidRPr="00E9174E">
        <w:rPr>
          <w:sz w:val="26"/>
          <w:szCs w:val="26"/>
        </w:rPr>
        <w:t xml:space="preserve">is required </w:t>
      </w:r>
      <w:r w:rsidR="002C2A5F" w:rsidRPr="00E9174E">
        <w:rPr>
          <w:sz w:val="26"/>
          <w:szCs w:val="26"/>
        </w:rPr>
        <w:t>based upon an 8.5% equity return</w:t>
      </w:r>
      <w:r w:rsidR="0088300A" w:rsidRPr="00E9174E">
        <w:rPr>
          <w:sz w:val="26"/>
          <w:szCs w:val="26"/>
        </w:rPr>
        <w:t xml:space="preserve">.  </w:t>
      </w:r>
      <w:r w:rsidR="00615AF7" w:rsidRPr="00E9174E">
        <w:rPr>
          <w:sz w:val="26"/>
          <w:szCs w:val="26"/>
        </w:rPr>
        <w:t>CG</w:t>
      </w:r>
      <w:r w:rsidR="00542C41" w:rsidRPr="00E9174E">
        <w:rPr>
          <w:sz w:val="26"/>
          <w:szCs w:val="26"/>
        </w:rPr>
        <w:t xml:space="preserve"> Exc. at 5 (citing </w:t>
      </w:r>
      <w:r w:rsidR="004C5D69" w:rsidRPr="00E9174E">
        <w:rPr>
          <w:sz w:val="26"/>
          <w:szCs w:val="26"/>
        </w:rPr>
        <w:t>CG M.B.</w:t>
      </w:r>
      <w:r w:rsidR="001B7E1E" w:rsidRPr="00E9174E">
        <w:rPr>
          <w:sz w:val="26"/>
          <w:szCs w:val="26"/>
        </w:rPr>
        <w:t xml:space="preserve">, Tables I and I(A); </w:t>
      </w:r>
      <w:r w:rsidR="00D87806" w:rsidRPr="00E9174E">
        <w:rPr>
          <w:sz w:val="26"/>
          <w:szCs w:val="26"/>
        </w:rPr>
        <w:t>I&amp;E M.B., Tables I and</w:t>
      </w:r>
      <w:r w:rsidR="00312385">
        <w:rPr>
          <w:sz w:val="26"/>
          <w:szCs w:val="26"/>
        </w:rPr>
        <w:t> </w:t>
      </w:r>
      <w:r w:rsidR="00D87806" w:rsidRPr="00E9174E">
        <w:rPr>
          <w:sz w:val="26"/>
          <w:szCs w:val="26"/>
        </w:rPr>
        <w:t xml:space="preserve">I(A); </w:t>
      </w:r>
      <w:r w:rsidR="00BB0358" w:rsidRPr="00E9174E">
        <w:rPr>
          <w:sz w:val="26"/>
          <w:szCs w:val="26"/>
        </w:rPr>
        <w:t xml:space="preserve">OCA St. 3 at 19-20; OCA St. 2 at 4). </w:t>
      </w:r>
      <w:r w:rsidR="00D87806" w:rsidRPr="00E9174E">
        <w:rPr>
          <w:sz w:val="26"/>
          <w:szCs w:val="26"/>
        </w:rPr>
        <w:t xml:space="preserve"> </w:t>
      </w:r>
    </w:p>
    <w:p w14:paraId="5F8B92D3" w14:textId="77777777" w:rsidR="00C655C2" w:rsidRPr="00E9174E" w:rsidRDefault="00C655C2" w:rsidP="00E9174E">
      <w:pPr>
        <w:pStyle w:val="BodyText2"/>
        <w:widowControl/>
        <w:spacing w:after="0" w:line="360" w:lineRule="auto"/>
        <w:ind w:firstLine="1440"/>
        <w:contextualSpacing/>
        <w:rPr>
          <w:sz w:val="26"/>
          <w:szCs w:val="26"/>
        </w:rPr>
      </w:pPr>
    </w:p>
    <w:p w14:paraId="082B4191" w14:textId="522EBEBD" w:rsidR="002A1409" w:rsidRPr="00E9174E" w:rsidRDefault="00C64821" w:rsidP="00E9174E">
      <w:pPr>
        <w:pStyle w:val="BodyText2"/>
        <w:widowControl/>
        <w:spacing w:after="0" w:line="360" w:lineRule="auto"/>
        <w:ind w:firstLine="1440"/>
        <w:contextualSpacing/>
        <w:rPr>
          <w:sz w:val="26"/>
          <w:szCs w:val="26"/>
        </w:rPr>
      </w:pPr>
      <w:r w:rsidRPr="00E9174E">
        <w:rPr>
          <w:sz w:val="26"/>
          <w:szCs w:val="26"/>
        </w:rPr>
        <w:t>The second piece of evidence</w:t>
      </w:r>
      <w:r w:rsidR="008A5357" w:rsidRPr="00E9174E">
        <w:rPr>
          <w:sz w:val="26"/>
          <w:szCs w:val="26"/>
        </w:rPr>
        <w:t xml:space="preserve"> </w:t>
      </w:r>
      <w:r w:rsidR="00062042" w:rsidRPr="00E9174E">
        <w:rPr>
          <w:sz w:val="26"/>
          <w:szCs w:val="26"/>
        </w:rPr>
        <w:t>C</w:t>
      </w:r>
      <w:r w:rsidR="0073125D" w:rsidRPr="00E9174E">
        <w:rPr>
          <w:sz w:val="26"/>
          <w:szCs w:val="26"/>
        </w:rPr>
        <w:t xml:space="preserve">olumbia submits was </w:t>
      </w:r>
      <w:r w:rsidR="008A5357" w:rsidRPr="00E9174E">
        <w:rPr>
          <w:sz w:val="26"/>
          <w:szCs w:val="26"/>
        </w:rPr>
        <w:t>disregard</w:t>
      </w:r>
      <w:r w:rsidRPr="00E9174E">
        <w:rPr>
          <w:sz w:val="26"/>
          <w:szCs w:val="26"/>
        </w:rPr>
        <w:t xml:space="preserve">ed by the </w:t>
      </w:r>
      <w:r w:rsidR="007C2095" w:rsidRPr="00E9174E">
        <w:rPr>
          <w:sz w:val="26"/>
          <w:szCs w:val="26"/>
        </w:rPr>
        <w:t>Recommended Decision</w:t>
      </w:r>
      <w:r w:rsidR="002144ED" w:rsidRPr="00E9174E">
        <w:rPr>
          <w:sz w:val="26"/>
          <w:szCs w:val="26"/>
        </w:rPr>
        <w:t xml:space="preserve"> </w:t>
      </w:r>
      <w:r w:rsidRPr="00E9174E">
        <w:rPr>
          <w:sz w:val="26"/>
          <w:szCs w:val="26"/>
        </w:rPr>
        <w:t>is</w:t>
      </w:r>
      <w:r w:rsidR="008A5357" w:rsidRPr="00E9174E">
        <w:rPr>
          <w:sz w:val="26"/>
          <w:szCs w:val="26"/>
        </w:rPr>
        <w:t xml:space="preserve"> </w:t>
      </w:r>
      <w:r w:rsidRPr="00E9174E">
        <w:rPr>
          <w:sz w:val="26"/>
          <w:szCs w:val="26"/>
        </w:rPr>
        <w:t xml:space="preserve">the </w:t>
      </w:r>
      <w:r w:rsidR="008A5357" w:rsidRPr="00E9174E">
        <w:rPr>
          <w:sz w:val="26"/>
          <w:szCs w:val="26"/>
        </w:rPr>
        <w:t>evidence presented by Columbia that the $20 million of the proposed increase in base rates will not be a net increase to customers because it will be a roll-in to base rates of DSIC rates for FTY plant additions as of January 2021.</w:t>
      </w:r>
      <w:r w:rsidR="00477512" w:rsidRPr="00E9174E">
        <w:rPr>
          <w:sz w:val="26"/>
          <w:szCs w:val="26"/>
        </w:rPr>
        <w:t xml:space="preserve">  Rather, </w:t>
      </w:r>
      <w:r w:rsidR="003E5422" w:rsidRPr="00E9174E">
        <w:rPr>
          <w:sz w:val="26"/>
          <w:szCs w:val="26"/>
        </w:rPr>
        <w:t>a</w:t>
      </w:r>
      <w:r w:rsidR="002433C2" w:rsidRPr="00E9174E">
        <w:rPr>
          <w:sz w:val="26"/>
          <w:szCs w:val="26"/>
        </w:rPr>
        <w:t xml:space="preserve">fter deducting the roll-in amount, and taking into account a revised Columbia </w:t>
      </w:r>
      <w:r w:rsidR="002433C2" w:rsidRPr="00E9174E">
        <w:rPr>
          <w:sz w:val="26"/>
          <w:szCs w:val="26"/>
        </w:rPr>
        <w:lastRenderedPageBreak/>
        <w:t xml:space="preserve">revenue requirement of $76.8 million after the concessions set forth in </w:t>
      </w:r>
      <w:r w:rsidR="003E5422" w:rsidRPr="00E9174E">
        <w:rPr>
          <w:sz w:val="26"/>
          <w:szCs w:val="26"/>
        </w:rPr>
        <w:t>Columbia’s</w:t>
      </w:r>
      <w:r w:rsidR="002433C2" w:rsidRPr="00E9174E">
        <w:rPr>
          <w:sz w:val="26"/>
          <w:szCs w:val="26"/>
        </w:rPr>
        <w:t xml:space="preserve"> Exceptions, </w:t>
      </w:r>
      <w:r w:rsidR="003E5422" w:rsidRPr="00E9174E">
        <w:rPr>
          <w:sz w:val="26"/>
          <w:szCs w:val="26"/>
        </w:rPr>
        <w:t xml:space="preserve">Columbia submits that </w:t>
      </w:r>
      <w:r w:rsidR="002433C2" w:rsidRPr="00E9174E">
        <w:rPr>
          <w:sz w:val="26"/>
          <w:szCs w:val="26"/>
        </w:rPr>
        <w:t>the net increase effective January 23, 2021</w:t>
      </w:r>
      <w:r w:rsidR="003E5422" w:rsidRPr="00E9174E">
        <w:rPr>
          <w:sz w:val="26"/>
          <w:szCs w:val="26"/>
        </w:rPr>
        <w:t>,</w:t>
      </w:r>
      <w:r w:rsidR="002433C2" w:rsidRPr="00E9174E">
        <w:rPr>
          <w:sz w:val="26"/>
          <w:szCs w:val="26"/>
        </w:rPr>
        <w:t xml:space="preserve"> will be approximately $56.8 million</w:t>
      </w:r>
      <w:r w:rsidR="00B5634F" w:rsidRPr="00E9174E">
        <w:rPr>
          <w:sz w:val="26"/>
          <w:szCs w:val="26"/>
        </w:rPr>
        <w:t xml:space="preserve">, which Columbia proposes to phase in.  </w:t>
      </w:r>
      <w:r w:rsidR="00615AF7" w:rsidRPr="00E9174E">
        <w:rPr>
          <w:sz w:val="26"/>
          <w:szCs w:val="26"/>
        </w:rPr>
        <w:t>CG</w:t>
      </w:r>
      <w:r w:rsidR="00B5634F" w:rsidRPr="00E9174E">
        <w:rPr>
          <w:sz w:val="26"/>
          <w:szCs w:val="26"/>
        </w:rPr>
        <w:t xml:space="preserve"> Exc. at </w:t>
      </w:r>
      <w:r w:rsidR="009B78C6" w:rsidRPr="00E9174E">
        <w:rPr>
          <w:sz w:val="26"/>
          <w:szCs w:val="26"/>
        </w:rPr>
        <w:t>6</w:t>
      </w:r>
      <w:r w:rsidR="00151BD7" w:rsidRPr="00E9174E">
        <w:rPr>
          <w:sz w:val="26"/>
          <w:szCs w:val="26"/>
        </w:rPr>
        <w:t xml:space="preserve"> (citing </w:t>
      </w:r>
      <w:r w:rsidR="0081747E" w:rsidRPr="00E9174E">
        <w:rPr>
          <w:sz w:val="26"/>
          <w:szCs w:val="26"/>
        </w:rPr>
        <w:t>C</w:t>
      </w:r>
      <w:r w:rsidR="00703A71" w:rsidRPr="00E9174E">
        <w:rPr>
          <w:sz w:val="26"/>
          <w:szCs w:val="26"/>
        </w:rPr>
        <w:t>G</w:t>
      </w:r>
      <w:r w:rsidR="00151BD7" w:rsidRPr="00E9174E">
        <w:rPr>
          <w:sz w:val="26"/>
          <w:szCs w:val="26"/>
        </w:rPr>
        <w:t xml:space="preserve"> Ex</w:t>
      </w:r>
      <w:r w:rsidR="00703A71" w:rsidRPr="00E9174E">
        <w:rPr>
          <w:sz w:val="26"/>
          <w:szCs w:val="26"/>
        </w:rPr>
        <w:t xml:space="preserve">c. </w:t>
      </w:r>
      <w:r w:rsidR="00151BD7" w:rsidRPr="00E9174E">
        <w:rPr>
          <w:sz w:val="26"/>
          <w:szCs w:val="26"/>
        </w:rPr>
        <w:t>No. 2</w:t>
      </w:r>
      <w:r w:rsidR="0081747E" w:rsidRPr="00E9174E">
        <w:rPr>
          <w:sz w:val="26"/>
          <w:szCs w:val="26"/>
        </w:rPr>
        <w:t>0</w:t>
      </w:r>
      <w:r w:rsidR="00703A71" w:rsidRPr="00E9174E">
        <w:rPr>
          <w:sz w:val="26"/>
          <w:szCs w:val="26"/>
        </w:rPr>
        <w:t xml:space="preserve"> at 32-38</w:t>
      </w:r>
      <w:r w:rsidR="00DC2246" w:rsidRPr="00E9174E">
        <w:rPr>
          <w:sz w:val="26"/>
          <w:szCs w:val="26"/>
        </w:rPr>
        <w:t>)</w:t>
      </w:r>
      <w:r w:rsidR="009B78C6" w:rsidRPr="00E9174E">
        <w:rPr>
          <w:sz w:val="26"/>
          <w:szCs w:val="26"/>
        </w:rPr>
        <w:t>.</w:t>
      </w:r>
    </w:p>
    <w:p w14:paraId="68E77F57" w14:textId="77777777" w:rsidR="002A1409" w:rsidRPr="00E9174E" w:rsidRDefault="002A1409" w:rsidP="00E9174E">
      <w:pPr>
        <w:pStyle w:val="BodyText2"/>
        <w:widowControl/>
        <w:spacing w:after="0" w:line="360" w:lineRule="auto"/>
        <w:ind w:firstLine="1440"/>
        <w:contextualSpacing/>
        <w:rPr>
          <w:sz w:val="26"/>
          <w:szCs w:val="26"/>
        </w:rPr>
      </w:pPr>
    </w:p>
    <w:p w14:paraId="26670A83" w14:textId="5B24C7F3" w:rsidR="0033098D" w:rsidRPr="00E9174E" w:rsidRDefault="00913AD7" w:rsidP="00E9174E">
      <w:pPr>
        <w:pStyle w:val="BodyText2"/>
        <w:widowControl/>
        <w:spacing w:after="0" w:line="360" w:lineRule="auto"/>
        <w:ind w:firstLine="1440"/>
        <w:contextualSpacing/>
        <w:rPr>
          <w:sz w:val="26"/>
          <w:szCs w:val="26"/>
        </w:rPr>
      </w:pPr>
      <w:r w:rsidRPr="00E9174E">
        <w:rPr>
          <w:sz w:val="26"/>
          <w:szCs w:val="26"/>
        </w:rPr>
        <w:t xml:space="preserve">The third piece of evidence Columbia submits was disregarded by the </w:t>
      </w:r>
      <w:r w:rsidR="00B34A9B" w:rsidRPr="00E9174E">
        <w:rPr>
          <w:sz w:val="26"/>
          <w:szCs w:val="26"/>
        </w:rPr>
        <w:t>Recommended Decision</w:t>
      </w:r>
      <w:r w:rsidR="002564EA" w:rsidRPr="00E9174E">
        <w:rPr>
          <w:sz w:val="26"/>
          <w:szCs w:val="26"/>
        </w:rPr>
        <w:t xml:space="preserve"> </w:t>
      </w:r>
      <w:r w:rsidRPr="00E9174E">
        <w:rPr>
          <w:sz w:val="26"/>
          <w:szCs w:val="26"/>
        </w:rPr>
        <w:t>is</w:t>
      </w:r>
      <w:r w:rsidR="0073125D" w:rsidRPr="00E9174E">
        <w:rPr>
          <w:sz w:val="26"/>
          <w:szCs w:val="26"/>
        </w:rPr>
        <w:t xml:space="preserve"> the evidence presented by</w:t>
      </w:r>
      <w:r w:rsidR="00992DC3" w:rsidRPr="00E9174E">
        <w:rPr>
          <w:sz w:val="26"/>
          <w:szCs w:val="26"/>
        </w:rPr>
        <w:t xml:space="preserve"> </w:t>
      </w:r>
      <w:r w:rsidR="003F3339" w:rsidRPr="00E9174E">
        <w:rPr>
          <w:sz w:val="26"/>
          <w:szCs w:val="26"/>
        </w:rPr>
        <w:t>Columbia of its plans to spend $289 million on pipe</w:t>
      </w:r>
      <w:r w:rsidR="002920F8" w:rsidRPr="00E9174E">
        <w:rPr>
          <w:sz w:val="26"/>
          <w:szCs w:val="26"/>
        </w:rPr>
        <w:t>line</w:t>
      </w:r>
      <w:r w:rsidR="003F3339" w:rsidRPr="00E9174E">
        <w:rPr>
          <w:sz w:val="26"/>
          <w:szCs w:val="26"/>
        </w:rPr>
        <w:t xml:space="preserve"> replacements and other </w:t>
      </w:r>
      <w:bookmarkStart w:id="44" w:name="_Hlk63274830"/>
      <w:r w:rsidR="00726DC0" w:rsidRPr="00E9174E">
        <w:rPr>
          <w:sz w:val="26"/>
          <w:szCs w:val="26"/>
        </w:rPr>
        <w:t>Long Term Infrastructure Improvement Plan</w:t>
      </w:r>
      <w:r w:rsidR="003F3339" w:rsidRPr="00E9174E">
        <w:rPr>
          <w:sz w:val="26"/>
          <w:szCs w:val="26"/>
        </w:rPr>
        <w:t xml:space="preserve"> </w:t>
      </w:r>
      <w:bookmarkEnd w:id="44"/>
      <w:r w:rsidR="00726DC0" w:rsidRPr="00E9174E">
        <w:rPr>
          <w:sz w:val="26"/>
          <w:szCs w:val="26"/>
        </w:rPr>
        <w:t>(</w:t>
      </w:r>
      <w:bookmarkStart w:id="45" w:name="_Hlk63274809"/>
      <w:r w:rsidR="003F3339" w:rsidRPr="00E9174E">
        <w:rPr>
          <w:sz w:val="26"/>
          <w:szCs w:val="26"/>
        </w:rPr>
        <w:t>LTIIP</w:t>
      </w:r>
      <w:bookmarkEnd w:id="45"/>
      <w:r w:rsidR="00726DC0" w:rsidRPr="00E9174E">
        <w:rPr>
          <w:sz w:val="26"/>
          <w:szCs w:val="26"/>
        </w:rPr>
        <w:t>)</w:t>
      </w:r>
      <w:r w:rsidR="003F3339" w:rsidRPr="00E9174E">
        <w:rPr>
          <w:sz w:val="26"/>
          <w:szCs w:val="26"/>
        </w:rPr>
        <w:t>-approved investments in the FPFTY</w:t>
      </w:r>
      <w:r w:rsidRPr="00E9174E">
        <w:rPr>
          <w:sz w:val="26"/>
          <w:szCs w:val="26"/>
        </w:rPr>
        <w:t>.</w:t>
      </w:r>
      <w:r w:rsidR="0073022B" w:rsidRPr="00E9174E">
        <w:rPr>
          <w:sz w:val="26"/>
          <w:szCs w:val="26"/>
        </w:rPr>
        <w:t xml:space="preserve"> </w:t>
      </w:r>
      <w:r w:rsidR="00917C79" w:rsidRPr="00E9174E">
        <w:rPr>
          <w:sz w:val="26"/>
          <w:szCs w:val="26"/>
        </w:rPr>
        <w:t xml:space="preserve"> </w:t>
      </w:r>
      <w:r w:rsidR="00D30453" w:rsidRPr="00E9174E">
        <w:rPr>
          <w:sz w:val="26"/>
          <w:szCs w:val="26"/>
        </w:rPr>
        <w:t xml:space="preserve">CG Exc. at 6.  </w:t>
      </w:r>
      <w:r w:rsidR="00917C79" w:rsidRPr="00E9174E">
        <w:rPr>
          <w:sz w:val="26"/>
          <w:szCs w:val="26"/>
        </w:rPr>
        <w:t>D</w:t>
      </w:r>
      <w:r w:rsidR="0073022B" w:rsidRPr="00E9174E">
        <w:rPr>
          <w:sz w:val="26"/>
          <w:szCs w:val="26"/>
        </w:rPr>
        <w:t xml:space="preserve">isallowance of any </w:t>
      </w:r>
      <w:r w:rsidR="00C24ED5" w:rsidRPr="00E9174E">
        <w:rPr>
          <w:sz w:val="26"/>
          <w:szCs w:val="26"/>
        </w:rPr>
        <w:t xml:space="preserve">rate </w:t>
      </w:r>
      <w:r w:rsidR="0073022B" w:rsidRPr="00E9174E">
        <w:rPr>
          <w:sz w:val="26"/>
          <w:szCs w:val="26"/>
        </w:rPr>
        <w:t>increase w</w:t>
      </w:r>
      <w:r w:rsidR="00C24ED5" w:rsidRPr="00E9174E">
        <w:rPr>
          <w:sz w:val="26"/>
          <w:szCs w:val="26"/>
        </w:rPr>
        <w:t>ill</w:t>
      </w:r>
      <w:r w:rsidR="0073022B" w:rsidRPr="00E9174E">
        <w:rPr>
          <w:sz w:val="26"/>
          <w:szCs w:val="26"/>
        </w:rPr>
        <w:t xml:space="preserve"> result in no transfer of DSIC revenues to base rates, which will </w:t>
      </w:r>
      <w:r w:rsidR="00D30453" w:rsidRPr="00E9174E">
        <w:rPr>
          <w:sz w:val="26"/>
          <w:szCs w:val="26"/>
        </w:rPr>
        <w:t xml:space="preserve">further </w:t>
      </w:r>
      <w:r w:rsidR="0073022B" w:rsidRPr="00E9174E">
        <w:rPr>
          <w:sz w:val="26"/>
          <w:szCs w:val="26"/>
        </w:rPr>
        <w:t>result in Columbia</w:t>
      </w:r>
      <w:r w:rsidR="00583B43" w:rsidRPr="00E9174E">
        <w:rPr>
          <w:sz w:val="26"/>
          <w:szCs w:val="26"/>
        </w:rPr>
        <w:t>: (1)</w:t>
      </w:r>
      <w:r w:rsidR="0073022B" w:rsidRPr="00E9174E">
        <w:rPr>
          <w:sz w:val="26"/>
          <w:szCs w:val="26"/>
        </w:rPr>
        <w:t xml:space="preserve"> hitting the DSIC rate cap </w:t>
      </w:r>
      <w:r w:rsidR="00764753" w:rsidRPr="00E9174E">
        <w:rPr>
          <w:sz w:val="26"/>
          <w:szCs w:val="26"/>
        </w:rPr>
        <w:t xml:space="preserve">at 5% </w:t>
      </w:r>
      <w:r w:rsidR="0073022B" w:rsidRPr="00E9174E">
        <w:rPr>
          <w:sz w:val="26"/>
          <w:szCs w:val="26"/>
        </w:rPr>
        <w:t>effective January 1, 2021</w:t>
      </w:r>
      <w:r w:rsidR="000F79E6" w:rsidRPr="00E9174E">
        <w:rPr>
          <w:sz w:val="26"/>
          <w:szCs w:val="26"/>
        </w:rPr>
        <w:t>;</w:t>
      </w:r>
      <w:r w:rsidR="0073022B" w:rsidRPr="00E9174E">
        <w:rPr>
          <w:rStyle w:val="FootnoteReference"/>
          <w:sz w:val="26"/>
          <w:szCs w:val="26"/>
        </w:rPr>
        <w:footnoteReference w:id="12"/>
      </w:r>
      <w:r w:rsidR="00583B43" w:rsidRPr="00E9174E">
        <w:rPr>
          <w:sz w:val="26"/>
          <w:szCs w:val="26"/>
        </w:rPr>
        <w:t xml:space="preserve"> (2)</w:t>
      </w:r>
      <w:r w:rsidR="00312385">
        <w:rPr>
          <w:sz w:val="26"/>
          <w:szCs w:val="26"/>
        </w:rPr>
        <w:t> </w:t>
      </w:r>
      <w:r w:rsidR="008134A1" w:rsidRPr="00E9174E">
        <w:rPr>
          <w:sz w:val="26"/>
          <w:szCs w:val="26"/>
        </w:rPr>
        <w:t xml:space="preserve">earning </w:t>
      </w:r>
      <w:r w:rsidR="00921D2B" w:rsidRPr="00E9174E">
        <w:rPr>
          <w:sz w:val="26"/>
          <w:szCs w:val="26"/>
        </w:rPr>
        <w:t>no return on part of its FTY LTIIP-approved plant investments</w:t>
      </w:r>
      <w:r w:rsidR="00583B43" w:rsidRPr="00E9174E">
        <w:rPr>
          <w:sz w:val="26"/>
          <w:szCs w:val="26"/>
        </w:rPr>
        <w:t>;</w:t>
      </w:r>
      <w:r w:rsidR="00921D2B" w:rsidRPr="00E9174E">
        <w:rPr>
          <w:sz w:val="26"/>
          <w:szCs w:val="26"/>
        </w:rPr>
        <w:t xml:space="preserve"> and</w:t>
      </w:r>
      <w:r w:rsidR="00583B43" w:rsidRPr="00E9174E">
        <w:rPr>
          <w:sz w:val="26"/>
          <w:szCs w:val="26"/>
        </w:rPr>
        <w:t xml:space="preserve"> (3)</w:t>
      </w:r>
      <w:r w:rsidR="00312385">
        <w:rPr>
          <w:sz w:val="26"/>
          <w:szCs w:val="26"/>
        </w:rPr>
        <w:t> </w:t>
      </w:r>
      <w:r w:rsidR="00583B43" w:rsidRPr="00E9174E">
        <w:rPr>
          <w:sz w:val="26"/>
          <w:szCs w:val="26"/>
        </w:rPr>
        <w:t>earning</w:t>
      </w:r>
      <w:r w:rsidR="00921D2B" w:rsidRPr="00E9174E">
        <w:rPr>
          <w:sz w:val="26"/>
          <w:szCs w:val="26"/>
        </w:rPr>
        <w:t xml:space="preserve"> no return on any of its FPFTY plant investments.  </w:t>
      </w:r>
      <w:r w:rsidR="00615AF7" w:rsidRPr="00E9174E">
        <w:rPr>
          <w:sz w:val="26"/>
          <w:szCs w:val="26"/>
        </w:rPr>
        <w:t>CG</w:t>
      </w:r>
      <w:r w:rsidR="00921D2B" w:rsidRPr="00E9174E">
        <w:rPr>
          <w:sz w:val="26"/>
          <w:szCs w:val="26"/>
        </w:rPr>
        <w:t xml:space="preserve"> Exc. at </w:t>
      </w:r>
      <w:r w:rsidR="001D2B89" w:rsidRPr="00E9174E">
        <w:rPr>
          <w:sz w:val="26"/>
          <w:szCs w:val="26"/>
        </w:rPr>
        <w:t>6-</w:t>
      </w:r>
      <w:r w:rsidR="0033098D" w:rsidRPr="00E9174E">
        <w:rPr>
          <w:sz w:val="26"/>
          <w:szCs w:val="26"/>
        </w:rPr>
        <w:t>7.</w:t>
      </w:r>
      <w:r w:rsidR="002A1409" w:rsidRPr="00E9174E">
        <w:rPr>
          <w:sz w:val="26"/>
          <w:szCs w:val="26"/>
        </w:rPr>
        <w:t xml:space="preserve">  </w:t>
      </w:r>
      <w:r w:rsidR="001601AA" w:rsidRPr="00E9174E">
        <w:rPr>
          <w:sz w:val="26"/>
          <w:szCs w:val="26"/>
        </w:rPr>
        <w:t>Columbia acknowledges that the R</w:t>
      </w:r>
      <w:r w:rsidR="006F4D3C" w:rsidRPr="00E9174E">
        <w:rPr>
          <w:sz w:val="26"/>
          <w:szCs w:val="26"/>
        </w:rPr>
        <w:t xml:space="preserve">ecommended </w:t>
      </w:r>
      <w:r w:rsidR="000F79E6" w:rsidRPr="00E9174E">
        <w:rPr>
          <w:sz w:val="26"/>
          <w:szCs w:val="26"/>
        </w:rPr>
        <w:t>Decision</w:t>
      </w:r>
      <w:r w:rsidR="000F79E6" w:rsidRPr="00E9174E" w:rsidDel="000F79E6">
        <w:rPr>
          <w:sz w:val="26"/>
          <w:szCs w:val="26"/>
        </w:rPr>
        <w:t xml:space="preserve"> </w:t>
      </w:r>
      <w:r w:rsidR="00090975" w:rsidRPr="00E9174E">
        <w:rPr>
          <w:sz w:val="26"/>
          <w:szCs w:val="26"/>
        </w:rPr>
        <w:t>stated</w:t>
      </w:r>
      <w:r w:rsidR="001601AA" w:rsidRPr="00E9174E">
        <w:rPr>
          <w:sz w:val="26"/>
          <w:szCs w:val="26"/>
        </w:rPr>
        <w:t xml:space="preserve"> that Columbia “insists it cannot continue to provide safe and reliable service without a $100.4 million rate increase.”  R</w:t>
      </w:r>
      <w:r w:rsidR="00090975" w:rsidRPr="00E9174E">
        <w:rPr>
          <w:sz w:val="26"/>
          <w:szCs w:val="26"/>
        </w:rPr>
        <w:t>.</w:t>
      </w:r>
      <w:r w:rsidR="001601AA" w:rsidRPr="00E9174E">
        <w:rPr>
          <w:sz w:val="26"/>
          <w:szCs w:val="26"/>
        </w:rPr>
        <w:t>D</w:t>
      </w:r>
      <w:r w:rsidR="00090975" w:rsidRPr="00E9174E">
        <w:rPr>
          <w:sz w:val="26"/>
          <w:szCs w:val="26"/>
        </w:rPr>
        <w:t>.</w:t>
      </w:r>
      <w:r w:rsidR="001601AA" w:rsidRPr="00E9174E">
        <w:rPr>
          <w:sz w:val="26"/>
          <w:szCs w:val="26"/>
        </w:rPr>
        <w:t xml:space="preserve"> </w:t>
      </w:r>
      <w:r w:rsidR="00090975" w:rsidRPr="00E9174E">
        <w:rPr>
          <w:sz w:val="26"/>
          <w:szCs w:val="26"/>
        </w:rPr>
        <w:t xml:space="preserve">at </w:t>
      </w:r>
      <w:r w:rsidR="001601AA" w:rsidRPr="00E9174E">
        <w:rPr>
          <w:sz w:val="26"/>
          <w:szCs w:val="26"/>
        </w:rPr>
        <w:t xml:space="preserve">46. </w:t>
      </w:r>
      <w:r w:rsidR="00FF0A2F" w:rsidRPr="00E9174E">
        <w:rPr>
          <w:sz w:val="26"/>
          <w:szCs w:val="26"/>
        </w:rPr>
        <w:t xml:space="preserve"> According to Columbia,</w:t>
      </w:r>
      <w:r w:rsidR="00090975" w:rsidRPr="00E9174E">
        <w:rPr>
          <w:sz w:val="26"/>
          <w:szCs w:val="26"/>
        </w:rPr>
        <w:t xml:space="preserve"> </w:t>
      </w:r>
      <w:r w:rsidR="007E62FD" w:rsidRPr="00E9174E">
        <w:rPr>
          <w:sz w:val="26"/>
          <w:szCs w:val="26"/>
        </w:rPr>
        <w:t xml:space="preserve">this </w:t>
      </w:r>
      <w:r w:rsidR="00FF0A2F" w:rsidRPr="00E9174E">
        <w:rPr>
          <w:sz w:val="26"/>
          <w:szCs w:val="26"/>
        </w:rPr>
        <w:t>description</w:t>
      </w:r>
      <w:r w:rsidR="007E62FD" w:rsidRPr="00E9174E">
        <w:rPr>
          <w:sz w:val="26"/>
          <w:szCs w:val="26"/>
        </w:rPr>
        <w:t xml:space="preserve"> of </w:t>
      </w:r>
      <w:r w:rsidR="000F79E6" w:rsidRPr="00E9174E">
        <w:rPr>
          <w:sz w:val="26"/>
          <w:szCs w:val="26"/>
        </w:rPr>
        <w:t xml:space="preserve">its </w:t>
      </w:r>
      <w:r w:rsidR="007E62FD" w:rsidRPr="00E9174E">
        <w:rPr>
          <w:sz w:val="26"/>
          <w:szCs w:val="26"/>
        </w:rPr>
        <w:t xml:space="preserve">position </w:t>
      </w:r>
      <w:r w:rsidR="001601AA" w:rsidRPr="00E9174E">
        <w:rPr>
          <w:sz w:val="26"/>
          <w:szCs w:val="26"/>
        </w:rPr>
        <w:t>is</w:t>
      </w:r>
      <w:r w:rsidR="007E62FD" w:rsidRPr="00E9174E">
        <w:rPr>
          <w:sz w:val="26"/>
          <w:szCs w:val="26"/>
        </w:rPr>
        <w:t xml:space="preserve"> </w:t>
      </w:r>
      <w:r w:rsidR="001601AA" w:rsidRPr="00E9174E">
        <w:rPr>
          <w:sz w:val="26"/>
          <w:szCs w:val="26"/>
        </w:rPr>
        <w:t>faulty</w:t>
      </w:r>
      <w:r w:rsidR="007E62FD" w:rsidRPr="00E9174E">
        <w:rPr>
          <w:sz w:val="26"/>
          <w:szCs w:val="26"/>
        </w:rPr>
        <w:t>.</w:t>
      </w:r>
      <w:r w:rsidR="001601AA" w:rsidRPr="00E9174E">
        <w:rPr>
          <w:sz w:val="26"/>
          <w:szCs w:val="26"/>
        </w:rPr>
        <w:t xml:space="preserve"> </w:t>
      </w:r>
      <w:r w:rsidR="00090975" w:rsidRPr="00E9174E">
        <w:rPr>
          <w:sz w:val="26"/>
          <w:szCs w:val="26"/>
        </w:rPr>
        <w:t xml:space="preserve"> Instead, </w:t>
      </w:r>
      <w:r w:rsidR="001601AA" w:rsidRPr="00E9174E">
        <w:rPr>
          <w:sz w:val="26"/>
          <w:szCs w:val="26"/>
        </w:rPr>
        <w:t>Columbia explained that its rate increase is primarily driven by pipeline replacement and a number of new or expanded safety initiatives</w:t>
      </w:r>
      <w:r w:rsidR="00090975" w:rsidRPr="00E9174E">
        <w:rPr>
          <w:sz w:val="26"/>
          <w:szCs w:val="26"/>
        </w:rPr>
        <w:t xml:space="preserve"> and that a</w:t>
      </w:r>
      <w:r w:rsidR="001601AA" w:rsidRPr="00E9174E">
        <w:rPr>
          <w:sz w:val="26"/>
          <w:szCs w:val="26"/>
        </w:rPr>
        <w:t xml:space="preserve"> reasonable increase</w:t>
      </w:r>
      <w:r w:rsidR="00090975" w:rsidRPr="00E9174E">
        <w:rPr>
          <w:sz w:val="26"/>
          <w:szCs w:val="26"/>
        </w:rPr>
        <w:t xml:space="preserve"> in revenue</w:t>
      </w:r>
      <w:r w:rsidR="001601AA" w:rsidRPr="00E9174E">
        <w:rPr>
          <w:sz w:val="26"/>
          <w:szCs w:val="26"/>
        </w:rPr>
        <w:t xml:space="preserve"> is necessary if Columbia is to maintain and improve safe and adequate service.</w:t>
      </w:r>
      <w:r w:rsidR="002920F8" w:rsidRPr="00E9174E">
        <w:rPr>
          <w:sz w:val="26"/>
          <w:szCs w:val="26"/>
        </w:rPr>
        <w:t xml:space="preserve">  </w:t>
      </w:r>
      <w:r w:rsidR="00615AF7" w:rsidRPr="00E9174E">
        <w:rPr>
          <w:sz w:val="26"/>
          <w:szCs w:val="26"/>
        </w:rPr>
        <w:t>CG</w:t>
      </w:r>
      <w:r w:rsidR="002920F8" w:rsidRPr="00E9174E">
        <w:rPr>
          <w:sz w:val="26"/>
          <w:szCs w:val="26"/>
        </w:rPr>
        <w:t xml:space="preserve"> Exc. at 7, n. 14.  </w:t>
      </w:r>
      <w:r w:rsidR="00090975" w:rsidRPr="00E9174E">
        <w:rPr>
          <w:sz w:val="26"/>
          <w:szCs w:val="26"/>
        </w:rPr>
        <w:t xml:space="preserve">According to Columbia, the Commission cannot reasonably expect </w:t>
      </w:r>
      <w:r w:rsidR="000F79E6" w:rsidRPr="00E9174E">
        <w:rPr>
          <w:sz w:val="26"/>
          <w:szCs w:val="26"/>
        </w:rPr>
        <w:t xml:space="preserve">the Company </w:t>
      </w:r>
      <w:r w:rsidR="00090975" w:rsidRPr="00E9174E">
        <w:rPr>
          <w:sz w:val="26"/>
          <w:szCs w:val="26"/>
        </w:rPr>
        <w:t xml:space="preserve">to be able to finance such investment based upon an opportunity to earn a 6.53% equity return that assumes Columbia will only invest in $261 million in plant in the FPFTY. </w:t>
      </w:r>
      <w:r w:rsidR="000B6A0C" w:rsidRPr="00E9174E">
        <w:rPr>
          <w:sz w:val="26"/>
          <w:szCs w:val="26"/>
        </w:rPr>
        <w:t xml:space="preserve"> </w:t>
      </w:r>
      <w:r w:rsidR="00615AF7" w:rsidRPr="00E9174E">
        <w:rPr>
          <w:sz w:val="26"/>
          <w:szCs w:val="26"/>
        </w:rPr>
        <w:t>CG</w:t>
      </w:r>
      <w:r w:rsidR="00090975" w:rsidRPr="00E9174E">
        <w:rPr>
          <w:sz w:val="26"/>
          <w:szCs w:val="26"/>
        </w:rPr>
        <w:t xml:space="preserve"> Exc. at 6 (citing </w:t>
      </w:r>
      <w:r w:rsidR="00615AF7" w:rsidRPr="00E9174E">
        <w:rPr>
          <w:sz w:val="26"/>
          <w:szCs w:val="26"/>
        </w:rPr>
        <w:t>C</w:t>
      </w:r>
      <w:r w:rsidR="00D30453" w:rsidRPr="00E9174E">
        <w:rPr>
          <w:sz w:val="26"/>
          <w:szCs w:val="26"/>
        </w:rPr>
        <w:t>olumbia</w:t>
      </w:r>
      <w:r w:rsidR="00D96425" w:rsidRPr="00E9174E">
        <w:rPr>
          <w:sz w:val="26"/>
          <w:szCs w:val="26"/>
        </w:rPr>
        <w:t>’s</w:t>
      </w:r>
      <w:r w:rsidR="00D30453" w:rsidRPr="00E9174E">
        <w:rPr>
          <w:sz w:val="26"/>
          <w:szCs w:val="26"/>
        </w:rPr>
        <w:t xml:space="preserve"> Exception</w:t>
      </w:r>
      <w:r w:rsidR="00090975" w:rsidRPr="00E9174E">
        <w:rPr>
          <w:sz w:val="26"/>
          <w:szCs w:val="26"/>
        </w:rPr>
        <w:t xml:space="preserve"> No. 3).</w:t>
      </w:r>
    </w:p>
    <w:p w14:paraId="3CD7CDFE" w14:textId="77777777" w:rsidR="005853A2" w:rsidRPr="00E9174E" w:rsidRDefault="005853A2" w:rsidP="00E9174E">
      <w:pPr>
        <w:pStyle w:val="BodyText2"/>
        <w:widowControl/>
        <w:spacing w:after="0" w:line="360" w:lineRule="auto"/>
        <w:ind w:firstLine="1440"/>
        <w:contextualSpacing/>
        <w:rPr>
          <w:sz w:val="26"/>
          <w:szCs w:val="26"/>
        </w:rPr>
      </w:pPr>
    </w:p>
    <w:p w14:paraId="083981EA" w14:textId="7F46FC1F" w:rsidR="005853A2" w:rsidRPr="00E9174E" w:rsidRDefault="0033098D" w:rsidP="00E9174E">
      <w:pPr>
        <w:pStyle w:val="BodyText2"/>
        <w:widowControl/>
        <w:spacing w:after="0" w:line="360" w:lineRule="auto"/>
        <w:ind w:firstLine="1440"/>
        <w:contextualSpacing/>
        <w:rPr>
          <w:sz w:val="26"/>
          <w:szCs w:val="26"/>
        </w:rPr>
      </w:pPr>
      <w:r w:rsidRPr="00E9174E">
        <w:rPr>
          <w:sz w:val="26"/>
          <w:szCs w:val="26"/>
        </w:rPr>
        <w:t xml:space="preserve">Finally, </w:t>
      </w:r>
      <w:r w:rsidR="005032E0" w:rsidRPr="00E9174E">
        <w:rPr>
          <w:sz w:val="26"/>
          <w:szCs w:val="26"/>
        </w:rPr>
        <w:t xml:space="preserve">Columbia submits that the </w:t>
      </w:r>
      <w:r w:rsidR="000B6A0C" w:rsidRPr="00E9174E">
        <w:rPr>
          <w:sz w:val="26"/>
          <w:szCs w:val="26"/>
        </w:rPr>
        <w:t>Recommended Decision</w:t>
      </w:r>
      <w:r w:rsidR="002144ED" w:rsidRPr="00E9174E">
        <w:rPr>
          <w:sz w:val="26"/>
          <w:szCs w:val="26"/>
        </w:rPr>
        <w:t xml:space="preserve"> </w:t>
      </w:r>
      <w:r w:rsidR="005032E0" w:rsidRPr="00E9174E">
        <w:rPr>
          <w:sz w:val="26"/>
          <w:szCs w:val="26"/>
        </w:rPr>
        <w:t>fail</w:t>
      </w:r>
      <w:r w:rsidR="00D96425" w:rsidRPr="00E9174E">
        <w:rPr>
          <w:sz w:val="26"/>
          <w:szCs w:val="26"/>
        </w:rPr>
        <w:t>ed</w:t>
      </w:r>
      <w:r w:rsidR="005032E0" w:rsidRPr="00E9174E">
        <w:rPr>
          <w:sz w:val="26"/>
          <w:szCs w:val="26"/>
        </w:rPr>
        <w:t xml:space="preserve"> to appreciate the consequences of its recommendation</w:t>
      </w:r>
      <w:r w:rsidR="00D96425" w:rsidRPr="00E9174E">
        <w:rPr>
          <w:sz w:val="26"/>
          <w:szCs w:val="26"/>
        </w:rPr>
        <w:t xml:space="preserve"> to deny the rate request on its face</w:t>
      </w:r>
      <w:r w:rsidR="005032E0" w:rsidRPr="00E9174E">
        <w:rPr>
          <w:sz w:val="26"/>
          <w:szCs w:val="26"/>
        </w:rPr>
        <w:t xml:space="preserve">.  </w:t>
      </w:r>
      <w:r w:rsidR="005032E0" w:rsidRPr="00E9174E">
        <w:rPr>
          <w:sz w:val="26"/>
          <w:szCs w:val="26"/>
        </w:rPr>
        <w:lastRenderedPageBreak/>
        <w:t>If</w:t>
      </w:r>
      <w:r w:rsidR="00312385">
        <w:rPr>
          <w:sz w:val="26"/>
          <w:szCs w:val="26"/>
        </w:rPr>
        <w:t> </w:t>
      </w:r>
      <w:r w:rsidR="005032E0" w:rsidRPr="00E9174E">
        <w:rPr>
          <w:sz w:val="26"/>
          <w:szCs w:val="26"/>
        </w:rPr>
        <w:t xml:space="preserve">no increase is granted, even when justified by a traditional revenue requirement analysis, then the magnitude of Columbia’s next rate filing will be compounded, as another $50-$75 million rate increase will be added to the $100 million request in this case, as a further year of plant additions, wage increases, and other increased expenses are incurred.  </w:t>
      </w:r>
      <w:r w:rsidR="00615AF7" w:rsidRPr="00E9174E">
        <w:rPr>
          <w:sz w:val="26"/>
          <w:szCs w:val="26"/>
        </w:rPr>
        <w:t>CG</w:t>
      </w:r>
      <w:r w:rsidR="005032E0" w:rsidRPr="00E9174E">
        <w:rPr>
          <w:sz w:val="26"/>
          <w:szCs w:val="26"/>
        </w:rPr>
        <w:t xml:space="preserve"> Exc. at </w:t>
      </w:r>
      <w:r w:rsidR="00DE6B40" w:rsidRPr="00E9174E">
        <w:rPr>
          <w:sz w:val="26"/>
          <w:szCs w:val="26"/>
        </w:rPr>
        <w:t>7</w:t>
      </w:r>
      <w:r w:rsidR="005853A2" w:rsidRPr="00E9174E">
        <w:rPr>
          <w:sz w:val="26"/>
          <w:szCs w:val="26"/>
        </w:rPr>
        <w:t xml:space="preserve">. </w:t>
      </w:r>
    </w:p>
    <w:p w14:paraId="1C565BA0" w14:textId="7FDE24DF" w:rsidR="005853A2" w:rsidRPr="00E9174E" w:rsidRDefault="005853A2" w:rsidP="00E9174E">
      <w:pPr>
        <w:pStyle w:val="BodyText2"/>
        <w:widowControl/>
        <w:spacing w:after="0" w:line="360" w:lineRule="auto"/>
        <w:ind w:firstLine="1440"/>
        <w:contextualSpacing/>
        <w:rPr>
          <w:sz w:val="26"/>
          <w:szCs w:val="26"/>
        </w:rPr>
      </w:pPr>
      <w:r w:rsidRPr="00E9174E">
        <w:rPr>
          <w:sz w:val="26"/>
          <w:szCs w:val="26"/>
        </w:rPr>
        <w:t xml:space="preserve"> </w:t>
      </w:r>
    </w:p>
    <w:p w14:paraId="3BF314B5" w14:textId="34E04345" w:rsidR="00232FEB" w:rsidRPr="00E9174E" w:rsidRDefault="005853A2" w:rsidP="00E9174E">
      <w:pPr>
        <w:pStyle w:val="BodyText2"/>
        <w:widowControl/>
        <w:spacing w:after="0" w:line="360" w:lineRule="auto"/>
        <w:ind w:firstLine="1440"/>
        <w:contextualSpacing/>
        <w:rPr>
          <w:sz w:val="26"/>
          <w:szCs w:val="26"/>
        </w:rPr>
      </w:pPr>
      <w:r w:rsidRPr="00E9174E">
        <w:rPr>
          <w:sz w:val="26"/>
          <w:szCs w:val="26"/>
        </w:rPr>
        <w:t xml:space="preserve">Thus, Columbia submits, that for all the foregoing reasons, the </w:t>
      </w:r>
      <w:r w:rsidR="00F363F7" w:rsidRPr="00E9174E">
        <w:rPr>
          <w:sz w:val="26"/>
          <w:szCs w:val="26"/>
        </w:rPr>
        <w:t>Recommended Decision’s</w:t>
      </w:r>
      <w:r w:rsidR="00D86695" w:rsidRPr="00E9174E">
        <w:rPr>
          <w:sz w:val="26"/>
          <w:szCs w:val="26"/>
        </w:rPr>
        <w:t xml:space="preserve"> </w:t>
      </w:r>
      <w:r w:rsidRPr="00E9174E">
        <w:rPr>
          <w:sz w:val="26"/>
          <w:szCs w:val="26"/>
        </w:rPr>
        <w:t xml:space="preserve">rejection of the rate increase without completion of a revenue requirement analysis is contrary to the law and the evidence of record and must be rejected.  </w:t>
      </w:r>
      <w:r w:rsidR="00615AF7" w:rsidRPr="00E9174E">
        <w:rPr>
          <w:sz w:val="26"/>
          <w:szCs w:val="26"/>
        </w:rPr>
        <w:t>CG</w:t>
      </w:r>
      <w:r w:rsidRPr="00E9174E">
        <w:rPr>
          <w:sz w:val="26"/>
          <w:szCs w:val="26"/>
        </w:rPr>
        <w:t xml:space="preserve"> Exc. at 7 (</w:t>
      </w:r>
      <w:r w:rsidR="00D830AD" w:rsidRPr="00E9174E">
        <w:rPr>
          <w:sz w:val="26"/>
          <w:szCs w:val="26"/>
        </w:rPr>
        <w:t xml:space="preserve">citing </w:t>
      </w:r>
      <w:r w:rsidR="00615AF7" w:rsidRPr="00E9174E">
        <w:rPr>
          <w:sz w:val="26"/>
          <w:szCs w:val="26"/>
        </w:rPr>
        <w:t>CG</w:t>
      </w:r>
      <w:r w:rsidRPr="00E9174E">
        <w:rPr>
          <w:sz w:val="26"/>
          <w:szCs w:val="26"/>
        </w:rPr>
        <w:t xml:space="preserve"> M.B. at 15-30 and </w:t>
      </w:r>
      <w:r w:rsidR="00615AF7" w:rsidRPr="00E9174E">
        <w:rPr>
          <w:sz w:val="26"/>
          <w:szCs w:val="26"/>
        </w:rPr>
        <w:t>CG</w:t>
      </w:r>
      <w:r w:rsidRPr="00E9174E">
        <w:rPr>
          <w:sz w:val="26"/>
          <w:szCs w:val="26"/>
        </w:rPr>
        <w:t xml:space="preserve"> R.B. at 4-16).</w:t>
      </w:r>
    </w:p>
    <w:p w14:paraId="1A8183A3" w14:textId="77777777" w:rsidR="00E1318A" w:rsidRPr="00E9174E" w:rsidRDefault="00E1318A" w:rsidP="00E9174E">
      <w:pPr>
        <w:pStyle w:val="BodyText2"/>
        <w:widowControl/>
        <w:spacing w:after="0" w:line="360" w:lineRule="auto"/>
        <w:ind w:firstLine="1440"/>
        <w:contextualSpacing/>
        <w:rPr>
          <w:sz w:val="26"/>
          <w:szCs w:val="26"/>
        </w:rPr>
      </w:pPr>
    </w:p>
    <w:p w14:paraId="1EA315F2" w14:textId="3049BBDD" w:rsidR="00607852" w:rsidRPr="00E9174E" w:rsidRDefault="00F35D21" w:rsidP="00E9174E">
      <w:pPr>
        <w:widowControl/>
        <w:autoSpaceDE w:val="0"/>
        <w:autoSpaceDN w:val="0"/>
        <w:adjustRightInd w:val="0"/>
        <w:spacing w:line="360" w:lineRule="auto"/>
        <w:ind w:firstLine="1440"/>
        <w:contextualSpacing/>
        <w:rPr>
          <w:sz w:val="26"/>
          <w:szCs w:val="26"/>
        </w:rPr>
      </w:pPr>
      <w:r w:rsidRPr="00E9174E">
        <w:rPr>
          <w:sz w:val="26"/>
          <w:szCs w:val="26"/>
        </w:rPr>
        <w:t>In its Replies t</w:t>
      </w:r>
      <w:r w:rsidR="00A8492D" w:rsidRPr="00E9174E">
        <w:rPr>
          <w:sz w:val="26"/>
          <w:szCs w:val="26"/>
        </w:rPr>
        <w:t>he OCA submits that the</w:t>
      </w:r>
      <w:r w:rsidR="004C324E" w:rsidRPr="00E9174E">
        <w:rPr>
          <w:sz w:val="26"/>
          <w:szCs w:val="26"/>
        </w:rPr>
        <w:t xml:space="preserve"> Company has</w:t>
      </w:r>
      <w:r w:rsidR="00522EC8" w:rsidRPr="00E9174E">
        <w:rPr>
          <w:sz w:val="26"/>
          <w:szCs w:val="26"/>
        </w:rPr>
        <w:t xml:space="preserve"> not</w:t>
      </w:r>
      <w:r w:rsidR="004C324E" w:rsidRPr="00E9174E">
        <w:rPr>
          <w:sz w:val="26"/>
          <w:szCs w:val="26"/>
        </w:rPr>
        <w:t xml:space="preserve"> presented</w:t>
      </w:r>
      <w:r w:rsidR="00522EC8" w:rsidRPr="00E9174E">
        <w:rPr>
          <w:sz w:val="26"/>
          <w:szCs w:val="26"/>
        </w:rPr>
        <w:t xml:space="preserve"> any</w:t>
      </w:r>
      <w:r w:rsidR="004C324E" w:rsidRPr="00E9174E">
        <w:rPr>
          <w:sz w:val="26"/>
          <w:szCs w:val="26"/>
        </w:rPr>
        <w:t xml:space="preserve"> Commission </w:t>
      </w:r>
      <w:r w:rsidR="00375490" w:rsidRPr="00E9174E">
        <w:rPr>
          <w:sz w:val="26"/>
          <w:szCs w:val="26"/>
        </w:rPr>
        <w:t>R</w:t>
      </w:r>
      <w:r w:rsidR="004C324E" w:rsidRPr="00E9174E">
        <w:rPr>
          <w:sz w:val="26"/>
          <w:szCs w:val="26"/>
        </w:rPr>
        <w:t>egulation or</w:t>
      </w:r>
      <w:r w:rsidR="00522EC8" w:rsidRPr="00E9174E">
        <w:rPr>
          <w:sz w:val="26"/>
          <w:szCs w:val="26"/>
        </w:rPr>
        <w:t xml:space="preserve"> </w:t>
      </w:r>
      <w:r w:rsidR="00375490" w:rsidRPr="00E9174E">
        <w:rPr>
          <w:sz w:val="26"/>
          <w:szCs w:val="26"/>
        </w:rPr>
        <w:t>O</w:t>
      </w:r>
      <w:r w:rsidR="004C324E" w:rsidRPr="00E9174E">
        <w:rPr>
          <w:sz w:val="26"/>
          <w:szCs w:val="26"/>
        </w:rPr>
        <w:t xml:space="preserve">rder </w:t>
      </w:r>
      <w:r w:rsidR="00522EC8" w:rsidRPr="00E9174E">
        <w:rPr>
          <w:sz w:val="26"/>
          <w:szCs w:val="26"/>
        </w:rPr>
        <w:t>to</w:t>
      </w:r>
      <w:r w:rsidR="00773F60" w:rsidRPr="00E9174E">
        <w:rPr>
          <w:sz w:val="26"/>
          <w:szCs w:val="26"/>
        </w:rPr>
        <w:t xml:space="preserve"> support its argument </w:t>
      </w:r>
      <w:r w:rsidR="004C324E" w:rsidRPr="00E9174E">
        <w:rPr>
          <w:sz w:val="26"/>
          <w:szCs w:val="26"/>
        </w:rPr>
        <w:t xml:space="preserve">that </w:t>
      </w:r>
      <w:r w:rsidR="00A8492D" w:rsidRPr="00E9174E">
        <w:rPr>
          <w:sz w:val="26"/>
          <w:szCs w:val="26"/>
        </w:rPr>
        <w:t xml:space="preserve">the Commission must, in its determination of just and reasonable rates under Section 1301, </w:t>
      </w:r>
      <w:r w:rsidR="004C324E" w:rsidRPr="00E9174E">
        <w:rPr>
          <w:sz w:val="26"/>
          <w:szCs w:val="26"/>
        </w:rPr>
        <w:t>blindly apply a ratemaking formula as Columbia would like</w:t>
      </w:r>
      <w:r w:rsidR="00A8492D" w:rsidRPr="00E9174E">
        <w:rPr>
          <w:sz w:val="26"/>
          <w:szCs w:val="26"/>
        </w:rPr>
        <w:t>.  OCA R. Exc. at 1</w:t>
      </w:r>
      <w:r w:rsidR="00F32018" w:rsidRPr="00E9174E">
        <w:rPr>
          <w:sz w:val="26"/>
          <w:szCs w:val="26"/>
        </w:rPr>
        <w:t>-2</w:t>
      </w:r>
      <w:r w:rsidR="00A8492D" w:rsidRPr="00E9174E">
        <w:rPr>
          <w:sz w:val="26"/>
          <w:szCs w:val="26"/>
        </w:rPr>
        <w:t>.</w:t>
      </w:r>
      <w:r w:rsidR="007E3663" w:rsidRPr="00E9174E">
        <w:rPr>
          <w:sz w:val="26"/>
          <w:szCs w:val="26"/>
        </w:rPr>
        <w:t xml:space="preserve">  The OCA submits that the </w:t>
      </w:r>
      <w:r w:rsidR="00375490" w:rsidRPr="00E9174E">
        <w:rPr>
          <w:sz w:val="26"/>
          <w:szCs w:val="26"/>
        </w:rPr>
        <w:t>Recommended Decision</w:t>
      </w:r>
      <w:r w:rsidR="009D42DF" w:rsidRPr="00E9174E">
        <w:rPr>
          <w:sz w:val="26"/>
          <w:szCs w:val="26"/>
        </w:rPr>
        <w:t xml:space="preserve"> </w:t>
      </w:r>
      <w:r w:rsidR="007E3663" w:rsidRPr="00E9174E">
        <w:rPr>
          <w:sz w:val="26"/>
          <w:szCs w:val="26"/>
        </w:rPr>
        <w:t>was</w:t>
      </w:r>
      <w:r w:rsidR="00F32018" w:rsidRPr="00E9174E">
        <w:rPr>
          <w:sz w:val="26"/>
          <w:szCs w:val="26"/>
        </w:rPr>
        <w:t xml:space="preserve"> correct in concluding that the Commission possesses authority and discretion to deny a rate increase request when the utility fails to meet its burden of providing substantial evidence that new rates would be just and reasonable so long as rates are not confiscatory from a constitutional standpoint. </w:t>
      </w:r>
      <w:r w:rsidR="007E3663" w:rsidRPr="00E9174E">
        <w:rPr>
          <w:sz w:val="26"/>
          <w:szCs w:val="26"/>
        </w:rPr>
        <w:t xml:space="preserve"> OCA</w:t>
      </w:r>
      <w:r w:rsidR="00312385">
        <w:rPr>
          <w:sz w:val="26"/>
          <w:szCs w:val="26"/>
        </w:rPr>
        <w:t> </w:t>
      </w:r>
      <w:r w:rsidR="007E3663" w:rsidRPr="00E9174E">
        <w:rPr>
          <w:sz w:val="26"/>
          <w:szCs w:val="26"/>
        </w:rPr>
        <w:t>R.</w:t>
      </w:r>
      <w:r w:rsidR="00312385">
        <w:rPr>
          <w:sz w:val="26"/>
          <w:szCs w:val="26"/>
        </w:rPr>
        <w:t> </w:t>
      </w:r>
      <w:r w:rsidR="007E3663" w:rsidRPr="00E9174E">
        <w:rPr>
          <w:sz w:val="26"/>
          <w:szCs w:val="26"/>
        </w:rPr>
        <w:t xml:space="preserve">Exc. at 2 (citing </w:t>
      </w:r>
      <w:r w:rsidR="00F32018" w:rsidRPr="00E9174E">
        <w:rPr>
          <w:sz w:val="26"/>
          <w:szCs w:val="26"/>
        </w:rPr>
        <w:t>R.D. at 50-51</w:t>
      </w:r>
      <w:r w:rsidR="007E3663" w:rsidRPr="00E9174E">
        <w:rPr>
          <w:sz w:val="26"/>
          <w:szCs w:val="26"/>
        </w:rPr>
        <w:t>)</w:t>
      </w:r>
      <w:r w:rsidR="00F32018" w:rsidRPr="00E9174E">
        <w:rPr>
          <w:sz w:val="26"/>
          <w:szCs w:val="26"/>
        </w:rPr>
        <w:t xml:space="preserve">. </w:t>
      </w:r>
      <w:r w:rsidR="008E7C2D" w:rsidRPr="00E9174E">
        <w:rPr>
          <w:sz w:val="26"/>
          <w:szCs w:val="26"/>
        </w:rPr>
        <w:t xml:space="preserve"> The OCA points to the Commission’s recent decision in </w:t>
      </w:r>
      <w:r w:rsidR="008E7C2D" w:rsidRPr="00E9174E">
        <w:rPr>
          <w:i/>
          <w:iCs/>
          <w:sz w:val="26"/>
          <w:szCs w:val="26"/>
        </w:rPr>
        <w:t>Pa. PUC v. PGW</w:t>
      </w:r>
      <w:r w:rsidR="008E7C2D" w:rsidRPr="00E9174E">
        <w:rPr>
          <w:sz w:val="26"/>
          <w:szCs w:val="26"/>
        </w:rPr>
        <w:t>, Docket No. R-2020-3017206 (Order entered Nov.</w:t>
      </w:r>
      <w:r w:rsidR="00F34C86">
        <w:rPr>
          <w:sz w:val="26"/>
          <w:szCs w:val="26"/>
        </w:rPr>
        <w:t> </w:t>
      </w:r>
      <w:r w:rsidR="008E7C2D" w:rsidRPr="00E9174E">
        <w:rPr>
          <w:sz w:val="26"/>
          <w:szCs w:val="26"/>
        </w:rPr>
        <w:t>19,</w:t>
      </w:r>
      <w:r w:rsidR="00F34C86">
        <w:rPr>
          <w:sz w:val="26"/>
          <w:szCs w:val="26"/>
        </w:rPr>
        <w:t> </w:t>
      </w:r>
      <w:r w:rsidR="008E7C2D" w:rsidRPr="00E9174E">
        <w:rPr>
          <w:sz w:val="26"/>
          <w:szCs w:val="26"/>
        </w:rPr>
        <w:t>2020) (</w:t>
      </w:r>
      <w:r w:rsidR="008E7C2D" w:rsidRPr="00E9174E">
        <w:rPr>
          <w:i/>
          <w:iCs/>
          <w:sz w:val="26"/>
          <w:szCs w:val="26"/>
        </w:rPr>
        <w:t>PGW</w:t>
      </w:r>
      <w:r w:rsidR="00320C13" w:rsidRPr="00E9174E">
        <w:rPr>
          <w:i/>
          <w:iCs/>
          <w:sz w:val="26"/>
          <w:szCs w:val="26"/>
        </w:rPr>
        <w:t xml:space="preserve"> Rate Order</w:t>
      </w:r>
      <w:r w:rsidR="008E7C2D" w:rsidRPr="00E9174E">
        <w:rPr>
          <w:sz w:val="26"/>
          <w:szCs w:val="26"/>
        </w:rPr>
        <w:t xml:space="preserve">), in which the Commission, citing to </w:t>
      </w:r>
      <w:r w:rsidR="008E7C2D" w:rsidRPr="00E9174E">
        <w:rPr>
          <w:i/>
          <w:iCs/>
          <w:sz w:val="26"/>
          <w:szCs w:val="26"/>
        </w:rPr>
        <w:t>Po</w:t>
      </w:r>
      <w:r w:rsidR="00E40387" w:rsidRPr="00E9174E">
        <w:rPr>
          <w:i/>
          <w:iCs/>
          <w:sz w:val="26"/>
          <w:szCs w:val="26"/>
        </w:rPr>
        <w:t>powsky</w:t>
      </w:r>
      <w:r w:rsidR="00B02B52" w:rsidRPr="00E9174E">
        <w:rPr>
          <w:i/>
          <w:iCs/>
          <w:sz w:val="26"/>
          <w:szCs w:val="26"/>
        </w:rPr>
        <w:t xml:space="preserve"> II </w:t>
      </w:r>
      <w:r w:rsidR="008E7C2D" w:rsidRPr="00E9174E">
        <w:rPr>
          <w:sz w:val="26"/>
          <w:szCs w:val="26"/>
        </w:rPr>
        <w:t>stated “[t]here is no single way to arrive at just and reasonable rates, and ‘[t]he [Commission] has broad discretion in determining whether rates are reasonable’ and ‘is vested with discretion to decide what factors it will consider in setting or evaluating a utility’s rates.’”</w:t>
      </w:r>
      <w:r w:rsidR="00D5330C" w:rsidRPr="00E9174E">
        <w:rPr>
          <w:sz w:val="26"/>
          <w:szCs w:val="26"/>
        </w:rPr>
        <w:t xml:space="preserve">  OCA R. Exc. at </w:t>
      </w:r>
      <w:r w:rsidR="00607852" w:rsidRPr="00E9174E">
        <w:rPr>
          <w:sz w:val="26"/>
          <w:szCs w:val="26"/>
        </w:rPr>
        <w:t>2, n.1.</w:t>
      </w:r>
    </w:p>
    <w:p w14:paraId="36E9F7A7" w14:textId="77777777" w:rsidR="004560D0" w:rsidRPr="00E9174E" w:rsidRDefault="004560D0" w:rsidP="00E9174E">
      <w:pPr>
        <w:widowControl/>
        <w:autoSpaceDE w:val="0"/>
        <w:autoSpaceDN w:val="0"/>
        <w:adjustRightInd w:val="0"/>
        <w:spacing w:line="360" w:lineRule="auto"/>
        <w:ind w:firstLine="1440"/>
        <w:contextualSpacing/>
        <w:rPr>
          <w:sz w:val="26"/>
          <w:szCs w:val="26"/>
        </w:rPr>
      </w:pPr>
    </w:p>
    <w:p w14:paraId="562BE847" w14:textId="370DE6F7" w:rsidR="00E471CB" w:rsidRPr="00E9174E" w:rsidRDefault="00FF34E2" w:rsidP="00E9174E">
      <w:pPr>
        <w:widowControl/>
        <w:autoSpaceDE w:val="0"/>
        <w:autoSpaceDN w:val="0"/>
        <w:adjustRightInd w:val="0"/>
        <w:spacing w:line="360" w:lineRule="auto"/>
        <w:ind w:firstLine="1440"/>
        <w:contextualSpacing/>
        <w:rPr>
          <w:sz w:val="26"/>
          <w:szCs w:val="26"/>
        </w:rPr>
      </w:pPr>
      <w:r w:rsidRPr="00E9174E">
        <w:rPr>
          <w:sz w:val="26"/>
          <w:szCs w:val="26"/>
        </w:rPr>
        <w:t xml:space="preserve">The OCA submits that the case law discussed in the </w:t>
      </w:r>
      <w:r w:rsidR="00F92A6A" w:rsidRPr="00E9174E">
        <w:rPr>
          <w:sz w:val="26"/>
          <w:szCs w:val="26"/>
        </w:rPr>
        <w:t>Recommended Decision</w:t>
      </w:r>
      <w:r w:rsidR="008B12C1" w:rsidRPr="00E9174E">
        <w:rPr>
          <w:sz w:val="26"/>
          <w:szCs w:val="26"/>
        </w:rPr>
        <w:t xml:space="preserve"> </w:t>
      </w:r>
      <w:r w:rsidRPr="00E9174E">
        <w:rPr>
          <w:sz w:val="26"/>
          <w:szCs w:val="26"/>
        </w:rPr>
        <w:t>and the OCA’s briefs</w:t>
      </w:r>
      <w:r w:rsidR="00806029" w:rsidRPr="00E9174E">
        <w:rPr>
          <w:sz w:val="26"/>
          <w:szCs w:val="26"/>
        </w:rPr>
        <w:t xml:space="preserve"> </w:t>
      </w:r>
      <w:r w:rsidRPr="00E9174E">
        <w:rPr>
          <w:sz w:val="26"/>
          <w:szCs w:val="26"/>
        </w:rPr>
        <w:t xml:space="preserve">supports </w:t>
      </w:r>
      <w:r w:rsidR="00073382" w:rsidRPr="00E9174E">
        <w:rPr>
          <w:sz w:val="26"/>
          <w:szCs w:val="26"/>
        </w:rPr>
        <w:t>the ALJ’s</w:t>
      </w:r>
      <w:r w:rsidRPr="00E9174E">
        <w:rPr>
          <w:sz w:val="26"/>
          <w:szCs w:val="26"/>
        </w:rPr>
        <w:t xml:space="preserve"> conclusion that the Commission has </w:t>
      </w:r>
      <w:r w:rsidRPr="00E9174E">
        <w:rPr>
          <w:sz w:val="26"/>
          <w:szCs w:val="26"/>
        </w:rPr>
        <w:lastRenderedPageBreak/>
        <w:t>the authority and discretion in this matter to</w:t>
      </w:r>
      <w:r w:rsidR="00073382" w:rsidRPr="00E9174E">
        <w:rPr>
          <w:sz w:val="26"/>
          <w:szCs w:val="26"/>
        </w:rPr>
        <w:t xml:space="preserve"> completely</w:t>
      </w:r>
      <w:r w:rsidRPr="00E9174E">
        <w:rPr>
          <w:sz w:val="26"/>
          <w:szCs w:val="26"/>
        </w:rPr>
        <w:t xml:space="preserve"> deny the Company’s rate increase request.  </w:t>
      </w:r>
      <w:r w:rsidR="00073382" w:rsidRPr="00E9174E">
        <w:rPr>
          <w:sz w:val="26"/>
          <w:szCs w:val="26"/>
        </w:rPr>
        <w:t xml:space="preserve">OCA R. Exc. at 2 (citing </w:t>
      </w:r>
      <w:r w:rsidRPr="00E9174E">
        <w:rPr>
          <w:sz w:val="26"/>
          <w:szCs w:val="26"/>
        </w:rPr>
        <w:t>R</w:t>
      </w:r>
      <w:r w:rsidR="00073382" w:rsidRPr="00E9174E">
        <w:rPr>
          <w:sz w:val="26"/>
          <w:szCs w:val="26"/>
        </w:rPr>
        <w:t>.</w:t>
      </w:r>
      <w:r w:rsidRPr="00E9174E">
        <w:rPr>
          <w:sz w:val="26"/>
          <w:szCs w:val="26"/>
        </w:rPr>
        <w:t>D. at 49-51</w:t>
      </w:r>
      <w:r w:rsidR="00073382" w:rsidRPr="00E9174E">
        <w:rPr>
          <w:sz w:val="26"/>
          <w:szCs w:val="26"/>
        </w:rPr>
        <w:t>)</w:t>
      </w:r>
      <w:r w:rsidRPr="00E9174E">
        <w:rPr>
          <w:sz w:val="26"/>
          <w:szCs w:val="26"/>
        </w:rPr>
        <w:t xml:space="preserve">. </w:t>
      </w:r>
      <w:r w:rsidR="00806029" w:rsidRPr="00E9174E">
        <w:rPr>
          <w:sz w:val="26"/>
          <w:szCs w:val="26"/>
        </w:rPr>
        <w:t xml:space="preserve"> Additionally, the OCA submits that the evidence presented in this case also demonstrates that the </w:t>
      </w:r>
      <w:r w:rsidR="00F92A6A" w:rsidRPr="00E9174E">
        <w:rPr>
          <w:sz w:val="26"/>
          <w:szCs w:val="26"/>
        </w:rPr>
        <w:t>Recommended Decision</w:t>
      </w:r>
      <w:r w:rsidR="00806029" w:rsidRPr="00E9174E">
        <w:rPr>
          <w:sz w:val="26"/>
          <w:szCs w:val="26"/>
        </w:rPr>
        <w:t xml:space="preserve">’s denial of </w:t>
      </w:r>
      <w:r w:rsidR="00AB0C11" w:rsidRPr="00E9174E">
        <w:rPr>
          <w:sz w:val="26"/>
          <w:szCs w:val="26"/>
        </w:rPr>
        <w:t xml:space="preserve">the </w:t>
      </w:r>
      <w:r w:rsidR="00806029" w:rsidRPr="00E9174E">
        <w:rPr>
          <w:sz w:val="26"/>
          <w:szCs w:val="26"/>
        </w:rPr>
        <w:t xml:space="preserve">rate relief was proper.  Specifically, </w:t>
      </w:r>
      <w:r w:rsidR="00073382" w:rsidRPr="00E9174E">
        <w:rPr>
          <w:sz w:val="26"/>
          <w:szCs w:val="26"/>
        </w:rPr>
        <w:t>the OCA submits that t</w:t>
      </w:r>
      <w:r w:rsidR="00B6451B" w:rsidRPr="00E9174E">
        <w:rPr>
          <w:sz w:val="26"/>
          <w:szCs w:val="26"/>
        </w:rPr>
        <w:t xml:space="preserve">he ALJ’s examination of </w:t>
      </w:r>
      <w:r w:rsidR="00F32018" w:rsidRPr="00E9174E">
        <w:rPr>
          <w:sz w:val="26"/>
          <w:szCs w:val="26"/>
        </w:rPr>
        <w:t>Columbia’s current revenues and expenses</w:t>
      </w:r>
      <w:r w:rsidR="00B6451B" w:rsidRPr="00E9174E">
        <w:rPr>
          <w:sz w:val="26"/>
          <w:szCs w:val="26"/>
        </w:rPr>
        <w:t xml:space="preserve"> </w:t>
      </w:r>
      <w:r w:rsidR="00076398" w:rsidRPr="00E9174E">
        <w:rPr>
          <w:sz w:val="26"/>
          <w:szCs w:val="26"/>
        </w:rPr>
        <w:t xml:space="preserve">properly </w:t>
      </w:r>
      <w:r w:rsidR="00B6451B" w:rsidRPr="00E9174E">
        <w:rPr>
          <w:sz w:val="26"/>
          <w:szCs w:val="26"/>
        </w:rPr>
        <w:t>led to her conclusion th</w:t>
      </w:r>
      <w:r w:rsidR="00F32018" w:rsidRPr="00E9174E">
        <w:rPr>
          <w:sz w:val="26"/>
          <w:szCs w:val="26"/>
        </w:rPr>
        <w:t xml:space="preserve">at the Company’s current revenues were sufficient to cover its costs and provide a return.  </w:t>
      </w:r>
      <w:r w:rsidRPr="00E9174E">
        <w:rPr>
          <w:sz w:val="26"/>
          <w:szCs w:val="26"/>
        </w:rPr>
        <w:t xml:space="preserve">The ALJ </w:t>
      </w:r>
      <w:r w:rsidR="00F32018" w:rsidRPr="00E9174E">
        <w:rPr>
          <w:sz w:val="26"/>
          <w:szCs w:val="26"/>
        </w:rPr>
        <w:t xml:space="preserve">examined the case in full and determined that Columbia failed to meet its burden of proving, with substantial evidence, the accuracy of its pre-pandemic projections and that a rate increase would lead to just and reasonable rates. </w:t>
      </w:r>
      <w:r w:rsidR="00076398" w:rsidRPr="00E9174E">
        <w:rPr>
          <w:sz w:val="26"/>
          <w:szCs w:val="26"/>
        </w:rPr>
        <w:t xml:space="preserve"> OCA R. Exc. at 2 (citing </w:t>
      </w:r>
      <w:r w:rsidR="00F32018" w:rsidRPr="00E9174E">
        <w:rPr>
          <w:sz w:val="26"/>
          <w:szCs w:val="26"/>
        </w:rPr>
        <w:t xml:space="preserve">R.D. at 50-51; </w:t>
      </w:r>
      <w:r w:rsidR="00615AF7" w:rsidRPr="00E9174E">
        <w:rPr>
          <w:sz w:val="26"/>
          <w:szCs w:val="26"/>
        </w:rPr>
        <w:t>CG</w:t>
      </w:r>
      <w:r w:rsidR="00F32018" w:rsidRPr="00E9174E">
        <w:rPr>
          <w:sz w:val="26"/>
          <w:szCs w:val="26"/>
        </w:rPr>
        <w:t xml:space="preserve"> Exc. at 1</w:t>
      </w:r>
      <w:r w:rsidR="00076398" w:rsidRPr="00E9174E">
        <w:rPr>
          <w:sz w:val="26"/>
          <w:szCs w:val="26"/>
        </w:rPr>
        <w:t>)</w:t>
      </w:r>
      <w:r w:rsidR="00F32018" w:rsidRPr="00E9174E">
        <w:rPr>
          <w:sz w:val="26"/>
          <w:szCs w:val="26"/>
        </w:rPr>
        <w:t xml:space="preserve">.  </w:t>
      </w:r>
      <w:r w:rsidR="00E471CB" w:rsidRPr="00E9174E">
        <w:rPr>
          <w:sz w:val="26"/>
          <w:szCs w:val="26"/>
        </w:rPr>
        <w:t xml:space="preserve">Furthermore, the OCA claims it presented evidence that Columbia could continue </w:t>
      </w:r>
      <w:r w:rsidR="002E05EE" w:rsidRPr="00E9174E">
        <w:rPr>
          <w:sz w:val="26"/>
          <w:szCs w:val="26"/>
        </w:rPr>
        <w:t xml:space="preserve">to provide safe, efficient, and adequate service at current rates and still have an opportunity to earn a fair rate of return, and the Company did not introduce evidence to counter the OCA’s evidence.  OCA R. Exc. at 2 (citing R.D. at 51; OCA R.B. at 2; OCA St. 1 at 23). </w:t>
      </w:r>
    </w:p>
    <w:p w14:paraId="5F0E65A0" w14:textId="465D8DCE" w:rsidR="00715B82" w:rsidRPr="00E9174E" w:rsidRDefault="00715B82" w:rsidP="00E9174E">
      <w:pPr>
        <w:widowControl/>
        <w:autoSpaceDE w:val="0"/>
        <w:autoSpaceDN w:val="0"/>
        <w:adjustRightInd w:val="0"/>
        <w:spacing w:line="360" w:lineRule="auto"/>
        <w:ind w:firstLine="1440"/>
        <w:contextualSpacing/>
        <w:rPr>
          <w:sz w:val="26"/>
          <w:szCs w:val="26"/>
        </w:rPr>
      </w:pPr>
    </w:p>
    <w:p w14:paraId="55D16C87" w14:textId="6245C9CF" w:rsidR="00681779" w:rsidRPr="00E9174E" w:rsidRDefault="00715B82" w:rsidP="00E9174E">
      <w:pPr>
        <w:widowControl/>
        <w:tabs>
          <w:tab w:val="left" w:pos="3332"/>
        </w:tabs>
        <w:autoSpaceDE w:val="0"/>
        <w:autoSpaceDN w:val="0"/>
        <w:adjustRightInd w:val="0"/>
        <w:spacing w:line="360" w:lineRule="auto"/>
        <w:ind w:firstLine="1440"/>
        <w:contextualSpacing/>
        <w:rPr>
          <w:sz w:val="26"/>
          <w:szCs w:val="26"/>
        </w:rPr>
      </w:pPr>
      <w:r w:rsidRPr="00E9174E">
        <w:rPr>
          <w:sz w:val="26"/>
          <w:szCs w:val="26"/>
        </w:rPr>
        <w:t xml:space="preserve">According to the OCA, </w:t>
      </w:r>
      <w:r w:rsidR="00402E34" w:rsidRPr="00E9174E">
        <w:rPr>
          <w:sz w:val="26"/>
          <w:szCs w:val="26"/>
        </w:rPr>
        <w:t>there is no basis</w:t>
      </w:r>
      <w:r w:rsidR="00326DD3" w:rsidRPr="00E9174E">
        <w:rPr>
          <w:sz w:val="26"/>
          <w:szCs w:val="26"/>
        </w:rPr>
        <w:t>,</w:t>
      </w:r>
      <w:r w:rsidR="00402E34" w:rsidRPr="00E9174E">
        <w:rPr>
          <w:sz w:val="26"/>
          <w:szCs w:val="26"/>
        </w:rPr>
        <w:t xml:space="preserve"> in law or evidence</w:t>
      </w:r>
      <w:r w:rsidR="00326DD3" w:rsidRPr="00E9174E">
        <w:rPr>
          <w:sz w:val="26"/>
          <w:szCs w:val="26"/>
        </w:rPr>
        <w:t>,</w:t>
      </w:r>
      <w:r w:rsidR="00402E34" w:rsidRPr="00E9174E">
        <w:rPr>
          <w:sz w:val="26"/>
          <w:szCs w:val="26"/>
        </w:rPr>
        <w:t xml:space="preserve"> for concluding that the </w:t>
      </w:r>
      <w:r w:rsidR="00911D19" w:rsidRPr="00E9174E">
        <w:rPr>
          <w:sz w:val="26"/>
          <w:szCs w:val="26"/>
        </w:rPr>
        <w:t>Recommended Decision’s</w:t>
      </w:r>
      <w:r w:rsidR="00402E34" w:rsidRPr="00E9174E">
        <w:rPr>
          <w:sz w:val="26"/>
          <w:szCs w:val="26"/>
        </w:rPr>
        <w:t xml:space="preserve"> denial of Columbia’s requested rate increase is </w:t>
      </w:r>
      <w:r w:rsidR="00051A72" w:rsidRPr="00E9174E">
        <w:rPr>
          <w:sz w:val="26"/>
          <w:szCs w:val="26"/>
        </w:rPr>
        <w:t>unconstitutional or confiscatory</w:t>
      </w:r>
      <w:r w:rsidR="00615A98" w:rsidRPr="00E9174E">
        <w:rPr>
          <w:sz w:val="26"/>
          <w:szCs w:val="26"/>
        </w:rPr>
        <w:t xml:space="preserve">. </w:t>
      </w:r>
      <w:r w:rsidR="00A9769B" w:rsidRPr="00E9174E">
        <w:rPr>
          <w:sz w:val="26"/>
          <w:szCs w:val="26"/>
        </w:rPr>
        <w:t xml:space="preserve"> </w:t>
      </w:r>
      <w:r w:rsidR="001800D9" w:rsidRPr="00E9174E">
        <w:rPr>
          <w:sz w:val="26"/>
          <w:szCs w:val="26"/>
        </w:rPr>
        <w:t xml:space="preserve">OCA R. Exc. at 2-3. </w:t>
      </w:r>
      <w:r w:rsidR="00615A98" w:rsidRPr="00E9174E">
        <w:rPr>
          <w:sz w:val="26"/>
          <w:szCs w:val="26"/>
        </w:rPr>
        <w:t xml:space="preserve"> </w:t>
      </w:r>
      <w:r w:rsidR="000F79E6" w:rsidRPr="00E9174E">
        <w:rPr>
          <w:sz w:val="26"/>
          <w:szCs w:val="26"/>
        </w:rPr>
        <w:t>The</w:t>
      </w:r>
      <w:r w:rsidR="00615A98" w:rsidRPr="00E9174E">
        <w:rPr>
          <w:sz w:val="26"/>
          <w:szCs w:val="26"/>
        </w:rPr>
        <w:t xml:space="preserve"> OCA submits that</w:t>
      </w:r>
      <w:r w:rsidR="000F79E6" w:rsidRPr="00E9174E">
        <w:rPr>
          <w:sz w:val="26"/>
          <w:szCs w:val="26"/>
        </w:rPr>
        <w:t>,</w:t>
      </w:r>
      <w:r w:rsidR="00615A98" w:rsidRPr="00E9174E">
        <w:rPr>
          <w:sz w:val="26"/>
          <w:szCs w:val="26"/>
        </w:rPr>
        <w:t xml:space="preserve"> to invoke constitutional protection from confiscatory rates, it is not sufficient for a utility to merely assert in general language that rates are confiscatory.</w:t>
      </w:r>
      <w:r w:rsidR="00BA4350" w:rsidRPr="00E9174E">
        <w:rPr>
          <w:sz w:val="26"/>
          <w:szCs w:val="26"/>
        </w:rPr>
        <w:t xml:space="preserve"> </w:t>
      </w:r>
      <w:r w:rsidR="00D60D71" w:rsidRPr="00E9174E">
        <w:rPr>
          <w:sz w:val="26"/>
          <w:szCs w:val="26"/>
        </w:rPr>
        <w:t xml:space="preserve"> </w:t>
      </w:r>
      <w:r w:rsidR="000C2D3A" w:rsidRPr="00E9174E">
        <w:rPr>
          <w:sz w:val="26"/>
          <w:szCs w:val="26"/>
        </w:rPr>
        <w:t xml:space="preserve">The utility must specifically set forth facts that make clear that the rates would necessarily deny it just compensation and deprive it of its property without due process of law. </w:t>
      </w:r>
      <w:r w:rsidR="00692D4B" w:rsidRPr="00E9174E">
        <w:rPr>
          <w:sz w:val="26"/>
          <w:szCs w:val="26"/>
        </w:rPr>
        <w:t xml:space="preserve"> </w:t>
      </w:r>
      <w:r w:rsidR="00BA4350" w:rsidRPr="00E9174E">
        <w:rPr>
          <w:sz w:val="26"/>
          <w:szCs w:val="26"/>
        </w:rPr>
        <w:t>OCA R. Exc. at 3, n. 2 (citing</w:t>
      </w:r>
      <w:r w:rsidR="00615A98" w:rsidRPr="00E9174E">
        <w:rPr>
          <w:sz w:val="26"/>
          <w:szCs w:val="26"/>
        </w:rPr>
        <w:t xml:space="preserve"> </w:t>
      </w:r>
      <w:r w:rsidR="00615A98" w:rsidRPr="00E9174E">
        <w:rPr>
          <w:i/>
          <w:iCs/>
          <w:sz w:val="26"/>
          <w:szCs w:val="26"/>
        </w:rPr>
        <w:t>P</w:t>
      </w:r>
      <w:bookmarkStart w:id="46" w:name="_BA_Cite_0CCD6D_000017"/>
      <w:bookmarkEnd w:id="46"/>
      <w:r w:rsidR="00615A98" w:rsidRPr="00E9174E">
        <w:rPr>
          <w:i/>
          <w:iCs/>
          <w:sz w:val="26"/>
          <w:szCs w:val="26"/>
        </w:rPr>
        <w:t>ublic Service Com. v. Great Northern Utilities Co.</w:t>
      </w:r>
      <w:r w:rsidR="00615A98" w:rsidRPr="00F34C86">
        <w:rPr>
          <w:sz w:val="26"/>
          <w:szCs w:val="26"/>
        </w:rPr>
        <w:t>,</w:t>
      </w:r>
      <w:r w:rsidR="00615A98" w:rsidRPr="00E9174E">
        <w:rPr>
          <w:sz w:val="26"/>
          <w:szCs w:val="26"/>
        </w:rPr>
        <w:t xml:space="preserve"> 289 U.S. 130</w:t>
      </w:r>
      <w:r w:rsidR="004F7DA1" w:rsidRPr="00E9174E">
        <w:rPr>
          <w:sz w:val="26"/>
          <w:szCs w:val="26"/>
        </w:rPr>
        <w:t xml:space="preserve">, </w:t>
      </w:r>
      <w:r w:rsidR="00615A98" w:rsidRPr="00E9174E">
        <w:rPr>
          <w:sz w:val="26"/>
          <w:szCs w:val="26"/>
        </w:rPr>
        <w:t>136-37 (1933)</w:t>
      </w:r>
      <w:r w:rsidR="00BA4350" w:rsidRPr="00E9174E">
        <w:rPr>
          <w:sz w:val="26"/>
          <w:szCs w:val="26"/>
        </w:rPr>
        <w:t xml:space="preserve"> (</w:t>
      </w:r>
      <w:r w:rsidR="00BA4350" w:rsidRPr="00E9174E">
        <w:rPr>
          <w:i/>
          <w:iCs/>
          <w:sz w:val="26"/>
          <w:szCs w:val="26"/>
        </w:rPr>
        <w:t>Great Northern</w:t>
      </w:r>
      <w:r w:rsidR="00BA4350" w:rsidRPr="00E9174E">
        <w:rPr>
          <w:sz w:val="26"/>
          <w:szCs w:val="26"/>
        </w:rPr>
        <w:t>)</w:t>
      </w:r>
      <w:r w:rsidR="000C2D3A" w:rsidRPr="00E9174E">
        <w:rPr>
          <w:sz w:val="26"/>
          <w:szCs w:val="26"/>
        </w:rPr>
        <w:t>)</w:t>
      </w:r>
      <w:r w:rsidR="00615A98" w:rsidRPr="00E9174E">
        <w:rPr>
          <w:sz w:val="26"/>
          <w:szCs w:val="26"/>
        </w:rPr>
        <w:t>.</w:t>
      </w:r>
      <w:r w:rsidR="00D32C3B" w:rsidRPr="00E9174E">
        <w:rPr>
          <w:sz w:val="26"/>
          <w:szCs w:val="26"/>
        </w:rPr>
        <w:t xml:space="preserve">  </w:t>
      </w:r>
      <w:r w:rsidR="00557326" w:rsidRPr="00E9174E">
        <w:rPr>
          <w:sz w:val="26"/>
          <w:szCs w:val="26"/>
        </w:rPr>
        <w:t>W</w:t>
      </w:r>
      <w:r w:rsidR="00D32C3B" w:rsidRPr="00E9174E">
        <w:rPr>
          <w:sz w:val="26"/>
          <w:szCs w:val="26"/>
        </w:rPr>
        <w:t>hen it comes to ratemaking, “[a]</w:t>
      </w:r>
      <w:proofErr w:type="spellStart"/>
      <w:r w:rsidR="00D32C3B" w:rsidRPr="00E9174E">
        <w:rPr>
          <w:sz w:val="26"/>
          <w:szCs w:val="26"/>
        </w:rPr>
        <w:t>ll</w:t>
      </w:r>
      <w:proofErr w:type="spellEnd"/>
      <w:r w:rsidR="00D32C3B" w:rsidRPr="00E9174E">
        <w:rPr>
          <w:sz w:val="26"/>
          <w:szCs w:val="26"/>
        </w:rPr>
        <w:t xml:space="preserve"> that is protected against, in a constitutional sense, is that the rates fixed by the Commission be higher than a confiscatory level.</w:t>
      </w:r>
      <w:r w:rsidR="00CC7C12" w:rsidRPr="00E9174E">
        <w:rPr>
          <w:sz w:val="26"/>
          <w:szCs w:val="26"/>
        </w:rPr>
        <w:t xml:space="preserve">”  OCA R. Exc. at 3 (citing </w:t>
      </w:r>
      <w:r w:rsidR="00681779" w:rsidRPr="00E9174E">
        <w:rPr>
          <w:i/>
          <w:iCs/>
          <w:sz w:val="26"/>
          <w:szCs w:val="26"/>
        </w:rPr>
        <w:t>F</w:t>
      </w:r>
      <w:bookmarkStart w:id="47" w:name="_BA_Cite_0CCD6D_000021"/>
      <w:bookmarkEnd w:id="47"/>
      <w:r w:rsidR="00681779" w:rsidRPr="00E9174E">
        <w:rPr>
          <w:i/>
          <w:iCs/>
          <w:sz w:val="26"/>
          <w:szCs w:val="26"/>
        </w:rPr>
        <w:t>ederal Power Comm</w:t>
      </w:r>
      <w:r w:rsidR="001C0A15" w:rsidRPr="00E9174E">
        <w:rPr>
          <w:i/>
          <w:iCs/>
          <w:sz w:val="26"/>
          <w:szCs w:val="26"/>
        </w:rPr>
        <w:t>’</w:t>
      </w:r>
      <w:r w:rsidR="00681779" w:rsidRPr="00E9174E">
        <w:rPr>
          <w:i/>
          <w:iCs/>
          <w:sz w:val="26"/>
          <w:szCs w:val="26"/>
        </w:rPr>
        <w:t>n v. Texaco, Inc.</w:t>
      </w:r>
      <w:r w:rsidR="00681779" w:rsidRPr="00854BD7">
        <w:rPr>
          <w:sz w:val="26"/>
          <w:szCs w:val="26"/>
        </w:rPr>
        <w:t>,</w:t>
      </w:r>
      <w:r w:rsidR="00681779" w:rsidRPr="00E9174E">
        <w:rPr>
          <w:sz w:val="26"/>
          <w:szCs w:val="26"/>
        </w:rPr>
        <w:t xml:space="preserve"> 417 U.S. 380, 392-92 (1974) (citing </w:t>
      </w:r>
      <w:r w:rsidR="00681779" w:rsidRPr="00E9174E">
        <w:rPr>
          <w:i/>
          <w:iCs/>
          <w:sz w:val="26"/>
          <w:szCs w:val="26"/>
        </w:rPr>
        <w:t>F</w:t>
      </w:r>
      <w:bookmarkStart w:id="48" w:name="_BA_Cite_0CCD6D_000091"/>
      <w:bookmarkEnd w:id="48"/>
      <w:r w:rsidR="00681779" w:rsidRPr="00E9174E">
        <w:rPr>
          <w:i/>
          <w:iCs/>
          <w:sz w:val="26"/>
          <w:szCs w:val="26"/>
        </w:rPr>
        <w:t>PC v. Natural Gas Pipeline</w:t>
      </w:r>
      <w:r w:rsidR="004560D0" w:rsidRPr="00E9174E">
        <w:rPr>
          <w:i/>
          <w:iCs/>
          <w:sz w:val="26"/>
          <w:szCs w:val="26"/>
        </w:rPr>
        <w:t xml:space="preserve"> </w:t>
      </w:r>
      <w:r w:rsidR="00681779" w:rsidRPr="00E9174E">
        <w:rPr>
          <w:i/>
          <w:iCs/>
          <w:sz w:val="26"/>
          <w:szCs w:val="26"/>
        </w:rPr>
        <w:t>Co.</w:t>
      </w:r>
      <w:r w:rsidR="00681779" w:rsidRPr="00E9174E">
        <w:rPr>
          <w:sz w:val="26"/>
          <w:szCs w:val="26"/>
        </w:rPr>
        <w:t>, 3</w:t>
      </w:r>
      <w:bookmarkStart w:id="49" w:name="_BA_Cite_0CCD6D_000095"/>
      <w:bookmarkEnd w:id="49"/>
      <w:r w:rsidR="00681779" w:rsidRPr="00E9174E">
        <w:rPr>
          <w:sz w:val="26"/>
          <w:szCs w:val="26"/>
        </w:rPr>
        <w:t>15 U.S. at 585)).</w:t>
      </w:r>
      <w:r w:rsidR="00F10AE5" w:rsidRPr="00E9174E">
        <w:rPr>
          <w:sz w:val="26"/>
          <w:szCs w:val="26"/>
        </w:rPr>
        <w:t xml:space="preserve">  Additionally, “[t]he ratemaking process…, i.e., the fixing of ‘just and reasonable’ rates, involves a balancing of the investor and consumer interests . . . and does not </w:t>
      </w:r>
      <w:proofErr w:type="gramStart"/>
      <w:r w:rsidR="00F10AE5" w:rsidRPr="00E9174E">
        <w:rPr>
          <w:sz w:val="26"/>
          <w:szCs w:val="26"/>
        </w:rPr>
        <w:t>insure</w:t>
      </w:r>
      <w:proofErr w:type="gramEnd"/>
      <w:r w:rsidR="00F10AE5" w:rsidRPr="00E9174E">
        <w:rPr>
          <w:sz w:val="26"/>
          <w:szCs w:val="26"/>
        </w:rPr>
        <w:t xml:space="preserve"> that </w:t>
      </w:r>
      <w:r w:rsidR="00F10AE5" w:rsidRPr="00E9174E">
        <w:rPr>
          <w:sz w:val="26"/>
          <w:szCs w:val="26"/>
        </w:rPr>
        <w:lastRenderedPageBreak/>
        <w:t>the business shall produce revenues.”  OCA R. Exc. at</w:t>
      </w:r>
      <w:r w:rsidR="00F258A2" w:rsidRPr="00E9174E">
        <w:rPr>
          <w:sz w:val="26"/>
          <w:szCs w:val="26"/>
        </w:rPr>
        <w:t xml:space="preserve"> 3 (citing</w:t>
      </w:r>
      <w:r w:rsidR="00F10AE5" w:rsidRPr="00E9174E">
        <w:rPr>
          <w:sz w:val="26"/>
          <w:szCs w:val="26"/>
        </w:rPr>
        <w:t xml:space="preserve"> </w:t>
      </w:r>
      <w:r w:rsidR="00F258A2" w:rsidRPr="00E9174E">
        <w:rPr>
          <w:i/>
          <w:iCs/>
          <w:sz w:val="26"/>
          <w:szCs w:val="26"/>
        </w:rPr>
        <w:t>F</w:t>
      </w:r>
      <w:bookmarkStart w:id="50" w:name="_BA_Cite_0CCD6D_000023"/>
      <w:bookmarkEnd w:id="50"/>
      <w:r w:rsidR="00F258A2" w:rsidRPr="00E9174E">
        <w:rPr>
          <w:i/>
          <w:iCs/>
          <w:sz w:val="26"/>
          <w:szCs w:val="26"/>
        </w:rPr>
        <w:t>ederal Power Commission v. Hope Natural Gas Co</w:t>
      </w:r>
      <w:r w:rsidR="00F258A2" w:rsidRPr="00E9174E">
        <w:rPr>
          <w:sz w:val="26"/>
          <w:szCs w:val="26"/>
        </w:rPr>
        <w:t>., 320 U.S. 591 (1944)) (</w:t>
      </w:r>
      <w:r w:rsidR="00F258A2" w:rsidRPr="00E9174E">
        <w:rPr>
          <w:i/>
          <w:iCs/>
          <w:sz w:val="26"/>
          <w:szCs w:val="26"/>
        </w:rPr>
        <w:t>Hope</w:t>
      </w:r>
      <w:r w:rsidR="00F258A2" w:rsidRPr="00E9174E">
        <w:rPr>
          <w:sz w:val="26"/>
          <w:szCs w:val="26"/>
        </w:rPr>
        <w:t>).</w:t>
      </w:r>
      <w:r w:rsidR="00213CED" w:rsidRPr="00E9174E">
        <w:rPr>
          <w:sz w:val="26"/>
          <w:szCs w:val="26"/>
        </w:rPr>
        <w:t xml:space="preserve">  </w:t>
      </w:r>
      <w:r w:rsidR="00557326" w:rsidRPr="00E9174E">
        <w:rPr>
          <w:sz w:val="26"/>
          <w:szCs w:val="26"/>
        </w:rPr>
        <w:t>Here, t</w:t>
      </w:r>
      <w:r w:rsidR="00050E52" w:rsidRPr="00E9174E">
        <w:rPr>
          <w:sz w:val="26"/>
          <w:szCs w:val="26"/>
        </w:rPr>
        <w:t>he OCA submits that the ALJ</w:t>
      </w:r>
      <w:r w:rsidR="00C34389" w:rsidRPr="00E9174E">
        <w:rPr>
          <w:sz w:val="26"/>
          <w:szCs w:val="26"/>
        </w:rPr>
        <w:t>, after fully reviewing the evidence,</w:t>
      </w:r>
      <w:r w:rsidR="00050E52" w:rsidRPr="00E9174E">
        <w:rPr>
          <w:sz w:val="26"/>
          <w:szCs w:val="26"/>
        </w:rPr>
        <w:t xml:space="preserve"> </w:t>
      </w:r>
      <w:r w:rsidR="00213CED" w:rsidRPr="00E9174E">
        <w:rPr>
          <w:sz w:val="26"/>
          <w:szCs w:val="26"/>
        </w:rPr>
        <w:t xml:space="preserve">balanced the interests of ratepayers, the utility, and its investors, evaluated the Company’s constitutional claims, and properly concluded that Columbia can continue to provide safe, efficient, and adequate service and earn a fair rate of return at current rates.  </w:t>
      </w:r>
      <w:r w:rsidR="00FE4447" w:rsidRPr="00E9174E">
        <w:rPr>
          <w:sz w:val="26"/>
          <w:szCs w:val="26"/>
        </w:rPr>
        <w:t xml:space="preserve">OCA R. Exc. at 3 (citing </w:t>
      </w:r>
      <w:r w:rsidR="00213CED" w:rsidRPr="00E9174E">
        <w:rPr>
          <w:sz w:val="26"/>
          <w:szCs w:val="26"/>
        </w:rPr>
        <w:t>R.D. at 49-51</w:t>
      </w:r>
      <w:r w:rsidR="00FE4447" w:rsidRPr="00E9174E">
        <w:rPr>
          <w:sz w:val="26"/>
          <w:szCs w:val="26"/>
        </w:rPr>
        <w:t>)</w:t>
      </w:r>
      <w:r w:rsidR="00213CED" w:rsidRPr="00E9174E">
        <w:rPr>
          <w:sz w:val="26"/>
          <w:szCs w:val="26"/>
        </w:rPr>
        <w:t>.</w:t>
      </w:r>
    </w:p>
    <w:p w14:paraId="01A91363" w14:textId="4474587F" w:rsidR="00681779" w:rsidRPr="00E9174E" w:rsidRDefault="00681779" w:rsidP="00E9174E">
      <w:pPr>
        <w:widowControl/>
        <w:tabs>
          <w:tab w:val="left" w:pos="3332"/>
        </w:tabs>
        <w:autoSpaceDE w:val="0"/>
        <w:autoSpaceDN w:val="0"/>
        <w:adjustRightInd w:val="0"/>
        <w:spacing w:line="360" w:lineRule="auto"/>
        <w:ind w:firstLine="1440"/>
        <w:contextualSpacing/>
        <w:rPr>
          <w:sz w:val="26"/>
          <w:szCs w:val="26"/>
        </w:rPr>
      </w:pPr>
    </w:p>
    <w:p w14:paraId="3E73E42B" w14:textId="4168BA6E" w:rsidR="0097198D" w:rsidRPr="00E9174E" w:rsidRDefault="006B638D" w:rsidP="00E9174E">
      <w:pPr>
        <w:widowControl/>
        <w:tabs>
          <w:tab w:val="left" w:pos="3332"/>
        </w:tabs>
        <w:autoSpaceDE w:val="0"/>
        <w:autoSpaceDN w:val="0"/>
        <w:adjustRightInd w:val="0"/>
        <w:spacing w:line="360" w:lineRule="auto"/>
        <w:ind w:firstLine="1440"/>
        <w:contextualSpacing/>
        <w:rPr>
          <w:sz w:val="26"/>
          <w:szCs w:val="26"/>
        </w:rPr>
      </w:pPr>
      <w:r w:rsidRPr="00E9174E">
        <w:rPr>
          <w:sz w:val="26"/>
          <w:szCs w:val="26"/>
        </w:rPr>
        <w:t>The</w:t>
      </w:r>
      <w:r w:rsidR="00401A8C" w:rsidRPr="00E9174E">
        <w:rPr>
          <w:sz w:val="26"/>
          <w:szCs w:val="26"/>
        </w:rPr>
        <w:t xml:space="preserve"> OCA submits that</w:t>
      </w:r>
      <w:r w:rsidR="008D373A" w:rsidRPr="00E9174E">
        <w:rPr>
          <w:sz w:val="26"/>
          <w:szCs w:val="26"/>
        </w:rPr>
        <w:t xml:space="preserve"> at </w:t>
      </w:r>
      <w:r w:rsidR="00401A8C" w:rsidRPr="00E9174E">
        <w:rPr>
          <w:sz w:val="26"/>
          <w:szCs w:val="26"/>
        </w:rPr>
        <w:t>th</w:t>
      </w:r>
      <w:r w:rsidR="0097198D" w:rsidRPr="00E9174E">
        <w:rPr>
          <w:sz w:val="26"/>
          <w:szCs w:val="26"/>
        </w:rPr>
        <w:t xml:space="preserve">e core of the </w:t>
      </w:r>
      <w:r w:rsidR="00191219" w:rsidRPr="00E9174E">
        <w:rPr>
          <w:sz w:val="26"/>
          <w:szCs w:val="26"/>
        </w:rPr>
        <w:t>Recommended Decision</w:t>
      </w:r>
      <w:r w:rsidR="0051633D" w:rsidRPr="00E9174E">
        <w:rPr>
          <w:sz w:val="26"/>
          <w:szCs w:val="26"/>
        </w:rPr>
        <w:t>,</w:t>
      </w:r>
      <w:r w:rsidR="0097198D" w:rsidRPr="00E9174E">
        <w:rPr>
          <w:sz w:val="26"/>
          <w:szCs w:val="26"/>
        </w:rPr>
        <w:t xml:space="preserve"> is </w:t>
      </w:r>
      <w:r w:rsidR="008D373A" w:rsidRPr="00E9174E">
        <w:rPr>
          <w:sz w:val="26"/>
          <w:szCs w:val="26"/>
        </w:rPr>
        <w:t xml:space="preserve">the ALJ’s finding </w:t>
      </w:r>
      <w:r w:rsidR="0097198D" w:rsidRPr="00E9174E">
        <w:rPr>
          <w:sz w:val="26"/>
          <w:szCs w:val="26"/>
        </w:rPr>
        <w:t>that the evidence presented in this case supports the conclusion that the C</w:t>
      </w:r>
      <w:r w:rsidR="00401A8C" w:rsidRPr="00E9174E">
        <w:rPr>
          <w:sz w:val="26"/>
          <w:szCs w:val="26"/>
        </w:rPr>
        <w:t>OVID</w:t>
      </w:r>
      <w:r w:rsidR="0097198D" w:rsidRPr="00E9174E">
        <w:rPr>
          <w:sz w:val="26"/>
          <w:szCs w:val="26"/>
        </w:rPr>
        <w:t xml:space="preserve">-19 pandemic is a significant social-economic event which, as </w:t>
      </w:r>
      <w:r w:rsidR="00610F5C" w:rsidRPr="00E9174E">
        <w:rPr>
          <w:sz w:val="26"/>
          <w:szCs w:val="26"/>
        </w:rPr>
        <w:t>the ALJ</w:t>
      </w:r>
      <w:r w:rsidR="0097198D" w:rsidRPr="00E9174E">
        <w:rPr>
          <w:sz w:val="26"/>
          <w:szCs w:val="26"/>
        </w:rPr>
        <w:t xml:space="preserve"> stated: “has obscured its financial, economic and social impacts” and “[u]</w:t>
      </w:r>
      <w:proofErr w:type="spellStart"/>
      <w:r w:rsidR="0097198D" w:rsidRPr="00E9174E">
        <w:rPr>
          <w:sz w:val="26"/>
          <w:szCs w:val="26"/>
        </w:rPr>
        <w:t>ntil</w:t>
      </w:r>
      <w:proofErr w:type="spellEnd"/>
      <w:r w:rsidR="0097198D" w:rsidRPr="00E9174E">
        <w:rPr>
          <w:sz w:val="26"/>
          <w:szCs w:val="26"/>
        </w:rPr>
        <w:t xml:space="preserve"> the pandemic eases, it will</w:t>
      </w:r>
      <w:r w:rsidR="00401A8C" w:rsidRPr="00E9174E">
        <w:rPr>
          <w:sz w:val="26"/>
          <w:szCs w:val="26"/>
        </w:rPr>
        <w:t xml:space="preserve"> be difficult, if not impossible, to use historic data to project into the future with any confidence or reliability about the accuracy of the projections.”  OCA R. Exc. at</w:t>
      </w:r>
      <w:r w:rsidR="003A3623">
        <w:rPr>
          <w:sz w:val="26"/>
          <w:szCs w:val="26"/>
        </w:rPr>
        <w:t> </w:t>
      </w:r>
      <w:r w:rsidR="00401A8C" w:rsidRPr="00E9174E">
        <w:rPr>
          <w:sz w:val="26"/>
          <w:szCs w:val="26"/>
        </w:rPr>
        <w:t>4-5 (citing R.D. at 50).  The OCA argues that the Company filed this base rate increase request knowing it had the burden of proving with substantial evidence that its FPFTY projections would lead to just and reasonable rates and it did not adjust any of its projections in light of the information available on the pandemic’s effects.  OCA R. Exc. at 5.  Thus, according to the OCA, the ALJ properly denied the rate increase request because the Company failed to meet its burden of proof.  OCA R. Exc. at 5 (citing</w:t>
      </w:r>
      <w:bookmarkStart w:id="51" w:name="_BA_Cite_0CCD6D_000072"/>
      <w:bookmarkEnd w:id="51"/>
      <w:r w:rsidR="00401A8C" w:rsidRPr="00E9174E">
        <w:rPr>
          <w:sz w:val="26"/>
          <w:szCs w:val="26"/>
        </w:rPr>
        <w:t xml:space="preserve"> R.D.</w:t>
      </w:r>
      <w:r w:rsidR="003A3623">
        <w:rPr>
          <w:sz w:val="26"/>
          <w:szCs w:val="26"/>
        </w:rPr>
        <w:t> </w:t>
      </w:r>
      <w:r w:rsidR="00401A8C" w:rsidRPr="00E9174E">
        <w:rPr>
          <w:sz w:val="26"/>
          <w:szCs w:val="26"/>
        </w:rPr>
        <w:t>at 49-51).</w:t>
      </w:r>
    </w:p>
    <w:p w14:paraId="6FD27B43" w14:textId="77777777" w:rsidR="00401A8C" w:rsidRPr="00E9174E" w:rsidRDefault="00401A8C" w:rsidP="00E9174E">
      <w:pPr>
        <w:widowControl/>
        <w:tabs>
          <w:tab w:val="left" w:pos="3332"/>
        </w:tabs>
        <w:autoSpaceDE w:val="0"/>
        <w:autoSpaceDN w:val="0"/>
        <w:adjustRightInd w:val="0"/>
        <w:spacing w:line="360" w:lineRule="auto"/>
        <w:ind w:firstLine="1440"/>
        <w:contextualSpacing/>
        <w:rPr>
          <w:sz w:val="26"/>
          <w:szCs w:val="26"/>
        </w:rPr>
      </w:pPr>
    </w:p>
    <w:p w14:paraId="22538146" w14:textId="47F11989" w:rsidR="00FB26C3" w:rsidRPr="00E9174E" w:rsidRDefault="005E6078" w:rsidP="00E9174E">
      <w:pPr>
        <w:widowControl/>
        <w:tabs>
          <w:tab w:val="left" w:pos="3332"/>
        </w:tabs>
        <w:autoSpaceDE w:val="0"/>
        <w:autoSpaceDN w:val="0"/>
        <w:adjustRightInd w:val="0"/>
        <w:spacing w:line="360" w:lineRule="auto"/>
        <w:ind w:firstLine="1440"/>
        <w:contextualSpacing/>
        <w:rPr>
          <w:sz w:val="26"/>
          <w:szCs w:val="26"/>
        </w:rPr>
      </w:pPr>
      <w:r w:rsidRPr="00E9174E">
        <w:rPr>
          <w:sz w:val="26"/>
          <w:szCs w:val="26"/>
        </w:rPr>
        <w:t xml:space="preserve">The OCA further argues that the </w:t>
      </w:r>
      <w:r w:rsidR="004A18EF" w:rsidRPr="00E9174E">
        <w:rPr>
          <w:sz w:val="26"/>
          <w:szCs w:val="26"/>
        </w:rPr>
        <w:t>Recommended Decision</w:t>
      </w:r>
      <w:r w:rsidR="00D86695" w:rsidRPr="00E9174E">
        <w:rPr>
          <w:sz w:val="26"/>
          <w:szCs w:val="26"/>
        </w:rPr>
        <w:t xml:space="preserve"> </w:t>
      </w:r>
      <w:r w:rsidRPr="00E9174E">
        <w:rPr>
          <w:sz w:val="26"/>
          <w:szCs w:val="26"/>
        </w:rPr>
        <w:t>properly concluded that the Company’s FPFTY spending claim made before the pandemic is, without support, significantly higher than the past three years and</w:t>
      </w:r>
      <w:r w:rsidR="006B638D" w:rsidRPr="00E9174E">
        <w:rPr>
          <w:sz w:val="26"/>
          <w:szCs w:val="26"/>
        </w:rPr>
        <w:t xml:space="preserve"> that</w:t>
      </w:r>
      <w:r w:rsidRPr="00E9174E">
        <w:rPr>
          <w:sz w:val="26"/>
          <w:szCs w:val="26"/>
        </w:rPr>
        <w:t>, if the Company files for a rate</w:t>
      </w:r>
      <w:r w:rsidR="004560D0" w:rsidRPr="00E9174E">
        <w:rPr>
          <w:sz w:val="26"/>
          <w:szCs w:val="26"/>
        </w:rPr>
        <w:t xml:space="preserve"> </w:t>
      </w:r>
      <w:r w:rsidR="00276B2B" w:rsidRPr="00E9174E">
        <w:rPr>
          <w:sz w:val="26"/>
          <w:szCs w:val="26"/>
        </w:rPr>
        <w:t>increase in 2021 as it plans, it can request to recover plant spending from its FPFTY</w:t>
      </w:r>
      <w:r w:rsidR="006B638D" w:rsidRPr="00E9174E">
        <w:rPr>
          <w:sz w:val="26"/>
          <w:szCs w:val="26"/>
        </w:rPr>
        <w:t>,</w:t>
      </w:r>
      <w:r w:rsidR="004560D0" w:rsidRPr="00E9174E">
        <w:rPr>
          <w:sz w:val="26"/>
          <w:szCs w:val="26"/>
        </w:rPr>
        <w:t xml:space="preserve"> </w:t>
      </w:r>
      <w:r w:rsidR="00276B2B" w:rsidRPr="00E9174E">
        <w:rPr>
          <w:sz w:val="26"/>
          <w:szCs w:val="26"/>
        </w:rPr>
        <w:t xml:space="preserve">the </w:t>
      </w:r>
      <w:r w:rsidR="004A18EF" w:rsidRPr="00E9174E">
        <w:rPr>
          <w:sz w:val="26"/>
          <w:szCs w:val="26"/>
        </w:rPr>
        <w:t>twelve</w:t>
      </w:r>
      <w:r w:rsidR="00276B2B" w:rsidRPr="00E9174E">
        <w:rPr>
          <w:sz w:val="26"/>
          <w:szCs w:val="26"/>
        </w:rPr>
        <w:t>-month period ending December 31, 2021</w:t>
      </w:r>
      <w:r w:rsidR="00D02613" w:rsidRPr="00E9174E">
        <w:rPr>
          <w:sz w:val="26"/>
          <w:szCs w:val="26"/>
        </w:rPr>
        <w:t xml:space="preserve">.  OCA R. Exc. at </w:t>
      </w:r>
      <w:r w:rsidR="006A3252" w:rsidRPr="00E9174E">
        <w:rPr>
          <w:sz w:val="26"/>
          <w:szCs w:val="26"/>
        </w:rPr>
        <w:t>3-4 (citing R.D. at 51; OCA R.B. at 15-17).</w:t>
      </w:r>
      <w:r w:rsidR="00D02613" w:rsidRPr="00E9174E">
        <w:rPr>
          <w:sz w:val="26"/>
          <w:szCs w:val="26"/>
        </w:rPr>
        <w:t xml:space="preserve"> </w:t>
      </w:r>
      <w:r w:rsidR="006A3252" w:rsidRPr="00E9174E">
        <w:rPr>
          <w:sz w:val="26"/>
          <w:szCs w:val="26"/>
        </w:rPr>
        <w:t xml:space="preserve"> </w:t>
      </w:r>
      <w:r w:rsidR="00D02613" w:rsidRPr="00E9174E">
        <w:rPr>
          <w:sz w:val="26"/>
          <w:szCs w:val="26"/>
        </w:rPr>
        <w:t xml:space="preserve">In addition, as OCA witness Scott Rubin testified, the Company can defer construction projects that are not needed to ensure the </w:t>
      </w:r>
      <w:r w:rsidR="00D02613" w:rsidRPr="00E9174E">
        <w:rPr>
          <w:sz w:val="26"/>
          <w:szCs w:val="26"/>
        </w:rPr>
        <w:lastRenderedPageBreak/>
        <w:t xml:space="preserve">current provision of safe and reliable service to existing customers, such as growth-related projects or system rehabilitation activities that are longer-term in nature. </w:t>
      </w:r>
      <w:r w:rsidR="006A3252" w:rsidRPr="00E9174E">
        <w:rPr>
          <w:sz w:val="26"/>
          <w:szCs w:val="26"/>
        </w:rPr>
        <w:t xml:space="preserve"> OCA</w:t>
      </w:r>
      <w:r w:rsidR="003A3623">
        <w:rPr>
          <w:sz w:val="26"/>
          <w:szCs w:val="26"/>
        </w:rPr>
        <w:t> </w:t>
      </w:r>
      <w:r w:rsidR="006A3252" w:rsidRPr="00E9174E">
        <w:rPr>
          <w:sz w:val="26"/>
          <w:szCs w:val="26"/>
        </w:rPr>
        <w:t>R.</w:t>
      </w:r>
      <w:r w:rsidR="003A3623">
        <w:rPr>
          <w:sz w:val="26"/>
          <w:szCs w:val="26"/>
        </w:rPr>
        <w:t> </w:t>
      </w:r>
      <w:r w:rsidR="006A3252" w:rsidRPr="00E9174E">
        <w:rPr>
          <w:sz w:val="26"/>
          <w:szCs w:val="26"/>
        </w:rPr>
        <w:t xml:space="preserve">Exc. at 4, n. 5 (citing </w:t>
      </w:r>
      <w:r w:rsidR="00D02613" w:rsidRPr="00E9174E">
        <w:rPr>
          <w:sz w:val="26"/>
          <w:szCs w:val="26"/>
        </w:rPr>
        <w:t>OCA St. 1 at 26</w:t>
      </w:r>
      <w:r w:rsidR="006A3252" w:rsidRPr="00E9174E">
        <w:rPr>
          <w:sz w:val="26"/>
          <w:szCs w:val="26"/>
        </w:rPr>
        <w:t>)</w:t>
      </w:r>
      <w:r w:rsidR="00D02613" w:rsidRPr="00E9174E">
        <w:rPr>
          <w:sz w:val="26"/>
          <w:szCs w:val="26"/>
        </w:rPr>
        <w:t>.</w:t>
      </w:r>
      <w:r w:rsidR="004560D0" w:rsidRPr="00E9174E">
        <w:rPr>
          <w:sz w:val="26"/>
          <w:szCs w:val="26"/>
        </w:rPr>
        <w:t xml:space="preserve">  </w:t>
      </w:r>
    </w:p>
    <w:p w14:paraId="6947C573" w14:textId="77777777" w:rsidR="0041606E" w:rsidRPr="00E9174E" w:rsidRDefault="0041606E" w:rsidP="00E9174E">
      <w:pPr>
        <w:widowControl/>
        <w:spacing w:line="360" w:lineRule="auto"/>
        <w:ind w:firstLine="1440"/>
        <w:contextualSpacing/>
        <w:rPr>
          <w:sz w:val="26"/>
          <w:szCs w:val="26"/>
        </w:rPr>
      </w:pPr>
    </w:p>
    <w:p w14:paraId="08987A21" w14:textId="796CFE18" w:rsidR="0041606E" w:rsidRPr="00E9174E" w:rsidRDefault="0041606E" w:rsidP="00E9174E">
      <w:pPr>
        <w:widowControl/>
        <w:spacing w:line="360" w:lineRule="auto"/>
        <w:ind w:firstLine="1440"/>
        <w:contextualSpacing/>
        <w:rPr>
          <w:sz w:val="26"/>
          <w:szCs w:val="26"/>
        </w:rPr>
      </w:pPr>
      <w:r w:rsidRPr="00E9174E">
        <w:rPr>
          <w:sz w:val="26"/>
          <w:szCs w:val="26"/>
        </w:rPr>
        <w:t>Regarding Columbia’s claim that its DSIC will reach 5% by January</w:t>
      </w:r>
      <w:r w:rsidR="00EB48B4">
        <w:rPr>
          <w:sz w:val="26"/>
          <w:szCs w:val="26"/>
        </w:rPr>
        <w:t> </w:t>
      </w:r>
      <w:r w:rsidRPr="00E9174E">
        <w:rPr>
          <w:sz w:val="26"/>
          <w:szCs w:val="26"/>
        </w:rPr>
        <w:t>1,</w:t>
      </w:r>
      <w:r w:rsidR="00EB48B4">
        <w:rPr>
          <w:sz w:val="26"/>
          <w:szCs w:val="26"/>
        </w:rPr>
        <w:t> </w:t>
      </w:r>
      <w:r w:rsidRPr="00E9174E">
        <w:rPr>
          <w:sz w:val="26"/>
          <w:szCs w:val="26"/>
        </w:rPr>
        <w:t>2021</w:t>
      </w:r>
      <w:r w:rsidR="00E66AAD" w:rsidRPr="00E9174E">
        <w:rPr>
          <w:sz w:val="26"/>
          <w:szCs w:val="26"/>
        </w:rPr>
        <w:t>,</w:t>
      </w:r>
      <w:r w:rsidRPr="00E9174E">
        <w:rPr>
          <w:sz w:val="26"/>
          <w:szCs w:val="26"/>
        </w:rPr>
        <w:t xml:space="preserve"> and that it will not earn a return on part of its FTY plant investment or any of its FPFTY plant investment, the OCA submits that such claim</w:t>
      </w:r>
      <w:r w:rsidR="00896E3E" w:rsidRPr="00E9174E">
        <w:rPr>
          <w:sz w:val="26"/>
          <w:szCs w:val="26"/>
        </w:rPr>
        <w:t>s</w:t>
      </w:r>
      <w:r w:rsidRPr="00E9174E">
        <w:rPr>
          <w:sz w:val="26"/>
          <w:szCs w:val="26"/>
        </w:rPr>
        <w:t xml:space="preserve"> do not recognize the actual intent and purpose of the DSIC, which is to reduce some regulatory lag until the utility’s next base rate case. </w:t>
      </w:r>
      <w:r w:rsidR="004A18EF" w:rsidRPr="00E9174E">
        <w:rPr>
          <w:sz w:val="26"/>
          <w:szCs w:val="26"/>
        </w:rPr>
        <w:t xml:space="preserve"> </w:t>
      </w:r>
      <w:r w:rsidRPr="00E9174E">
        <w:rPr>
          <w:sz w:val="26"/>
          <w:szCs w:val="26"/>
        </w:rPr>
        <w:t xml:space="preserve">OCA R. Exc. at 4 (citing CG Exc. at 6-7).  The DSIC is not intended to provide the utility with a full return on every dollar spent on eligible plant investment as soon as it is made.  The OCA submits that, while the Company’s concerns about the consequences of the denial of its rate increase request are largely speculative, under the </w:t>
      </w:r>
      <w:r w:rsidR="004A18EF" w:rsidRPr="00E9174E">
        <w:rPr>
          <w:sz w:val="26"/>
          <w:szCs w:val="26"/>
        </w:rPr>
        <w:t>Recommended Decision</w:t>
      </w:r>
      <w:r w:rsidR="005B268B" w:rsidRPr="00E9174E">
        <w:rPr>
          <w:sz w:val="26"/>
          <w:szCs w:val="26"/>
        </w:rPr>
        <w:t xml:space="preserve"> </w:t>
      </w:r>
      <w:r w:rsidRPr="00E9174E">
        <w:rPr>
          <w:sz w:val="26"/>
          <w:szCs w:val="26"/>
        </w:rPr>
        <w:t>the Company will still: (1) receive enough revenue at current rates to continue its operations and earn a profit</w:t>
      </w:r>
      <w:r w:rsidR="006B638D" w:rsidRPr="00E9174E">
        <w:rPr>
          <w:sz w:val="26"/>
          <w:szCs w:val="26"/>
        </w:rPr>
        <w:t>;</w:t>
      </w:r>
      <w:r w:rsidRPr="00E9174E">
        <w:rPr>
          <w:sz w:val="26"/>
          <w:szCs w:val="26"/>
        </w:rPr>
        <w:t xml:space="preserve"> (2) recover infrastructure investments through the DSIC</w:t>
      </w:r>
      <w:r w:rsidR="006B638D" w:rsidRPr="00E9174E">
        <w:rPr>
          <w:sz w:val="26"/>
          <w:szCs w:val="26"/>
        </w:rPr>
        <w:t>;</w:t>
      </w:r>
      <w:r w:rsidRPr="00E9174E">
        <w:rPr>
          <w:sz w:val="26"/>
          <w:szCs w:val="26"/>
        </w:rPr>
        <w:t xml:space="preserve"> and (3) have management decisions available to conserve money during these extraordinary times.  OCA R. Exc. at 4 (citing R.D. at 50-51; OCA</w:t>
      </w:r>
      <w:r w:rsidR="00EB48B4">
        <w:rPr>
          <w:sz w:val="26"/>
          <w:szCs w:val="26"/>
        </w:rPr>
        <w:t> </w:t>
      </w:r>
      <w:r w:rsidRPr="00E9174E">
        <w:rPr>
          <w:sz w:val="26"/>
          <w:szCs w:val="26"/>
        </w:rPr>
        <w:t>M.B. at</w:t>
      </w:r>
      <w:r w:rsidR="001D7A19">
        <w:rPr>
          <w:sz w:val="26"/>
          <w:szCs w:val="26"/>
        </w:rPr>
        <w:t> </w:t>
      </w:r>
      <w:r w:rsidRPr="00E9174E">
        <w:rPr>
          <w:sz w:val="26"/>
          <w:szCs w:val="26"/>
        </w:rPr>
        <w:t xml:space="preserve">20; OCA R.B. at 14-15). </w:t>
      </w:r>
    </w:p>
    <w:p w14:paraId="3E217C97" w14:textId="77777777" w:rsidR="00FB26C3" w:rsidRPr="00E9174E" w:rsidRDefault="00FB26C3" w:rsidP="00E9174E">
      <w:pPr>
        <w:widowControl/>
        <w:tabs>
          <w:tab w:val="left" w:pos="3332"/>
        </w:tabs>
        <w:autoSpaceDE w:val="0"/>
        <w:autoSpaceDN w:val="0"/>
        <w:adjustRightInd w:val="0"/>
        <w:spacing w:line="360" w:lineRule="auto"/>
        <w:ind w:firstLine="1440"/>
        <w:contextualSpacing/>
        <w:rPr>
          <w:sz w:val="26"/>
          <w:szCs w:val="26"/>
        </w:rPr>
      </w:pPr>
    </w:p>
    <w:p w14:paraId="6E755069" w14:textId="369BD896" w:rsidR="008F6A4C" w:rsidRPr="00E9174E" w:rsidRDefault="0041606E" w:rsidP="00E9174E">
      <w:pPr>
        <w:widowControl/>
        <w:tabs>
          <w:tab w:val="left" w:pos="3332"/>
        </w:tabs>
        <w:autoSpaceDE w:val="0"/>
        <w:autoSpaceDN w:val="0"/>
        <w:adjustRightInd w:val="0"/>
        <w:spacing w:line="360" w:lineRule="auto"/>
        <w:ind w:firstLine="1440"/>
        <w:contextualSpacing/>
        <w:rPr>
          <w:sz w:val="26"/>
          <w:szCs w:val="26"/>
        </w:rPr>
      </w:pPr>
      <w:r w:rsidRPr="00E9174E">
        <w:rPr>
          <w:sz w:val="26"/>
          <w:szCs w:val="26"/>
        </w:rPr>
        <w:t>Finally, t</w:t>
      </w:r>
      <w:r w:rsidR="00C46375" w:rsidRPr="00E9174E">
        <w:rPr>
          <w:sz w:val="26"/>
          <w:szCs w:val="26"/>
        </w:rPr>
        <w:t>he OCA submits that Columbia’s further claim that the denial of its current rate increase request will only serve to compound its next base rate increase case in 2021, where it will request the $100 million from this case along with an additional $50-$75 million, is speculative and without merit</w:t>
      </w:r>
      <w:r w:rsidR="009861C3" w:rsidRPr="00E9174E">
        <w:rPr>
          <w:sz w:val="26"/>
          <w:szCs w:val="26"/>
        </w:rPr>
        <w:t>.</w:t>
      </w:r>
      <w:r w:rsidR="00A116EB" w:rsidRPr="00E9174E">
        <w:rPr>
          <w:sz w:val="26"/>
          <w:szCs w:val="26"/>
        </w:rPr>
        <w:t xml:space="preserve">  </w:t>
      </w:r>
      <w:r w:rsidR="009861C3" w:rsidRPr="00E9174E">
        <w:rPr>
          <w:sz w:val="26"/>
          <w:szCs w:val="26"/>
        </w:rPr>
        <w:t>OCA R. Exc. at 4.</w:t>
      </w:r>
      <w:r w:rsidR="00A116EB" w:rsidRPr="00E9174E">
        <w:rPr>
          <w:sz w:val="26"/>
          <w:szCs w:val="26"/>
        </w:rPr>
        <w:t xml:space="preserve">  </w:t>
      </w:r>
      <w:r w:rsidR="00511C29" w:rsidRPr="00E9174E">
        <w:rPr>
          <w:sz w:val="26"/>
          <w:szCs w:val="26"/>
        </w:rPr>
        <w:t>The OCA notes</w:t>
      </w:r>
      <w:r w:rsidR="00206C25" w:rsidRPr="00E9174E">
        <w:rPr>
          <w:sz w:val="26"/>
          <w:szCs w:val="26"/>
        </w:rPr>
        <w:t xml:space="preserve"> it presented evidence</w:t>
      </w:r>
      <w:r w:rsidR="00511C29" w:rsidRPr="00E9174E">
        <w:rPr>
          <w:sz w:val="26"/>
          <w:szCs w:val="26"/>
        </w:rPr>
        <w:t xml:space="preserve"> that, under </w:t>
      </w:r>
      <w:r w:rsidR="00206C25" w:rsidRPr="00E9174E">
        <w:rPr>
          <w:sz w:val="26"/>
          <w:szCs w:val="26"/>
        </w:rPr>
        <w:t>Columbia’s</w:t>
      </w:r>
      <w:r w:rsidR="00511C29" w:rsidRPr="00E9174E">
        <w:rPr>
          <w:sz w:val="26"/>
          <w:szCs w:val="26"/>
        </w:rPr>
        <w:t xml:space="preserve"> “business-as-usual” approach</w:t>
      </w:r>
      <w:r w:rsidR="00236EAC" w:rsidRPr="00E9174E">
        <w:rPr>
          <w:sz w:val="26"/>
          <w:szCs w:val="26"/>
        </w:rPr>
        <w:t xml:space="preserve"> for </w:t>
      </w:r>
      <w:r w:rsidR="00206C25" w:rsidRPr="00E9174E">
        <w:rPr>
          <w:sz w:val="26"/>
          <w:szCs w:val="26"/>
        </w:rPr>
        <w:t xml:space="preserve">filing rate cases </w:t>
      </w:r>
      <w:r w:rsidR="00D761D3" w:rsidRPr="00E9174E">
        <w:rPr>
          <w:sz w:val="26"/>
          <w:szCs w:val="26"/>
        </w:rPr>
        <w:t xml:space="preserve">in </w:t>
      </w:r>
      <w:proofErr w:type="gramStart"/>
      <w:r w:rsidR="00206C25" w:rsidRPr="00E9174E">
        <w:rPr>
          <w:sz w:val="26"/>
          <w:szCs w:val="26"/>
        </w:rPr>
        <w:t>every</w:t>
      </w:r>
      <w:r w:rsidR="00D761D3" w:rsidRPr="00E9174E">
        <w:rPr>
          <w:sz w:val="26"/>
          <w:szCs w:val="26"/>
        </w:rPr>
        <w:t xml:space="preserve"> one</w:t>
      </w:r>
      <w:proofErr w:type="gramEnd"/>
      <w:r w:rsidR="00D761D3" w:rsidRPr="00E9174E">
        <w:rPr>
          <w:sz w:val="26"/>
          <w:szCs w:val="26"/>
        </w:rPr>
        <w:t xml:space="preserve"> to</w:t>
      </w:r>
      <w:r w:rsidR="00206C25" w:rsidRPr="00E9174E">
        <w:rPr>
          <w:sz w:val="26"/>
          <w:szCs w:val="26"/>
        </w:rPr>
        <w:t xml:space="preserve"> two</w:t>
      </w:r>
      <w:r w:rsidR="00E73C71" w:rsidRPr="00E9174E">
        <w:rPr>
          <w:sz w:val="26"/>
          <w:szCs w:val="26"/>
        </w:rPr>
        <w:t xml:space="preserve"> </w:t>
      </w:r>
      <w:r w:rsidR="00206C25" w:rsidRPr="00E9174E">
        <w:rPr>
          <w:sz w:val="26"/>
          <w:szCs w:val="26"/>
        </w:rPr>
        <w:t>years</w:t>
      </w:r>
      <w:r w:rsidR="00511C29" w:rsidRPr="00E9174E">
        <w:rPr>
          <w:sz w:val="26"/>
          <w:szCs w:val="26"/>
        </w:rPr>
        <w:t>, Columbia should only receive a $31 million increase</w:t>
      </w:r>
      <w:r w:rsidR="00236EAC" w:rsidRPr="00E9174E">
        <w:rPr>
          <w:sz w:val="26"/>
          <w:szCs w:val="26"/>
        </w:rPr>
        <w:t xml:space="preserve"> in this case</w:t>
      </w:r>
      <w:r w:rsidR="00511C29" w:rsidRPr="00E9174E">
        <w:rPr>
          <w:sz w:val="26"/>
          <w:szCs w:val="26"/>
        </w:rPr>
        <w:t>.</w:t>
      </w:r>
      <w:r w:rsidR="00236EAC" w:rsidRPr="00E9174E">
        <w:rPr>
          <w:sz w:val="26"/>
          <w:szCs w:val="26"/>
        </w:rPr>
        <w:t xml:space="preserve">  </w:t>
      </w:r>
      <w:r w:rsidR="0023397B" w:rsidRPr="00E9174E">
        <w:rPr>
          <w:sz w:val="26"/>
          <w:szCs w:val="26"/>
        </w:rPr>
        <w:t>OCA R. Exc. at 4, n. 6 (citing</w:t>
      </w:r>
      <w:r w:rsidR="00511C29" w:rsidRPr="00E9174E">
        <w:rPr>
          <w:sz w:val="26"/>
          <w:szCs w:val="26"/>
        </w:rPr>
        <w:t xml:space="preserve"> OCA St. 2-S at 2;</w:t>
      </w:r>
      <w:r w:rsidR="0023397B" w:rsidRPr="00E9174E">
        <w:rPr>
          <w:sz w:val="26"/>
          <w:szCs w:val="26"/>
        </w:rPr>
        <w:t xml:space="preserve"> </w:t>
      </w:r>
      <w:r w:rsidR="00511C29" w:rsidRPr="00E9174E">
        <w:rPr>
          <w:sz w:val="26"/>
          <w:szCs w:val="26"/>
        </w:rPr>
        <w:t>OCA M.B. at 4</w:t>
      </w:r>
      <w:r w:rsidR="0023397B" w:rsidRPr="00E9174E">
        <w:rPr>
          <w:sz w:val="26"/>
          <w:szCs w:val="26"/>
        </w:rPr>
        <w:t>)</w:t>
      </w:r>
      <w:r w:rsidR="00511C29" w:rsidRPr="00E9174E">
        <w:rPr>
          <w:sz w:val="26"/>
          <w:szCs w:val="26"/>
        </w:rPr>
        <w:t>.  The OCA submits that the $100.4 million increase requested by the Company is vastly overstated</w:t>
      </w:r>
      <w:r w:rsidR="0023397B" w:rsidRPr="00E9174E">
        <w:rPr>
          <w:sz w:val="26"/>
          <w:szCs w:val="26"/>
        </w:rPr>
        <w:t>; e</w:t>
      </w:r>
      <w:r w:rsidR="00511C29" w:rsidRPr="00E9174E">
        <w:rPr>
          <w:sz w:val="26"/>
          <w:szCs w:val="26"/>
        </w:rPr>
        <w:t>ach rate case must be judged on its own merits, and one cannot predict what the economy will look like when Columbia files</w:t>
      </w:r>
      <w:r w:rsidR="00EC6FD7" w:rsidRPr="00E9174E">
        <w:rPr>
          <w:sz w:val="26"/>
          <w:szCs w:val="26"/>
        </w:rPr>
        <w:t xml:space="preserve"> its next rate case</w:t>
      </w:r>
      <w:r w:rsidR="00511C29" w:rsidRPr="00E9174E">
        <w:rPr>
          <w:sz w:val="26"/>
          <w:szCs w:val="26"/>
        </w:rPr>
        <w:t>.</w:t>
      </w:r>
      <w:r w:rsidR="0023397B" w:rsidRPr="00E9174E">
        <w:rPr>
          <w:sz w:val="26"/>
          <w:szCs w:val="26"/>
        </w:rPr>
        <w:t xml:space="preserve">  OCA R. Exc. at</w:t>
      </w:r>
      <w:r w:rsidR="00EB48B4">
        <w:rPr>
          <w:sz w:val="26"/>
          <w:szCs w:val="26"/>
        </w:rPr>
        <w:t> </w:t>
      </w:r>
      <w:r w:rsidR="0023397B" w:rsidRPr="00E9174E">
        <w:rPr>
          <w:sz w:val="26"/>
          <w:szCs w:val="26"/>
        </w:rPr>
        <w:t xml:space="preserve">4, n. 6. </w:t>
      </w:r>
    </w:p>
    <w:p w14:paraId="7C221D1C" w14:textId="6B9DD474" w:rsidR="00A97381" w:rsidRPr="00E9174E" w:rsidRDefault="00AD183F" w:rsidP="00E9174E">
      <w:pPr>
        <w:pStyle w:val="BodyText2"/>
        <w:widowControl/>
        <w:spacing w:after="0" w:line="360" w:lineRule="auto"/>
        <w:ind w:firstLine="1440"/>
        <w:contextualSpacing/>
        <w:rPr>
          <w:sz w:val="26"/>
          <w:szCs w:val="26"/>
        </w:rPr>
      </w:pPr>
      <w:r w:rsidRPr="00E9174E">
        <w:rPr>
          <w:sz w:val="26"/>
          <w:szCs w:val="26"/>
        </w:rPr>
        <w:lastRenderedPageBreak/>
        <w:t>In its Replies, t</w:t>
      </w:r>
      <w:r w:rsidR="00D353D5" w:rsidRPr="00E9174E">
        <w:rPr>
          <w:sz w:val="26"/>
          <w:szCs w:val="26"/>
        </w:rPr>
        <w:t xml:space="preserve">he </w:t>
      </w:r>
      <w:r w:rsidR="0027046C" w:rsidRPr="00E9174E">
        <w:rPr>
          <w:sz w:val="26"/>
          <w:szCs w:val="26"/>
        </w:rPr>
        <w:t>OSBA argues there is one simple, over-arching decision that the Commission must reach before further deliberat</w:t>
      </w:r>
      <w:r w:rsidR="00801286" w:rsidRPr="00E9174E">
        <w:rPr>
          <w:sz w:val="26"/>
          <w:szCs w:val="26"/>
        </w:rPr>
        <w:t>ing</w:t>
      </w:r>
      <w:r w:rsidR="006B638D" w:rsidRPr="00E9174E">
        <w:rPr>
          <w:sz w:val="26"/>
          <w:szCs w:val="26"/>
        </w:rPr>
        <w:t>:</w:t>
      </w:r>
      <w:r w:rsidR="0027046C" w:rsidRPr="00E9174E">
        <w:rPr>
          <w:sz w:val="26"/>
          <w:szCs w:val="26"/>
        </w:rPr>
        <w:t xml:space="preserve"> should this case be treated as a </w:t>
      </w:r>
      <w:r w:rsidRPr="00E9174E">
        <w:rPr>
          <w:sz w:val="26"/>
          <w:szCs w:val="26"/>
        </w:rPr>
        <w:t>“</w:t>
      </w:r>
      <w:r w:rsidR="0027046C" w:rsidRPr="00E9174E">
        <w:rPr>
          <w:sz w:val="26"/>
          <w:szCs w:val="26"/>
        </w:rPr>
        <w:t>traditional ratemaking</w:t>
      </w:r>
      <w:r w:rsidR="00A708B9" w:rsidRPr="00E9174E">
        <w:rPr>
          <w:sz w:val="26"/>
          <w:szCs w:val="26"/>
        </w:rPr>
        <w:t>”</w:t>
      </w:r>
      <w:r w:rsidR="0027046C" w:rsidRPr="00E9174E">
        <w:rPr>
          <w:sz w:val="26"/>
          <w:szCs w:val="26"/>
        </w:rPr>
        <w:t xml:space="preserve"> </w:t>
      </w:r>
      <w:r w:rsidR="0027046C" w:rsidRPr="00EB48B4">
        <w:rPr>
          <w:color w:val="000000" w:themeColor="text1"/>
          <w:sz w:val="26"/>
          <w:szCs w:val="26"/>
        </w:rPr>
        <w:t xml:space="preserve">case or does the COVID-19 pandemic </w:t>
      </w:r>
      <w:r w:rsidR="00E97E86" w:rsidRPr="00EB48B4">
        <w:rPr>
          <w:color w:val="000000" w:themeColor="text1"/>
          <w:sz w:val="26"/>
          <w:szCs w:val="26"/>
        </w:rPr>
        <w:t xml:space="preserve">overshadow </w:t>
      </w:r>
      <w:r w:rsidR="00A708B9" w:rsidRPr="00EB48B4">
        <w:rPr>
          <w:color w:val="000000" w:themeColor="text1"/>
          <w:sz w:val="26"/>
          <w:szCs w:val="26"/>
        </w:rPr>
        <w:t>“</w:t>
      </w:r>
      <w:r w:rsidR="0027046C" w:rsidRPr="00EB48B4">
        <w:rPr>
          <w:color w:val="000000" w:themeColor="text1"/>
          <w:sz w:val="26"/>
          <w:szCs w:val="26"/>
        </w:rPr>
        <w:t>traditional ratemaking</w:t>
      </w:r>
      <w:r w:rsidR="00A708B9" w:rsidRPr="00EB48B4">
        <w:rPr>
          <w:color w:val="000000" w:themeColor="text1"/>
          <w:sz w:val="26"/>
          <w:szCs w:val="26"/>
        </w:rPr>
        <w:t>”</w:t>
      </w:r>
      <w:r w:rsidR="0027046C" w:rsidRPr="00EB48B4">
        <w:rPr>
          <w:color w:val="000000" w:themeColor="text1"/>
          <w:sz w:val="26"/>
          <w:szCs w:val="26"/>
        </w:rPr>
        <w:t xml:space="preserve"> as recommended by </w:t>
      </w:r>
      <w:r w:rsidR="00801286" w:rsidRPr="00EB48B4">
        <w:rPr>
          <w:color w:val="000000" w:themeColor="text1"/>
          <w:sz w:val="26"/>
          <w:szCs w:val="26"/>
        </w:rPr>
        <w:t xml:space="preserve">the </w:t>
      </w:r>
      <w:bookmarkStart w:id="52" w:name="_Hlk62742571"/>
      <w:r w:rsidR="00363C86" w:rsidRPr="00EB48B4">
        <w:rPr>
          <w:color w:val="000000" w:themeColor="text1"/>
          <w:sz w:val="26"/>
          <w:szCs w:val="26"/>
        </w:rPr>
        <w:t>Recommended Decision</w:t>
      </w:r>
      <w:bookmarkEnd w:id="52"/>
      <w:r w:rsidR="006B638D" w:rsidRPr="00EB48B4">
        <w:rPr>
          <w:color w:val="000000" w:themeColor="text1"/>
          <w:sz w:val="26"/>
          <w:szCs w:val="26"/>
        </w:rPr>
        <w:t xml:space="preserve">.  </w:t>
      </w:r>
      <w:r w:rsidR="0015554A" w:rsidRPr="00EB48B4">
        <w:rPr>
          <w:color w:val="000000" w:themeColor="text1"/>
          <w:sz w:val="26"/>
          <w:szCs w:val="26"/>
        </w:rPr>
        <w:t xml:space="preserve">OSBA R. Exc. at 3.  </w:t>
      </w:r>
      <w:r w:rsidR="00E97E86" w:rsidRPr="00EB48B4">
        <w:rPr>
          <w:color w:val="000000" w:themeColor="text1"/>
          <w:sz w:val="26"/>
          <w:szCs w:val="26"/>
        </w:rPr>
        <w:t>The</w:t>
      </w:r>
      <w:r w:rsidR="00BD0917" w:rsidRPr="00EB48B4">
        <w:rPr>
          <w:color w:val="000000" w:themeColor="text1"/>
          <w:sz w:val="26"/>
          <w:szCs w:val="26"/>
        </w:rPr>
        <w:t xml:space="preserve"> OSBA </w:t>
      </w:r>
      <w:r w:rsidR="003505E8" w:rsidRPr="00EB48B4">
        <w:rPr>
          <w:color w:val="000000" w:themeColor="text1"/>
          <w:sz w:val="26"/>
          <w:szCs w:val="26"/>
        </w:rPr>
        <w:t xml:space="preserve">supports the </w:t>
      </w:r>
      <w:r w:rsidR="00363C86" w:rsidRPr="00EB48B4">
        <w:rPr>
          <w:color w:val="000000" w:themeColor="text1"/>
          <w:sz w:val="26"/>
          <w:szCs w:val="26"/>
        </w:rPr>
        <w:t>Recommended Decision</w:t>
      </w:r>
      <w:r w:rsidR="003505E8" w:rsidRPr="00EB48B4">
        <w:rPr>
          <w:color w:val="000000" w:themeColor="text1"/>
          <w:sz w:val="26"/>
          <w:szCs w:val="26"/>
        </w:rPr>
        <w:t xml:space="preserve"> to deny Columbia any revenue increase at this time</w:t>
      </w:r>
      <w:r w:rsidR="00064A1C" w:rsidRPr="00EB48B4">
        <w:rPr>
          <w:color w:val="000000" w:themeColor="text1"/>
          <w:sz w:val="26"/>
          <w:szCs w:val="26"/>
        </w:rPr>
        <w:t xml:space="preserve"> because</w:t>
      </w:r>
      <w:r w:rsidR="00E97E86" w:rsidRPr="00EB48B4">
        <w:rPr>
          <w:color w:val="000000" w:themeColor="text1"/>
          <w:sz w:val="26"/>
          <w:szCs w:val="26"/>
        </w:rPr>
        <w:t>,</w:t>
      </w:r>
      <w:r w:rsidR="00064A1C" w:rsidRPr="00EB48B4">
        <w:rPr>
          <w:color w:val="000000" w:themeColor="text1"/>
          <w:sz w:val="26"/>
          <w:szCs w:val="26"/>
        </w:rPr>
        <w:t xml:space="preserve"> based on all the latest data and news on the pandemic and how it is affecting the Commonwealth (which the OSBA is certain the Commissioners and their respective Staffs have</w:t>
      </w:r>
      <w:r w:rsidR="0084541B" w:rsidRPr="00EB48B4">
        <w:rPr>
          <w:color w:val="000000" w:themeColor="text1"/>
          <w:sz w:val="26"/>
          <w:szCs w:val="26"/>
        </w:rPr>
        <w:t xml:space="preserve"> knowledge about</w:t>
      </w:r>
      <w:r w:rsidR="00064A1C" w:rsidRPr="00EB48B4">
        <w:rPr>
          <w:color w:val="000000" w:themeColor="text1"/>
          <w:sz w:val="26"/>
          <w:szCs w:val="26"/>
        </w:rPr>
        <w:t>), the OSBA is conc</w:t>
      </w:r>
      <w:r w:rsidR="00BA33E1" w:rsidRPr="00EB48B4">
        <w:rPr>
          <w:color w:val="000000" w:themeColor="text1"/>
          <w:sz w:val="26"/>
          <w:szCs w:val="26"/>
        </w:rPr>
        <w:t>erned over how many small businesses wi</w:t>
      </w:r>
      <w:r w:rsidR="005919E6" w:rsidRPr="00EB48B4">
        <w:rPr>
          <w:color w:val="000000" w:themeColor="text1"/>
          <w:sz w:val="26"/>
          <w:szCs w:val="26"/>
        </w:rPr>
        <w:t>ll</w:t>
      </w:r>
      <w:r w:rsidR="00BA33E1" w:rsidRPr="00EB48B4">
        <w:rPr>
          <w:color w:val="000000" w:themeColor="text1"/>
          <w:sz w:val="26"/>
          <w:szCs w:val="26"/>
        </w:rPr>
        <w:t xml:space="preserve"> be critically and/or permanently affected by the pandemic and how long the pandemic will actually last. </w:t>
      </w:r>
      <w:r w:rsidR="0015554A" w:rsidRPr="00EB48B4">
        <w:rPr>
          <w:color w:val="000000" w:themeColor="text1"/>
          <w:sz w:val="26"/>
          <w:szCs w:val="26"/>
        </w:rPr>
        <w:t xml:space="preserve"> OSBA R. Exc. at 3.  </w:t>
      </w:r>
      <w:r w:rsidR="00D761D3" w:rsidRPr="00EB48B4">
        <w:rPr>
          <w:color w:val="000000" w:themeColor="text1"/>
          <w:sz w:val="26"/>
          <w:szCs w:val="26"/>
        </w:rPr>
        <w:t xml:space="preserve">Additionally, </w:t>
      </w:r>
      <w:r w:rsidR="00F03D03" w:rsidRPr="00EB48B4">
        <w:rPr>
          <w:color w:val="000000" w:themeColor="text1"/>
          <w:sz w:val="26"/>
          <w:szCs w:val="26"/>
        </w:rPr>
        <w:t xml:space="preserve">the </w:t>
      </w:r>
      <w:r w:rsidR="00D761D3" w:rsidRPr="00EB48B4">
        <w:rPr>
          <w:color w:val="000000" w:themeColor="text1"/>
          <w:sz w:val="26"/>
          <w:szCs w:val="26"/>
        </w:rPr>
        <w:t xml:space="preserve">OSBA supports the </w:t>
      </w:r>
      <w:r w:rsidR="0084541B" w:rsidRPr="00EB48B4">
        <w:rPr>
          <w:color w:val="000000" w:themeColor="text1"/>
          <w:sz w:val="26"/>
          <w:szCs w:val="26"/>
        </w:rPr>
        <w:t>Recommended Decision</w:t>
      </w:r>
      <w:r w:rsidR="00E97E86" w:rsidRPr="00EB48B4">
        <w:rPr>
          <w:color w:val="000000" w:themeColor="text1"/>
          <w:sz w:val="26"/>
          <w:szCs w:val="26"/>
        </w:rPr>
        <w:t xml:space="preserve"> </w:t>
      </w:r>
      <w:r w:rsidR="00D761D3" w:rsidRPr="00EB48B4">
        <w:rPr>
          <w:color w:val="000000" w:themeColor="text1"/>
          <w:sz w:val="26"/>
          <w:szCs w:val="26"/>
        </w:rPr>
        <w:t>because Columbia has had eight rate cases over the last twelve years</w:t>
      </w:r>
      <w:r w:rsidR="0015554A" w:rsidRPr="00EB48B4">
        <w:rPr>
          <w:color w:val="000000" w:themeColor="text1"/>
          <w:sz w:val="26"/>
          <w:szCs w:val="26"/>
        </w:rPr>
        <w:t xml:space="preserve">, with the most recent at Docket No. R-2018-2647577, and the OSBA surmises that Columbia can “forego yet another rate increase </w:t>
      </w:r>
      <w:r w:rsidR="0015554A" w:rsidRPr="00E9174E">
        <w:rPr>
          <w:sz w:val="26"/>
          <w:szCs w:val="26"/>
        </w:rPr>
        <w:t xml:space="preserve">while the COVID-19 pandemic plays out.”  OSBA R. Exc. at 3 (citing OSBA St. 1 at 3). </w:t>
      </w:r>
      <w:r w:rsidR="00B33B3D" w:rsidRPr="00E9174E">
        <w:rPr>
          <w:sz w:val="26"/>
          <w:szCs w:val="26"/>
        </w:rPr>
        <w:t xml:space="preserve"> Finally, the OSBA lodges “[t]he fact that Columbia’s criminally convicted parent company needs cash is also not a sufficient reason</w:t>
      </w:r>
      <w:r w:rsidR="00FB0B31" w:rsidRPr="00E9174E">
        <w:rPr>
          <w:sz w:val="26"/>
          <w:szCs w:val="26"/>
        </w:rPr>
        <w:t xml:space="preserve">….” to reverse the </w:t>
      </w:r>
      <w:r w:rsidR="00D7521C" w:rsidRPr="00E9174E">
        <w:rPr>
          <w:sz w:val="26"/>
          <w:szCs w:val="26"/>
        </w:rPr>
        <w:t>recommendation to deny Columbia any revenue increase at this time.</w:t>
      </w:r>
      <w:r w:rsidR="00BB32B2" w:rsidRPr="00E9174E">
        <w:rPr>
          <w:sz w:val="26"/>
          <w:szCs w:val="26"/>
        </w:rPr>
        <w:t xml:space="preserve"> </w:t>
      </w:r>
      <w:r w:rsidR="00D7521C" w:rsidRPr="00E9174E">
        <w:rPr>
          <w:sz w:val="26"/>
          <w:szCs w:val="26"/>
        </w:rPr>
        <w:t xml:space="preserve"> </w:t>
      </w:r>
      <w:r w:rsidR="00B47374" w:rsidRPr="00E9174E">
        <w:rPr>
          <w:sz w:val="26"/>
          <w:szCs w:val="26"/>
        </w:rPr>
        <w:t>OSBA R. Exc. at 3</w:t>
      </w:r>
      <w:r w:rsidR="00FA1EC2" w:rsidRPr="00E9174E">
        <w:rPr>
          <w:sz w:val="26"/>
          <w:szCs w:val="26"/>
        </w:rPr>
        <w:t>.</w:t>
      </w:r>
    </w:p>
    <w:p w14:paraId="70813EB4" w14:textId="77777777" w:rsidR="00FA1EC2" w:rsidRPr="00E9174E" w:rsidRDefault="00FA1EC2" w:rsidP="00E9174E">
      <w:pPr>
        <w:pStyle w:val="BodyText2"/>
        <w:widowControl/>
        <w:spacing w:after="0" w:line="360" w:lineRule="auto"/>
        <w:ind w:firstLine="1440"/>
        <w:contextualSpacing/>
        <w:rPr>
          <w:sz w:val="26"/>
          <w:szCs w:val="26"/>
        </w:rPr>
      </w:pPr>
    </w:p>
    <w:p w14:paraId="22BB5F89" w14:textId="5E541E71" w:rsidR="00714E3E" w:rsidRPr="00E9174E" w:rsidRDefault="00FA1EC2" w:rsidP="00E9174E">
      <w:pPr>
        <w:pStyle w:val="BodyText2"/>
        <w:widowControl/>
        <w:spacing w:after="0" w:line="360" w:lineRule="auto"/>
        <w:contextualSpacing/>
        <w:rPr>
          <w:sz w:val="26"/>
          <w:szCs w:val="26"/>
        </w:rPr>
      </w:pPr>
      <w:r w:rsidRPr="00E9174E">
        <w:rPr>
          <w:sz w:val="26"/>
          <w:szCs w:val="26"/>
        </w:rPr>
        <w:tab/>
      </w:r>
      <w:r w:rsidRPr="00E9174E">
        <w:rPr>
          <w:sz w:val="26"/>
          <w:szCs w:val="26"/>
        </w:rPr>
        <w:tab/>
      </w:r>
      <w:r w:rsidR="00DF78C1" w:rsidRPr="00E9174E">
        <w:rPr>
          <w:sz w:val="26"/>
          <w:szCs w:val="26"/>
        </w:rPr>
        <w:t xml:space="preserve">In its Replies, </w:t>
      </w:r>
      <w:r w:rsidR="00714E3E" w:rsidRPr="00E9174E">
        <w:rPr>
          <w:sz w:val="26"/>
          <w:szCs w:val="26"/>
        </w:rPr>
        <w:t xml:space="preserve">CAUSE-PA asserts that Columbia’s position that the </w:t>
      </w:r>
      <w:r w:rsidR="00DF78C1" w:rsidRPr="00E9174E">
        <w:rPr>
          <w:sz w:val="26"/>
          <w:szCs w:val="26"/>
        </w:rPr>
        <w:t>Recommended Decision</w:t>
      </w:r>
      <w:r w:rsidR="00714E3E" w:rsidRPr="00E9174E">
        <w:rPr>
          <w:sz w:val="26"/>
          <w:szCs w:val="26"/>
        </w:rPr>
        <w:t xml:space="preserve"> erred by not applying “Columbia’s proposed ratemaking formula” lacks merit </w:t>
      </w:r>
      <w:r w:rsidR="004451BE" w:rsidRPr="00E9174E">
        <w:rPr>
          <w:sz w:val="26"/>
          <w:szCs w:val="26"/>
        </w:rPr>
        <w:t xml:space="preserve">for two reasons.  First, in </w:t>
      </w:r>
      <w:r w:rsidR="004451BE" w:rsidRPr="00E9174E">
        <w:rPr>
          <w:i/>
          <w:iCs/>
          <w:sz w:val="26"/>
          <w:szCs w:val="26"/>
        </w:rPr>
        <w:t>Popowsky</w:t>
      </w:r>
      <w:r w:rsidR="00B02B52" w:rsidRPr="00E9174E">
        <w:rPr>
          <w:i/>
          <w:iCs/>
          <w:sz w:val="26"/>
          <w:szCs w:val="26"/>
        </w:rPr>
        <w:t xml:space="preserve"> I</w:t>
      </w:r>
      <w:r w:rsidR="004451BE" w:rsidRPr="00E9174E">
        <w:rPr>
          <w:sz w:val="26"/>
          <w:szCs w:val="26"/>
        </w:rPr>
        <w:t xml:space="preserve">, the </w:t>
      </w:r>
      <w:r w:rsidR="00B02B52" w:rsidRPr="00E9174E">
        <w:rPr>
          <w:sz w:val="26"/>
          <w:szCs w:val="26"/>
        </w:rPr>
        <w:t>Pennsylvania Supreme</w:t>
      </w:r>
      <w:r w:rsidR="004451BE" w:rsidRPr="00E9174E">
        <w:rPr>
          <w:sz w:val="26"/>
          <w:szCs w:val="26"/>
        </w:rPr>
        <w:t xml:space="preserve"> Court explicitly stated, “[T]he term ‘just and reasonable’ was not intended to confine the ambit of regulatory discretion to an absolute or mathematical formulation</w:t>
      </w:r>
      <w:r w:rsidR="0021174D" w:rsidRPr="00E9174E">
        <w:rPr>
          <w:sz w:val="26"/>
          <w:szCs w:val="26"/>
        </w:rPr>
        <w:t>…</w:t>
      </w:r>
      <w:r w:rsidR="004451BE" w:rsidRPr="00E9174E">
        <w:rPr>
          <w:sz w:val="26"/>
          <w:szCs w:val="26"/>
        </w:rPr>
        <w:t xml:space="preserve">”  </w:t>
      </w:r>
      <w:r w:rsidR="00D57104" w:rsidRPr="00E9174E">
        <w:rPr>
          <w:sz w:val="26"/>
          <w:szCs w:val="26"/>
        </w:rPr>
        <w:t>Further,</w:t>
      </w:r>
      <w:r w:rsidR="009D2C45" w:rsidRPr="00E9174E">
        <w:rPr>
          <w:sz w:val="26"/>
          <w:szCs w:val="26"/>
        </w:rPr>
        <w:t xml:space="preserve"> </w:t>
      </w:r>
      <w:r w:rsidR="009D2C45" w:rsidRPr="00E9174E">
        <w:rPr>
          <w:i/>
          <w:iCs/>
          <w:sz w:val="26"/>
          <w:szCs w:val="26"/>
        </w:rPr>
        <w:t>Popowsky I</w:t>
      </w:r>
      <w:r w:rsidR="009D2C45" w:rsidRPr="00E9174E">
        <w:rPr>
          <w:sz w:val="26"/>
          <w:szCs w:val="26"/>
        </w:rPr>
        <w:t xml:space="preserve"> </w:t>
      </w:r>
      <w:r w:rsidR="00C22024" w:rsidRPr="00E9174E">
        <w:rPr>
          <w:sz w:val="26"/>
          <w:szCs w:val="26"/>
        </w:rPr>
        <w:t>held</w:t>
      </w:r>
      <w:r w:rsidR="009D2C45" w:rsidRPr="00E9174E">
        <w:rPr>
          <w:sz w:val="26"/>
          <w:szCs w:val="26"/>
        </w:rPr>
        <w:t xml:space="preserve"> that</w:t>
      </w:r>
      <w:r w:rsidR="00D57104" w:rsidRPr="00E9174E">
        <w:rPr>
          <w:sz w:val="26"/>
          <w:szCs w:val="26"/>
        </w:rPr>
        <w:t xml:space="preserve"> the Commission has discretion to determine the proper balance between interests of ratepayers and utilities and</w:t>
      </w:r>
      <w:r w:rsidR="00B766CF" w:rsidRPr="00E9174E">
        <w:rPr>
          <w:sz w:val="26"/>
          <w:szCs w:val="26"/>
        </w:rPr>
        <w:t xml:space="preserve"> that it</w:t>
      </w:r>
      <w:r w:rsidR="00D57104" w:rsidRPr="00E9174E">
        <w:rPr>
          <w:sz w:val="26"/>
          <w:szCs w:val="26"/>
        </w:rPr>
        <w:t xml:space="preserve"> must consider broad public interests in the rate-making process.</w:t>
      </w:r>
      <w:r w:rsidR="009D2C45" w:rsidRPr="00E9174E">
        <w:rPr>
          <w:sz w:val="26"/>
          <w:szCs w:val="26"/>
        </w:rPr>
        <w:t xml:space="preserve">  CAUSE-PA R. Exc. at 1 (citing </w:t>
      </w:r>
      <w:r w:rsidR="009D2C45" w:rsidRPr="00E9174E">
        <w:rPr>
          <w:i/>
          <w:iCs/>
          <w:sz w:val="26"/>
          <w:szCs w:val="26"/>
        </w:rPr>
        <w:t>Popowsky I</w:t>
      </w:r>
      <w:r w:rsidR="009D2C45" w:rsidRPr="00E9174E">
        <w:rPr>
          <w:sz w:val="26"/>
          <w:szCs w:val="26"/>
        </w:rPr>
        <w:t>, 665</w:t>
      </w:r>
      <w:r w:rsidR="00CE458B">
        <w:rPr>
          <w:sz w:val="26"/>
          <w:szCs w:val="26"/>
        </w:rPr>
        <w:t> </w:t>
      </w:r>
      <w:r w:rsidR="009D2C45" w:rsidRPr="00E9174E">
        <w:rPr>
          <w:sz w:val="26"/>
          <w:szCs w:val="26"/>
        </w:rPr>
        <w:t>A.2d at 812</w:t>
      </w:r>
      <w:r w:rsidR="00073098" w:rsidRPr="00E9174E">
        <w:rPr>
          <w:sz w:val="26"/>
          <w:szCs w:val="26"/>
        </w:rPr>
        <w:t xml:space="preserve"> (citations omitted)</w:t>
      </w:r>
      <w:r w:rsidR="004D3F3D" w:rsidRPr="00E9174E">
        <w:rPr>
          <w:sz w:val="26"/>
          <w:szCs w:val="26"/>
        </w:rPr>
        <w:t>; 66 Pa. C.S. § 1301)</w:t>
      </w:r>
      <w:r w:rsidR="009D2C45" w:rsidRPr="00E9174E">
        <w:rPr>
          <w:sz w:val="26"/>
          <w:szCs w:val="26"/>
        </w:rPr>
        <w:t>.</w:t>
      </w:r>
    </w:p>
    <w:p w14:paraId="676D77DF" w14:textId="6D9C8D8F" w:rsidR="00331440" w:rsidRPr="00E9174E" w:rsidRDefault="00331440" w:rsidP="00E9174E">
      <w:pPr>
        <w:pStyle w:val="BodyText2"/>
        <w:widowControl/>
        <w:spacing w:after="0" w:line="360" w:lineRule="auto"/>
        <w:ind w:firstLine="1440"/>
        <w:contextualSpacing/>
        <w:rPr>
          <w:sz w:val="26"/>
          <w:szCs w:val="26"/>
        </w:rPr>
      </w:pPr>
    </w:p>
    <w:p w14:paraId="29EFA834" w14:textId="6F0CF98A" w:rsidR="00331440" w:rsidRPr="00E9174E" w:rsidRDefault="00B379F1" w:rsidP="00E9174E">
      <w:pPr>
        <w:pStyle w:val="BodyText2"/>
        <w:widowControl/>
        <w:spacing w:after="0" w:line="360" w:lineRule="auto"/>
        <w:ind w:firstLine="1440"/>
        <w:contextualSpacing/>
        <w:rPr>
          <w:sz w:val="26"/>
          <w:szCs w:val="26"/>
        </w:rPr>
      </w:pPr>
      <w:r w:rsidRPr="00E9174E">
        <w:rPr>
          <w:sz w:val="26"/>
          <w:szCs w:val="26"/>
        </w:rPr>
        <w:lastRenderedPageBreak/>
        <w:t>CAUSE-PA reiterates i</w:t>
      </w:r>
      <w:r w:rsidR="00377AD1" w:rsidRPr="00E9174E">
        <w:rPr>
          <w:sz w:val="26"/>
          <w:szCs w:val="26"/>
        </w:rPr>
        <w:t>ts</w:t>
      </w:r>
      <w:r w:rsidRPr="00E9174E">
        <w:rPr>
          <w:sz w:val="26"/>
          <w:szCs w:val="26"/>
        </w:rPr>
        <w:t xml:space="preserve"> position</w:t>
      </w:r>
      <w:r w:rsidR="000623B9" w:rsidRPr="00E9174E">
        <w:rPr>
          <w:sz w:val="26"/>
          <w:szCs w:val="26"/>
        </w:rPr>
        <w:t xml:space="preserve"> </w:t>
      </w:r>
      <w:r w:rsidR="009E2BF5" w:rsidRPr="00E9174E">
        <w:rPr>
          <w:sz w:val="26"/>
          <w:szCs w:val="26"/>
        </w:rPr>
        <w:t>as</w:t>
      </w:r>
      <w:r w:rsidR="00E97E86" w:rsidRPr="00E9174E">
        <w:rPr>
          <w:sz w:val="26"/>
          <w:szCs w:val="26"/>
        </w:rPr>
        <w:t xml:space="preserve"> </w:t>
      </w:r>
      <w:r w:rsidRPr="00E9174E">
        <w:rPr>
          <w:sz w:val="26"/>
          <w:szCs w:val="26"/>
        </w:rPr>
        <w:t>that</w:t>
      </w:r>
      <w:r w:rsidR="000623B9" w:rsidRPr="00E9174E">
        <w:rPr>
          <w:sz w:val="26"/>
          <w:szCs w:val="26"/>
        </w:rPr>
        <w:t xml:space="preserve"> </w:t>
      </w:r>
      <w:r w:rsidR="005D3592" w:rsidRPr="00E9174E">
        <w:rPr>
          <w:sz w:val="26"/>
          <w:szCs w:val="26"/>
        </w:rPr>
        <w:t>the</w:t>
      </w:r>
      <w:r w:rsidR="00036CF0" w:rsidRPr="00E9174E">
        <w:rPr>
          <w:sz w:val="26"/>
          <w:szCs w:val="26"/>
        </w:rPr>
        <w:t xml:space="preserve"> ongoing</w:t>
      </w:r>
      <w:r w:rsidR="005D3592" w:rsidRPr="00E9174E">
        <w:rPr>
          <w:sz w:val="26"/>
          <w:szCs w:val="26"/>
        </w:rPr>
        <w:t xml:space="preserve"> COVID-1</w:t>
      </w:r>
      <w:r w:rsidR="00073098" w:rsidRPr="00E9174E">
        <w:rPr>
          <w:sz w:val="26"/>
          <w:szCs w:val="26"/>
        </w:rPr>
        <w:t>9</w:t>
      </w:r>
      <w:r w:rsidR="005D3592" w:rsidRPr="00E9174E">
        <w:rPr>
          <w:sz w:val="26"/>
          <w:szCs w:val="26"/>
        </w:rPr>
        <w:t xml:space="preserve"> pandemic</w:t>
      </w:r>
      <w:r w:rsidR="00036CF0" w:rsidRPr="00E9174E">
        <w:rPr>
          <w:sz w:val="26"/>
          <w:szCs w:val="26"/>
        </w:rPr>
        <w:t xml:space="preserve"> makes it unjust and unreasonable to raise utility rates</w:t>
      </w:r>
      <w:r w:rsidR="005D3592" w:rsidRPr="00E9174E">
        <w:rPr>
          <w:sz w:val="26"/>
          <w:szCs w:val="26"/>
        </w:rPr>
        <w:t xml:space="preserve">, </w:t>
      </w:r>
      <w:r w:rsidR="00E97E86" w:rsidRPr="00E9174E">
        <w:rPr>
          <w:sz w:val="26"/>
          <w:szCs w:val="26"/>
        </w:rPr>
        <w:t xml:space="preserve">and that </w:t>
      </w:r>
      <w:r w:rsidR="00036CF0" w:rsidRPr="00E9174E">
        <w:rPr>
          <w:sz w:val="26"/>
          <w:szCs w:val="26"/>
        </w:rPr>
        <w:t>this is</w:t>
      </w:r>
      <w:r w:rsidR="005D3592" w:rsidRPr="00E9174E">
        <w:rPr>
          <w:sz w:val="26"/>
          <w:szCs w:val="26"/>
        </w:rPr>
        <w:t xml:space="preserve"> especially </w:t>
      </w:r>
      <w:r w:rsidR="00073098" w:rsidRPr="00E9174E">
        <w:rPr>
          <w:sz w:val="26"/>
          <w:szCs w:val="26"/>
        </w:rPr>
        <w:t>true</w:t>
      </w:r>
      <w:r w:rsidR="005D3592" w:rsidRPr="00E9174E">
        <w:rPr>
          <w:sz w:val="26"/>
          <w:szCs w:val="26"/>
        </w:rPr>
        <w:t xml:space="preserve"> for low-income customers who have been hit hardest by the economic and health consequences of </w:t>
      </w:r>
      <w:r w:rsidR="00036CF0" w:rsidRPr="00E9174E">
        <w:rPr>
          <w:sz w:val="26"/>
          <w:szCs w:val="26"/>
        </w:rPr>
        <w:t>it.  CAUSE-PA R. Exc. at 2</w:t>
      </w:r>
      <w:r w:rsidR="009B7982" w:rsidRPr="00E9174E">
        <w:rPr>
          <w:sz w:val="26"/>
          <w:szCs w:val="26"/>
        </w:rPr>
        <w:t xml:space="preserve"> (citing CAUSE-PA M.B. at 6-11; CAUSE</w:t>
      </w:r>
      <w:r w:rsidR="00CE458B">
        <w:rPr>
          <w:sz w:val="26"/>
          <w:szCs w:val="26"/>
        </w:rPr>
        <w:noBreakHyphen/>
      </w:r>
      <w:r w:rsidR="009B7982" w:rsidRPr="00E9174E">
        <w:rPr>
          <w:sz w:val="26"/>
          <w:szCs w:val="26"/>
        </w:rPr>
        <w:t xml:space="preserve">PA R.B. at 3-6).  </w:t>
      </w:r>
      <w:r w:rsidR="00103E5B" w:rsidRPr="00E9174E">
        <w:rPr>
          <w:sz w:val="26"/>
          <w:szCs w:val="26"/>
        </w:rPr>
        <w:t xml:space="preserve">Moreover, CAUSE-PA </w:t>
      </w:r>
      <w:r w:rsidR="008B1495" w:rsidRPr="00E9174E">
        <w:rPr>
          <w:sz w:val="26"/>
          <w:szCs w:val="26"/>
        </w:rPr>
        <w:t xml:space="preserve">argues that the incremental steps taken by </w:t>
      </w:r>
      <w:r w:rsidR="00CF6068" w:rsidRPr="00E9174E">
        <w:rPr>
          <w:sz w:val="26"/>
          <w:szCs w:val="26"/>
        </w:rPr>
        <w:t>Columbia</w:t>
      </w:r>
      <w:r w:rsidR="008B1495" w:rsidRPr="00E9174E">
        <w:rPr>
          <w:sz w:val="26"/>
          <w:szCs w:val="26"/>
        </w:rPr>
        <w:t xml:space="preserve"> to address the crisis are wholly inadequate </w:t>
      </w:r>
      <w:r w:rsidR="005B03D7" w:rsidRPr="00E9174E">
        <w:rPr>
          <w:sz w:val="26"/>
          <w:szCs w:val="26"/>
        </w:rPr>
        <w:t>to address existing, longstanding unaffordability</w:t>
      </w:r>
      <w:r w:rsidR="00CF6068" w:rsidRPr="00E9174E">
        <w:rPr>
          <w:sz w:val="26"/>
          <w:szCs w:val="26"/>
        </w:rPr>
        <w:t xml:space="preserve"> of Columbia’s rates</w:t>
      </w:r>
      <w:r w:rsidR="005B03D7" w:rsidRPr="00E9174E">
        <w:rPr>
          <w:sz w:val="26"/>
          <w:szCs w:val="26"/>
        </w:rPr>
        <w:t xml:space="preserve">, let alone the compounding unaffordability </w:t>
      </w:r>
      <w:r w:rsidR="00CF6068" w:rsidRPr="00E9174E">
        <w:rPr>
          <w:sz w:val="26"/>
          <w:szCs w:val="26"/>
        </w:rPr>
        <w:t xml:space="preserve">that would be created by an additional rate increase in the midst of this unprecedented crisis.  </w:t>
      </w:r>
      <w:r w:rsidR="00845110" w:rsidRPr="00E9174E">
        <w:rPr>
          <w:sz w:val="26"/>
          <w:szCs w:val="26"/>
        </w:rPr>
        <w:t xml:space="preserve">CAUSE-PA R. Exc. at </w:t>
      </w:r>
      <w:r w:rsidR="00DB1B5A" w:rsidRPr="00E9174E">
        <w:rPr>
          <w:sz w:val="26"/>
          <w:szCs w:val="26"/>
        </w:rPr>
        <w:t>2.</w:t>
      </w:r>
      <w:r w:rsidR="00B05577" w:rsidRPr="00E9174E">
        <w:rPr>
          <w:sz w:val="26"/>
          <w:szCs w:val="26"/>
        </w:rPr>
        <w:t xml:space="preserve">  </w:t>
      </w:r>
      <w:r w:rsidR="0067034C" w:rsidRPr="00E9174E">
        <w:rPr>
          <w:sz w:val="26"/>
          <w:szCs w:val="26"/>
        </w:rPr>
        <w:t>According to CAUSE-PA, t</w:t>
      </w:r>
      <w:r w:rsidR="00B05577" w:rsidRPr="00E9174E">
        <w:rPr>
          <w:sz w:val="26"/>
          <w:szCs w:val="26"/>
        </w:rPr>
        <w:t>he inadequacies of Columbia’s response are demonstrated in this record by the evidence of the continued growth of arrearages, especially among low-income customers, as well as its disproportionate confirmed low</w:t>
      </w:r>
      <w:r w:rsidR="00CB59F1" w:rsidRPr="00E9174E">
        <w:rPr>
          <w:sz w:val="26"/>
          <w:szCs w:val="26"/>
        </w:rPr>
        <w:t>-</w:t>
      </w:r>
      <w:r w:rsidR="00B05577" w:rsidRPr="00E9174E">
        <w:rPr>
          <w:sz w:val="26"/>
          <w:szCs w:val="26"/>
        </w:rPr>
        <w:t>income and CAP termination rates</w:t>
      </w:r>
      <w:r w:rsidR="00573829" w:rsidRPr="00E9174E">
        <w:rPr>
          <w:sz w:val="26"/>
          <w:szCs w:val="26"/>
        </w:rPr>
        <w:t>.  CAU</w:t>
      </w:r>
      <w:r w:rsidR="00C65491" w:rsidRPr="00E9174E">
        <w:rPr>
          <w:sz w:val="26"/>
          <w:szCs w:val="26"/>
        </w:rPr>
        <w:t>S</w:t>
      </w:r>
      <w:r w:rsidR="00573829" w:rsidRPr="00E9174E">
        <w:rPr>
          <w:sz w:val="26"/>
          <w:szCs w:val="26"/>
        </w:rPr>
        <w:t xml:space="preserve">E-PA R. Exc. at 2 (citing CAUSE-PA M.B. at 8-10). </w:t>
      </w:r>
      <w:r w:rsidR="00BA46AC" w:rsidRPr="00E9174E">
        <w:rPr>
          <w:sz w:val="26"/>
          <w:szCs w:val="26"/>
        </w:rPr>
        <w:t xml:space="preserve"> CAU</w:t>
      </w:r>
      <w:r w:rsidR="00C65491" w:rsidRPr="00E9174E">
        <w:rPr>
          <w:sz w:val="26"/>
          <w:szCs w:val="26"/>
        </w:rPr>
        <w:t>S</w:t>
      </w:r>
      <w:r w:rsidR="00BA46AC" w:rsidRPr="00E9174E">
        <w:rPr>
          <w:sz w:val="26"/>
          <w:szCs w:val="26"/>
        </w:rPr>
        <w:t xml:space="preserve">E-PA submits that the record in this proceeding demonstrates that Columbia’s existing universal service programs are categorically unaffordable according to the Commission’s established affordability standards and enrollment in the program has remained stagnant for a decade.  CAUSE-PA R. Exc. at 3 (citing </w:t>
      </w:r>
      <w:r w:rsidR="0052134B" w:rsidRPr="00E9174E">
        <w:rPr>
          <w:sz w:val="26"/>
          <w:szCs w:val="26"/>
        </w:rPr>
        <w:t>CAUSE-PA M</w:t>
      </w:r>
      <w:r w:rsidR="00B406FD" w:rsidRPr="00E9174E">
        <w:rPr>
          <w:sz w:val="26"/>
          <w:szCs w:val="26"/>
        </w:rPr>
        <w:t>.</w:t>
      </w:r>
      <w:r w:rsidR="0052134B" w:rsidRPr="00E9174E">
        <w:rPr>
          <w:sz w:val="26"/>
          <w:szCs w:val="26"/>
        </w:rPr>
        <w:t>B</w:t>
      </w:r>
      <w:r w:rsidR="00B406FD" w:rsidRPr="00E9174E">
        <w:rPr>
          <w:sz w:val="26"/>
          <w:szCs w:val="26"/>
        </w:rPr>
        <w:t>.</w:t>
      </w:r>
      <w:r w:rsidR="0052134B" w:rsidRPr="00E9174E">
        <w:rPr>
          <w:sz w:val="26"/>
          <w:szCs w:val="26"/>
        </w:rPr>
        <w:t xml:space="preserve"> at 11-24).</w:t>
      </w:r>
      <w:r w:rsidR="00D04C12" w:rsidRPr="00E9174E">
        <w:rPr>
          <w:sz w:val="26"/>
          <w:szCs w:val="26"/>
        </w:rPr>
        <w:t xml:space="preserve">  </w:t>
      </w:r>
      <w:r w:rsidR="00B406FD" w:rsidRPr="00E9174E">
        <w:rPr>
          <w:sz w:val="26"/>
          <w:szCs w:val="26"/>
        </w:rPr>
        <w:t xml:space="preserve">CAUSE-PA notes that </w:t>
      </w:r>
      <w:r w:rsidR="00D04C12" w:rsidRPr="00E9174E">
        <w:rPr>
          <w:sz w:val="26"/>
          <w:szCs w:val="26"/>
        </w:rPr>
        <w:t xml:space="preserve">Columbia has rejected calls to lower its CAP energy burdens or to increase its CAP outreach, despite the impact of COVID-19 and the fact that Columbia had already agreed to adopt the Commission’s affordability standards in its last rate case.  CAUSE-PA R. Exc. at 3 (citing </w:t>
      </w:r>
      <w:r w:rsidR="00A55178" w:rsidRPr="00E9174E">
        <w:rPr>
          <w:sz w:val="26"/>
          <w:szCs w:val="26"/>
        </w:rPr>
        <w:t>CAUSE-PA M</w:t>
      </w:r>
      <w:r w:rsidR="00B406FD" w:rsidRPr="00E9174E">
        <w:rPr>
          <w:sz w:val="26"/>
          <w:szCs w:val="26"/>
        </w:rPr>
        <w:t>.</w:t>
      </w:r>
      <w:r w:rsidR="00A55178" w:rsidRPr="00E9174E">
        <w:rPr>
          <w:sz w:val="26"/>
          <w:szCs w:val="26"/>
        </w:rPr>
        <w:t>B</w:t>
      </w:r>
      <w:r w:rsidR="00B406FD" w:rsidRPr="00E9174E">
        <w:rPr>
          <w:sz w:val="26"/>
          <w:szCs w:val="26"/>
        </w:rPr>
        <w:t>.</w:t>
      </w:r>
      <w:r w:rsidR="00A55178" w:rsidRPr="00E9174E">
        <w:rPr>
          <w:sz w:val="26"/>
          <w:szCs w:val="26"/>
        </w:rPr>
        <w:t xml:space="preserve"> at 11-15, 20-23; CAUSE-PA R</w:t>
      </w:r>
      <w:r w:rsidR="00B406FD" w:rsidRPr="00E9174E">
        <w:rPr>
          <w:sz w:val="26"/>
          <w:szCs w:val="26"/>
        </w:rPr>
        <w:t>.</w:t>
      </w:r>
      <w:r w:rsidR="00A55178" w:rsidRPr="00E9174E">
        <w:rPr>
          <w:sz w:val="26"/>
          <w:szCs w:val="26"/>
        </w:rPr>
        <w:t>B</w:t>
      </w:r>
      <w:r w:rsidR="00B406FD" w:rsidRPr="00E9174E">
        <w:rPr>
          <w:sz w:val="26"/>
          <w:szCs w:val="26"/>
        </w:rPr>
        <w:t>.</w:t>
      </w:r>
      <w:r w:rsidR="00A55178" w:rsidRPr="00E9174E">
        <w:rPr>
          <w:sz w:val="26"/>
          <w:szCs w:val="26"/>
        </w:rPr>
        <w:t xml:space="preserve"> at 10-15).</w:t>
      </w:r>
    </w:p>
    <w:p w14:paraId="488C4380" w14:textId="4806707F" w:rsidR="003D0A63" w:rsidRPr="00E9174E" w:rsidRDefault="003D0A63" w:rsidP="00E9174E">
      <w:pPr>
        <w:pStyle w:val="BodyText2"/>
        <w:widowControl/>
        <w:spacing w:after="0" w:line="360" w:lineRule="auto"/>
        <w:ind w:firstLine="1440"/>
        <w:contextualSpacing/>
        <w:rPr>
          <w:sz w:val="26"/>
          <w:szCs w:val="26"/>
        </w:rPr>
      </w:pPr>
    </w:p>
    <w:p w14:paraId="56F77CC0" w14:textId="5CAA92F5" w:rsidR="004B47B7" w:rsidRPr="00E9174E" w:rsidRDefault="003A4352" w:rsidP="00E9174E">
      <w:pPr>
        <w:pStyle w:val="BodyText2"/>
        <w:widowControl/>
        <w:spacing w:after="0" w:line="360" w:lineRule="auto"/>
        <w:ind w:firstLine="1440"/>
        <w:contextualSpacing/>
        <w:rPr>
          <w:sz w:val="26"/>
          <w:szCs w:val="26"/>
        </w:rPr>
      </w:pPr>
      <w:r w:rsidRPr="00E9174E">
        <w:rPr>
          <w:sz w:val="26"/>
          <w:szCs w:val="26"/>
        </w:rPr>
        <w:t>CAUSE-PA</w:t>
      </w:r>
      <w:r w:rsidR="00B75A92" w:rsidRPr="00E9174E">
        <w:rPr>
          <w:sz w:val="26"/>
          <w:szCs w:val="26"/>
        </w:rPr>
        <w:t xml:space="preserve"> </w:t>
      </w:r>
      <w:r w:rsidR="0090281D" w:rsidRPr="00E9174E">
        <w:rPr>
          <w:sz w:val="26"/>
          <w:szCs w:val="26"/>
        </w:rPr>
        <w:t xml:space="preserve">replies </w:t>
      </w:r>
      <w:r w:rsidR="003832EC" w:rsidRPr="00E9174E">
        <w:rPr>
          <w:sz w:val="26"/>
          <w:szCs w:val="26"/>
        </w:rPr>
        <w:t xml:space="preserve">specifically </w:t>
      </w:r>
      <w:r w:rsidR="0090281D" w:rsidRPr="00E9174E">
        <w:rPr>
          <w:sz w:val="26"/>
          <w:szCs w:val="26"/>
        </w:rPr>
        <w:t xml:space="preserve">to </w:t>
      </w:r>
      <w:r w:rsidR="00C93DFB" w:rsidRPr="00E9174E">
        <w:rPr>
          <w:sz w:val="26"/>
          <w:szCs w:val="26"/>
        </w:rPr>
        <w:t xml:space="preserve">the following three </w:t>
      </w:r>
      <w:r w:rsidR="0090281D" w:rsidRPr="00E9174E">
        <w:rPr>
          <w:sz w:val="26"/>
          <w:szCs w:val="26"/>
        </w:rPr>
        <w:t xml:space="preserve">assertions </w:t>
      </w:r>
      <w:r w:rsidR="00C93DFB" w:rsidRPr="00E9174E">
        <w:rPr>
          <w:sz w:val="26"/>
          <w:szCs w:val="26"/>
        </w:rPr>
        <w:t xml:space="preserve">set forth in Columbia’s </w:t>
      </w:r>
      <w:r w:rsidR="0090281D" w:rsidRPr="00E9174E">
        <w:rPr>
          <w:sz w:val="26"/>
          <w:szCs w:val="26"/>
        </w:rPr>
        <w:t>Exception</w:t>
      </w:r>
      <w:r w:rsidR="00C22E83" w:rsidRPr="00E9174E">
        <w:rPr>
          <w:sz w:val="26"/>
          <w:szCs w:val="26"/>
        </w:rPr>
        <w:t xml:space="preserve"> No. 1</w:t>
      </w:r>
      <w:r w:rsidR="0090281D" w:rsidRPr="00E9174E">
        <w:rPr>
          <w:sz w:val="26"/>
          <w:szCs w:val="26"/>
        </w:rPr>
        <w:t xml:space="preserve">: (1) </w:t>
      </w:r>
      <w:r w:rsidR="00C93DFB" w:rsidRPr="00E9174E">
        <w:rPr>
          <w:sz w:val="26"/>
          <w:szCs w:val="26"/>
        </w:rPr>
        <w:t xml:space="preserve">that </w:t>
      </w:r>
      <w:r w:rsidR="0090281D" w:rsidRPr="00E9174E">
        <w:rPr>
          <w:sz w:val="26"/>
          <w:szCs w:val="26"/>
        </w:rPr>
        <w:t>despite the unemployment statistics, other customers are still working and able to pay increased rates</w:t>
      </w:r>
      <w:r w:rsidR="009C3FD4" w:rsidRPr="00E9174E">
        <w:rPr>
          <w:sz w:val="26"/>
          <w:szCs w:val="26"/>
        </w:rPr>
        <w:t>; (2) that unemployed customers have received government support; and (3)</w:t>
      </w:r>
      <w:r w:rsidR="00447E87" w:rsidRPr="00E9174E">
        <w:rPr>
          <w:sz w:val="26"/>
          <w:szCs w:val="26"/>
        </w:rPr>
        <w:t xml:space="preserve"> that customers who have experienced a reduction or loss of their incomes are eligible to apply for CAP.  CAUSE</w:t>
      </w:r>
      <w:r w:rsidR="00CE458B">
        <w:rPr>
          <w:sz w:val="26"/>
          <w:szCs w:val="26"/>
        </w:rPr>
        <w:noBreakHyphen/>
      </w:r>
      <w:r w:rsidR="00447E87" w:rsidRPr="00E9174E">
        <w:rPr>
          <w:sz w:val="26"/>
          <w:szCs w:val="26"/>
        </w:rPr>
        <w:t xml:space="preserve">PA R. Exc. at </w:t>
      </w:r>
      <w:r w:rsidR="00806B9D" w:rsidRPr="00E9174E">
        <w:rPr>
          <w:sz w:val="26"/>
          <w:szCs w:val="26"/>
        </w:rPr>
        <w:t>3-5 (citing C</w:t>
      </w:r>
      <w:r w:rsidR="006A6DAD" w:rsidRPr="00E9174E">
        <w:rPr>
          <w:sz w:val="26"/>
          <w:szCs w:val="26"/>
        </w:rPr>
        <w:t>G</w:t>
      </w:r>
      <w:r w:rsidR="00806B9D" w:rsidRPr="00E9174E">
        <w:rPr>
          <w:sz w:val="26"/>
          <w:szCs w:val="26"/>
        </w:rPr>
        <w:t xml:space="preserve"> Exc. at 6).</w:t>
      </w:r>
      <w:r w:rsidR="003832EC" w:rsidRPr="00E9174E">
        <w:rPr>
          <w:sz w:val="26"/>
          <w:szCs w:val="26"/>
        </w:rPr>
        <w:t xml:space="preserve">  </w:t>
      </w:r>
      <w:r w:rsidR="004B47B7" w:rsidRPr="00E9174E">
        <w:rPr>
          <w:sz w:val="26"/>
          <w:szCs w:val="26"/>
        </w:rPr>
        <w:t>Regarding C</w:t>
      </w:r>
      <w:r w:rsidR="003D0A63" w:rsidRPr="00E9174E">
        <w:rPr>
          <w:sz w:val="26"/>
          <w:szCs w:val="26"/>
        </w:rPr>
        <w:t xml:space="preserve">olumbia’s </w:t>
      </w:r>
      <w:r w:rsidR="003832EC" w:rsidRPr="00E9174E">
        <w:rPr>
          <w:sz w:val="26"/>
          <w:szCs w:val="26"/>
        </w:rPr>
        <w:t xml:space="preserve">first </w:t>
      </w:r>
      <w:r w:rsidR="003D0A63" w:rsidRPr="00E9174E">
        <w:rPr>
          <w:sz w:val="26"/>
          <w:szCs w:val="26"/>
        </w:rPr>
        <w:t>assertion</w:t>
      </w:r>
      <w:r w:rsidR="004B47B7" w:rsidRPr="00E9174E">
        <w:rPr>
          <w:sz w:val="26"/>
          <w:szCs w:val="26"/>
        </w:rPr>
        <w:t>, CAUSE</w:t>
      </w:r>
      <w:r w:rsidR="00CE458B">
        <w:rPr>
          <w:sz w:val="26"/>
          <w:szCs w:val="26"/>
        </w:rPr>
        <w:noBreakHyphen/>
      </w:r>
      <w:r w:rsidR="004B47B7" w:rsidRPr="00E9174E">
        <w:rPr>
          <w:sz w:val="26"/>
          <w:szCs w:val="26"/>
        </w:rPr>
        <w:t>PA argues it</w:t>
      </w:r>
      <w:r w:rsidRPr="00E9174E">
        <w:rPr>
          <w:sz w:val="26"/>
          <w:szCs w:val="26"/>
        </w:rPr>
        <w:t xml:space="preserve"> only </w:t>
      </w:r>
      <w:r w:rsidR="00733344" w:rsidRPr="00E9174E">
        <w:rPr>
          <w:sz w:val="26"/>
          <w:szCs w:val="26"/>
        </w:rPr>
        <w:t xml:space="preserve">goes to </w:t>
      </w:r>
      <w:r w:rsidRPr="00E9174E">
        <w:rPr>
          <w:sz w:val="26"/>
          <w:szCs w:val="26"/>
        </w:rPr>
        <w:t>underscore</w:t>
      </w:r>
      <w:r w:rsidR="00733344" w:rsidRPr="00E9174E">
        <w:rPr>
          <w:sz w:val="26"/>
          <w:szCs w:val="26"/>
        </w:rPr>
        <w:t xml:space="preserve"> </w:t>
      </w:r>
      <w:r w:rsidRPr="00E9174E">
        <w:rPr>
          <w:sz w:val="26"/>
          <w:szCs w:val="26"/>
        </w:rPr>
        <w:t>the conclusion of the ALJ</w:t>
      </w:r>
      <w:r w:rsidR="00092E9A" w:rsidRPr="00E9174E">
        <w:rPr>
          <w:sz w:val="26"/>
          <w:szCs w:val="26"/>
        </w:rPr>
        <w:t xml:space="preserve"> </w:t>
      </w:r>
      <w:r w:rsidR="00C93DFB" w:rsidRPr="00E9174E">
        <w:rPr>
          <w:sz w:val="26"/>
          <w:szCs w:val="26"/>
        </w:rPr>
        <w:t>(</w:t>
      </w:r>
      <w:r w:rsidR="00092E9A" w:rsidRPr="00E9174E">
        <w:rPr>
          <w:sz w:val="26"/>
          <w:szCs w:val="26"/>
        </w:rPr>
        <w:t xml:space="preserve">and the </w:t>
      </w:r>
      <w:r w:rsidR="00092E9A" w:rsidRPr="00E9174E">
        <w:rPr>
          <w:sz w:val="26"/>
          <w:szCs w:val="26"/>
        </w:rPr>
        <w:lastRenderedPageBreak/>
        <w:t xml:space="preserve">assertions of the </w:t>
      </w:r>
      <w:r w:rsidR="00D0762E" w:rsidRPr="00E9174E">
        <w:rPr>
          <w:sz w:val="26"/>
          <w:szCs w:val="26"/>
        </w:rPr>
        <w:t xml:space="preserve">opposing </w:t>
      </w:r>
      <w:r w:rsidR="00CF0CFC" w:rsidRPr="00E9174E">
        <w:rPr>
          <w:sz w:val="26"/>
          <w:szCs w:val="26"/>
        </w:rPr>
        <w:t>Parties</w:t>
      </w:r>
      <w:r w:rsidR="00C93DFB" w:rsidRPr="00E9174E">
        <w:rPr>
          <w:sz w:val="26"/>
          <w:szCs w:val="26"/>
        </w:rPr>
        <w:t>)</w:t>
      </w:r>
      <w:r w:rsidR="00092E9A" w:rsidRPr="00E9174E">
        <w:rPr>
          <w:sz w:val="26"/>
          <w:szCs w:val="26"/>
        </w:rPr>
        <w:t xml:space="preserve"> that Columbia has failed to understand or consider the gravity of the economic devastation its customers currently face</w:t>
      </w:r>
      <w:r w:rsidR="00C93DFB" w:rsidRPr="00E9174E">
        <w:rPr>
          <w:sz w:val="26"/>
          <w:szCs w:val="26"/>
        </w:rPr>
        <w:t xml:space="preserve"> due to the pandemic</w:t>
      </w:r>
      <w:r w:rsidR="00092E9A" w:rsidRPr="00E9174E">
        <w:rPr>
          <w:sz w:val="26"/>
          <w:szCs w:val="26"/>
        </w:rPr>
        <w:t xml:space="preserve">. </w:t>
      </w:r>
      <w:r w:rsidR="00656AB0" w:rsidRPr="00E9174E">
        <w:rPr>
          <w:sz w:val="26"/>
          <w:szCs w:val="26"/>
        </w:rPr>
        <w:t xml:space="preserve"> CAUSE-PA R. Exc. at 3 (citing OCA M.B. at 14</w:t>
      </w:r>
      <w:r w:rsidR="00E364EA" w:rsidRPr="00E9174E">
        <w:rPr>
          <w:sz w:val="26"/>
          <w:szCs w:val="26"/>
        </w:rPr>
        <w:t>).</w:t>
      </w:r>
      <w:r w:rsidR="00B75A92" w:rsidRPr="00E9174E">
        <w:rPr>
          <w:sz w:val="26"/>
          <w:szCs w:val="26"/>
        </w:rPr>
        <w:t xml:space="preserve"> </w:t>
      </w:r>
      <w:r w:rsidR="004B47B7" w:rsidRPr="00E9174E">
        <w:rPr>
          <w:sz w:val="26"/>
          <w:szCs w:val="26"/>
        </w:rPr>
        <w:t xml:space="preserve"> Here, CAUSE-PA </w:t>
      </w:r>
      <w:r w:rsidR="00E12E2F" w:rsidRPr="00E9174E">
        <w:rPr>
          <w:sz w:val="26"/>
          <w:szCs w:val="26"/>
        </w:rPr>
        <w:t xml:space="preserve">argues that </w:t>
      </w:r>
      <w:r w:rsidR="00AA415E" w:rsidRPr="00E9174E">
        <w:rPr>
          <w:sz w:val="26"/>
          <w:szCs w:val="26"/>
        </w:rPr>
        <w:t xml:space="preserve">the measure of reasonableness </w:t>
      </w:r>
      <w:r w:rsidR="00CD3063" w:rsidRPr="00E9174E">
        <w:rPr>
          <w:sz w:val="26"/>
          <w:szCs w:val="26"/>
        </w:rPr>
        <w:t>must be whether rates are affordable for all customers to access utility service, stating</w:t>
      </w:r>
      <w:r w:rsidR="00E12E2F" w:rsidRPr="00E9174E">
        <w:rPr>
          <w:sz w:val="26"/>
          <w:szCs w:val="26"/>
        </w:rPr>
        <w:t>,</w:t>
      </w:r>
      <w:r w:rsidR="00CD3063" w:rsidRPr="00E9174E">
        <w:rPr>
          <w:sz w:val="26"/>
          <w:szCs w:val="26"/>
        </w:rPr>
        <w:t xml:space="preserve"> “</w:t>
      </w:r>
      <w:r w:rsidR="004B47B7" w:rsidRPr="00E9174E">
        <w:rPr>
          <w:sz w:val="26"/>
          <w:szCs w:val="26"/>
        </w:rPr>
        <w:t>Indeed, this principle is fundamental to the promise of universal service.”  CAUSE-PA R. Exc. at 3 (citing 66 Pa. C.S. §§ 2802, 2803(1), 2803(7), 2803(8)</w:t>
      </w:r>
      <w:r w:rsidR="00A201F5" w:rsidRPr="00E9174E">
        <w:rPr>
          <w:sz w:val="26"/>
          <w:szCs w:val="26"/>
        </w:rPr>
        <w:t>)</w:t>
      </w:r>
      <w:r w:rsidR="004B47B7" w:rsidRPr="00E9174E">
        <w:rPr>
          <w:sz w:val="26"/>
          <w:szCs w:val="26"/>
        </w:rPr>
        <w:t xml:space="preserve">. </w:t>
      </w:r>
    </w:p>
    <w:p w14:paraId="7CC8FDE2" w14:textId="77777777" w:rsidR="004B47B7" w:rsidRPr="00E9174E" w:rsidRDefault="00B75A92" w:rsidP="00E9174E">
      <w:pPr>
        <w:pStyle w:val="BodyText2"/>
        <w:widowControl/>
        <w:spacing w:after="0" w:line="360" w:lineRule="auto"/>
        <w:ind w:firstLine="1440"/>
        <w:contextualSpacing/>
        <w:rPr>
          <w:sz w:val="26"/>
          <w:szCs w:val="26"/>
        </w:rPr>
      </w:pPr>
      <w:r w:rsidRPr="00E9174E">
        <w:rPr>
          <w:sz w:val="26"/>
          <w:szCs w:val="26"/>
        </w:rPr>
        <w:t xml:space="preserve"> </w:t>
      </w:r>
    </w:p>
    <w:p w14:paraId="76CC7863" w14:textId="7536C2C9" w:rsidR="00D93986" w:rsidRPr="00E9174E" w:rsidRDefault="00473A48" w:rsidP="00E9174E">
      <w:pPr>
        <w:pStyle w:val="BodyText2"/>
        <w:widowControl/>
        <w:spacing w:after="0" w:line="360" w:lineRule="auto"/>
        <w:ind w:firstLine="1440"/>
        <w:contextualSpacing/>
        <w:rPr>
          <w:sz w:val="26"/>
          <w:szCs w:val="26"/>
        </w:rPr>
      </w:pPr>
      <w:r w:rsidRPr="00E9174E">
        <w:rPr>
          <w:sz w:val="26"/>
          <w:szCs w:val="26"/>
        </w:rPr>
        <w:t>Regarding</w:t>
      </w:r>
      <w:r w:rsidR="003832EC" w:rsidRPr="00E9174E">
        <w:rPr>
          <w:sz w:val="26"/>
          <w:szCs w:val="26"/>
        </w:rPr>
        <w:t xml:space="preserve"> Columbia’s second assertion</w:t>
      </w:r>
      <w:r w:rsidRPr="00E9174E">
        <w:rPr>
          <w:sz w:val="26"/>
          <w:szCs w:val="26"/>
        </w:rPr>
        <w:t xml:space="preserve">, CAUSE-PA argues that </w:t>
      </w:r>
      <w:r w:rsidR="00A022C9" w:rsidRPr="00E9174E">
        <w:rPr>
          <w:sz w:val="26"/>
          <w:szCs w:val="26"/>
        </w:rPr>
        <w:t>Columbia fails to</w:t>
      </w:r>
      <w:r w:rsidR="003832EC" w:rsidRPr="00E9174E">
        <w:rPr>
          <w:sz w:val="26"/>
          <w:szCs w:val="26"/>
        </w:rPr>
        <w:t xml:space="preserve"> take into account that</w:t>
      </w:r>
      <w:r w:rsidR="00FB3F86" w:rsidRPr="00E9174E">
        <w:rPr>
          <w:sz w:val="26"/>
          <w:szCs w:val="26"/>
        </w:rPr>
        <w:t xml:space="preserve"> </w:t>
      </w:r>
      <w:r w:rsidR="003832EC" w:rsidRPr="00E9174E">
        <w:rPr>
          <w:sz w:val="26"/>
          <w:szCs w:val="26"/>
        </w:rPr>
        <w:t xml:space="preserve">government relief packages </w:t>
      </w:r>
      <w:r w:rsidR="00A022C9" w:rsidRPr="00E9174E">
        <w:rPr>
          <w:sz w:val="26"/>
          <w:szCs w:val="26"/>
        </w:rPr>
        <w:t>to date</w:t>
      </w:r>
      <w:r w:rsidR="003832EC" w:rsidRPr="00E9174E">
        <w:rPr>
          <w:sz w:val="26"/>
          <w:szCs w:val="26"/>
        </w:rPr>
        <w:t xml:space="preserve"> have provided only temporary, short term relief.  CAUSE-PA R. Exc. at 4 (citing CAUSE-PA St. 1 at 15).  </w:t>
      </w:r>
      <w:r w:rsidR="00A022C9" w:rsidRPr="00E9174E">
        <w:rPr>
          <w:sz w:val="26"/>
          <w:szCs w:val="26"/>
        </w:rPr>
        <w:t>I</w:t>
      </w:r>
      <w:r w:rsidR="003832EC" w:rsidRPr="00E9174E">
        <w:rPr>
          <w:sz w:val="26"/>
          <w:szCs w:val="26"/>
        </w:rPr>
        <w:t xml:space="preserve">n any event, CAUSE-PA argues </w:t>
      </w:r>
      <w:r w:rsidR="00A022C9" w:rsidRPr="00E9174E">
        <w:rPr>
          <w:sz w:val="26"/>
          <w:szCs w:val="26"/>
        </w:rPr>
        <w:t xml:space="preserve">that </w:t>
      </w:r>
      <w:r w:rsidR="003832EC" w:rsidRPr="00E9174E">
        <w:rPr>
          <w:sz w:val="26"/>
          <w:szCs w:val="26"/>
        </w:rPr>
        <w:t>the existence of government assistance does not relieve Columbia of its obligation to provide affordable rates to its customers – nor does it alleviate the Commission of its duty to protect the public interest and ensure that all rates charged are just, reasonable, and universally accessible to those in need.  CAUSE</w:t>
      </w:r>
      <w:r w:rsidR="00CE458B">
        <w:rPr>
          <w:sz w:val="26"/>
          <w:szCs w:val="26"/>
        </w:rPr>
        <w:noBreakHyphen/>
      </w:r>
      <w:r w:rsidR="003832EC" w:rsidRPr="00E9174E">
        <w:rPr>
          <w:sz w:val="26"/>
          <w:szCs w:val="26"/>
        </w:rPr>
        <w:t>PA R. Exc. at 4.</w:t>
      </w:r>
      <w:r w:rsidRPr="00E9174E">
        <w:rPr>
          <w:sz w:val="26"/>
          <w:szCs w:val="26"/>
        </w:rPr>
        <w:t xml:space="preserve">  </w:t>
      </w:r>
    </w:p>
    <w:p w14:paraId="5A1EAD78" w14:textId="77777777" w:rsidR="00D93986" w:rsidRPr="00E9174E" w:rsidRDefault="00D93986" w:rsidP="00E9174E">
      <w:pPr>
        <w:pStyle w:val="BodyText2"/>
        <w:widowControl/>
        <w:spacing w:after="0" w:line="360" w:lineRule="auto"/>
        <w:ind w:firstLine="1440"/>
        <w:contextualSpacing/>
        <w:rPr>
          <w:sz w:val="26"/>
          <w:szCs w:val="26"/>
        </w:rPr>
      </w:pPr>
    </w:p>
    <w:p w14:paraId="2685D50E" w14:textId="18A72569" w:rsidR="003832EC" w:rsidRPr="00E9174E" w:rsidRDefault="00B40040" w:rsidP="00E9174E">
      <w:pPr>
        <w:pStyle w:val="BodyText2"/>
        <w:widowControl/>
        <w:spacing w:after="0" w:line="360" w:lineRule="auto"/>
        <w:ind w:firstLine="1440"/>
        <w:contextualSpacing/>
        <w:rPr>
          <w:sz w:val="26"/>
          <w:szCs w:val="26"/>
        </w:rPr>
      </w:pPr>
      <w:r w:rsidRPr="00E9174E">
        <w:rPr>
          <w:sz w:val="26"/>
          <w:szCs w:val="26"/>
        </w:rPr>
        <w:t>R</w:t>
      </w:r>
      <w:r w:rsidR="00473A48" w:rsidRPr="00E9174E">
        <w:rPr>
          <w:sz w:val="26"/>
          <w:szCs w:val="26"/>
        </w:rPr>
        <w:t xml:space="preserve">egarding Columbia’s third assertion, CAUSE-PA </w:t>
      </w:r>
      <w:r w:rsidR="00D93986" w:rsidRPr="00E9174E">
        <w:rPr>
          <w:sz w:val="26"/>
          <w:szCs w:val="26"/>
        </w:rPr>
        <w:t>argues that: (1) a majority of Columbia’s CAP customers will experience an increase in rates as a result of any approved rate increase; (2) not all</w:t>
      </w:r>
      <w:r w:rsidR="001412EA" w:rsidRPr="00E9174E">
        <w:rPr>
          <w:sz w:val="26"/>
          <w:szCs w:val="26"/>
        </w:rPr>
        <w:t xml:space="preserve"> </w:t>
      </w:r>
      <w:r w:rsidR="00C22E83" w:rsidRPr="00E9174E">
        <w:rPr>
          <w:sz w:val="26"/>
          <w:szCs w:val="26"/>
        </w:rPr>
        <w:t>low-income</w:t>
      </w:r>
      <w:r w:rsidR="00D93986" w:rsidRPr="00E9174E">
        <w:rPr>
          <w:sz w:val="26"/>
          <w:szCs w:val="26"/>
        </w:rPr>
        <w:t xml:space="preserve"> customers qualify for CAP and, even so, CAP only reaches a small percentage of those who qualify</w:t>
      </w:r>
      <w:r w:rsidR="0023677F" w:rsidRPr="00E9174E">
        <w:rPr>
          <w:sz w:val="26"/>
          <w:szCs w:val="26"/>
        </w:rPr>
        <w:t xml:space="preserve">; and (3) </w:t>
      </w:r>
      <w:r w:rsidR="00D93986" w:rsidRPr="00E9174E">
        <w:rPr>
          <w:sz w:val="26"/>
          <w:szCs w:val="26"/>
        </w:rPr>
        <w:t>even for those</w:t>
      </w:r>
      <w:r w:rsidR="0023677F" w:rsidRPr="00E9174E">
        <w:rPr>
          <w:sz w:val="26"/>
          <w:szCs w:val="26"/>
        </w:rPr>
        <w:t xml:space="preserve"> customers</w:t>
      </w:r>
      <w:r w:rsidR="00D93986" w:rsidRPr="00E9174E">
        <w:rPr>
          <w:sz w:val="26"/>
          <w:szCs w:val="26"/>
        </w:rPr>
        <w:t xml:space="preserve"> who qualify and are able to enroll, Columbia’s CAP rates remain categorically unaffordable according to the Commission’s standards</w:t>
      </w:r>
      <w:r w:rsidR="0023677F" w:rsidRPr="00E9174E">
        <w:rPr>
          <w:sz w:val="26"/>
          <w:szCs w:val="26"/>
        </w:rPr>
        <w:t xml:space="preserve">, as explained above.  CAUSE-PA </w:t>
      </w:r>
      <w:r w:rsidR="00FB3F86" w:rsidRPr="00E9174E">
        <w:rPr>
          <w:sz w:val="26"/>
          <w:szCs w:val="26"/>
        </w:rPr>
        <w:t>R</w:t>
      </w:r>
      <w:r w:rsidR="0023677F" w:rsidRPr="00E9174E">
        <w:rPr>
          <w:sz w:val="26"/>
          <w:szCs w:val="26"/>
        </w:rPr>
        <w:t xml:space="preserve">. Exc. at 4-5 (citing CAUSE-PA M.B. at </w:t>
      </w:r>
      <w:r w:rsidR="00C93DFB" w:rsidRPr="00E9174E">
        <w:rPr>
          <w:sz w:val="26"/>
          <w:szCs w:val="26"/>
        </w:rPr>
        <w:t>22-24; CAUSE-PA R.B. at 7-15).</w:t>
      </w:r>
    </w:p>
    <w:p w14:paraId="46C0EAD5" w14:textId="77777777" w:rsidR="00082B29" w:rsidRPr="00E9174E" w:rsidRDefault="00082B29" w:rsidP="00E9174E">
      <w:pPr>
        <w:pStyle w:val="BodyText2"/>
        <w:widowControl/>
        <w:spacing w:after="0" w:line="360" w:lineRule="auto"/>
        <w:ind w:firstLine="1440"/>
        <w:contextualSpacing/>
        <w:rPr>
          <w:sz w:val="26"/>
          <w:szCs w:val="26"/>
        </w:rPr>
      </w:pPr>
    </w:p>
    <w:p w14:paraId="7AF1C595" w14:textId="5F52FAD8" w:rsidR="00C22024" w:rsidRPr="00E9174E" w:rsidRDefault="00B40040" w:rsidP="00E9174E">
      <w:pPr>
        <w:pStyle w:val="BodyText2"/>
        <w:widowControl/>
        <w:spacing w:after="0" w:line="360" w:lineRule="auto"/>
        <w:ind w:firstLine="1440"/>
        <w:contextualSpacing/>
        <w:rPr>
          <w:sz w:val="26"/>
          <w:szCs w:val="26"/>
        </w:rPr>
      </w:pPr>
      <w:r w:rsidRPr="00E9174E">
        <w:rPr>
          <w:sz w:val="26"/>
          <w:szCs w:val="26"/>
        </w:rPr>
        <w:t>Finally, regarding Columbia’s further claim</w:t>
      </w:r>
      <w:r w:rsidR="00C22E83" w:rsidRPr="00E9174E">
        <w:rPr>
          <w:sz w:val="26"/>
          <w:szCs w:val="26"/>
        </w:rPr>
        <w:t xml:space="preserve"> in its Exception No. 1</w:t>
      </w:r>
      <w:r w:rsidRPr="00E9174E">
        <w:rPr>
          <w:sz w:val="26"/>
          <w:szCs w:val="26"/>
        </w:rPr>
        <w:t xml:space="preserve"> that the denial of its current rate increase request will only serve to compound its next base rate increase case in 2021, where it will request the $100 million from this case along with an additional $50-$75 million, CAUSE-PA </w:t>
      </w:r>
      <w:r w:rsidR="00985260" w:rsidRPr="00E9174E">
        <w:rPr>
          <w:sz w:val="26"/>
          <w:szCs w:val="26"/>
        </w:rPr>
        <w:t xml:space="preserve">recognizes </w:t>
      </w:r>
      <w:r w:rsidRPr="00E9174E">
        <w:rPr>
          <w:sz w:val="26"/>
          <w:szCs w:val="26"/>
        </w:rPr>
        <w:t xml:space="preserve">that such a future rate request is </w:t>
      </w:r>
      <w:r w:rsidRPr="00E9174E">
        <w:rPr>
          <w:sz w:val="26"/>
          <w:szCs w:val="26"/>
        </w:rPr>
        <w:lastRenderedPageBreak/>
        <w:t xml:space="preserve">certainly within Columbia’s prerogative to make, but Columbia will have to prove its case for why such an increase is just and reasonable and fully supported by substantial evidence.  </w:t>
      </w:r>
      <w:r w:rsidR="00A576DC" w:rsidRPr="00E9174E">
        <w:rPr>
          <w:sz w:val="26"/>
          <w:szCs w:val="26"/>
        </w:rPr>
        <w:t>CAUSE-PA argues that Columbia has succeeded in raising rates exponentially over the last decade</w:t>
      </w:r>
      <w:r w:rsidR="00E12E2F" w:rsidRPr="00E9174E">
        <w:rPr>
          <w:sz w:val="26"/>
          <w:szCs w:val="26"/>
        </w:rPr>
        <w:t>,</w:t>
      </w:r>
      <w:r w:rsidR="00A576DC" w:rsidRPr="00E9174E">
        <w:rPr>
          <w:sz w:val="26"/>
          <w:szCs w:val="26"/>
        </w:rPr>
        <w:t xml:space="preserve"> with substantial rate increases awarded seven times in the last ten years.  </w:t>
      </w:r>
      <w:r w:rsidR="00316589" w:rsidRPr="00E9174E">
        <w:rPr>
          <w:sz w:val="26"/>
          <w:szCs w:val="26"/>
        </w:rPr>
        <w:t xml:space="preserve">CAUSE-PA expresses its hope that </w:t>
      </w:r>
      <w:r w:rsidR="00A576DC" w:rsidRPr="00E9174E">
        <w:rPr>
          <w:sz w:val="26"/>
          <w:szCs w:val="26"/>
        </w:rPr>
        <w:t xml:space="preserve">by the time Columbia files its next rate case, the global pandemic will have subsided from its current levels and the economic impacts will be better understood. </w:t>
      </w:r>
      <w:r w:rsidR="00316589" w:rsidRPr="00E9174E">
        <w:rPr>
          <w:sz w:val="26"/>
          <w:szCs w:val="26"/>
        </w:rPr>
        <w:t xml:space="preserve"> </w:t>
      </w:r>
      <w:r w:rsidR="00A576DC" w:rsidRPr="00E9174E">
        <w:rPr>
          <w:sz w:val="26"/>
          <w:szCs w:val="26"/>
        </w:rPr>
        <w:t>If so,</w:t>
      </w:r>
      <w:r w:rsidR="00316589" w:rsidRPr="00E9174E">
        <w:rPr>
          <w:sz w:val="26"/>
          <w:szCs w:val="26"/>
        </w:rPr>
        <w:t xml:space="preserve"> CAUSE-PA submits that</w:t>
      </w:r>
      <w:r w:rsidR="00A576DC" w:rsidRPr="00E9174E">
        <w:rPr>
          <w:sz w:val="26"/>
          <w:szCs w:val="26"/>
        </w:rPr>
        <w:t xml:space="preserve"> the Commission and stakeholders will be able to perform a meaningful review and determine whether Columbia’s proposal is just and reasonable based on the current circumstances at that time. </w:t>
      </w:r>
      <w:r w:rsidR="00316589" w:rsidRPr="00E9174E">
        <w:rPr>
          <w:sz w:val="26"/>
          <w:szCs w:val="26"/>
        </w:rPr>
        <w:t xml:space="preserve"> On that point, CAUSE-PA submits that “</w:t>
      </w:r>
      <w:r w:rsidR="00A576DC" w:rsidRPr="00E9174E">
        <w:rPr>
          <w:sz w:val="26"/>
          <w:szCs w:val="26"/>
        </w:rPr>
        <w:t>Indeed, no party has ever argued that Columbia never be allowed to raise rates, only that now is not the appropriate time</w:t>
      </w:r>
      <w:r w:rsidR="00FD0EFF" w:rsidRPr="00E9174E">
        <w:rPr>
          <w:sz w:val="26"/>
          <w:szCs w:val="26"/>
        </w:rPr>
        <w:t xml:space="preserve">.”  CAUSE-PA R. Exc. at </w:t>
      </w:r>
      <w:r w:rsidR="00F23F79" w:rsidRPr="00E9174E">
        <w:rPr>
          <w:sz w:val="26"/>
          <w:szCs w:val="26"/>
        </w:rPr>
        <w:t xml:space="preserve">5 (citing </w:t>
      </w:r>
      <w:r w:rsidR="00D86ADB" w:rsidRPr="00E9174E">
        <w:rPr>
          <w:sz w:val="26"/>
          <w:szCs w:val="26"/>
        </w:rPr>
        <w:t>CAUSE-PA R.B. at 5-6).</w:t>
      </w:r>
    </w:p>
    <w:p w14:paraId="35A38B31" w14:textId="77777777" w:rsidR="005853A2" w:rsidRPr="00E9174E" w:rsidRDefault="005853A2" w:rsidP="00E9174E">
      <w:pPr>
        <w:pStyle w:val="BodyText2"/>
        <w:widowControl/>
        <w:spacing w:after="0" w:line="360" w:lineRule="auto"/>
        <w:ind w:firstLine="1440"/>
        <w:contextualSpacing/>
        <w:rPr>
          <w:sz w:val="26"/>
          <w:szCs w:val="26"/>
        </w:rPr>
      </w:pPr>
    </w:p>
    <w:p w14:paraId="65630D00" w14:textId="3FAB6ACC" w:rsidR="005B1D9C" w:rsidRPr="00E9174E" w:rsidRDefault="00F24393" w:rsidP="00CE458B">
      <w:pPr>
        <w:pStyle w:val="Heading3"/>
        <w:numPr>
          <w:ilvl w:val="0"/>
          <w:numId w:val="3"/>
        </w:numPr>
        <w:ind w:left="1440" w:hanging="720"/>
      </w:pPr>
      <w:bookmarkStart w:id="53" w:name="_Toc62487957"/>
      <w:bookmarkStart w:id="54" w:name="_Toc63764416"/>
      <w:r w:rsidRPr="00E9174E">
        <w:t>Columbia Exception No. 2 and Replies</w:t>
      </w:r>
      <w:bookmarkEnd w:id="53"/>
      <w:bookmarkEnd w:id="54"/>
    </w:p>
    <w:p w14:paraId="2E2CEFAC" w14:textId="0CF371FA" w:rsidR="00202E1C" w:rsidRPr="00E9174E" w:rsidRDefault="00202E1C" w:rsidP="00E9174E">
      <w:pPr>
        <w:pStyle w:val="BodyText2"/>
        <w:keepNext/>
        <w:keepLines/>
        <w:widowControl/>
        <w:spacing w:after="0" w:line="360" w:lineRule="auto"/>
        <w:contextualSpacing/>
        <w:rPr>
          <w:sz w:val="26"/>
          <w:szCs w:val="26"/>
        </w:rPr>
      </w:pPr>
    </w:p>
    <w:p w14:paraId="72684B26" w14:textId="1F02DFC0" w:rsidR="00202E1C" w:rsidRPr="00E9174E" w:rsidRDefault="00306843" w:rsidP="00E9174E">
      <w:pPr>
        <w:pStyle w:val="BodyText2"/>
        <w:keepNext/>
        <w:widowControl/>
        <w:spacing w:after="0" w:line="360" w:lineRule="auto"/>
        <w:ind w:firstLine="1440"/>
        <w:contextualSpacing/>
        <w:rPr>
          <w:sz w:val="26"/>
          <w:szCs w:val="26"/>
        </w:rPr>
      </w:pPr>
      <w:r w:rsidRPr="00E9174E">
        <w:rPr>
          <w:sz w:val="26"/>
          <w:szCs w:val="26"/>
        </w:rPr>
        <w:t>In its second Exception, Columbia submits that the</w:t>
      </w:r>
      <w:r w:rsidR="00355B83" w:rsidRPr="00E9174E">
        <w:rPr>
          <w:sz w:val="26"/>
          <w:szCs w:val="26"/>
        </w:rPr>
        <w:t xml:space="preserve"> Recommended Decision</w:t>
      </w:r>
      <w:r w:rsidRPr="00E9174E">
        <w:rPr>
          <w:sz w:val="26"/>
          <w:szCs w:val="26"/>
        </w:rPr>
        <w:t xml:space="preserve"> improperly concludes that Columbia’s entire rate presentation is speculative</w:t>
      </w:r>
      <w:r w:rsidR="001C77B8" w:rsidRPr="00E9174E">
        <w:rPr>
          <w:sz w:val="26"/>
          <w:szCs w:val="26"/>
        </w:rPr>
        <w:t xml:space="preserve"> and wrongfully rejects the traditional revenue requirement analysis on this basis.  CG Exc. at</w:t>
      </w:r>
      <w:r w:rsidR="00CE458B">
        <w:rPr>
          <w:sz w:val="26"/>
          <w:szCs w:val="26"/>
        </w:rPr>
        <w:t> </w:t>
      </w:r>
      <w:r w:rsidR="001C77B8" w:rsidRPr="00E9174E">
        <w:rPr>
          <w:sz w:val="26"/>
          <w:szCs w:val="26"/>
        </w:rPr>
        <w:t xml:space="preserve">7 (citing R.D. at 50).  </w:t>
      </w:r>
      <w:r w:rsidR="00FE107A" w:rsidRPr="00E9174E">
        <w:rPr>
          <w:sz w:val="26"/>
          <w:szCs w:val="26"/>
        </w:rPr>
        <w:t xml:space="preserve">Columbia submits that the </w:t>
      </w:r>
      <w:r w:rsidR="002923E8" w:rsidRPr="00E9174E">
        <w:rPr>
          <w:sz w:val="26"/>
          <w:szCs w:val="26"/>
        </w:rPr>
        <w:t>Recommended Decision’s</w:t>
      </w:r>
      <w:r w:rsidR="00FE107A" w:rsidRPr="00E9174E">
        <w:rPr>
          <w:sz w:val="26"/>
          <w:szCs w:val="26"/>
        </w:rPr>
        <w:t xml:space="preserve"> assertion is factually erroneous, places an impossible burden of proof on Columbia, and would nullify the entire concept of a FPFTY, which relies upon the use of reasoned projections</w:t>
      </w:r>
      <w:r w:rsidR="00284BE8" w:rsidRPr="00E9174E">
        <w:rPr>
          <w:sz w:val="26"/>
          <w:szCs w:val="26"/>
        </w:rPr>
        <w:t>.</w:t>
      </w:r>
    </w:p>
    <w:p w14:paraId="58421A6B" w14:textId="7AFC69FD" w:rsidR="00284BE8" w:rsidRPr="00E9174E" w:rsidRDefault="00284BE8" w:rsidP="00E9174E">
      <w:pPr>
        <w:pStyle w:val="BodyText2"/>
        <w:widowControl/>
        <w:spacing w:after="0" w:line="360" w:lineRule="auto"/>
        <w:ind w:firstLine="1440"/>
        <w:contextualSpacing/>
        <w:rPr>
          <w:sz w:val="26"/>
          <w:szCs w:val="26"/>
        </w:rPr>
      </w:pPr>
    </w:p>
    <w:p w14:paraId="4864E6DF" w14:textId="5DCE6A79" w:rsidR="00284BE8" w:rsidRPr="00E9174E" w:rsidRDefault="00284BE8" w:rsidP="00E9174E">
      <w:pPr>
        <w:pStyle w:val="BodyText2"/>
        <w:widowControl/>
        <w:spacing w:after="0" w:line="360" w:lineRule="auto"/>
        <w:ind w:firstLine="1440"/>
        <w:contextualSpacing/>
        <w:rPr>
          <w:sz w:val="26"/>
          <w:szCs w:val="26"/>
        </w:rPr>
      </w:pPr>
      <w:r w:rsidRPr="00E9174E">
        <w:rPr>
          <w:sz w:val="26"/>
          <w:szCs w:val="26"/>
        </w:rPr>
        <w:t xml:space="preserve">Columbia argues that the </w:t>
      </w:r>
      <w:r w:rsidR="002923E8" w:rsidRPr="00E9174E">
        <w:rPr>
          <w:sz w:val="26"/>
          <w:szCs w:val="26"/>
        </w:rPr>
        <w:t>Recommended Decision</w:t>
      </w:r>
      <w:r w:rsidRPr="00E9174E">
        <w:rPr>
          <w:sz w:val="26"/>
          <w:szCs w:val="26"/>
        </w:rPr>
        <w:t xml:space="preserve"> points to no evidence that Columbia’s projections are unreliable because there is no such evidence in this case. </w:t>
      </w:r>
      <w:r w:rsidR="002923E8" w:rsidRPr="00E9174E">
        <w:rPr>
          <w:sz w:val="26"/>
          <w:szCs w:val="26"/>
        </w:rPr>
        <w:t xml:space="preserve"> </w:t>
      </w:r>
      <w:r w:rsidRPr="00E9174E">
        <w:rPr>
          <w:sz w:val="26"/>
          <w:szCs w:val="26"/>
        </w:rPr>
        <w:t xml:space="preserve">Columbia’s expenses have not declined due to the pandemic. </w:t>
      </w:r>
      <w:r w:rsidR="00F52B8C" w:rsidRPr="00E9174E">
        <w:rPr>
          <w:sz w:val="26"/>
          <w:szCs w:val="26"/>
        </w:rPr>
        <w:t xml:space="preserve"> </w:t>
      </w:r>
      <w:r w:rsidRPr="00E9174E">
        <w:rPr>
          <w:sz w:val="26"/>
          <w:szCs w:val="26"/>
        </w:rPr>
        <w:t>In fact, even exclusive of increased uncollectible expenses, Columbia</w:t>
      </w:r>
      <w:r w:rsidR="0019101F" w:rsidRPr="00E9174E">
        <w:rPr>
          <w:sz w:val="26"/>
          <w:szCs w:val="26"/>
        </w:rPr>
        <w:t xml:space="preserve"> submits that its </w:t>
      </w:r>
      <w:r w:rsidRPr="00E9174E">
        <w:rPr>
          <w:sz w:val="26"/>
          <w:szCs w:val="26"/>
        </w:rPr>
        <w:t xml:space="preserve">expenses </w:t>
      </w:r>
      <w:r w:rsidR="0019101F" w:rsidRPr="00E9174E">
        <w:rPr>
          <w:sz w:val="26"/>
          <w:szCs w:val="26"/>
        </w:rPr>
        <w:t xml:space="preserve">unsurprisingly </w:t>
      </w:r>
      <w:r w:rsidRPr="00E9174E">
        <w:rPr>
          <w:sz w:val="26"/>
          <w:szCs w:val="26"/>
        </w:rPr>
        <w:t>are above projections in 2020</w:t>
      </w:r>
      <w:r w:rsidR="0019101F" w:rsidRPr="00E9174E">
        <w:rPr>
          <w:sz w:val="26"/>
          <w:szCs w:val="26"/>
        </w:rPr>
        <w:t xml:space="preserve"> because: (1) it </w:t>
      </w:r>
      <w:r w:rsidRPr="00E9174E">
        <w:rPr>
          <w:sz w:val="26"/>
          <w:szCs w:val="26"/>
        </w:rPr>
        <w:t>has a duty to continue to provide safe and adequate service to its customers, which means it must execute its Work Plan</w:t>
      </w:r>
      <w:r w:rsidR="0019101F" w:rsidRPr="00E9174E">
        <w:rPr>
          <w:sz w:val="26"/>
          <w:szCs w:val="26"/>
        </w:rPr>
        <w:t>; (2) a</w:t>
      </w:r>
      <w:r w:rsidRPr="00E9174E">
        <w:rPr>
          <w:sz w:val="26"/>
          <w:szCs w:val="26"/>
        </w:rPr>
        <w:t xml:space="preserve">s an essential business, Columbia was exempt from many of the restrictions imposed by the </w:t>
      </w:r>
      <w:r w:rsidRPr="00E9174E">
        <w:rPr>
          <w:sz w:val="26"/>
          <w:szCs w:val="26"/>
        </w:rPr>
        <w:lastRenderedPageBreak/>
        <w:t>G</w:t>
      </w:r>
      <w:bookmarkStart w:id="55" w:name="_BA_Cite_EAF4C8_001013"/>
      <w:bookmarkEnd w:id="55"/>
      <w:r w:rsidRPr="00E9174E">
        <w:rPr>
          <w:sz w:val="26"/>
          <w:szCs w:val="26"/>
        </w:rPr>
        <w:t>overnor’s Emergency Order</w:t>
      </w:r>
      <w:r w:rsidR="0019101F" w:rsidRPr="00E9174E">
        <w:rPr>
          <w:sz w:val="26"/>
          <w:szCs w:val="26"/>
        </w:rPr>
        <w:t>; and (3) while c</w:t>
      </w:r>
      <w:r w:rsidRPr="00E9174E">
        <w:rPr>
          <w:sz w:val="26"/>
          <w:szCs w:val="26"/>
        </w:rPr>
        <w:t>ertain operations</w:t>
      </w:r>
      <w:r w:rsidR="003D11BB" w:rsidRPr="00E9174E">
        <w:rPr>
          <w:sz w:val="26"/>
          <w:szCs w:val="26"/>
        </w:rPr>
        <w:t xml:space="preserve"> were temporarily deferred</w:t>
      </w:r>
      <w:r w:rsidR="00E510C4" w:rsidRPr="00E9174E">
        <w:rPr>
          <w:sz w:val="26"/>
          <w:szCs w:val="26"/>
        </w:rPr>
        <w:t>,</w:t>
      </w:r>
      <w:r w:rsidR="003D11BB" w:rsidRPr="00E9174E">
        <w:rPr>
          <w:sz w:val="26"/>
          <w:szCs w:val="26"/>
        </w:rPr>
        <w:t xml:space="preserve"> i</w:t>
      </w:r>
      <w:r w:rsidRPr="00E9174E">
        <w:rPr>
          <w:sz w:val="26"/>
          <w:szCs w:val="26"/>
        </w:rPr>
        <w:t>n particular those involving direct customer contacts</w:t>
      </w:r>
      <w:r w:rsidR="00E510C4" w:rsidRPr="00E9174E">
        <w:rPr>
          <w:sz w:val="26"/>
          <w:szCs w:val="26"/>
        </w:rPr>
        <w:t>,</w:t>
      </w:r>
      <w:r w:rsidR="003D11BB" w:rsidRPr="00E9174E">
        <w:rPr>
          <w:sz w:val="26"/>
          <w:szCs w:val="26"/>
        </w:rPr>
        <w:t xml:space="preserve"> such services</w:t>
      </w:r>
      <w:r w:rsidRPr="00E9174E">
        <w:rPr>
          <w:sz w:val="26"/>
          <w:szCs w:val="26"/>
        </w:rPr>
        <w:t xml:space="preserve"> have since restarted. </w:t>
      </w:r>
      <w:r w:rsidR="00590208" w:rsidRPr="00E9174E">
        <w:rPr>
          <w:sz w:val="26"/>
          <w:szCs w:val="26"/>
        </w:rPr>
        <w:t xml:space="preserve"> </w:t>
      </w:r>
      <w:r w:rsidR="0019101F" w:rsidRPr="00E9174E">
        <w:rPr>
          <w:sz w:val="26"/>
          <w:szCs w:val="26"/>
        </w:rPr>
        <w:t>CG Exc. at 8 (citing CG R.B. at 12-1</w:t>
      </w:r>
      <w:r w:rsidR="006F2B43" w:rsidRPr="00E9174E">
        <w:rPr>
          <w:sz w:val="26"/>
          <w:szCs w:val="26"/>
        </w:rPr>
        <w:t>6</w:t>
      </w:r>
      <w:r w:rsidR="0019101F" w:rsidRPr="00E9174E">
        <w:rPr>
          <w:sz w:val="26"/>
          <w:szCs w:val="26"/>
        </w:rPr>
        <w:t xml:space="preserve">).  </w:t>
      </w:r>
      <w:r w:rsidRPr="00E9174E">
        <w:rPr>
          <w:sz w:val="26"/>
          <w:szCs w:val="26"/>
        </w:rPr>
        <w:t xml:space="preserve">While certain projected expenses for 2020 have been reduced, such as travel and meetings, other expenses, such as the need to acquire personal protective equipment, cleaning and sanitizing supplies and costs associated with remote work and the need to implement social distancing, have increased. </w:t>
      </w:r>
      <w:r w:rsidR="003A4121" w:rsidRPr="00E9174E">
        <w:rPr>
          <w:sz w:val="26"/>
          <w:szCs w:val="26"/>
        </w:rPr>
        <w:t xml:space="preserve"> CG Exc. at 8-9 (citing </w:t>
      </w:r>
      <w:r w:rsidR="004C5D69" w:rsidRPr="00E9174E">
        <w:rPr>
          <w:sz w:val="26"/>
          <w:szCs w:val="26"/>
        </w:rPr>
        <w:t>CG St.</w:t>
      </w:r>
      <w:r w:rsidRPr="00E9174E">
        <w:rPr>
          <w:sz w:val="26"/>
          <w:szCs w:val="26"/>
        </w:rPr>
        <w:t xml:space="preserve"> 9-R</w:t>
      </w:r>
      <w:r w:rsidR="003A4121" w:rsidRPr="00E9174E">
        <w:rPr>
          <w:sz w:val="26"/>
          <w:szCs w:val="26"/>
        </w:rPr>
        <w:t xml:space="preserve"> at </w:t>
      </w:r>
      <w:r w:rsidRPr="00E9174E">
        <w:rPr>
          <w:sz w:val="26"/>
          <w:szCs w:val="26"/>
        </w:rPr>
        <w:t>7</w:t>
      </w:r>
      <w:r w:rsidR="003A4121" w:rsidRPr="00E9174E">
        <w:rPr>
          <w:sz w:val="26"/>
          <w:szCs w:val="26"/>
        </w:rPr>
        <w:t xml:space="preserve">).  According to </w:t>
      </w:r>
      <w:r w:rsidRPr="00E9174E">
        <w:rPr>
          <w:sz w:val="26"/>
          <w:szCs w:val="26"/>
        </w:rPr>
        <w:t>Columbia</w:t>
      </w:r>
      <w:r w:rsidR="003A4121" w:rsidRPr="00E9174E">
        <w:rPr>
          <w:sz w:val="26"/>
          <w:szCs w:val="26"/>
        </w:rPr>
        <w:t>, its</w:t>
      </w:r>
      <w:r w:rsidRPr="00E9174E">
        <w:rPr>
          <w:sz w:val="26"/>
          <w:szCs w:val="26"/>
        </w:rPr>
        <w:t xml:space="preserve"> 2021 </w:t>
      </w:r>
      <w:bookmarkStart w:id="56" w:name="_Hlk63275177"/>
      <w:r w:rsidR="002C05D2" w:rsidRPr="00E9174E">
        <w:rPr>
          <w:sz w:val="26"/>
          <w:szCs w:val="26"/>
        </w:rPr>
        <w:t>Operation</w:t>
      </w:r>
      <w:r w:rsidR="00640D89" w:rsidRPr="00E9174E">
        <w:rPr>
          <w:sz w:val="26"/>
          <w:szCs w:val="26"/>
        </w:rPr>
        <w:t>s</w:t>
      </w:r>
      <w:r w:rsidR="002C05D2" w:rsidRPr="00E9174E">
        <w:rPr>
          <w:sz w:val="26"/>
          <w:szCs w:val="26"/>
        </w:rPr>
        <w:t xml:space="preserve"> and </w:t>
      </w:r>
      <w:r w:rsidR="008D1209" w:rsidRPr="00E9174E">
        <w:rPr>
          <w:sz w:val="26"/>
          <w:szCs w:val="26"/>
        </w:rPr>
        <w:t>Mainte</w:t>
      </w:r>
      <w:r w:rsidR="00640D89" w:rsidRPr="00E9174E">
        <w:rPr>
          <w:sz w:val="26"/>
          <w:szCs w:val="26"/>
        </w:rPr>
        <w:t xml:space="preserve">nance </w:t>
      </w:r>
      <w:bookmarkEnd w:id="56"/>
      <w:r w:rsidR="00640D89" w:rsidRPr="00E9174E">
        <w:rPr>
          <w:sz w:val="26"/>
          <w:szCs w:val="26"/>
        </w:rPr>
        <w:t>(</w:t>
      </w:r>
      <w:bookmarkStart w:id="57" w:name="_Hlk63275148"/>
      <w:r w:rsidRPr="00E9174E">
        <w:rPr>
          <w:sz w:val="26"/>
          <w:szCs w:val="26"/>
        </w:rPr>
        <w:t>O&amp;M</w:t>
      </w:r>
      <w:bookmarkEnd w:id="57"/>
      <w:r w:rsidR="00640D89" w:rsidRPr="00E9174E">
        <w:rPr>
          <w:sz w:val="26"/>
          <w:szCs w:val="26"/>
        </w:rPr>
        <w:t>)</w:t>
      </w:r>
      <w:r w:rsidRPr="00E9174E">
        <w:rPr>
          <w:sz w:val="26"/>
          <w:szCs w:val="26"/>
        </w:rPr>
        <w:t xml:space="preserve"> budget may be conservative in light of the potential need to maintain certain COVID-19 protections in 2021, but this is no basis to reject the budget projections as unreliable.</w:t>
      </w:r>
      <w:r w:rsidR="003A4121" w:rsidRPr="00E9174E">
        <w:rPr>
          <w:sz w:val="26"/>
          <w:szCs w:val="26"/>
        </w:rPr>
        <w:t xml:space="preserve">  CG Exc. at 9.</w:t>
      </w:r>
    </w:p>
    <w:p w14:paraId="790AFA7A" w14:textId="77777777" w:rsidR="00284BE8" w:rsidRPr="00E9174E" w:rsidRDefault="00284BE8" w:rsidP="00E9174E">
      <w:pPr>
        <w:pStyle w:val="BodyText2"/>
        <w:widowControl/>
        <w:spacing w:after="0" w:line="360" w:lineRule="auto"/>
        <w:ind w:firstLine="1440"/>
        <w:contextualSpacing/>
        <w:rPr>
          <w:sz w:val="26"/>
          <w:szCs w:val="26"/>
        </w:rPr>
      </w:pPr>
    </w:p>
    <w:p w14:paraId="61F9CC7B" w14:textId="05801F22" w:rsidR="00284BE8" w:rsidRPr="00E9174E" w:rsidRDefault="00284BE8" w:rsidP="00E9174E">
      <w:pPr>
        <w:pStyle w:val="BodyText2"/>
        <w:widowControl/>
        <w:spacing w:after="0" w:line="360" w:lineRule="auto"/>
        <w:ind w:firstLine="1440"/>
        <w:contextualSpacing/>
        <w:rPr>
          <w:sz w:val="26"/>
          <w:szCs w:val="26"/>
        </w:rPr>
      </w:pPr>
      <w:r w:rsidRPr="00E9174E">
        <w:rPr>
          <w:sz w:val="26"/>
          <w:szCs w:val="26"/>
        </w:rPr>
        <w:t>Columbia</w:t>
      </w:r>
      <w:r w:rsidR="00C37A05" w:rsidRPr="00E9174E">
        <w:rPr>
          <w:sz w:val="26"/>
          <w:szCs w:val="26"/>
        </w:rPr>
        <w:t xml:space="preserve"> notes it</w:t>
      </w:r>
      <w:r w:rsidRPr="00E9174E">
        <w:rPr>
          <w:sz w:val="26"/>
          <w:szCs w:val="26"/>
        </w:rPr>
        <w:t xml:space="preserve"> also has continued to execute its capital budget</w:t>
      </w:r>
      <w:r w:rsidR="00C37A05" w:rsidRPr="00E9174E">
        <w:rPr>
          <w:sz w:val="26"/>
          <w:szCs w:val="26"/>
        </w:rPr>
        <w:t xml:space="preserve"> and submits that</w:t>
      </w:r>
      <w:r w:rsidR="00590208" w:rsidRPr="00E9174E">
        <w:rPr>
          <w:sz w:val="26"/>
          <w:szCs w:val="26"/>
        </w:rPr>
        <w:t xml:space="preserve"> the</w:t>
      </w:r>
      <w:r w:rsidRPr="00E9174E">
        <w:rPr>
          <w:sz w:val="26"/>
          <w:szCs w:val="26"/>
        </w:rPr>
        <w:t xml:space="preserve"> OCA’s Witness, Mr. </w:t>
      </w:r>
      <w:r w:rsidR="009F7E35" w:rsidRPr="00E9174E">
        <w:rPr>
          <w:sz w:val="26"/>
          <w:szCs w:val="26"/>
        </w:rPr>
        <w:t xml:space="preserve">David J. </w:t>
      </w:r>
      <w:proofErr w:type="spellStart"/>
      <w:r w:rsidRPr="00E9174E">
        <w:rPr>
          <w:sz w:val="26"/>
          <w:szCs w:val="26"/>
        </w:rPr>
        <w:t>Effron</w:t>
      </w:r>
      <w:proofErr w:type="spellEnd"/>
      <w:r w:rsidRPr="00E9174E">
        <w:rPr>
          <w:sz w:val="26"/>
          <w:szCs w:val="26"/>
        </w:rPr>
        <w:t xml:space="preserve">, acknowledged that the facts of record support a conclusion that, despite the temporary construction limitations experienced earlier this year, Columbia was still anticipated to meet its capital budget for 2020. </w:t>
      </w:r>
      <w:r w:rsidR="003A4121" w:rsidRPr="00E9174E">
        <w:rPr>
          <w:sz w:val="26"/>
          <w:szCs w:val="26"/>
        </w:rPr>
        <w:t xml:space="preserve"> </w:t>
      </w:r>
      <w:r w:rsidR="004C5D69" w:rsidRPr="00E9174E">
        <w:rPr>
          <w:sz w:val="26"/>
          <w:szCs w:val="26"/>
        </w:rPr>
        <w:t>CG Exc.</w:t>
      </w:r>
      <w:r w:rsidR="003A4121" w:rsidRPr="00E9174E">
        <w:rPr>
          <w:sz w:val="26"/>
          <w:szCs w:val="26"/>
        </w:rPr>
        <w:t xml:space="preserve"> at 9 (citing </w:t>
      </w:r>
      <w:r w:rsidRPr="00E9174E">
        <w:rPr>
          <w:sz w:val="26"/>
          <w:szCs w:val="26"/>
        </w:rPr>
        <w:t>OCA St. 2</w:t>
      </w:r>
      <w:r w:rsidR="00C37A05" w:rsidRPr="00E9174E">
        <w:rPr>
          <w:sz w:val="26"/>
          <w:szCs w:val="26"/>
        </w:rPr>
        <w:t xml:space="preserve"> at</w:t>
      </w:r>
      <w:r w:rsidRPr="00E9174E">
        <w:rPr>
          <w:sz w:val="26"/>
          <w:szCs w:val="26"/>
        </w:rPr>
        <w:t xml:space="preserve"> 6</w:t>
      </w:r>
      <w:r w:rsidR="00C37A05" w:rsidRPr="00E9174E">
        <w:rPr>
          <w:sz w:val="26"/>
          <w:szCs w:val="26"/>
        </w:rPr>
        <w:t>)</w:t>
      </w:r>
      <w:r w:rsidRPr="00E9174E">
        <w:rPr>
          <w:sz w:val="26"/>
          <w:szCs w:val="26"/>
        </w:rPr>
        <w:t xml:space="preserve">. </w:t>
      </w:r>
      <w:r w:rsidR="00C37A05" w:rsidRPr="00E9174E">
        <w:rPr>
          <w:sz w:val="26"/>
          <w:szCs w:val="26"/>
        </w:rPr>
        <w:t xml:space="preserve"> </w:t>
      </w:r>
      <w:r w:rsidR="00115917" w:rsidRPr="00E9174E">
        <w:rPr>
          <w:sz w:val="26"/>
          <w:szCs w:val="26"/>
        </w:rPr>
        <w:t xml:space="preserve">Such </w:t>
      </w:r>
      <w:r w:rsidR="00C37A05" w:rsidRPr="00E9174E">
        <w:rPr>
          <w:sz w:val="26"/>
          <w:szCs w:val="26"/>
        </w:rPr>
        <w:t xml:space="preserve">temporary construction </w:t>
      </w:r>
      <w:r w:rsidRPr="00E9174E">
        <w:rPr>
          <w:sz w:val="26"/>
          <w:szCs w:val="26"/>
        </w:rPr>
        <w:t>restrictions have been lifted, and</w:t>
      </w:r>
      <w:r w:rsidR="00115917" w:rsidRPr="00E9174E">
        <w:rPr>
          <w:sz w:val="26"/>
          <w:szCs w:val="26"/>
        </w:rPr>
        <w:t xml:space="preserve"> Columbia asserts that</w:t>
      </w:r>
      <w:r w:rsidRPr="00E9174E">
        <w:rPr>
          <w:sz w:val="26"/>
          <w:szCs w:val="26"/>
        </w:rPr>
        <w:t xml:space="preserve"> there is no basis to speculate that Columbia will be unable to execute its capital budget for 2021, consistent with its Commission-approved LTIIP. </w:t>
      </w:r>
      <w:r w:rsidR="00AF1190" w:rsidRPr="00E9174E">
        <w:rPr>
          <w:sz w:val="26"/>
          <w:szCs w:val="26"/>
        </w:rPr>
        <w:t xml:space="preserve"> </w:t>
      </w:r>
      <w:r w:rsidR="00115917" w:rsidRPr="00E9174E">
        <w:rPr>
          <w:sz w:val="26"/>
          <w:szCs w:val="26"/>
        </w:rPr>
        <w:t xml:space="preserve">CG Exc. at </w:t>
      </w:r>
      <w:r w:rsidR="00BC6C2F" w:rsidRPr="00E9174E">
        <w:rPr>
          <w:sz w:val="26"/>
          <w:szCs w:val="26"/>
        </w:rPr>
        <w:t>9 (citing CG</w:t>
      </w:r>
      <w:r w:rsidRPr="00E9174E">
        <w:rPr>
          <w:sz w:val="26"/>
          <w:szCs w:val="26"/>
        </w:rPr>
        <w:t xml:space="preserve"> R</w:t>
      </w:r>
      <w:r w:rsidR="00BC6C2F" w:rsidRPr="00E9174E">
        <w:rPr>
          <w:sz w:val="26"/>
          <w:szCs w:val="26"/>
        </w:rPr>
        <w:t>.</w:t>
      </w:r>
      <w:r w:rsidRPr="00E9174E">
        <w:rPr>
          <w:sz w:val="26"/>
          <w:szCs w:val="26"/>
        </w:rPr>
        <w:t>B</w:t>
      </w:r>
      <w:r w:rsidR="00BC6C2F" w:rsidRPr="00E9174E">
        <w:rPr>
          <w:sz w:val="26"/>
          <w:szCs w:val="26"/>
        </w:rPr>
        <w:t>. at</w:t>
      </w:r>
      <w:r w:rsidRPr="00E9174E">
        <w:rPr>
          <w:sz w:val="26"/>
          <w:szCs w:val="26"/>
        </w:rPr>
        <w:t xml:space="preserve"> 13-14</w:t>
      </w:r>
      <w:r w:rsidR="00BC6C2F" w:rsidRPr="00E9174E">
        <w:rPr>
          <w:sz w:val="26"/>
          <w:szCs w:val="26"/>
        </w:rPr>
        <w:t>)</w:t>
      </w:r>
      <w:r w:rsidRPr="00E9174E">
        <w:rPr>
          <w:sz w:val="26"/>
          <w:szCs w:val="26"/>
        </w:rPr>
        <w:t>.</w:t>
      </w:r>
    </w:p>
    <w:p w14:paraId="41E5726D" w14:textId="77777777" w:rsidR="00284BE8" w:rsidRPr="00E9174E" w:rsidRDefault="00284BE8" w:rsidP="00E9174E">
      <w:pPr>
        <w:pStyle w:val="BodyText2"/>
        <w:widowControl/>
        <w:spacing w:after="0" w:line="360" w:lineRule="auto"/>
        <w:ind w:firstLine="1440"/>
        <w:contextualSpacing/>
        <w:rPr>
          <w:sz w:val="26"/>
          <w:szCs w:val="26"/>
        </w:rPr>
      </w:pPr>
    </w:p>
    <w:p w14:paraId="472671DC" w14:textId="4E977167" w:rsidR="00284BE8" w:rsidRPr="00E9174E" w:rsidRDefault="0045661E" w:rsidP="00E9174E">
      <w:pPr>
        <w:pStyle w:val="BodyText2"/>
        <w:widowControl/>
        <w:spacing w:after="0" w:line="360" w:lineRule="auto"/>
        <w:ind w:firstLine="1440"/>
        <w:contextualSpacing/>
        <w:rPr>
          <w:sz w:val="26"/>
          <w:szCs w:val="26"/>
        </w:rPr>
      </w:pPr>
      <w:r w:rsidRPr="00E9174E">
        <w:rPr>
          <w:sz w:val="26"/>
          <w:szCs w:val="26"/>
        </w:rPr>
        <w:t>Columbia submits that t</w:t>
      </w:r>
      <w:r w:rsidR="00284BE8" w:rsidRPr="00E9174E">
        <w:rPr>
          <w:sz w:val="26"/>
          <w:szCs w:val="26"/>
        </w:rPr>
        <w:t>he Legislature anticipated that projections used for FTY and FPFTY may vary from actual results</w:t>
      </w:r>
      <w:r w:rsidR="00776C84" w:rsidRPr="00E9174E">
        <w:rPr>
          <w:sz w:val="26"/>
          <w:szCs w:val="26"/>
        </w:rPr>
        <w:t xml:space="preserve"> </w:t>
      </w:r>
      <w:r w:rsidR="00284BE8" w:rsidRPr="00E9174E">
        <w:rPr>
          <w:sz w:val="26"/>
          <w:szCs w:val="26"/>
        </w:rPr>
        <w:t xml:space="preserve">and provided a mechanism to address that possibility. </w:t>
      </w:r>
      <w:r w:rsidR="00542B24" w:rsidRPr="00E9174E">
        <w:rPr>
          <w:sz w:val="26"/>
          <w:szCs w:val="26"/>
        </w:rPr>
        <w:t xml:space="preserve"> </w:t>
      </w:r>
      <w:r w:rsidR="00284BE8" w:rsidRPr="00E9174E">
        <w:rPr>
          <w:sz w:val="26"/>
          <w:szCs w:val="26"/>
        </w:rPr>
        <w:t>As the Commission</w:t>
      </w:r>
      <w:r w:rsidRPr="00E9174E">
        <w:rPr>
          <w:sz w:val="26"/>
          <w:szCs w:val="26"/>
        </w:rPr>
        <w:t xml:space="preserve"> explained</w:t>
      </w:r>
      <w:r w:rsidR="00284BE8" w:rsidRPr="00E9174E">
        <w:rPr>
          <w:i/>
          <w:iCs/>
          <w:sz w:val="26"/>
          <w:szCs w:val="26"/>
        </w:rPr>
        <w:t>:</w:t>
      </w:r>
    </w:p>
    <w:p w14:paraId="4405D42F" w14:textId="77777777" w:rsidR="0045661E" w:rsidRPr="00E9174E" w:rsidRDefault="0045661E" w:rsidP="00CE458B">
      <w:pPr>
        <w:pStyle w:val="BodyText2"/>
        <w:widowControl/>
        <w:spacing w:after="0" w:line="240" w:lineRule="auto"/>
        <w:ind w:firstLine="1440"/>
        <w:contextualSpacing/>
        <w:rPr>
          <w:sz w:val="26"/>
          <w:szCs w:val="26"/>
        </w:rPr>
      </w:pPr>
    </w:p>
    <w:p w14:paraId="28EAE355" w14:textId="0EC1D485" w:rsidR="00284BE8" w:rsidRPr="00E9174E" w:rsidRDefault="00284BE8" w:rsidP="00E9174E">
      <w:pPr>
        <w:pStyle w:val="IndentSingle"/>
        <w:spacing w:after="0"/>
        <w:contextualSpacing/>
        <w:jc w:val="left"/>
        <w:rPr>
          <w:rFonts w:cs="Times New Roman"/>
          <w:sz w:val="26"/>
          <w:szCs w:val="26"/>
        </w:rPr>
      </w:pPr>
      <w:r w:rsidRPr="00E9174E">
        <w:rPr>
          <w:rFonts w:cs="Times New Roman"/>
          <w:sz w:val="26"/>
          <w:szCs w:val="26"/>
        </w:rPr>
        <w:t>Furthermore, the legislature has addressed the concerns of overstated plant projections in S</w:t>
      </w:r>
      <w:bookmarkStart w:id="58" w:name="_BA_Cite_EAF4C8_000509"/>
      <w:bookmarkEnd w:id="58"/>
      <w:r w:rsidRPr="00E9174E">
        <w:rPr>
          <w:rFonts w:cs="Times New Roman"/>
          <w:sz w:val="26"/>
          <w:szCs w:val="26"/>
        </w:rPr>
        <w:t>ection 315(e) of the Code, which authorizes a Commission audit of the FPFTY results after the fact to determine whether they were accurate and an adjustment of rates to reflect material differences. S</w:t>
      </w:r>
      <w:bookmarkStart w:id="59" w:name="_BA_Cite_EAF4C8_000863"/>
      <w:bookmarkEnd w:id="59"/>
      <w:r w:rsidRPr="00E9174E">
        <w:rPr>
          <w:rFonts w:cs="Times New Roman"/>
          <w:sz w:val="26"/>
          <w:szCs w:val="26"/>
        </w:rPr>
        <w:t>ection</w:t>
      </w:r>
      <w:r w:rsidR="00CE458B">
        <w:rPr>
          <w:rFonts w:cs="Times New Roman"/>
          <w:sz w:val="26"/>
          <w:szCs w:val="26"/>
        </w:rPr>
        <w:t> </w:t>
      </w:r>
      <w:r w:rsidRPr="00E9174E">
        <w:rPr>
          <w:rFonts w:cs="Times New Roman"/>
          <w:sz w:val="26"/>
          <w:szCs w:val="26"/>
        </w:rPr>
        <w:t>315(e) provides in pertinent part:</w:t>
      </w:r>
    </w:p>
    <w:p w14:paraId="7548FBFC" w14:textId="77777777" w:rsidR="00BF7893" w:rsidRPr="00E9174E" w:rsidRDefault="00BF7893" w:rsidP="00E9174E">
      <w:pPr>
        <w:pStyle w:val="BodyText"/>
        <w:widowControl/>
        <w:rPr>
          <w:sz w:val="26"/>
          <w:szCs w:val="26"/>
        </w:rPr>
      </w:pPr>
    </w:p>
    <w:p w14:paraId="5620089F" w14:textId="42602732" w:rsidR="00284BE8" w:rsidRPr="00E9174E" w:rsidRDefault="00284BE8" w:rsidP="00E9174E">
      <w:pPr>
        <w:pStyle w:val="IndentDouble"/>
        <w:spacing w:after="0"/>
        <w:contextualSpacing/>
        <w:jc w:val="left"/>
        <w:rPr>
          <w:rFonts w:cs="Times New Roman"/>
          <w:sz w:val="26"/>
          <w:szCs w:val="26"/>
        </w:rPr>
      </w:pPr>
      <w:r w:rsidRPr="00E9174E">
        <w:rPr>
          <w:rFonts w:cs="Times New Roman"/>
          <w:sz w:val="26"/>
          <w:szCs w:val="26"/>
        </w:rPr>
        <w:lastRenderedPageBreak/>
        <w:t>…Whenever a utility utilizes a…fully projected future test year in any rate proceeding and such…fully projected test year forms a substantive basis for the final rate determination of the commission, the utility shall provide, as specified by the commission in its final order, appropriate data evidencing the accuracy of the estimates contained in the…fully projected future test year, and the commission may after reasonable notice and hearing, in its discretion, adjust the utility’s rates on the basis of such data…</w:t>
      </w:r>
    </w:p>
    <w:p w14:paraId="7DCC93C9" w14:textId="77777777" w:rsidR="00F54809" w:rsidRPr="00E9174E" w:rsidRDefault="00F54809" w:rsidP="00E9174E">
      <w:pPr>
        <w:pStyle w:val="BodyText"/>
        <w:widowControl/>
        <w:spacing w:after="0" w:line="360" w:lineRule="auto"/>
        <w:contextualSpacing/>
        <w:rPr>
          <w:sz w:val="26"/>
          <w:szCs w:val="26"/>
        </w:rPr>
      </w:pPr>
    </w:p>
    <w:p w14:paraId="407AF710" w14:textId="26CEE739" w:rsidR="00284BE8" w:rsidRPr="00E9174E" w:rsidRDefault="009D144C" w:rsidP="00E9174E">
      <w:pPr>
        <w:pStyle w:val="BodyText2"/>
        <w:widowControl/>
        <w:spacing w:after="0" w:line="360" w:lineRule="auto"/>
        <w:contextualSpacing/>
        <w:rPr>
          <w:sz w:val="26"/>
          <w:szCs w:val="26"/>
        </w:rPr>
      </w:pPr>
      <w:r w:rsidRPr="00E9174E">
        <w:rPr>
          <w:i/>
          <w:iCs/>
          <w:sz w:val="26"/>
          <w:szCs w:val="26"/>
        </w:rPr>
        <w:t>P</w:t>
      </w:r>
      <w:bookmarkStart w:id="60" w:name="_BA_Cite_EAF4C8_000970"/>
      <w:bookmarkEnd w:id="60"/>
      <w:r w:rsidRPr="00E9174E">
        <w:rPr>
          <w:i/>
          <w:iCs/>
          <w:sz w:val="26"/>
          <w:szCs w:val="26"/>
        </w:rPr>
        <w:t>a. PUC v. UGI Utilities, Inc. – Electric Division</w:t>
      </w:r>
      <w:r w:rsidRPr="00E9174E">
        <w:rPr>
          <w:sz w:val="26"/>
          <w:szCs w:val="26"/>
        </w:rPr>
        <w:t>, D</w:t>
      </w:r>
      <w:bookmarkStart w:id="61" w:name="_BA_Cite_EAF4C8_000971"/>
      <w:bookmarkEnd w:id="61"/>
      <w:r w:rsidRPr="00E9174E">
        <w:rPr>
          <w:sz w:val="26"/>
          <w:szCs w:val="26"/>
        </w:rPr>
        <w:t>ocket No. R-2017-2640058 (Order entered October 2, 2018) (</w:t>
      </w:r>
      <w:r w:rsidRPr="00E9174E">
        <w:rPr>
          <w:i/>
          <w:iCs/>
          <w:sz w:val="26"/>
          <w:szCs w:val="26"/>
        </w:rPr>
        <w:t>UGI Electric</w:t>
      </w:r>
      <w:r w:rsidRPr="00E9174E">
        <w:rPr>
          <w:sz w:val="26"/>
          <w:szCs w:val="26"/>
        </w:rPr>
        <w:t xml:space="preserve">) at 26, </w:t>
      </w:r>
      <w:r w:rsidRPr="00E9174E">
        <w:rPr>
          <w:i/>
          <w:iCs/>
          <w:sz w:val="26"/>
          <w:szCs w:val="26"/>
        </w:rPr>
        <w:t>aff’d</w:t>
      </w:r>
      <w:r w:rsidRPr="00E9174E">
        <w:rPr>
          <w:sz w:val="26"/>
          <w:szCs w:val="26"/>
        </w:rPr>
        <w:t xml:space="preserve"> </w:t>
      </w:r>
      <w:r w:rsidRPr="00E9174E">
        <w:rPr>
          <w:i/>
          <w:iCs/>
          <w:sz w:val="26"/>
          <w:szCs w:val="26"/>
        </w:rPr>
        <w:t>M</w:t>
      </w:r>
      <w:bookmarkStart w:id="62" w:name="_BA_Cite_EAF4C8_000973"/>
      <w:bookmarkEnd w:id="62"/>
      <w:r w:rsidRPr="00E9174E">
        <w:rPr>
          <w:i/>
          <w:iCs/>
          <w:sz w:val="26"/>
          <w:szCs w:val="26"/>
        </w:rPr>
        <w:t>cCloskey v. Pa. PUC</w:t>
      </w:r>
      <w:r w:rsidRPr="00E9174E">
        <w:rPr>
          <w:sz w:val="26"/>
          <w:szCs w:val="26"/>
        </w:rPr>
        <w:t>, 225</w:t>
      </w:r>
      <w:r w:rsidR="00CE458B">
        <w:rPr>
          <w:sz w:val="26"/>
          <w:szCs w:val="26"/>
        </w:rPr>
        <w:t> </w:t>
      </w:r>
      <w:r w:rsidRPr="00E9174E">
        <w:rPr>
          <w:sz w:val="26"/>
          <w:szCs w:val="26"/>
        </w:rPr>
        <w:t>A.3d</w:t>
      </w:r>
      <w:r w:rsidR="00CE458B">
        <w:rPr>
          <w:sz w:val="26"/>
          <w:szCs w:val="26"/>
        </w:rPr>
        <w:t> </w:t>
      </w:r>
      <w:r w:rsidRPr="00E9174E">
        <w:rPr>
          <w:sz w:val="26"/>
          <w:szCs w:val="26"/>
        </w:rPr>
        <w:t>192, 197 (Pa. Cmwlth. 2020)</w:t>
      </w:r>
      <w:r w:rsidR="006F2B43" w:rsidRPr="00E9174E">
        <w:rPr>
          <w:sz w:val="26"/>
          <w:szCs w:val="26"/>
        </w:rPr>
        <w:t>; CG Exc. at 9-10.</w:t>
      </w:r>
      <w:r w:rsidRPr="00E9174E">
        <w:rPr>
          <w:sz w:val="26"/>
          <w:szCs w:val="26"/>
        </w:rPr>
        <w:t xml:space="preserve"> </w:t>
      </w:r>
      <w:r w:rsidR="00EB2530" w:rsidRPr="00E9174E">
        <w:rPr>
          <w:sz w:val="26"/>
          <w:szCs w:val="26"/>
        </w:rPr>
        <w:t xml:space="preserve"> </w:t>
      </w:r>
      <w:r w:rsidR="0045661E" w:rsidRPr="00E9174E">
        <w:rPr>
          <w:sz w:val="26"/>
          <w:szCs w:val="26"/>
        </w:rPr>
        <w:t>Columbia submits that</w:t>
      </w:r>
      <w:r w:rsidR="006F2B43" w:rsidRPr="00E9174E">
        <w:rPr>
          <w:sz w:val="26"/>
          <w:szCs w:val="26"/>
        </w:rPr>
        <w:t xml:space="preserve"> </w:t>
      </w:r>
      <w:r w:rsidR="0045661E" w:rsidRPr="00E9174E">
        <w:rPr>
          <w:sz w:val="26"/>
          <w:szCs w:val="26"/>
        </w:rPr>
        <w:t>t</w:t>
      </w:r>
      <w:r w:rsidR="00284BE8" w:rsidRPr="00E9174E">
        <w:rPr>
          <w:sz w:val="26"/>
          <w:szCs w:val="26"/>
        </w:rPr>
        <w:t>o declare, without evidence, that Columbia’s projections are unreliable</w:t>
      </w:r>
      <w:r w:rsidR="006F2B43" w:rsidRPr="00E9174E">
        <w:rPr>
          <w:sz w:val="26"/>
          <w:szCs w:val="26"/>
        </w:rPr>
        <w:t xml:space="preserve"> on their face,</w:t>
      </w:r>
      <w:r w:rsidR="00284BE8" w:rsidRPr="00E9174E">
        <w:rPr>
          <w:sz w:val="26"/>
          <w:szCs w:val="26"/>
        </w:rPr>
        <w:t xml:space="preserve"> nullifies the entire structure of the FPFTY ratemaking process established by the Legislature. </w:t>
      </w:r>
      <w:r w:rsidR="00957C77" w:rsidRPr="00E9174E">
        <w:rPr>
          <w:sz w:val="26"/>
          <w:szCs w:val="26"/>
        </w:rPr>
        <w:t xml:space="preserve"> Accordingly, for the reasons explained</w:t>
      </w:r>
      <w:r w:rsidR="006F2B43" w:rsidRPr="00E9174E">
        <w:rPr>
          <w:sz w:val="26"/>
          <w:szCs w:val="26"/>
        </w:rPr>
        <w:t xml:space="preserve">, </w:t>
      </w:r>
      <w:r w:rsidR="00957C77" w:rsidRPr="00E9174E">
        <w:rPr>
          <w:sz w:val="26"/>
          <w:szCs w:val="26"/>
        </w:rPr>
        <w:t>Columbia urges the Commission to reject t</w:t>
      </w:r>
      <w:r w:rsidR="00284BE8" w:rsidRPr="00E9174E">
        <w:rPr>
          <w:sz w:val="26"/>
          <w:szCs w:val="26"/>
        </w:rPr>
        <w:t>he R</w:t>
      </w:r>
      <w:r w:rsidR="00CC1BF5" w:rsidRPr="00E9174E">
        <w:rPr>
          <w:sz w:val="26"/>
          <w:szCs w:val="26"/>
        </w:rPr>
        <w:t xml:space="preserve">ecommended </w:t>
      </w:r>
      <w:r w:rsidR="00E510C4" w:rsidRPr="00E9174E">
        <w:rPr>
          <w:sz w:val="26"/>
          <w:szCs w:val="26"/>
        </w:rPr>
        <w:t>Decision</w:t>
      </w:r>
      <w:r w:rsidR="00284BE8" w:rsidRPr="00E9174E">
        <w:rPr>
          <w:sz w:val="26"/>
          <w:szCs w:val="26"/>
        </w:rPr>
        <w:t>’s conclusion that Columbia’s projections are speculative</w:t>
      </w:r>
      <w:r w:rsidR="006F2B43" w:rsidRPr="00E9174E">
        <w:rPr>
          <w:sz w:val="26"/>
          <w:szCs w:val="26"/>
        </w:rPr>
        <w:t>.  CG Exc. at 10.</w:t>
      </w:r>
    </w:p>
    <w:p w14:paraId="0F631AE4" w14:textId="64A5A06B" w:rsidR="001D7315" w:rsidRPr="00E9174E" w:rsidRDefault="001D7315" w:rsidP="00E9174E">
      <w:pPr>
        <w:pStyle w:val="BodyText2"/>
        <w:keepNext/>
        <w:keepLines/>
        <w:widowControl/>
        <w:spacing w:after="0" w:line="360" w:lineRule="auto"/>
        <w:contextualSpacing/>
        <w:rPr>
          <w:sz w:val="26"/>
          <w:szCs w:val="26"/>
        </w:rPr>
      </w:pPr>
    </w:p>
    <w:p w14:paraId="680B5B77" w14:textId="2C9AF91B" w:rsidR="001D7315" w:rsidRPr="00E9174E" w:rsidRDefault="00414C5D" w:rsidP="00E9174E">
      <w:pPr>
        <w:pStyle w:val="BodyText2"/>
        <w:widowControl/>
        <w:spacing w:after="0" w:line="360" w:lineRule="auto"/>
        <w:ind w:firstLine="1440"/>
        <w:contextualSpacing/>
        <w:rPr>
          <w:sz w:val="26"/>
          <w:szCs w:val="26"/>
        </w:rPr>
      </w:pPr>
      <w:r w:rsidRPr="00E9174E">
        <w:rPr>
          <w:sz w:val="26"/>
          <w:szCs w:val="26"/>
        </w:rPr>
        <w:t xml:space="preserve">In its Replies, the OCA </w:t>
      </w:r>
      <w:r w:rsidR="00E7113C" w:rsidRPr="00E9174E">
        <w:rPr>
          <w:sz w:val="26"/>
          <w:szCs w:val="26"/>
        </w:rPr>
        <w:t xml:space="preserve">argues that the </w:t>
      </w:r>
      <w:r w:rsidR="003E4594" w:rsidRPr="00E9174E">
        <w:rPr>
          <w:sz w:val="26"/>
          <w:szCs w:val="26"/>
        </w:rPr>
        <w:t>Recommended Decision</w:t>
      </w:r>
      <w:r w:rsidR="00E7113C" w:rsidRPr="00E9174E">
        <w:rPr>
          <w:sz w:val="26"/>
          <w:szCs w:val="26"/>
        </w:rPr>
        <w:t xml:space="preserve"> was correct in concluding that Columbia failed to prove the accuracy of its FPFTY projections made prior to the COVID-1</w:t>
      </w:r>
      <w:r w:rsidR="002E5BBD" w:rsidRPr="00E9174E">
        <w:rPr>
          <w:sz w:val="26"/>
          <w:szCs w:val="26"/>
        </w:rPr>
        <w:t>9</w:t>
      </w:r>
      <w:r w:rsidR="00E7113C" w:rsidRPr="00E9174E">
        <w:rPr>
          <w:sz w:val="26"/>
          <w:szCs w:val="26"/>
        </w:rPr>
        <w:t xml:space="preserve"> pandemic.  OCA R. Exc. at 7 (citing R.D. at 50; OCA M.B. at</w:t>
      </w:r>
      <w:r w:rsidR="00CE458B">
        <w:rPr>
          <w:sz w:val="26"/>
          <w:szCs w:val="26"/>
        </w:rPr>
        <w:t> </w:t>
      </w:r>
      <w:r w:rsidR="00E7113C" w:rsidRPr="00E9174E">
        <w:rPr>
          <w:sz w:val="26"/>
          <w:szCs w:val="26"/>
        </w:rPr>
        <w:t>26</w:t>
      </w:r>
      <w:r w:rsidR="00CE458B">
        <w:rPr>
          <w:sz w:val="26"/>
          <w:szCs w:val="26"/>
        </w:rPr>
        <w:noBreakHyphen/>
      </w:r>
      <w:r w:rsidR="00E7113C" w:rsidRPr="00E9174E">
        <w:rPr>
          <w:sz w:val="26"/>
          <w:szCs w:val="26"/>
        </w:rPr>
        <w:t xml:space="preserve">28; OCA R.B. at 16; CG Exc. at 7). </w:t>
      </w:r>
      <w:r w:rsidR="00B20900" w:rsidRPr="00E9174E">
        <w:rPr>
          <w:sz w:val="26"/>
          <w:szCs w:val="26"/>
        </w:rPr>
        <w:t xml:space="preserve"> </w:t>
      </w:r>
      <w:r w:rsidR="008A0D87" w:rsidRPr="00E9174E">
        <w:rPr>
          <w:iCs/>
          <w:sz w:val="26"/>
          <w:szCs w:val="26"/>
        </w:rPr>
        <w:t>The OCA submits that Columbia’s reliance on the Commission’s decision in</w:t>
      </w:r>
      <w:r w:rsidR="00320C13" w:rsidRPr="00E9174E">
        <w:rPr>
          <w:iCs/>
          <w:sz w:val="26"/>
          <w:szCs w:val="26"/>
        </w:rPr>
        <w:t xml:space="preserve"> the</w:t>
      </w:r>
      <w:r w:rsidR="008A0D87" w:rsidRPr="00E9174E">
        <w:rPr>
          <w:iCs/>
          <w:sz w:val="26"/>
          <w:szCs w:val="26"/>
        </w:rPr>
        <w:t xml:space="preserve"> </w:t>
      </w:r>
      <w:r w:rsidR="008A0D87" w:rsidRPr="00E9174E">
        <w:rPr>
          <w:i/>
          <w:sz w:val="26"/>
          <w:szCs w:val="26"/>
        </w:rPr>
        <w:t>UGI Electric</w:t>
      </w:r>
      <w:r w:rsidR="008A0D87" w:rsidRPr="00E9174E">
        <w:rPr>
          <w:iCs/>
          <w:sz w:val="26"/>
          <w:szCs w:val="26"/>
        </w:rPr>
        <w:t xml:space="preserve"> is misplaced here</w:t>
      </w:r>
      <w:r w:rsidR="00CE7309" w:rsidRPr="00E9174E">
        <w:rPr>
          <w:iCs/>
          <w:sz w:val="26"/>
          <w:szCs w:val="26"/>
        </w:rPr>
        <w:t xml:space="preserve"> b</w:t>
      </w:r>
      <w:r w:rsidR="008A0D87" w:rsidRPr="00E9174E">
        <w:rPr>
          <w:iCs/>
          <w:sz w:val="26"/>
          <w:szCs w:val="26"/>
        </w:rPr>
        <w:t>ecause this case involves the determination of just and reasonable rates during an unprecedented pandemic and the Company failed to introduce any evidence to reflect the effects of the pandemic on the FPFTY projections.  The</w:t>
      </w:r>
      <w:r w:rsidR="00E510C4" w:rsidRPr="00E9174E">
        <w:rPr>
          <w:iCs/>
          <w:sz w:val="26"/>
          <w:szCs w:val="26"/>
        </w:rPr>
        <w:t xml:space="preserve"> OCA argues that the</w:t>
      </w:r>
      <w:r w:rsidR="008A0D87" w:rsidRPr="00E9174E">
        <w:rPr>
          <w:iCs/>
          <w:sz w:val="26"/>
          <w:szCs w:val="26"/>
        </w:rPr>
        <w:t xml:space="preserve"> holding in</w:t>
      </w:r>
      <w:r w:rsidR="00320C13" w:rsidRPr="00E9174E">
        <w:rPr>
          <w:iCs/>
          <w:sz w:val="26"/>
          <w:szCs w:val="26"/>
        </w:rPr>
        <w:t xml:space="preserve"> the</w:t>
      </w:r>
      <w:r w:rsidR="008A0D87" w:rsidRPr="00E9174E">
        <w:rPr>
          <w:iCs/>
          <w:sz w:val="26"/>
          <w:szCs w:val="26"/>
        </w:rPr>
        <w:t xml:space="preserve"> </w:t>
      </w:r>
      <w:r w:rsidR="008A0D87" w:rsidRPr="00E9174E">
        <w:rPr>
          <w:i/>
          <w:sz w:val="26"/>
          <w:szCs w:val="26"/>
        </w:rPr>
        <w:t>U</w:t>
      </w:r>
      <w:bookmarkStart w:id="63" w:name="_BA_Cite_0CCD6D_000061"/>
      <w:bookmarkEnd w:id="63"/>
      <w:r w:rsidR="008A0D87" w:rsidRPr="00E9174E">
        <w:rPr>
          <w:i/>
          <w:sz w:val="26"/>
          <w:szCs w:val="26"/>
        </w:rPr>
        <w:t>GI Electric</w:t>
      </w:r>
      <w:r w:rsidR="008A0D87" w:rsidRPr="00E9174E">
        <w:rPr>
          <w:iCs/>
          <w:sz w:val="26"/>
          <w:szCs w:val="26"/>
        </w:rPr>
        <w:t xml:space="preserve"> does not remove the Company’s burden of proving its FPFTY projections are reasonable and reliable and </w:t>
      </w:r>
      <w:r w:rsidR="00E510C4" w:rsidRPr="00E9174E">
        <w:rPr>
          <w:iCs/>
          <w:sz w:val="26"/>
          <w:szCs w:val="26"/>
        </w:rPr>
        <w:t>that</w:t>
      </w:r>
      <w:r w:rsidR="008A0D87" w:rsidRPr="00E9174E">
        <w:rPr>
          <w:iCs/>
          <w:sz w:val="26"/>
          <w:szCs w:val="26"/>
        </w:rPr>
        <w:t xml:space="preserve"> </w:t>
      </w:r>
      <w:r w:rsidR="00CE7309" w:rsidRPr="00E9174E">
        <w:rPr>
          <w:iCs/>
          <w:sz w:val="26"/>
          <w:szCs w:val="26"/>
        </w:rPr>
        <w:t>the ALJ</w:t>
      </w:r>
      <w:r w:rsidR="008A0D87" w:rsidRPr="00E9174E">
        <w:rPr>
          <w:iCs/>
          <w:sz w:val="26"/>
          <w:szCs w:val="26"/>
        </w:rPr>
        <w:t xml:space="preserve"> was correct in concluding that the Company </w:t>
      </w:r>
      <w:r w:rsidR="008A0D87" w:rsidRPr="00E9174E">
        <w:rPr>
          <w:iCs/>
          <w:sz w:val="26"/>
          <w:szCs w:val="26"/>
        </w:rPr>
        <w:lastRenderedPageBreak/>
        <w:t>failed to prove the accuracy of its projections made prior to the COVID-19 pandemic.</w:t>
      </w:r>
      <w:r w:rsidR="00136F04" w:rsidRPr="00E9174E">
        <w:rPr>
          <w:iCs/>
          <w:sz w:val="26"/>
          <w:szCs w:val="26"/>
        </w:rPr>
        <w:t xml:space="preserve">  OCA R. Exc. at 8.</w:t>
      </w:r>
    </w:p>
    <w:p w14:paraId="6A97C639" w14:textId="1AAB4DD6" w:rsidR="001D7315" w:rsidRPr="00E9174E" w:rsidRDefault="001D7315" w:rsidP="00E9174E">
      <w:pPr>
        <w:pStyle w:val="BodyText2"/>
        <w:widowControl/>
        <w:spacing w:after="0" w:line="360" w:lineRule="auto"/>
        <w:contextualSpacing/>
        <w:rPr>
          <w:sz w:val="26"/>
          <w:szCs w:val="26"/>
        </w:rPr>
      </w:pPr>
    </w:p>
    <w:p w14:paraId="4A51E07D" w14:textId="26E9BE19" w:rsidR="001D7315" w:rsidRPr="00E9174E" w:rsidRDefault="0082021B" w:rsidP="00E9174E">
      <w:pPr>
        <w:pStyle w:val="BodyText2"/>
        <w:widowControl/>
        <w:spacing w:after="0" w:line="360" w:lineRule="auto"/>
        <w:contextualSpacing/>
        <w:rPr>
          <w:sz w:val="26"/>
          <w:szCs w:val="26"/>
        </w:rPr>
      </w:pPr>
      <w:r w:rsidRPr="00E9174E">
        <w:rPr>
          <w:sz w:val="26"/>
          <w:szCs w:val="26"/>
        </w:rPr>
        <w:tab/>
      </w:r>
      <w:r w:rsidR="00DF3D30" w:rsidRPr="00E9174E">
        <w:rPr>
          <w:sz w:val="26"/>
          <w:szCs w:val="26"/>
        </w:rPr>
        <w:tab/>
      </w:r>
      <w:r w:rsidR="005A165E" w:rsidRPr="00E9174E">
        <w:rPr>
          <w:sz w:val="26"/>
          <w:szCs w:val="26"/>
        </w:rPr>
        <w:t xml:space="preserve">In its Replies, CAUSE-PA disputes Columbia’s assertion that the </w:t>
      </w:r>
      <w:r w:rsidR="004C1A2E" w:rsidRPr="00E9174E">
        <w:rPr>
          <w:sz w:val="26"/>
          <w:szCs w:val="26"/>
        </w:rPr>
        <w:t>Recommended Decision</w:t>
      </w:r>
      <w:r w:rsidR="005A165E" w:rsidRPr="00E9174E">
        <w:rPr>
          <w:sz w:val="26"/>
          <w:szCs w:val="26"/>
        </w:rPr>
        <w:t xml:space="preserve"> “points to no evidence that Columbia’s projections are unreliable.”  CAUSE-PA R. Exc. at 5 (citing CG Exc. at 7-8).  </w:t>
      </w:r>
      <w:r w:rsidR="004016D2" w:rsidRPr="00E9174E">
        <w:rPr>
          <w:sz w:val="26"/>
          <w:szCs w:val="26"/>
        </w:rPr>
        <w:t>CAU</w:t>
      </w:r>
      <w:r w:rsidR="007F3829" w:rsidRPr="00E9174E">
        <w:rPr>
          <w:sz w:val="26"/>
          <w:szCs w:val="26"/>
        </w:rPr>
        <w:t>S</w:t>
      </w:r>
      <w:r w:rsidR="004016D2" w:rsidRPr="00E9174E">
        <w:rPr>
          <w:sz w:val="26"/>
          <w:szCs w:val="26"/>
        </w:rPr>
        <w:t xml:space="preserve">E-PA submits that the </w:t>
      </w:r>
      <w:r w:rsidR="008D1B3A" w:rsidRPr="00E9174E">
        <w:rPr>
          <w:sz w:val="26"/>
          <w:szCs w:val="26"/>
        </w:rPr>
        <w:t>Recommended Decision</w:t>
      </w:r>
      <w:r w:rsidR="004016D2" w:rsidRPr="00E9174E">
        <w:rPr>
          <w:sz w:val="26"/>
          <w:szCs w:val="26"/>
        </w:rPr>
        <w:t xml:space="preserve"> cited substantial evidence that the data used by Columbia is no longer valid, including the worsening of the pandemic and its impact on society and businesses</w:t>
      </w:r>
      <w:r w:rsidR="00652B9B" w:rsidRPr="00E9174E">
        <w:rPr>
          <w:sz w:val="26"/>
          <w:szCs w:val="26"/>
        </w:rPr>
        <w:t>,</w:t>
      </w:r>
      <w:r w:rsidR="004016D2" w:rsidRPr="00E9174E">
        <w:rPr>
          <w:sz w:val="26"/>
          <w:szCs w:val="26"/>
        </w:rPr>
        <w:t xml:space="preserve"> including those in Columbia’s service territory</w:t>
      </w:r>
      <w:r w:rsidR="00AC745B" w:rsidRPr="00E9174E">
        <w:rPr>
          <w:sz w:val="26"/>
          <w:szCs w:val="26"/>
        </w:rPr>
        <w:t>.  CAUSE</w:t>
      </w:r>
      <w:r w:rsidR="00130E40" w:rsidRPr="00E9174E">
        <w:rPr>
          <w:sz w:val="26"/>
          <w:szCs w:val="26"/>
        </w:rPr>
        <w:t>-PA R. Exc. at 5-6 (citing R.D. at 50).</w:t>
      </w:r>
      <w:r w:rsidR="00735D41" w:rsidRPr="00E9174E">
        <w:rPr>
          <w:sz w:val="26"/>
          <w:szCs w:val="26"/>
        </w:rPr>
        <w:t xml:space="preserve">  The R</w:t>
      </w:r>
      <w:r w:rsidR="005E669C" w:rsidRPr="00E9174E">
        <w:rPr>
          <w:sz w:val="26"/>
          <w:szCs w:val="26"/>
        </w:rPr>
        <w:t xml:space="preserve">ecommended </w:t>
      </w:r>
      <w:r w:rsidR="00652B9B" w:rsidRPr="00E9174E">
        <w:rPr>
          <w:sz w:val="26"/>
          <w:szCs w:val="26"/>
        </w:rPr>
        <w:t xml:space="preserve">Decision </w:t>
      </w:r>
      <w:r w:rsidR="00735D41" w:rsidRPr="00E9174E">
        <w:rPr>
          <w:sz w:val="26"/>
          <w:szCs w:val="26"/>
        </w:rPr>
        <w:t xml:space="preserve">further explained that the historic data used by Columbia to develop its projections was no longer valid because it predates the COVID-19 pandemic. </w:t>
      </w:r>
      <w:bookmarkStart w:id="64" w:name="_Hlk61442884"/>
      <w:r w:rsidR="006B575C" w:rsidRPr="00E9174E">
        <w:rPr>
          <w:sz w:val="26"/>
          <w:szCs w:val="26"/>
        </w:rPr>
        <w:t xml:space="preserve"> </w:t>
      </w:r>
      <w:r w:rsidR="004F53A3" w:rsidRPr="00E9174E">
        <w:rPr>
          <w:sz w:val="26"/>
          <w:szCs w:val="26"/>
        </w:rPr>
        <w:t xml:space="preserve">CAUSE-PA R. Exc. at 6 </w:t>
      </w:r>
      <w:bookmarkEnd w:id="64"/>
      <w:r w:rsidR="00735D41" w:rsidRPr="00E9174E">
        <w:rPr>
          <w:sz w:val="26"/>
          <w:szCs w:val="26"/>
        </w:rPr>
        <w:t xml:space="preserve">(citing R.D. </w:t>
      </w:r>
      <w:r w:rsidR="004F53A3" w:rsidRPr="00E9174E">
        <w:rPr>
          <w:sz w:val="26"/>
          <w:szCs w:val="26"/>
        </w:rPr>
        <w:t>at 5).</w:t>
      </w:r>
      <w:r w:rsidR="00735D41" w:rsidRPr="00E9174E">
        <w:rPr>
          <w:sz w:val="26"/>
          <w:szCs w:val="26"/>
        </w:rPr>
        <w:t xml:space="preserve"> </w:t>
      </w:r>
      <w:r w:rsidR="004F53A3" w:rsidRPr="00E9174E">
        <w:rPr>
          <w:sz w:val="26"/>
          <w:szCs w:val="26"/>
        </w:rPr>
        <w:t xml:space="preserve"> CAUSE-PA submits that, i</w:t>
      </w:r>
      <w:r w:rsidR="00735D41" w:rsidRPr="00E9174E">
        <w:rPr>
          <w:sz w:val="26"/>
          <w:szCs w:val="26"/>
        </w:rPr>
        <w:t>ndeed, there is little doubt that the world today is a drastically different place</w:t>
      </w:r>
      <w:r w:rsidR="00DF3D30" w:rsidRPr="00E9174E">
        <w:rPr>
          <w:sz w:val="26"/>
          <w:szCs w:val="26"/>
        </w:rPr>
        <w:t xml:space="preserve"> </w:t>
      </w:r>
      <w:r w:rsidR="00735D41" w:rsidRPr="00E9174E">
        <w:rPr>
          <w:sz w:val="26"/>
          <w:szCs w:val="26"/>
        </w:rPr>
        <w:t>than it was in early 2020 and the future is as uncertain as it has ever been</w:t>
      </w:r>
      <w:r w:rsidR="00394D75" w:rsidRPr="00E9174E">
        <w:rPr>
          <w:sz w:val="26"/>
          <w:szCs w:val="26"/>
        </w:rPr>
        <w:t>.</w:t>
      </w:r>
      <w:r w:rsidR="00903181" w:rsidRPr="00E9174E">
        <w:rPr>
          <w:sz w:val="26"/>
          <w:szCs w:val="26"/>
        </w:rPr>
        <w:t xml:space="preserve">  CAUSE-PA R. Exc. at 6 (citing CAUSE-PA M.B. at 6-11).  </w:t>
      </w:r>
      <w:r w:rsidR="00735D41" w:rsidRPr="00E9174E">
        <w:rPr>
          <w:sz w:val="26"/>
          <w:szCs w:val="26"/>
        </w:rPr>
        <w:t xml:space="preserve">At no point during the proceeding did Columbia attempt to adjust its projections to account for the far-ranging economic impacts of the pandemic. </w:t>
      </w:r>
      <w:r w:rsidR="006B575C" w:rsidRPr="00E9174E">
        <w:rPr>
          <w:sz w:val="26"/>
          <w:szCs w:val="26"/>
        </w:rPr>
        <w:t xml:space="preserve"> </w:t>
      </w:r>
      <w:r w:rsidR="004413D8" w:rsidRPr="00E9174E">
        <w:rPr>
          <w:sz w:val="26"/>
          <w:szCs w:val="26"/>
        </w:rPr>
        <w:t xml:space="preserve">Instead, </w:t>
      </w:r>
      <w:r w:rsidR="00735D41" w:rsidRPr="00E9174E">
        <w:rPr>
          <w:sz w:val="26"/>
          <w:szCs w:val="26"/>
        </w:rPr>
        <w:t>Columbia opted</w:t>
      </w:r>
      <w:r w:rsidR="004413D8" w:rsidRPr="00E9174E">
        <w:rPr>
          <w:sz w:val="26"/>
          <w:szCs w:val="26"/>
        </w:rPr>
        <w:t xml:space="preserve"> </w:t>
      </w:r>
      <w:r w:rsidR="00735D41" w:rsidRPr="00E9174E">
        <w:rPr>
          <w:sz w:val="26"/>
          <w:szCs w:val="26"/>
        </w:rPr>
        <w:t>to push ahead, assuming that it will be able to spend and earn unimpeded by the pandemic that has crippled nearly every other business in the Commonwealth and brought the states’ economy to a near standstill.</w:t>
      </w:r>
      <w:r w:rsidR="00A60D05" w:rsidRPr="00E9174E">
        <w:rPr>
          <w:sz w:val="26"/>
          <w:szCs w:val="26"/>
        </w:rPr>
        <w:t xml:space="preserve"> </w:t>
      </w:r>
      <w:r w:rsidR="00A82CE5" w:rsidRPr="00E9174E">
        <w:rPr>
          <w:sz w:val="26"/>
          <w:szCs w:val="26"/>
        </w:rPr>
        <w:t xml:space="preserve">CAUSE-PA R. Exc. at 6 (citing CAUSE-PA </w:t>
      </w:r>
      <w:r w:rsidR="004413D8" w:rsidRPr="00E9174E">
        <w:rPr>
          <w:sz w:val="26"/>
          <w:szCs w:val="26"/>
        </w:rPr>
        <w:t xml:space="preserve">M.B. </w:t>
      </w:r>
      <w:r w:rsidR="00A82CE5" w:rsidRPr="00E9174E">
        <w:rPr>
          <w:sz w:val="26"/>
          <w:szCs w:val="26"/>
        </w:rPr>
        <w:t>at 6-11; OSBA R</w:t>
      </w:r>
      <w:r w:rsidR="004413D8" w:rsidRPr="00E9174E">
        <w:rPr>
          <w:sz w:val="26"/>
          <w:szCs w:val="26"/>
        </w:rPr>
        <w:t>.</w:t>
      </w:r>
      <w:r w:rsidR="00A82CE5" w:rsidRPr="00E9174E">
        <w:rPr>
          <w:sz w:val="26"/>
          <w:szCs w:val="26"/>
        </w:rPr>
        <w:t>B</w:t>
      </w:r>
      <w:r w:rsidR="004413D8" w:rsidRPr="00E9174E">
        <w:rPr>
          <w:sz w:val="26"/>
          <w:szCs w:val="26"/>
        </w:rPr>
        <w:t>.</w:t>
      </w:r>
      <w:r w:rsidR="00A82CE5" w:rsidRPr="00E9174E">
        <w:rPr>
          <w:sz w:val="26"/>
          <w:szCs w:val="26"/>
        </w:rPr>
        <w:t xml:space="preserve"> at 4</w:t>
      </w:r>
      <w:r w:rsidR="004413D8" w:rsidRPr="00E9174E">
        <w:rPr>
          <w:sz w:val="26"/>
          <w:szCs w:val="26"/>
        </w:rPr>
        <w:t>)</w:t>
      </w:r>
      <w:r w:rsidR="00A82CE5" w:rsidRPr="00E9174E">
        <w:rPr>
          <w:sz w:val="26"/>
          <w:szCs w:val="26"/>
        </w:rPr>
        <w:t>.</w:t>
      </w:r>
      <w:r w:rsidR="004413D8" w:rsidRPr="00E9174E">
        <w:rPr>
          <w:sz w:val="26"/>
          <w:szCs w:val="26"/>
        </w:rPr>
        <w:t xml:space="preserve">  </w:t>
      </w:r>
      <w:r w:rsidR="00AB1A92" w:rsidRPr="00E9174E">
        <w:rPr>
          <w:sz w:val="26"/>
          <w:szCs w:val="26"/>
        </w:rPr>
        <w:t>According to CAUSE-PA, t</w:t>
      </w:r>
      <w:r w:rsidR="006B575C" w:rsidRPr="00E9174E">
        <w:rPr>
          <w:sz w:val="26"/>
          <w:szCs w:val="26"/>
        </w:rPr>
        <w:t xml:space="preserve">he </w:t>
      </w:r>
      <w:r w:rsidR="00735D41" w:rsidRPr="00E9174E">
        <w:rPr>
          <w:sz w:val="26"/>
          <w:szCs w:val="26"/>
        </w:rPr>
        <w:t>ALJ was</w:t>
      </w:r>
      <w:r w:rsidR="004413D8" w:rsidRPr="00E9174E">
        <w:rPr>
          <w:sz w:val="26"/>
          <w:szCs w:val="26"/>
        </w:rPr>
        <w:t>,</w:t>
      </w:r>
      <w:r w:rsidR="00735D41" w:rsidRPr="00E9174E">
        <w:rPr>
          <w:sz w:val="26"/>
          <w:szCs w:val="26"/>
        </w:rPr>
        <w:t xml:space="preserve"> therefore</w:t>
      </w:r>
      <w:r w:rsidR="004413D8" w:rsidRPr="00E9174E">
        <w:rPr>
          <w:sz w:val="26"/>
          <w:szCs w:val="26"/>
        </w:rPr>
        <w:t>,</w:t>
      </w:r>
      <w:r w:rsidR="00735D41" w:rsidRPr="00E9174E">
        <w:rPr>
          <w:sz w:val="26"/>
          <w:szCs w:val="26"/>
        </w:rPr>
        <w:t xml:space="preserve"> correct to conclude that Columbia’s projections are no longer reliable due to intervening circumstances, and appropriately concluded that Columbia failed to meet its burden of proof to support its request for a substantial rate increase in the midst of deep, unprecedented, and </w:t>
      </w:r>
      <w:r w:rsidR="00414101" w:rsidRPr="00E9174E">
        <w:rPr>
          <w:sz w:val="26"/>
          <w:szCs w:val="26"/>
        </w:rPr>
        <w:t>unpredictable</w:t>
      </w:r>
      <w:r w:rsidR="00735D41" w:rsidRPr="00E9174E">
        <w:rPr>
          <w:sz w:val="26"/>
          <w:szCs w:val="26"/>
        </w:rPr>
        <w:t xml:space="preserve"> economic crisis.</w:t>
      </w:r>
      <w:r w:rsidR="00AA1568" w:rsidRPr="00E9174E">
        <w:rPr>
          <w:sz w:val="26"/>
          <w:szCs w:val="26"/>
        </w:rPr>
        <w:t xml:space="preserve">  CAUSE-PA R. Exc. at 6</w:t>
      </w:r>
      <w:r w:rsidR="002F5A21" w:rsidRPr="00E9174E">
        <w:rPr>
          <w:sz w:val="26"/>
          <w:szCs w:val="26"/>
        </w:rPr>
        <w:t>.</w:t>
      </w:r>
    </w:p>
    <w:p w14:paraId="14A96F28" w14:textId="77777777" w:rsidR="001D7315" w:rsidRPr="00E9174E" w:rsidRDefault="001D7315" w:rsidP="00E9174E">
      <w:pPr>
        <w:pStyle w:val="BodyText2"/>
        <w:widowControl/>
        <w:spacing w:after="0" w:line="360" w:lineRule="auto"/>
        <w:contextualSpacing/>
        <w:rPr>
          <w:sz w:val="26"/>
          <w:szCs w:val="26"/>
        </w:rPr>
      </w:pPr>
    </w:p>
    <w:p w14:paraId="0A65574E" w14:textId="1B8C06C6" w:rsidR="005B1D9C" w:rsidRPr="00E9174E" w:rsidRDefault="00F24393" w:rsidP="004E0428">
      <w:pPr>
        <w:pStyle w:val="Heading3"/>
        <w:numPr>
          <w:ilvl w:val="0"/>
          <w:numId w:val="3"/>
        </w:numPr>
        <w:ind w:left="1440" w:hanging="720"/>
      </w:pPr>
      <w:bookmarkStart w:id="65" w:name="_Toc62487958"/>
      <w:bookmarkStart w:id="66" w:name="_Toc63764417"/>
      <w:r w:rsidRPr="00E9174E">
        <w:t>I&amp;E</w:t>
      </w:r>
      <w:r w:rsidR="005B1D9C" w:rsidRPr="00E9174E">
        <w:t xml:space="preserve"> Exception No. 1 and Replies</w:t>
      </w:r>
      <w:bookmarkEnd w:id="65"/>
      <w:bookmarkEnd w:id="66"/>
    </w:p>
    <w:p w14:paraId="65B350DB" w14:textId="2B31CE6E" w:rsidR="008F2DA3" w:rsidRPr="00E9174E" w:rsidRDefault="008F2DA3" w:rsidP="00E9174E">
      <w:pPr>
        <w:pStyle w:val="BodyText2"/>
        <w:keepNext/>
        <w:keepLines/>
        <w:widowControl/>
        <w:spacing w:after="0" w:line="360" w:lineRule="auto"/>
        <w:ind w:firstLine="1440"/>
        <w:contextualSpacing/>
        <w:rPr>
          <w:rFonts w:eastAsiaTheme="majorEastAsia"/>
          <w:sz w:val="26"/>
          <w:szCs w:val="26"/>
        </w:rPr>
      </w:pPr>
    </w:p>
    <w:p w14:paraId="6F014541" w14:textId="7ADE54CC" w:rsidR="00D12693" w:rsidRPr="00E9174E" w:rsidRDefault="00E0613C" w:rsidP="00E9174E">
      <w:pPr>
        <w:keepNext/>
        <w:widowControl/>
        <w:spacing w:line="360" w:lineRule="auto"/>
        <w:ind w:firstLine="1440"/>
        <w:contextualSpacing/>
        <w:rPr>
          <w:sz w:val="26"/>
          <w:szCs w:val="26"/>
        </w:rPr>
      </w:pPr>
      <w:r w:rsidRPr="00E9174E">
        <w:rPr>
          <w:rFonts w:eastAsiaTheme="majorEastAsia"/>
          <w:sz w:val="26"/>
          <w:szCs w:val="26"/>
        </w:rPr>
        <w:t>I&amp;E submit</w:t>
      </w:r>
      <w:r w:rsidR="00C97AD3" w:rsidRPr="00E9174E">
        <w:rPr>
          <w:rFonts w:eastAsiaTheme="majorEastAsia"/>
          <w:sz w:val="26"/>
          <w:szCs w:val="26"/>
        </w:rPr>
        <w:t>s</w:t>
      </w:r>
      <w:r w:rsidRPr="00E9174E">
        <w:rPr>
          <w:rFonts w:eastAsiaTheme="majorEastAsia"/>
          <w:sz w:val="26"/>
          <w:szCs w:val="26"/>
        </w:rPr>
        <w:t xml:space="preserve"> only one Exception in this proceeding, and it was on this issue.  </w:t>
      </w:r>
      <w:r w:rsidR="00D431CC" w:rsidRPr="00E9174E">
        <w:rPr>
          <w:rFonts w:eastAsiaTheme="majorEastAsia"/>
          <w:sz w:val="26"/>
          <w:szCs w:val="26"/>
        </w:rPr>
        <w:t>In its</w:t>
      </w:r>
      <w:r w:rsidR="00825DAB" w:rsidRPr="00E9174E">
        <w:rPr>
          <w:rFonts w:eastAsiaTheme="majorEastAsia"/>
          <w:sz w:val="26"/>
          <w:szCs w:val="26"/>
        </w:rPr>
        <w:t xml:space="preserve"> </w:t>
      </w:r>
      <w:r w:rsidR="00D431CC" w:rsidRPr="00E9174E">
        <w:rPr>
          <w:rFonts w:eastAsiaTheme="majorEastAsia"/>
          <w:sz w:val="26"/>
          <w:szCs w:val="26"/>
        </w:rPr>
        <w:t xml:space="preserve">Exception, I&amp;E </w:t>
      </w:r>
      <w:r w:rsidR="00C97AD3" w:rsidRPr="00E9174E">
        <w:rPr>
          <w:rFonts w:eastAsiaTheme="majorEastAsia"/>
          <w:sz w:val="26"/>
          <w:szCs w:val="26"/>
        </w:rPr>
        <w:t>argues</w:t>
      </w:r>
      <w:r w:rsidR="00D431CC" w:rsidRPr="00E9174E">
        <w:rPr>
          <w:rFonts w:eastAsiaTheme="majorEastAsia"/>
          <w:sz w:val="26"/>
          <w:szCs w:val="26"/>
        </w:rPr>
        <w:t xml:space="preserve"> the </w:t>
      </w:r>
      <w:r w:rsidR="00AF5DCB" w:rsidRPr="00E9174E">
        <w:rPr>
          <w:sz w:val="26"/>
          <w:szCs w:val="26"/>
        </w:rPr>
        <w:t>Recommended Decision</w:t>
      </w:r>
      <w:r w:rsidR="00D431CC" w:rsidRPr="00E9174E">
        <w:rPr>
          <w:rFonts w:eastAsiaTheme="majorEastAsia"/>
          <w:sz w:val="26"/>
          <w:szCs w:val="26"/>
        </w:rPr>
        <w:t xml:space="preserve"> erred by denying </w:t>
      </w:r>
      <w:r w:rsidR="00D431CC" w:rsidRPr="00E9174E">
        <w:rPr>
          <w:rFonts w:eastAsiaTheme="majorEastAsia"/>
          <w:sz w:val="26"/>
          <w:szCs w:val="26"/>
        </w:rPr>
        <w:lastRenderedPageBreak/>
        <w:t>Columbia a revenue increase as it is inco</w:t>
      </w:r>
      <w:r w:rsidR="00A078F5" w:rsidRPr="00E9174E">
        <w:rPr>
          <w:rFonts w:eastAsiaTheme="majorEastAsia"/>
          <w:sz w:val="26"/>
          <w:szCs w:val="26"/>
        </w:rPr>
        <w:t xml:space="preserve">nsistent with traditional ratemaking.  I&amp;E Exc. at </w:t>
      </w:r>
      <w:r w:rsidR="004C3E07" w:rsidRPr="00E9174E">
        <w:rPr>
          <w:rFonts w:eastAsiaTheme="majorEastAsia"/>
          <w:sz w:val="26"/>
          <w:szCs w:val="26"/>
        </w:rPr>
        <w:t xml:space="preserve">6.  </w:t>
      </w:r>
      <w:r w:rsidR="0078499C" w:rsidRPr="00E9174E">
        <w:rPr>
          <w:sz w:val="26"/>
          <w:szCs w:val="26"/>
        </w:rPr>
        <w:t xml:space="preserve">I&amp;E </w:t>
      </w:r>
      <w:r w:rsidR="00B47B7C" w:rsidRPr="00E9174E">
        <w:rPr>
          <w:sz w:val="26"/>
          <w:szCs w:val="26"/>
        </w:rPr>
        <w:t xml:space="preserve">highlights that it </w:t>
      </w:r>
      <w:r w:rsidR="0078499C" w:rsidRPr="00E9174E">
        <w:rPr>
          <w:sz w:val="26"/>
          <w:szCs w:val="26"/>
        </w:rPr>
        <w:t>conducted a traditional ratemaking analysis of Columbia’s base rate filing and concluded that a $75.9 million increase was just and reasonable</w:t>
      </w:r>
      <w:r w:rsidR="008E6467" w:rsidRPr="00E9174E">
        <w:rPr>
          <w:sz w:val="26"/>
          <w:szCs w:val="26"/>
        </w:rPr>
        <w:t xml:space="preserve"> and</w:t>
      </w:r>
      <w:r w:rsidR="00B47B7C" w:rsidRPr="00E9174E">
        <w:rPr>
          <w:sz w:val="26"/>
          <w:szCs w:val="26"/>
        </w:rPr>
        <w:t xml:space="preserve"> points out that</w:t>
      </w:r>
      <w:r w:rsidR="008E6467" w:rsidRPr="00E9174E">
        <w:rPr>
          <w:sz w:val="26"/>
          <w:szCs w:val="26"/>
        </w:rPr>
        <w:t xml:space="preserve">, under those same </w:t>
      </w:r>
      <w:r w:rsidR="00B47B7C" w:rsidRPr="00E9174E">
        <w:rPr>
          <w:sz w:val="26"/>
          <w:szCs w:val="26"/>
        </w:rPr>
        <w:t xml:space="preserve">traditional </w:t>
      </w:r>
      <w:r w:rsidR="008E6467" w:rsidRPr="00E9174E">
        <w:rPr>
          <w:sz w:val="26"/>
          <w:szCs w:val="26"/>
        </w:rPr>
        <w:t xml:space="preserve">ratemaking principles, </w:t>
      </w:r>
      <w:r w:rsidR="00B47B7C" w:rsidRPr="00E9174E">
        <w:rPr>
          <w:sz w:val="26"/>
          <w:szCs w:val="26"/>
        </w:rPr>
        <w:t xml:space="preserve">the </w:t>
      </w:r>
      <w:r w:rsidR="008E6467" w:rsidRPr="00E9174E">
        <w:rPr>
          <w:sz w:val="26"/>
          <w:szCs w:val="26"/>
        </w:rPr>
        <w:t>OCA’s analysis produced a $31 million increase</w:t>
      </w:r>
      <w:r w:rsidR="0078499C" w:rsidRPr="00E9174E">
        <w:rPr>
          <w:sz w:val="26"/>
          <w:szCs w:val="26"/>
        </w:rPr>
        <w:t xml:space="preserve">.  I&amp;E’s recommendation is based upon its adjustments to expenses, rate base, taxes, pipeline replacement and rate of return.  </w:t>
      </w:r>
      <w:r w:rsidR="00825DAB" w:rsidRPr="00E9174E">
        <w:rPr>
          <w:sz w:val="26"/>
          <w:szCs w:val="26"/>
        </w:rPr>
        <w:t xml:space="preserve">While I&amp;E expresses its appreciation for </w:t>
      </w:r>
      <w:r w:rsidR="000F7EB4" w:rsidRPr="00E9174E">
        <w:rPr>
          <w:sz w:val="26"/>
          <w:szCs w:val="26"/>
        </w:rPr>
        <w:t>the Recommended Decision’s</w:t>
      </w:r>
      <w:r w:rsidR="00825DAB" w:rsidRPr="00E9174E">
        <w:rPr>
          <w:sz w:val="26"/>
          <w:szCs w:val="26"/>
        </w:rPr>
        <w:t xml:space="preserve"> taking into account the current financial climate surrounding the ongoing pandemic, I&amp;E expressed its position that, until directed otherwise by the Commission, I&amp;E has continued to employ its traditional ratemaking analysis in </w:t>
      </w:r>
      <w:r w:rsidR="0024619E" w:rsidRPr="00E9174E">
        <w:rPr>
          <w:sz w:val="26"/>
          <w:szCs w:val="26"/>
        </w:rPr>
        <w:t xml:space="preserve">this </w:t>
      </w:r>
      <w:r w:rsidR="00825DAB" w:rsidRPr="00E9174E">
        <w:rPr>
          <w:sz w:val="26"/>
          <w:szCs w:val="26"/>
        </w:rPr>
        <w:t>rate case</w:t>
      </w:r>
      <w:r w:rsidR="0024619E" w:rsidRPr="00E9174E">
        <w:rPr>
          <w:sz w:val="26"/>
          <w:szCs w:val="26"/>
        </w:rPr>
        <w:t>.</w:t>
      </w:r>
      <w:r w:rsidR="00045E99" w:rsidRPr="00E9174E">
        <w:rPr>
          <w:sz w:val="26"/>
          <w:szCs w:val="26"/>
        </w:rPr>
        <w:t xml:space="preserve"> </w:t>
      </w:r>
      <w:r w:rsidR="005609A6" w:rsidRPr="00E9174E">
        <w:rPr>
          <w:sz w:val="26"/>
          <w:szCs w:val="26"/>
        </w:rPr>
        <w:t xml:space="preserve"> I&amp;E Exc. at 6.</w:t>
      </w:r>
    </w:p>
    <w:p w14:paraId="3F353C53" w14:textId="77777777" w:rsidR="00F40F79" w:rsidRPr="00E9174E" w:rsidRDefault="00F40F79" w:rsidP="00E9174E">
      <w:pPr>
        <w:widowControl/>
        <w:spacing w:line="360" w:lineRule="auto"/>
        <w:ind w:firstLine="1440"/>
        <w:contextualSpacing/>
        <w:rPr>
          <w:sz w:val="26"/>
          <w:szCs w:val="26"/>
        </w:rPr>
      </w:pPr>
    </w:p>
    <w:p w14:paraId="71C4EC02" w14:textId="457CADE8" w:rsidR="00D12693" w:rsidRPr="00E9174E" w:rsidRDefault="00D12693" w:rsidP="00E9174E">
      <w:pPr>
        <w:widowControl/>
        <w:spacing w:line="360" w:lineRule="auto"/>
        <w:ind w:firstLine="1440"/>
        <w:contextualSpacing/>
        <w:rPr>
          <w:sz w:val="26"/>
          <w:szCs w:val="26"/>
        </w:rPr>
      </w:pPr>
      <w:r w:rsidRPr="00E9174E">
        <w:rPr>
          <w:sz w:val="26"/>
          <w:szCs w:val="26"/>
        </w:rPr>
        <w:t xml:space="preserve">I&amp;E </w:t>
      </w:r>
      <w:r w:rsidR="00D35B73" w:rsidRPr="00E9174E">
        <w:rPr>
          <w:sz w:val="26"/>
          <w:szCs w:val="26"/>
        </w:rPr>
        <w:t xml:space="preserve">asserts that its </w:t>
      </w:r>
      <w:r w:rsidR="0024619E" w:rsidRPr="00E9174E">
        <w:rPr>
          <w:sz w:val="26"/>
          <w:szCs w:val="26"/>
        </w:rPr>
        <w:t xml:space="preserve">$75.9 million revenue increase </w:t>
      </w:r>
      <w:r w:rsidRPr="00E9174E">
        <w:rPr>
          <w:sz w:val="26"/>
          <w:szCs w:val="26"/>
        </w:rPr>
        <w:t xml:space="preserve">recommendation is based upon </w:t>
      </w:r>
      <w:r w:rsidR="00D35B73" w:rsidRPr="00E9174E">
        <w:rPr>
          <w:sz w:val="26"/>
          <w:szCs w:val="26"/>
        </w:rPr>
        <w:t>I&amp;E’s</w:t>
      </w:r>
      <w:r w:rsidRPr="00E9174E">
        <w:rPr>
          <w:sz w:val="26"/>
          <w:szCs w:val="26"/>
        </w:rPr>
        <w:t xml:space="preserve"> charge to represent the public interest, which includes balancing the interests of ratepayers, the regulated utility, and the regulated community</w:t>
      </w:r>
      <w:r w:rsidR="00EF5AB8" w:rsidRPr="00E9174E">
        <w:rPr>
          <w:sz w:val="26"/>
          <w:szCs w:val="26"/>
        </w:rPr>
        <w:t xml:space="preserve"> to</w:t>
      </w:r>
      <w:r w:rsidRPr="00E9174E">
        <w:rPr>
          <w:sz w:val="26"/>
          <w:szCs w:val="26"/>
        </w:rPr>
        <w:t xml:space="preserve"> ensure that the rates charged are just, reasonable, non-discriminatory</w:t>
      </w:r>
      <w:r w:rsidR="00EF5AB8" w:rsidRPr="00E9174E">
        <w:rPr>
          <w:sz w:val="26"/>
          <w:szCs w:val="26"/>
        </w:rPr>
        <w:t>,</w:t>
      </w:r>
      <w:r w:rsidRPr="00E9174E">
        <w:rPr>
          <w:sz w:val="26"/>
          <w:szCs w:val="26"/>
        </w:rPr>
        <w:t xml:space="preserve"> and are at a level that affords the utility the opportunity to provide safe and reliable service.  </w:t>
      </w:r>
      <w:r w:rsidR="00947D4D" w:rsidRPr="00E9174E">
        <w:rPr>
          <w:i/>
          <w:iCs/>
          <w:sz w:val="26"/>
          <w:szCs w:val="26"/>
        </w:rPr>
        <w:t>Id</w:t>
      </w:r>
      <w:r w:rsidR="00947D4D" w:rsidRPr="00E9174E">
        <w:rPr>
          <w:sz w:val="26"/>
          <w:szCs w:val="26"/>
        </w:rPr>
        <w:t xml:space="preserve">. at 6-7.  </w:t>
      </w:r>
      <w:r w:rsidRPr="00E9174E">
        <w:rPr>
          <w:sz w:val="26"/>
          <w:szCs w:val="26"/>
        </w:rPr>
        <w:t>I&amp;E’s position</w:t>
      </w:r>
      <w:r w:rsidR="00D35B73" w:rsidRPr="00E9174E">
        <w:rPr>
          <w:sz w:val="26"/>
          <w:szCs w:val="26"/>
        </w:rPr>
        <w:t xml:space="preserve"> is</w:t>
      </w:r>
      <w:r w:rsidRPr="00E9174E">
        <w:rPr>
          <w:sz w:val="26"/>
          <w:szCs w:val="26"/>
        </w:rPr>
        <w:t xml:space="preserve"> that it is within the public interest to award Columbia a revenue increase in order for the Company to fulfill its obligation to provide customers with safe and reliable service.</w:t>
      </w:r>
      <w:r w:rsidR="00E716C4" w:rsidRPr="00E9174E">
        <w:rPr>
          <w:sz w:val="26"/>
          <w:szCs w:val="26"/>
        </w:rPr>
        <w:t xml:space="preserve">  </w:t>
      </w:r>
      <w:r w:rsidR="00E716C4" w:rsidRPr="00E9174E">
        <w:rPr>
          <w:i/>
          <w:iCs/>
          <w:sz w:val="26"/>
          <w:szCs w:val="26"/>
        </w:rPr>
        <w:t>Id</w:t>
      </w:r>
      <w:r w:rsidR="00E716C4" w:rsidRPr="00E9174E">
        <w:rPr>
          <w:sz w:val="26"/>
          <w:szCs w:val="26"/>
        </w:rPr>
        <w:t xml:space="preserve">. at 7.  </w:t>
      </w:r>
    </w:p>
    <w:p w14:paraId="3130D553" w14:textId="3974ACDE" w:rsidR="00D35B73" w:rsidRPr="00E9174E" w:rsidRDefault="00D35B73" w:rsidP="00E9174E">
      <w:pPr>
        <w:widowControl/>
        <w:spacing w:line="360" w:lineRule="auto"/>
        <w:ind w:firstLine="1440"/>
        <w:contextualSpacing/>
        <w:rPr>
          <w:sz w:val="26"/>
          <w:szCs w:val="26"/>
        </w:rPr>
      </w:pPr>
    </w:p>
    <w:p w14:paraId="1F531CB0" w14:textId="7D77A1FC" w:rsidR="00B14DC5" w:rsidRPr="00E9174E" w:rsidRDefault="00D35B73" w:rsidP="00E9174E">
      <w:pPr>
        <w:widowControl/>
        <w:spacing w:line="360" w:lineRule="auto"/>
        <w:ind w:firstLine="1440"/>
        <w:contextualSpacing/>
        <w:rPr>
          <w:sz w:val="26"/>
          <w:szCs w:val="26"/>
        </w:rPr>
      </w:pPr>
      <w:r w:rsidRPr="00E9174E">
        <w:rPr>
          <w:sz w:val="26"/>
          <w:szCs w:val="26"/>
        </w:rPr>
        <w:t xml:space="preserve">More specifically, and as demonstrated by I&amp;E’s </w:t>
      </w:r>
      <w:r w:rsidR="000206F3" w:rsidRPr="00E9174E">
        <w:rPr>
          <w:sz w:val="26"/>
          <w:szCs w:val="26"/>
        </w:rPr>
        <w:t>P</w:t>
      </w:r>
      <w:r w:rsidRPr="00E9174E">
        <w:rPr>
          <w:sz w:val="26"/>
          <w:szCs w:val="26"/>
        </w:rPr>
        <w:t xml:space="preserve">ipeline </w:t>
      </w:r>
      <w:r w:rsidR="000206F3" w:rsidRPr="00E9174E">
        <w:rPr>
          <w:sz w:val="26"/>
          <w:szCs w:val="26"/>
        </w:rPr>
        <w:t>S</w:t>
      </w:r>
      <w:r w:rsidRPr="00E9174E">
        <w:rPr>
          <w:sz w:val="26"/>
          <w:szCs w:val="26"/>
        </w:rPr>
        <w:t xml:space="preserve">afety testimony provided in this case, </w:t>
      </w:r>
      <w:r w:rsidR="00980AAE" w:rsidRPr="00E9174E">
        <w:rPr>
          <w:sz w:val="26"/>
          <w:szCs w:val="26"/>
        </w:rPr>
        <w:t xml:space="preserve">Columbia, an NGDC, is mandated to adhere to its </w:t>
      </w:r>
      <w:bookmarkStart w:id="67" w:name="_Hlk63275303"/>
      <w:r w:rsidR="00980AAE" w:rsidRPr="00E9174E">
        <w:rPr>
          <w:sz w:val="26"/>
          <w:szCs w:val="26"/>
        </w:rPr>
        <w:t>Distribution Integrity Management Program</w:t>
      </w:r>
      <w:bookmarkEnd w:id="67"/>
      <w:r w:rsidR="00980AAE" w:rsidRPr="00E9174E">
        <w:rPr>
          <w:sz w:val="26"/>
          <w:szCs w:val="26"/>
        </w:rPr>
        <w:t xml:space="preserve"> (</w:t>
      </w:r>
      <w:bookmarkStart w:id="68" w:name="_Hlk63275281"/>
      <w:r w:rsidR="00980AAE" w:rsidRPr="00E9174E">
        <w:rPr>
          <w:sz w:val="26"/>
          <w:szCs w:val="26"/>
        </w:rPr>
        <w:t>DIMP</w:t>
      </w:r>
      <w:bookmarkEnd w:id="68"/>
      <w:r w:rsidR="00980AAE" w:rsidRPr="00E9174E">
        <w:rPr>
          <w:sz w:val="26"/>
          <w:szCs w:val="26"/>
        </w:rPr>
        <w:t>) under the Code of Federal Regulations</w:t>
      </w:r>
      <w:r w:rsidR="00E3472C" w:rsidRPr="00E9174E">
        <w:rPr>
          <w:sz w:val="26"/>
          <w:szCs w:val="26"/>
        </w:rPr>
        <w:t>.</w:t>
      </w:r>
      <w:r w:rsidR="00980AAE" w:rsidRPr="00E9174E">
        <w:rPr>
          <w:sz w:val="26"/>
          <w:szCs w:val="26"/>
        </w:rPr>
        <w:t xml:space="preserve">  I&amp;E Exc. at 7 (citing </w:t>
      </w:r>
      <w:r w:rsidR="00E3472C" w:rsidRPr="00E9174E">
        <w:rPr>
          <w:sz w:val="26"/>
          <w:szCs w:val="26"/>
        </w:rPr>
        <w:t xml:space="preserve">49 Part 192.1001-192.1015, Subpart P; I&amp;E St. 4 at 3).  </w:t>
      </w:r>
      <w:r w:rsidR="00980AAE" w:rsidRPr="00E9174E">
        <w:rPr>
          <w:sz w:val="26"/>
          <w:szCs w:val="26"/>
        </w:rPr>
        <w:t>Columbia’s DIMP</w:t>
      </w:r>
      <w:r w:rsidR="002E1D84" w:rsidRPr="00E9174E">
        <w:rPr>
          <w:sz w:val="26"/>
          <w:szCs w:val="26"/>
        </w:rPr>
        <w:t>,</w:t>
      </w:r>
      <w:r w:rsidR="00980AAE" w:rsidRPr="00E9174E">
        <w:rPr>
          <w:sz w:val="26"/>
          <w:szCs w:val="26"/>
        </w:rPr>
        <w:t xml:space="preserve"> together with its Commission approved LTIIP</w:t>
      </w:r>
      <w:r w:rsidR="000F2B58" w:rsidRPr="00E9174E">
        <w:rPr>
          <w:sz w:val="26"/>
          <w:szCs w:val="26"/>
        </w:rPr>
        <w:t>,</w:t>
      </w:r>
      <w:r w:rsidR="00980AAE" w:rsidRPr="00E9174E">
        <w:rPr>
          <w:sz w:val="26"/>
          <w:szCs w:val="26"/>
        </w:rPr>
        <w:t xml:space="preserve"> provide the framework for pipeline replacement.  In order to maintain the safety and integrity of the system, </w:t>
      </w:r>
      <w:r w:rsidR="00653420" w:rsidRPr="00E9174E">
        <w:rPr>
          <w:sz w:val="26"/>
          <w:szCs w:val="26"/>
        </w:rPr>
        <w:t xml:space="preserve">I&amp;E posits that </w:t>
      </w:r>
      <w:r w:rsidR="00980AAE" w:rsidRPr="00E9174E">
        <w:rPr>
          <w:sz w:val="26"/>
          <w:szCs w:val="26"/>
        </w:rPr>
        <w:t xml:space="preserve">it is likely that Columbia will need an increase in revenues to stay on track for its pipeline replacement efforts outlined in its Commission approved LTIIP.  Specifically, I&amp;E’s Pipeline Safety testimony emphasized the concern regarding Columbia’s pipeline </w:t>
      </w:r>
      <w:r w:rsidR="00980AAE" w:rsidRPr="00E9174E">
        <w:rPr>
          <w:sz w:val="26"/>
          <w:szCs w:val="26"/>
        </w:rPr>
        <w:lastRenderedPageBreak/>
        <w:t>replacement efforts and recommended that Columbia increase its pipeline replacement efforts to meet the 2029 LTIIP goal.</w:t>
      </w:r>
      <w:r w:rsidR="00653420" w:rsidRPr="00E9174E">
        <w:rPr>
          <w:sz w:val="26"/>
          <w:szCs w:val="26"/>
        </w:rPr>
        <w:t xml:space="preserve"> </w:t>
      </w:r>
      <w:r w:rsidR="00980AAE" w:rsidRPr="00E9174E">
        <w:rPr>
          <w:sz w:val="26"/>
          <w:szCs w:val="26"/>
        </w:rPr>
        <w:t xml:space="preserve"> </w:t>
      </w:r>
      <w:r w:rsidR="00CE1932" w:rsidRPr="00E9174E">
        <w:rPr>
          <w:sz w:val="26"/>
          <w:szCs w:val="26"/>
        </w:rPr>
        <w:t xml:space="preserve">I&amp;E Exc. at 7 (citing I&amp;E St. 4 at 12).  </w:t>
      </w:r>
      <w:r w:rsidR="00942022" w:rsidRPr="00E9174E">
        <w:rPr>
          <w:sz w:val="26"/>
          <w:szCs w:val="26"/>
        </w:rPr>
        <w:t>According to I&amp;E, denying any r</w:t>
      </w:r>
      <w:r w:rsidR="00980AAE" w:rsidRPr="00E9174E">
        <w:rPr>
          <w:sz w:val="26"/>
          <w:szCs w:val="26"/>
        </w:rPr>
        <w:t>evenue increase</w:t>
      </w:r>
      <w:r w:rsidR="00942022" w:rsidRPr="00E9174E">
        <w:rPr>
          <w:sz w:val="26"/>
          <w:szCs w:val="26"/>
        </w:rPr>
        <w:t xml:space="preserve"> may diminish</w:t>
      </w:r>
      <w:r w:rsidR="00980AAE" w:rsidRPr="00E9174E">
        <w:rPr>
          <w:sz w:val="26"/>
          <w:szCs w:val="26"/>
        </w:rPr>
        <w:t xml:space="preserve"> Columbia’s pipeline replacement efforts</w:t>
      </w:r>
      <w:r w:rsidR="00942022" w:rsidRPr="00E9174E">
        <w:rPr>
          <w:sz w:val="26"/>
          <w:szCs w:val="26"/>
        </w:rPr>
        <w:t>,</w:t>
      </w:r>
      <w:r w:rsidR="00980AAE" w:rsidRPr="00E9174E">
        <w:rPr>
          <w:sz w:val="26"/>
          <w:szCs w:val="26"/>
        </w:rPr>
        <w:t xml:space="preserve"> which </w:t>
      </w:r>
      <w:r w:rsidR="00942022" w:rsidRPr="00E9174E">
        <w:rPr>
          <w:sz w:val="26"/>
          <w:szCs w:val="26"/>
        </w:rPr>
        <w:t>could</w:t>
      </w:r>
      <w:r w:rsidR="00980AAE" w:rsidRPr="00E9174E">
        <w:rPr>
          <w:sz w:val="26"/>
          <w:szCs w:val="26"/>
        </w:rPr>
        <w:t xml:space="preserve"> </w:t>
      </w:r>
      <w:r w:rsidR="007B1928" w:rsidRPr="00E9174E">
        <w:rPr>
          <w:sz w:val="26"/>
          <w:szCs w:val="26"/>
        </w:rPr>
        <w:t xml:space="preserve">greatly </w:t>
      </w:r>
      <w:r w:rsidR="00980AAE" w:rsidRPr="00E9174E">
        <w:rPr>
          <w:sz w:val="26"/>
          <w:szCs w:val="26"/>
        </w:rPr>
        <w:t>impact the safety and reliability of the system and is directly at odds with the recommendations made in I&amp;E</w:t>
      </w:r>
      <w:r w:rsidR="009364B8" w:rsidRPr="00E9174E">
        <w:rPr>
          <w:sz w:val="26"/>
          <w:szCs w:val="26"/>
        </w:rPr>
        <w:t>’s</w:t>
      </w:r>
      <w:r w:rsidR="00980AAE" w:rsidRPr="00E9174E">
        <w:rPr>
          <w:sz w:val="26"/>
          <w:szCs w:val="26"/>
        </w:rPr>
        <w:t xml:space="preserve"> testimony.</w:t>
      </w:r>
      <w:r w:rsidR="007B1928" w:rsidRPr="00E9174E">
        <w:rPr>
          <w:sz w:val="26"/>
          <w:szCs w:val="26"/>
        </w:rPr>
        <w:t xml:space="preserve">  I&amp;E Exc. at 7.</w:t>
      </w:r>
    </w:p>
    <w:p w14:paraId="211B487F" w14:textId="77777777" w:rsidR="00B14DC5" w:rsidRPr="00E9174E" w:rsidRDefault="00B14DC5" w:rsidP="00E9174E">
      <w:pPr>
        <w:widowControl/>
        <w:spacing w:line="360" w:lineRule="auto"/>
        <w:ind w:firstLine="1440"/>
        <w:contextualSpacing/>
        <w:rPr>
          <w:sz w:val="26"/>
          <w:szCs w:val="26"/>
        </w:rPr>
      </w:pPr>
    </w:p>
    <w:p w14:paraId="3D5F8C57" w14:textId="718E3E33" w:rsidR="008E6467" w:rsidRPr="00E9174E" w:rsidRDefault="00B14DC5" w:rsidP="00E9174E">
      <w:pPr>
        <w:widowControl/>
        <w:spacing w:line="360" w:lineRule="auto"/>
        <w:ind w:firstLine="1440"/>
        <w:contextualSpacing/>
        <w:rPr>
          <w:sz w:val="26"/>
          <w:szCs w:val="26"/>
        </w:rPr>
      </w:pPr>
      <w:r w:rsidRPr="00E9174E">
        <w:rPr>
          <w:sz w:val="26"/>
          <w:szCs w:val="26"/>
        </w:rPr>
        <w:t xml:space="preserve">Moreover, </w:t>
      </w:r>
      <w:r w:rsidR="007D08BC" w:rsidRPr="00E9174E">
        <w:rPr>
          <w:sz w:val="26"/>
          <w:szCs w:val="26"/>
        </w:rPr>
        <w:t xml:space="preserve">I&amp;E asserts that </w:t>
      </w:r>
      <w:r w:rsidRPr="00E9174E">
        <w:rPr>
          <w:sz w:val="26"/>
          <w:szCs w:val="26"/>
        </w:rPr>
        <w:t xml:space="preserve">the issue of increasing rates during the global pandemic was reviewed by the Commission </w:t>
      </w:r>
      <w:r w:rsidR="007D08BC" w:rsidRPr="00E9174E">
        <w:rPr>
          <w:sz w:val="26"/>
          <w:szCs w:val="26"/>
        </w:rPr>
        <w:t xml:space="preserve">most recently </w:t>
      </w:r>
      <w:r w:rsidRPr="00E9174E">
        <w:rPr>
          <w:sz w:val="26"/>
          <w:szCs w:val="26"/>
        </w:rPr>
        <w:t xml:space="preserve">in </w:t>
      </w:r>
      <w:r w:rsidR="009364B8" w:rsidRPr="00E9174E">
        <w:rPr>
          <w:sz w:val="26"/>
          <w:szCs w:val="26"/>
        </w:rPr>
        <w:t xml:space="preserve">the </w:t>
      </w:r>
      <w:r w:rsidR="00320C13" w:rsidRPr="00E9174E">
        <w:rPr>
          <w:i/>
          <w:iCs/>
          <w:sz w:val="26"/>
          <w:szCs w:val="26"/>
        </w:rPr>
        <w:t>PGW Rate Order</w:t>
      </w:r>
      <w:r w:rsidRPr="00E9174E">
        <w:rPr>
          <w:sz w:val="26"/>
          <w:szCs w:val="26"/>
        </w:rPr>
        <w:t>.  In that proceeding, a partial settlement was reached in which the Company would, in lieu of its requested $70 million base rate increase, be permitted to increase rates by $35 million in a three</w:t>
      </w:r>
      <w:r w:rsidR="007D08BC" w:rsidRPr="00E9174E">
        <w:rPr>
          <w:sz w:val="26"/>
          <w:szCs w:val="26"/>
        </w:rPr>
        <w:t>-</w:t>
      </w:r>
      <w:r w:rsidRPr="00E9174E">
        <w:rPr>
          <w:sz w:val="26"/>
          <w:szCs w:val="26"/>
        </w:rPr>
        <w:t xml:space="preserve">step process.  Pursuant to the settlement, PGW agreed to implement a $10 million increase on January 1, 2021, another $10 million increase on July 1, 2021, and the final $15 million increase on January 1, 2022.  </w:t>
      </w:r>
      <w:r w:rsidR="007D08BC" w:rsidRPr="00E9174E">
        <w:rPr>
          <w:sz w:val="26"/>
          <w:szCs w:val="26"/>
        </w:rPr>
        <w:t xml:space="preserve">I&amp;E Exc. at </w:t>
      </w:r>
      <w:r w:rsidR="00BE6C45" w:rsidRPr="00E9174E">
        <w:rPr>
          <w:sz w:val="26"/>
          <w:szCs w:val="26"/>
        </w:rPr>
        <w:t>7-8.</w:t>
      </w:r>
      <w:r w:rsidR="00DD1A41" w:rsidRPr="00E9174E">
        <w:rPr>
          <w:sz w:val="26"/>
          <w:szCs w:val="26"/>
        </w:rPr>
        <w:t xml:space="preserve">  I&amp;E explains that the ALJs in the </w:t>
      </w:r>
      <w:r w:rsidR="00DD1A41" w:rsidRPr="00E9174E">
        <w:rPr>
          <w:i/>
          <w:iCs/>
          <w:sz w:val="26"/>
          <w:szCs w:val="26"/>
        </w:rPr>
        <w:t>PGW</w:t>
      </w:r>
      <w:r w:rsidR="00320C13" w:rsidRPr="00E9174E">
        <w:rPr>
          <w:i/>
          <w:iCs/>
          <w:sz w:val="26"/>
          <w:szCs w:val="26"/>
        </w:rPr>
        <w:t xml:space="preserve"> Rate Order</w:t>
      </w:r>
      <w:r w:rsidR="00DD1A41" w:rsidRPr="00E9174E">
        <w:rPr>
          <w:sz w:val="26"/>
          <w:szCs w:val="26"/>
        </w:rPr>
        <w:t xml:space="preserve"> proceeding issued a Recommended Decision substantially altering the revenue requirement contained in the settlement as it recommended pushing the three-step increase out an additional six months.  Specifically, the ALJs recommended that the Commission issue an order in which PGW would recover $35 million; however, the first step would not be implemented until July 2021, rather than January 2021 as agreed by the Joint Petitioners in the settlement. </w:t>
      </w:r>
      <w:r w:rsidR="00D337C4" w:rsidRPr="00E9174E">
        <w:rPr>
          <w:sz w:val="26"/>
          <w:szCs w:val="26"/>
        </w:rPr>
        <w:t xml:space="preserve"> </w:t>
      </w:r>
      <w:r w:rsidR="00AF375F" w:rsidRPr="00E9174E">
        <w:rPr>
          <w:sz w:val="26"/>
          <w:szCs w:val="26"/>
        </w:rPr>
        <w:t xml:space="preserve">I&amp;E Exc. at 8 </w:t>
      </w:r>
      <w:r w:rsidR="00D337C4" w:rsidRPr="00E9174E">
        <w:rPr>
          <w:sz w:val="26"/>
          <w:szCs w:val="26"/>
        </w:rPr>
        <w:t>(</w:t>
      </w:r>
      <w:r w:rsidR="00AF375F" w:rsidRPr="00E9174E">
        <w:rPr>
          <w:sz w:val="26"/>
          <w:szCs w:val="26"/>
        </w:rPr>
        <w:t xml:space="preserve">citing </w:t>
      </w:r>
      <w:r w:rsidR="00D337C4" w:rsidRPr="00E9174E">
        <w:rPr>
          <w:i/>
          <w:iCs/>
          <w:sz w:val="26"/>
          <w:szCs w:val="26"/>
        </w:rPr>
        <w:t>PGW</w:t>
      </w:r>
      <w:r w:rsidR="00320C13" w:rsidRPr="00E9174E">
        <w:rPr>
          <w:i/>
          <w:iCs/>
          <w:sz w:val="26"/>
          <w:szCs w:val="26"/>
        </w:rPr>
        <w:t xml:space="preserve"> Rate Order</w:t>
      </w:r>
      <w:r w:rsidR="00320C13" w:rsidRPr="00E9174E">
        <w:rPr>
          <w:sz w:val="26"/>
          <w:szCs w:val="26"/>
        </w:rPr>
        <w:t>,</w:t>
      </w:r>
      <w:r w:rsidR="00D337C4" w:rsidRPr="00E9174E">
        <w:rPr>
          <w:sz w:val="26"/>
          <w:szCs w:val="26"/>
        </w:rPr>
        <w:t xml:space="preserve"> R.D. at 77).</w:t>
      </w:r>
      <w:r w:rsidR="00263A3A" w:rsidRPr="00E9174E">
        <w:rPr>
          <w:sz w:val="26"/>
          <w:szCs w:val="26"/>
        </w:rPr>
        <w:t xml:space="preserve"> </w:t>
      </w:r>
      <w:r w:rsidR="00D337C4" w:rsidRPr="00E9174E">
        <w:rPr>
          <w:sz w:val="26"/>
          <w:szCs w:val="26"/>
        </w:rPr>
        <w:t xml:space="preserve"> </w:t>
      </w:r>
      <w:r w:rsidR="00DD1A41" w:rsidRPr="00E9174E">
        <w:rPr>
          <w:sz w:val="26"/>
          <w:szCs w:val="26"/>
        </w:rPr>
        <w:t>The ALJs further recommend</w:t>
      </w:r>
      <w:r w:rsidR="008D4F16" w:rsidRPr="00E9174E">
        <w:rPr>
          <w:sz w:val="26"/>
          <w:szCs w:val="26"/>
        </w:rPr>
        <w:t>ed</w:t>
      </w:r>
      <w:r w:rsidR="00DD1A41" w:rsidRPr="00E9174E">
        <w:rPr>
          <w:sz w:val="26"/>
          <w:szCs w:val="26"/>
        </w:rPr>
        <w:t xml:space="preserve"> that the other two steps of the rate increase be deferred for six months and be implemented on January 1, 2022 and July 1, 2022</w:t>
      </w:r>
      <w:r w:rsidR="00CC1422" w:rsidRPr="00E9174E">
        <w:rPr>
          <w:sz w:val="26"/>
          <w:szCs w:val="26"/>
        </w:rPr>
        <w:t>,</w:t>
      </w:r>
      <w:r w:rsidR="00DD1A41" w:rsidRPr="00E9174E">
        <w:rPr>
          <w:sz w:val="26"/>
          <w:szCs w:val="26"/>
        </w:rPr>
        <w:t xml:space="preserve"> respectively. </w:t>
      </w:r>
      <w:r w:rsidR="00AF375F" w:rsidRPr="00E9174E">
        <w:rPr>
          <w:sz w:val="26"/>
          <w:szCs w:val="26"/>
        </w:rPr>
        <w:t xml:space="preserve"> I&amp;E Exc. at 8 (citing </w:t>
      </w:r>
      <w:r w:rsidR="00AF375F" w:rsidRPr="00E9174E">
        <w:rPr>
          <w:i/>
          <w:iCs/>
          <w:sz w:val="26"/>
          <w:szCs w:val="26"/>
        </w:rPr>
        <w:t>PGW</w:t>
      </w:r>
      <w:r w:rsidR="00320C13" w:rsidRPr="00E9174E">
        <w:rPr>
          <w:i/>
          <w:iCs/>
          <w:sz w:val="26"/>
          <w:szCs w:val="26"/>
        </w:rPr>
        <w:t xml:space="preserve"> Rate Order</w:t>
      </w:r>
      <w:r w:rsidR="00320C13" w:rsidRPr="00E9174E">
        <w:rPr>
          <w:sz w:val="26"/>
          <w:szCs w:val="26"/>
        </w:rPr>
        <w:t>,</w:t>
      </w:r>
      <w:r w:rsidR="00AF375F" w:rsidRPr="00E9174E">
        <w:rPr>
          <w:sz w:val="26"/>
          <w:szCs w:val="26"/>
        </w:rPr>
        <w:t xml:space="preserve"> R.D. at 77, 100).</w:t>
      </w:r>
      <w:r w:rsidR="00893B4D" w:rsidRPr="00E9174E">
        <w:rPr>
          <w:sz w:val="26"/>
          <w:szCs w:val="26"/>
        </w:rPr>
        <w:t xml:space="preserve"> </w:t>
      </w:r>
      <w:r w:rsidR="00405804" w:rsidRPr="00E9174E">
        <w:rPr>
          <w:sz w:val="26"/>
          <w:szCs w:val="26"/>
        </w:rPr>
        <w:t xml:space="preserve"> Although the Commission acknowledged the ALJs</w:t>
      </w:r>
      <w:r w:rsidR="00AA37D6" w:rsidRPr="00E9174E">
        <w:rPr>
          <w:sz w:val="26"/>
          <w:szCs w:val="26"/>
        </w:rPr>
        <w:t>’</w:t>
      </w:r>
      <w:r w:rsidR="00405804" w:rsidRPr="00E9174E">
        <w:rPr>
          <w:sz w:val="26"/>
          <w:szCs w:val="26"/>
        </w:rPr>
        <w:t xml:space="preserve"> well-meaning suggested modifications, it ultimately determined that the negative effects of the suggested modifications had been soundly demonstrated.</w:t>
      </w:r>
      <w:r w:rsidR="003A443F" w:rsidRPr="00E9174E">
        <w:rPr>
          <w:sz w:val="26"/>
          <w:szCs w:val="26"/>
        </w:rPr>
        <w:t xml:space="preserve">  I&amp;E Exc. at 8-9 (citing </w:t>
      </w:r>
      <w:r w:rsidR="003A443F" w:rsidRPr="00E9174E">
        <w:rPr>
          <w:i/>
          <w:iCs/>
          <w:sz w:val="26"/>
          <w:szCs w:val="26"/>
        </w:rPr>
        <w:t xml:space="preserve">PGW </w:t>
      </w:r>
      <w:r w:rsidR="00320C13" w:rsidRPr="00E9174E">
        <w:rPr>
          <w:i/>
          <w:iCs/>
          <w:sz w:val="26"/>
          <w:szCs w:val="26"/>
        </w:rPr>
        <w:t xml:space="preserve">Rate </w:t>
      </w:r>
      <w:r w:rsidR="003A443F" w:rsidRPr="00E9174E">
        <w:rPr>
          <w:i/>
          <w:iCs/>
          <w:sz w:val="26"/>
          <w:szCs w:val="26"/>
        </w:rPr>
        <w:t>Order</w:t>
      </w:r>
      <w:r w:rsidR="003A443F" w:rsidRPr="00E9174E">
        <w:rPr>
          <w:sz w:val="26"/>
          <w:szCs w:val="26"/>
        </w:rPr>
        <w:t xml:space="preserve"> at</w:t>
      </w:r>
      <w:r w:rsidR="00CC1422" w:rsidRPr="00E9174E">
        <w:rPr>
          <w:sz w:val="26"/>
          <w:szCs w:val="26"/>
        </w:rPr>
        <w:t xml:space="preserve"> 71).</w:t>
      </w:r>
      <w:r w:rsidR="00405804" w:rsidRPr="00E9174E">
        <w:rPr>
          <w:sz w:val="26"/>
          <w:szCs w:val="26"/>
        </w:rPr>
        <w:t xml:space="preserve">  The Commission noted that “it is in the public interest to provide a public utility with the financial ability to proffer safe, efficient, and adequate service to its customers.”</w:t>
      </w:r>
      <w:r w:rsidR="00CC1422" w:rsidRPr="00E9174E">
        <w:rPr>
          <w:sz w:val="26"/>
          <w:szCs w:val="26"/>
        </w:rPr>
        <w:t xml:space="preserve">  I&amp;E Exc. at 8-9 (citing </w:t>
      </w:r>
      <w:r w:rsidR="00CC1422" w:rsidRPr="00E9174E">
        <w:rPr>
          <w:i/>
          <w:iCs/>
          <w:sz w:val="26"/>
          <w:szCs w:val="26"/>
        </w:rPr>
        <w:t xml:space="preserve">PGW </w:t>
      </w:r>
      <w:r w:rsidR="00320C13" w:rsidRPr="00E9174E">
        <w:rPr>
          <w:i/>
          <w:iCs/>
          <w:sz w:val="26"/>
          <w:szCs w:val="26"/>
        </w:rPr>
        <w:t xml:space="preserve">Rate </w:t>
      </w:r>
      <w:r w:rsidR="00CC1422" w:rsidRPr="00E9174E">
        <w:rPr>
          <w:i/>
          <w:iCs/>
          <w:sz w:val="26"/>
          <w:szCs w:val="26"/>
        </w:rPr>
        <w:t>Order</w:t>
      </w:r>
      <w:r w:rsidR="00CC1422" w:rsidRPr="00E9174E">
        <w:rPr>
          <w:sz w:val="26"/>
          <w:szCs w:val="26"/>
        </w:rPr>
        <w:t xml:space="preserve"> at 64).  </w:t>
      </w:r>
    </w:p>
    <w:p w14:paraId="7BA93249" w14:textId="77777777" w:rsidR="008E6467" w:rsidRPr="00E9174E" w:rsidRDefault="008E6467" w:rsidP="00E9174E">
      <w:pPr>
        <w:widowControl/>
        <w:spacing w:line="360" w:lineRule="auto"/>
        <w:ind w:firstLine="1440"/>
        <w:contextualSpacing/>
        <w:rPr>
          <w:sz w:val="26"/>
          <w:szCs w:val="26"/>
        </w:rPr>
      </w:pPr>
    </w:p>
    <w:p w14:paraId="33CFC8D4" w14:textId="2FAC264F" w:rsidR="008E6467" w:rsidRPr="00E9174E" w:rsidRDefault="00052C06" w:rsidP="00E9174E">
      <w:pPr>
        <w:widowControl/>
        <w:spacing w:line="360" w:lineRule="auto"/>
        <w:ind w:firstLine="1440"/>
        <w:contextualSpacing/>
        <w:rPr>
          <w:sz w:val="26"/>
          <w:szCs w:val="26"/>
        </w:rPr>
      </w:pPr>
      <w:r w:rsidRPr="00E9174E">
        <w:rPr>
          <w:iCs/>
          <w:sz w:val="26"/>
          <w:szCs w:val="26"/>
        </w:rPr>
        <w:lastRenderedPageBreak/>
        <w:t>I&amp;E submits that the Commission’s determination in</w:t>
      </w:r>
      <w:r w:rsidR="00320C13" w:rsidRPr="00E9174E">
        <w:rPr>
          <w:iCs/>
          <w:sz w:val="26"/>
          <w:szCs w:val="26"/>
        </w:rPr>
        <w:t xml:space="preserve"> the</w:t>
      </w:r>
      <w:r w:rsidRPr="00E9174E">
        <w:rPr>
          <w:iCs/>
          <w:sz w:val="26"/>
          <w:szCs w:val="26"/>
        </w:rPr>
        <w:t xml:space="preserve"> </w:t>
      </w:r>
      <w:r w:rsidRPr="00E9174E">
        <w:rPr>
          <w:i/>
          <w:sz w:val="26"/>
          <w:szCs w:val="26"/>
        </w:rPr>
        <w:t>PGW</w:t>
      </w:r>
      <w:r w:rsidR="00320C13" w:rsidRPr="00E9174E">
        <w:rPr>
          <w:i/>
          <w:sz w:val="26"/>
          <w:szCs w:val="26"/>
        </w:rPr>
        <w:t xml:space="preserve"> Rate Order</w:t>
      </w:r>
      <w:r w:rsidRPr="00E9174E">
        <w:rPr>
          <w:iCs/>
          <w:sz w:val="26"/>
          <w:szCs w:val="26"/>
        </w:rPr>
        <w:t xml:space="preserve"> is in keeping with the </w:t>
      </w:r>
      <w:r w:rsidR="00737F6D" w:rsidRPr="00E9174E">
        <w:rPr>
          <w:iCs/>
          <w:sz w:val="26"/>
          <w:szCs w:val="26"/>
        </w:rPr>
        <w:t>constitutional standards established in</w:t>
      </w:r>
      <w:r w:rsidRPr="00E9174E">
        <w:rPr>
          <w:iCs/>
          <w:sz w:val="26"/>
          <w:szCs w:val="26"/>
        </w:rPr>
        <w:t xml:space="preserve"> </w:t>
      </w:r>
      <w:r w:rsidRPr="00E9174E">
        <w:rPr>
          <w:i/>
          <w:sz w:val="26"/>
          <w:szCs w:val="26"/>
        </w:rPr>
        <w:t xml:space="preserve">Bluefield </w:t>
      </w:r>
      <w:r w:rsidRPr="00E9174E">
        <w:rPr>
          <w:sz w:val="26"/>
          <w:szCs w:val="26"/>
        </w:rPr>
        <w:t xml:space="preserve">and </w:t>
      </w:r>
      <w:r w:rsidRPr="00E9174E">
        <w:rPr>
          <w:i/>
          <w:sz w:val="26"/>
          <w:szCs w:val="26"/>
        </w:rPr>
        <w:t>Hope Natural Gas</w:t>
      </w:r>
      <w:r w:rsidR="007D6E44" w:rsidRPr="00E9174E">
        <w:rPr>
          <w:iCs/>
          <w:sz w:val="26"/>
          <w:szCs w:val="26"/>
        </w:rPr>
        <w:t>.</w:t>
      </w:r>
      <w:r w:rsidR="00405776" w:rsidRPr="00E9174E">
        <w:rPr>
          <w:sz w:val="26"/>
          <w:szCs w:val="26"/>
        </w:rPr>
        <w:t xml:space="preserve">  I&amp;E argues that the Coronavirus pandemic has not changed the</w:t>
      </w:r>
      <w:r w:rsidR="00737F6D" w:rsidRPr="00E9174E">
        <w:rPr>
          <w:sz w:val="26"/>
          <w:szCs w:val="26"/>
        </w:rPr>
        <w:t>se constitutional</w:t>
      </w:r>
      <w:r w:rsidR="00405776" w:rsidRPr="00E9174E">
        <w:rPr>
          <w:sz w:val="26"/>
          <w:szCs w:val="26"/>
        </w:rPr>
        <w:t xml:space="preserve"> standards.  </w:t>
      </w:r>
      <w:r w:rsidR="004D7993" w:rsidRPr="00E9174E">
        <w:rPr>
          <w:sz w:val="26"/>
          <w:szCs w:val="26"/>
        </w:rPr>
        <w:t>Rather</w:t>
      </w:r>
      <w:r w:rsidR="00405776" w:rsidRPr="00E9174E">
        <w:rPr>
          <w:sz w:val="26"/>
          <w:szCs w:val="26"/>
        </w:rPr>
        <w:t>, just the opposite is true</w:t>
      </w:r>
      <w:r w:rsidR="004D7993" w:rsidRPr="00E9174E">
        <w:rPr>
          <w:sz w:val="26"/>
          <w:szCs w:val="26"/>
        </w:rPr>
        <w:t>, according to I&amp;E,</w:t>
      </w:r>
      <w:r w:rsidR="00405776" w:rsidRPr="00E9174E">
        <w:rPr>
          <w:sz w:val="26"/>
          <w:szCs w:val="26"/>
        </w:rPr>
        <w:t xml:space="preserve"> as the Commission has approved several rate increase requests based on traditional ratemaking principles during this pandemic.  For example, in addition to approving the PGW rate increase discussed above, the Commission also recently approved rate increases for UGI Utilities, Inc.</w:t>
      </w:r>
      <w:r w:rsidR="004E0428">
        <w:rPr>
          <w:sz w:val="26"/>
          <w:szCs w:val="26"/>
        </w:rPr>
        <w:t xml:space="preserve"> </w:t>
      </w:r>
      <w:r w:rsidR="00405776" w:rsidRPr="00E9174E">
        <w:rPr>
          <w:sz w:val="26"/>
          <w:szCs w:val="26"/>
        </w:rPr>
        <w:t xml:space="preserve">- Gas Division and Pittsburgh Water and Sewer Authority.  </w:t>
      </w:r>
      <w:r w:rsidR="00320C13" w:rsidRPr="00E9174E">
        <w:rPr>
          <w:sz w:val="26"/>
          <w:szCs w:val="26"/>
        </w:rPr>
        <w:t xml:space="preserve">I&amp;E Exc. at 10 (citing </w:t>
      </w:r>
      <w:r w:rsidR="00320C13" w:rsidRPr="00E9174E">
        <w:rPr>
          <w:i/>
          <w:iCs/>
          <w:sz w:val="26"/>
          <w:szCs w:val="26"/>
        </w:rPr>
        <w:t>Pa. PUC v. UGI Utilities, Inc.</w:t>
      </w:r>
      <w:r w:rsidR="00057302" w:rsidRPr="00E9174E">
        <w:rPr>
          <w:i/>
          <w:iCs/>
          <w:sz w:val="26"/>
          <w:szCs w:val="26"/>
        </w:rPr>
        <w:t xml:space="preserve"> </w:t>
      </w:r>
      <w:r w:rsidR="00320C13" w:rsidRPr="00E9174E">
        <w:rPr>
          <w:i/>
          <w:iCs/>
          <w:sz w:val="26"/>
          <w:szCs w:val="26"/>
        </w:rPr>
        <w:t>- Gas Division</w:t>
      </w:r>
      <w:r w:rsidR="00320C13" w:rsidRPr="00E9174E">
        <w:rPr>
          <w:sz w:val="26"/>
          <w:szCs w:val="26"/>
        </w:rPr>
        <w:t>, Docket No. R-2019-3015162 (Order entered October</w:t>
      </w:r>
      <w:r w:rsidR="004E5FF4">
        <w:rPr>
          <w:sz w:val="26"/>
          <w:szCs w:val="26"/>
        </w:rPr>
        <w:t> </w:t>
      </w:r>
      <w:r w:rsidR="00320C13" w:rsidRPr="00E9174E">
        <w:rPr>
          <w:sz w:val="26"/>
          <w:szCs w:val="26"/>
        </w:rPr>
        <w:t>8, 2020) (</w:t>
      </w:r>
      <w:r w:rsidR="00320C13" w:rsidRPr="00E9174E">
        <w:rPr>
          <w:i/>
          <w:iCs/>
          <w:sz w:val="26"/>
          <w:szCs w:val="26"/>
        </w:rPr>
        <w:t>UGI Gas Rate Order</w:t>
      </w:r>
      <w:r w:rsidR="00320C13" w:rsidRPr="00E9174E">
        <w:rPr>
          <w:sz w:val="26"/>
          <w:szCs w:val="26"/>
        </w:rPr>
        <w:t>);</w:t>
      </w:r>
      <w:r w:rsidR="00320C13" w:rsidRPr="00E9174E">
        <w:rPr>
          <w:i/>
          <w:iCs/>
          <w:sz w:val="26"/>
          <w:szCs w:val="26"/>
        </w:rPr>
        <w:t xml:space="preserve"> Pittsburgh Water and Sewer Authority</w:t>
      </w:r>
      <w:r w:rsidR="00320C13" w:rsidRPr="00E9174E">
        <w:rPr>
          <w:sz w:val="26"/>
          <w:szCs w:val="26"/>
        </w:rPr>
        <w:t>, Docket Nos. R</w:t>
      </w:r>
      <w:r w:rsidR="00057302" w:rsidRPr="00E9174E">
        <w:rPr>
          <w:sz w:val="26"/>
          <w:szCs w:val="26"/>
        </w:rPr>
        <w:noBreakHyphen/>
      </w:r>
      <w:r w:rsidR="00320C13" w:rsidRPr="00E9174E">
        <w:rPr>
          <w:sz w:val="26"/>
          <w:szCs w:val="26"/>
        </w:rPr>
        <w:t>2020-3017951, R-2020-3017970 (Order entered December 3, 2020) (</w:t>
      </w:r>
      <w:r w:rsidR="00320C13" w:rsidRPr="00E9174E">
        <w:rPr>
          <w:i/>
          <w:iCs/>
          <w:sz w:val="26"/>
          <w:szCs w:val="26"/>
        </w:rPr>
        <w:t>PWSA Rate Order</w:t>
      </w:r>
      <w:r w:rsidR="00320C13" w:rsidRPr="00E9174E">
        <w:rPr>
          <w:sz w:val="26"/>
          <w:szCs w:val="26"/>
        </w:rPr>
        <w:t>)</w:t>
      </w:r>
      <w:r w:rsidR="00C80CF3" w:rsidRPr="00E9174E">
        <w:rPr>
          <w:sz w:val="26"/>
          <w:szCs w:val="26"/>
        </w:rPr>
        <w:t>)</w:t>
      </w:r>
      <w:r w:rsidR="00320C13" w:rsidRPr="00E9174E">
        <w:rPr>
          <w:sz w:val="26"/>
          <w:szCs w:val="26"/>
        </w:rPr>
        <w:t xml:space="preserve">.  </w:t>
      </w:r>
      <w:r w:rsidR="00405776" w:rsidRPr="00E9174E">
        <w:rPr>
          <w:sz w:val="26"/>
          <w:szCs w:val="26"/>
        </w:rPr>
        <w:t>Therefore, in I&amp;E’s view, public utilities continue to be entitled to revenue increases provided that the utility shows its expenses were reasonably and prudently incurred and the rate increase results in just and reasonable rates.  It is clear that Columbia’s operations and capital expenditures will not stop during this pandemic and, as a result, a revenue stream that allows for the provision of safe and reliable service to all customers continues to be necessary.</w:t>
      </w:r>
      <w:r w:rsidR="0078111B" w:rsidRPr="00E9174E">
        <w:rPr>
          <w:sz w:val="26"/>
          <w:szCs w:val="26"/>
        </w:rPr>
        <w:t xml:space="preserve">  I&amp;E Exc. at </w:t>
      </w:r>
      <w:r w:rsidR="006B5A25" w:rsidRPr="00E9174E">
        <w:rPr>
          <w:sz w:val="26"/>
          <w:szCs w:val="26"/>
        </w:rPr>
        <w:t>10</w:t>
      </w:r>
      <w:r w:rsidR="008E6467" w:rsidRPr="00E9174E">
        <w:rPr>
          <w:sz w:val="26"/>
          <w:szCs w:val="26"/>
        </w:rPr>
        <w:t>.</w:t>
      </w:r>
    </w:p>
    <w:p w14:paraId="6441ACA5" w14:textId="77777777" w:rsidR="008E6467" w:rsidRPr="00E9174E" w:rsidRDefault="008E6467" w:rsidP="00E9174E">
      <w:pPr>
        <w:widowControl/>
        <w:spacing w:line="360" w:lineRule="auto"/>
        <w:ind w:firstLine="1440"/>
        <w:contextualSpacing/>
        <w:rPr>
          <w:sz w:val="26"/>
          <w:szCs w:val="26"/>
        </w:rPr>
      </w:pPr>
    </w:p>
    <w:p w14:paraId="1B3B6072" w14:textId="6B7D5D29" w:rsidR="00B52333" w:rsidRPr="00E9174E" w:rsidRDefault="00F80729" w:rsidP="00E9174E">
      <w:pPr>
        <w:widowControl/>
        <w:spacing w:line="360" w:lineRule="auto"/>
        <w:ind w:firstLine="1440"/>
        <w:contextualSpacing/>
        <w:rPr>
          <w:sz w:val="26"/>
          <w:szCs w:val="26"/>
        </w:rPr>
      </w:pPr>
      <w:r w:rsidRPr="00E9174E">
        <w:rPr>
          <w:sz w:val="26"/>
          <w:szCs w:val="26"/>
        </w:rPr>
        <w:t xml:space="preserve">I&amp;E submits that </w:t>
      </w:r>
      <w:r w:rsidR="00B52333" w:rsidRPr="00E9174E">
        <w:rPr>
          <w:sz w:val="26"/>
          <w:szCs w:val="26"/>
        </w:rPr>
        <w:t>the ALJ’s recommendation to deny Columbia a revenue increase echoes the well-meaning modifications</w:t>
      </w:r>
      <w:r w:rsidR="00320C13" w:rsidRPr="00E9174E">
        <w:rPr>
          <w:sz w:val="26"/>
          <w:szCs w:val="26"/>
        </w:rPr>
        <w:t xml:space="preserve"> recommended by the ALJs’</w:t>
      </w:r>
      <w:r w:rsidR="00B52333" w:rsidRPr="00E9174E">
        <w:rPr>
          <w:sz w:val="26"/>
          <w:szCs w:val="26"/>
        </w:rPr>
        <w:t xml:space="preserve"> to the Partial Settlement</w:t>
      </w:r>
      <w:r w:rsidR="00320C13" w:rsidRPr="00E9174E">
        <w:rPr>
          <w:sz w:val="26"/>
          <w:szCs w:val="26"/>
        </w:rPr>
        <w:t xml:space="preserve"> in the </w:t>
      </w:r>
      <w:r w:rsidR="00320C13" w:rsidRPr="00E9174E">
        <w:rPr>
          <w:i/>
          <w:iCs/>
          <w:sz w:val="26"/>
          <w:szCs w:val="26"/>
        </w:rPr>
        <w:t>PGW Rate Order</w:t>
      </w:r>
      <w:r w:rsidR="00320C13" w:rsidRPr="00E9174E">
        <w:rPr>
          <w:sz w:val="26"/>
          <w:szCs w:val="26"/>
        </w:rPr>
        <w:t xml:space="preserve"> proceeding,</w:t>
      </w:r>
      <w:r w:rsidR="00B52333" w:rsidRPr="00E9174E">
        <w:rPr>
          <w:sz w:val="26"/>
          <w:szCs w:val="26"/>
        </w:rPr>
        <w:t xml:space="preserve"> as both </w:t>
      </w:r>
      <w:r w:rsidR="00DF33F7" w:rsidRPr="00E9174E">
        <w:rPr>
          <w:sz w:val="26"/>
          <w:szCs w:val="26"/>
        </w:rPr>
        <w:t>Recommended Decisions</w:t>
      </w:r>
      <w:r w:rsidR="00B52333" w:rsidRPr="00E9174E">
        <w:rPr>
          <w:sz w:val="26"/>
          <w:szCs w:val="26"/>
        </w:rPr>
        <w:t xml:space="preserve"> take into account the economic impact of the ongoing pandemic.  However, in</w:t>
      </w:r>
      <w:r w:rsidR="00320C13" w:rsidRPr="00E9174E">
        <w:rPr>
          <w:sz w:val="26"/>
          <w:szCs w:val="26"/>
        </w:rPr>
        <w:t xml:space="preserve"> the</w:t>
      </w:r>
      <w:r w:rsidR="00B52333" w:rsidRPr="00E9174E">
        <w:rPr>
          <w:sz w:val="26"/>
          <w:szCs w:val="26"/>
        </w:rPr>
        <w:t xml:space="preserve"> </w:t>
      </w:r>
      <w:r w:rsidR="00B52333" w:rsidRPr="00E9174E">
        <w:rPr>
          <w:i/>
          <w:iCs/>
          <w:sz w:val="26"/>
          <w:szCs w:val="26"/>
        </w:rPr>
        <w:t>PGW</w:t>
      </w:r>
      <w:r w:rsidR="00320C13" w:rsidRPr="00E9174E">
        <w:rPr>
          <w:i/>
          <w:iCs/>
          <w:sz w:val="26"/>
          <w:szCs w:val="26"/>
        </w:rPr>
        <w:t xml:space="preserve"> Rate Order</w:t>
      </w:r>
      <w:r w:rsidR="00B52333" w:rsidRPr="00E9174E">
        <w:rPr>
          <w:sz w:val="26"/>
          <w:szCs w:val="26"/>
        </w:rPr>
        <w:t>, the ALJs proposed only to delay a phase-in of a rate increase</w:t>
      </w:r>
      <w:r w:rsidRPr="00E9174E">
        <w:rPr>
          <w:sz w:val="26"/>
          <w:szCs w:val="26"/>
        </w:rPr>
        <w:t>,</w:t>
      </w:r>
      <w:r w:rsidR="00B52333" w:rsidRPr="00E9174E">
        <w:rPr>
          <w:sz w:val="26"/>
          <w:szCs w:val="26"/>
        </w:rPr>
        <w:t xml:space="preserve"> while</w:t>
      </w:r>
      <w:r w:rsidRPr="00E9174E">
        <w:rPr>
          <w:sz w:val="26"/>
          <w:szCs w:val="26"/>
        </w:rPr>
        <w:t>,</w:t>
      </w:r>
      <w:r w:rsidR="00B52333" w:rsidRPr="00E9174E">
        <w:rPr>
          <w:sz w:val="26"/>
          <w:szCs w:val="26"/>
        </w:rPr>
        <w:t xml:space="preserve"> here, the ALJ denied Columbia a revenue increase entirely.  </w:t>
      </w:r>
      <w:r w:rsidR="008E6467" w:rsidRPr="00E9174E">
        <w:rPr>
          <w:sz w:val="26"/>
          <w:szCs w:val="26"/>
        </w:rPr>
        <w:t xml:space="preserve">I&amp;E Exc. at 10.  </w:t>
      </w:r>
      <w:r w:rsidR="00B52333" w:rsidRPr="00E9174E">
        <w:rPr>
          <w:sz w:val="26"/>
          <w:szCs w:val="26"/>
        </w:rPr>
        <w:t xml:space="preserve">I&amp;E </w:t>
      </w:r>
      <w:r w:rsidRPr="00E9174E">
        <w:rPr>
          <w:sz w:val="26"/>
          <w:szCs w:val="26"/>
        </w:rPr>
        <w:t xml:space="preserve">states that while it </w:t>
      </w:r>
      <w:r w:rsidR="00B52333" w:rsidRPr="00E9174E">
        <w:rPr>
          <w:sz w:val="26"/>
          <w:szCs w:val="26"/>
        </w:rPr>
        <w:t xml:space="preserve">understands and appreciates the factors considered by the ALJ in the </w:t>
      </w:r>
      <w:r w:rsidR="00AB230A" w:rsidRPr="00E9174E">
        <w:rPr>
          <w:sz w:val="26"/>
          <w:szCs w:val="26"/>
        </w:rPr>
        <w:t>instant proceeding,</w:t>
      </w:r>
      <w:r w:rsidR="00B52333" w:rsidRPr="00E9174E">
        <w:rPr>
          <w:sz w:val="26"/>
          <w:szCs w:val="26"/>
        </w:rPr>
        <w:t xml:space="preserve"> the denial of a rate increase is significant.  </w:t>
      </w:r>
      <w:r w:rsidR="00461D63" w:rsidRPr="00E9174E">
        <w:rPr>
          <w:sz w:val="26"/>
          <w:szCs w:val="26"/>
        </w:rPr>
        <w:t xml:space="preserve">I&amp;E Exc. at 10-11.  </w:t>
      </w:r>
      <w:r w:rsidR="00B52333" w:rsidRPr="00E9174E">
        <w:rPr>
          <w:sz w:val="26"/>
          <w:szCs w:val="26"/>
        </w:rPr>
        <w:t>Columbia is tasked to provide safe and reliable service to its customers and</w:t>
      </w:r>
      <w:r w:rsidR="0048712C" w:rsidRPr="00E9174E">
        <w:rPr>
          <w:sz w:val="26"/>
          <w:szCs w:val="26"/>
        </w:rPr>
        <w:t xml:space="preserve">, according to I&amp;E, </w:t>
      </w:r>
      <w:r w:rsidR="00B52333" w:rsidRPr="00E9174E">
        <w:rPr>
          <w:sz w:val="26"/>
          <w:szCs w:val="26"/>
        </w:rPr>
        <w:t xml:space="preserve">denying a revenue increase may jeopardize its efforts.  Accordingly, I&amp;E believes that it is within the public interest for Columbia to receive a revenue increase.  </w:t>
      </w:r>
      <w:r w:rsidR="00461D63" w:rsidRPr="00E9174E">
        <w:rPr>
          <w:sz w:val="26"/>
          <w:szCs w:val="26"/>
        </w:rPr>
        <w:t>I&amp;E Exc. at 11.</w:t>
      </w:r>
    </w:p>
    <w:p w14:paraId="04B3675D" w14:textId="601D59AD" w:rsidR="00BC4DFE" w:rsidRPr="00E9174E" w:rsidRDefault="00CA577C" w:rsidP="00E9174E">
      <w:pPr>
        <w:pStyle w:val="BodyText2"/>
        <w:widowControl/>
        <w:spacing w:after="0" w:line="360" w:lineRule="auto"/>
        <w:ind w:firstLine="1440"/>
        <w:contextualSpacing/>
        <w:rPr>
          <w:sz w:val="26"/>
          <w:szCs w:val="26"/>
        </w:rPr>
      </w:pPr>
      <w:r w:rsidRPr="00E9174E">
        <w:rPr>
          <w:sz w:val="26"/>
          <w:szCs w:val="26"/>
        </w:rPr>
        <w:lastRenderedPageBreak/>
        <w:t xml:space="preserve">In its Replies, the OCA disputes I&amp;E’s argument that </w:t>
      </w:r>
      <w:r w:rsidR="00737F6D" w:rsidRPr="00E9174E">
        <w:rPr>
          <w:sz w:val="26"/>
          <w:szCs w:val="26"/>
        </w:rPr>
        <w:t xml:space="preserve">the COVID-19 pandemic has no effect on just and reasonable rates under the constitutional standards </w:t>
      </w:r>
      <w:r w:rsidR="00B06FCD" w:rsidRPr="00E9174E">
        <w:rPr>
          <w:sz w:val="26"/>
          <w:szCs w:val="26"/>
        </w:rPr>
        <w:t xml:space="preserve">set out in </w:t>
      </w:r>
      <w:r w:rsidR="00B06FCD" w:rsidRPr="00E9174E">
        <w:rPr>
          <w:i/>
          <w:iCs/>
          <w:sz w:val="26"/>
          <w:szCs w:val="26"/>
        </w:rPr>
        <w:t>Bluefield</w:t>
      </w:r>
      <w:r w:rsidR="00B06FCD" w:rsidRPr="00E9174E">
        <w:rPr>
          <w:sz w:val="26"/>
          <w:szCs w:val="26"/>
        </w:rPr>
        <w:t xml:space="preserve"> and </w:t>
      </w:r>
      <w:r w:rsidR="00B06FCD" w:rsidRPr="00E9174E">
        <w:rPr>
          <w:i/>
          <w:iCs/>
          <w:sz w:val="26"/>
          <w:szCs w:val="26"/>
        </w:rPr>
        <w:t>Hope Natural Gas</w:t>
      </w:r>
      <w:r w:rsidR="00B06FCD" w:rsidRPr="00E9174E">
        <w:rPr>
          <w:sz w:val="26"/>
          <w:szCs w:val="26"/>
        </w:rPr>
        <w:t xml:space="preserve">.  </w:t>
      </w:r>
      <w:r w:rsidR="00F80729" w:rsidRPr="00E9174E">
        <w:rPr>
          <w:sz w:val="26"/>
          <w:szCs w:val="26"/>
        </w:rPr>
        <w:t xml:space="preserve">The </w:t>
      </w:r>
      <w:r w:rsidR="008B0D47" w:rsidRPr="00E9174E">
        <w:rPr>
          <w:sz w:val="26"/>
          <w:szCs w:val="26"/>
        </w:rPr>
        <w:t>OCA argues that, t</w:t>
      </w:r>
      <w:r w:rsidR="001D0553" w:rsidRPr="00E9174E">
        <w:rPr>
          <w:sz w:val="26"/>
          <w:szCs w:val="26"/>
        </w:rPr>
        <w:t xml:space="preserve">o the contrary, traditional ratemaking standards require a balance between the interests of all relevant sectors of the public and, in doing so, regulators must factor in the changes in market forces and the economy. </w:t>
      </w:r>
      <w:r w:rsidR="00E167F5" w:rsidRPr="00E9174E">
        <w:rPr>
          <w:sz w:val="26"/>
          <w:szCs w:val="26"/>
        </w:rPr>
        <w:t xml:space="preserve"> </w:t>
      </w:r>
      <w:r w:rsidR="001D0553" w:rsidRPr="00E9174E">
        <w:rPr>
          <w:sz w:val="26"/>
          <w:szCs w:val="26"/>
        </w:rPr>
        <w:t>OCA R. Exc. at 5 (citing OCA M.B. at 26; OCA R.B. at 14-15; OCA St. 1 at</w:t>
      </w:r>
      <w:r w:rsidR="004E5FF4">
        <w:rPr>
          <w:sz w:val="26"/>
          <w:szCs w:val="26"/>
        </w:rPr>
        <w:t> </w:t>
      </w:r>
      <w:r w:rsidR="001D0553" w:rsidRPr="00E9174E">
        <w:rPr>
          <w:sz w:val="26"/>
          <w:szCs w:val="26"/>
        </w:rPr>
        <w:t xml:space="preserve">5, 9). </w:t>
      </w:r>
      <w:r w:rsidR="006E42B4" w:rsidRPr="00E9174E">
        <w:rPr>
          <w:sz w:val="26"/>
          <w:szCs w:val="26"/>
        </w:rPr>
        <w:t xml:space="preserve"> The OCA highlights the testimony of its witness, </w:t>
      </w:r>
      <w:r w:rsidR="00AE0DAE" w:rsidRPr="00E9174E">
        <w:rPr>
          <w:sz w:val="26"/>
          <w:szCs w:val="26"/>
        </w:rPr>
        <w:t xml:space="preserve">Mr. </w:t>
      </w:r>
      <w:r w:rsidR="006E42B4" w:rsidRPr="00E9174E">
        <w:rPr>
          <w:sz w:val="26"/>
          <w:szCs w:val="26"/>
        </w:rPr>
        <w:t>Scott Rubin</w:t>
      </w:r>
      <w:r w:rsidR="00AE0DAE" w:rsidRPr="00E9174E">
        <w:rPr>
          <w:sz w:val="26"/>
          <w:szCs w:val="26"/>
        </w:rPr>
        <w:t>, who</w:t>
      </w:r>
      <w:r w:rsidR="006E42B4" w:rsidRPr="00E9174E">
        <w:rPr>
          <w:sz w:val="26"/>
          <w:szCs w:val="26"/>
        </w:rPr>
        <w:t xml:space="preserve"> testified</w:t>
      </w:r>
      <w:r w:rsidR="00BC4DFE" w:rsidRPr="00E9174E">
        <w:rPr>
          <w:sz w:val="26"/>
          <w:szCs w:val="26"/>
        </w:rPr>
        <w:t xml:space="preserve"> as follows</w:t>
      </w:r>
      <w:r w:rsidR="006E42B4" w:rsidRPr="00E9174E">
        <w:rPr>
          <w:sz w:val="26"/>
          <w:szCs w:val="26"/>
        </w:rPr>
        <w:t xml:space="preserve">: </w:t>
      </w:r>
    </w:p>
    <w:p w14:paraId="62A53B8D" w14:textId="77777777" w:rsidR="00BC4DFE" w:rsidRPr="00E9174E" w:rsidRDefault="00BC4DFE" w:rsidP="00E9174E">
      <w:pPr>
        <w:pStyle w:val="BodyText2"/>
        <w:widowControl/>
        <w:spacing w:after="0" w:line="240" w:lineRule="auto"/>
        <w:contextualSpacing/>
        <w:rPr>
          <w:sz w:val="26"/>
          <w:szCs w:val="26"/>
        </w:rPr>
      </w:pPr>
    </w:p>
    <w:p w14:paraId="7B044AAA" w14:textId="4E68165C" w:rsidR="00BC4DFE" w:rsidRPr="00E9174E" w:rsidRDefault="006E42B4" w:rsidP="00E9174E">
      <w:pPr>
        <w:pStyle w:val="BodyText2"/>
        <w:widowControl/>
        <w:spacing w:after="0" w:line="240" w:lineRule="auto"/>
        <w:ind w:left="1440" w:right="1440"/>
        <w:contextualSpacing/>
        <w:rPr>
          <w:sz w:val="26"/>
          <w:szCs w:val="26"/>
        </w:rPr>
      </w:pPr>
      <w:r w:rsidRPr="00E9174E">
        <w:rPr>
          <w:sz w:val="26"/>
          <w:szCs w:val="26"/>
        </w:rPr>
        <w:t>“</w:t>
      </w:r>
      <w:r w:rsidR="00BC4DFE" w:rsidRPr="00E9174E">
        <w:rPr>
          <w:sz w:val="26"/>
          <w:szCs w:val="26"/>
        </w:rPr>
        <w:t>I</w:t>
      </w:r>
      <w:r w:rsidRPr="00E9174E">
        <w:rPr>
          <w:sz w:val="26"/>
          <w:szCs w:val="26"/>
        </w:rPr>
        <w:t xml:space="preserve">f regulation is supposed to be a substitute for market forces, then we must recognize that except for those commodities experiencing significant imbalances of supply and demand due to the pandemic, competitive businesses cannot sustainably raise prices when their customers’ incomes have decreased significantly…Simply stated, what may have been a “just and reasonable” rate earlier this year may be unreasonable today.” </w:t>
      </w:r>
    </w:p>
    <w:p w14:paraId="4DD333DB" w14:textId="77777777" w:rsidR="003841E2" w:rsidRPr="00E9174E" w:rsidRDefault="003841E2" w:rsidP="00E9174E">
      <w:pPr>
        <w:pStyle w:val="BodyText2"/>
        <w:widowControl/>
        <w:spacing w:after="0" w:line="360" w:lineRule="auto"/>
        <w:contextualSpacing/>
        <w:rPr>
          <w:sz w:val="26"/>
          <w:szCs w:val="26"/>
        </w:rPr>
      </w:pPr>
    </w:p>
    <w:p w14:paraId="69C7CA02" w14:textId="3F7BDE5F" w:rsidR="00AA0E29" w:rsidRPr="00E9174E" w:rsidRDefault="00AA0E29" w:rsidP="00E9174E">
      <w:pPr>
        <w:pStyle w:val="BodyText2"/>
        <w:widowControl/>
        <w:spacing w:after="0" w:line="360" w:lineRule="auto"/>
        <w:contextualSpacing/>
        <w:rPr>
          <w:sz w:val="26"/>
          <w:szCs w:val="26"/>
        </w:rPr>
      </w:pPr>
      <w:r w:rsidRPr="00E9174E">
        <w:rPr>
          <w:sz w:val="26"/>
          <w:szCs w:val="26"/>
        </w:rPr>
        <w:t xml:space="preserve">OCA R. Exc. at </w:t>
      </w:r>
      <w:r w:rsidR="00AE0DAE" w:rsidRPr="00E9174E">
        <w:rPr>
          <w:sz w:val="26"/>
          <w:szCs w:val="26"/>
        </w:rPr>
        <w:t>5, n.7 (citing OCA St. 1 at 9).</w:t>
      </w:r>
    </w:p>
    <w:p w14:paraId="0E0EC62B" w14:textId="77777777" w:rsidR="00534002" w:rsidRPr="00E9174E" w:rsidRDefault="00534002" w:rsidP="00E9174E">
      <w:pPr>
        <w:pStyle w:val="BodyText2"/>
        <w:widowControl/>
        <w:spacing w:after="0" w:line="360" w:lineRule="auto"/>
        <w:contextualSpacing/>
        <w:rPr>
          <w:sz w:val="26"/>
          <w:szCs w:val="26"/>
        </w:rPr>
      </w:pPr>
    </w:p>
    <w:p w14:paraId="0E6D0799" w14:textId="4036B84E" w:rsidR="001D7315" w:rsidRPr="00E9174E" w:rsidRDefault="00934266" w:rsidP="00E9174E">
      <w:pPr>
        <w:pStyle w:val="BodyText2"/>
        <w:widowControl/>
        <w:spacing w:after="0" w:line="360" w:lineRule="auto"/>
        <w:ind w:firstLine="1440"/>
        <w:contextualSpacing/>
        <w:rPr>
          <w:sz w:val="26"/>
          <w:szCs w:val="26"/>
        </w:rPr>
      </w:pPr>
      <w:r w:rsidRPr="00E9174E">
        <w:rPr>
          <w:sz w:val="26"/>
          <w:szCs w:val="26"/>
        </w:rPr>
        <w:t xml:space="preserve">The </w:t>
      </w:r>
      <w:r w:rsidR="00BF63DA" w:rsidRPr="00E9174E">
        <w:rPr>
          <w:sz w:val="26"/>
          <w:szCs w:val="26"/>
        </w:rPr>
        <w:t>OCA submits that I&amp;E</w:t>
      </w:r>
      <w:r w:rsidR="00DA79C4" w:rsidRPr="00E9174E">
        <w:rPr>
          <w:sz w:val="26"/>
          <w:szCs w:val="26"/>
        </w:rPr>
        <w:t xml:space="preserve"> presents a </w:t>
      </w:r>
      <w:r w:rsidR="00D218A5" w:rsidRPr="00E9174E">
        <w:rPr>
          <w:sz w:val="26"/>
          <w:szCs w:val="26"/>
        </w:rPr>
        <w:t>meritless</w:t>
      </w:r>
      <w:r w:rsidR="00DA79C4" w:rsidRPr="00E9174E">
        <w:rPr>
          <w:sz w:val="26"/>
          <w:szCs w:val="26"/>
        </w:rPr>
        <w:t xml:space="preserve"> argument in its Exception that the Commission should reject</w:t>
      </w:r>
      <w:r w:rsidR="00B2689F" w:rsidRPr="00E9174E">
        <w:rPr>
          <w:sz w:val="26"/>
          <w:szCs w:val="26"/>
        </w:rPr>
        <w:t>.  S</w:t>
      </w:r>
      <w:r w:rsidR="00DA79C4" w:rsidRPr="00E9174E">
        <w:rPr>
          <w:sz w:val="26"/>
          <w:szCs w:val="26"/>
        </w:rPr>
        <w:t xml:space="preserve">pecifically, </w:t>
      </w:r>
      <w:r w:rsidR="002B29E6" w:rsidRPr="00E9174E">
        <w:rPr>
          <w:sz w:val="26"/>
          <w:szCs w:val="26"/>
        </w:rPr>
        <w:t xml:space="preserve">the </w:t>
      </w:r>
      <w:r w:rsidR="00B2689F" w:rsidRPr="00E9174E">
        <w:rPr>
          <w:sz w:val="26"/>
          <w:szCs w:val="26"/>
        </w:rPr>
        <w:t>OCA rejects the</w:t>
      </w:r>
      <w:r w:rsidR="00DA79C4" w:rsidRPr="00E9174E">
        <w:rPr>
          <w:sz w:val="26"/>
          <w:szCs w:val="26"/>
        </w:rPr>
        <w:t xml:space="preserve"> argument that</w:t>
      </w:r>
      <w:r w:rsidR="00BF63DA" w:rsidRPr="00E9174E">
        <w:rPr>
          <w:sz w:val="26"/>
          <w:szCs w:val="26"/>
        </w:rPr>
        <w:t xml:space="preserve"> the Commission’s</w:t>
      </w:r>
      <w:r w:rsidR="005367F5" w:rsidRPr="00E9174E">
        <w:rPr>
          <w:sz w:val="26"/>
          <w:szCs w:val="26"/>
        </w:rPr>
        <w:t xml:space="preserve"> </w:t>
      </w:r>
      <w:r w:rsidR="00601594" w:rsidRPr="00E9174E">
        <w:rPr>
          <w:sz w:val="26"/>
          <w:szCs w:val="26"/>
        </w:rPr>
        <w:t xml:space="preserve">rejection of the ALJ’s modifications to </w:t>
      </w:r>
      <w:r w:rsidR="00B2689F" w:rsidRPr="00E9174E">
        <w:rPr>
          <w:sz w:val="26"/>
          <w:szCs w:val="26"/>
        </w:rPr>
        <w:t xml:space="preserve">the </w:t>
      </w:r>
      <w:r w:rsidR="00601594" w:rsidRPr="00E9174E">
        <w:rPr>
          <w:sz w:val="26"/>
          <w:szCs w:val="26"/>
        </w:rPr>
        <w:t>settlements</w:t>
      </w:r>
      <w:r w:rsidR="00B2689F" w:rsidRPr="00E9174E">
        <w:rPr>
          <w:sz w:val="26"/>
          <w:szCs w:val="26"/>
        </w:rPr>
        <w:t xml:space="preserve"> in the</w:t>
      </w:r>
      <w:r w:rsidR="00601594" w:rsidRPr="00E9174E">
        <w:rPr>
          <w:sz w:val="26"/>
          <w:szCs w:val="26"/>
        </w:rPr>
        <w:t xml:space="preserve"> </w:t>
      </w:r>
      <w:r w:rsidR="00B2689F" w:rsidRPr="00E9174E">
        <w:rPr>
          <w:i/>
          <w:iCs/>
          <w:sz w:val="26"/>
          <w:szCs w:val="26"/>
        </w:rPr>
        <w:t xml:space="preserve">PGW, </w:t>
      </w:r>
      <w:r w:rsidR="00B2689F" w:rsidRPr="00E9174E">
        <w:rPr>
          <w:sz w:val="26"/>
          <w:szCs w:val="26"/>
        </w:rPr>
        <w:t xml:space="preserve">the </w:t>
      </w:r>
      <w:r w:rsidR="00B2689F" w:rsidRPr="00E9174E">
        <w:rPr>
          <w:i/>
          <w:iCs/>
          <w:sz w:val="26"/>
          <w:szCs w:val="26"/>
        </w:rPr>
        <w:t xml:space="preserve">UGI Gas, </w:t>
      </w:r>
      <w:r w:rsidR="00B2689F" w:rsidRPr="00E9174E">
        <w:rPr>
          <w:sz w:val="26"/>
          <w:szCs w:val="26"/>
        </w:rPr>
        <w:t xml:space="preserve">and the </w:t>
      </w:r>
      <w:r w:rsidR="00B2689F" w:rsidRPr="00E9174E">
        <w:rPr>
          <w:i/>
          <w:iCs/>
          <w:sz w:val="26"/>
          <w:szCs w:val="26"/>
        </w:rPr>
        <w:t>PWSA Rate Orders</w:t>
      </w:r>
      <w:r w:rsidR="00601594" w:rsidRPr="00E9174E">
        <w:rPr>
          <w:i/>
          <w:sz w:val="26"/>
          <w:szCs w:val="26"/>
        </w:rPr>
        <w:t xml:space="preserve"> </w:t>
      </w:r>
      <w:r w:rsidR="00DA79C4" w:rsidRPr="00E9174E">
        <w:rPr>
          <w:sz w:val="26"/>
          <w:szCs w:val="26"/>
        </w:rPr>
        <w:t xml:space="preserve">mean that the Commission </w:t>
      </w:r>
      <w:r w:rsidR="009B3D88" w:rsidRPr="00E9174E">
        <w:rPr>
          <w:sz w:val="26"/>
          <w:szCs w:val="26"/>
        </w:rPr>
        <w:t>cannot</w:t>
      </w:r>
      <w:r w:rsidR="00927DE1" w:rsidRPr="00E9174E">
        <w:rPr>
          <w:sz w:val="26"/>
          <w:szCs w:val="26"/>
        </w:rPr>
        <w:t>,</w:t>
      </w:r>
      <w:r w:rsidR="009B3D88" w:rsidRPr="00E9174E">
        <w:rPr>
          <w:sz w:val="26"/>
          <w:szCs w:val="26"/>
        </w:rPr>
        <w:t xml:space="preserve"> nor </w:t>
      </w:r>
      <w:r w:rsidR="00DA79C4" w:rsidRPr="00E9174E">
        <w:rPr>
          <w:sz w:val="26"/>
          <w:szCs w:val="26"/>
        </w:rPr>
        <w:t>does not</w:t>
      </w:r>
      <w:r w:rsidR="00927DE1" w:rsidRPr="00E9174E">
        <w:rPr>
          <w:sz w:val="26"/>
          <w:szCs w:val="26"/>
        </w:rPr>
        <w:t>,</w:t>
      </w:r>
      <w:r w:rsidR="00DA79C4" w:rsidRPr="00E9174E">
        <w:rPr>
          <w:sz w:val="26"/>
          <w:szCs w:val="26"/>
        </w:rPr>
        <w:t xml:space="preserve"> factor the COVID-19 pandemic into the traditional ratemaking model </w:t>
      </w:r>
      <w:r w:rsidR="006028A7" w:rsidRPr="00E9174E">
        <w:rPr>
          <w:sz w:val="26"/>
          <w:szCs w:val="26"/>
        </w:rPr>
        <w:t xml:space="preserve">because it </w:t>
      </w:r>
      <w:r w:rsidR="00DA79C4" w:rsidRPr="00E9174E">
        <w:rPr>
          <w:sz w:val="26"/>
          <w:szCs w:val="26"/>
        </w:rPr>
        <w:t xml:space="preserve">would interfere with </w:t>
      </w:r>
      <w:r w:rsidR="00F30923" w:rsidRPr="00E9174E">
        <w:rPr>
          <w:sz w:val="26"/>
          <w:szCs w:val="26"/>
        </w:rPr>
        <w:t>PGW’s</w:t>
      </w:r>
      <w:r w:rsidR="006028A7" w:rsidRPr="00E9174E">
        <w:rPr>
          <w:sz w:val="26"/>
          <w:szCs w:val="26"/>
        </w:rPr>
        <w:t xml:space="preserve"> </w:t>
      </w:r>
      <w:r w:rsidR="00DA79C4" w:rsidRPr="00E9174E">
        <w:rPr>
          <w:sz w:val="26"/>
          <w:szCs w:val="26"/>
        </w:rPr>
        <w:t>financial ability to provide safe, efficient, and adequate service to its customers.</w:t>
      </w:r>
      <w:r w:rsidRPr="00E9174E">
        <w:rPr>
          <w:sz w:val="26"/>
          <w:szCs w:val="26"/>
        </w:rPr>
        <w:t xml:space="preserve"> </w:t>
      </w:r>
      <w:r w:rsidR="00DA79C4" w:rsidRPr="00E9174E">
        <w:rPr>
          <w:sz w:val="26"/>
          <w:szCs w:val="26"/>
        </w:rPr>
        <w:t xml:space="preserve"> </w:t>
      </w:r>
      <w:r w:rsidR="00B51634" w:rsidRPr="00E9174E">
        <w:rPr>
          <w:sz w:val="26"/>
          <w:szCs w:val="26"/>
        </w:rPr>
        <w:t xml:space="preserve">OCA </w:t>
      </w:r>
      <w:r w:rsidR="000019B1" w:rsidRPr="00E9174E">
        <w:rPr>
          <w:sz w:val="26"/>
          <w:szCs w:val="26"/>
        </w:rPr>
        <w:t>R</w:t>
      </w:r>
      <w:r w:rsidR="00B51634" w:rsidRPr="00E9174E">
        <w:rPr>
          <w:sz w:val="26"/>
          <w:szCs w:val="26"/>
        </w:rPr>
        <w:t xml:space="preserve">. Exc. at </w:t>
      </w:r>
      <w:r w:rsidR="00D218A5" w:rsidRPr="00E9174E">
        <w:rPr>
          <w:sz w:val="26"/>
          <w:szCs w:val="26"/>
        </w:rPr>
        <w:t>5-</w:t>
      </w:r>
      <w:r w:rsidR="00B51634" w:rsidRPr="00E9174E">
        <w:rPr>
          <w:sz w:val="26"/>
          <w:szCs w:val="26"/>
        </w:rPr>
        <w:t>6.</w:t>
      </w:r>
      <w:r w:rsidRPr="00E9174E">
        <w:rPr>
          <w:sz w:val="26"/>
          <w:szCs w:val="26"/>
        </w:rPr>
        <w:t xml:space="preserve"> </w:t>
      </w:r>
      <w:r w:rsidR="00F807FD" w:rsidRPr="00E9174E">
        <w:rPr>
          <w:sz w:val="26"/>
          <w:szCs w:val="26"/>
        </w:rPr>
        <w:t xml:space="preserve"> The OCA points out that, in</w:t>
      </w:r>
      <w:r w:rsidR="00320C13" w:rsidRPr="00E9174E">
        <w:rPr>
          <w:sz w:val="26"/>
          <w:szCs w:val="26"/>
        </w:rPr>
        <w:t xml:space="preserve"> the</w:t>
      </w:r>
      <w:r w:rsidR="00F807FD" w:rsidRPr="00E9174E">
        <w:rPr>
          <w:sz w:val="26"/>
          <w:szCs w:val="26"/>
        </w:rPr>
        <w:t xml:space="preserve"> </w:t>
      </w:r>
      <w:r w:rsidR="00F807FD" w:rsidRPr="00E9174E">
        <w:rPr>
          <w:i/>
          <w:iCs/>
          <w:sz w:val="26"/>
          <w:szCs w:val="26"/>
        </w:rPr>
        <w:t>P</w:t>
      </w:r>
      <w:bookmarkStart w:id="69" w:name="_BA_Cite_0CCD6D_000049"/>
      <w:bookmarkEnd w:id="69"/>
      <w:r w:rsidR="00F807FD" w:rsidRPr="00E9174E">
        <w:rPr>
          <w:i/>
          <w:iCs/>
          <w:sz w:val="26"/>
          <w:szCs w:val="26"/>
        </w:rPr>
        <w:t>GW</w:t>
      </w:r>
      <w:r w:rsidR="00320C13" w:rsidRPr="00E9174E">
        <w:rPr>
          <w:i/>
          <w:iCs/>
          <w:sz w:val="26"/>
          <w:szCs w:val="26"/>
        </w:rPr>
        <w:t xml:space="preserve"> Rate Order</w:t>
      </w:r>
      <w:r w:rsidR="00F807FD" w:rsidRPr="00E9174E">
        <w:rPr>
          <w:sz w:val="26"/>
          <w:szCs w:val="26"/>
        </w:rPr>
        <w:t xml:space="preserve">, the Commission rejected the ALJs’ modifications of the partial settlement because the parties to the partial settlement persuasively urged the Commission “that the many benefits of the Partial Settlement represent a fair compromise of the Parties’ respective positions and an accord that is consistent with the public interest” and the ALJs’ postponement of the three phased-in rate implementation dates was “not warranted or </w:t>
      </w:r>
      <w:r w:rsidR="00F807FD" w:rsidRPr="00E9174E">
        <w:rPr>
          <w:sz w:val="26"/>
          <w:szCs w:val="26"/>
        </w:rPr>
        <w:lastRenderedPageBreak/>
        <w:t xml:space="preserve">advisable.”  </w:t>
      </w:r>
      <w:r w:rsidR="00F807FD" w:rsidRPr="00E9174E">
        <w:rPr>
          <w:i/>
          <w:iCs/>
          <w:sz w:val="26"/>
          <w:szCs w:val="26"/>
        </w:rPr>
        <w:t>PGW</w:t>
      </w:r>
      <w:r w:rsidR="00320C13" w:rsidRPr="00E9174E">
        <w:rPr>
          <w:i/>
          <w:iCs/>
          <w:sz w:val="26"/>
          <w:szCs w:val="26"/>
        </w:rPr>
        <w:t xml:space="preserve"> Rate</w:t>
      </w:r>
      <w:r w:rsidR="00F807FD" w:rsidRPr="00E9174E">
        <w:rPr>
          <w:i/>
          <w:iCs/>
          <w:sz w:val="26"/>
          <w:szCs w:val="26"/>
        </w:rPr>
        <w:t xml:space="preserve"> Order</w:t>
      </w:r>
      <w:r w:rsidR="00F807FD" w:rsidRPr="00E9174E">
        <w:rPr>
          <w:sz w:val="26"/>
          <w:szCs w:val="26"/>
        </w:rPr>
        <w:t xml:space="preserve"> at 66</w:t>
      </w:r>
      <w:bookmarkStart w:id="70" w:name="_BA_Cite_0CCD6D_000097"/>
      <w:bookmarkStart w:id="71" w:name="_BA_Cite_0CCD6D_000051"/>
      <w:bookmarkEnd w:id="70"/>
      <w:bookmarkEnd w:id="71"/>
      <w:r w:rsidR="00F30923" w:rsidRPr="00E9174E">
        <w:rPr>
          <w:sz w:val="26"/>
          <w:szCs w:val="26"/>
        </w:rPr>
        <w:t xml:space="preserve">; OCA R. Exc. at </w:t>
      </w:r>
      <w:r w:rsidR="00B51634" w:rsidRPr="00E9174E">
        <w:rPr>
          <w:sz w:val="26"/>
          <w:szCs w:val="26"/>
        </w:rPr>
        <w:t>6, n. 8.</w:t>
      </w:r>
      <w:r w:rsidR="008B001E" w:rsidRPr="00E9174E">
        <w:rPr>
          <w:sz w:val="26"/>
          <w:szCs w:val="26"/>
        </w:rPr>
        <w:t xml:space="preserve">  The OCA acknowledges that while the Commission agreed with PGW that the ALJs’ recommended modifications to the partial settlement to delay the agreed-upon phase-in for an additional six months would have negative impacts on PGW’s financial metrics and ability to pay its bills, the modifications were rejected by the Commission because the partial settlement reached was a compromise between the parties and in the public interest and the Commission did not want to disturb the settlement and possibly contravene its own policy statement encouraging settlements</w:t>
      </w:r>
      <w:r w:rsidR="002E76DB" w:rsidRPr="00E9174E">
        <w:rPr>
          <w:sz w:val="26"/>
          <w:szCs w:val="26"/>
        </w:rPr>
        <w:t>.  OCA R. Exc. at 6.</w:t>
      </w:r>
      <w:r w:rsidR="00A474CA" w:rsidRPr="00E9174E">
        <w:rPr>
          <w:sz w:val="26"/>
          <w:szCs w:val="26"/>
        </w:rPr>
        <w:t xml:space="preserve"> </w:t>
      </w:r>
      <w:r w:rsidR="00320C13" w:rsidRPr="00E9174E">
        <w:rPr>
          <w:sz w:val="26"/>
          <w:szCs w:val="26"/>
        </w:rPr>
        <w:t xml:space="preserve"> The</w:t>
      </w:r>
      <w:r w:rsidR="00A474CA" w:rsidRPr="00E9174E">
        <w:rPr>
          <w:sz w:val="26"/>
          <w:szCs w:val="26"/>
        </w:rPr>
        <w:t xml:space="preserve"> </w:t>
      </w:r>
      <w:bookmarkStart w:id="72" w:name="_BA_Cite_0CCD6D_000053"/>
      <w:bookmarkEnd w:id="72"/>
      <w:r w:rsidR="00D530DC" w:rsidRPr="00E9174E">
        <w:rPr>
          <w:i/>
          <w:iCs/>
          <w:sz w:val="26"/>
          <w:szCs w:val="26"/>
        </w:rPr>
        <w:t>P</w:t>
      </w:r>
      <w:r w:rsidR="00A474CA" w:rsidRPr="00E9174E">
        <w:rPr>
          <w:i/>
          <w:iCs/>
          <w:sz w:val="26"/>
          <w:szCs w:val="26"/>
        </w:rPr>
        <w:t>GW</w:t>
      </w:r>
      <w:r w:rsidR="00320C13" w:rsidRPr="00E9174E">
        <w:rPr>
          <w:i/>
          <w:iCs/>
          <w:sz w:val="26"/>
          <w:szCs w:val="26"/>
        </w:rPr>
        <w:t xml:space="preserve"> Rate Order</w:t>
      </w:r>
      <w:r w:rsidR="00A474CA" w:rsidRPr="00E9174E">
        <w:rPr>
          <w:i/>
          <w:iCs/>
          <w:sz w:val="26"/>
          <w:szCs w:val="26"/>
        </w:rPr>
        <w:t xml:space="preserve"> </w:t>
      </w:r>
      <w:r w:rsidR="00A474CA" w:rsidRPr="00E9174E">
        <w:rPr>
          <w:sz w:val="26"/>
          <w:szCs w:val="26"/>
        </w:rPr>
        <w:t xml:space="preserve">provided: “[t]he scale of settlement was well-balanced and is supported by substantial evidence of record. </w:t>
      </w:r>
      <w:r w:rsidR="004B64B0" w:rsidRPr="00E9174E">
        <w:rPr>
          <w:sz w:val="26"/>
          <w:szCs w:val="26"/>
        </w:rPr>
        <w:t xml:space="preserve"> </w:t>
      </w:r>
      <w:r w:rsidR="00A474CA" w:rsidRPr="00E9174E">
        <w:rPr>
          <w:sz w:val="26"/>
          <w:szCs w:val="26"/>
        </w:rPr>
        <w:t>We decline to upset that careful balance reached by stakeholders representing all of the varied interests.”</w:t>
      </w:r>
      <w:r w:rsidR="004B64B0" w:rsidRPr="00E9174E">
        <w:rPr>
          <w:sz w:val="26"/>
          <w:szCs w:val="26"/>
        </w:rPr>
        <w:t xml:space="preserve"> </w:t>
      </w:r>
      <w:r w:rsidR="00A474CA" w:rsidRPr="00E9174E">
        <w:rPr>
          <w:sz w:val="26"/>
          <w:szCs w:val="26"/>
        </w:rPr>
        <w:t xml:space="preserve"> </w:t>
      </w:r>
      <w:r w:rsidR="00A474CA" w:rsidRPr="00E9174E">
        <w:rPr>
          <w:i/>
          <w:iCs/>
          <w:sz w:val="26"/>
          <w:szCs w:val="26"/>
        </w:rPr>
        <w:t>P</w:t>
      </w:r>
      <w:bookmarkStart w:id="73" w:name="_BA_Cite_0CCD6D_000054"/>
      <w:bookmarkEnd w:id="73"/>
      <w:r w:rsidR="00A474CA" w:rsidRPr="00E9174E">
        <w:rPr>
          <w:i/>
          <w:iCs/>
          <w:sz w:val="26"/>
          <w:szCs w:val="26"/>
        </w:rPr>
        <w:t>GW</w:t>
      </w:r>
      <w:r w:rsidR="00320C13" w:rsidRPr="00E9174E">
        <w:rPr>
          <w:i/>
          <w:iCs/>
          <w:sz w:val="26"/>
          <w:szCs w:val="26"/>
        </w:rPr>
        <w:t xml:space="preserve"> Rate Order</w:t>
      </w:r>
      <w:r w:rsidR="00A474CA" w:rsidRPr="00E9174E">
        <w:rPr>
          <w:i/>
          <w:iCs/>
          <w:sz w:val="26"/>
          <w:szCs w:val="26"/>
        </w:rPr>
        <w:t xml:space="preserve"> </w:t>
      </w:r>
      <w:r w:rsidR="00A474CA" w:rsidRPr="00E9174E">
        <w:rPr>
          <w:sz w:val="26"/>
          <w:szCs w:val="26"/>
        </w:rPr>
        <w:t>at 70-71.</w:t>
      </w:r>
      <w:r w:rsidR="00D530DC" w:rsidRPr="00E9174E">
        <w:rPr>
          <w:sz w:val="26"/>
          <w:szCs w:val="26"/>
        </w:rPr>
        <w:t xml:space="preserve"> </w:t>
      </w:r>
      <w:r w:rsidR="00D5215B" w:rsidRPr="00E9174E">
        <w:rPr>
          <w:sz w:val="26"/>
          <w:szCs w:val="26"/>
        </w:rPr>
        <w:t xml:space="preserve"> Furthermore, the OCA notes that in both</w:t>
      </w:r>
      <w:r w:rsidR="00320C13" w:rsidRPr="00E9174E">
        <w:rPr>
          <w:sz w:val="26"/>
          <w:szCs w:val="26"/>
        </w:rPr>
        <w:t xml:space="preserve"> the</w:t>
      </w:r>
      <w:r w:rsidR="00D5215B" w:rsidRPr="00E9174E">
        <w:rPr>
          <w:sz w:val="26"/>
          <w:szCs w:val="26"/>
        </w:rPr>
        <w:t xml:space="preserve"> </w:t>
      </w:r>
      <w:r w:rsidR="00D5215B" w:rsidRPr="00E9174E">
        <w:rPr>
          <w:i/>
          <w:iCs/>
          <w:sz w:val="26"/>
          <w:szCs w:val="26"/>
        </w:rPr>
        <w:t>U</w:t>
      </w:r>
      <w:bookmarkStart w:id="74" w:name="_BA_Cite_0CCD6D_000056"/>
      <w:bookmarkEnd w:id="74"/>
      <w:r w:rsidR="00D5215B" w:rsidRPr="00E9174E">
        <w:rPr>
          <w:i/>
          <w:iCs/>
          <w:sz w:val="26"/>
          <w:szCs w:val="26"/>
        </w:rPr>
        <w:t>GI</w:t>
      </w:r>
      <w:r w:rsidR="000A5A45">
        <w:rPr>
          <w:i/>
          <w:iCs/>
          <w:sz w:val="26"/>
          <w:szCs w:val="26"/>
        </w:rPr>
        <w:t> </w:t>
      </w:r>
      <w:r w:rsidR="007C643D" w:rsidRPr="00E9174E">
        <w:rPr>
          <w:i/>
          <w:iCs/>
          <w:sz w:val="26"/>
          <w:szCs w:val="26"/>
        </w:rPr>
        <w:t>Gas</w:t>
      </w:r>
      <w:r w:rsidR="00320C13" w:rsidRPr="00E9174E">
        <w:rPr>
          <w:i/>
          <w:iCs/>
          <w:sz w:val="26"/>
          <w:szCs w:val="26"/>
        </w:rPr>
        <w:t xml:space="preserve"> Rate Order</w:t>
      </w:r>
      <w:r w:rsidR="00D5215B" w:rsidRPr="00E9174E">
        <w:rPr>
          <w:sz w:val="26"/>
          <w:szCs w:val="26"/>
        </w:rPr>
        <w:t xml:space="preserve"> and </w:t>
      </w:r>
      <w:r w:rsidR="00D5215B" w:rsidRPr="00E9174E">
        <w:rPr>
          <w:i/>
          <w:iCs/>
          <w:sz w:val="26"/>
          <w:szCs w:val="26"/>
        </w:rPr>
        <w:t>P</w:t>
      </w:r>
      <w:bookmarkStart w:id="75" w:name="_BA_Cite_0CCD6D_000057"/>
      <w:bookmarkEnd w:id="75"/>
      <w:r w:rsidR="00D5215B" w:rsidRPr="00E9174E">
        <w:rPr>
          <w:i/>
          <w:iCs/>
          <w:sz w:val="26"/>
          <w:szCs w:val="26"/>
        </w:rPr>
        <w:t>GW</w:t>
      </w:r>
      <w:r w:rsidR="00320C13" w:rsidRPr="00E9174E">
        <w:rPr>
          <w:i/>
          <w:iCs/>
          <w:sz w:val="26"/>
          <w:szCs w:val="26"/>
        </w:rPr>
        <w:t xml:space="preserve"> Rate Order</w:t>
      </w:r>
      <w:r w:rsidR="00D5215B" w:rsidRPr="00E9174E">
        <w:rPr>
          <w:sz w:val="26"/>
          <w:szCs w:val="26"/>
        </w:rPr>
        <w:t xml:space="preserve"> the Commission approved settlements that included phased</w:t>
      </w:r>
      <w:r w:rsidR="007C643D" w:rsidRPr="00E9174E">
        <w:rPr>
          <w:sz w:val="26"/>
          <w:szCs w:val="26"/>
        </w:rPr>
        <w:t>-</w:t>
      </w:r>
      <w:r w:rsidR="00D5215B" w:rsidRPr="00E9174E">
        <w:rPr>
          <w:sz w:val="26"/>
          <w:szCs w:val="26"/>
        </w:rPr>
        <w:t>in revenue increases that are not consistent with “traditional ratemaking models.”</w:t>
      </w:r>
      <w:r w:rsidR="007C643D" w:rsidRPr="00E9174E">
        <w:rPr>
          <w:sz w:val="26"/>
          <w:szCs w:val="26"/>
        </w:rPr>
        <w:t xml:space="preserve">  </w:t>
      </w:r>
      <w:r w:rsidR="00A24750" w:rsidRPr="00E9174E">
        <w:rPr>
          <w:sz w:val="26"/>
          <w:szCs w:val="26"/>
        </w:rPr>
        <w:t xml:space="preserve">OCA R. Exc. at 6, n. 10.  Thus, the OCA </w:t>
      </w:r>
      <w:r w:rsidR="006A6F02" w:rsidRPr="00E9174E">
        <w:rPr>
          <w:sz w:val="26"/>
          <w:szCs w:val="26"/>
        </w:rPr>
        <w:t xml:space="preserve">urges the Commission to reject I&amp;E’s contention that the Commission should only ever apply the “traditional ratemaking methodology” unless the Commission directs the </w:t>
      </w:r>
      <w:r w:rsidR="00CF0CFC" w:rsidRPr="00E9174E">
        <w:rPr>
          <w:sz w:val="26"/>
          <w:szCs w:val="26"/>
        </w:rPr>
        <w:t>Parties</w:t>
      </w:r>
      <w:r w:rsidR="006A6F02" w:rsidRPr="00E9174E">
        <w:rPr>
          <w:sz w:val="26"/>
          <w:szCs w:val="26"/>
        </w:rPr>
        <w:t xml:space="preserve"> otherwise.  OCA R. Exc. at 6.</w:t>
      </w:r>
    </w:p>
    <w:p w14:paraId="4AF7108C" w14:textId="0342A2D4" w:rsidR="006A6F02" w:rsidRPr="00E9174E" w:rsidRDefault="006A6F02" w:rsidP="00E9174E">
      <w:pPr>
        <w:pStyle w:val="BodyText2"/>
        <w:widowControl/>
        <w:spacing w:after="0" w:line="360" w:lineRule="auto"/>
        <w:ind w:firstLine="1440"/>
        <w:contextualSpacing/>
        <w:rPr>
          <w:sz w:val="26"/>
          <w:szCs w:val="26"/>
        </w:rPr>
      </w:pPr>
    </w:p>
    <w:p w14:paraId="7AA0FEB9" w14:textId="33FCD0B3" w:rsidR="00CA2E02" w:rsidRPr="00E9174E" w:rsidRDefault="00297890" w:rsidP="00E9174E">
      <w:pPr>
        <w:widowControl/>
        <w:spacing w:line="360" w:lineRule="auto"/>
        <w:ind w:firstLine="1440"/>
        <w:contextualSpacing/>
        <w:rPr>
          <w:sz w:val="26"/>
          <w:szCs w:val="26"/>
        </w:rPr>
      </w:pPr>
      <w:r w:rsidRPr="00E9174E">
        <w:rPr>
          <w:sz w:val="26"/>
          <w:szCs w:val="26"/>
        </w:rPr>
        <w:t xml:space="preserve">Furthermore, the OCA submits that I&amp;E presents a speculative </w:t>
      </w:r>
      <w:r w:rsidR="002927A8" w:rsidRPr="00E9174E">
        <w:rPr>
          <w:sz w:val="26"/>
          <w:szCs w:val="26"/>
        </w:rPr>
        <w:t>statement</w:t>
      </w:r>
      <w:r w:rsidRPr="00E9174E">
        <w:rPr>
          <w:sz w:val="26"/>
          <w:szCs w:val="26"/>
        </w:rPr>
        <w:t xml:space="preserve"> in </w:t>
      </w:r>
      <w:r w:rsidR="002927A8" w:rsidRPr="00E9174E">
        <w:rPr>
          <w:sz w:val="26"/>
          <w:szCs w:val="26"/>
        </w:rPr>
        <w:t xml:space="preserve">support of </w:t>
      </w:r>
      <w:r w:rsidRPr="00E9174E">
        <w:rPr>
          <w:sz w:val="26"/>
          <w:szCs w:val="26"/>
        </w:rPr>
        <w:t>its Exception</w:t>
      </w:r>
      <w:r w:rsidR="002927A8" w:rsidRPr="00E9174E">
        <w:rPr>
          <w:sz w:val="26"/>
          <w:szCs w:val="26"/>
        </w:rPr>
        <w:t xml:space="preserve"> related to pipeline safety</w:t>
      </w:r>
      <w:r w:rsidRPr="00E9174E">
        <w:rPr>
          <w:sz w:val="26"/>
          <w:szCs w:val="26"/>
        </w:rPr>
        <w:t xml:space="preserve"> that the Commission should reject</w:t>
      </w:r>
      <w:r w:rsidR="00503909" w:rsidRPr="00E9174E">
        <w:rPr>
          <w:sz w:val="26"/>
          <w:szCs w:val="26"/>
        </w:rPr>
        <w:t xml:space="preserve"> – that is, </w:t>
      </w:r>
      <w:r w:rsidR="002927A8" w:rsidRPr="00E9174E">
        <w:rPr>
          <w:sz w:val="26"/>
          <w:szCs w:val="26"/>
        </w:rPr>
        <w:t>“[</w:t>
      </w:r>
      <w:proofErr w:type="spellStart"/>
      <w:r w:rsidR="002927A8" w:rsidRPr="00E9174E">
        <w:rPr>
          <w:sz w:val="26"/>
          <w:szCs w:val="26"/>
        </w:rPr>
        <w:t>i</w:t>
      </w:r>
      <w:proofErr w:type="spellEnd"/>
      <w:r w:rsidR="002927A8" w:rsidRPr="00E9174E">
        <w:rPr>
          <w:sz w:val="26"/>
          <w:szCs w:val="26"/>
        </w:rPr>
        <w:t xml:space="preserve">]n order to maintain the safety and integrity of the system, it is likely that Columbia will need an increase in revenues to stay on track for its pipeline replacement efforts outlined in its Commission approved LTIIP.”  OCA R. Exc. at 7 (citing I&amp;E Exc. at 7). </w:t>
      </w:r>
      <w:r w:rsidR="009F3381" w:rsidRPr="00E9174E">
        <w:rPr>
          <w:sz w:val="26"/>
          <w:szCs w:val="26"/>
        </w:rPr>
        <w:t xml:space="preserve"> The OCA argues that t</w:t>
      </w:r>
      <w:r w:rsidR="00CA2E02" w:rsidRPr="00E9174E">
        <w:rPr>
          <w:sz w:val="26"/>
          <w:szCs w:val="26"/>
        </w:rPr>
        <w:t xml:space="preserve">his </w:t>
      </w:r>
      <w:r w:rsidR="009F3381" w:rsidRPr="00E9174E">
        <w:rPr>
          <w:sz w:val="26"/>
          <w:szCs w:val="26"/>
        </w:rPr>
        <w:t xml:space="preserve">speculative </w:t>
      </w:r>
      <w:r w:rsidR="00CA2E02" w:rsidRPr="00E9174E">
        <w:rPr>
          <w:sz w:val="26"/>
          <w:szCs w:val="26"/>
        </w:rPr>
        <w:t xml:space="preserve">statement does not address </w:t>
      </w:r>
      <w:r w:rsidR="009F3381" w:rsidRPr="00E9174E">
        <w:rPr>
          <w:sz w:val="26"/>
          <w:szCs w:val="26"/>
        </w:rPr>
        <w:t>the ALJ’s</w:t>
      </w:r>
      <w:r w:rsidR="00CA2E02" w:rsidRPr="00E9174E">
        <w:rPr>
          <w:sz w:val="26"/>
          <w:szCs w:val="26"/>
        </w:rPr>
        <w:t xml:space="preserve"> conclusion that Columbia failed to meet its burden of proving that its requested increase would lead to just and reasonable rates in this proceeding.  </w:t>
      </w:r>
      <w:r w:rsidR="007704E0" w:rsidRPr="00E9174E">
        <w:rPr>
          <w:sz w:val="26"/>
          <w:szCs w:val="26"/>
        </w:rPr>
        <w:t xml:space="preserve">OCA R. Exc. at 7.  </w:t>
      </w:r>
      <w:r w:rsidR="00CA2E02" w:rsidRPr="00E9174E">
        <w:rPr>
          <w:sz w:val="26"/>
          <w:szCs w:val="26"/>
        </w:rPr>
        <w:t>Nonetheless, as recognized</w:t>
      </w:r>
      <w:r w:rsidR="009F3381" w:rsidRPr="00E9174E">
        <w:rPr>
          <w:sz w:val="26"/>
          <w:szCs w:val="26"/>
        </w:rPr>
        <w:t xml:space="preserve"> </w:t>
      </w:r>
      <w:r w:rsidR="00CA2E02" w:rsidRPr="00E9174E">
        <w:rPr>
          <w:sz w:val="26"/>
          <w:szCs w:val="26"/>
        </w:rPr>
        <w:t>in the R.D., Columbia can also fully utilize the DSIC</w:t>
      </w:r>
      <w:r w:rsidR="00B2689F" w:rsidRPr="00E9174E">
        <w:rPr>
          <w:sz w:val="26"/>
          <w:szCs w:val="26"/>
        </w:rPr>
        <w:t xml:space="preserve"> </w:t>
      </w:r>
      <w:r w:rsidR="00CA2E02" w:rsidRPr="00E9174E">
        <w:rPr>
          <w:sz w:val="26"/>
          <w:szCs w:val="26"/>
        </w:rPr>
        <w:t>and, if necessary, request to have its 5% cap waived</w:t>
      </w:r>
      <w:r w:rsidR="00B2689F" w:rsidRPr="00E9174E">
        <w:rPr>
          <w:sz w:val="26"/>
          <w:szCs w:val="26"/>
        </w:rPr>
        <w:t xml:space="preserve"> </w:t>
      </w:r>
      <w:r w:rsidR="00CA2E02" w:rsidRPr="00E9174E">
        <w:rPr>
          <w:sz w:val="26"/>
          <w:szCs w:val="26"/>
        </w:rPr>
        <w:t xml:space="preserve">if it falls short of funds for DSIC-eligible plant investments before its next base rate increase.  </w:t>
      </w:r>
      <w:r w:rsidR="007704E0" w:rsidRPr="00E9174E">
        <w:rPr>
          <w:sz w:val="26"/>
          <w:szCs w:val="26"/>
        </w:rPr>
        <w:t xml:space="preserve">OCA R. Exc. at 7 (citing </w:t>
      </w:r>
      <w:r w:rsidR="00CA2E02" w:rsidRPr="00E9174E">
        <w:rPr>
          <w:sz w:val="26"/>
          <w:szCs w:val="26"/>
        </w:rPr>
        <w:t>R.D. at 51</w:t>
      </w:r>
      <w:r w:rsidR="007704E0" w:rsidRPr="00E9174E">
        <w:rPr>
          <w:sz w:val="26"/>
          <w:szCs w:val="26"/>
        </w:rPr>
        <w:t>,</w:t>
      </w:r>
      <w:r w:rsidR="00CA2E02" w:rsidRPr="00E9174E">
        <w:rPr>
          <w:sz w:val="26"/>
          <w:szCs w:val="26"/>
        </w:rPr>
        <w:t xml:space="preserve"> 62-63</w:t>
      </w:r>
      <w:r w:rsidR="007704E0" w:rsidRPr="00E9174E">
        <w:rPr>
          <w:sz w:val="26"/>
          <w:szCs w:val="26"/>
        </w:rPr>
        <w:t>)</w:t>
      </w:r>
      <w:r w:rsidR="00CA2E02" w:rsidRPr="00E9174E">
        <w:rPr>
          <w:sz w:val="26"/>
          <w:szCs w:val="26"/>
        </w:rPr>
        <w:t xml:space="preserve">.  In addition, as testified by </w:t>
      </w:r>
      <w:r w:rsidR="007704E0" w:rsidRPr="00E9174E">
        <w:rPr>
          <w:sz w:val="26"/>
          <w:szCs w:val="26"/>
        </w:rPr>
        <w:t xml:space="preserve">the </w:t>
      </w:r>
      <w:r w:rsidR="00CA2E02" w:rsidRPr="00E9174E">
        <w:rPr>
          <w:sz w:val="26"/>
          <w:szCs w:val="26"/>
        </w:rPr>
        <w:t>OCA witness Scott Rubin:</w:t>
      </w:r>
    </w:p>
    <w:p w14:paraId="0D58EA95" w14:textId="01ECF0CF" w:rsidR="00CA2E02" w:rsidRPr="00E9174E" w:rsidRDefault="00CA2E02" w:rsidP="00E9174E">
      <w:pPr>
        <w:widowControl/>
        <w:ind w:left="1440" w:right="1440"/>
        <w:contextualSpacing/>
        <w:rPr>
          <w:sz w:val="26"/>
          <w:szCs w:val="26"/>
        </w:rPr>
      </w:pPr>
      <w:r w:rsidRPr="00E9174E">
        <w:rPr>
          <w:sz w:val="26"/>
          <w:szCs w:val="26"/>
        </w:rPr>
        <w:lastRenderedPageBreak/>
        <w:t xml:space="preserve">one obvious way to preserve cash is to defer construction projects that are not needed to ensure the current provision of safe and reliable service to existing customers.  For example, growth-related projects or system rehabilitation activities that are longer-term in nature (that is, projects that are not needed to ensure current levels of service within the next six to 12 months) could be delayed by several months to preserve cash, if necessary. </w:t>
      </w:r>
    </w:p>
    <w:p w14:paraId="4E5EE6FB" w14:textId="77777777" w:rsidR="001554AD" w:rsidRPr="00E9174E" w:rsidRDefault="001554AD" w:rsidP="00E9174E">
      <w:pPr>
        <w:widowControl/>
        <w:spacing w:line="360" w:lineRule="auto"/>
        <w:contextualSpacing/>
        <w:rPr>
          <w:sz w:val="26"/>
          <w:szCs w:val="26"/>
        </w:rPr>
      </w:pPr>
    </w:p>
    <w:p w14:paraId="61287D94" w14:textId="77ADC53A" w:rsidR="00CA2E02" w:rsidRPr="00E9174E" w:rsidRDefault="00CA2E02" w:rsidP="00E9174E">
      <w:pPr>
        <w:widowControl/>
        <w:spacing w:line="360" w:lineRule="auto"/>
        <w:contextualSpacing/>
        <w:rPr>
          <w:sz w:val="26"/>
          <w:szCs w:val="26"/>
        </w:rPr>
      </w:pPr>
      <w:r w:rsidRPr="00E9174E">
        <w:rPr>
          <w:sz w:val="26"/>
          <w:szCs w:val="26"/>
        </w:rPr>
        <w:t>OCA St. 1 at 26</w:t>
      </w:r>
      <w:r w:rsidR="00E04711" w:rsidRPr="00E9174E">
        <w:rPr>
          <w:sz w:val="26"/>
          <w:szCs w:val="26"/>
        </w:rPr>
        <w:t xml:space="preserve">.  </w:t>
      </w:r>
      <w:r w:rsidRPr="00E9174E">
        <w:rPr>
          <w:sz w:val="26"/>
          <w:szCs w:val="26"/>
        </w:rPr>
        <w:t>The OCA submits that Judge Dunderdale properly concluded that Columbia’s current rates will provide sufficient funds</w:t>
      </w:r>
      <w:r w:rsidR="00B2689F" w:rsidRPr="00E9174E">
        <w:rPr>
          <w:sz w:val="26"/>
          <w:szCs w:val="26"/>
        </w:rPr>
        <w:t xml:space="preserve">, </w:t>
      </w:r>
      <w:r w:rsidRPr="00E9174E">
        <w:rPr>
          <w:sz w:val="26"/>
          <w:szCs w:val="26"/>
        </w:rPr>
        <w:t>under constitutional requirements</w:t>
      </w:r>
      <w:r w:rsidR="00B2689F" w:rsidRPr="00E9174E">
        <w:rPr>
          <w:sz w:val="26"/>
          <w:szCs w:val="26"/>
        </w:rPr>
        <w:t xml:space="preserve">, </w:t>
      </w:r>
      <w:r w:rsidRPr="00E9174E">
        <w:rPr>
          <w:sz w:val="26"/>
          <w:szCs w:val="26"/>
        </w:rPr>
        <w:t xml:space="preserve">to provide safe, efficient, and adequate service. </w:t>
      </w:r>
      <w:r w:rsidR="007704E0" w:rsidRPr="00E9174E">
        <w:rPr>
          <w:sz w:val="26"/>
          <w:szCs w:val="26"/>
        </w:rPr>
        <w:t xml:space="preserve"> OCA R. Exc. at 7 (citing </w:t>
      </w:r>
      <w:r w:rsidRPr="00E9174E">
        <w:rPr>
          <w:sz w:val="26"/>
          <w:szCs w:val="26"/>
        </w:rPr>
        <w:t>R.D. at 49-51</w:t>
      </w:r>
      <w:r w:rsidR="007704E0" w:rsidRPr="00E9174E">
        <w:rPr>
          <w:sz w:val="26"/>
          <w:szCs w:val="26"/>
        </w:rPr>
        <w:t>)</w:t>
      </w:r>
      <w:r w:rsidRPr="00E9174E">
        <w:rPr>
          <w:sz w:val="26"/>
          <w:szCs w:val="26"/>
        </w:rPr>
        <w:t xml:space="preserve">. </w:t>
      </w:r>
    </w:p>
    <w:p w14:paraId="0D17F686" w14:textId="25A1BA02" w:rsidR="001D7315" w:rsidRPr="00E9174E" w:rsidRDefault="001D7315" w:rsidP="00E9174E">
      <w:pPr>
        <w:pStyle w:val="BodyText2"/>
        <w:widowControl/>
        <w:spacing w:after="0" w:line="360" w:lineRule="auto"/>
        <w:contextualSpacing/>
        <w:rPr>
          <w:sz w:val="26"/>
          <w:szCs w:val="26"/>
        </w:rPr>
      </w:pPr>
    </w:p>
    <w:p w14:paraId="5838E5C2" w14:textId="60E47494" w:rsidR="001D7315" w:rsidRPr="00E9174E" w:rsidRDefault="0084665E" w:rsidP="00E9174E">
      <w:pPr>
        <w:pStyle w:val="BodyText2"/>
        <w:widowControl/>
        <w:spacing w:after="0" w:line="360" w:lineRule="auto"/>
        <w:ind w:firstLine="1440"/>
        <w:contextualSpacing/>
        <w:rPr>
          <w:sz w:val="26"/>
          <w:szCs w:val="26"/>
        </w:rPr>
      </w:pPr>
      <w:r w:rsidRPr="00E9174E">
        <w:rPr>
          <w:sz w:val="26"/>
          <w:szCs w:val="26"/>
        </w:rPr>
        <w:t xml:space="preserve">The OSBA’s Replies to I&amp;E’s Exception is the same as its Replies to Columbia’s Exception No. 1.  </w:t>
      </w:r>
      <w:r w:rsidR="00BA5524" w:rsidRPr="00E9174E">
        <w:rPr>
          <w:sz w:val="26"/>
          <w:szCs w:val="26"/>
        </w:rPr>
        <w:t>In summary, t</w:t>
      </w:r>
      <w:r w:rsidRPr="00E9174E">
        <w:rPr>
          <w:sz w:val="26"/>
          <w:szCs w:val="26"/>
        </w:rPr>
        <w:t xml:space="preserve">he OSBA urges the Commission to first decide whether this case should be treated as a </w:t>
      </w:r>
      <w:r w:rsidR="00381D8C" w:rsidRPr="00E9174E">
        <w:rPr>
          <w:sz w:val="26"/>
          <w:szCs w:val="26"/>
        </w:rPr>
        <w:t>“</w:t>
      </w:r>
      <w:r w:rsidRPr="00E9174E">
        <w:rPr>
          <w:sz w:val="26"/>
          <w:szCs w:val="26"/>
        </w:rPr>
        <w:t>traditional ratemaking</w:t>
      </w:r>
      <w:r w:rsidR="00381D8C" w:rsidRPr="00E9174E">
        <w:rPr>
          <w:sz w:val="26"/>
          <w:szCs w:val="26"/>
        </w:rPr>
        <w:t>”</w:t>
      </w:r>
      <w:r w:rsidRPr="00E9174E">
        <w:rPr>
          <w:sz w:val="26"/>
          <w:szCs w:val="26"/>
        </w:rPr>
        <w:t xml:space="preserve"> case, or </w:t>
      </w:r>
      <w:r w:rsidR="00006D46" w:rsidRPr="00E9174E">
        <w:rPr>
          <w:sz w:val="26"/>
          <w:szCs w:val="26"/>
        </w:rPr>
        <w:t>whether</w:t>
      </w:r>
      <w:r w:rsidRPr="00E9174E">
        <w:rPr>
          <w:sz w:val="26"/>
          <w:szCs w:val="26"/>
        </w:rPr>
        <w:t xml:space="preserve"> the COVID-19 pandemic </w:t>
      </w:r>
      <w:r w:rsidR="00B2689F" w:rsidRPr="00E9174E">
        <w:rPr>
          <w:sz w:val="26"/>
          <w:szCs w:val="26"/>
        </w:rPr>
        <w:t xml:space="preserve">overshadows </w:t>
      </w:r>
      <w:r w:rsidR="00006D46" w:rsidRPr="00E9174E">
        <w:rPr>
          <w:sz w:val="26"/>
          <w:szCs w:val="26"/>
        </w:rPr>
        <w:t>“</w:t>
      </w:r>
      <w:r w:rsidRPr="00E9174E">
        <w:rPr>
          <w:sz w:val="26"/>
          <w:szCs w:val="26"/>
        </w:rPr>
        <w:t>traditional ratemaking</w:t>
      </w:r>
      <w:r w:rsidR="00006D46" w:rsidRPr="00E9174E">
        <w:rPr>
          <w:sz w:val="26"/>
          <w:szCs w:val="26"/>
        </w:rPr>
        <w:t>”</w:t>
      </w:r>
      <w:r w:rsidRPr="00E9174E">
        <w:rPr>
          <w:sz w:val="26"/>
          <w:szCs w:val="26"/>
        </w:rPr>
        <w:t xml:space="preserve"> as recommended by the </w:t>
      </w:r>
      <w:r w:rsidR="006A0D26" w:rsidRPr="00E9174E">
        <w:rPr>
          <w:sz w:val="26"/>
          <w:szCs w:val="26"/>
        </w:rPr>
        <w:t>Recommended Decision</w:t>
      </w:r>
      <w:r w:rsidR="00A70771" w:rsidRPr="00E9174E">
        <w:rPr>
          <w:sz w:val="26"/>
          <w:szCs w:val="26"/>
        </w:rPr>
        <w:t>.</w:t>
      </w:r>
      <w:r w:rsidRPr="00E9174E">
        <w:rPr>
          <w:sz w:val="26"/>
          <w:szCs w:val="26"/>
        </w:rPr>
        <w:t xml:space="preserve">  OSBA R. Exc. at 3.  </w:t>
      </w:r>
      <w:r w:rsidR="00BA5524" w:rsidRPr="00E9174E">
        <w:rPr>
          <w:sz w:val="26"/>
          <w:szCs w:val="26"/>
        </w:rPr>
        <w:t>T</w:t>
      </w:r>
      <w:r w:rsidRPr="00E9174E">
        <w:rPr>
          <w:sz w:val="26"/>
          <w:szCs w:val="26"/>
        </w:rPr>
        <w:t xml:space="preserve">he OSBA supports the </w:t>
      </w:r>
      <w:r w:rsidR="006A0D26" w:rsidRPr="00E9174E">
        <w:rPr>
          <w:sz w:val="26"/>
          <w:szCs w:val="26"/>
        </w:rPr>
        <w:t>Recommended Decision</w:t>
      </w:r>
      <w:r w:rsidRPr="00E9174E">
        <w:rPr>
          <w:sz w:val="26"/>
          <w:szCs w:val="26"/>
        </w:rPr>
        <w:t xml:space="preserve"> deny</w:t>
      </w:r>
      <w:r w:rsidR="00651648" w:rsidRPr="00E9174E">
        <w:rPr>
          <w:sz w:val="26"/>
          <w:szCs w:val="26"/>
        </w:rPr>
        <w:t>ing</w:t>
      </w:r>
      <w:r w:rsidRPr="00E9174E">
        <w:rPr>
          <w:sz w:val="26"/>
          <w:szCs w:val="26"/>
        </w:rPr>
        <w:t xml:space="preserve"> Columbia any revenue increase at this time</w:t>
      </w:r>
      <w:r w:rsidR="00913CBB" w:rsidRPr="00E9174E">
        <w:rPr>
          <w:sz w:val="26"/>
          <w:szCs w:val="26"/>
        </w:rPr>
        <w:t>.</w:t>
      </w:r>
      <w:r w:rsidRPr="00E9174E">
        <w:rPr>
          <w:sz w:val="26"/>
          <w:szCs w:val="26"/>
        </w:rPr>
        <w:t xml:space="preserve"> </w:t>
      </w:r>
      <w:r w:rsidR="00913CBB" w:rsidRPr="00E9174E">
        <w:rPr>
          <w:sz w:val="26"/>
          <w:szCs w:val="26"/>
        </w:rPr>
        <w:t xml:space="preserve"> B</w:t>
      </w:r>
      <w:r w:rsidRPr="00E9174E">
        <w:rPr>
          <w:sz w:val="26"/>
          <w:szCs w:val="26"/>
        </w:rPr>
        <w:t>ased on all the latest data and news on the pandemic and how it is affecting the Commonwealth</w:t>
      </w:r>
      <w:r w:rsidR="00A9225F" w:rsidRPr="00E9174E">
        <w:rPr>
          <w:sz w:val="26"/>
          <w:szCs w:val="26"/>
        </w:rPr>
        <w:t xml:space="preserve"> </w:t>
      </w:r>
      <w:r w:rsidRPr="00E9174E">
        <w:rPr>
          <w:sz w:val="26"/>
          <w:szCs w:val="26"/>
        </w:rPr>
        <w:t>(which the OSBA is certain the Commissioners and their respective Staffs have</w:t>
      </w:r>
      <w:r w:rsidR="006A0D26" w:rsidRPr="00E9174E">
        <w:rPr>
          <w:sz w:val="26"/>
          <w:szCs w:val="26"/>
        </w:rPr>
        <w:t xml:space="preserve"> knowledge about</w:t>
      </w:r>
      <w:r w:rsidRPr="00E9174E">
        <w:rPr>
          <w:sz w:val="26"/>
          <w:szCs w:val="26"/>
        </w:rPr>
        <w:t xml:space="preserve">), the OSBA is concerned over how many small businesses will be critically and/or permanently affected by the pandemic and how long the pandemic will actually last.  OSBA R. Exc. at 3.  Additionally, the OSBA supports the </w:t>
      </w:r>
      <w:r w:rsidR="006A0D26" w:rsidRPr="00E9174E">
        <w:rPr>
          <w:sz w:val="26"/>
          <w:szCs w:val="26"/>
        </w:rPr>
        <w:t>Recommended Decision</w:t>
      </w:r>
      <w:r w:rsidRPr="00E9174E">
        <w:rPr>
          <w:sz w:val="26"/>
          <w:szCs w:val="26"/>
        </w:rPr>
        <w:t xml:space="preserve"> because Columbia has had eight rate cases over the last twelve years, with the most recent at Docket No. R-2018-2647577, and the OSBA surmises that Columbia can “forego yet another rate increase while the COVID-19 pandemic plays out.”  OSBA R.</w:t>
      </w:r>
      <w:r w:rsidR="000A5A45">
        <w:rPr>
          <w:sz w:val="26"/>
          <w:szCs w:val="26"/>
        </w:rPr>
        <w:t> </w:t>
      </w:r>
      <w:r w:rsidRPr="00E9174E">
        <w:rPr>
          <w:sz w:val="26"/>
          <w:szCs w:val="26"/>
        </w:rPr>
        <w:t xml:space="preserve">Exc. at 3 (citing OSBA St. 1 at 3).  </w:t>
      </w:r>
    </w:p>
    <w:p w14:paraId="5F5DAFF8" w14:textId="77777777" w:rsidR="00132B35" w:rsidRPr="00E9174E" w:rsidRDefault="00132B35" w:rsidP="00E9174E">
      <w:pPr>
        <w:widowControl/>
        <w:spacing w:line="360" w:lineRule="auto"/>
        <w:contextualSpacing/>
        <w:rPr>
          <w:rFonts w:eastAsiaTheme="minorHAnsi"/>
          <w:sz w:val="26"/>
          <w:szCs w:val="26"/>
        </w:rPr>
      </w:pPr>
    </w:p>
    <w:p w14:paraId="098E46F3" w14:textId="2F507B2C" w:rsidR="00132B35" w:rsidRPr="00E9174E" w:rsidRDefault="001768DD" w:rsidP="006751AA">
      <w:pPr>
        <w:pStyle w:val="Heading2"/>
      </w:pPr>
      <w:bookmarkStart w:id="76" w:name="_Toc62487959"/>
      <w:bookmarkStart w:id="77" w:name="_Toc63764418"/>
      <w:r>
        <w:lastRenderedPageBreak/>
        <w:t>D.</w:t>
      </w:r>
      <w:r>
        <w:tab/>
      </w:r>
      <w:r w:rsidR="00132B35" w:rsidRPr="00E9174E">
        <w:t>Disposition</w:t>
      </w:r>
      <w:bookmarkEnd w:id="76"/>
      <w:bookmarkEnd w:id="77"/>
    </w:p>
    <w:p w14:paraId="324492DF" w14:textId="77777777" w:rsidR="00132B35" w:rsidRPr="00E9174E" w:rsidRDefault="00132B35" w:rsidP="00E9174E">
      <w:pPr>
        <w:keepNext/>
        <w:keepLines/>
        <w:widowControl/>
        <w:spacing w:line="360" w:lineRule="auto"/>
        <w:contextualSpacing/>
        <w:rPr>
          <w:rFonts w:eastAsiaTheme="minorHAnsi"/>
          <w:sz w:val="26"/>
          <w:szCs w:val="26"/>
        </w:rPr>
      </w:pPr>
    </w:p>
    <w:p w14:paraId="02835EA0" w14:textId="67D5296C" w:rsidR="000A6F01" w:rsidRPr="00E9174E" w:rsidRDefault="00357B51" w:rsidP="00E9174E">
      <w:pPr>
        <w:keepNext/>
        <w:widowControl/>
        <w:tabs>
          <w:tab w:val="left" w:pos="-720"/>
        </w:tabs>
        <w:suppressAutoHyphens/>
        <w:spacing w:line="360" w:lineRule="auto"/>
        <w:ind w:firstLine="1440"/>
        <w:contextualSpacing/>
        <w:rPr>
          <w:sz w:val="26"/>
          <w:szCs w:val="26"/>
        </w:rPr>
      </w:pPr>
      <w:r w:rsidRPr="00E9174E">
        <w:rPr>
          <w:sz w:val="26"/>
          <w:szCs w:val="26"/>
        </w:rPr>
        <w:t>As discussed in more depth below, w</w:t>
      </w:r>
      <w:r w:rsidR="000A6F01" w:rsidRPr="00E9174E">
        <w:rPr>
          <w:sz w:val="26"/>
          <w:szCs w:val="26"/>
        </w:rPr>
        <w:t xml:space="preserve">e shall decline to adopt the ALJ’s recommendation to completely deny Columbia’s requested rate relief </w:t>
      </w:r>
      <w:r w:rsidR="00821352" w:rsidRPr="00E9174E">
        <w:rPr>
          <w:sz w:val="26"/>
          <w:szCs w:val="26"/>
        </w:rPr>
        <w:t xml:space="preserve">due to the pandemic, </w:t>
      </w:r>
      <w:r w:rsidR="000A6F01" w:rsidRPr="00E9174E">
        <w:rPr>
          <w:sz w:val="26"/>
          <w:szCs w:val="26"/>
        </w:rPr>
        <w:t xml:space="preserve">for the following two reasons: (1) in our opinion, the continued use of traditional ratemaking methodologies during this pandemic is consistent with the setting of just and reasonable rates and the constitutional standards established in </w:t>
      </w:r>
      <w:r w:rsidR="000A6F01" w:rsidRPr="00E9174E">
        <w:rPr>
          <w:i/>
          <w:iCs/>
          <w:sz w:val="26"/>
          <w:szCs w:val="26"/>
        </w:rPr>
        <w:t>Bluefield</w:t>
      </w:r>
      <w:r w:rsidR="000A6F01" w:rsidRPr="00E9174E">
        <w:rPr>
          <w:sz w:val="26"/>
          <w:szCs w:val="26"/>
        </w:rPr>
        <w:t xml:space="preserve"> and </w:t>
      </w:r>
      <w:r w:rsidR="000A6F01" w:rsidRPr="00E9174E">
        <w:rPr>
          <w:i/>
          <w:iCs/>
          <w:sz w:val="26"/>
          <w:szCs w:val="26"/>
        </w:rPr>
        <w:t>Hope Natural Gas</w:t>
      </w:r>
      <w:r w:rsidR="000A6F01" w:rsidRPr="00E9174E">
        <w:rPr>
          <w:sz w:val="26"/>
          <w:szCs w:val="26"/>
        </w:rPr>
        <w:t xml:space="preserve">, and the pandemic does not change the continued application of these standards; and (2) there is a lack of substantial evidence in this record to support the ALJ’s recommendation to completely deny the Company’s requested rate increase due to the pandemic.  </w:t>
      </w:r>
      <w:r w:rsidR="0061383F" w:rsidRPr="00E9174E">
        <w:rPr>
          <w:sz w:val="26"/>
          <w:szCs w:val="26"/>
        </w:rPr>
        <w:t>Accordingly, c</w:t>
      </w:r>
      <w:r w:rsidR="000A6F01" w:rsidRPr="00E9174E">
        <w:rPr>
          <w:sz w:val="26"/>
          <w:szCs w:val="26"/>
        </w:rPr>
        <w:t xml:space="preserve">onsistent with the discussion </w:t>
      </w:r>
      <w:r w:rsidRPr="00E9174E">
        <w:rPr>
          <w:sz w:val="26"/>
          <w:szCs w:val="26"/>
        </w:rPr>
        <w:t>herein</w:t>
      </w:r>
      <w:r w:rsidR="000A6F01" w:rsidRPr="00E9174E">
        <w:rPr>
          <w:sz w:val="26"/>
          <w:szCs w:val="26"/>
        </w:rPr>
        <w:t>, we shall</w:t>
      </w:r>
      <w:r w:rsidR="00C6301A" w:rsidRPr="00E9174E">
        <w:rPr>
          <w:sz w:val="26"/>
          <w:szCs w:val="26"/>
        </w:rPr>
        <w:t>: (1)</w:t>
      </w:r>
      <w:r w:rsidR="000A6F01" w:rsidRPr="00E9174E">
        <w:rPr>
          <w:sz w:val="26"/>
          <w:szCs w:val="26"/>
        </w:rPr>
        <w:t xml:space="preserve"> deny, in part, and grant, in part, Columbia’s first Exception; </w:t>
      </w:r>
      <w:r w:rsidR="00C6301A" w:rsidRPr="00E9174E">
        <w:rPr>
          <w:sz w:val="26"/>
          <w:szCs w:val="26"/>
        </w:rPr>
        <w:t xml:space="preserve">(2) </w:t>
      </w:r>
      <w:r w:rsidR="000A6F01" w:rsidRPr="00E9174E">
        <w:rPr>
          <w:sz w:val="26"/>
          <w:szCs w:val="26"/>
        </w:rPr>
        <w:t xml:space="preserve">grant, in part, I&amp;E’s first Exception; and </w:t>
      </w:r>
      <w:r w:rsidR="00C6301A" w:rsidRPr="00E9174E">
        <w:rPr>
          <w:sz w:val="26"/>
          <w:szCs w:val="26"/>
        </w:rPr>
        <w:t xml:space="preserve">(3) </w:t>
      </w:r>
      <w:r w:rsidR="000A6F01" w:rsidRPr="00E9174E">
        <w:rPr>
          <w:sz w:val="26"/>
          <w:szCs w:val="26"/>
        </w:rPr>
        <w:t>grant Columbia’s second Exception.</w:t>
      </w:r>
    </w:p>
    <w:p w14:paraId="77A31136" w14:textId="77777777" w:rsidR="00534002" w:rsidRPr="00E9174E" w:rsidRDefault="00534002" w:rsidP="00E9174E">
      <w:pPr>
        <w:widowControl/>
        <w:tabs>
          <w:tab w:val="left" w:pos="-720"/>
        </w:tabs>
        <w:suppressAutoHyphens/>
        <w:spacing w:line="360" w:lineRule="auto"/>
        <w:ind w:firstLine="1440"/>
        <w:contextualSpacing/>
        <w:rPr>
          <w:sz w:val="26"/>
          <w:szCs w:val="26"/>
        </w:rPr>
      </w:pPr>
    </w:p>
    <w:p w14:paraId="1CF8FB86" w14:textId="52EA531D" w:rsidR="00344595" w:rsidRPr="00E9174E" w:rsidRDefault="00EF6F4F" w:rsidP="00E9174E">
      <w:pPr>
        <w:widowControl/>
        <w:tabs>
          <w:tab w:val="left" w:pos="-720"/>
        </w:tabs>
        <w:suppressAutoHyphens/>
        <w:spacing w:line="360" w:lineRule="auto"/>
        <w:ind w:firstLine="1440"/>
        <w:contextualSpacing/>
        <w:rPr>
          <w:sz w:val="26"/>
          <w:szCs w:val="26"/>
        </w:rPr>
      </w:pPr>
      <w:r w:rsidRPr="00E9174E">
        <w:rPr>
          <w:sz w:val="26"/>
          <w:szCs w:val="26"/>
        </w:rPr>
        <w:t xml:space="preserve">It is well-established that the Commission must ensure that a public utility’s base rates are just and reasonable and not unduly discriminatory.  </w:t>
      </w:r>
      <w:r w:rsidRPr="00E9174E">
        <w:rPr>
          <w:i/>
          <w:iCs/>
          <w:sz w:val="26"/>
          <w:szCs w:val="26"/>
        </w:rPr>
        <w:t>See</w:t>
      </w:r>
      <w:r w:rsidRPr="00E9174E">
        <w:rPr>
          <w:sz w:val="26"/>
          <w:szCs w:val="26"/>
        </w:rPr>
        <w:t xml:space="preserve"> 66 Pa. C.S. </w:t>
      </w:r>
    </w:p>
    <w:p w14:paraId="03BD83CF" w14:textId="49401281" w:rsidR="00EF6F4F" w:rsidRPr="00E9174E" w:rsidRDefault="00EF6F4F" w:rsidP="00E9174E">
      <w:pPr>
        <w:widowControl/>
        <w:tabs>
          <w:tab w:val="left" w:pos="-720"/>
        </w:tabs>
        <w:suppressAutoHyphens/>
        <w:spacing w:line="360" w:lineRule="auto"/>
        <w:contextualSpacing/>
        <w:rPr>
          <w:sz w:val="26"/>
          <w:szCs w:val="26"/>
        </w:rPr>
      </w:pPr>
      <w:r w:rsidRPr="00E9174E">
        <w:rPr>
          <w:sz w:val="26"/>
          <w:szCs w:val="26"/>
        </w:rPr>
        <w:t xml:space="preserve">§§ 1301, 1304.  “In determining just and reasonable rates, the PUC has discretion to determine the proper balance between interests of ratepayers and utilities…Further, the PUC is obliged to consider broad public interests in the rate-making process.”  </w:t>
      </w:r>
      <w:r w:rsidRPr="00E9174E">
        <w:rPr>
          <w:i/>
          <w:iCs/>
          <w:sz w:val="26"/>
          <w:szCs w:val="26"/>
        </w:rPr>
        <w:t>Popowsky</w:t>
      </w:r>
      <w:r w:rsidR="000A5A45">
        <w:rPr>
          <w:i/>
          <w:iCs/>
          <w:sz w:val="26"/>
          <w:szCs w:val="26"/>
        </w:rPr>
        <w:t> </w:t>
      </w:r>
      <w:r w:rsidRPr="00E9174E">
        <w:rPr>
          <w:i/>
          <w:iCs/>
          <w:sz w:val="26"/>
          <w:szCs w:val="26"/>
        </w:rPr>
        <w:t>I</w:t>
      </w:r>
      <w:r w:rsidRPr="00E9174E">
        <w:rPr>
          <w:sz w:val="26"/>
          <w:szCs w:val="26"/>
        </w:rPr>
        <w:t>, 665 A.2d at 812 (citations omitted);</w:t>
      </w:r>
      <w:r w:rsidRPr="00E9174E">
        <w:rPr>
          <w:i/>
          <w:iCs/>
          <w:sz w:val="26"/>
          <w:szCs w:val="26"/>
        </w:rPr>
        <w:t xml:space="preserve"> see also</w:t>
      </w:r>
      <w:r w:rsidRPr="00E9174E">
        <w:rPr>
          <w:sz w:val="26"/>
          <w:szCs w:val="26"/>
        </w:rPr>
        <w:t xml:space="preserve"> </w:t>
      </w:r>
      <w:r w:rsidRPr="00E9174E">
        <w:rPr>
          <w:i/>
          <w:iCs/>
          <w:sz w:val="26"/>
          <w:szCs w:val="26"/>
        </w:rPr>
        <w:t>Hope Natural Ga</w:t>
      </w:r>
      <w:r w:rsidRPr="00E9174E">
        <w:rPr>
          <w:sz w:val="26"/>
          <w:szCs w:val="26"/>
        </w:rPr>
        <w:t xml:space="preserve">s, 320 U.S. at 603 (the “fixing of ‘just and reasonable’ rates, involves a balancing of the investor and the consumer interests…”).  </w:t>
      </w:r>
    </w:p>
    <w:p w14:paraId="18765F56" w14:textId="77777777" w:rsidR="00EF6F4F" w:rsidRPr="00E9174E" w:rsidRDefault="00EF6F4F" w:rsidP="00E9174E">
      <w:pPr>
        <w:widowControl/>
        <w:tabs>
          <w:tab w:val="left" w:pos="-720"/>
        </w:tabs>
        <w:suppressAutoHyphens/>
        <w:spacing w:line="360" w:lineRule="auto"/>
        <w:ind w:firstLine="1440"/>
        <w:contextualSpacing/>
        <w:rPr>
          <w:sz w:val="26"/>
          <w:szCs w:val="26"/>
        </w:rPr>
      </w:pPr>
    </w:p>
    <w:p w14:paraId="1034367E" w14:textId="77777777" w:rsidR="00EF6F4F" w:rsidRPr="00E9174E" w:rsidRDefault="00EF6F4F" w:rsidP="00E9174E">
      <w:pPr>
        <w:widowControl/>
        <w:tabs>
          <w:tab w:val="left" w:pos="-720"/>
        </w:tabs>
        <w:suppressAutoHyphens/>
        <w:spacing w:line="360" w:lineRule="auto"/>
        <w:ind w:firstLine="1440"/>
        <w:contextualSpacing/>
        <w:rPr>
          <w:sz w:val="26"/>
          <w:szCs w:val="26"/>
        </w:rPr>
      </w:pPr>
      <w:r w:rsidRPr="00E9174E">
        <w:rPr>
          <w:sz w:val="26"/>
          <w:szCs w:val="26"/>
        </w:rPr>
        <w:t xml:space="preserve">Regarding our discretion in fixing just and reasonable rates, the Pennsylvania Supreme Court explained: </w:t>
      </w:r>
    </w:p>
    <w:p w14:paraId="3E1B47DB" w14:textId="77777777" w:rsidR="00EF6F4F" w:rsidRPr="00E9174E" w:rsidRDefault="00EF6F4F" w:rsidP="000A5A45">
      <w:pPr>
        <w:widowControl/>
        <w:contextualSpacing/>
        <w:rPr>
          <w:sz w:val="26"/>
          <w:szCs w:val="26"/>
        </w:rPr>
      </w:pPr>
    </w:p>
    <w:p w14:paraId="37A06C5C" w14:textId="77777777" w:rsidR="00EF6F4F" w:rsidRPr="00E9174E" w:rsidRDefault="00EF6F4F" w:rsidP="00E9174E">
      <w:pPr>
        <w:widowControl/>
        <w:autoSpaceDE w:val="0"/>
        <w:autoSpaceDN w:val="0"/>
        <w:adjustRightInd w:val="0"/>
        <w:ind w:left="1440" w:right="1440"/>
        <w:contextualSpacing/>
        <w:rPr>
          <w:rFonts w:eastAsiaTheme="minorEastAsia"/>
          <w:sz w:val="26"/>
          <w:szCs w:val="26"/>
        </w:rPr>
      </w:pPr>
      <w:r w:rsidRPr="00E9174E">
        <w:rPr>
          <w:rFonts w:eastAsiaTheme="minorEastAsia"/>
          <w:sz w:val="26"/>
          <w:szCs w:val="26"/>
        </w:rPr>
        <w:t xml:space="preserve">There is ample authority for the proposition that the power to fix “just and reasonable” rates imports a flexibility in the exercise of a complicated regulatory function by a specialized decision-making body and that the term “just and reasonable” </w:t>
      </w:r>
      <w:r w:rsidRPr="00E9174E">
        <w:rPr>
          <w:rFonts w:eastAsiaTheme="minorEastAsia"/>
          <w:sz w:val="26"/>
          <w:szCs w:val="26"/>
        </w:rPr>
        <w:lastRenderedPageBreak/>
        <w:t>was not intended to confine the ambit of regulatory discretion to an absolute or mathematical formulation but rather to confer upon the regulatory body the power to make and apply policy concerning the appropriate balance between prices charged to utility customers and returns on capital to utility investors consonant with constitutional protections applicable to both.</w:t>
      </w:r>
    </w:p>
    <w:p w14:paraId="3849D1C2" w14:textId="77777777" w:rsidR="00484E49" w:rsidRPr="00E9174E" w:rsidRDefault="00484E49" w:rsidP="00E9174E">
      <w:pPr>
        <w:widowControl/>
        <w:spacing w:line="360" w:lineRule="auto"/>
        <w:contextualSpacing/>
        <w:rPr>
          <w:i/>
          <w:iCs/>
          <w:sz w:val="26"/>
          <w:szCs w:val="26"/>
        </w:rPr>
      </w:pPr>
    </w:p>
    <w:p w14:paraId="1579639D" w14:textId="7FD8B94E" w:rsidR="00EF6F4F" w:rsidRPr="00E9174E" w:rsidRDefault="00EF6F4F" w:rsidP="00E9174E">
      <w:pPr>
        <w:widowControl/>
        <w:spacing w:line="360" w:lineRule="auto"/>
        <w:contextualSpacing/>
        <w:rPr>
          <w:sz w:val="26"/>
          <w:szCs w:val="26"/>
        </w:rPr>
      </w:pPr>
      <w:r w:rsidRPr="00E9174E">
        <w:rPr>
          <w:i/>
          <w:iCs/>
          <w:sz w:val="26"/>
          <w:szCs w:val="26"/>
        </w:rPr>
        <w:t>Popowsky I</w:t>
      </w:r>
      <w:r w:rsidRPr="00E9174E">
        <w:rPr>
          <w:sz w:val="26"/>
          <w:szCs w:val="26"/>
        </w:rPr>
        <w:t xml:space="preserve">, 665 A.2d at 812 (citations omitted).  </w:t>
      </w:r>
    </w:p>
    <w:p w14:paraId="5B0CCEEF" w14:textId="77777777" w:rsidR="00EF6F4F" w:rsidRPr="00E9174E" w:rsidRDefault="00EF6F4F" w:rsidP="00E9174E">
      <w:pPr>
        <w:widowControl/>
        <w:spacing w:line="360" w:lineRule="auto"/>
        <w:contextualSpacing/>
        <w:rPr>
          <w:sz w:val="26"/>
          <w:szCs w:val="26"/>
        </w:rPr>
      </w:pPr>
    </w:p>
    <w:p w14:paraId="6CEF406B" w14:textId="0F02CB78" w:rsidR="00EF6F4F" w:rsidRPr="00E9174E" w:rsidRDefault="00EF6F4F" w:rsidP="00E9174E">
      <w:pPr>
        <w:widowControl/>
        <w:spacing w:line="360" w:lineRule="auto"/>
        <w:ind w:firstLine="1440"/>
        <w:contextualSpacing/>
        <w:rPr>
          <w:sz w:val="26"/>
          <w:szCs w:val="26"/>
        </w:rPr>
      </w:pPr>
      <w:r w:rsidRPr="00E9174E">
        <w:rPr>
          <w:sz w:val="26"/>
          <w:szCs w:val="26"/>
        </w:rPr>
        <w:t>The main issue at litigation here is whether and how the ongoing COVID</w:t>
      </w:r>
      <w:r w:rsidR="000A5A45">
        <w:rPr>
          <w:sz w:val="26"/>
          <w:szCs w:val="26"/>
        </w:rPr>
        <w:noBreakHyphen/>
      </w:r>
      <w:r w:rsidRPr="00E9174E">
        <w:rPr>
          <w:sz w:val="26"/>
          <w:szCs w:val="26"/>
        </w:rPr>
        <w:t xml:space="preserve">19 global pandemic affects our </w:t>
      </w:r>
      <w:r w:rsidR="00AF53ED" w:rsidRPr="00E9174E">
        <w:rPr>
          <w:sz w:val="26"/>
          <w:szCs w:val="26"/>
        </w:rPr>
        <w:t xml:space="preserve">authority and discretion in determining </w:t>
      </w:r>
      <w:r w:rsidRPr="00E9174E">
        <w:rPr>
          <w:sz w:val="26"/>
          <w:szCs w:val="26"/>
        </w:rPr>
        <w:t xml:space="preserve">just and reasonable rates to be charged by Columbia during the prospective period in which its rates will be in effect.  </w:t>
      </w:r>
    </w:p>
    <w:p w14:paraId="586D48D8" w14:textId="77777777" w:rsidR="00EF6F4F" w:rsidRPr="00E9174E" w:rsidRDefault="00EF6F4F" w:rsidP="00E9174E">
      <w:pPr>
        <w:widowControl/>
        <w:spacing w:line="360" w:lineRule="auto"/>
        <w:ind w:firstLine="1440"/>
        <w:contextualSpacing/>
        <w:rPr>
          <w:sz w:val="26"/>
          <w:szCs w:val="26"/>
        </w:rPr>
      </w:pPr>
    </w:p>
    <w:p w14:paraId="14619719" w14:textId="54E5B02E" w:rsidR="00292789" w:rsidRPr="00E9174E" w:rsidRDefault="00DE29F9" w:rsidP="00E9174E">
      <w:pPr>
        <w:widowControl/>
        <w:spacing w:line="360" w:lineRule="auto"/>
        <w:ind w:firstLine="1440"/>
        <w:contextualSpacing/>
        <w:rPr>
          <w:sz w:val="26"/>
          <w:szCs w:val="26"/>
        </w:rPr>
      </w:pPr>
      <w:r w:rsidRPr="00E9174E">
        <w:rPr>
          <w:sz w:val="26"/>
          <w:szCs w:val="26"/>
        </w:rPr>
        <w:t xml:space="preserve">On the one hand, the ALJ and the opposing </w:t>
      </w:r>
      <w:r w:rsidR="00CF0CFC" w:rsidRPr="00E9174E">
        <w:rPr>
          <w:sz w:val="26"/>
          <w:szCs w:val="26"/>
        </w:rPr>
        <w:t>Parties</w:t>
      </w:r>
      <w:r w:rsidRPr="00E9174E">
        <w:rPr>
          <w:sz w:val="26"/>
          <w:szCs w:val="26"/>
        </w:rPr>
        <w:t xml:space="preserve"> - the OCA, CAAP, CAUSE-PA and CII – assert the Commission has broad discretion in its ratemaking authority, permitting the Commission to forego the use of its traditional ratemaking methodologies for setting a public utility’s base rates due to the unprecedented impact of and uncertainty surrounding this pandemic.</w:t>
      </w:r>
      <w:r w:rsidR="000D02CE" w:rsidRPr="00E9174E">
        <w:rPr>
          <w:rStyle w:val="FootnoteReference"/>
          <w:sz w:val="26"/>
          <w:szCs w:val="26"/>
        </w:rPr>
        <w:footnoteReference w:id="13"/>
      </w:r>
      <w:r w:rsidRPr="00E9174E">
        <w:rPr>
          <w:sz w:val="26"/>
          <w:szCs w:val="26"/>
        </w:rPr>
        <w:t xml:space="preserve">  Further, the ALJ and the opposing </w:t>
      </w:r>
      <w:r w:rsidR="00CF0CFC" w:rsidRPr="00E9174E">
        <w:rPr>
          <w:sz w:val="26"/>
          <w:szCs w:val="26"/>
        </w:rPr>
        <w:t>Parties</w:t>
      </w:r>
      <w:r w:rsidRPr="00E9174E">
        <w:rPr>
          <w:sz w:val="26"/>
          <w:szCs w:val="26"/>
        </w:rPr>
        <w:t xml:space="preserve"> </w:t>
      </w:r>
      <w:r w:rsidR="001E7135" w:rsidRPr="00E9174E">
        <w:rPr>
          <w:sz w:val="26"/>
          <w:szCs w:val="26"/>
        </w:rPr>
        <w:t>argue</w:t>
      </w:r>
      <w:r w:rsidRPr="00E9174E">
        <w:rPr>
          <w:sz w:val="26"/>
          <w:szCs w:val="26"/>
        </w:rPr>
        <w:t xml:space="preserve"> that a proper exercise of the Commission’s </w:t>
      </w:r>
      <w:r w:rsidR="00292789" w:rsidRPr="00E9174E">
        <w:rPr>
          <w:sz w:val="26"/>
          <w:szCs w:val="26"/>
        </w:rPr>
        <w:t xml:space="preserve">ratemaking </w:t>
      </w:r>
      <w:r w:rsidR="00AF53ED" w:rsidRPr="00E9174E">
        <w:rPr>
          <w:sz w:val="26"/>
          <w:szCs w:val="26"/>
        </w:rPr>
        <w:t xml:space="preserve">authority and </w:t>
      </w:r>
      <w:r w:rsidR="00292789" w:rsidRPr="00E9174E">
        <w:rPr>
          <w:sz w:val="26"/>
          <w:szCs w:val="26"/>
        </w:rPr>
        <w:t xml:space="preserve">discretion is to completely deny </w:t>
      </w:r>
      <w:r w:rsidRPr="00E9174E">
        <w:rPr>
          <w:sz w:val="26"/>
          <w:szCs w:val="26"/>
        </w:rPr>
        <w:t>Columbia’s revenue increase</w:t>
      </w:r>
      <w:r w:rsidR="001E7135" w:rsidRPr="00E9174E">
        <w:rPr>
          <w:sz w:val="26"/>
          <w:szCs w:val="26"/>
        </w:rPr>
        <w:t xml:space="preserve"> </w:t>
      </w:r>
      <w:r w:rsidRPr="00E9174E">
        <w:rPr>
          <w:sz w:val="26"/>
          <w:szCs w:val="26"/>
        </w:rPr>
        <w:t xml:space="preserve">request due to: (1) the financial impact of the </w:t>
      </w:r>
      <w:r w:rsidR="00292789" w:rsidRPr="00E9174E">
        <w:rPr>
          <w:sz w:val="26"/>
          <w:szCs w:val="26"/>
        </w:rPr>
        <w:t xml:space="preserve">COVID-19 </w:t>
      </w:r>
      <w:r w:rsidRPr="00E9174E">
        <w:rPr>
          <w:sz w:val="26"/>
          <w:szCs w:val="26"/>
        </w:rPr>
        <w:t>pandemic on certain customers</w:t>
      </w:r>
      <w:r w:rsidR="00686579" w:rsidRPr="00E9174E">
        <w:rPr>
          <w:sz w:val="26"/>
          <w:szCs w:val="26"/>
        </w:rPr>
        <w:t>;</w:t>
      </w:r>
      <w:r w:rsidRPr="00E9174E">
        <w:rPr>
          <w:sz w:val="26"/>
          <w:szCs w:val="26"/>
        </w:rPr>
        <w:t xml:space="preserve"> (2) the inability of Columbia to prove the accuracy of its FPFTY data based on historic data that predates the pandemic</w:t>
      </w:r>
      <w:r w:rsidR="00686579" w:rsidRPr="00E9174E">
        <w:rPr>
          <w:sz w:val="26"/>
          <w:szCs w:val="26"/>
        </w:rPr>
        <w:t>;</w:t>
      </w:r>
      <w:r w:rsidRPr="00E9174E">
        <w:rPr>
          <w:sz w:val="26"/>
          <w:szCs w:val="26"/>
        </w:rPr>
        <w:t xml:space="preserve"> and (3)</w:t>
      </w:r>
      <w:r w:rsidR="000A5A45">
        <w:rPr>
          <w:sz w:val="26"/>
          <w:szCs w:val="26"/>
        </w:rPr>
        <w:t> </w:t>
      </w:r>
      <w:r w:rsidRPr="00E9174E">
        <w:rPr>
          <w:sz w:val="26"/>
          <w:szCs w:val="26"/>
        </w:rPr>
        <w:t xml:space="preserve">the fact that, under currently effective rates, Columbia will still be able to provide safe and reasonable utility service while having the opportunity to earn a positive return on equity, albeit at a lower rate than what it requested.  </w:t>
      </w:r>
    </w:p>
    <w:p w14:paraId="15FD05D1" w14:textId="77777777" w:rsidR="00292789" w:rsidRPr="00E9174E" w:rsidRDefault="00292789" w:rsidP="00E9174E">
      <w:pPr>
        <w:widowControl/>
        <w:spacing w:line="360" w:lineRule="auto"/>
        <w:ind w:firstLine="1440"/>
        <w:contextualSpacing/>
        <w:rPr>
          <w:sz w:val="26"/>
          <w:szCs w:val="26"/>
        </w:rPr>
      </w:pPr>
    </w:p>
    <w:p w14:paraId="2DA9740C" w14:textId="6B3C23B8" w:rsidR="00EF6F4F" w:rsidRPr="00E9174E" w:rsidRDefault="00292789" w:rsidP="00E9174E">
      <w:pPr>
        <w:widowControl/>
        <w:spacing w:line="360" w:lineRule="auto"/>
        <w:ind w:firstLine="1440"/>
        <w:contextualSpacing/>
        <w:rPr>
          <w:sz w:val="26"/>
          <w:szCs w:val="26"/>
        </w:rPr>
      </w:pPr>
      <w:r w:rsidRPr="00E9174E">
        <w:rPr>
          <w:sz w:val="26"/>
          <w:szCs w:val="26"/>
        </w:rPr>
        <w:lastRenderedPageBreak/>
        <w:t xml:space="preserve">On the other hand, </w:t>
      </w:r>
      <w:r w:rsidR="00EF6F4F" w:rsidRPr="00E9174E">
        <w:rPr>
          <w:sz w:val="26"/>
          <w:szCs w:val="26"/>
        </w:rPr>
        <w:t xml:space="preserve">Columbia argues that the Commission’s ratemaking </w:t>
      </w:r>
      <w:r w:rsidR="00AF53ED" w:rsidRPr="00E9174E">
        <w:rPr>
          <w:sz w:val="26"/>
          <w:szCs w:val="26"/>
        </w:rPr>
        <w:t>discretion</w:t>
      </w:r>
      <w:r w:rsidR="00EF6F4F" w:rsidRPr="00E9174E">
        <w:rPr>
          <w:sz w:val="26"/>
          <w:szCs w:val="26"/>
        </w:rPr>
        <w:t xml:space="preserve"> is limited to the use of a prescribed “ratemaking formula”</w:t>
      </w:r>
      <w:r w:rsidR="00E8137D" w:rsidRPr="00E9174E">
        <w:rPr>
          <w:sz w:val="26"/>
          <w:szCs w:val="26"/>
        </w:rPr>
        <w:t xml:space="preserve"> in carrying out its authority in setting just and reasonable rates.</w:t>
      </w:r>
      <w:r w:rsidR="00EF6F4F" w:rsidRPr="00E9174E">
        <w:rPr>
          <w:sz w:val="26"/>
          <w:szCs w:val="26"/>
        </w:rPr>
        <w:t xml:space="preserve">  It argues that for the Commission to summarily deny its requested rate increase</w:t>
      </w:r>
      <w:r w:rsidR="0001295E" w:rsidRPr="00E9174E">
        <w:rPr>
          <w:sz w:val="26"/>
          <w:szCs w:val="26"/>
        </w:rPr>
        <w:t>,</w:t>
      </w:r>
      <w:r w:rsidR="00EF6F4F" w:rsidRPr="00E9174E">
        <w:rPr>
          <w:sz w:val="26"/>
          <w:szCs w:val="26"/>
        </w:rPr>
        <w:t xml:space="preserve"> based on the pandemic’s impact</w:t>
      </w:r>
      <w:r w:rsidR="0001295E" w:rsidRPr="00E9174E">
        <w:rPr>
          <w:sz w:val="26"/>
          <w:szCs w:val="26"/>
        </w:rPr>
        <w:t>,</w:t>
      </w:r>
      <w:r w:rsidR="00EF6F4F" w:rsidRPr="00E9174E">
        <w:rPr>
          <w:sz w:val="26"/>
          <w:szCs w:val="26"/>
        </w:rPr>
        <w:t xml:space="preserve"> would (1)</w:t>
      </w:r>
      <w:r w:rsidR="000A5A45">
        <w:rPr>
          <w:sz w:val="26"/>
          <w:szCs w:val="26"/>
        </w:rPr>
        <w:t> </w:t>
      </w:r>
      <w:r w:rsidR="00EF6F4F" w:rsidRPr="00E9174E">
        <w:rPr>
          <w:sz w:val="26"/>
          <w:szCs w:val="26"/>
        </w:rPr>
        <w:t xml:space="preserve">amount to an abuse of the Commission’s discretion and (2) result in a rate of return that is in violation of the constitutional standards set forth in </w:t>
      </w:r>
      <w:r w:rsidR="00EF6F4F" w:rsidRPr="00E9174E">
        <w:rPr>
          <w:i/>
          <w:iCs/>
          <w:sz w:val="26"/>
          <w:szCs w:val="26"/>
        </w:rPr>
        <w:t xml:space="preserve">Bluefield </w:t>
      </w:r>
      <w:r w:rsidR="00EF6F4F" w:rsidRPr="00E9174E">
        <w:rPr>
          <w:sz w:val="26"/>
          <w:szCs w:val="26"/>
        </w:rPr>
        <w:t xml:space="preserve">and </w:t>
      </w:r>
      <w:r w:rsidR="00EF6F4F" w:rsidRPr="00E9174E">
        <w:rPr>
          <w:i/>
          <w:iCs/>
          <w:sz w:val="26"/>
          <w:szCs w:val="26"/>
        </w:rPr>
        <w:t>Hope Natural Gas</w:t>
      </w:r>
      <w:r w:rsidR="00EF6F4F" w:rsidRPr="00E9174E">
        <w:rPr>
          <w:sz w:val="26"/>
          <w:szCs w:val="26"/>
        </w:rPr>
        <w:t xml:space="preserve">.  Columbia suggests that “traditional ratemaking models” leave little to no room for consideration of the impact of this pandemic.  Rather, according to Columbia, the Commission may address the impact of the pandemic on customer rates by </w:t>
      </w:r>
      <w:r w:rsidR="00CF2754" w:rsidRPr="00E9174E">
        <w:rPr>
          <w:sz w:val="26"/>
          <w:szCs w:val="26"/>
        </w:rPr>
        <w:t xml:space="preserve">approving a </w:t>
      </w:r>
      <w:r w:rsidR="00EF6F4F" w:rsidRPr="00E9174E">
        <w:rPr>
          <w:sz w:val="26"/>
          <w:szCs w:val="26"/>
        </w:rPr>
        <w:t>utility-</w:t>
      </w:r>
      <w:r w:rsidR="00CF2754" w:rsidRPr="00E9174E">
        <w:rPr>
          <w:sz w:val="26"/>
          <w:szCs w:val="26"/>
        </w:rPr>
        <w:t>consented to</w:t>
      </w:r>
      <w:r w:rsidR="00EF6F4F" w:rsidRPr="00E9174E">
        <w:rPr>
          <w:sz w:val="26"/>
          <w:szCs w:val="26"/>
        </w:rPr>
        <w:t xml:space="preserve"> “phase-in” of the </w:t>
      </w:r>
      <w:r w:rsidR="005C53F0" w:rsidRPr="00E9174E">
        <w:rPr>
          <w:sz w:val="26"/>
          <w:szCs w:val="26"/>
        </w:rPr>
        <w:t>Commission-</w:t>
      </w:r>
      <w:r w:rsidR="00EF6F4F" w:rsidRPr="00E9174E">
        <w:rPr>
          <w:sz w:val="26"/>
          <w:szCs w:val="26"/>
        </w:rPr>
        <w:t>approved revenue increase</w:t>
      </w:r>
      <w:r w:rsidR="00EF6F4F" w:rsidRPr="00E9174E">
        <w:rPr>
          <w:rStyle w:val="FootnoteReference"/>
          <w:sz w:val="26"/>
          <w:szCs w:val="26"/>
        </w:rPr>
        <w:footnoteReference w:id="14"/>
      </w:r>
      <w:r w:rsidR="00EF6F4F" w:rsidRPr="00E9174E">
        <w:rPr>
          <w:sz w:val="26"/>
          <w:szCs w:val="26"/>
        </w:rPr>
        <w:t xml:space="preserve"> and/or by approving appropriate customer assistance programs to be offered by the Company.  </w:t>
      </w:r>
    </w:p>
    <w:p w14:paraId="4021FC84" w14:textId="77777777" w:rsidR="00EF6F4F" w:rsidRPr="00E9174E" w:rsidRDefault="00EF6F4F" w:rsidP="00E9174E">
      <w:pPr>
        <w:widowControl/>
        <w:spacing w:line="360" w:lineRule="auto"/>
        <w:ind w:firstLine="1440"/>
        <w:contextualSpacing/>
        <w:rPr>
          <w:sz w:val="26"/>
          <w:szCs w:val="26"/>
        </w:rPr>
      </w:pPr>
    </w:p>
    <w:p w14:paraId="671E44EE" w14:textId="048C16E3" w:rsidR="00260A58" w:rsidRDefault="00EF6F4F" w:rsidP="00B86ECB">
      <w:pPr>
        <w:pStyle w:val="FootnoteText"/>
        <w:ind w:firstLine="1440"/>
        <w:jc w:val="left"/>
        <w:rPr>
          <w:rFonts w:eastAsiaTheme="minorEastAsia"/>
          <w:sz w:val="26"/>
          <w:szCs w:val="26"/>
        </w:rPr>
      </w:pPr>
      <w:r w:rsidRPr="00E9174E">
        <w:rPr>
          <w:sz w:val="26"/>
          <w:szCs w:val="26"/>
        </w:rPr>
        <w:t>After careful review of the applic</w:t>
      </w:r>
      <w:r w:rsidR="00605AA7">
        <w:rPr>
          <w:sz w:val="26"/>
          <w:szCs w:val="26"/>
        </w:rPr>
        <w:t>a</w:t>
      </w:r>
      <w:r w:rsidRPr="00E9174E">
        <w:rPr>
          <w:sz w:val="26"/>
          <w:szCs w:val="26"/>
        </w:rPr>
        <w:t>ble legal standards, constitutional standards, and our prior rate orders, we believe neither position is</w:t>
      </w:r>
      <w:r w:rsidR="00F45233" w:rsidRPr="00E9174E">
        <w:rPr>
          <w:sz w:val="26"/>
          <w:szCs w:val="26"/>
        </w:rPr>
        <w:t xml:space="preserve"> fully</w:t>
      </w:r>
      <w:r w:rsidRPr="00E9174E">
        <w:rPr>
          <w:sz w:val="26"/>
          <w:szCs w:val="26"/>
        </w:rPr>
        <w:t xml:space="preserve"> correct.</w:t>
      </w:r>
      <w:r w:rsidR="00534002" w:rsidRPr="00E9174E">
        <w:rPr>
          <w:sz w:val="26"/>
          <w:szCs w:val="26"/>
        </w:rPr>
        <w:t xml:space="preserve">  </w:t>
      </w:r>
      <w:r w:rsidR="00F45233" w:rsidRPr="00E9174E">
        <w:rPr>
          <w:sz w:val="26"/>
          <w:szCs w:val="26"/>
        </w:rPr>
        <w:t>As an initial matter, w</w:t>
      </w:r>
      <w:r w:rsidRPr="00E9174E">
        <w:rPr>
          <w:sz w:val="26"/>
          <w:szCs w:val="26"/>
        </w:rPr>
        <w:t xml:space="preserve">e </w:t>
      </w:r>
      <w:r w:rsidR="00F45233" w:rsidRPr="00E9174E">
        <w:rPr>
          <w:sz w:val="26"/>
          <w:szCs w:val="26"/>
        </w:rPr>
        <w:t xml:space="preserve">must </w:t>
      </w:r>
      <w:r w:rsidRPr="00E9174E">
        <w:rPr>
          <w:sz w:val="26"/>
          <w:szCs w:val="26"/>
        </w:rPr>
        <w:t xml:space="preserve">reject the notion articulated by Columbia that there is a prescribed “ratemaking formula” that the Commission must adhere to when determining just and reasonable rates.  </w:t>
      </w:r>
      <w:r w:rsidR="00B86ECB" w:rsidRPr="00022E11">
        <w:rPr>
          <w:sz w:val="26"/>
          <w:szCs w:val="26"/>
        </w:rPr>
        <w:t xml:space="preserve">Rather, </w:t>
      </w:r>
      <w:r w:rsidR="00B86ECB">
        <w:rPr>
          <w:sz w:val="26"/>
          <w:szCs w:val="26"/>
        </w:rPr>
        <w:t xml:space="preserve">the Commission </w:t>
      </w:r>
      <w:r w:rsidR="00B86ECB" w:rsidRPr="00022E11">
        <w:rPr>
          <w:rFonts w:eastAsiaTheme="minorEastAsia"/>
          <w:sz w:val="26"/>
          <w:szCs w:val="26"/>
        </w:rPr>
        <w:t xml:space="preserve">“has broad discretion in determining whether rates are reasonable” and “is vested with discretion to decide what factors it will consider in setting or evaluating a utility’s rates.” </w:t>
      </w:r>
      <w:r w:rsidR="00B86ECB">
        <w:rPr>
          <w:rFonts w:eastAsiaTheme="minorEastAsia"/>
          <w:sz w:val="26"/>
          <w:szCs w:val="26"/>
        </w:rPr>
        <w:t xml:space="preserve"> </w:t>
      </w:r>
      <w:r w:rsidR="00B86ECB" w:rsidRPr="00022E11">
        <w:rPr>
          <w:rFonts w:eastAsiaTheme="minorEastAsia"/>
          <w:i/>
          <w:iCs/>
          <w:sz w:val="26"/>
          <w:szCs w:val="26"/>
        </w:rPr>
        <w:t>Popowsky II</w:t>
      </w:r>
      <w:r w:rsidR="00B86ECB" w:rsidRPr="00022E11">
        <w:rPr>
          <w:rFonts w:eastAsiaTheme="minorEastAsia"/>
          <w:sz w:val="26"/>
          <w:szCs w:val="26"/>
        </w:rPr>
        <w:t>, 683 A.2d at 961.</w:t>
      </w:r>
      <w:r w:rsidR="00B86ECB">
        <w:rPr>
          <w:rFonts w:eastAsiaTheme="minorEastAsia"/>
          <w:sz w:val="26"/>
          <w:szCs w:val="26"/>
        </w:rPr>
        <w:t xml:space="preserve">  </w:t>
      </w:r>
      <w:r w:rsidR="00EE4BD2">
        <w:rPr>
          <w:rFonts w:eastAsiaTheme="minorEastAsia"/>
          <w:sz w:val="26"/>
          <w:szCs w:val="26"/>
        </w:rPr>
        <w:t>Included in the Commission’s broad ratemaking authority is the authority to approve alternative rates and rate mechanisms, includ</w:t>
      </w:r>
      <w:r w:rsidR="003D31F0">
        <w:rPr>
          <w:rFonts w:eastAsiaTheme="minorEastAsia"/>
          <w:sz w:val="26"/>
          <w:szCs w:val="26"/>
        </w:rPr>
        <w:t>ing</w:t>
      </w:r>
      <w:r w:rsidR="00EE4BD2">
        <w:rPr>
          <w:rFonts w:eastAsiaTheme="minorEastAsia"/>
          <w:sz w:val="26"/>
          <w:szCs w:val="26"/>
        </w:rPr>
        <w:t xml:space="preserve"> formula rates as well as decoupling mechanisms, </w:t>
      </w:r>
    </w:p>
    <w:p w14:paraId="3FC55468" w14:textId="77777777" w:rsidR="00260A58" w:rsidRDefault="00260A58">
      <w:pPr>
        <w:widowControl/>
        <w:spacing w:after="200" w:line="276" w:lineRule="auto"/>
        <w:rPr>
          <w:rFonts w:eastAsiaTheme="minorEastAsia"/>
          <w:sz w:val="26"/>
          <w:szCs w:val="26"/>
        </w:rPr>
      </w:pPr>
      <w:r>
        <w:rPr>
          <w:rFonts w:eastAsiaTheme="minorEastAsia"/>
          <w:sz w:val="26"/>
          <w:szCs w:val="26"/>
        </w:rPr>
        <w:br w:type="page"/>
      </w:r>
    </w:p>
    <w:p w14:paraId="4D38E7DF" w14:textId="0F475CF1" w:rsidR="00B86ECB" w:rsidRPr="00022E11" w:rsidRDefault="00EE4BD2" w:rsidP="00260A58">
      <w:pPr>
        <w:pStyle w:val="FootnoteText"/>
        <w:ind w:firstLine="0"/>
        <w:jc w:val="left"/>
        <w:rPr>
          <w:sz w:val="26"/>
          <w:szCs w:val="26"/>
        </w:rPr>
      </w:pPr>
      <w:r>
        <w:rPr>
          <w:rFonts w:eastAsiaTheme="minorEastAsia"/>
          <w:sz w:val="26"/>
          <w:szCs w:val="26"/>
        </w:rPr>
        <w:lastRenderedPageBreak/>
        <w:t>performance-based rates, and multiyear rate plans.  66 Pa. C.S. § 1330(b)</w:t>
      </w:r>
      <w:r w:rsidR="003D31F0">
        <w:rPr>
          <w:rFonts w:eastAsiaTheme="minorEastAsia"/>
          <w:sz w:val="26"/>
          <w:szCs w:val="26"/>
        </w:rPr>
        <w:t>(1)(</w:t>
      </w:r>
      <w:proofErr w:type="spellStart"/>
      <w:r w:rsidR="003D31F0">
        <w:rPr>
          <w:rFonts w:eastAsiaTheme="minorEastAsia"/>
          <w:sz w:val="26"/>
          <w:szCs w:val="26"/>
        </w:rPr>
        <w:t>i</w:t>
      </w:r>
      <w:proofErr w:type="spellEnd"/>
      <w:r w:rsidR="003D31F0">
        <w:rPr>
          <w:rFonts w:eastAsiaTheme="minorEastAsia"/>
          <w:sz w:val="26"/>
          <w:szCs w:val="26"/>
        </w:rPr>
        <w:t>)-(v)</w:t>
      </w:r>
      <w:r>
        <w:rPr>
          <w:rFonts w:eastAsiaTheme="minorEastAsia"/>
          <w:sz w:val="26"/>
          <w:szCs w:val="26"/>
        </w:rPr>
        <w:t>.</w:t>
      </w:r>
      <w:r w:rsidR="003D31F0">
        <w:rPr>
          <w:rStyle w:val="FootnoteReference"/>
          <w:rFonts w:eastAsiaTheme="minorEastAsia"/>
          <w:sz w:val="26"/>
          <w:szCs w:val="26"/>
        </w:rPr>
        <w:footnoteReference w:id="15"/>
      </w:r>
      <w:r>
        <w:rPr>
          <w:rFonts w:eastAsiaTheme="minorEastAsia"/>
          <w:sz w:val="26"/>
          <w:szCs w:val="26"/>
        </w:rPr>
        <w:t xml:space="preserve">  </w:t>
      </w:r>
      <w:r w:rsidR="00B86ECB" w:rsidRPr="00022E11">
        <w:rPr>
          <w:sz w:val="26"/>
          <w:szCs w:val="26"/>
        </w:rPr>
        <w:t xml:space="preserve">  </w:t>
      </w:r>
    </w:p>
    <w:p w14:paraId="1BB543F8" w14:textId="7F354F6C" w:rsidR="00EF6F4F" w:rsidRPr="00E9174E" w:rsidRDefault="00EF6F4F" w:rsidP="00E9174E">
      <w:pPr>
        <w:widowControl/>
        <w:spacing w:line="360" w:lineRule="auto"/>
        <w:ind w:firstLine="1440"/>
        <w:contextualSpacing/>
        <w:rPr>
          <w:sz w:val="26"/>
          <w:szCs w:val="26"/>
        </w:rPr>
      </w:pPr>
    </w:p>
    <w:p w14:paraId="282AA700" w14:textId="77777777" w:rsidR="0023007A" w:rsidRDefault="00EF6F4F" w:rsidP="00E9174E">
      <w:pPr>
        <w:widowControl/>
        <w:spacing w:line="360" w:lineRule="auto"/>
        <w:ind w:firstLine="1440"/>
        <w:contextualSpacing/>
        <w:rPr>
          <w:sz w:val="26"/>
          <w:szCs w:val="26"/>
        </w:rPr>
      </w:pPr>
      <w:r w:rsidRPr="00E9174E">
        <w:rPr>
          <w:sz w:val="26"/>
          <w:szCs w:val="26"/>
        </w:rPr>
        <w:t>With that said, we acknowledge that a set of ratemaking norms</w:t>
      </w:r>
      <w:r w:rsidRPr="00E9174E">
        <w:rPr>
          <w:rStyle w:val="FootnoteReference"/>
          <w:sz w:val="26"/>
          <w:szCs w:val="26"/>
        </w:rPr>
        <w:footnoteReference w:id="16"/>
      </w:r>
      <w:r w:rsidRPr="00E9174E">
        <w:rPr>
          <w:sz w:val="26"/>
          <w:szCs w:val="26"/>
        </w:rPr>
        <w:t xml:space="preserve"> have been developed over time and consistently utilized by parties in rate cases before the Commission to determine the appropriate level of a utility’s requested revenue increase in accordance with all applicable legal and constitutional standards.  These norms, or traditional ratemaking methodologies,</w:t>
      </w:r>
      <w:r w:rsidRPr="00E9174E">
        <w:rPr>
          <w:rStyle w:val="FootnoteReference"/>
          <w:sz w:val="26"/>
          <w:szCs w:val="26"/>
        </w:rPr>
        <w:footnoteReference w:id="17"/>
      </w:r>
      <w:r w:rsidRPr="00E9174E">
        <w:rPr>
          <w:sz w:val="26"/>
          <w:szCs w:val="26"/>
        </w:rPr>
        <w:t xml:space="preserve"> are used to determine a utility’s cost of providing </w:t>
      </w:r>
    </w:p>
    <w:p w14:paraId="738EA38A" w14:textId="77777777" w:rsidR="0023007A" w:rsidRDefault="0023007A">
      <w:pPr>
        <w:widowControl/>
        <w:spacing w:after="200" w:line="276" w:lineRule="auto"/>
        <w:rPr>
          <w:sz w:val="26"/>
          <w:szCs w:val="26"/>
        </w:rPr>
      </w:pPr>
      <w:r>
        <w:rPr>
          <w:sz w:val="26"/>
          <w:szCs w:val="26"/>
        </w:rPr>
        <w:br w:type="page"/>
      </w:r>
    </w:p>
    <w:p w14:paraId="7DA05EF3" w14:textId="07556EF7" w:rsidR="00890102" w:rsidRPr="00E9174E" w:rsidRDefault="00EF6F4F" w:rsidP="0023007A">
      <w:pPr>
        <w:widowControl/>
        <w:spacing w:line="360" w:lineRule="auto"/>
        <w:contextualSpacing/>
        <w:rPr>
          <w:sz w:val="26"/>
          <w:szCs w:val="26"/>
        </w:rPr>
      </w:pPr>
      <w:r w:rsidRPr="00E9174E">
        <w:rPr>
          <w:sz w:val="26"/>
          <w:szCs w:val="26"/>
        </w:rPr>
        <w:lastRenderedPageBreak/>
        <w:t>service, or its revenue requirement,</w:t>
      </w:r>
      <w:r w:rsidRPr="00E9174E">
        <w:rPr>
          <w:rStyle w:val="FootnoteReference"/>
          <w:sz w:val="26"/>
          <w:szCs w:val="26"/>
        </w:rPr>
        <w:footnoteReference w:id="18"/>
      </w:r>
      <w:r w:rsidRPr="00E9174E">
        <w:rPr>
          <w:sz w:val="26"/>
          <w:szCs w:val="26"/>
        </w:rPr>
        <w:t xml:space="preserve"> and to determine</w:t>
      </w:r>
      <w:r w:rsidR="00136330" w:rsidRPr="00E9174E">
        <w:rPr>
          <w:sz w:val="26"/>
          <w:szCs w:val="26"/>
        </w:rPr>
        <w:t xml:space="preserve"> appropriate</w:t>
      </w:r>
      <w:r w:rsidRPr="00E9174E">
        <w:rPr>
          <w:sz w:val="26"/>
          <w:szCs w:val="26"/>
        </w:rPr>
        <w:t xml:space="preserve"> </w:t>
      </w:r>
      <w:r w:rsidR="00C5477F" w:rsidRPr="00E9174E">
        <w:rPr>
          <w:sz w:val="26"/>
          <w:szCs w:val="26"/>
        </w:rPr>
        <w:t xml:space="preserve">rate </w:t>
      </w:r>
      <w:r w:rsidR="00136330" w:rsidRPr="00E9174E">
        <w:rPr>
          <w:sz w:val="26"/>
          <w:szCs w:val="26"/>
        </w:rPr>
        <w:t>structure</w:t>
      </w:r>
      <w:r w:rsidR="00C5477F" w:rsidRPr="00E9174E">
        <w:rPr>
          <w:sz w:val="26"/>
          <w:szCs w:val="26"/>
        </w:rPr>
        <w:t>, which includes</w:t>
      </w:r>
      <w:r w:rsidR="00F4675F" w:rsidRPr="00E9174E">
        <w:rPr>
          <w:sz w:val="26"/>
          <w:szCs w:val="26"/>
        </w:rPr>
        <w:t>, among other things,</w:t>
      </w:r>
      <w:r w:rsidR="00C5477F" w:rsidRPr="00E9174E">
        <w:rPr>
          <w:sz w:val="26"/>
          <w:szCs w:val="26"/>
        </w:rPr>
        <w:t xml:space="preserve"> the appropriate</w:t>
      </w:r>
      <w:r w:rsidRPr="00E9174E">
        <w:rPr>
          <w:sz w:val="26"/>
          <w:szCs w:val="26"/>
        </w:rPr>
        <w:t xml:space="preserve"> allocation of </w:t>
      </w:r>
      <w:r w:rsidR="004B6BB1" w:rsidRPr="00E9174E">
        <w:rPr>
          <w:sz w:val="26"/>
          <w:szCs w:val="26"/>
        </w:rPr>
        <w:t>the revenue requirement</w:t>
      </w:r>
      <w:r w:rsidRPr="00E9174E">
        <w:rPr>
          <w:sz w:val="26"/>
          <w:szCs w:val="26"/>
        </w:rPr>
        <w:t xml:space="preserve"> to various customer classes. </w:t>
      </w:r>
      <w:r w:rsidR="00971108" w:rsidRPr="00E9174E">
        <w:rPr>
          <w:sz w:val="26"/>
          <w:szCs w:val="26"/>
        </w:rPr>
        <w:t xml:space="preserve"> </w:t>
      </w:r>
      <w:r w:rsidR="00890102" w:rsidRPr="00E9174E">
        <w:rPr>
          <w:sz w:val="26"/>
          <w:szCs w:val="26"/>
        </w:rPr>
        <w:t xml:space="preserve">However, as discussed in </w:t>
      </w:r>
      <w:r w:rsidR="00433F74" w:rsidRPr="00E9174E">
        <w:rPr>
          <w:sz w:val="26"/>
          <w:szCs w:val="26"/>
        </w:rPr>
        <w:t xml:space="preserve">more </w:t>
      </w:r>
      <w:r w:rsidR="00890102" w:rsidRPr="00E9174E">
        <w:rPr>
          <w:sz w:val="26"/>
          <w:szCs w:val="26"/>
        </w:rPr>
        <w:t>depth below, we reject the notion that our</w:t>
      </w:r>
      <w:r w:rsidR="00433F74" w:rsidRPr="00E9174E">
        <w:rPr>
          <w:sz w:val="26"/>
          <w:szCs w:val="26"/>
        </w:rPr>
        <w:t xml:space="preserve"> continued</w:t>
      </w:r>
      <w:r w:rsidR="00890102" w:rsidRPr="00E9174E">
        <w:rPr>
          <w:sz w:val="26"/>
          <w:szCs w:val="26"/>
        </w:rPr>
        <w:t xml:space="preserve"> use of these traditional ratemaking methodologies to determine the utility’s cost of service somehow inherently limits our consideration and weighing of </w:t>
      </w:r>
      <w:r w:rsidR="00890102" w:rsidRPr="00E9174E">
        <w:rPr>
          <w:sz w:val="26"/>
          <w:szCs w:val="26"/>
        </w:rPr>
        <w:lastRenderedPageBreak/>
        <w:t>important factors or principles in setting just and reasonable rates, such as quality of service,</w:t>
      </w:r>
      <w:r w:rsidR="00890102" w:rsidRPr="00E9174E">
        <w:rPr>
          <w:rStyle w:val="FootnoteReference"/>
          <w:sz w:val="26"/>
          <w:szCs w:val="26"/>
        </w:rPr>
        <w:footnoteReference w:id="19"/>
      </w:r>
      <w:r w:rsidR="00890102" w:rsidRPr="00E9174E">
        <w:rPr>
          <w:sz w:val="26"/>
          <w:szCs w:val="26"/>
        </w:rPr>
        <w:t xml:space="preserve"> gradualism,</w:t>
      </w:r>
      <w:r w:rsidR="00890102" w:rsidRPr="00E9174E">
        <w:rPr>
          <w:rStyle w:val="FootnoteReference"/>
          <w:sz w:val="26"/>
          <w:szCs w:val="26"/>
        </w:rPr>
        <w:footnoteReference w:id="20"/>
      </w:r>
      <w:r w:rsidR="00890102" w:rsidRPr="00E9174E">
        <w:rPr>
          <w:sz w:val="26"/>
          <w:szCs w:val="26"/>
        </w:rPr>
        <w:t xml:space="preserve"> and rate affordability,</w:t>
      </w:r>
      <w:r w:rsidR="00890102" w:rsidRPr="00E9174E">
        <w:rPr>
          <w:rStyle w:val="FootnoteReference"/>
          <w:sz w:val="26"/>
          <w:szCs w:val="26"/>
        </w:rPr>
        <w:footnoteReference w:id="21"/>
      </w:r>
      <w:r w:rsidR="00890102" w:rsidRPr="00E9174E">
        <w:rPr>
          <w:sz w:val="26"/>
          <w:szCs w:val="26"/>
        </w:rPr>
        <w:t xml:space="preserve"> during this pandemic.</w:t>
      </w:r>
      <w:r w:rsidR="00222174" w:rsidRPr="00E9174E">
        <w:rPr>
          <w:sz w:val="26"/>
          <w:szCs w:val="26"/>
        </w:rPr>
        <w:t xml:space="preserve">  </w:t>
      </w:r>
    </w:p>
    <w:p w14:paraId="7927B292" w14:textId="77777777" w:rsidR="00890102" w:rsidRPr="00E9174E" w:rsidRDefault="00890102" w:rsidP="00E9174E">
      <w:pPr>
        <w:widowControl/>
        <w:spacing w:line="360" w:lineRule="auto"/>
        <w:ind w:firstLine="1440"/>
        <w:contextualSpacing/>
        <w:rPr>
          <w:sz w:val="26"/>
          <w:szCs w:val="26"/>
        </w:rPr>
      </w:pPr>
    </w:p>
    <w:p w14:paraId="13FD51DF" w14:textId="47062ADB" w:rsidR="00EF6F4F" w:rsidRPr="00E9174E" w:rsidRDefault="00EF6F4F" w:rsidP="00E9174E">
      <w:pPr>
        <w:widowControl/>
        <w:spacing w:line="360" w:lineRule="auto"/>
        <w:ind w:firstLine="1440"/>
        <w:contextualSpacing/>
        <w:rPr>
          <w:sz w:val="26"/>
          <w:szCs w:val="26"/>
        </w:rPr>
      </w:pPr>
      <w:r w:rsidRPr="00E9174E">
        <w:rPr>
          <w:sz w:val="26"/>
          <w:szCs w:val="26"/>
        </w:rPr>
        <w:t>Under these traditional methodologies, a utility’s</w:t>
      </w:r>
      <w:r w:rsidR="00514977" w:rsidRPr="00E9174E">
        <w:rPr>
          <w:sz w:val="26"/>
          <w:szCs w:val="26"/>
        </w:rPr>
        <w:t xml:space="preserve"> cost of service, or</w:t>
      </w:r>
      <w:r w:rsidRPr="00E9174E">
        <w:rPr>
          <w:sz w:val="26"/>
          <w:szCs w:val="26"/>
        </w:rPr>
        <w:t xml:space="preserve"> revenue requirement</w:t>
      </w:r>
      <w:r w:rsidR="00514977" w:rsidRPr="00E9174E">
        <w:rPr>
          <w:sz w:val="26"/>
          <w:szCs w:val="26"/>
        </w:rPr>
        <w:t xml:space="preserve">, </w:t>
      </w:r>
      <w:r w:rsidRPr="00E9174E">
        <w:rPr>
          <w:sz w:val="26"/>
          <w:szCs w:val="26"/>
        </w:rPr>
        <w:t xml:space="preserve">is </w:t>
      </w:r>
      <w:r w:rsidR="00514977" w:rsidRPr="00E9174E">
        <w:rPr>
          <w:sz w:val="26"/>
          <w:szCs w:val="26"/>
        </w:rPr>
        <w:t xml:space="preserve">determined </w:t>
      </w:r>
      <w:r w:rsidR="00971108" w:rsidRPr="00E9174E">
        <w:rPr>
          <w:sz w:val="26"/>
          <w:szCs w:val="26"/>
        </w:rPr>
        <w:t xml:space="preserve">typically </w:t>
      </w:r>
      <w:r w:rsidR="00514977" w:rsidRPr="00E9174E">
        <w:rPr>
          <w:sz w:val="26"/>
          <w:szCs w:val="26"/>
        </w:rPr>
        <w:t xml:space="preserve">through the </w:t>
      </w:r>
      <w:r w:rsidR="005B4E04" w:rsidRPr="00E9174E">
        <w:rPr>
          <w:sz w:val="26"/>
          <w:szCs w:val="26"/>
        </w:rPr>
        <w:t>examination of the</w:t>
      </w:r>
      <w:r w:rsidRPr="00E9174E">
        <w:rPr>
          <w:sz w:val="26"/>
          <w:szCs w:val="26"/>
        </w:rPr>
        <w:t xml:space="preserve"> following two main components: (1) the allowed total expense claim, plus (2) the allowed return on investment.  The allowed total expense claim typically includes the utility’s operating expenses,</w:t>
      </w:r>
      <w:r w:rsidRPr="00E9174E">
        <w:rPr>
          <w:rStyle w:val="FootnoteReference"/>
          <w:sz w:val="26"/>
          <w:szCs w:val="26"/>
        </w:rPr>
        <w:footnoteReference w:id="22"/>
      </w:r>
      <w:r w:rsidRPr="00E9174E">
        <w:rPr>
          <w:sz w:val="26"/>
          <w:szCs w:val="26"/>
        </w:rPr>
        <w:t xml:space="preserve"> depreciation expense, and taxes that are found to be prudent, reasonably necessary, and fully substantiated in the FPFTY.</w:t>
      </w:r>
      <w:r w:rsidRPr="00E9174E">
        <w:rPr>
          <w:rStyle w:val="FootnoteReference"/>
          <w:sz w:val="26"/>
          <w:szCs w:val="26"/>
        </w:rPr>
        <w:t xml:space="preserve"> </w:t>
      </w:r>
      <w:r w:rsidRPr="00E9174E">
        <w:rPr>
          <w:rStyle w:val="FootnoteReference"/>
          <w:sz w:val="26"/>
          <w:szCs w:val="26"/>
        </w:rPr>
        <w:footnoteReference w:id="23"/>
      </w:r>
      <w:r w:rsidRPr="00E9174E">
        <w:rPr>
          <w:sz w:val="26"/>
          <w:szCs w:val="26"/>
        </w:rPr>
        <w:t xml:space="preserve">  The allowed return on investment is typically determined by multiplying the utility’s allowed rate base claim by the fair rate of return.</w:t>
      </w:r>
      <w:r w:rsidRPr="00E9174E">
        <w:rPr>
          <w:rStyle w:val="FootnoteReference"/>
          <w:sz w:val="26"/>
          <w:szCs w:val="26"/>
        </w:rPr>
        <w:footnoteReference w:id="24"/>
      </w:r>
      <w:r w:rsidRPr="00E9174E">
        <w:rPr>
          <w:sz w:val="26"/>
          <w:szCs w:val="26"/>
        </w:rPr>
        <w:t xml:space="preserve">  The allowed rate base claim is typically found to be the net plant (gross plant less accumulated depreciation) plus any other capital items reasonably necessary to provide utility service funded with investor capital, as fully substantiated in the FPFTY.</w:t>
      </w:r>
      <w:r w:rsidRPr="00E9174E">
        <w:rPr>
          <w:rStyle w:val="FootnoteReference"/>
          <w:sz w:val="26"/>
          <w:szCs w:val="26"/>
        </w:rPr>
        <w:footnoteReference w:id="25"/>
      </w:r>
      <w:r w:rsidRPr="00E9174E">
        <w:rPr>
          <w:sz w:val="26"/>
          <w:szCs w:val="26"/>
        </w:rPr>
        <w:t xml:space="preserve">  </w:t>
      </w:r>
      <w:r w:rsidRPr="00E9174E">
        <w:rPr>
          <w:sz w:val="26"/>
          <w:szCs w:val="26"/>
        </w:rPr>
        <w:lastRenderedPageBreak/>
        <w:t>Meanwhile, the fair rate of return is typically calculated based on the utility’s capital structure and the cost of capital</w:t>
      </w:r>
      <w:r w:rsidRPr="00E9174E">
        <w:rPr>
          <w:rStyle w:val="FootnoteReference"/>
          <w:sz w:val="26"/>
          <w:szCs w:val="26"/>
        </w:rPr>
        <w:footnoteReference w:id="26"/>
      </w:r>
      <w:r w:rsidRPr="00E9174E">
        <w:rPr>
          <w:sz w:val="26"/>
          <w:szCs w:val="26"/>
        </w:rPr>
        <w:t xml:space="preserve"> during the period in issue.  </w:t>
      </w:r>
    </w:p>
    <w:p w14:paraId="50FEBE08" w14:textId="77777777" w:rsidR="00EF6F4F" w:rsidRPr="00E9174E" w:rsidRDefault="00EF6F4F" w:rsidP="00E9174E">
      <w:pPr>
        <w:widowControl/>
        <w:spacing w:line="360" w:lineRule="auto"/>
        <w:ind w:firstLine="1440"/>
        <w:contextualSpacing/>
        <w:rPr>
          <w:sz w:val="26"/>
          <w:szCs w:val="26"/>
        </w:rPr>
      </w:pPr>
    </w:p>
    <w:p w14:paraId="5AFF3194" w14:textId="4672A5C4" w:rsidR="004C596E" w:rsidRDefault="00EF6F4F" w:rsidP="00E9174E">
      <w:pPr>
        <w:widowControl/>
        <w:spacing w:line="360" w:lineRule="auto"/>
        <w:ind w:firstLine="1440"/>
        <w:contextualSpacing/>
        <w:rPr>
          <w:sz w:val="26"/>
          <w:szCs w:val="26"/>
        </w:rPr>
      </w:pPr>
      <w:r w:rsidRPr="00E9174E">
        <w:rPr>
          <w:sz w:val="26"/>
          <w:szCs w:val="26"/>
        </w:rPr>
        <w:t>While these ratemaking norms provide a rational and methodical way to analyze and determine the utility’s cost of service, they also permit the consideration and weighing of important factors or principles in setting just and reasonable rates, such as quality of service, gradualism and rate affordability.  This is true in normal circumstances as well as extraordinary circumstances, such as this pandemic.</w:t>
      </w:r>
      <w:r w:rsidRPr="00E9174E">
        <w:rPr>
          <w:rStyle w:val="FootnoteReference"/>
          <w:sz w:val="26"/>
          <w:szCs w:val="26"/>
        </w:rPr>
        <w:footnoteReference w:id="27"/>
      </w:r>
      <w:r w:rsidRPr="00E9174E">
        <w:rPr>
          <w:sz w:val="26"/>
          <w:szCs w:val="26"/>
        </w:rPr>
        <w:t xml:space="preserve">  Indeed, in our opinion, the applicable legal standards that require the Commission to balance between the interests of the utility’s customers, investors, and the public interest, require the Commission, by necessary implication, to weigh evidence or unique considerations related to changes in service, market forces, and the economy.  </w:t>
      </w:r>
      <w:r w:rsidR="000045DF" w:rsidRPr="00E9174E">
        <w:rPr>
          <w:sz w:val="26"/>
          <w:szCs w:val="26"/>
        </w:rPr>
        <w:t>T</w:t>
      </w:r>
      <w:r w:rsidR="009C598B" w:rsidRPr="00E9174E">
        <w:rPr>
          <w:sz w:val="26"/>
          <w:szCs w:val="26"/>
        </w:rPr>
        <w:t xml:space="preserve">hus, it is our responsibility </w:t>
      </w:r>
      <w:r w:rsidR="00580D01" w:rsidRPr="00E9174E">
        <w:rPr>
          <w:sz w:val="26"/>
          <w:szCs w:val="26"/>
        </w:rPr>
        <w:t>under the</w:t>
      </w:r>
      <w:r w:rsidR="00571448" w:rsidRPr="00E9174E">
        <w:rPr>
          <w:sz w:val="26"/>
          <w:szCs w:val="26"/>
        </w:rPr>
        <w:t xml:space="preserve"> applicable</w:t>
      </w:r>
      <w:r w:rsidR="00580D01" w:rsidRPr="00E9174E">
        <w:rPr>
          <w:sz w:val="26"/>
          <w:szCs w:val="26"/>
        </w:rPr>
        <w:t xml:space="preserve"> legal </w:t>
      </w:r>
      <w:r w:rsidR="00571448" w:rsidRPr="00E9174E">
        <w:rPr>
          <w:sz w:val="26"/>
          <w:szCs w:val="26"/>
        </w:rPr>
        <w:t xml:space="preserve">and constitutional </w:t>
      </w:r>
      <w:r w:rsidR="00580D01" w:rsidRPr="00E9174E">
        <w:rPr>
          <w:sz w:val="26"/>
          <w:szCs w:val="26"/>
        </w:rPr>
        <w:t xml:space="preserve">standards </w:t>
      </w:r>
      <w:r w:rsidR="009C598B" w:rsidRPr="00E9174E">
        <w:rPr>
          <w:sz w:val="26"/>
          <w:szCs w:val="26"/>
        </w:rPr>
        <w:t>to weigh evidence and unique considerations related to the COVID-19 pandemic in setting just and reasonable rates</w:t>
      </w:r>
      <w:r w:rsidR="00580D01" w:rsidRPr="00E9174E">
        <w:rPr>
          <w:sz w:val="26"/>
          <w:szCs w:val="26"/>
        </w:rPr>
        <w:t xml:space="preserve">, and </w:t>
      </w:r>
      <w:r w:rsidR="001F72BC" w:rsidRPr="00E9174E">
        <w:rPr>
          <w:sz w:val="26"/>
          <w:szCs w:val="26"/>
        </w:rPr>
        <w:t>our</w:t>
      </w:r>
      <w:r w:rsidR="00580D01" w:rsidRPr="00E9174E">
        <w:rPr>
          <w:sz w:val="26"/>
          <w:szCs w:val="26"/>
        </w:rPr>
        <w:t xml:space="preserve"> continued use of traditional ratemaking methodologies </w:t>
      </w:r>
      <w:r w:rsidR="001F72BC" w:rsidRPr="00E9174E">
        <w:rPr>
          <w:sz w:val="26"/>
          <w:szCs w:val="26"/>
        </w:rPr>
        <w:t xml:space="preserve">permit our consideration of </w:t>
      </w:r>
      <w:r w:rsidR="00571448" w:rsidRPr="00E9174E">
        <w:rPr>
          <w:sz w:val="26"/>
          <w:szCs w:val="26"/>
        </w:rPr>
        <w:t xml:space="preserve">important </w:t>
      </w:r>
      <w:r w:rsidR="006D51A3" w:rsidRPr="00E9174E">
        <w:rPr>
          <w:sz w:val="26"/>
          <w:szCs w:val="26"/>
        </w:rPr>
        <w:t xml:space="preserve">ratemaking </w:t>
      </w:r>
      <w:r w:rsidR="00580D01" w:rsidRPr="00E9174E">
        <w:rPr>
          <w:sz w:val="26"/>
          <w:szCs w:val="26"/>
        </w:rPr>
        <w:t>principles</w:t>
      </w:r>
      <w:r w:rsidR="001F72BC" w:rsidRPr="00E9174E">
        <w:rPr>
          <w:sz w:val="26"/>
          <w:szCs w:val="26"/>
        </w:rPr>
        <w:t xml:space="preserve">, like </w:t>
      </w:r>
      <w:r w:rsidR="00580D01" w:rsidRPr="00E9174E">
        <w:rPr>
          <w:sz w:val="26"/>
          <w:szCs w:val="26"/>
        </w:rPr>
        <w:t>gradualism and rate affordability</w:t>
      </w:r>
      <w:r w:rsidR="001F72BC" w:rsidRPr="00E9174E">
        <w:rPr>
          <w:sz w:val="26"/>
          <w:szCs w:val="26"/>
        </w:rPr>
        <w:t xml:space="preserve">, </w:t>
      </w:r>
      <w:r w:rsidR="00571448" w:rsidRPr="00E9174E">
        <w:rPr>
          <w:sz w:val="26"/>
          <w:szCs w:val="26"/>
        </w:rPr>
        <w:t>in relation to th</w:t>
      </w:r>
      <w:r w:rsidR="00490F04" w:rsidRPr="00E9174E">
        <w:rPr>
          <w:sz w:val="26"/>
          <w:szCs w:val="26"/>
        </w:rPr>
        <w:t>is</w:t>
      </w:r>
      <w:r w:rsidR="00571448" w:rsidRPr="00E9174E">
        <w:rPr>
          <w:sz w:val="26"/>
          <w:szCs w:val="26"/>
        </w:rPr>
        <w:t xml:space="preserve"> pandemic.</w:t>
      </w:r>
      <w:r w:rsidR="001F72BC" w:rsidRPr="00E9174E">
        <w:rPr>
          <w:sz w:val="26"/>
          <w:szCs w:val="26"/>
        </w:rPr>
        <w:t xml:space="preserve"> </w:t>
      </w:r>
      <w:r w:rsidR="004C596E" w:rsidRPr="00E9174E">
        <w:rPr>
          <w:sz w:val="26"/>
          <w:szCs w:val="26"/>
        </w:rPr>
        <w:t xml:space="preserve"> Moreover, </w:t>
      </w:r>
      <w:r w:rsidRPr="00E9174E">
        <w:rPr>
          <w:sz w:val="26"/>
          <w:szCs w:val="26"/>
        </w:rPr>
        <w:t>the traditional ratemaking methodologies permit consideration of</w:t>
      </w:r>
      <w:r w:rsidR="003C18CB" w:rsidRPr="00E9174E">
        <w:rPr>
          <w:sz w:val="26"/>
          <w:szCs w:val="26"/>
        </w:rPr>
        <w:t xml:space="preserve"> evidence presented regarding</w:t>
      </w:r>
      <w:r w:rsidRPr="00E9174E">
        <w:rPr>
          <w:sz w:val="26"/>
          <w:szCs w:val="26"/>
        </w:rPr>
        <w:t xml:space="preserve"> the risks, uncertainties, and impact of the COVID-19 global pandemic </w:t>
      </w:r>
      <w:r w:rsidR="00490F04" w:rsidRPr="00E9174E">
        <w:rPr>
          <w:sz w:val="26"/>
          <w:szCs w:val="26"/>
        </w:rPr>
        <w:t>in</w:t>
      </w:r>
      <w:r w:rsidRPr="00E9174E">
        <w:rPr>
          <w:sz w:val="26"/>
          <w:szCs w:val="26"/>
        </w:rPr>
        <w:t xml:space="preserve"> determining various components of a utility’s </w:t>
      </w:r>
      <w:r w:rsidR="00982489" w:rsidRPr="00E9174E">
        <w:rPr>
          <w:sz w:val="26"/>
          <w:szCs w:val="26"/>
        </w:rPr>
        <w:t xml:space="preserve">cost of service, or </w:t>
      </w:r>
      <w:r w:rsidRPr="00E9174E">
        <w:rPr>
          <w:sz w:val="26"/>
          <w:szCs w:val="26"/>
        </w:rPr>
        <w:t>revenue requirement</w:t>
      </w:r>
      <w:r w:rsidR="00490F04" w:rsidRPr="00E9174E">
        <w:rPr>
          <w:sz w:val="26"/>
          <w:szCs w:val="26"/>
        </w:rPr>
        <w:t xml:space="preserve">.  </w:t>
      </w:r>
      <w:r w:rsidR="002C2038" w:rsidRPr="00E9174E">
        <w:rPr>
          <w:sz w:val="26"/>
          <w:szCs w:val="26"/>
        </w:rPr>
        <w:t>As explained further below, s</w:t>
      </w:r>
      <w:r w:rsidR="00A70426" w:rsidRPr="00E9174E">
        <w:rPr>
          <w:sz w:val="26"/>
          <w:szCs w:val="26"/>
        </w:rPr>
        <w:t>uch components</w:t>
      </w:r>
      <w:r w:rsidR="00490F04" w:rsidRPr="00E9174E">
        <w:rPr>
          <w:sz w:val="26"/>
          <w:szCs w:val="26"/>
        </w:rPr>
        <w:t xml:space="preserve"> include, </w:t>
      </w:r>
      <w:r w:rsidRPr="00E9174E">
        <w:rPr>
          <w:sz w:val="26"/>
          <w:szCs w:val="26"/>
        </w:rPr>
        <w:t xml:space="preserve">for example, a fair rate of return, projected expenses, and projected capital spending. </w:t>
      </w:r>
      <w:r w:rsidR="0070563E" w:rsidRPr="00E9174E">
        <w:rPr>
          <w:sz w:val="26"/>
          <w:szCs w:val="26"/>
        </w:rPr>
        <w:t xml:space="preserve"> </w:t>
      </w:r>
    </w:p>
    <w:p w14:paraId="374E30F0" w14:textId="77777777" w:rsidR="004D7F9E" w:rsidRPr="00E9174E" w:rsidRDefault="004D7F9E" w:rsidP="00E9174E">
      <w:pPr>
        <w:widowControl/>
        <w:spacing w:line="360" w:lineRule="auto"/>
        <w:ind w:firstLine="1440"/>
        <w:contextualSpacing/>
        <w:rPr>
          <w:sz w:val="26"/>
          <w:szCs w:val="26"/>
        </w:rPr>
      </w:pPr>
    </w:p>
    <w:p w14:paraId="4115D1BC" w14:textId="2DC0BC74" w:rsidR="00EF6F4F" w:rsidRPr="00E9174E" w:rsidRDefault="00490F04" w:rsidP="00E9174E">
      <w:pPr>
        <w:widowControl/>
        <w:spacing w:line="360" w:lineRule="auto"/>
        <w:ind w:firstLine="1440"/>
        <w:contextualSpacing/>
        <w:rPr>
          <w:sz w:val="26"/>
          <w:szCs w:val="26"/>
        </w:rPr>
      </w:pPr>
      <w:r w:rsidRPr="00E9174E">
        <w:rPr>
          <w:sz w:val="26"/>
          <w:szCs w:val="26"/>
        </w:rPr>
        <w:t xml:space="preserve">With </w:t>
      </w:r>
      <w:r w:rsidR="0070563E" w:rsidRPr="00E9174E">
        <w:rPr>
          <w:sz w:val="26"/>
          <w:szCs w:val="26"/>
        </w:rPr>
        <w:t>regard to a</w:t>
      </w:r>
      <w:r w:rsidR="00EF6F4F" w:rsidRPr="00E9174E">
        <w:rPr>
          <w:sz w:val="26"/>
          <w:szCs w:val="26"/>
        </w:rPr>
        <w:t xml:space="preserve"> fair rate of return, </w:t>
      </w:r>
      <w:r w:rsidRPr="00E9174E">
        <w:rPr>
          <w:sz w:val="26"/>
          <w:szCs w:val="26"/>
        </w:rPr>
        <w:t xml:space="preserve">for example, </w:t>
      </w:r>
      <w:r w:rsidR="00155485" w:rsidRPr="00E9174E">
        <w:rPr>
          <w:sz w:val="26"/>
          <w:szCs w:val="26"/>
        </w:rPr>
        <w:t xml:space="preserve">it would </w:t>
      </w:r>
      <w:r w:rsidR="0045695E" w:rsidRPr="00E9174E">
        <w:rPr>
          <w:sz w:val="26"/>
          <w:szCs w:val="26"/>
        </w:rPr>
        <w:t>seem</w:t>
      </w:r>
      <w:r w:rsidR="007F6D9D" w:rsidRPr="00E9174E">
        <w:rPr>
          <w:sz w:val="26"/>
          <w:szCs w:val="26"/>
        </w:rPr>
        <w:t xml:space="preserve"> </w:t>
      </w:r>
      <w:r w:rsidR="00155485" w:rsidRPr="00E9174E">
        <w:rPr>
          <w:sz w:val="26"/>
          <w:szCs w:val="26"/>
        </w:rPr>
        <w:t xml:space="preserve">consistent with </w:t>
      </w:r>
      <w:r w:rsidR="00EF6F4F" w:rsidRPr="00E9174E">
        <w:rPr>
          <w:sz w:val="26"/>
          <w:szCs w:val="26"/>
        </w:rPr>
        <w:t xml:space="preserve">the constitutional standards articulated in </w:t>
      </w:r>
      <w:r w:rsidR="00EF6F4F" w:rsidRPr="00E9174E">
        <w:rPr>
          <w:i/>
          <w:iCs/>
          <w:sz w:val="26"/>
          <w:szCs w:val="26"/>
        </w:rPr>
        <w:t xml:space="preserve">Bluefield </w:t>
      </w:r>
      <w:r w:rsidR="00EF6F4F" w:rsidRPr="00E9174E">
        <w:rPr>
          <w:sz w:val="26"/>
          <w:szCs w:val="26"/>
        </w:rPr>
        <w:t xml:space="preserve">and </w:t>
      </w:r>
      <w:r w:rsidR="00EF6F4F" w:rsidRPr="00E9174E">
        <w:rPr>
          <w:i/>
          <w:iCs/>
          <w:sz w:val="26"/>
          <w:szCs w:val="26"/>
        </w:rPr>
        <w:t>Hope Natural Gas</w:t>
      </w:r>
      <w:r w:rsidR="00EF6F4F" w:rsidRPr="00E9174E">
        <w:rPr>
          <w:sz w:val="26"/>
          <w:szCs w:val="26"/>
        </w:rPr>
        <w:t xml:space="preserve"> </w:t>
      </w:r>
      <w:r w:rsidR="00155485" w:rsidRPr="00E9174E">
        <w:rPr>
          <w:sz w:val="26"/>
          <w:szCs w:val="26"/>
        </w:rPr>
        <w:t xml:space="preserve">to give weight to </w:t>
      </w:r>
      <w:r w:rsidR="00EF6F4F" w:rsidRPr="00E9174E">
        <w:rPr>
          <w:sz w:val="26"/>
          <w:szCs w:val="26"/>
        </w:rPr>
        <w:t>an expert witness</w:t>
      </w:r>
      <w:r w:rsidR="00155485" w:rsidRPr="00E9174E">
        <w:rPr>
          <w:sz w:val="26"/>
          <w:szCs w:val="26"/>
        </w:rPr>
        <w:t xml:space="preserve">’ </w:t>
      </w:r>
      <w:r w:rsidR="00EF6F4F" w:rsidRPr="00E9174E">
        <w:rPr>
          <w:sz w:val="26"/>
          <w:szCs w:val="26"/>
        </w:rPr>
        <w:t xml:space="preserve">opinion on rate of return that </w:t>
      </w:r>
      <w:r w:rsidR="00744F6B" w:rsidRPr="00E9174E">
        <w:rPr>
          <w:sz w:val="26"/>
          <w:szCs w:val="26"/>
        </w:rPr>
        <w:t>considers</w:t>
      </w:r>
      <w:r w:rsidR="005D3EAB" w:rsidRPr="00E9174E">
        <w:rPr>
          <w:sz w:val="26"/>
          <w:szCs w:val="26"/>
        </w:rPr>
        <w:t>,</w:t>
      </w:r>
      <w:r w:rsidR="00EF6F4F" w:rsidRPr="00E9174E">
        <w:rPr>
          <w:sz w:val="26"/>
          <w:szCs w:val="26"/>
        </w:rPr>
        <w:t xml:space="preserve"> </w:t>
      </w:r>
      <w:r w:rsidR="006D51A3" w:rsidRPr="00E9174E">
        <w:rPr>
          <w:sz w:val="26"/>
          <w:szCs w:val="26"/>
        </w:rPr>
        <w:t>rather than disregards</w:t>
      </w:r>
      <w:r w:rsidR="005D3EAB" w:rsidRPr="00E9174E">
        <w:rPr>
          <w:sz w:val="26"/>
          <w:szCs w:val="26"/>
        </w:rPr>
        <w:t>,</w:t>
      </w:r>
      <w:r w:rsidR="006D51A3" w:rsidRPr="00E9174E">
        <w:rPr>
          <w:sz w:val="26"/>
          <w:szCs w:val="26"/>
        </w:rPr>
        <w:t xml:space="preserve"> </w:t>
      </w:r>
      <w:r w:rsidR="00EF6F4F" w:rsidRPr="00E9174E">
        <w:rPr>
          <w:sz w:val="26"/>
          <w:szCs w:val="26"/>
        </w:rPr>
        <w:t>a major market event’s demonstrated effect on general opportunities for investment and the financial markets’ expectations for maintaining and supporting credit and raising capital.</w:t>
      </w:r>
      <w:r w:rsidR="00EF6F4F" w:rsidRPr="00E9174E">
        <w:rPr>
          <w:rStyle w:val="FootnoteReference"/>
          <w:sz w:val="26"/>
          <w:szCs w:val="26"/>
        </w:rPr>
        <w:footnoteReference w:id="28"/>
      </w:r>
      <w:r w:rsidR="00EF6F4F" w:rsidRPr="00E9174E">
        <w:rPr>
          <w:sz w:val="26"/>
          <w:szCs w:val="26"/>
        </w:rPr>
        <w:t xml:space="preserve">  Indeed, the Supreme Court stated that a fair return</w:t>
      </w:r>
      <w:r w:rsidR="00EF6F4F" w:rsidRPr="00E9174E">
        <w:rPr>
          <w:rStyle w:val="FootnoteReference"/>
          <w:sz w:val="26"/>
          <w:szCs w:val="26"/>
        </w:rPr>
        <w:footnoteReference w:id="29"/>
      </w:r>
      <w:r w:rsidR="00EF6F4F" w:rsidRPr="00E9174E">
        <w:rPr>
          <w:sz w:val="26"/>
          <w:szCs w:val="26"/>
        </w:rPr>
        <w:t xml:space="preserve"> on rate base is one that is “equal to that generally being made at the same time and in the same general part of the country on investments in other business undertakings which are attended by corresponding risks and uncertainties…”  </w:t>
      </w:r>
      <w:bookmarkStart w:id="79" w:name="_Hlk61959539"/>
      <w:r w:rsidR="00EF6F4F" w:rsidRPr="00E9174E">
        <w:rPr>
          <w:i/>
          <w:iCs/>
          <w:sz w:val="26"/>
          <w:szCs w:val="26"/>
        </w:rPr>
        <w:t>Bluefield,</w:t>
      </w:r>
      <w:r w:rsidR="00EF6F4F" w:rsidRPr="00E9174E">
        <w:rPr>
          <w:sz w:val="26"/>
          <w:szCs w:val="26"/>
        </w:rPr>
        <w:t xml:space="preserve"> 262 U.S. at 692-93.  </w:t>
      </w:r>
      <w:bookmarkEnd w:id="79"/>
      <w:r w:rsidR="00EF6F4F" w:rsidRPr="00E9174E">
        <w:rPr>
          <w:sz w:val="26"/>
          <w:szCs w:val="26"/>
        </w:rPr>
        <w:t xml:space="preserve">Further, the Court stated, the “return to </w:t>
      </w:r>
      <w:r w:rsidR="000B77F5" w:rsidRPr="00E9174E">
        <w:rPr>
          <w:sz w:val="26"/>
          <w:szCs w:val="26"/>
        </w:rPr>
        <w:t xml:space="preserve">the </w:t>
      </w:r>
      <w:r w:rsidR="00EF6F4F" w:rsidRPr="00E9174E">
        <w:rPr>
          <w:sz w:val="26"/>
          <w:szCs w:val="26"/>
        </w:rPr>
        <w:t xml:space="preserve">equity owner should be commensurate with returns on investments in other enterprises having corresponding risks.”  </w:t>
      </w:r>
      <w:r w:rsidR="00EF6F4F" w:rsidRPr="00E9174E">
        <w:rPr>
          <w:i/>
          <w:iCs/>
          <w:sz w:val="26"/>
          <w:szCs w:val="26"/>
        </w:rPr>
        <w:t>Hope Natural Gas</w:t>
      </w:r>
      <w:r w:rsidR="00EF6F4F" w:rsidRPr="00E9174E">
        <w:rPr>
          <w:sz w:val="26"/>
          <w:szCs w:val="26"/>
        </w:rPr>
        <w:t>, 320</w:t>
      </w:r>
      <w:r w:rsidR="004D7F9E">
        <w:rPr>
          <w:sz w:val="26"/>
          <w:szCs w:val="26"/>
        </w:rPr>
        <w:t> </w:t>
      </w:r>
      <w:r w:rsidR="00EF6F4F" w:rsidRPr="00E9174E">
        <w:rPr>
          <w:sz w:val="26"/>
          <w:szCs w:val="26"/>
        </w:rPr>
        <w:t xml:space="preserve">U.S. at 603.  Indeed, the Court further recognized that “[a] </w:t>
      </w:r>
      <w:r w:rsidR="00EF6F4F" w:rsidRPr="00E9174E">
        <w:rPr>
          <w:bCs/>
          <w:sz w:val="26"/>
          <w:szCs w:val="26"/>
        </w:rPr>
        <w:t>rate</w:t>
      </w:r>
      <w:r w:rsidR="00EF6F4F" w:rsidRPr="00E9174E">
        <w:rPr>
          <w:sz w:val="26"/>
          <w:szCs w:val="26"/>
        </w:rPr>
        <w:t xml:space="preserve"> of return may be too high or too low by changes affecting opportunities for investment, the money market and business conditions generally.”  </w:t>
      </w:r>
      <w:r w:rsidR="00EF6F4F" w:rsidRPr="00E9174E">
        <w:rPr>
          <w:i/>
          <w:iCs/>
          <w:sz w:val="26"/>
          <w:szCs w:val="26"/>
        </w:rPr>
        <w:t>Bluefield,</w:t>
      </w:r>
      <w:r w:rsidR="00EF6F4F" w:rsidRPr="00E9174E">
        <w:rPr>
          <w:sz w:val="26"/>
          <w:szCs w:val="26"/>
        </w:rPr>
        <w:t xml:space="preserve"> 262 U.S. at 692-93.</w:t>
      </w:r>
      <w:r w:rsidR="00222174" w:rsidRPr="00E9174E">
        <w:rPr>
          <w:sz w:val="26"/>
          <w:szCs w:val="26"/>
        </w:rPr>
        <w:t xml:space="preserve">  </w:t>
      </w:r>
    </w:p>
    <w:p w14:paraId="2270A050" w14:textId="77777777" w:rsidR="00EF6F4F" w:rsidRPr="00E9174E" w:rsidRDefault="00EF6F4F" w:rsidP="00E9174E">
      <w:pPr>
        <w:widowControl/>
        <w:spacing w:line="360" w:lineRule="auto"/>
        <w:ind w:firstLine="1440"/>
        <w:contextualSpacing/>
        <w:rPr>
          <w:sz w:val="26"/>
          <w:szCs w:val="26"/>
        </w:rPr>
      </w:pPr>
    </w:p>
    <w:p w14:paraId="32CFE875" w14:textId="4B451418" w:rsidR="00EF6F4F" w:rsidRPr="00E9174E" w:rsidRDefault="00EF6F4F" w:rsidP="00E9174E">
      <w:pPr>
        <w:widowControl/>
        <w:spacing w:line="360" w:lineRule="auto"/>
        <w:ind w:firstLine="1440"/>
        <w:contextualSpacing/>
        <w:rPr>
          <w:sz w:val="26"/>
          <w:szCs w:val="26"/>
        </w:rPr>
      </w:pPr>
      <w:r w:rsidRPr="00E9174E">
        <w:rPr>
          <w:sz w:val="26"/>
          <w:szCs w:val="26"/>
        </w:rPr>
        <w:t xml:space="preserve">With respect to projected spending, for example, </w:t>
      </w:r>
      <w:r w:rsidR="002C2038" w:rsidRPr="00E9174E">
        <w:rPr>
          <w:sz w:val="26"/>
          <w:szCs w:val="26"/>
        </w:rPr>
        <w:t xml:space="preserve">evidence of </w:t>
      </w:r>
      <w:r w:rsidRPr="00E9174E">
        <w:rPr>
          <w:sz w:val="26"/>
          <w:szCs w:val="26"/>
        </w:rPr>
        <w:t>the changes, risks, and uncertainties created by this pandemic will continue to raise questions related to spending priorities in the FPFTY</w:t>
      </w:r>
      <w:r w:rsidR="00260775" w:rsidRPr="00E9174E">
        <w:rPr>
          <w:sz w:val="26"/>
          <w:szCs w:val="26"/>
        </w:rPr>
        <w:t>,</w:t>
      </w:r>
      <w:r w:rsidRPr="00E9174E">
        <w:rPr>
          <w:sz w:val="26"/>
          <w:szCs w:val="26"/>
        </w:rPr>
        <w:t xml:space="preserve"> both in terms of (1) O&amp;M expense claims and (2) capital investments.  With respect to expenses, the Commission is charged with </w:t>
      </w:r>
      <w:r w:rsidRPr="00E9174E">
        <w:rPr>
          <w:sz w:val="26"/>
          <w:szCs w:val="26"/>
        </w:rPr>
        <w:lastRenderedPageBreak/>
        <w:t xml:space="preserve">determining whether the utility’s projected expenses “are reasonably necessary to provide service…” during the prospective period in which its rates will be in effect.  </w:t>
      </w:r>
      <w:r w:rsidRPr="00E9174E">
        <w:rPr>
          <w:rFonts w:eastAsiaTheme="minorEastAsia"/>
          <w:i/>
          <w:iCs/>
          <w:sz w:val="26"/>
          <w:szCs w:val="26"/>
        </w:rPr>
        <w:t>City of Lancaster Sewer Fund v. Pa. PUC</w:t>
      </w:r>
      <w:r w:rsidRPr="00E9174E">
        <w:rPr>
          <w:rFonts w:eastAsiaTheme="minorEastAsia"/>
          <w:sz w:val="26"/>
          <w:szCs w:val="26"/>
        </w:rPr>
        <w:t xml:space="preserve">, 793 A.2d 978, 982 (Pa. Cmwlth. 2002).  This standard permits an examination by parties and the Commission of whether the utility’s proposed specific expense claims in the FPFTY are “reasonably necessary to provide service” during the </w:t>
      </w:r>
      <w:r w:rsidRPr="00E9174E">
        <w:rPr>
          <w:sz w:val="26"/>
          <w:szCs w:val="26"/>
        </w:rPr>
        <w:t>pandemic, which may lead to a trimming of certain expenses.  At the same time, such an examination may lead to an increase in spending in certain expense categories where expenses are tied to the pandemic and directly related to increased costs</w:t>
      </w:r>
      <w:r w:rsidR="00260775" w:rsidRPr="00E9174E">
        <w:rPr>
          <w:sz w:val="26"/>
          <w:szCs w:val="26"/>
        </w:rPr>
        <w:t>,</w:t>
      </w:r>
      <w:r w:rsidRPr="00E9174E">
        <w:rPr>
          <w:sz w:val="26"/>
          <w:szCs w:val="26"/>
        </w:rPr>
        <w:t xml:space="preserve"> such as cleaning, sanitation, </w:t>
      </w:r>
      <w:r w:rsidR="00260775" w:rsidRPr="00E9174E">
        <w:rPr>
          <w:sz w:val="26"/>
          <w:szCs w:val="26"/>
        </w:rPr>
        <w:t>or providing</w:t>
      </w:r>
      <w:r w:rsidRPr="00E9174E">
        <w:rPr>
          <w:sz w:val="26"/>
          <w:szCs w:val="26"/>
        </w:rPr>
        <w:t xml:space="preserve"> personal protective equipment.  Additionally, in the area of adjustments to rate base, the Commission has wide discretion.  </w:t>
      </w:r>
      <w:r w:rsidRPr="00E9174E">
        <w:rPr>
          <w:i/>
          <w:sz w:val="26"/>
          <w:szCs w:val="26"/>
        </w:rPr>
        <w:t>Pennsylvania Power &amp; Light Company v. Pa. PUC</w:t>
      </w:r>
      <w:r w:rsidRPr="002F09DE">
        <w:rPr>
          <w:iCs/>
          <w:sz w:val="26"/>
          <w:szCs w:val="26"/>
        </w:rPr>
        <w:t>,</w:t>
      </w:r>
      <w:r w:rsidRPr="00E9174E">
        <w:rPr>
          <w:i/>
          <w:sz w:val="26"/>
          <w:szCs w:val="26"/>
        </w:rPr>
        <w:t xml:space="preserve"> </w:t>
      </w:r>
      <w:r w:rsidRPr="00E9174E">
        <w:rPr>
          <w:sz w:val="26"/>
          <w:szCs w:val="26"/>
        </w:rPr>
        <w:t xml:space="preserve">516 A.2d 426 (Pa. Cmwlth. 1985); </w:t>
      </w:r>
      <w:r w:rsidRPr="00E9174E">
        <w:rPr>
          <w:i/>
          <w:sz w:val="26"/>
          <w:szCs w:val="26"/>
        </w:rPr>
        <w:t>UGI Corp. v. Pa. PUC</w:t>
      </w:r>
      <w:r w:rsidRPr="002F09DE">
        <w:rPr>
          <w:iCs/>
          <w:sz w:val="26"/>
          <w:szCs w:val="26"/>
        </w:rPr>
        <w:t>,</w:t>
      </w:r>
      <w:r w:rsidRPr="00E9174E">
        <w:rPr>
          <w:sz w:val="26"/>
          <w:szCs w:val="26"/>
        </w:rPr>
        <w:t xml:space="preserve"> 410 A.2d 923, 929 (Pa. Cmwlth. 1980); </w:t>
      </w:r>
      <w:r w:rsidRPr="00E9174E">
        <w:rPr>
          <w:i/>
          <w:sz w:val="26"/>
          <w:szCs w:val="26"/>
        </w:rPr>
        <w:t>Duquesne Light Co. v. Pa. PUC</w:t>
      </w:r>
      <w:r w:rsidRPr="002F09DE">
        <w:rPr>
          <w:iCs/>
          <w:sz w:val="26"/>
          <w:szCs w:val="26"/>
        </w:rPr>
        <w:t>,</w:t>
      </w:r>
      <w:r w:rsidRPr="00E9174E">
        <w:rPr>
          <w:i/>
          <w:sz w:val="26"/>
          <w:szCs w:val="26"/>
        </w:rPr>
        <w:t xml:space="preserve"> </w:t>
      </w:r>
      <w:r w:rsidRPr="00E9174E">
        <w:rPr>
          <w:sz w:val="26"/>
          <w:szCs w:val="26"/>
        </w:rPr>
        <w:t>99</w:t>
      </w:r>
      <w:r w:rsidR="002F09DE">
        <w:rPr>
          <w:sz w:val="26"/>
          <w:szCs w:val="26"/>
        </w:rPr>
        <w:t> </w:t>
      </w:r>
      <w:r w:rsidRPr="00E9174E">
        <w:rPr>
          <w:sz w:val="26"/>
          <w:szCs w:val="26"/>
        </w:rPr>
        <w:t xml:space="preserve">A.2d 61, 69 (Pa. Super. 1953).  However, the adjustments must be supported by sound reasons.  </w:t>
      </w:r>
      <w:r w:rsidRPr="00E9174E">
        <w:rPr>
          <w:i/>
          <w:sz w:val="26"/>
          <w:szCs w:val="26"/>
        </w:rPr>
        <w:t xml:space="preserve">Philadelphia Suburban Water Co. v. Pa. PUC, </w:t>
      </w:r>
      <w:r w:rsidRPr="00E9174E">
        <w:rPr>
          <w:sz w:val="26"/>
          <w:szCs w:val="26"/>
        </w:rPr>
        <w:t>394 A.2d 1063 (Pa.</w:t>
      </w:r>
      <w:r w:rsidR="002F09DE">
        <w:rPr>
          <w:sz w:val="26"/>
          <w:szCs w:val="26"/>
        </w:rPr>
        <w:t> </w:t>
      </w:r>
      <w:r w:rsidRPr="00E9174E">
        <w:rPr>
          <w:sz w:val="26"/>
          <w:szCs w:val="26"/>
        </w:rPr>
        <w:t>Cmwlth.</w:t>
      </w:r>
      <w:r w:rsidR="002F09DE">
        <w:rPr>
          <w:sz w:val="26"/>
          <w:szCs w:val="26"/>
        </w:rPr>
        <w:t> </w:t>
      </w:r>
      <w:r w:rsidRPr="00E9174E">
        <w:rPr>
          <w:sz w:val="26"/>
          <w:szCs w:val="26"/>
        </w:rPr>
        <w:t xml:space="preserve">1978).  </w:t>
      </w:r>
    </w:p>
    <w:p w14:paraId="5502CB26" w14:textId="77777777" w:rsidR="00EF6F4F" w:rsidRPr="00E9174E" w:rsidRDefault="00EF6F4F" w:rsidP="00E9174E">
      <w:pPr>
        <w:widowControl/>
        <w:spacing w:line="360" w:lineRule="auto"/>
        <w:ind w:firstLine="1440"/>
        <w:contextualSpacing/>
        <w:rPr>
          <w:sz w:val="26"/>
          <w:szCs w:val="26"/>
        </w:rPr>
      </w:pPr>
    </w:p>
    <w:p w14:paraId="6D15B0EF" w14:textId="191D046B" w:rsidR="00EF6F4F" w:rsidRPr="00E9174E" w:rsidRDefault="00EF6F4F" w:rsidP="00E9174E">
      <w:pPr>
        <w:widowControl/>
        <w:spacing w:line="360" w:lineRule="auto"/>
        <w:ind w:firstLine="1440"/>
        <w:contextualSpacing/>
        <w:rPr>
          <w:sz w:val="26"/>
          <w:szCs w:val="26"/>
        </w:rPr>
      </w:pPr>
      <w:r w:rsidRPr="00E9174E">
        <w:rPr>
          <w:sz w:val="26"/>
          <w:szCs w:val="26"/>
        </w:rPr>
        <w:t xml:space="preserve">Because of the many variables involved, determining </w:t>
      </w:r>
      <w:r w:rsidR="00260775" w:rsidRPr="00E9174E">
        <w:rPr>
          <w:sz w:val="26"/>
          <w:szCs w:val="26"/>
        </w:rPr>
        <w:t xml:space="preserve">the reasonableness of </w:t>
      </w:r>
      <w:r w:rsidRPr="00E9174E">
        <w:rPr>
          <w:sz w:val="26"/>
          <w:szCs w:val="26"/>
        </w:rPr>
        <w:t xml:space="preserve">spending priorities related to expenses and capital investments in the midst of the pandemic </w:t>
      </w:r>
      <w:r w:rsidR="004908B9" w:rsidRPr="00E9174E">
        <w:rPr>
          <w:sz w:val="26"/>
          <w:szCs w:val="26"/>
        </w:rPr>
        <w:t xml:space="preserve">ultimately </w:t>
      </w:r>
      <w:r w:rsidRPr="00E9174E">
        <w:rPr>
          <w:sz w:val="26"/>
          <w:szCs w:val="26"/>
        </w:rPr>
        <w:t xml:space="preserve">will become a matter of judgement for the Commission, governed by the evidence presented in the record and guided by this agency’s regulatory expertise.  </w:t>
      </w:r>
      <w:r w:rsidRPr="00E9174E">
        <w:rPr>
          <w:i/>
          <w:iCs/>
          <w:sz w:val="26"/>
          <w:szCs w:val="26"/>
        </w:rPr>
        <w:t>See generally Lower Paxton Township v. Pa. PUC</w:t>
      </w:r>
      <w:r w:rsidRPr="00E9174E">
        <w:rPr>
          <w:sz w:val="26"/>
          <w:szCs w:val="26"/>
        </w:rPr>
        <w:t>, 317 A.2d 917, 921 (Pa.</w:t>
      </w:r>
      <w:r w:rsidR="002F09DE">
        <w:rPr>
          <w:sz w:val="26"/>
          <w:szCs w:val="26"/>
        </w:rPr>
        <w:t> </w:t>
      </w:r>
      <w:r w:rsidRPr="00E9174E">
        <w:rPr>
          <w:sz w:val="26"/>
          <w:szCs w:val="26"/>
        </w:rPr>
        <w:t xml:space="preserve">Cmwlth. 1974); </w:t>
      </w:r>
      <w:r w:rsidRPr="00E9174E">
        <w:rPr>
          <w:i/>
          <w:iCs/>
          <w:sz w:val="26"/>
          <w:szCs w:val="26"/>
        </w:rPr>
        <w:t>see also</w:t>
      </w:r>
      <w:r w:rsidRPr="00E9174E">
        <w:rPr>
          <w:sz w:val="26"/>
          <w:szCs w:val="26"/>
        </w:rPr>
        <w:t xml:space="preserve"> </w:t>
      </w:r>
      <w:r w:rsidRPr="00E9174E">
        <w:rPr>
          <w:i/>
          <w:sz w:val="26"/>
          <w:szCs w:val="26"/>
        </w:rPr>
        <w:t>Equitable Gas Co. v. Pa. PUC</w:t>
      </w:r>
      <w:r w:rsidRPr="00E9174E">
        <w:rPr>
          <w:sz w:val="26"/>
          <w:szCs w:val="26"/>
        </w:rPr>
        <w:t xml:space="preserve">, 405 A.2d 1055, 1059 (Pa. Cmwlth. 1979) (determination of cost of capital is basically a matter of judgment which should be left to the regulatory agency and not disturbed absent an abuse of discretion); </w:t>
      </w:r>
      <w:r w:rsidRPr="00E9174E">
        <w:rPr>
          <w:i/>
          <w:sz w:val="26"/>
          <w:szCs w:val="26"/>
        </w:rPr>
        <w:t>see also</w:t>
      </w:r>
      <w:r w:rsidRPr="00E9174E">
        <w:rPr>
          <w:sz w:val="26"/>
          <w:szCs w:val="26"/>
        </w:rPr>
        <w:t xml:space="preserve"> </w:t>
      </w:r>
      <w:r w:rsidRPr="00E9174E">
        <w:rPr>
          <w:i/>
          <w:sz w:val="26"/>
          <w:szCs w:val="26"/>
        </w:rPr>
        <w:t>Pa.</w:t>
      </w:r>
      <w:r w:rsidR="002F09DE">
        <w:rPr>
          <w:i/>
          <w:sz w:val="26"/>
          <w:szCs w:val="26"/>
        </w:rPr>
        <w:t> </w:t>
      </w:r>
      <w:r w:rsidRPr="00E9174E">
        <w:rPr>
          <w:i/>
          <w:sz w:val="26"/>
          <w:szCs w:val="26"/>
        </w:rPr>
        <w:t>PUC</w:t>
      </w:r>
      <w:r w:rsidR="002F09DE">
        <w:rPr>
          <w:i/>
          <w:sz w:val="26"/>
          <w:szCs w:val="26"/>
        </w:rPr>
        <w:t> </w:t>
      </w:r>
      <w:r w:rsidRPr="00E9174E">
        <w:rPr>
          <w:i/>
          <w:sz w:val="26"/>
          <w:szCs w:val="26"/>
        </w:rPr>
        <w:t>v. PPL Electric Utilities Corporation</w:t>
      </w:r>
      <w:r w:rsidRPr="00E9174E">
        <w:rPr>
          <w:sz w:val="26"/>
          <w:szCs w:val="26"/>
        </w:rPr>
        <w:t xml:space="preserve">, </w:t>
      </w:r>
      <w:r w:rsidR="00B6146E" w:rsidRPr="00E9174E">
        <w:rPr>
          <w:sz w:val="26"/>
          <w:szCs w:val="26"/>
        </w:rPr>
        <w:t xml:space="preserve">Docket No. </w:t>
      </w:r>
      <w:r w:rsidRPr="00E9174E">
        <w:rPr>
          <w:sz w:val="26"/>
          <w:szCs w:val="26"/>
        </w:rPr>
        <w:t xml:space="preserve">R-2015-2290597 (Order entered December 28, 2012). </w:t>
      </w:r>
    </w:p>
    <w:p w14:paraId="53FB2ED5" w14:textId="77777777" w:rsidR="00EF6F4F" w:rsidRPr="00E9174E" w:rsidRDefault="00EF6F4F" w:rsidP="00E9174E">
      <w:pPr>
        <w:widowControl/>
        <w:spacing w:line="360" w:lineRule="auto"/>
        <w:ind w:firstLine="1440"/>
        <w:contextualSpacing/>
        <w:rPr>
          <w:sz w:val="26"/>
          <w:szCs w:val="26"/>
        </w:rPr>
      </w:pPr>
    </w:p>
    <w:p w14:paraId="7431B842" w14:textId="11CA278C" w:rsidR="00EF6F4F" w:rsidRPr="00E9174E" w:rsidRDefault="00EF6F4F" w:rsidP="00E9174E">
      <w:pPr>
        <w:widowControl/>
        <w:spacing w:line="360" w:lineRule="auto"/>
        <w:ind w:firstLine="1440"/>
        <w:contextualSpacing/>
        <w:rPr>
          <w:sz w:val="26"/>
          <w:szCs w:val="26"/>
        </w:rPr>
      </w:pPr>
      <w:r w:rsidRPr="00E9174E">
        <w:rPr>
          <w:sz w:val="26"/>
          <w:szCs w:val="26"/>
        </w:rPr>
        <w:t xml:space="preserve">Based on the foregoing, </w:t>
      </w:r>
      <w:r w:rsidR="00EC6785" w:rsidRPr="00E9174E">
        <w:rPr>
          <w:sz w:val="26"/>
          <w:szCs w:val="26"/>
        </w:rPr>
        <w:t>w</w:t>
      </w:r>
      <w:r w:rsidRPr="00E9174E">
        <w:rPr>
          <w:sz w:val="26"/>
          <w:szCs w:val="26"/>
        </w:rPr>
        <w:t xml:space="preserve">hile we acknowledge that the COVID-19 pandemic is a significant social-economic event, </w:t>
      </w:r>
      <w:r w:rsidR="001717D5" w:rsidRPr="00E9174E">
        <w:rPr>
          <w:sz w:val="26"/>
          <w:szCs w:val="26"/>
        </w:rPr>
        <w:t xml:space="preserve">we disagree with </w:t>
      </w:r>
      <w:r w:rsidRPr="00E9174E">
        <w:rPr>
          <w:sz w:val="26"/>
          <w:szCs w:val="26"/>
        </w:rPr>
        <w:t xml:space="preserve">the </w:t>
      </w:r>
      <w:r w:rsidR="00B6146E" w:rsidRPr="00E9174E">
        <w:rPr>
          <w:sz w:val="26"/>
          <w:szCs w:val="26"/>
        </w:rPr>
        <w:t>ALJ</w:t>
      </w:r>
      <w:r w:rsidRPr="00E9174E">
        <w:rPr>
          <w:sz w:val="26"/>
          <w:szCs w:val="26"/>
        </w:rPr>
        <w:t xml:space="preserve">’s </w:t>
      </w:r>
      <w:r w:rsidRPr="00E9174E">
        <w:rPr>
          <w:sz w:val="26"/>
          <w:szCs w:val="26"/>
        </w:rPr>
        <w:lastRenderedPageBreak/>
        <w:t xml:space="preserve">recommendation to </w:t>
      </w:r>
      <w:r w:rsidR="004B6BB1" w:rsidRPr="00E9174E">
        <w:rPr>
          <w:sz w:val="26"/>
          <w:szCs w:val="26"/>
        </w:rPr>
        <w:t xml:space="preserve">completely </w:t>
      </w:r>
      <w:r w:rsidRPr="00E9174E">
        <w:rPr>
          <w:sz w:val="26"/>
          <w:szCs w:val="26"/>
        </w:rPr>
        <w:t>deny Columbia’s requested rate relief due to the pandemic’s impact</w:t>
      </w:r>
      <w:r w:rsidR="00B84C4C" w:rsidRPr="00E9174E">
        <w:rPr>
          <w:sz w:val="26"/>
          <w:szCs w:val="26"/>
        </w:rPr>
        <w:t xml:space="preserve"> and </w:t>
      </w:r>
      <w:r w:rsidR="00134A46" w:rsidRPr="00E9174E">
        <w:rPr>
          <w:sz w:val="26"/>
          <w:szCs w:val="26"/>
        </w:rPr>
        <w:t xml:space="preserve">to </w:t>
      </w:r>
      <w:r w:rsidR="00B84C4C" w:rsidRPr="00E9174E">
        <w:rPr>
          <w:sz w:val="26"/>
          <w:szCs w:val="26"/>
        </w:rPr>
        <w:t xml:space="preserve">forgo a review of the case </w:t>
      </w:r>
      <w:r w:rsidR="00495F9F" w:rsidRPr="00E9174E">
        <w:rPr>
          <w:sz w:val="26"/>
          <w:szCs w:val="26"/>
        </w:rPr>
        <w:t>utilizing the traditional ratemaking methodologies</w:t>
      </w:r>
      <w:r w:rsidR="00EC6A76" w:rsidRPr="00E9174E">
        <w:rPr>
          <w:sz w:val="26"/>
          <w:szCs w:val="26"/>
        </w:rPr>
        <w:t>.</w:t>
      </w:r>
      <w:r w:rsidRPr="00E9174E">
        <w:rPr>
          <w:sz w:val="26"/>
          <w:szCs w:val="26"/>
        </w:rPr>
        <w:t xml:space="preserve"> </w:t>
      </w:r>
      <w:r w:rsidR="00EC6A76" w:rsidRPr="00E9174E">
        <w:rPr>
          <w:sz w:val="26"/>
          <w:szCs w:val="26"/>
        </w:rPr>
        <w:t>We note that</w:t>
      </w:r>
      <w:r w:rsidRPr="00E9174E">
        <w:rPr>
          <w:sz w:val="26"/>
          <w:szCs w:val="26"/>
        </w:rPr>
        <w:t xml:space="preserve"> </w:t>
      </w:r>
      <w:r w:rsidR="00676465" w:rsidRPr="00E9174E">
        <w:rPr>
          <w:sz w:val="26"/>
          <w:szCs w:val="26"/>
        </w:rPr>
        <w:t>our</w:t>
      </w:r>
      <w:r w:rsidRPr="00E9174E">
        <w:rPr>
          <w:sz w:val="26"/>
          <w:szCs w:val="26"/>
        </w:rPr>
        <w:t xml:space="preserve"> </w:t>
      </w:r>
      <w:r w:rsidR="004908B9" w:rsidRPr="00E9174E">
        <w:rPr>
          <w:sz w:val="26"/>
          <w:szCs w:val="26"/>
        </w:rPr>
        <w:t xml:space="preserve">continued use of </w:t>
      </w:r>
      <w:r w:rsidRPr="00E9174E">
        <w:rPr>
          <w:sz w:val="26"/>
          <w:szCs w:val="26"/>
        </w:rPr>
        <w:t>traditional ratemaking methodologies</w:t>
      </w:r>
      <w:r w:rsidR="00D02277" w:rsidRPr="00E9174E">
        <w:rPr>
          <w:sz w:val="26"/>
          <w:szCs w:val="26"/>
        </w:rPr>
        <w:t xml:space="preserve">, as discussed </w:t>
      </w:r>
      <w:r w:rsidR="00D02277" w:rsidRPr="00E9174E">
        <w:rPr>
          <w:i/>
          <w:iCs/>
          <w:sz w:val="26"/>
          <w:szCs w:val="26"/>
        </w:rPr>
        <w:t>supra</w:t>
      </w:r>
      <w:r w:rsidRPr="00E9174E">
        <w:rPr>
          <w:sz w:val="26"/>
          <w:szCs w:val="26"/>
        </w:rPr>
        <w:t xml:space="preserve">: (1) allow </w:t>
      </w:r>
      <w:r w:rsidR="002120F3" w:rsidRPr="00E9174E">
        <w:rPr>
          <w:sz w:val="26"/>
          <w:szCs w:val="26"/>
        </w:rPr>
        <w:t xml:space="preserve">for </w:t>
      </w:r>
      <w:r w:rsidRPr="00E9174E">
        <w:rPr>
          <w:sz w:val="26"/>
          <w:szCs w:val="26"/>
        </w:rPr>
        <w:t xml:space="preserve">the factoring in of important ratemaking principles, such as quality of service, gradualism, and rate affordability, in setting just and reasonable rates during this pandemic and (2) require consideration of evidence of the impact of this pandemic in </w:t>
      </w:r>
      <w:r w:rsidR="00091EDC" w:rsidRPr="00E9174E">
        <w:rPr>
          <w:sz w:val="26"/>
          <w:szCs w:val="26"/>
        </w:rPr>
        <w:t xml:space="preserve">determining </w:t>
      </w:r>
      <w:r w:rsidRPr="00E9174E">
        <w:rPr>
          <w:sz w:val="26"/>
          <w:szCs w:val="26"/>
        </w:rPr>
        <w:t xml:space="preserve">the Company’s cost of providing service.  Thus, </w:t>
      </w:r>
      <w:r w:rsidR="00332724" w:rsidRPr="00E9174E">
        <w:rPr>
          <w:sz w:val="26"/>
          <w:szCs w:val="26"/>
        </w:rPr>
        <w:t xml:space="preserve">in our opinion, </w:t>
      </w:r>
      <w:r w:rsidRPr="00E9174E">
        <w:rPr>
          <w:sz w:val="26"/>
          <w:szCs w:val="26"/>
        </w:rPr>
        <w:t xml:space="preserve">the continued use of traditional ratemaking methodologies during this pandemic is consistent with the setting of just and reasonable rates and the constitutional standards established in </w:t>
      </w:r>
      <w:r w:rsidRPr="00E9174E">
        <w:rPr>
          <w:i/>
          <w:iCs/>
          <w:sz w:val="26"/>
          <w:szCs w:val="26"/>
        </w:rPr>
        <w:t>Bluefield</w:t>
      </w:r>
      <w:r w:rsidRPr="00E9174E">
        <w:rPr>
          <w:sz w:val="26"/>
          <w:szCs w:val="26"/>
        </w:rPr>
        <w:t xml:space="preserve"> and </w:t>
      </w:r>
      <w:r w:rsidRPr="00E9174E">
        <w:rPr>
          <w:i/>
          <w:iCs/>
          <w:sz w:val="26"/>
          <w:szCs w:val="26"/>
        </w:rPr>
        <w:t>Hope Natural Gas</w:t>
      </w:r>
      <w:r w:rsidRPr="00E9174E">
        <w:rPr>
          <w:sz w:val="26"/>
          <w:szCs w:val="26"/>
        </w:rPr>
        <w:t xml:space="preserve">, and the pandemic does not change the continued application of these standards.  </w:t>
      </w:r>
      <w:r w:rsidR="00A76E01" w:rsidRPr="00E9174E">
        <w:rPr>
          <w:sz w:val="26"/>
          <w:szCs w:val="26"/>
        </w:rPr>
        <w:t>We, therefore, look with favor to I&amp;E’s Exception No. 1, which argue</w:t>
      </w:r>
      <w:r w:rsidR="00CB5E0C" w:rsidRPr="00E9174E">
        <w:rPr>
          <w:sz w:val="26"/>
          <w:szCs w:val="26"/>
        </w:rPr>
        <w:t>s</w:t>
      </w:r>
      <w:r w:rsidR="00A76E01" w:rsidRPr="00E9174E">
        <w:rPr>
          <w:sz w:val="26"/>
          <w:szCs w:val="26"/>
        </w:rPr>
        <w:t xml:space="preserve"> the same.  </w:t>
      </w:r>
    </w:p>
    <w:p w14:paraId="44B878D6" w14:textId="77777777" w:rsidR="00EF6F4F" w:rsidRPr="00E9174E" w:rsidRDefault="00EF6F4F" w:rsidP="00E9174E">
      <w:pPr>
        <w:widowControl/>
        <w:spacing w:line="360" w:lineRule="auto"/>
        <w:ind w:firstLine="1440"/>
        <w:contextualSpacing/>
        <w:rPr>
          <w:sz w:val="26"/>
          <w:szCs w:val="26"/>
        </w:rPr>
      </w:pPr>
    </w:p>
    <w:p w14:paraId="3276AA7F" w14:textId="2BCACD56" w:rsidR="00EF6F4F" w:rsidRPr="00E9174E" w:rsidRDefault="00EF6F4F" w:rsidP="00E9174E">
      <w:pPr>
        <w:widowControl/>
        <w:spacing w:line="360" w:lineRule="auto"/>
        <w:ind w:firstLine="1440"/>
        <w:contextualSpacing/>
        <w:rPr>
          <w:sz w:val="26"/>
          <w:szCs w:val="26"/>
        </w:rPr>
      </w:pPr>
      <w:r w:rsidRPr="00E9174E">
        <w:rPr>
          <w:sz w:val="26"/>
          <w:szCs w:val="26"/>
        </w:rPr>
        <w:t>Furthermore, we find the justifications set forth in the R</w:t>
      </w:r>
      <w:r w:rsidR="00382A15" w:rsidRPr="00E9174E">
        <w:rPr>
          <w:sz w:val="26"/>
          <w:szCs w:val="26"/>
        </w:rPr>
        <w:t xml:space="preserve">ecommended </w:t>
      </w:r>
      <w:r w:rsidRPr="00E9174E">
        <w:rPr>
          <w:sz w:val="26"/>
          <w:szCs w:val="26"/>
        </w:rPr>
        <w:t>D</w:t>
      </w:r>
      <w:r w:rsidR="00382A15" w:rsidRPr="00E9174E">
        <w:rPr>
          <w:sz w:val="26"/>
          <w:szCs w:val="26"/>
        </w:rPr>
        <w:t>ecision</w:t>
      </w:r>
      <w:r w:rsidRPr="00E9174E">
        <w:rPr>
          <w:sz w:val="26"/>
          <w:szCs w:val="26"/>
        </w:rPr>
        <w:t xml:space="preserve"> to</w:t>
      </w:r>
      <w:r w:rsidR="0028101E" w:rsidRPr="00E9174E">
        <w:rPr>
          <w:sz w:val="26"/>
          <w:szCs w:val="26"/>
        </w:rPr>
        <w:t xml:space="preserve"> </w:t>
      </w:r>
      <w:r w:rsidRPr="00E9174E">
        <w:rPr>
          <w:sz w:val="26"/>
          <w:szCs w:val="26"/>
        </w:rPr>
        <w:t>completely deny the Company’s requested rate increase</w:t>
      </w:r>
      <w:r w:rsidR="003E104F" w:rsidRPr="00E9174E">
        <w:rPr>
          <w:sz w:val="26"/>
          <w:szCs w:val="26"/>
        </w:rPr>
        <w:t xml:space="preserve"> </w:t>
      </w:r>
      <w:r w:rsidRPr="00E9174E">
        <w:rPr>
          <w:sz w:val="26"/>
          <w:szCs w:val="26"/>
        </w:rPr>
        <w:t xml:space="preserve">are not supported by substantial evidence in this record.  </w:t>
      </w:r>
      <w:r w:rsidR="00BE494E" w:rsidRPr="00E9174E">
        <w:rPr>
          <w:sz w:val="26"/>
          <w:szCs w:val="26"/>
        </w:rPr>
        <w:t>First, w</w:t>
      </w:r>
      <w:r w:rsidRPr="00E9174E">
        <w:rPr>
          <w:sz w:val="26"/>
          <w:szCs w:val="26"/>
        </w:rPr>
        <w:t xml:space="preserve">ith regard to the pandemic’s impact on customers, the </w:t>
      </w:r>
      <w:r w:rsidR="00075471" w:rsidRPr="00E9174E">
        <w:rPr>
          <w:sz w:val="26"/>
          <w:szCs w:val="26"/>
        </w:rPr>
        <w:t>ALJ</w:t>
      </w:r>
      <w:r w:rsidRPr="00E9174E">
        <w:rPr>
          <w:sz w:val="26"/>
          <w:szCs w:val="26"/>
        </w:rPr>
        <w:t xml:space="preserve"> cited unemployment rates of 8.8% to 19.2% of the working population in Columbia’s service area. </w:t>
      </w:r>
      <w:r w:rsidR="00075471" w:rsidRPr="00E9174E">
        <w:rPr>
          <w:sz w:val="26"/>
          <w:szCs w:val="26"/>
        </w:rPr>
        <w:t xml:space="preserve"> </w:t>
      </w:r>
      <w:r w:rsidRPr="00E9174E">
        <w:rPr>
          <w:sz w:val="26"/>
          <w:szCs w:val="26"/>
        </w:rPr>
        <w:t xml:space="preserve">R.D. at 48.  While we acknowledge the gravity of these unemployment statistics, it has not been demonstrated in this case with substantial evidence or explanation that the impact of </w:t>
      </w:r>
      <w:r w:rsidRPr="00E9174E">
        <w:rPr>
          <w:i/>
          <w:iCs/>
          <w:sz w:val="26"/>
          <w:szCs w:val="26"/>
        </w:rPr>
        <w:t>any</w:t>
      </w:r>
      <w:r w:rsidRPr="00E9174E">
        <w:rPr>
          <w:sz w:val="26"/>
          <w:szCs w:val="26"/>
        </w:rPr>
        <w:t xml:space="preserve"> rate increase on unemployed customers will lead to harm that outweighs all other valid ratemaking concerns “especially the polestar – cost of providing service.”  </w:t>
      </w:r>
      <w:r w:rsidRPr="00E9174E">
        <w:rPr>
          <w:i/>
          <w:iCs/>
          <w:sz w:val="26"/>
          <w:szCs w:val="26"/>
        </w:rPr>
        <w:t>Lloyd</w:t>
      </w:r>
      <w:r w:rsidR="00030B61" w:rsidRPr="002F09DE">
        <w:rPr>
          <w:iCs/>
          <w:sz w:val="26"/>
          <w:szCs w:val="26"/>
        </w:rPr>
        <w:t>,</w:t>
      </w:r>
      <w:r w:rsidRPr="00E9174E">
        <w:rPr>
          <w:sz w:val="26"/>
          <w:szCs w:val="26"/>
        </w:rPr>
        <w:t xml:space="preserve"> 904 A.2d </w:t>
      </w:r>
      <w:r w:rsidR="005B2544" w:rsidRPr="00E9174E">
        <w:rPr>
          <w:sz w:val="26"/>
          <w:szCs w:val="26"/>
        </w:rPr>
        <w:t>at</w:t>
      </w:r>
      <w:r w:rsidRPr="00E9174E">
        <w:rPr>
          <w:sz w:val="26"/>
          <w:szCs w:val="26"/>
        </w:rPr>
        <w:t xml:space="preserve"> 1020.  Furthermore, </w:t>
      </w:r>
      <w:r w:rsidR="003C2C63" w:rsidRPr="00E9174E">
        <w:rPr>
          <w:sz w:val="26"/>
          <w:szCs w:val="26"/>
        </w:rPr>
        <w:t xml:space="preserve">taking the </w:t>
      </w:r>
      <w:r w:rsidR="00925059" w:rsidRPr="00E9174E">
        <w:rPr>
          <w:sz w:val="26"/>
          <w:szCs w:val="26"/>
        </w:rPr>
        <w:t>approach</w:t>
      </w:r>
      <w:r w:rsidR="003C2C63" w:rsidRPr="00E9174E">
        <w:rPr>
          <w:sz w:val="26"/>
          <w:szCs w:val="26"/>
        </w:rPr>
        <w:t xml:space="preserve"> of denying any rate relief due to</w:t>
      </w:r>
      <w:r w:rsidR="00925059" w:rsidRPr="00E9174E">
        <w:rPr>
          <w:sz w:val="26"/>
          <w:szCs w:val="26"/>
        </w:rPr>
        <w:t xml:space="preserve"> rising unemployment numbers</w:t>
      </w:r>
      <w:r w:rsidRPr="00E9174E">
        <w:rPr>
          <w:sz w:val="26"/>
          <w:szCs w:val="26"/>
        </w:rPr>
        <w:t xml:space="preserve"> </w:t>
      </w:r>
      <w:r w:rsidR="003C2C63" w:rsidRPr="00E9174E">
        <w:rPr>
          <w:sz w:val="26"/>
          <w:szCs w:val="26"/>
        </w:rPr>
        <w:t xml:space="preserve">among residential customers </w:t>
      </w:r>
      <w:r w:rsidR="00030B61" w:rsidRPr="00E9174E">
        <w:rPr>
          <w:sz w:val="26"/>
          <w:szCs w:val="26"/>
        </w:rPr>
        <w:t>is</w:t>
      </w:r>
      <w:r w:rsidRPr="00E9174E">
        <w:rPr>
          <w:sz w:val="26"/>
          <w:szCs w:val="26"/>
        </w:rPr>
        <w:t xml:space="preserve"> inconsistent with</w:t>
      </w:r>
      <w:r w:rsidR="000A6F01" w:rsidRPr="00E9174E">
        <w:rPr>
          <w:sz w:val="26"/>
          <w:szCs w:val="26"/>
        </w:rPr>
        <w:t xml:space="preserve"> our </w:t>
      </w:r>
      <w:r w:rsidRPr="00E9174E">
        <w:rPr>
          <w:sz w:val="26"/>
          <w:szCs w:val="26"/>
        </w:rPr>
        <w:t xml:space="preserve">prior </w:t>
      </w:r>
      <w:r w:rsidR="004B6BB1" w:rsidRPr="00E9174E">
        <w:rPr>
          <w:sz w:val="26"/>
          <w:szCs w:val="26"/>
        </w:rPr>
        <w:t xml:space="preserve">rate </w:t>
      </w:r>
      <w:r w:rsidRPr="00E9174E">
        <w:rPr>
          <w:sz w:val="26"/>
          <w:szCs w:val="26"/>
        </w:rPr>
        <w:t>orders</w:t>
      </w:r>
      <w:r w:rsidR="003A2292" w:rsidRPr="00E9174E">
        <w:rPr>
          <w:sz w:val="26"/>
          <w:szCs w:val="26"/>
        </w:rPr>
        <w:t xml:space="preserve"> issued during this pandemic</w:t>
      </w:r>
      <w:r w:rsidR="00030B61" w:rsidRPr="00E9174E">
        <w:rPr>
          <w:sz w:val="26"/>
          <w:szCs w:val="26"/>
        </w:rPr>
        <w:t>:</w:t>
      </w:r>
      <w:r w:rsidR="003C2C63" w:rsidRPr="00E9174E">
        <w:rPr>
          <w:sz w:val="26"/>
          <w:szCs w:val="26"/>
        </w:rPr>
        <w:t xml:space="preserve"> </w:t>
      </w:r>
      <w:r w:rsidR="003A2292" w:rsidRPr="00E9174E">
        <w:rPr>
          <w:sz w:val="26"/>
          <w:szCs w:val="26"/>
        </w:rPr>
        <w:t xml:space="preserve">specifically, </w:t>
      </w:r>
      <w:r w:rsidR="003C2C63" w:rsidRPr="00E9174E">
        <w:rPr>
          <w:sz w:val="26"/>
          <w:szCs w:val="26"/>
        </w:rPr>
        <w:t xml:space="preserve">the </w:t>
      </w:r>
      <w:r w:rsidR="003C2C63" w:rsidRPr="00E9174E">
        <w:rPr>
          <w:i/>
          <w:iCs/>
          <w:sz w:val="26"/>
          <w:szCs w:val="26"/>
        </w:rPr>
        <w:t>PGW Rate Order</w:t>
      </w:r>
      <w:r w:rsidR="003C2C63" w:rsidRPr="00E9174E">
        <w:rPr>
          <w:sz w:val="26"/>
          <w:szCs w:val="26"/>
        </w:rPr>
        <w:t xml:space="preserve">, </w:t>
      </w:r>
      <w:r w:rsidR="003B2187" w:rsidRPr="00E9174E">
        <w:rPr>
          <w:sz w:val="26"/>
          <w:szCs w:val="26"/>
        </w:rPr>
        <w:t xml:space="preserve">the </w:t>
      </w:r>
      <w:r w:rsidR="003C2C63" w:rsidRPr="00E9174E">
        <w:rPr>
          <w:i/>
          <w:iCs/>
          <w:sz w:val="26"/>
          <w:szCs w:val="26"/>
        </w:rPr>
        <w:t>UGI Gas</w:t>
      </w:r>
      <w:r w:rsidR="00030B61" w:rsidRPr="00E9174E">
        <w:rPr>
          <w:i/>
          <w:iCs/>
          <w:sz w:val="26"/>
          <w:szCs w:val="26"/>
        </w:rPr>
        <w:t xml:space="preserve"> Rate Order</w:t>
      </w:r>
      <w:r w:rsidR="003C2C63" w:rsidRPr="00E9174E">
        <w:rPr>
          <w:sz w:val="26"/>
          <w:szCs w:val="26"/>
        </w:rPr>
        <w:t xml:space="preserve">, and the </w:t>
      </w:r>
      <w:r w:rsidR="003C2C63" w:rsidRPr="00E9174E">
        <w:rPr>
          <w:i/>
          <w:iCs/>
          <w:sz w:val="26"/>
          <w:szCs w:val="26"/>
        </w:rPr>
        <w:t>PWSA Rate Order</w:t>
      </w:r>
      <w:r w:rsidR="00030B61" w:rsidRPr="002F536C">
        <w:rPr>
          <w:sz w:val="26"/>
          <w:szCs w:val="26"/>
        </w:rPr>
        <w:t>,</w:t>
      </w:r>
      <w:r w:rsidR="003C2C63" w:rsidRPr="00E9174E">
        <w:rPr>
          <w:sz w:val="26"/>
          <w:szCs w:val="26"/>
        </w:rPr>
        <w:t xml:space="preserve"> </w:t>
      </w:r>
      <w:r w:rsidR="00030B61" w:rsidRPr="00E9174E">
        <w:rPr>
          <w:sz w:val="26"/>
          <w:szCs w:val="26"/>
        </w:rPr>
        <w:t>where</w:t>
      </w:r>
      <w:r w:rsidRPr="00E9174E">
        <w:rPr>
          <w:sz w:val="26"/>
          <w:szCs w:val="26"/>
        </w:rPr>
        <w:t xml:space="preserve"> we granted rate increases despite rising unemployment numbers across the Commonwealth due to the pandemic</w:t>
      </w:r>
      <w:r w:rsidR="00030B61" w:rsidRPr="00E9174E">
        <w:rPr>
          <w:sz w:val="26"/>
          <w:szCs w:val="26"/>
        </w:rPr>
        <w:t>.</w:t>
      </w:r>
      <w:r w:rsidRPr="00E9174E">
        <w:rPr>
          <w:sz w:val="26"/>
          <w:szCs w:val="26"/>
        </w:rPr>
        <w:t xml:space="preserve">  </w:t>
      </w:r>
      <w:r w:rsidR="00030B61" w:rsidRPr="00E9174E">
        <w:rPr>
          <w:sz w:val="26"/>
          <w:szCs w:val="26"/>
        </w:rPr>
        <w:t>No</w:t>
      </w:r>
      <w:r w:rsidR="003D5A83" w:rsidRPr="00E9174E">
        <w:rPr>
          <w:sz w:val="26"/>
          <w:szCs w:val="26"/>
        </w:rPr>
        <w:t xml:space="preserve"> </w:t>
      </w:r>
      <w:r w:rsidR="00030B61" w:rsidRPr="00E9174E">
        <w:rPr>
          <w:sz w:val="26"/>
          <w:szCs w:val="26"/>
        </w:rPr>
        <w:t>party</w:t>
      </w:r>
      <w:r w:rsidR="00EB7BDF" w:rsidRPr="00E9174E">
        <w:rPr>
          <w:sz w:val="26"/>
          <w:szCs w:val="26"/>
        </w:rPr>
        <w:t xml:space="preserve"> in this proceeding</w:t>
      </w:r>
      <w:r w:rsidR="003D5A83" w:rsidRPr="00E9174E">
        <w:rPr>
          <w:sz w:val="26"/>
          <w:szCs w:val="26"/>
        </w:rPr>
        <w:t xml:space="preserve"> has offered a rational basis to justify </w:t>
      </w:r>
      <w:r w:rsidR="00E836F5" w:rsidRPr="00E9174E">
        <w:rPr>
          <w:sz w:val="26"/>
          <w:szCs w:val="26"/>
        </w:rPr>
        <w:t>a</w:t>
      </w:r>
      <w:r w:rsidR="00925059" w:rsidRPr="00E9174E">
        <w:rPr>
          <w:sz w:val="26"/>
          <w:szCs w:val="26"/>
        </w:rPr>
        <w:t xml:space="preserve"> </w:t>
      </w:r>
      <w:r w:rsidR="003D5A83" w:rsidRPr="00E9174E">
        <w:rPr>
          <w:sz w:val="26"/>
          <w:szCs w:val="26"/>
        </w:rPr>
        <w:t>different treatment</w:t>
      </w:r>
      <w:r w:rsidR="003C2C63" w:rsidRPr="00E9174E">
        <w:rPr>
          <w:sz w:val="26"/>
          <w:szCs w:val="26"/>
        </w:rPr>
        <w:t xml:space="preserve"> under the circumstances</w:t>
      </w:r>
      <w:r w:rsidR="000A6F01" w:rsidRPr="00E9174E">
        <w:rPr>
          <w:sz w:val="26"/>
          <w:szCs w:val="26"/>
        </w:rPr>
        <w:t xml:space="preserve"> here</w:t>
      </w:r>
      <w:r w:rsidR="003D5A83" w:rsidRPr="00E9174E">
        <w:rPr>
          <w:sz w:val="26"/>
          <w:szCs w:val="26"/>
        </w:rPr>
        <w:t xml:space="preserve">.  </w:t>
      </w:r>
      <w:r w:rsidR="00925059" w:rsidRPr="00E9174E">
        <w:rPr>
          <w:sz w:val="26"/>
          <w:szCs w:val="26"/>
        </w:rPr>
        <w:t>Indeed, we</w:t>
      </w:r>
      <w:r w:rsidR="003D5A83" w:rsidRPr="00E9174E">
        <w:rPr>
          <w:sz w:val="26"/>
          <w:szCs w:val="26"/>
        </w:rPr>
        <w:t xml:space="preserve"> </w:t>
      </w:r>
      <w:r w:rsidR="00925059" w:rsidRPr="00E9174E">
        <w:rPr>
          <w:sz w:val="26"/>
          <w:szCs w:val="26"/>
        </w:rPr>
        <w:t>are no</w:t>
      </w:r>
      <w:r w:rsidR="003C2C63" w:rsidRPr="00E9174E">
        <w:rPr>
          <w:sz w:val="26"/>
          <w:szCs w:val="26"/>
        </w:rPr>
        <w:t>t</w:t>
      </w:r>
      <w:r w:rsidR="00925059" w:rsidRPr="00E9174E">
        <w:rPr>
          <w:sz w:val="26"/>
          <w:szCs w:val="26"/>
        </w:rPr>
        <w:t xml:space="preserve"> persuaded by the argument </w:t>
      </w:r>
      <w:r w:rsidRPr="00E9174E">
        <w:rPr>
          <w:sz w:val="26"/>
          <w:szCs w:val="26"/>
        </w:rPr>
        <w:t>that the final rates in the</w:t>
      </w:r>
      <w:r w:rsidR="003C2C63" w:rsidRPr="00E9174E">
        <w:rPr>
          <w:sz w:val="26"/>
          <w:szCs w:val="26"/>
        </w:rPr>
        <w:t xml:space="preserve"> other</w:t>
      </w:r>
      <w:r w:rsidRPr="00E9174E">
        <w:rPr>
          <w:sz w:val="26"/>
          <w:szCs w:val="26"/>
        </w:rPr>
        <w:t xml:space="preserve"> cases</w:t>
      </w:r>
      <w:r w:rsidR="003C2C63" w:rsidRPr="00E9174E">
        <w:rPr>
          <w:sz w:val="26"/>
          <w:szCs w:val="26"/>
        </w:rPr>
        <w:t xml:space="preserve"> </w:t>
      </w:r>
      <w:r w:rsidRPr="00E9174E">
        <w:rPr>
          <w:sz w:val="26"/>
          <w:szCs w:val="26"/>
        </w:rPr>
        <w:t xml:space="preserve">were the results </w:t>
      </w:r>
      <w:r w:rsidRPr="00E9174E">
        <w:rPr>
          <w:sz w:val="26"/>
          <w:szCs w:val="26"/>
        </w:rPr>
        <w:lastRenderedPageBreak/>
        <w:t>of settlement agreements</w:t>
      </w:r>
      <w:r w:rsidR="00512E6B" w:rsidRPr="00E9174E">
        <w:rPr>
          <w:sz w:val="26"/>
          <w:szCs w:val="26"/>
        </w:rPr>
        <w:t>,</w:t>
      </w:r>
      <w:r w:rsidRPr="00E9174E">
        <w:rPr>
          <w:sz w:val="26"/>
          <w:szCs w:val="26"/>
        </w:rPr>
        <w:t xml:space="preserve"> </w:t>
      </w:r>
      <w:r w:rsidR="003D5A83" w:rsidRPr="00E9174E">
        <w:rPr>
          <w:sz w:val="26"/>
          <w:szCs w:val="26"/>
        </w:rPr>
        <w:t xml:space="preserve">as that </w:t>
      </w:r>
      <w:r w:rsidR="00512E6B" w:rsidRPr="00E9174E">
        <w:rPr>
          <w:sz w:val="26"/>
          <w:szCs w:val="26"/>
        </w:rPr>
        <w:t>fact</w:t>
      </w:r>
      <w:r w:rsidR="003D529B" w:rsidRPr="00E9174E">
        <w:rPr>
          <w:sz w:val="26"/>
          <w:szCs w:val="26"/>
        </w:rPr>
        <w:t xml:space="preserve"> alone</w:t>
      </w:r>
      <w:r w:rsidR="00512E6B" w:rsidRPr="00E9174E">
        <w:rPr>
          <w:sz w:val="26"/>
          <w:szCs w:val="26"/>
        </w:rPr>
        <w:t xml:space="preserve"> </w:t>
      </w:r>
      <w:r w:rsidRPr="00E9174E">
        <w:rPr>
          <w:sz w:val="26"/>
          <w:szCs w:val="26"/>
        </w:rPr>
        <w:t xml:space="preserve">does not change the </w:t>
      </w:r>
      <w:r w:rsidR="003D5A83" w:rsidRPr="00E9174E">
        <w:rPr>
          <w:sz w:val="26"/>
          <w:szCs w:val="26"/>
        </w:rPr>
        <w:t xml:space="preserve">reality </w:t>
      </w:r>
      <w:r w:rsidRPr="00E9174E">
        <w:rPr>
          <w:sz w:val="26"/>
          <w:szCs w:val="26"/>
        </w:rPr>
        <w:t xml:space="preserve">that </w:t>
      </w:r>
      <w:r w:rsidR="003D529B" w:rsidRPr="00E9174E">
        <w:rPr>
          <w:sz w:val="26"/>
          <w:szCs w:val="26"/>
        </w:rPr>
        <w:t>such settlements would not be effective unless approved under our ratemaking authority</w:t>
      </w:r>
      <w:r w:rsidR="00E836F5" w:rsidRPr="00E9174E">
        <w:rPr>
          <w:sz w:val="26"/>
          <w:szCs w:val="26"/>
        </w:rPr>
        <w:t>,</w:t>
      </w:r>
      <w:r w:rsidR="003D529B" w:rsidRPr="00E9174E">
        <w:rPr>
          <w:sz w:val="26"/>
          <w:szCs w:val="26"/>
        </w:rPr>
        <w:t xml:space="preserve"> and we clearly a</w:t>
      </w:r>
      <w:r w:rsidR="004B6BB1" w:rsidRPr="00E9174E">
        <w:rPr>
          <w:sz w:val="26"/>
          <w:szCs w:val="26"/>
        </w:rPr>
        <w:t>cknowledged the need for</w:t>
      </w:r>
      <w:r w:rsidR="008F78A7" w:rsidRPr="00E9174E">
        <w:rPr>
          <w:sz w:val="26"/>
          <w:szCs w:val="26"/>
        </w:rPr>
        <w:t xml:space="preserve"> revenue increases during this pandemic</w:t>
      </w:r>
      <w:r w:rsidR="003D529B" w:rsidRPr="00E9174E">
        <w:rPr>
          <w:sz w:val="26"/>
          <w:szCs w:val="26"/>
        </w:rPr>
        <w:t xml:space="preserve"> for these companies</w:t>
      </w:r>
      <w:r w:rsidR="008F78A7" w:rsidRPr="00E9174E">
        <w:rPr>
          <w:sz w:val="26"/>
          <w:szCs w:val="26"/>
        </w:rPr>
        <w:t xml:space="preserve"> by </w:t>
      </w:r>
      <w:r w:rsidRPr="00E9174E">
        <w:rPr>
          <w:sz w:val="26"/>
          <w:szCs w:val="26"/>
        </w:rPr>
        <w:t>approv</w:t>
      </w:r>
      <w:r w:rsidR="008F78A7" w:rsidRPr="00E9174E">
        <w:rPr>
          <w:sz w:val="26"/>
          <w:szCs w:val="26"/>
        </w:rPr>
        <w:t>ing the settle</w:t>
      </w:r>
      <w:r w:rsidR="005478F3" w:rsidRPr="00E9174E">
        <w:rPr>
          <w:sz w:val="26"/>
          <w:szCs w:val="26"/>
        </w:rPr>
        <w:t>d-upon</w:t>
      </w:r>
      <w:r w:rsidRPr="00E9174E">
        <w:rPr>
          <w:sz w:val="26"/>
          <w:szCs w:val="26"/>
        </w:rPr>
        <w:t xml:space="preserve"> rate increases</w:t>
      </w:r>
      <w:r w:rsidR="008F78A7" w:rsidRPr="00E9174E">
        <w:rPr>
          <w:sz w:val="26"/>
          <w:szCs w:val="26"/>
        </w:rPr>
        <w:t xml:space="preserve"> after </w:t>
      </w:r>
      <w:r w:rsidR="005478F3" w:rsidRPr="00E9174E">
        <w:rPr>
          <w:sz w:val="26"/>
          <w:szCs w:val="26"/>
        </w:rPr>
        <w:t>we found</w:t>
      </w:r>
      <w:r w:rsidR="008F78A7" w:rsidRPr="00E9174E">
        <w:rPr>
          <w:sz w:val="26"/>
          <w:szCs w:val="26"/>
        </w:rPr>
        <w:t xml:space="preserve"> that such settlements were in the public interest</w:t>
      </w:r>
      <w:r w:rsidR="00213554" w:rsidRPr="00E9174E">
        <w:rPr>
          <w:sz w:val="26"/>
          <w:szCs w:val="26"/>
        </w:rPr>
        <w:t xml:space="preserve"> and resulted in just and reasonable rates</w:t>
      </w:r>
      <w:r w:rsidR="008F78A7" w:rsidRPr="00E9174E">
        <w:rPr>
          <w:sz w:val="26"/>
          <w:szCs w:val="26"/>
        </w:rPr>
        <w:t xml:space="preserve">.  </w:t>
      </w:r>
      <w:r w:rsidRPr="00E9174E">
        <w:rPr>
          <w:i/>
          <w:iCs/>
          <w:sz w:val="26"/>
          <w:szCs w:val="26"/>
        </w:rPr>
        <w:t>See</w:t>
      </w:r>
      <w:r w:rsidR="00EB7BDF" w:rsidRPr="00E9174E">
        <w:rPr>
          <w:i/>
          <w:iCs/>
          <w:sz w:val="26"/>
          <w:szCs w:val="26"/>
        </w:rPr>
        <w:t xml:space="preserve"> </w:t>
      </w:r>
      <w:r w:rsidR="00320C13" w:rsidRPr="00E9174E">
        <w:rPr>
          <w:i/>
          <w:iCs/>
          <w:sz w:val="26"/>
          <w:szCs w:val="26"/>
        </w:rPr>
        <w:t>PGW Rate Order, UGI Gas</w:t>
      </w:r>
      <w:r w:rsidR="00030B61" w:rsidRPr="00E9174E">
        <w:rPr>
          <w:i/>
          <w:iCs/>
          <w:sz w:val="26"/>
          <w:szCs w:val="26"/>
        </w:rPr>
        <w:t xml:space="preserve"> Rate Order</w:t>
      </w:r>
      <w:r w:rsidR="00320C13" w:rsidRPr="00E9174E">
        <w:rPr>
          <w:i/>
          <w:iCs/>
          <w:sz w:val="26"/>
          <w:szCs w:val="26"/>
        </w:rPr>
        <w:t>, PWSA Rate Order.</w:t>
      </w:r>
    </w:p>
    <w:p w14:paraId="15BC88D2" w14:textId="77777777" w:rsidR="00EF6F4F" w:rsidRPr="00E9174E" w:rsidRDefault="00EF6F4F" w:rsidP="00E9174E">
      <w:pPr>
        <w:widowControl/>
        <w:spacing w:line="360" w:lineRule="auto"/>
        <w:ind w:firstLine="1440"/>
        <w:contextualSpacing/>
        <w:rPr>
          <w:sz w:val="26"/>
          <w:szCs w:val="26"/>
        </w:rPr>
      </w:pPr>
    </w:p>
    <w:p w14:paraId="0D77A0FB" w14:textId="696948D2" w:rsidR="00EF6F4F" w:rsidRPr="00E9174E" w:rsidRDefault="00EF6F4F" w:rsidP="00E9174E">
      <w:pPr>
        <w:pStyle w:val="BodyText2"/>
        <w:widowControl/>
        <w:spacing w:after="0" w:line="360" w:lineRule="auto"/>
        <w:ind w:firstLine="1440"/>
        <w:contextualSpacing/>
        <w:rPr>
          <w:sz w:val="26"/>
          <w:szCs w:val="26"/>
        </w:rPr>
      </w:pPr>
      <w:r w:rsidRPr="00E9174E">
        <w:rPr>
          <w:sz w:val="26"/>
          <w:szCs w:val="26"/>
        </w:rPr>
        <w:t xml:space="preserve">Next, with respect to the </w:t>
      </w:r>
      <w:r w:rsidR="00E836F5" w:rsidRPr="00E9174E">
        <w:rPr>
          <w:sz w:val="26"/>
          <w:szCs w:val="26"/>
        </w:rPr>
        <w:t>ALJ’s</w:t>
      </w:r>
      <w:r w:rsidRPr="00E9174E">
        <w:rPr>
          <w:sz w:val="26"/>
          <w:szCs w:val="26"/>
        </w:rPr>
        <w:t xml:space="preserve"> conclusion that Columbia’s entire rate presentation is speculative on the basis that the Company’s FPFTY projections are based on historical data that predates the pandemic, we look with favor to Columbia’s Exception No. 2.  The </w:t>
      </w:r>
      <w:r w:rsidR="00E836F5" w:rsidRPr="00E9174E">
        <w:rPr>
          <w:sz w:val="26"/>
          <w:szCs w:val="26"/>
        </w:rPr>
        <w:t>ALJ</w:t>
      </w:r>
      <w:r w:rsidRPr="00E9174E">
        <w:rPr>
          <w:sz w:val="26"/>
          <w:szCs w:val="26"/>
        </w:rPr>
        <w:t xml:space="preserve"> does not point to any evidence in the record that Columbia’s projections are unreliable.  Columbia submits the reason for this lapse is because there is no such evidence of unreliable data in this case.  Based on our review of the record, we agree.  In our opinion, the question of whether supporting data is unreliable requires a claim-by-claim analysis based on the record evidence rather than a “broad brush” determination.</w:t>
      </w:r>
      <w:r w:rsidR="006156D5" w:rsidRPr="00E9174E">
        <w:rPr>
          <w:rStyle w:val="FootnoteReference"/>
          <w:sz w:val="26"/>
          <w:szCs w:val="26"/>
        </w:rPr>
        <w:footnoteReference w:id="30"/>
      </w:r>
      <w:r w:rsidRPr="00E9174E">
        <w:rPr>
          <w:sz w:val="26"/>
          <w:szCs w:val="26"/>
        </w:rPr>
        <w:t xml:space="preserve">  </w:t>
      </w:r>
    </w:p>
    <w:p w14:paraId="416784AA" w14:textId="77777777" w:rsidR="00EF6F4F" w:rsidRPr="00E9174E" w:rsidRDefault="00EF6F4F" w:rsidP="00E9174E">
      <w:pPr>
        <w:pStyle w:val="BodyText2"/>
        <w:widowControl/>
        <w:spacing w:after="0" w:line="360" w:lineRule="auto"/>
        <w:ind w:firstLine="1440"/>
        <w:contextualSpacing/>
        <w:rPr>
          <w:sz w:val="26"/>
          <w:szCs w:val="26"/>
        </w:rPr>
      </w:pPr>
    </w:p>
    <w:p w14:paraId="3B595289" w14:textId="3134831C" w:rsidR="00EF6F4F" w:rsidRPr="00E9174E" w:rsidRDefault="00BE494E" w:rsidP="00E9174E">
      <w:pPr>
        <w:pStyle w:val="BodyText2"/>
        <w:widowControl/>
        <w:spacing w:after="0" w:line="360" w:lineRule="auto"/>
        <w:ind w:firstLine="1440"/>
        <w:contextualSpacing/>
        <w:rPr>
          <w:sz w:val="26"/>
          <w:szCs w:val="26"/>
        </w:rPr>
      </w:pPr>
      <w:r w:rsidRPr="00E9174E">
        <w:rPr>
          <w:sz w:val="26"/>
          <w:szCs w:val="26"/>
        </w:rPr>
        <w:t>On this point</w:t>
      </w:r>
      <w:r w:rsidR="00EF6F4F" w:rsidRPr="00E9174E">
        <w:rPr>
          <w:sz w:val="26"/>
          <w:szCs w:val="26"/>
        </w:rPr>
        <w:t xml:space="preserve">, we note </w:t>
      </w:r>
      <w:r w:rsidR="00E66E73" w:rsidRPr="00E9174E">
        <w:rPr>
          <w:sz w:val="26"/>
          <w:szCs w:val="26"/>
        </w:rPr>
        <w:t>with</w:t>
      </w:r>
      <w:r w:rsidR="00EF6F4F" w:rsidRPr="00E9174E">
        <w:rPr>
          <w:sz w:val="26"/>
          <w:szCs w:val="26"/>
        </w:rPr>
        <w:t xml:space="preserve"> </w:t>
      </w:r>
      <w:r w:rsidR="00E66E73" w:rsidRPr="00E9174E">
        <w:rPr>
          <w:sz w:val="26"/>
          <w:szCs w:val="26"/>
        </w:rPr>
        <w:t>favor the substantial explanations offered by Columbia in its second Exception related to its projected increase</w:t>
      </w:r>
      <w:r w:rsidR="00CF2754" w:rsidRPr="00E9174E">
        <w:rPr>
          <w:sz w:val="26"/>
          <w:szCs w:val="26"/>
        </w:rPr>
        <w:t>s</w:t>
      </w:r>
      <w:r w:rsidR="00E66E73" w:rsidRPr="00E9174E">
        <w:rPr>
          <w:sz w:val="26"/>
          <w:szCs w:val="26"/>
        </w:rPr>
        <w:t xml:space="preserve"> in expenses and rate base investments in the FPFTY in support of its requested rate relief, which, alone, indicate that a proper exercise of our discretion requires us to carefully examine the evidence and positions presented by the Company and the opposing </w:t>
      </w:r>
      <w:r w:rsidR="00CF0CFC" w:rsidRPr="00E9174E">
        <w:rPr>
          <w:sz w:val="26"/>
          <w:szCs w:val="26"/>
        </w:rPr>
        <w:t>Parties</w:t>
      </w:r>
      <w:r w:rsidR="00061597" w:rsidRPr="00E9174E">
        <w:rPr>
          <w:sz w:val="26"/>
          <w:szCs w:val="26"/>
        </w:rPr>
        <w:t xml:space="preserve"> with regard to the Company’s cost of service and other ratemaking concerns</w:t>
      </w:r>
      <w:r w:rsidR="004B6BB1" w:rsidRPr="00E9174E">
        <w:rPr>
          <w:sz w:val="26"/>
          <w:szCs w:val="26"/>
        </w:rPr>
        <w:t xml:space="preserve"> using the traditional ratemaking methodologies,</w:t>
      </w:r>
      <w:r w:rsidR="00E66E73" w:rsidRPr="00E9174E">
        <w:rPr>
          <w:sz w:val="26"/>
          <w:szCs w:val="26"/>
        </w:rPr>
        <w:t xml:space="preserve"> rather than to outright disregard the requested rate relief due to the pandemic.  More specifically, </w:t>
      </w:r>
      <w:r w:rsidR="00EF6F4F" w:rsidRPr="00E9174E">
        <w:rPr>
          <w:sz w:val="26"/>
          <w:szCs w:val="26"/>
        </w:rPr>
        <w:t>in its second Exception</w:t>
      </w:r>
      <w:r w:rsidR="00E66E73" w:rsidRPr="00E9174E">
        <w:rPr>
          <w:sz w:val="26"/>
          <w:szCs w:val="26"/>
        </w:rPr>
        <w:t>, Columbia submits</w:t>
      </w:r>
      <w:r w:rsidR="00EF6F4F" w:rsidRPr="00E9174E">
        <w:rPr>
          <w:sz w:val="26"/>
          <w:szCs w:val="26"/>
        </w:rPr>
        <w:t xml:space="preserve"> that it </w:t>
      </w:r>
      <w:r w:rsidR="00EF6F4F" w:rsidRPr="00E9174E">
        <w:rPr>
          <w:sz w:val="26"/>
          <w:szCs w:val="26"/>
        </w:rPr>
        <w:lastRenderedPageBreak/>
        <w:t xml:space="preserve">presented evidence in this proceeding to show that its expenses have not declined due to the pandemic. </w:t>
      </w:r>
      <w:r w:rsidR="005458BE" w:rsidRPr="00E9174E">
        <w:rPr>
          <w:sz w:val="26"/>
          <w:szCs w:val="26"/>
        </w:rPr>
        <w:t xml:space="preserve"> </w:t>
      </w:r>
      <w:r w:rsidR="00EF6F4F" w:rsidRPr="00E9174E">
        <w:rPr>
          <w:sz w:val="26"/>
          <w:szCs w:val="26"/>
        </w:rPr>
        <w:t>While we address the Company’s expense claims more specifically</w:t>
      </w:r>
      <w:r w:rsidR="00FF75AA" w:rsidRPr="00E9174E">
        <w:rPr>
          <w:sz w:val="26"/>
          <w:szCs w:val="26"/>
        </w:rPr>
        <w:t>,</w:t>
      </w:r>
      <w:r w:rsidR="00EF6F4F" w:rsidRPr="00E9174E">
        <w:rPr>
          <w:sz w:val="26"/>
          <w:szCs w:val="26"/>
        </w:rPr>
        <w:t xml:space="preserve"> below, we highlight </w:t>
      </w:r>
      <w:r w:rsidR="00C83B88" w:rsidRPr="00E9174E">
        <w:rPr>
          <w:sz w:val="26"/>
          <w:szCs w:val="26"/>
        </w:rPr>
        <w:t xml:space="preserve">here </w:t>
      </w:r>
      <w:r w:rsidR="00EF6F4F" w:rsidRPr="00E9174E">
        <w:rPr>
          <w:sz w:val="26"/>
          <w:szCs w:val="26"/>
        </w:rPr>
        <w:t xml:space="preserve">that Columbia submits that </w:t>
      </w:r>
      <w:r w:rsidR="00245FEE" w:rsidRPr="00E9174E">
        <w:rPr>
          <w:sz w:val="26"/>
          <w:szCs w:val="26"/>
        </w:rPr>
        <w:t xml:space="preserve">while </w:t>
      </w:r>
      <w:r w:rsidR="00EF6F4F" w:rsidRPr="00E9174E">
        <w:rPr>
          <w:sz w:val="26"/>
          <w:szCs w:val="26"/>
        </w:rPr>
        <w:t xml:space="preserve">certain projected expenses for 2020 have been reduced, such as travel and meetings, other expenses, such as the need to acquire personal protective equipment, cleaning and sanitizing supplies and costs associated with remote work and the need to implement social distancing, have increased.  CG Exc. at 8-9 (citing </w:t>
      </w:r>
      <w:r w:rsidR="004C5D69" w:rsidRPr="00E9174E">
        <w:rPr>
          <w:sz w:val="26"/>
          <w:szCs w:val="26"/>
        </w:rPr>
        <w:t>CG St.</w:t>
      </w:r>
      <w:r w:rsidR="00EF6F4F" w:rsidRPr="00E9174E">
        <w:rPr>
          <w:sz w:val="26"/>
          <w:szCs w:val="26"/>
        </w:rPr>
        <w:t xml:space="preserve"> 9-R at 7).  And while we address the Company’s rate base claims and LTIIP expenditures in more depth below, </w:t>
      </w:r>
      <w:r w:rsidR="00C83B88" w:rsidRPr="00E9174E">
        <w:rPr>
          <w:sz w:val="26"/>
          <w:szCs w:val="26"/>
        </w:rPr>
        <w:t xml:space="preserve">we highlight </w:t>
      </w:r>
      <w:r w:rsidR="00E66E73" w:rsidRPr="00E9174E">
        <w:rPr>
          <w:sz w:val="26"/>
          <w:szCs w:val="26"/>
        </w:rPr>
        <w:t>that Columbia, in its second Exception,</w:t>
      </w:r>
      <w:r w:rsidR="00C83B88" w:rsidRPr="00E9174E">
        <w:rPr>
          <w:sz w:val="26"/>
          <w:szCs w:val="26"/>
        </w:rPr>
        <w:t xml:space="preserve"> submits </w:t>
      </w:r>
      <w:r w:rsidR="00EF6F4F" w:rsidRPr="00E9174E">
        <w:rPr>
          <w:sz w:val="26"/>
          <w:szCs w:val="26"/>
        </w:rPr>
        <w:t>it has continued to execute its capital budget and that</w:t>
      </w:r>
      <w:r w:rsidR="00C83B88" w:rsidRPr="00E9174E">
        <w:rPr>
          <w:sz w:val="26"/>
          <w:szCs w:val="26"/>
        </w:rPr>
        <w:t xml:space="preserve"> even the</w:t>
      </w:r>
      <w:r w:rsidR="00EF6F4F" w:rsidRPr="00E9174E">
        <w:rPr>
          <w:sz w:val="26"/>
          <w:szCs w:val="26"/>
        </w:rPr>
        <w:t xml:space="preserve"> OCA’s Witness, Mr. </w:t>
      </w:r>
      <w:proofErr w:type="spellStart"/>
      <w:r w:rsidR="00EF6F4F" w:rsidRPr="00E9174E">
        <w:rPr>
          <w:sz w:val="26"/>
          <w:szCs w:val="26"/>
        </w:rPr>
        <w:t>Effron</w:t>
      </w:r>
      <w:proofErr w:type="spellEnd"/>
      <w:r w:rsidR="00EF6F4F" w:rsidRPr="00E9174E">
        <w:rPr>
          <w:sz w:val="26"/>
          <w:szCs w:val="26"/>
        </w:rPr>
        <w:t xml:space="preserve">, acknowledged that the facts of record support a conclusion that, despite the temporary construction limitations experienced earlier this year, Columbia was still anticipated to meet its capital budget for 2020.  </w:t>
      </w:r>
      <w:r w:rsidR="004C5D69" w:rsidRPr="00E9174E">
        <w:rPr>
          <w:sz w:val="26"/>
          <w:szCs w:val="26"/>
        </w:rPr>
        <w:t>CG Exc.</w:t>
      </w:r>
      <w:r w:rsidR="00EF6F4F" w:rsidRPr="00E9174E">
        <w:rPr>
          <w:sz w:val="26"/>
          <w:szCs w:val="26"/>
        </w:rPr>
        <w:t xml:space="preserve"> at 9 (citing OCA St. 2 at 6).  Such temporary construction restrictions have been lifted, and Columbia asserts that there is no basis to speculate that Columbia will be unable to execute its capital budget for 2021, consistent with its Commission-approved LTIIP. </w:t>
      </w:r>
      <w:r w:rsidR="002D7E6B" w:rsidRPr="00E9174E">
        <w:rPr>
          <w:sz w:val="26"/>
          <w:szCs w:val="26"/>
        </w:rPr>
        <w:t xml:space="preserve"> </w:t>
      </w:r>
      <w:r w:rsidR="00EF6F4F" w:rsidRPr="00E9174E">
        <w:rPr>
          <w:sz w:val="26"/>
          <w:szCs w:val="26"/>
        </w:rPr>
        <w:t>CG</w:t>
      </w:r>
      <w:r w:rsidR="002F536C">
        <w:rPr>
          <w:sz w:val="26"/>
          <w:szCs w:val="26"/>
        </w:rPr>
        <w:t> </w:t>
      </w:r>
      <w:r w:rsidR="00EF6F4F" w:rsidRPr="00E9174E">
        <w:rPr>
          <w:sz w:val="26"/>
          <w:szCs w:val="26"/>
        </w:rPr>
        <w:t xml:space="preserve">Exc. at 9 (citing CG R.B. at 13-14).  </w:t>
      </w:r>
      <w:r w:rsidR="000A6F01" w:rsidRPr="00E9174E">
        <w:rPr>
          <w:sz w:val="26"/>
          <w:szCs w:val="26"/>
        </w:rPr>
        <w:t xml:space="preserve">While </w:t>
      </w:r>
      <w:r w:rsidR="00656386" w:rsidRPr="00E9174E">
        <w:rPr>
          <w:sz w:val="26"/>
          <w:szCs w:val="26"/>
        </w:rPr>
        <w:t xml:space="preserve">our review and dispositions related to </w:t>
      </w:r>
      <w:r w:rsidR="000A6F01" w:rsidRPr="00E9174E">
        <w:rPr>
          <w:sz w:val="26"/>
          <w:szCs w:val="26"/>
        </w:rPr>
        <w:t xml:space="preserve">such claims by the Company </w:t>
      </w:r>
      <w:r w:rsidR="00656386" w:rsidRPr="00E9174E">
        <w:rPr>
          <w:sz w:val="26"/>
          <w:szCs w:val="26"/>
        </w:rPr>
        <w:t xml:space="preserve">appear </w:t>
      </w:r>
      <w:r w:rsidR="000A6F01" w:rsidRPr="00E9174E">
        <w:rPr>
          <w:sz w:val="26"/>
          <w:szCs w:val="26"/>
        </w:rPr>
        <w:t>in later Sections of this Order, we highlight these substantial explanations offered by Columbia in its second Exception</w:t>
      </w:r>
      <w:r w:rsidR="00480337" w:rsidRPr="00E9174E">
        <w:rPr>
          <w:sz w:val="26"/>
          <w:szCs w:val="26"/>
        </w:rPr>
        <w:t xml:space="preserve"> to support our opinion that i</w:t>
      </w:r>
      <w:r w:rsidR="00123428" w:rsidRPr="00E9174E">
        <w:rPr>
          <w:sz w:val="26"/>
          <w:szCs w:val="26"/>
        </w:rPr>
        <w:t xml:space="preserve">t is </w:t>
      </w:r>
      <w:r w:rsidR="000A6F01" w:rsidRPr="00E9174E">
        <w:rPr>
          <w:sz w:val="26"/>
          <w:szCs w:val="26"/>
        </w:rPr>
        <w:t>a proper exercise of our ratemaking discretion</w:t>
      </w:r>
      <w:r w:rsidR="005D52E3" w:rsidRPr="00E9174E">
        <w:rPr>
          <w:sz w:val="26"/>
          <w:szCs w:val="26"/>
        </w:rPr>
        <w:t xml:space="preserve"> in this case</w:t>
      </w:r>
      <w:r w:rsidR="000A6F01" w:rsidRPr="00E9174E">
        <w:rPr>
          <w:sz w:val="26"/>
          <w:szCs w:val="26"/>
        </w:rPr>
        <w:t xml:space="preserve"> to carefully examine the evidence and positions presented </w:t>
      </w:r>
      <w:r w:rsidR="005D52E3" w:rsidRPr="00E9174E">
        <w:rPr>
          <w:sz w:val="26"/>
          <w:szCs w:val="26"/>
        </w:rPr>
        <w:t>by the Parties</w:t>
      </w:r>
      <w:r w:rsidR="000A6F01" w:rsidRPr="00E9174E">
        <w:rPr>
          <w:sz w:val="26"/>
          <w:szCs w:val="26"/>
        </w:rPr>
        <w:t xml:space="preserve"> using the traditional ratemaking methodologies rather than to disregard the requested rate relief due to the pandemic.</w:t>
      </w:r>
    </w:p>
    <w:p w14:paraId="4F7BE744" w14:textId="77777777" w:rsidR="00EF6F4F" w:rsidRPr="00E9174E" w:rsidRDefault="00EF6F4F" w:rsidP="00E9174E">
      <w:pPr>
        <w:pStyle w:val="BodyText2"/>
        <w:widowControl/>
        <w:spacing w:after="0" w:line="360" w:lineRule="auto"/>
        <w:ind w:firstLine="1440"/>
        <w:contextualSpacing/>
        <w:rPr>
          <w:sz w:val="26"/>
          <w:szCs w:val="26"/>
        </w:rPr>
      </w:pPr>
    </w:p>
    <w:p w14:paraId="5F64055A" w14:textId="189FE24E" w:rsidR="00EF6F4F" w:rsidRPr="00E9174E" w:rsidRDefault="00EF6F4F" w:rsidP="00E9174E">
      <w:pPr>
        <w:pStyle w:val="BodyText2"/>
        <w:widowControl/>
        <w:spacing w:after="0" w:line="360" w:lineRule="auto"/>
        <w:ind w:firstLine="1440"/>
        <w:contextualSpacing/>
        <w:rPr>
          <w:sz w:val="26"/>
          <w:szCs w:val="26"/>
        </w:rPr>
      </w:pPr>
      <w:r w:rsidRPr="00E9174E">
        <w:rPr>
          <w:sz w:val="26"/>
          <w:szCs w:val="26"/>
        </w:rPr>
        <w:t xml:space="preserve">Finally, the </w:t>
      </w:r>
      <w:r w:rsidR="002D7E6B" w:rsidRPr="00E9174E">
        <w:rPr>
          <w:sz w:val="26"/>
          <w:szCs w:val="26"/>
        </w:rPr>
        <w:t>ALJ</w:t>
      </w:r>
      <w:r w:rsidR="00BF39FD" w:rsidRPr="00E9174E">
        <w:rPr>
          <w:sz w:val="26"/>
          <w:szCs w:val="26"/>
        </w:rPr>
        <w:t xml:space="preserve"> </w:t>
      </w:r>
      <w:r w:rsidRPr="00E9174E">
        <w:rPr>
          <w:sz w:val="26"/>
          <w:szCs w:val="26"/>
        </w:rPr>
        <w:t xml:space="preserve">concluded that denying the rate request is justified because, when considering the pandemic’s impact, any positive return between 4% and 6% is sufficient to meet constitutional standards.  R.D. at 13, 51.  While we address the Company’s rate of return more specifically below, we note that this justification for denying the rate increase on its face was not supported by any expert witness testimony on rate of return in this case.  The OCA calculated that approving no revenue increase </w:t>
      </w:r>
      <w:r w:rsidRPr="00E9174E">
        <w:rPr>
          <w:sz w:val="26"/>
          <w:szCs w:val="26"/>
        </w:rPr>
        <w:lastRenderedPageBreak/>
        <w:t>produces a 5.52% overall return and a 6.53% return on equity for the FPFTY.  OCA M.B., Table I (Zero Increase).  However, the 6.53% return on equity for the FPFTY, specifically, was not supported by any expert witness testimony on rate of return.  For example, the Company’s analysis, prior to the concessions set forth in the</w:t>
      </w:r>
      <w:r w:rsidR="00670FBD" w:rsidRPr="00E9174E">
        <w:rPr>
          <w:sz w:val="26"/>
          <w:szCs w:val="26"/>
        </w:rPr>
        <w:t xml:space="preserve"> Company’s</w:t>
      </w:r>
      <w:r w:rsidRPr="00E9174E">
        <w:rPr>
          <w:sz w:val="26"/>
          <w:szCs w:val="26"/>
        </w:rPr>
        <w:t xml:space="preserve"> Exceptions</w:t>
      </w:r>
      <w:r w:rsidR="00174DF3" w:rsidRPr="00E9174E">
        <w:rPr>
          <w:sz w:val="26"/>
          <w:szCs w:val="26"/>
        </w:rPr>
        <w:t>,</w:t>
      </w:r>
      <w:r w:rsidRPr="00E9174E">
        <w:rPr>
          <w:sz w:val="26"/>
          <w:szCs w:val="26"/>
          <w:vertAlign w:val="superscript"/>
        </w:rPr>
        <w:footnoteReference w:id="31"/>
      </w:r>
      <w:r w:rsidRPr="00E9174E">
        <w:rPr>
          <w:sz w:val="26"/>
          <w:szCs w:val="26"/>
        </w:rPr>
        <w:t xml:space="preserve"> indicated an increase of $100.4 million, based upon a 10.95% equity return. </w:t>
      </w:r>
      <w:r w:rsidR="004C5D69" w:rsidRPr="00E9174E">
        <w:rPr>
          <w:sz w:val="26"/>
          <w:szCs w:val="26"/>
        </w:rPr>
        <w:t>CG M.B.</w:t>
      </w:r>
      <w:r w:rsidRPr="00E9174E">
        <w:rPr>
          <w:sz w:val="26"/>
          <w:szCs w:val="26"/>
        </w:rPr>
        <w:t>, Tables I and I(A).  I&amp;E proposed a revenue increase of $75.9 million based upon a 9.86% equity return.  I&amp;E M.B., Tables I and I(A).  The OCA’s analysis produced a $31.5 million increase, based upon an 8.5% equity return.  OCA St. 3 at 19-20; OCA</w:t>
      </w:r>
      <w:r w:rsidR="002F536C">
        <w:rPr>
          <w:sz w:val="26"/>
          <w:szCs w:val="26"/>
        </w:rPr>
        <w:t> </w:t>
      </w:r>
      <w:r w:rsidRPr="00E9174E">
        <w:rPr>
          <w:sz w:val="26"/>
          <w:szCs w:val="26"/>
        </w:rPr>
        <w:t>St. 2 at 4; OCA M.B., Tables I and I(A) (Traditional Ratemaking).  None of these market-based equity cost analyses presented in the evidence provide any basis for concluding that the 6.53% equity return for the FPFTY is a fair return.</w:t>
      </w:r>
    </w:p>
    <w:p w14:paraId="1B2E2BE2" w14:textId="77777777" w:rsidR="00EF6F4F" w:rsidRPr="00E9174E" w:rsidRDefault="00EF6F4F" w:rsidP="00E9174E">
      <w:pPr>
        <w:pStyle w:val="BodyText2"/>
        <w:widowControl/>
        <w:spacing w:after="0" w:line="360" w:lineRule="auto"/>
        <w:ind w:firstLine="1440"/>
        <w:contextualSpacing/>
        <w:rPr>
          <w:sz w:val="26"/>
          <w:szCs w:val="26"/>
        </w:rPr>
      </w:pPr>
    </w:p>
    <w:p w14:paraId="67775AB5" w14:textId="0D523D71" w:rsidR="00132B35" w:rsidRPr="00E9174E" w:rsidRDefault="00EF6F4F" w:rsidP="00E9174E">
      <w:pPr>
        <w:widowControl/>
        <w:spacing w:line="360" w:lineRule="auto"/>
        <w:ind w:firstLine="1440"/>
        <w:contextualSpacing/>
        <w:rPr>
          <w:sz w:val="26"/>
          <w:szCs w:val="26"/>
        </w:rPr>
      </w:pPr>
      <w:r w:rsidRPr="00E9174E">
        <w:rPr>
          <w:sz w:val="26"/>
          <w:szCs w:val="26"/>
        </w:rPr>
        <w:t>Th</w:t>
      </w:r>
      <w:r w:rsidR="003920BB" w:rsidRPr="00E9174E">
        <w:rPr>
          <w:sz w:val="26"/>
          <w:szCs w:val="26"/>
        </w:rPr>
        <w:t>erefore</w:t>
      </w:r>
      <w:r w:rsidR="004675F3" w:rsidRPr="00E9174E">
        <w:rPr>
          <w:sz w:val="26"/>
          <w:szCs w:val="26"/>
        </w:rPr>
        <w:t>, based on the foregoing discussion</w:t>
      </w:r>
      <w:r w:rsidRPr="00E9174E">
        <w:rPr>
          <w:sz w:val="26"/>
          <w:szCs w:val="26"/>
        </w:rPr>
        <w:t xml:space="preserve">, </w:t>
      </w:r>
      <w:bookmarkStart w:id="80" w:name="_Hlk62805678"/>
      <w:r w:rsidRPr="00E9174E">
        <w:rPr>
          <w:sz w:val="26"/>
          <w:szCs w:val="26"/>
        </w:rPr>
        <w:t xml:space="preserve">we shall decline to adopt the </w:t>
      </w:r>
      <w:r w:rsidR="00A962C9" w:rsidRPr="00E9174E">
        <w:rPr>
          <w:sz w:val="26"/>
          <w:szCs w:val="26"/>
        </w:rPr>
        <w:t>ALJ’s</w:t>
      </w:r>
      <w:r w:rsidRPr="00E9174E">
        <w:rPr>
          <w:sz w:val="26"/>
          <w:szCs w:val="26"/>
        </w:rPr>
        <w:t xml:space="preserve"> recommendation to </w:t>
      </w:r>
      <w:r w:rsidR="00B65906" w:rsidRPr="00E9174E">
        <w:rPr>
          <w:sz w:val="26"/>
          <w:szCs w:val="26"/>
        </w:rPr>
        <w:t xml:space="preserve">completely </w:t>
      </w:r>
      <w:r w:rsidRPr="00E9174E">
        <w:rPr>
          <w:sz w:val="26"/>
          <w:szCs w:val="26"/>
        </w:rPr>
        <w:t xml:space="preserve">deny Columbia’s requested rate relief for the following two reasons: (1) the continued use of traditional ratemaking methodologies during this pandemic is consistent with the setting of just and reasonable rates and the constitutional standards established in </w:t>
      </w:r>
      <w:r w:rsidRPr="00E9174E">
        <w:rPr>
          <w:i/>
          <w:iCs/>
          <w:sz w:val="26"/>
          <w:szCs w:val="26"/>
        </w:rPr>
        <w:t>Bluefield</w:t>
      </w:r>
      <w:r w:rsidRPr="00E9174E">
        <w:rPr>
          <w:sz w:val="26"/>
          <w:szCs w:val="26"/>
        </w:rPr>
        <w:t xml:space="preserve"> and </w:t>
      </w:r>
      <w:r w:rsidRPr="00E9174E">
        <w:rPr>
          <w:i/>
          <w:iCs/>
          <w:sz w:val="26"/>
          <w:szCs w:val="26"/>
        </w:rPr>
        <w:t>Hope Natural Gas</w:t>
      </w:r>
      <w:r w:rsidRPr="00E9174E">
        <w:rPr>
          <w:sz w:val="26"/>
          <w:szCs w:val="26"/>
        </w:rPr>
        <w:t xml:space="preserve">, and the pandemic does not change the continued application of these standards; and (2) </w:t>
      </w:r>
      <w:r w:rsidR="003920BB" w:rsidRPr="00E9174E">
        <w:rPr>
          <w:sz w:val="26"/>
          <w:szCs w:val="26"/>
        </w:rPr>
        <w:t xml:space="preserve">there is a lack of substantial evidence in this record to support </w:t>
      </w:r>
      <w:r w:rsidRPr="00E9174E">
        <w:rPr>
          <w:sz w:val="26"/>
          <w:szCs w:val="26"/>
        </w:rPr>
        <w:t xml:space="preserve">the </w:t>
      </w:r>
      <w:r w:rsidR="00A74BC9" w:rsidRPr="00E9174E">
        <w:rPr>
          <w:sz w:val="26"/>
          <w:szCs w:val="26"/>
        </w:rPr>
        <w:t>ALJ</w:t>
      </w:r>
      <w:r w:rsidR="00CA686D" w:rsidRPr="00E9174E">
        <w:rPr>
          <w:sz w:val="26"/>
          <w:szCs w:val="26"/>
        </w:rPr>
        <w:t>’s</w:t>
      </w:r>
      <w:r w:rsidRPr="00E9174E">
        <w:rPr>
          <w:sz w:val="26"/>
          <w:szCs w:val="26"/>
        </w:rPr>
        <w:t xml:space="preserve"> recommendation to completely deny the Company’s requested rate increase </w:t>
      </w:r>
      <w:r w:rsidR="003920BB" w:rsidRPr="00E9174E">
        <w:rPr>
          <w:sz w:val="26"/>
          <w:szCs w:val="26"/>
        </w:rPr>
        <w:t>due to the pandemic</w:t>
      </w:r>
      <w:r w:rsidRPr="00E9174E">
        <w:rPr>
          <w:sz w:val="26"/>
          <w:szCs w:val="26"/>
        </w:rPr>
        <w:t xml:space="preserve">.  </w:t>
      </w:r>
      <w:r w:rsidR="003920BB" w:rsidRPr="00E9174E">
        <w:rPr>
          <w:sz w:val="26"/>
          <w:szCs w:val="26"/>
        </w:rPr>
        <w:t>Therefore, c</w:t>
      </w:r>
      <w:r w:rsidRPr="00E9174E">
        <w:rPr>
          <w:sz w:val="26"/>
          <w:szCs w:val="26"/>
        </w:rPr>
        <w:t>onsistent with the above discussion, we shall</w:t>
      </w:r>
      <w:r w:rsidR="00E54CC9" w:rsidRPr="00E9174E">
        <w:rPr>
          <w:sz w:val="26"/>
          <w:szCs w:val="26"/>
        </w:rPr>
        <w:t>:</w:t>
      </w:r>
      <w:r w:rsidRPr="00E9174E">
        <w:rPr>
          <w:sz w:val="26"/>
          <w:szCs w:val="26"/>
        </w:rPr>
        <w:t xml:space="preserve"> </w:t>
      </w:r>
      <w:r w:rsidR="00E54CC9" w:rsidRPr="00E9174E">
        <w:rPr>
          <w:sz w:val="26"/>
          <w:szCs w:val="26"/>
        </w:rPr>
        <w:t xml:space="preserve">(1) </w:t>
      </w:r>
      <w:r w:rsidRPr="00E9174E">
        <w:rPr>
          <w:sz w:val="26"/>
          <w:szCs w:val="26"/>
        </w:rPr>
        <w:t>deny</w:t>
      </w:r>
      <w:r w:rsidR="001C5CCB" w:rsidRPr="00E9174E">
        <w:rPr>
          <w:sz w:val="26"/>
          <w:szCs w:val="26"/>
        </w:rPr>
        <w:t>, in part, and grant, in part,</w:t>
      </w:r>
      <w:r w:rsidRPr="00E9174E">
        <w:rPr>
          <w:sz w:val="26"/>
          <w:szCs w:val="26"/>
        </w:rPr>
        <w:t xml:space="preserve"> Columbia’s first Exception; </w:t>
      </w:r>
      <w:r w:rsidR="00E54CC9" w:rsidRPr="00E9174E">
        <w:rPr>
          <w:sz w:val="26"/>
          <w:szCs w:val="26"/>
        </w:rPr>
        <w:t xml:space="preserve">(2) </w:t>
      </w:r>
      <w:r w:rsidRPr="00E9174E">
        <w:rPr>
          <w:sz w:val="26"/>
          <w:szCs w:val="26"/>
        </w:rPr>
        <w:t xml:space="preserve">grant, in part, I&amp;E’s first Exception; and </w:t>
      </w:r>
      <w:r w:rsidR="00E54CC9" w:rsidRPr="00E9174E">
        <w:rPr>
          <w:sz w:val="26"/>
          <w:szCs w:val="26"/>
        </w:rPr>
        <w:t xml:space="preserve">(3) </w:t>
      </w:r>
      <w:r w:rsidRPr="00E9174E">
        <w:rPr>
          <w:sz w:val="26"/>
          <w:szCs w:val="26"/>
        </w:rPr>
        <w:t xml:space="preserve">grant Columbia’s second Exception. </w:t>
      </w:r>
      <w:bookmarkEnd w:id="80"/>
      <w:r w:rsidRPr="00E9174E">
        <w:rPr>
          <w:sz w:val="26"/>
          <w:szCs w:val="26"/>
        </w:rPr>
        <w:t xml:space="preserve"> </w:t>
      </w:r>
      <w:r w:rsidR="000F4ECA" w:rsidRPr="00E9174E">
        <w:rPr>
          <w:sz w:val="26"/>
          <w:szCs w:val="26"/>
        </w:rPr>
        <w:t>A</w:t>
      </w:r>
      <w:r w:rsidR="005B582B" w:rsidRPr="00E9174E">
        <w:rPr>
          <w:sz w:val="26"/>
          <w:szCs w:val="26"/>
        </w:rPr>
        <w:t xml:space="preserve">ccordingly, the remainder of this </w:t>
      </w:r>
      <w:r w:rsidR="00453A9A" w:rsidRPr="00E9174E">
        <w:rPr>
          <w:sz w:val="26"/>
          <w:szCs w:val="26"/>
        </w:rPr>
        <w:t>Opinion and O</w:t>
      </w:r>
      <w:r w:rsidR="005B582B" w:rsidRPr="00E9174E">
        <w:rPr>
          <w:sz w:val="26"/>
          <w:szCs w:val="26"/>
        </w:rPr>
        <w:t>rder is dedicated to</w:t>
      </w:r>
      <w:r w:rsidR="00DB45E0" w:rsidRPr="00E9174E">
        <w:rPr>
          <w:sz w:val="26"/>
          <w:szCs w:val="26"/>
        </w:rPr>
        <w:t xml:space="preserve"> reviewing the evidence and arguments presented by the Parties in this proceeding </w:t>
      </w:r>
      <w:r w:rsidR="00453A9A" w:rsidRPr="00E9174E">
        <w:rPr>
          <w:sz w:val="26"/>
          <w:szCs w:val="26"/>
        </w:rPr>
        <w:t>relating to Columbia’s requested revenue increase and in setting just and reasonable rates.</w:t>
      </w:r>
      <w:r w:rsidR="00054B3B" w:rsidRPr="00E9174E">
        <w:rPr>
          <w:sz w:val="26"/>
          <w:szCs w:val="26"/>
        </w:rPr>
        <w:t xml:space="preserve">  </w:t>
      </w:r>
      <w:r w:rsidR="00B42F49" w:rsidRPr="00E9174E">
        <w:rPr>
          <w:sz w:val="26"/>
          <w:szCs w:val="26"/>
        </w:rPr>
        <w:t>W</w:t>
      </w:r>
      <w:r w:rsidR="00054B3B" w:rsidRPr="00E9174E">
        <w:rPr>
          <w:sz w:val="26"/>
          <w:szCs w:val="26"/>
        </w:rPr>
        <w:t xml:space="preserve">e </w:t>
      </w:r>
      <w:r w:rsidR="00054B3B" w:rsidRPr="00E9174E">
        <w:rPr>
          <w:sz w:val="26"/>
          <w:szCs w:val="26"/>
        </w:rPr>
        <w:lastRenderedPageBreak/>
        <w:t xml:space="preserve">will </w:t>
      </w:r>
      <w:r w:rsidR="00B42F49" w:rsidRPr="00E9174E">
        <w:rPr>
          <w:sz w:val="26"/>
          <w:szCs w:val="26"/>
        </w:rPr>
        <w:t xml:space="preserve">also </w:t>
      </w:r>
      <w:r w:rsidR="00054B3B" w:rsidRPr="00E9174E">
        <w:rPr>
          <w:sz w:val="26"/>
          <w:szCs w:val="26"/>
        </w:rPr>
        <w:t xml:space="preserve">address, in turn, the ALJ’s alternative recommendations on the issues in this </w:t>
      </w:r>
      <w:r w:rsidR="00B42F49" w:rsidRPr="00E9174E">
        <w:rPr>
          <w:sz w:val="26"/>
          <w:szCs w:val="26"/>
        </w:rPr>
        <w:t>proceeding.</w:t>
      </w:r>
    </w:p>
    <w:p w14:paraId="68DFB628" w14:textId="77777777" w:rsidR="00132B35" w:rsidRPr="00E9174E" w:rsidRDefault="00132B35" w:rsidP="00E9174E">
      <w:pPr>
        <w:widowControl/>
        <w:spacing w:line="360" w:lineRule="auto"/>
        <w:contextualSpacing/>
        <w:rPr>
          <w:rFonts w:eastAsiaTheme="minorHAnsi"/>
          <w:sz w:val="26"/>
          <w:szCs w:val="26"/>
        </w:rPr>
      </w:pPr>
    </w:p>
    <w:p w14:paraId="103E5D64" w14:textId="73699917" w:rsidR="00137DB2" w:rsidRPr="00E9174E" w:rsidRDefault="00137DB2" w:rsidP="00E9174E">
      <w:pPr>
        <w:pStyle w:val="Heading1"/>
      </w:pPr>
      <w:bookmarkStart w:id="81" w:name="_Toc63764419"/>
      <w:r w:rsidRPr="00E9174E">
        <w:t>Rate Base</w:t>
      </w:r>
      <w:bookmarkEnd w:id="81"/>
    </w:p>
    <w:p w14:paraId="43916EB0" w14:textId="77777777" w:rsidR="00137DB2" w:rsidRPr="00E9174E" w:rsidRDefault="00137DB2" w:rsidP="00E9174E">
      <w:pPr>
        <w:keepNext/>
        <w:keepLines/>
        <w:widowControl/>
        <w:spacing w:line="360" w:lineRule="auto"/>
        <w:contextualSpacing/>
        <w:rPr>
          <w:sz w:val="26"/>
          <w:szCs w:val="26"/>
        </w:rPr>
      </w:pPr>
    </w:p>
    <w:p w14:paraId="3D5039F8" w14:textId="1F9D4F3A" w:rsidR="00137DB2" w:rsidRPr="00D54D8A" w:rsidRDefault="00137DB2" w:rsidP="001768DD">
      <w:pPr>
        <w:pStyle w:val="Heading2"/>
        <w:numPr>
          <w:ilvl w:val="0"/>
          <w:numId w:val="84"/>
        </w:numPr>
        <w:ind w:hanging="720"/>
      </w:pPr>
      <w:bookmarkStart w:id="82" w:name="_Toc61011264"/>
      <w:bookmarkStart w:id="83" w:name="_Toc63764420"/>
      <w:r w:rsidRPr="00D54D8A">
        <w:t>Cloud-Based Computing</w:t>
      </w:r>
      <w:bookmarkEnd w:id="82"/>
      <w:bookmarkEnd w:id="83"/>
    </w:p>
    <w:p w14:paraId="49CCA560" w14:textId="77777777" w:rsidR="00137DB2" w:rsidRPr="00E9174E" w:rsidRDefault="00137DB2" w:rsidP="00E9174E">
      <w:pPr>
        <w:keepNext/>
        <w:widowControl/>
        <w:spacing w:line="360" w:lineRule="auto"/>
        <w:contextualSpacing/>
        <w:rPr>
          <w:sz w:val="26"/>
          <w:szCs w:val="26"/>
        </w:rPr>
      </w:pPr>
    </w:p>
    <w:p w14:paraId="4AF13C40" w14:textId="77777777" w:rsidR="00137DB2" w:rsidRPr="00E9174E" w:rsidRDefault="00137DB2" w:rsidP="00D54D8A">
      <w:pPr>
        <w:pStyle w:val="Heading3"/>
        <w:numPr>
          <w:ilvl w:val="0"/>
          <w:numId w:val="5"/>
        </w:numPr>
        <w:ind w:left="1440" w:hanging="720"/>
      </w:pPr>
      <w:bookmarkStart w:id="84" w:name="_Toc63764421"/>
      <w:r w:rsidRPr="00E9174E">
        <w:t>Positions of the Parties</w:t>
      </w:r>
      <w:bookmarkEnd w:id="84"/>
    </w:p>
    <w:p w14:paraId="23A13E11" w14:textId="77777777" w:rsidR="00137DB2" w:rsidRPr="00E9174E" w:rsidRDefault="00137DB2" w:rsidP="00E9174E">
      <w:pPr>
        <w:keepNext/>
        <w:keepLines/>
        <w:widowControl/>
        <w:spacing w:line="360" w:lineRule="auto"/>
        <w:ind w:firstLine="1440"/>
        <w:contextualSpacing/>
        <w:rPr>
          <w:sz w:val="26"/>
          <w:szCs w:val="26"/>
        </w:rPr>
      </w:pPr>
    </w:p>
    <w:p w14:paraId="7BD6CB58" w14:textId="6077A3A3" w:rsidR="00137DB2" w:rsidRPr="00E9174E" w:rsidRDefault="00137DB2" w:rsidP="00E9174E">
      <w:pPr>
        <w:keepNext/>
        <w:widowControl/>
        <w:spacing w:line="360" w:lineRule="auto"/>
        <w:ind w:firstLine="1440"/>
        <w:contextualSpacing/>
        <w:rPr>
          <w:sz w:val="26"/>
          <w:szCs w:val="26"/>
        </w:rPr>
      </w:pPr>
      <w:r w:rsidRPr="00E9174E">
        <w:rPr>
          <w:sz w:val="26"/>
          <w:szCs w:val="26"/>
        </w:rPr>
        <w:t>Based on the FERC guidance issued on December 20, 2019</w:t>
      </w:r>
      <w:r w:rsidR="00FA7A20" w:rsidRPr="00E9174E">
        <w:rPr>
          <w:sz w:val="26"/>
          <w:szCs w:val="26"/>
        </w:rPr>
        <w:t>,</w:t>
      </w:r>
      <w:r w:rsidRPr="00E9174E">
        <w:rPr>
          <w:sz w:val="26"/>
          <w:szCs w:val="26"/>
        </w:rPr>
        <w:t xml:space="preserve"> at Docket No. AI20-1-000 (Attachment NMS-1 to CG St. 6), Columbia witness Ms. Nicole Shultz discussed the Company’s proposal to change its accounting treatment of cloud-based assets.  Specifically, Columbia proposed to change the accounting of its Cloud-Based Computing expense to record the investments at Plant &amp; Equipment accounts in 2020.  CG St. 6 at 11-12.  Columbia stated that the in-service assets will be included in Account</w:t>
      </w:r>
      <w:r w:rsidR="00F71717">
        <w:rPr>
          <w:sz w:val="26"/>
          <w:szCs w:val="26"/>
        </w:rPr>
        <w:t> </w:t>
      </w:r>
      <w:r w:rsidRPr="00E9174E">
        <w:rPr>
          <w:sz w:val="26"/>
          <w:szCs w:val="26"/>
        </w:rPr>
        <w:t>303 – Intangible Plant, and the costs incurred but not yet in-service will be included in Account 107 – Construction Work in Progress.  Additionally, the amortization expense related to the in-service investment will be charged to Account 404 – Amortization of Limited-Term Gas Plant.</w:t>
      </w:r>
      <w:r w:rsidRPr="00E9174E">
        <w:rPr>
          <w:sz w:val="26"/>
          <w:szCs w:val="26"/>
          <w:vertAlign w:val="superscript"/>
        </w:rPr>
        <w:footnoteReference w:id="32"/>
      </w:r>
      <w:r w:rsidRPr="00E9174E">
        <w:rPr>
          <w:sz w:val="26"/>
          <w:szCs w:val="26"/>
        </w:rPr>
        <w:t xml:space="preserve">  Ms. Shultz described the relatively recent emergence of Cloud Based Computing:</w:t>
      </w:r>
    </w:p>
    <w:p w14:paraId="7A43DF82" w14:textId="77777777" w:rsidR="00137DB2" w:rsidRPr="00E9174E" w:rsidRDefault="00137DB2" w:rsidP="00E9174E">
      <w:pPr>
        <w:widowControl/>
        <w:spacing w:line="360" w:lineRule="auto"/>
        <w:ind w:firstLine="1440"/>
        <w:contextualSpacing/>
        <w:rPr>
          <w:sz w:val="26"/>
          <w:szCs w:val="26"/>
        </w:rPr>
      </w:pPr>
    </w:p>
    <w:p w14:paraId="18E277D7" w14:textId="77777777" w:rsidR="00137DB2" w:rsidRPr="00E9174E" w:rsidRDefault="00137DB2" w:rsidP="00E9174E">
      <w:pPr>
        <w:keepNext/>
        <w:widowControl/>
        <w:ind w:left="1440" w:right="1440"/>
        <w:contextualSpacing/>
        <w:rPr>
          <w:sz w:val="26"/>
          <w:szCs w:val="26"/>
        </w:rPr>
      </w:pPr>
      <w:r w:rsidRPr="00E9174E">
        <w:rPr>
          <w:sz w:val="26"/>
          <w:szCs w:val="26"/>
        </w:rPr>
        <w:t xml:space="preserve">Cloud Based Computing is an arrangement where the IT provider (e.g., SAP, PeopleSoft) maintains the software and data on their own hardware and the user (e.g., Columbia) accesses the IT providers system to perform work functions. This is a growing trend in the Information Technology space </w:t>
      </w:r>
      <w:r w:rsidRPr="00E9174E">
        <w:rPr>
          <w:sz w:val="26"/>
          <w:szCs w:val="26"/>
        </w:rPr>
        <w:lastRenderedPageBreak/>
        <w:t>and differs from traditional arrangements where the IT user loaded the software on its own hardware.</w:t>
      </w:r>
    </w:p>
    <w:p w14:paraId="7825E0D3" w14:textId="77777777" w:rsidR="00676731" w:rsidRPr="00E9174E" w:rsidRDefault="00676731" w:rsidP="00E9174E">
      <w:pPr>
        <w:keepNext/>
        <w:widowControl/>
        <w:spacing w:line="360" w:lineRule="auto"/>
        <w:ind w:right="1440"/>
        <w:contextualSpacing/>
        <w:rPr>
          <w:sz w:val="26"/>
          <w:szCs w:val="26"/>
        </w:rPr>
      </w:pPr>
    </w:p>
    <w:p w14:paraId="28E180BC" w14:textId="6ABD384D" w:rsidR="00137DB2" w:rsidRPr="00E9174E" w:rsidRDefault="00137DB2" w:rsidP="00E9174E">
      <w:pPr>
        <w:keepNext/>
        <w:widowControl/>
        <w:spacing w:line="360" w:lineRule="auto"/>
        <w:ind w:right="1440"/>
        <w:contextualSpacing/>
        <w:rPr>
          <w:sz w:val="26"/>
          <w:szCs w:val="26"/>
        </w:rPr>
      </w:pPr>
      <w:r w:rsidRPr="00E9174E">
        <w:rPr>
          <w:sz w:val="26"/>
          <w:szCs w:val="26"/>
        </w:rPr>
        <w:t xml:space="preserve">CG St. 6 at 11.  </w:t>
      </w:r>
    </w:p>
    <w:p w14:paraId="0940ACFF" w14:textId="77777777" w:rsidR="008B14EC" w:rsidRPr="00E9174E" w:rsidRDefault="008B14EC" w:rsidP="00E9174E">
      <w:pPr>
        <w:widowControl/>
        <w:spacing w:line="360" w:lineRule="auto"/>
        <w:ind w:right="1440"/>
        <w:contextualSpacing/>
        <w:rPr>
          <w:sz w:val="26"/>
          <w:szCs w:val="26"/>
        </w:rPr>
      </w:pPr>
    </w:p>
    <w:p w14:paraId="22DE103C" w14:textId="77777777" w:rsidR="00137DB2" w:rsidRPr="00E9174E" w:rsidRDefault="00137DB2" w:rsidP="00F71717">
      <w:pPr>
        <w:pStyle w:val="Heading3"/>
        <w:numPr>
          <w:ilvl w:val="0"/>
          <w:numId w:val="5"/>
        </w:numPr>
        <w:ind w:left="1440" w:hanging="720"/>
      </w:pPr>
      <w:bookmarkStart w:id="85" w:name="_Toc63764422"/>
      <w:r w:rsidRPr="00E9174E">
        <w:t>Recommended Decision</w:t>
      </w:r>
      <w:bookmarkEnd w:id="85"/>
    </w:p>
    <w:p w14:paraId="3C21A071" w14:textId="77777777" w:rsidR="00137DB2" w:rsidRPr="00E9174E" w:rsidRDefault="00137DB2" w:rsidP="00E9174E">
      <w:pPr>
        <w:keepNext/>
        <w:keepLines/>
        <w:widowControl/>
        <w:spacing w:line="360" w:lineRule="auto"/>
        <w:ind w:right="1440" w:firstLine="720"/>
        <w:contextualSpacing/>
        <w:rPr>
          <w:sz w:val="26"/>
          <w:szCs w:val="26"/>
        </w:rPr>
      </w:pPr>
    </w:p>
    <w:p w14:paraId="7114F64D" w14:textId="5B48C8A6" w:rsidR="00137DB2" w:rsidRPr="00E9174E" w:rsidRDefault="00137DB2" w:rsidP="00F71717">
      <w:pPr>
        <w:widowControl/>
        <w:spacing w:line="360" w:lineRule="auto"/>
        <w:ind w:firstLine="1440"/>
        <w:contextualSpacing/>
        <w:rPr>
          <w:sz w:val="26"/>
          <w:szCs w:val="26"/>
        </w:rPr>
      </w:pPr>
      <w:r w:rsidRPr="00E9174E">
        <w:rPr>
          <w:sz w:val="26"/>
          <w:szCs w:val="26"/>
        </w:rPr>
        <w:t>Since no Party raised any objections, the ALJ recommended approval of the Company’s proposal, explaining that adding additional details on its investments will give Columbia the opportunity to show the Commission and parties investments with greater detail, which, in turn, will aid in verification of what costs are reasonable.  R.D. at</w:t>
      </w:r>
      <w:r w:rsidR="00BF7893" w:rsidRPr="00E9174E">
        <w:rPr>
          <w:sz w:val="26"/>
          <w:szCs w:val="26"/>
        </w:rPr>
        <w:t> </w:t>
      </w:r>
      <w:r w:rsidRPr="00E9174E">
        <w:rPr>
          <w:sz w:val="26"/>
          <w:szCs w:val="26"/>
        </w:rPr>
        <w:t xml:space="preserve">59.  </w:t>
      </w:r>
    </w:p>
    <w:p w14:paraId="4C39CD5A" w14:textId="77777777" w:rsidR="00137DB2" w:rsidRPr="00E9174E" w:rsidRDefault="00137DB2" w:rsidP="00F71717">
      <w:pPr>
        <w:widowControl/>
        <w:spacing w:line="360" w:lineRule="auto"/>
        <w:ind w:firstLine="1440"/>
        <w:contextualSpacing/>
        <w:rPr>
          <w:sz w:val="26"/>
          <w:szCs w:val="26"/>
        </w:rPr>
      </w:pPr>
    </w:p>
    <w:p w14:paraId="6087C664" w14:textId="77777777" w:rsidR="00137DB2" w:rsidRPr="00E9174E" w:rsidRDefault="00137DB2" w:rsidP="00F71717">
      <w:pPr>
        <w:pStyle w:val="Heading3"/>
        <w:numPr>
          <w:ilvl w:val="0"/>
          <w:numId w:val="5"/>
        </w:numPr>
        <w:ind w:left="1440" w:hanging="720"/>
      </w:pPr>
      <w:bookmarkStart w:id="86" w:name="_Toc63764423"/>
      <w:r w:rsidRPr="00E9174E">
        <w:t>Disposition</w:t>
      </w:r>
      <w:bookmarkEnd w:id="86"/>
    </w:p>
    <w:p w14:paraId="53D2DC38" w14:textId="77777777" w:rsidR="00137DB2" w:rsidRPr="00E9174E" w:rsidRDefault="00137DB2" w:rsidP="00F71717">
      <w:pPr>
        <w:keepNext/>
        <w:keepLines/>
        <w:widowControl/>
        <w:spacing w:line="360" w:lineRule="auto"/>
        <w:ind w:firstLine="1440"/>
        <w:contextualSpacing/>
        <w:rPr>
          <w:sz w:val="26"/>
          <w:szCs w:val="26"/>
        </w:rPr>
      </w:pPr>
    </w:p>
    <w:p w14:paraId="5B572DC7" w14:textId="1ACC837D" w:rsidR="00137DB2" w:rsidRPr="00E9174E" w:rsidRDefault="00137DB2" w:rsidP="00F71717">
      <w:pPr>
        <w:keepNext/>
        <w:widowControl/>
        <w:spacing w:line="360" w:lineRule="auto"/>
        <w:ind w:firstLine="1440"/>
        <w:contextualSpacing/>
        <w:rPr>
          <w:sz w:val="26"/>
          <w:szCs w:val="26"/>
        </w:rPr>
      </w:pPr>
      <w:r w:rsidRPr="00E9174E">
        <w:rPr>
          <w:sz w:val="26"/>
          <w:szCs w:val="26"/>
        </w:rPr>
        <w:t xml:space="preserve">No Party filed Exceptions on this issue.  Finding the ALJ’s recommendation to be reasonable, we adopt it without further comment.  </w:t>
      </w:r>
    </w:p>
    <w:p w14:paraId="32DD0E81" w14:textId="77777777" w:rsidR="008B62E8" w:rsidRPr="00E9174E" w:rsidRDefault="008B62E8" w:rsidP="00F71717">
      <w:pPr>
        <w:widowControl/>
        <w:spacing w:line="360" w:lineRule="auto"/>
        <w:ind w:firstLine="1440"/>
        <w:contextualSpacing/>
        <w:rPr>
          <w:sz w:val="26"/>
          <w:szCs w:val="26"/>
        </w:rPr>
      </w:pPr>
    </w:p>
    <w:p w14:paraId="78AE3986" w14:textId="758863F5" w:rsidR="00137DB2" w:rsidRPr="00E9174E" w:rsidRDefault="00137DB2" w:rsidP="001768DD">
      <w:pPr>
        <w:pStyle w:val="Heading2"/>
        <w:numPr>
          <w:ilvl w:val="0"/>
          <w:numId w:val="84"/>
        </w:numPr>
        <w:ind w:hanging="720"/>
      </w:pPr>
      <w:bookmarkStart w:id="87" w:name="_Toc61011291"/>
      <w:bookmarkStart w:id="88" w:name="_Toc63764424"/>
      <w:bookmarkStart w:id="89" w:name="_Hlk36639992"/>
      <w:r w:rsidRPr="00E9174E">
        <w:t>Utility Plant in Service / Depreciation Reserve / ADIT</w:t>
      </w:r>
      <w:bookmarkEnd w:id="87"/>
      <w:bookmarkEnd w:id="88"/>
    </w:p>
    <w:bookmarkEnd w:id="89"/>
    <w:p w14:paraId="4EE1D040" w14:textId="77777777" w:rsidR="00137DB2" w:rsidRPr="00E9174E" w:rsidRDefault="00137DB2" w:rsidP="00F71717">
      <w:pPr>
        <w:keepNext/>
        <w:keepLines/>
        <w:widowControl/>
        <w:spacing w:line="360" w:lineRule="auto"/>
        <w:contextualSpacing/>
        <w:rPr>
          <w:b/>
          <w:sz w:val="26"/>
          <w:szCs w:val="26"/>
        </w:rPr>
      </w:pPr>
    </w:p>
    <w:p w14:paraId="1E271207" w14:textId="02B5267E" w:rsidR="00137DB2" w:rsidRPr="00E9174E" w:rsidRDefault="00137DB2" w:rsidP="00277ECF">
      <w:pPr>
        <w:pStyle w:val="Heading3"/>
        <w:numPr>
          <w:ilvl w:val="0"/>
          <w:numId w:val="47"/>
        </w:numPr>
        <w:ind w:left="1440" w:hanging="720"/>
      </w:pPr>
      <w:bookmarkStart w:id="90" w:name="_Toc61011292"/>
      <w:bookmarkStart w:id="91" w:name="_Hlk36451003"/>
      <w:bookmarkStart w:id="92" w:name="_Toc63764425"/>
      <w:r w:rsidRPr="00E9174E">
        <w:t>Positions of the Parties</w:t>
      </w:r>
      <w:bookmarkEnd w:id="90"/>
      <w:bookmarkEnd w:id="91"/>
      <w:bookmarkEnd w:id="92"/>
    </w:p>
    <w:p w14:paraId="1BE7D22B" w14:textId="77777777" w:rsidR="001D07AA" w:rsidRPr="00E9174E" w:rsidRDefault="001D07AA" w:rsidP="00F71717">
      <w:pPr>
        <w:keepNext/>
        <w:keepLines/>
        <w:widowControl/>
        <w:spacing w:line="360" w:lineRule="auto"/>
        <w:ind w:firstLine="1440"/>
        <w:contextualSpacing/>
        <w:rPr>
          <w:sz w:val="26"/>
          <w:szCs w:val="26"/>
        </w:rPr>
      </w:pPr>
    </w:p>
    <w:p w14:paraId="5BEB5E3F" w14:textId="6FC75EA3" w:rsidR="00137DB2" w:rsidRPr="00E9174E" w:rsidRDefault="00137DB2" w:rsidP="00F71717">
      <w:pPr>
        <w:keepNext/>
        <w:widowControl/>
        <w:spacing w:line="360" w:lineRule="auto"/>
        <w:ind w:firstLine="1440"/>
        <w:contextualSpacing/>
        <w:rPr>
          <w:rFonts w:eastAsiaTheme="minorHAnsi"/>
          <w:sz w:val="26"/>
          <w:szCs w:val="26"/>
        </w:rPr>
      </w:pPr>
      <w:r w:rsidRPr="00E9174E">
        <w:rPr>
          <w:rFonts w:eastAsiaTheme="minorHAnsi"/>
          <w:sz w:val="26"/>
          <w:szCs w:val="26"/>
        </w:rPr>
        <w:t xml:space="preserve">As discussed above, Columbia has requested that the Commission approve an increase in annual operating revenues of $100,366,797.  The Company based this increase on a FPFTY ending December 21, 2021, which is designed to provide Columbia with the opportunity to earn an 8.00% overall rate of return, including a 10.95% return on common equity, on a claimed rate base of $2.401 billion.  </w:t>
      </w:r>
      <w:r w:rsidRPr="00E9174E">
        <w:rPr>
          <w:i/>
          <w:iCs/>
          <w:sz w:val="26"/>
          <w:szCs w:val="26"/>
        </w:rPr>
        <w:t>See</w:t>
      </w:r>
      <w:r w:rsidRPr="00E9174E">
        <w:rPr>
          <w:sz w:val="26"/>
          <w:szCs w:val="26"/>
        </w:rPr>
        <w:t xml:space="preserve"> CG </w:t>
      </w:r>
      <w:proofErr w:type="spellStart"/>
      <w:r w:rsidRPr="00E9174E">
        <w:rPr>
          <w:sz w:val="26"/>
          <w:szCs w:val="26"/>
        </w:rPr>
        <w:t>Exh</w:t>
      </w:r>
      <w:proofErr w:type="spellEnd"/>
      <w:r w:rsidRPr="00E9174E">
        <w:rPr>
          <w:sz w:val="26"/>
          <w:szCs w:val="26"/>
        </w:rPr>
        <w:t xml:space="preserve">. KKM-1R at 3; CG </w:t>
      </w:r>
      <w:proofErr w:type="spellStart"/>
      <w:r w:rsidRPr="00E9174E">
        <w:rPr>
          <w:sz w:val="26"/>
          <w:szCs w:val="26"/>
        </w:rPr>
        <w:t>Exh</w:t>
      </w:r>
      <w:proofErr w:type="spellEnd"/>
      <w:r w:rsidRPr="00E9174E">
        <w:rPr>
          <w:sz w:val="26"/>
          <w:szCs w:val="26"/>
        </w:rPr>
        <w:t xml:space="preserve">. 400 (Updated), Sch. 1 (accompanying CG St. 8-R).  </w:t>
      </w:r>
      <w:r w:rsidRPr="00E9174E">
        <w:rPr>
          <w:rFonts w:eastAsiaTheme="minorHAnsi"/>
          <w:sz w:val="26"/>
          <w:szCs w:val="26"/>
        </w:rPr>
        <w:t xml:space="preserve">According to the Company, its final claimed rate base of $2,401,427,019 reflects all adjustments adopted by the </w:t>
      </w:r>
      <w:r w:rsidRPr="00E9174E">
        <w:rPr>
          <w:rFonts w:eastAsiaTheme="minorHAnsi"/>
          <w:sz w:val="26"/>
          <w:szCs w:val="26"/>
        </w:rPr>
        <w:lastRenderedPageBreak/>
        <w:t xml:space="preserve">Company in this proceeding, which consists of the original cost of its utility Plant in Service as of December 31, 2021, including the associated Depreciation Reserve, Working Capital, Deferred Income Taxes, Customer Deposits, and Customer Advances projected as of December 31, 2021.  CG M.B. at 30 (citing CG </w:t>
      </w:r>
      <w:proofErr w:type="spellStart"/>
      <w:r w:rsidRPr="00E9174E">
        <w:rPr>
          <w:rFonts w:eastAsiaTheme="minorHAnsi"/>
          <w:sz w:val="26"/>
          <w:szCs w:val="26"/>
        </w:rPr>
        <w:t>Exh</w:t>
      </w:r>
      <w:proofErr w:type="spellEnd"/>
      <w:r w:rsidRPr="00E9174E">
        <w:rPr>
          <w:rFonts w:eastAsiaTheme="minorHAnsi"/>
          <w:sz w:val="26"/>
          <w:szCs w:val="26"/>
        </w:rPr>
        <w:t>. 108 at 3).  The Company asserted that its rate claim</w:t>
      </w:r>
      <w:r w:rsidR="00E519A0" w:rsidRPr="00E9174E">
        <w:rPr>
          <w:rFonts w:eastAsiaTheme="minorHAnsi"/>
          <w:sz w:val="26"/>
          <w:szCs w:val="26"/>
        </w:rPr>
        <w:t>,</w:t>
      </w:r>
      <w:r w:rsidRPr="00E9174E">
        <w:rPr>
          <w:rFonts w:eastAsiaTheme="minorHAnsi"/>
          <w:sz w:val="26"/>
          <w:szCs w:val="26"/>
        </w:rPr>
        <w:t xml:space="preserve"> based on plant projected to be in service at the end of the FPFTY</w:t>
      </w:r>
      <w:r w:rsidR="00E519A0" w:rsidRPr="00E9174E">
        <w:rPr>
          <w:rFonts w:eastAsiaTheme="minorHAnsi"/>
          <w:sz w:val="26"/>
          <w:szCs w:val="26"/>
        </w:rPr>
        <w:t>,</w:t>
      </w:r>
      <w:r w:rsidRPr="00E9174E">
        <w:rPr>
          <w:rFonts w:eastAsiaTheme="minorHAnsi"/>
          <w:sz w:val="26"/>
          <w:szCs w:val="26"/>
        </w:rPr>
        <w:t xml:space="preserve"> is consistent with recent Commission direction.  Citizens’ M.B. at 17-18 (citing, in part, </w:t>
      </w:r>
      <w:bookmarkStart w:id="93" w:name="_Hlk33187469"/>
      <w:r w:rsidRPr="00E9174E">
        <w:rPr>
          <w:rFonts w:eastAsiaTheme="minorHAnsi"/>
          <w:i/>
          <w:iCs/>
          <w:sz w:val="26"/>
          <w:szCs w:val="26"/>
        </w:rPr>
        <w:t xml:space="preserve">Pa. PUC </w:t>
      </w:r>
      <w:bookmarkEnd w:id="93"/>
      <w:r w:rsidRPr="00E9174E">
        <w:rPr>
          <w:rFonts w:eastAsiaTheme="minorHAnsi"/>
          <w:i/>
          <w:iCs/>
          <w:sz w:val="26"/>
          <w:szCs w:val="26"/>
        </w:rPr>
        <w:t xml:space="preserve">v. UGI Utilities, Inc. – Electric Division, </w:t>
      </w:r>
      <w:r w:rsidRPr="00E9174E">
        <w:rPr>
          <w:rFonts w:eastAsiaTheme="minorHAnsi"/>
          <w:sz w:val="26"/>
          <w:szCs w:val="26"/>
        </w:rPr>
        <w:t>Docket No. R</w:t>
      </w:r>
      <w:r w:rsidR="005B5E54">
        <w:rPr>
          <w:rFonts w:eastAsiaTheme="minorHAnsi"/>
          <w:sz w:val="26"/>
          <w:szCs w:val="26"/>
        </w:rPr>
        <w:noBreakHyphen/>
      </w:r>
      <w:r w:rsidRPr="00E9174E">
        <w:rPr>
          <w:rFonts w:eastAsiaTheme="minorHAnsi"/>
          <w:sz w:val="26"/>
          <w:szCs w:val="26"/>
        </w:rPr>
        <w:t>2017</w:t>
      </w:r>
      <w:r w:rsidR="005B5E54">
        <w:rPr>
          <w:rFonts w:eastAsiaTheme="minorHAnsi"/>
          <w:sz w:val="26"/>
          <w:szCs w:val="26"/>
        </w:rPr>
        <w:noBreakHyphen/>
      </w:r>
      <w:r w:rsidRPr="00E9174E">
        <w:rPr>
          <w:rFonts w:eastAsiaTheme="minorHAnsi"/>
          <w:sz w:val="26"/>
          <w:szCs w:val="26"/>
        </w:rPr>
        <w:t>2640058 (Order entered October 25, 2018) (</w:t>
      </w:r>
      <w:r w:rsidRPr="00E9174E">
        <w:rPr>
          <w:rFonts w:eastAsiaTheme="minorHAnsi"/>
          <w:i/>
          <w:iCs/>
          <w:sz w:val="26"/>
          <w:szCs w:val="26"/>
        </w:rPr>
        <w:t>UGI Electric</w:t>
      </w:r>
      <w:r w:rsidRPr="00E9174E">
        <w:rPr>
          <w:rFonts w:eastAsiaTheme="minorHAnsi"/>
          <w:sz w:val="26"/>
          <w:szCs w:val="26"/>
        </w:rPr>
        <w:t xml:space="preserve">).  CG M.B. at 30. </w:t>
      </w:r>
    </w:p>
    <w:p w14:paraId="6F8B9091" w14:textId="77777777" w:rsidR="00137DB2" w:rsidRPr="00E9174E" w:rsidRDefault="00137DB2" w:rsidP="00E9174E">
      <w:pPr>
        <w:widowControl/>
        <w:spacing w:line="360" w:lineRule="auto"/>
        <w:ind w:firstLine="1440"/>
        <w:contextualSpacing/>
        <w:rPr>
          <w:sz w:val="26"/>
          <w:szCs w:val="26"/>
        </w:rPr>
      </w:pPr>
    </w:p>
    <w:p w14:paraId="58360A47" w14:textId="119A24BB" w:rsidR="00137DB2" w:rsidRPr="00E9174E" w:rsidRDefault="00137DB2" w:rsidP="00E9174E">
      <w:pPr>
        <w:widowControl/>
        <w:spacing w:line="360" w:lineRule="auto"/>
        <w:ind w:firstLine="1440"/>
        <w:contextualSpacing/>
        <w:rPr>
          <w:sz w:val="26"/>
          <w:szCs w:val="26"/>
        </w:rPr>
      </w:pPr>
      <w:r w:rsidRPr="00E9174E">
        <w:rPr>
          <w:sz w:val="26"/>
          <w:szCs w:val="26"/>
        </w:rPr>
        <w:t>The Company’s forecasted additions to plant in service by month</w:t>
      </w:r>
      <w:r w:rsidR="005A568C" w:rsidRPr="00E9174E">
        <w:rPr>
          <w:sz w:val="26"/>
          <w:szCs w:val="26"/>
        </w:rPr>
        <w:t>,</w:t>
      </w:r>
      <w:r w:rsidRPr="00E9174E">
        <w:rPr>
          <w:sz w:val="26"/>
          <w:szCs w:val="26"/>
        </w:rPr>
        <w:t xml:space="preserve"> from December 2019 through December 2021</w:t>
      </w:r>
      <w:r w:rsidR="005A568C" w:rsidRPr="00E9174E">
        <w:rPr>
          <w:sz w:val="26"/>
          <w:szCs w:val="26"/>
        </w:rPr>
        <w:t>,</w:t>
      </w:r>
      <w:r w:rsidRPr="00E9174E">
        <w:rPr>
          <w:sz w:val="26"/>
          <w:szCs w:val="26"/>
        </w:rPr>
        <w:t xml:space="preserve"> are shown on Schedule 1 of Columbia Exhibit</w:t>
      </w:r>
      <w:r w:rsidR="005B5E54">
        <w:rPr>
          <w:sz w:val="26"/>
          <w:szCs w:val="26"/>
        </w:rPr>
        <w:t> </w:t>
      </w:r>
      <w:r w:rsidRPr="00E9174E">
        <w:rPr>
          <w:sz w:val="26"/>
          <w:szCs w:val="26"/>
        </w:rPr>
        <w:t>108.  According to this schedule, Columbia is projecting net plant additions (gross plant additions less retirements) of $280,735,000 in 2020 and $338,559,000 in</w:t>
      </w:r>
      <w:r w:rsidR="005B5E54">
        <w:rPr>
          <w:sz w:val="26"/>
          <w:szCs w:val="26"/>
        </w:rPr>
        <w:t> </w:t>
      </w:r>
      <w:r w:rsidRPr="00E9174E">
        <w:rPr>
          <w:sz w:val="26"/>
          <w:szCs w:val="26"/>
        </w:rPr>
        <w:t xml:space="preserve">2021.  CG </w:t>
      </w:r>
      <w:proofErr w:type="spellStart"/>
      <w:r w:rsidRPr="00E9174E">
        <w:rPr>
          <w:sz w:val="26"/>
          <w:szCs w:val="26"/>
        </w:rPr>
        <w:t>Exh</w:t>
      </w:r>
      <w:proofErr w:type="spellEnd"/>
      <w:r w:rsidRPr="00E9174E">
        <w:rPr>
          <w:sz w:val="26"/>
          <w:szCs w:val="26"/>
        </w:rPr>
        <w:t xml:space="preserve">. 108, Sch. 1.  Columbia attributes the continued increases in projected plant additions to its commitments to replace aging infrastructure.  CG M.B. at 32.  </w:t>
      </w:r>
    </w:p>
    <w:p w14:paraId="2C352C85" w14:textId="77777777" w:rsidR="00137DB2" w:rsidRPr="00E9174E" w:rsidRDefault="00137DB2" w:rsidP="00E9174E">
      <w:pPr>
        <w:widowControl/>
        <w:spacing w:line="360" w:lineRule="auto"/>
        <w:ind w:firstLine="1440"/>
        <w:contextualSpacing/>
        <w:rPr>
          <w:sz w:val="26"/>
          <w:szCs w:val="26"/>
        </w:rPr>
      </w:pPr>
    </w:p>
    <w:p w14:paraId="0EF9C548" w14:textId="77777777" w:rsidR="00137DB2" w:rsidRPr="00E9174E" w:rsidRDefault="00137DB2" w:rsidP="00E9174E">
      <w:pPr>
        <w:widowControl/>
        <w:spacing w:line="360" w:lineRule="auto"/>
        <w:ind w:firstLine="1440"/>
        <w:contextualSpacing/>
        <w:rPr>
          <w:sz w:val="26"/>
          <w:szCs w:val="26"/>
        </w:rPr>
      </w:pPr>
      <w:r w:rsidRPr="00E9174E">
        <w:rPr>
          <w:sz w:val="26"/>
          <w:szCs w:val="26"/>
        </w:rPr>
        <w:t xml:space="preserve">The OCA submitted that, while the forecasted plant additions for 2020 are in line with the plant additions amounts in 2018 and 2019, the projected cost of plant additions for 2021 is significantly higher in comparison.  Therefore, the OCA recommended a $72.303 million adjustment to the Company’s claimed rate base, reflecting its proposal to disallow $76.783 million of FPFTY plant additions.  OCA M.B. at 29-30.  The OCA’s witness, Mr. David J. </w:t>
      </w:r>
      <w:proofErr w:type="spellStart"/>
      <w:r w:rsidRPr="00E9174E">
        <w:rPr>
          <w:sz w:val="26"/>
          <w:szCs w:val="26"/>
        </w:rPr>
        <w:t>Effron</w:t>
      </w:r>
      <w:proofErr w:type="spellEnd"/>
      <w:r w:rsidRPr="00E9174E">
        <w:rPr>
          <w:sz w:val="26"/>
          <w:szCs w:val="26"/>
        </w:rPr>
        <w:t>, calculated his proposed rate base adjustment by deriving a three-year average of historic (2018 and 2019) and projected (2020) net plant additions, equaling approximately $261.776 million, as follows:</w:t>
      </w:r>
    </w:p>
    <w:p w14:paraId="1F122244" w14:textId="77777777" w:rsidR="00137DB2" w:rsidRPr="00E9174E" w:rsidRDefault="00137DB2" w:rsidP="00E9174E">
      <w:pPr>
        <w:widowControl/>
        <w:spacing w:line="360" w:lineRule="auto"/>
        <w:ind w:firstLine="1440"/>
        <w:contextualSpacing/>
        <w:rPr>
          <w:sz w:val="26"/>
          <w:szCs w:val="26"/>
        </w:rPr>
      </w:pPr>
    </w:p>
    <w:tbl>
      <w:tblPr>
        <w:tblStyle w:val="TableGrid1"/>
        <w:tblW w:w="0" w:type="auto"/>
        <w:jc w:val="center"/>
        <w:tblBorders>
          <w:insideH w:val="none" w:sz="0" w:space="0" w:color="auto"/>
          <w:insideV w:val="none" w:sz="0" w:space="0" w:color="auto"/>
        </w:tblBorders>
        <w:tblLook w:val="04A0" w:firstRow="1" w:lastRow="0" w:firstColumn="1" w:lastColumn="0" w:noHBand="0" w:noVBand="1"/>
      </w:tblPr>
      <w:tblGrid>
        <w:gridCol w:w="1795"/>
        <w:gridCol w:w="3150"/>
      </w:tblGrid>
      <w:tr w:rsidR="00137DB2" w:rsidRPr="00E9174E" w14:paraId="5FD1D9A2" w14:textId="77777777" w:rsidTr="00CC66FD">
        <w:trPr>
          <w:jc w:val="center"/>
        </w:trPr>
        <w:tc>
          <w:tcPr>
            <w:tcW w:w="1795" w:type="dxa"/>
          </w:tcPr>
          <w:p w14:paraId="15B94CA5" w14:textId="77777777" w:rsidR="00137DB2" w:rsidRPr="00E9174E" w:rsidRDefault="00137DB2" w:rsidP="00E9174E">
            <w:pPr>
              <w:keepNext/>
              <w:keepLines/>
              <w:widowControl/>
              <w:spacing w:line="360" w:lineRule="auto"/>
              <w:contextualSpacing/>
              <w:rPr>
                <w:sz w:val="26"/>
                <w:szCs w:val="26"/>
              </w:rPr>
            </w:pPr>
          </w:p>
        </w:tc>
        <w:tc>
          <w:tcPr>
            <w:tcW w:w="3150" w:type="dxa"/>
            <w:tcBorders>
              <w:top w:val="single" w:sz="4" w:space="0" w:color="auto"/>
              <w:bottom w:val="single" w:sz="4" w:space="0" w:color="auto"/>
            </w:tcBorders>
            <w:vAlign w:val="bottom"/>
          </w:tcPr>
          <w:p w14:paraId="00BE036D" w14:textId="77777777" w:rsidR="00137DB2" w:rsidRPr="00E9174E" w:rsidRDefault="00137DB2" w:rsidP="00E9174E">
            <w:pPr>
              <w:keepNext/>
              <w:keepLines/>
              <w:widowControl/>
              <w:contextualSpacing/>
              <w:jc w:val="center"/>
              <w:rPr>
                <w:b/>
                <w:bCs/>
                <w:sz w:val="26"/>
                <w:szCs w:val="26"/>
              </w:rPr>
            </w:pPr>
            <w:r w:rsidRPr="00E9174E">
              <w:rPr>
                <w:b/>
                <w:bCs/>
                <w:sz w:val="26"/>
                <w:szCs w:val="26"/>
              </w:rPr>
              <w:t>Net Plant Additions</w:t>
            </w:r>
          </w:p>
          <w:p w14:paraId="149629E4" w14:textId="77777777" w:rsidR="00137DB2" w:rsidRPr="00E9174E" w:rsidRDefault="00137DB2" w:rsidP="00E9174E">
            <w:pPr>
              <w:keepNext/>
              <w:keepLines/>
              <w:widowControl/>
              <w:contextualSpacing/>
              <w:jc w:val="center"/>
              <w:rPr>
                <w:sz w:val="26"/>
                <w:szCs w:val="26"/>
              </w:rPr>
            </w:pPr>
            <w:r w:rsidRPr="00E9174E">
              <w:rPr>
                <w:sz w:val="26"/>
                <w:szCs w:val="26"/>
              </w:rPr>
              <w:t>(Ref. OCA St. 2, Sch. B-1)</w:t>
            </w:r>
          </w:p>
        </w:tc>
      </w:tr>
      <w:tr w:rsidR="00137DB2" w:rsidRPr="00E9174E" w14:paraId="2D3166D5" w14:textId="77777777" w:rsidTr="00CC66FD">
        <w:trPr>
          <w:jc w:val="center"/>
        </w:trPr>
        <w:tc>
          <w:tcPr>
            <w:tcW w:w="1795" w:type="dxa"/>
            <w:vAlign w:val="bottom"/>
          </w:tcPr>
          <w:p w14:paraId="1096FDF9" w14:textId="77777777" w:rsidR="00137DB2" w:rsidRPr="00E9174E" w:rsidRDefault="00137DB2" w:rsidP="00E9174E">
            <w:pPr>
              <w:keepNext/>
              <w:keepLines/>
              <w:widowControl/>
              <w:spacing w:line="360" w:lineRule="auto"/>
              <w:contextualSpacing/>
              <w:jc w:val="center"/>
              <w:rPr>
                <w:b/>
                <w:bCs/>
                <w:sz w:val="26"/>
                <w:szCs w:val="26"/>
              </w:rPr>
            </w:pPr>
            <w:r w:rsidRPr="00E9174E">
              <w:rPr>
                <w:b/>
                <w:bCs/>
                <w:sz w:val="26"/>
                <w:szCs w:val="26"/>
              </w:rPr>
              <w:t>2018</w:t>
            </w:r>
          </w:p>
        </w:tc>
        <w:tc>
          <w:tcPr>
            <w:tcW w:w="3150" w:type="dxa"/>
            <w:tcBorders>
              <w:top w:val="single" w:sz="4" w:space="0" w:color="auto"/>
            </w:tcBorders>
            <w:vAlign w:val="center"/>
          </w:tcPr>
          <w:p w14:paraId="0B99FAA6" w14:textId="77777777" w:rsidR="00137DB2" w:rsidRPr="00E9174E" w:rsidRDefault="00137DB2" w:rsidP="00E9174E">
            <w:pPr>
              <w:keepNext/>
              <w:keepLines/>
              <w:widowControl/>
              <w:spacing w:line="360" w:lineRule="auto"/>
              <w:contextualSpacing/>
              <w:jc w:val="center"/>
              <w:rPr>
                <w:sz w:val="26"/>
                <w:szCs w:val="26"/>
              </w:rPr>
            </w:pPr>
            <w:r w:rsidRPr="00E9174E">
              <w:rPr>
                <w:sz w:val="26"/>
                <w:szCs w:val="26"/>
              </w:rPr>
              <w:t>$209,984,000</w:t>
            </w:r>
          </w:p>
        </w:tc>
      </w:tr>
      <w:tr w:rsidR="00137DB2" w:rsidRPr="00E9174E" w14:paraId="41ACDB58" w14:textId="77777777" w:rsidTr="00CC66FD">
        <w:trPr>
          <w:jc w:val="center"/>
        </w:trPr>
        <w:tc>
          <w:tcPr>
            <w:tcW w:w="1795" w:type="dxa"/>
            <w:vAlign w:val="bottom"/>
          </w:tcPr>
          <w:p w14:paraId="5B42B984" w14:textId="77777777" w:rsidR="00137DB2" w:rsidRPr="00E9174E" w:rsidRDefault="00137DB2" w:rsidP="00E9174E">
            <w:pPr>
              <w:keepNext/>
              <w:keepLines/>
              <w:widowControl/>
              <w:spacing w:line="360" w:lineRule="auto"/>
              <w:contextualSpacing/>
              <w:jc w:val="center"/>
              <w:rPr>
                <w:b/>
                <w:bCs/>
                <w:sz w:val="26"/>
                <w:szCs w:val="26"/>
              </w:rPr>
            </w:pPr>
            <w:r w:rsidRPr="00E9174E">
              <w:rPr>
                <w:b/>
                <w:bCs/>
                <w:sz w:val="26"/>
                <w:szCs w:val="26"/>
              </w:rPr>
              <w:t>2019</w:t>
            </w:r>
          </w:p>
        </w:tc>
        <w:tc>
          <w:tcPr>
            <w:tcW w:w="3150" w:type="dxa"/>
            <w:tcBorders>
              <w:bottom w:val="nil"/>
            </w:tcBorders>
            <w:vAlign w:val="center"/>
          </w:tcPr>
          <w:p w14:paraId="29D3E960" w14:textId="77777777" w:rsidR="00137DB2" w:rsidRPr="00E9174E" w:rsidRDefault="00137DB2" w:rsidP="00E9174E">
            <w:pPr>
              <w:keepNext/>
              <w:keepLines/>
              <w:widowControl/>
              <w:spacing w:line="360" w:lineRule="auto"/>
              <w:contextualSpacing/>
              <w:jc w:val="center"/>
              <w:rPr>
                <w:sz w:val="26"/>
                <w:szCs w:val="26"/>
              </w:rPr>
            </w:pPr>
            <w:r w:rsidRPr="00E9174E">
              <w:rPr>
                <w:sz w:val="26"/>
                <w:szCs w:val="26"/>
              </w:rPr>
              <w:t>$294,610,000</w:t>
            </w:r>
          </w:p>
        </w:tc>
      </w:tr>
      <w:tr w:rsidR="00137DB2" w:rsidRPr="00E9174E" w14:paraId="3462FAF1" w14:textId="77777777" w:rsidTr="00CC66FD">
        <w:trPr>
          <w:trHeight w:val="350"/>
          <w:jc w:val="center"/>
        </w:trPr>
        <w:tc>
          <w:tcPr>
            <w:tcW w:w="1795" w:type="dxa"/>
            <w:vAlign w:val="bottom"/>
          </w:tcPr>
          <w:p w14:paraId="1F67A626" w14:textId="77777777" w:rsidR="00137DB2" w:rsidRPr="00E9174E" w:rsidRDefault="00137DB2" w:rsidP="00E9174E">
            <w:pPr>
              <w:keepNext/>
              <w:keepLines/>
              <w:widowControl/>
              <w:spacing w:line="360" w:lineRule="auto"/>
              <w:contextualSpacing/>
              <w:jc w:val="center"/>
              <w:rPr>
                <w:b/>
                <w:bCs/>
                <w:sz w:val="26"/>
                <w:szCs w:val="26"/>
              </w:rPr>
            </w:pPr>
            <w:r w:rsidRPr="00E9174E">
              <w:rPr>
                <w:b/>
                <w:bCs/>
                <w:sz w:val="26"/>
                <w:szCs w:val="26"/>
              </w:rPr>
              <w:t>2020</w:t>
            </w:r>
          </w:p>
        </w:tc>
        <w:tc>
          <w:tcPr>
            <w:tcW w:w="3150" w:type="dxa"/>
            <w:tcBorders>
              <w:top w:val="nil"/>
              <w:bottom w:val="single" w:sz="4" w:space="0" w:color="auto"/>
            </w:tcBorders>
            <w:vAlign w:val="center"/>
          </w:tcPr>
          <w:p w14:paraId="665DB7D9" w14:textId="77777777" w:rsidR="00137DB2" w:rsidRPr="00E9174E" w:rsidRDefault="00137DB2" w:rsidP="00E9174E">
            <w:pPr>
              <w:keepNext/>
              <w:keepLines/>
              <w:widowControl/>
              <w:spacing w:line="360" w:lineRule="auto"/>
              <w:contextualSpacing/>
              <w:jc w:val="center"/>
              <w:rPr>
                <w:sz w:val="26"/>
                <w:szCs w:val="26"/>
              </w:rPr>
            </w:pPr>
            <w:r w:rsidRPr="00E9174E">
              <w:rPr>
                <w:sz w:val="26"/>
                <w:szCs w:val="26"/>
              </w:rPr>
              <w:t>$280,735,000</w:t>
            </w:r>
          </w:p>
        </w:tc>
      </w:tr>
      <w:tr w:rsidR="00137DB2" w:rsidRPr="00E9174E" w14:paraId="4748F5FD" w14:textId="77777777" w:rsidTr="00CC66FD">
        <w:trPr>
          <w:jc w:val="center"/>
        </w:trPr>
        <w:tc>
          <w:tcPr>
            <w:tcW w:w="1795" w:type="dxa"/>
          </w:tcPr>
          <w:p w14:paraId="5441B3BC" w14:textId="77777777" w:rsidR="00137DB2" w:rsidRPr="00E9174E" w:rsidRDefault="00137DB2" w:rsidP="00E9174E">
            <w:pPr>
              <w:keepNext/>
              <w:keepLines/>
              <w:widowControl/>
              <w:spacing w:line="360" w:lineRule="auto"/>
              <w:contextualSpacing/>
              <w:jc w:val="right"/>
              <w:rPr>
                <w:b/>
                <w:bCs/>
                <w:sz w:val="26"/>
                <w:szCs w:val="26"/>
              </w:rPr>
            </w:pPr>
            <w:r w:rsidRPr="00E9174E">
              <w:rPr>
                <w:b/>
                <w:bCs/>
                <w:sz w:val="26"/>
                <w:szCs w:val="26"/>
              </w:rPr>
              <w:t>3-yr. Average</w:t>
            </w:r>
          </w:p>
        </w:tc>
        <w:tc>
          <w:tcPr>
            <w:tcW w:w="3150" w:type="dxa"/>
            <w:tcBorders>
              <w:top w:val="single" w:sz="4" w:space="0" w:color="auto"/>
            </w:tcBorders>
            <w:vAlign w:val="center"/>
          </w:tcPr>
          <w:p w14:paraId="7799185F" w14:textId="77777777" w:rsidR="00137DB2" w:rsidRPr="00E9174E" w:rsidRDefault="00137DB2" w:rsidP="00E9174E">
            <w:pPr>
              <w:keepNext/>
              <w:keepLines/>
              <w:widowControl/>
              <w:spacing w:line="360" w:lineRule="auto"/>
              <w:contextualSpacing/>
              <w:jc w:val="center"/>
              <w:rPr>
                <w:sz w:val="26"/>
                <w:szCs w:val="26"/>
              </w:rPr>
            </w:pPr>
            <w:r w:rsidRPr="00E9174E">
              <w:rPr>
                <w:sz w:val="26"/>
                <w:szCs w:val="26"/>
              </w:rPr>
              <w:t>$261,776,000</w:t>
            </w:r>
          </w:p>
        </w:tc>
      </w:tr>
    </w:tbl>
    <w:p w14:paraId="5511BFF4" w14:textId="77777777" w:rsidR="00137DB2" w:rsidRPr="00E9174E" w:rsidRDefault="00137DB2" w:rsidP="005B5E54">
      <w:pPr>
        <w:widowControl/>
        <w:spacing w:line="480" w:lineRule="auto"/>
        <w:contextualSpacing/>
        <w:rPr>
          <w:sz w:val="26"/>
          <w:szCs w:val="26"/>
        </w:rPr>
      </w:pPr>
      <w:r w:rsidRPr="00E9174E">
        <w:rPr>
          <w:sz w:val="26"/>
          <w:szCs w:val="26"/>
        </w:rPr>
        <w:t xml:space="preserve"> </w:t>
      </w:r>
    </w:p>
    <w:p w14:paraId="24FDD3B3" w14:textId="1FBCA6F1" w:rsidR="00137DB2" w:rsidRPr="00E9174E" w:rsidRDefault="00137DB2" w:rsidP="00E9174E">
      <w:pPr>
        <w:widowControl/>
        <w:spacing w:line="360" w:lineRule="auto"/>
        <w:ind w:firstLine="1440"/>
        <w:contextualSpacing/>
        <w:rPr>
          <w:sz w:val="26"/>
          <w:szCs w:val="26"/>
        </w:rPr>
      </w:pPr>
      <w:r w:rsidRPr="00E9174E">
        <w:rPr>
          <w:sz w:val="26"/>
          <w:szCs w:val="26"/>
        </w:rPr>
        <w:t xml:space="preserve">Mr. </w:t>
      </w:r>
      <w:proofErr w:type="spellStart"/>
      <w:r w:rsidRPr="00E9174E">
        <w:rPr>
          <w:sz w:val="26"/>
          <w:szCs w:val="26"/>
        </w:rPr>
        <w:t>Effron</w:t>
      </w:r>
      <w:proofErr w:type="spellEnd"/>
      <w:r w:rsidRPr="00E9174E">
        <w:rPr>
          <w:sz w:val="26"/>
          <w:szCs w:val="26"/>
        </w:rPr>
        <w:t xml:space="preserve"> deducted that amount from the Company’s FPFTY net plant additions of $338.559 million to derive an adjustment to FPFTY plant additions of $76.783 million ($338.559 million - $261.776 million).  He then applied the ratio of his disallowance ($76.783 million) to FPFTY net plant additions ($338.559 million), to reduce the Company’s FPFTY depreciation reserve by approximately $1,958,000 and </w:t>
      </w:r>
      <w:bookmarkStart w:id="94" w:name="_Hlk63276352"/>
      <w:r w:rsidRPr="00E9174E">
        <w:rPr>
          <w:sz w:val="26"/>
          <w:szCs w:val="26"/>
        </w:rPr>
        <w:t xml:space="preserve">accumulated deferred income taxes </w:t>
      </w:r>
      <w:bookmarkEnd w:id="94"/>
      <w:r w:rsidRPr="00E9174E">
        <w:rPr>
          <w:sz w:val="26"/>
          <w:szCs w:val="26"/>
        </w:rPr>
        <w:t>(</w:t>
      </w:r>
      <w:bookmarkStart w:id="95" w:name="_Hlk63276333"/>
      <w:r w:rsidRPr="00E9174E">
        <w:rPr>
          <w:sz w:val="26"/>
          <w:szCs w:val="26"/>
        </w:rPr>
        <w:t>ADIT</w:t>
      </w:r>
      <w:bookmarkEnd w:id="95"/>
      <w:r w:rsidRPr="00E9174E">
        <w:rPr>
          <w:sz w:val="26"/>
          <w:szCs w:val="26"/>
        </w:rPr>
        <w:t>) by approximately $2,522,000, producing net rate base adjustment of $72.303 million.  OCA St. 1 at 6-7; OCA St. 2-S, Sch. B-1.  Mr.</w:t>
      </w:r>
      <w:r w:rsidR="00622925">
        <w:rPr>
          <w:sz w:val="26"/>
          <w:szCs w:val="26"/>
        </w:rPr>
        <w:t> </w:t>
      </w:r>
      <w:proofErr w:type="spellStart"/>
      <w:r w:rsidRPr="00E9174E">
        <w:rPr>
          <w:sz w:val="26"/>
          <w:szCs w:val="26"/>
        </w:rPr>
        <w:t>Effron</w:t>
      </w:r>
      <w:proofErr w:type="spellEnd"/>
      <w:r w:rsidRPr="00E9174E">
        <w:rPr>
          <w:sz w:val="26"/>
          <w:szCs w:val="26"/>
        </w:rPr>
        <w:t xml:space="preserve"> noted that this reduction to plant in service also results in a reduction to FPFTY depreciation expense of $1,958,000.  OCA St. 2 at 7.</w:t>
      </w:r>
    </w:p>
    <w:p w14:paraId="38AF4E9F" w14:textId="77777777" w:rsidR="00137DB2" w:rsidRPr="00E9174E" w:rsidRDefault="00137DB2" w:rsidP="00E9174E">
      <w:pPr>
        <w:widowControl/>
        <w:spacing w:line="360" w:lineRule="auto"/>
        <w:ind w:firstLine="1440"/>
        <w:contextualSpacing/>
        <w:rPr>
          <w:sz w:val="26"/>
          <w:szCs w:val="26"/>
        </w:rPr>
      </w:pPr>
    </w:p>
    <w:p w14:paraId="38680660" w14:textId="48D4E62F" w:rsidR="00137DB2" w:rsidRPr="00E9174E" w:rsidRDefault="00137DB2" w:rsidP="00E9174E">
      <w:pPr>
        <w:widowControl/>
        <w:spacing w:line="360" w:lineRule="auto"/>
        <w:ind w:firstLine="1440"/>
        <w:contextualSpacing/>
        <w:rPr>
          <w:sz w:val="26"/>
          <w:szCs w:val="26"/>
        </w:rPr>
      </w:pPr>
      <w:r w:rsidRPr="00E9174E">
        <w:rPr>
          <w:sz w:val="26"/>
          <w:szCs w:val="26"/>
        </w:rPr>
        <w:t>The Company argued that the OCA’s recommended adjustments should be rejected as having no merit because: (1) the OCA does not challenge the amount as being imprudent or unnecessary; (2) the OCA has not asserted that its adjustment is based upon historic experience that Columbia has underspent its budgeted plant additions; (3)</w:t>
      </w:r>
      <w:r w:rsidR="00622925">
        <w:rPr>
          <w:sz w:val="26"/>
          <w:szCs w:val="26"/>
        </w:rPr>
        <w:t> </w:t>
      </w:r>
      <w:r w:rsidRPr="00E9174E">
        <w:rPr>
          <w:sz w:val="26"/>
          <w:szCs w:val="26"/>
        </w:rPr>
        <w:t xml:space="preserve">Columbia has a history of meeting and exceeding its projected capital additions; and (4) Columbia’s LTIIP spending is not flat year to year, but rather, increasing every year.  CG M.B. at 31-32.  </w:t>
      </w:r>
    </w:p>
    <w:p w14:paraId="09C957D6" w14:textId="77777777" w:rsidR="00137DB2" w:rsidRPr="00E9174E" w:rsidRDefault="00137DB2" w:rsidP="00E9174E">
      <w:pPr>
        <w:widowControl/>
        <w:spacing w:line="360" w:lineRule="auto"/>
        <w:ind w:firstLine="1440"/>
        <w:contextualSpacing/>
        <w:rPr>
          <w:sz w:val="26"/>
          <w:szCs w:val="26"/>
        </w:rPr>
      </w:pPr>
    </w:p>
    <w:p w14:paraId="0C3B60BF" w14:textId="77777777" w:rsidR="00137DB2" w:rsidRPr="00E9174E" w:rsidRDefault="00137DB2" w:rsidP="00E9174E">
      <w:pPr>
        <w:widowControl/>
        <w:spacing w:line="360" w:lineRule="auto"/>
        <w:ind w:firstLine="1440"/>
        <w:contextualSpacing/>
        <w:rPr>
          <w:sz w:val="26"/>
          <w:szCs w:val="26"/>
        </w:rPr>
      </w:pPr>
      <w:r w:rsidRPr="00E9174E">
        <w:rPr>
          <w:sz w:val="26"/>
          <w:szCs w:val="26"/>
        </w:rPr>
        <w:t xml:space="preserve">Additionally, Columbia argued that it has not overlooked the DSIC to recover infrastructure investments, despite the OCA’s assertions to the contrary.  Columbia contended it is the OCA that seeks to use the DSIC as a partial substitute for the FPFTY, contrary to the Commission’s holding in </w:t>
      </w:r>
      <w:r w:rsidRPr="00E9174E">
        <w:rPr>
          <w:i/>
          <w:iCs/>
          <w:sz w:val="26"/>
          <w:szCs w:val="26"/>
        </w:rPr>
        <w:t xml:space="preserve">UGI Electric.  </w:t>
      </w:r>
      <w:r w:rsidRPr="00E9174E">
        <w:rPr>
          <w:sz w:val="26"/>
          <w:szCs w:val="26"/>
        </w:rPr>
        <w:t xml:space="preserve">Columbia explained </w:t>
      </w:r>
      <w:r w:rsidRPr="00E9174E">
        <w:rPr>
          <w:sz w:val="26"/>
          <w:szCs w:val="26"/>
        </w:rPr>
        <w:lastRenderedPageBreak/>
        <w:t>the result would be a need for multiple rate increases in 2021 with the first to be effective in January 2021, and the second to be effective later in the year, as the DSIC is placed into effect for plant that was unjustifiably excluded from the FPFTY determination of plant in service.  CG M.B. at 30-34.</w:t>
      </w:r>
    </w:p>
    <w:p w14:paraId="5CFB351C" w14:textId="77777777" w:rsidR="00137DB2" w:rsidRPr="00E9174E" w:rsidRDefault="00137DB2" w:rsidP="00E9174E">
      <w:pPr>
        <w:widowControl/>
        <w:spacing w:line="360" w:lineRule="auto"/>
        <w:ind w:firstLine="1440"/>
        <w:contextualSpacing/>
        <w:rPr>
          <w:sz w:val="26"/>
          <w:szCs w:val="26"/>
        </w:rPr>
      </w:pPr>
    </w:p>
    <w:p w14:paraId="2C315614" w14:textId="77777777" w:rsidR="00137DB2" w:rsidRPr="00E9174E" w:rsidRDefault="00137DB2" w:rsidP="00E9174E">
      <w:pPr>
        <w:widowControl/>
        <w:spacing w:line="360" w:lineRule="auto"/>
        <w:ind w:firstLine="1440"/>
        <w:contextualSpacing/>
        <w:rPr>
          <w:sz w:val="26"/>
          <w:szCs w:val="26"/>
        </w:rPr>
      </w:pPr>
      <w:r w:rsidRPr="00E9174E">
        <w:rPr>
          <w:sz w:val="26"/>
          <w:szCs w:val="26"/>
        </w:rPr>
        <w:t>Lastly, Columbia noted that as it argued the adjustment to net plant additions is improper, Columbia also argued the corresponding adjustments proposed by the OCA to Columbia’s FPFTY depreciation reserve and ADIT are also improper.</w:t>
      </w:r>
      <w:r w:rsidRPr="00E9174E">
        <w:rPr>
          <w:sz w:val="26"/>
          <w:szCs w:val="26"/>
          <w:vertAlign w:val="superscript"/>
        </w:rPr>
        <w:footnoteReference w:id="33"/>
      </w:r>
      <w:r w:rsidRPr="00E9174E">
        <w:rPr>
          <w:sz w:val="26"/>
          <w:szCs w:val="26"/>
        </w:rPr>
        <w:t xml:space="preserve">  CG M.B. at 36.  </w:t>
      </w:r>
    </w:p>
    <w:p w14:paraId="7BC00E1C" w14:textId="77777777" w:rsidR="00137DB2" w:rsidRPr="00E9174E" w:rsidRDefault="00137DB2" w:rsidP="00E9174E">
      <w:pPr>
        <w:widowControl/>
        <w:spacing w:line="360" w:lineRule="auto"/>
        <w:contextualSpacing/>
        <w:rPr>
          <w:sz w:val="26"/>
          <w:szCs w:val="26"/>
        </w:rPr>
      </w:pPr>
    </w:p>
    <w:p w14:paraId="11EA4801" w14:textId="7CEFA51A" w:rsidR="00137DB2" w:rsidRPr="00E9174E" w:rsidRDefault="00137DB2" w:rsidP="00277ECF">
      <w:pPr>
        <w:pStyle w:val="Heading3"/>
        <w:numPr>
          <w:ilvl w:val="0"/>
          <w:numId w:val="47"/>
        </w:numPr>
        <w:ind w:left="1440" w:hanging="720"/>
        <w:rPr>
          <w:rFonts w:eastAsiaTheme="majorEastAsia"/>
        </w:rPr>
      </w:pPr>
      <w:bookmarkStart w:id="96" w:name="_Toc61011293"/>
      <w:bookmarkStart w:id="97" w:name="_Toc63764426"/>
      <w:bookmarkStart w:id="98" w:name="_Hlk36451121"/>
      <w:r w:rsidRPr="00E9174E">
        <w:rPr>
          <w:rFonts w:eastAsiaTheme="majorEastAsia"/>
        </w:rPr>
        <w:t>Recommended Decision</w:t>
      </w:r>
      <w:bookmarkEnd w:id="96"/>
      <w:bookmarkEnd w:id="97"/>
    </w:p>
    <w:bookmarkEnd w:id="98"/>
    <w:p w14:paraId="63D8FD57" w14:textId="77777777" w:rsidR="00137DB2" w:rsidRPr="00E9174E" w:rsidRDefault="00137DB2" w:rsidP="00E9174E">
      <w:pPr>
        <w:keepNext/>
        <w:keepLines/>
        <w:widowControl/>
        <w:spacing w:line="360" w:lineRule="auto"/>
        <w:contextualSpacing/>
        <w:rPr>
          <w:sz w:val="26"/>
          <w:szCs w:val="26"/>
        </w:rPr>
      </w:pPr>
    </w:p>
    <w:p w14:paraId="167BEE8A" w14:textId="5EF60602" w:rsidR="00137DB2" w:rsidRPr="00E9174E" w:rsidRDefault="00137DB2" w:rsidP="00E9174E">
      <w:pPr>
        <w:keepNext/>
        <w:widowControl/>
        <w:spacing w:line="360" w:lineRule="auto"/>
        <w:ind w:firstLine="1440"/>
        <w:contextualSpacing/>
        <w:rPr>
          <w:sz w:val="26"/>
          <w:szCs w:val="26"/>
        </w:rPr>
      </w:pPr>
      <w:r w:rsidRPr="00E9174E">
        <w:rPr>
          <w:sz w:val="26"/>
          <w:szCs w:val="26"/>
        </w:rPr>
        <w:t>The ALJ agreed with the OCA that Columbia’s projected cost of plant additions for 2021 is significantly higher in comparison to the net plant additions in 2018 and 2019 and the projected net plant additions for 2020.  Finding that Columbia has not offered substantial evidence to dispute the OCA’s proposal, the ALJ recommended the Commission reduce the plant in service included in the 2021 FPFTY rate base by $76,783,000 and reduce the related FPFTY balances of depreciation reserve and ADIT.</w:t>
      </w:r>
      <w:r w:rsidRPr="00E9174E">
        <w:rPr>
          <w:sz w:val="26"/>
          <w:szCs w:val="26"/>
          <w:vertAlign w:val="superscript"/>
        </w:rPr>
        <w:footnoteReference w:id="34"/>
      </w:r>
      <w:r w:rsidRPr="00E9174E">
        <w:rPr>
          <w:sz w:val="26"/>
          <w:szCs w:val="26"/>
        </w:rPr>
        <w:t xml:space="preserve">  R.D. at 57-58.  The ALJ explained that this reduction is reasonable and in line with Columbia’s historical spending, and the reduction is in the public interest because customers will not have to pay for plant that is not service in the event actual additions are not as high as expected.  The ALJ also noted the DSIC is available to recover these </w:t>
      </w:r>
      <w:r w:rsidRPr="00E9174E">
        <w:rPr>
          <w:sz w:val="26"/>
          <w:szCs w:val="26"/>
        </w:rPr>
        <w:lastRenderedPageBreak/>
        <w:t xml:space="preserve">expenses if the Company does spend over this lowered projection, because the adjustment is a balance of the Company’s need for plant additions with the customers’ need to only pay for the plant additions that are in service.  R.D. at 58. </w:t>
      </w:r>
    </w:p>
    <w:p w14:paraId="2B7AE83F" w14:textId="77777777" w:rsidR="00137DB2" w:rsidRPr="00E9174E" w:rsidRDefault="00137DB2" w:rsidP="00E9174E">
      <w:pPr>
        <w:widowControl/>
        <w:spacing w:line="360" w:lineRule="auto"/>
        <w:ind w:firstLine="1440"/>
        <w:contextualSpacing/>
        <w:rPr>
          <w:sz w:val="26"/>
          <w:szCs w:val="26"/>
        </w:rPr>
      </w:pPr>
    </w:p>
    <w:p w14:paraId="252C70A3" w14:textId="3BDD927F" w:rsidR="00137DB2" w:rsidRPr="00E9174E" w:rsidRDefault="00137DB2" w:rsidP="00277ECF">
      <w:pPr>
        <w:pStyle w:val="Heading3"/>
        <w:numPr>
          <w:ilvl w:val="0"/>
          <w:numId w:val="47"/>
        </w:numPr>
        <w:ind w:left="1440" w:hanging="720"/>
        <w:rPr>
          <w:rFonts w:eastAsiaTheme="majorEastAsia"/>
        </w:rPr>
      </w:pPr>
      <w:bookmarkStart w:id="99" w:name="_Toc63764427"/>
      <w:bookmarkStart w:id="100" w:name="_Toc61011294"/>
      <w:r w:rsidRPr="00E9174E">
        <w:rPr>
          <w:rFonts w:eastAsiaTheme="majorEastAsia"/>
        </w:rPr>
        <w:t>Columbia Exception No. 3 and Replies</w:t>
      </w:r>
      <w:bookmarkEnd w:id="99"/>
      <w:r w:rsidRPr="00E9174E">
        <w:rPr>
          <w:rFonts w:eastAsiaTheme="majorEastAsia"/>
        </w:rPr>
        <w:t xml:space="preserve"> </w:t>
      </w:r>
      <w:bookmarkEnd w:id="100"/>
    </w:p>
    <w:p w14:paraId="34E9D616" w14:textId="77777777" w:rsidR="00137DB2" w:rsidRPr="00E9174E" w:rsidRDefault="00137DB2" w:rsidP="00E9174E">
      <w:pPr>
        <w:keepNext/>
        <w:keepLines/>
        <w:widowControl/>
        <w:spacing w:line="360" w:lineRule="auto"/>
        <w:contextualSpacing/>
        <w:rPr>
          <w:sz w:val="26"/>
          <w:szCs w:val="26"/>
        </w:rPr>
      </w:pPr>
    </w:p>
    <w:p w14:paraId="09C6DEAA" w14:textId="41198BA3" w:rsidR="00137DB2" w:rsidRPr="00E9174E" w:rsidRDefault="00137DB2" w:rsidP="00E9174E">
      <w:pPr>
        <w:widowControl/>
        <w:spacing w:line="360" w:lineRule="auto"/>
        <w:ind w:firstLine="1440"/>
        <w:contextualSpacing/>
        <w:rPr>
          <w:sz w:val="26"/>
          <w:szCs w:val="26"/>
        </w:rPr>
      </w:pPr>
      <w:r w:rsidRPr="00E9174E">
        <w:rPr>
          <w:sz w:val="26"/>
          <w:szCs w:val="26"/>
        </w:rPr>
        <w:t xml:space="preserve">In its Exception No. 3, Columbia contends that the ALJ erred by accepting the OCA’s “factually unsupported adjustment,” which would jeopardize the Company’s ability to meet its LTIIP commitments.  Columbia supports this argument by reiterating its claimed projection to spend $289 million on LTIIP-eligible construction alone in 2021, or over $27 million more than the ALJ’s allowance.  Columbia maintains that it has an extensive track record of completing its capital budgets, asserting that the ALJ’s recommended adjustment is not based on any historic experience that Columbia has underspent its budgeted plant additions, or that any specific project is imprudent, unnecessary or unlikely to be completed.  Additionally, the Company argues that the ALJ’s recommendation ignores the Commissions’ decision in </w:t>
      </w:r>
      <w:r w:rsidRPr="00E9174E">
        <w:rPr>
          <w:i/>
          <w:iCs/>
          <w:sz w:val="26"/>
          <w:szCs w:val="26"/>
        </w:rPr>
        <w:t>UGI</w:t>
      </w:r>
      <w:r w:rsidR="00B63779" w:rsidRPr="00E9174E">
        <w:rPr>
          <w:i/>
          <w:iCs/>
          <w:sz w:val="26"/>
          <w:szCs w:val="26"/>
        </w:rPr>
        <w:t xml:space="preserve"> Electric</w:t>
      </w:r>
      <w:r w:rsidRPr="00E9174E">
        <w:rPr>
          <w:sz w:val="26"/>
          <w:szCs w:val="26"/>
        </w:rPr>
        <w:t>, which held that the DSIC should not be used as a partial substitute for the FPFTY.  CG Exc. at</w:t>
      </w:r>
      <w:r w:rsidR="002C7E98">
        <w:rPr>
          <w:sz w:val="26"/>
          <w:szCs w:val="26"/>
        </w:rPr>
        <w:t> </w:t>
      </w:r>
      <w:r w:rsidRPr="00E9174E">
        <w:rPr>
          <w:sz w:val="26"/>
          <w:szCs w:val="26"/>
        </w:rPr>
        <w:t>10</w:t>
      </w:r>
      <w:r w:rsidR="00A658BD" w:rsidRPr="00E9174E">
        <w:rPr>
          <w:sz w:val="26"/>
          <w:szCs w:val="26"/>
        </w:rPr>
        <w:noBreakHyphen/>
      </w:r>
      <w:r w:rsidRPr="00E9174E">
        <w:rPr>
          <w:sz w:val="26"/>
          <w:szCs w:val="26"/>
        </w:rPr>
        <w:t xml:space="preserve">11. </w:t>
      </w:r>
    </w:p>
    <w:p w14:paraId="2D58DCFA" w14:textId="77777777" w:rsidR="00137DB2" w:rsidRPr="00E9174E" w:rsidRDefault="00137DB2" w:rsidP="00E9174E">
      <w:pPr>
        <w:widowControl/>
        <w:spacing w:line="360" w:lineRule="auto"/>
        <w:contextualSpacing/>
        <w:rPr>
          <w:sz w:val="26"/>
          <w:szCs w:val="26"/>
        </w:rPr>
      </w:pPr>
    </w:p>
    <w:p w14:paraId="452225A8" w14:textId="77777777" w:rsidR="00137DB2" w:rsidRPr="00E9174E" w:rsidRDefault="00137DB2" w:rsidP="00E9174E">
      <w:pPr>
        <w:widowControl/>
        <w:spacing w:line="360" w:lineRule="auto"/>
        <w:ind w:firstLine="1440"/>
        <w:contextualSpacing/>
        <w:rPr>
          <w:sz w:val="26"/>
          <w:szCs w:val="26"/>
        </w:rPr>
      </w:pPr>
      <w:r w:rsidRPr="00E9174E">
        <w:rPr>
          <w:sz w:val="26"/>
          <w:szCs w:val="26"/>
        </w:rPr>
        <w:t xml:space="preserve">In its Replies to Columbia Exception No. 3, the OCA submits that this case involves a lack of substantial evidence provided by the Company regarding its projected cost of plant additions; therefore, the OCA contends that the ALJ’s recommendation, based on the Company’s prior levels of plant additions spending, not only protects customers if the Company projections are in fact significantly overstated, but also recognizes that the Company is allowed to recover any excess plant costs through the DSIC.  OCA R. Exc. at 8-9.  </w:t>
      </w:r>
    </w:p>
    <w:p w14:paraId="4A0B78C5" w14:textId="77777777" w:rsidR="00137DB2" w:rsidRPr="00E9174E" w:rsidRDefault="00137DB2" w:rsidP="00E9174E">
      <w:pPr>
        <w:widowControl/>
        <w:spacing w:line="360" w:lineRule="auto"/>
        <w:contextualSpacing/>
        <w:rPr>
          <w:sz w:val="26"/>
          <w:szCs w:val="26"/>
        </w:rPr>
      </w:pPr>
    </w:p>
    <w:p w14:paraId="3524F622" w14:textId="2DC7552D" w:rsidR="00137DB2" w:rsidRPr="00E9174E" w:rsidRDefault="00137DB2" w:rsidP="00277ECF">
      <w:pPr>
        <w:pStyle w:val="Heading3"/>
        <w:numPr>
          <w:ilvl w:val="0"/>
          <w:numId w:val="47"/>
        </w:numPr>
        <w:ind w:left="1440" w:hanging="720"/>
        <w:rPr>
          <w:rFonts w:eastAsiaTheme="majorEastAsia"/>
        </w:rPr>
      </w:pPr>
      <w:bookmarkStart w:id="101" w:name="_Toc61011295"/>
      <w:bookmarkStart w:id="102" w:name="_Toc63764428"/>
      <w:r w:rsidRPr="00E9174E">
        <w:rPr>
          <w:rFonts w:eastAsiaTheme="majorEastAsia"/>
        </w:rPr>
        <w:lastRenderedPageBreak/>
        <w:t>Disposition</w:t>
      </w:r>
      <w:bookmarkEnd w:id="101"/>
      <w:bookmarkEnd w:id="102"/>
    </w:p>
    <w:p w14:paraId="660344A6" w14:textId="77777777" w:rsidR="00137DB2" w:rsidRPr="00E9174E" w:rsidRDefault="00137DB2" w:rsidP="00E9174E">
      <w:pPr>
        <w:keepNext/>
        <w:keepLines/>
        <w:widowControl/>
        <w:spacing w:line="360" w:lineRule="auto"/>
        <w:contextualSpacing/>
        <w:rPr>
          <w:b/>
          <w:sz w:val="26"/>
          <w:szCs w:val="26"/>
        </w:rPr>
      </w:pPr>
    </w:p>
    <w:p w14:paraId="266D8D64" w14:textId="77777777" w:rsidR="00137DB2" w:rsidRPr="00E9174E" w:rsidRDefault="00137DB2" w:rsidP="00E9174E">
      <w:pPr>
        <w:keepNext/>
        <w:widowControl/>
        <w:spacing w:line="360" w:lineRule="auto"/>
        <w:ind w:firstLine="1440"/>
        <w:contextualSpacing/>
        <w:rPr>
          <w:bCs/>
          <w:sz w:val="26"/>
          <w:szCs w:val="26"/>
        </w:rPr>
      </w:pPr>
      <w:r w:rsidRPr="00E9174E">
        <w:rPr>
          <w:bCs/>
          <w:sz w:val="26"/>
          <w:szCs w:val="26"/>
        </w:rPr>
        <w:t xml:space="preserve">Upon review, we agree with the rationale and the recommendation of the ALJ to apply a downward adjustment of $76.783 million (22.7%) to the Company’s net plant additions projected for the FPFTY.  Accordingly, we shall adopt the ALJ’s recommendation, including the associated recommended adjustments to the Company’s claimed FPFTY depreciation reserve and ADIT.  Therefore, we shall deny Columbia’s Exception on this issue.  </w:t>
      </w:r>
    </w:p>
    <w:p w14:paraId="53D5FD2F" w14:textId="77777777" w:rsidR="00137DB2" w:rsidRPr="00E9174E" w:rsidRDefault="00137DB2" w:rsidP="00E9174E">
      <w:pPr>
        <w:widowControl/>
        <w:spacing w:line="360" w:lineRule="auto"/>
        <w:ind w:firstLine="1440"/>
        <w:contextualSpacing/>
        <w:rPr>
          <w:bCs/>
          <w:sz w:val="26"/>
          <w:szCs w:val="26"/>
        </w:rPr>
      </w:pPr>
    </w:p>
    <w:p w14:paraId="535ED555" w14:textId="3B93159F" w:rsidR="00137DB2" w:rsidRPr="00E9174E" w:rsidRDefault="00137DB2" w:rsidP="00E9174E">
      <w:pPr>
        <w:widowControl/>
        <w:spacing w:line="360" w:lineRule="auto"/>
        <w:ind w:firstLine="1440"/>
        <w:contextualSpacing/>
        <w:rPr>
          <w:bCs/>
          <w:sz w:val="26"/>
          <w:szCs w:val="26"/>
        </w:rPr>
      </w:pPr>
      <w:r w:rsidRPr="00E9174E">
        <w:rPr>
          <w:bCs/>
          <w:sz w:val="26"/>
          <w:szCs w:val="26"/>
        </w:rPr>
        <w:t>Although the ALJ’s recommendation is not based on any historic experience that Columbia has underspent its budge</w:t>
      </w:r>
      <w:r w:rsidR="009970D3" w:rsidRPr="00E9174E">
        <w:rPr>
          <w:bCs/>
          <w:sz w:val="26"/>
          <w:szCs w:val="26"/>
        </w:rPr>
        <w:t>te</w:t>
      </w:r>
      <w:r w:rsidRPr="00E9174E">
        <w:rPr>
          <w:bCs/>
          <w:sz w:val="26"/>
          <w:szCs w:val="26"/>
        </w:rPr>
        <w:t>d plant additions, the reliability of the Company’s projections of net plant additions for the FPFTY, which are significantly higher than plant additions recorded in recent years, have been called into question.  We find persuasive the OCA’s argument</w:t>
      </w:r>
      <w:r w:rsidR="00475578" w:rsidRPr="00E9174E">
        <w:rPr>
          <w:bCs/>
          <w:sz w:val="26"/>
          <w:szCs w:val="26"/>
        </w:rPr>
        <w:t>,</w:t>
      </w:r>
      <w:r w:rsidRPr="00E9174E">
        <w:rPr>
          <w:bCs/>
          <w:sz w:val="26"/>
          <w:szCs w:val="26"/>
        </w:rPr>
        <w:t xml:space="preserve"> and the ALJ’s finding</w:t>
      </w:r>
      <w:r w:rsidR="00475578" w:rsidRPr="00E9174E">
        <w:rPr>
          <w:bCs/>
          <w:sz w:val="26"/>
          <w:szCs w:val="26"/>
        </w:rPr>
        <w:t>,</w:t>
      </w:r>
      <w:r w:rsidRPr="00E9174E">
        <w:rPr>
          <w:bCs/>
          <w:sz w:val="26"/>
          <w:szCs w:val="26"/>
        </w:rPr>
        <w:t xml:space="preserve"> that the Company failed to provide substantial evidence to adequately validate the Company’s FPFTY plant additions for the </w:t>
      </w:r>
      <w:proofErr w:type="gramStart"/>
      <w:r w:rsidRPr="00E9174E">
        <w:rPr>
          <w:bCs/>
          <w:sz w:val="26"/>
          <w:szCs w:val="26"/>
        </w:rPr>
        <w:t>FPFTY;</w:t>
      </w:r>
      <w:proofErr w:type="gramEnd"/>
      <w:r w:rsidRPr="00E9174E">
        <w:rPr>
          <w:bCs/>
          <w:sz w:val="26"/>
          <w:szCs w:val="26"/>
        </w:rPr>
        <w:t xml:space="preserve"> while the OCA’s adjustment was based on actual historical data.  </w:t>
      </w:r>
      <w:r w:rsidRPr="00E9174E">
        <w:rPr>
          <w:sz w:val="26"/>
          <w:szCs w:val="26"/>
        </w:rPr>
        <w:t xml:space="preserve">This is consistent with our discussion above under the first issue – determining net plant additions in the FPFTY is a matter of judgement for the Commission, governed by the evidence presented in this record and guided by our regulatory expertise.  </w:t>
      </w:r>
      <w:r w:rsidRPr="00E9174E">
        <w:rPr>
          <w:i/>
          <w:iCs/>
          <w:sz w:val="26"/>
          <w:szCs w:val="26"/>
        </w:rPr>
        <w:t>See</w:t>
      </w:r>
      <w:r w:rsidRPr="00E9174E">
        <w:rPr>
          <w:sz w:val="26"/>
          <w:szCs w:val="26"/>
        </w:rPr>
        <w:t xml:space="preserve">, </w:t>
      </w:r>
      <w:r w:rsidRPr="00E9174E">
        <w:rPr>
          <w:i/>
          <w:iCs/>
          <w:sz w:val="26"/>
          <w:szCs w:val="26"/>
        </w:rPr>
        <w:t>supra</w:t>
      </w:r>
      <w:r w:rsidRPr="00E9174E">
        <w:rPr>
          <w:sz w:val="26"/>
          <w:szCs w:val="26"/>
        </w:rPr>
        <w:t xml:space="preserve">, Section IV.  </w:t>
      </w:r>
      <w:r w:rsidRPr="00E9174E">
        <w:rPr>
          <w:bCs/>
          <w:sz w:val="26"/>
          <w:szCs w:val="26"/>
        </w:rPr>
        <w:t xml:space="preserve">Furthermore, we find that the OCA’s proposal, that if the Company in fact spends more in investment than its average spending from actual 2018 through its projection in 2020, the DSIC is available to recover those additional expenses as necessary, is reasonable and protects customers from overpaying for plant not in service if the Company’s significant increase in spending does not come to fruition.  </w:t>
      </w:r>
    </w:p>
    <w:p w14:paraId="782AEEE0" w14:textId="77777777" w:rsidR="00137DB2" w:rsidRPr="00E9174E" w:rsidRDefault="00137DB2" w:rsidP="00E9174E">
      <w:pPr>
        <w:widowControl/>
        <w:spacing w:line="360" w:lineRule="auto"/>
        <w:ind w:firstLine="1440"/>
        <w:contextualSpacing/>
        <w:rPr>
          <w:bCs/>
          <w:sz w:val="26"/>
          <w:szCs w:val="26"/>
        </w:rPr>
      </w:pPr>
    </w:p>
    <w:p w14:paraId="221AEEC7" w14:textId="02FFAF84" w:rsidR="00137DB2" w:rsidRPr="00E9174E" w:rsidRDefault="00137DB2" w:rsidP="00E9174E">
      <w:pPr>
        <w:widowControl/>
        <w:spacing w:line="360" w:lineRule="auto"/>
        <w:ind w:firstLine="1440"/>
        <w:contextualSpacing/>
        <w:rPr>
          <w:sz w:val="26"/>
          <w:szCs w:val="26"/>
        </w:rPr>
      </w:pPr>
      <w:r w:rsidRPr="00E9174E">
        <w:rPr>
          <w:bCs/>
          <w:sz w:val="26"/>
          <w:szCs w:val="26"/>
        </w:rPr>
        <w:t xml:space="preserve">Regarding Columbia’s concern that the OCA’s proposal and the ALJ’s recommendation to adopt that proposal somehow contradicts the Commission’s findings in </w:t>
      </w:r>
      <w:r w:rsidRPr="00E9174E">
        <w:rPr>
          <w:bCs/>
          <w:i/>
          <w:iCs/>
          <w:sz w:val="26"/>
          <w:szCs w:val="26"/>
        </w:rPr>
        <w:t>UGI Electric</w:t>
      </w:r>
      <w:r w:rsidRPr="005639A0">
        <w:rPr>
          <w:bCs/>
          <w:sz w:val="26"/>
          <w:szCs w:val="26"/>
        </w:rPr>
        <w:t>,</w:t>
      </w:r>
      <w:r w:rsidRPr="00E9174E">
        <w:rPr>
          <w:bCs/>
          <w:i/>
          <w:iCs/>
          <w:sz w:val="26"/>
          <w:szCs w:val="26"/>
        </w:rPr>
        <w:t xml:space="preserve"> </w:t>
      </w:r>
      <w:r w:rsidRPr="00E9174E">
        <w:rPr>
          <w:bCs/>
          <w:sz w:val="26"/>
          <w:szCs w:val="26"/>
        </w:rPr>
        <w:t xml:space="preserve">we find the Company’s arguments unpersuasive.  The relevant part of the </w:t>
      </w:r>
      <w:r w:rsidRPr="00E9174E">
        <w:rPr>
          <w:bCs/>
          <w:i/>
          <w:iCs/>
          <w:sz w:val="26"/>
          <w:szCs w:val="26"/>
        </w:rPr>
        <w:t>UGI Electric</w:t>
      </w:r>
      <w:r w:rsidRPr="00E9174E">
        <w:rPr>
          <w:bCs/>
          <w:sz w:val="26"/>
          <w:szCs w:val="26"/>
        </w:rPr>
        <w:t xml:space="preserve"> decision the Company cites to deals with the year-end rate base versus </w:t>
      </w:r>
      <w:r w:rsidRPr="00E9174E">
        <w:rPr>
          <w:bCs/>
          <w:sz w:val="26"/>
          <w:szCs w:val="26"/>
        </w:rPr>
        <w:lastRenderedPageBreak/>
        <w:t xml:space="preserve">average rate base dispute.  CG. M.B. at 34.  In the instant proceeding no party is challenging the Company’s use of an end-of-year rate base methodology in its FPFTY.  However, any projections that Columbia makes as to the additions to rate base, or increased expense levels, must be supported with substantial evidence and cannot be supported with mere speculation.  </w:t>
      </w:r>
      <w:r w:rsidRPr="00E9174E">
        <w:rPr>
          <w:i/>
          <w:iCs/>
          <w:sz w:val="26"/>
          <w:szCs w:val="26"/>
        </w:rPr>
        <w:t xml:space="preserve">See UGI Electric </w:t>
      </w:r>
      <w:r w:rsidRPr="00E9174E">
        <w:rPr>
          <w:sz w:val="26"/>
          <w:szCs w:val="26"/>
        </w:rPr>
        <w:t xml:space="preserve">at 27-31.  As the Commission found in </w:t>
      </w:r>
      <w:r w:rsidRPr="00E9174E">
        <w:rPr>
          <w:i/>
          <w:iCs/>
          <w:sz w:val="26"/>
          <w:szCs w:val="26"/>
        </w:rPr>
        <w:t>UGI Electric</w:t>
      </w:r>
      <w:r w:rsidRPr="005639A0">
        <w:rPr>
          <w:sz w:val="26"/>
          <w:szCs w:val="26"/>
        </w:rPr>
        <w:t>,</w:t>
      </w:r>
      <w:r w:rsidRPr="00E9174E">
        <w:rPr>
          <w:i/>
          <w:iCs/>
          <w:sz w:val="26"/>
          <w:szCs w:val="26"/>
        </w:rPr>
        <w:t xml:space="preserve"> </w:t>
      </w:r>
      <w:r w:rsidRPr="00E9174E">
        <w:rPr>
          <w:sz w:val="26"/>
          <w:szCs w:val="26"/>
        </w:rPr>
        <w:t xml:space="preserve">use of the FPFTY and projected additions to rate base are not without limit.  </w:t>
      </w:r>
      <w:r w:rsidRPr="00E9174E">
        <w:rPr>
          <w:i/>
          <w:iCs/>
          <w:sz w:val="26"/>
          <w:szCs w:val="26"/>
        </w:rPr>
        <w:t>Id</w:t>
      </w:r>
      <w:r w:rsidRPr="00E9174E">
        <w:rPr>
          <w:sz w:val="26"/>
          <w:szCs w:val="26"/>
        </w:rPr>
        <w:t>.  Columbia has the burden of proof to provide substantial evidence to support its projections</w:t>
      </w:r>
      <w:r w:rsidR="008C196E" w:rsidRPr="00E9174E">
        <w:rPr>
          <w:sz w:val="26"/>
          <w:szCs w:val="26"/>
        </w:rPr>
        <w:t>;</w:t>
      </w:r>
      <w:r w:rsidRPr="00E9174E">
        <w:rPr>
          <w:sz w:val="26"/>
          <w:szCs w:val="26"/>
        </w:rPr>
        <w:t xml:space="preserve"> and here, it has failed to do that.  As such, we shall deny Columbia’s Exception No. 3 and adopt the ALJ’s </w:t>
      </w:r>
      <w:r w:rsidR="00F5687F" w:rsidRPr="00E9174E">
        <w:rPr>
          <w:sz w:val="26"/>
          <w:szCs w:val="26"/>
        </w:rPr>
        <w:t xml:space="preserve">alternative </w:t>
      </w:r>
      <w:r w:rsidRPr="00E9174E">
        <w:rPr>
          <w:sz w:val="26"/>
          <w:szCs w:val="26"/>
        </w:rPr>
        <w:t>decision on this issue.</w:t>
      </w:r>
    </w:p>
    <w:p w14:paraId="7E47153E" w14:textId="77777777" w:rsidR="00137DB2" w:rsidRPr="00E9174E" w:rsidRDefault="00137DB2" w:rsidP="00E9174E">
      <w:pPr>
        <w:widowControl/>
        <w:spacing w:line="360" w:lineRule="auto"/>
        <w:ind w:firstLine="1440"/>
        <w:contextualSpacing/>
        <w:rPr>
          <w:sz w:val="26"/>
          <w:szCs w:val="26"/>
        </w:rPr>
      </w:pPr>
    </w:p>
    <w:p w14:paraId="2F4C0754" w14:textId="00023114" w:rsidR="00110C8B" w:rsidRPr="00E9174E" w:rsidRDefault="0006175D" w:rsidP="00E9174E">
      <w:pPr>
        <w:pStyle w:val="Heading1"/>
      </w:pPr>
      <w:bookmarkStart w:id="103" w:name="_Toc62487961"/>
      <w:bookmarkStart w:id="104" w:name="_Toc63764429"/>
      <w:r w:rsidRPr="00E9174E">
        <w:t>Revenue</w:t>
      </w:r>
      <w:bookmarkEnd w:id="103"/>
      <w:bookmarkEnd w:id="104"/>
      <w:r w:rsidRPr="00E9174E">
        <w:t xml:space="preserve"> </w:t>
      </w:r>
    </w:p>
    <w:p w14:paraId="322786CB" w14:textId="77777777" w:rsidR="00F438BC" w:rsidRPr="00E9174E" w:rsidRDefault="00F438BC" w:rsidP="00E9174E">
      <w:pPr>
        <w:keepNext/>
        <w:keepLines/>
        <w:widowControl/>
        <w:spacing w:line="360" w:lineRule="auto"/>
        <w:contextualSpacing/>
        <w:rPr>
          <w:b/>
          <w:bCs/>
          <w:sz w:val="26"/>
          <w:szCs w:val="26"/>
        </w:rPr>
      </w:pPr>
    </w:p>
    <w:p w14:paraId="27EECF3A" w14:textId="593D6B7A" w:rsidR="00EC3121" w:rsidRPr="00E9174E" w:rsidRDefault="008573F2" w:rsidP="001768DD">
      <w:pPr>
        <w:pStyle w:val="Heading2"/>
        <w:numPr>
          <w:ilvl w:val="0"/>
          <w:numId w:val="37"/>
        </w:numPr>
        <w:ind w:hanging="720"/>
      </w:pPr>
      <w:bookmarkStart w:id="105" w:name="_Toc63764430"/>
      <w:r w:rsidRPr="00E9174E">
        <w:t>Positions of the Parties</w:t>
      </w:r>
      <w:bookmarkEnd w:id="105"/>
    </w:p>
    <w:p w14:paraId="69B304EC" w14:textId="77777777" w:rsidR="00EC7645" w:rsidRPr="00E9174E" w:rsidRDefault="00EC7645" w:rsidP="00E9174E">
      <w:pPr>
        <w:keepNext/>
        <w:keepLines/>
        <w:widowControl/>
        <w:spacing w:line="360" w:lineRule="auto"/>
        <w:ind w:firstLine="1440"/>
        <w:contextualSpacing/>
        <w:rPr>
          <w:sz w:val="26"/>
          <w:szCs w:val="26"/>
        </w:rPr>
      </w:pPr>
    </w:p>
    <w:p w14:paraId="3B04D652" w14:textId="21B4D3D1" w:rsidR="00B6286C" w:rsidRPr="00E9174E" w:rsidRDefault="007A4EAF" w:rsidP="00E9174E">
      <w:pPr>
        <w:keepNext/>
        <w:widowControl/>
        <w:tabs>
          <w:tab w:val="left" w:pos="720"/>
          <w:tab w:val="left" w:pos="1440"/>
          <w:tab w:val="left" w:pos="2160"/>
          <w:tab w:val="right" w:leader="dot" w:pos="9360"/>
        </w:tabs>
        <w:spacing w:line="360" w:lineRule="auto"/>
        <w:ind w:firstLine="1440"/>
        <w:contextualSpacing/>
        <w:rPr>
          <w:sz w:val="26"/>
          <w:szCs w:val="26"/>
        </w:rPr>
      </w:pPr>
      <w:r w:rsidRPr="00E9174E">
        <w:rPr>
          <w:sz w:val="26"/>
          <w:szCs w:val="26"/>
        </w:rPr>
        <w:t xml:space="preserve">Columbia presented evidence to show its FPFTY </w:t>
      </w:r>
      <w:r w:rsidRPr="00E9174E">
        <w:rPr>
          <w:i/>
          <w:iCs/>
          <w:sz w:val="26"/>
          <w:szCs w:val="26"/>
        </w:rPr>
        <w:t>pro forma</w:t>
      </w:r>
      <w:r w:rsidRPr="00E9174E">
        <w:rPr>
          <w:sz w:val="26"/>
          <w:szCs w:val="26"/>
        </w:rPr>
        <w:t xml:space="preserve"> revenues at present rates total $572,769,574</w:t>
      </w:r>
      <w:r w:rsidR="00B6286C" w:rsidRPr="00E9174E">
        <w:rPr>
          <w:sz w:val="26"/>
          <w:szCs w:val="26"/>
        </w:rPr>
        <w:t>, inclusive of p</w:t>
      </w:r>
      <w:r w:rsidRPr="00E9174E">
        <w:rPr>
          <w:sz w:val="26"/>
          <w:szCs w:val="26"/>
        </w:rPr>
        <w:t>urchased gas cost revenues, riders, late payment fees, Gas Procurement Charge revenues, Merchant Function Charge revenues</w:t>
      </w:r>
      <w:r w:rsidR="00B6286C" w:rsidRPr="00E9174E">
        <w:rPr>
          <w:sz w:val="26"/>
          <w:szCs w:val="26"/>
        </w:rPr>
        <w:t>,</w:t>
      </w:r>
      <w:r w:rsidRPr="00E9174E">
        <w:rPr>
          <w:sz w:val="26"/>
          <w:szCs w:val="26"/>
        </w:rPr>
        <w:t xml:space="preserve"> and miscellaneous revenues.  Columbia detailed those revenues in</w:t>
      </w:r>
      <w:r w:rsidR="009F0BAA" w:rsidRPr="00E9174E">
        <w:rPr>
          <w:sz w:val="26"/>
          <w:szCs w:val="26"/>
        </w:rPr>
        <w:t xml:space="preserve"> </w:t>
      </w:r>
      <w:r w:rsidRPr="00E9174E">
        <w:rPr>
          <w:sz w:val="26"/>
          <w:szCs w:val="26"/>
        </w:rPr>
        <w:t>E</w:t>
      </w:r>
      <w:bookmarkStart w:id="106" w:name="_BA_Cite_EAF4C8_000725"/>
      <w:bookmarkEnd w:id="106"/>
      <w:r w:rsidRPr="00E9174E">
        <w:rPr>
          <w:sz w:val="26"/>
          <w:szCs w:val="26"/>
        </w:rPr>
        <w:t>x</w:t>
      </w:r>
      <w:r w:rsidR="009F0BAA" w:rsidRPr="00E9174E">
        <w:rPr>
          <w:sz w:val="26"/>
          <w:szCs w:val="26"/>
        </w:rPr>
        <w:t>hibit</w:t>
      </w:r>
      <w:r w:rsidRPr="00E9174E">
        <w:rPr>
          <w:sz w:val="26"/>
          <w:szCs w:val="26"/>
        </w:rPr>
        <w:t xml:space="preserve"> 103, </w:t>
      </w:r>
      <w:r w:rsidR="009F0BAA" w:rsidRPr="00E9174E">
        <w:rPr>
          <w:sz w:val="26"/>
          <w:szCs w:val="26"/>
        </w:rPr>
        <w:t>at</w:t>
      </w:r>
      <w:r w:rsidRPr="00E9174E">
        <w:rPr>
          <w:sz w:val="26"/>
          <w:szCs w:val="26"/>
        </w:rPr>
        <w:t xml:space="preserve"> 15, and associated exhibits, as sponsored by </w:t>
      </w:r>
      <w:r w:rsidR="007F1A07" w:rsidRPr="00E9174E">
        <w:rPr>
          <w:sz w:val="26"/>
          <w:szCs w:val="26"/>
        </w:rPr>
        <w:t>Columbia’s</w:t>
      </w:r>
      <w:r w:rsidRPr="00E9174E">
        <w:rPr>
          <w:sz w:val="26"/>
          <w:szCs w:val="26"/>
        </w:rPr>
        <w:t xml:space="preserve"> </w:t>
      </w:r>
      <w:r w:rsidR="00B6286C" w:rsidRPr="00E9174E">
        <w:rPr>
          <w:sz w:val="26"/>
          <w:szCs w:val="26"/>
        </w:rPr>
        <w:t>W</w:t>
      </w:r>
      <w:r w:rsidRPr="00E9174E">
        <w:rPr>
          <w:sz w:val="26"/>
          <w:szCs w:val="26"/>
        </w:rPr>
        <w:t xml:space="preserve">itness </w:t>
      </w:r>
      <w:r w:rsidR="007F1A07" w:rsidRPr="00E9174E">
        <w:rPr>
          <w:sz w:val="26"/>
          <w:szCs w:val="26"/>
        </w:rPr>
        <w:t xml:space="preserve">Melissa </w:t>
      </w:r>
      <w:r w:rsidRPr="00E9174E">
        <w:rPr>
          <w:sz w:val="26"/>
          <w:szCs w:val="26"/>
        </w:rPr>
        <w:t xml:space="preserve">Bell.  </w:t>
      </w:r>
      <w:r w:rsidR="00C41E9D" w:rsidRPr="00E9174E">
        <w:rPr>
          <w:i/>
          <w:iCs/>
          <w:sz w:val="26"/>
          <w:szCs w:val="26"/>
        </w:rPr>
        <w:t>See</w:t>
      </w:r>
      <w:r w:rsidR="00C41E9D" w:rsidRPr="00E9174E">
        <w:rPr>
          <w:sz w:val="26"/>
          <w:szCs w:val="26"/>
        </w:rPr>
        <w:t xml:space="preserve"> </w:t>
      </w:r>
      <w:r w:rsidR="00B6286C" w:rsidRPr="00E9174E">
        <w:rPr>
          <w:sz w:val="26"/>
          <w:szCs w:val="26"/>
        </w:rPr>
        <w:t xml:space="preserve">CG St. </w:t>
      </w:r>
      <w:r w:rsidR="001E4538" w:rsidRPr="00E9174E">
        <w:rPr>
          <w:sz w:val="26"/>
          <w:szCs w:val="26"/>
        </w:rPr>
        <w:t>3</w:t>
      </w:r>
      <w:r w:rsidR="007F1A07" w:rsidRPr="00E9174E">
        <w:rPr>
          <w:sz w:val="26"/>
          <w:szCs w:val="26"/>
        </w:rPr>
        <w:t xml:space="preserve">; </w:t>
      </w:r>
      <w:r w:rsidR="007F1A07" w:rsidRPr="00E9174E">
        <w:rPr>
          <w:i/>
          <w:iCs/>
          <w:sz w:val="26"/>
          <w:szCs w:val="26"/>
        </w:rPr>
        <w:t>see</w:t>
      </w:r>
      <w:r w:rsidR="00C41E9D" w:rsidRPr="00E9174E">
        <w:rPr>
          <w:i/>
          <w:iCs/>
          <w:sz w:val="26"/>
          <w:szCs w:val="26"/>
        </w:rPr>
        <w:t xml:space="preserve"> </w:t>
      </w:r>
      <w:r w:rsidR="0072673D" w:rsidRPr="00E9174E">
        <w:rPr>
          <w:i/>
          <w:iCs/>
          <w:sz w:val="26"/>
          <w:szCs w:val="26"/>
        </w:rPr>
        <w:t>also</w:t>
      </w:r>
      <w:r w:rsidR="0072673D" w:rsidRPr="00E9174E">
        <w:rPr>
          <w:sz w:val="26"/>
          <w:szCs w:val="26"/>
        </w:rPr>
        <w:t xml:space="preserve"> A</w:t>
      </w:r>
      <w:r w:rsidR="009F2620" w:rsidRPr="00E9174E">
        <w:rPr>
          <w:sz w:val="26"/>
          <w:szCs w:val="26"/>
        </w:rPr>
        <w:t>p</w:t>
      </w:r>
      <w:r w:rsidR="0072673D" w:rsidRPr="00E9174E">
        <w:rPr>
          <w:sz w:val="26"/>
          <w:szCs w:val="26"/>
        </w:rPr>
        <w:t xml:space="preserve">ril 24, 2020 Initial Filing, </w:t>
      </w:r>
      <w:r w:rsidR="00C41E9D" w:rsidRPr="00E9174E">
        <w:rPr>
          <w:sz w:val="26"/>
          <w:szCs w:val="26"/>
        </w:rPr>
        <w:t>Ex</w:t>
      </w:r>
      <w:r w:rsidR="001E4538" w:rsidRPr="00E9174E">
        <w:rPr>
          <w:sz w:val="26"/>
          <w:szCs w:val="26"/>
        </w:rPr>
        <w:t>h</w:t>
      </w:r>
      <w:r w:rsidR="007F1A07" w:rsidRPr="00E9174E">
        <w:rPr>
          <w:sz w:val="26"/>
          <w:szCs w:val="26"/>
        </w:rPr>
        <w:t>ibit</w:t>
      </w:r>
      <w:r w:rsidR="00C41E9D" w:rsidRPr="00E9174E">
        <w:rPr>
          <w:sz w:val="26"/>
          <w:szCs w:val="26"/>
        </w:rPr>
        <w:t xml:space="preserve"> 103 at 15. </w:t>
      </w:r>
    </w:p>
    <w:p w14:paraId="3E62D045" w14:textId="77777777" w:rsidR="00B6286C" w:rsidRPr="00E9174E" w:rsidRDefault="00B6286C" w:rsidP="00E9174E">
      <w:pPr>
        <w:widowControl/>
        <w:tabs>
          <w:tab w:val="left" w:pos="720"/>
          <w:tab w:val="left" w:pos="1440"/>
          <w:tab w:val="left" w:pos="2160"/>
          <w:tab w:val="right" w:leader="dot" w:pos="9360"/>
        </w:tabs>
        <w:spacing w:line="360" w:lineRule="auto"/>
        <w:ind w:firstLine="1440"/>
        <w:contextualSpacing/>
        <w:rPr>
          <w:sz w:val="26"/>
          <w:szCs w:val="26"/>
        </w:rPr>
      </w:pPr>
    </w:p>
    <w:p w14:paraId="58F230C0" w14:textId="1FA5261F" w:rsidR="00257779" w:rsidRPr="00E9174E" w:rsidRDefault="00D457D2" w:rsidP="00E9174E">
      <w:pPr>
        <w:widowControl/>
        <w:tabs>
          <w:tab w:val="left" w:pos="720"/>
          <w:tab w:val="left" w:pos="1440"/>
          <w:tab w:val="left" w:pos="2160"/>
          <w:tab w:val="right" w:leader="dot" w:pos="9360"/>
        </w:tabs>
        <w:spacing w:line="360" w:lineRule="auto"/>
        <w:ind w:firstLine="1440"/>
        <w:contextualSpacing/>
        <w:rPr>
          <w:sz w:val="26"/>
          <w:szCs w:val="26"/>
        </w:rPr>
      </w:pPr>
      <w:r w:rsidRPr="00E9174E">
        <w:rPr>
          <w:sz w:val="26"/>
          <w:szCs w:val="26"/>
        </w:rPr>
        <w:t>Additionally, in rebuttal testimony, Columbia explained</w:t>
      </w:r>
      <w:r w:rsidR="00636CC0" w:rsidRPr="00E9174E">
        <w:rPr>
          <w:sz w:val="26"/>
          <w:szCs w:val="26"/>
        </w:rPr>
        <w:t xml:space="preserve"> that</w:t>
      </w:r>
      <w:r w:rsidRPr="00E9174E">
        <w:rPr>
          <w:sz w:val="26"/>
          <w:szCs w:val="26"/>
        </w:rPr>
        <w:t xml:space="preserve"> the DSIC is available to recover depreciation, return and taxes on DSIC-eligible investments added after the Company’s eligible plant balances exceed the levels projected as of December</w:t>
      </w:r>
      <w:r w:rsidR="005639A0">
        <w:rPr>
          <w:sz w:val="26"/>
          <w:szCs w:val="26"/>
        </w:rPr>
        <w:t> </w:t>
      </w:r>
      <w:r w:rsidRPr="00E9174E">
        <w:rPr>
          <w:sz w:val="26"/>
          <w:szCs w:val="26"/>
        </w:rPr>
        <w:t>31, 2019 in Columbia’s 2018 base rate proceeding.  CG St. 9-R at 2-3.  Columbia assert</w:t>
      </w:r>
      <w:r w:rsidR="006C668B" w:rsidRPr="00E9174E">
        <w:rPr>
          <w:sz w:val="26"/>
          <w:szCs w:val="26"/>
        </w:rPr>
        <w:t>ed</w:t>
      </w:r>
      <w:r w:rsidRPr="00E9174E">
        <w:rPr>
          <w:sz w:val="26"/>
          <w:szCs w:val="26"/>
        </w:rPr>
        <w:t xml:space="preserve"> it is now using the DSIC</w:t>
      </w:r>
      <w:r w:rsidR="00EE0873" w:rsidRPr="00E9174E">
        <w:rPr>
          <w:sz w:val="26"/>
          <w:szCs w:val="26"/>
        </w:rPr>
        <w:t xml:space="preserve"> subject to the statutory limit of</w:t>
      </w:r>
      <w:r w:rsidRPr="00E9174E">
        <w:rPr>
          <w:sz w:val="26"/>
          <w:szCs w:val="26"/>
        </w:rPr>
        <w:t xml:space="preserve"> 5% of base rate revenues.  </w:t>
      </w:r>
      <w:r w:rsidR="00EE0873" w:rsidRPr="00E9174E">
        <w:rPr>
          <w:i/>
          <w:iCs/>
          <w:sz w:val="26"/>
          <w:szCs w:val="26"/>
        </w:rPr>
        <w:t xml:space="preserve">See </w:t>
      </w:r>
      <w:r w:rsidRPr="00E9174E">
        <w:rPr>
          <w:sz w:val="26"/>
          <w:szCs w:val="26"/>
        </w:rPr>
        <w:t>6</w:t>
      </w:r>
      <w:bookmarkStart w:id="107" w:name="_BA_Cite_EAF4C8_001134"/>
      <w:bookmarkEnd w:id="107"/>
      <w:r w:rsidRPr="00E9174E">
        <w:rPr>
          <w:sz w:val="26"/>
          <w:szCs w:val="26"/>
        </w:rPr>
        <w:t>6 Pa.</w:t>
      </w:r>
      <w:r w:rsidR="004E4EF9" w:rsidRPr="00E9174E">
        <w:rPr>
          <w:sz w:val="26"/>
          <w:szCs w:val="26"/>
        </w:rPr>
        <w:t xml:space="preserve"> </w:t>
      </w:r>
      <w:r w:rsidRPr="00E9174E">
        <w:rPr>
          <w:sz w:val="26"/>
          <w:szCs w:val="26"/>
        </w:rPr>
        <w:t>C.S. § 1358(a)(1).  For Columbia, this means</w:t>
      </w:r>
      <w:r w:rsidR="009D7141" w:rsidRPr="00E9174E">
        <w:rPr>
          <w:sz w:val="26"/>
          <w:szCs w:val="26"/>
        </w:rPr>
        <w:t xml:space="preserve"> that</w:t>
      </w:r>
      <w:r w:rsidRPr="00E9174E">
        <w:rPr>
          <w:sz w:val="26"/>
          <w:szCs w:val="26"/>
        </w:rPr>
        <w:t xml:space="preserve"> the DSIC can recover no more than $20.1 million, at the currently authorized DSIC return.  CG St. 9-R at 6.  Columbia explain</w:t>
      </w:r>
      <w:r w:rsidR="00EE0873" w:rsidRPr="00E9174E">
        <w:rPr>
          <w:sz w:val="26"/>
          <w:szCs w:val="26"/>
        </w:rPr>
        <w:t xml:space="preserve">ed that the statutory 5% limit </w:t>
      </w:r>
      <w:r w:rsidRPr="00E9174E">
        <w:rPr>
          <w:sz w:val="26"/>
          <w:szCs w:val="26"/>
        </w:rPr>
        <w:t xml:space="preserve">on the DSIC rate would not even </w:t>
      </w:r>
      <w:r w:rsidRPr="00E9174E">
        <w:rPr>
          <w:sz w:val="26"/>
          <w:szCs w:val="26"/>
        </w:rPr>
        <w:lastRenderedPageBreak/>
        <w:t>allow Columbia to recover the depreciation, return</w:t>
      </w:r>
      <w:r w:rsidR="00EA3F25" w:rsidRPr="00E9174E">
        <w:rPr>
          <w:sz w:val="26"/>
          <w:szCs w:val="26"/>
        </w:rPr>
        <w:t>,</w:t>
      </w:r>
      <w:r w:rsidRPr="00E9174E">
        <w:rPr>
          <w:sz w:val="26"/>
          <w:szCs w:val="26"/>
        </w:rPr>
        <w:t xml:space="preserve"> and income taxes on its 2020 investments.  </w:t>
      </w:r>
      <w:r w:rsidR="00367F70" w:rsidRPr="00E9174E">
        <w:rPr>
          <w:sz w:val="26"/>
          <w:szCs w:val="26"/>
        </w:rPr>
        <w:t>Columbia also pointed out that the DSIC cannot be used to recover the depreciation, return</w:t>
      </w:r>
      <w:r w:rsidR="00EA3F25" w:rsidRPr="00E9174E">
        <w:rPr>
          <w:sz w:val="26"/>
          <w:szCs w:val="26"/>
        </w:rPr>
        <w:t>,</w:t>
      </w:r>
      <w:r w:rsidR="00367F70" w:rsidRPr="00E9174E">
        <w:rPr>
          <w:sz w:val="26"/>
          <w:szCs w:val="26"/>
        </w:rPr>
        <w:t xml:space="preserve"> and investment on non DSIC-eligible property. </w:t>
      </w:r>
      <w:r w:rsidR="00646B21" w:rsidRPr="00E9174E">
        <w:rPr>
          <w:sz w:val="26"/>
          <w:szCs w:val="26"/>
        </w:rPr>
        <w:t xml:space="preserve"> </w:t>
      </w:r>
      <w:r w:rsidRPr="00E9174E">
        <w:rPr>
          <w:sz w:val="26"/>
          <w:szCs w:val="26"/>
        </w:rPr>
        <w:t>CG M.B. at 23.</w:t>
      </w:r>
    </w:p>
    <w:p w14:paraId="69FDAF8F" w14:textId="77777777" w:rsidR="00F7653D" w:rsidRPr="00E9174E" w:rsidRDefault="00F7653D" w:rsidP="00E9174E">
      <w:pPr>
        <w:widowControl/>
        <w:tabs>
          <w:tab w:val="left" w:pos="720"/>
          <w:tab w:val="left" w:pos="1440"/>
          <w:tab w:val="left" w:pos="2160"/>
          <w:tab w:val="right" w:leader="dot" w:pos="9360"/>
        </w:tabs>
        <w:spacing w:line="360" w:lineRule="auto"/>
        <w:ind w:firstLine="1440"/>
        <w:contextualSpacing/>
        <w:rPr>
          <w:sz w:val="26"/>
          <w:szCs w:val="26"/>
        </w:rPr>
      </w:pPr>
    </w:p>
    <w:p w14:paraId="4760E2FE" w14:textId="1B200D8D" w:rsidR="00257779" w:rsidRPr="00E9174E" w:rsidRDefault="00257779" w:rsidP="00E9174E">
      <w:pPr>
        <w:widowControl/>
        <w:tabs>
          <w:tab w:val="left" w:pos="720"/>
          <w:tab w:val="left" w:pos="1440"/>
          <w:tab w:val="left" w:pos="2160"/>
          <w:tab w:val="right" w:leader="dot" w:pos="9360"/>
        </w:tabs>
        <w:spacing w:line="360" w:lineRule="auto"/>
        <w:ind w:firstLine="1440"/>
        <w:contextualSpacing/>
        <w:rPr>
          <w:sz w:val="26"/>
          <w:szCs w:val="26"/>
        </w:rPr>
      </w:pPr>
      <w:r w:rsidRPr="00E9174E">
        <w:rPr>
          <w:sz w:val="26"/>
          <w:szCs w:val="26"/>
        </w:rPr>
        <w:t xml:space="preserve">No </w:t>
      </w:r>
      <w:r w:rsidR="00CF0CFC" w:rsidRPr="00E9174E">
        <w:rPr>
          <w:sz w:val="26"/>
          <w:szCs w:val="26"/>
        </w:rPr>
        <w:t>Parties</w:t>
      </w:r>
      <w:r w:rsidRPr="00E9174E">
        <w:rPr>
          <w:sz w:val="26"/>
          <w:szCs w:val="26"/>
        </w:rPr>
        <w:t xml:space="preserve"> proposed any adjustments to the Company’s FPFTY revenues under present rates. </w:t>
      </w:r>
      <w:r w:rsidR="00646B21" w:rsidRPr="00E9174E">
        <w:rPr>
          <w:sz w:val="26"/>
          <w:szCs w:val="26"/>
        </w:rPr>
        <w:t xml:space="preserve"> </w:t>
      </w:r>
      <w:r w:rsidR="00CA1BDC" w:rsidRPr="00E9174E">
        <w:rPr>
          <w:sz w:val="26"/>
          <w:szCs w:val="26"/>
        </w:rPr>
        <w:t>However, CAUSE-PA</w:t>
      </w:r>
      <w:r w:rsidR="00A96FCB" w:rsidRPr="00E9174E">
        <w:rPr>
          <w:sz w:val="26"/>
          <w:szCs w:val="26"/>
        </w:rPr>
        <w:t xml:space="preserve"> and </w:t>
      </w:r>
      <w:r w:rsidR="00CA1BDC" w:rsidRPr="00E9174E">
        <w:rPr>
          <w:sz w:val="26"/>
          <w:szCs w:val="26"/>
        </w:rPr>
        <w:t>CII</w:t>
      </w:r>
      <w:r w:rsidR="00A96FCB" w:rsidRPr="00E9174E">
        <w:rPr>
          <w:sz w:val="26"/>
          <w:szCs w:val="26"/>
        </w:rPr>
        <w:t xml:space="preserve"> reiterated their overall position on the rate increase in the midst of the pandemic.  Additionally, </w:t>
      </w:r>
      <w:r w:rsidRPr="00E9174E">
        <w:rPr>
          <w:sz w:val="26"/>
          <w:szCs w:val="26"/>
        </w:rPr>
        <w:t>the OSBA</w:t>
      </w:r>
      <w:r w:rsidR="00D77FA2" w:rsidRPr="00E9174E">
        <w:rPr>
          <w:sz w:val="26"/>
          <w:szCs w:val="26"/>
        </w:rPr>
        <w:t xml:space="preserve"> responded to </w:t>
      </w:r>
      <w:r w:rsidRPr="00E9174E">
        <w:rPr>
          <w:sz w:val="26"/>
          <w:szCs w:val="26"/>
        </w:rPr>
        <w:t>Columbia’s explanation that $20 million of its $100.4 million overall revenue increase request would otherwise be recoverable through the DSIC mechanism</w:t>
      </w:r>
      <w:r w:rsidR="00D77FA2" w:rsidRPr="00E9174E">
        <w:rPr>
          <w:sz w:val="26"/>
          <w:szCs w:val="26"/>
        </w:rPr>
        <w:t xml:space="preserve"> by stating </w:t>
      </w:r>
      <w:r w:rsidRPr="00E9174E">
        <w:rPr>
          <w:sz w:val="26"/>
          <w:szCs w:val="26"/>
        </w:rPr>
        <w:t xml:space="preserve">that, </w:t>
      </w:r>
      <w:r w:rsidR="00D457D2" w:rsidRPr="00E9174E">
        <w:rPr>
          <w:sz w:val="26"/>
          <w:szCs w:val="26"/>
        </w:rPr>
        <w:t>“[a]</w:t>
      </w:r>
      <w:proofErr w:type="spellStart"/>
      <w:r w:rsidR="00D457D2" w:rsidRPr="00E9174E">
        <w:rPr>
          <w:sz w:val="26"/>
          <w:szCs w:val="26"/>
        </w:rPr>
        <w:t>bsent</w:t>
      </w:r>
      <w:proofErr w:type="spellEnd"/>
      <w:r w:rsidR="00D457D2" w:rsidRPr="00E9174E">
        <w:rPr>
          <w:sz w:val="26"/>
          <w:szCs w:val="26"/>
        </w:rPr>
        <w:t xml:space="preserve"> this rate proceeding, the $20 million would, by operation of law, be included in the Company’s tariff rates in January 2021</w:t>
      </w:r>
      <w:r w:rsidR="00D77FA2" w:rsidRPr="00E9174E">
        <w:rPr>
          <w:sz w:val="26"/>
          <w:szCs w:val="26"/>
        </w:rPr>
        <w:t>.</w:t>
      </w:r>
      <w:r w:rsidR="00D457D2" w:rsidRPr="00E9174E">
        <w:rPr>
          <w:sz w:val="26"/>
          <w:szCs w:val="26"/>
        </w:rPr>
        <w:t>”</w:t>
      </w:r>
      <w:r w:rsidR="0045496B" w:rsidRPr="00E9174E">
        <w:rPr>
          <w:sz w:val="26"/>
          <w:szCs w:val="26"/>
        </w:rPr>
        <w:t xml:space="preserve"> </w:t>
      </w:r>
      <w:r w:rsidR="0045496B" w:rsidRPr="00E9174E">
        <w:rPr>
          <w:sz w:val="26"/>
          <w:szCs w:val="26"/>
          <w:shd w:val="clear" w:color="auto" w:fill="FFFFFF"/>
        </w:rPr>
        <w:t xml:space="preserve"> </w:t>
      </w:r>
      <w:r w:rsidR="0045496B" w:rsidRPr="00E9174E">
        <w:rPr>
          <w:sz w:val="26"/>
          <w:szCs w:val="26"/>
        </w:rPr>
        <w:t>OSBA M.B. at</w:t>
      </w:r>
      <w:r w:rsidR="006C668B" w:rsidRPr="00E9174E">
        <w:rPr>
          <w:sz w:val="26"/>
          <w:szCs w:val="26"/>
        </w:rPr>
        <w:t xml:space="preserve"> </w:t>
      </w:r>
      <w:r w:rsidR="00D77FA2" w:rsidRPr="00E9174E">
        <w:rPr>
          <w:sz w:val="26"/>
          <w:szCs w:val="26"/>
        </w:rPr>
        <w:t xml:space="preserve">3, </w:t>
      </w:r>
      <w:r w:rsidR="0045496B" w:rsidRPr="00E9174E">
        <w:rPr>
          <w:sz w:val="26"/>
          <w:szCs w:val="26"/>
        </w:rPr>
        <w:t xml:space="preserve">4.  </w:t>
      </w:r>
    </w:p>
    <w:p w14:paraId="1C904D37" w14:textId="77777777" w:rsidR="00257779" w:rsidRPr="00E9174E" w:rsidRDefault="00257779" w:rsidP="00E9174E">
      <w:pPr>
        <w:widowControl/>
        <w:tabs>
          <w:tab w:val="left" w:pos="720"/>
          <w:tab w:val="left" w:pos="1440"/>
          <w:tab w:val="left" w:pos="2160"/>
          <w:tab w:val="right" w:leader="dot" w:pos="9360"/>
        </w:tabs>
        <w:spacing w:line="360" w:lineRule="auto"/>
        <w:ind w:firstLine="1440"/>
        <w:contextualSpacing/>
        <w:rPr>
          <w:sz w:val="26"/>
          <w:szCs w:val="26"/>
        </w:rPr>
      </w:pPr>
    </w:p>
    <w:p w14:paraId="7A123429" w14:textId="4F542F36" w:rsidR="00FD721F" w:rsidRDefault="00E17015" w:rsidP="00E9174E">
      <w:pPr>
        <w:widowControl/>
        <w:tabs>
          <w:tab w:val="left" w:pos="720"/>
          <w:tab w:val="left" w:pos="1440"/>
          <w:tab w:val="left" w:pos="2160"/>
          <w:tab w:val="right" w:leader="dot" w:pos="9360"/>
        </w:tabs>
        <w:spacing w:line="360" w:lineRule="auto"/>
        <w:ind w:firstLine="1440"/>
        <w:contextualSpacing/>
        <w:rPr>
          <w:sz w:val="26"/>
          <w:szCs w:val="26"/>
        </w:rPr>
      </w:pPr>
      <w:r w:rsidRPr="00E9174E">
        <w:rPr>
          <w:sz w:val="26"/>
          <w:szCs w:val="26"/>
        </w:rPr>
        <w:t>Columbia argue</w:t>
      </w:r>
      <w:r w:rsidR="0064017C" w:rsidRPr="00E9174E">
        <w:rPr>
          <w:sz w:val="26"/>
          <w:szCs w:val="26"/>
        </w:rPr>
        <w:t>d</w:t>
      </w:r>
      <w:r w:rsidR="00D77FA2" w:rsidRPr="00E9174E">
        <w:rPr>
          <w:sz w:val="26"/>
          <w:szCs w:val="26"/>
        </w:rPr>
        <w:t xml:space="preserve"> that the</w:t>
      </w:r>
      <w:r w:rsidRPr="00E9174E">
        <w:rPr>
          <w:sz w:val="26"/>
          <w:szCs w:val="26"/>
        </w:rPr>
        <w:t xml:space="preserve"> OSBA’s assertion is inaccurate.  </w:t>
      </w:r>
      <w:r w:rsidR="00FB2987" w:rsidRPr="00E9174E">
        <w:rPr>
          <w:sz w:val="26"/>
          <w:szCs w:val="26"/>
        </w:rPr>
        <w:t xml:space="preserve">CG R.B. </w:t>
      </w:r>
      <w:r w:rsidR="0037799F" w:rsidRPr="00E9174E">
        <w:rPr>
          <w:sz w:val="26"/>
          <w:szCs w:val="26"/>
        </w:rPr>
        <w:t>at</w:t>
      </w:r>
      <w:r w:rsidR="005639A0">
        <w:rPr>
          <w:sz w:val="26"/>
          <w:szCs w:val="26"/>
        </w:rPr>
        <w:t> </w:t>
      </w:r>
      <w:r w:rsidR="0037799F" w:rsidRPr="00E9174E">
        <w:rPr>
          <w:sz w:val="26"/>
          <w:szCs w:val="26"/>
        </w:rPr>
        <w:t>18</w:t>
      </w:r>
      <w:r w:rsidR="005639A0">
        <w:rPr>
          <w:sz w:val="26"/>
          <w:szCs w:val="26"/>
        </w:rPr>
        <w:noBreakHyphen/>
      </w:r>
      <w:r w:rsidR="0037799F" w:rsidRPr="00E9174E">
        <w:rPr>
          <w:sz w:val="26"/>
          <w:szCs w:val="26"/>
        </w:rPr>
        <w:t xml:space="preserve">20.  </w:t>
      </w:r>
      <w:r w:rsidR="00D77FA2" w:rsidRPr="00E9174E">
        <w:rPr>
          <w:sz w:val="26"/>
          <w:szCs w:val="26"/>
        </w:rPr>
        <w:t>Rather, a</w:t>
      </w:r>
      <w:r w:rsidRPr="00E9174E">
        <w:rPr>
          <w:sz w:val="26"/>
          <w:szCs w:val="26"/>
        </w:rPr>
        <w:t>bsent this rate proceeding, Columbia’s DSIC would be capped at 5% of base rate revenues.  By law, the DSIC may only be reset to zero “as of the effective date of new base rates that provide for prospective recovery of the annual costs previously recovered under the distribution system improvement charge.”  6</w:t>
      </w:r>
      <w:bookmarkStart w:id="108" w:name="_BA_Cite_EAF4C8_001136"/>
      <w:bookmarkEnd w:id="108"/>
      <w:r w:rsidRPr="00E9174E">
        <w:rPr>
          <w:sz w:val="26"/>
          <w:szCs w:val="26"/>
        </w:rPr>
        <w:t>6 Pa.</w:t>
      </w:r>
      <w:r w:rsidR="00D92875" w:rsidRPr="00E9174E">
        <w:rPr>
          <w:sz w:val="26"/>
          <w:szCs w:val="26"/>
        </w:rPr>
        <w:t xml:space="preserve"> </w:t>
      </w:r>
      <w:r w:rsidRPr="00E9174E">
        <w:rPr>
          <w:sz w:val="26"/>
          <w:szCs w:val="26"/>
        </w:rPr>
        <w:t>C.S. §</w:t>
      </w:r>
      <w:r w:rsidR="005639A0">
        <w:rPr>
          <w:sz w:val="26"/>
          <w:szCs w:val="26"/>
        </w:rPr>
        <w:t> </w:t>
      </w:r>
      <w:r w:rsidRPr="00E9174E">
        <w:rPr>
          <w:sz w:val="26"/>
          <w:szCs w:val="26"/>
        </w:rPr>
        <w:t xml:space="preserve">1358(b)(1).  Therefore, absent a base rate proceeding, or under </w:t>
      </w:r>
      <w:r w:rsidR="00FD721F" w:rsidRPr="00E9174E">
        <w:rPr>
          <w:sz w:val="26"/>
          <w:szCs w:val="26"/>
        </w:rPr>
        <w:t>a</w:t>
      </w:r>
      <w:r w:rsidRPr="00E9174E">
        <w:rPr>
          <w:sz w:val="26"/>
          <w:szCs w:val="26"/>
        </w:rPr>
        <w:t xml:space="preserve"> no rate increase </w:t>
      </w:r>
      <w:r w:rsidR="00FD721F" w:rsidRPr="00E9174E">
        <w:rPr>
          <w:sz w:val="26"/>
          <w:szCs w:val="26"/>
        </w:rPr>
        <w:t>scenario</w:t>
      </w:r>
      <w:r w:rsidRPr="00E9174E">
        <w:rPr>
          <w:sz w:val="26"/>
          <w:szCs w:val="26"/>
        </w:rPr>
        <w:t>, Columbia contends its DSIC would not be zeroed out, and the DSIC would remain unavailable to recover portions of Columbia’s 2020 plant investments and all of its 2021 plant investments.</w:t>
      </w:r>
      <w:r w:rsidR="00C46B9E" w:rsidRPr="00E9174E">
        <w:rPr>
          <w:sz w:val="26"/>
          <w:szCs w:val="26"/>
        </w:rPr>
        <w:t xml:space="preserve">  CG R.B. 18-19.</w:t>
      </w:r>
    </w:p>
    <w:p w14:paraId="6BA40102" w14:textId="77777777" w:rsidR="00B6769E" w:rsidRPr="00E9174E" w:rsidRDefault="00B6769E" w:rsidP="00E9174E">
      <w:pPr>
        <w:widowControl/>
        <w:tabs>
          <w:tab w:val="left" w:pos="720"/>
          <w:tab w:val="left" w:pos="1440"/>
          <w:tab w:val="left" w:pos="2160"/>
          <w:tab w:val="right" w:leader="dot" w:pos="9360"/>
        </w:tabs>
        <w:spacing w:line="360" w:lineRule="auto"/>
        <w:ind w:firstLine="1440"/>
        <w:contextualSpacing/>
        <w:rPr>
          <w:sz w:val="26"/>
          <w:szCs w:val="26"/>
        </w:rPr>
      </w:pPr>
    </w:p>
    <w:p w14:paraId="7CAB7652" w14:textId="13A58260" w:rsidR="00E17015" w:rsidRDefault="00E17015" w:rsidP="00E9174E">
      <w:pPr>
        <w:widowControl/>
        <w:tabs>
          <w:tab w:val="left" w:pos="720"/>
          <w:tab w:val="left" w:pos="1440"/>
          <w:tab w:val="left" w:pos="2160"/>
          <w:tab w:val="right" w:leader="dot" w:pos="9360"/>
        </w:tabs>
        <w:spacing w:line="360" w:lineRule="auto"/>
        <w:ind w:firstLine="1440"/>
        <w:contextualSpacing/>
        <w:rPr>
          <w:sz w:val="26"/>
          <w:szCs w:val="26"/>
        </w:rPr>
      </w:pPr>
      <w:r w:rsidRPr="00E9174E">
        <w:rPr>
          <w:sz w:val="26"/>
          <w:szCs w:val="26"/>
        </w:rPr>
        <w:t xml:space="preserve">Columbia </w:t>
      </w:r>
      <w:r w:rsidR="00FD721F" w:rsidRPr="00E9174E">
        <w:rPr>
          <w:sz w:val="26"/>
          <w:szCs w:val="26"/>
        </w:rPr>
        <w:t>further noted that the</w:t>
      </w:r>
      <w:r w:rsidRPr="00E9174E">
        <w:rPr>
          <w:sz w:val="26"/>
          <w:szCs w:val="26"/>
        </w:rPr>
        <w:t xml:space="preserve"> OSBA observed Columbia’s increase on a net basis is approximately $80.4 million, after recognizing the revenue available from the DSIC.  </w:t>
      </w:r>
      <w:r w:rsidR="0037799F" w:rsidRPr="00E9174E">
        <w:rPr>
          <w:sz w:val="26"/>
          <w:szCs w:val="26"/>
        </w:rPr>
        <w:t>CG R.B.</w:t>
      </w:r>
      <w:r w:rsidR="005639A0">
        <w:rPr>
          <w:sz w:val="26"/>
          <w:szCs w:val="26"/>
        </w:rPr>
        <w:t xml:space="preserve"> </w:t>
      </w:r>
      <w:r w:rsidR="0037799F" w:rsidRPr="00E9174E">
        <w:rPr>
          <w:sz w:val="26"/>
          <w:szCs w:val="26"/>
        </w:rPr>
        <w:t xml:space="preserve">at 19 (citing </w:t>
      </w:r>
      <w:r w:rsidRPr="00E9174E">
        <w:rPr>
          <w:sz w:val="26"/>
          <w:szCs w:val="26"/>
        </w:rPr>
        <w:t>OSBA M.B. at 3</w:t>
      </w:r>
      <w:r w:rsidR="0037799F" w:rsidRPr="00E9174E">
        <w:rPr>
          <w:sz w:val="26"/>
          <w:szCs w:val="26"/>
        </w:rPr>
        <w:t>)</w:t>
      </w:r>
      <w:r w:rsidRPr="00E9174E">
        <w:rPr>
          <w:sz w:val="26"/>
          <w:szCs w:val="26"/>
        </w:rPr>
        <w:t>.  Columbia agree</w:t>
      </w:r>
      <w:r w:rsidR="008A628E" w:rsidRPr="00E9174E">
        <w:rPr>
          <w:sz w:val="26"/>
          <w:szCs w:val="26"/>
        </w:rPr>
        <w:t>d</w:t>
      </w:r>
      <w:r w:rsidRPr="00E9174E">
        <w:rPr>
          <w:sz w:val="26"/>
          <w:szCs w:val="26"/>
        </w:rPr>
        <w:t xml:space="preserve">, under normal ratemaking procedures, the DSIC is reset to zero once new base rates are established.  However, in accordance with normal practice that has been used since the DSIC was established, the rate case presentation establishes </w:t>
      </w:r>
      <w:r w:rsidRPr="00E9174E">
        <w:rPr>
          <w:i/>
          <w:iCs/>
          <w:sz w:val="26"/>
          <w:szCs w:val="26"/>
        </w:rPr>
        <w:t>base rates</w:t>
      </w:r>
      <w:r w:rsidRPr="00E9174E">
        <w:rPr>
          <w:sz w:val="26"/>
          <w:szCs w:val="26"/>
        </w:rPr>
        <w:t xml:space="preserve">, and whatever the DSIC rate actually is at the time new rates are established, that rate is reset to 0%.  The base rate </w:t>
      </w:r>
      <w:r w:rsidRPr="00E9174E">
        <w:rPr>
          <w:sz w:val="26"/>
          <w:szCs w:val="26"/>
        </w:rPr>
        <w:lastRenderedPageBreak/>
        <w:t>proceeding does not attempt to project revenues from the DSIC at the time new base rates become effective, because that rate is dependent upon factors such as actual plant in service and the authorized DSIC return rate.</w:t>
      </w:r>
      <w:r w:rsidR="00C46B9E" w:rsidRPr="00E9174E">
        <w:rPr>
          <w:sz w:val="26"/>
          <w:szCs w:val="26"/>
        </w:rPr>
        <w:t xml:space="preserve">  CG R.B. at 19-20.</w:t>
      </w:r>
    </w:p>
    <w:p w14:paraId="4F874FE7" w14:textId="77777777" w:rsidR="006C720C" w:rsidRPr="00E9174E" w:rsidRDefault="006C720C" w:rsidP="00E9174E">
      <w:pPr>
        <w:widowControl/>
        <w:tabs>
          <w:tab w:val="left" w:pos="720"/>
          <w:tab w:val="left" w:pos="1440"/>
          <w:tab w:val="left" w:pos="2160"/>
          <w:tab w:val="right" w:leader="dot" w:pos="9360"/>
        </w:tabs>
        <w:spacing w:line="360" w:lineRule="auto"/>
        <w:ind w:firstLine="1440"/>
        <w:contextualSpacing/>
        <w:rPr>
          <w:sz w:val="26"/>
          <w:szCs w:val="26"/>
        </w:rPr>
      </w:pPr>
    </w:p>
    <w:p w14:paraId="05EAD481" w14:textId="77777777" w:rsidR="00CE6E9A" w:rsidRPr="00E9174E" w:rsidRDefault="00CE6E9A" w:rsidP="006751AA">
      <w:pPr>
        <w:pStyle w:val="Heading2"/>
      </w:pPr>
      <w:bookmarkStart w:id="109" w:name="_Toc63764431"/>
      <w:r w:rsidRPr="00E9174E">
        <w:rPr>
          <w:iCs/>
        </w:rPr>
        <w:t>B.</w:t>
      </w:r>
      <w:r w:rsidRPr="00E9174E">
        <w:rPr>
          <w:iCs/>
        </w:rPr>
        <w:tab/>
      </w:r>
      <w:r w:rsidRPr="00E9174E">
        <w:t>Recommended Decision</w:t>
      </w:r>
      <w:bookmarkEnd w:id="109"/>
    </w:p>
    <w:p w14:paraId="1CE71376" w14:textId="77777777" w:rsidR="00CE6E9A" w:rsidRPr="00E9174E" w:rsidRDefault="00CE6E9A" w:rsidP="00E9174E">
      <w:pPr>
        <w:keepNext/>
        <w:keepLines/>
        <w:widowControl/>
        <w:spacing w:line="360" w:lineRule="auto"/>
        <w:contextualSpacing/>
        <w:rPr>
          <w:rFonts w:eastAsiaTheme="minorHAnsi"/>
          <w:sz w:val="26"/>
          <w:szCs w:val="26"/>
        </w:rPr>
      </w:pPr>
    </w:p>
    <w:p w14:paraId="1F2630FC" w14:textId="553E647B" w:rsidR="003C0DA4" w:rsidRPr="00E9174E" w:rsidRDefault="000204A5" w:rsidP="00E9174E">
      <w:pPr>
        <w:keepNext/>
        <w:widowControl/>
        <w:kinsoku w:val="0"/>
        <w:overflowPunct w:val="0"/>
        <w:spacing w:line="360" w:lineRule="auto"/>
        <w:ind w:right="216" w:firstLine="1440"/>
        <w:contextualSpacing/>
        <w:textAlignment w:val="baseline"/>
        <w:rPr>
          <w:sz w:val="26"/>
          <w:szCs w:val="26"/>
        </w:rPr>
      </w:pPr>
      <w:r w:rsidRPr="00E9174E">
        <w:rPr>
          <w:sz w:val="26"/>
          <w:szCs w:val="26"/>
        </w:rPr>
        <w:t xml:space="preserve">The ALJ found that Columbia presented sufficient evidence to show its FPFTY revenues at present rates.  R.D. at 62 (citing CG </w:t>
      </w:r>
      <w:proofErr w:type="spellStart"/>
      <w:r w:rsidRPr="00E9174E">
        <w:rPr>
          <w:sz w:val="26"/>
          <w:szCs w:val="26"/>
        </w:rPr>
        <w:t>Exh</w:t>
      </w:r>
      <w:proofErr w:type="spellEnd"/>
      <w:r w:rsidRPr="00E9174E">
        <w:rPr>
          <w:sz w:val="26"/>
          <w:szCs w:val="26"/>
        </w:rPr>
        <w:t xml:space="preserve">. 103 at 15, and associated exhibits). </w:t>
      </w:r>
      <w:r w:rsidR="00BC08FB" w:rsidRPr="00E9174E">
        <w:rPr>
          <w:sz w:val="26"/>
          <w:szCs w:val="26"/>
        </w:rPr>
        <w:t xml:space="preserve"> </w:t>
      </w:r>
      <w:r w:rsidR="003C0DA4" w:rsidRPr="00E9174E">
        <w:rPr>
          <w:sz w:val="26"/>
          <w:szCs w:val="26"/>
        </w:rPr>
        <w:t xml:space="preserve">However, the ALJ recommended that the Commission deny any increase in the revenue component over current revenues “because the effects of the pandemic render revenue projections too speculative.”  R.D. at 63.  </w:t>
      </w:r>
    </w:p>
    <w:p w14:paraId="6FEBC930" w14:textId="77777777" w:rsidR="003C0DA4" w:rsidRPr="00E9174E" w:rsidRDefault="003C0DA4" w:rsidP="00E9174E">
      <w:pPr>
        <w:widowControl/>
        <w:kinsoku w:val="0"/>
        <w:overflowPunct w:val="0"/>
        <w:spacing w:line="360" w:lineRule="auto"/>
        <w:ind w:right="216" w:firstLine="1440"/>
        <w:contextualSpacing/>
        <w:textAlignment w:val="baseline"/>
        <w:rPr>
          <w:sz w:val="26"/>
          <w:szCs w:val="26"/>
        </w:rPr>
      </w:pPr>
    </w:p>
    <w:p w14:paraId="06AAE2DC" w14:textId="5C9FBA7D" w:rsidR="000204A5" w:rsidRPr="00E9174E" w:rsidRDefault="003C0DA4" w:rsidP="00E9174E">
      <w:pPr>
        <w:widowControl/>
        <w:kinsoku w:val="0"/>
        <w:overflowPunct w:val="0"/>
        <w:spacing w:line="360" w:lineRule="auto"/>
        <w:ind w:right="216" w:firstLine="1440"/>
        <w:contextualSpacing/>
        <w:textAlignment w:val="baseline"/>
        <w:rPr>
          <w:sz w:val="26"/>
          <w:szCs w:val="26"/>
        </w:rPr>
      </w:pPr>
      <w:r w:rsidRPr="00E9174E">
        <w:rPr>
          <w:sz w:val="26"/>
          <w:szCs w:val="26"/>
        </w:rPr>
        <w:t>Additionally, t</w:t>
      </w:r>
      <w:r w:rsidR="00BC08FB" w:rsidRPr="00E9174E">
        <w:rPr>
          <w:sz w:val="26"/>
          <w:szCs w:val="26"/>
        </w:rPr>
        <w:t>he ALJ acknowledged that</w:t>
      </w:r>
      <w:r w:rsidR="00B66C0D" w:rsidRPr="00E9174E">
        <w:rPr>
          <w:sz w:val="26"/>
          <w:szCs w:val="26"/>
        </w:rPr>
        <w:t>,</w:t>
      </w:r>
      <w:r w:rsidR="007002A2" w:rsidRPr="00E9174E">
        <w:rPr>
          <w:sz w:val="26"/>
          <w:szCs w:val="26"/>
        </w:rPr>
        <w:t xml:space="preserve"> while CAUSE-PA and CII </w:t>
      </w:r>
      <w:r w:rsidR="00B66C0D" w:rsidRPr="00E9174E">
        <w:rPr>
          <w:sz w:val="26"/>
          <w:szCs w:val="26"/>
        </w:rPr>
        <w:t>reiterated their positions that Columbia should not be permitted to receive any revenue increase at all due to the pandemic,</w:t>
      </w:r>
      <w:r w:rsidR="00BC08FB" w:rsidRPr="00E9174E">
        <w:rPr>
          <w:sz w:val="26"/>
          <w:szCs w:val="26"/>
        </w:rPr>
        <w:t xml:space="preserve"> no </w:t>
      </w:r>
      <w:r w:rsidR="00182960" w:rsidRPr="00E9174E">
        <w:rPr>
          <w:sz w:val="26"/>
          <w:szCs w:val="26"/>
        </w:rPr>
        <w:t>Party</w:t>
      </w:r>
      <w:r w:rsidR="00BC08FB" w:rsidRPr="00E9174E">
        <w:rPr>
          <w:sz w:val="26"/>
          <w:szCs w:val="26"/>
        </w:rPr>
        <w:t xml:space="preserve"> proposed any adjustments to the pro forma revenues in the FPFTY under present rates</w:t>
      </w:r>
      <w:r w:rsidR="00B66C0D" w:rsidRPr="00E9174E">
        <w:rPr>
          <w:sz w:val="26"/>
          <w:szCs w:val="26"/>
        </w:rPr>
        <w:t xml:space="preserve">.  With respect to the OSBA’s assertion about the DSIC, the ALJ </w:t>
      </w:r>
      <w:r w:rsidR="00B01EDB" w:rsidRPr="00E9174E">
        <w:rPr>
          <w:sz w:val="26"/>
          <w:szCs w:val="26"/>
        </w:rPr>
        <w:t xml:space="preserve">stated that Columbia “did not explain why it has not petitioned the Commission to raise the 5% cap.”  </w:t>
      </w:r>
      <w:r w:rsidRPr="00E9174E">
        <w:rPr>
          <w:sz w:val="26"/>
          <w:szCs w:val="26"/>
        </w:rPr>
        <w:t>R.D. at 62-63.</w:t>
      </w:r>
    </w:p>
    <w:p w14:paraId="786846A7" w14:textId="77777777" w:rsidR="00E815E3" w:rsidRPr="00E9174E" w:rsidRDefault="00E815E3" w:rsidP="00E9174E">
      <w:pPr>
        <w:widowControl/>
        <w:kinsoku w:val="0"/>
        <w:overflowPunct w:val="0"/>
        <w:spacing w:line="360" w:lineRule="auto"/>
        <w:ind w:firstLine="1440"/>
        <w:contextualSpacing/>
        <w:textAlignment w:val="baseline"/>
        <w:rPr>
          <w:sz w:val="26"/>
          <w:szCs w:val="26"/>
        </w:rPr>
      </w:pPr>
    </w:p>
    <w:p w14:paraId="03FC423F" w14:textId="10922AEA" w:rsidR="0023362C" w:rsidRPr="00E9174E" w:rsidRDefault="00AB75C7" w:rsidP="001768DD">
      <w:pPr>
        <w:pStyle w:val="Heading2"/>
        <w:numPr>
          <w:ilvl w:val="0"/>
          <w:numId w:val="84"/>
        </w:numPr>
        <w:ind w:hanging="720"/>
      </w:pPr>
      <w:bookmarkStart w:id="110" w:name="_Toc63764432"/>
      <w:bookmarkStart w:id="111" w:name="_Toc62487964"/>
      <w:r w:rsidRPr="00E9174E">
        <w:t xml:space="preserve">Columbia </w:t>
      </w:r>
      <w:r w:rsidR="0023362C" w:rsidRPr="00E9174E">
        <w:t>Exception</w:t>
      </w:r>
      <w:r w:rsidRPr="00E9174E">
        <w:t xml:space="preserve"> No. 4</w:t>
      </w:r>
      <w:bookmarkEnd w:id="110"/>
      <w:r w:rsidR="0023362C" w:rsidRPr="00E9174E">
        <w:t xml:space="preserve"> </w:t>
      </w:r>
      <w:bookmarkEnd w:id="111"/>
    </w:p>
    <w:p w14:paraId="46191EF4" w14:textId="5B7BF726" w:rsidR="008663E2" w:rsidRPr="00E9174E" w:rsidRDefault="008663E2" w:rsidP="00E9174E">
      <w:pPr>
        <w:keepNext/>
        <w:keepLines/>
        <w:widowControl/>
        <w:tabs>
          <w:tab w:val="left" w:pos="1530"/>
        </w:tabs>
        <w:kinsoku w:val="0"/>
        <w:overflowPunct w:val="0"/>
        <w:spacing w:line="360" w:lineRule="auto"/>
        <w:ind w:firstLine="1440"/>
        <w:contextualSpacing/>
        <w:textAlignment w:val="baseline"/>
        <w:rPr>
          <w:rFonts w:eastAsiaTheme="majorEastAsia"/>
          <w:b/>
          <w:bCs/>
          <w:sz w:val="26"/>
          <w:szCs w:val="26"/>
        </w:rPr>
      </w:pPr>
    </w:p>
    <w:p w14:paraId="125BAA13" w14:textId="582EF210" w:rsidR="0023362C" w:rsidRPr="00E9174E" w:rsidRDefault="00817BFF" w:rsidP="00E9174E">
      <w:pPr>
        <w:pStyle w:val="BodyText2"/>
        <w:keepNext/>
        <w:widowControl/>
        <w:spacing w:after="0" w:line="360" w:lineRule="auto"/>
        <w:ind w:firstLine="1440"/>
        <w:contextualSpacing/>
        <w:rPr>
          <w:sz w:val="26"/>
          <w:szCs w:val="26"/>
        </w:rPr>
      </w:pPr>
      <w:r w:rsidRPr="00E9174E">
        <w:rPr>
          <w:sz w:val="26"/>
          <w:szCs w:val="26"/>
        </w:rPr>
        <w:t xml:space="preserve">Columbia points out that the </w:t>
      </w:r>
      <w:bookmarkStart w:id="112" w:name="_Hlk62752756"/>
      <w:r w:rsidR="00257AB9" w:rsidRPr="00E9174E">
        <w:rPr>
          <w:sz w:val="26"/>
          <w:szCs w:val="26"/>
        </w:rPr>
        <w:t>Recommended Decision</w:t>
      </w:r>
      <w:bookmarkEnd w:id="112"/>
      <w:r w:rsidR="00C46F1F" w:rsidRPr="00E9174E">
        <w:rPr>
          <w:sz w:val="26"/>
          <w:szCs w:val="26"/>
        </w:rPr>
        <w:t xml:space="preserve"> </w:t>
      </w:r>
      <w:r w:rsidR="00AB75C7" w:rsidRPr="00E9174E">
        <w:rPr>
          <w:sz w:val="26"/>
          <w:szCs w:val="26"/>
        </w:rPr>
        <w:t>acknowledged</w:t>
      </w:r>
      <w:r w:rsidRPr="00E9174E">
        <w:rPr>
          <w:sz w:val="26"/>
          <w:szCs w:val="26"/>
        </w:rPr>
        <w:t xml:space="preserve"> that </w:t>
      </w:r>
      <w:r w:rsidR="00AB75C7" w:rsidRPr="00E9174E">
        <w:rPr>
          <w:sz w:val="26"/>
          <w:szCs w:val="26"/>
        </w:rPr>
        <w:t xml:space="preserve">no </w:t>
      </w:r>
      <w:r w:rsidR="00182960" w:rsidRPr="00E9174E">
        <w:rPr>
          <w:sz w:val="26"/>
          <w:szCs w:val="26"/>
        </w:rPr>
        <w:t>Party</w:t>
      </w:r>
      <w:r w:rsidR="00AB75C7" w:rsidRPr="00E9174E">
        <w:rPr>
          <w:sz w:val="26"/>
          <w:szCs w:val="26"/>
        </w:rPr>
        <w:t xml:space="preserve"> proposed any adjustments to FPFTY revenues. </w:t>
      </w:r>
      <w:r w:rsidR="00C3090F" w:rsidRPr="00E9174E">
        <w:rPr>
          <w:sz w:val="26"/>
          <w:szCs w:val="26"/>
        </w:rPr>
        <w:t xml:space="preserve"> </w:t>
      </w:r>
      <w:r w:rsidRPr="00E9174E">
        <w:rPr>
          <w:sz w:val="26"/>
          <w:szCs w:val="26"/>
        </w:rPr>
        <w:t xml:space="preserve">CG Exc. at 11 (citing </w:t>
      </w:r>
      <w:r w:rsidR="00AB75C7" w:rsidRPr="00E9174E">
        <w:rPr>
          <w:sz w:val="26"/>
          <w:szCs w:val="26"/>
        </w:rPr>
        <w:t>R</w:t>
      </w:r>
      <w:r w:rsidRPr="00E9174E">
        <w:rPr>
          <w:sz w:val="26"/>
          <w:szCs w:val="26"/>
        </w:rPr>
        <w:t>.</w:t>
      </w:r>
      <w:r w:rsidR="00AB75C7" w:rsidRPr="00E9174E">
        <w:rPr>
          <w:sz w:val="26"/>
          <w:szCs w:val="26"/>
        </w:rPr>
        <w:t>D</w:t>
      </w:r>
      <w:r w:rsidRPr="00E9174E">
        <w:rPr>
          <w:sz w:val="26"/>
          <w:szCs w:val="26"/>
        </w:rPr>
        <w:t>. at</w:t>
      </w:r>
      <w:r w:rsidR="00AB75C7" w:rsidRPr="00E9174E">
        <w:rPr>
          <w:sz w:val="26"/>
          <w:szCs w:val="26"/>
        </w:rPr>
        <w:t xml:space="preserve"> 62</w:t>
      </w:r>
      <w:r w:rsidRPr="00E9174E">
        <w:rPr>
          <w:sz w:val="26"/>
          <w:szCs w:val="26"/>
        </w:rPr>
        <w:t>)</w:t>
      </w:r>
      <w:r w:rsidR="00AB75C7" w:rsidRPr="00E9174E">
        <w:rPr>
          <w:sz w:val="26"/>
          <w:szCs w:val="26"/>
        </w:rPr>
        <w:t xml:space="preserve">. </w:t>
      </w:r>
      <w:r w:rsidRPr="00E9174E">
        <w:rPr>
          <w:sz w:val="26"/>
          <w:szCs w:val="26"/>
        </w:rPr>
        <w:t xml:space="preserve"> </w:t>
      </w:r>
      <w:r w:rsidR="00470406" w:rsidRPr="00E9174E">
        <w:rPr>
          <w:sz w:val="26"/>
          <w:szCs w:val="26"/>
        </w:rPr>
        <w:t xml:space="preserve">Columbia submits that, despite this acknowledgement, </w:t>
      </w:r>
      <w:r w:rsidR="00AB75C7" w:rsidRPr="00E9174E">
        <w:rPr>
          <w:sz w:val="26"/>
          <w:szCs w:val="26"/>
        </w:rPr>
        <w:t xml:space="preserve">the </w:t>
      </w:r>
      <w:r w:rsidR="00C3090F" w:rsidRPr="00E9174E">
        <w:rPr>
          <w:sz w:val="26"/>
          <w:szCs w:val="26"/>
        </w:rPr>
        <w:t>Recommended Decision</w:t>
      </w:r>
      <w:r w:rsidR="00AB75C7" w:rsidRPr="00E9174E">
        <w:rPr>
          <w:sz w:val="26"/>
          <w:szCs w:val="26"/>
        </w:rPr>
        <w:t xml:space="preserve"> </w:t>
      </w:r>
      <w:proofErr w:type="spellStart"/>
      <w:r w:rsidR="00AB75C7" w:rsidRPr="00E9174E">
        <w:rPr>
          <w:i/>
          <w:iCs/>
          <w:sz w:val="26"/>
          <w:szCs w:val="26"/>
        </w:rPr>
        <w:t>sua</w:t>
      </w:r>
      <w:proofErr w:type="spellEnd"/>
      <w:r w:rsidR="00AB75C7" w:rsidRPr="00E9174E">
        <w:rPr>
          <w:i/>
          <w:iCs/>
          <w:sz w:val="26"/>
          <w:szCs w:val="26"/>
        </w:rPr>
        <w:t xml:space="preserve"> sponte </w:t>
      </w:r>
      <w:r w:rsidR="00AB75C7" w:rsidRPr="00E9174E">
        <w:rPr>
          <w:sz w:val="26"/>
          <w:szCs w:val="26"/>
        </w:rPr>
        <w:t>conclude</w:t>
      </w:r>
      <w:r w:rsidR="00470406" w:rsidRPr="00E9174E">
        <w:rPr>
          <w:sz w:val="26"/>
          <w:szCs w:val="26"/>
        </w:rPr>
        <w:t>d</w:t>
      </w:r>
      <w:r w:rsidR="00AB75C7" w:rsidRPr="00E9174E">
        <w:rPr>
          <w:sz w:val="26"/>
          <w:szCs w:val="26"/>
        </w:rPr>
        <w:t xml:space="preserve"> that Columbia’s revenue projections are speculative because of the COVID-19 pandemic. </w:t>
      </w:r>
      <w:r w:rsidR="00470406" w:rsidRPr="00E9174E">
        <w:rPr>
          <w:sz w:val="26"/>
          <w:szCs w:val="26"/>
        </w:rPr>
        <w:t xml:space="preserve"> CG Exc. at 11.  Columbia argues t</w:t>
      </w:r>
      <w:r w:rsidR="00AB75C7" w:rsidRPr="00E9174E">
        <w:rPr>
          <w:sz w:val="26"/>
          <w:szCs w:val="26"/>
        </w:rPr>
        <w:t xml:space="preserve">here is no evidence that Columbia’s projections of revenues for the FPFTY are unreasonable. </w:t>
      </w:r>
      <w:r w:rsidR="00470406" w:rsidRPr="00E9174E">
        <w:rPr>
          <w:sz w:val="26"/>
          <w:szCs w:val="26"/>
        </w:rPr>
        <w:t xml:space="preserve"> CG Exc. at 11-12.  </w:t>
      </w:r>
      <w:r w:rsidR="00AB75C7" w:rsidRPr="00E9174E">
        <w:rPr>
          <w:sz w:val="26"/>
          <w:szCs w:val="26"/>
        </w:rPr>
        <w:t>Columbia</w:t>
      </w:r>
      <w:r w:rsidR="0039725F" w:rsidRPr="00E9174E">
        <w:rPr>
          <w:sz w:val="26"/>
          <w:szCs w:val="26"/>
        </w:rPr>
        <w:t xml:space="preserve"> submits that it</w:t>
      </w:r>
      <w:r w:rsidR="00AB75C7" w:rsidRPr="00E9174E">
        <w:rPr>
          <w:sz w:val="26"/>
          <w:szCs w:val="26"/>
        </w:rPr>
        <w:t xml:space="preserve"> fully explained how it developed its FPFTY revenue projections and met its initial burden to present a </w:t>
      </w:r>
      <w:r w:rsidR="00AB75C7" w:rsidRPr="00E9174E">
        <w:rPr>
          <w:i/>
          <w:iCs/>
          <w:sz w:val="26"/>
          <w:szCs w:val="26"/>
        </w:rPr>
        <w:t>prima facie</w:t>
      </w:r>
      <w:r w:rsidR="00AB75C7" w:rsidRPr="00E9174E">
        <w:rPr>
          <w:sz w:val="26"/>
          <w:szCs w:val="26"/>
        </w:rPr>
        <w:t xml:space="preserve"> case. </w:t>
      </w:r>
      <w:r w:rsidR="0039725F" w:rsidRPr="00E9174E">
        <w:rPr>
          <w:sz w:val="26"/>
          <w:szCs w:val="26"/>
        </w:rPr>
        <w:t xml:space="preserve"> CG Exc. at 12.  According to </w:t>
      </w:r>
      <w:r w:rsidR="0039725F" w:rsidRPr="00E9174E">
        <w:rPr>
          <w:sz w:val="26"/>
          <w:szCs w:val="26"/>
        </w:rPr>
        <w:lastRenderedPageBreak/>
        <w:t>Columbia, t</w:t>
      </w:r>
      <w:r w:rsidR="00AB75C7" w:rsidRPr="00E9174E">
        <w:rPr>
          <w:sz w:val="26"/>
          <w:szCs w:val="26"/>
        </w:rPr>
        <w:t xml:space="preserve">he </w:t>
      </w:r>
      <w:r w:rsidR="0043080D" w:rsidRPr="00E9174E">
        <w:rPr>
          <w:sz w:val="26"/>
          <w:szCs w:val="26"/>
        </w:rPr>
        <w:t>Recommended Decision’s</w:t>
      </w:r>
      <w:r w:rsidR="00AB75C7" w:rsidRPr="00E9174E">
        <w:rPr>
          <w:sz w:val="26"/>
          <w:szCs w:val="26"/>
        </w:rPr>
        <w:t xml:space="preserve"> rejection of those projections, without evidentiary support, is improper and should not be adopted. </w:t>
      </w:r>
      <w:r w:rsidR="00A709C1" w:rsidRPr="00E9174E">
        <w:rPr>
          <w:sz w:val="26"/>
          <w:szCs w:val="26"/>
        </w:rPr>
        <w:t xml:space="preserve">CG Exc. at 12.  </w:t>
      </w:r>
    </w:p>
    <w:p w14:paraId="13CAB827" w14:textId="630778D9" w:rsidR="00AA394F" w:rsidRPr="00E9174E" w:rsidRDefault="00AA394F" w:rsidP="00E9174E">
      <w:pPr>
        <w:pStyle w:val="BodyText2"/>
        <w:widowControl/>
        <w:spacing w:after="0" w:line="360" w:lineRule="auto"/>
        <w:ind w:firstLine="1440"/>
        <w:contextualSpacing/>
        <w:rPr>
          <w:sz w:val="26"/>
          <w:szCs w:val="26"/>
        </w:rPr>
      </w:pPr>
    </w:p>
    <w:p w14:paraId="30B3FE04" w14:textId="080B43C1" w:rsidR="00AA394F" w:rsidRPr="00E9174E" w:rsidRDefault="00AA394F" w:rsidP="00E9174E">
      <w:pPr>
        <w:pStyle w:val="BodyText2"/>
        <w:widowControl/>
        <w:spacing w:after="0" w:line="360" w:lineRule="auto"/>
        <w:ind w:firstLine="1440"/>
        <w:contextualSpacing/>
        <w:rPr>
          <w:sz w:val="26"/>
          <w:szCs w:val="26"/>
        </w:rPr>
      </w:pPr>
      <w:r w:rsidRPr="00E9174E">
        <w:rPr>
          <w:sz w:val="26"/>
          <w:szCs w:val="26"/>
        </w:rPr>
        <w:t xml:space="preserve">No </w:t>
      </w:r>
      <w:r w:rsidR="00182960" w:rsidRPr="00E9174E">
        <w:rPr>
          <w:sz w:val="26"/>
          <w:szCs w:val="26"/>
        </w:rPr>
        <w:t>Party</w:t>
      </w:r>
      <w:r w:rsidRPr="00E9174E">
        <w:rPr>
          <w:sz w:val="26"/>
          <w:szCs w:val="26"/>
        </w:rPr>
        <w:t xml:space="preserve"> filed Replies to Columbia’s fourth Exception. </w:t>
      </w:r>
    </w:p>
    <w:p w14:paraId="3332F05F" w14:textId="77777777" w:rsidR="003223F4" w:rsidRPr="00E9174E" w:rsidRDefault="003223F4" w:rsidP="00E9174E">
      <w:pPr>
        <w:pStyle w:val="BodyText2"/>
        <w:widowControl/>
        <w:spacing w:after="0" w:line="360" w:lineRule="auto"/>
        <w:ind w:firstLine="1440"/>
        <w:contextualSpacing/>
        <w:rPr>
          <w:sz w:val="26"/>
          <w:szCs w:val="26"/>
        </w:rPr>
      </w:pPr>
    </w:p>
    <w:p w14:paraId="2105A5CD" w14:textId="431D2258" w:rsidR="0023362C" w:rsidRPr="00E9174E" w:rsidRDefault="0023362C" w:rsidP="001768DD">
      <w:pPr>
        <w:pStyle w:val="Heading2"/>
        <w:numPr>
          <w:ilvl w:val="0"/>
          <w:numId w:val="84"/>
        </w:numPr>
        <w:ind w:hanging="720"/>
      </w:pPr>
      <w:bookmarkStart w:id="113" w:name="_Toc62487965"/>
      <w:bookmarkStart w:id="114" w:name="_Toc63764433"/>
      <w:r w:rsidRPr="00E9174E">
        <w:t>Disposition</w:t>
      </w:r>
      <w:bookmarkEnd w:id="113"/>
      <w:bookmarkEnd w:id="114"/>
    </w:p>
    <w:p w14:paraId="70B67A52" w14:textId="77777777" w:rsidR="0023362C" w:rsidRPr="00E9174E" w:rsidRDefault="0023362C" w:rsidP="00E9174E">
      <w:pPr>
        <w:keepNext/>
        <w:keepLines/>
        <w:widowControl/>
        <w:kinsoku w:val="0"/>
        <w:overflowPunct w:val="0"/>
        <w:spacing w:line="360" w:lineRule="auto"/>
        <w:contextualSpacing/>
        <w:textAlignment w:val="baseline"/>
        <w:rPr>
          <w:rFonts w:eastAsiaTheme="minorEastAsia"/>
          <w:sz w:val="26"/>
          <w:szCs w:val="26"/>
        </w:rPr>
      </w:pPr>
    </w:p>
    <w:p w14:paraId="2A19EC25" w14:textId="1C092F0D" w:rsidR="00024523" w:rsidRPr="00E9174E" w:rsidRDefault="008E67DD" w:rsidP="00E9174E">
      <w:pPr>
        <w:pStyle w:val="BodyText2"/>
        <w:keepNext/>
        <w:widowControl/>
        <w:spacing w:after="0" w:line="360" w:lineRule="auto"/>
        <w:ind w:firstLine="1440"/>
        <w:contextualSpacing/>
        <w:rPr>
          <w:sz w:val="26"/>
          <w:szCs w:val="26"/>
        </w:rPr>
      </w:pPr>
      <w:r w:rsidRPr="00E9174E">
        <w:rPr>
          <w:rFonts w:eastAsiaTheme="minorEastAsia"/>
          <w:sz w:val="26"/>
          <w:szCs w:val="26"/>
        </w:rPr>
        <w:t>Based on our review of the record</w:t>
      </w:r>
      <w:r w:rsidR="00A35EAC" w:rsidRPr="00E9174E">
        <w:rPr>
          <w:rFonts w:eastAsiaTheme="minorEastAsia"/>
          <w:sz w:val="26"/>
          <w:szCs w:val="26"/>
        </w:rPr>
        <w:t xml:space="preserve"> and the applicable law, we shall </w:t>
      </w:r>
      <w:r w:rsidR="00AA394F" w:rsidRPr="00E9174E">
        <w:rPr>
          <w:rFonts w:eastAsiaTheme="minorEastAsia"/>
          <w:sz w:val="26"/>
          <w:szCs w:val="26"/>
        </w:rPr>
        <w:t>grant Colum</w:t>
      </w:r>
      <w:r w:rsidR="00E07BD4" w:rsidRPr="00E9174E">
        <w:rPr>
          <w:rFonts w:eastAsiaTheme="minorEastAsia"/>
          <w:sz w:val="26"/>
          <w:szCs w:val="26"/>
        </w:rPr>
        <w:t>b</w:t>
      </w:r>
      <w:r w:rsidR="00AA394F" w:rsidRPr="00E9174E">
        <w:rPr>
          <w:rFonts w:eastAsiaTheme="minorEastAsia"/>
          <w:sz w:val="26"/>
          <w:szCs w:val="26"/>
        </w:rPr>
        <w:t>ia’s fourth Exception.</w:t>
      </w:r>
      <w:r w:rsidR="006B3B22" w:rsidRPr="00E9174E">
        <w:rPr>
          <w:sz w:val="26"/>
          <w:szCs w:val="26"/>
        </w:rPr>
        <w:t xml:space="preserve"> </w:t>
      </w:r>
      <w:r w:rsidR="00146E5A" w:rsidRPr="00E9174E">
        <w:rPr>
          <w:sz w:val="26"/>
          <w:szCs w:val="26"/>
        </w:rPr>
        <w:t xml:space="preserve"> </w:t>
      </w:r>
      <w:r w:rsidR="00416F63" w:rsidRPr="00E9174E">
        <w:rPr>
          <w:sz w:val="26"/>
          <w:szCs w:val="26"/>
        </w:rPr>
        <w:t>In our view, t</w:t>
      </w:r>
      <w:r w:rsidR="0088669D" w:rsidRPr="00E9174E">
        <w:rPr>
          <w:sz w:val="26"/>
          <w:szCs w:val="26"/>
        </w:rPr>
        <w:t xml:space="preserve">he </w:t>
      </w:r>
      <w:r w:rsidR="00E677DB" w:rsidRPr="00E9174E">
        <w:rPr>
          <w:sz w:val="26"/>
          <w:szCs w:val="26"/>
        </w:rPr>
        <w:t>ALJ’s</w:t>
      </w:r>
      <w:r w:rsidR="0088669D" w:rsidRPr="00E9174E">
        <w:rPr>
          <w:sz w:val="26"/>
          <w:szCs w:val="26"/>
        </w:rPr>
        <w:t xml:space="preserve"> conclusion and recommendation </w:t>
      </w:r>
      <w:r w:rsidR="005D7352" w:rsidRPr="00E9174E">
        <w:rPr>
          <w:sz w:val="26"/>
          <w:szCs w:val="26"/>
        </w:rPr>
        <w:t>regarding</w:t>
      </w:r>
      <w:r w:rsidR="0088669D" w:rsidRPr="00E9174E">
        <w:rPr>
          <w:sz w:val="26"/>
          <w:szCs w:val="26"/>
        </w:rPr>
        <w:t xml:space="preserve"> </w:t>
      </w:r>
      <w:r w:rsidR="005D7352" w:rsidRPr="00E9174E">
        <w:rPr>
          <w:sz w:val="26"/>
          <w:szCs w:val="26"/>
        </w:rPr>
        <w:t xml:space="preserve">the Company’s </w:t>
      </w:r>
      <w:r w:rsidR="0088669D" w:rsidRPr="00E9174E">
        <w:rPr>
          <w:sz w:val="26"/>
          <w:szCs w:val="26"/>
        </w:rPr>
        <w:t>FPFTY revenues at present rates conflict</w:t>
      </w:r>
      <w:r w:rsidR="005D7352" w:rsidRPr="00E9174E">
        <w:rPr>
          <w:sz w:val="26"/>
          <w:szCs w:val="26"/>
        </w:rPr>
        <w:t xml:space="preserve"> with one another</w:t>
      </w:r>
      <w:r w:rsidR="0088669D" w:rsidRPr="00E9174E">
        <w:rPr>
          <w:sz w:val="26"/>
          <w:szCs w:val="26"/>
        </w:rPr>
        <w:t xml:space="preserve">.  </w:t>
      </w:r>
      <w:r w:rsidR="00FA397F" w:rsidRPr="00E9174E">
        <w:rPr>
          <w:sz w:val="26"/>
          <w:szCs w:val="26"/>
        </w:rPr>
        <w:t>While</w:t>
      </w:r>
      <w:r w:rsidR="005D7352" w:rsidRPr="00E9174E">
        <w:rPr>
          <w:sz w:val="26"/>
          <w:szCs w:val="26"/>
        </w:rPr>
        <w:t xml:space="preserve"> concluding</w:t>
      </w:r>
      <w:r w:rsidR="00FA397F" w:rsidRPr="00E9174E">
        <w:rPr>
          <w:sz w:val="26"/>
          <w:szCs w:val="26"/>
        </w:rPr>
        <w:t xml:space="preserve"> </w:t>
      </w:r>
      <w:r w:rsidR="0088669D" w:rsidRPr="00E9174E">
        <w:rPr>
          <w:sz w:val="26"/>
          <w:szCs w:val="26"/>
        </w:rPr>
        <w:t>that Columbia presented “sufficient evidence” to show its FPFTY revenues at present rates</w:t>
      </w:r>
      <w:r w:rsidR="00FA397F" w:rsidRPr="00E9174E">
        <w:rPr>
          <w:sz w:val="26"/>
          <w:szCs w:val="26"/>
        </w:rPr>
        <w:t xml:space="preserve">, the </w:t>
      </w:r>
      <w:r w:rsidR="0088669D" w:rsidRPr="00E9174E">
        <w:rPr>
          <w:sz w:val="26"/>
          <w:szCs w:val="26"/>
        </w:rPr>
        <w:t xml:space="preserve">ALJ </w:t>
      </w:r>
      <w:r w:rsidR="00416F63" w:rsidRPr="00E9174E">
        <w:rPr>
          <w:sz w:val="26"/>
          <w:szCs w:val="26"/>
        </w:rPr>
        <w:t xml:space="preserve">nonetheless </w:t>
      </w:r>
      <w:r w:rsidR="0088669D" w:rsidRPr="00E9174E">
        <w:rPr>
          <w:sz w:val="26"/>
          <w:szCs w:val="26"/>
        </w:rPr>
        <w:t xml:space="preserve">recommended that the Commission deny any increase in the revenue component over current revenues “because the effects of the pandemic render revenue projections too speculative.”  R.D. at </w:t>
      </w:r>
      <w:r w:rsidR="00FA397F" w:rsidRPr="00E9174E">
        <w:rPr>
          <w:sz w:val="26"/>
          <w:szCs w:val="26"/>
        </w:rPr>
        <w:t>62-</w:t>
      </w:r>
      <w:r w:rsidR="0088669D" w:rsidRPr="00E9174E">
        <w:rPr>
          <w:sz w:val="26"/>
          <w:szCs w:val="26"/>
        </w:rPr>
        <w:t xml:space="preserve">63.  </w:t>
      </w:r>
      <w:r w:rsidR="00DF6C0A" w:rsidRPr="00E9174E">
        <w:rPr>
          <w:sz w:val="26"/>
          <w:szCs w:val="26"/>
        </w:rPr>
        <w:t>T</w:t>
      </w:r>
      <w:r w:rsidR="006B3B22" w:rsidRPr="00E9174E">
        <w:rPr>
          <w:sz w:val="26"/>
          <w:szCs w:val="26"/>
        </w:rPr>
        <w:t xml:space="preserve">he </w:t>
      </w:r>
      <w:r w:rsidR="00E677DB" w:rsidRPr="00E9174E">
        <w:rPr>
          <w:sz w:val="26"/>
          <w:szCs w:val="26"/>
        </w:rPr>
        <w:t>ALJ</w:t>
      </w:r>
      <w:r w:rsidR="00C46F1F" w:rsidRPr="00E9174E">
        <w:rPr>
          <w:sz w:val="26"/>
          <w:szCs w:val="26"/>
        </w:rPr>
        <w:t xml:space="preserve"> </w:t>
      </w:r>
      <w:r w:rsidR="006B3B22" w:rsidRPr="00E9174E">
        <w:rPr>
          <w:sz w:val="26"/>
          <w:szCs w:val="26"/>
        </w:rPr>
        <w:t xml:space="preserve">does not point to any evidence in the record that Columbia’s </w:t>
      </w:r>
      <w:r w:rsidR="00146E5A" w:rsidRPr="00E9174E">
        <w:rPr>
          <w:sz w:val="26"/>
          <w:szCs w:val="26"/>
        </w:rPr>
        <w:t xml:space="preserve">FPFTY revenue </w:t>
      </w:r>
      <w:r w:rsidR="006B3B22" w:rsidRPr="00E9174E">
        <w:rPr>
          <w:sz w:val="26"/>
          <w:szCs w:val="26"/>
        </w:rPr>
        <w:t xml:space="preserve">projections are </w:t>
      </w:r>
      <w:r w:rsidR="00024523" w:rsidRPr="00E9174E">
        <w:rPr>
          <w:sz w:val="26"/>
          <w:szCs w:val="26"/>
        </w:rPr>
        <w:t xml:space="preserve">“too speculative” or </w:t>
      </w:r>
      <w:r w:rsidR="006B3B22" w:rsidRPr="00E9174E">
        <w:rPr>
          <w:sz w:val="26"/>
          <w:szCs w:val="26"/>
        </w:rPr>
        <w:t xml:space="preserve">unreliable.  </w:t>
      </w:r>
    </w:p>
    <w:p w14:paraId="6DEB0BE7" w14:textId="77777777" w:rsidR="00024523" w:rsidRPr="00E9174E" w:rsidRDefault="00024523" w:rsidP="00E9174E">
      <w:pPr>
        <w:pStyle w:val="BodyText2"/>
        <w:widowControl/>
        <w:spacing w:after="0" w:line="360" w:lineRule="auto"/>
        <w:ind w:firstLine="1440"/>
        <w:contextualSpacing/>
        <w:rPr>
          <w:sz w:val="26"/>
          <w:szCs w:val="26"/>
        </w:rPr>
      </w:pPr>
    </w:p>
    <w:p w14:paraId="687D36B4" w14:textId="541BA4CB" w:rsidR="00FB101A" w:rsidRPr="00E9174E" w:rsidRDefault="00FA397F" w:rsidP="00E9174E">
      <w:pPr>
        <w:widowControl/>
        <w:tabs>
          <w:tab w:val="left" w:pos="720"/>
          <w:tab w:val="left" w:pos="1440"/>
          <w:tab w:val="left" w:pos="2160"/>
          <w:tab w:val="right" w:leader="dot" w:pos="9360"/>
        </w:tabs>
        <w:spacing w:line="360" w:lineRule="auto"/>
        <w:ind w:firstLine="1440"/>
        <w:contextualSpacing/>
        <w:rPr>
          <w:sz w:val="26"/>
          <w:szCs w:val="26"/>
        </w:rPr>
      </w:pPr>
      <w:r w:rsidRPr="00E9174E">
        <w:rPr>
          <w:sz w:val="26"/>
          <w:szCs w:val="26"/>
        </w:rPr>
        <w:t xml:space="preserve">Columbia </w:t>
      </w:r>
      <w:r w:rsidR="003842AD" w:rsidRPr="00E9174E">
        <w:rPr>
          <w:sz w:val="26"/>
          <w:szCs w:val="26"/>
        </w:rPr>
        <w:t xml:space="preserve">fully explained how it developed its FPFTY revenue projections and met its initial burden to present a </w:t>
      </w:r>
      <w:r w:rsidR="003842AD" w:rsidRPr="00E9174E">
        <w:rPr>
          <w:i/>
          <w:iCs/>
          <w:sz w:val="26"/>
          <w:szCs w:val="26"/>
        </w:rPr>
        <w:t>prima facie</w:t>
      </w:r>
      <w:r w:rsidR="003842AD" w:rsidRPr="00E9174E">
        <w:rPr>
          <w:sz w:val="26"/>
          <w:szCs w:val="26"/>
        </w:rPr>
        <w:t xml:space="preserve"> case</w:t>
      </w:r>
      <w:r w:rsidR="00D661AF" w:rsidRPr="00E9174E">
        <w:rPr>
          <w:sz w:val="26"/>
          <w:szCs w:val="26"/>
        </w:rPr>
        <w:t xml:space="preserve"> on revenues</w:t>
      </w:r>
      <w:r w:rsidR="003842AD" w:rsidRPr="00E9174E">
        <w:rPr>
          <w:sz w:val="26"/>
          <w:szCs w:val="26"/>
        </w:rPr>
        <w:t>.</w:t>
      </w:r>
      <w:r w:rsidR="00D661AF" w:rsidRPr="00E9174E">
        <w:rPr>
          <w:sz w:val="26"/>
          <w:szCs w:val="26"/>
        </w:rPr>
        <w:t xml:space="preserve">  CG St. 3; </w:t>
      </w:r>
      <w:r w:rsidRPr="00E9174E">
        <w:rPr>
          <w:sz w:val="26"/>
          <w:szCs w:val="26"/>
        </w:rPr>
        <w:t>CG</w:t>
      </w:r>
      <w:r w:rsidR="001B2DEA">
        <w:rPr>
          <w:sz w:val="26"/>
          <w:szCs w:val="26"/>
        </w:rPr>
        <w:t> </w:t>
      </w:r>
      <w:proofErr w:type="spellStart"/>
      <w:r w:rsidRPr="00E9174E">
        <w:rPr>
          <w:sz w:val="26"/>
          <w:szCs w:val="26"/>
        </w:rPr>
        <w:t>Exh</w:t>
      </w:r>
      <w:proofErr w:type="spellEnd"/>
      <w:r w:rsidRPr="00E9174E">
        <w:rPr>
          <w:sz w:val="26"/>
          <w:szCs w:val="26"/>
        </w:rPr>
        <w:t>.</w:t>
      </w:r>
      <w:r w:rsidR="001B2DEA">
        <w:rPr>
          <w:sz w:val="26"/>
          <w:szCs w:val="26"/>
        </w:rPr>
        <w:t> </w:t>
      </w:r>
      <w:r w:rsidRPr="00E9174E">
        <w:rPr>
          <w:sz w:val="26"/>
          <w:szCs w:val="26"/>
        </w:rPr>
        <w:t>103 at 15</w:t>
      </w:r>
      <w:r w:rsidR="00D661AF" w:rsidRPr="00E9174E">
        <w:rPr>
          <w:sz w:val="26"/>
          <w:szCs w:val="26"/>
        </w:rPr>
        <w:t>.</w:t>
      </w:r>
      <w:r w:rsidR="00320C18" w:rsidRPr="00E9174E">
        <w:rPr>
          <w:sz w:val="26"/>
          <w:szCs w:val="26"/>
        </w:rPr>
        <w:t xml:space="preserve"> </w:t>
      </w:r>
      <w:r w:rsidR="00024523" w:rsidRPr="00E9174E">
        <w:rPr>
          <w:sz w:val="26"/>
          <w:szCs w:val="26"/>
        </w:rPr>
        <w:t xml:space="preserve"> This shifted the burden of production</w:t>
      </w:r>
      <w:r w:rsidR="00D405FB" w:rsidRPr="00E9174E">
        <w:rPr>
          <w:sz w:val="26"/>
          <w:szCs w:val="26"/>
        </w:rPr>
        <w:t xml:space="preserve"> (or the burden of going forward with the evidence)</w:t>
      </w:r>
      <w:r w:rsidR="00024523" w:rsidRPr="00E9174E">
        <w:rPr>
          <w:sz w:val="26"/>
          <w:szCs w:val="26"/>
        </w:rPr>
        <w:t xml:space="preserve"> to the other </w:t>
      </w:r>
      <w:r w:rsidR="00CF0CFC" w:rsidRPr="00E9174E">
        <w:rPr>
          <w:sz w:val="26"/>
          <w:szCs w:val="26"/>
        </w:rPr>
        <w:t>Parties</w:t>
      </w:r>
      <w:r w:rsidR="00024523" w:rsidRPr="00E9174E">
        <w:rPr>
          <w:sz w:val="26"/>
          <w:szCs w:val="26"/>
        </w:rPr>
        <w:t xml:space="preserve">.  </w:t>
      </w:r>
      <w:r w:rsidR="001A064F" w:rsidRPr="00E9174E">
        <w:rPr>
          <w:i/>
          <w:iCs/>
          <w:sz w:val="26"/>
          <w:szCs w:val="26"/>
        </w:rPr>
        <w:t xml:space="preserve">See </w:t>
      </w:r>
      <w:hyperlink r:id="rId10" w:history="1">
        <w:r w:rsidR="00D405FB" w:rsidRPr="00E9174E">
          <w:rPr>
            <w:i/>
            <w:iCs/>
            <w:sz w:val="26"/>
            <w:szCs w:val="26"/>
          </w:rPr>
          <w:t>Burleson v. Pa. PUC</w:t>
        </w:r>
        <w:r w:rsidR="00D405FB" w:rsidRPr="00E9174E">
          <w:rPr>
            <w:sz w:val="26"/>
            <w:szCs w:val="26"/>
          </w:rPr>
          <w:t>,</w:t>
        </w:r>
        <w:r w:rsidR="00D405FB" w:rsidRPr="00E9174E">
          <w:rPr>
            <w:iCs/>
            <w:sz w:val="26"/>
            <w:szCs w:val="26"/>
          </w:rPr>
          <w:t xml:space="preserve"> 443 A.2d 1373 (Pa. Cmwlth. 1982), </w:t>
        </w:r>
        <w:r w:rsidR="00D405FB" w:rsidRPr="00E9174E">
          <w:rPr>
            <w:i/>
            <w:iCs/>
            <w:sz w:val="26"/>
            <w:szCs w:val="26"/>
          </w:rPr>
          <w:t>aff’d</w:t>
        </w:r>
        <w:r w:rsidR="00D405FB" w:rsidRPr="001B2DEA">
          <w:rPr>
            <w:sz w:val="26"/>
            <w:szCs w:val="26"/>
          </w:rPr>
          <w:t>,</w:t>
        </w:r>
        <w:r w:rsidR="00D405FB" w:rsidRPr="00E9174E">
          <w:rPr>
            <w:iCs/>
            <w:sz w:val="26"/>
            <w:szCs w:val="26"/>
          </w:rPr>
          <w:t xml:space="preserve"> 501 Pa. 433, 461 A.2d 1234 (1983).</w:t>
        </w:r>
      </w:hyperlink>
      <w:r w:rsidR="00D405FB" w:rsidRPr="00E9174E">
        <w:rPr>
          <w:iCs/>
          <w:sz w:val="26"/>
          <w:szCs w:val="26"/>
        </w:rPr>
        <w:t xml:space="preserve">  </w:t>
      </w:r>
      <w:r w:rsidR="00024523" w:rsidRPr="00E9174E">
        <w:rPr>
          <w:sz w:val="26"/>
          <w:szCs w:val="26"/>
        </w:rPr>
        <w:t xml:space="preserve">Other than reiterating arguments urging the Commission to completely deny rate relief, which we reject, no </w:t>
      </w:r>
      <w:r w:rsidR="00182960" w:rsidRPr="00E9174E">
        <w:rPr>
          <w:sz w:val="26"/>
          <w:szCs w:val="26"/>
        </w:rPr>
        <w:t>Party</w:t>
      </w:r>
      <w:r w:rsidR="00024523" w:rsidRPr="00E9174E">
        <w:rPr>
          <w:sz w:val="26"/>
          <w:szCs w:val="26"/>
        </w:rPr>
        <w:t xml:space="preserve"> presented adjustments to the Company’s revenue projections.</w:t>
      </w:r>
      <w:r w:rsidR="000E0391" w:rsidRPr="00E9174E">
        <w:rPr>
          <w:sz w:val="26"/>
          <w:szCs w:val="26"/>
        </w:rPr>
        <w:t xml:space="preserve">  </w:t>
      </w:r>
      <w:r w:rsidR="00024523" w:rsidRPr="00E9174E">
        <w:rPr>
          <w:sz w:val="26"/>
          <w:szCs w:val="26"/>
        </w:rPr>
        <w:t>Based on our review of the record, we find no evidence</w:t>
      </w:r>
      <w:r w:rsidR="000E0391" w:rsidRPr="00E9174E">
        <w:rPr>
          <w:sz w:val="26"/>
          <w:szCs w:val="26"/>
        </w:rPr>
        <w:t xml:space="preserve"> was pres</w:t>
      </w:r>
      <w:r w:rsidR="00BA6E9F" w:rsidRPr="00E9174E">
        <w:rPr>
          <w:sz w:val="26"/>
          <w:szCs w:val="26"/>
        </w:rPr>
        <w:t xml:space="preserve">ented by the other </w:t>
      </w:r>
      <w:r w:rsidR="00CF0CFC" w:rsidRPr="00E9174E">
        <w:rPr>
          <w:sz w:val="26"/>
          <w:szCs w:val="26"/>
        </w:rPr>
        <w:t>Parties</w:t>
      </w:r>
      <w:r w:rsidR="00024523" w:rsidRPr="00E9174E">
        <w:rPr>
          <w:sz w:val="26"/>
          <w:szCs w:val="26"/>
        </w:rPr>
        <w:t xml:space="preserve"> to demonstrate that Columbia’s projections of revenues for the FPFTY are </w:t>
      </w:r>
      <w:r w:rsidR="002D24C5" w:rsidRPr="00E9174E">
        <w:rPr>
          <w:sz w:val="26"/>
          <w:szCs w:val="26"/>
        </w:rPr>
        <w:t xml:space="preserve">unreliable or </w:t>
      </w:r>
      <w:r w:rsidR="00BA6E9F" w:rsidRPr="00E9174E">
        <w:rPr>
          <w:sz w:val="26"/>
          <w:szCs w:val="26"/>
        </w:rPr>
        <w:t>should be adjusted.</w:t>
      </w:r>
      <w:r w:rsidR="002D24C5" w:rsidRPr="00E9174E">
        <w:rPr>
          <w:sz w:val="26"/>
          <w:szCs w:val="26"/>
        </w:rPr>
        <w:t xml:space="preserve">  Therefore, we </w:t>
      </w:r>
      <w:r w:rsidR="00C95AF2" w:rsidRPr="00E9174E">
        <w:rPr>
          <w:sz w:val="26"/>
          <w:szCs w:val="26"/>
        </w:rPr>
        <w:t xml:space="preserve">find </w:t>
      </w:r>
      <w:r w:rsidR="00A36493" w:rsidRPr="00E9174E">
        <w:rPr>
          <w:sz w:val="26"/>
          <w:szCs w:val="26"/>
        </w:rPr>
        <w:t xml:space="preserve">Columbia presented </w:t>
      </w:r>
      <w:r w:rsidR="00C95AF2" w:rsidRPr="00E9174E">
        <w:rPr>
          <w:sz w:val="26"/>
          <w:szCs w:val="26"/>
        </w:rPr>
        <w:t xml:space="preserve">sufficient </w:t>
      </w:r>
      <w:r w:rsidR="00A36493" w:rsidRPr="00E9174E">
        <w:rPr>
          <w:sz w:val="26"/>
          <w:szCs w:val="26"/>
        </w:rPr>
        <w:t xml:space="preserve">evidence to show its FPFTY </w:t>
      </w:r>
      <w:r w:rsidR="00A36493" w:rsidRPr="00E9174E">
        <w:rPr>
          <w:i/>
          <w:iCs/>
          <w:sz w:val="26"/>
          <w:szCs w:val="26"/>
        </w:rPr>
        <w:t>pro forma</w:t>
      </w:r>
      <w:r w:rsidR="00A36493" w:rsidRPr="00E9174E">
        <w:rPr>
          <w:sz w:val="26"/>
          <w:szCs w:val="26"/>
        </w:rPr>
        <w:t xml:space="preserve"> revenues at present rates total $572,769,574, inclusive of purchased gas cost revenues, riders, late payment fees, Gas Procurement Charge revenues, Merchant Function Charge </w:t>
      </w:r>
      <w:r w:rsidR="00A36493" w:rsidRPr="00E9174E">
        <w:rPr>
          <w:sz w:val="26"/>
          <w:szCs w:val="26"/>
        </w:rPr>
        <w:lastRenderedPageBreak/>
        <w:t>revenues, and miscellaneous revenues</w:t>
      </w:r>
      <w:r w:rsidR="004E5903" w:rsidRPr="00E9174E">
        <w:rPr>
          <w:sz w:val="26"/>
          <w:szCs w:val="26"/>
        </w:rPr>
        <w:t xml:space="preserve">.  </w:t>
      </w:r>
      <w:r w:rsidR="00A36493" w:rsidRPr="00E9174E">
        <w:rPr>
          <w:i/>
          <w:iCs/>
          <w:sz w:val="26"/>
          <w:szCs w:val="26"/>
        </w:rPr>
        <w:t>See</w:t>
      </w:r>
      <w:r w:rsidR="00A36493" w:rsidRPr="00E9174E">
        <w:rPr>
          <w:sz w:val="26"/>
          <w:szCs w:val="26"/>
        </w:rPr>
        <w:t xml:space="preserve"> A</w:t>
      </w:r>
      <w:r w:rsidR="004E5903" w:rsidRPr="00E9174E">
        <w:rPr>
          <w:sz w:val="26"/>
          <w:szCs w:val="26"/>
        </w:rPr>
        <w:t>p</w:t>
      </w:r>
      <w:r w:rsidR="00A36493" w:rsidRPr="00E9174E">
        <w:rPr>
          <w:sz w:val="26"/>
          <w:szCs w:val="26"/>
        </w:rPr>
        <w:t>ril 24, 2020 Initial Filing, Exhibit 103 at</w:t>
      </w:r>
      <w:r w:rsidR="001B2DEA">
        <w:rPr>
          <w:sz w:val="26"/>
          <w:szCs w:val="26"/>
        </w:rPr>
        <w:t> </w:t>
      </w:r>
      <w:r w:rsidR="00A36493" w:rsidRPr="00E9174E">
        <w:rPr>
          <w:sz w:val="26"/>
          <w:szCs w:val="26"/>
        </w:rPr>
        <w:t>15</w:t>
      </w:r>
      <w:bookmarkStart w:id="115" w:name="_Toc56512779"/>
      <w:r w:rsidR="004E5903" w:rsidRPr="00E9174E">
        <w:rPr>
          <w:sz w:val="26"/>
          <w:szCs w:val="26"/>
        </w:rPr>
        <w:t xml:space="preserve">, as sponsored by Columbia’s Witness Melissa Bell.  </w:t>
      </w:r>
    </w:p>
    <w:p w14:paraId="4895651C" w14:textId="20C9EC74" w:rsidR="001C63DB" w:rsidRPr="00E9174E" w:rsidRDefault="001C63DB" w:rsidP="00E9174E">
      <w:pPr>
        <w:widowControl/>
        <w:tabs>
          <w:tab w:val="left" w:pos="720"/>
          <w:tab w:val="left" w:pos="1440"/>
          <w:tab w:val="left" w:pos="2160"/>
          <w:tab w:val="right" w:leader="dot" w:pos="9360"/>
        </w:tabs>
        <w:spacing w:line="360" w:lineRule="auto"/>
        <w:ind w:firstLine="1440"/>
        <w:contextualSpacing/>
        <w:rPr>
          <w:sz w:val="26"/>
          <w:szCs w:val="26"/>
        </w:rPr>
      </w:pPr>
    </w:p>
    <w:p w14:paraId="1CB6FEE4" w14:textId="1763403E" w:rsidR="004F7DB0" w:rsidRPr="00E9174E" w:rsidRDefault="004F7DB0" w:rsidP="00E9174E">
      <w:pPr>
        <w:widowControl/>
        <w:tabs>
          <w:tab w:val="left" w:pos="720"/>
          <w:tab w:val="left" w:pos="1440"/>
          <w:tab w:val="left" w:pos="2160"/>
          <w:tab w:val="right" w:leader="dot" w:pos="9360"/>
        </w:tabs>
        <w:spacing w:line="360" w:lineRule="auto"/>
        <w:ind w:firstLine="1440"/>
        <w:contextualSpacing/>
        <w:rPr>
          <w:sz w:val="26"/>
          <w:szCs w:val="26"/>
        </w:rPr>
      </w:pPr>
      <w:r w:rsidRPr="00E9174E">
        <w:rPr>
          <w:sz w:val="26"/>
          <w:szCs w:val="26"/>
        </w:rPr>
        <w:t xml:space="preserve">Finally, as noted above, Columbia proposed an overall revenue increase of $100.4 </w:t>
      </w:r>
      <w:r w:rsidR="003633A8" w:rsidRPr="00E9174E">
        <w:rPr>
          <w:sz w:val="26"/>
          <w:szCs w:val="26"/>
        </w:rPr>
        <w:t>m</w:t>
      </w:r>
      <w:r w:rsidRPr="00E9174E">
        <w:rPr>
          <w:sz w:val="26"/>
          <w:szCs w:val="26"/>
        </w:rPr>
        <w:t>illion in its filing, which would have resulted in a final revenue requirement of $673,136,371.</w:t>
      </w:r>
      <w:r w:rsidRPr="00E9174E">
        <w:rPr>
          <w:rStyle w:val="FootnoteReference"/>
          <w:sz w:val="26"/>
          <w:szCs w:val="26"/>
        </w:rPr>
        <w:footnoteReference w:id="35"/>
      </w:r>
      <w:r w:rsidRPr="00E9174E">
        <w:rPr>
          <w:sz w:val="26"/>
          <w:szCs w:val="26"/>
        </w:rPr>
        <w:t xml:space="preserve">  However, based upon our findings regarding certain inputs to Columbia’s rate base, </w:t>
      </w:r>
      <w:r w:rsidRPr="00E9174E">
        <w:rPr>
          <w:i/>
          <w:iCs/>
          <w:sz w:val="26"/>
          <w:szCs w:val="26"/>
        </w:rPr>
        <w:t xml:space="preserve">supra, </w:t>
      </w:r>
      <w:r w:rsidRPr="00E9174E">
        <w:rPr>
          <w:sz w:val="26"/>
          <w:szCs w:val="26"/>
        </w:rPr>
        <w:t xml:space="preserve">and to Columbia’s expenses, cost of common equity, and overall rate of return, discussed, </w:t>
      </w:r>
      <w:r w:rsidRPr="00E9174E">
        <w:rPr>
          <w:i/>
          <w:iCs/>
          <w:sz w:val="26"/>
          <w:szCs w:val="26"/>
        </w:rPr>
        <w:t xml:space="preserve">infra, </w:t>
      </w:r>
      <w:r w:rsidRPr="00E9174E">
        <w:rPr>
          <w:sz w:val="26"/>
          <w:szCs w:val="26"/>
        </w:rPr>
        <w:t xml:space="preserve">we shall approve an overall revenue requirement of $636,318,479, </w:t>
      </w:r>
      <w:r w:rsidRPr="00E9174E">
        <w:rPr>
          <w:rFonts w:eastAsia="Calibri"/>
          <w:sz w:val="26"/>
          <w:szCs w:val="26"/>
        </w:rPr>
        <w:t>which will result in an overall distribution revenue increase of $63,548,905 on an annual basis.</w:t>
      </w:r>
    </w:p>
    <w:p w14:paraId="51418642" w14:textId="77777777" w:rsidR="00E62927" w:rsidRPr="00E9174E" w:rsidRDefault="00E62927" w:rsidP="00E9174E">
      <w:pPr>
        <w:widowControl/>
        <w:tabs>
          <w:tab w:val="left" w:pos="720"/>
          <w:tab w:val="left" w:pos="1440"/>
          <w:tab w:val="left" w:pos="2160"/>
          <w:tab w:val="right" w:leader="dot" w:pos="9360"/>
        </w:tabs>
        <w:spacing w:line="360" w:lineRule="auto"/>
        <w:contextualSpacing/>
        <w:rPr>
          <w:b/>
          <w:bCs/>
          <w:sz w:val="26"/>
          <w:szCs w:val="26"/>
        </w:rPr>
      </w:pPr>
    </w:p>
    <w:p w14:paraId="47DDCD49" w14:textId="4E1716F4" w:rsidR="00BD24E1" w:rsidRPr="00E9174E" w:rsidRDefault="00BD24E1" w:rsidP="001B2DEA">
      <w:pPr>
        <w:pStyle w:val="Heading1"/>
        <w:keepNext/>
        <w:keepLines w:val="0"/>
      </w:pPr>
      <w:bookmarkStart w:id="116" w:name="_Toc63764434"/>
      <w:r w:rsidRPr="00E9174E">
        <w:t>Expenses</w:t>
      </w:r>
      <w:bookmarkEnd w:id="116"/>
    </w:p>
    <w:p w14:paraId="2319532C" w14:textId="77777777" w:rsidR="00BD24E1" w:rsidRPr="00E9174E" w:rsidRDefault="00BD24E1" w:rsidP="001B2DEA">
      <w:pPr>
        <w:keepNext/>
        <w:keepLines/>
        <w:widowControl/>
        <w:spacing w:line="360" w:lineRule="auto"/>
        <w:ind w:firstLine="1440"/>
        <w:contextualSpacing/>
        <w:rPr>
          <w:sz w:val="26"/>
          <w:szCs w:val="26"/>
        </w:rPr>
      </w:pPr>
    </w:p>
    <w:p w14:paraId="1D9876CF" w14:textId="29062A50" w:rsidR="00BD24E1" w:rsidRPr="00E9174E" w:rsidRDefault="00BD24E1" w:rsidP="001768DD">
      <w:pPr>
        <w:pStyle w:val="Heading2"/>
        <w:numPr>
          <w:ilvl w:val="0"/>
          <w:numId w:val="10"/>
        </w:numPr>
        <w:ind w:hanging="540"/>
      </w:pPr>
      <w:bookmarkStart w:id="117" w:name="_Toc63764435"/>
      <w:r w:rsidRPr="00E9174E">
        <w:t>Labor Expense</w:t>
      </w:r>
      <w:bookmarkEnd w:id="117"/>
    </w:p>
    <w:p w14:paraId="7D12A309" w14:textId="77777777" w:rsidR="00BD24E1" w:rsidRPr="00E9174E" w:rsidRDefault="00BD24E1" w:rsidP="001B2DEA">
      <w:pPr>
        <w:keepNext/>
        <w:keepLines/>
        <w:widowControl/>
        <w:spacing w:line="360" w:lineRule="auto"/>
        <w:contextualSpacing/>
        <w:rPr>
          <w:sz w:val="26"/>
          <w:szCs w:val="26"/>
        </w:rPr>
      </w:pPr>
    </w:p>
    <w:p w14:paraId="4F05872E" w14:textId="77777777" w:rsidR="00BD24E1" w:rsidRPr="00E9174E" w:rsidRDefault="00BD24E1" w:rsidP="00277ECF">
      <w:pPr>
        <w:pStyle w:val="Heading3"/>
        <w:numPr>
          <w:ilvl w:val="0"/>
          <w:numId w:val="13"/>
        </w:numPr>
        <w:ind w:left="1440" w:hanging="720"/>
      </w:pPr>
      <w:bookmarkStart w:id="118" w:name="_Toc37162064"/>
      <w:bookmarkStart w:id="119" w:name="_Toc63764436"/>
      <w:r w:rsidRPr="00E9174E">
        <w:t>Positions of the Parties</w:t>
      </w:r>
      <w:bookmarkEnd w:id="118"/>
      <w:bookmarkEnd w:id="119"/>
    </w:p>
    <w:p w14:paraId="221FD3BE" w14:textId="77777777" w:rsidR="00BD24E1" w:rsidRPr="00E9174E" w:rsidRDefault="00BD24E1" w:rsidP="001B2DEA">
      <w:pPr>
        <w:keepNext/>
        <w:keepLines/>
        <w:widowControl/>
        <w:spacing w:line="360" w:lineRule="auto"/>
        <w:contextualSpacing/>
        <w:rPr>
          <w:sz w:val="26"/>
          <w:szCs w:val="26"/>
        </w:rPr>
      </w:pPr>
    </w:p>
    <w:p w14:paraId="3A0AE64F" w14:textId="43B0038F" w:rsidR="00BD24E1" w:rsidRPr="00E9174E" w:rsidRDefault="00BD24E1" w:rsidP="001B2DEA">
      <w:pPr>
        <w:keepNext/>
        <w:widowControl/>
        <w:spacing w:line="360" w:lineRule="auto"/>
        <w:ind w:firstLine="1440"/>
        <w:contextualSpacing/>
        <w:rPr>
          <w:sz w:val="26"/>
          <w:szCs w:val="26"/>
        </w:rPr>
      </w:pPr>
      <w:r w:rsidRPr="00E9174E">
        <w:rPr>
          <w:sz w:val="26"/>
          <w:szCs w:val="26"/>
        </w:rPr>
        <w:t xml:space="preserve">Columbia stated that its </w:t>
      </w:r>
      <w:r w:rsidRPr="00E9174E">
        <w:rPr>
          <w:i/>
          <w:iCs/>
          <w:sz w:val="26"/>
          <w:szCs w:val="26"/>
        </w:rPr>
        <w:t>pro forma</w:t>
      </w:r>
      <w:r w:rsidRPr="00E9174E">
        <w:rPr>
          <w:sz w:val="26"/>
          <w:szCs w:val="26"/>
        </w:rPr>
        <w:t xml:space="preserve"> expense claim reflects an annualized and normalized level of expenses for the FPFTY ended December 31, 2021.  Columbia explained that these expenses are annualized to the test year end in accordance with the Commission’s </w:t>
      </w:r>
      <w:r w:rsidRPr="00E9174E">
        <w:rPr>
          <w:i/>
          <w:iCs/>
          <w:sz w:val="26"/>
          <w:szCs w:val="26"/>
        </w:rPr>
        <w:t>UGI Electric</w:t>
      </w:r>
      <w:r w:rsidRPr="00E9174E">
        <w:rPr>
          <w:sz w:val="26"/>
          <w:szCs w:val="26"/>
        </w:rPr>
        <w:t xml:space="preserve"> decision and traditional ratemaking procedures.  CG M.B. at</w:t>
      </w:r>
      <w:r w:rsidR="00FB69E7" w:rsidRPr="00E9174E">
        <w:rPr>
          <w:sz w:val="26"/>
          <w:szCs w:val="26"/>
        </w:rPr>
        <w:t> </w:t>
      </w:r>
      <w:r w:rsidRPr="00E9174E">
        <w:rPr>
          <w:sz w:val="26"/>
          <w:szCs w:val="26"/>
        </w:rPr>
        <w:t xml:space="preserve">37.  </w:t>
      </w:r>
    </w:p>
    <w:p w14:paraId="4F3226B6" w14:textId="77777777" w:rsidR="00BD24E1" w:rsidRPr="00E9174E" w:rsidRDefault="00BD24E1" w:rsidP="00E9174E">
      <w:pPr>
        <w:widowControl/>
        <w:spacing w:line="360" w:lineRule="auto"/>
        <w:ind w:firstLine="1440"/>
        <w:contextualSpacing/>
        <w:rPr>
          <w:sz w:val="26"/>
          <w:szCs w:val="26"/>
        </w:rPr>
      </w:pPr>
    </w:p>
    <w:p w14:paraId="5203EEEE" w14:textId="20856A77" w:rsidR="00BD24E1" w:rsidRPr="00E9174E" w:rsidRDefault="00BD24E1" w:rsidP="003A7DD7">
      <w:pPr>
        <w:widowControl/>
        <w:spacing w:line="360" w:lineRule="auto"/>
        <w:ind w:firstLine="1440"/>
        <w:contextualSpacing/>
        <w:rPr>
          <w:sz w:val="26"/>
          <w:szCs w:val="26"/>
        </w:rPr>
      </w:pPr>
      <w:r w:rsidRPr="00E9174E">
        <w:rPr>
          <w:sz w:val="26"/>
          <w:szCs w:val="26"/>
        </w:rPr>
        <w:t>Columbia noted that the basis for its forecasted</w:t>
      </w:r>
      <w:r w:rsidR="00C46F1F" w:rsidRPr="00E9174E">
        <w:rPr>
          <w:sz w:val="26"/>
          <w:szCs w:val="26"/>
        </w:rPr>
        <w:t xml:space="preserve"> </w:t>
      </w:r>
      <w:r w:rsidRPr="00E9174E">
        <w:rPr>
          <w:sz w:val="26"/>
          <w:szCs w:val="26"/>
        </w:rPr>
        <w:t xml:space="preserve">O&amp;M is the Company’s most recent O&amp;M budget for the Twelve Months Ended December 31, 2021, as adjusted for ratemaking purposes.  Columbia provided that it budgets by cost category rather than </w:t>
      </w:r>
      <w:r w:rsidRPr="00E9174E">
        <w:rPr>
          <w:sz w:val="26"/>
          <w:szCs w:val="26"/>
        </w:rPr>
        <w:lastRenderedPageBreak/>
        <w:t>by FERC account.  CG M.B. at 37, n. 12.  Columbia averred that its budget variance to actual has been within 5% in eight of the past eleven years.  Additionally, in eight of those eleven years, actual O&amp;M expense was greater than the original O&amp;M budget.  CG</w:t>
      </w:r>
      <w:r w:rsidR="001B2DEA">
        <w:rPr>
          <w:sz w:val="26"/>
          <w:szCs w:val="26"/>
        </w:rPr>
        <w:t> </w:t>
      </w:r>
      <w:r w:rsidRPr="00E9174E">
        <w:rPr>
          <w:sz w:val="26"/>
          <w:szCs w:val="26"/>
        </w:rPr>
        <w:t xml:space="preserve">M.B. at 38-39 (citing CG St. 9 at 6-7).  </w:t>
      </w:r>
    </w:p>
    <w:p w14:paraId="7BF1FFFE" w14:textId="77777777" w:rsidR="00BD24E1" w:rsidRPr="00E9174E" w:rsidRDefault="00BD24E1" w:rsidP="003A7DD7">
      <w:pPr>
        <w:widowControl/>
        <w:spacing w:line="360" w:lineRule="auto"/>
        <w:ind w:firstLine="1440"/>
        <w:contextualSpacing/>
        <w:rPr>
          <w:sz w:val="26"/>
          <w:szCs w:val="26"/>
        </w:rPr>
      </w:pPr>
    </w:p>
    <w:p w14:paraId="0DF6A3D2" w14:textId="77777777" w:rsidR="00BD24E1" w:rsidRPr="00E9174E" w:rsidRDefault="00BD24E1" w:rsidP="003A7DD7">
      <w:pPr>
        <w:pStyle w:val="Heading4"/>
        <w:ind w:left="2160" w:hanging="720"/>
      </w:pPr>
      <w:bookmarkStart w:id="120" w:name="_Toc63764437"/>
      <w:bookmarkStart w:id="121" w:name="_Hlk60837054"/>
      <w:r w:rsidRPr="00E9174E">
        <w:t>Annualization Adjustment</w:t>
      </w:r>
      <w:bookmarkEnd w:id="120"/>
    </w:p>
    <w:bookmarkEnd w:id="121"/>
    <w:p w14:paraId="49F75C2C" w14:textId="77777777" w:rsidR="00BD24E1" w:rsidRPr="00E9174E" w:rsidRDefault="00BD24E1" w:rsidP="003A7DD7">
      <w:pPr>
        <w:keepNext/>
        <w:keepLines/>
        <w:widowControl/>
        <w:spacing w:line="360" w:lineRule="auto"/>
        <w:contextualSpacing/>
        <w:rPr>
          <w:sz w:val="26"/>
          <w:szCs w:val="26"/>
        </w:rPr>
      </w:pPr>
    </w:p>
    <w:p w14:paraId="3197D642" w14:textId="77777777" w:rsidR="00BD24E1" w:rsidRPr="00E9174E" w:rsidRDefault="00BD24E1" w:rsidP="003A7DD7">
      <w:pPr>
        <w:keepNext/>
        <w:widowControl/>
        <w:spacing w:line="360" w:lineRule="auto"/>
        <w:ind w:firstLine="1440"/>
        <w:contextualSpacing/>
        <w:rPr>
          <w:sz w:val="26"/>
          <w:szCs w:val="26"/>
        </w:rPr>
      </w:pPr>
      <w:r w:rsidRPr="00E9174E">
        <w:rPr>
          <w:sz w:val="26"/>
          <w:szCs w:val="26"/>
        </w:rPr>
        <w:t xml:space="preserve">Columbia noted that I&amp;E proposed to disallow the Company’s entire claimed annualization of FPFTY labor expense, in the amount of $546,602.  Columbia explained that the annualization adjustment reflects the base rate pay of Columbia’s employees as of December 31, 2021, annualized for the full year.  CG M.B. at 39 (citing CG St. 4 at 9, 34; CG St. 11-R at 7).  </w:t>
      </w:r>
    </w:p>
    <w:p w14:paraId="29036663" w14:textId="77777777" w:rsidR="00BD24E1" w:rsidRPr="00E9174E" w:rsidRDefault="00BD24E1" w:rsidP="00E9174E">
      <w:pPr>
        <w:widowControl/>
        <w:spacing w:line="360" w:lineRule="auto"/>
        <w:ind w:firstLine="1440"/>
        <w:contextualSpacing/>
        <w:rPr>
          <w:sz w:val="26"/>
          <w:szCs w:val="26"/>
        </w:rPr>
      </w:pPr>
    </w:p>
    <w:p w14:paraId="027BB797" w14:textId="77777777" w:rsidR="00BD24E1" w:rsidRPr="00E9174E" w:rsidRDefault="00BD24E1" w:rsidP="003A7DD7">
      <w:pPr>
        <w:pStyle w:val="Heading4"/>
        <w:ind w:left="2160" w:hanging="720"/>
      </w:pPr>
      <w:bookmarkStart w:id="122" w:name="_Toc63764438"/>
      <w:bookmarkStart w:id="123" w:name="_Hlk60837073"/>
      <w:r w:rsidRPr="00E9174E">
        <w:t>Employee Complement</w:t>
      </w:r>
      <w:bookmarkEnd w:id="122"/>
    </w:p>
    <w:bookmarkEnd w:id="123"/>
    <w:p w14:paraId="5F3EC43E" w14:textId="77777777" w:rsidR="00BD24E1" w:rsidRPr="00E9174E" w:rsidRDefault="00BD24E1" w:rsidP="00E9174E">
      <w:pPr>
        <w:keepNext/>
        <w:keepLines/>
        <w:widowControl/>
        <w:spacing w:line="360" w:lineRule="auto"/>
        <w:contextualSpacing/>
        <w:rPr>
          <w:sz w:val="26"/>
          <w:szCs w:val="26"/>
        </w:rPr>
      </w:pPr>
    </w:p>
    <w:p w14:paraId="05FB54B2" w14:textId="45772719" w:rsidR="00BD24E1" w:rsidRPr="00E9174E" w:rsidRDefault="00BD24E1" w:rsidP="00E9174E">
      <w:pPr>
        <w:keepNext/>
        <w:widowControl/>
        <w:spacing w:line="360" w:lineRule="auto"/>
        <w:ind w:firstLine="1440"/>
        <w:contextualSpacing/>
        <w:rPr>
          <w:sz w:val="26"/>
          <w:szCs w:val="26"/>
        </w:rPr>
      </w:pPr>
      <w:r w:rsidRPr="00E9174E">
        <w:rPr>
          <w:sz w:val="26"/>
          <w:szCs w:val="26"/>
        </w:rPr>
        <w:t>Columbia noted that both I&amp;E and the OCA adjusted Columbia’s FPFTY labor expense with respect to the projected complement of Company employees reflected in the budget.  I&amp;E’s proposed labor adjustment is $2,506,926, while the OCA’s proposed adjustment is $773,000.  Both I&amp;E</w:t>
      </w:r>
      <w:r w:rsidR="00847D0F" w:rsidRPr="00E9174E">
        <w:rPr>
          <w:sz w:val="26"/>
          <w:szCs w:val="26"/>
        </w:rPr>
        <w:t>’s</w:t>
      </w:r>
      <w:r w:rsidRPr="00E9174E">
        <w:rPr>
          <w:sz w:val="26"/>
          <w:szCs w:val="26"/>
        </w:rPr>
        <w:t xml:space="preserve"> and the OCA’s witnesses contended that an adjustment is needed, as the Company’s labor expense assumes a full complement of employees and fails to reflect vacant positions.  CG M.B. at 40-41 (citing I&amp;E St. 1-SR at</w:t>
      </w:r>
      <w:r w:rsidR="003A7DD7">
        <w:rPr>
          <w:sz w:val="26"/>
          <w:szCs w:val="26"/>
        </w:rPr>
        <w:t> </w:t>
      </w:r>
      <w:r w:rsidRPr="00E9174E">
        <w:rPr>
          <w:sz w:val="26"/>
          <w:szCs w:val="26"/>
        </w:rPr>
        <w:t xml:space="preserve">12; OCA St. 2-S, Sch. C-1.1).  </w:t>
      </w:r>
    </w:p>
    <w:p w14:paraId="15ECF6CD" w14:textId="77777777" w:rsidR="00BD24E1" w:rsidRPr="00E9174E" w:rsidRDefault="00BD24E1" w:rsidP="00E9174E">
      <w:pPr>
        <w:widowControl/>
        <w:spacing w:line="360" w:lineRule="auto"/>
        <w:ind w:firstLine="1440"/>
        <w:contextualSpacing/>
        <w:rPr>
          <w:sz w:val="26"/>
          <w:szCs w:val="26"/>
        </w:rPr>
      </w:pPr>
    </w:p>
    <w:p w14:paraId="3EC4CA8C" w14:textId="77777777" w:rsidR="00BD24E1" w:rsidRPr="00E9174E" w:rsidRDefault="00BD24E1" w:rsidP="00E9174E">
      <w:pPr>
        <w:widowControl/>
        <w:spacing w:line="360" w:lineRule="auto"/>
        <w:ind w:firstLine="1440"/>
        <w:contextualSpacing/>
        <w:rPr>
          <w:sz w:val="26"/>
          <w:szCs w:val="26"/>
        </w:rPr>
      </w:pPr>
      <w:r w:rsidRPr="00E9174E">
        <w:rPr>
          <w:sz w:val="26"/>
          <w:szCs w:val="26"/>
        </w:rPr>
        <w:t xml:space="preserve">I&amp;E provided that it would be unreasonable to expect Columbia to maintain 100% full staffing in the FPFTY.  I&amp;E used an average annual vacancy rate for the fiscal years of 2017-2020 to calculate a projected 53 vacancies in the 822 FPFTY budgeted positions.  I&amp;E recommended an adjustment to labor expense based on the vacancies of 53 employees.  I&amp;E R.B. at 20.  </w:t>
      </w:r>
    </w:p>
    <w:p w14:paraId="1E9B3FEB" w14:textId="77777777" w:rsidR="00BD24E1" w:rsidRPr="00E9174E" w:rsidRDefault="00BD24E1" w:rsidP="00E9174E">
      <w:pPr>
        <w:widowControl/>
        <w:spacing w:line="360" w:lineRule="auto"/>
        <w:ind w:firstLine="1440"/>
        <w:contextualSpacing/>
        <w:rPr>
          <w:sz w:val="26"/>
          <w:szCs w:val="26"/>
        </w:rPr>
      </w:pPr>
    </w:p>
    <w:p w14:paraId="44EFD2CB" w14:textId="37DA3EB3" w:rsidR="00BD24E1" w:rsidRPr="00E9174E" w:rsidRDefault="00BD24E1" w:rsidP="00E9174E">
      <w:pPr>
        <w:widowControl/>
        <w:spacing w:line="360" w:lineRule="auto"/>
        <w:ind w:firstLine="1440"/>
        <w:contextualSpacing/>
        <w:rPr>
          <w:sz w:val="26"/>
          <w:szCs w:val="26"/>
        </w:rPr>
      </w:pPr>
      <w:r w:rsidRPr="00E9174E">
        <w:rPr>
          <w:sz w:val="26"/>
          <w:szCs w:val="26"/>
        </w:rPr>
        <w:lastRenderedPageBreak/>
        <w:t>The OCA provided that</w:t>
      </w:r>
      <w:r w:rsidR="00587FDE" w:rsidRPr="00E9174E">
        <w:rPr>
          <w:sz w:val="26"/>
          <w:szCs w:val="26"/>
        </w:rPr>
        <w:t>,</w:t>
      </w:r>
      <w:r w:rsidRPr="00E9174E">
        <w:rPr>
          <w:sz w:val="26"/>
          <w:szCs w:val="26"/>
        </w:rPr>
        <w:t xml:space="preserve"> while Columbia forecasted an FPFTY Payroll Expense of $39,536,000 based on the Company’s proposal to add 59 employees in the FTY, this does not reflect the Company’s actual hiring experience in the FTY 2020.  OCA M.B. at 33 (citing OCA St. 2-S at 5-6; CG St. 9-R, </w:t>
      </w:r>
      <w:proofErr w:type="spellStart"/>
      <w:r w:rsidRPr="00E9174E">
        <w:rPr>
          <w:sz w:val="26"/>
          <w:szCs w:val="26"/>
        </w:rPr>
        <w:t>Exh</w:t>
      </w:r>
      <w:proofErr w:type="spellEnd"/>
      <w:r w:rsidRPr="00E9174E">
        <w:rPr>
          <w:sz w:val="26"/>
          <w:szCs w:val="26"/>
        </w:rPr>
        <w:t xml:space="preserve">. NJDK 5R at 3).  According to the OCA, at the end of the HTY, the employee headcount was 763, peaked in April 2020 at 782, and decreased to 773 by August 2020.  The OCA noted that this resulted in an increase of only 19 employees compared to the Company’s projected 59.  The OCA contended that the Company’s forecast of 59 additional employees in the FTY is unreasonable and unsupported by the historic data relevant to employee complement.  The OCA proposed an adjustment that reflects an employee complement of 782 – the high point of the Company’s employee complement recorded in April 2020.  OCA M.B. at 33. </w:t>
      </w:r>
    </w:p>
    <w:p w14:paraId="3F7686F8" w14:textId="77777777" w:rsidR="00BD24E1" w:rsidRPr="00E9174E" w:rsidRDefault="00BD24E1" w:rsidP="00E9174E">
      <w:pPr>
        <w:widowControl/>
        <w:contextualSpacing/>
        <w:rPr>
          <w:sz w:val="26"/>
          <w:szCs w:val="26"/>
        </w:rPr>
      </w:pPr>
    </w:p>
    <w:p w14:paraId="4124AE09" w14:textId="77777777" w:rsidR="00BD24E1" w:rsidRPr="00E9174E" w:rsidRDefault="00BD24E1" w:rsidP="00277ECF">
      <w:pPr>
        <w:pStyle w:val="Heading3"/>
        <w:numPr>
          <w:ilvl w:val="0"/>
          <w:numId w:val="13"/>
        </w:numPr>
        <w:ind w:left="1440" w:hanging="720"/>
      </w:pPr>
      <w:bookmarkStart w:id="124" w:name="_Toc37162065"/>
      <w:bookmarkStart w:id="125" w:name="_Toc63764439"/>
      <w:r w:rsidRPr="00E9174E">
        <w:t>Recommended Decision</w:t>
      </w:r>
      <w:bookmarkEnd w:id="124"/>
      <w:bookmarkEnd w:id="125"/>
    </w:p>
    <w:p w14:paraId="37357639" w14:textId="77777777" w:rsidR="00BD24E1" w:rsidRPr="00E9174E" w:rsidRDefault="00BD24E1" w:rsidP="00CE535A">
      <w:pPr>
        <w:keepNext/>
        <w:keepLines/>
        <w:widowControl/>
        <w:spacing w:line="360" w:lineRule="auto"/>
        <w:contextualSpacing/>
        <w:rPr>
          <w:sz w:val="26"/>
          <w:szCs w:val="26"/>
        </w:rPr>
      </w:pPr>
    </w:p>
    <w:p w14:paraId="19053237" w14:textId="77777777" w:rsidR="00BD24E1" w:rsidRPr="00E9174E" w:rsidRDefault="00BD24E1" w:rsidP="00277ECF">
      <w:pPr>
        <w:pStyle w:val="Heading4"/>
        <w:numPr>
          <w:ilvl w:val="0"/>
          <w:numId w:val="48"/>
        </w:numPr>
        <w:ind w:left="2160" w:hanging="720"/>
      </w:pPr>
      <w:bookmarkStart w:id="126" w:name="_Toc63764440"/>
      <w:r w:rsidRPr="00E9174E">
        <w:t>Annualization Adjustment</w:t>
      </w:r>
      <w:bookmarkEnd w:id="126"/>
    </w:p>
    <w:p w14:paraId="776422B9" w14:textId="77777777" w:rsidR="00BD24E1" w:rsidRPr="00E9174E" w:rsidRDefault="00BD24E1" w:rsidP="00CE535A">
      <w:pPr>
        <w:keepNext/>
        <w:keepLines/>
        <w:widowControl/>
        <w:spacing w:line="360" w:lineRule="auto"/>
        <w:ind w:firstLine="1440"/>
        <w:contextualSpacing/>
        <w:rPr>
          <w:sz w:val="26"/>
          <w:szCs w:val="26"/>
        </w:rPr>
      </w:pPr>
    </w:p>
    <w:p w14:paraId="5794FCA1" w14:textId="772D541F" w:rsidR="00BD24E1" w:rsidRPr="00E9174E" w:rsidRDefault="00BD24E1" w:rsidP="00CE535A">
      <w:pPr>
        <w:keepNext/>
        <w:widowControl/>
        <w:spacing w:line="360" w:lineRule="auto"/>
        <w:ind w:firstLine="1440"/>
        <w:contextualSpacing/>
        <w:rPr>
          <w:sz w:val="26"/>
          <w:szCs w:val="26"/>
        </w:rPr>
      </w:pPr>
      <w:r w:rsidRPr="00E9174E">
        <w:rPr>
          <w:sz w:val="26"/>
          <w:szCs w:val="26"/>
        </w:rPr>
        <w:t>The ALJ recommended that the Commission disallow the entire as-filed claim of $546,602 for the pay increase annualization adjustment as included in the FPFTY labor expense claim.  The ALJ agreed with I&amp;E that Columbia, by</w:t>
      </w:r>
      <w:r w:rsidR="00C46F1F" w:rsidRPr="00E9174E">
        <w:rPr>
          <w:sz w:val="26"/>
          <w:szCs w:val="26"/>
        </w:rPr>
        <w:t xml:space="preserve"> </w:t>
      </w:r>
      <w:r w:rsidRPr="00E9174E">
        <w:rPr>
          <w:sz w:val="26"/>
          <w:szCs w:val="26"/>
        </w:rPr>
        <w:t xml:space="preserve">annualizing the FPFTY pay increase, claimed that full labor expense would occur as if the variably occurring pay increases all occurred on Day One of the FPFTY.  The ALJ explained that if the Commission calculated the Company’s revenue requirement on this basis, Columbia would recover, dollar-for-dollar, an expense level for labor expense that will never be reached in the FPFTY.  R.D. at 105.  </w:t>
      </w:r>
    </w:p>
    <w:p w14:paraId="09AC9C36" w14:textId="77777777" w:rsidR="00BD24E1" w:rsidRPr="00E9174E" w:rsidRDefault="00BD24E1" w:rsidP="00E9174E">
      <w:pPr>
        <w:widowControl/>
        <w:spacing w:line="360" w:lineRule="auto"/>
        <w:ind w:firstLine="1440"/>
        <w:contextualSpacing/>
        <w:rPr>
          <w:sz w:val="26"/>
          <w:szCs w:val="26"/>
        </w:rPr>
      </w:pPr>
    </w:p>
    <w:p w14:paraId="3DF1706D" w14:textId="77777777" w:rsidR="00BD24E1" w:rsidRPr="00E9174E" w:rsidRDefault="00BD24E1" w:rsidP="008E1C8A">
      <w:pPr>
        <w:pStyle w:val="Heading4"/>
        <w:ind w:left="2160" w:hanging="720"/>
      </w:pPr>
      <w:bookmarkStart w:id="127" w:name="_Toc63764441"/>
      <w:r w:rsidRPr="00E9174E">
        <w:lastRenderedPageBreak/>
        <w:t>Employee Complement</w:t>
      </w:r>
      <w:bookmarkEnd w:id="127"/>
    </w:p>
    <w:p w14:paraId="7272D0E6" w14:textId="77777777" w:rsidR="00BD24E1" w:rsidRPr="00E9174E" w:rsidRDefault="00BD24E1" w:rsidP="00E9174E">
      <w:pPr>
        <w:keepNext/>
        <w:keepLines/>
        <w:widowControl/>
        <w:spacing w:line="360" w:lineRule="auto"/>
        <w:ind w:firstLine="1440"/>
        <w:contextualSpacing/>
        <w:rPr>
          <w:sz w:val="26"/>
          <w:szCs w:val="26"/>
        </w:rPr>
      </w:pPr>
    </w:p>
    <w:p w14:paraId="39C4F673" w14:textId="03EE01DD" w:rsidR="00BD24E1" w:rsidRPr="00E9174E" w:rsidRDefault="00BD24E1" w:rsidP="00E9174E">
      <w:pPr>
        <w:keepNext/>
        <w:widowControl/>
        <w:spacing w:line="360" w:lineRule="auto"/>
        <w:ind w:firstLine="1440"/>
        <w:contextualSpacing/>
        <w:rPr>
          <w:sz w:val="26"/>
          <w:szCs w:val="26"/>
        </w:rPr>
      </w:pPr>
      <w:r w:rsidRPr="00E9174E">
        <w:rPr>
          <w:sz w:val="26"/>
          <w:szCs w:val="26"/>
        </w:rPr>
        <w:t>The ALJ recommended the Commission adjust the employee complement proposal to reflect an employee complement of 782, because that figure was the actual high recorded by the Company during 2020 (</w:t>
      </w:r>
      <w:r w:rsidRPr="00E9174E">
        <w:rPr>
          <w:i/>
          <w:iCs/>
          <w:sz w:val="26"/>
          <w:szCs w:val="26"/>
        </w:rPr>
        <w:t xml:space="preserve">i.e. </w:t>
      </w:r>
      <w:r w:rsidRPr="00E9174E">
        <w:rPr>
          <w:sz w:val="26"/>
          <w:szCs w:val="26"/>
        </w:rPr>
        <w:t>the FTY).  R.D. at 106 (citing OCA St.</w:t>
      </w:r>
      <w:r w:rsidR="008E1C8A">
        <w:rPr>
          <w:sz w:val="26"/>
          <w:szCs w:val="26"/>
        </w:rPr>
        <w:t> </w:t>
      </w:r>
      <w:r w:rsidRPr="00E9174E">
        <w:rPr>
          <w:sz w:val="26"/>
          <w:szCs w:val="26"/>
        </w:rPr>
        <w:t>2-S at 5-6).  The ALJ agreed with the OCA’s proposal that the Commission should reduce the FPFTY O&amp;M expenses by $1,144,000, based on adjustments to new employee headcounts and benefits expense (as shown in OCA St. 2-S, Sch. C-1.1) and because the employee complement should reflect 782 as supported by the historic data relevant to employee complement.  R.D. at 106.</w:t>
      </w:r>
    </w:p>
    <w:p w14:paraId="542F6D06" w14:textId="77777777" w:rsidR="00BD24E1" w:rsidRPr="00E9174E" w:rsidRDefault="00BD24E1" w:rsidP="00E9174E">
      <w:pPr>
        <w:widowControl/>
        <w:spacing w:line="360" w:lineRule="auto"/>
        <w:ind w:left="720"/>
        <w:contextualSpacing/>
        <w:rPr>
          <w:sz w:val="26"/>
          <w:szCs w:val="26"/>
        </w:rPr>
      </w:pPr>
    </w:p>
    <w:p w14:paraId="3A765174" w14:textId="77777777" w:rsidR="00BD24E1" w:rsidRPr="00E9174E" w:rsidRDefault="00BD24E1" w:rsidP="00277ECF">
      <w:pPr>
        <w:pStyle w:val="Heading3"/>
        <w:numPr>
          <w:ilvl w:val="0"/>
          <w:numId w:val="13"/>
        </w:numPr>
        <w:ind w:left="1440" w:hanging="720"/>
      </w:pPr>
      <w:bookmarkStart w:id="128" w:name="_Toc63764442"/>
      <w:r w:rsidRPr="00E9174E">
        <w:t>Exceptions and Replies</w:t>
      </w:r>
      <w:bookmarkEnd w:id="128"/>
    </w:p>
    <w:p w14:paraId="681F938C" w14:textId="77777777" w:rsidR="00BD24E1" w:rsidRPr="00E9174E" w:rsidRDefault="00BD24E1" w:rsidP="008E1C8A">
      <w:pPr>
        <w:keepNext/>
        <w:keepLines/>
        <w:widowControl/>
        <w:spacing w:line="360" w:lineRule="auto"/>
        <w:ind w:left="720"/>
        <w:contextualSpacing/>
        <w:rPr>
          <w:sz w:val="26"/>
          <w:szCs w:val="26"/>
        </w:rPr>
      </w:pPr>
    </w:p>
    <w:p w14:paraId="1E6C5BD8" w14:textId="050DD0C1" w:rsidR="00BD24E1" w:rsidRPr="00E9174E" w:rsidRDefault="00BD24E1" w:rsidP="00277ECF">
      <w:pPr>
        <w:pStyle w:val="Heading4"/>
        <w:numPr>
          <w:ilvl w:val="0"/>
          <w:numId w:val="49"/>
        </w:numPr>
        <w:ind w:left="2160" w:hanging="720"/>
      </w:pPr>
      <w:bookmarkStart w:id="129" w:name="_Toc37162066"/>
      <w:bookmarkStart w:id="130" w:name="_Toc63764443"/>
      <w:r w:rsidRPr="00E9174E">
        <w:t>Columbia Exception No. 5 and Replies</w:t>
      </w:r>
      <w:bookmarkEnd w:id="129"/>
      <w:bookmarkEnd w:id="130"/>
    </w:p>
    <w:p w14:paraId="3E0C3C38" w14:textId="77777777" w:rsidR="00BD24E1" w:rsidRPr="00E9174E" w:rsidRDefault="00BD24E1" w:rsidP="008E1C8A">
      <w:pPr>
        <w:keepNext/>
        <w:keepLines/>
        <w:widowControl/>
        <w:spacing w:line="360" w:lineRule="auto"/>
        <w:contextualSpacing/>
        <w:rPr>
          <w:sz w:val="26"/>
          <w:szCs w:val="26"/>
        </w:rPr>
      </w:pPr>
    </w:p>
    <w:p w14:paraId="766F0682" w14:textId="77777777" w:rsidR="00BD24E1" w:rsidRPr="00E9174E" w:rsidRDefault="00BD24E1" w:rsidP="008E1C8A">
      <w:pPr>
        <w:keepNext/>
        <w:widowControl/>
        <w:spacing w:line="360" w:lineRule="auto"/>
        <w:ind w:firstLine="1440"/>
        <w:contextualSpacing/>
        <w:rPr>
          <w:sz w:val="26"/>
          <w:szCs w:val="26"/>
        </w:rPr>
      </w:pPr>
      <w:r w:rsidRPr="00E9174E">
        <w:rPr>
          <w:sz w:val="26"/>
          <w:szCs w:val="26"/>
        </w:rPr>
        <w:t xml:space="preserve">In its Exception No. 5, Columbia contends the ALJ erred by adopting I&amp;E’s proposed disallowance of $546,602 in FPFTY payroll annualization expense.  The Company submits that the ALJ offered no basis, either in evidence or law, for disregarding the Commission’s longstanding process of annualizing expenses to end of test year conditions and its recent determination on this precise issue in </w:t>
      </w:r>
      <w:r w:rsidRPr="00E9174E">
        <w:rPr>
          <w:i/>
          <w:iCs/>
          <w:sz w:val="26"/>
          <w:szCs w:val="26"/>
        </w:rPr>
        <w:t>UGI Electric</w:t>
      </w:r>
      <w:r w:rsidRPr="00E9174E">
        <w:rPr>
          <w:sz w:val="26"/>
          <w:szCs w:val="26"/>
        </w:rPr>
        <w:t xml:space="preserve">.  CG Exc. at 12.  </w:t>
      </w:r>
    </w:p>
    <w:p w14:paraId="1C59A516" w14:textId="77777777" w:rsidR="00BD24E1" w:rsidRPr="00E9174E" w:rsidRDefault="00BD24E1" w:rsidP="00E9174E">
      <w:pPr>
        <w:widowControl/>
        <w:spacing w:line="360" w:lineRule="auto"/>
        <w:ind w:firstLine="1440"/>
        <w:contextualSpacing/>
        <w:rPr>
          <w:sz w:val="26"/>
          <w:szCs w:val="26"/>
        </w:rPr>
      </w:pPr>
    </w:p>
    <w:p w14:paraId="361EFA36" w14:textId="77777777" w:rsidR="00BD24E1" w:rsidRPr="00E9174E" w:rsidRDefault="00BD24E1" w:rsidP="00E9174E">
      <w:pPr>
        <w:widowControl/>
        <w:spacing w:line="360" w:lineRule="auto"/>
        <w:ind w:firstLine="1440"/>
        <w:contextualSpacing/>
        <w:rPr>
          <w:sz w:val="26"/>
          <w:szCs w:val="26"/>
        </w:rPr>
      </w:pPr>
      <w:r w:rsidRPr="00E9174E">
        <w:rPr>
          <w:sz w:val="26"/>
          <w:szCs w:val="26"/>
        </w:rPr>
        <w:t>In Replies to Columbia Exception No. 5, I&amp;E submits that the Company’s argument fails to consider that the Commission’s decision to annualize labor costs to end</w:t>
      </w:r>
      <w:r w:rsidRPr="00E9174E">
        <w:rPr>
          <w:sz w:val="26"/>
          <w:szCs w:val="26"/>
        </w:rPr>
        <w:noBreakHyphen/>
        <w:t>of</w:t>
      </w:r>
      <w:r w:rsidRPr="00E9174E">
        <w:rPr>
          <w:sz w:val="26"/>
          <w:szCs w:val="26"/>
        </w:rPr>
        <w:noBreakHyphen/>
        <w:t xml:space="preserve">year conditions in the </w:t>
      </w:r>
      <w:r w:rsidRPr="00E9174E">
        <w:rPr>
          <w:i/>
          <w:iCs/>
          <w:sz w:val="26"/>
          <w:szCs w:val="26"/>
        </w:rPr>
        <w:t>UGI Electric</w:t>
      </w:r>
      <w:r w:rsidRPr="00E9174E">
        <w:rPr>
          <w:sz w:val="26"/>
          <w:szCs w:val="26"/>
        </w:rPr>
        <w:t xml:space="preserve"> base rate case does not ensure that Columbia has proven its claim for an annualization adjustment in this proceeding.  I&amp;E contends that the Company has failed to prove this adjustment is in the public interest.  Further, I&amp;E takes the position that the ALJ correctly determined that Columbia’s annualization adjustment request should be denied as it would result in an unfair and unreasonable </w:t>
      </w:r>
      <w:r w:rsidRPr="00E9174E">
        <w:rPr>
          <w:sz w:val="26"/>
          <w:szCs w:val="26"/>
        </w:rPr>
        <w:lastRenderedPageBreak/>
        <w:t xml:space="preserve">burden on ratepayers by establishing an expense recovery in its revenue requirement that is not reflective of actual FPFTY expenses and therefore would not be in the public interest.  I&amp;E R. Exc. at 4-5.  </w:t>
      </w:r>
    </w:p>
    <w:p w14:paraId="5D71AC74" w14:textId="77777777" w:rsidR="00BD24E1" w:rsidRPr="00E9174E" w:rsidRDefault="00BD24E1" w:rsidP="00E9174E">
      <w:pPr>
        <w:widowControl/>
        <w:spacing w:line="360" w:lineRule="auto"/>
        <w:ind w:firstLine="1440"/>
        <w:contextualSpacing/>
        <w:rPr>
          <w:sz w:val="26"/>
          <w:szCs w:val="26"/>
        </w:rPr>
      </w:pPr>
    </w:p>
    <w:p w14:paraId="6CF1B8E0" w14:textId="3CA359F3" w:rsidR="00BD24E1" w:rsidRPr="00E9174E" w:rsidRDefault="00BD24E1" w:rsidP="008E1C8A">
      <w:pPr>
        <w:pStyle w:val="Heading4"/>
        <w:ind w:left="2160" w:hanging="720"/>
      </w:pPr>
      <w:bookmarkStart w:id="131" w:name="_Toc63764444"/>
      <w:r w:rsidRPr="00E9174E">
        <w:t>Columbia Exception No. 6 and Replies</w:t>
      </w:r>
      <w:bookmarkEnd w:id="131"/>
    </w:p>
    <w:p w14:paraId="104E684F" w14:textId="77777777" w:rsidR="00BD24E1" w:rsidRPr="00E9174E" w:rsidRDefault="00BD24E1" w:rsidP="00E9174E">
      <w:pPr>
        <w:keepNext/>
        <w:keepLines/>
        <w:widowControl/>
        <w:spacing w:line="360" w:lineRule="auto"/>
        <w:contextualSpacing/>
        <w:rPr>
          <w:sz w:val="26"/>
          <w:szCs w:val="26"/>
        </w:rPr>
      </w:pPr>
    </w:p>
    <w:p w14:paraId="2B0446CA" w14:textId="38819E9E" w:rsidR="00BD24E1" w:rsidRPr="00E9174E" w:rsidRDefault="00BD24E1" w:rsidP="00E9174E">
      <w:pPr>
        <w:keepNext/>
        <w:widowControl/>
        <w:spacing w:line="360" w:lineRule="auto"/>
        <w:ind w:firstLine="1440"/>
        <w:contextualSpacing/>
        <w:rPr>
          <w:sz w:val="26"/>
          <w:szCs w:val="26"/>
        </w:rPr>
      </w:pPr>
      <w:r w:rsidRPr="00E9174E">
        <w:rPr>
          <w:sz w:val="26"/>
          <w:szCs w:val="26"/>
        </w:rPr>
        <w:t xml:space="preserve">In its Exception No. 6, Columbia provided that the Recommended Decision adopts the OCA’s proposed adjustment of $1,144,000 to labor expense but did not include an overtime offset.  Columbia stated that it included an offsetting reduction of $1.3 </w:t>
      </w:r>
      <w:r w:rsidR="00BB1E9E" w:rsidRPr="00E9174E">
        <w:rPr>
          <w:sz w:val="26"/>
          <w:szCs w:val="26"/>
        </w:rPr>
        <w:t>m</w:t>
      </w:r>
      <w:r w:rsidRPr="00E9174E">
        <w:rPr>
          <w:sz w:val="26"/>
          <w:szCs w:val="26"/>
        </w:rPr>
        <w:t xml:space="preserve">illion in overtime costs based on a full complement of employees.  CG Exc. at 13.  Columbia explained that its budget process reduced its overtime payroll for the FPFTY due to the Company’s assumption that there will be full-time employees available to complete the Work Plan.  Columbia avers that if full-time positions are unfilled, Columbia’s overtime costs will increase.  Columbia contended that, over the three-year period from 2017-2019, its actual labor expense exceeded the budget amount, even though there were full-time employee vacancies each year.  </w:t>
      </w:r>
      <w:r w:rsidRPr="00E9174E">
        <w:rPr>
          <w:i/>
          <w:iCs/>
          <w:sz w:val="26"/>
          <w:szCs w:val="26"/>
        </w:rPr>
        <w:t>Id</w:t>
      </w:r>
      <w:r w:rsidRPr="00E9174E">
        <w:rPr>
          <w:sz w:val="26"/>
          <w:szCs w:val="26"/>
        </w:rPr>
        <w:t xml:space="preserve">. at 13 (citing CG M.B. at 40-42; R.B. at 22-23).  </w:t>
      </w:r>
    </w:p>
    <w:p w14:paraId="5E1C6DAD" w14:textId="77777777" w:rsidR="00BD24E1" w:rsidRPr="00E9174E" w:rsidRDefault="00BD24E1" w:rsidP="00E9174E">
      <w:pPr>
        <w:widowControl/>
        <w:spacing w:line="360" w:lineRule="auto"/>
        <w:ind w:firstLine="1440"/>
        <w:contextualSpacing/>
        <w:rPr>
          <w:sz w:val="26"/>
          <w:szCs w:val="26"/>
        </w:rPr>
      </w:pPr>
    </w:p>
    <w:p w14:paraId="03A86BD4" w14:textId="77777777" w:rsidR="00BD24E1" w:rsidRPr="00E9174E" w:rsidRDefault="00BD24E1" w:rsidP="000470F3">
      <w:pPr>
        <w:widowControl/>
        <w:spacing w:line="360" w:lineRule="auto"/>
        <w:ind w:firstLine="1440"/>
        <w:contextualSpacing/>
        <w:rPr>
          <w:sz w:val="26"/>
          <w:szCs w:val="26"/>
        </w:rPr>
      </w:pPr>
      <w:r w:rsidRPr="00E9174E">
        <w:rPr>
          <w:sz w:val="26"/>
          <w:szCs w:val="26"/>
        </w:rPr>
        <w:t xml:space="preserve">In Replies, the OCA provided that the ALJ did not err in reducing the FPFTY O&amp;M expense by $1,144,000, based on adjustment to new employee headcounts and benefits expense, because the Company has not properly supported the need for its overstated employee complement, or overtime costs in replacement of such positions, given its actual hiring experience.  OCA R. Exc. at 9 (citing OCA R.B. at 19).  </w:t>
      </w:r>
    </w:p>
    <w:p w14:paraId="6F3D5FA8" w14:textId="77777777" w:rsidR="00BD24E1" w:rsidRPr="00E9174E" w:rsidRDefault="00BD24E1" w:rsidP="000470F3">
      <w:pPr>
        <w:widowControl/>
        <w:spacing w:line="360" w:lineRule="auto"/>
        <w:ind w:firstLine="1440"/>
        <w:contextualSpacing/>
        <w:rPr>
          <w:sz w:val="26"/>
          <w:szCs w:val="26"/>
        </w:rPr>
      </w:pPr>
    </w:p>
    <w:p w14:paraId="208BA05A" w14:textId="77777777" w:rsidR="00BD24E1" w:rsidRPr="00E9174E" w:rsidRDefault="00BD24E1" w:rsidP="00277ECF">
      <w:pPr>
        <w:pStyle w:val="Heading3"/>
        <w:numPr>
          <w:ilvl w:val="0"/>
          <w:numId w:val="13"/>
        </w:numPr>
        <w:ind w:left="1440" w:hanging="720"/>
      </w:pPr>
      <w:bookmarkStart w:id="132" w:name="_Toc37162067"/>
      <w:bookmarkStart w:id="133" w:name="_Toc63764445"/>
      <w:r w:rsidRPr="00E9174E">
        <w:t>Disposition</w:t>
      </w:r>
      <w:bookmarkEnd w:id="132"/>
      <w:bookmarkEnd w:id="133"/>
    </w:p>
    <w:p w14:paraId="27935AF6" w14:textId="77777777" w:rsidR="00BD24E1" w:rsidRPr="00E9174E" w:rsidRDefault="00BD24E1" w:rsidP="000470F3">
      <w:pPr>
        <w:keepNext/>
        <w:keepLines/>
        <w:widowControl/>
        <w:spacing w:line="360" w:lineRule="auto"/>
        <w:contextualSpacing/>
        <w:rPr>
          <w:sz w:val="26"/>
          <w:szCs w:val="26"/>
        </w:rPr>
      </w:pPr>
    </w:p>
    <w:p w14:paraId="5B156708" w14:textId="10630A9B" w:rsidR="00BD24E1" w:rsidRPr="00E9174E" w:rsidRDefault="00BD24E1" w:rsidP="000470F3">
      <w:pPr>
        <w:keepNext/>
        <w:widowControl/>
        <w:spacing w:line="360" w:lineRule="auto"/>
        <w:ind w:firstLine="1440"/>
        <w:contextualSpacing/>
        <w:rPr>
          <w:sz w:val="26"/>
          <w:szCs w:val="26"/>
        </w:rPr>
      </w:pPr>
      <w:r w:rsidRPr="00E9174E">
        <w:rPr>
          <w:sz w:val="26"/>
          <w:szCs w:val="26"/>
        </w:rPr>
        <w:t xml:space="preserve">The basis for I&amp;E’s adjustment to Columbia’s annualization of FPFTY payroll has been directly addressed and rejected by the Commission in </w:t>
      </w:r>
      <w:r w:rsidRPr="00E9174E">
        <w:rPr>
          <w:i/>
          <w:iCs/>
          <w:sz w:val="26"/>
          <w:szCs w:val="26"/>
        </w:rPr>
        <w:t>UGI Electric</w:t>
      </w:r>
      <w:r w:rsidRPr="00E9174E">
        <w:rPr>
          <w:sz w:val="26"/>
          <w:szCs w:val="26"/>
        </w:rPr>
        <w:t xml:space="preserve">.  In </w:t>
      </w:r>
      <w:r w:rsidRPr="00E9174E">
        <w:rPr>
          <w:i/>
          <w:iCs/>
          <w:sz w:val="26"/>
          <w:szCs w:val="26"/>
        </w:rPr>
        <w:t>UGI Electric</w:t>
      </w:r>
      <w:r w:rsidRPr="00E9174E">
        <w:rPr>
          <w:sz w:val="26"/>
          <w:szCs w:val="26"/>
        </w:rPr>
        <w:t xml:space="preserve">, the Commission approved UGI’s end-of-year methodology providing for </w:t>
      </w:r>
      <w:r w:rsidRPr="00E9174E">
        <w:rPr>
          <w:sz w:val="26"/>
          <w:szCs w:val="26"/>
        </w:rPr>
        <w:lastRenderedPageBreak/>
        <w:t xml:space="preserve">an annualization adjustment to recoup costs over the course of the FPFTY.  The Commission was persuaded by UGI’s argument that the FPFTY should reflect end-of-the-year conditions.  </w:t>
      </w:r>
      <w:r w:rsidRPr="00E9174E">
        <w:rPr>
          <w:i/>
          <w:iCs/>
          <w:sz w:val="26"/>
          <w:szCs w:val="26"/>
        </w:rPr>
        <w:t>UGI Electric</w:t>
      </w:r>
      <w:r w:rsidRPr="00E9174E">
        <w:rPr>
          <w:sz w:val="26"/>
          <w:szCs w:val="26"/>
        </w:rPr>
        <w:t xml:space="preserve"> at 61-62.  We are also persuaded by Columbia’s argument that annualization of expenses is proper to conform to the accepted “matching” principle that revenues, expenses, and rate base should all reflect the same test year end conditions.  CG R.B. at 20 (citing </w:t>
      </w:r>
      <w:r w:rsidRPr="00E9174E">
        <w:rPr>
          <w:i/>
          <w:iCs/>
          <w:sz w:val="26"/>
          <w:szCs w:val="26"/>
        </w:rPr>
        <w:t>Pa. PUC. v. Philadelphia Suburban Water Co.</w:t>
      </w:r>
      <w:r w:rsidRPr="00E9174E">
        <w:rPr>
          <w:sz w:val="26"/>
          <w:szCs w:val="26"/>
        </w:rPr>
        <w:t xml:space="preserve">, 1988 Pa. PUC LEXIS 433, *96).  Columbia stated that it has annualized revenues to reflect a full year’s worth of revenues for the test year, has reflected FPFTY end plant balances in rate base, and has calculated depreciation expense on test year ending plant balances.  CG R.B. at 20-21 (citing CG </w:t>
      </w:r>
      <w:proofErr w:type="spellStart"/>
      <w:r w:rsidRPr="00E9174E">
        <w:rPr>
          <w:sz w:val="26"/>
          <w:szCs w:val="26"/>
        </w:rPr>
        <w:t>Exh</w:t>
      </w:r>
      <w:proofErr w:type="spellEnd"/>
      <w:r w:rsidRPr="00E9174E">
        <w:rPr>
          <w:sz w:val="26"/>
          <w:szCs w:val="26"/>
        </w:rPr>
        <w:t xml:space="preserve">. 103, Sch. 4; CG </w:t>
      </w:r>
      <w:proofErr w:type="spellStart"/>
      <w:r w:rsidRPr="00E9174E">
        <w:rPr>
          <w:sz w:val="26"/>
          <w:szCs w:val="26"/>
        </w:rPr>
        <w:t>Exh</w:t>
      </w:r>
      <w:proofErr w:type="spellEnd"/>
      <w:r w:rsidRPr="00E9174E">
        <w:rPr>
          <w:sz w:val="26"/>
          <w:szCs w:val="26"/>
        </w:rPr>
        <w:t xml:space="preserve">. 108 at 3; CG </w:t>
      </w:r>
      <w:proofErr w:type="spellStart"/>
      <w:r w:rsidRPr="00E9174E">
        <w:rPr>
          <w:sz w:val="26"/>
          <w:szCs w:val="26"/>
        </w:rPr>
        <w:t>Exh</w:t>
      </w:r>
      <w:proofErr w:type="spellEnd"/>
      <w:r w:rsidRPr="00E9174E">
        <w:rPr>
          <w:sz w:val="26"/>
          <w:szCs w:val="26"/>
        </w:rPr>
        <w:t>. 109, Att. B at</w:t>
      </w:r>
      <w:r w:rsidR="000470F3">
        <w:rPr>
          <w:sz w:val="26"/>
          <w:szCs w:val="26"/>
        </w:rPr>
        <w:t> </w:t>
      </w:r>
      <w:r w:rsidRPr="00E9174E">
        <w:rPr>
          <w:sz w:val="26"/>
          <w:szCs w:val="26"/>
        </w:rPr>
        <w:t>7</w:t>
      </w:r>
      <w:r w:rsidR="000470F3">
        <w:rPr>
          <w:sz w:val="26"/>
          <w:szCs w:val="26"/>
        </w:rPr>
        <w:noBreakHyphen/>
      </w:r>
      <w:r w:rsidRPr="00E9174E">
        <w:rPr>
          <w:sz w:val="26"/>
          <w:szCs w:val="26"/>
        </w:rPr>
        <w:t xml:space="preserve">9).  We find that it would be inconsistent and contrary to the matching principle to disallow annualization of the labor expense.  </w:t>
      </w:r>
    </w:p>
    <w:p w14:paraId="5F1E8BAD" w14:textId="77777777" w:rsidR="00BD24E1" w:rsidRPr="00E9174E" w:rsidRDefault="00BD24E1" w:rsidP="00E9174E">
      <w:pPr>
        <w:widowControl/>
        <w:spacing w:line="360" w:lineRule="auto"/>
        <w:ind w:firstLine="1440"/>
        <w:contextualSpacing/>
        <w:rPr>
          <w:sz w:val="26"/>
          <w:szCs w:val="26"/>
        </w:rPr>
      </w:pPr>
    </w:p>
    <w:p w14:paraId="31E149A9" w14:textId="77777777" w:rsidR="00BD24E1" w:rsidRPr="00E9174E" w:rsidRDefault="00BD24E1" w:rsidP="00E9174E">
      <w:pPr>
        <w:widowControl/>
        <w:spacing w:line="360" w:lineRule="auto"/>
        <w:ind w:firstLine="1440"/>
        <w:contextualSpacing/>
        <w:rPr>
          <w:sz w:val="26"/>
          <w:szCs w:val="26"/>
        </w:rPr>
      </w:pPr>
      <w:r w:rsidRPr="00E9174E">
        <w:rPr>
          <w:sz w:val="26"/>
          <w:szCs w:val="26"/>
        </w:rPr>
        <w:t xml:space="preserve">Therefore, we shall modify the alternative Recommended Decision, allow Columbia’s claim of $546,602 for the annualization adjustment of FPFTY labor expense, and grant Columbia’s Exception No. 5. </w:t>
      </w:r>
    </w:p>
    <w:p w14:paraId="2AD39BC2" w14:textId="77777777" w:rsidR="00BD24E1" w:rsidRPr="00E9174E" w:rsidRDefault="00BD24E1" w:rsidP="00E9174E">
      <w:pPr>
        <w:widowControl/>
        <w:spacing w:line="360" w:lineRule="auto"/>
        <w:ind w:firstLine="1440"/>
        <w:contextualSpacing/>
        <w:rPr>
          <w:sz w:val="26"/>
          <w:szCs w:val="26"/>
        </w:rPr>
      </w:pPr>
    </w:p>
    <w:p w14:paraId="130B2045" w14:textId="5FAEF793" w:rsidR="00BD24E1" w:rsidRPr="00E9174E" w:rsidRDefault="00BD24E1" w:rsidP="007F568B">
      <w:pPr>
        <w:widowControl/>
        <w:spacing w:line="360" w:lineRule="auto"/>
        <w:ind w:firstLine="1440"/>
        <w:contextualSpacing/>
        <w:rPr>
          <w:sz w:val="26"/>
          <w:szCs w:val="26"/>
        </w:rPr>
      </w:pPr>
      <w:r w:rsidRPr="00E9174E">
        <w:rPr>
          <w:sz w:val="26"/>
          <w:szCs w:val="26"/>
        </w:rPr>
        <w:t xml:space="preserve">Conversely, with regard to the Employee Complement Expense, we find the ALJ’s recommendation reasonable to reject Columbia’s proposal to add 59 employees in the FTY of 2020.  We agree with the ALJ’s recommendation to reflect an employee complement of 782, because that figure was the actual high recorded by the Company during 2020.  We note that as of August 2020, the Company had added only nineteen employees rather than the projected fifty-nine.  The ALJ recommended that the Commission reduce the FPFTY O&amp;M expenses by $1,144,000 based on adjustments proposed by the OCA to new employee headcounts and benefits expense.  The total adjustment includes $773,000 for Employee Complement + $371,000 for Employee Benefits = $1,144,000.  R.D. at 106.  Regarding the $1.3 </w:t>
      </w:r>
      <w:r w:rsidR="00D57982" w:rsidRPr="00E9174E">
        <w:rPr>
          <w:sz w:val="26"/>
          <w:szCs w:val="26"/>
        </w:rPr>
        <w:t>m</w:t>
      </w:r>
      <w:r w:rsidRPr="00E9174E">
        <w:rPr>
          <w:sz w:val="26"/>
          <w:szCs w:val="26"/>
        </w:rPr>
        <w:t xml:space="preserve">illion overtime offset that Columbia avers it included in its budget assuming there was a full complement of employees, we are persuaded by the OCA that Columbia has not provided sufficient </w:t>
      </w:r>
      <w:r w:rsidRPr="00E9174E">
        <w:rPr>
          <w:sz w:val="26"/>
          <w:szCs w:val="26"/>
        </w:rPr>
        <w:lastRenderedPageBreak/>
        <w:t xml:space="preserve">support for the need for the overtime costs in replacement of full-time positions, given its actual hiring experience.  Accordingly, Columbia’s Exception No. 6 is denied.  </w:t>
      </w:r>
    </w:p>
    <w:p w14:paraId="2CE1B2C9" w14:textId="77777777" w:rsidR="00BD24E1" w:rsidRPr="00E9174E" w:rsidRDefault="00BD24E1" w:rsidP="007F568B">
      <w:pPr>
        <w:widowControl/>
        <w:spacing w:line="360" w:lineRule="auto"/>
        <w:contextualSpacing/>
        <w:rPr>
          <w:sz w:val="26"/>
          <w:szCs w:val="26"/>
        </w:rPr>
      </w:pPr>
    </w:p>
    <w:p w14:paraId="699499F1" w14:textId="17A8A437" w:rsidR="00BD24E1" w:rsidRPr="00E9174E" w:rsidRDefault="00BD24E1" w:rsidP="001768DD">
      <w:pPr>
        <w:pStyle w:val="Heading2"/>
        <w:numPr>
          <w:ilvl w:val="0"/>
          <w:numId w:val="10"/>
        </w:numPr>
        <w:ind w:left="720" w:hanging="720"/>
      </w:pPr>
      <w:bookmarkStart w:id="134" w:name="_Toc63764446"/>
      <w:bookmarkStart w:id="135" w:name="_Toc36552353"/>
      <w:bookmarkStart w:id="136" w:name="_Toc37162068"/>
      <w:r w:rsidRPr="00E9174E">
        <w:t>Other Employee Benefits</w:t>
      </w:r>
      <w:bookmarkEnd w:id="134"/>
      <w:r w:rsidRPr="00E9174E">
        <w:t xml:space="preserve"> </w:t>
      </w:r>
      <w:bookmarkEnd w:id="135"/>
      <w:bookmarkEnd w:id="136"/>
      <w:r w:rsidRPr="00E9174E">
        <w:t xml:space="preserve"> </w:t>
      </w:r>
    </w:p>
    <w:p w14:paraId="04E292FD" w14:textId="77777777" w:rsidR="00BD24E1" w:rsidRPr="00E9174E" w:rsidRDefault="00BD24E1" w:rsidP="007F568B">
      <w:pPr>
        <w:keepNext/>
        <w:keepLines/>
        <w:widowControl/>
        <w:spacing w:line="360" w:lineRule="auto"/>
        <w:contextualSpacing/>
        <w:rPr>
          <w:sz w:val="26"/>
          <w:szCs w:val="26"/>
        </w:rPr>
      </w:pPr>
    </w:p>
    <w:p w14:paraId="032D9EA0" w14:textId="77777777" w:rsidR="00BD24E1" w:rsidRPr="00E9174E" w:rsidRDefault="00BD24E1" w:rsidP="00277ECF">
      <w:pPr>
        <w:pStyle w:val="Heading3"/>
        <w:numPr>
          <w:ilvl w:val="0"/>
          <w:numId w:val="14"/>
        </w:numPr>
        <w:ind w:left="1440" w:hanging="720"/>
      </w:pPr>
      <w:bookmarkStart w:id="137" w:name="_Toc37162069"/>
      <w:bookmarkStart w:id="138" w:name="_Toc63764447"/>
      <w:r w:rsidRPr="00E9174E">
        <w:t>Positions of the Parties</w:t>
      </w:r>
      <w:bookmarkEnd w:id="137"/>
      <w:bookmarkEnd w:id="138"/>
    </w:p>
    <w:p w14:paraId="082B01C6" w14:textId="77777777" w:rsidR="00BD24E1" w:rsidRPr="00E9174E" w:rsidRDefault="00BD24E1" w:rsidP="007F568B">
      <w:pPr>
        <w:keepNext/>
        <w:keepLines/>
        <w:widowControl/>
        <w:spacing w:line="360" w:lineRule="auto"/>
        <w:contextualSpacing/>
        <w:rPr>
          <w:sz w:val="26"/>
          <w:szCs w:val="26"/>
        </w:rPr>
      </w:pPr>
    </w:p>
    <w:p w14:paraId="74EFAB65" w14:textId="306BA16C" w:rsidR="00BD24E1" w:rsidRPr="00E9174E" w:rsidRDefault="00BD24E1" w:rsidP="007F568B">
      <w:pPr>
        <w:keepNext/>
        <w:widowControl/>
        <w:spacing w:line="360" w:lineRule="auto"/>
        <w:ind w:firstLine="1440"/>
        <w:contextualSpacing/>
        <w:rPr>
          <w:sz w:val="26"/>
          <w:szCs w:val="26"/>
        </w:rPr>
      </w:pPr>
      <w:r w:rsidRPr="00E9174E">
        <w:rPr>
          <w:sz w:val="26"/>
          <w:szCs w:val="26"/>
        </w:rPr>
        <w:t xml:space="preserve">Columbia provided that I&amp;E proposed an adjustment of $500,968 to </w:t>
      </w:r>
      <w:r w:rsidR="008D73EB" w:rsidRPr="00E9174E">
        <w:rPr>
          <w:sz w:val="26"/>
          <w:szCs w:val="26"/>
        </w:rPr>
        <w:t>O</w:t>
      </w:r>
      <w:r w:rsidRPr="00E9174E">
        <w:rPr>
          <w:sz w:val="26"/>
          <w:szCs w:val="26"/>
        </w:rPr>
        <w:t xml:space="preserve">ther Employee Benefits, associated with its proposed vacancy adjustment to labor expense.  The OCA proposed an adjustment of $371,000 to </w:t>
      </w:r>
      <w:r w:rsidR="008D73EB" w:rsidRPr="00E9174E">
        <w:rPr>
          <w:sz w:val="26"/>
          <w:szCs w:val="26"/>
        </w:rPr>
        <w:t>O</w:t>
      </w:r>
      <w:r w:rsidRPr="00E9174E">
        <w:rPr>
          <w:sz w:val="26"/>
          <w:szCs w:val="26"/>
        </w:rPr>
        <w:t xml:space="preserve">ther Employee Benefits.  Columbia explained that both adjustments should be rejected because in developing the FPFTY budget, the Company removed $1.3 million in overtime assuming all full-time positions were filled.  Columbia averred that the adjustments should also be rejected because they assume a direct correlation between Other Employee Benefits and payroll.  Columbia noted that some expenses are not related to employee headcount.  CG </w:t>
      </w:r>
      <w:r w:rsidR="008D73EB" w:rsidRPr="00E9174E">
        <w:rPr>
          <w:sz w:val="26"/>
          <w:szCs w:val="26"/>
        </w:rPr>
        <w:t>M.B.</w:t>
      </w:r>
      <w:r w:rsidRPr="00E9174E">
        <w:rPr>
          <w:sz w:val="26"/>
          <w:szCs w:val="26"/>
        </w:rPr>
        <w:t xml:space="preserve"> at 42 (citing I&amp;E St. 1-SR at 12-14; OCA St. 2-S, Sch. C-1.1).  </w:t>
      </w:r>
    </w:p>
    <w:p w14:paraId="298F47CE" w14:textId="77777777" w:rsidR="00BD24E1" w:rsidRPr="00E9174E" w:rsidRDefault="00BD24E1" w:rsidP="00935674">
      <w:pPr>
        <w:widowControl/>
        <w:spacing w:line="360" w:lineRule="auto"/>
        <w:contextualSpacing/>
        <w:rPr>
          <w:sz w:val="26"/>
          <w:szCs w:val="26"/>
        </w:rPr>
      </w:pPr>
    </w:p>
    <w:p w14:paraId="78C279C8" w14:textId="77777777" w:rsidR="00BD24E1" w:rsidRPr="00E9174E" w:rsidRDefault="00BD24E1" w:rsidP="00277ECF">
      <w:pPr>
        <w:pStyle w:val="Heading3"/>
        <w:numPr>
          <w:ilvl w:val="0"/>
          <w:numId w:val="14"/>
        </w:numPr>
        <w:ind w:left="1440" w:hanging="720"/>
      </w:pPr>
      <w:bookmarkStart w:id="139" w:name="_Toc37162070"/>
      <w:bookmarkStart w:id="140" w:name="_Toc63764448"/>
      <w:r w:rsidRPr="00E9174E">
        <w:t>Recommended Decision</w:t>
      </w:r>
      <w:bookmarkEnd w:id="139"/>
      <w:bookmarkEnd w:id="140"/>
    </w:p>
    <w:p w14:paraId="57C6E697" w14:textId="77777777" w:rsidR="00BD24E1" w:rsidRPr="00E9174E" w:rsidRDefault="00BD24E1" w:rsidP="00935674">
      <w:pPr>
        <w:keepNext/>
        <w:keepLines/>
        <w:widowControl/>
        <w:spacing w:line="360" w:lineRule="auto"/>
        <w:contextualSpacing/>
        <w:rPr>
          <w:sz w:val="26"/>
          <w:szCs w:val="26"/>
        </w:rPr>
      </w:pPr>
    </w:p>
    <w:p w14:paraId="04890F4B" w14:textId="32A2123E" w:rsidR="00BD24E1" w:rsidRPr="00E9174E" w:rsidRDefault="00BD24E1" w:rsidP="00935674">
      <w:pPr>
        <w:keepNext/>
        <w:widowControl/>
        <w:spacing w:line="360" w:lineRule="auto"/>
        <w:ind w:firstLine="1440"/>
        <w:contextualSpacing/>
        <w:rPr>
          <w:sz w:val="26"/>
          <w:szCs w:val="26"/>
        </w:rPr>
      </w:pPr>
      <w:r w:rsidRPr="00E9174E">
        <w:rPr>
          <w:sz w:val="26"/>
          <w:szCs w:val="26"/>
        </w:rPr>
        <w:t>The ALJ recommended a reduction to the Other Employee Benefits expense to reflect a complement of 782.  This recommendation is included in the reduction of $1,144,000 for Employee Complement and Benefits as recommended by the OCA.  The total includes $773,000 for Employee Complement + $371,000 for Employee Benefits = $1,144,000.  R</w:t>
      </w:r>
      <w:r w:rsidR="001E53F0">
        <w:rPr>
          <w:sz w:val="26"/>
          <w:szCs w:val="26"/>
        </w:rPr>
        <w:t>.</w:t>
      </w:r>
      <w:r w:rsidRPr="00E9174E">
        <w:rPr>
          <w:sz w:val="26"/>
          <w:szCs w:val="26"/>
        </w:rPr>
        <w:t>D</w:t>
      </w:r>
      <w:r w:rsidR="001E53F0">
        <w:rPr>
          <w:sz w:val="26"/>
          <w:szCs w:val="26"/>
        </w:rPr>
        <w:t>.</w:t>
      </w:r>
      <w:r w:rsidRPr="00E9174E">
        <w:rPr>
          <w:sz w:val="26"/>
          <w:szCs w:val="26"/>
        </w:rPr>
        <w:t xml:space="preserve"> at 106-107.</w:t>
      </w:r>
      <w:r w:rsidR="00222174" w:rsidRPr="00E9174E">
        <w:rPr>
          <w:sz w:val="26"/>
          <w:szCs w:val="26"/>
        </w:rPr>
        <w:t xml:space="preserve">  </w:t>
      </w:r>
    </w:p>
    <w:p w14:paraId="6FDA3102" w14:textId="77777777" w:rsidR="00BD24E1" w:rsidRPr="00E9174E" w:rsidRDefault="00BD24E1" w:rsidP="00935674">
      <w:pPr>
        <w:widowControl/>
        <w:spacing w:line="360" w:lineRule="auto"/>
        <w:contextualSpacing/>
        <w:rPr>
          <w:sz w:val="26"/>
          <w:szCs w:val="26"/>
        </w:rPr>
      </w:pPr>
    </w:p>
    <w:p w14:paraId="209708EC" w14:textId="77777777" w:rsidR="00BD24E1" w:rsidRPr="00E9174E" w:rsidRDefault="00BD24E1" w:rsidP="00277ECF">
      <w:pPr>
        <w:pStyle w:val="Heading3"/>
        <w:numPr>
          <w:ilvl w:val="0"/>
          <w:numId w:val="14"/>
        </w:numPr>
        <w:ind w:left="1440" w:hanging="720"/>
      </w:pPr>
      <w:bookmarkStart w:id="141" w:name="_Toc37162072"/>
      <w:bookmarkStart w:id="142" w:name="_Toc63764449"/>
      <w:r w:rsidRPr="00E9174E">
        <w:t>Disposition</w:t>
      </w:r>
      <w:bookmarkEnd w:id="141"/>
      <w:bookmarkEnd w:id="142"/>
    </w:p>
    <w:p w14:paraId="5D3E0E7D" w14:textId="77777777" w:rsidR="00BD24E1" w:rsidRPr="00E9174E" w:rsidRDefault="00BD24E1" w:rsidP="00935674">
      <w:pPr>
        <w:keepNext/>
        <w:keepLines/>
        <w:widowControl/>
        <w:spacing w:line="360" w:lineRule="auto"/>
        <w:contextualSpacing/>
        <w:rPr>
          <w:sz w:val="26"/>
          <w:szCs w:val="26"/>
        </w:rPr>
      </w:pPr>
    </w:p>
    <w:p w14:paraId="30BEB990" w14:textId="2E760657" w:rsidR="00BD24E1" w:rsidRPr="00E9174E" w:rsidRDefault="00BD24E1" w:rsidP="00935674">
      <w:pPr>
        <w:keepNext/>
        <w:widowControl/>
        <w:spacing w:line="360" w:lineRule="auto"/>
        <w:ind w:firstLine="1440"/>
        <w:contextualSpacing/>
        <w:rPr>
          <w:sz w:val="26"/>
          <w:szCs w:val="26"/>
        </w:rPr>
      </w:pPr>
      <w:r w:rsidRPr="00E9174E">
        <w:rPr>
          <w:sz w:val="26"/>
          <w:szCs w:val="26"/>
        </w:rPr>
        <w:t xml:space="preserve">None of the Parties filed Exceptions on this issue.  We agree with the ALJ’s recommendation to reduce Other Employee Benefits expense to reflect a complement </w:t>
      </w:r>
      <w:r w:rsidRPr="00E9174E">
        <w:rPr>
          <w:sz w:val="26"/>
          <w:szCs w:val="26"/>
        </w:rPr>
        <w:lastRenderedPageBreak/>
        <w:t>of</w:t>
      </w:r>
      <w:r w:rsidR="00CC0035">
        <w:rPr>
          <w:sz w:val="26"/>
          <w:szCs w:val="26"/>
        </w:rPr>
        <w:t> </w:t>
      </w:r>
      <w:r w:rsidRPr="00E9174E">
        <w:rPr>
          <w:sz w:val="26"/>
          <w:szCs w:val="26"/>
        </w:rPr>
        <w:t xml:space="preserve">782, as recommended by the OCA and as discussed in the Employee Complement section, </w:t>
      </w:r>
      <w:r w:rsidRPr="00E9174E">
        <w:rPr>
          <w:i/>
          <w:iCs/>
          <w:sz w:val="26"/>
          <w:szCs w:val="26"/>
        </w:rPr>
        <w:t>supra.</w:t>
      </w:r>
      <w:r w:rsidRPr="00E9174E">
        <w:rPr>
          <w:sz w:val="26"/>
          <w:szCs w:val="26"/>
        </w:rPr>
        <w:t xml:space="preserve">  </w:t>
      </w:r>
    </w:p>
    <w:p w14:paraId="2B40433E" w14:textId="77777777" w:rsidR="00BD24E1" w:rsidRPr="00E9174E" w:rsidRDefault="00BD24E1" w:rsidP="00E9174E">
      <w:pPr>
        <w:widowControl/>
        <w:spacing w:line="360" w:lineRule="auto"/>
        <w:contextualSpacing/>
        <w:rPr>
          <w:sz w:val="26"/>
          <w:szCs w:val="26"/>
        </w:rPr>
      </w:pPr>
    </w:p>
    <w:p w14:paraId="5B606A94" w14:textId="60A41578" w:rsidR="00BD24E1" w:rsidRPr="00E9174E" w:rsidRDefault="00BD24E1" w:rsidP="001768DD">
      <w:pPr>
        <w:pStyle w:val="Heading2"/>
        <w:numPr>
          <w:ilvl w:val="0"/>
          <w:numId w:val="10"/>
        </w:numPr>
        <w:ind w:left="720" w:hanging="720"/>
      </w:pPr>
      <w:bookmarkStart w:id="143" w:name="_Toc63764450"/>
      <w:r w:rsidRPr="00E9174E">
        <w:t>Incentive Compensation and Stock Rewards</w:t>
      </w:r>
      <w:bookmarkEnd w:id="143"/>
    </w:p>
    <w:p w14:paraId="2D6F6A63" w14:textId="77777777" w:rsidR="00BD24E1" w:rsidRPr="00E9174E" w:rsidRDefault="00BD24E1" w:rsidP="00CC0035">
      <w:pPr>
        <w:keepNext/>
        <w:keepLines/>
        <w:widowControl/>
        <w:spacing w:line="360" w:lineRule="auto"/>
        <w:contextualSpacing/>
        <w:rPr>
          <w:sz w:val="26"/>
          <w:szCs w:val="26"/>
        </w:rPr>
      </w:pPr>
    </w:p>
    <w:p w14:paraId="26511F00" w14:textId="77777777" w:rsidR="00BD24E1" w:rsidRPr="00E9174E" w:rsidRDefault="00BD24E1" w:rsidP="00277ECF">
      <w:pPr>
        <w:pStyle w:val="Heading3"/>
        <w:numPr>
          <w:ilvl w:val="0"/>
          <w:numId w:val="15"/>
        </w:numPr>
        <w:ind w:left="1440" w:hanging="720"/>
      </w:pPr>
      <w:bookmarkStart w:id="144" w:name="_Toc37162074"/>
      <w:bookmarkStart w:id="145" w:name="_Toc63764451"/>
      <w:r w:rsidRPr="00E9174E">
        <w:t>Positions of the Parties</w:t>
      </w:r>
      <w:bookmarkEnd w:id="144"/>
      <w:bookmarkEnd w:id="145"/>
    </w:p>
    <w:p w14:paraId="111EFDF9" w14:textId="77777777" w:rsidR="00BD24E1" w:rsidRPr="00E9174E" w:rsidRDefault="00BD24E1" w:rsidP="00CC0035">
      <w:pPr>
        <w:keepNext/>
        <w:keepLines/>
        <w:widowControl/>
        <w:spacing w:line="360" w:lineRule="auto"/>
        <w:contextualSpacing/>
        <w:rPr>
          <w:sz w:val="26"/>
          <w:szCs w:val="26"/>
        </w:rPr>
      </w:pPr>
    </w:p>
    <w:p w14:paraId="7DA381BA" w14:textId="3214D944" w:rsidR="00BD24E1" w:rsidRPr="00E9174E" w:rsidRDefault="00BD24E1" w:rsidP="00277ECF">
      <w:pPr>
        <w:pStyle w:val="Heading4"/>
        <w:numPr>
          <w:ilvl w:val="0"/>
          <w:numId w:val="50"/>
        </w:numPr>
        <w:ind w:left="2160" w:hanging="720"/>
      </w:pPr>
      <w:bookmarkStart w:id="146" w:name="_Toc63764452"/>
      <w:r w:rsidRPr="00E9174E">
        <w:t>Incentive Compensation</w:t>
      </w:r>
      <w:bookmarkEnd w:id="146"/>
    </w:p>
    <w:p w14:paraId="04B4B057" w14:textId="77777777" w:rsidR="00BD24E1" w:rsidRPr="00E9174E" w:rsidRDefault="00BD24E1" w:rsidP="00CC0035">
      <w:pPr>
        <w:keepNext/>
        <w:keepLines/>
        <w:widowControl/>
        <w:spacing w:line="360" w:lineRule="auto"/>
        <w:contextualSpacing/>
        <w:rPr>
          <w:sz w:val="26"/>
          <w:szCs w:val="26"/>
        </w:rPr>
      </w:pPr>
    </w:p>
    <w:p w14:paraId="22DD9F26" w14:textId="1B65B934" w:rsidR="00BD24E1" w:rsidRPr="00E9174E" w:rsidRDefault="00BD24E1" w:rsidP="00CC0035">
      <w:pPr>
        <w:keepNext/>
        <w:widowControl/>
        <w:spacing w:line="360" w:lineRule="auto"/>
        <w:ind w:firstLine="1440"/>
        <w:contextualSpacing/>
        <w:rPr>
          <w:sz w:val="26"/>
          <w:szCs w:val="26"/>
        </w:rPr>
      </w:pPr>
      <w:r w:rsidRPr="00E9174E">
        <w:rPr>
          <w:sz w:val="26"/>
          <w:szCs w:val="26"/>
        </w:rPr>
        <w:t>Columbia made a claim of $2,267,000 for Incentive Compensation.  CG</w:t>
      </w:r>
      <w:r w:rsidR="00CC0035">
        <w:rPr>
          <w:sz w:val="26"/>
          <w:szCs w:val="26"/>
        </w:rPr>
        <w:t> </w:t>
      </w:r>
      <w:r w:rsidRPr="00E9174E">
        <w:rPr>
          <w:sz w:val="26"/>
          <w:szCs w:val="26"/>
        </w:rPr>
        <w:t xml:space="preserve">M.B. at 43 (citing CG </w:t>
      </w:r>
      <w:proofErr w:type="spellStart"/>
      <w:r w:rsidRPr="00E9174E">
        <w:rPr>
          <w:sz w:val="26"/>
          <w:szCs w:val="26"/>
        </w:rPr>
        <w:t>Exh</w:t>
      </w:r>
      <w:proofErr w:type="spellEnd"/>
      <w:r w:rsidRPr="00E9174E">
        <w:rPr>
          <w:sz w:val="26"/>
          <w:szCs w:val="26"/>
        </w:rPr>
        <w:t>. 104, Sch. 1 at 4).  Columbia noted that I&amp;E proposed an adjustment of $784,686 and the OCA proposed an adjustment of $775,000.  CG M.B. at</w:t>
      </w:r>
      <w:r w:rsidR="00CC0035">
        <w:rPr>
          <w:sz w:val="26"/>
          <w:szCs w:val="26"/>
        </w:rPr>
        <w:t> </w:t>
      </w:r>
      <w:r w:rsidRPr="00E9174E">
        <w:rPr>
          <w:sz w:val="26"/>
          <w:szCs w:val="26"/>
        </w:rPr>
        <w:t xml:space="preserve">43 (citing I&amp;S St. 1-SR at 18; OCA St. 2 at 11).  Columbia provided that both adjustments reflect a ratio of HTY Incentive Compensation to labor expense, applied to FPFTY labor expense.  Columbia explained that the amount of </w:t>
      </w:r>
      <w:r w:rsidR="002E7C68" w:rsidRPr="00E9174E">
        <w:rPr>
          <w:sz w:val="26"/>
          <w:szCs w:val="26"/>
        </w:rPr>
        <w:t>I</w:t>
      </w:r>
      <w:r w:rsidRPr="00E9174E">
        <w:rPr>
          <w:sz w:val="26"/>
          <w:szCs w:val="26"/>
        </w:rPr>
        <w:t xml:space="preserve">ncentive </w:t>
      </w:r>
      <w:r w:rsidR="002E7C68" w:rsidRPr="00E9174E">
        <w:rPr>
          <w:sz w:val="26"/>
          <w:szCs w:val="26"/>
        </w:rPr>
        <w:t>C</w:t>
      </w:r>
      <w:r w:rsidRPr="00E9174E">
        <w:rPr>
          <w:sz w:val="26"/>
          <w:szCs w:val="26"/>
        </w:rPr>
        <w:t xml:space="preserve">ompensation paid is dependent upon achievement of specified goals, including earnings, customer care measures, customer satisfaction measures and safety.  While I&amp;E and the OCA used a single year’s ratio to calculate their adjustments, Columbia averred that an average of payout ratios over a period of years is more appropriate.  CG M.B. at 44 (citing CG </w:t>
      </w:r>
      <w:proofErr w:type="spellStart"/>
      <w:r w:rsidRPr="00E9174E">
        <w:rPr>
          <w:sz w:val="26"/>
          <w:szCs w:val="26"/>
        </w:rPr>
        <w:t>Exh</w:t>
      </w:r>
      <w:proofErr w:type="spellEnd"/>
      <w:r w:rsidRPr="00E9174E">
        <w:rPr>
          <w:sz w:val="26"/>
          <w:szCs w:val="26"/>
        </w:rPr>
        <w:t xml:space="preserve">. 104, Sch. 1 at 4).  </w:t>
      </w:r>
    </w:p>
    <w:p w14:paraId="2B2F285B" w14:textId="77777777" w:rsidR="00BD24E1" w:rsidRPr="00E9174E" w:rsidRDefault="00BD24E1" w:rsidP="00E9174E">
      <w:pPr>
        <w:widowControl/>
        <w:spacing w:line="360" w:lineRule="auto"/>
        <w:ind w:firstLine="1440"/>
        <w:contextualSpacing/>
        <w:rPr>
          <w:sz w:val="26"/>
          <w:szCs w:val="26"/>
        </w:rPr>
      </w:pPr>
    </w:p>
    <w:p w14:paraId="4B2C03B3" w14:textId="77777777" w:rsidR="00BD24E1" w:rsidRPr="00E9174E" w:rsidRDefault="00BD24E1" w:rsidP="00B779E7">
      <w:pPr>
        <w:pStyle w:val="Heading4"/>
        <w:ind w:left="2160" w:hanging="720"/>
      </w:pPr>
      <w:bookmarkStart w:id="147" w:name="_Toc63764453"/>
      <w:r w:rsidRPr="00E9174E">
        <w:t>Stock Rewards</w:t>
      </w:r>
      <w:bookmarkEnd w:id="147"/>
    </w:p>
    <w:p w14:paraId="7296BF4B" w14:textId="77777777" w:rsidR="00BD24E1" w:rsidRPr="00E9174E" w:rsidRDefault="00BD24E1" w:rsidP="00E9174E">
      <w:pPr>
        <w:keepNext/>
        <w:keepLines/>
        <w:widowControl/>
        <w:spacing w:line="360" w:lineRule="auto"/>
        <w:contextualSpacing/>
        <w:rPr>
          <w:sz w:val="26"/>
          <w:szCs w:val="26"/>
        </w:rPr>
      </w:pPr>
    </w:p>
    <w:p w14:paraId="1C359536" w14:textId="5F8E91AF" w:rsidR="00BD24E1" w:rsidRPr="00E9174E" w:rsidRDefault="00BD24E1" w:rsidP="00E9174E">
      <w:pPr>
        <w:keepNext/>
        <w:widowControl/>
        <w:spacing w:line="360" w:lineRule="auto"/>
        <w:ind w:firstLine="1440"/>
        <w:contextualSpacing/>
        <w:rPr>
          <w:sz w:val="26"/>
          <w:szCs w:val="26"/>
        </w:rPr>
      </w:pPr>
      <w:r w:rsidRPr="00E9174E">
        <w:rPr>
          <w:sz w:val="26"/>
          <w:szCs w:val="26"/>
        </w:rPr>
        <w:t xml:space="preserve">Columbia provided that the OCA proposed to disallow 100% of the Company’s FPFTY stock awards, in the amount of $2.3 </w:t>
      </w:r>
      <w:r w:rsidR="00941FA2" w:rsidRPr="00E9174E">
        <w:rPr>
          <w:sz w:val="26"/>
          <w:szCs w:val="26"/>
        </w:rPr>
        <w:t>m</w:t>
      </w:r>
      <w:r w:rsidRPr="00E9174E">
        <w:rPr>
          <w:sz w:val="26"/>
          <w:szCs w:val="26"/>
        </w:rPr>
        <w:t xml:space="preserve">illion.  CG M.B. at 45 (citing OCA St. 2 at 11).  Columbia noted that the OCA witness, Mr. David </w:t>
      </w:r>
      <w:proofErr w:type="spellStart"/>
      <w:r w:rsidRPr="00E9174E">
        <w:rPr>
          <w:sz w:val="26"/>
          <w:szCs w:val="26"/>
        </w:rPr>
        <w:t>Effron</w:t>
      </w:r>
      <w:proofErr w:type="spellEnd"/>
      <w:r w:rsidRPr="00E9174E">
        <w:rPr>
          <w:sz w:val="26"/>
          <w:szCs w:val="26"/>
        </w:rPr>
        <w:t xml:space="preserve">, asserted that stock rewards are a form of </w:t>
      </w:r>
      <w:r w:rsidR="00900332" w:rsidRPr="00E9174E">
        <w:rPr>
          <w:sz w:val="26"/>
          <w:szCs w:val="26"/>
        </w:rPr>
        <w:t>I</w:t>
      </w:r>
      <w:r w:rsidRPr="00E9174E">
        <w:rPr>
          <w:sz w:val="26"/>
          <w:szCs w:val="26"/>
        </w:rPr>
        <w:t xml:space="preserve">ncentive </w:t>
      </w:r>
      <w:r w:rsidR="00900332" w:rsidRPr="00E9174E">
        <w:rPr>
          <w:sz w:val="26"/>
          <w:szCs w:val="26"/>
        </w:rPr>
        <w:t>C</w:t>
      </w:r>
      <w:r w:rsidRPr="00E9174E">
        <w:rPr>
          <w:sz w:val="26"/>
          <w:szCs w:val="26"/>
        </w:rPr>
        <w:t xml:space="preserve">ompensation whose value is based solely on the attainment of financial goals.  According to Columbia, the grant of stock awards is not based solely on financial metrics such as earnings or stock prices but now includes </w:t>
      </w:r>
      <w:r w:rsidRPr="00E9174E">
        <w:rPr>
          <w:sz w:val="26"/>
          <w:szCs w:val="26"/>
        </w:rPr>
        <w:lastRenderedPageBreak/>
        <w:t>important customer value goals in determining the level of stock awards to be granted.  Columbia asserted that public utilities are entitled to recover all reasonable expenses, including incentive compensation incurred to provide service to customers.  CG M.B. at</w:t>
      </w:r>
      <w:r w:rsidR="00B779E7">
        <w:rPr>
          <w:sz w:val="26"/>
          <w:szCs w:val="26"/>
        </w:rPr>
        <w:t> </w:t>
      </w:r>
      <w:r w:rsidRPr="00E9174E">
        <w:rPr>
          <w:sz w:val="26"/>
          <w:szCs w:val="26"/>
        </w:rPr>
        <w:t xml:space="preserve">45-46 (citing </w:t>
      </w:r>
      <w:r w:rsidRPr="00E9174E">
        <w:rPr>
          <w:i/>
          <w:iCs/>
          <w:sz w:val="26"/>
          <w:szCs w:val="26"/>
        </w:rPr>
        <w:t>Butler Township Water Co. v. Pa. PUC</w:t>
      </w:r>
      <w:r w:rsidRPr="00E9174E">
        <w:rPr>
          <w:sz w:val="26"/>
          <w:szCs w:val="26"/>
        </w:rPr>
        <w:t>, 473 A.2d 219, 221 (Pa.</w:t>
      </w:r>
      <w:r w:rsidR="00B779E7">
        <w:rPr>
          <w:sz w:val="26"/>
          <w:szCs w:val="26"/>
        </w:rPr>
        <w:t> </w:t>
      </w:r>
      <w:r w:rsidRPr="00E9174E">
        <w:rPr>
          <w:sz w:val="26"/>
          <w:szCs w:val="26"/>
        </w:rPr>
        <w:t>Cmwlth.</w:t>
      </w:r>
      <w:r w:rsidR="00B779E7">
        <w:rPr>
          <w:sz w:val="26"/>
          <w:szCs w:val="26"/>
        </w:rPr>
        <w:t> </w:t>
      </w:r>
      <w:r w:rsidRPr="00E9174E">
        <w:rPr>
          <w:sz w:val="26"/>
          <w:szCs w:val="26"/>
        </w:rPr>
        <w:t>(1984))</w:t>
      </w:r>
      <w:r w:rsidR="00B42BDB" w:rsidRPr="00E9174E">
        <w:rPr>
          <w:sz w:val="26"/>
          <w:szCs w:val="26"/>
        </w:rPr>
        <w:t>)</w:t>
      </w:r>
      <w:r w:rsidRPr="00E9174E">
        <w:rPr>
          <w:sz w:val="26"/>
          <w:szCs w:val="26"/>
        </w:rPr>
        <w:t xml:space="preserve">.  </w:t>
      </w:r>
    </w:p>
    <w:p w14:paraId="4EAA00EC" w14:textId="77777777" w:rsidR="00BD24E1" w:rsidRPr="00E9174E" w:rsidRDefault="00BD24E1" w:rsidP="00E9174E">
      <w:pPr>
        <w:widowControl/>
        <w:spacing w:line="360" w:lineRule="auto"/>
        <w:contextualSpacing/>
        <w:rPr>
          <w:sz w:val="26"/>
          <w:szCs w:val="26"/>
        </w:rPr>
      </w:pPr>
    </w:p>
    <w:p w14:paraId="6AF24270" w14:textId="77777777" w:rsidR="00BD24E1" w:rsidRPr="00E9174E" w:rsidRDefault="00BD24E1" w:rsidP="00277ECF">
      <w:pPr>
        <w:pStyle w:val="Heading3"/>
        <w:numPr>
          <w:ilvl w:val="0"/>
          <w:numId w:val="15"/>
        </w:numPr>
        <w:ind w:left="1440" w:hanging="720"/>
      </w:pPr>
      <w:bookmarkStart w:id="148" w:name="_Toc37162075"/>
      <w:bookmarkStart w:id="149" w:name="_Toc63764454"/>
      <w:r w:rsidRPr="00E9174E">
        <w:t>Recommended Decision</w:t>
      </w:r>
      <w:bookmarkEnd w:id="148"/>
      <w:bookmarkEnd w:id="149"/>
    </w:p>
    <w:p w14:paraId="6AEBA152" w14:textId="77777777" w:rsidR="00BD24E1" w:rsidRPr="00E9174E" w:rsidRDefault="00BD24E1" w:rsidP="00E9174E">
      <w:pPr>
        <w:keepNext/>
        <w:keepLines/>
        <w:widowControl/>
        <w:spacing w:line="360" w:lineRule="auto"/>
        <w:contextualSpacing/>
        <w:rPr>
          <w:sz w:val="26"/>
          <w:szCs w:val="26"/>
        </w:rPr>
      </w:pPr>
    </w:p>
    <w:p w14:paraId="6C98B083" w14:textId="77777777" w:rsidR="00BD24E1" w:rsidRPr="00E9174E" w:rsidRDefault="00BD24E1" w:rsidP="00277ECF">
      <w:pPr>
        <w:pStyle w:val="Heading4"/>
        <w:numPr>
          <w:ilvl w:val="0"/>
          <w:numId w:val="51"/>
        </w:numPr>
        <w:ind w:left="2160" w:hanging="720"/>
      </w:pPr>
      <w:bookmarkStart w:id="150" w:name="_Toc63764455"/>
      <w:r w:rsidRPr="00E9174E">
        <w:t>Incentive Compensation</w:t>
      </w:r>
      <w:bookmarkEnd w:id="150"/>
    </w:p>
    <w:p w14:paraId="38B876D2" w14:textId="77777777" w:rsidR="00BD24E1" w:rsidRPr="00E9174E" w:rsidRDefault="00BD24E1" w:rsidP="00E9174E">
      <w:pPr>
        <w:keepNext/>
        <w:keepLines/>
        <w:widowControl/>
        <w:spacing w:line="360" w:lineRule="auto"/>
        <w:ind w:firstLine="1440"/>
        <w:contextualSpacing/>
        <w:rPr>
          <w:sz w:val="26"/>
          <w:szCs w:val="26"/>
        </w:rPr>
      </w:pPr>
    </w:p>
    <w:p w14:paraId="17B3190E" w14:textId="77777777" w:rsidR="00BD24E1" w:rsidRPr="00E9174E" w:rsidRDefault="00BD24E1" w:rsidP="00E9174E">
      <w:pPr>
        <w:keepNext/>
        <w:widowControl/>
        <w:spacing w:line="360" w:lineRule="auto"/>
        <w:ind w:firstLine="1440"/>
        <w:contextualSpacing/>
        <w:rPr>
          <w:sz w:val="26"/>
          <w:szCs w:val="26"/>
        </w:rPr>
      </w:pPr>
      <w:r w:rsidRPr="00E9174E">
        <w:rPr>
          <w:sz w:val="26"/>
          <w:szCs w:val="26"/>
        </w:rPr>
        <w:t xml:space="preserve">The ALJ agreed with I&amp;E that I&amp;E’s adjustment based on historical results does not depart from the principles of a FPFTY claim (as alleged by the Company) because, without adequate justification for a FPFTY claim, it is reasonable to rely on historical data, particularly when there is no guaranteed full payout in any given year and fluctuation from year to year can result.  The ALJ reasoned that using historical data in this proceeding is more appropriate and produces a just and reasonable estimate of this expense cost.  The ALJ recommended that the Commission adjust the labor expense allowance of $36,420,494 by 4.07%, which results in a reduction of $784,686 to the Company’s claim.  The ALJ noted that this recommended allowance is slightly higher than the Company’s actual 2019 payout.  R.D. at 107-108 (citing I&amp;E St. 1-SR at 19).  </w:t>
      </w:r>
    </w:p>
    <w:p w14:paraId="4CD4DB7E" w14:textId="77777777" w:rsidR="00BD24E1" w:rsidRPr="00E9174E" w:rsidRDefault="00BD24E1" w:rsidP="00E9174E">
      <w:pPr>
        <w:widowControl/>
        <w:spacing w:line="360" w:lineRule="auto"/>
        <w:ind w:firstLine="1440"/>
        <w:contextualSpacing/>
        <w:rPr>
          <w:sz w:val="26"/>
          <w:szCs w:val="26"/>
        </w:rPr>
      </w:pPr>
    </w:p>
    <w:p w14:paraId="1CF54D76" w14:textId="77777777" w:rsidR="00BD24E1" w:rsidRPr="00E9174E" w:rsidRDefault="00BD24E1" w:rsidP="00B779E7">
      <w:pPr>
        <w:pStyle w:val="Heading4"/>
        <w:ind w:left="2160" w:hanging="720"/>
      </w:pPr>
      <w:bookmarkStart w:id="151" w:name="_Toc63764456"/>
      <w:r w:rsidRPr="00E9174E">
        <w:t>Stock Rewards</w:t>
      </w:r>
      <w:bookmarkEnd w:id="151"/>
    </w:p>
    <w:p w14:paraId="09A975CC" w14:textId="77777777" w:rsidR="00BD24E1" w:rsidRPr="00E9174E" w:rsidRDefault="00BD24E1" w:rsidP="00E9174E">
      <w:pPr>
        <w:keepNext/>
        <w:keepLines/>
        <w:widowControl/>
        <w:spacing w:line="360" w:lineRule="auto"/>
        <w:ind w:firstLine="1440"/>
        <w:contextualSpacing/>
        <w:rPr>
          <w:sz w:val="26"/>
          <w:szCs w:val="26"/>
        </w:rPr>
      </w:pPr>
    </w:p>
    <w:p w14:paraId="4518C2FD" w14:textId="77777777" w:rsidR="00BD24E1" w:rsidRPr="00E9174E" w:rsidRDefault="00BD24E1" w:rsidP="00E9174E">
      <w:pPr>
        <w:keepNext/>
        <w:widowControl/>
        <w:spacing w:line="360" w:lineRule="auto"/>
        <w:ind w:firstLine="1440"/>
        <w:contextualSpacing/>
        <w:rPr>
          <w:sz w:val="26"/>
          <w:szCs w:val="26"/>
        </w:rPr>
      </w:pPr>
      <w:r w:rsidRPr="00E9174E">
        <w:rPr>
          <w:sz w:val="26"/>
          <w:szCs w:val="26"/>
        </w:rPr>
        <w:t xml:space="preserve">The ALJ noted that the OCA proposed an elimination of the $2,300,000 stock rewards expense from the O&amp;M expenses.  The ALJ agreed with the OCA that stock rewards and the appreciation of common stock are a shareholder-oriented goal, not a customer service-oriented goal.  R.D. at 109 (citing OCA St. 2 at 12).  The ALJ reasoned that higher earnings for the Company will come from higher rates which will increase the value of the Company’s common stock.  The ALJ agreed with the OCA’s </w:t>
      </w:r>
      <w:r w:rsidRPr="00E9174E">
        <w:rPr>
          <w:sz w:val="26"/>
          <w:szCs w:val="26"/>
        </w:rPr>
        <w:lastRenderedPageBreak/>
        <w:t xml:space="preserve">argument that shareholders, not ratepayers, should bear the cost of any incentive program because, if the incentive program succeeds, Columbia’s earnings and common stock values will rise.  </w:t>
      </w:r>
      <w:r w:rsidRPr="00E9174E">
        <w:rPr>
          <w:i/>
          <w:iCs/>
          <w:sz w:val="26"/>
          <w:szCs w:val="26"/>
        </w:rPr>
        <w:t>Id.</w:t>
      </w:r>
      <w:r w:rsidRPr="00E9174E">
        <w:rPr>
          <w:sz w:val="26"/>
          <w:szCs w:val="26"/>
        </w:rPr>
        <w:t xml:space="preserve">  The ALJ recommended that the Commission determine that increases to common stock valuations are a shareholder benefit for which the shareholders should bear the cost.  The ALJ concluded that approving the incentive program as an element of the rate base expenses would not lead to a reasonable and just rate.  R.D. at 109.  </w:t>
      </w:r>
    </w:p>
    <w:p w14:paraId="61FD405F" w14:textId="77777777" w:rsidR="00BD24E1" w:rsidRPr="00E9174E" w:rsidRDefault="00BD24E1" w:rsidP="00E9174E">
      <w:pPr>
        <w:widowControl/>
        <w:spacing w:line="360" w:lineRule="auto"/>
        <w:contextualSpacing/>
        <w:rPr>
          <w:sz w:val="26"/>
          <w:szCs w:val="26"/>
        </w:rPr>
      </w:pPr>
    </w:p>
    <w:p w14:paraId="4B9B5BE5" w14:textId="77777777" w:rsidR="00BD24E1" w:rsidRPr="00E9174E" w:rsidRDefault="00BD24E1" w:rsidP="00277ECF">
      <w:pPr>
        <w:pStyle w:val="Heading3"/>
        <w:numPr>
          <w:ilvl w:val="0"/>
          <w:numId w:val="15"/>
        </w:numPr>
        <w:ind w:left="1440" w:hanging="720"/>
      </w:pPr>
      <w:bookmarkStart w:id="152" w:name="_Toc37162077"/>
      <w:bookmarkStart w:id="153" w:name="_Toc63764457"/>
      <w:r w:rsidRPr="00E9174E">
        <w:t>Disposition</w:t>
      </w:r>
      <w:bookmarkEnd w:id="152"/>
      <w:bookmarkEnd w:id="153"/>
    </w:p>
    <w:p w14:paraId="222142CD" w14:textId="77777777" w:rsidR="00BD24E1" w:rsidRPr="00E9174E" w:rsidRDefault="00BD24E1" w:rsidP="00E9174E">
      <w:pPr>
        <w:keepNext/>
        <w:keepLines/>
        <w:widowControl/>
        <w:contextualSpacing/>
        <w:rPr>
          <w:sz w:val="26"/>
          <w:szCs w:val="26"/>
        </w:rPr>
      </w:pPr>
    </w:p>
    <w:p w14:paraId="710C6772" w14:textId="1AA5CA88" w:rsidR="00BD24E1" w:rsidRPr="00E9174E" w:rsidRDefault="00BD24E1" w:rsidP="00E9174E">
      <w:pPr>
        <w:keepNext/>
        <w:widowControl/>
        <w:spacing w:line="360" w:lineRule="auto"/>
        <w:ind w:firstLine="1440"/>
        <w:contextualSpacing/>
        <w:rPr>
          <w:sz w:val="26"/>
          <w:szCs w:val="26"/>
        </w:rPr>
      </w:pPr>
      <w:r w:rsidRPr="00E9174E">
        <w:rPr>
          <w:sz w:val="26"/>
          <w:szCs w:val="26"/>
        </w:rPr>
        <w:t xml:space="preserve">None of the Parties filed Exceptions on this issue.  We agree with the ALJ that the labor expense allowance of $36,420,494 should be adjusted by 4.07%, which results in an incentive compensation allowance equal to $1,482,314, or a reduction of $784,686 to the Company’s claim.  As I&amp;E demonstrated, the </w:t>
      </w:r>
      <w:r w:rsidR="000D3CCB" w:rsidRPr="00E9174E">
        <w:rPr>
          <w:sz w:val="26"/>
          <w:szCs w:val="26"/>
        </w:rPr>
        <w:t>I</w:t>
      </w:r>
      <w:r w:rsidRPr="00E9174E">
        <w:rPr>
          <w:sz w:val="26"/>
          <w:szCs w:val="26"/>
        </w:rPr>
        <w:t xml:space="preserve">ncentive </w:t>
      </w:r>
      <w:r w:rsidR="000D3CCB" w:rsidRPr="00E9174E">
        <w:rPr>
          <w:sz w:val="26"/>
          <w:szCs w:val="26"/>
        </w:rPr>
        <w:t>C</w:t>
      </w:r>
      <w:r w:rsidRPr="00E9174E">
        <w:rPr>
          <w:sz w:val="26"/>
          <w:szCs w:val="26"/>
        </w:rPr>
        <w:t xml:space="preserve">ompensation decreased significantly over the most recent historical years both in dollars and percentage of labor expense from 8.90% to 4.72% between 2017 and 2018, then to 4.07% in 2019.  We are persuaded that 4.07% is a more reasonable adjustment, rather than the average proposed by Columbia.  R.D. at 108 (citing I&amp;E St. 1-SR at 18).  </w:t>
      </w:r>
    </w:p>
    <w:p w14:paraId="03E96A5E" w14:textId="77777777" w:rsidR="00BD24E1" w:rsidRPr="00E9174E" w:rsidRDefault="00BD24E1" w:rsidP="00E9174E">
      <w:pPr>
        <w:widowControl/>
        <w:spacing w:line="360" w:lineRule="auto"/>
        <w:ind w:firstLine="1440"/>
        <w:contextualSpacing/>
        <w:rPr>
          <w:sz w:val="26"/>
          <w:szCs w:val="26"/>
        </w:rPr>
      </w:pPr>
    </w:p>
    <w:p w14:paraId="2CA245A2" w14:textId="77777777" w:rsidR="00BD24E1" w:rsidRPr="00E9174E" w:rsidRDefault="00BD24E1" w:rsidP="00E9174E">
      <w:pPr>
        <w:widowControl/>
        <w:spacing w:line="360" w:lineRule="auto"/>
        <w:ind w:firstLine="1440"/>
        <w:contextualSpacing/>
        <w:rPr>
          <w:sz w:val="26"/>
          <w:szCs w:val="26"/>
        </w:rPr>
      </w:pPr>
      <w:r w:rsidRPr="00E9174E">
        <w:rPr>
          <w:sz w:val="26"/>
          <w:szCs w:val="26"/>
        </w:rPr>
        <w:t xml:space="preserve">We also agree with the ALJ’s recommendation to disallow the $2,300,000 of stock rewards expense from the FPFTY O&amp;M expenses.  We note that Columbia has voluntarily withdrawn its claim regarding the stock compensation portion of its incentive compensation program.  </w:t>
      </w:r>
      <w:r w:rsidRPr="00E9174E">
        <w:rPr>
          <w:i/>
          <w:iCs/>
          <w:sz w:val="26"/>
          <w:szCs w:val="26"/>
        </w:rPr>
        <w:t xml:space="preserve">See </w:t>
      </w:r>
      <w:r w:rsidRPr="00E9174E">
        <w:rPr>
          <w:sz w:val="26"/>
          <w:szCs w:val="26"/>
        </w:rPr>
        <w:t xml:space="preserve">CG Exc. at 2-3.  </w:t>
      </w:r>
    </w:p>
    <w:p w14:paraId="68561524" w14:textId="77777777" w:rsidR="00BD24E1" w:rsidRPr="00E9174E" w:rsidRDefault="00BD24E1" w:rsidP="00E9174E">
      <w:pPr>
        <w:widowControl/>
        <w:spacing w:line="360" w:lineRule="auto"/>
        <w:contextualSpacing/>
        <w:rPr>
          <w:sz w:val="26"/>
          <w:szCs w:val="26"/>
        </w:rPr>
      </w:pPr>
    </w:p>
    <w:p w14:paraId="4975F63F" w14:textId="0CC826EB" w:rsidR="00BD24E1" w:rsidRPr="00E9174E" w:rsidRDefault="00BD24E1" w:rsidP="001768DD">
      <w:pPr>
        <w:pStyle w:val="Heading2"/>
        <w:numPr>
          <w:ilvl w:val="0"/>
          <w:numId w:val="10"/>
        </w:numPr>
        <w:ind w:left="720" w:hanging="720"/>
      </w:pPr>
      <w:bookmarkStart w:id="154" w:name="_Toc63764458"/>
      <w:r w:rsidRPr="00E9174E">
        <w:lastRenderedPageBreak/>
        <w:t>PUC, the OCA</w:t>
      </w:r>
      <w:r w:rsidR="00AD57F0" w:rsidRPr="00E9174E">
        <w:t>,</w:t>
      </w:r>
      <w:r w:rsidRPr="00E9174E">
        <w:t xml:space="preserve"> and the OSBA Fees</w:t>
      </w:r>
      <w:bookmarkEnd w:id="154"/>
    </w:p>
    <w:p w14:paraId="4D74A581" w14:textId="77777777" w:rsidR="00BD24E1" w:rsidRPr="00E9174E" w:rsidRDefault="00BD24E1" w:rsidP="00E9174E">
      <w:pPr>
        <w:keepNext/>
        <w:keepLines/>
        <w:widowControl/>
        <w:spacing w:line="360" w:lineRule="auto"/>
        <w:contextualSpacing/>
        <w:rPr>
          <w:sz w:val="26"/>
          <w:szCs w:val="26"/>
        </w:rPr>
      </w:pPr>
    </w:p>
    <w:p w14:paraId="0EFE1ECE" w14:textId="77777777" w:rsidR="00BD24E1" w:rsidRPr="00E9174E" w:rsidRDefault="00BD24E1" w:rsidP="00277ECF">
      <w:pPr>
        <w:pStyle w:val="Heading3"/>
        <w:numPr>
          <w:ilvl w:val="0"/>
          <w:numId w:val="31"/>
        </w:numPr>
        <w:ind w:left="1440" w:hanging="720"/>
      </w:pPr>
      <w:bookmarkStart w:id="155" w:name="_Toc37162079"/>
      <w:bookmarkStart w:id="156" w:name="_Toc63764459"/>
      <w:r w:rsidRPr="00E9174E">
        <w:t>Positions of the Parties</w:t>
      </w:r>
      <w:bookmarkEnd w:id="155"/>
      <w:bookmarkEnd w:id="156"/>
    </w:p>
    <w:p w14:paraId="45F08F9D" w14:textId="77777777" w:rsidR="00BD24E1" w:rsidRPr="00E9174E" w:rsidRDefault="00BD24E1" w:rsidP="00E9174E">
      <w:pPr>
        <w:keepNext/>
        <w:keepLines/>
        <w:widowControl/>
        <w:spacing w:line="360" w:lineRule="auto"/>
        <w:contextualSpacing/>
        <w:rPr>
          <w:sz w:val="26"/>
          <w:szCs w:val="26"/>
        </w:rPr>
      </w:pPr>
    </w:p>
    <w:p w14:paraId="38C25E84" w14:textId="4A72B63C" w:rsidR="00BD24E1" w:rsidRPr="00E9174E" w:rsidRDefault="00BD24E1" w:rsidP="00E9174E">
      <w:pPr>
        <w:keepNext/>
        <w:widowControl/>
        <w:spacing w:line="360" w:lineRule="auto"/>
        <w:ind w:firstLine="1440"/>
        <w:contextualSpacing/>
        <w:rPr>
          <w:sz w:val="26"/>
          <w:szCs w:val="26"/>
        </w:rPr>
      </w:pPr>
      <w:r w:rsidRPr="00E9174E">
        <w:rPr>
          <w:sz w:val="26"/>
          <w:szCs w:val="26"/>
        </w:rPr>
        <w:t>I&amp;E recommended reducing the Company’s claim for these fees by $348,549 based on the Company’s 2019 assessment notice.</w:t>
      </w:r>
      <w:r w:rsidR="00222174" w:rsidRPr="00E9174E">
        <w:rPr>
          <w:sz w:val="26"/>
          <w:szCs w:val="26"/>
        </w:rPr>
        <w:t xml:space="preserve">  </w:t>
      </w:r>
      <w:r w:rsidRPr="00E9174E">
        <w:rPr>
          <w:sz w:val="26"/>
          <w:szCs w:val="26"/>
        </w:rPr>
        <w:t xml:space="preserve"> </w:t>
      </w:r>
    </w:p>
    <w:p w14:paraId="13B0B7B0" w14:textId="77777777" w:rsidR="00BD24E1" w:rsidRPr="00E9174E" w:rsidRDefault="00BD24E1" w:rsidP="00E9174E">
      <w:pPr>
        <w:widowControl/>
        <w:spacing w:line="360" w:lineRule="auto"/>
        <w:contextualSpacing/>
        <w:rPr>
          <w:sz w:val="26"/>
          <w:szCs w:val="26"/>
        </w:rPr>
      </w:pPr>
    </w:p>
    <w:p w14:paraId="7D838438" w14:textId="77777777" w:rsidR="00BD24E1" w:rsidRPr="00E9174E" w:rsidRDefault="00BD24E1" w:rsidP="00277ECF">
      <w:pPr>
        <w:pStyle w:val="Heading3"/>
        <w:numPr>
          <w:ilvl w:val="0"/>
          <w:numId w:val="31"/>
        </w:numPr>
        <w:ind w:left="1440" w:hanging="720"/>
      </w:pPr>
      <w:bookmarkStart w:id="157" w:name="_Toc37162080"/>
      <w:bookmarkStart w:id="158" w:name="_Toc63764460"/>
      <w:r w:rsidRPr="00E9174E">
        <w:t>Recommended Decision</w:t>
      </w:r>
      <w:bookmarkEnd w:id="157"/>
      <w:bookmarkEnd w:id="158"/>
    </w:p>
    <w:p w14:paraId="39745BC5" w14:textId="77777777" w:rsidR="00BD24E1" w:rsidRPr="00E9174E" w:rsidRDefault="00BD24E1" w:rsidP="00E9174E">
      <w:pPr>
        <w:keepNext/>
        <w:keepLines/>
        <w:widowControl/>
        <w:spacing w:line="360" w:lineRule="auto"/>
        <w:contextualSpacing/>
        <w:rPr>
          <w:sz w:val="26"/>
          <w:szCs w:val="26"/>
        </w:rPr>
      </w:pPr>
    </w:p>
    <w:p w14:paraId="3FF15F1F" w14:textId="77777777" w:rsidR="00BD24E1" w:rsidRPr="00E9174E" w:rsidRDefault="00BD24E1" w:rsidP="00B779E7">
      <w:pPr>
        <w:keepNext/>
        <w:widowControl/>
        <w:spacing w:line="360" w:lineRule="auto"/>
        <w:ind w:firstLine="1440"/>
        <w:contextualSpacing/>
        <w:rPr>
          <w:sz w:val="26"/>
          <w:szCs w:val="26"/>
        </w:rPr>
      </w:pPr>
      <w:r w:rsidRPr="00E9174E">
        <w:rPr>
          <w:sz w:val="26"/>
          <w:szCs w:val="26"/>
        </w:rPr>
        <w:t>The ALJ recommended reducing the fees by $348,549 as I&amp;E originally proposed.  R.D. at 110.</w:t>
      </w:r>
    </w:p>
    <w:p w14:paraId="29DAF7D6" w14:textId="77777777" w:rsidR="00BD24E1" w:rsidRPr="00E9174E" w:rsidRDefault="00BD24E1" w:rsidP="00B779E7">
      <w:pPr>
        <w:widowControl/>
        <w:spacing w:line="360" w:lineRule="auto"/>
        <w:contextualSpacing/>
        <w:rPr>
          <w:sz w:val="26"/>
          <w:szCs w:val="26"/>
        </w:rPr>
      </w:pPr>
    </w:p>
    <w:p w14:paraId="5062A2D6" w14:textId="77777777" w:rsidR="00BD24E1" w:rsidRPr="00E9174E" w:rsidRDefault="00BD24E1" w:rsidP="00277ECF">
      <w:pPr>
        <w:pStyle w:val="Heading3"/>
        <w:numPr>
          <w:ilvl w:val="0"/>
          <w:numId w:val="31"/>
        </w:numPr>
        <w:ind w:left="1440" w:hanging="720"/>
      </w:pPr>
      <w:bookmarkStart w:id="159" w:name="_Toc37162081"/>
      <w:bookmarkStart w:id="160" w:name="_Toc63764461"/>
      <w:r w:rsidRPr="00E9174E">
        <w:t>Columbia Exception No. 7 and Replies</w:t>
      </w:r>
      <w:bookmarkEnd w:id="159"/>
      <w:bookmarkEnd w:id="160"/>
    </w:p>
    <w:p w14:paraId="730DBA44" w14:textId="77777777" w:rsidR="00BD24E1" w:rsidRPr="00E9174E" w:rsidRDefault="00BD24E1" w:rsidP="00B779E7">
      <w:pPr>
        <w:keepNext/>
        <w:keepLines/>
        <w:widowControl/>
        <w:spacing w:line="360" w:lineRule="auto"/>
        <w:contextualSpacing/>
        <w:rPr>
          <w:sz w:val="26"/>
          <w:szCs w:val="26"/>
        </w:rPr>
      </w:pPr>
    </w:p>
    <w:p w14:paraId="70AFAA54" w14:textId="0CDA3C42" w:rsidR="00BD24E1" w:rsidRPr="00E9174E" w:rsidRDefault="00BD24E1" w:rsidP="00B779E7">
      <w:pPr>
        <w:keepNext/>
        <w:widowControl/>
        <w:spacing w:line="360" w:lineRule="auto"/>
        <w:ind w:firstLine="1440"/>
        <w:contextualSpacing/>
        <w:rPr>
          <w:sz w:val="26"/>
          <w:szCs w:val="26"/>
        </w:rPr>
      </w:pPr>
      <w:r w:rsidRPr="00E9174E">
        <w:rPr>
          <w:sz w:val="26"/>
          <w:szCs w:val="26"/>
        </w:rPr>
        <w:t xml:space="preserve">In its Exception No. 7, Columbia provides that prior to the close of the record, the Company received its actual 2020 Commission invoice.  According to the Company, the actual invoice amount is $2,008,792.  CG Exc. at 13 (citing CG </w:t>
      </w:r>
      <w:proofErr w:type="spellStart"/>
      <w:r w:rsidRPr="00E9174E">
        <w:rPr>
          <w:sz w:val="26"/>
          <w:szCs w:val="26"/>
        </w:rPr>
        <w:t>Exh</w:t>
      </w:r>
      <w:proofErr w:type="spellEnd"/>
      <w:r w:rsidRPr="00E9174E">
        <w:rPr>
          <w:sz w:val="26"/>
          <w:szCs w:val="26"/>
        </w:rPr>
        <w:t>. NJDK-1RJ).  Columbia contends that the R</w:t>
      </w:r>
      <w:r w:rsidR="00C80C57" w:rsidRPr="00E9174E">
        <w:rPr>
          <w:sz w:val="26"/>
          <w:szCs w:val="26"/>
        </w:rPr>
        <w:t xml:space="preserve">ecommended </w:t>
      </w:r>
      <w:r w:rsidRPr="00E9174E">
        <w:rPr>
          <w:sz w:val="26"/>
          <w:szCs w:val="26"/>
        </w:rPr>
        <w:t>D</w:t>
      </w:r>
      <w:r w:rsidR="00C80C57" w:rsidRPr="00E9174E">
        <w:rPr>
          <w:sz w:val="26"/>
          <w:szCs w:val="26"/>
        </w:rPr>
        <w:t>ecision</w:t>
      </w:r>
      <w:r w:rsidRPr="00E9174E">
        <w:rPr>
          <w:sz w:val="26"/>
          <w:szCs w:val="26"/>
        </w:rPr>
        <w:t xml:space="preserve"> should be revised to reflect the most recent Commission invoice of $2,008,792.  CG Exc. at 13-14.  Columbia’s budgeted amount of $2,262,000 will be reduced by $253,208 to reflect the</w:t>
      </w:r>
      <w:r w:rsidR="00B779E7">
        <w:rPr>
          <w:sz w:val="26"/>
          <w:szCs w:val="26"/>
        </w:rPr>
        <w:t> </w:t>
      </w:r>
      <w:r w:rsidRPr="00E9174E">
        <w:rPr>
          <w:sz w:val="26"/>
          <w:szCs w:val="26"/>
        </w:rPr>
        <w:t xml:space="preserve">2020 invoice amount ($2,262,000 - $2,008,792 = $253,208).  CG M.B. at 47.  </w:t>
      </w:r>
    </w:p>
    <w:p w14:paraId="1E263A73" w14:textId="77777777" w:rsidR="00BD24E1" w:rsidRPr="00E9174E" w:rsidRDefault="00BD24E1" w:rsidP="00E9174E">
      <w:pPr>
        <w:widowControl/>
        <w:spacing w:line="360" w:lineRule="auto"/>
        <w:ind w:firstLine="1440"/>
        <w:contextualSpacing/>
        <w:rPr>
          <w:sz w:val="26"/>
          <w:szCs w:val="26"/>
        </w:rPr>
      </w:pPr>
    </w:p>
    <w:p w14:paraId="3B9D10D7" w14:textId="4761FF4D" w:rsidR="00BD24E1" w:rsidRPr="00E9174E" w:rsidRDefault="00BD24E1" w:rsidP="00E9174E">
      <w:pPr>
        <w:widowControl/>
        <w:spacing w:line="360" w:lineRule="auto"/>
        <w:ind w:firstLine="1440"/>
        <w:contextualSpacing/>
        <w:rPr>
          <w:sz w:val="26"/>
          <w:szCs w:val="26"/>
        </w:rPr>
      </w:pPr>
      <w:r w:rsidRPr="00E9174E">
        <w:rPr>
          <w:sz w:val="26"/>
          <w:szCs w:val="26"/>
        </w:rPr>
        <w:t>In response, I&amp;E notes that it entered into a Stipulation with the Company to admit the 2020 invoice into the evidentiary record.  I&amp;E agrees with Columbia that it is appropriate to rely upon the 2020 invoice to determine the appropriate expense allowance.  I&amp;E R. Exc. at 5-6 (citing Stipulations Between Columba Gas of Pennsylvania, Inc. and the Bureau of Investigation and Enforcement, filed on September</w:t>
      </w:r>
      <w:r w:rsidR="00B779E7">
        <w:rPr>
          <w:sz w:val="26"/>
          <w:szCs w:val="26"/>
        </w:rPr>
        <w:t> </w:t>
      </w:r>
      <w:r w:rsidRPr="00E9174E">
        <w:rPr>
          <w:sz w:val="26"/>
          <w:szCs w:val="26"/>
        </w:rPr>
        <w:t xml:space="preserve">21, 2020 at Docket No. R-2020-3018835).  </w:t>
      </w:r>
    </w:p>
    <w:p w14:paraId="139BD163" w14:textId="77777777" w:rsidR="00BD24E1" w:rsidRPr="00E9174E" w:rsidRDefault="00BD24E1" w:rsidP="00E9174E">
      <w:pPr>
        <w:widowControl/>
        <w:spacing w:line="360" w:lineRule="auto"/>
        <w:contextualSpacing/>
        <w:rPr>
          <w:sz w:val="26"/>
          <w:szCs w:val="26"/>
        </w:rPr>
      </w:pPr>
    </w:p>
    <w:p w14:paraId="5BBC8F2A" w14:textId="77777777" w:rsidR="00BD24E1" w:rsidRPr="00E9174E" w:rsidRDefault="00BD24E1" w:rsidP="00277ECF">
      <w:pPr>
        <w:pStyle w:val="Heading3"/>
        <w:numPr>
          <w:ilvl w:val="0"/>
          <w:numId w:val="31"/>
        </w:numPr>
        <w:ind w:left="1440" w:hanging="720"/>
      </w:pPr>
      <w:bookmarkStart w:id="161" w:name="_Toc37162082"/>
      <w:bookmarkStart w:id="162" w:name="_Toc63764462"/>
      <w:r w:rsidRPr="00E9174E">
        <w:lastRenderedPageBreak/>
        <w:t>Disposition</w:t>
      </w:r>
      <w:bookmarkEnd w:id="161"/>
      <w:bookmarkEnd w:id="162"/>
    </w:p>
    <w:p w14:paraId="6BCD340B" w14:textId="77777777" w:rsidR="00BD24E1" w:rsidRPr="00E9174E" w:rsidRDefault="00BD24E1" w:rsidP="00E9174E">
      <w:pPr>
        <w:keepNext/>
        <w:keepLines/>
        <w:widowControl/>
        <w:spacing w:line="360" w:lineRule="auto"/>
        <w:contextualSpacing/>
        <w:rPr>
          <w:sz w:val="26"/>
          <w:szCs w:val="26"/>
        </w:rPr>
      </w:pPr>
    </w:p>
    <w:p w14:paraId="3A527884" w14:textId="5D7F7496" w:rsidR="00BD24E1" w:rsidRPr="00E9174E" w:rsidRDefault="00BD24E1" w:rsidP="00E9174E">
      <w:pPr>
        <w:keepNext/>
        <w:widowControl/>
        <w:spacing w:line="360" w:lineRule="auto"/>
        <w:ind w:firstLine="1440"/>
        <w:contextualSpacing/>
        <w:rPr>
          <w:sz w:val="26"/>
          <w:szCs w:val="26"/>
        </w:rPr>
      </w:pPr>
      <w:r w:rsidRPr="00E9174E">
        <w:rPr>
          <w:sz w:val="26"/>
          <w:szCs w:val="26"/>
        </w:rPr>
        <w:t xml:space="preserve">We find that </w:t>
      </w:r>
      <w:r w:rsidR="00415627" w:rsidRPr="00E9174E">
        <w:rPr>
          <w:sz w:val="26"/>
          <w:szCs w:val="26"/>
        </w:rPr>
        <w:t xml:space="preserve">it </w:t>
      </w:r>
      <w:r w:rsidRPr="00E9174E">
        <w:rPr>
          <w:sz w:val="26"/>
          <w:szCs w:val="26"/>
        </w:rPr>
        <w:t xml:space="preserve">is appropriate to rely upon the 2020 invoice to determine the expense allowance.  The invoice amount is $2,008,792.  CG </w:t>
      </w:r>
      <w:proofErr w:type="spellStart"/>
      <w:r w:rsidRPr="00E9174E">
        <w:rPr>
          <w:sz w:val="26"/>
          <w:szCs w:val="26"/>
        </w:rPr>
        <w:t>Exh</w:t>
      </w:r>
      <w:proofErr w:type="spellEnd"/>
      <w:r w:rsidRPr="00E9174E">
        <w:rPr>
          <w:sz w:val="26"/>
          <w:szCs w:val="26"/>
        </w:rPr>
        <w:t xml:space="preserve">. NJDK-1RJ.  Columbia’s budgeted amount of $2,262,000 will be reduced by $253,208 to reflect the 2020 invoice amount.  Therefore, we shall grant Columbia’s Exception No. 7. </w:t>
      </w:r>
    </w:p>
    <w:p w14:paraId="08E636CC" w14:textId="77777777" w:rsidR="00BD24E1" w:rsidRPr="00E9174E" w:rsidRDefault="00BD24E1" w:rsidP="00E9174E">
      <w:pPr>
        <w:widowControl/>
        <w:spacing w:line="360" w:lineRule="auto"/>
        <w:contextualSpacing/>
        <w:rPr>
          <w:sz w:val="26"/>
          <w:szCs w:val="26"/>
        </w:rPr>
      </w:pPr>
    </w:p>
    <w:p w14:paraId="02D0F798" w14:textId="7FC9E219" w:rsidR="00BD24E1" w:rsidRPr="00E9174E" w:rsidRDefault="00BD24E1" w:rsidP="001768DD">
      <w:pPr>
        <w:pStyle w:val="Heading2"/>
        <w:numPr>
          <w:ilvl w:val="0"/>
          <w:numId w:val="10"/>
        </w:numPr>
        <w:ind w:left="720" w:hanging="720"/>
      </w:pPr>
      <w:bookmarkStart w:id="163" w:name="_Toc63764463"/>
      <w:r w:rsidRPr="00E9174E">
        <w:t>Rate Case Expense</w:t>
      </w:r>
      <w:bookmarkEnd w:id="163"/>
    </w:p>
    <w:p w14:paraId="25B740A3" w14:textId="77777777" w:rsidR="00BD24E1" w:rsidRPr="00E9174E" w:rsidRDefault="00BD24E1" w:rsidP="00E9174E">
      <w:pPr>
        <w:keepNext/>
        <w:keepLines/>
        <w:widowControl/>
        <w:spacing w:line="360" w:lineRule="auto"/>
        <w:contextualSpacing/>
        <w:rPr>
          <w:sz w:val="26"/>
          <w:szCs w:val="26"/>
        </w:rPr>
      </w:pPr>
    </w:p>
    <w:p w14:paraId="02376C76" w14:textId="77777777" w:rsidR="00BD24E1" w:rsidRPr="00E9174E" w:rsidRDefault="00BD24E1" w:rsidP="00277ECF">
      <w:pPr>
        <w:pStyle w:val="Heading3"/>
        <w:numPr>
          <w:ilvl w:val="0"/>
          <w:numId w:val="16"/>
        </w:numPr>
        <w:ind w:left="1440" w:hanging="720"/>
      </w:pPr>
      <w:bookmarkStart w:id="164" w:name="_Toc37162084"/>
      <w:bookmarkStart w:id="165" w:name="_Toc63764464"/>
      <w:r w:rsidRPr="00E9174E">
        <w:t>Positions of the Parties</w:t>
      </w:r>
      <w:bookmarkEnd w:id="164"/>
      <w:bookmarkEnd w:id="165"/>
    </w:p>
    <w:p w14:paraId="23489AAC" w14:textId="77777777" w:rsidR="00BD24E1" w:rsidRPr="00E9174E" w:rsidRDefault="00BD24E1" w:rsidP="00E9174E">
      <w:pPr>
        <w:keepNext/>
        <w:keepLines/>
        <w:widowControl/>
        <w:spacing w:line="360" w:lineRule="auto"/>
        <w:contextualSpacing/>
        <w:rPr>
          <w:sz w:val="26"/>
          <w:szCs w:val="26"/>
        </w:rPr>
      </w:pPr>
    </w:p>
    <w:p w14:paraId="33628DFB" w14:textId="77777777" w:rsidR="00BD24E1" w:rsidRPr="00E9174E" w:rsidRDefault="00BD24E1" w:rsidP="00E9174E">
      <w:pPr>
        <w:keepNext/>
        <w:widowControl/>
        <w:spacing w:line="360" w:lineRule="auto"/>
        <w:ind w:firstLine="1440"/>
        <w:contextualSpacing/>
        <w:rPr>
          <w:sz w:val="26"/>
          <w:szCs w:val="26"/>
        </w:rPr>
      </w:pPr>
      <w:r w:rsidRPr="00E9174E">
        <w:rPr>
          <w:sz w:val="26"/>
          <w:szCs w:val="26"/>
        </w:rPr>
        <w:t>Columbia’s claim for rate case expense was $1,060,000, normalized over a one-year period.  Columbia noted I&amp;E’s argument that the rate case expense should be normalized over a twenty-month period, based upon the filing interval of Columbia’s last four base rate cases.  This produced an adjustment of $424,000.  CG M.B. at 48 (citing I&amp;E St. 1 at 5-6).  Columbia provided that the OCA proposed a two</w:t>
      </w:r>
      <w:r w:rsidRPr="00E9174E">
        <w:rPr>
          <w:sz w:val="26"/>
          <w:szCs w:val="26"/>
        </w:rPr>
        <w:noBreakHyphen/>
        <w:t xml:space="preserve">year normalization period based upon review of the same filing frequency data, resulting in an adjustment of $530,000.  CG M.B. at 48 (citing OCA St. 2 at 15).  Columbia averred that both proposals should be rejected.  Columbia explained that it used a twelve-month normalization period because it anticipates the need to file annual rate cases for the foreseeable future.  CG M.B. at 48 (citing CG St. 4-R at 8).  </w:t>
      </w:r>
    </w:p>
    <w:p w14:paraId="66EDAA53" w14:textId="77777777" w:rsidR="00BD24E1" w:rsidRPr="00E9174E" w:rsidRDefault="00BD24E1" w:rsidP="00E9174E">
      <w:pPr>
        <w:widowControl/>
        <w:spacing w:line="360" w:lineRule="auto"/>
        <w:ind w:firstLine="1440"/>
        <w:contextualSpacing/>
        <w:rPr>
          <w:sz w:val="26"/>
          <w:szCs w:val="26"/>
        </w:rPr>
      </w:pPr>
    </w:p>
    <w:p w14:paraId="46AC31AE" w14:textId="693AEB54" w:rsidR="00BD24E1" w:rsidRPr="00E9174E" w:rsidRDefault="00BD24E1" w:rsidP="00E9174E">
      <w:pPr>
        <w:widowControl/>
        <w:spacing w:line="360" w:lineRule="auto"/>
        <w:ind w:firstLine="1440"/>
        <w:contextualSpacing/>
        <w:rPr>
          <w:sz w:val="26"/>
          <w:szCs w:val="26"/>
        </w:rPr>
      </w:pPr>
      <w:r w:rsidRPr="00E9174E">
        <w:rPr>
          <w:sz w:val="26"/>
          <w:szCs w:val="26"/>
        </w:rPr>
        <w:t xml:space="preserve">According to Columbia, its need for annual rate relief will be driven by the capital requirements of its main replacement program.  In this regard, Columbia </w:t>
      </w:r>
      <w:r w:rsidRPr="00E9174E">
        <w:rPr>
          <w:sz w:val="26"/>
          <w:szCs w:val="26"/>
        </w:rPr>
        <w:lastRenderedPageBreak/>
        <w:t xml:space="preserve">represented that its LTIIP expenditures in 2020 will be near $300 </w:t>
      </w:r>
      <w:r w:rsidR="000E332C" w:rsidRPr="00E9174E">
        <w:rPr>
          <w:sz w:val="26"/>
          <w:szCs w:val="26"/>
        </w:rPr>
        <w:t>m</w:t>
      </w:r>
      <w:r w:rsidRPr="00E9174E">
        <w:rPr>
          <w:sz w:val="26"/>
          <w:szCs w:val="26"/>
        </w:rPr>
        <w:t>illion</w:t>
      </w:r>
      <w:r w:rsidR="00853BE0" w:rsidRPr="00E9174E">
        <w:rPr>
          <w:sz w:val="26"/>
          <w:szCs w:val="26"/>
        </w:rPr>
        <w:t>.</w:t>
      </w:r>
      <w:r w:rsidRPr="00E9174E">
        <w:rPr>
          <w:sz w:val="26"/>
          <w:szCs w:val="26"/>
          <w:vertAlign w:val="superscript"/>
        </w:rPr>
        <w:footnoteReference w:id="36"/>
      </w:r>
      <w:r w:rsidRPr="00E9174E">
        <w:rPr>
          <w:sz w:val="26"/>
          <w:szCs w:val="26"/>
        </w:rPr>
        <w:t xml:space="preserve">  CG M.B. at</w:t>
      </w:r>
      <w:r w:rsidR="007E2517">
        <w:rPr>
          <w:sz w:val="26"/>
          <w:szCs w:val="26"/>
        </w:rPr>
        <w:t> </w:t>
      </w:r>
      <w:r w:rsidRPr="00E9174E">
        <w:rPr>
          <w:sz w:val="26"/>
          <w:szCs w:val="26"/>
        </w:rPr>
        <w:t xml:space="preserve">48.  Columbia reasoned that the DSIC, capped at 5% of non-gas revenues, is insufficient to allow Columbia to extend rate filings.  CG M.B at 48 (citing Columbia St. 9-R at 5-6).  Columbia further submitted that this driver of annual rate filings does not even consider other non-DSIC eligible capital spending, and other increases in O&amp;M spending due to safety initiatives and normal wage and inflation increases.  </w:t>
      </w:r>
    </w:p>
    <w:p w14:paraId="56FABFE5" w14:textId="77777777" w:rsidR="00BD24E1" w:rsidRPr="00E9174E" w:rsidRDefault="00BD24E1" w:rsidP="00E9174E">
      <w:pPr>
        <w:widowControl/>
        <w:spacing w:line="360" w:lineRule="auto"/>
        <w:ind w:firstLine="1440"/>
        <w:contextualSpacing/>
        <w:rPr>
          <w:sz w:val="26"/>
          <w:szCs w:val="26"/>
        </w:rPr>
      </w:pPr>
    </w:p>
    <w:p w14:paraId="6CA08C4E" w14:textId="77777777" w:rsidR="00BD24E1" w:rsidRPr="00E9174E" w:rsidRDefault="00BD24E1" w:rsidP="00277ECF">
      <w:pPr>
        <w:pStyle w:val="Heading3"/>
        <w:numPr>
          <w:ilvl w:val="0"/>
          <w:numId w:val="16"/>
        </w:numPr>
        <w:ind w:left="1440" w:hanging="720"/>
      </w:pPr>
      <w:bookmarkStart w:id="166" w:name="_Toc37162085"/>
      <w:bookmarkStart w:id="167" w:name="_Toc63764465"/>
      <w:r w:rsidRPr="00E9174E">
        <w:t>Recommended Decision</w:t>
      </w:r>
      <w:bookmarkEnd w:id="166"/>
      <w:bookmarkEnd w:id="167"/>
    </w:p>
    <w:p w14:paraId="66337D8D" w14:textId="77777777" w:rsidR="00BD24E1" w:rsidRPr="00E9174E" w:rsidRDefault="00BD24E1" w:rsidP="00E9174E">
      <w:pPr>
        <w:keepNext/>
        <w:keepLines/>
        <w:widowControl/>
        <w:spacing w:line="360" w:lineRule="auto"/>
        <w:contextualSpacing/>
        <w:rPr>
          <w:sz w:val="26"/>
          <w:szCs w:val="26"/>
        </w:rPr>
      </w:pPr>
    </w:p>
    <w:p w14:paraId="606475BE" w14:textId="3D129F82" w:rsidR="00BD24E1" w:rsidRPr="00E9174E" w:rsidRDefault="00BD24E1" w:rsidP="00E9174E">
      <w:pPr>
        <w:keepNext/>
        <w:widowControl/>
        <w:spacing w:line="360" w:lineRule="auto"/>
        <w:ind w:firstLine="1440"/>
        <w:contextualSpacing/>
        <w:rPr>
          <w:sz w:val="26"/>
          <w:szCs w:val="26"/>
        </w:rPr>
      </w:pPr>
      <w:r w:rsidRPr="00E9174E">
        <w:rPr>
          <w:sz w:val="26"/>
          <w:szCs w:val="26"/>
        </w:rPr>
        <w:t>The ALJ agreed with I&amp;E that, based upon Columbia’s actual filing history, the appropriate length of time for normalization for its rate case expense is twenty</w:t>
      </w:r>
      <w:r w:rsidR="00217F79" w:rsidRPr="00E9174E">
        <w:rPr>
          <w:sz w:val="26"/>
          <w:szCs w:val="26"/>
        </w:rPr>
        <w:t xml:space="preserve"> </w:t>
      </w:r>
      <w:r w:rsidRPr="00E9174E">
        <w:rPr>
          <w:sz w:val="26"/>
          <w:szCs w:val="26"/>
        </w:rPr>
        <w:t xml:space="preserve">months, using an average calculated from the filing dates for the last four base </w:t>
      </w:r>
      <w:r w:rsidR="00412431" w:rsidRPr="00E9174E">
        <w:rPr>
          <w:sz w:val="26"/>
          <w:szCs w:val="26"/>
        </w:rPr>
        <w:t>rate</w:t>
      </w:r>
      <w:r w:rsidRPr="00E9174E">
        <w:rPr>
          <w:sz w:val="26"/>
          <w:szCs w:val="26"/>
        </w:rPr>
        <w:t xml:space="preserve"> filings for Columbia over the last five years.  The ALJ noted that the Company did not dispute that the average time between filing of its last three rate cases was twenty months but asserted that it would file annual base rate requests moving forward.  According to the ALJ, the historic data shows that Columbia waited two years between its last two filings.  The ALJ recommended using twenty months as the normalization period, finding that it</w:t>
      </w:r>
      <w:r w:rsidR="00EF134A" w:rsidRPr="00E9174E">
        <w:rPr>
          <w:sz w:val="26"/>
          <w:szCs w:val="26"/>
        </w:rPr>
        <w:t xml:space="preserve"> </w:t>
      </w:r>
      <w:r w:rsidRPr="00E9174E">
        <w:rPr>
          <w:sz w:val="26"/>
          <w:szCs w:val="26"/>
        </w:rPr>
        <w:t xml:space="preserve">more closely aligns with what the Company has done than what it proposes it will do in the future.  R.D. at 111.  </w:t>
      </w:r>
    </w:p>
    <w:p w14:paraId="5D9149ED" w14:textId="77777777" w:rsidR="00FC1EC5" w:rsidRPr="00E9174E" w:rsidRDefault="00FC1EC5" w:rsidP="00E9174E">
      <w:pPr>
        <w:widowControl/>
        <w:spacing w:line="360" w:lineRule="auto"/>
        <w:ind w:firstLine="1440"/>
        <w:contextualSpacing/>
        <w:rPr>
          <w:sz w:val="26"/>
          <w:szCs w:val="26"/>
        </w:rPr>
      </w:pPr>
    </w:p>
    <w:p w14:paraId="43608BA2" w14:textId="77777777" w:rsidR="00BD24E1" w:rsidRPr="00E9174E" w:rsidRDefault="00BD24E1" w:rsidP="00277ECF">
      <w:pPr>
        <w:pStyle w:val="Heading3"/>
        <w:numPr>
          <w:ilvl w:val="0"/>
          <w:numId w:val="16"/>
        </w:numPr>
        <w:ind w:left="1440" w:hanging="720"/>
      </w:pPr>
      <w:bookmarkStart w:id="168" w:name="_Toc37162087"/>
      <w:bookmarkStart w:id="169" w:name="_Toc63764466"/>
      <w:r w:rsidRPr="00E9174E">
        <w:t>Disposition</w:t>
      </w:r>
      <w:bookmarkEnd w:id="168"/>
      <w:bookmarkEnd w:id="169"/>
    </w:p>
    <w:p w14:paraId="69D99FC3" w14:textId="77777777" w:rsidR="00BD24E1" w:rsidRPr="00E9174E" w:rsidRDefault="00BD24E1" w:rsidP="00E9174E">
      <w:pPr>
        <w:keepNext/>
        <w:keepLines/>
        <w:widowControl/>
        <w:spacing w:line="360" w:lineRule="auto"/>
        <w:contextualSpacing/>
        <w:rPr>
          <w:sz w:val="26"/>
          <w:szCs w:val="26"/>
        </w:rPr>
      </w:pPr>
    </w:p>
    <w:p w14:paraId="5CD2FAD8" w14:textId="77777777" w:rsidR="00BD24E1" w:rsidRPr="00E9174E" w:rsidRDefault="00BD24E1" w:rsidP="00E9174E">
      <w:pPr>
        <w:keepNext/>
        <w:widowControl/>
        <w:spacing w:line="360" w:lineRule="auto"/>
        <w:ind w:firstLine="1440"/>
        <w:contextualSpacing/>
        <w:rPr>
          <w:sz w:val="26"/>
          <w:szCs w:val="26"/>
        </w:rPr>
      </w:pPr>
      <w:r w:rsidRPr="00E9174E">
        <w:rPr>
          <w:sz w:val="26"/>
          <w:szCs w:val="26"/>
        </w:rPr>
        <w:t xml:space="preserve">None of the Parties filed Exceptions on this issue.  We agree with the ALJ’s recommendation and find merit in the ALJ’s reasoning that the normalization period </w:t>
      </w:r>
      <w:r w:rsidRPr="00E9174E">
        <w:rPr>
          <w:sz w:val="26"/>
          <w:szCs w:val="26"/>
        </w:rPr>
        <w:lastRenderedPageBreak/>
        <w:t xml:space="preserve">should align with the historic data rather than the Company’s assertion that it is likely to file its next rate case within one year.  R.D. at 111.  </w:t>
      </w:r>
    </w:p>
    <w:p w14:paraId="24EE05BD" w14:textId="77777777" w:rsidR="00BD24E1" w:rsidRPr="00E9174E" w:rsidRDefault="00BD24E1" w:rsidP="00E9174E">
      <w:pPr>
        <w:widowControl/>
        <w:spacing w:line="360" w:lineRule="auto"/>
        <w:ind w:firstLine="1440"/>
        <w:contextualSpacing/>
        <w:rPr>
          <w:sz w:val="26"/>
          <w:szCs w:val="26"/>
        </w:rPr>
      </w:pPr>
    </w:p>
    <w:p w14:paraId="5A5EF242" w14:textId="7B321DBA" w:rsidR="00BD24E1" w:rsidRPr="00E9174E" w:rsidRDefault="00BD24E1" w:rsidP="00E9174E">
      <w:pPr>
        <w:widowControl/>
        <w:spacing w:line="360" w:lineRule="auto"/>
        <w:ind w:firstLine="1440"/>
        <w:contextualSpacing/>
        <w:rPr>
          <w:sz w:val="26"/>
          <w:szCs w:val="26"/>
        </w:rPr>
      </w:pPr>
      <w:r w:rsidRPr="00E9174E">
        <w:rPr>
          <w:sz w:val="26"/>
          <w:szCs w:val="26"/>
        </w:rPr>
        <w:t xml:space="preserve">Our examination of the record in this proceeding indicates that historic frequency supports the twenty-month period adopted in the Recommended Decision. </w:t>
      </w:r>
      <w:r w:rsidRPr="00E9174E">
        <w:rPr>
          <w:iCs/>
          <w:sz w:val="26"/>
          <w:szCs w:val="26"/>
        </w:rPr>
        <w:t xml:space="preserve"> While the Company asserts that it will need to file annual rate base requests in the future because of the DSIC cap, we note that since 2016, Columbia has not been filing rate cases on an annual basis.  Rather,</w:t>
      </w:r>
      <w:r w:rsidR="00632779" w:rsidRPr="00E9174E">
        <w:rPr>
          <w:iCs/>
          <w:sz w:val="26"/>
          <w:szCs w:val="26"/>
        </w:rPr>
        <w:t xml:space="preserve"> </w:t>
      </w:r>
      <w:r w:rsidRPr="00E9174E">
        <w:rPr>
          <w:iCs/>
          <w:sz w:val="26"/>
          <w:szCs w:val="26"/>
        </w:rPr>
        <w:t xml:space="preserve">the average time between the filing of its last three rate cases was twenty months.  </w:t>
      </w:r>
      <w:r w:rsidRPr="00E9174E">
        <w:rPr>
          <w:i/>
          <w:sz w:val="26"/>
          <w:szCs w:val="26"/>
        </w:rPr>
        <w:t xml:space="preserve">See </w:t>
      </w:r>
      <w:r w:rsidRPr="00E9174E">
        <w:rPr>
          <w:iCs/>
          <w:sz w:val="26"/>
          <w:szCs w:val="26"/>
        </w:rPr>
        <w:t>I&amp;E M.B. at 28-29.</w:t>
      </w:r>
    </w:p>
    <w:p w14:paraId="0780BC93" w14:textId="77777777" w:rsidR="00BD24E1" w:rsidRPr="00E9174E" w:rsidRDefault="00BD24E1" w:rsidP="00E9174E">
      <w:pPr>
        <w:widowControl/>
        <w:spacing w:line="360" w:lineRule="auto"/>
        <w:contextualSpacing/>
        <w:rPr>
          <w:sz w:val="26"/>
          <w:szCs w:val="26"/>
        </w:rPr>
      </w:pPr>
    </w:p>
    <w:p w14:paraId="70CF0AC6" w14:textId="4CAB72D0" w:rsidR="00BD24E1" w:rsidRPr="00E9174E" w:rsidRDefault="00BD24E1" w:rsidP="00E9174E">
      <w:pPr>
        <w:widowControl/>
        <w:spacing w:line="360" w:lineRule="auto"/>
        <w:ind w:firstLine="1440"/>
        <w:contextualSpacing/>
        <w:rPr>
          <w:sz w:val="26"/>
          <w:szCs w:val="26"/>
        </w:rPr>
      </w:pPr>
      <w:r w:rsidRPr="00E9174E">
        <w:rPr>
          <w:sz w:val="26"/>
          <w:szCs w:val="26"/>
        </w:rPr>
        <w:t>Based on the forgoing, we shall</w:t>
      </w:r>
      <w:r w:rsidR="00632779" w:rsidRPr="00E9174E">
        <w:rPr>
          <w:sz w:val="26"/>
          <w:szCs w:val="26"/>
        </w:rPr>
        <w:t xml:space="preserve"> </w:t>
      </w:r>
      <w:r w:rsidRPr="00E9174E">
        <w:rPr>
          <w:sz w:val="26"/>
          <w:szCs w:val="26"/>
        </w:rPr>
        <w:t xml:space="preserve">approve Columbia’s total rate case expense claim of $1,060,000 to be normalized over twenty months, consistent with its historic frequency of base rate proceedings.  This would result in a normalized claim of $636,000, which is a reduction of $424,000 to the Company’s claim.  </w:t>
      </w:r>
      <w:r w:rsidRPr="00E9174E">
        <w:rPr>
          <w:i/>
          <w:iCs/>
          <w:sz w:val="26"/>
          <w:szCs w:val="26"/>
        </w:rPr>
        <w:t xml:space="preserve">See </w:t>
      </w:r>
      <w:r w:rsidRPr="00E9174E">
        <w:rPr>
          <w:sz w:val="26"/>
          <w:szCs w:val="26"/>
        </w:rPr>
        <w:t xml:space="preserve">I&amp;E M.B. at 29.  </w:t>
      </w:r>
    </w:p>
    <w:p w14:paraId="51DD30AF" w14:textId="77777777" w:rsidR="00BD24E1" w:rsidRPr="00E9174E" w:rsidRDefault="00BD24E1" w:rsidP="00E9174E">
      <w:pPr>
        <w:widowControl/>
        <w:spacing w:line="360" w:lineRule="auto"/>
        <w:contextualSpacing/>
        <w:rPr>
          <w:sz w:val="26"/>
          <w:szCs w:val="26"/>
        </w:rPr>
      </w:pPr>
    </w:p>
    <w:p w14:paraId="2DA19300" w14:textId="4D5D7445" w:rsidR="00BD24E1" w:rsidRPr="00E9174E" w:rsidRDefault="00BD24E1" w:rsidP="001768DD">
      <w:pPr>
        <w:pStyle w:val="Heading2"/>
        <w:numPr>
          <w:ilvl w:val="0"/>
          <w:numId w:val="10"/>
        </w:numPr>
        <w:ind w:left="720" w:hanging="720"/>
      </w:pPr>
      <w:bookmarkStart w:id="170" w:name="_Toc63764467"/>
      <w:r w:rsidRPr="00E9174E">
        <w:t>Outside Services</w:t>
      </w:r>
      <w:bookmarkEnd w:id="170"/>
    </w:p>
    <w:p w14:paraId="2A913048" w14:textId="77777777" w:rsidR="00BD24E1" w:rsidRPr="00E9174E" w:rsidRDefault="00BD24E1" w:rsidP="00E9174E">
      <w:pPr>
        <w:keepNext/>
        <w:keepLines/>
        <w:widowControl/>
        <w:spacing w:line="360" w:lineRule="auto"/>
        <w:contextualSpacing/>
        <w:rPr>
          <w:sz w:val="26"/>
          <w:szCs w:val="26"/>
        </w:rPr>
      </w:pPr>
    </w:p>
    <w:p w14:paraId="1EF6065C" w14:textId="77777777" w:rsidR="00BD24E1" w:rsidRPr="00E9174E" w:rsidRDefault="00BD24E1" w:rsidP="00277ECF">
      <w:pPr>
        <w:pStyle w:val="Heading3"/>
        <w:numPr>
          <w:ilvl w:val="0"/>
          <w:numId w:val="17"/>
        </w:numPr>
        <w:ind w:left="1440" w:hanging="720"/>
      </w:pPr>
      <w:bookmarkStart w:id="171" w:name="_Toc37162089"/>
      <w:bookmarkStart w:id="172" w:name="_Toc63764468"/>
      <w:r w:rsidRPr="00E9174E">
        <w:t>Positions of the Parties</w:t>
      </w:r>
      <w:bookmarkEnd w:id="171"/>
      <w:bookmarkEnd w:id="172"/>
    </w:p>
    <w:p w14:paraId="5F5EC6D8" w14:textId="77777777" w:rsidR="00BD24E1" w:rsidRPr="00E9174E" w:rsidRDefault="00BD24E1" w:rsidP="00E9174E">
      <w:pPr>
        <w:keepNext/>
        <w:keepLines/>
        <w:widowControl/>
        <w:spacing w:line="360" w:lineRule="auto"/>
        <w:contextualSpacing/>
        <w:rPr>
          <w:sz w:val="26"/>
          <w:szCs w:val="26"/>
        </w:rPr>
      </w:pPr>
    </w:p>
    <w:p w14:paraId="51FF3AFD" w14:textId="4825D21C" w:rsidR="00BD24E1" w:rsidRPr="00E9174E" w:rsidRDefault="00BD24E1" w:rsidP="00E9174E">
      <w:pPr>
        <w:keepNext/>
        <w:widowControl/>
        <w:spacing w:line="360" w:lineRule="auto"/>
        <w:ind w:firstLine="1440"/>
        <w:contextualSpacing/>
        <w:rPr>
          <w:sz w:val="26"/>
          <w:szCs w:val="26"/>
        </w:rPr>
      </w:pPr>
      <w:r w:rsidRPr="00E9174E">
        <w:rPr>
          <w:sz w:val="26"/>
          <w:szCs w:val="26"/>
        </w:rPr>
        <w:t xml:space="preserve">Columbia noted that the OCA proposed a $1,757,000 reduction to Columbia’s FPFTY outside services expense.  Columbia explained that the OCA derived its adjustment by accepting approximately $1.8 </w:t>
      </w:r>
      <w:r w:rsidR="009D51B6" w:rsidRPr="00E9174E">
        <w:rPr>
          <w:sz w:val="26"/>
          <w:szCs w:val="26"/>
        </w:rPr>
        <w:t>m</w:t>
      </w:r>
      <w:r w:rsidRPr="00E9174E">
        <w:rPr>
          <w:sz w:val="26"/>
          <w:szCs w:val="26"/>
        </w:rPr>
        <w:t xml:space="preserve">illion in HTY ratemaking adjustments and FTY budgeted expense reductions, while rejecting approximately $2.3 </w:t>
      </w:r>
      <w:r w:rsidR="009D51B6" w:rsidRPr="00E9174E">
        <w:rPr>
          <w:sz w:val="26"/>
          <w:szCs w:val="26"/>
        </w:rPr>
        <w:t>m</w:t>
      </w:r>
      <w:r w:rsidRPr="00E9174E">
        <w:rPr>
          <w:sz w:val="26"/>
          <w:szCs w:val="26"/>
        </w:rPr>
        <w:t xml:space="preserve">illion in FPFTY budgeted expense increases.  CG M.B. at 49 (citing OCA St. 2 at 14, CG </w:t>
      </w:r>
      <w:proofErr w:type="spellStart"/>
      <w:r w:rsidRPr="00E9174E">
        <w:rPr>
          <w:sz w:val="26"/>
          <w:szCs w:val="26"/>
        </w:rPr>
        <w:t>Exh</w:t>
      </w:r>
      <w:proofErr w:type="spellEnd"/>
      <w:r w:rsidRPr="00E9174E">
        <w:rPr>
          <w:sz w:val="26"/>
          <w:szCs w:val="26"/>
        </w:rPr>
        <w:t xml:space="preserve">. 104, Sch. 11).  Columbia averred that the OCA’s adjustment, if adopted, would reduce outside services expense to a level that is approximately $450,000 less than the Company’s normalized HTY outside services expense.  CG M.B. at 49 (citing CG St. 9-R at 14).  According to Columbia, the OCA criticizes the Company for not having specific calculations to support its budget projection.  Columbia stated that there is no </w:t>
      </w:r>
      <w:r w:rsidRPr="00E9174E">
        <w:rPr>
          <w:sz w:val="26"/>
          <w:szCs w:val="26"/>
        </w:rPr>
        <w:lastRenderedPageBreak/>
        <w:t xml:space="preserve">requirement that a FPFTY be a strict build up from historic data.  Columbia contended that its budget process is an accurate and conservative projection of actual spending.  Columbia M.B. at 50.  </w:t>
      </w:r>
    </w:p>
    <w:p w14:paraId="4786D2AD" w14:textId="77777777" w:rsidR="00BD24E1" w:rsidRPr="00E9174E" w:rsidRDefault="00BD24E1" w:rsidP="00E9174E">
      <w:pPr>
        <w:widowControl/>
        <w:spacing w:line="360" w:lineRule="auto"/>
        <w:ind w:firstLine="1440"/>
        <w:contextualSpacing/>
        <w:rPr>
          <w:sz w:val="26"/>
          <w:szCs w:val="26"/>
        </w:rPr>
      </w:pPr>
    </w:p>
    <w:p w14:paraId="1A4D1DBA" w14:textId="77777777" w:rsidR="00BD24E1" w:rsidRPr="00E9174E" w:rsidRDefault="00BD24E1" w:rsidP="00277ECF">
      <w:pPr>
        <w:pStyle w:val="Heading3"/>
        <w:numPr>
          <w:ilvl w:val="0"/>
          <w:numId w:val="17"/>
        </w:numPr>
        <w:ind w:left="1440" w:hanging="720"/>
      </w:pPr>
      <w:bookmarkStart w:id="173" w:name="_Toc37162090"/>
      <w:bookmarkStart w:id="174" w:name="_Toc63764469"/>
      <w:r w:rsidRPr="00E9174E">
        <w:t>Recommended Decision</w:t>
      </w:r>
      <w:bookmarkEnd w:id="173"/>
      <w:bookmarkEnd w:id="174"/>
    </w:p>
    <w:p w14:paraId="1B7A2B1C" w14:textId="77777777" w:rsidR="00BD24E1" w:rsidRPr="00E9174E" w:rsidRDefault="00BD24E1" w:rsidP="00E9174E">
      <w:pPr>
        <w:keepNext/>
        <w:keepLines/>
        <w:widowControl/>
        <w:spacing w:line="360" w:lineRule="auto"/>
        <w:contextualSpacing/>
        <w:rPr>
          <w:sz w:val="26"/>
          <w:szCs w:val="26"/>
        </w:rPr>
      </w:pPr>
    </w:p>
    <w:p w14:paraId="38D4900A" w14:textId="77777777" w:rsidR="00BD24E1" w:rsidRPr="00E9174E" w:rsidRDefault="00BD24E1" w:rsidP="00E9174E">
      <w:pPr>
        <w:keepNext/>
        <w:widowControl/>
        <w:spacing w:line="360" w:lineRule="auto"/>
        <w:ind w:firstLine="1440"/>
        <w:contextualSpacing/>
        <w:rPr>
          <w:sz w:val="26"/>
          <w:szCs w:val="26"/>
        </w:rPr>
      </w:pPr>
      <w:r w:rsidRPr="00E9174E">
        <w:rPr>
          <w:sz w:val="26"/>
          <w:szCs w:val="26"/>
        </w:rPr>
        <w:t xml:space="preserve">The ALJ concluded that Columbia did not provide sufficient evidence to justify or verify why its proposed expense allowance for outside services is $1,301,928 over the HTY.  The ALJ agreed with the OCA’s suggestions that the Commission should remove an expense of $464,212, for “all other variances” in the FTY in its transition of outside services from the HTY to the FPFTY.  R.D. at 112 (citing OCA St. 2 at 14; CG </w:t>
      </w:r>
      <w:proofErr w:type="spellStart"/>
      <w:r w:rsidRPr="00E9174E">
        <w:rPr>
          <w:sz w:val="26"/>
          <w:szCs w:val="26"/>
        </w:rPr>
        <w:t>Exh</w:t>
      </w:r>
      <w:proofErr w:type="spellEnd"/>
      <w:r w:rsidRPr="00E9174E">
        <w:rPr>
          <w:sz w:val="26"/>
          <w:szCs w:val="26"/>
        </w:rPr>
        <w:t xml:space="preserve">. 104, Sch. 11 at 1).  The ALJ recommended that the Commission eliminate the $2,221,225 of FPFTY expense increase and $464,000 of FPFTY expense reductions as shown in OCA St. 2-S, Schedule C-1 for a net effect of $1,757,000.  The ALJ reasoned that by making these adjustments, the resulting change to the base rate expense will be in the public interest because ratepayers will not have to pay for the increased expenses that have not been proven by the Company.  R.D. at 112.  </w:t>
      </w:r>
    </w:p>
    <w:p w14:paraId="4DA69252" w14:textId="77777777" w:rsidR="00BD24E1" w:rsidRPr="00E9174E" w:rsidRDefault="00BD24E1" w:rsidP="00E9174E">
      <w:pPr>
        <w:widowControl/>
        <w:spacing w:line="360" w:lineRule="auto"/>
        <w:ind w:firstLine="1440"/>
        <w:contextualSpacing/>
        <w:rPr>
          <w:sz w:val="26"/>
          <w:szCs w:val="26"/>
        </w:rPr>
      </w:pPr>
    </w:p>
    <w:p w14:paraId="0A482098" w14:textId="77777777" w:rsidR="00BD24E1" w:rsidRPr="00E9174E" w:rsidRDefault="00BD24E1" w:rsidP="00277ECF">
      <w:pPr>
        <w:pStyle w:val="Heading3"/>
        <w:numPr>
          <w:ilvl w:val="0"/>
          <w:numId w:val="17"/>
        </w:numPr>
        <w:ind w:left="1440" w:hanging="720"/>
      </w:pPr>
      <w:bookmarkStart w:id="175" w:name="_Toc37162086"/>
      <w:bookmarkStart w:id="176" w:name="_Toc63764470"/>
      <w:r w:rsidRPr="00E9174E">
        <w:t>Columbia Exception No. 8 and Replies</w:t>
      </w:r>
      <w:bookmarkEnd w:id="175"/>
      <w:bookmarkEnd w:id="176"/>
    </w:p>
    <w:p w14:paraId="0C1721AB" w14:textId="77777777" w:rsidR="00BD24E1" w:rsidRPr="00E9174E" w:rsidRDefault="00BD24E1" w:rsidP="00E9174E">
      <w:pPr>
        <w:keepNext/>
        <w:keepLines/>
        <w:widowControl/>
        <w:spacing w:line="360" w:lineRule="auto"/>
        <w:contextualSpacing/>
        <w:rPr>
          <w:sz w:val="26"/>
          <w:szCs w:val="26"/>
        </w:rPr>
      </w:pPr>
    </w:p>
    <w:p w14:paraId="6E73444E" w14:textId="37AB83CC" w:rsidR="00BD24E1" w:rsidRPr="00E9174E" w:rsidRDefault="00BD24E1" w:rsidP="00E9174E">
      <w:pPr>
        <w:keepNext/>
        <w:widowControl/>
        <w:spacing w:line="360" w:lineRule="auto"/>
        <w:ind w:firstLine="1440"/>
        <w:contextualSpacing/>
        <w:rPr>
          <w:sz w:val="26"/>
          <w:szCs w:val="26"/>
        </w:rPr>
      </w:pPr>
      <w:r w:rsidRPr="00E9174E">
        <w:rPr>
          <w:sz w:val="26"/>
          <w:szCs w:val="26"/>
        </w:rPr>
        <w:t xml:space="preserve">In its Exception No. 8, Columbia argues that the ALJ failed to consider the Company’s detailed and accurate budget process </w:t>
      </w:r>
      <w:r w:rsidR="005D3158" w:rsidRPr="00E9174E">
        <w:rPr>
          <w:sz w:val="26"/>
          <w:szCs w:val="26"/>
        </w:rPr>
        <w:t xml:space="preserve">and </w:t>
      </w:r>
      <w:r w:rsidRPr="00E9174E">
        <w:rPr>
          <w:sz w:val="26"/>
          <w:szCs w:val="26"/>
        </w:rPr>
        <w:t xml:space="preserve">the important new gas safety projects that are the drivers of the increased FPFTY outside services expense.  Columbia avers that the ALJ’s rejection of Columbia’s proposed outside services expense would deny the Company the financial resources to undertake important safety initiatives included in the FPFTY budget that are not included in the 2020 FTY budget.  These include tasks required by the </w:t>
      </w:r>
      <w:bookmarkStart w:id="177" w:name="_Hlk63277640"/>
      <w:r w:rsidRPr="00E9174E">
        <w:rPr>
          <w:sz w:val="26"/>
          <w:szCs w:val="26"/>
        </w:rPr>
        <w:t xml:space="preserve">Pipeline and Hazardous Materials Safety Administration </w:t>
      </w:r>
      <w:bookmarkEnd w:id="177"/>
      <w:r w:rsidRPr="00E9174E">
        <w:rPr>
          <w:sz w:val="26"/>
          <w:szCs w:val="26"/>
        </w:rPr>
        <w:t>(</w:t>
      </w:r>
      <w:bookmarkStart w:id="178" w:name="_Hlk63277608"/>
      <w:r w:rsidRPr="00E9174E">
        <w:rPr>
          <w:sz w:val="26"/>
          <w:szCs w:val="26"/>
        </w:rPr>
        <w:t>PHMSA</w:t>
      </w:r>
      <w:bookmarkEnd w:id="178"/>
      <w:r w:rsidRPr="00E9174E">
        <w:rPr>
          <w:sz w:val="26"/>
          <w:szCs w:val="26"/>
        </w:rPr>
        <w:t xml:space="preserve">) regulations that became effective in 2020, corrosion remediation, </w:t>
      </w:r>
      <w:r w:rsidRPr="00E9174E">
        <w:rPr>
          <w:sz w:val="26"/>
          <w:szCs w:val="26"/>
        </w:rPr>
        <w:lastRenderedPageBreak/>
        <w:t xml:space="preserve">improvements to GPS locating programs, increased leak repair contractor costs, and increased line location costs.  CG Exc. at 14-15.  </w:t>
      </w:r>
    </w:p>
    <w:p w14:paraId="57106476" w14:textId="77777777" w:rsidR="00BD24E1" w:rsidRPr="00E9174E" w:rsidRDefault="00BD24E1" w:rsidP="00E9174E">
      <w:pPr>
        <w:widowControl/>
        <w:spacing w:line="360" w:lineRule="auto"/>
        <w:ind w:firstLine="1440"/>
        <w:contextualSpacing/>
        <w:rPr>
          <w:sz w:val="26"/>
          <w:szCs w:val="26"/>
        </w:rPr>
      </w:pPr>
    </w:p>
    <w:p w14:paraId="2AEAF416" w14:textId="77777777" w:rsidR="00BD24E1" w:rsidRPr="00E9174E" w:rsidRDefault="00BD24E1" w:rsidP="00E9174E">
      <w:pPr>
        <w:widowControl/>
        <w:spacing w:line="360" w:lineRule="auto"/>
        <w:ind w:firstLine="1440"/>
        <w:contextualSpacing/>
        <w:rPr>
          <w:sz w:val="26"/>
          <w:szCs w:val="26"/>
        </w:rPr>
      </w:pPr>
      <w:r w:rsidRPr="00E9174E">
        <w:rPr>
          <w:sz w:val="26"/>
          <w:szCs w:val="26"/>
        </w:rPr>
        <w:t>In the OCA’s Replies to Columbia’s Exception No. 8, the OCA provides that the ALJ correctly disallowed certain outside services expenses.  According to the OCA, the ALJ properly concluded that the Company failed to provide documentary evidence sufficient to explain or support the Company’s assertion that its Outside Services Expense would increase by $1,301,928 over the HTY.  The OCA contends that the Company cannot prove the reasonableness of its outside services expense without any documentation.  OCA R. Exc. at 9.</w:t>
      </w:r>
    </w:p>
    <w:p w14:paraId="12A2B514" w14:textId="77777777" w:rsidR="00BD24E1" w:rsidRPr="00E9174E" w:rsidRDefault="00BD24E1" w:rsidP="00E9174E">
      <w:pPr>
        <w:widowControl/>
        <w:spacing w:line="360" w:lineRule="auto"/>
        <w:ind w:firstLine="1440"/>
        <w:contextualSpacing/>
        <w:rPr>
          <w:sz w:val="26"/>
          <w:szCs w:val="26"/>
        </w:rPr>
      </w:pPr>
    </w:p>
    <w:p w14:paraId="070985E1" w14:textId="77777777" w:rsidR="00BD24E1" w:rsidRPr="00E9174E" w:rsidRDefault="00BD24E1" w:rsidP="00277ECF">
      <w:pPr>
        <w:pStyle w:val="Heading3"/>
        <w:numPr>
          <w:ilvl w:val="0"/>
          <w:numId w:val="17"/>
        </w:numPr>
        <w:ind w:left="1440" w:hanging="720"/>
      </w:pPr>
      <w:bookmarkStart w:id="179" w:name="_Toc37162092"/>
      <w:bookmarkStart w:id="180" w:name="_Toc63764471"/>
      <w:r w:rsidRPr="00E9174E">
        <w:t>Disposition</w:t>
      </w:r>
      <w:bookmarkEnd w:id="179"/>
      <w:bookmarkEnd w:id="180"/>
    </w:p>
    <w:p w14:paraId="1361B267" w14:textId="77777777" w:rsidR="00BD24E1" w:rsidRPr="00E9174E" w:rsidRDefault="00BD24E1" w:rsidP="00E9174E">
      <w:pPr>
        <w:keepNext/>
        <w:keepLines/>
        <w:widowControl/>
        <w:spacing w:line="360" w:lineRule="auto"/>
        <w:contextualSpacing/>
        <w:rPr>
          <w:sz w:val="26"/>
          <w:szCs w:val="26"/>
        </w:rPr>
      </w:pPr>
    </w:p>
    <w:p w14:paraId="2605CC99" w14:textId="50D2B4AF" w:rsidR="00BD24E1" w:rsidRPr="00E9174E" w:rsidRDefault="00BD24E1" w:rsidP="00E9174E">
      <w:pPr>
        <w:keepNext/>
        <w:widowControl/>
        <w:spacing w:line="360" w:lineRule="auto"/>
        <w:ind w:firstLine="1440"/>
        <w:contextualSpacing/>
        <w:rPr>
          <w:sz w:val="26"/>
          <w:szCs w:val="26"/>
        </w:rPr>
      </w:pPr>
      <w:r w:rsidRPr="00E9174E">
        <w:rPr>
          <w:sz w:val="26"/>
          <w:szCs w:val="26"/>
        </w:rPr>
        <w:t xml:space="preserve">Columbia proposed an allowance of $24,052,000 for </w:t>
      </w:r>
      <w:r w:rsidR="00326B70" w:rsidRPr="00E9174E">
        <w:rPr>
          <w:sz w:val="26"/>
          <w:szCs w:val="26"/>
        </w:rPr>
        <w:t>O</w:t>
      </w:r>
      <w:r w:rsidRPr="00E9174E">
        <w:rPr>
          <w:sz w:val="26"/>
          <w:szCs w:val="26"/>
        </w:rPr>
        <w:t xml:space="preserve">utside </w:t>
      </w:r>
      <w:r w:rsidR="00326B70" w:rsidRPr="00E9174E">
        <w:rPr>
          <w:sz w:val="26"/>
          <w:szCs w:val="26"/>
        </w:rPr>
        <w:t>S</w:t>
      </w:r>
      <w:r w:rsidRPr="00E9174E">
        <w:rPr>
          <w:sz w:val="26"/>
          <w:szCs w:val="26"/>
        </w:rPr>
        <w:t xml:space="preserve">ervices </w:t>
      </w:r>
      <w:r w:rsidR="00B16535" w:rsidRPr="00E9174E">
        <w:rPr>
          <w:sz w:val="26"/>
          <w:szCs w:val="26"/>
        </w:rPr>
        <w:t>expense</w:t>
      </w:r>
      <w:r w:rsidRPr="00E9174E">
        <w:rPr>
          <w:sz w:val="26"/>
          <w:szCs w:val="26"/>
        </w:rPr>
        <w:t xml:space="preserve"> in the FPFTY.  In projecting </w:t>
      </w:r>
      <w:r w:rsidR="00CD72C7" w:rsidRPr="00E9174E">
        <w:rPr>
          <w:sz w:val="26"/>
          <w:szCs w:val="26"/>
        </w:rPr>
        <w:t>O</w:t>
      </w:r>
      <w:r w:rsidRPr="00E9174E">
        <w:rPr>
          <w:sz w:val="26"/>
          <w:szCs w:val="26"/>
        </w:rPr>
        <w:t xml:space="preserve">utside </w:t>
      </w:r>
      <w:r w:rsidR="0057102E" w:rsidRPr="00E9174E">
        <w:rPr>
          <w:sz w:val="26"/>
          <w:szCs w:val="26"/>
        </w:rPr>
        <w:t>S</w:t>
      </w:r>
      <w:r w:rsidRPr="00E9174E">
        <w:rPr>
          <w:sz w:val="26"/>
          <w:szCs w:val="26"/>
        </w:rPr>
        <w:t>ervices expense from the FTY to the FPFTY, Columbia made a $2,221,000 budget adjustment related to various activities, which are summarized on page 2 of Columbia Exhibit 104, Schedule 11.  Columbia was asked by the OCA to provide workpapers to support the adjustment for $2,221,000.  The Company responded that, “There are no additional worksheets to provide beyond the information present on Schedule No. 11.  The budget adjustments from the HTY to the FTY were identified as expenses not expected to recur and therefore not included in the development of the FTY budget.  The budget adjustments from the FTY to the FPFTY represent anticipated increases in the cost and levels of particular workstreams in PA field operations.”  OCA St. 2 at 13-14.  The OCA proposed to eliminate this amount from FPFTY expenses.  In addition, the OCA recommended elimination of and expense reduction of $464,000 for “all other variances” in the FTY.  The OCA provided that the Company did not provide support for this item.  The OCA proposed, and the ALJ agreed to, a reduction of $1,757,000</w:t>
      </w:r>
      <w:r w:rsidR="00DD6F53" w:rsidRPr="00E9174E">
        <w:rPr>
          <w:sz w:val="26"/>
          <w:szCs w:val="26"/>
        </w:rPr>
        <w:t xml:space="preserve"> </w:t>
      </w:r>
      <w:r w:rsidRPr="00E9174E">
        <w:rPr>
          <w:sz w:val="26"/>
          <w:szCs w:val="26"/>
        </w:rPr>
        <w:t xml:space="preserve">to FPFTY </w:t>
      </w:r>
      <w:r w:rsidR="0049646A" w:rsidRPr="00E9174E">
        <w:rPr>
          <w:sz w:val="26"/>
          <w:szCs w:val="26"/>
        </w:rPr>
        <w:t>O</w:t>
      </w:r>
      <w:r w:rsidRPr="00E9174E">
        <w:rPr>
          <w:sz w:val="26"/>
          <w:szCs w:val="26"/>
        </w:rPr>
        <w:t xml:space="preserve">utside </w:t>
      </w:r>
      <w:r w:rsidR="0049646A" w:rsidRPr="00E9174E">
        <w:rPr>
          <w:sz w:val="26"/>
          <w:szCs w:val="26"/>
        </w:rPr>
        <w:t>S</w:t>
      </w:r>
      <w:r w:rsidRPr="00E9174E">
        <w:rPr>
          <w:sz w:val="26"/>
          <w:szCs w:val="26"/>
        </w:rPr>
        <w:t xml:space="preserve">ervices expense ($2,221,000 - $464,000 = $1,757,000).  OCA St. 2 at 14.  Although the Company has in its Exceptions provided a </w:t>
      </w:r>
      <w:r w:rsidRPr="00E9174E">
        <w:rPr>
          <w:sz w:val="26"/>
          <w:szCs w:val="26"/>
        </w:rPr>
        <w:lastRenderedPageBreak/>
        <w:t xml:space="preserve">narrative description of the activities for which the $2,221,000 expense increase was proposed to cover, the Company has not provided cost information we can associate with each activity.  We are persuaded by the OCA’s argument that the Company has failed to justify the $2,221,000 expense increase associated with “anticipated increases in the cost and levels of particular workstreams in PA field operations.”  For this reason, we shall deny Columbia’s Exception No. 8 and shall reduce the Company’s claim for </w:t>
      </w:r>
      <w:r w:rsidR="007F7D4F" w:rsidRPr="00E9174E">
        <w:rPr>
          <w:sz w:val="26"/>
          <w:szCs w:val="26"/>
        </w:rPr>
        <w:t>O</w:t>
      </w:r>
      <w:r w:rsidRPr="00E9174E">
        <w:rPr>
          <w:sz w:val="26"/>
          <w:szCs w:val="26"/>
        </w:rPr>
        <w:t xml:space="preserve">utside </w:t>
      </w:r>
      <w:r w:rsidR="007F7D4F" w:rsidRPr="00E9174E">
        <w:rPr>
          <w:sz w:val="26"/>
          <w:szCs w:val="26"/>
        </w:rPr>
        <w:t>S</w:t>
      </w:r>
      <w:r w:rsidRPr="00E9174E">
        <w:rPr>
          <w:sz w:val="26"/>
          <w:szCs w:val="26"/>
        </w:rPr>
        <w:t>ervices expense by $1,757,000.</w:t>
      </w:r>
    </w:p>
    <w:p w14:paraId="4786BF61" w14:textId="77777777" w:rsidR="00BD24E1" w:rsidRPr="00E9174E" w:rsidRDefault="00BD24E1" w:rsidP="00E9174E">
      <w:pPr>
        <w:widowControl/>
        <w:spacing w:line="360" w:lineRule="auto"/>
        <w:contextualSpacing/>
        <w:rPr>
          <w:sz w:val="26"/>
          <w:szCs w:val="26"/>
        </w:rPr>
      </w:pPr>
    </w:p>
    <w:p w14:paraId="1768D61D" w14:textId="45DEC7EC" w:rsidR="00BD24E1" w:rsidRPr="00E9174E" w:rsidRDefault="00BD24E1" w:rsidP="001768DD">
      <w:pPr>
        <w:pStyle w:val="Heading2"/>
        <w:numPr>
          <w:ilvl w:val="0"/>
          <w:numId w:val="10"/>
        </w:numPr>
        <w:ind w:left="720" w:hanging="720"/>
      </w:pPr>
      <w:bookmarkStart w:id="181" w:name="_Toc63764472"/>
      <w:r w:rsidRPr="00E9174E">
        <w:t>Other Adjustments for Safety Initiatives and Compensation</w:t>
      </w:r>
      <w:bookmarkEnd w:id="181"/>
    </w:p>
    <w:p w14:paraId="6D1D5B2D" w14:textId="77777777" w:rsidR="00BD24E1" w:rsidRPr="00E9174E" w:rsidRDefault="00BD24E1" w:rsidP="00E9174E">
      <w:pPr>
        <w:keepNext/>
        <w:keepLines/>
        <w:widowControl/>
        <w:spacing w:line="360" w:lineRule="auto"/>
        <w:contextualSpacing/>
        <w:rPr>
          <w:sz w:val="26"/>
          <w:szCs w:val="26"/>
        </w:rPr>
      </w:pPr>
    </w:p>
    <w:p w14:paraId="6E13F1CC" w14:textId="1FB0B811" w:rsidR="00C73D11" w:rsidRPr="00E9174E" w:rsidRDefault="00C73D11" w:rsidP="00E9174E">
      <w:pPr>
        <w:keepNext/>
        <w:widowControl/>
        <w:spacing w:line="360" w:lineRule="auto"/>
        <w:ind w:firstLine="1440"/>
        <w:contextualSpacing/>
        <w:rPr>
          <w:sz w:val="26"/>
          <w:szCs w:val="26"/>
        </w:rPr>
      </w:pPr>
      <w:r w:rsidRPr="00E9174E">
        <w:rPr>
          <w:sz w:val="26"/>
          <w:szCs w:val="26"/>
        </w:rPr>
        <w:t xml:space="preserve">Columbia stated that it is accelerating implementation of a </w:t>
      </w:r>
      <w:bookmarkStart w:id="182" w:name="_Hlk63278007"/>
      <w:r w:rsidRPr="00E9174E">
        <w:rPr>
          <w:sz w:val="26"/>
          <w:szCs w:val="26"/>
        </w:rPr>
        <w:t>Safety Management System</w:t>
      </w:r>
      <w:bookmarkEnd w:id="182"/>
      <w:r w:rsidRPr="00E9174E">
        <w:rPr>
          <w:sz w:val="26"/>
          <w:szCs w:val="26"/>
        </w:rPr>
        <w:t xml:space="preserve"> (</w:t>
      </w:r>
      <w:bookmarkStart w:id="183" w:name="_Hlk63277972"/>
      <w:r w:rsidRPr="00E9174E">
        <w:rPr>
          <w:sz w:val="26"/>
          <w:szCs w:val="26"/>
        </w:rPr>
        <w:t>SMS</w:t>
      </w:r>
      <w:bookmarkEnd w:id="183"/>
      <w:r w:rsidRPr="00E9174E">
        <w:rPr>
          <w:sz w:val="26"/>
          <w:szCs w:val="26"/>
        </w:rPr>
        <w:t>) that focuses on identifying and mitigating potential risks and improving procedures to keep employees, customers, contractors and the public safe.  CG</w:t>
      </w:r>
      <w:r w:rsidR="00836D08">
        <w:rPr>
          <w:sz w:val="26"/>
          <w:szCs w:val="26"/>
        </w:rPr>
        <w:t> </w:t>
      </w:r>
      <w:r w:rsidRPr="00E9174E">
        <w:rPr>
          <w:sz w:val="26"/>
          <w:szCs w:val="26"/>
        </w:rPr>
        <w:t>St. 1 at 8.  As part of this increased focus on safety, Columbia identified and proposed five incremental safety initiatives that were not included in its FPFTY budget.  These five initiatives include: (1) accelerating its cross bore identification program to reduce the current completion timeframe from 68 to 31 years; (2) adding two gas qualification specialists to improve training of its future workforce; (3) adding seven full-time employees to speed up the process to update its legacy service line records; (4)</w:t>
      </w:r>
      <w:r w:rsidR="00836D08">
        <w:rPr>
          <w:sz w:val="26"/>
          <w:szCs w:val="26"/>
        </w:rPr>
        <w:t> </w:t>
      </w:r>
      <w:r w:rsidRPr="00E9174E">
        <w:rPr>
          <w:sz w:val="26"/>
          <w:szCs w:val="26"/>
        </w:rPr>
        <w:t xml:space="preserve">increasing its field-assembled riser replacement budget to include amounts dedicated to replacing customer-owned field-assembled risers; and (5) </w:t>
      </w:r>
      <w:bookmarkStart w:id="184" w:name="_Hlk61517807"/>
      <w:r w:rsidRPr="00E9174E">
        <w:rPr>
          <w:sz w:val="26"/>
          <w:szCs w:val="26"/>
        </w:rPr>
        <w:t xml:space="preserve">employing a new </w:t>
      </w:r>
      <w:proofErr w:type="spellStart"/>
      <w:r w:rsidRPr="00E9174E">
        <w:rPr>
          <w:sz w:val="26"/>
          <w:szCs w:val="26"/>
        </w:rPr>
        <w:t>Picarro</w:t>
      </w:r>
      <w:proofErr w:type="spellEnd"/>
      <w:r w:rsidRPr="00E9174E">
        <w:rPr>
          <w:sz w:val="26"/>
          <w:szCs w:val="26"/>
        </w:rPr>
        <w:t xml:space="preserve"> leak detection platform system</w:t>
      </w:r>
      <w:bookmarkEnd w:id="184"/>
      <w:r w:rsidRPr="00E9174E">
        <w:rPr>
          <w:sz w:val="26"/>
          <w:szCs w:val="26"/>
        </w:rPr>
        <w:t xml:space="preserve">, which will dispatch two vehicles with enhanced leak detection sensors and analytics.  The total cost of these five initiatives is $3,895,910.  </w:t>
      </w:r>
      <w:r w:rsidRPr="00E9174E">
        <w:rPr>
          <w:i/>
          <w:iCs/>
          <w:sz w:val="26"/>
          <w:szCs w:val="26"/>
        </w:rPr>
        <w:t xml:space="preserve">See </w:t>
      </w:r>
      <w:r w:rsidRPr="00E9174E">
        <w:rPr>
          <w:sz w:val="26"/>
          <w:szCs w:val="26"/>
        </w:rPr>
        <w:t xml:space="preserve">CG </w:t>
      </w:r>
      <w:proofErr w:type="spellStart"/>
      <w:r w:rsidRPr="00E9174E">
        <w:rPr>
          <w:sz w:val="26"/>
          <w:szCs w:val="26"/>
        </w:rPr>
        <w:t>Exh</w:t>
      </w:r>
      <w:proofErr w:type="spellEnd"/>
      <w:r w:rsidRPr="00E9174E">
        <w:rPr>
          <w:sz w:val="26"/>
          <w:szCs w:val="26"/>
        </w:rPr>
        <w:t>. 104, Sch. 2 at 18; CG St. 7 at 21-26.</w:t>
      </w:r>
    </w:p>
    <w:p w14:paraId="0E30004C" w14:textId="77777777" w:rsidR="00C73D11" w:rsidRPr="00E9174E" w:rsidRDefault="00C73D11" w:rsidP="00E9174E">
      <w:pPr>
        <w:widowControl/>
        <w:spacing w:line="360" w:lineRule="auto"/>
        <w:ind w:firstLine="1440"/>
        <w:contextualSpacing/>
        <w:rPr>
          <w:sz w:val="26"/>
          <w:szCs w:val="26"/>
        </w:rPr>
      </w:pPr>
    </w:p>
    <w:p w14:paraId="62881E47" w14:textId="0113DFC8" w:rsidR="00C73D11" w:rsidRPr="00E9174E" w:rsidRDefault="00C73D11" w:rsidP="00E9174E">
      <w:pPr>
        <w:widowControl/>
        <w:spacing w:line="360" w:lineRule="auto"/>
        <w:ind w:firstLine="1440"/>
        <w:contextualSpacing/>
        <w:rPr>
          <w:sz w:val="26"/>
          <w:szCs w:val="26"/>
          <w:vertAlign w:val="superscript"/>
        </w:rPr>
      </w:pPr>
      <w:r w:rsidRPr="00E9174E">
        <w:rPr>
          <w:sz w:val="26"/>
          <w:szCs w:val="26"/>
        </w:rPr>
        <w:t xml:space="preserve">The OCA challenged the inclusion of these five gas safety initiatives in Columbia’s FPFTY claim, stating that these expenses had not yet been incurred and, therefore, were speculative in nature.  OCA St. 15-18; OCA M.B. at 41-42.  However, in its rebuttal testimony, the OCA withdrew its opposition to the $120,000 included for the </w:t>
      </w:r>
      <w:proofErr w:type="spellStart"/>
      <w:r w:rsidRPr="00E9174E">
        <w:rPr>
          <w:sz w:val="26"/>
          <w:szCs w:val="26"/>
        </w:rPr>
        <w:lastRenderedPageBreak/>
        <w:t>Picarro</w:t>
      </w:r>
      <w:proofErr w:type="spellEnd"/>
      <w:r w:rsidRPr="00E9174E">
        <w:rPr>
          <w:sz w:val="26"/>
          <w:szCs w:val="26"/>
        </w:rPr>
        <w:t xml:space="preserve"> leak detection platform system, resulting in a revised proposed downward adjustment of $3,776,000 that should be disallowed for these safety initiatives.  As discussed below, Columbia argued in its Exception Nos. 9-12 that the OCA’s proposed disallowance for these other four initiatives is without merit and should be denied.</w:t>
      </w:r>
      <w:r w:rsidR="0079353B" w:rsidRPr="00E9174E" w:rsidDel="0079353B">
        <w:rPr>
          <w:sz w:val="26"/>
          <w:szCs w:val="26"/>
          <w:vertAlign w:val="superscript"/>
        </w:rPr>
        <w:t xml:space="preserve"> </w:t>
      </w:r>
    </w:p>
    <w:p w14:paraId="727C9F05" w14:textId="77777777" w:rsidR="007B2D6A" w:rsidRPr="00E9174E" w:rsidRDefault="007B2D6A" w:rsidP="00E9174E">
      <w:pPr>
        <w:widowControl/>
        <w:spacing w:line="360" w:lineRule="auto"/>
        <w:ind w:firstLine="1440"/>
        <w:contextualSpacing/>
        <w:rPr>
          <w:sz w:val="26"/>
          <w:szCs w:val="26"/>
        </w:rPr>
      </w:pPr>
    </w:p>
    <w:p w14:paraId="4990ABEB" w14:textId="224CCE63" w:rsidR="005537DD" w:rsidRPr="00E9174E" w:rsidRDefault="00D22684" w:rsidP="00E9174E">
      <w:pPr>
        <w:widowControl/>
        <w:spacing w:line="360" w:lineRule="auto"/>
        <w:ind w:firstLine="1440"/>
        <w:contextualSpacing/>
        <w:rPr>
          <w:sz w:val="26"/>
          <w:szCs w:val="26"/>
        </w:rPr>
      </w:pPr>
      <w:r w:rsidRPr="00E9174E">
        <w:rPr>
          <w:sz w:val="26"/>
          <w:szCs w:val="26"/>
        </w:rPr>
        <w:t xml:space="preserve">Because there are no objections to the fifth safety initiative relating to employing a new </w:t>
      </w:r>
      <w:proofErr w:type="spellStart"/>
      <w:r w:rsidRPr="00E9174E">
        <w:rPr>
          <w:sz w:val="26"/>
          <w:szCs w:val="26"/>
        </w:rPr>
        <w:t>Picarro</w:t>
      </w:r>
      <w:proofErr w:type="spellEnd"/>
      <w:r w:rsidRPr="00E9174E">
        <w:rPr>
          <w:sz w:val="26"/>
          <w:szCs w:val="26"/>
        </w:rPr>
        <w:t xml:space="preserve"> leak detection platform system and the ALJ did not otherwise address it in her Recommended Decision, we shall grant approval of this safety-related expense in the amount of $120,000 as both reasonable and just, and, therefore, in the public interest.</w:t>
      </w:r>
    </w:p>
    <w:p w14:paraId="2E481509" w14:textId="77777777" w:rsidR="00BD24E1" w:rsidRPr="00E9174E" w:rsidRDefault="00BD24E1" w:rsidP="00E9174E">
      <w:pPr>
        <w:widowControl/>
        <w:contextualSpacing/>
        <w:rPr>
          <w:sz w:val="26"/>
          <w:szCs w:val="26"/>
        </w:rPr>
      </w:pPr>
    </w:p>
    <w:p w14:paraId="1E5BC700" w14:textId="77777777" w:rsidR="00BD24E1" w:rsidRPr="00E9174E" w:rsidRDefault="00BD24E1" w:rsidP="00277ECF">
      <w:pPr>
        <w:pStyle w:val="Heading3"/>
        <w:numPr>
          <w:ilvl w:val="0"/>
          <w:numId w:val="18"/>
        </w:numPr>
        <w:ind w:left="1440" w:hanging="720"/>
      </w:pPr>
      <w:bookmarkStart w:id="185" w:name="_Toc63764473"/>
      <w:r w:rsidRPr="00E9174E">
        <w:t>Cross Bore Identification</w:t>
      </w:r>
      <w:bookmarkEnd w:id="185"/>
    </w:p>
    <w:p w14:paraId="41EDFE7A" w14:textId="77777777" w:rsidR="00BD24E1" w:rsidRPr="00E9174E" w:rsidRDefault="00BD24E1" w:rsidP="00E9174E">
      <w:pPr>
        <w:keepNext/>
        <w:keepLines/>
        <w:widowControl/>
        <w:spacing w:line="360" w:lineRule="auto"/>
        <w:contextualSpacing/>
        <w:rPr>
          <w:sz w:val="26"/>
          <w:szCs w:val="26"/>
        </w:rPr>
      </w:pPr>
    </w:p>
    <w:p w14:paraId="62485FFE" w14:textId="5B602425" w:rsidR="00BD24E1" w:rsidRPr="00E9174E" w:rsidRDefault="00BD24E1" w:rsidP="00277ECF">
      <w:pPr>
        <w:pStyle w:val="Heading4"/>
        <w:numPr>
          <w:ilvl w:val="0"/>
          <w:numId w:val="52"/>
        </w:numPr>
        <w:ind w:left="2160" w:hanging="720"/>
      </w:pPr>
      <w:bookmarkStart w:id="186" w:name="_Toc63764474"/>
      <w:r w:rsidRPr="00E9174E">
        <w:t>Positions of the Parties</w:t>
      </w:r>
      <w:bookmarkEnd w:id="186"/>
    </w:p>
    <w:p w14:paraId="0D976CAB" w14:textId="77777777" w:rsidR="00BD24E1" w:rsidRPr="00E9174E" w:rsidRDefault="00BD24E1" w:rsidP="00E9174E">
      <w:pPr>
        <w:keepNext/>
        <w:keepLines/>
        <w:widowControl/>
        <w:contextualSpacing/>
        <w:rPr>
          <w:sz w:val="26"/>
          <w:szCs w:val="26"/>
        </w:rPr>
      </w:pPr>
    </w:p>
    <w:p w14:paraId="5E44FB43" w14:textId="144ABE13" w:rsidR="00F76958" w:rsidRPr="00E9174E" w:rsidRDefault="00F76958" w:rsidP="00E9174E">
      <w:pPr>
        <w:keepNext/>
        <w:widowControl/>
        <w:spacing w:line="360" w:lineRule="auto"/>
        <w:ind w:firstLine="1440"/>
        <w:contextualSpacing/>
        <w:rPr>
          <w:sz w:val="26"/>
          <w:szCs w:val="26"/>
        </w:rPr>
      </w:pPr>
      <w:r w:rsidRPr="00E9174E">
        <w:rPr>
          <w:sz w:val="26"/>
          <w:szCs w:val="26"/>
        </w:rPr>
        <w:t xml:space="preserve">Columbia sought an increase in spending of $1.4 million on </w:t>
      </w:r>
      <w:r w:rsidR="006B3115" w:rsidRPr="00E9174E">
        <w:rPr>
          <w:sz w:val="26"/>
          <w:szCs w:val="26"/>
        </w:rPr>
        <w:t>C</w:t>
      </w:r>
      <w:r w:rsidRPr="00E9174E">
        <w:rPr>
          <w:sz w:val="26"/>
          <w:szCs w:val="26"/>
        </w:rPr>
        <w:t xml:space="preserve">ross </w:t>
      </w:r>
      <w:r w:rsidR="006B3115" w:rsidRPr="00E9174E">
        <w:rPr>
          <w:sz w:val="26"/>
          <w:szCs w:val="26"/>
        </w:rPr>
        <w:t>B</w:t>
      </w:r>
      <w:r w:rsidRPr="00E9174E">
        <w:rPr>
          <w:sz w:val="26"/>
          <w:szCs w:val="26"/>
        </w:rPr>
        <w:t xml:space="preserve">ore </w:t>
      </w:r>
      <w:r w:rsidR="006B3115" w:rsidRPr="00E9174E">
        <w:rPr>
          <w:sz w:val="26"/>
          <w:szCs w:val="26"/>
        </w:rPr>
        <w:t>I</w:t>
      </w:r>
      <w:r w:rsidRPr="00E9174E">
        <w:rPr>
          <w:sz w:val="26"/>
          <w:szCs w:val="26"/>
        </w:rPr>
        <w:t>dentification in order to cut by more than half the time to complete the program from 68</w:t>
      </w:r>
      <w:r w:rsidR="00836D08">
        <w:rPr>
          <w:sz w:val="26"/>
          <w:szCs w:val="26"/>
        </w:rPr>
        <w:t> </w:t>
      </w:r>
      <w:r w:rsidRPr="00E9174E">
        <w:rPr>
          <w:sz w:val="26"/>
          <w:szCs w:val="26"/>
        </w:rPr>
        <w:t>years to 31 years.</w:t>
      </w:r>
      <w:r w:rsidRPr="00E9174E">
        <w:rPr>
          <w:sz w:val="26"/>
          <w:szCs w:val="26"/>
          <w:vertAlign w:val="superscript"/>
        </w:rPr>
        <w:footnoteReference w:id="37"/>
      </w:r>
      <w:r w:rsidRPr="00E9174E">
        <w:rPr>
          <w:sz w:val="26"/>
          <w:szCs w:val="26"/>
        </w:rPr>
        <w:t xml:space="preserve">  Columbia proposed to accelerate this program because, to date, it has identified nearly 300 cross bores in its facilities, which it has classified as high risk in its DIMP.  CG M.B. at 52.  Columbia stated that when it began the program in 2013, it had only identified cross bores as a potential risk as opposed to a high risk.  CG St. 7 at</w:t>
      </w:r>
      <w:r w:rsidR="00836D08">
        <w:rPr>
          <w:sz w:val="26"/>
          <w:szCs w:val="26"/>
        </w:rPr>
        <w:t> </w:t>
      </w:r>
      <w:r w:rsidRPr="00E9174E">
        <w:rPr>
          <w:sz w:val="26"/>
          <w:szCs w:val="26"/>
        </w:rPr>
        <w:t>21.  Columbia explained that the purpose of the DIMP is to identify risks, develop action plans and then implement such plans to reduce identified risks.  The Company argued that its proposal to double its cross-bore expenditures in order to reduce by over 50% the time to address this high-risk issue is reasonable and in the public interest.</w:t>
      </w:r>
    </w:p>
    <w:p w14:paraId="176829A9" w14:textId="77777777" w:rsidR="00F76958" w:rsidRPr="00E9174E" w:rsidRDefault="00F76958" w:rsidP="00E9174E">
      <w:pPr>
        <w:widowControl/>
        <w:spacing w:line="360" w:lineRule="auto"/>
        <w:ind w:firstLine="1440"/>
        <w:contextualSpacing/>
        <w:rPr>
          <w:sz w:val="26"/>
          <w:szCs w:val="26"/>
        </w:rPr>
      </w:pPr>
    </w:p>
    <w:p w14:paraId="1212F697" w14:textId="1CC66D30" w:rsidR="00F76958" w:rsidRPr="00E9174E" w:rsidRDefault="00F76958" w:rsidP="00E9174E">
      <w:pPr>
        <w:widowControl/>
        <w:spacing w:line="360" w:lineRule="auto"/>
        <w:ind w:firstLine="1440"/>
        <w:contextualSpacing/>
        <w:rPr>
          <w:sz w:val="26"/>
          <w:szCs w:val="26"/>
        </w:rPr>
      </w:pPr>
      <w:r w:rsidRPr="00E9174E">
        <w:rPr>
          <w:sz w:val="26"/>
          <w:szCs w:val="26"/>
        </w:rPr>
        <w:lastRenderedPageBreak/>
        <w:t>The OCA contended that Columbia’s supporting documentation was insufficient to show that this program will be implemented in 2021 with some reasonable degree of certainty, and, therefore, should be rejected as too speculative in nature.  OCA</w:t>
      </w:r>
      <w:r w:rsidR="00836D08">
        <w:rPr>
          <w:sz w:val="26"/>
          <w:szCs w:val="26"/>
        </w:rPr>
        <w:t> </w:t>
      </w:r>
      <w:r w:rsidRPr="00E9174E">
        <w:rPr>
          <w:sz w:val="26"/>
          <w:szCs w:val="26"/>
        </w:rPr>
        <w:t xml:space="preserve">St. 2 at 18.  The OCA also contended that Columbia has actually reduced its spending commitments on </w:t>
      </w:r>
      <w:r w:rsidR="008B100C" w:rsidRPr="00E9174E">
        <w:rPr>
          <w:sz w:val="26"/>
          <w:szCs w:val="26"/>
        </w:rPr>
        <w:t>C</w:t>
      </w:r>
      <w:r w:rsidRPr="00E9174E">
        <w:rPr>
          <w:sz w:val="26"/>
          <w:szCs w:val="26"/>
        </w:rPr>
        <w:t xml:space="preserve">ross </w:t>
      </w:r>
      <w:r w:rsidR="008B100C" w:rsidRPr="00E9174E">
        <w:rPr>
          <w:sz w:val="26"/>
          <w:szCs w:val="26"/>
        </w:rPr>
        <w:t>B</w:t>
      </w:r>
      <w:r w:rsidRPr="00E9174E">
        <w:rPr>
          <w:sz w:val="26"/>
          <w:szCs w:val="26"/>
        </w:rPr>
        <w:t xml:space="preserve">ore </w:t>
      </w:r>
      <w:r w:rsidR="008B100C" w:rsidRPr="00E9174E">
        <w:rPr>
          <w:sz w:val="26"/>
          <w:szCs w:val="26"/>
        </w:rPr>
        <w:t>I</w:t>
      </w:r>
      <w:r w:rsidRPr="00E9174E">
        <w:rPr>
          <w:sz w:val="26"/>
          <w:szCs w:val="26"/>
        </w:rPr>
        <w:t xml:space="preserve">dentification in the past two years as further proof that it should not be granted an increase for 2021.  OCA M.B. at 43.  </w:t>
      </w:r>
    </w:p>
    <w:p w14:paraId="68360228" w14:textId="77777777" w:rsidR="00BD24E1" w:rsidRPr="00E9174E" w:rsidRDefault="00BD24E1" w:rsidP="00E9174E">
      <w:pPr>
        <w:widowControl/>
        <w:spacing w:line="360" w:lineRule="auto"/>
        <w:ind w:firstLine="1440"/>
        <w:contextualSpacing/>
        <w:rPr>
          <w:sz w:val="26"/>
          <w:szCs w:val="26"/>
        </w:rPr>
      </w:pPr>
      <w:r w:rsidRPr="00E9174E">
        <w:rPr>
          <w:sz w:val="26"/>
          <w:szCs w:val="26"/>
        </w:rPr>
        <w:t xml:space="preserve">  </w:t>
      </w:r>
    </w:p>
    <w:p w14:paraId="7AFDB369" w14:textId="41132C5A" w:rsidR="00BD24E1" w:rsidRPr="00E9174E" w:rsidRDefault="00BD24E1" w:rsidP="00836D08">
      <w:pPr>
        <w:pStyle w:val="Heading4"/>
        <w:ind w:left="2160" w:hanging="720"/>
      </w:pPr>
      <w:bookmarkStart w:id="187" w:name="_Toc63764475"/>
      <w:r w:rsidRPr="00E9174E">
        <w:t>Recommended Decision</w:t>
      </w:r>
      <w:bookmarkEnd w:id="187"/>
    </w:p>
    <w:p w14:paraId="71D8BF26" w14:textId="77777777" w:rsidR="00BD24E1" w:rsidRPr="00E9174E" w:rsidRDefault="00BD24E1" w:rsidP="00E9174E">
      <w:pPr>
        <w:keepNext/>
        <w:keepLines/>
        <w:widowControl/>
        <w:spacing w:line="360" w:lineRule="auto"/>
        <w:contextualSpacing/>
        <w:rPr>
          <w:sz w:val="26"/>
          <w:szCs w:val="26"/>
        </w:rPr>
      </w:pPr>
    </w:p>
    <w:p w14:paraId="4DA375A4" w14:textId="4ACAD7C4" w:rsidR="00627453" w:rsidRPr="00E9174E" w:rsidRDefault="00627453" w:rsidP="00E9174E">
      <w:pPr>
        <w:keepNext/>
        <w:widowControl/>
        <w:spacing w:line="360" w:lineRule="auto"/>
        <w:ind w:firstLine="1440"/>
        <w:contextualSpacing/>
        <w:rPr>
          <w:sz w:val="26"/>
          <w:szCs w:val="26"/>
        </w:rPr>
      </w:pPr>
      <w:r w:rsidRPr="00E9174E">
        <w:rPr>
          <w:sz w:val="26"/>
          <w:szCs w:val="26"/>
        </w:rPr>
        <w:t>The ALJ recommended that the Commission reject, in its entirety, Columbia’s request of $1.4 million on its cross-bore program for 2021, finding that Columbia did not sufficiently clarify why its spending level must more than double from 2020 to 2021.  The ALJ particularly found troubling the fact that the Company’s spending levels on its cross-bore program in 2019 and 2020 were lower than its spending levels from 2015 to 2018.  The ALJ concluded that it is not in the public interest to approve a base rate which includes a significant increase for cross-bore expenditures without sufficient justification from the Company for this expense or its need.  R.D. at</w:t>
      </w:r>
      <w:r w:rsidR="00F01562" w:rsidRPr="00E9174E">
        <w:rPr>
          <w:sz w:val="26"/>
          <w:szCs w:val="26"/>
        </w:rPr>
        <w:t> </w:t>
      </w:r>
      <w:r w:rsidRPr="00E9174E">
        <w:rPr>
          <w:sz w:val="26"/>
          <w:szCs w:val="26"/>
        </w:rPr>
        <w:t xml:space="preserve">113.  </w:t>
      </w:r>
    </w:p>
    <w:p w14:paraId="12E4F95C" w14:textId="77777777" w:rsidR="00627453" w:rsidRPr="00E9174E" w:rsidRDefault="00627453" w:rsidP="00E9174E">
      <w:pPr>
        <w:widowControl/>
        <w:spacing w:line="360" w:lineRule="auto"/>
        <w:ind w:firstLine="1440"/>
        <w:contextualSpacing/>
        <w:rPr>
          <w:sz w:val="26"/>
          <w:szCs w:val="26"/>
        </w:rPr>
      </w:pPr>
    </w:p>
    <w:p w14:paraId="753EFDA9" w14:textId="77777777" w:rsidR="00627453" w:rsidRPr="00E9174E" w:rsidRDefault="00627453" w:rsidP="00E9174E">
      <w:pPr>
        <w:widowControl/>
        <w:spacing w:line="360" w:lineRule="auto"/>
        <w:ind w:firstLine="1440"/>
        <w:contextualSpacing/>
        <w:rPr>
          <w:sz w:val="26"/>
          <w:szCs w:val="26"/>
        </w:rPr>
      </w:pPr>
      <w:r w:rsidRPr="00E9174E">
        <w:rPr>
          <w:sz w:val="26"/>
          <w:szCs w:val="26"/>
        </w:rPr>
        <w:t xml:space="preserve">Alternatively, if the Commission grants Columbia’s request to consider all the elements in its base rate increase request, the ALJ recommended that the Commission should still eliminate the $1.4 million request to accelerate its cross-bore program in 2021.  </w:t>
      </w:r>
      <w:r w:rsidRPr="00E9174E">
        <w:rPr>
          <w:i/>
          <w:iCs/>
          <w:sz w:val="26"/>
          <w:szCs w:val="26"/>
        </w:rPr>
        <w:t>Id</w:t>
      </w:r>
      <w:r w:rsidRPr="00E9174E">
        <w:rPr>
          <w:sz w:val="26"/>
          <w:szCs w:val="26"/>
        </w:rPr>
        <w:t>.</w:t>
      </w:r>
    </w:p>
    <w:p w14:paraId="76A0395E" w14:textId="77777777" w:rsidR="00627453" w:rsidRPr="00E9174E" w:rsidRDefault="00627453" w:rsidP="00E9174E">
      <w:pPr>
        <w:widowControl/>
        <w:spacing w:line="360" w:lineRule="auto"/>
        <w:ind w:firstLine="1440"/>
        <w:contextualSpacing/>
        <w:rPr>
          <w:sz w:val="26"/>
          <w:szCs w:val="26"/>
        </w:rPr>
      </w:pPr>
    </w:p>
    <w:p w14:paraId="4BF952BF" w14:textId="09267CF1" w:rsidR="00BD24E1" w:rsidRPr="00E9174E" w:rsidRDefault="00BD24E1" w:rsidP="00836D08">
      <w:pPr>
        <w:pStyle w:val="Heading4"/>
        <w:ind w:left="2160" w:hanging="720"/>
      </w:pPr>
      <w:bookmarkStart w:id="188" w:name="_Toc63764476"/>
      <w:r w:rsidRPr="00E9174E">
        <w:t>Columbia Exception No. 9 and Replies</w:t>
      </w:r>
      <w:bookmarkEnd w:id="188"/>
    </w:p>
    <w:p w14:paraId="36E836CA" w14:textId="77777777" w:rsidR="00BD24E1" w:rsidRPr="00E9174E" w:rsidRDefault="00BD24E1" w:rsidP="00E9174E">
      <w:pPr>
        <w:keepNext/>
        <w:keepLines/>
        <w:widowControl/>
        <w:contextualSpacing/>
        <w:rPr>
          <w:sz w:val="26"/>
          <w:szCs w:val="26"/>
        </w:rPr>
      </w:pPr>
    </w:p>
    <w:p w14:paraId="2C71AE76" w14:textId="534D54AF" w:rsidR="007E6A66" w:rsidRPr="00E9174E" w:rsidRDefault="007E6A66" w:rsidP="00E9174E">
      <w:pPr>
        <w:keepNext/>
        <w:widowControl/>
        <w:spacing w:line="360" w:lineRule="auto"/>
        <w:ind w:firstLine="1440"/>
        <w:contextualSpacing/>
        <w:rPr>
          <w:sz w:val="26"/>
          <w:szCs w:val="26"/>
        </w:rPr>
      </w:pPr>
      <w:r w:rsidRPr="00E9174E">
        <w:rPr>
          <w:sz w:val="26"/>
          <w:szCs w:val="26"/>
        </w:rPr>
        <w:t xml:space="preserve">In its Exception No. 9, Columbia asserts that the ALJ improperly rejected the Company’s proposal to accelerate its </w:t>
      </w:r>
      <w:r w:rsidR="000351FD" w:rsidRPr="00E9174E">
        <w:rPr>
          <w:sz w:val="26"/>
          <w:szCs w:val="26"/>
        </w:rPr>
        <w:t>C</w:t>
      </w:r>
      <w:r w:rsidRPr="00E9174E">
        <w:rPr>
          <w:sz w:val="26"/>
          <w:szCs w:val="26"/>
        </w:rPr>
        <w:t xml:space="preserve">ross </w:t>
      </w:r>
      <w:r w:rsidR="000351FD" w:rsidRPr="00E9174E">
        <w:rPr>
          <w:sz w:val="26"/>
          <w:szCs w:val="26"/>
        </w:rPr>
        <w:t>B</w:t>
      </w:r>
      <w:r w:rsidRPr="00E9174E">
        <w:rPr>
          <w:sz w:val="26"/>
          <w:szCs w:val="26"/>
        </w:rPr>
        <w:t xml:space="preserve">ore </w:t>
      </w:r>
      <w:r w:rsidR="000351FD" w:rsidRPr="00E9174E">
        <w:rPr>
          <w:sz w:val="26"/>
          <w:szCs w:val="26"/>
        </w:rPr>
        <w:t>I</w:t>
      </w:r>
      <w:r w:rsidRPr="00E9174E">
        <w:rPr>
          <w:sz w:val="26"/>
          <w:szCs w:val="26"/>
        </w:rPr>
        <w:t xml:space="preserve">dentification </w:t>
      </w:r>
      <w:r w:rsidR="00FE67AD" w:rsidRPr="00E9174E">
        <w:rPr>
          <w:sz w:val="26"/>
          <w:szCs w:val="26"/>
        </w:rPr>
        <w:t>S</w:t>
      </w:r>
      <w:r w:rsidRPr="00E9174E">
        <w:rPr>
          <w:sz w:val="26"/>
          <w:szCs w:val="26"/>
        </w:rPr>
        <w:t xml:space="preserve">afety </w:t>
      </w:r>
      <w:r w:rsidR="00FE67AD" w:rsidRPr="00E9174E">
        <w:rPr>
          <w:sz w:val="26"/>
          <w:szCs w:val="26"/>
        </w:rPr>
        <w:t>P</w:t>
      </w:r>
      <w:r w:rsidRPr="00E9174E">
        <w:rPr>
          <w:sz w:val="26"/>
          <w:szCs w:val="26"/>
        </w:rPr>
        <w:t xml:space="preserve">rogram, arguing that the ALJ relied solely on the Company’s past budgets for the program to find </w:t>
      </w:r>
      <w:r w:rsidRPr="00E9174E">
        <w:rPr>
          <w:sz w:val="26"/>
          <w:szCs w:val="26"/>
        </w:rPr>
        <w:lastRenderedPageBreak/>
        <w:t>that the Company did not sufficiently justify the expense or its need.  In Columbia’s view, this approach ignores the Company’s request to accelerate the program after identifying cross bores as a high risk in its DIMP in order to remediate the risk much faster as a safety initiative.  Columbia argues that there should be no adverse inference drawn from the fact it has not substantially increased cross bore spending in prior years, because the planned acceleration is only now scheduled to begin in 2021.  CG Exc. at 16.</w:t>
      </w:r>
    </w:p>
    <w:p w14:paraId="203EC24E" w14:textId="77777777" w:rsidR="007E6A66" w:rsidRPr="00E9174E" w:rsidRDefault="007E6A66" w:rsidP="00E9174E">
      <w:pPr>
        <w:widowControl/>
        <w:spacing w:line="360" w:lineRule="auto"/>
        <w:contextualSpacing/>
        <w:rPr>
          <w:sz w:val="26"/>
          <w:szCs w:val="26"/>
        </w:rPr>
      </w:pPr>
    </w:p>
    <w:p w14:paraId="22B0F138" w14:textId="56308735" w:rsidR="007E6A66" w:rsidRPr="00E9174E" w:rsidRDefault="007E6A66" w:rsidP="00E9174E">
      <w:pPr>
        <w:widowControl/>
        <w:spacing w:line="360" w:lineRule="auto"/>
        <w:ind w:firstLine="1440"/>
        <w:contextualSpacing/>
        <w:rPr>
          <w:rFonts w:eastAsiaTheme="minorHAnsi"/>
          <w:sz w:val="26"/>
          <w:szCs w:val="26"/>
        </w:rPr>
      </w:pPr>
      <w:r w:rsidRPr="00E9174E">
        <w:rPr>
          <w:rFonts w:eastAsiaTheme="minorHAnsi"/>
          <w:sz w:val="26"/>
          <w:szCs w:val="26"/>
        </w:rPr>
        <w:t>Columbia asserts that there is no requirement that a utility may only recover an increased level of spending if, in fact, it has proven that it has already increased the pace of spending for the item in question.  Columbia takes the position that “such a requirement would eviscerate the FPFTY process,” and in effect return ratemaking back to a period when a utility could only rely upon an historic test period.  Columbia argues that under this scenario, a utility would always have to bear the cost of an increase in expense before it could make a claim for the increase in a rate proceeding.  CG Exc. at</w:t>
      </w:r>
      <w:r w:rsidR="00A658BD" w:rsidRPr="00E9174E">
        <w:rPr>
          <w:rFonts w:eastAsiaTheme="minorHAnsi"/>
          <w:sz w:val="26"/>
          <w:szCs w:val="26"/>
        </w:rPr>
        <w:t> </w:t>
      </w:r>
      <w:r w:rsidRPr="00E9174E">
        <w:rPr>
          <w:rFonts w:eastAsiaTheme="minorHAnsi"/>
          <w:sz w:val="26"/>
          <w:szCs w:val="26"/>
        </w:rPr>
        <w:t>17.</w:t>
      </w:r>
    </w:p>
    <w:p w14:paraId="7922C4BC" w14:textId="77777777" w:rsidR="007E6A66" w:rsidRPr="00E9174E" w:rsidRDefault="007E6A66" w:rsidP="00E9174E">
      <w:pPr>
        <w:widowControl/>
        <w:spacing w:line="360" w:lineRule="auto"/>
        <w:contextualSpacing/>
        <w:rPr>
          <w:rFonts w:eastAsiaTheme="minorHAnsi"/>
          <w:sz w:val="26"/>
          <w:szCs w:val="26"/>
        </w:rPr>
      </w:pPr>
    </w:p>
    <w:p w14:paraId="45E266DE" w14:textId="5E17F703" w:rsidR="007E6A66" w:rsidRPr="00E9174E" w:rsidRDefault="007E6A66" w:rsidP="00E9174E">
      <w:pPr>
        <w:widowControl/>
        <w:spacing w:line="360" w:lineRule="auto"/>
        <w:ind w:firstLine="1440"/>
        <w:contextualSpacing/>
        <w:rPr>
          <w:rFonts w:eastAsiaTheme="minorHAnsi"/>
          <w:sz w:val="26"/>
          <w:szCs w:val="26"/>
        </w:rPr>
      </w:pPr>
      <w:r w:rsidRPr="00E9174E">
        <w:rPr>
          <w:rFonts w:eastAsiaTheme="minorHAnsi"/>
          <w:sz w:val="26"/>
          <w:szCs w:val="26"/>
        </w:rPr>
        <w:t xml:space="preserve">In its Reply, the OCA submits that ALJ Dunderdale was correct to reject Columbia’s FPFTY </w:t>
      </w:r>
      <w:r w:rsidR="008A77D8" w:rsidRPr="00E9174E">
        <w:rPr>
          <w:rFonts w:eastAsiaTheme="minorHAnsi"/>
          <w:sz w:val="26"/>
          <w:szCs w:val="26"/>
        </w:rPr>
        <w:t>C</w:t>
      </w:r>
      <w:r w:rsidRPr="00E9174E">
        <w:rPr>
          <w:rFonts w:eastAsiaTheme="minorHAnsi"/>
          <w:sz w:val="26"/>
          <w:szCs w:val="26"/>
        </w:rPr>
        <w:t xml:space="preserve">ross </w:t>
      </w:r>
      <w:r w:rsidR="008A77D8" w:rsidRPr="00E9174E">
        <w:rPr>
          <w:rFonts w:eastAsiaTheme="minorHAnsi"/>
          <w:sz w:val="26"/>
          <w:szCs w:val="26"/>
        </w:rPr>
        <w:t>B</w:t>
      </w:r>
      <w:r w:rsidRPr="00E9174E">
        <w:rPr>
          <w:rFonts w:eastAsiaTheme="minorHAnsi"/>
          <w:sz w:val="26"/>
          <w:szCs w:val="26"/>
        </w:rPr>
        <w:t xml:space="preserve">ore </w:t>
      </w:r>
      <w:r w:rsidR="008A77D8" w:rsidRPr="00E9174E">
        <w:rPr>
          <w:rFonts w:eastAsiaTheme="minorHAnsi"/>
          <w:sz w:val="26"/>
          <w:szCs w:val="26"/>
        </w:rPr>
        <w:t>I</w:t>
      </w:r>
      <w:r w:rsidRPr="00E9174E">
        <w:rPr>
          <w:rFonts w:eastAsiaTheme="minorHAnsi"/>
          <w:sz w:val="26"/>
          <w:szCs w:val="26"/>
        </w:rPr>
        <w:t>dentification program in its entirety because the Company provided no evidence to justify the significant increase.  The OCA submits that ALJ Dunderdale properly rejected this expense as “[</w:t>
      </w:r>
      <w:proofErr w:type="spellStart"/>
      <w:r w:rsidRPr="00E9174E">
        <w:rPr>
          <w:rFonts w:eastAsiaTheme="minorHAnsi"/>
          <w:sz w:val="26"/>
          <w:szCs w:val="26"/>
        </w:rPr>
        <w:t>i</w:t>
      </w:r>
      <w:proofErr w:type="spellEnd"/>
      <w:r w:rsidRPr="00E9174E">
        <w:rPr>
          <w:rFonts w:eastAsiaTheme="minorHAnsi"/>
          <w:sz w:val="26"/>
          <w:szCs w:val="26"/>
        </w:rPr>
        <w:t>]t is not in the public interest to approve a base rate which includes a significant increase in this expense without sufficient justification from the Company to explain the expense and the need for the expense.” OCA R. Exc. at 10 (citing R.D. at 113).</w:t>
      </w:r>
    </w:p>
    <w:p w14:paraId="14CE1F46" w14:textId="77777777" w:rsidR="00BD24E1" w:rsidRPr="00E9174E" w:rsidRDefault="00BD24E1" w:rsidP="00E9174E">
      <w:pPr>
        <w:widowControl/>
        <w:spacing w:line="360" w:lineRule="auto"/>
        <w:contextualSpacing/>
        <w:rPr>
          <w:rFonts w:eastAsiaTheme="minorHAnsi"/>
          <w:sz w:val="26"/>
          <w:szCs w:val="26"/>
        </w:rPr>
      </w:pPr>
    </w:p>
    <w:p w14:paraId="429275EE" w14:textId="7B912320" w:rsidR="00BD24E1" w:rsidRPr="00E9174E" w:rsidRDefault="00BD24E1" w:rsidP="00836D08">
      <w:pPr>
        <w:pStyle w:val="Heading4"/>
        <w:ind w:left="2160" w:hanging="720"/>
      </w:pPr>
      <w:bookmarkStart w:id="189" w:name="_Toc63764477"/>
      <w:r w:rsidRPr="00E9174E">
        <w:t>Disposition</w:t>
      </w:r>
      <w:bookmarkEnd w:id="189"/>
    </w:p>
    <w:p w14:paraId="07C2F977" w14:textId="77777777" w:rsidR="00BD24E1" w:rsidRPr="00E9174E" w:rsidRDefault="00BD24E1" w:rsidP="00E9174E">
      <w:pPr>
        <w:keepNext/>
        <w:keepLines/>
        <w:widowControl/>
        <w:contextualSpacing/>
        <w:rPr>
          <w:sz w:val="26"/>
          <w:szCs w:val="26"/>
        </w:rPr>
      </w:pPr>
    </w:p>
    <w:p w14:paraId="23395E07" w14:textId="282D7A1D" w:rsidR="00831A38" w:rsidRPr="00E9174E" w:rsidRDefault="00831A38" w:rsidP="00E9174E">
      <w:pPr>
        <w:keepNext/>
        <w:widowControl/>
        <w:spacing w:line="360" w:lineRule="auto"/>
        <w:ind w:firstLine="1440"/>
        <w:contextualSpacing/>
        <w:rPr>
          <w:sz w:val="26"/>
          <w:szCs w:val="26"/>
        </w:rPr>
      </w:pPr>
      <w:r w:rsidRPr="00E9174E">
        <w:rPr>
          <w:sz w:val="26"/>
          <w:szCs w:val="26"/>
        </w:rPr>
        <w:t xml:space="preserve">We disagree with the ALJ’s conclusion that the increased expenditure of $1.4 million for Columbia’s FPFTY </w:t>
      </w:r>
      <w:r w:rsidR="00D70B28" w:rsidRPr="00E9174E">
        <w:rPr>
          <w:sz w:val="26"/>
          <w:szCs w:val="26"/>
        </w:rPr>
        <w:t>C</w:t>
      </w:r>
      <w:r w:rsidRPr="00E9174E">
        <w:rPr>
          <w:sz w:val="26"/>
          <w:szCs w:val="26"/>
        </w:rPr>
        <w:t xml:space="preserve">ross </w:t>
      </w:r>
      <w:r w:rsidR="00D70B28" w:rsidRPr="00E9174E">
        <w:rPr>
          <w:sz w:val="26"/>
          <w:szCs w:val="26"/>
        </w:rPr>
        <w:t>B</w:t>
      </w:r>
      <w:r w:rsidRPr="00E9174E">
        <w:rPr>
          <w:sz w:val="26"/>
          <w:szCs w:val="26"/>
        </w:rPr>
        <w:t xml:space="preserve">ore </w:t>
      </w:r>
      <w:r w:rsidR="00D70B28" w:rsidRPr="00E9174E">
        <w:rPr>
          <w:sz w:val="26"/>
          <w:szCs w:val="26"/>
        </w:rPr>
        <w:t>I</w:t>
      </w:r>
      <w:r w:rsidRPr="00E9174E">
        <w:rPr>
          <w:sz w:val="26"/>
          <w:szCs w:val="26"/>
        </w:rPr>
        <w:t xml:space="preserve">dentification program is not a reasonable and just expense for 2021.  Columbia’s goal of reducing by more than 50% </w:t>
      </w:r>
      <w:r w:rsidRPr="00E9174E">
        <w:rPr>
          <w:sz w:val="26"/>
          <w:szCs w:val="26"/>
        </w:rPr>
        <w:lastRenderedPageBreak/>
        <w:t xml:space="preserve">the time necessary to complete this safety program, thus eliminating this DIMP-identified high risk issue, is a worthy safety initiative that should not be discouraged by this Commission.  Therefore, we shall grant Columbia’s Exception No. 9, and approve the Company’s $1.4 million expense request for its </w:t>
      </w:r>
      <w:r w:rsidR="00AF3EAD" w:rsidRPr="00E9174E">
        <w:rPr>
          <w:sz w:val="26"/>
          <w:szCs w:val="26"/>
        </w:rPr>
        <w:t>C</w:t>
      </w:r>
      <w:r w:rsidRPr="00E9174E">
        <w:rPr>
          <w:sz w:val="26"/>
          <w:szCs w:val="26"/>
        </w:rPr>
        <w:t xml:space="preserve">ross </w:t>
      </w:r>
      <w:r w:rsidR="00AF3EAD" w:rsidRPr="00E9174E">
        <w:rPr>
          <w:sz w:val="26"/>
          <w:szCs w:val="26"/>
        </w:rPr>
        <w:t>B</w:t>
      </w:r>
      <w:r w:rsidRPr="00E9174E">
        <w:rPr>
          <w:sz w:val="26"/>
          <w:szCs w:val="26"/>
        </w:rPr>
        <w:t xml:space="preserve">ore </w:t>
      </w:r>
      <w:r w:rsidR="00AF3EAD" w:rsidRPr="00E9174E">
        <w:rPr>
          <w:sz w:val="26"/>
          <w:szCs w:val="26"/>
        </w:rPr>
        <w:t>I</w:t>
      </w:r>
      <w:r w:rsidRPr="00E9174E">
        <w:rPr>
          <w:sz w:val="26"/>
          <w:szCs w:val="26"/>
        </w:rPr>
        <w:t xml:space="preserve">dentification program.  </w:t>
      </w:r>
    </w:p>
    <w:p w14:paraId="6AD8E8CA" w14:textId="77777777" w:rsidR="00831A38" w:rsidRPr="00E9174E" w:rsidRDefault="00831A38" w:rsidP="00E9174E">
      <w:pPr>
        <w:widowControl/>
        <w:spacing w:line="360" w:lineRule="auto"/>
        <w:contextualSpacing/>
        <w:rPr>
          <w:sz w:val="26"/>
          <w:szCs w:val="26"/>
        </w:rPr>
      </w:pPr>
    </w:p>
    <w:p w14:paraId="1E677AB5" w14:textId="1CC6B2E6" w:rsidR="00831A38" w:rsidRPr="00E9174E" w:rsidRDefault="00831A38" w:rsidP="00E9174E">
      <w:pPr>
        <w:widowControl/>
        <w:spacing w:line="360" w:lineRule="auto"/>
        <w:ind w:firstLine="1440"/>
        <w:contextualSpacing/>
        <w:rPr>
          <w:sz w:val="26"/>
          <w:szCs w:val="26"/>
        </w:rPr>
      </w:pPr>
      <w:r w:rsidRPr="00E9174E">
        <w:rPr>
          <w:color w:val="000000"/>
          <w:sz w:val="26"/>
          <w:szCs w:val="26"/>
        </w:rPr>
        <w:t xml:space="preserve">However, because we are approving estimated projected expenses that will be included in the Company’s base rates, we find that it is in the public interest that the Company’s future actual expenditures related to the allowed expense be monitored to ensure the accuracy of projected expenses.  Because Columbia’s claim for projected </w:t>
      </w:r>
      <w:r w:rsidR="00206527" w:rsidRPr="00E9174E">
        <w:rPr>
          <w:color w:val="000000"/>
          <w:sz w:val="26"/>
          <w:szCs w:val="26"/>
        </w:rPr>
        <w:t>C</w:t>
      </w:r>
      <w:r w:rsidRPr="00E9174E">
        <w:rPr>
          <w:color w:val="000000"/>
          <w:sz w:val="26"/>
          <w:szCs w:val="26"/>
        </w:rPr>
        <w:t xml:space="preserve">ross </w:t>
      </w:r>
      <w:r w:rsidR="00206527" w:rsidRPr="00E9174E">
        <w:rPr>
          <w:color w:val="000000"/>
          <w:sz w:val="26"/>
          <w:szCs w:val="26"/>
        </w:rPr>
        <w:t>B</w:t>
      </w:r>
      <w:r w:rsidRPr="00E9174E">
        <w:rPr>
          <w:color w:val="000000"/>
          <w:sz w:val="26"/>
          <w:szCs w:val="26"/>
        </w:rPr>
        <w:t xml:space="preserve">ore </w:t>
      </w:r>
      <w:r w:rsidR="00206527" w:rsidRPr="00E9174E">
        <w:rPr>
          <w:color w:val="000000"/>
          <w:sz w:val="26"/>
          <w:szCs w:val="26"/>
        </w:rPr>
        <w:t>I</w:t>
      </w:r>
      <w:r w:rsidRPr="00E9174E">
        <w:rPr>
          <w:color w:val="000000"/>
          <w:sz w:val="26"/>
          <w:szCs w:val="26"/>
        </w:rPr>
        <w:t xml:space="preserve">dentification program expenses is factored into Columbia’s calculation of rates using the FPFTY, we shall require Columbia to file annual reports with the Secretary’s Bureau and the Commission’s </w:t>
      </w:r>
      <w:r w:rsidRPr="00E9174E">
        <w:rPr>
          <w:sz w:val="26"/>
          <w:szCs w:val="26"/>
        </w:rPr>
        <w:t xml:space="preserve">Fixed Utility Financial Analyst Supervisor in I&amp;E by December 1 following the end of each fiscal year for the next five years, or until the implementation of new base rates in a subsequent rate case within this same time frame.  The annual reports shall </w:t>
      </w:r>
      <w:r w:rsidRPr="00E9174E">
        <w:rPr>
          <w:color w:val="000000"/>
          <w:sz w:val="26"/>
          <w:szCs w:val="26"/>
        </w:rPr>
        <w:t>delineate the actual annual expenses incurred by the Company for cross bore identification.</w:t>
      </w:r>
      <w:r w:rsidR="00222174" w:rsidRPr="00E9174E">
        <w:rPr>
          <w:sz w:val="26"/>
          <w:szCs w:val="26"/>
        </w:rPr>
        <w:t xml:space="preserve">  </w:t>
      </w:r>
    </w:p>
    <w:p w14:paraId="5E88B142" w14:textId="77777777" w:rsidR="00BD24E1" w:rsidRPr="00E9174E" w:rsidRDefault="00BD24E1" w:rsidP="00E9174E">
      <w:pPr>
        <w:widowControl/>
        <w:spacing w:line="360" w:lineRule="auto"/>
        <w:contextualSpacing/>
        <w:rPr>
          <w:sz w:val="26"/>
          <w:szCs w:val="26"/>
        </w:rPr>
      </w:pPr>
    </w:p>
    <w:p w14:paraId="3D051E13" w14:textId="77777777" w:rsidR="00BD24E1" w:rsidRPr="00E9174E" w:rsidRDefault="00BD24E1" w:rsidP="00277ECF">
      <w:pPr>
        <w:pStyle w:val="Heading3"/>
        <w:numPr>
          <w:ilvl w:val="0"/>
          <w:numId w:val="18"/>
        </w:numPr>
        <w:ind w:left="1440" w:hanging="720"/>
      </w:pPr>
      <w:bookmarkStart w:id="190" w:name="_Toc63764478"/>
      <w:r w:rsidRPr="00E9174E">
        <w:t>Gas Qualification Specialists</w:t>
      </w:r>
      <w:bookmarkEnd w:id="190"/>
    </w:p>
    <w:p w14:paraId="085F845D" w14:textId="77777777" w:rsidR="00BD24E1" w:rsidRPr="00E9174E" w:rsidRDefault="00BD24E1" w:rsidP="00E9174E">
      <w:pPr>
        <w:keepNext/>
        <w:keepLines/>
        <w:widowControl/>
        <w:spacing w:line="360" w:lineRule="auto"/>
        <w:contextualSpacing/>
        <w:rPr>
          <w:sz w:val="26"/>
          <w:szCs w:val="26"/>
        </w:rPr>
      </w:pPr>
    </w:p>
    <w:p w14:paraId="5365A5DF" w14:textId="4E8371D0" w:rsidR="00BD24E1" w:rsidRPr="00E9174E" w:rsidRDefault="00BD24E1" w:rsidP="00277ECF">
      <w:pPr>
        <w:pStyle w:val="Heading4"/>
        <w:numPr>
          <w:ilvl w:val="0"/>
          <w:numId w:val="53"/>
        </w:numPr>
        <w:ind w:left="2160" w:hanging="720"/>
      </w:pPr>
      <w:bookmarkStart w:id="191" w:name="_Toc63764479"/>
      <w:r w:rsidRPr="00E9174E">
        <w:t>Positions of the Parties</w:t>
      </w:r>
      <w:bookmarkEnd w:id="191"/>
    </w:p>
    <w:p w14:paraId="4BE62C87" w14:textId="77777777" w:rsidR="007704D9" w:rsidRPr="00E9174E" w:rsidRDefault="007704D9" w:rsidP="00E9174E">
      <w:pPr>
        <w:keepNext/>
        <w:keepLines/>
        <w:widowControl/>
        <w:kinsoku w:val="0"/>
        <w:overflowPunct w:val="0"/>
        <w:spacing w:line="360" w:lineRule="auto"/>
        <w:ind w:firstLine="1440"/>
        <w:contextualSpacing/>
        <w:textAlignment w:val="baseline"/>
        <w:rPr>
          <w:sz w:val="26"/>
          <w:szCs w:val="26"/>
        </w:rPr>
      </w:pPr>
    </w:p>
    <w:p w14:paraId="1E6B5470" w14:textId="177951FB" w:rsidR="00A46C4E" w:rsidRPr="00E9174E" w:rsidRDefault="00A46C4E" w:rsidP="00E9174E">
      <w:pPr>
        <w:keepNext/>
        <w:widowControl/>
        <w:kinsoku w:val="0"/>
        <w:overflowPunct w:val="0"/>
        <w:spacing w:line="360" w:lineRule="auto"/>
        <w:ind w:firstLine="1440"/>
        <w:contextualSpacing/>
        <w:textAlignment w:val="baseline"/>
        <w:rPr>
          <w:sz w:val="26"/>
          <w:szCs w:val="26"/>
        </w:rPr>
      </w:pPr>
      <w:r w:rsidRPr="00E9174E">
        <w:rPr>
          <w:sz w:val="26"/>
          <w:szCs w:val="26"/>
        </w:rPr>
        <w:t>Columbia proposed an expenditure of $185,000 to hire two incremental gas qualification specialists as specialized instructors to train new employees on the ever-increasing requirements for maintaining a safe system in the 21</w:t>
      </w:r>
      <w:r w:rsidRPr="00E9174E">
        <w:rPr>
          <w:sz w:val="26"/>
          <w:szCs w:val="26"/>
          <w:vertAlign w:val="superscript"/>
        </w:rPr>
        <w:t>st</w:t>
      </w:r>
      <w:r w:rsidRPr="00E9174E">
        <w:rPr>
          <w:sz w:val="26"/>
          <w:szCs w:val="26"/>
        </w:rPr>
        <w:t xml:space="preserve"> Century.  Columbia argued that this workforce transition safety initiative is needed because, like many utilities around the country, it faces an employee retirement challenge.  As such, Columbia submitted that because many long-time current employees are reaching retirement age, and the Company cannot rely upon its existing workforce to provide the 21</w:t>
      </w:r>
      <w:r w:rsidRPr="00E9174E">
        <w:rPr>
          <w:sz w:val="26"/>
          <w:szCs w:val="26"/>
          <w:vertAlign w:val="superscript"/>
        </w:rPr>
        <w:t>st</w:t>
      </w:r>
      <w:r w:rsidRPr="00E9174E">
        <w:rPr>
          <w:sz w:val="26"/>
          <w:szCs w:val="26"/>
        </w:rPr>
        <w:t xml:space="preserve"> Century training needed for the new hires being brought on as replacements.  </w:t>
      </w:r>
      <w:r w:rsidRPr="00E9174E">
        <w:rPr>
          <w:sz w:val="26"/>
          <w:szCs w:val="26"/>
        </w:rPr>
        <w:lastRenderedPageBreak/>
        <w:t>Columbia elaborated that the current workforce is needed to execute the Company’s work plan while the two incremental gas qualification specialists are needed for the specialized training needed to maintain a safe system, including, but not limited to, conducting hands-on skill performance evaluations and overseeing knowledge exams as needed for these new employees.  CG St. 7 at 22-23; CG M.B. at 54-55.</w:t>
      </w:r>
      <w:r w:rsidR="00222174" w:rsidRPr="00E9174E">
        <w:rPr>
          <w:sz w:val="26"/>
          <w:szCs w:val="26"/>
        </w:rPr>
        <w:t xml:space="preserve">  </w:t>
      </w:r>
      <w:r w:rsidRPr="00E9174E">
        <w:rPr>
          <w:sz w:val="26"/>
          <w:szCs w:val="26"/>
        </w:rPr>
        <w:t xml:space="preserve"> </w:t>
      </w:r>
    </w:p>
    <w:p w14:paraId="169307BC" w14:textId="77777777" w:rsidR="00A46C4E" w:rsidRPr="00E9174E" w:rsidRDefault="00A46C4E" w:rsidP="00E9174E">
      <w:pPr>
        <w:widowControl/>
        <w:spacing w:line="360" w:lineRule="auto"/>
        <w:ind w:firstLine="1440"/>
        <w:contextualSpacing/>
        <w:rPr>
          <w:sz w:val="26"/>
          <w:szCs w:val="26"/>
        </w:rPr>
      </w:pPr>
    </w:p>
    <w:p w14:paraId="219C6FDF" w14:textId="77777777" w:rsidR="00A46C4E" w:rsidRPr="00E9174E" w:rsidRDefault="00A46C4E" w:rsidP="00E9174E">
      <w:pPr>
        <w:widowControl/>
        <w:spacing w:line="360" w:lineRule="auto"/>
        <w:ind w:firstLine="1440"/>
        <w:contextualSpacing/>
        <w:rPr>
          <w:sz w:val="26"/>
          <w:szCs w:val="26"/>
        </w:rPr>
      </w:pPr>
      <w:r w:rsidRPr="00E9174E">
        <w:rPr>
          <w:sz w:val="26"/>
          <w:szCs w:val="26"/>
        </w:rPr>
        <w:t xml:space="preserve">The OCA contended that Columbia’s workforce transition safety expense should be denied in its entirety because as of September 2020, the Company had not hired the training specialists related to the workforce transition, and the Company did not provide evidence that it had even started the process to fill these positions.  OCA St. 2-S at 11; OCA St. 2-S, Sch. C-1, line 6 and Table II.  </w:t>
      </w:r>
    </w:p>
    <w:p w14:paraId="7484CE6C" w14:textId="06A38D7F" w:rsidR="00BD24E1" w:rsidRPr="00E9174E" w:rsidRDefault="00BD24E1" w:rsidP="00E9174E">
      <w:pPr>
        <w:widowControl/>
        <w:spacing w:line="360" w:lineRule="auto"/>
        <w:ind w:firstLine="1440"/>
        <w:contextualSpacing/>
        <w:rPr>
          <w:b/>
          <w:sz w:val="26"/>
          <w:szCs w:val="26"/>
        </w:rPr>
      </w:pPr>
    </w:p>
    <w:p w14:paraId="25F008A9" w14:textId="25FD2ABE" w:rsidR="00BD24E1" w:rsidRPr="00E9174E" w:rsidRDefault="00BD24E1" w:rsidP="00836D08">
      <w:pPr>
        <w:pStyle w:val="Heading4"/>
        <w:ind w:left="2160" w:hanging="720"/>
      </w:pPr>
      <w:bookmarkStart w:id="192" w:name="_Toc63764480"/>
      <w:r w:rsidRPr="00E9174E">
        <w:t>Recommended Decision</w:t>
      </w:r>
      <w:bookmarkEnd w:id="192"/>
    </w:p>
    <w:p w14:paraId="048905F4" w14:textId="77777777" w:rsidR="00BD24E1" w:rsidRPr="00E9174E" w:rsidRDefault="00BD24E1" w:rsidP="00E9174E">
      <w:pPr>
        <w:keepNext/>
        <w:keepLines/>
        <w:widowControl/>
        <w:spacing w:line="360" w:lineRule="auto"/>
        <w:contextualSpacing/>
        <w:rPr>
          <w:sz w:val="26"/>
          <w:szCs w:val="26"/>
        </w:rPr>
      </w:pPr>
    </w:p>
    <w:p w14:paraId="3FC4DC38" w14:textId="146E8DED" w:rsidR="007A29F6" w:rsidRPr="00E9174E" w:rsidRDefault="007A29F6" w:rsidP="00E9174E">
      <w:pPr>
        <w:keepNext/>
        <w:widowControl/>
        <w:spacing w:line="360" w:lineRule="auto"/>
        <w:ind w:firstLine="1440"/>
        <w:contextualSpacing/>
        <w:rPr>
          <w:sz w:val="26"/>
          <w:szCs w:val="26"/>
        </w:rPr>
      </w:pPr>
      <w:r w:rsidRPr="00E9174E">
        <w:rPr>
          <w:sz w:val="26"/>
          <w:szCs w:val="26"/>
        </w:rPr>
        <w:t>The ALJ recommended that the Commission reject, in its entirety, Columbia’s claim of $185,000 to cover the hiring of two gas qualification specialists.  According to the ALJ “[</w:t>
      </w:r>
      <w:proofErr w:type="spellStart"/>
      <w:r w:rsidRPr="00E9174E">
        <w:rPr>
          <w:sz w:val="26"/>
          <w:szCs w:val="26"/>
        </w:rPr>
        <w:t>i</w:t>
      </w:r>
      <w:proofErr w:type="spellEnd"/>
      <w:r w:rsidRPr="00E9174E">
        <w:rPr>
          <w:sz w:val="26"/>
          <w:szCs w:val="26"/>
        </w:rPr>
        <w:t xml:space="preserve">]t is not reasonable and just for Columbia to expect ratepayers to pay for workforce transition training if there are no new employees in those positions and the Company is not actively hiring for those positions.”  R.D. at 114.  </w:t>
      </w:r>
    </w:p>
    <w:p w14:paraId="7E411A4B" w14:textId="77777777" w:rsidR="007A29F6" w:rsidRPr="00E9174E" w:rsidRDefault="007A29F6" w:rsidP="00E9174E">
      <w:pPr>
        <w:widowControl/>
        <w:spacing w:line="360" w:lineRule="auto"/>
        <w:ind w:firstLine="1440"/>
        <w:contextualSpacing/>
        <w:rPr>
          <w:sz w:val="26"/>
          <w:szCs w:val="26"/>
        </w:rPr>
      </w:pPr>
    </w:p>
    <w:p w14:paraId="229ABA2A" w14:textId="103B21A0" w:rsidR="007A29F6" w:rsidRPr="00E9174E" w:rsidRDefault="007A29F6" w:rsidP="00836D08">
      <w:pPr>
        <w:widowControl/>
        <w:spacing w:line="360" w:lineRule="auto"/>
        <w:ind w:firstLine="1440"/>
        <w:contextualSpacing/>
        <w:rPr>
          <w:sz w:val="26"/>
          <w:szCs w:val="26"/>
        </w:rPr>
      </w:pPr>
      <w:r w:rsidRPr="00E9174E">
        <w:rPr>
          <w:sz w:val="26"/>
          <w:szCs w:val="26"/>
        </w:rPr>
        <w:t xml:space="preserve">Alternatively, if the Commission grants Columbia’s request to consider all the elements in its base rate increase request, the ALJ recommended that the Commission should still eliminate the $185,000 requested to cover this workforce transition safety initiative from the total requested expense amount for safety initiatives.  </w:t>
      </w:r>
      <w:r w:rsidRPr="00E9174E">
        <w:rPr>
          <w:i/>
          <w:iCs/>
          <w:sz w:val="26"/>
          <w:szCs w:val="26"/>
        </w:rPr>
        <w:t>Id</w:t>
      </w:r>
      <w:r w:rsidRPr="00E9174E">
        <w:rPr>
          <w:sz w:val="26"/>
          <w:szCs w:val="26"/>
        </w:rPr>
        <w:t>.</w:t>
      </w:r>
    </w:p>
    <w:p w14:paraId="4785BED5" w14:textId="77777777" w:rsidR="007A29F6" w:rsidRPr="00E9174E" w:rsidRDefault="007A29F6" w:rsidP="00836D08">
      <w:pPr>
        <w:widowControl/>
        <w:spacing w:line="360" w:lineRule="auto"/>
        <w:ind w:firstLine="1440"/>
        <w:contextualSpacing/>
        <w:rPr>
          <w:sz w:val="26"/>
          <w:szCs w:val="26"/>
        </w:rPr>
      </w:pPr>
    </w:p>
    <w:p w14:paraId="35159C69" w14:textId="47F5B31B" w:rsidR="00BD24E1" w:rsidRPr="00E9174E" w:rsidRDefault="00BD24E1" w:rsidP="00836D08">
      <w:pPr>
        <w:pStyle w:val="Heading4"/>
        <w:ind w:left="2160" w:hanging="720"/>
      </w:pPr>
      <w:bookmarkStart w:id="193" w:name="_Toc63764481"/>
      <w:r w:rsidRPr="00E9174E">
        <w:t>Columbia Exception No. 10 and Replies</w:t>
      </w:r>
      <w:bookmarkEnd w:id="193"/>
    </w:p>
    <w:p w14:paraId="191E2969" w14:textId="77777777" w:rsidR="00BD24E1" w:rsidRPr="00E9174E" w:rsidRDefault="00BD24E1" w:rsidP="00836D08">
      <w:pPr>
        <w:keepNext/>
        <w:keepLines/>
        <w:widowControl/>
        <w:spacing w:line="360" w:lineRule="auto"/>
        <w:contextualSpacing/>
        <w:rPr>
          <w:sz w:val="26"/>
          <w:szCs w:val="26"/>
        </w:rPr>
      </w:pPr>
    </w:p>
    <w:p w14:paraId="218F602C" w14:textId="6AC6EA0C" w:rsidR="00EE5B53" w:rsidRPr="00E9174E" w:rsidRDefault="00EE5B53" w:rsidP="00836D08">
      <w:pPr>
        <w:keepNext/>
        <w:widowControl/>
        <w:spacing w:line="360" w:lineRule="auto"/>
        <w:ind w:firstLine="1440"/>
        <w:contextualSpacing/>
        <w:rPr>
          <w:sz w:val="26"/>
          <w:szCs w:val="26"/>
        </w:rPr>
      </w:pPr>
      <w:r w:rsidRPr="00E9174E">
        <w:rPr>
          <w:sz w:val="26"/>
          <w:szCs w:val="26"/>
        </w:rPr>
        <w:t xml:space="preserve">In its Exception No. 10, Columbia claims that the ALJ improperly rejected the cost to add two new gas qualification training specialists solely on the basis that they </w:t>
      </w:r>
      <w:r w:rsidRPr="00E9174E">
        <w:rPr>
          <w:sz w:val="26"/>
          <w:szCs w:val="26"/>
        </w:rPr>
        <w:lastRenderedPageBreak/>
        <w:t xml:space="preserve">have not been hired yet.  Columbia underscores its position that it is developing new training techniques to educate a new generation of employees who are accustomed to learning in a different way.  Columbia restates that while the existing workforce is needed to execute Columbia’s </w:t>
      </w:r>
      <w:r w:rsidR="00954280" w:rsidRPr="00E9174E">
        <w:rPr>
          <w:sz w:val="26"/>
          <w:szCs w:val="26"/>
        </w:rPr>
        <w:t>W</w:t>
      </w:r>
      <w:r w:rsidRPr="00E9174E">
        <w:rPr>
          <w:sz w:val="26"/>
          <w:szCs w:val="26"/>
        </w:rPr>
        <w:t xml:space="preserve">ork </w:t>
      </w:r>
      <w:r w:rsidR="00954280" w:rsidRPr="00E9174E">
        <w:rPr>
          <w:sz w:val="26"/>
          <w:szCs w:val="26"/>
        </w:rPr>
        <w:t>P</w:t>
      </w:r>
      <w:r w:rsidRPr="00E9174E">
        <w:rPr>
          <w:sz w:val="26"/>
          <w:szCs w:val="26"/>
        </w:rPr>
        <w:t xml:space="preserve">lan, the two new gas qualification training specialists are needed to support this training initiative.  Columbia argues that the fact that these 2021 employee additions have not yet been hired should not be a basis to reject this FPFTY expense.  In Columbia’s view, the use of projections is inherent in the FPFTY process and should not be a basis for rejecting this alleged critical gas safety initiative.  CG Exc. at 17-18.  </w:t>
      </w:r>
    </w:p>
    <w:p w14:paraId="14694DC8" w14:textId="77777777" w:rsidR="00EE5B53" w:rsidRPr="00E9174E" w:rsidRDefault="00EE5B53" w:rsidP="00E9174E">
      <w:pPr>
        <w:widowControl/>
        <w:spacing w:line="360" w:lineRule="auto"/>
        <w:ind w:firstLine="1440"/>
        <w:contextualSpacing/>
        <w:rPr>
          <w:sz w:val="26"/>
          <w:szCs w:val="26"/>
        </w:rPr>
      </w:pPr>
    </w:p>
    <w:p w14:paraId="26D9A44F" w14:textId="6315A5A9" w:rsidR="00EE5B53" w:rsidRPr="00E9174E" w:rsidRDefault="00EE5B53" w:rsidP="000F1A14">
      <w:pPr>
        <w:widowControl/>
        <w:spacing w:line="360" w:lineRule="auto"/>
        <w:ind w:firstLine="1440"/>
        <w:contextualSpacing/>
        <w:rPr>
          <w:rFonts w:eastAsiaTheme="minorHAnsi"/>
          <w:sz w:val="26"/>
          <w:szCs w:val="26"/>
        </w:rPr>
      </w:pPr>
      <w:r w:rsidRPr="00E9174E">
        <w:rPr>
          <w:rFonts w:eastAsiaTheme="minorHAnsi"/>
          <w:sz w:val="26"/>
          <w:szCs w:val="26"/>
        </w:rPr>
        <w:t>In its Reply, the OCA submits that the ALJ correctly disallowed Columbia’s FPFTY gas qualification training specialist expense in its entirety because the Company provided no evidence to show any active steps towards hiring for these two positions.  The OCA submits that this expense was properly rejected as not being reasonable and just and, therefore, not in the public interest.  OCA R. Exc. at 10-11 (citing R.D. at 114).</w:t>
      </w:r>
      <w:r w:rsidR="00222174" w:rsidRPr="00E9174E">
        <w:rPr>
          <w:rFonts w:eastAsiaTheme="minorHAnsi"/>
          <w:sz w:val="26"/>
          <w:szCs w:val="26"/>
        </w:rPr>
        <w:t xml:space="preserve">  </w:t>
      </w:r>
      <w:r w:rsidRPr="00E9174E">
        <w:rPr>
          <w:rFonts w:eastAsiaTheme="minorHAnsi"/>
          <w:sz w:val="26"/>
          <w:szCs w:val="26"/>
        </w:rPr>
        <w:t xml:space="preserve"> </w:t>
      </w:r>
    </w:p>
    <w:p w14:paraId="2E00A067" w14:textId="77777777" w:rsidR="00BD24E1" w:rsidRPr="00E9174E" w:rsidRDefault="00BD24E1" w:rsidP="000F1A14">
      <w:pPr>
        <w:widowControl/>
        <w:spacing w:line="360" w:lineRule="auto"/>
        <w:ind w:firstLine="1440"/>
        <w:contextualSpacing/>
        <w:rPr>
          <w:sz w:val="26"/>
          <w:szCs w:val="26"/>
        </w:rPr>
      </w:pPr>
    </w:p>
    <w:p w14:paraId="69166210" w14:textId="521189A8" w:rsidR="00BD24E1" w:rsidRPr="00E9174E" w:rsidRDefault="00BD24E1" w:rsidP="000F1A14">
      <w:pPr>
        <w:pStyle w:val="Heading4"/>
        <w:ind w:left="2160" w:hanging="720"/>
      </w:pPr>
      <w:bookmarkStart w:id="194" w:name="_Toc63764482"/>
      <w:r w:rsidRPr="00E9174E">
        <w:t>Disposition</w:t>
      </w:r>
      <w:bookmarkEnd w:id="194"/>
    </w:p>
    <w:p w14:paraId="1ABCE711" w14:textId="77777777" w:rsidR="00BD24E1" w:rsidRPr="00E9174E" w:rsidRDefault="00BD24E1" w:rsidP="000F1A14">
      <w:pPr>
        <w:keepNext/>
        <w:keepLines/>
        <w:widowControl/>
        <w:spacing w:line="360" w:lineRule="auto"/>
        <w:contextualSpacing/>
        <w:rPr>
          <w:sz w:val="26"/>
          <w:szCs w:val="26"/>
        </w:rPr>
      </w:pPr>
    </w:p>
    <w:p w14:paraId="217804BF" w14:textId="09A317E4" w:rsidR="009A7638" w:rsidRPr="00E9174E" w:rsidRDefault="009A7638" w:rsidP="000F1A14">
      <w:pPr>
        <w:keepNext/>
        <w:widowControl/>
        <w:spacing w:line="360" w:lineRule="auto"/>
        <w:ind w:firstLine="1440"/>
        <w:contextualSpacing/>
        <w:rPr>
          <w:sz w:val="26"/>
          <w:szCs w:val="26"/>
        </w:rPr>
      </w:pPr>
      <w:r w:rsidRPr="00E9174E">
        <w:rPr>
          <w:sz w:val="26"/>
          <w:szCs w:val="26"/>
        </w:rPr>
        <w:t xml:space="preserve">We agree with the ALJ’s conclusion that the $185,000 expenditure for Columbia’s two gas qualification training specialists is not a reasonable and just expense for 2021.  Unlike the </w:t>
      </w:r>
      <w:r w:rsidR="001B7ABB" w:rsidRPr="00E9174E">
        <w:rPr>
          <w:sz w:val="26"/>
          <w:szCs w:val="26"/>
        </w:rPr>
        <w:t>C</w:t>
      </w:r>
      <w:r w:rsidRPr="00E9174E">
        <w:rPr>
          <w:sz w:val="26"/>
          <w:szCs w:val="26"/>
        </w:rPr>
        <w:t xml:space="preserve">ross </w:t>
      </w:r>
      <w:r w:rsidR="001B7ABB" w:rsidRPr="00E9174E">
        <w:rPr>
          <w:sz w:val="26"/>
          <w:szCs w:val="26"/>
        </w:rPr>
        <w:t>B</w:t>
      </w:r>
      <w:r w:rsidRPr="00E9174E">
        <w:rPr>
          <w:sz w:val="26"/>
          <w:szCs w:val="26"/>
        </w:rPr>
        <w:t xml:space="preserve">ore </w:t>
      </w:r>
      <w:r w:rsidR="001B7ABB" w:rsidRPr="00E9174E">
        <w:rPr>
          <w:sz w:val="26"/>
          <w:szCs w:val="26"/>
        </w:rPr>
        <w:t>I</w:t>
      </w:r>
      <w:r w:rsidRPr="00E9174E">
        <w:rPr>
          <w:sz w:val="26"/>
          <w:szCs w:val="26"/>
        </w:rPr>
        <w:t xml:space="preserve">dentification safety program, which is an existing safety program that is being accelerated to eliminate a high risk issue, we believe the expense associated with the gas qualification specialists’ safety initiative is too speculative in nature to approve, given that Columbia has not taken any active steps to hire anyone for these positions.  Columbia always has the ability to include such a safety expense in a subsequent ratemaking filing if, and when, it has hired these specialists or at least has taken active steps to do so.  Therefore, we shall deny Columbia’s Exception No. </w:t>
      </w:r>
      <w:r w:rsidRPr="00E9174E">
        <w:rPr>
          <w:sz w:val="26"/>
          <w:szCs w:val="26"/>
        </w:rPr>
        <w:lastRenderedPageBreak/>
        <w:t xml:space="preserve">10, and adopt the ALJ’s </w:t>
      </w:r>
      <w:r w:rsidR="00D650D9" w:rsidRPr="00E9174E">
        <w:rPr>
          <w:sz w:val="26"/>
          <w:szCs w:val="26"/>
        </w:rPr>
        <w:t xml:space="preserve">alternative </w:t>
      </w:r>
      <w:r w:rsidRPr="00E9174E">
        <w:rPr>
          <w:sz w:val="26"/>
          <w:szCs w:val="26"/>
        </w:rPr>
        <w:t xml:space="preserve">recommendation to disallow Columbia’s $185,000 claim for hiring two gas qualification training specialists.  </w:t>
      </w:r>
    </w:p>
    <w:p w14:paraId="02A0C66D" w14:textId="77777777" w:rsidR="00BD24E1" w:rsidRPr="00E9174E" w:rsidRDefault="00BD24E1" w:rsidP="00E9174E">
      <w:pPr>
        <w:widowControl/>
        <w:spacing w:line="360" w:lineRule="auto"/>
        <w:contextualSpacing/>
        <w:rPr>
          <w:sz w:val="26"/>
          <w:szCs w:val="26"/>
        </w:rPr>
      </w:pPr>
    </w:p>
    <w:p w14:paraId="6CE90828" w14:textId="77777777" w:rsidR="00BD24E1" w:rsidRPr="00E9174E" w:rsidRDefault="00BD24E1" w:rsidP="00277ECF">
      <w:pPr>
        <w:pStyle w:val="Heading3"/>
        <w:numPr>
          <w:ilvl w:val="0"/>
          <w:numId w:val="18"/>
        </w:numPr>
        <w:ind w:left="1440" w:hanging="720"/>
      </w:pPr>
      <w:bookmarkStart w:id="195" w:name="_Toc63764483"/>
      <w:r w:rsidRPr="00E9174E">
        <w:t>Legacy Service Line Records</w:t>
      </w:r>
      <w:bookmarkEnd w:id="195"/>
    </w:p>
    <w:p w14:paraId="42EAC817" w14:textId="77777777" w:rsidR="00BD24E1" w:rsidRPr="00E9174E" w:rsidRDefault="00BD24E1" w:rsidP="00E9174E">
      <w:pPr>
        <w:keepNext/>
        <w:keepLines/>
        <w:widowControl/>
        <w:spacing w:line="360" w:lineRule="auto"/>
        <w:contextualSpacing/>
        <w:rPr>
          <w:sz w:val="26"/>
          <w:szCs w:val="26"/>
        </w:rPr>
      </w:pPr>
    </w:p>
    <w:p w14:paraId="440AF7F1" w14:textId="1EF65203" w:rsidR="00BD24E1" w:rsidRPr="00E9174E" w:rsidRDefault="00BD24E1" w:rsidP="00277ECF">
      <w:pPr>
        <w:pStyle w:val="Heading4"/>
        <w:numPr>
          <w:ilvl w:val="0"/>
          <w:numId w:val="54"/>
        </w:numPr>
        <w:ind w:left="2160" w:hanging="720"/>
      </w:pPr>
      <w:bookmarkStart w:id="196" w:name="_Toc63764484"/>
      <w:r w:rsidRPr="00E9174E">
        <w:t>Positions of the Parties</w:t>
      </w:r>
      <w:bookmarkEnd w:id="196"/>
    </w:p>
    <w:p w14:paraId="29943EAF" w14:textId="77777777" w:rsidR="007704D9" w:rsidRPr="00E9174E" w:rsidRDefault="007704D9" w:rsidP="00E9174E">
      <w:pPr>
        <w:keepNext/>
        <w:keepLines/>
        <w:widowControl/>
        <w:kinsoku w:val="0"/>
        <w:overflowPunct w:val="0"/>
        <w:spacing w:line="360" w:lineRule="auto"/>
        <w:ind w:firstLine="1440"/>
        <w:contextualSpacing/>
        <w:textAlignment w:val="baseline"/>
        <w:rPr>
          <w:sz w:val="26"/>
          <w:szCs w:val="26"/>
        </w:rPr>
      </w:pPr>
    </w:p>
    <w:p w14:paraId="02FCABDA" w14:textId="66D555A3" w:rsidR="002D7901" w:rsidRPr="00E9174E" w:rsidRDefault="002D7901" w:rsidP="00E9174E">
      <w:pPr>
        <w:keepNext/>
        <w:widowControl/>
        <w:kinsoku w:val="0"/>
        <w:overflowPunct w:val="0"/>
        <w:spacing w:line="360" w:lineRule="auto"/>
        <w:ind w:firstLine="1440"/>
        <w:contextualSpacing/>
        <w:textAlignment w:val="baseline"/>
        <w:rPr>
          <w:sz w:val="26"/>
          <w:szCs w:val="26"/>
        </w:rPr>
      </w:pPr>
      <w:r w:rsidRPr="00E9174E">
        <w:rPr>
          <w:sz w:val="26"/>
          <w:szCs w:val="26"/>
        </w:rPr>
        <w:t xml:space="preserve">Columbia proposed increasing spending by $491,000 on its legacy service line enhancement program.  CG St. 7 at 21-26.  This program, which involves the review and correction of legacy service line records, was implemented in January 2019.  The Company asserted accurate legacy service line records are critically important to maintaining a safe system.  </w:t>
      </w:r>
      <w:r w:rsidRPr="00E9174E">
        <w:rPr>
          <w:i/>
          <w:iCs/>
          <w:sz w:val="26"/>
          <w:szCs w:val="26"/>
        </w:rPr>
        <w:t>Id.</w:t>
      </w:r>
      <w:r w:rsidRPr="00E9174E">
        <w:rPr>
          <w:sz w:val="26"/>
          <w:szCs w:val="26"/>
        </w:rPr>
        <w:t xml:space="preserve"> at 23.  Columbia stated it currently uses temporary employees to conduct this work.  As such, the Company proposed adding seven new permanent employees, supplemented with temporary employees, to perform this work, at a cost of $491,000.  Columbia asserted that it </w:t>
      </w:r>
      <w:proofErr w:type="gramStart"/>
      <w:r w:rsidRPr="00E9174E">
        <w:rPr>
          <w:sz w:val="26"/>
          <w:szCs w:val="26"/>
        </w:rPr>
        <w:t>can</w:t>
      </w:r>
      <w:proofErr w:type="gramEnd"/>
      <w:r w:rsidRPr="00E9174E">
        <w:rPr>
          <w:sz w:val="26"/>
          <w:szCs w:val="26"/>
        </w:rPr>
        <w:t xml:space="preserve"> accelerate the work with permanent employees and minimize the challenges of turnover and training that occurs more frequently with temporary employees.  CG M.B. at 55.  As further support for this expense, Columbia stated that I&amp;E’s Pipeline Safety witness has endorsed this project to update its maps and legacy records if this expense is approved as a safety initiative.  </w:t>
      </w:r>
      <w:r w:rsidRPr="00E9174E">
        <w:rPr>
          <w:i/>
          <w:iCs/>
          <w:sz w:val="26"/>
          <w:szCs w:val="26"/>
        </w:rPr>
        <w:t>Id.</w:t>
      </w:r>
      <w:r w:rsidR="00836D08">
        <w:rPr>
          <w:i/>
          <w:iCs/>
          <w:sz w:val="26"/>
          <w:szCs w:val="26"/>
        </w:rPr>
        <w:t> </w:t>
      </w:r>
      <w:r w:rsidRPr="00E9174E">
        <w:rPr>
          <w:sz w:val="26"/>
          <w:szCs w:val="26"/>
        </w:rPr>
        <w:t>at</w:t>
      </w:r>
      <w:r w:rsidR="00836D08">
        <w:rPr>
          <w:sz w:val="26"/>
          <w:szCs w:val="26"/>
        </w:rPr>
        <w:t> </w:t>
      </w:r>
      <w:r w:rsidRPr="00E9174E">
        <w:rPr>
          <w:sz w:val="26"/>
          <w:szCs w:val="26"/>
        </w:rPr>
        <w:t>56 (citing I&amp;E St. 5-SR at 12).</w:t>
      </w:r>
    </w:p>
    <w:p w14:paraId="3259768E" w14:textId="77777777" w:rsidR="002D7901" w:rsidRPr="00E9174E" w:rsidRDefault="002D7901" w:rsidP="00E9174E">
      <w:pPr>
        <w:widowControl/>
        <w:kinsoku w:val="0"/>
        <w:overflowPunct w:val="0"/>
        <w:spacing w:line="360" w:lineRule="auto"/>
        <w:ind w:firstLine="1440"/>
        <w:contextualSpacing/>
        <w:textAlignment w:val="baseline"/>
        <w:rPr>
          <w:sz w:val="26"/>
          <w:szCs w:val="26"/>
        </w:rPr>
      </w:pPr>
    </w:p>
    <w:p w14:paraId="2D25ED72" w14:textId="6F57C974" w:rsidR="002D7901" w:rsidRPr="00E9174E" w:rsidRDefault="002D7901" w:rsidP="000F1A14">
      <w:pPr>
        <w:widowControl/>
        <w:kinsoku w:val="0"/>
        <w:overflowPunct w:val="0"/>
        <w:spacing w:line="360" w:lineRule="auto"/>
        <w:ind w:firstLine="1440"/>
        <w:contextualSpacing/>
        <w:textAlignment w:val="baseline"/>
        <w:rPr>
          <w:sz w:val="26"/>
          <w:szCs w:val="26"/>
        </w:rPr>
      </w:pPr>
      <w:r w:rsidRPr="00E9174E">
        <w:rPr>
          <w:sz w:val="26"/>
          <w:szCs w:val="26"/>
        </w:rPr>
        <w:t xml:space="preserve">The OCA opposed this proposed cost on the same basis as its opposition to Columbia’s gas qualification specialists – that the Company has not yet hired these employees; and, therefore, this increase should be eliminated to reflect the Company’s actual hiring experience in 2020.  OCA St. 2-S at 11; OCA St. 2-S, Sch. C-1, line 6 and Table II.  </w:t>
      </w:r>
    </w:p>
    <w:p w14:paraId="3032B9D7" w14:textId="77777777" w:rsidR="00BD24E1" w:rsidRPr="00E9174E" w:rsidRDefault="00BD24E1" w:rsidP="000F1A14">
      <w:pPr>
        <w:widowControl/>
        <w:spacing w:line="360" w:lineRule="auto"/>
        <w:contextualSpacing/>
        <w:rPr>
          <w:sz w:val="26"/>
          <w:szCs w:val="26"/>
        </w:rPr>
      </w:pPr>
    </w:p>
    <w:p w14:paraId="25103AA9" w14:textId="554D1E83" w:rsidR="00BD24E1" w:rsidRPr="00E9174E" w:rsidRDefault="00836D08" w:rsidP="000F1A14">
      <w:pPr>
        <w:pStyle w:val="Heading4"/>
        <w:ind w:left="2160" w:hanging="720"/>
      </w:pPr>
      <w:bookmarkStart w:id="197" w:name="_Toc63764485"/>
      <w:r>
        <w:lastRenderedPageBreak/>
        <w:t>R</w:t>
      </w:r>
      <w:r w:rsidR="00BD24E1" w:rsidRPr="00E9174E">
        <w:t>ecommended Decision</w:t>
      </w:r>
      <w:bookmarkEnd w:id="197"/>
    </w:p>
    <w:p w14:paraId="7AA718CB" w14:textId="77777777" w:rsidR="00BD24E1" w:rsidRPr="00E9174E" w:rsidRDefault="00BD24E1" w:rsidP="000F1A14">
      <w:pPr>
        <w:keepNext/>
        <w:keepLines/>
        <w:widowControl/>
        <w:spacing w:line="360" w:lineRule="auto"/>
        <w:contextualSpacing/>
        <w:rPr>
          <w:sz w:val="26"/>
          <w:szCs w:val="26"/>
        </w:rPr>
      </w:pPr>
    </w:p>
    <w:p w14:paraId="0F07968E" w14:textId="77777777" w:rsidR="001A3E60" w:rsidRPr="00E9174E" w:rsidRDefault="001A3E60" w:rsidP="000F1A14">
      <w:pPr>
        <w:widowControl/>
        <w:spacing w:line="360" w:lineRule="auto"/>
        <w:ind w:firstLine="1440"/>
        <w:contextualSpacing/>
        <w:rPr>
          <w:sz w:val="26"/>
          <w:szCs w:val="26"/>
        </w:rPr>
      </w:pPr>
      <w:r w:rsidRPr="00E9174E">
        <w:rPr>
          <w:sz w:val="26"/>
          <w:szCs w:val="26"/>
        </w:rPr>
        <w:t>Agreeing with the OCA, the ALJ recommended rejecting in its entirety Columbia’s request of $491,000 to cover hiring these seven permanent employees for the Company’s legacy service line enhancement program on the same basis that the ALJ rejected the expenses proposed for Columbia’s gas qualification specialists.  R.D. 114</w:t>
      </w:r>
      <w:r w:rsidRPr="00E9174E">
        <w:rPr>
          <w:sz w:val="26"/>
          <w:szCs w:val="26"/>
        </w:rPr>
        <w:noBreakHyphen/>
        <w:t xml:space="preserve">15.  </w:t>
      </w:r>
    </w:p>
    <w:p w14:paraId="776F14CF" w14:textId="0E2C4D91" w:rsidR="00BD24E1" w:rsidRPr="00E9174E" w:rsidRDefault="00BD24E1" w:rsidP="00E9174E">
      <w:pPr>
        <w:widowControl/>
        <w:spacing w:line="360" w:lineRule="auto"/>
        <w:ind w:firstLine="1440"/>
        <w:contextualSpacing/>
        <w:rPr>
          <w:sz w:val="26"/>
          <w:szCs w:val="26"/>
        </w:rPr>
      </w:pPr>
    </w:p>
    <w:p w14:paraId="7CAD93AB" w14:textId="77777777" w:rsidR="00846D89" w:rsidRPr="00E9174E" w:rsidRDefault="00846D89" w:rsidP="00E9174E">
      <w:pPr>
        <w:widowControl/>
        <w:spacing w:line="360" w:lineRule="auto"/>
        <w:ind w:firstLine="1440"/>
        <w:contextualSpacing/>
        <w:rPr>
          <w:sz w:val="26"/>
          <w:szCs w:val="26"/>
        </w:rPr>
      </w:pPr>
      <w:r w:rsidRPr="00E9174E">
        <w:rPr>
          <w:sz w:val="26"/>
          <w:szCs w:val="26"/>
        </w:rPr>
        <w:t xml:space="preserve">Alternatively, if the Commission grants Columbia’s request to consider all the elements in its base rate increase request, the ALJ recommended that the Commission should still deny the $491,000 requested to cover this legacy service line enhancement program safety initiative from the Company’s total requested expense amount for safety initiatives.  </w:t>
      </w:r>
      <w:r w:rsidRPr="00E9174E">
        <w:rPr>
          <w:i/>
          <w:iCs/>
          <w:sz w:val="26"/>
          <w:szCs w:val="26"/>
        </w:rPr>
        <w:t>Id</w:t>
      </w:r>
      <w:r w:rsidRPr="00E9174E">
        <w:rPr>
          <w:sz w:val="26"/>
          <w:szCs w:val="26"/>
        </w:rPr>
        <w:t>. at 115.</w:t>
      </w:r>
    </w:p>
    <w:p w14:paraId="7B7E4D25" w14:textId="77777777" w:rsidR="00BD24E1" w:rsidRPr="00E9174E" w:rsidRDefault="00BD24E1" w:rsidP="00E9174E">
      <w:pPr>
        <w:widowControl/>
        <w:spacing w:line="360" w:lineRule="auto"/>
        <w:contextualSpacing/>
        <w:rPr>
          <w:sz w:val="26"/>
          <w:szCs w:val="26"/>
        </w:rPr>
      </w:pPr>
    </w:p>
    <w:p w14:paraId="37627FB3" w14:textId="20B98BD8" w:rsidR="00BD24E1" w:rsidRPr="00E9174E" w:rsidRDefault="00BD24E1" w:rsidP="00D85A7D">
      <w:pPr>
        <w:pStyle w:val="Heading4"/>
        <w:ind w:left="2160" w:hanging="720"/>
      </w:pPr>
      <w:bookmarkStart w:id="198" w:name="_Toc63764486"/>
      <w:r w:rsidRPr="00E9174E">
        <w:t>Columbia Exception No. 11 and Replies</w:t>
      </w:r>
      <w:bookmarkEnd w:id="198"/>
    </w:p>
    <w:p w14:paraId="58C9C839" w14:textId="77777777" w:rsidR="00BD24E1" w:rsidRPr="00E9174E" w:rsidRDefault="00BD24E1" w:rsidP="00E9174E">
      <w:pPr>
        <w:keepNext/>
        <w:keepLines/>
        <w:widowControl/>
        <w:spacing w:line="360" w:lineRule="auto"/>
        <w:contextualSpacing/>
        <w:rPr>
          <w:sz w:val="26"/>
          <w:szCs w:val="26"/>
        </w:rPr>
      </w:pPr>
    </w:p>
    <w:p w14:paraId="6E144E18" w14:textId="77777777" w:rsidR="00E22992" w:rsidRPr="00E9174E" w:rsidRDefault="00E22992" w:rsidP="00E9174E">
      <w:pPr>
        <w:widowControl/>
        <w:spacing w:line="360" w:lineRule="auto"/>
        <w:ind w:firstLine="1440"/>
        <w:contextualSpacing/>
        <w:rPr>
          <w:sz w:val="26"/>
          <w:szCs w:val="26"/>
        </w:rPr>
      </w:pPr>
      <w:r w:rsidRPr="00E9174E">
        <w:rPr>
          <w:sz w:val="26"/>
          <w:szCs w:val="26"/>
        </w:rPr>
        <w:t xml:space="preserve">In its Exception No. 11, Columbia submits that the ALJ erred in rejecting its request to hire additional permanent employees to accelerate the updating of its legacy service line records.  Columbia argues that this cost has not been incurred as of the close of the record because it is a new expense that will begin in 2021.  CG Exc. at 18.  Further, Columbia states that the Recommended Decision is internally inconsistent on this issue as it directs Columbia to update its maps and records “as quickly as possible.”  </w:t>
      </w:r>
      <w:r w:rsidRPr="00E9174E">
        <w:rPr>
          <w:i/>
          <w:iCs/>
          <w:sz w:val="26"/>
          <w:szCs w:val="26"/>
        </w:rPr>
        <w:t xml:space="preserve">Id. </w:t>
      </w:r>
      <w:r w:rsidRPr="00E9174E">
        <w:rPr>
          <w:sz w:val="26"/>
          <w:szCs w:val="26"/>
        </w:rPr>
        <w:t>(citing R.D. at 249).  In Columbia’s view, the Commission should not direct it to accelerate a safety initiative but deny rate relief for the cost to accelerate.  CG Exc. at 18.</w:t>
      </w:r>
    </w:p>
    <w:p w14:paraId="07537756" w14:textId="77777777" w:rsidR="00BD24E1" w:rsidRPr="00E9174E" w:rsidRDefault="00BD24E1" w:rsidP="00E9174E">
      <w:pPr>
        <w:widowControl/>
        <w:spacing w:line="480" w:lineRule="auto"/>
        <w:contextualSpacing/>
        <w:rPr>
          <w:rFonts w:eastAsiaTheme="minorHAnsi"/>
          <w:i/>
          <w:iCs/>
          <w:sz w:val="26"/>
          <w:szCs w:val="26"/>
        </w:rPr>
      </w:pPr>
    </w:p>
    <w:p w14:paraId="0A1FAACE" w14:textId="77777777" w:rsidR="00D775D1" w:rsidRPr="00E9174E" w:rsidRDefault="00D775D1" w:rsidP="00E9174E">
      <w:pPr>
        <w:widowControl/>
        <w:spacing w:line="360" w:lineRule="auto"/>
        <w:ind w:firstLine="1440"/>
        <w:contextualSpacing/>
        <w:rPr>
          <w:rFonts w:eastAsiaTheme="minorHAnsi"/>
          <w:sz w:val="26"/>
          <w:szCs w:val="26"/>
        </w:rPr>
      </w:pPr>
      <w:r w:rsidRPr="00E9174E">
        <w:rPr>
          <w:rFonts w:eastAsiaTheme="minorHAnsi"/>
          <w:sz w:val="26"/>
          <w:szCs w:val="26"/>
        </w:rPr>
        <w:t>In its Reply, the OCA asserts that the ALJ properly denied this expense because similar to the gas qualification specialists, Columbia has not shown through its 2020 hiring experience that these new, proposed positions will actually be filled.  OCA R. Exc. at 11.</w:t>
      </w:r>
    </w:p>
    <w:p w14:paraId="6663854D" w14:textId="77777777" w:rsidR="00BD24E1" w:rsidRPr="00E9174E" w:rsidRDefault="00BD24E1" w:rsidP="00E9174E">
      <w:pPr>
        <w:widowControl/>
        <w:spacing w:line="480" w:lineRule="auto"/>
        <w:contextualSpacing/>
        <w:rPr>
          <w:rFonts w:eastAsiaTheme="minorHAnsi"/>
          <w:i/>
          <w:iCs/>
          <w:sz w:val="26"/>
          <w:szCs w:val="26"/>
        </w:rPr>
      </w:pPr>
    </w:p>
    <w:p w14:paraId="12FDC513" w14:textId="31239132" w:rsidR="00BD24E1" w:rsidRPr="00E9174E" w:rsidRDefault="00BD24E1" w:rsidP="00D85A7D">
      <w:pPr>
        <w:pStyle w:val="Heading4"/>
        <w:ind w:left="2160" w:hanging="720"/>
      </w:pPr>
      <w:bookmarkStart w:id="199" w:name="_Toc63764487"/>
      <w:r w:rsidRPr="00E9174E">
        <w:t>Disposition</w:t>
      </w:r>
      <w:bookmarkEnd w:id="199"/>
    </w:p>
    <w:p w14:paraId="2C7E252C" w14:textId="77777777" w:rsidR="00BD24E1" w:rsidRPr="00E9174E" w:rsidRDefault="00BD24E1" w:rsidP="00E9174E">
      <w:pPr>
        <w:keepNext/>
        <w:keepLines/>
        <w:widowControl/>
        <w:contextualSpacing/>
        <w:rPr>
          <w:sz w:val="26"/>
          <w:szCs w:val="26"/>
        </w:rPr>
      </w:pPr>
    </w:p>
    <w:p w14:paraId="2F3FC431" w14:textId="77777777" w:rsidR="00C50606" w:rsidRPr="00E9174E" w:rsidRDefault="00C50606" w:rsidP="00E9174E">
      <w:pPr>
        <w:widowControl/>
        <w:spacing w:line="360" w:lineRule="auto"/>
        <w:ind w:firstLine="1440"/>
        <w:contextualSpacing/>
        <w:rPr>
          <w:sz w:val="26"/>
          <w:szCs w:val="26"/>
        </w:rPr>
      </w:pPr>
      <w:r w:rsidRPr="00E9174E">
        <w:rPr>
          <w:sz w:val="26"/>
          <w:szCs w:val="26"/>
        </w:rPr>
        <w:t xml:space="preserve">Based on our review of the record, we shall grant, in part, and deny, in part, Columbia’s Exception No. 11, and approve $245,000 of Columbia’s $491,000 claim for hiring new permanent employees in order to accelerate the review and correction of legacy service line records as a safety initiative.  </w:t>
      </w:r>
    </w:p>
    <w:p w14:paraId="3C5660FF" w14:textId="77777777" w:rsidR="00C50606" w:rsidRPr="00E9174E" w:rsidRDefault="00C50606" w:rsidP="00E9174E">
      <w:pPr>
        <w:widowControl/>
        <w:spacing w:line="360" w:lineRule="auto"/>
        <w:ind w:firstLine="1440"/>
        <w:contextualSpacing/>
        <w:rPr>
          <w:sz w:val="26"/>
          <w:szCs w:val="26"/>
        </w:rPr>
      </w:pPr>
    </w:p>
    <w:p w14:paraId="58D3DE44" w14:textId="77777777" w:rsidR="00C50606" w:rsidRPr="00E9174E" w:rsidRDefault="00C50606" w:rsidP="00E9174E">
      <w:pPr>
        <w:widowControl/>
        <w:spacing w:line="360" w:lineRule="auto"/>
        <w:ind w:firstLine="1440"/>
        <w:contextualSpacing/>
        <w:rPr>
          <w:sz w:val="26"/>
          <w:szCs w:val="26"/>
        </w:rPr>
      </w:pPr>
      <w:r w:rsidRPr="00E9174E">
        <w:rPr>
          <w:sz w:val="26"/>
          <w:szCs w:val="26"/>
        </w:rPr>
        <w:t xml:space="preserve">Although Columbia has not yet taken any active steps to hire new permanent employees for its legacy service line records enhancement program, the Company has been using temporary employees on a regular basis to update these legacy records.  Further, there is agreement among the ALJ and at least some of the Parties, including I&amp;E and even OCA, that updating these records is an important safety initiative.  </w:t>
      </w:r>
    </w:p>
    <w:p w14:paraId="5302C96B" w14:textId="77777777" w:rsidR="00C50606" w:rsidRPr="00E9174E" w:rsidRDefault="00C50606" w:rsidP="00E9174E">
      <w:pPr>
        <w:widowControl/>
        <w:spacing w:line="360" w:lineRule="auto"/>
        <w:contextualSpacing/>
        <w:rPr>
          <w:sz w:val="26"/>
          <w:szCs w:val="26"/>
        </w:rPr>
      </w:pPr>
    </w:p>
    <w:p w14:paraId="2CF5EB3C" w14:textId="77777777" w:rsidR="00C50606" w:rsidRPr="00E9174E" w:rsidRDefault="00C50606" w:rsidP="00E9174E">
      <w:pPr>
        <w:widowControl/>
        <w:spacing w:line="360" w:lineRule="auto"/>
        <w:ind w:firstLine="1440"/>
        <w:contextualSpacing/>
        <w:rPr>
          <w:sz w:val="26"/>
          <w:szCs w:val="26"/>
        </w:rPr>
      </w:pPr>
      <w:r w:rsidRPr="00E9174E">
        <w:rPr>
          <w:sz w:val="26"/>
          <w:szCs w:val="26"/>
        </w:rPr>
        <w:t xml:space="preserve">We are of the opinion that it is reasonable and just to include half of the expenses requested by Columbia for this purpose, with the further understanding that Columbia may be able to obtain additional funding from the reduction in temporary staff needed to complete this safety initiative as it brings more permanent employees online in the future.  </w:t>
      </w:r>
    </w:p>
    <w:p w14:paraId="714E1CB5" w14:textId="77777777" w:rsidR="00C50606" w:rsidRPr="00E9174E" w:rsidRDefault="00C50606" w:rsidP="00E9174E">
      <w:pPr>
        <w:widowControl/>
        <w:spacing w:line="360" w:lineRule="auto"/>
        <w:contextualSpacing/>
        <w:rPr>
          <w:sz w:val="26"/>
          <w:szCs w:val="26"/>
        </w:rPr>
      </w:pPr>
    </w:p>
    <w:p w14:paraId="5CB049A2" w14:textId="50D84E95" w:rsidR="00C50606" w:rsidRPr="00E9174E" w:rsidRDefault="00C50606" w:rsidP="00D85A7D">
      <w:pPr>
        <w:widowControl/>
        <w:spacing w:line="360" w:lineRule="auto"/>
        <w:ind w:firstLine="1440"/>
        <w:contextualSpacing/>
        <w:rPr>
          <w:color w:val="000000"/>
          <w:sz w:val="26"/>
          <w:szCs w:val="26"/>
        </w:rPr>
      </w:pPr>
      <w:r w:rsidRPr="00E9174E">
        <w:rPr>
          <w:color w:val="000000"/>
          <w:sz w:val="26"/>
          <w:szCs w:val="26"/>
        </w:rPr>
        <w:t xml:space="preserve">However, because we are approving estimated projected expenses that will be included in the Company’s base rates, we find that it is in the public interest that the Company’s future actual expenditures related to the allowed expense be monitored to ensure the accuracy of projected expenses.  Because Columbia’s claim for its projected legacy service line enhancement program expenses is factored into Columbia’s calculation of rates using the FPFTY, we shall require Columbia to file annual reports with the Secretary’s Bureau and the Commission’s </w:t>
      </w:r>
      <w:r w:rsidRPr="00E9174E">
        <w:rPr>
          <w:sz w:val="26"/>
          <w:szCs w:val="26"/>
        </w:rPr>
        <w:t xml:space="preserve">Fixed Utility Financial Analyst Supervisor in I&amp;E by December 1 following the end of each fiscal year for the next five </w:t>
      </w:r>
      <w:r w:rsidRPr="00E9174E">
        <w:rPr>
          <w:sz w:val="26"/>
          <w:szCs w:val="26"/>
        </w:rPr>
        <w:lastRenderedPageBreak/>
        <w:t xml:space="preserve">years, or until the implementation of new base rates in a subsequent rate case within this same time frame.  The annual reports shall </w:t>
      </w:r>
      <w:r w:rsidRPr="00E9174E">
        <w:rPr>
          <w:color w:val="000000"/>
          <w:sz w:val="26"/>
          <w:szCs w:val="26"/>
        </w:rPr>
        <w:t>delineate the actual annual expenses incurred by the Company for its legacy service line enhancement program.</w:t>
      </w:r>
    </w:p>
    <w:p w14:paraId="7CA28BD3" w14:textId="77777777" w:rsidR="00BD24E1" w:rsidRPr="00E9174E" w:rsidRDefault="00BD24E1" w:rsidP="00D85A7D">
      <w:pPr>
        <w:widowControl/>
        <w:spacing w:line="360" w:lineRule="auto"/>
        <w:ind w:firstLine="1440"/>
        <w:contextualSpacing/>
        <w:rPr>
          <w:color w:val="000000"/>
          <w:sz w:val="26"/>
          <w:szCs w:val="26"/>
        </w:rPr>
      </w:pPr>
    </w:p>
    <w:p w14:paraId="02DB194A" w14:textId="77777777" w:rsidR="00BD24E1" w:rsidRPr="00E9174E" w:rsidRDefault="00BD24E1" w:rsidP="00277ECF">
      <w:pPr>
        <w:pStyle w:val="Heading3"/>
        <w:numPr>
          <w:ilvl w:val="0"/>
          <w:numId w:val="18"/>
        </w:numPr>
        <w:ind w:left="1440" w:hanging="720"/>
      </w:pPr>
      <w:bookmarkStart w:id="200" w:name="_Toc63764488"/>
      <w:r w:rsidRPr="00E9174E">
        <w:t>Customer-owned Field-Assembled Riser Replacement</w:t>
      </w:r>
      <w:bookmarkEnd w:id="200"/>
    </w:p>
    <w:p w14:paraId="3ECCF558" w14:textId="77777777" w:rsidR="002218C8" w:rsidRPr="00E9174E" w:rsidRDefault="002218C8" w:rsidP="00D85A7D">
      <w:pPr>
        <w:keepNext/>
        <w:keepLines/>
        <w:widowControl/>
        <w:spacing w:line="360" w:lineRule="auto"/>
        <w:ind w:firstLine="1440"/>
        <w:contextualSpacing/>
        <w:rPr>
          <w:sz w:val="26"/>
          <w:szCs w:val="26"/>
        </w:rPr>
      </w:pPr>
    </w:p>
    <w:p w14:paraId="1F8D313D" w14:textId="41E6B4D1" w:rsidR="00BD24E1" w:rsidRPr="00E9174E" w:rsidRDefault="00BD24E1" w:rsidP="00277ECF">
      <w:pPr>
        <w:pStyle w:val="Heading4"/>
        <w:numPr>
          <w:ilvl w:val="0"/>
          <w:numId w:val="55"/>
        </w:numPr>
        <w:ind w:left="2160" w:hanging="720"/>
      </w:pPr>
      <w:bookmarkStart w:id="201" w:name="_Toc63764489"/>
      <w:r w:rsidRPr="00E9174E">
        <w:t>Positions of the Parties</w:t>
      </w:r>
      <w:bookmarkEnd w:id="201"/>
    </w:p>
    <w:p w14:paraId="06A6B74C" w14:textId="77777777" w:rsidR="00BD24E1" w:rsidRPr="00E9174E" w:rsidRDefault="00BD24E1" w:rsidP="00D85A7D">
      <w:pPr>
        <w:keepNext/>
        <w:keepLines/>
        <w:widowControl/>
        <w:spacing w:line="360" w:lineRule="auto"/>
        <w:contextualSpacing/>
        <w:rPr>
          <w:sz w:val="26"/>
          <w:szCs w:val="26"/>
        </w:rPr>
      </w:pPr>
    </w:p>
    <w:p w14:paraId="1D73465C" w14:textId="047A5516" w:rsidR="0027497E" w:rsidRPr="00E9174E" w:rsidRDefault="0027497E" w:rsidP="00D85A7D">
      <w:pPr>
        <w:widowControl/>
        <w:spacing w:line="360" w:lineRule="auto"/>
        <w:ind w:firstLine="1440"/>
        <w:contextualSpacing/>
        <w:rPr>
          <w:sz w:val="26"/>
          <w:szCs w:val="26"/>
        </w:rPr>
      </w:pPr>
      <w:r w:rsidRPr="00E9174E">
        <w:rPr>
          <w:sz w:val="26"/>
          <w:szCs w:val="26"/>
        </w:rPr>
        <w:t>Columbia sought an increase in spending of $1.7 million on its customer-owned field assembled riser replacement program, because it projects to replace 2,712 customer-owned field assembled risers in the FPFTY budget at a cost of $625 per riser.</w:t>
      </w:r>
      <w:r w:rsidRPr="00E9174E">
        <w:rPr>
          <w:sz w:val="26"/>
          <w:szCs w:val="26"/>
          <w:vertAlign w:val="superscript"/>
        </w:rPr>
        <w:footnoteReference w:id="38"/>
      </w:r>
      <w:r w:rsidRPr="00E9174E">
        <w:rPr>
          <w:sz w:val="26"/>
          <w:szCs w:val="26"/>
        </w:rPr>
        <w:t xml:space="preserve">  CG St. 7 at 24-25.  Previously, Columbia identified field-assembled risers as a high risk of failure in the Company’s DIMP.  Columbia first received Commission approval to replace customer-owned field assembled risers in</w:t>
      </w:r>
      <w:r w:rsidRPr="00E9174E">
        <w:rPr>
          <w:i/>
          <w:iCs/>
          <w:sz w:val="26"/>
          <w:szCs w:val="26"/>
        </w:rPr>
        <w:t xml:space="preserve"> Pa. PUC v. Columbia Gas of Pennsylvania, Inc</w:t>
      </w:r>
      <w:r w:rsidRPr="00E9174E">
        <w:rPr>
          <w:sz w:val="26"/>
          <w:szCs w:val="26"/>
        </w:rPr>
        <w:t xml:space="preserve">., Docket No. R-2018-2647577 (Order entered December 6, 2018).  However, Columbia’s 2019, 2020 and 2021 budgets included no funding for replacement of customer-owned field-assembled risers.  CG St. 7 at 24.  The Company did replace 1,279 customer-owned assembled risers in the HTY using funds from other programs in the Company’s prior budget.  CG St. 9-R at 16.  However, Columbia maintained that its FPFTY claim is not a build up from the HTY but “a grass roots budget.”  CG M.B. at 57.  As such, Columbia explained that replacing some customer-owned field-assembled risers in the past does not alter the fact that it is including an incremental $1.7 million for </w:t>
      </w:r>
      <w:r w:rsidRPr="00E9174E">
        <w:rPr>
          <w:sz w:val="26"/>
          <w:szCs w:val="26"/>
        </w:rPr>
        <w:lastRenderedPageBreak/>
        <w:t xml:space="preserve">customer-owned field-assembled risers because no amount is included in its FPFTY budget.  </w:t>
      </w:r>
      <w:r w:rsidRPr="00E9174E">
        <w:rPr>
          <w:i/>
          <w:iCs/>
          <w:sz w:val="26"/>
          <w:szCs w:val="26"/>
        </w:rPr>
        <w:t>Id</w:t>
      </w:r>
      <w:r w:rsidRPr="00E9174E">
        <w:rPr>
          <w:sz w:val="26"/>
          <w:szCs w:val="26"/>
        </w:rPr>
        <w:t>.</w:t>
      </w:r>
      <w:r w:rsidR="00222174" w:rsidRPr="00E9174E">
        <w:rPr>
          <w:sz w:val="26"/>
          <w:szCs w:val="26"/>
        </w:rPr>
        <w:t xml:space="preserve">  </w:t>
      </w:r>
    </w:p>
    <w:p w14:paraId="56FBD001" w14:textId="1B18662D" w:rsidR="0027497E" w:rsidRPr="00E9174E" w:rsidRDefault="0027497E" w:rsidP="00E9174E">
      <w:pPr>
        <w:widowControl/>
        <w:spacing w:line="360" w:lineRule="auto"/>
        <w:ind w:firstLine="1440"/>
        <w:contextualSpacing/>
        <w:rPr>
          <w:sz w:val="26"/>
          <w:szCs w:val="26"/>
        </w:rPr>
      </w:pPr>
      <w:r w:rsidRPr="00E9174E">
        <w:rPr>
          <w:sz w:val="26"/>
          <w:szCs w:val="26"/>
        </w:rPr>
        <w:t xml:space="preserve">The OCA contended that the Company’s proposed $1.7 million increase is not necessary because the COVID-19 pandemic temporarily impacted Columbia’s ability to replace the customer-owned field-assembled risers.  As a result, the OCA averred that Columbia had not shown that the replacement of these risers in the FPFTY will be any greater than it was in the HTY.  The OCA asserted that Columbia did not present any evidence that replacement of these customer-owned risers in the FPFTY will be any greater than the customer-owned risers replaced in the HTY.  Instead, even if the FPFTY budget does not include any incremental funding for customer-owned field-assembled riser replacement, the OCA argued that there </w:t>
      </w:r>
      <w:r w:rsidR="00A0230C" w:rsidRPr="00E9174E">
        <w:rPr>
          <w:sz w:val="26"/>
          <w:szCs w:val="26"/>
        </w:rPr>
        <w:t>must</w:t>
      </w:r>
      <w:r w:rsidRPr="00E9174E">
        <w:rPr>
          <w:sz w:val="26"/>
          <w:szCs w:val="26"/>
        </w:rPr>
        <w:t xml:space="preserve"> be some amount for that expense implicitly included in the O&amp;M expenses for the FPFTY.</w:t>
      </w:r>
      <w:r w:rsidR="007E7717" w:rsidRPr="00E9174E">
        <w:rPr>
          <w:sz w:val="26"/>
          <w:szCs w:val="26"/>
        </w:rPr>
        <w:t xml:space="preserve">  </w:t>
      </w:r>
      <w:r w:rsidRPr="00E9174E">
        <w:rPr>
          <w:sz w:val="26"/>
          <w:szCs w:val="26"/>
        </w:rPr>
        <w:t>Without further evidence to support the $1.7 million increase to the customer-owned field-assembled risers replacement program, the OCA recommended that it be removed from the FPFTY expenses for safety initiatives as shown in OCA St. 2-S, Sch. C-1, line 6 and Table II.  OCA M.B.</w:t>
      </w:r>
      <w:r w:rsidRPr="00E9174E">
        <w:rPr>
          <w:i/>
          <w:iCs/>
          <w:sz w:val="26"/>
          <w:szCs w:val="26"/>
        </w:rPr>
        <w:t xml:space="preserve"> </w:t>
      </w:r>
      <w:r w:rsidRPr="00E9174E">
        <w:rPr>
          <w:sz w:val="26"/>
          <w:szCs w:val="26"/>
        </w:rPr>
        <w:t>at 45-46.</w:t>
      </w:r>
    </w:p>
    <w:p w14:paraId="3AEFC7A7" w14:textId="664D5E72" w:rsidR="00BD24E1" w:rsidRPr="00E9174E" w:rsidRDefault="00BD24E1" w:rsidP="00E9174E">
      <w:pPr>
        <w:widowControl/>
        <w:spacing w:line="360" w:lineRule="auto"/>
        <w:ind w:firstLine="1440"/>
        <w:contextualSpacing/>
        <w:rPr>
          <w:sz w:val="26"/>
          <w:szCs w:val="26"/>
        </w:rPr>
      </w:pPr>
    </w:p>
    <w:p w14:paraId="1BCB279D" w14:textId="4D8F238C" w:rsidR="00BD24E1" w:rsidRPr="00E9174E" w:rsidRDefault="00BD24E1" w:rsidP="00D85A7D">
      <w:pPr>
        <w:pStyle w:val="Heading4"/>
        <w:ind w:left="2160" w:hanging="720"/>
      </w:pPr>
      <w:bookmarkStart w:id="202" w:name="_Toc63764490"/>
      <w:r w:rsidRPr="00E9174E">
        <w:t>Recommended Decision</w:t>
      </w:r>
      <w:bookmarkEnd w:id="202"/>
    </w:p>
    <w:p w14:paraId="5BBB729F" w14:textId="77777777" w:rsidR="00BD24E1" w:rsidRPr="00E9174E" w:rsidRDefault="00BD24E1" w:rsidP="00E9174E">
      <w:pPr>
        <w:keepNext/>
        <w:keepLines/>
        <w:widowControl/>
        <w:spacing w:line="360" w:lineRule="auto"/>
        <w:contextualSpacing/>
        <w:rPr>
          <w:sz w:val="26"/>
          <w:szCs w:val="26"/>
        </w:rPr>
      </w:pPr>
    </w:p>
    <w:p w14:paraId="33FEF016" w14:textId="60E47FC4" w:rsidR="009D7555" w:rsidRPr="00E9174E" w:rsidRDefault="009D7555" w:rsidP="00E9174E">
      <w:pPr>
        <w:widowControl/>
        <w:spacing w:line="360" w:lineRule="auto"/>
        <w:ind w:firstLine="1440"/>
        <w:contextualSpacing/>
        <w:rPr>
          <w:sz w:val="26"/>
          <w:szCs w:val="26"/>
        </w:rPr>
      </w:pPr>
      <w:r w:rsidRPr="00E9174E">
        <w:rPr>
          <w:sz w:val="26"/>
          <w:szCs w:val="26"/>
        </w:rPr>
        <w:t xml:space="preserve">The ALJ agreed with the OCA that there must be some amount for this expense implicitly included in the O&amp;M expenses for the FPFTY “even if the FPFTY budget does not include incremental funding for replacement of customer-owned field assembled risers.”  R.D. at 115.  The ALJ, therefore, also agreed with </w:t>
      </w:r>
      <w:r w:rsidR="00D650D9" w:rsidRPr="00E9174E">
        <w:rPr>
          <w:sz w:val="26"/>
          <w:szCs w:val="26"/>
        </w:rPr>
        <w:t xml:space="preserve">the </w:t>
      </w:r>
      <w:r w:rsidRPr="00E9174E">
        <w:rPr>
          <w:sz w:val="26"/>
          <w:szCs w:val="26"/>
        </w:rPr>
        <w:t xml:space="preserve">OCA’s recommendation that Columbia’s request of $1.7 million on its customer-owned field-assembled riser replacement program should be rejected completely because, without an explanation for the increase, the resulting rates will not be reasonable and just, nor in the public interest.  </w:t>
      </w:r>
      <w:r w:rsidRPr="00E9174E">
        <w:rPr>
          <w:i/>
          <w:iCs/>
          <w:sz w:val="26"/>
          <w:szCs w:val="26"/>
        </w:rPr>
        <w:t>Id.</w:t>
      </w:r>
      <w:r w:rsidRPr="00E9174E">
        <w:rPr>
          <w:sz w:val="26"/>
          <w:szCs w:val="26"/>
        </w:rPr>
        <w:t xml:space="preserve"> at 116. </w:t>
      </w:r>
    </w:p>
    <w:p w14:paraId="3EBF4026" w14:textId="4A0CCA4B" w:rsidR="007C7CEB" w:rsidRPr="00E9174E" w:rsidRDefault="007C7CEB" w:rsidP="00E9174E">
      <w:pPr>
        <w:widowControl/>
        <w:spacing w:line="360" w:lineRule="auto"/>
        <w:ind w:firstLine="1440"/>
        <w:contextualSpacing/>
        <w:rPr>
          <w:sz w:val="26"/>
          <w:szCs w:val="26"/>
        </w:rPr>
      </w:pPr>
    </w:p>
    <w:p w14:paraId="0286CEC4" w14:textId="39065FDD" w:rsidR="007C7CEB" w:rsidRPr="00E9174E" w:rsidRDefault="007C7CEB" w:rsidP="00E9174E">
      <w:pPr>
        <w:widowControl/>
        <w:spacing w:line="360" w:lineRule="auto"/>
        <w:ind w:firstLine="1440"/>
        <w:contextualSpacing/>
        <w:rPr>
          <w:sz w:val="26"/>
          <w:szCs w:val="26"/>
        </w:rPr>
      </w:pPr>
      <w:r w:rsidRPr="00E9174E">
        <w:rPr>
          <w:sz w:val="26"/>
          <w:szCs w:val="26"/>
        </w:rPr>
        <w:lastRenderedPageBreak/>
        <w:t xml:space="preserve">Alternatively, if the Commission grants Columbia’s request to consider all the elements in its base rate increase request, the ALJ recommended that the Commission should still eliminate the $1.7 million requested for the customer-owned field-assembled riser replacement program from the total requested expense amount for safety initiatives.  </w:t>
      </w:r>
      <w:r w:rsidRPr="00E9174E">
        <w:rPr>
          <w:i/>
          <w:iCs/>
          <w:sz w:val="26"/>
          <w:szCs w:val="26"/>
        </w:rPr>
        <w:t>Id</w:t>
      </w:r>
      <w:r w:rsidRPr="00E9174E">
        <w:rPr>
          <w:sz w:val="26"/>
          <w:szCs w:val="26"/>
        </w:rPr>
        <w:t xml:space="preserve">. </w:t>
      </w:r>
    </w:p>
    <w:p w14:paraId="63C85A98" w14:textId="77777777" w:rsidR="00BD24E1" w:rsidRPr="00E9174E" w:rsidRDefault="00BD24E1" w:rsidP="00E9174E">
      <w:pPr>
        <w:widowControl/>
        <w:spacing w:line="360" w:lineRule="auto"/>
        <w:ind w:firstLine="1440"/>
        <w:contextualSpacing/>
        <w:rPr>
          <w:sz w:val="26"/>
          <w:szCs w:val="26"/>
        </w:rPr>
      </w:pPr>
    </w:p>
    <w:p w14:paraId="184862A5" w14:textId="7434AE46" w:rsidR="00BD24E1" w:rsidRPr="00E9174E" w:rsidRDefault="00BD24E1" w:rsidP="000F1A14">
      <w:pPr>
        <w:pStyle w:val="Heading4"/>
        <w:ind w:left="2160" w:hanging="720"/>
      </w:pPr>
      <w:bookmarkStart w:id="203" w:name="_Toc63764491"/>
      <w:r w:rsidRPr="00E9174E">
        <w:t>Columbia Exception No. 12 and Replies</w:t>
      </w:r>
      <w:bookmarkEnd w:id="203"/>
    </w:p>
    <w:p w14:paraId="2BFD1D39" w14:textId="77777777" w:rsidR="00BD24E1" w:rsidRPr="00E9174E" w:rsidRDefault="00BD24E1" w:rsidP="000F1A14">
      <w:pPr>
        <w:keepNext/>
        <w:keepLines/>
        <w:widowControl/>
        <w:spacing w:line="360" w:lineRule="auto"/>
        <w:contextualSpacing/>
        <w:rPr>
          <w:sz w:val="26"/>
          <w:szCs w:val="26"/>
        </w:rPr>
      </w:pPr>
    </w:p>
    <w:p w14:paraId="1CFF075E" w14:textId="59C23E57" w:rsidR="005B6EB3" w:rsidRPr="00E9174E" w:rsidRDefault="005B6EB3" w:rsidP="000F1A14">
      <w:pPr>
        <w:widowControl/>
        <w:spacing w:line="360" w:lineRule="auto"/>
        <w:ind w:firstLine="1440"/>
        <w:contextualSpacing/>
        <w:rPr>
          <w:sz w:val="26"/>
          <w:szCs w:val="26"/>
        </w:rPr>
      </w:pPr>
      <w:r w:rsidRPr="00E9174E">
        <w:rPr>
          <w:sz w:val="26"/>
          <w:szCs w:val="26"/>
        </w:rPr>
        <w:t xml:space="preserve">In its Exception No. 12, Columbia asserts that the ALJ improperly denied any additional recovery for incremental replacement of customer-owned field-assembled risers in 2021.  Columbia submits that even if its FPFTY budget is assumed incorrectly to reflect the expense of the 1,279 customer-owned risers replaced in the HTY, the ALJ should have still allowed recovery of 1,433 additional risers to be replaced in the FPFTY over the HTY level.  Columbia reasons that at an average replacement cost of $625 per riser, the ALJ should have allowed recovery of at least 1,433 risers at an approximate cost of $900,000.  CG Exc. at 19.  Further, Columbia claims that I&amp;E testimony supports the replacement of all field-assembled risers on Columbia’s system.  </w:t>
      </w:r>
      <w:r w:rsidRPr="00E9174E">
        <w:rPr>
          <w:i/>
          <w:iCs/>
          <w:sz w:val="26"/>
          <w:szCs w:val="26"/>
        </w:rPr>
        <w:t>Id</w:t>
      </w:r>
      <w:r w:rsidRPr="00E9174E">
        <w:rPr>
          <w:sz w:val="26"/>
          <w:szCs w:val="26"/>
        </w:rPr>
        <w:t>. at 20 (citing I&amp;E</w:t>
      </w:r>
      <w:r w:rsidR="00D85A7D">
        <w:rPr>
          <w:sz w:val="26"/>
          <w:szCs w:val="26"/>
        </w:rPr>
        <w:t> </w:t>
      </w:r>
      <w:r w:rsidRPr="00E9174E">
        <w:rPr>
          <w:sz w:val="26"/>
          <w:szCs w:val="26"/>
        </w:rPr>
        <w:t>St. 5 at 12).  Columbia stresses its position that the Commission should support the accelerated replacement of all customer-owned field-assembled risers in its system as they have been identified as a high risk in the Company’s DIMP.  CG Exc. at 19.</w:t>
      </w:r>
      <w:r w:rsidR="00222174" w:rsidRPr="00E9174E">
        <w:rPr>
          <w:sz w:val="26"/>
          <w:szCs w:val="26"/>
        </w:rPr>
        <w:t xml:space="preserve">  </w:t>
      </w:r>
      <w:r w:rsidRPr="00E9174E">
        <w:rPr>
          <w:sz w:val="26"/>
          <w:szCs w:val="26"/>
        </w:rPr>
        <w:t xml:space="preserve">  </w:t>
      </w:r>
    </w:p>
    <w:p w14:paraId="7ECA730B" w14:textId="77777777" w:rsidR="005B6EB3" w:rsidRPr="00E9174E" w:rsidRDefault="005B6EB3" w:rsidP="00E9174E">
      <w:pPr>
        <w:widowControl/>
        <w:spacing w:line="360" w:lineRule="auto"/>
        <w:contextualSpacing/>
        <w:rPr>
          <w:rFonts w:eastAsiaTheme="minorHAnsi"/>
          <w:sz w:val="26"/>
          <w:szCs w:val="26"/>
        </w:rPr>
      </w:pPr>
    </w:p>
    <w:p w14:paraId="37AC5B4B" w14:textId="71124E78" w:rsidR="005B6EB3" w:rsidRPr="00E9174E" w:rsidRDefault="005B6EB3" w:rsidP="00E9174E">
      <w:pPr>
        <w:widowControl/>
        <w:spacing w:line="360" w:lineRule="auto"/>
        <w:ind w:firstLine="1440"/>
        <w:contextualSpacing/>
        <w:rPr>
          <w:rFonts w:eastAsiaTheme="minorHAnsi"/>
          <w:sz w:val="26"/>
          <w:szCs w:val="26"/>
        </w:rPr>
      </w:pPr>
      <w:r w:rsidRPr="00E9174E">
        <w:rPr>
          <w:rFonts w:eastAsiaTheme="minorHAnsi"/>
          <w:sz w:val="26"/>
          <w:szCs w:val="26"/>
        </w:rPr>
        <w:t>In its Reply, the OCA submits that ALJ Dunderdale was correct to deny Columbia’s entire request of $1.7 million for the Company’s customer-owned field-assembled riser replacement program in 2021 because the Company failed to provide any explanation for the requested increase other than the explanation that “the FPFTY expense is not incremental to the HTY expense, but rather to the FPFTY budget.”  OCA</w:t>
      </w:r>
      <w:r w:rsidR="00D85A7D">
        <w:rPr>
          <w:rFonts w:eastAsiaTheme="minorHAnsi"/>
          <w:sz w:val="26"/>
          <w:szCs w:val="26"/>
        </w:rPr>
        <w:t> </w:t>
      </w:r>
      <w:r w:rsidRPr="00E9174E">
        <w:rPr>
          <w:rFonts w:eastAsiaTheme="minorHAnsi"/>
          <w:sz w:val="26"/>
          <w:szCs w:val="26"/>
        </w:rPr>
        <w:t xml:space="preserve">R. Exc. at 11.  The OCA also dismisses Columbia’s alternative argument that the ALJ should have allowed $900,000 for the recovery of 1,433 additional field-assembled risers to be replaced in the FPFTY over the HTY level, stating that Columbia has still </w:t>
      </w:r>
      <w:r w:rsidRPr="00E9174E">
        <w:rPr>
          <w:rFonts w:eastAsiaTheme="minorHAnsi"/>
          <w:sz w:val="26"/>
          <w:szCs w:val="26"/>
        </w:rPr>
        <w:lastRenderedPageBreak/>
        <w:t xml:space="preserve">failed to prove with any evidence the extent to which this riser replacement expense in the FPFTY will be greater than the expense in the HTY.  OCA R. Exc. 11-12. </w:t>
      </w:r>
    </w:p>
    <w:p w14:paraId="0B983A6F" w14:textId="77777777" w:rsidR="00BD24E1" w:rsidRPr="00E9174E" w:rsidRDefault="00BD24E1" w:rsidP="00E9174E">
      <w:pPr>
        <w:widowControl/>
        <w:spacing w:line="360" w:lineRule="auto"/>
        <w:contextualSpacing/>
        <w:rPr>
          <w:rFonts w:eastAsiaTheme="minorHAnsi"/>
          <w:sz w:val="26"/>
          <w:szCs w:val="26"/>
        </w:rPr>
      </w:pPr>
    </w:p>
    <w:p w14:paraId="6A0674D6" w14:textId="527BAA02" w:rsidR="00BD24E1" w:rsidRPr="00E9174E" w:rsidRDefault="00BD24E1" w:rsidP="00D85A7D">
      <w:pPr>
        <w:pStyle w:val="Heading4"/>
        <w:ind w:left="2160" w:hanging="720"/>
      </w:pPr>
      <w:bookmarkStart w:id="204" w:name="_Toc63764492"/>
      <w:r w:rsidRPr="00E9174E">
        <w:t>Disposition</w:t>
      </w:r>
      <w:bookmarkEnd w:id="204"/>
    </w:p>
    <w:p w14:paraId="14BD1EA5" w14:textId="77777777" w:rsidR="00BD24E1" w:rsidRPr="00E9174E" w:rsidRDefault="00BD24E1" w:rsidP="00E9174E">
      <w:pPr>
        <w:keepNext/>
        <w:keepLines/>
        <w:widowControl/>
        <w:contextualSpacing/>
        <w:rPr>
          <w:sz w:val="26"/>
          <w:szCs w:val="26"/>
        </w:rPr>
      </w:pPr>
    </w:p>
    <w:p w14:paraId="345C4044" w14:textId="3E4ED861" w:rsidR="00670FD0" w:rsidRPr="00E9174E" w:rsidRDefault="00670FD0" w:rsidP="00E9174E">
      <w:pPr>
        <w:widowControl/>
        <w:spacing w:line="360" w:lineRule="auto"/>
        <w:ind w:firstLine="1440"/>
        <w:contextualSpacing/>
        <w:rPr>
          <w:sz w:val="26"/>
          <w:szCs w:val="26"/>
        </w:rPr>
      </w:pPr>
      <w:r w:rsidRPr="00E9174E">
        <w:rPr>
          <w:sz w:val="26"/>
          <w:szCs w:val="26"/>
        </w:rPr>
        <w:t xml:space="preserve">We agree, in part, and disagree, in part, with the ALJ’s alternative conclusion that the increased expenditure of $1.7 million for Columbia’s FPFTY customer-owned field-assembled riser replacement program is not a reasonable and just expense for 2021.  Based on our review of the record, we find that Columbia’s goal of completing this safety program, thus eliminating this DIMP-identified high risk issue, is a worthy safety initiative that should not be discouraged by this Commission.  However, we believe that the cost recovery should be limited to replacing the number of risers over 1,279, the number replaced in the HTY.  Therefore, we shall grant Columbia’s Exception No. </w:t>
      </w:r>
      <w:r w:rsidR="00F26BC9">
        <w:rPr>
          <w:sz w:val="26"/>
          <w:szCs w:val="26"/>
        </w:rPr>
        <w:t>12</w:t>
      </w:r>
      <w:r w:rsidRPr="00E9174E">
        <w:rPr>
          <w:sz w:val="26"/>
          <w:szCs w:val="26"/>
        </w:rPr>
        <w:t xml:space="preserve">, in part, and approve the Company’s alternative request of $900,000 as a reasonable and just expense for its customer-owned field-assembled riser replacement program.  </w:t>
      </w:r>
    </w:p>
    <w:p w14:paraId="521A52EF" w14:textId="77777777" w:rsidR="00670FD0" w:rsidRPr="00E9174E" w:rsidRDefault="00670FD0" w:rsidP="00E9174E">
      <w:pPr>
        <w:widowControl/>
        <w:spacing w:line="360" w:lineRule="auto"/>
        <w:contextualSpacing/>
        <w:rPr>
          <w:sz w:val="26"/>
          <w:szCs w:val="26"/>
        </w:rPr>
      </w:pPr>
    </w:p>
    <w:p w14:paraId="56EC79AF" w14:textId="17C08B2F" w:rsidR="00670FD0" w:rsidRPr="00E9174E" w:rsidRDefault="00670FD0" w:rsidP="00E9174E">
      <w:pPr>
        <w:widowControl/>
        <w:spacing w:line="360" w:lineRule="auto"/>
        <w:ind w:firstLine="1440"/>
        <w:contextualSpacing/>
        <w:rPr>
          <w:sz w:val="26"/>
          <w:szCs w:val="26"/>
        </w:rPr>
      </w:pPr>
      <w:r w:rsidRPr="00E9174E">
        <w:rPr>
          <w:color w:val="000000"/>
          <w:sz w:val="26"/>
          <w:szCs w:val="26"/>
        </w:rPr>
        <w:t xml:space="preserve">However, because we are approving estimated projected expenses that will be included in the Company’s base rates, we find that it is in the public interest that the Company’s future actual expenditures related to the allowed expense be monitored to ensure the accuracy of projected expenses.  Because Columbia’s claim for projected customer-owned field-assembled riser replacement program expenses is factored into Columbia’s calculation of rates using the FPFTY, we shall require Columbia to file annual reports with the Secretary’s Bureau and the Commission’s </w:t>
      </w:r>
      <w:r w:rsidRPr="00E9174E">
        <w:rPr>
          <w:sz w:val="26"/>
          <w:szCs w:val="26"/>
        </w:rPr>
        <w:t xml:space="preserve">Fixed Utility Financial Analyst Supervisor in I&amp;E by December 1 following the end of each fiscal year for the next five years, or until the implementation of new base rates in a subsequent rate case within this same time frame.  The annual reports shall </w:t>
      </w:r>
      <w:r w:rsidRPr="00E9174E">
        <w:rPr>
          <w:color w:val="000000"/>
          <w:sz w:val="26"/>
          <w:szCs w:val="26"/>
        </w:rPr>
        <w:t xml:space="preserve">delineate the actual annual expenses incurred by the Company for customer-owned field-assembled riser replacement.  </w:t>
      </w:r>
    </w:p>
    <w:p w14:paraId="095C1384" w14:textId="77777777" w:rsidR="00BD24E1" w:rsidRPr="00E9174E" w:rsidRDefault="00BD24E1" w:rsidP="00E9174E">
      <w:pPr>
        <w:widowControl/>
        <w:spacing w:line="360" w:lineRule="auto"/>
        <w:ind w:firstLine="1440"/>
        <w:contextualSpacing/>
        <w:rPr>
          <w:sz w:val="26"/>
          <w:szCs w:val="26"/>
        </w:rPr>
      </w:pPr>
    </w:p>
    <w:p w14:paraId="2C655624" w14:textId="29E58267" w:rsidR="00BD24E1" w:rsidRPr="00E9174E" w:rsidRDefault="00BD24E1" w:rsidP="00277ECF">
      <w:pPr>
        <w:pStyle w:val="Heading3"/>
        <w:numPr>
          <w:ilvl w:val="0"/>
          <w:numId w:val="18"/>
        </w:numPr>
        <w:ind w:left="1440" w:hanging="720"/>
      </w:pPr>
      <w:bookmarkStart w:id="205" w:name="_Toc63764493"/>
      <w:r w:rsidRPr="00E9174E">
        <w:t>Compensation Adjustment</w:t>
      </w:r>
      <w:bookmarkEnd w:id="205"/>
    </w:p>
    <w:p w14:paraId="46A67CD8" w14:textId="50A83E73" w:rsidR="00BD24E1" w:rsidRPr="00E9174E" w:rsidRDefault="00BD24E1" w:rsidP="00E9174E">
      <w:pPr>
        <w:keepNext/>
        <w:keepLines/>
        <w:widowControl/>
        <w:spacing w:line="360" w:lineRule="auto"/>
        <w:contextualSpacing/>
        <w:rPr>
          <w:sz w:val="26"/>
          <w:szCs w:val="26"/>
        </w:rPr>
      </w:pPr>
    </w:p>
    <w:p w14:paraId="7C10352B" w14:textId="47351B4F" w:rsidR="00BD24E1" w:rsidRPr="00E9174E" w:rsidRDefault="00BD24E1" w:rsidP="00277ECF">
      <w:pPr>
        <w:pStyle w:val="Heading4"/>
        <w:numPr>
          <w:ilvl w:val="0"/>
          <w:numId w:val="56"/>
        </w:numPr>
        <w:ind w:left="2160" w:hanging="720"/>
      </w:pPr>
      <w:bookmarkStart w:id="206" w:name="_Toc63764494"/>
      <w:r w:rsidRPr="00E9174E">
        <w:t>Positions of the Parties</w:t>
      </w:r>
      <w:bookmarkEnd w:id="206"/>
      <w:r w:rsidRPr="00E9174E">
        <w:t xml:space="preserve"> </w:t>
      </w:r>
    </w:p>
    <w:p w14:paraId="14D4B67F" w14:textId="77777777" w:rsidR="00BD24E1" w:rsidRPr="00E9174E" w:rsidRDefault="00BD24E1" w:rsidP="00E9174E">
      <w:pPr>
        <w:keepNext/>
        <w:keepLines/>
        <w:widowControl/>
        <w:spacing w:line="360" w:lineRule="auto"/>
        <w:ind w:left="1440"/>
        <w:contextualSpacing/>
        <w:rPr>
          <w:rFonts w:eastAsia="Calibri"/>
          <w:sz w:val="26"/>
          <w:szCs w:val="26"/>
        </w:rPr>
      </w:pPr>
    </w:p>
    <w:p w14:paraId="3F69F3FD" w14:textId="77777777" w:rsidR="00BD24E1" w:rsidRPr="00E9174E" w:rsidRDefault="00BD24E1" w:rsidP="00E9174E">
      <w:pPr>
        <w:widowControl/>
        <w:spacing w:line="360" w:lineRule="auto"/>
        <w:ind w:firstLine="1440"/>
        <w:contextualSpacing/>
        <w:rPr>
          <w:rFonts w:eastAsia="Calibri"/>
          <w:sz w:val="26"/>
          <w:szCs w:val="26"/>
        </w:rPr>
      </w:pPr>
      <w:r w:rsidRPr="00E9174E">
        <w:rPr>
          <w:rFonts w:eastAsia="Calibri"/>
          <w:sz w:val="26"/>
          <w:szCs w:val="26"/>
        </w:rPr>
        <w:t xml:space="preserve">Columbia proposed a payroll adjustment in the FPFTY of $432,000, based on the Company’s aim to raise the salary of 54 of its field operations leaders to market rates and offer salaried field leaders overtime pay for emergency call outs.  Columbia proposed to rectify this situation by increasing these employees’ pay in 2021.  Namely, Columbia proposed to increase the pay to leadership positions to enhance Columbia’s ability to promote and retain qualified individuals.  CG M.B. at 57-58.  </w:t>
      </w:r>
    </w:p>
    <w:p w14:paraId="5EC2002F" w14:textId="77777777" w:rsidR="00BD24E1" w:rsidRPr="00E9174E" w:rsidRDefault="00BD24E1" w:rsidP="00E9174E">
      <w:pPr>
        <w:widowControl/>
        <w:spacing w:line="360" w:lineRule="auto"/>
        <w:ind w:left="1440"/>
        <w:contextualSpacing/>
        <w:rPr>
          <w:rFonts w:eastAsia="Calibri"/>
          <w:sz w:val="26"/>
          <w:szCs w:val="26"/>
        </w:rPr>
      </w:pPr>
    </w:p>
    <w:p w14:paraId="538DEBA8" w14:textId="12A81124" w:rsidR="00BD24E1" w:rsidRPr="00E9174E" w:rsidRDefault="00BD24E1" w:rsidP="00E9174E">
      <w:pPr>
        <w:widowControl/>
        <w:spacing w:line="360" w:lineRule="auto"/>
        <w:ind w:firstLine="1440"/>
        <w:contextualSpacing/>
        <w:rPr>
          <w:rFonts w:eastAsiaTheme="minorHAnsi"/>
          <w:sz w:val="26"/>
          <w:szCs w:val="26"/>
        </w:rPr>
      </w:pPr>
      <w:r w:rsidRPr="00E9174E">
        <w:rPr>
          <w:rFonts w:eastAsiaTheme="minorHAnsi"/>
          <w:sz w:val="26"/>
          <w:szCs w:val="26"/>
        </w:rPr>
        <w:t>The OCA took the position that Columbia’s proposed employee compensation adjustment is speculative.  According to the OCA, Columbia has not presented any evidence that this compensation adjustment is in the process of being implemented or that such implementation is imminent.  Therefore, the OCA submitted that the Commission should deny the Company’s claim in its entirety.  OCA M.B. at</w:t>
      </w:r>
      <w:r w:rsidR="00D85A7D">
        <w:rPr>
          <w:rFonts w:eastAsiaTheme="minorHAnsi"/>
          <w:sz w:val="26"/>
          <w:szCs w:val="26"/>
        </w:rPr>
        <w:t> </w:t>
      </w:r>
      <w:r w:rsidRPr="00E9174E">
        <w:rPr>
          <w:rFonts w:eastAsiaTheme="minorHAnsi"/>
          <w:sz w:val="26"/>
          <w:szCs w:val="26"/>
        </w:rPr>
        <w:t>46</w:t>
      </w:r>
      <w:r w:rsidR="00A658BD" w:rsidRPr="00E9174E">
        <w:rPr>
          <w:rFonts w:eastAsiaTheme="minorHAnsi"/>
          <w:sz w:val="26"/>
          <w:szCs w:val="26"/>
        </w:rPr>
        <w:noBreakHyphen/>
      </w:r>
      <w:r w:rsidRPr="00E9174E">
        <w:rPr>
          <w:rFonts w:eastAsiaTheme="minorHAnsi"/>
          <w:sz w:val="26"/>
          <w:szCs w:val="26"/>
        </w:rPr>
        <w:t>47.</w:t>
      </w:r>
    </w:p>
    <w:p w14:paraId="06966B0B" w14:textId="77777777" w:rsidR="00BD24E1" w:rsidRPr="00E9174E" w:rsidRDefault="00BD24E1" w:rsidP="00E9174E">
      <w:pPr>
        <w:widowControl/>
        <w:spacing w:line="360" w:lineRule="auto"/>
        <w:ind w:firstLine="1440"/>
        <w:contextualSpacing/>
        <w:rPr>
          <w:rFonts w:eastAsiaTheme="minorHAnsi"/>
          <w:sz w:val="26"/>
          <w:szCs w:val="26"/>
        </w:rPr>
      </w:pPr>
    </w:p>
    <w:p w14:paraId="539544C2" w14:textId="0B7C21EA" w:rsidR="00BD24E1" w:rsidRPr="00E9174E" w:rsidRDefault="00BD24E1" w:rsidP="00D85A7D">
      <w:pPr>
        <w:pStyle w:val="Heading4"/>
        <w:ind w:left="2160" w:hanging="720"/>
        <w:rPr>
          <w:rFonts w:eastAsia="Calibri"/>
        </w:rPr>
      </w:pPr>
      <w:bookmarkStart w:id="207" w:name="_Toc63764495"/>
      <w:r w:rsidRPr="00E9174E">
        <w:rPr>
          <w:rFonts w:eastAsia="Calibri"/>
        </w:rPr>
        <w:t>Recommended Decision</w:t>
      </w:r>
      <w:bookmarkEnd w:id="207"/>
    </w:p>
    <w:p w14:paraId="207BB66C" w14:textId="77777777" w:rsidR="00BD24E1" w:rsidRPr="00E9174E" w:rsidRDefault="00BD24E1" w:rsidP="00E9174E">
      <w:pPr>
        <w:keepNext/>
        <w:keepLines/>
        <w:widowControl/>
        <w:spacing w:line="360" w:lineRule="auto"/>
        <w:ind w:left="1440"/>
        <w:contextualSpacing/>
        <w:rPr>
          <w:rFonts w:eastAsiaTheme="minorHAnsi"/>
          <w:sz w:val="26"/>
          <w:szCs w:val="26"/>
        </w:rPr>
      </w:pPr>
    </w:p>
    <w:p w14:paraId="45120EF2" w14:textId="77777777" w:rsidR="00BD24E1" w:rsidRPr="00E9174E" w:rsidRDefault="00BD24E1" w:rsidP="00E9174E">
      <w:pPr>
        <w:widowControl/>
        <w:spacing w:line="360" w:lineRule="auto"/>
        <w:ind w:firstLine="1440"/>
        <w:contextualSpacing/>
        <w:rPr>
          <w:rFonts w:eastAsia="Calibri"/>
          <w:sz w:val="26"/>
          <w:szCs w:val="26"/>
        </w:rPr>
      </w:pPr>
      <w:r w:rsidRPr="00E9174E">
        <w:rPr>
          <w:rFonts w:eastAsiaTheme="minorHAnsi"/>
          <w:sz w:val="26"/>
          <w:szCs w:val="26"/>
        </w:rPr>
        <w:t xml:space="preserve">The ALJ </w:t>
      </w:r>
      <w:r w:rsidRPr="00E9174E">
        <w:rPr>
          <w:rFonts w:eastAsia="Calibri"/>
          <w:sz w:val="26"/>
          <w:szCs w:val="26"/>
        </w:rPr>
        <w:t xml:space="preserve">recommended rejection of this expense on the basis that certain speculative future expenses should be disallowed, citing </w:t>
      </w:r>
      <w:r w:rsidRPr="00E9174E">
        <w:rPr>
          <w:rFonts w:eastAsia="Calibri"/>
          <w:i/>
          <w:iCs/>
          <w:sz w:val="26"/>
          <w:szCs w:val="26"/>
        </w:rPr>
        <w:t>P</w:t>
      </w:r>
      <w:bookmarkStart w:id="208" w:name="_BA_Cite_EAF4C8_000948"/>
      <w:bookmarkEnd w:id="208"/>
      <w:r w:rsidRPr="00E9174E">
        <w:rPr>
          <w:rFonts w:eastAsia="Calibri"/>
          <w:i/>
          <w:iCs/>
          <w:sz w:val="26"/>
          <w:szCs w:val="26"/>
        </w:rPr>
        <w:t>a. PUC v. Pa. Power &amp; Light Co.</w:t>
      </w:r>
      <w:r w:rsidRPr="00E9174E">
        <w:rPr>
          <w:rFonts w:eastAsia="Calibri"/>
          <w:sz w:val="26"/>
          <w:szCs w:val="26"/>
        </w:rPr>
        <w:t>, 85 Pa. P.U.C. 306 (1995) (</w:t>
      </w:r>
      <w:r w:rsidRPr="00E9174E">
        <w:rPr>
          <w:rFonts w:eastAsia="Calibri"/>
          <w:i/>
          <w:iCs/>
          <w:sz w:val="26"/>
          <w:szCs w:val="26"/>
        </w:rPr>
        <w:t>Pa. PUC v. Pa. Power &amp; Light Co.</w:t>
      </w:r>
      <w:r w:rsidRPr="00E9174E">
        <w:rPr>
          <w:rFonts w:eastAsia="Calibri"/>
          <w:sz w:val="26"/>
          <w:szCs w:val="26"/>
        </w:rPr>
        <w:t>).  R.D. at 116.</w:t>
      </w:r>
    </w:p>
    <w:p w14:paraId="60D43F37" w14:textId="77777777" w:rsidR="00BD24E1" w:rsidRPr="00E9174E" w:rsidRDefault="00BD24E1" w:rsidP="00E9174E">
      <w:pPr>
        <w:widowControl/>
        <w:spacing w:line="360" w:lineRule="auto"/>
        <w:contextualSpacing/>
        <w:rPr>
          <w:b/>
          <w:bCs/>
          <w:sz w:val="26"/>
          <w:szCs w:val="26"/>
        </w:rPr>
      </w:pPr>
    </w:p>
    <w:p w14:paraId="498A10FF" w14:textId="12E637A6" w:rsidR="00BD24E1" w:rsidRPr="00E9174E" w:rsidRDefault="00BD24E1" w:rsidP="00D85A7D">
      <w:pPr>
        <w:pStyle w:val="Heading4"/>
        <w:ind w:left="2160" w:hanging="720"/>
      </w:pPr>
      <w:bookmarkStart w:id="209" w:name="_Toc37162106"/>
      <w:bookmarkStart w:id="210" w:name="_Toc63764496"/>
      <w:r w:rsidRPr="00E9174E">
        <w:t>Columbia Exception No. 13 and Replies</w:t>
      </w:r>
      <w:bookmarkEnd w:id="209"/>
      <w:bookmarkEnd w:id="210"/>
    </w:p>
    <w:p w14:paraId="50BAF5AE" w14:textId="77777777" w:rsidR="00BD24E1" w:rsidRPr="00E9174E" w:rsidRDefault="00BD24E1" w:rsidP="00E9174E">
      <w:pPr>
        <w:keepNext/>
        <w:keepLines/>
        <w:widowControl/>
        <w:spacing w:line="360" w:lineRule="auto"/>
        <w:contextualSpacing/>
        <w:rPr>
          <w:sz w:val="26"/>
          <w:szCs w:val="26"/>
        </w:rPr>
      </w:pPr>
    </w:p>
    <w:p w14:paraId="2F6FF565" w14:textId="380B2CBB" w:rsidR="00BD24E1" w:rsidRPr="00E9174E" w:rsidRDefault="00BD24E1" w:rsidP="00E9174E">
      <w:pPr>
        <w:widowControl/>
        <w:spacing w:line="360" w:lineRule="auto"/>
        <w:ind w:firstLine="1440"/>
        <w:contextualSpacing/>
        <w:rPr>
          <w:rFonts w:eastAsia="Calibri"/>
          <w:sz w:val="26"/>
          <w:szCs w:val="26"/>
        </w:rPr>
      </w:pPr>
      <w:r w:rsidRPr="00E9174E">
        <w:rPr>
          <w:rFonts w:eastAsia="Calibri"/>
          <w:sz w:val="26"/>
          <w:szCs w:val="26"/>
        </w:rPr>
        <w:t xml:space="preserve">In its Exception No. 13, Columbia asserts that the ALJ’s recommendation with respect to FPFTY compensation adjustments for certain field leaders should be </w:t>
      </w:r>
      <w:r w:rsidRPr="00E9174E">
        <w:rPr>
          <w:rFonts w:eastAsia="Calibri"/>
          <w:sz w:val="26"/>
          <w:szCs w:val="26"/>
        </w:rPr>
        <w:lastRenderedPageBreak/>
        <w:t>rejected.  Columbia maintains that it was</w:t>
      </w:r>
      <w:r w:rsidR="00F40DD0" w:rsidRPr="00E9174E">
        <w:rPr>
          <w:rFonts w:eastAsia="Calibri"/>
          <w:sz w:val="26"/>
          <w:szCs w:val="26"/>
        </w:rPr>
        <w:t xml:space="preserve"> </w:t>
      </w:r>
      <w:r w:rsidRPr="00E9174E">
        <w:rPr>
          <w:rFonts w:eastAsia="Calibri"/>
          <w:sz w:val="26"/>
          <w:szCs w:val="26"/>
        </w:rPr>
        <w:t xml:space="preserve">reversible error for the ALJ to recommend disallowance of such costs where Columbia had fully substantiated the projected future compensation expense.  Columbia asserts that, consistent with </w:t>
      </w:r>
      <w:r w:rsidRPr="00E9174E">
        <w:rPr>
          <w:rFonts w:eastAsia="Calibri"/>
          <w:i/>
          <w:iCs/>
          <w:sz w:val="26"/>
          <w:szCs w:val="26"/>
        </w:rPr>
        <w:t>Pa. PUC v. Pa. Power &amp; Light Co</w:t>
      </w:r>
      <w:r w:rsidRPr="00E9174E">
        <w:rPr>
          <w:rFonts w:eastAsia="Calibri"/>
          <w:sz w:val="26"/>
          <w:szCs w:val="26"/>
        </w:rPr>
        <w:t xml:space="preserve">., substantiated future expenses must be allowed.  CG Exc. at 20-21. </w:t>
      </w:r>
    </w:p>
    <w:p w14:paraId="7525EDB8" w14:textId="77777777" w:rsidR="00BD24E1" w:rsidRPr="00E9174E" w:rsidRDefault="00BD24E1" w:rsidP="00E9174E">
      <w:pPr>
        <w:widowControl/>
        <w:spacing w:line="360" w:lineRule="auto"/>
        <w:ind w:firstLine="1440"/>
        <w:contextualSpacing/>
        <w:rPr>
          <w:rFonts w:eastAsia="Calibri"/>
          <w:sz w:val="26"/>
          <w:szCs w:val="26"/>
        </w:rPr>
      </w:pPr>
    </w:p>
    <w:p w14:paraId="4B1D975E" w14:textId="77777777" w:rsidR="00BD24E1" w:rsidRPr="00E9174E" w:rsidRDefault="00BD24E1" w:rsidP="00E9174E">
      <w:pPr>
        <w:widowControl/>
        <w:spacing w:line="360" w:lineRule="auto"/>
        <w:ind w:firstLine="1440"/>
        <w:contextualSpacing/>
        <w:rPr>
          <w:sz w:val="26"/>
          <w:szCs w:val="26"/>
        </w:rPr>
      </w:pPr>
      <w:r w:rsidRPr="00E9174E">
        <w:rPr>
          <w:rFonts w:eastAsia="Calibri"/>
          <w:sz w:val="26"/>
          <w:szCs w:val="26"/>
        </w:rPr>
        <w:t xml:space="preserve">In its Replies to Exceptions, the OCA asserts that the ALJ properly concluded that the Company’s FPFTY proposed compensation adjustments are speculative and thereby should be precluded from the Company’s </w:t>
      </w:r>
      <w:r w:rsidRPr="00E9174E">
        <w:rPr>
          <w:rFonts w:eastAsia="Calibri"/>
          <w:i/>
          <w:iCs/>
          <w:sz w:val="26"/>
          <w:szCs w:val="26"/>
        </w:rPr>
        <w:t xml:space="preserve">pro forma </w:t>
      </w:r>
      <w:r w:rsidRPr="00E9174E">
        <w:rPr>
          <w:rFonts w:eastAsia="Calibri"/>
          <w:sz w:val="26"/>
          <w:szCs w:val="26"/>
        </w:rPr>
        <w:t>FPFTY operation and maintenance expense.  The</w:t>
      </w:r>
      <w:r w:rsidRPr="00E9174E">
        <w:rPr>
          <w:sz w:val="26"/>
          <w:szCs w:val="26"/>
        </w:rPr>
        <w:t xml:space="preserve"> </w:t>
      </w:r>
      <w:r w:rsidRPr="00E9174E">
        <w:rPr>
          <w:rFonts w:eastAsia="Calibri"/>
          <w:sz w:val="26"/>
          <w:szCs w:val="26"/>
        </w:rPr>
        <w:t xml:space="preserve">OCA remains of the opinion that such costs are speculative, and that the Company did not present evidence showing it is in the process of implementing the compensation adjustments or that such implementation is imminent.  OCA R. Exc. at 12. </w:t>
      </w:r>
    </w:p>
    <w:p w14:paraId="4944BDCD" w14:textId="77777777" w:rsidR="00BD24E1" w:rsidRPr="00E9174E" w:rsidRDefault="00BD24E1" w:rsidP="00E9174E">
      <w:pPr>
        <w:widowControl/>
        <w:spacing w:line="360" w:lineRule="auto"/>
        <w:ind w:firstLine="1440"/>
        <w:contextualSpacing/>
        <w:rPr>
          <w:sz w:val="26"/>
          <w:szCs w:val="26"/>
        </w:rPr>
      </w:pPr>
    </w:p>
    <w:p w14:paraId="26B8A12E" w14:textId="284767E0" w:rsidR="00BD24E1" w:rsidRPr="00E9174E" w:rsidRDefault="00BD24E1" w:rsidP="00D85A7D">
      <w:pPr>
        <w:pStyle w:val="Heading4"/>
        <w:ind w:left="2160" w:hanging="720"/>
      </w:pPr>
      <w:bookmarkStart w:id="211" w:name="_Toc37162107"/>
      <w:bookmarkStart w:id="212" w:name="_Toc63764497"/>
      <w:r w:rsidRPr="00E9174E">
        <w:t>Disposition</w:t>
      </w:r>
      <w:bookmarkEnd w:id="211"/>
      <w:bookmarkEnd w:id="212"/>
    </w:p>
    <w:p w14:paraId="140C1796" w14:textId="77777777" w:rsidR="00BD24E1" w:rsidRPr="00E9174E" w:rsidRDefault="00BD24E1" w:rsidP="00E9174E">
      <w:pPr>
        <w:keepNext/>
        <w:keepLines/>
        <w:widowControl/>
        <w:spacing w:line="360" w:lineRule="auto"/>
        <w:ind w:firstLine="1440"/>
        <w:contextualSpacing/>
        <w:rPr>
          <w:sz w:val="26"/>
          <w:szCs w:val="26"/>
        </w:rPr>
      </w:pPr>
    </w:p>
    <w:p w14:paraId="2EF19FF9" w14:textId="09F48EC2" w:rsidR="00BD24E1" w:rsidRPr="00E9174E" w:rsidRDefault="00BD24E1" w:rsidP="00E9174E">
      <w:pPr>
        <w:widowControl/>
        <w:spacing w:line="360" w:lineRule="auto"/>
        <w:ind w:firstLine="1440"/>
        <w:contextualSpacing/>
        <w:rPr>
          <w:rFonts w:eastAsia="Calibri"/>
          <w:sz w:val="26"/>
          <w:szCs w:val="26"/>
        </w:rPr>
      </w:pPr>
      <w:r w:rsidRPr="00E9174E">
        <w:rPr>
          <w:sz w:val="26"/>
          <w:szCs w:val="26"/>
        </w:rPr>
        <w:t xml:space="preserve">Based on the record in this proceeding, we find that the ALJ properly excluded certain speculative future expenses from the rate base for purposes of calculating the </w:t>
      </w:r>
      <w:r w:rsidRPr="00E9174E">
        <w:rPr>
          <w:rFonts w:eastAsia="Calibri"/>
          <w:sz w:val="26"/>
          <w:szCs w:val="26"/>
        </w:rPr>
        <w:t>FPFTY operation and maintenance expense</w:t>
      </w:r>
      <w:r w:rsidRPr="00E9174E">
        <w:rPr>
          <w:sz w:val="26"/>
          <w:szCs w:val="26"/>
        </w:rPr>
        <w:t xml:space="preserve">.  We found persuasive the OCA witness Mr. </w:t>
      </w:r>
      <w:proofErr w:type="spellStart"/>
      <w:r w:rsidRPr="00E9174E">
        <w:rPr>
          <w:sz w:val="26"/>
          <w:szCs w:val="26"/>
        </w:rPr>
        <w:t>Effron’s</w:t>
      </w:r>
      <w:proofErr w:type="spellEnd"/>
      <w:r w:rsidRPr="00E9174E">
        <w:rPr>
          <w:sz w:val="26"/>
          <w:szCs w:val="26"/>
        </w:rPr>
        <w:t xml:space="preserve"> testimony that the Company did not present evidence to show that the compensation adjustments are in the process of implementation or that </w:t>
      </w:r>
      <w:r w:rsidR="00F3118F" w:rsidRPr="00E9174E">
        <w:rPr>
          <w:sz w:val="26"/>
          <w:szCs w:val="26"/>
        </w:rPr>
        <w:t>“</w:t>
      </w:r>
      <w:r w:rsidRPr="00E9174E">
        <w:rPr>
          <w:sz w:val="26"/>
          <w:szCs w:val="26"/>
        </w:rPr>
        <w:t xml:space="preserve">implementation is imminent.”  OCA St. 2-S at 16.  Accordingly, we agree with the OCA and shall deny Columbia’s Exception No. 13 on this issue and adopt the ALJ’s </w:t>
      </w:r>
      <w:r w:rsidR="001766CB" w:rsidRPr="00E9174E">
        <w:rPr>
          <w:sz w:val="26"/>
          <w:szCs w:val="26"/>
        </w:rPr>
        <w:t xml:space="preserve">alternative </w:t>
      </w:r>
      <w:r w:rsidRPr="00E9174E">
        <w:rPr>
          <w:sz w:val="26"/>
          <w:szCs w:val="26"/>
        </w:rPr>
        <w:t>recommendation to disallow the</w:t>
      </w:r>
      <w:r w:rsidRPr="00E9174E">
        <w:rPr>
          <w:rFonts w:eastAsia="Calibri"/>
          <w:sz w:val="26"/>
          <w:szCs w:val="26"/>
        </w:rPr>
        <w:t xml:space="preserve"> Company’s FPFTY proposed compensation adjustments from the Company’s </w:t>
      </w:r>
      <w:r w:rsidRPr="00E9174E">
        <w:rPr>
          <w:rFonts w:eastAsia="Calibri"/>
          <w:i/>
          <w:iCs/>
          <w:sz w:val="26"/>
          <w:szCs w:val="26"/>
        </w:rPr>
        <w:t xml:space="preserve">pro forma </w:t>
      </w:r>
      <w:r w:rsidRPr="00E9174E">
        <w:rPr>
          <w:rFonts w:eastAsia="Calibri"/>
          <w:sz w:val="26"/>
          <w:szCs w:val="26"/>
        </w:rPr>
        <w:t>FPFTY operation and maintenance expense.</w:t>
      </w:r>
    </w:p>
    <w:p w14:paraId="675D5EF2" w14:textId="77777777" w:rsidR="009511DE" w:rsidRPr="00E9174E" w:rsidRDefault="009511DE" w:rsidP="00E9174E">
      <w:pPr>
        <w:widowControl/>
        <w:spacing w:line="360" w:lineRule="auto"/>
        <w:ind w:firstLine="1440"/>
        <w:contextualSpacing/>
        <w:rPr>
          <w:color w:val="000000"/>
          <w:sz w:val="26"/>
          <w:szCs w:val="26"/>
        </w:rPr>
      </w:pPr>
    </w:p>
    <w:p w14:paraId="4B112C07" w14:textId="212DE717" w:rsidR="00BD24E1" w:rsidRPr="00E9174E" w:rsidRDefault="00BD24E1" w:rsidP="001768DD">
      <w:pPr>
        <w:pStyle w:val="Heading2"/>
        <w:numPr>
          <w:ilvl w:val="0"/>
          <w:numId w:val="10"/>
        </w:numPr>
        <w:ind w:left="720" w:hanging="720"/>
      </w:pPr>
      <w:bookmarkStart w:id="213" w:name="_Toc36552361"/>
      <w:bookmarkStart w:id="214" w:name="_Toc37162108"/>
      <w:bookmarkStart w:id="215" w:name="_Toc63764498"/>
      <w:r w:rsidRPr="00E9174E">
        <w:lastRenderedPageBreak/>
        <w:t>Depreciation Expense</w:t>
      </w:r>
      <w:bookmarkEnd w:id="213"/>
      <w:bookmarkEnd w:id="214"/>
      <w:bookmarkEnd w:id="215"/>
      <w:r w:rsidRPr="00E9174E">
        <w:t xml:space="preserve"> </w:t>
      </w:r>
    </w:p>
    <w:p w14:paraId="6CD2D6B1" w14:textId="77777777" w:rsidR="00BD24E1" w:rsidRPr="00E9174E" w:rsidRDefault="00BD24E1" w:rsidP="00D85A7D">
      <w:pPr>
        <w:keepNext/>
        <w:keepLines/>
        <w:widowControl/>
        <w:spacing w:line="360" w:lineRule="auto"/>
        <w:contextualSpacing/>
        <w:rPr>
          <w:sz w:val="26"/>
          <w:szCs w:val="26"/>
        </w:rPr>
      </w:pPr>
    </w:p>
    <w:p w14:paraId="6F832F72" w14:textId="77777777" w:rsidR="00BD24E1" w:rsidRPr="00E9174E" w:rsidRDefault="00BD24E1" w:rsidP="00277ECF">
      <w:pPr>
        <w:pStyle w:val="Heading3"/>
        <w:numPr>
          <w:ilvl w:val="0"/>
          <w:numId w:val="19"/>
        </w:numPr>
        <w:ind w:left="1440" w:hanging="720"/>
      </w:pPr>
      <w:bookmarkStart w:id="216" w:name="_Toc63764499"/>
      <w:r w:rsidRPr="00E9174E">
        <w:t>Positions of the Parties</w:t>
      </w:r>
      <w:bookmarkEnd w:id="216"/>
    </w:p>
    <w:p w14:paraId="16C01F07" w14:textId="77777777" w:rsidR="00BD24E1" w:rsidRPr="00E9174E" w:rsidRDefault="00BD24E1" w:rsidP="00D85A7D">
      <w:pPr>
        <w:keepNext/>
        <w:keepLines/>
        <w:widowControl/>
        <w:spacing w:line="360" w:lineRule="auto"/>
        <w:ind w:right="72" w:firstLine="1440"/>
        <w:contextualSpacing/>
        <w:textAlignment w:val="baseline"/>
        <w:rPr>
          <w:color w:val="000000"/>
          <w:sz w:val="26"/>
          <w:szCs w:val="26"/>
        </w:rPr>
      </w:pPr>
    </w:p>
    <w:p w14:paraId="637317B2" w14:textId="77777777" w:rsidR="00BD24E1" w:rsidRPr="00E9174E" w:rsidRDefault="00BD24E1" w:rsidP="00D85A7D">
      <w:pPr>
        <w:widowControl/>
        <w:spacing w:line="360" w:lineRule="auto"/>
        <w:ind w:firstLine="1440"/>
        <w:contextualSpacing/>
        <w:rPr>
          <w:sz w:val="26"/>
          <w:szCs w:val="26"/>
        </w:rPr>
      </w:pPr>
      <w:r w:rsidRPr="00E9174E">
        <w:rPr>
          <w:sz w:val="26"/>
          <w:szCs w:val="26"/>
        </w:rPr>
        <w:t xml:space="preserve">Columbia asserted its FPFTY depreciation expense claim, including the amortization of net salvage, is $98,832,789.  CG </w:t>
      </w:r>
      <w:proofErr w:type="spellStart"/>
      <w:r w:rsidRPr="00E9174E">
        <w:rPr>
          <w:sz w:val="26"/>
          <w:szCs w:val="26"/>
        </w:rPr>
        <w:t>Exh</w:t>
      </w:r>
      <w:proofErr w:type="spellEnd"/>
      <w:r w:rsidRPr="00E9174E">
        <w:rPr>
          <w:sz w:val="26"/>
          <w:szCs w:val="26"/>
        </w:rPr>
        <w:t xml:space="preserve"> KKM-1R at 1. </w:t>
      </w:r>
      <w:r w:rsidR="00D05D89" w:rsidRPr="00E9174E">
        <w:rPr>
          <w:sz w:val="26"/>
          <w:szCs w:val="26"/>
        </w:rPr>
        <w:t xml:space="preserve"> </w:t>
      </w:r>
      <w:r w:rsidRPr="00E9174E">
        <w:rPr>
          <w:sz w:val="26"/>
          <w:szCs w:val="26"/>
        </w:rPr>
        <w:t>The Company claimed the calculation of annual depreciation expense and net salvage was prepared in accordance with standard procedures long accepted by this Commission.  CG St. 5 at 3-4.</w:t>
      </w:r>
    </w:p>
    <w:p w14:paraId="516104CB" w14:textId="77777777" w:rsidR="00BD24E1" w:rsidRPr="00E9174E" w:rsidRDefault="00BD24E1" w:rsidP="00D85A7D">
      <w:pPr>
        <w:widowControl/>
        <w:spacing w:line="360" w:lineRule="auto"/>
        <w:ind w:firstLine="1440"/>
        <w:contextualSpacing/>
        <w:rPr>
          <w:sz w:val="26"/>
          <w:szCs w:val="26"/>
        </w:rPr>
      </w:pPr>
    </w:p>
    <w:p w14:paraId="1201C6A0" w14:textId="7B6077AD" w:rsidR="00BD24E1" w:rsidRPr="00E9174E" w:rsidRDefault="00BD24E1" w:rsidP="00D85A7D">
      <w:pPr>
        <w:widowControl/>
        <w:spacing w:line="360" w:lineRule="auto"/>
        <w:ind w:firstLine="1440"/>
        <w:contextualSpacing/>
        <w:rPr>
          <w:sz w:val="26"/>
          <w:szCs w:val="26"/>
        </w:rPr>
      </w:pPr>
      <w:r w:rsidRPr="00E9174E">
        <w:rPr>
          <w:sz w:val="26"/>
          <w:szCs w:val="26"/>
        </w:rPr>
        <w:t>The OCA recommended an adjustment to the Company’s claimed FPFTY depreciation expense of $1.958 million, consistent with its FPFTY plant in service adjustment.  OCA St. 1-S, Sch. B-</w:t>
      </w:r>
      <w:proofErr w:type="gramStart"/>
      <w:r w:rsidRPr="00E9174E">
        <w:rPr>
          <w:sz w:val="26"/>
          <w:szCs w:val="26"/>
        </w:rPr>
        <w:t>1</w:t>
      </w:r>
      <w:proofErr w:type="gramEnd"/>
      <w:r w:rsidRPr="00E9174E">
        <w:rPr>
          <w:sz w:val="26"/>
          <w:szCs w:val="26"/>
        </w:rPr>
        <w:t xml:space="preserve"> and C-2.  </w:t>
      </w:r>
    </w:p>
    <w:p w14:paraId="692DAAA9" w14:textId="77777777" w:rsidR="00BD24E1" w:rsidRPr="00E9174E" w:rsidRDefault="00BD24E1" w:rsidP="00D85A7D">
      <w:pPr>
        <w:widowControl/>
        <w:spacing w:line="360" w:lineRule="auto"/>
        <w:ind w:firstLine="1440"/>
        <w:contextualSpacing/>
        <w:rPr>
          <w:sz w:val="26"/>
          <w:szCs w:val="26"/>
        </w:rPr>
      </w:pPr>
    </w:p>
    <w:p w14:paraId="147A8E5E" w14:textId="77777777" w:rsidR="00BD24E1" w:rsidRPr="00E9174E" w:rsidRDefault="00BD24E1" w:rsidP="00277ECF">
      <w:pPr>
        <w:pStyle w:val="Heading3"/>
        <w:numPr>
          <w:ilvl w:val="0"/>
          <w:numId w:val="19"/>
        </w:numPr>
        <w:ind w:left="1440" w:hanging="720"/>
      </w:pPr>
      <w:bookmarkStart w:id="217" w:name="_Toc63764500"/>
      <w:r w:rsidRPr="00E9174E">
        <w:t>Recommended Decision</w:t>
      </w:r>
      <w:bookmarkEnd w:id="217"/>
    </w:p>
    <w:p w14:paraId="3CB46698" w14:textId="77777777" w:rsidR="00BD24E1" w:rsidRPr="00E9174E" w:rsidRDefault="00BD24E1" w:rsidP="00D85A7D">
      <w:pPr>
        <w:keepNext/>
        <w:keepLines/>
        <w:widowControl/>
        <w:spacing w:line="360" w:lineRule="auto"/>
        <w:ind w:right="360" w:firstLine="1440"/>
        <w:contextualSpacing/>
        <w:textAlignment w:val="baseline"/>
        <w:rPr>
          <w:sz w:val="26"/>
          <w:szCs w:val="26"/>
        </w:rPr>
      </w:pPr>
    </w:p>
    <w:p w14:paraId="6FD0A2C4" w14:textId="3EDC3430" w:rsidR="00BD24E1" w:rsidRPr="00E9174E" w:rsidRDefault="00BD24E1" w:rsidP="00D85A7D">
      <w:pPr>
        <w:widowControl/>
        <w:spacing w:line="360" w:lineRule="auto"/>
        <w:ind w:right="360" w:firstLine="1440"/>
        <w:contextualSpacing/>
        <w:textAlignment w:val="baseline"/>
        <w:rPr>
          <w:color w:val="000000"/>
          <w:sz w:val="26"/>
          <w:szCs w:val="26"/>
        </w:rPr>
      </w:pPr>
      <w:r w:rsidRPr="00E9174E">
        <w:rPr>
          <w:sz w:val="26"/>
          <w:szCs w:val="26"/>
        </w:rPr>
        <w:t>Consistent with her recommendation that Columbia’s claimed plant in service included in the FPFTY rate base be reduced by $76.783 million, the ALJ recommended that the Commission adopt the OCA’s associated adjustment for depreciation expense.  R.D. at 117.</w:t>
      </w:r>
    </w:p>
    <w:p w14:paraId="32013955" w14:textId="77777777" w:rsidR="00BD24E1" w:rsidRPr="00E9174E" w:rsidRDefault="00BD24E1" w:rsidP="00E9174E">
      <w:pPr>
        <w:widowControl/>
        <w:spacing w:line="360" w:lineRule="auto"/>
        <w:ind w:right="360" w:firstLine="1440"/>
        <w:contextualSpacing/>
        <w:textAlignment w:val="baseline"/>
        <w:rPr>
          <w:color w:val="000000"/>
          <w:sz w:val="26"/>
          <w:szCs w:val="26"/>
        </w:rPr>
      </w:pPr>
    </w:p>
    <w:p w14:paraId="74013CBB" w14:textId="77777777" w:rsidR="00BD24E1" w:rsidRPr="00E9174E" w:rsidRDefault="00BD24E1" w:rsidP="00277ECF">
      <w:pPr>
        <w:pStyle w:val="Heading3"/>
        <w:numPr>
          <w:ilvl w:val="0"/>
          <w:numId w:val="19"/>
        </w:numPr>
        <w:ind w:left="1440" w:hanging="720"/>
      </w:pPr>
      <w:bookmarkStart w:id="218" w:name="_Toc63764501"/>
      <w:r w:rsidRPr="00E9174E">
        <w:t>Columbia Exception No. 14 and Replies</w:t>
      </w:r>
      <w:bookmarkEnd w:id="218"/>
    </w:p>
    <w:p w14:paraId="6E83BD61" w14:textId="77777777" w:rsidR="00BD24E1" w:rsidRPr="00E9174E" w:rsidRDefault="00BD24E1" w:rsidP="00E9174E">
      <w:pPr>
        <w:keepNext/>
        <w:keepLines/>
        <w:widowControl/>
        <w:spacing w:line="360" w:lineRule="auto"/>
        <w:ind w:right="360"/>
        <w:contextualSpacing/>
        <w:textAlignment w:val="baseline"/>
        <w:rPr>
          <w:color w:val="000000"/>
          <w:sz w:val="26"/>
          <w:szCs w:val="26"/>
        </w:rPr>
      </w:pPr>
    </w:p>
    <w:p w14:paraId="4F051E5C" w14:textId="77777777" w:rsidR="00BD24E1" w:rsidRPr="00E9174E" w:rsidRDefault="00BD24E1" w:rsidP="00E9174E">
      <w:pPr>
        <w:widowControl/>
        <w:spacing w:line="360" w:lineRule="auto"/>
        <w:ind w:firstLine="1440"/>
        <w:contextualSpacing/>
        <w:rPr>
          <w:rFonts w:eastAsia="Calibri"/>
          <w:sz w:val="26"/>
          <w:szCs w:val="26"/>
        </w:rPr>
      </w:pPr>
      <w:r w:rsidRPr="00E9174E">
        <w:rPr>
          <w:rFonts w:eastAsiaTheme="minorHAnsi"/>
          <w:color w:val="000000"/>
          <w:sz w:val="26"/>
          <w:szCs w:val="26"/>
        </w:rPr>
        <w:t xml:space="preserve">In its Exception No. 14, Columbia </w:t>
      </w:r>
      <w:r w:rsidRPr="00E9174E">
        <w:rPr>
          <w:rFonts w:eastAsiaTheme="minorHAnsi"/>
          <w:sz w:val="26"/>
          <w:szCs w:val="26"/>
        </w:rPr>
        <w:t xml:space="preserve">contends that the Commission should approve a FPFTY depreciation expense claim, including the amortization of net salvage, of $98,832.789.  </w:t>
      </w:r>
      <w:r w:rsidRPr="00E9174E">
        <w:rPr>
          <w:rFonts w:eastAsia="Calibri"/>
          <w:sz w:val="26"/>
          <w:szCs w:val="26"/>
        </w:rPr>
        <w:t xml:space="preserve">For the reasons argued, </w:t>
      </w:r>
      <w:r w:rsidRPr="00E9174E">
        <w:rPr>
          <w:rFonts w:eastAsia="Calibri"/>
          <w:i/>
          <w:iCs/>
          <w:sz w:val="26"/>
          <w:szCs w:val="26"/>
        </w:rPr>
        <w:t>supra</w:t>
      </w:r>
      <w:r w:rsidRPr="00E9174E">
        <w:rPr>
          <w:rFonts w:eastAsia="Calibri"/>
          <w:sz w:val="26"/>
          <w:szCs w:val="26"/>
        </w:rPr>
        <w:t>., in its Exception No. 3, Columbia asserts the Commission should reject the ALJ’s recommended downward adjustment to depreciation expense, as it relies upon an erroneous reduction to FPFTY.  CG Exc. at 21.</w:t>
      </w:r>
    </w:p>
    <w:p w14:paraId="126A8D76" w14:textId="77777777" w:rsidR="00BD24E1" w:rsidRPr="00E9174E" w:rsidRDefault="00BD24E1" w:rsidP="00E9174E">
      <w:pPr>
        <w:widowControl/>
        <w:spacing w:line="360" w:lineRule="auto"/>
        <w:contextualSpacing/>
        <w:rPr>
          <w:sz w:val="26"/>
          <w:szCs w:val="26"/>
        </w:rPr>
      </w:pPr>
    </w:p>
    <w:p w14:paraId="1CC199C6" w14:textId="01A6CA93" w:rsidR="00BD24E1" w:rsidRPr="00E9174E" w:rsidRDefault="00BD24E1" w:rsidP="00E9174E">
      <w:pPr>
        <w:widowControl/>
        <w:spacing w:line="360" w:lineRule="auto"/>
        <w:ind w:firstLine="1440"/>
        <w:contextualSpacing/>
        <w:rPr>
          <w:sz w:val="26"/>
          <w:szCs w:val="26"/>
        </w:rPr>
      </w:pPr>
      <w:r w:rsidRPr="00E9174E">
        <w:rPr>
          <w:sz w:val="26"/>
          <w:szCs w:val="26"/>
        </w:rPr>
        <w:lastRenderedPageBreak/>
        <w:t>The OCA’s Replies maintain that the ALJ properly recommended a downward adjustment to Columbia’s depreciation expense claim, where the ALJ had properly reduced the FPFTY.  OCA R. Exc. at 12-13.</w:t>
      </w:r>
    </w:p>
    <w:p w14:paraId="4A34F35B" w14:textId="77777777" w:rsidR="00BD24E1" w:rsidRPr="00E9174E" w:rsidRDefault="00BD24E1" w:rsidP="00E9174E">
      <w:pPr>
        <w:widowControl/>
        <w:spacing w:line="360" w:lineRule="auto"/>
        <w:contextualSpacing/>
        <w:rPr>
          <w:sz w:val="26"/>
          <w:szCs w:val="26"/>
        </w:rPr>
      </w:pPr>
    </w:p>
    <w:p w14:paraId="6C68CD43" w14:textId="77777777" w:rsidR="00BD24E1" w:rsidRPr="00E9174E" w:rsidRDefault="00BD24E1" w:rsidP="00277ECF">
      <w:pPr>
        <w:pStyle w:val="Heading3"/>
        <w:numPr>
          <w:ilvl w:val="0"/>
          <w:numId w:val="19"/>
        </w:numPr>
        <w:ind w:left="1440" w:hanging="720"/>
      </w:pPr>
      <w:bookmarkStart w:id="219" w:name="_Toc63764502"/>
      <w:r w:rsidRPr="00E9174E">
        <w:t>Disposition</w:t>
      </w:r>
      <w:bookmarkEnd w:id="219"/>
    </w:p>
    <w:p w14:paraId="0B977010" w14:textId="77777777" w:rsidR="00BD24E1" w:rsidRPr="00E9174E" w:rsidRDefault="00BD24E1" w:rsidP="00E9174E">
      <w:pPr>
        <w:keepNext/>
        <w:keepLines/>
        <w:widowControl/>
        <w:spacing w:line="360" w:lineRule="auto"/>
        <w:ind w:left="720"/>
        <w:contextualSpacing/>
        <w:rPr>
          <w:b/>
          <w:sz w:val="26"/>
          <w:szCs w:val="26"/>
        </w:rPr>
      </w:pPr>
    </w:p>
    <w:p w14:paraId="4BB2DEDE" w14:textId="25867A3E" w:rsidR="00BD24E1" w:rsidRPr="00E9174E" w:rsidRDefault="00BD24E1" w:rsidP="002A2C56">
      <w:pPr>
        <w:widowControl/>
        <w:spacing w:line="360" w:lineRule="auto"/>
        <w:ind w:firstLine="1440"/>
        <w:contextualSpacing/>
        <w:rPr>
          <w:b/>
          <w:sz w:val="26"/>
          <w:szCs w:val="26"/>
        </w:rPr>
      </w:pPr>
      <w:r w:rsidRPr="00E9174E">
        <w:rPr>
          <w:rFonts w:eastAsiaTheme="minorHAnsi"/>
          <w:sz w:val="26"/>
          <w:szCs w:val="26"/>
        </w:rPr>
        <w:t>For the reasons set forth in our disposition of the issue pertaining to the OCA’s recommended adjustment to rate base, reflective of our approval of the plant adjustment by utilizing a three-year spending average from 2018 to 2020</w:t>
      </w:r>
      <w:r w:rsidRPr="00E9174E">
        <w:rPr>
          <w:sz w:val="26"/>
          <w:szCs w:val="26"/>
        </w:rPr>
        <w:t xml:space="preserve"> to project FPFTY plant additions</w:t>
      </w:r>
      <w:r w:rsidRPr="00E9174E">
        <w:rPr>
          <w:rFonts w:eastAsiaTheme="minorHAnsi"/>
          <w:sz w:val="26"/>
          <w:szCs w:val="26"/>
        </w:rPr>
        <w:t xml:space="preserve">, we find that the ALJ properly reduced </w:t>
      </w:r>
      <w:r w:rsidR="00F935A0" w:rsidRPr="00E9174E">
        <w:rPr>
          <w:rFonts w:eastAsiaTheme="minorHAnsi"/>
          <w:sz w:val="26"/>
          <w:szCs w:val="26"/>
        </w:rPr>
        <w:t xml:space="preserve">the </w:t>
      </w:r>
      <w:r w:rsidRPr="00E9174E">
        <w:rPr>
          <w:rFonts w:eastAsiaTheme="minorHAnsi"/>
          <w:sz w:val="26"/>
          <w:szCs w:val="26"/>
        </w:rPr>
        <w:t xml:space="preserve">Company’s claimed FPFTY plant in service by $76.783 million.  Accordingly, we shall deny Columbia’s Exception No. 14 and adopt the OCA’s adjustment to annual depreciation expense for the FPFTY in the amount of </w:t>
      </w:r>
      <w:r w:rsidRPr="00E9174E">
        <w:rPr>
          <w:sz w:val="26"/>
          <w:szCs w:val="26"/>
        </w:rPr>
        <w:t>$1.958 million</w:t>
      </w:r>
      <w:r w:rsidRPr="00E9174E">
        <w:rPr>
          <w:rFonts w:eastAsiaTheme="minorHAnsi"/>
          <w:sz w:val="26"/>
          <w:szCs w:val="26"/>
        </w:rPr>
        <w:t>.</w:t>
      </w:r>
    </w:p>
    <w:p w14:paraId="281CC850" w14:textId="77777777" w:rsidR="00BD24E1" w:rsidRPr="00E9174E" w:rsidRDefault="00BD24E1" w:rsidP="002A2C56">
      <w:pPr>
        <w:widowControl/>
        <w:spacing w:line="360" w:lineRule="auto"/>
        <w:ind w:firstLine="1440"/>
        <w:contextualSpacing/>
        <w:rPr>
          <w:sz w:val="26"/>
          <w:szCs w:val="26"/>
        </w:rPr>
      </w:pPr>
    </w:p>
    <w:p w14:paraId="26BF5E83" w14:textId="13BCA8F3" w:rsidR="00E62927" w:rsidRPr="00E9174E" w:rsidRDefault="007A2A56" w:rsidP="002A2C56">
      <w:pPr>
        <w:pStyle w:val="Heading1"/>
      </w:pPr>
      <w:bookmarkStart w:id="220" w:name="_Toc63764503"/>
      <w:r w:rsidRPr="00E9174E">
        <w:t>Taxes</w:t>
      </w:r>
      <w:bookmarkEnd w:id="220"/>
    </w:p>
    <w:p w14:paraId="3C4EE29E" w14:textId="39588CB5" w:rsidR="007A2A56" w:rsidRPr="00E9174E" w:rsidRDefault="007A2A56" w:rsidP="002A2C56">
      <w:pPr>
        <w:keepNext/>
        <w:keepLines/>
        <w:widowControl/>
        <w:tabs>
          <w:tab w:val="left" w:pos="720"/>
          <w:tab w:val="left" w:pos="1440"/>
          <w:tab w:val="left" w:pos="2160"/>
          <w:tab w:val="right" w:leader="dot" w:pos="9360"/>
        </w:tabs>
        <w:spacing w:line="360" w:lineRule="auto"/>
        <w:contextualSpacing/>
        <w:rPr>
          <w:sz w:val="26"/>
          <w:szCs w:val="26"/>
        </w:rPr>
      </w:pPr>
    </w:p>
    <w:p w14:paraId="198B0686" w14:textId="798DDED9" w:rsidR="00924C25" w:rsidRPr="000F1A14" w:rsidRDefault="00924C25" w:rsidP="001768DD">
      <w:pPr>
        <w:pStyle w:val="Heading2"/>
        <w:numPr>
          <w:ilvl w:val="0"/>
          <w:numId w:val="85"/>
        </w:numPr>
        <w:ind w:hanging="720"/>
      </w:pPr>
      <w:bookmarkStart w:id="221" w:name="_Toc63764504"/>
      <w:r w:rsidRPr="000F1A14">
        <w:t xml:space="preserve">Taxes </w:t>
      </w:r>
      <w:r w:rsidR="00392CE0" w:rsidRPr="000F1A14">
        <w:t>O</w:t>
      </w:r>
      <w:r w:rsidRPr="000F1A14">
        <w:t xml:space="preserve">ther </w:t>
      </w:r>
      <w:r w:rsidR="00392CE0" w:rsidRPr="000F1A14">
        <w:t>T</w:t>
      </w:r>
      <w:r w:rsidRPr="000F1A14">
        <w:t>han Income Taxes</w:t>
      </w:r>
      <w:bookmarkEnd w:id="221"/>
    </w:p>
    <w:p w14:paraId="0585FB1B" w14:textId="77777777" w:rsidR="00924C25" w:rsidRPr="00E9174E" w:rsidRDefault="00924C25" w:rsidP="002A2C56">
      <w:pPr>
        <w:keepNext/>
        <w:keepLines/>
        <w:widowControl/>
        <w:spacing w:line="360" w:lineRule="auto"/>
        <w:contextualSpacing/>
        <w:rPr>
          <w:rFonts w:eastAsia="Calibri"/>
          <w:sz w:val="26"/>
          <w:szCs w:val="26"/>
        </w:rPr>
      </w:pPr>
    </w:p>
    <w:p w14:paraId="7FFEE5AA" w14:textId="48BE561C" w:rsidR="00924C25" w:rsidRPr="00E9174E" w:rsidRDefault="00924C25" w:rsidP="00277ECF">
      <w:pPr>
        <w:pStyle w:val="Heading3"/>
        <w:numPr>
          <w:ilvl w:val="0"/>
          <w:numId w:val="20"/>
        </w:numPr>
        <w:ind w:left="1440" w:hanging="720"/>
      </w:pPr>
      <w:bookmarkStart w:id="222" w:name="_Toc63764505"/>
      <w:r w:rsidRPr="00E9174E">
        <w:t>Positions of the Parties</w:t>
      </w:r>
      <w:bookmarkEnd w:id="222"/>
    </w:p>
    <w:p w14:paraId="70BDA710" w14:textId="77777777" w:rsidR="00924C25" w:rsidRPr="00E9174E" w:rsidRDefault="00924C25" w:rsidP="002A2C56">
      <w:pPr>
        <w:keepNext/>
        <w:keepLines/>
        <w:widowControl/>
        <w:spacing w:line="360" w:lineRule="auto"/>
        <w:ind w:firstLine="1440"/>
        <w:contextualSpacing/>
        <w:rPr>
          <w:rFonts w:eastAsia="Calibri"/>
          <w:sz w:val="26"/>
          <w:szCs w:val="26"/>
        </w:rPr>
      </w:pPr>
    </w:p>
    <w:p w14:paraId="315D62A9" w14:textId="77777777" w:rsidR="00AF7C36" w:rsidRPr="00E9174E" w:rsidRDefault="00AF7C36" w:rsidP="002A2C56">
      <w:pPr>
        <w:widowControl/>
        <w:spacing w:line="360" w:lineRule="auto"/>
        <w:ind w:firstLine="1440"/>
        <w:contextualSpacing/>
        <w:rPr>
          <w:rFonts w:eastAsia="Calibri"/>
          <w:sz w:val="26"/>
          <w:szCs w:val="26"/>
        </w:rPr>
      </w:pPr>
      <w:r w:rsidRPr="00E9174E">
        <w:rPr>
          <w:rFonts w:eastAsia="Calibri"/>
          <w:sz w:val="26"/>
          <w:szCs w:val="26"/>
        </w:rPr>
        <w:t>Columbia stated its FPFTY Taxes Other Than Income Taxes are $3,825,546.  The Company noted the only proposed adjustments to Taxes Other Than Income Taxes are to payroll taxes associated with proposed payroll adjustments.  Columbia argued the adjustments to payroll should be denied and the proposed payroll tax adjustments also should be denied.  CG M.B. at 59-60; CG R.B. at 35.</w:t>
      </w:r>
    </w:p>
    <w:p w14:paraId="669EC309" w14:textId="77777777" w:rsidR="00AF7C36" w:rsidRPr="00E9174E" w:rsidRDefault="00AF7C36" w:rsidP="00E9174E">
      <w:pPr>
        <w:widowControl/>
        <w:spacing w:line="360" w:lineRule="auto"/>
        <w:ind w:firstLine="1530"/>
        <w:contextualSpacing/>
        <w:rPr>
          <w:rFonts w:eastAsia="Calibri"/>
          <w:sz w:val="26"/>
          <w:szCs w:val="26"/>
        </w:rPr>
      </w:pPr>
    </w:p>
    <w:p w14:paraId="73AD21B5" w14:textId="77777777" w:rsidR="00AF7C36" w:rsidRPr="00E9174E" w:rsidRDefault="00AF7C36" w:rsidP="00E9174E">
      <w:pPr>
        <w:widowControl/>
        <w:spacing w:line="360" w:lineRule="auto"/>
        <w:ind w:firstLine="1530"/>
        <w:contextualSpacing/>
        <w:rPr>
          <w:rFonts w:eastAsia="Calibri"/>
          <w:sz w:val="26"/>
          <w:szCs w:val="26"/>
        </w:rPr>
      </w:pPr>
      <w:r w:rsidRPr="00E9174E">
        <w:rPr>
          <w:rFonts w:eastAsia="Calibri"/>
          <w:sz w:val="26"/>
          <w:szCs w:val="26"/>
        </w:rPr>
        <w:t xml:space="preserve">The OCA claimed non-income payroll taxes should be adjusted by $111,000, consistent with its FPFTY labor expense adjustment and incentive compensation adjustment.  OCA M.B at 47-48, OCA St. 2 at 20 and Schedule C-3.  </w:t>
      </w:r>
    </w:p>
    <w:p w14:paraId="30B0747E" w14:textId="77777777" w:rsidR="00AF7C36" w:rsidRPr="00E9174E" w:rsidRDefault="00AF7C36" w:rsidP="00E9174E">
      <w:pPr>
        <w:widowControl/>
        <w:spacing w:line="360" w:lineRule="auto"/>
        <w:ind w:firstLine="1440"/>
        <w:contextualSpacing/>
        <w:rPr>
          <w:rFonts w:eastAsia="Calibri"/>
          <w:sz w:val="26"/>
          <w:szCs w:val="26"/>
        </w:rPr>
      </w:pPr>
      <w:r w:rsidRPr="00E9174E">
        <w:rPr>
          <w:rFonts w:eastAsia="Calibri"/>
          <w:sz w:val="26"/>
          <w:szCs w:val="26"/>
        </w:rPr>
        <w:lastRenderedPageBreak/>
        <w:t xml:space="preserve">I&amp;E recommended a reduction of </w:t>
      </w:r>
      <w:bookmarkStart w:id="223" w:name="_Hlk61949174"/>
      <w:r w:rsidRPr="00E9174E">
        <w:rPr>
          <w:rFonts w:eastAsia="Calibri"/>
          <w:sz w:val="26"/>
          <w:szCs w:val="26"/>
        </w:rPr>
        <w:t xml:space="preserve">$275,672 </w:t>
      </w:r>
      <w:bookmarkEnd w:id="223"/>
      <w:r w:rsidRPr="00E9174E">
        <w:rPr>
          <w:rFonts w:eastAsia="Calibri"/>
          <w:sz w:val="26"/>
          <w:szCs w:val="26"/>
        </w:rPr>
        <w:t xml:space="preserve">to Columbia’s claim of $3,001,823 for </w:t>
      </w:r>
      <w:bookmarkStart w:id="224" w:name="_Hlk63278608"/>
      <w:r w:rsidR="003E0B30" w:rsidRPr="00E9174E">
        <w:rPr>
          <w:rFonts w:eastAsia="Calibri"/>
          <w:sz w:val="26"/>
          <w:szCs w:val="26"/>
        </w:rPr>
        <w:t xml:space="preserve">Federal Insurance Contributions Act </w:t>
      </w:r>
      <w:bookmarkEnd w:id="224"/>
      <w:r w:rsidR="003E0B30" w:rsidRPr="00E9174E">
        <w:rPr>
          <w:rFonts w:eastAsia="Calibri"/>
          <w:sz w:val="26"/>
          <w:szCs w:val="26"/>
        </w:rPr>
        <w:t>(</w:t>
      </w:r>
      <w:bookmarkStart w:id="225" w:name="_Hlk63278584"/>
      <w:r w:rsidRPr="00E9174E">
        <w:rPr>
          <w:rFonts w:eastAsia="Calibri"/>
          <w:sz w:val="26"/>
          <w:szCs w:val="26"/>
        </w:rPr>
        <w:t>FICA</w:t>
      </w:r>
      <w:bookmarkEnd w:id="225"/>
      <w:r w:rsidR="003E0B30" w:rsidRPr="00E9174E">
        <w:rPr>
          <w:rFonts w:eastAsia="Calibri"/>
          <w:sz w:val="26"/>
          <w:szCs w:val="26"/>
        </w:rPr>
        <w:t>)</w:t>
      </w:r>
      <w:r w:rsidRPr="00E9174E">
        <w:rPr>
          <w:rFonts w:eastAsia="Calibri"/>
          <w:sz w:val="26"/>
          <w:szCs w:val="26"/>
        </w:rPr>
        <w:t xml:space="preserve"> tax expense.  I&amp;E’s $275,672 reduction corresponds to recommended adjustments to labor expense and incentive compensation.  I&amp;E calculated the FICA tax expense by multiplying the total reduction of labor expense and incentive compensation by the Company’s historic test year FICA experienced rate of 7.1823%.  I&amp;E M.B. at 30-31; I&amp;E R.B. at 11; I&amp;E St. 1 at 18-19.</w:t>
      </w:r>
    </w:p>
    <w:p w14:paraId="71E18C75" w14:textId="77777777" w:rsidR="00924C25" w:rsidRPr="00E9174E" w:rsidRDefault="00924C25" w:rsidP="00E9174E">
      <w:pPr>
        <w:widowControl/>
        <w:spacing w:line="360" w:lineRule="auto"/>
        <w:contextualSpacing/>
        <w:rPr>
          <w:rFonts w:eastAsia="Calibri"/>
          <w:sz w:val="26"/>
          <w:szCs w:val="26"/>
        </w:rPr>
      </w:pPr>
    </w:p>
    <w:p w14:paraId="74D64A67" w14:textId="1BFF162A" w:rsidR="00924C25" w:rsidRPr="00E9174E" w:rsidRDefault="009F3929" w:rsidP="00277ECF">
      <w:pPr>
        <w:pStyle w:val="Heading3"/>
        <w:numPr>
          <w:ilvl w:val="0"/>
          <w:numId w:val="20"/>
        </w:numPr>
        <w:ind w:left="1440" w:hanging="720"/>
      </w:pPr>
      <w:bookmarkStart w:id="226" w:name="_Toc63764506"/>
      <w:r w:rsidRPr="00E9174E">
        <w:t>Recommended Decision</w:t>
      </w:r>
      <w:bookmarkEnd w:id="226"/>
    </w:p>
    <w:p w14:paraId="5BF152D1" w14:textId="77777777" w:rsidR="00924C25" w:rsidRPr="00E9174E" w:rsidRDefault="00924C25" w:rsidP="00E9174E">
      <w:pPr>
        <w:keepNext/>
        <w:keepLines/>
        <w:widowControl/>
        <w:spacing w:line="360" w:lineRule="auto"/>
        <w:ind w:firstLine="1530"/>
        <w:contextualSpacing/>
        <w:rPr>
          <w:rFonts w:eastAsia="Calibri"/>
          <w:sz w:val="26"/>
          <w:szCs w:val="26"/>
        </w:rPr>
      </w:pPr>
    </w:p>
    <w:p w14:paraId="149A83D7" w14:textId="300A9FFC" w:rsidR="00924C25" w:rsidRPr="00E9174E" w:rsidRDefault="00BE6E31" w:rsidP="00E9174E">
      <w:pPr>
        <w:widowControl/>
        <w:spacing w:line="360" w:lineRule="auto"/>
        <w:ind w:firstLine="1530"/>
        <w:contextualSpacing/>
        <w:rPr>
          <w:rFonts w:eastAsia="Calibri"/>
          <w:sz w:val="26"/>
          <w:szCs w:val="26"/>
        </w:rPr>
      </w:pPr>
      <w:r w:rsidRPr="00E9174E">
        <w:rPr>
          <w:rFonts w:eastAsia="Calibri"/>
          <w:sz w:val="26"/>
          <w:szCs w:val="26"/>
        </w:rPr>
        <w:t>In accordance with the ALJ’s recommended adjustments to payroll and employee compliment, the ALJ recommended adjustments to the payroll tax.  The ALJ recommended the Commission disallow $151,119 of Columbia’s claim for FPFTY Taxes Other Than Income Taxes, consistent with the payroll and employee complement adjustments.  R.D. at 120-121.</w:t>
      </w:r>
    </w:p>
    <w:p w14:paraId="22A85F0A" w14:textId="77777777" w:rsidR="00BE6E31" w:rsidRPr="00E9174E" w:rsidRDefault="00BE6E31" w:rsidP="00E9174E">
      <w:pPr>
        <w:widowControl/>
        <w:spacing w:line="360" w:lineRule="auto"/>
        <w:ind w:firstLine="1530"/>
        <w:contextualSpacing/>
        <w:rPr>
          <w:rFonts w:eastAsia="Calibri"/>
          <w:sz w:val="26"/>
          <w:szCs w:val="26"/>
        </w:rPr>
      </w:pPr>
    </w:p>
    <w:p w14:paraId="06C078D8" w14:textId="60901B3F" w:rsidR="00924C25" w:rsidRPr="00E9174E" w:rsidRDefault="00924C25" w:rsidP="00277ECF">
      <w:pPr>
        <w:pStyle w:val="Heading3"/>
        <w:numPr>
          <w:ilvl w:val="0"/>
          <w:numId w:val="20"/>
        </w:numPr>
        <w:ind w:left="1440" w:hanging="720"/>
      </w:pPr>
      <w:bookmarkStart w:id="227" w:name="_Toc63764507"/>
      <w:bookmarkStart w:id="228" w:name="_Hlk61944307"/>
      <w:r w:rsidRPr="00E9174E">
        <w:t>Exceptions and Replies</w:t>
      </w:r>
      <w:bookmarkEnd w:id="227"/>
    </w:p>
    <w:p w14:paraId="20E8B09E" w14:textId="77777777" w:rsidR="00924C25" w:rsidRPr="00E9174E" w:rsidRDefault="00924C25" w:rsidP="00E9174E">
      <w:pPr>
        <w:keepNext/>
        <w:keepLines/>
        <w:widowControl/>
        <w:spacing w:line="360" w:lineRule="auto"/>
        <w:ind w:firstLine="720"/>
        <w:contextualSpacing/>
        <w:rPr>
          <w:rFonts w:eastAsia="Calibri"/>
          <w:b/>
          <w:bCs/>
          <w:sz w:val="26"/>
          <w:szCs w:val="26"/>
        </w:rPr>
      </w:pPr>
    </w:p>
    <w:p w14:paraId="47E4ED79" w14:textId="45E3BCC5" w:rsidR="003D3B4A" w:rsidRPr="00E9174E" w:rsidRDefault="003D3B4A" w:rsidP="00E9174E">
      <w:pPr>
        <w:widowControl/>
        <w:spacing w:line="360" w:lineRule="auto"/>
        <w:ind w:firstLine="1440"/>
        <w:contextualSpacing/>
        <w:rPr>
          <w:rFonts w:eastAsia="Calibri"/>
          <w:sz w:val="26"/>
          <w:szCs w:val="26"/>
        </w:rPr>
      </w:pPr>
      <w:r w:rsidRPr="00E9174E">
        <w:rPr>
          <w:rFonts w:eastAsia="Calibri"/>
          <w:sz w:val="26"/>
          <w:szCs w:val="26"/>
        </w:rPr>
        <w:t xml:space="preserve">In its Exception No. 15, Columbia avers that the ALJ erred in recommending a reduction of $151,119 to the Company’s FPFTY </w:t>
      </w:r>
      <w:r w:rsidR="00EB0D1A" w:rsidRPr="00E9174E">
        <w:rPr>
          <w:rFonts w:eastAsia="Calibri"/>
          <w:sz w:val="26"/>
          <w:szCs w:val="26"/>
        </w:rPr>
        <w:t>T</w:t>
      </w:r>
      <w:r w:rsidRPr="00E9174E">
        <w:rPr>
          <w:rFonts w:eastAsia="Calibri"/>
          <w:sz w:val="26"/>
          <w:szCs w:val="26"/>
        </w:rPr>
        <w:t xml:space="preserve">axes </w:t>
      </w:r>
      <w:r w:rsidR="00EB0D1A" w:rsidRPr="00E9174E">
        <w:rPr>
          <w:rFonts w:eastAsia="Calibri"/>
          <w:sz w:val="26"/>
          <w:szCs w:val="26"/>
        </w:rPr>
        <w:t>O</w:t>
      </w:r>
      <w:r w:rsidRPr="00E9174E">
        <w:rPr>
          <w:rFonts w:eastAsia="Calibri"/>
          <w:sz w:val="26"/>
          <w:szCs w:val="26"/>
        </w:rPr>
        <w:t xml:space="preserve">ther </w:t>
      </w:r>
      <w:r w:rsidR="00EB0D1A" w:rsidRPr="00E9174E">
        <w:rPr>
          <w:rFonts w:eastAsia="Calibri"/>
          <w:sz w:val="26"/>
          <w:szCs w:val="26"/>
        </w:rPr>
        <w:t>T</w:t>
      </w:r>
      <w:r w:rsidRPr="00E9174E">
        <w:rPr>
          <w:rFonts w:eastAsia="Calibri"/>
          <w:sz w:val="26"/>
          <w:szCs w:val="26"/>
        </w:rPr>
        <w:t xml:space="preserve">han </w:t>
      </w:r>
      <w:r w:rsidR="00EB0D1A" w:rsidRPr="00E9174E">
        <w:rPr>
          <w:rFonts w:eastAsia="Calibri"/>
          <w:sz w:val="26"/>
          <w:szCs w:val="26"/>
        </w:rPr>
        <w:t>I</w:t>
      </w:r>
      <w:r w:rsidRPr="00E9174E">
        <w:rPr>
          <w:rFonts w:eastAsia="Calibri"/>
          <w:sz w:val="26"/>
          <w:szCs w:val="26"/>
        </w:rPr>
        <w:t xml:space="preserve">ncome </w:t>
      </w:r>
      <w:r w:rsidR="00EB0D1A" w:rsidRPr="00E9174E">
        <w:rPr>
          <w:rFonts w:eastAsia="Calibri"/>
          <w:sz w:val="26"/>
          <w:szCs w:val="26"/>
        </w:rPr>
        <w:t>T</w:t>
      </w:r>
      <w:r w:rsidRPr="00E9174E">
        <w:rPr>
          <w:rFonts w:eastAsia="Calibri"/>
          <w:sz w:val="26"/>
          <w:szCs w:val="26"/>
        </w:rPr>
        <w:t>axes.  The Company states the recommended payroll tax disallowances are associated with the payroll annualization adjustment ($40,119) and the employee complement adjustment ($</w:t>
      </w:r>
      <w:bookmarkStart w:id="229" w:name="_Hlk61962658"/>
      <w:r w:rsidRPr="00E9174E">
        <w:rPr>
          <w:rFonts w:eastAsia="Calibri"/>
          <w:sz w:val="26"/>
          <w:szCs w:val="26"/>
        </w:rPr>
        <w:t>111,000</w:t>
      </w:r>
      <w:bookmarkEnd w:id="229"/>
      <w:r w:rsidRPr="00E9174E">
        <w:rPr>
          <w:rFonts w:eastAsia="Calibri"/>
          <w:sz w:val="26"/>
          <w:szCs w:val="26"/>
        </w:rPr>
        <w:t>).  Columbia avers that consistent with its position that the corresponding payroll expense adjustments should be rejected, the payroll tax adjustments should also be rejected.  CG Exc. at 21.</w:t>
      </w:r>
    </w:p>
    <w:p w14:paraId="347705D0" w14:textId="77777777" w:rsidR="003D3B4A" w:rsidRPr="00E9174E" w:rsidRDefault="003D3B4A" w:rsidP="00E9174E">
      <w:pPr>
        <w:widowControl/>
        <w:spacing w:line="360" w:lineRule="auto"/>
        <w:contextualSpacing/>
        <w:rPr>
          <w:rFonts w:eastAsia="Calibri"/>
          <w:sz w:val="26"/>
          <w:szCs w:val="26"/>
        </w:rPr>
      </w:pPr>
    </w:p>
    <w:p w14:paraId="4F7B7F5F" w14:textId="5526C1A5" w:rsidR="00924C25" w:rsidRPr="00E9174E" w:rsidRDefault="003D3B4A" w:rsidP="00E9174E">
      <w:pPr>
        <w:widowControl/>
        <w:spacing w:line="360" w:lineRule="auto"/>
        <w:ind w:firstLine="1440"/>
        <w:contextualSpacing/>
        <w:rPr>
          <w:rFonts w:eastAsia="Calibri"/>
          <w:sz w:val="26"/>
          <w:szCs w:val="26"/>
        </w:rPr>
      </w:pPr>
      <w:r w:rsidRPr="00E9174E">
        <w:rPr>
          <w:rFonts w:eastAsia="Calibri"/>
          <w:sz w:val="26"/>
          <w:szCs w:val="26"/>
        </w:rPr>
        <w:t xml:space="preserve">In its Replies to Exceptions, the OCA avers that the ALJ properly reduced the payroll tax adjustment to reflect adjustments to payroll annualization and employee </w:t>
      </w:r>
      <w:r w:rsidRPr="00E9174E">
        <w:rPr>
          <w:rFonts w:eastAsia="Calibri"/>
          <w:sz w:val="26"/>
          <w:szCs w:val="26"/>
        </w:rPr>
        <w:lastRenderedPageBreak/>
        <w:t>complement and, therefore, the payroll tax annualization adjustment should be accepted.  OCA R. Exc. at 13.</w:t>
      </w:r>
    </w:p>
    <w:p w14:paraId="58167E28" w14:textId="77777777" w:rsidR="00EA27F5" w:rsidRPr="00E9174E" w:rsidRDefault="00EA27F5" w:rsidP="00E9174E">
      <w:pPr>
        <w:widowControl/>
        <w:spacing w:line="360" w:lineRule="auto"/>
        <w:ind w:firstLine="1440"/>
        <w:contextualSpacing/>
        <w:rPr>
          <w:rFonts w:eastAsia="Calibri"/>
          <w:sz w:val="26"/>
          <w:szCs w:val="26"/>
        </w:rPr>
      </w:pPr>
    </w:p>
    <w:p w14:paraId="519844B7" w14:textId="55A7FB89" w:rsidR="00924C25" w:rsidRPr="00E9174E" w:rsidRDefault="00924C25" w:rsidP="00277ECF">
      <w:pPr>
        <w:pStyle w:val="Heading3"/>
        <w:numPr>
          <w:ilvl w:val="0"/>
          <w:numId w:val="20"/>
        </w:numPr>
        <w:ind w:left="1440" w:hanging="720"/>
      </w:pPr>
      <w:bookmarkStart w:id="230" w:name="_Toc63764508"/>
      <w:r w:rsidRPr="00E9174E">
        <w:t>Disposition</w:t>
      </w:r>
      <w:bookmarkEnd w:id="228"/>
      <w:bookmarkEnd w:id="230"/>
      <w:r w:rsidRPr="00E9174E">
        <w:t xml:space="preserve"> </w:t>
      </w:r>
    </w:p>
    <w:p w14:paraId="59910EA0" w14:textId="77777777" w:rsidR="00924C25" w:rsidRPr="00E9174E" w:rsidRDefault="00924C25" w:rsidP="00E9174E">
      <w:pPr>
        <w:keepNext/>
        <w:keepLines/>
        <w:widowControl/>
        <w:spacing w:line="360" w:lineRule="auto"/>
        <w:ind w:firstLine="720"/>
        <w:contextualSpacing/>
        <w:rPr>
          <w:rFonts w:eastAsia="Calibri"/>
          <w:sz w:val="26"/>
          <w:szCs w:val="26"/>
        </w:rPr>
      </w:pPr>
    </w:p>
    <w:p w14:paraId="4642CD5F" w14:textId="4F0ED022" w:rsidR="00F46399" w:rsidRPr="00E9174E" w:rsidRDefault="00F46399" w:rsidP="00E9174E">
      <w:pPr>
        <w:widowControl/>
        <w:spacing w:line="360" w:lineRule="auto"/>
        <w:ind w:firstLine="1440"/>
        <w:contextualSpacing/>
        <w:rPr>
          <w:rFonts w:eastAsia="Calibri"/>
          <w:sz w:val="26"/>
          <w:szCs w:val="26"/>
        </w:rPr>
      </w:pPr>
      <w:r w:rsidRPr="00E9174E">
        <w:rPr>
          <w:rFonts w:eastAsia="Calibri"/>
          <w:sz w:val="26"/>
          <w:szCs w:val="26"/>
        </w:rPr>
        <w:t xml:space="preserve">At the outset, we note that the various positions we have adopted in other sections of this Opinion and Order have a flow-through impact on Columbia’s FPFTY </w:t>
      </w:r>
      <w:r w:rsidR="001024F9" w:rsidRPr="00E9174E">
        <w:rPr>
          <w:rFonts w:eastAsia="Calibri"/>
          <w:sz w:val="26"/>
          <w:szCs w:val="26"/>
        </w:rPr>
        <w:t>T</w:t>
      </w:r>
      <w:r w:rsidRPr="00E9174E">
        <w:rPr>
          <w:rFonts w:eastAsia="Calibri"/>
          <w:sz w:val="26"/>
          <w:szCs w:val="26"/>
        </w:rPr>
        <w:t xml:space="preserve">axes </w:t>
      </w:r>
      <w:r w:rsidR="001024F9" w:rsidRPr="00E9174E">
        <w:rPr>
          <w:rFonts w:eastAsia="Calibri"/>
          <w:sz w:val="26"/>
          <w:szCs w:val="26"/>
        </w:rPr>
        <w:t>O</w:t>
      </w:r>
      <w:r w:rsidRPr="00E9174E">
        <w:rPr>
          <w:rFonts w:eastAsia="Calibri"/>
          <w:sz w:val="26"/>
          <w:szCs w:val="26"/>
        </w:rPr>
        <w:t xml:space="preserve">ther </w:t>
      </w:r>
      <w:r w:rsidR="001024F9" w:rsidRPr="00E9174E">
        <w:rPr>
          <w:rFonts w:eastAsia="Calibri"/>
          <w:sz w:val="26"/>
          <w:szCs w:val="26"/>
        </w:rPr>
        <w:t>T</w:t>
      </w:r>
      <w:r w:rsidRPr="00E9174E">
        <w:rPr>
          <w:rFonts w:eastAsia="Calibri"/>
          <w:sz w:val="26"/>
          <w:szCs w:val="26"/>
        </w:rPr>
        <w:t xml:space="preserve">han </w:t>
      </w:r>
      <w:r w:rsidR="001024F9" w:rsidRPr="00E9174E">
        <w:rPr>
          <w:rFonts w:eastAsia="Calibri"/>
          <w:sz w:val="26"/>
          <w:szCs w:val="26"/>
        </w:rPr>
        <w:t>I</w:t>
      </w:r>
      <w:r w:rsidRPr="00E9174E">
        <w:rPr>
          <w:rFonts w:eastAsia="Calibri"/>
          <w:sz w:val="26"/>
          <w:szCs w:val="26"/>
        </w:rPr>
        <w:t xml:space="preserve">ncome </w:t>
      </w:r>
      <w:r w:rsidR="001024F9" w:rsidRPr="00E9174E">
        <w:rPr>
          <w:rFonts w:eastAsia="Calibri"/>
          <w:sz w:val="26"/>
          <w:szCs w:val="26"/>
        </w:rPr>
        <w:t>T</w:t>
      </w:r>
      <w:r w:rsidRPr="00E9174E">
        <w:rPr>
          <w:rFonts w:eastAsia="Calibri"/>
          <w:sz w:val="26"/>
          <w:szCs w:val="26"/>
        </w:rPr>
        <w:t xml:space="preserve">axes.  Consistent with our finding, </w:t>
      </w:r>
      <w:r w:rsidRPr="00E9174E">
        <w:rPr>
          <w:rFonts w:eastAsia="Calibri"/>
          <w:i/>
          <w:iCs/>
          <w:sz w:val="26"/>
          <w:szCs w:val="26"/>
        </w:rPr>
        <w:t xml:space="preserve">supra, </w:t>
      </w:r>
      <w:r w:rsidRPr="00E9174E">
        <w:rPr>
          <w:rFonts w:eastAsia="Calibri"/>
          <w:sz w:val="26"/>
          <w:szCs w:val="26"/>
        </w:rPr>
        <w:t xml:space="preserve">that Columbia’s Exception No. 5 should be granted, we shall modify the Recommended Decision and disallow the ALJ’s payroll tax annualization adjustment of $40,119.  Conversely, as we denied Columbia’s Exception No. 6, we shall make an employee complement tax adjustment of $55,501.  Accordingly, Columbia’s Exception No. 15 is granted, in part, and denied, in part.  Additionally, as we have adopted the ALJ’s </w:t>
      </w:r>
      <w:r w:rsidR="001766CB" w:rsidRPr="00E9174E">
        <w:rPr>
          <w:rFonts w:eastAsia="Calibri"/>
          <w:sz w:val="26"/>
          <w:szCs w:val="26"/>
        </w:rPr>
        <w:t xml:space="preserve">alternative </w:t>
      </w:r>
      <w:r w:rsidRPr="00E9174E">
        <w:rPr>
          <w:rFonts w:eastAsia="Calibri"/>
          <w:sz w:val="26"/>
          <w:szCs w:val="26"/>
        </w:rPr>
        <w:t xml:space="preserve">recommendation, </w:t>
      </w:r>
      <w:r w:rsidRPr="00E9174E">
        <w:rPr>
          <w:rFonts w:eastAsia="Calibri"/>
          <w:i/>
          <w:iCs/>
          <w:sz w:val="26"/>
          <w:szCs w:val="26"/>
        </w:rPr>
        <w:t>supra,</w:t>
      </w:r>
      <w:r w:rsidRPr="00E9174E">
        <w:rPr>
          <w:rFonts w:eastAsia="Calibri"/>
          <w:sz w:val="26"/>
          <w:szCs w:val="26"/>
        </w:rPr>
        <w:t xml:space="preserve"> to reduce the Company’s incentive compensation allowance, we shall make an adjustment of $56,359 to the incentive compensation taxes.  This will result in a total reduction of $111,860 to Columbia’s FPFTY </w:t>
      </w:r>
      <w:r w:rsidR="005B15B9" w:rsidRPr="00E9174E">
        <w:rPr>
          <w:rFonts w:eastAsia="Calibri"/>
          <w:sz w:val="26"/>
          <w:szCs w:val="26"/>
        </w:rPr>
        <w:t>T</w:t>
      </w:r>
      <w:r w:rsidRPr="00E9174E">
        <w:rPr>
          <w:rFonts w:eastAsia="Calibri"/>
          <w:sz w:val="26"/>
          <w:szCs w:val="26"/>
        </w:rPr>
        <w:t xml:space="preserve">axes </w:t>
      </w:r>
      <w:r w:rsidR="005B15B9" w:rsidRPr="00E9174E">
        <w:rPr>
          <w:rFonts w:eastAsia="Calibri"/>
          <w:sz w:val="26"/>
          <w:szCs w:val="26"/>
        </w:rPr>
        <w:t>O</w:t>
      </w:r>
      <w:r w:rsidRPr="00E9174E">
        <w:rPr>
          <w:rFonts w:eastAsia="Calibri"/>
          <w:sz w:val="26"/>
          <w:szCs w:val="26"/>
        </w:rPr>
        <w:t xml:space="preserve">ther </w:t>
      </w:r>
      <w:r w:rsidR="005B15B9" w:rsidRPr="00E9174E">
        <w:rPr>
          <w:rFonts w:eastAsia="Calibri"/>
          <w:sz w:val="26"/>
          <w:szCs w:val="26"/>
        </w:rPr>
        <w:t>T</w:t>
      </w:r>
      <w:r w:rsidRPr="00E9174E">
        <w:rPr>
          <w:rFonts w:eastAsia="Calibri"/>
          <w:sz w:val="26"/>
          <w:szCs w:val="26"/>
        </w:rPr>
        <w:t xml:space="preserve">han </w:t>
      </w:r>
      <w:r w:rsidR="005B15B9" w:rsidRPr="00E9174E">
        <w:rPr>
          <w:rFonts w:eastAsia="Calibri"/>
          <w:sz w:val="26"/>
          <w:szCs w:val="26"/>
        </w:rPr>
        <w:t>I</w:t>
      </w:r>
      <w:r w:rsidRPr="00E9174E">
        <w:rPr>
          <w:rFonts w:eastAsia="Calibri"/>
          <w:sz w:val="26"/>
          <w:szCs w:val="26"/>
        </w:rPr>
        <w:t xml:space="preserve">ncome </w:t>
      </w:r>
      <w:r w:rsidR="005B15B9" w:rsidRPr="00E9174E">
        <w:rPr>
          <w:rFonts w:eastAsia="Calibri"/>
          <w:sz w:val="26"/>
          <w:szCs w:val="26"/>
        </w:rPr>
        <w:t>T</w:t>
      </w:r>
      <w:r w:rsidRPr="00E9174E">
        <w:rPr>
          <w:rFonts w:eastAsia="Calibri"/>
          <w:sz w:val="26"/>
          <w:szCs w:val="26"/>
        </w:rPr>
        <w:t>axes.</w:t>
      </w:r>
    </w:p>
    <w:p w14:paraId="4B2FB9A0" w14:textId="77777777" w:rsidR="00924C25" w:rsidRPr="00E9174E" w:rsidRDefault="00924C25" w:rsidP="00E9174E">
      <w:pPr>
        <w:widowControl/>
        <w:spacing w:line="360" w:lineRule="auto"/>
        <w:contextualSpacing/>
        <w:rPr>
          <w:rFonts w:eastAsia="Calibri"/>
          <w:sz w:val="26"/>
          <w:szCs w:val="26"/>
        </w:rPr>
      </w:pPr>
    </w:p>
    <w:p w14:paraId="00F11628" w14:textId="7E392C02" w:rsidR="00924C25" w:rsidRPr="00E9174E" w:rsidRDefault="00924C25" w:rsidP="001768DD">
      <w:pPr>
        <w:pStyle w:val="Heading2"/>
        <w:numPr>
          <w:ilvl w:val="0"/>
          <w:numId w:val="85"/>
        </w:numPr>
        <w:ind w:hanging="720"/>
      </w:pPr>
      <w:bookmarkStart w:id="231" w:name="_Toc63764509"/>
      <w:r w:rsidRPr="00E9174E">
        <w:t>Income Taxes</w:t>
      </w:r>
      <w:bookmarkEnd w:id="231"/>
    </w:p>
    <w:p w14:paraId="3BEBA6A4" w14:textId="77777777" w:rsidR="00924C25" w:rsidRPr="00E9174E" w:rsidRDefault="00924C25" w:rsidP="00E9174E">
      <w:pPr>
        <w:keepNext/>
        <w:keepLines/>
        <w:widowControl/>
        <w:spacing w:line="360" w:lineRule="auto"/>
        <w:contextualSpacing/>
        <w:rPr>
          <w:rFonts w:eastAsia="Calibri"/>
          <w:sz w:val="26"/>
          <w:szCs w:val="26"/>
        </w:rPr>
      </w:pPr>
    </w:p>
    <w:p w14:paraId="5A64BE90" w14:textId="6F18B407" w:rsidR="00924C25" w:rsidRPr="00E9174E" w:rsidRDefault="00924C25" w:rsidP="00277ECF">
      <w:pPr>
        <w:pStyle w:val="Heading3"/>
        <w:numPr>
          <w:ilvl w:val="0"/>
          <w:numId w:val="21"/>
        </w:numPr>
        <w:ind w:left="1440" w:hanging="720"/>
      </w:pPr>
      <w:bookmarkStart w:id="232" w:name="_Toc63764510"/>
      <w:r w:rsidRPr="00E9174E">
        <w:t>Positions of the Parties</w:t>
      </w:r>
      <w:bookmarkEnd w:id="232"/>
    </w:p>
    <w:p w14:paraId="65EF8F93" w14:textId="77777777" w:rsidR="00924C25" w:rsidRPr="00E9174E" w:rsidRDefault="00924C25" w:rsidP="00E9174E">
      <w:pPr>
        <w:keepNext/>
        <w:keepLines/>
        <w:widowControl/>
        <w:spacing w:line="360" w:lineRule="auto"/>
        <w:ind w:firstLine="1440"/>
        <w:contextualSpacing/>
        <w:rPr>
          <w:rFonts w:eastAsia="Calibri"/>
          <w:sz w:val="26"/>
          <w:szCs w:val="26"/>
        </w:rPr>
      </w:pPr>
    </w:p>
    <w:p w14:paraId="38A7CDC0" w14:textId="065390E1" w:rsidR="0043556C" w:rsidRPr="00E9174E" w:rsidRDefault="0043556C" w:rsidP="00E9174E">
      <w:pPr>
        <w:widowControl/>
        <w:spacing w:line="360" w:lineRule="auto"/>
        <w:ind w:firstLine="1440"/>
        <w:contextualSpacing/>
        <w:rPr>
          <w:rFonts w:eastAsia="Calibri"/>
          <w:sz w:val="26"/>
          <w:szCs w:val="26"/>
        </w:rPr>
      </w:pPr>
      <w:r w:rsidRPr="00E9174E">
        <w:rPr>
          <w:rFonts w:eastAsia="Calibri"/>
          <w:sz w:val="26"/>
          <w:szCs w:val="26"/>
        </w:rPr>
        <w:t xml:space="preserve">Columbia noted that no </w:t>
      </w:r>
      <w:r w:rsidR="00943370" w:rsidRPr="00E9174E">
        <w:rPr>
          <w:rFonts w:eastAsia="Calibri"/>
          <w:sz w:val="26"/>
          <w:szCs w:val="26"/>
        </w:rPr>
        <w:t>P</w:t>
      </w:r>
      <w:r w:rsidRPr="00E9174E">
        <w:rPr>
          <w:rFonts w:eastAsia="Calibri"/>
          <w:sz w:val="26"/>
          <w:szCs w:val="26"/>
        </w:rPr>
        <w:t xml:space="preserve">arty proposed a disallowance of Income Tax expense, other than as related to their respective other adjustments to rate base, expenses, and return.  The Company acknowledged the OCA offered an alternative method to calculate the Pennsylvania </w:t>
      </w:r>
      <w:bookmarkStart w:id="233" w:name="_Hlk63278762"/>
      <w:r w:rsidRPr="00E9174E">
        <w:rPr>
          <w:rFonts w:eastAsia="Calibri"/>
          <w:sz w:val="26"/>
          <w:szCs w:val="26"/>
        </w:rPr>
        <w:t xml:space="preserve">Corporate Net Income Tax </w:t>
      </w:r>
      <w:bookmarkEnd w:id="233"/>
      <w:r w:rsidRPr="00E9174E">
        <w:rPr>
          <w:rFonts w:eastAsia="Calibri"/>
          <w:sz w:val="26"/>
          <w:szCs w:val="26"/>
        </w:rPr>
        <w:t>(</w:t>
      </w:r>
      <w:bookmarkStart w:id="234" w:name="_Hlk63278724"/>
      <w:r w:rsidRPr="00E9174E">
        <w:rPr>
          <w:rFonts w:eastAsia="Calibri"/>
          <w:sz w:val="26"/>
          <w:szCs w:val="26"/>
        </w:rPr>
        <w:t>CNIT</w:t>
      </w:r>
      <w:bookmarkEnd w:id="234"/>
      <w:r w:rsidRPr="00E9174E">
        <w:rPr>
          <w:rFonts w:eastAsia="Calibri"/>
          <w:sz w:val="26"/>
          <w:szCs w:val="26"/>
        </w:rPr>
        <w:t xml:space="preserve"> or state income tax) expense.  Columbia observed the OCA’s alternative method does not produce a different result from the Company’s method.  Therefore, Columbia argued there is no reason to adopt the alternative method.</w:t>
      </w:r>
    </w:p>
    <w:p w14:paraId="74BC2FA4" w14:textId="77777777" w:rsidR="0043556C" w:rsidRPr="00E9174E" w:rsidRDefault="0043556C" w:rsidP="00E9174E">
      <w:pPr>
        <w:widowControl/>
        <w:spacing w:line="360" w:lineRule="auto"/>
        <w:ind w:firstLine="1440"/>
        <w:contextualSpacing/>
        <w:rPr>
          <w:rFonts w:eastAsia="Calibri"/>
          <w:sz w:val="26"/>
          <w:szCs w:val="26"/>
        </w:rPr>
      </w:pPr>
      <w:r w:rsidRPr="00E9174E">
        <w:rPr>
          <w:rFonts w:eastAsia="Calibri"/>
          <w:sz w:val="26"/>
          <w:szCs w:val="26"/>
        </w:rPr>
        <w:lastRenderedPageBreak/>
        <w:t xml:space="preserve">The OCA proposed to modify Columbia’s method of calculating the CNIT to be included in the calculation of </w:t>
      </w:r>
      <w:r w:rsidRPr="00E9174E">
        <w:rPr>
          <w:rFonts w:eastAsia="Calibri"/>
          <w:i/>
          <w:iCs/>
          <w:sz w:val="26"/>
          <w:szCs w:val="26"/>
        </w:rPr>
        <w:t>pro forma</w:t>
      </w:r>
      <w:r w:rsidRPr="00E9174E">
        <w:rPr>
          <w:rFonts w:eastAsia="Calibri"/>
          <w:sz w:val="26"/>
          <w:szCs w:val="26"/>
        </w:rPr>
        <w:t xml:space="preserve"> operating income under present rates and the revenue deficiency.  While the OCA conceded that its calculation does not produce a result different from that of the Company, the OCA averred that it is a simpler method that avoids the necessity of having to recalculate a new “State Income Tax Effect Tax Rate” and a new Revenue Conversion Factor for changes in the revenue requirement.  In the OCA’s method, a CNIT of 5.994% is used in the calculation of the Revenue Conversion Factor to reflect the statutory CNIT rate of 9.999% and the Net Operating Loss Deduction which decreases the effective CNIT tax rate.  OCA St. 2-S at 16-17.  As a result, the OCA calculated an adjusted state income tax expense of $988,000 and a Revenue Conversion Factor of 1.3620.  </w:t>
      </w:r>
      <w:r w:rsidRPr="00E9174E">
        <w:rPr>
          <w:rFonts w:eastAsia="Calibri"/>
          <w:i/>
          <w:iCs/>
          <w:sz w:val="26"/>
          <w:szCs w:val="26"/>
        </w:rPr>
        <w:t>I</w:t>
      </w:r>
      <w:bookmarkStart w:id="235" w:name="_BA_Cite_2A13EF_000310"/>
      <w:bookmarkEnd w:id="235"/>
      <w:r w:rsidRPr="00E9174E">
        <w:rPr>
          <w:rFonts w:eastAsia="Calibri"/>
          <w:i/>
          <w:iCs/>
          <w:sz w:val="26"/>
          <w:szCs w:val="26"/>
        </w:rPr>
        <w:t>d.</w:t>
      </w:r>
      <w:r w:rsidRPr="00E9174E">
        <w:rPr>
          <w:rFonts w:eastAsia="Calibri"/>
          <w:sz w:val="26"/>
          <w:szCs w:val="26"/>
        </w:rPr>
        <w:t xml:space="preserve"> at Schedules A and C-4.  The OCA contended the Commission should adopt its method of calculating the CNIT along with the adjusted state income tax expense for the FPFTY.  OCA M.B. at 48; OCA St. 2 at 21-23.</w:t>
      </w:r>
    </w:p>
    <w:p w14:paraId="5BE41727" w14:textId="77777777" w:rsidR="00E524B1" w:rsidRPr="00E9174E" w:rsidRDefault="00E524B1" w:rsidP="00E9174E">
      <w:pPr>
        <w:widowControl/>
        <w:spacing w:line="360" w:lineRule="auto"/>
        <w:ind w:firstLine="1440"/>
        <w:contextualSpacing/>
        <w:rPr>
          <w:rFonts w:eastAsia="Calibri"/>
          <w:sz w:val="26"/>
          <w:szCs w:val="26"/>
        </w:rPr>
      </w:pPr>
    </w:p>
    <w:p w14:paraId="6AE1BC96" w14:textId="4A55A841" w:rsidR="00924C25" w:rsidRPr="00E9174E" w:rsidRDefault="009F3929" w:rsidP="00277ECF">
      <w:pPr>
        <w:pStyle w:val="Heading3"/>
        <w:numPr>
          <w:ilvl w:val="0"/>
          <w:numId w:val="21"/>
        </w:numPr>
        <w:ind w:left="1440" w:hanging="720"/>
      </w:pPr>
      <w:bookmarkStart w:id="236" w:name="_Toc63764511"/>
      <w:r w:rsidRPr="00E9174E">
        <w:t>Recommended Decision</w:t>
      </w:r>
      <w:bookmarkEnd w:id="236"/>
    </w:p>
    <w:p w14:paraId="710CC8DD" w14:textId="77777777" w:rsidR="00924C25" w:rsidRPr="00E9174E" w:rsidRDefault="00924C25" w:rsidP="00E9174E">
      <w:pPr>
        <w:keepNext/>
        <w:keepLines/>
        <w:widowControl/>
        <w:spacing w:line="360" w:lineRule="auto"/>
        <w:ind w:firstLine="1440"/>
        <w:contextualSpacing/>
        <w:rPr>
          <w:rFonts w:eastAsia="Calibri"/>
          <w:sz w:val="26"/>
          <w:szCs w:val="26"/>
        </w:rPr>
      </w:pPr>
    </w:p>
    <w:p w14:paraId="363E195D" w14:textId="11F0F87F" w:rsidR="000C3C92" w:rsidRPr="00E9174E" w:rsidRDefault="000C3C92" w:rsidP="00E9174E">
      <w:pPr>
        <w:widowControl/>
        <w:spacing w:line="360" w:lineRule="auto"/>
        <w:ind w:firstLine="1440"/>
        <w:contextualSpacing/>
        <w:rPr>
          <w:rFonts w:eastAsia="Calibri"/>
          <w:sz w:val="26"/>
          <w:szCs w:val="26"/>
        </w:rPr>
      </w:pPr>
      <w:r w:rsidRPr="00E9174E">
        <w:rPr>
          <w:rFonts w:eastAsia="Calibri"/>
          <w:sz w:val="26"/>
          <w:szCs w:val="26"/>
        </w:rPr>
        <w:t xml:space="preserve">The ALJ remarked that no </w:t>
      </w:r>
      <w:r w:rsidR="00CB00AF" w:rsidRPr="00E9174E">
        <w:rPr>
          <w:rFonts w:eastAsia="Calibri"/>
          <w:sz w:val="26"/>
          <w:szCs w:val="26"/>
        </w:rPr>
        <w:t>P</w:t>
      </w:r>
      <w:r w:rsidRPr="00E9174E">
        <w:rPr>
          <w:rFonts w:eastAsia="Calibri"/>
          <w:sz w:val="26"/>
          <w:szCs w:val="26"/>
        </w:rPr>
        <w:t xml:space="preserve">arty proposed a disallowance of Income Tax expense, other than as related to their respective other adjustments to rate base, expenses, and return.  </w:t>
      </w:r>
      <w:bookmarkStart w:id="237" w:name="_Hlk61960542"/>
      <w:r w:rsidRPr="00E9174E">
        <w:rPr>
          <w:rFonts w:eastAsia="Calibri"/>
          <w:sz w:val="26"/>
          <w:szCs w:val="26"/>
        </w:rPr>
        <w:t xml:space="preserve">Noting the OCA’s alternate method of calculating CNIT and adjusted state income tax expense for the FPFTY, the ALJ </w:t>
      </w:r>
      <w:bookmarkStart w:id="238" w:name="_Hlk61960611"/>
      <w:r w:rsidRPr="00E9174E">
        <w:rPr>
          <w:rFonts w:eastAsia="Calibri"/>
          <w:sz w:val="26"/>
          <w:szCs w:val="26"/>
        </w:rPr>
        <w:t xml:space="preserve">pointed out the results of the OCA’s alternate method were essentially the same as Columbia’s calculations.  The </w:t>
      </w:r>
      <w:bookmarkEnd w:id="237"/>
      <w:r w:rsidRPr="00E9174E">
        <w:rPr>
          <w:rFonts w:eastAsia="Calibri"/>
          <w:sz w:val="26"/>
          <w:szCs w:val="26"/>
        </w:rPr>
        <w:t>ALJ mentioned the expense</w:t>
      </w:r>
      <w:bookmarkEnd w:id="238"/>
      <w:r w:rsidRPr="00E9174E">
        <w:rPr>
          <w:rFonts w:eastAsia="Calibri"/>
          <w:sz w:val="26"/>
          <w:szCs w:val="26"/>
        </w:rPr>
        <w:t>, as requested by Columbia, is a necessary cost and it is reasonable and just to include it in the base rate</w:t>
      </w:r>
      <w:r w:rsidR="0003217E" w:rsidRPr="00E9174E">
        <w:rPr>
          <w:rFonts w:eastAsia="Calibri"/>
          <w:sz w:val="26"/>
          <w:szCs w:val="26"/>
        </w:rPr>
        <w:t>s</w:t>
      </w:r>
      <w:r w:rsidRPr="00E9174E">
        <w:rPr>
          <w:rFonts w:eastAsia="Calibri"/>
          <w:sz w:val="26"/>
          <w:szCs w:val="26"/>
        </w:rPr>
        <w:t>.  R</w:t>
      </w:r>
      <w:r w:rsidR="001E53F0">
        <w:rPr>
          <w:rFonts w:eastAsia="Calibri"/>
          <w:sz w:val="26"/>
          <w:szCs w:val="26"/>
        </w:rPr>
        <w:t>.</w:t>
      </w:r>
      <w:r w:rsidRPr="00E9174E">
        <w:rPr>
          <w:rFonts w:eastAsia="Calibri"/>
          <w:sz w:val="26"/>
          <w:szCs w:val="26"/>
        </w:rPr>
        <w:t>D</w:t>
      </w:r>
      <w:r w:rsidR="001E53F0">
        <w:rPr>
          <w:rFonts w:eastAsia="Calibri"/>
          <w:sz w:val="26"/>
          <w:szCs w:val="26"/>
        </w:rPr>
        <w:t>.</w:t>
      </w:r>
      <w:r w:rsidRPr="00E9174E">
        <w:rPr>
          <w:rFonts w:eastAsia="Calibri"/>
          <w:sz w:val="26"/>
          <w:szCs w:val="26"/>
        </w:rPr>
        <w:t xml:space="preserve"> at 120-121.</w:t>
      </w:r>
    </w:p>
    <w:p w14:paraId="3E55F789" w14:textId="77777777" w:rsidR="00924C25" w:rsidRPr="00E9174E" w:rsidRDefault="00924C25" w:rsidP="00E9174E">
      <w:pPr>
        <w:widowControl/>
        <w:spacing w:line="360" w:lineRule="auto"/>
        <w:ind w:firstLine="720"/>
        <w:contextualSpacing/>
        <w:rPr>
          <w:rFonts w:eastAsia="Calibri"/>
          <w:b/>
          <w:bCs/>
          <w:sz w:val="26"/>
          <w:szCs w:val="26"/>
        </w:rPr>
      </w:pPr>
    </w:p>
    <w:p w14:paraId="38ECB9FB" w14:textId="4B135967" w:rsidR="00924C25" w:rsidRPr="00E9174E" w:rsidRDefault="00924C25" w:rsidP="00277ECF">
      <w:pPr>
        <w:pStyle w:val="Heading3"/>
        <w:numPr>
          <w:ilvl w:val="0"/>
          <w:numId w:val="21"/>
        </w:numPr>
        <w:ind w:left="1440" w:hanging="720"/>
      </w:pPr>
      <w:bookmarkStart w:id="239" w:name="_Toc63764512"/>
      <w:r w:rsidRPr="00E9174E">
        <w:t>Disposition</w:t>
      </w:r>
      <w:bookmarkEnd w:id="239"/>
    </w:p>
    <w:p w14:paraId="6CA7AF18" w14:textId="77777777" w:rsidR="00924C25" w:rsidRPr="00E9174E" w:rsidRDefault="00924C25" w:rsidP="00E9174E">
      <w:pPr>
        <w:keepNext/>
        <w:keepLines/>
        <w:widowControl/>
        <w:contextualSpacing/>
        <w:rPr>
          <w:rFonts w:eastAsia="Calibri"/>
          <w:b/>
          <w:bCs/>
          <w:sz w:val="26"/>
          <w:szCs w:val="26"/>
        </w:rPr>
      </w:pPr>
    </w:p>
    <w:p w14:paraId="54F89C83" w14:textId="1DF19F6B" w:rsidR="00364758" w:rsidRPr="00E9174E" w:rsidRDefault="000C3C92" w:rsidP="00E9174E">
      <w:pPr>
        <w:widowControl/>
        <w:spacing w:line="360" w:lineRule="auto"/>
        <w:ind w:firstLine="1440"/>
        <w:contextualSpacing/>
        <w:rPr>
          <w:rFonts w:eastAsia="Calibri"/>
          <w:sz w:val="26"/>
          <w:szCs w:val="26"/>
        </w:rPr>
      </w:pPr>
      <w:r w:rsidRPr="00E9174E">
        <w:rPr>
          <w:rFonts w:eastAsia="Calibri"/>
          <w:sz w:val="26"/>
          <w:szCs w:val="26"/>
        </w:rPr>
        <w:t>No</w:t>
      </w:r>
      <w:r w:rsidR="00924C25" w:rsidRPr="00E9174E">
        <w:rPr>
          <w:rFonts w:eastAsia="Calibri"/>
          <w:sz w:val="26"/>
          <w:szCs w:val="26"/>
        </w:rPr>
        <w:t xml:space="preserve"> Exceptions were filed objecting to the ALJ’s recommendation on this issue.  We find that the ALJ</w:t>
      </w:r>
      <w:r w:rsidR="004C0109" w:rsidRPr="00E9174E">
        <w:rPr>
          <w:rFonts w:eastAsia="Calibri"/>
          <w:sz w:val="26"/>
          <w:szCs w:val="26"/>
        </w:rPr>
        <w:t>’</w:t>
      </w:r>
      <w:r w:rsidR="00924C25" w:rsidRPr="00E9174E">
        <w:rPr>
          <w:rFonts w:eastAsia="Calibri"/>
          <w:sz w:val="26"/>
          <w:szCs w:val="26"/>
        </w:rPr>
        <w:t xml:space="preserve">s recommendation is supported by ample record evidence </w:t>
      </w:r>
      <w:r w:rsidR="00924C25" w:rsidRPr="00E9174E">
        <w:rPr>
          <w:rFonts w:eastAsia="Calibri"/>
          <w:sz w:val="26"/>
          <w:szCs w:val="26"/>
        </w:rPr>
        <w:lastRenderedPageBreak/>
        <w:t>and is just and reasonable.  Accordingly, we shall adopt it using Columbia’s calculation method.</w:t>
      </w:r>
    </w:p>
    <w:p w14:paraId="0F3C012E" w14:textId="77777777" w:rsidR="00924C25" w:rsidRPr="00E9174E" w:rsidRDefault="00924C25" w:rsidP="00E9174E">
      <w:pPr>
        <w:widowControl/>
        <w:contextualSpacing/>
        <w:rPr>
          <w:rFonts w:eastAsia="Calibri"/>
          <w:b/>
          <w:bCs/>
          <w:sz w:val="26"/>
          <w:szCs w:val="26"/>
        </w:rPr>
      </w:pPr>
    </w:p>
    <w:p w14:paraId="5D39F17C" w14:textId="72CC950F" w:rsidR="00924C25" w:rsidRPr="00E9174E" w:rsidRDefault="00032FF5" w:rsidP="00E9174E">
      <w:pPr>
        <w:pStyle w:val="Heading1"/>
      </w:pPr>
      <w:bookmarkStart w:id="240" w:name="_Toc63764513"/>
      <w:r w:rsidRPr="00E9174E">
        <w:t xml:space="preserve">Fair </w:t>
      </w:r>
      <w:r w:rsidR="009E154A" w:rsidRPr="00E9174E">
        <w:t>Rate of Return</w:t>
      </w:r>
      <w:bookmarkEnd w:id="240"/>
    </w:p>
    <w:p w14:paraId="5E5E5EBB" w14:textId="77777777" w:rsidR="00E919D2" w:rsidRPr="00E9174E" w:rsidRDefault="00E919D2" w:rsidP="00E9174E">
      <w:pPr>
        <w:keepNext/>
        <w:keepLines/>
        <w:widowControl/>
        <w:spacing w:line="360" w:lineRule="auto"/>
        <w:contextualSpacing/>
        <w:rPr>
          <w:rFonts w:eastAsiaTheme="minorHAnsi"/>
          <w:sz w:val="26"/>
          <w:szCs w:val="26"/>
        </w:rPr>
      </w:pPr>
    </w:p>
    <w:p w14:paraId="656515CE" w14:textId="576D56CC" w:rsidR="00E919D2" w:rsidRPr="000F1A14" w:rsidRDefault="001768DD" w:rsidP="006751AA">
      <w:pPr>
        <w:pStyle w:val="Heading2"/>
        <w:rPr>
          <w:color w:val="365F91" w:themeColor="accent1" w:themeShade="BF"/>
        </w:rPr>
      </w:pPr>
      <w:bookmarkStart w:id="241" w:name="_Toc63764514"/>
      <w:r>
        <w:t>A.</w:t>
      </w:r>
      <w:r>
        <w:tab/>
        <w:t>P</w:t>
      </w:r>
      <w:r w:rsidR="00E919D2" w:rsidRPr="000F1A14">
        <w:t>roxy Groups</w:t>
      </w:r>
      <w:bookmarkEnd w:id="241"/>
    </w:p>
    <w:p w14:paraId="720272EC" w14:textId="77777777" w:rsidR="00E919D2" w:rsidRPr="00E9174E" w:rsidRDefault="00E919D2" w:rsidP="00E9174E">
      <w:pPr>
        <w:keepNext/>
        <w:keepLines/>
        <w:widowControl/>
        <w:spacing w:line="360" w:lineRule="auto"/>
        <w:contextualSpacing/>
        <w:rPr>
          <w:rFonts w:eastAsiaTheme="minorHAnsi"/>
          <w:sz w:val="26"/>
          <w:szCs w:val="26"/>
        </w:rPr>
      </w:pPr>
    </w:p>
    <w:p w14:paraId="62FFC7EF" w14:textId="5CB642CB" w:rsidR="00E919D2" w:rsidRPr="00E9174E" w:rsidRDefault="00A65099" w:rsidP="00E9174E">
      <w:pPr>
        <w:widowControl/>
        <w:spacing w:line="360" w:lineRule="auto"/>
        <w:ind w:firstLine="1440"/>
        <w:contextualSpacing/>
        <w:rPr>
          <w:rFonts w:eastAsiaTheme="minorHAnsi"/>
          <w:sz w:val="26"/>
          <w:szCs w:val="26"/>
        </w:rPr>
      </w:pPr>
      <w:r w:rsidRPr="00E9174E">
        <w:rPr>
          <w:rFonts w:eastAsiaTheme="minorHAnsi"/>
          <w:sz w:val="26"/>
          <w:szCs w:val="26"/>
        </w:rPr>
        <w:t>To estimate a utility’s cost of equity,</w:t>
      </w:r>
      <w:r w:rsidRPr="00E9174E">
        <w:rPr>
          <w:rFonts w:eastAsiaTheme="minorHAnsi"/>
          <w:sz w:val="26"/>
          <w:szCs w:val="26"/>
          <w:vertAlign w:val="superscript"/>
        </w:rPr>
        <w:footnoteReference w:id="39"/>
      </w:r>
      <w:r w:rsidRPr="00E9174E">
        <w:rPr>
          <w:rFonts w:eastAsiaTheme="minorHAnsi"/>
          <w:sz w:val="26"/>
          <w:szCs w:val="26"/>
        </w:rPr>
        <w:t xml:space="preserve"> a proxy (or barometer) group of similar companies is used.  A proxy group is generally preferred over the use of data exclusively from any one company, because it has the effect of smoothing out potential anomalies associated with a similar company and is therefore a more reliable measure.  I&amp;E M.B. at 60.</w:t>
      </w:r>
    </w:p>
    <w:p w14:paraId="09A613F0" w14:textId="77777777" w:rsidR="00E919D2" w:rsidRPr="00E9174E" w:rsidRDefault="00E919D2" w:rsidP="00E9174E">
      <w:pPr>
        <w:widowControl/>
        <w:spacing w:line="360" w:lineRule="auto"/>
        <w:contextualSpacing/>
        <w:rPr>
          <w:rFonts w:eastAsiaTheme="minorHAnsi"/>
          <w:sz w:val="26"/>
          <w:szCs w:val="26"/>
        </w:rPr>
      </w:pPr>
    </w:p>
    <w:p w14:paraId="4357982F" w14:textId="42CB0AEE" w:rsidR="00E919D2" w:rsidRPr="00E9174E" w:rsidRDefault="00E919D2" w:rsidP="00277ECF">
      <w:pPr>
        <w:pStyle w:val="Heading3"/>
        <w:numPr>
          <w:ilvl w:val="0"/>
          <w:numId w:val="22"/>
        </w:numPr>
        <w:ind w:left="1440" w:hanging="720"/>
      </w:pPr>
      <w:bookmarkStart w:id="242" w:name="_Toc63764515"/>
      <w:r w:rsidRPr="00E9174E">
        <w:t>Positions of the Parties</w:t>
      </w:r>
      <w:bookmarkEnd w:id="242"/>
    </w:p>
    <w:p w14:paraId="12760D2E" w14:textId="77777777" w:rsidR="00E919D2" w:rsidRPr="00E9174E" w:rsidRDefault="00E919D2" w:rsidP="00E9174E">
      <w:pPr>
        <w:keepNext/>
        <w:keepLines/>
        <w:widowControl/>
        <w:spacing w:line="360" w:lineRule="auto"/>
        <w:ind w:firstLine="1440"/>
        <w:contextualSpacing/>
        <w:rPr>
          <w:sz w:val="26"/>
          <w:szCs w:val="26"/>
        </w:rPr>
      </w:pPr>
    </w:p>
    <w:p w14:paraId="4E0F612D" w14:textId="6ED80FF3" w:rsidR="00766514" w:rsidRPr="00E9174E" w:rsidRDefault="00766514" w:rsidP="00E9174E">
      <w:pPr>
        <w:widowControl/>
        <w:spacing w:line="360" w:lineRule="auto"/>
        <w:ind w:firstLine="1440"/>
        <w:contextualSpacing/>
        <w:rPr>
          <w:rFonts w:eastAsiaTheme="minorHAnsi"/>
          <w:sz w:val="26"/>
          <w:szCs w:val="26"/>
        </w:rPr>
      </w:pPr>
      <w:r w:rsidRPr="00E9174E">
        <w:rPr>
          <w:rFonts w:eastAsiaTheme="minorHAnsi"/>
          <w:sz w:val="26"/>
          <w:szCs w:val="26"/>
        </w:rPr>
        <w:t>Columbia used a proxy group of nine gas companies, which it referred to as the “Gas Group.”  Columbia began with the group of ten gas companies contained in The Value Line Investment Survey (</w:t>
      </w:r>
      <w:r w:rsidRPr="00E9174E">
        <w:rPr>
          <w:rFonts w:eastAsiaTheme="minorHAnsi"/>
          <w:i/>
          <w:iCs/>
          <w:sz w:val="26"/>
          <w:szCs w:val="26"/>
        </w:rPr>
        <w:t>Value Line</w:t>
      </w:r>
      <w:r w:rsidRPr="00E9174E">
        <w:rPr>
          <w:rFonts w:eastAsiaTheme="minorHAnsi"/>
          <w:sz w:val="26"/>
          <w:szCs w:val="26"/>
        </w:rPr>
        <w:t xml:space="preserve">).  The Company excluded UGI Corporation (UGI) from the initial list, due to its diversified businesses that include natural gas, propane, two international </w:t>
      </w:r>
      <w:bookmarkStart w:id="243" w:name="_Hlk63278931"/>
      <w:r w:rsidRPr="00E9174E">
        <w:rPr>
          <w:rFonts w:eastAsiaTheme="minorHAnsi"/>
          <w:sz w:val="26"/>
          <w:szCs w:val="26"/>
        </w:rPr>
        <w:t xml:space="preserve">liquid propane gas </w:t>
      </w:r>
      <w:bookmarkEnd w:id="243"/>
      <w:r w:rsidRPr="00E9174E">
        <w:rPr>
          <w:rFonts w:eastAsiaTheme="minorHAnsi"/>
          <w:sz w:val="26"/>
          <w:szCs w:val="26"/>
        </w:rPr>
        <w:t>(</w:t>
      </w:r>
      <w:bookmarkStart w:id="244" w:name="_Hlk63278902"/>
      <w:r w:rsidRPr="00E9174E">
        <w:rPr>
          <w:rFonts w:eastAsiaTheme="minorHAnsi"/>
          <w:sz w:val="26"/>
          <w:szCs w:val="26"/>
        </w:rPr>
        <w:t>LPG</w:t>
      </w:r>
      <w:bookmarkEnd w:id="244"/>
      <w:r w:rsidRPr="00E9174E">
        <w:rPr>
          <w:rFonts w:eastAsiaTheme="minorHAnsi"/>
          <w:sz w:val="26"/>
          <w:szCs w:val="26"/>
        </w:rPr>
        <w:t>) segments, electric generation and distribution and energy services.  Columbia explained that it used the same nine companies</w:t>
      </w:r>
      <w:r w:rsidR="003F7AD4" w:rsidRPr="00E9174E">
        <w:rPr>
          <w:rFonts w:eastAsiaTheme="minorHAnsi"/>
          <w:sz w:val="26"/>
          <w:szCs w:val="26"/>
        </w:rPr>
        <w:t xml:space="preserve"> </w:t>
      </w:r>
      <w:r w:rsidRPr="00E9174E">
        <w:rPr>
          <w:rFonts w:eastAsiaTheme="minorHAnsi"/>
          <w:sz w:val="26"/>
          <w:szCs w:val="26"/>
        </w:rPr>
        <w:t xml:space="preserve">the Commission used as its barometer group for the DSIC in its Quarterly Earnings Reports.  </w:t>
      </w:r>
      <w:r w:rsidRPr="00E9174E">
        <w:rPr>
          <w:rFonts w:eastAsiaTheme="minorHAnsi"/>
          <w:i/>
          <w:iCs/>
          <w:sz w:val="26"/>
          <w:szCs w:val="26"/>
        </w:rPr>
        <w:t>See Bureau of Technical Utility Services (TUS) Report on the Quarterly Earnings of Jurisdictional Companies for the Year ended March 31, 2020</w:t>
      </w:r>
      <w:r w:rsidRPr="00E9174E">
        <w:rPr>
          <w:rFonts w:eastAsiaTheme="minorHAnsi"/>
          <w:sz w:val="26"/>
          <w:szCs w:val="26"/>
        </w:rPr>
        <w:t>, Docket No. M</w:t>
      </w:r>
      <w:r w:rsidRPr="00E9174E">
        <w:rPr>
          <w:rFonts w:eastAsiaTheme="minorHAnsi"/>
          <w:sz w:val="26"/>
          <w:szCs w:val="26"/>
        </w:rPr>
        <w:noBreakHyphen/>
        <w:t>2020</w:t>
      </w:r>
      <w:r w:rsidRPr="00E9174E">
        <w:rPr>
          <w:rFonts w:eastAsiaTheme="minorHAnsi"/>
          <w:sz w:val="26"/>
          <w:szCs w:val="26"/>
        </w:rPr>
        <w:noBreakHyphen/>
        <w:t>3020940, Attachment G (August 6, 2020) (Quarterly Earnings Report).  CG M.B. at 72</w:t>
      </w:r>
      <w:r w:rsidRPr="00E9174E">
        <w:rPr>
          <w:rFonts w:eastAsiaTheme="minorHAnsi"/>
          <w:sz w:val="26"/>
          <w:szCs w:val="26"/>
        </w:rPr>
        <w:noBreakHyphen/>
        <w:t>73.</w:t>
      </w:r>
    </w:p>
    <w:p w14:paraId="5E8097F3" w14:textId="77777777" w:rsidR="00766514" w:rsidRPr="00E9174E" w:rsidRDefault="00766514" w:rsidP="00E9174E">
      <w:pPr>
        <w:widowControl/>
        <w:spacing w:line="360" w:lineRule="auto"/>
        <w:ind w:firstLine="1440"/>
        <w:contextualSpacing/>
        <w:rPr>
          <w:sz w:val="26"/>
          <w:szCs w:val="26"/>
        </w:rPr>
      </w:pPr>
      <w:r w:rsidRPr="00E9174E">
        <w:rPr>
          <w:sz w:val="26"/>
          <w:szCs w:val="26"/>
        </w:rPr>
        <w:lastRenderedPageBreak/>
        <w:t>I&amp;E’s proxy group consisted of seven companies.  To select a proxy group that resembles the natural gas utility industry, I&amp;E applied the following criteria:</w:t>
      </w:r>
    </w:p>
    <w:p w14:paraId="2D20BA52" w14:textId="77777777" w:rsidR="00382468" w:rsidRPr="00E9174E" w:rsidRDefault="00382468" w:rsidP="00E9174E">
      <w:pPr>
        <w:widowControl/>
        <w:spacing w:line="360" w:lineRule="auto"/>
        <w:ind w:firstLine="1440"/>
        <w:contextualSpacing/>
        <w:rPr>
          <w:sz w:val="26"/>
          <w:szCs w:val="26"/>
        </w:rPr>
      </w:pPr>
    </w:p>
    <w:p w14:paraId="2F5CCF58" w14:textId="77777777" w:rsidR="00161964" w:rsidRPr="00E9174E" w:rsidRDefault="00161964" w:rsidP="00E9174E">
      <w:pPr>
        <w:widowControl/>
        <w:numPr>
          <w:ilvl w:val="0"/>
          <w:numId w:val="7"/>
        </w:numPr>
        <w:ind w:right="720"/>
        <w:contextualSpacing/>
        <w:rPr>
          <w:sz w:val="26"/>
          <w:szCs w:val="26"/>
        </w:rPr>
      </w:pPr>
      <w:r w:rsidRPr="00E9174E">
        <w:rPr>
          <w:sz w:val="26"/>
          <w:szCs w:val="26"/>
        </w:rPr>
        <w:t xml:space="preserve">Fifty percent or more of the company’s revenue were generated from the regulated natural gas </w:t>
      </w:r>
      <w:proofErr w:type="gramStart"/>
      <w:r w:rsidRPr="00E9174E">
        <w:rPr>
          <w:sz w:val="26"/>
          <w:szCs w:val="26"/>
        </w:rPr>
        <w:t>industry;</w:t>
      </w:r>
      <w:proofErr w:type="gramEnd"/>
    </w:p>
    <w:p w14:paraId="168B2FD9" w14:textId="77777777" w:rsidR="00161964" w:rsidRPr="00E9174E" w:rsidRDefault="00161964" w:rsidP="00E9174E">
      <w:pPr>
        <w:widowControl/>
        <w:ind w:left="1440" w:right="720"/>
        <w:contextualSpacing/>
        <w:rPr>
          <w:sz w:val="26"/>
          <w:szCs w:val="26"/>
        </w:rPr>
      </w:pPr>
    </w:p>
    <w:p w14:paraId="74B7593E" w14:textId="77777777" w:rsidR="00161964" w:rsidRPr="00E9174E" w:rsidRDefault="00161964" w:rsidP="00E9174E">
      <w:pPr>
        <w:widowControl/>
        <w:numPr>
          <w:ilvl w:val="0"/>
          <w:numId w:val="7"/>
        </w:numPr>
        <w:ind w:right="720"/>
        <w:contextualSpacing/>
        <w:rPr>
          <w:sz w:val="26"/>
          <w:szCs w:val="26"/>
        </w:rPr>
      </w:pPr>
      <w:r w:rsidRPr="00E9174E">
        <w:rPr>
          <w:sz w:val="26"/>
          <w:szCs w:val="26"/>
        </w:rPr>
        <w:t xml:space="preserve">The company’s stock was publicly </w:t>
      </w:r>
      <w:proofErr w:type="gramStart"/>
      <w:r w:rsidRPr="00E9174E">
        <w:rPr>
          <w:sz w:val="26"/>
          <w:szCs w:val="26"/>
        </w:rPr>
        <w:t>traded;</w:t>
      </w:r>
      <w:proofErr w:type="gramEnd"/>
    </w:p>
    <w:p w14:paraId="38E78F51" w14:textId="77777777" w:rsidR="00161964" w:rsidRPr="00E9174E" w:rsidRDefault="00161964" w:rsidP="00E9174E">
      <w:pPr>
        <w:widowControl/>
        <w:ind w:left="1440" w:right="720"/>
        <w:contextualSpacing/>
        <w:rPr>
          <w:sz w:val="26"/>
          <w:szCs w:val="26"/>
        </w:rPr>
      </w:pPr>
    </w:p>
    <w:p w14:paraId="2671F091" w14:textId="77777777" w:rsidR="00161964" w:rsidRPr="00E9174E" w:rsidRDefault="00161964" w:rsidP="00E9174E">
      <w:pPr>
        <w:widowControl/>
        <w:numPr>
          <w:ilvl w:val="0"/>
          <w:numId w:val="7"/>
        </w:numPr>
        <w:ind w:right="720"/>
        <w:contextualSpacing/>
        <w:rPr>
          <w:sz w:val="26"/>
          <w:szCs w:val="26"/>
        </w:rPr>
      </w:pPr>
      <w:r w:rsidRPr="00E9174E">
        <w:rPr>
          <w:sz w:val="26"/>
          <w:szCs w:val="26"/>
        </w:rPr>
        <w:t xml:space="preserve">Investment information for the company was available from more than one source, including </w:t>
      </w:r>
      <w:r w:rsidRPr="00E9174E">
        <w:rPr>
          <w:i/>
          <w:iCs/>
          <w:sz w:val="26"/>
          <w:szCs w:val="26"/>
        </w:rPr>
        <w:t xml:space="preserve">Value </w:t>
      </w:r>
      <w:proofErr w:type="gramStart"/>
      <w:r w:rsidRPr="00E9174E">
        <w:rPr>
          <w:i/>
          <w:iCs/>
          <w:sz w:val="26"/>
          <w:szCs w:val="26"/>
        </w:rPr>
        <w:t>Line</w:t>
      </w:r>
      <w:r w:rsidRPr="00E9174E">
        <w:rPr>
          <w:sz w:val="26"/>
          <w:szCs w:val="26"/>
        </w:rPr>
        <w:t>;</w:t>
      </w:r>
      <w:proofErr w:type="gramEnd"/>
    </w:p>
    <w:p w14:paraId="7C26B1DB" w14:textId="77777777" w:rsidR="00161964" w:rsidRPr="00E9174E" w:rsidRDefault="00161964" w:rsidP="00E9174E">
      <w:pPr>
        <w:widowControl/>
        <w:ind w:left="1440" w:right="720"/>
        <w:contextualSpacing/>
        <w:rPr>
          <w:sz w:val="26"/>
          <w:szCs w:val="26"/>
        </w:rPr>
      </w:pPr>
    </w:p>
    <w:p w14:paraId="73820DD3" w14:textId="77777777" w:rsidR="00161964" w:rsidRPr="00E9174E" w:rsidRDefault="00161964" w:rsidP="00E9174E">
      <w:pPr>
        <w:widowControl/>
        <w:numPr>
          <w:ilvl w:val="0"/>
          <w:numId w:val="7"/>
        </w:numPr>
        <w:ind w:right="720"/>
        <w:contextualSpacing/>
        <w:rPr>
          <w:sz w:val="26"/>
          <w:szCs w:val="26"/>
        </w:rPr>
      </w:pPr>
      <w:r w:rsidRPr="00E9174E">
        <w:rPr>
          <w:sz w:val="26"/>
          <w:szCs w:val="26"/>
        </w:rPr>
        <w:t xml:space="preserve">The company must not be currently involved in an announced merger or the target of an announced </w:t>
      </w:r>
      <w:proofErr w:type="gramStart"/>
      <w:r w:rsidRPr="00E9174E">
        <w:rPr>
          <w:sz w:val="26"/>
          <w:szCs w:val="26"/>
        </w:rPr>
        <w:t>acquisition;</w:t>
      </w:r>
      <w:proofErr w:type="gramEnd"/>
    </w:p>
    <w:p w14:paraId="5F594DD0" w14:textId="77777777" w:rsidR="00161964" w:rsidRPr="00E9174E" w:rsidRDefault="00161964" w:rsidP="00E9174E">
      <w:pPr>
        <w:widowControl/>
        <w:ind w:left="1440" w:right="720" w:firstLine="60"/>
        <w:contextualSpacing/>
        <w:rPr>
          <w:sz w:val="26"/>
          <w:szCs w:val="26"/>
        </w:rPr>
      </w:pPr>
    </w:p>
    <w:p w14:paraId="000B0FA4" w14:textId="77777777" w:rsidR="00161964" w:rsidRPr="00E9174E" w:rsidRDefault="00161964" w:rsidP="00E9174E">
      <w:pPr>
        <w:widowControl/>
        <w:numPr>
          <w:ilvl w:val="0"/>
          <w:numId w:val="7"/>
        </w:numPr>
        <w:ind w:right="720"/>
        <w:contextualSpacing/>
        <w:rPr>
          <w:sz w:val="26"/>
          <w:szCs w:val="26"/>
        </w:rPr>
      </w:pPr>
      <w:r w:rsidRPr="00E9174E">
        <w:rPr>
          <w:sz w:val="26"/>
          <w:szCs w:val="26"/>
        </w:rPr>
        <w:t xml:space="preserve">The company must have four consecutive years of historic earnings </w:t>
      </w:r>
      <w:proofErr w:type="gramStart"/>
      <w:r w:rsidRPr="00E9174E">
        <w:rPr>
          <w:sz w:val="26"/>
          <w:szCs w:val="26"/>
        </w:rPr>
        <w:t>data;</w:t>
      </w:r>
      <w:proofErr w:type="gramEnd"/>
      <w:r w:rsidRPr="00E9174E">
        <w:rPr>
          <w:sz w:val="26"/>
          <w:szCs w:val="26"/>
        </w:rPr>
        <w:t xml:space="preserve"> and</w:t>
      </w:r>
    </w:p>
    <w:p w14:paraId="4363A958" w14:textId="77777777" w:rsidR="00161964" w:rsidRPr="00E9174E" w:rsidRDefault="00161964" w:rsidP="00E9174E">
      <w:pPr>
        <w:widowControl/>
        <w:ind w:left="1440" w:right="720"/>
        <w:contextualSpacing/>
        <w:rPr>
          <w:sz w:val="26"/>
          <w:szCs w:val="26"/>
        </w:rPr>
      </w:pPr>
    </w:p>
    <w:p w14:paraId="61647999" w14:textId="77777777" w:rsidR="00161964" w:rsidRPr="00E9174E" w:rsidRDefault="00161964" w:rsidP="00E9174E">
      <w:pPr>
        <w:widowControl/>
        <w:numPr>
          <w:ilvl w:val="0"/>
          <w:numId w:val="7"/>
        </w:numPr>
        <w:ind w:right="720"/>
        <w:contextualSpacing/>
        <w:rPr>
          <w:sz w:val="26"/>
          <w:szCs w:val="26"/>
        </w:rPr>
      </w:pPr>
      <w:r w:rsidRPr="00E9174E">
        <w:rPr>
          <w:sz w:val="26"/>
          <w:szCs w:val="26"/>
        </w:rPr>
        <w:t>The company must be operating in a state that has a deregulated gas utility market.</w:t>
      </w:r>
    </w:p>
    <w:p w14:paraId="6699C7E2" w14:textId="77777777" w:rsidR="00161964" w:rsidRPr="00E9174E" w:rsidRDefault="00161964" w:rsidP="00E9174E">
      <w:pPr>
        <w:widowControl/>
        <w:spacing w:line="360" w:lineRule="auto"/>
        <w:ind w:firstLine="1440"/>
        <w:contextualSpacing/>
        <w:rPr>
          <w:sz w:val="26"/>
          <w:szCs w:val="26"/>
        </w:rPr>
      </w:pPr>
    </w:p>
    <w:p w14:paraId="3496191F" w14:textId="77777777" w:rsidR="00161964" w:rsidRPr="00E9174E" w:rsidRDefault="00161964" w:rsidP="00E9174E">
      <w:pPr>
        <w:widowControl/>
        <w:spacing w:line="360" w:lineRule="auto"/>
        <w:contextualSpacing/>
        <w:rPr>
          <w:sz w:val="26"/>
          <w:szCs w:val="26"/>
        </w:rPr>
      </w:pPr>
      <w:r w:rsidRPr="00E9174E">
        <w:rPr>
          <w:sz w:val="26"/>
          <w:szCs w:val="26"/>
        </w:rPr>
        <w:t xml:space="preserve">I&amp;E M.B. at 60.  I&amp;E stated that it designed its proxy group to select companies that are most like the gas distribution company subject in this proceeding.  </w:t>
      </w:r>
      <w:r w:rsidRPr="00E9174E">
        <w:rPr>
          <w:i/>
          <w:iCs/>
          <w:sz w:val="26"/>
          <w:szCs w:val="26"/>
        </w:rPr>
        <w:t xml:space="preserve">Id. </w:t>
      </w:r>
      <w:r w:rsidRPr="00E9174E">
        <w:rPr>
          <w:sz w:val="26"/>
          <w:szCs w:val="26"/>
        </w:rPr>
        <w:t>at 38.</w:t>
      </w:r>
    </w:p>
    <w:p w14:paraId="39FA4F55" w14:textId="77777777" w:rsidR="00E919D2" w:rsidRPr="00E9174E" w:rsidRDefault="00E919D2" w:rsidP="00E9174E">
      <w:pPr>
        <w:widowControl/>
        <w:spacing w:line="360" w:lineRule="auto"/>
        <w:contextualSpacing/>
        <w:rPr>
          <w:sz w:val="26"/>
          <w:szCs w:val="26"/>
        </w:rPr>
      </w:pPr>
    </w:p>
    <w:p w14:paraId="4AF6C76A" w14:textId="77777777" w:rsidR="00D231F4" w:rsidRPr="00E9174E" w:rsidRDefault="00D231F4" w:rsidP="00E9174E">
      <w:pPr>
        <w:widowControl/>
        <w:spacing w:line="360" w:lineRule="auto"/>
        <w:ind w:firstLine="1440"/>
        <w:contextualSpacing/>
        <w:rPr>
          <w:sz w:val="26"/>
          <w:szCs w:val="26"/>
        </w:rPr>
      </w:pPr>
      <w:r w:rsidRPr="00E9174E">
        <w:rPr>
          <w:sz w:val="26"/>
          <w:szCs w:val="26"/>
        </w:rPr>
        <w:t>I&amp;E noted that Columbia did not provide a list of criteria used to determine its Gas Group other than that the Gas Group is made up of the companies that TUS uses to calculate the cost of equity in its Quarterly Earnings Report.  I&amp;E also submitted that Columbia’s proxy group is flawed.  In this regard, I&amp;E explained that while both its own proxy group and the Company’s Gas Group contain seven of the same companies, Columbia’s Gas Group includes two companies that I&amp;E does not use.  More specifically, I&amp;E excluded New Jersey Resources Corp. (New Jersey Resources) and Southwest Gas Holdings, Inc. (Southwest Gas Holdings), because neither met I&amp;E’s criterion that fifty percent or more of the company’s revenues must be generated from the regulated gas utility industry.  According to I&amp;E,</w:t>
      </w:r>
      <w:r w:rsidRPr="00E9174E">
        <w:rPr>
          <w:rFonts w:eastAsiaTheme="minorHAnsi"/>
          <w:sz w:val="26"/>
          <w:szCs w:val="26"/>
        </w:rPr>
        <w:t xml:space="preserve"> </w:t>
      </w:r>
      <w:r w:rsidRPr="00E9174E">
        <w:rPr>
          <w:sz w:val="26"/>
          <w:szCs w:val="26"/>
        </w:rPr>
        <w:t xml:space="preserve">if fewer than fifty percent of revenues come from the regulated gas business sector, a company is not comparable to the subject </w:t>
      </w:r>
      <w:r w:rsidRPr="00E9174E">
        <w:rPr>
          <w:sz w:val="26"/>
          <w:szCs w:val="26"/>
        </w:rPr>
        <w:lastRenderedPageBreak/>
        <w:t xml:space="preserve">utility as it does not provide a similar level of regulated business.  I&amp;E M.B. at 38; I&amp;E R.B. at 13.  </w:t>
      </w:r>
    </w:p>
    <w:p w14:paraId="784CFDFA" w14:textId="77777777" w:rsidR="00D231F4" w:rsidRPr="00E9174E" w:rsidRDefault="00D231F4" w:rsidP="00E9174E">
      <w:pPr>
        <w:widowControl/>
        <w:spacing w:line="360" w:lineRule="auto"/>
        <w:ind w:firstLine="1440"/>
        <w:contextualSpacing/>
        <w:rPr>
          <w:rFonts w:eastAsiaTheme="minorHAnsi"/>
          <w:sz w:val="26"/>
          <w:szCs w:val="26"/>
        </w:rPr>
      </w:pPr>
    </w:p>
    <w:p w14:paraId="3CB8632C" w14:textId="172562C8" w:rsidR="00D231F4" w:rsidRPr="00E9174E" w:rsidRDefault="00D231F4" w:rsidP="00E9174E">
      <w:pPr>
        <w:widowControl/>
        <w:spacing w:line="360" w:lineRule="auto"/>
        <w:ind w:firstLine="1440"/>
        <w:contextualSpacing/>
        <w:rPr>
          <w:rFonts w:eastAsiaTheme="minorHAnsi"/>
          <w:sz w:val="26"/>
          <w:szCs w:val="26"/>
        </w:rPr>
      </w:pPr>
      <w:r w:rsidRPr="00E9174E">
        <w:rPr>
          <w:rFonts w:eastAsiaTheme="minorHAnsi"/>
          <w:sz w:val="26"/>
          <w:szCs w:val="26"/>
        </w:rPr>
        <w:t>The OCA’s proxy group included each of the companies in Columbia’s proxy group, with two differences.  First, while Columbia excluded UGI from its Gas Group, the OCA included this company.  The OCA noted that both it and the Company included Chesapeake Utilities in their respective proxy groups.  According to the OCA, Chesapeake Utilities operates a diverse set of businesses that include natural gas distribution, natural gas transmission, electric distribution operations, propane distribution and other lines of business.  The OCA stated that UGI operates a similarly diverse set of businesses.  According to the OCA, it is not appropriate to exclude one diversified company from consideration in a proxy group, while including another.  OCA</w:t>
      </w:r>
      <w:r w:rsidR="00B91EDA">
        <w:rPr>
          <w:rFonts w:eastAsiaTheme="minorHAnsi"/>
          <w:sz w:val="26"/>
          <w:szCs w:val="26"/>
        </w:rPr>
        <w:t> </w:t>
      </w:r>
      <w:r w:rsidRPr="00E9174E">
        <w:rPr>
          <w:rFonts w:eastAsiaTheme="minorHAnsi"/>
          <w:sz w:val="26"/>
          <w:szCs w:val="26"/>
        </w:rPr>
        <w:t>M.B. at 82</w:t>
      </w:r>
      <w:r w:rsidRPr="00E9174E">
        <w:rPr>
          <w:rFonts w:eastAsiaTheme="minorHAnsi"/>
          <w:sz w:val="26"/>
          <w:szCs w:val="26"/>
        </w:rPr>
        <w:noBreakHyphen/>
        <w:t xml:space="preserve">83.  </w:t>
      </w:r>
    </w:p>
    <w:p w14:paraId="08C15280" w14:textId="77777777" w:rsidR="00D231F4" w:rsidRPr="00E9174E" w:rsidRDefault="00D231F4" w:rsidP="00E9174E">
      <w:pPr>
        <w:widowControl/>
        <w:spacing w:line="360" w:lineRule="auto"/>
        <w:ind w:firstLine="1440"/>
        <w:contextualSpacing/>
        <w:rPr>
          <w:rFonts w:eastAsiaTheme="minorHAnsi"/>
          <w:sz w:val="26"/>
          <w:szCs w:val="26"/>
        </w:rPr>
      </w:pPr>
    </w:p>
    <w:p w14:paraId="7B869EDC" w14:textId="71E8DEAD" w:rsidR="00D231F4" w:rsidRPr="00E9174E" w:rsidRDefault="00D231F4" w:rsidP="00E9174E">
      <w:pPr>
        <w:widowControl/>
        <w:spacing w:line="360" w:lineRule="auto"/>
        <w:ind w:firstLine="1440"/>
        <w:contextualSpacing/>
        <w:rPr>
          <w:rFonts w:eastAsiaTheme="minorHAnsi"/>
          <w:sz w:val="26"/>
          <w:szCs w:val="26"/>
        </w:rPr>
      </w:pPr>
      <w:r w:rsidRPr="00E9174E">
        <w:rPr>
          <w:rFonts w:eastAsiaTheme="minorHAnsi"/>
          <w:sz w:val="26"/>
          <w:szCs w:val="26"/>
        </w:rPr>
        <w:t xml:space="preserve">Second, the OCA explained that while both Columbia and the OCA included Columbia’s parent company, NiSource, among the companies covered by their </w:t>
      </w:r>
      <w:bookmarkStart w:id="245" w:name="_Hlk63279099"/>
      <w:r w:rsidRPr="00E9174E">
        <w:rPr>
          <w:rFonts w:eastAsiaTheme="minorHAnsi"/>
          <w:sz w:val="26"/>
          <w:szCs w:val="26"/>
        </w:rPr>
        <w:t>discounted cash flow</w:t>
      </w:r>
      <w:bookmarkEnd w:id="245"/>
      <w:r w:rsidRPr="00E9174E">
        <w:rPr>
          <w:rFonts w:eastAsiaTheme="minorHAnsi"/>
          <w:sz w:val="26"/>
          <w:szCs w:val="26"/>
        </w:rPr>
        <w:t xml:space="preserve"> (</w:t>
      </w:r>
      <w:bookmarkStart w:id="246" w:name="_Hlk63279082"/>
      <w:r w:rsidRPr="00E9174E">
        <w:rPr>
          <w:rFonts w:eastAsiaTheme="minorHAnsi"/>
          <w:sz w:val="26"/>
          <w:szCs w:val="26"/>
        </w:rPr>
        <w:t>DCF</w:t>
      </w:r>
      <w:bookmarkEnd w:id="246"/>
      <w:r w:rsidRPr="00E9174E">
        <w:rPr>
          <w:rFonts w:eastAsiaTheme="minorHAnsi"/>
          <w:sz w:val="26"/>
          <w:szCs w:val="26"/>
        </w:rPr>
        <w:t xml:space="preserve">) and </w:t>
      </w:r>
      <w:bookmarkStart w:id="247" w:name="_Hlk63279134"/>
      <w:r w:rsidRPr="00E9174E">
        <w:rPr>
          <w:rFonts w:eastAsiaTheme="minorHAnsi"/>
          <w:sz w:val="26"/>
          <w:szCs w:val="26"/>
        </w:rPr>
        <w:t xml:space="preserve">capital asset pricing model </w:t>
      </w:r>
      <w:bookmarkEnd w:id="247"/>
      <w:r w:rsidRPr="00E9174E">
        <w:rPr>
          <w:rFonts w:eastAsiaTheme="minorHAnsi"/>
          <w:sz w:val="26"/>
          <w:szCs w:val="26"/>
        </w:rPr>
        <w:t>(</w:t>
      </w:r>
      <w:bookmarkStart w:id="248" w:name="_Hlk63279115"/>
      <w:r w:rsidRPr="00E9174E">
        <w:rPr>
          <w:rFonts w:eastAsiaTheme="minorHAnsi"/>
          <w:sz w:val="26"/>
          <w:szCs w:val="26"/>
        </w:rPr>
        <w:t>CAPM</w:t>
      </w:r>
      <w:bookmarkEnd w:id="248"/>
      <w:r w:rsidRPr="00E9174E">
        <w:rPr>
          <w:rFonts w:eastAsiaTheme="minorHAnsi"/>
          <w:sz w:val="26"/>
          <w:szCs w:val="26"/>
        </w:rPr>
        <w:t xml:space="preserve">) cost analyses, discussed, </w:t>
      </w:r>
      <w:r w:rsidRPr="00E9174E">
        <w:rPr>
          <w:rFonts w:eastAsiaTheme="minorHAnsi"/>
          <w:i/>
          <w:iCs/>
          <w:sz w:val="26"/>
          <w:szCs w:val="26"/>
        </w:rPr>
        <w:t>infra,</w:t>
      </w:r>
      <w:r w:rsidRPr="00E9174E">
        <w:rPr>
          <w:rFonts w:eastAsiaTheme="minorHAnsi"/>
          <w:sz w:val="26"/>
          <w:szCs w:val="26"/>
        </w:rPr>
        <w:t xml:space="preserve"> the OCA’s proxy group is comprised of the nine companies other than NiSource, as followed by </w:t>
      </w:r>
      <w:r w:rsidRPr="00E9174E">
        <w:rPr>
          <w:rFonts w:eastAsiaTheme="minorHAnsi"/>
          <w:i/>
          <w:iCs/>
          <w:sz w:val="26"/>
          <w:szCs w:val="26"/>
        </w:rPr>
        <w:t>Value Line</w:t>
      </w:r>
      <w:r w:rsidRPr="00E9174E">
        <w:rPr>
          <w:rFonts w:eastAsiaTheme="minorHAnsi"/>
          <w:sz w:val="26"/>
          <w:szCs w:val="26"/>
        </w:rPr>
        <w:t>.  The OCA continued that it performed a stand-alone cost of equity analysis directly on NiSource to avoid the problem of circularity, given that Columbia is owned by NiSource.  The OCA submitted that the cost of equity of a utility’s subsidiary is often closely linked to the cost of equity for the parent company.  OCA M.B. at 83.</w:t>
      </w:r>
    </w:p>
    <w:p w14:paraId="76895E1F" w14:textId="77777777" w:rsidR="00D231F4" w:rsidRPr="00E9174E" w:rsidRDefault="00D231F4" w:rsidP="00E9174E">
      <w:pPr>
        <w:widowControl/>
        <w:spacing w:line="360" w:lineRule="auto"/>
        <w:ind w:firstLine="1440"/>
        <w:contextualSpacing/>
        <w:rPr>
          <w:rFonts w:eastAsiaTheme="minorHAnsi"/>
          <w:sz w:val="26"/>
          <w:szCs w:val="26"/>
        </w:rPr>
      </w:pPr>
    </w:p>
    <w:p w14:paraId="0EECC360" w14:textId="77777777" w:rsidR="00D231F4" w:rsidRPr="00E9174E" w:rsidRDefault="00D231F4" w:rsidP="00E9174E">
      <w:pPr>
        <w:widowControl/>
        <w:spacing w:line="360" w:lineRule="auto"/>
        <w:ind w:firstLine="1440"/>
        <w:contextualSpacing/>
        <w:rPr>
          <w:rFonts w:eastAsiaTheme="minorHAnsi"/>
          <w:sz w:val="26"/>
          <w:szCs w:val="26"/>
        </w:rPr>
      </w:pPr>
      <w:r w:rsidRPr="00E9174E">
        <w:rPr>
          <w:rFonts w:eastAsiaTheme="minorHAnsi"/>
          <w:sz w:val="26"/>
          <w:szCs w:val="26"/>
        </w:rPr>
        <w:t xml:space="preserve">The OCA also explained that it disagreed with I&amp;E’s proxy group.  According to the OCA, removing certain companies within a proxy group of similar companies, as I&amp;E has done, is inherently subjective.  In addition, the OCA argued that removing companies from a group that is already small can result in data integrity issues.  Therefore, the OCA took the position that unless a company is currently going through </w:t>
      </w:r>
      <w:r w:rsidRPr="00E9174E">
        <w:rPr>
          <w:rFonts w:eastAsiaTheme="minorHAnsi"/>
          <w:sz w:val="26"/>
          <w:szCs w:val="26"/>
        </w:rPr>
        <w:lastRenderedPageBreak/>
        <w:t>bankruptcy or a merger/acquisition transaction, it should be included within a proxy group for transparency purposes.  OCA St. 3-R at 7.</w:t>
      </w:r>
    </w:p>
    <w:p w14:paraId="2C0FF3F2" w14:textId="77777777" w:rsidR="00D231F4" w:rsidRPr="00E9174E" w:rsidRDefault="00D231F4" w:rsidP="00E9174E">
      <w:pPr>
        <w:widowControl/>
        <w:spacing w:line="360" w:lineRule="auto"/>
        <w:ind w:firstLine="1440"/>
        <w:contextualSpacing/>
        <w:rPr>
          <w:rFonts w:eastAsiaTheme="minorHAnsi"/>
          <w:sz w:val="26"/>
          <w:szCs w:val="26"/>
        </w:rPr>
      </w:pPr>
    </w:p>
    <w:p w14:paraId="7B0E5BFC" w14:textId="77777777" w:rsidR="00D231F4" w:rsidRPr="00E9174E" w:rsidRDefault="00D231F4" w:rsidP="00E9174E">
      <w:pPr>
        <w:widowControl/>
        <w:spacing w:line="360" w:lineRule="auto"/>
        <w:ind w:firstLine="1440"/>
        <w:contextualSpacing/>
        <w:rPr>
          <w:rFonts w:eastAsiaTheme="minorHAnsi"/>
          <w:sz w:val="26"/>
          <w:szCs w:val="26"/>
        </w:rPr>
      </w:pPr>
      <w:r w:rsidRPr="00E9174E">
        <w:rPr>
          <w:rFonts w:eastAsiaTheme="minorHAnsi"/>
          <w:sz w:val="26"/>
          <w:szCs w:val="26"/>
        </w:rPr>
        <w:t xml:space="preserve">In response to I&amp;E’s criticism of its Gas Group, Columbia argued that excluding companies based on the percentage of regulated revenues is not an appropriate screen to eliminate companies from a proxy group because the margins on other business segments within proxy group companies are generally dissimilar to the utility business.  Additionally, in response to the OCA’s criticism of its Gas Group, Columbia asserted that UGI should not be included in a gas proxy group because it is not a comparable gas utility.  Columbia pointed out that Non-utility operations comprise 73% of UGI’s assets, 82% of its revenues and 48% of its net income.  Columbia also asserted that no weight should be given to the OCA’s separate analysis of NiSource because a single company is not a proxy group.  CG M.B. at 73-74.  </w:t>
      </w:r>
    </w:p>
    <w:p w14:paraId="70EBC0EA" w14:textId="77777777" w:rsidR="00D231F4" w:rsidRPr="00E9174E" w:rsidRDefault="00D231F4" w:rsidP="00E9174E">
      <w:pPr>
        <w:widowControl/>
        <w:spacing w:line="360" w:lineRule="auto"/>
        <w:ind w:firstLine="1440"/>
        <w:contextualSpacing/>
        <w:rPr>
          <w:rFonts w:eastAsiaTheme="minorHAnsi"/>
          <w:sz w:val="26"/>
          <w:szCs w:val="26"/>
        </w:rPr>
      </w:pPr>
    </w:p>
    <w:p w14:paraId="1F54C047" w14:textId="77777777" w:rsidR="00D231F4" w:rsidRPr="00E9174E" w:rsidRDefault="00D231F4" w:rsidP="00E9174E">
      <w:pPr>
        <w:widowControl/>
        <w:spacing w:line="360" w:lineRule="auto"/>
        <w:ind w:firstLine="1440"/>
        <w:contextualSpacing/>
        <w:rPr>
          <w:sz w:val="26"/>
          <w:szCs w:val="26"/>
        </w:rPr>
      </w:pPr>
      <w:r w:rsidRPr="00E9174E">
        <w:rPr>
          <w:sz w:val="26"/>
          <w:szCs w:val="26"/>
        </w:rPr>
        <w:t>The following table is a summary of the companies each party utilized in their respective proxy groups:</w:t>
      </w:r>
    </w:p>
    <w:p w14:paraId="0A248902" w14:textId="77777777" w:rsidR="00E919D2" w:rsidRPr="00E9174E" w:rsidRDefault="00E919D2" w:rsidP="00E9174E">
      <w:pPr>
        <w:widowControl/>
        <w:spacing w:line="360" w:lineRule="auto"/>
        <w:ind w:firstLine="1440"/>
        <w:contextualSpacing/>
        <w:rPr>
          <w:rFonts w:eastAsiaTheme="minorHAnsi"/>
          <w:sz w:val="26"/>
          <w:szCs w:val="26"/>
        </w:rPr>
      </w:pPr>
    </w:p>
    <w:tbl>
      <w:tblPr>
        <w:tblW w:w="9810" w:type="dxa"/>
        <w:tblLook w:val="04A0" w:firstRow="1" w:lastRow="0" w:firstColumn="1" w:lastColumn="0" w:noHBand="0" w:noVBand="1"/>
      </w:tblPr>
      <w:tblGrid>
        <w:gridCol w:w="3330"/>
        <w:gridCol w:w="3240"/>
        <w:gridCol w:w="3240"/>
      </w:tblGrid>
      <w:tr w:rsidR="00E919D2" w:rsidRPr="00E9174E" w14:paraId="7557B0C9" w14:textId="77777777" w:rsidTr="00CC66FD">
        <w:trPr>
          <w:trHeight w:val="330"/>
        </w:trPr>
        <w:tc>
          <w:tcPr>
            <w:tcW w:w="3330" w:type="dxa"/>
            <w:tcBorders>
              <w:top w:val="nil"/>
              <w:left w:val="nil"/>
              <w:bottom w:val="nil"/>
              <w:right w:val="nil"/>
            </w:tcBorders>
            <w:shd w:val="clear" w:color="auto" w:fill="auto"/>
            <w:noWrap/>
            <w:vAlign w:val="bottom"/>
            <w:hideMark/>
          </w:tcPr>
          <w:p w14:paraId="36A8CF3E" w14:textId="77777777" w:rsidR="00E919D2" w:rsidRPr="00E9174E" w:rsidRDefault="00E919D2" w:rsidP="00E9174E">
            <w:pPr>
              <w:keepNext/>
              <w:keepLines/>
              <w:widowControl/>
              <w:spacing w:line="360" w:lineRule="auto"/>
              <w:contextualSpacing/>
              <w:jc w:val="center"/>
              <w:rPr>
                <w:b/>
                <w:bCs/>
                <w:color w:val="000000"/>
                <w:sz w:val="26"/>
                <w:szCs w:val="26"/>
              </w:rPr>
            </w:pPr>
            <w:r w:rsidRPr="00E9174E">
              <w:rPr>
                <w:b/>
                <w:bCs/>
                <w:color w:val="000000"/>
                <w:sz w:val="26"/>
                <w:szCs w:val="26"/>
              </w:rPr>
              <w:lastRenderedPageBreak/>
              <w:t>Columbia</w:t>
            </w:r>
          </w:p>
        </w:tc>
        <w:tc>
          <w:tcPr>
            <w:tcW w:w="3240" w:type="dxa"/>
            <w:tcBorders>
              <w:top w:val="nil"/>
              <w:left w:val="nil"/>
              <w:bottom w:val="nil"/>
              <w:right w:val="nil"/>
            </w:tcBorders>
            <w:shd w:val="clear" w:color="auto" w:fill="auto"/>
            <w:noWrap/>
            <w:vAlign w:val="bottom"/>
            <w:hideMark/>
          </w:tcPr>
          <w:p w14:paraId="05235C3D" w14:textId="77777777" w:rsidR="00E919D2" w:rsidRPr="00E9174E" w:rsidRDefault="00E919D2" w:rsidP="00E9174E">
            <w:pPr>
              <w:keepNext/>
              <w:keepLines/>
              <w:widowControl/>
              <w:spacing w:line="360" w:lineRule="auto"/>
              <w:contextualSpacing/>
              <w:jc w:val="center"/>
              <w:rPr>
                <w:b/>
                <w:bCs/>
                <w:color w:val="000000"/>
                <w:sz w:val="26"/>
                <w:szCs w:val="26"/>
              </w:rPr>
            </w:pPr>
            <w:r w:rsidRPr="00E9174E">
              <w:rPr>
                <w:b/>
                <w:bCs/>
                <w:color w:val="000000"/>
                <w:sz w:val="26"/>
                <w:szCs w:val="26"/>
              </w:rPr>
              <w:t>OCA</w:t>
            </w:r>
          </w:p>
        </w:tc>
        <w:tc>
          <w:tcPr>
            <w:tcW w:w="3240" w:type="dxa"/>
            <w:tcBorders>
              <w:top w:val="nil"/>
              <w:left w:val="nil"/>
              <w:bottom w:val="nil"/>
              <w:right w:val="nil"/>
            </w:tcBorders>
            <w:shd w:val="clear" w:color="auto" w:fill="auto"/>
            <w:noWrap/>
            <w:vAlign w:val="bottom"/>
            <w:hideMark/>
          </w:tcPr>
          <w:p w14:paraId="3896340D" w14:textId="77777777" w:rsidR="00E919D2" w:rsidRPr="00E9174E" w:rsidRDefault="00E919D2" w:rsidP="00E9174E">
            <w:pPr>
              <w:keepNext/>
              <w:keepLines/>
              <w:widowControl/>
              <w:spacing w:line="360" w:lineRule="auto"/>
              <w:contextualSpacing/>
              <w:jc w:val="center"/>
              <w:rPr>
                <w:b/>
                <w:bCs/>
                <w:color w:val="000000"/>
                <w:sz w:val="26"/>
                <w:szCs w:val="26"/>
              </w:rPr>
            </w:pPr>
            <w:r w:rsidRPr="00E9174E">
              <w:rPr>
                <w:b/>
                <w:bCs/>
                <w:color w:val="000000"/>
                <w:sz w:val="26"/>
                <w:szCs w:val="26"/>
              </w:rPr>
              <w:t>I&amp;E</w:t>
            </w:r>
          </w:p>
        </w:tc>
      </w:tr>
      <w:tr w:rsidR="00E919D2" w:rsidRPr="00E9174E" w14:paraId="111E5443" w14:textId="77777777" w:rsidTr="00CC66FD">
        <w:trPr>
          <w:trHeight w:val="330"/>
        </w:trPr>
        <w:tc>
          <w:tcPr>
            <w:tcW w:w="3330" w:type="dxa"/>
            <w:tcBorders>
              <w:top w:val="single" w:sz="4" w:space="0" w:color="auto"/>
              <w:left w:val="single" w:sz="4" w:space="0" w:color="auto"/>
              <w:bottom w:val="nil"/>
              <w:right w:val="nil"/>
            </w:tcBorders>
            <w:shd w:val="clear" w:color="auto" w:fill="auto"/>
            <w:noWrap/>
            <w:vAlign w:val="bottom"/>
            <w:hideMark/>
          </w:tcPr>
          <w:p w14:paraId="4025F599" w14:textId="77777777" w:rsidR="00E919D2" w:rsidRPr="00E9174E" w:rsidRDefault="00E919D2" w:rsidP="00E9174E">
            <w:pPr>
              <w:keepNext/>
              <w:keepLines/>
              <w:widowControl/>
              <w:spacing w:line="360" w:lineRule="auto"/>
              <w:contextualSpacing/>
              <w:rPr>
                <w:color w:val="000000"/>
                <w:sz w:val="26"/>
                <w:szCs w:val="26"/>
              </w:rPr>
            </w:pPr>
            <w:r w:rsidRPr="00E9174E">
              <w:rPr>
                <w:color w:val="000000"/>
                <w:sz w:val="26"/>
                <w:szCs w:val="26"/>
              </w:rPr>
              <w:t>Atmos Energy Corp.</w:t>
            </w:r>
          </w:p>
        </w:tc>
        <w:tc>
          <w:tcPr>
            <w:tcW w:w="3240" w:type="dxa"/>
            <w:tcBorders>
              <w:top w:val="single" w:sz="4" w:space="0" w:color="auto"/>
              <w:left w:val="single" w:sz="4" w:space="0" w:color="auto"/>
              <w:bottom w:val="nil"/>
              <w:right w:val="single" w:sz="4" w:space="0" w:color="auto"/>
            </w:tcBorders>
            <w:shd w:val="clear" w:color="auto" w:fill="auto"/>
            <w:noWrap/>
            <w:vAlign w:val="bottom"/>
            <w:hideMark/>
          </w:tcPr>
          <w:p w14:paraId="0B4BBBB0" w14:textId="77777777" w:rsidR="00E919D2" w:rsidRPr="00E9174E" w:rsidRDefault="00E919D2" w:rsidP="00E9174E">
            <w:pPr>
              <w:keepNext/>
              <w:keepLines/>
              <w:widowControl/>
              <w:spacing w:line="360" w:lineRule="auto"/>
              <w:contextualSpacing/>
              <w:rPr>
                <w:color w:val="000000"/>
                <w:sz w:val="26"/>
                <w:szCs w:val="26"/>
              </w:rPr>
            </w:pPr>
            <w:r w:rsidRPr="00E9174E">
              <w:rPr>
                <w:color w:val="000000"/>
                <w:sz w:val="26"/>
                <w:szCs w:val="26"/>
              </w:rPr>
              <w:t>Atmos Energy Corp.</w:t>
            </w:r>
          </w:p>
        </w:tc>
        <w:tc>
          <w:tcPr>
            <w:tcW w:w="3240" w:type="dxa"/>
            <w:tcBorders>
              <w:top w:val="single" w:sz="4" w:space="0" w:color="auto"/>
              <w:left w:val="nil"/>
              <w:bottom w:val="nil"/>
              <w:right w:val="single" w:sz="4" w:space="0" w:color="auto"/>
            </w:tcBorders>
            <w:shd w:val="clear" w:color="auto" w:fill="auto"/>
            <w:noWrap/>
            <w:vAlign w:val="bottom"/>
            <w:hideMark/>
          </w:tcPr>
          <w:p w14:paraId="736BFEE4" w14:textId="77777777" w:rsidR="00E919D2" w:rsidRPr="00E9174E" w:rsidRDefault="00E919D2" w:rsidP="00E9174E">
            <w:pPr>
              <w:keepNext/>
              <w:keepLines/>
              <w:widowControl/>
              <w:spacing w:line="360" w:lineRule="auto"/>
              <w:contextualSpacing/>
              <w:rPr>
                <w:color w:val="000000"/>
                <w:sz w:val="26"/>
                <w:szCs w:val="26"/>
              </w:rPr>
            </w:pPr>
            <w:r w:rsidRPr="00E9174E">
              <w:rPr>
                <w:color w:val="000000"/>
                <w:sz w:val="26"/>
                <w:szCs w:val="26"/>
              </w:rPr>
              <w:t>Atmos Energy Corp.</w:t>
            </w:r>
          </w:p>
        </w:tc>
      </w:tr>
      <w:tr w:rsidR="00E919D2" w:rsidRPr="00E9174E" w14:paraId="50B210BD" w14:textId="77777777" w:rsidTr="00CC66FD">
        <w:trPr>
          <w:trHeight w:val="330"/>
        </w:trPr>
        <w:tc>
          <w:tcPr>
            <w:tcW w:w="3330" w:type="dxa"/>
            <w:tcBorders>
              <w:top w:val="single" w:sz="4" w:space="0" w:color="auto"/>
              <w:left w:val="single" w:sz="4" w:space="0" w:color="auto"/>
              <w:bottom w:val="single" w:sz="4" w:space="0" w:color="auto"/>
              <w:right w:val="nil"/>
            </w:tcBorders>
            <w:shd w:val="clear" w:color="auto" w:fill="auto"/>
            <w:noWrap/>
            <w:vAlign w:val="bottom"/>
            <w:hideMark/>
          </w:tcPr>
          <w:p w14:paraId="53934350" w14:textId="77777777" w:rsidR="00E919D2" w:rsidRPr="00E9174E" w:rsidRDefault="00E919D2" w:rsidP="00E9174E">
            <w:pPr>
              <w:keepNext/>
              <w:keepLines/>
              <w:widowControl/>
              <w:spacing w:line="360" w:lineRule="auto"/>
              <w:contextualSpacing/>
              <w:rPr>
                <w:color w:val="000000"/>
                <w:sz w:val="26"/>
                <w:szCs w:val="26"/>
              </w:rPr>
            </w:pPr>
            <w:r w:rsidRPr="00E9174E">
              <w:rPr>
                <w:color w:val="000000"/>
                <w:sz w:val="26"/>
                <w:szCs w:val="26"/>
              </w:rPr>
              <w:t>Chesapeake Utilities Corp.</w:t>
            </w: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8A3E03" w14:textId="77777777" w:rsidR="00E919D2" w:rsidRPr="00E9174E" w:rsidRDefault="00E919D2" w:rsidP="00E9174E">
            <w:pPr>
              <w:keepNext/>
              <w:keepLines/>
              <w:widowControl/>
              <w:spacing w:line="360" w:lineRule="auto"/>
              <w:contextualSpacing/>
              <w:rPr>
                <w:color w:val="000000"/>
                <w:sz w:val="26"/>
                <w:szCs w:val="26"/>
              </w:rPr>
            </w:pPr>
            <w:r w:rsidRPr="00E9174E">
              <w:rPr>
                <w:color w:val="000000"/>
                <w:sz w:val="26"/>
                <w:szCs w:val="26"/>
              </w:rPr>
              <w:t>Chesapeake Utilities Corp.</w:t>
            </w:r>
          </w:p>
        </w:tc>
        <w:tc>
          <w:tcPr>
            <w:tcW w:w="3240" w:type="dxa"/>
            <w:tcBorders>
              <w:top w:val="single" w:sz="4" w:space="0" w:color="auto"/>
              <w:left w:val="nil"/>
              <w:bottom w:val="single" w:sz="4" w:space="0" w:color="auto"/>
              <w:right w:val="single" w:sz="4" w:space="0" w:color="auto"/>
            </w:tcBorders>
            <w:shd w:val="clear" w:color="auto" w:fill="auto"/>
            <w:noWrap/>
            <w:vAlign w:val="bottom"/>
            <w:hideMark/>
          </w:tcPr>
          <w:p w14:paraId="7979CCC8" w14:textId="77777777" w:rsidR="00E919D2" w:rsidRPr="00E9174E" w:rsidRDefault="00E919D2" w:rsidP="00E9174E">
            <w:pPr>
              <w:keepNext/>
              <w:keepLines/>
              <w:widowControl/>
              <w:spacing w:line="360" w:lineRule="auto"/>
              <w:contextualSpacing/>
              <w:rPr>
                <w:color w:val="000000"/>
                <w:sz w:val="26"/>
                <w:szCs w:val="26"/>
              </w:rPr>
            </w:pPr>
            <w:r w:rsidRPr="00E9174E">
              <w:rPr>
                <w:color w:val="000000"/>
                <w:sz w:val="26"/>
                <w:szCs w:val="26"/>
              </w:rPr>
              <w:t>Chesapeake Utilities Corp.</w:t>
            </w:r>
          </w:p>
        </w:tc>
      </w:tr>
      <w:tr w:rsidR="00E919D2" w:rsidRPr="00E9174E" w14:paraId="650D9503" w14:textId="77777777" w:rsidTr="00CC66FD">
        <w:trPr>
          <w:trHeight w:val="330"/>
        </w:trPr>
        <w:tc>
          <w:tcPr>
            <w:tcW w:w="3330" w:type="dxa"/>
            <w:tcBorders>
              <w:top w:val="nil"/>
              <w:left w:val="single" w:sz="4" w:space="0" w:color="auto"/>
              <w:bottom w:val="single" w:sz="4" w:space="0" w:color="auto"/>
              <w:right w:val="nil"/>
            </w:tcBorders>
            <w:shd w:val="clear" w:color="auto" w:fill="auto"/>
            <w:noWrap/>
            <w:vAlign w:val="bottom"/>
            <w:hideMark/>
          </w:tcPr>
          <w:p w14:paraId="5A38F4B5" w14:textId="77777777" w:rsidR="00E919D2" w:rsidRPr="00E9174E" w:rsidRDefault="00E919D2" w:rsidP="00E9174E">
            <w:pPr>
              <w:keepNext/>
              <w:keepLines/>
              <w:widowControl/>
              <w:spacing w:line="360" w:lineRule="auto"/>
              <w:contextualSpacing/>
              <w:rPr>
                <w:color w:val="000000"/>
                <w:sz w:val="26"/>
                <w:szCs w:val="26"/>
              </w:rPr>
            </w:pPr>
            <w:r w:rsidRPr="00E9174E">
              <w:rPr>
                <w:color w:val="000000"/>
                <w:sz w:val="26"/>
                <w:szCs w:val="26"/>
              </w:rPr>
              <w:t>New Jersey Resources Corp.</w:t>
            </w:r>
          </w:p>
        </w:tc>
        <w:tc>
          <w:tcPr>
            <w:tcW w:w="3240" w:type="dxa"/>
            <w:tcBorders>
              <w:top w:val="nil"/>
              <w:left w:val="single" w:sz="4" w:space="0" w:color="auto"/>
              <w:bottom w:val="single" w:sz="4" w:space="0" w:color="auto"/>
              <w:right w:val="single" w:sz="4" w:space="0" w:color="auto"/>
            </w:tcBorders>
            <w:shd w:val="clear" w:color="auto" w:fill="auto"/>
            <w:noWrap/>
            <w:vAlign w:val="bottom"/>
            <w:hideMark/>
          </w:tcPr>
          <w:p w14:paraId="5610999F" w14:textId="77777777" w:rsidR="00E919D2" w:rsidRPr="00E9174E" w:rsidRDefault="00E919D2" w:rsidP="00E9174E">
            <w:pPr>
              <w:keepNext/>
              <w:keepLines/>
              <w:widowControl/>
              <w:spacing w:line="360" w:lineRule="auto"/>
              <w:contextualSpacing/>
              <w:rPr>
                <w:color w:val="000000"/>
                <w:sz w:val="26"/>
                <w:szCs w:val="26"/>
              </w:rPr>
            </w:pPr>
            <w:r w:rsidRPr="00E9174E">
              <w:rPr>
                <w:color w:val="000000"/>
                <w:sz w:val="26"/>
                <w:szCs w:val="26"/>
              </w:rPr>
              <w:t>New Jersey Resources Corp.</w:t>
            </w:r>
          </w:p>
        </w:tc>
        <w:tc>
          <w:tcPr>
            <w:tcW w:w="3240" w:type="dxa"/>
            <w:tcBorders>
              <w:top w:val="nil"/>
              <w:left w:val="nil"/>
              <w:bottom w:val="single" w:sz="4" w:space="0" w:color="auto"/>
              <w:right w:val="single" w:sz="4" w:space="0" w:color="auto"/>
            </w:tcBorders>
            <w:shd w:val="clear" w:color="auto" w:fill="auto"/>
            <w:noWrap/>
            <w:vAlign w:val="bottom"/>
            <w:hideMark/>
          </w:tcPr>
          <w:p w14:paraId="55E248BE" w14:textId="77777777" w:rsidR="00E919D2" w:rsidRPr="00E9174E" w:rsidRDefault="00E919D2" w:rsidP="00E9174E">
            <w:pPr>
              <w:keepNext/>
              <w:keepLines/>
              <w:widowControl/>
              <w:spacing w:line="360" w:lineRule="auto"/>
              <w:contextualSpacing/>
              <w:rPr>
                <w:color w:val="000000"/>
                <w:sz w:val="26"/>
                <w:szCs w:val="26"/>
              </w:rPr>
            </w:pPr>
            <w:r w:rsidRPr="00E9174E">
              <w:rPr>
                <w:color w:val="000000"/>
                <w:sz w:val="26"/>
                <w:szCs w:val="26"/>
              </w:rPr>
              <w:t>NiSource, Inc.</w:t>
            </w:r>
          </w:p>
        </w:tc>
      </w:tr>
      <w:tr w:rsidR="00E919D2" w:rsidRPr="00E9174E" w14:paraId="182A23FB" w14:textId="77777777" w:rsidTr="00CC66FD">
        <w:trPr>
          <w:trHeight w:val="330"/>
        </w:trPr>
        <w:tc>
          <w:tcPr>
            <w:tcW w:w="3330" w:type="dxa"/>
            <w:tcBorders>
              <w:top w:val="nil"/>
              <w:left w:val="single" w:sz="4" w:space="0" w:color="auto"/>
              <w:bottom w:val="single" w:sz="4" w:space="0" w:color="auto"/>
              <w:right w:val="nil"/>
            </w:tcBorders>
            <w:shd w:val="clear" w:color="auto" w:fill="auto"/>
            <w:noWrap/>
            <w:vAlign w:val="bottom"/>
            <w:hideMark/>
          </w:tcPr>
          <w:p w14:paraId="551A74D2" w14:textId="77777777" w:rsidR="00E919D2" w:rsidRPr="00E9174E" w:rsidRDefault="00E919D2" w:rsidP="00E9174E">
            <w:pPr>
              <w:keepNext/>
              <w:keepLines/>
              <w:widowControl/>
              <w:spacing w:line="360" w:lineRule="auto"/>
              <w:contextualSpacing/>
              <w:rPr>
                <w:color w:val="000000"/>
                <w:sz w:val="26"/>
                <w:szCs w:val="26"/>
              </w:rPr>
            </w:pPr>
            <w:r w:rsidRPr="00E9174E">
              <w:rPr>
                <w:color w:val="000000"/>
                <w:sz w:val="26"/>
                <w:szCs w:val="26"/>
              </w:rPr>
              <w:t>NiSource, Inc.</w:t>
            </w:r>
          </w:p>
        </w:tc>
        <w:tc>
          <w:tcPr>
            <w:tcW w:w="3240" w:type="dxa"/>
            <w:tcBorders>
              <w:top w:val="nil"/>
              <w:left w:val="single" w:sz="4" w:space="0" w:color="auto"/>
              <w:bottom w:val="single" w:sz="4" w:space="0" w:color="auto"/>
              <w:right w:val="single" w:sz="4" w:space="0" w:color="auto"/>
            </w:tcBorders>
            <w:shd w:val="clear" w:color="auto" w:fill="auto"/>
            <w:noWrap/>
            <w:vAlign w:val="bottom"/>
            <w:hideMark/>
          </w:tcPr>
          <w:p w14:paraId="7300893B" w14:textId="77777777" w:rsidR="00E919D2" w:rsidRPr="00E9174E" w:rsidRDefault="00E919D2" w:rsidP="00E9174E">
            <w:pPr>
              <w:keepNext/>
              <w:keepLines/>
              <w:widowControl/>
              <w:spacing w:line="360" w:lineRule="auto"/>
              <w:contextualSpacing/>
              <w:rPr>
                <w:color w:val="000000"/>
                <w:sz w:val="26"/>
                <w:szCs w:val="26"/>
              </w:rPr>
            </w:pPr>
            <w:r w:rsidRPr="00E9174E">
              <w:rPr>
                <w:color w:val="000000"/>
                <w:sz w:val="26"/>
                <w:szCs w:val="26"/>
              </w:rPr>
              <w:t>NiSource, Inc.</w:t>
            </w:r>
            <w:r w:rsidRPr="00E9174E">
              <w:rPr>
                <w:color w:val="000000"/>
                <w:sz w:val="26"/>
                <w:szCs w:val="26"/>
                <w:vertAlign w:val="superscript"/>
              </w:rPr>
              <w:footnoteReference w:id="40"/>
            </w:r>
          </w:p>
        </w:tc>
        <w:tc>
          <w:tcPr>
            <w:tcW w:w="3240" w:type="dxa"/>
            <w:tcBorders>
              <w:top w:val="nil"/>
              <w:left w:val="nil"/>
              <w:bottom w:val="single" w:sz="4" w:space="0" w:color="auto"/>
              <w:right w:val="single" w:sz="4" w:space="0" w:color="auto"/>
            </w:tcBorders>
            <w:shd w:val="clear" w:color="auto" w:fill="auto"/>
            <w:noWrap/>
            <w:vAlign w:val="bottom"/>
            <w:hideMark/>
          </w:tcPr>
          <w:p w14:paraId="769DA0AE" w14:textId="77777777" w:rsidR="00E919D2" w:rsidRPr="00E9174E" w:rsidRDefault="00E919D2" w:rsidP="00E9174E">
            <w:pPr>
              <w:keepNext/>
              <w:keepLines/>
              <w:widowControl/>
              <w:spacing w:line="360" w:lineRule="auto"/>
              <w:contextualSpacing/>
              <w:rPr>
                <w:color w:val="000000"/>
                <w:sz w:val="26"/>
                <w:szCs w:val="26"/>
              </w:rPr>
            </w:pPr>
            <w:r w:rsidRPr="00E9174E">
              <w:rPr>
                <w:color w:val="000000"/>
                <w:sz w:val="26"/>
                <w:szCs w:val="26"/>
              </w:rPr>
              <w:t>Northwest Natural Gas</w:t>
            </w:r>
          </w:p>
        </w:tc>
      </w:tr>
      <w:tr w:rsidR="00E919D2" w:rsidRPr="00E9174E" w14:paraId="1596F06E" w14:textId="77777777" w:rsidTr="00CC66FD">
        <w:trPr>
          <w:trHeight w:val="330"/>
        </w:trPr>
        <w:tc>
          <w:tcPr>
            <w:tcW w:w="3330" w:type="dxa"/>
            <w:tcBorders>
              <w:top w:val="nil"/>
              <w:left w:val="single" w:sz="4" w:space="0" w:color="auto"/>
              <w:bottom w:val="single" w:sz="4" w:space="0" w:color="auto"/>
              <w:right w:val="nil"/>
            </w:tcBorders>
            <w:shd w:val="clear" w:color="auto" w:fill="auto"/>
            <w:noWrap/>
            <w:vAlign w:val="bottom"/>
            <w:hideMark/>
          </w:tcPr>
          <w:p w14:paraId="23B315E6" w14:textId="77777777" w:rsidR="00E919D2" w:rsidRPr="00E9174E" w:rsidRDefault="00E919D2" w:rsidP="00E9174E">
            <w:pPr>
              <w:keepNext/>
              <w:keepLines/>
              <w:widowControl/>
              <w:spacing w:line="360" w:lineRule="auto"/>
              <w:contextualSpacing/>
              <w:rPr>
                <w:color w:val="000000"/>
                <w:sz w:val="26"/>
                <w:szCs w:val="26"/>
              </w:rPr>
            </w:pPr>
            <w:r w:rsidRPr="00E9174E">
              <w:rPr>
                <w:color w:val="000000"/>
                <w:sz w:val="26"/>
                <w:szCs w:val="26"/>
              </w:rPr>
              <w:t>Northwest Natural Gas</w:t>
            </w:r>
          </w:p>
        </w:tc>
        <w:tc>
          <w:tcPr>
            <w:tcW w:w="3240" w:type="dxa"/>
            <w:tcBorders>
              <w:top w:val="nil"/>
              <w:left w:val="single" w:sz="4" w:space="0" w:color="auto"/>
              <w:bottom w:val="single" w:sz="4" w:space="0" w:color="auto"/>
              <w:right w:val="single" w:sz="4" w:space="0" w:color="auto"/>
            </w:tcBorders>
            <w:shd w:val="clear" w:color="auto" w:fill="auto"/>
            <w:noWrap/>
            <w:vAlign w:val="bottom"/>
            <w:hideMark/>
          </w:tcPr>
          <w:p w14:paraId="285BD77F" w14:textId="77777777" w:rsidR="00E919D2" w:rsidRPr="00E9174E" w:rsidRDefault="00E919D2" w:rsidP="00E9174E">
            <w:pPr>
              <w:keepNext/>
              <w:keepLines/>
              <w:widowControl/>
              <w:spacing w:line="360" w:lineRule="auto"/>
              <w:contextualSpacing/>
              <w:rPr>
                <w:color w:val="000000"/>
                <w:sz w:val="26"/>
                <w:szCs w:val="26"/>
              </w:rPr>
            </w:pPr>
            <w:r w:rsidRPr="00E9174E">
              <w:rPr>
                <w:color w:val="000000"/>
                <w:sz w:val="26"/>
                <w:szCs w:val="26"/>
              </w:rPr>
              <w:t>Northwest Natural Gas</w:t>
            </w:r>
          </w:p>
        </w:tc>
        <w:tc>
          <w:tcPr>
            <w:tcW w:w="3240" w:type="dxa"/>
            <w:tcBorders>
              <w:top w:val="nil"/>
              <w:left w:val="nil"/>
              <w:bottom w:val="single" w:sz="4" w:space="0" w:color="auto"/>
              <w:right w:val="single" w:sz="4" w:space="0" w:color="auto"/>
            </w:tcBorders>
            <w:shd w:val="clear" w:color="auto" w:fill="auto"/>
            <w:noWrap/>
            <w:vAlign w:val="bottom"/>
            <w:hideMark/>
          </w:tcPr>
          <w:p w14:paraId="6666ECCA" w14:textId="77777777" w:rsidR="00E919D2" w:rsidRPr="00E9174E" w:rsidRDefault="00E919D2" w:rsidP="00E9174E">
            <w:pPr>
              <w:keepNext/>
              <w:keepLines/>
              <w:widowControl/>
              <w:spacing w:line="360" w:lineRule="auto"/>
              <w:contextualSpacing/>
              <w:rPr>
                <w:color w:val="000000"/>
                <w:sz w:val="26"/>
                <w:szCs w:val="26"/>
              </w:rPr>
            </w:pPr>
            <w:r w:rsidRPr="00E9174E">
              <w:rPr>
                <w:color w:val="000000"/>
                <w:sz w:val="26"/>
                <w:szCs w:val="26"/>
              </w:rPr>
              <w:t xml:space="preserve">One Gas, Inc. </w:t>
            </w:r>
          </w:p>
        </w:tc>
      </w:tr>
      <w:tr w:rsidR="00E919D2" w:rsidRPr="00E9174E" w14:paraId="221F4CA9" w14:textId="77777777" w:rsidTr="00CC66FD">
        <w:trPr>
          <w:trHeight w:val="330"/>
        </w:trPr>
        <w:tc>
          <w:tcPr>
            <w:tcW w:w="3330" w:type="dxa"/>
            <w:tcBorders>
              <w:top w:val="nil"/>
              <w:left w:val="single" w:sz="4" w:space="0" w:color="auto"/>
              <w:bottom w:val="single" w:sz="4" w:space="0" w:color="auto"/>
              <w:right w:val="nil"/>
            </w:tcBorders>
            <w:shd w:val="clear" w:color="auto" w:fill="auto"/>
            <w:noWrap/>
            <w:vAlign w:val="bottom"/>
            <w:hideMark/>
          </w:tcPr>
          <w:p w14:paraId="5A9266C7" w14:textId="77777777" w:rsidR="00E919D2" w:rsidRPr="00E9174E" w:rsidRDefault="00E919D2" w:rsidP="00E9174E">
            <w:pPr>
              <w:keepNext/>
              <w:keepLines/>
              <w:widowControl/>
              <w:spacing w:line="360" w:lineRule="auto"/>
              <w:contextualSpacing/>
              <w:rPr>
                <w:color w:val="000000"/>
                <w:sz w:val="26"/>
                <w:szCs w:val="26"/>
              </w:rPr>
            </w:pPr>
            <w:r w:rsidRPr="00E9174E">
              <w:rPr>
                <w:color w:val="000000"/>
                <w:sz w:val="26"/>
                <w:szCs w:val="26"/>
              </w:rPr>
              <w:t xml:space="preserve">One Gas, Inc. </w:t>
            </w:r>
          </w:p>
        </w:tc>
        <w:tc>
          <w:tcPr>
            <w:tcW w:w="3240" w:type="dxa"/>
            <w:tcBorders>
              <w:top w:val="nil"/>
              <w:left w:val="single" w:sz="4" w:space="0" w:color="auto"/>
              <w:bottom w:val="single" w:sz="4" w:space="0" w:color="auto"/>
              <w:right w:val="nil"/>
            </w:tcBorders>
            <w:shd w:val="clear" w:color="auto" w:fill="auto"/>
            <w:noWrap/>
            <w:vAlign w:val="bottom"/>
            <w:hideMark/>
          </w:tcPr>
          <w:p w14:paraId="3D7DD0B0" w14:textId="77777777" w:rsidR="00E919D2" w:rsidRPr="00E9174E" w:rsidRDefault="00E919D2" w:rsidP="00E9174E">
            <w:pPr>
              <w:keepNext/>
              <w:keepLines/>
              <w:widowControl/>
              <w:spacing w:line="360" w:lineRule="auto"/>
              <w:contextualSpacing/>
              <w:rPr>
                <w:color w:val="000000"/>
                <w:sz w:val="26"/>
                <w:szCs w:val="26"/>
              </w:rPr>
            </w:pPr>
            <w:r w:rsidRPr="00E9174E">
              <w:rPr>
                <w:color w:val="000000"/>
                <w:sz w:val="26"/>
                <w:szCs w:val="26"/>
              </w:rPr>
              <w:t xml:space="preserve">One Gas, Inc. </w:t>
            </w:r>
          </w:p>
        </w:tc>
        <w:tc>
          <w:tcPr>
            <w:tcW w:w="3240" w:type="dxa"/>
            <w:tcBorders>
              <w:top w:val="nil"/>
              <w:left w:val="single" w:sz="4" w:space="0" w:color="auto"/>
              <w:bottom w:val="single" w:sz="4" w:space="0" w:color="auto"/>
              <w:right w:val="single" w:sz="4" w:space="0" w:color="auto"/>
            </w:tcBorders>
            <w:shd w:val="clear" w:color="auto" w:fill="auto"/>
            <w:noWrap/>
            <w:vAlign w:val="bottom"/>
            <w:hideMark/>
          </w:tcPr>
          <w:p w14:paraId="1EBBB519" w14:textId="77777777" w:rsidR="00E919D2" w:rsidRPr="00E9174E" w:rsidRDefault="00E919D2" w:rsidP="00E9174E">
            <w:pPr>
              <w:keepNext/>
              <w:keepLines/>
              <w:widowControl/>
              <w:spacing w:line="360" w:lineRule="auto"/>
              <w:contextualSpacing/>
              <w:rPr>
                <w:color w:val="000000"/>
                <w:sz w:val="26"/>
                <w:szCs w:val="26"/>
              </w:rPr>
            </w:pPr>
            <w:r w:rsidRPr="00E9174E">
              <w:rPr>
                <w:color w:val="000000"/>
                <w:sz w:val="26"/>
                <w:szCs w:val="26"/>
              </w:rPr>
              <w:t xml:space="preserve">South Jersey Industries, Inc. </w:t>
            </w:r>
          </w:p>
        </w:tc>
      </w:tr>
      <w:tr w:rsidR="00E919D2" w:rsidRPr="00E9174E" w14:paraId="5765C40E" w14:textId="77777777" w:rsidTr="00CC66FD">
        <w:trPr>
          <w:trHeight w:val="330"/>
        </w:trPr>
        <w:tc>
          <w:tcPr>
            <w:tcW w:w="3330" w:type="dxa"/>
            <w:tcBorders>
              <w:top w:val="nil"/>
              <w:left w:val="single" w:sz="4" w:space="0" w:color="auto"/>
              <w:bottom w:val="single" w:sz="4" w:space="0" w:color="auto"/>
              <w:right w:val="nil"/>
            </w:tcBorders>
            <w:shd w:val="clear" w:color="auto" w:fill="auto"/>
            <w:noWrap/>
            <w:vAlign w:val="bottom"/>
            <w:hideMark/>
          </w:tcPr>
          <w:p w14:paraId="25CCBB4C" w14:textId="77777777" w:rsidR="00E919D2" w:rsidRPr="00E9174E" w:rsidRDefault="00E919D2" w:rsidP="00E9174E">
            <w:pPr>
              <w:keepNext/>
              <w:keepLines/>
              <w:widowControl/>
              <w:spacing w:line="360" w:lineRule="auto"/>
              <w:contextualSpacing/>
              <w:rPr>
                <w:color w:val="000000"/>
                <w:sz w:val="26"/>
                <w:szCs w:val="26"/>
              </w:rPr>
            </w:pPr>
            <w:r w:rsidRPr="00E9174E">
              <w:rPr>
                <w:color w:val="000000"/>
                <w:sz w:val="26"/>
                <w:szCs w:val="26"/>
              </w:rPr>
              <w:t xml:space="preserve">South Jersey Industries, Inc. </w:t>
            </w:r>
          </w:p>
        </w:tc>
        <w:tc>
          <w:tcPr>
            <w:tcW w:w="3240" w:type="dxa"/>
            <w:tcBorders>
              <w:top w:val="nil"/>
              <w:left w:val="single" w:sz="4" w:space="0" w:color="auto"/>
              <w:bottom w:val="single" w:sz="4" w:space="0" w:color="auto"/>
              <w:right w:val="nil"/>
            </w:tcBorders>
            <w:shd w:val="clear" w:color="auto" w:fill="auto"/>
            <w:noWrap/>
            <w:vAlign w:val="bottom"/>
            <w:hideMark/>
          </w:tcPr>
          <w:p w14:paraId="3A3A2C86" w14:textId="77777777" w:rsidR="00E919D2" w:rsidRPr="00E9174E" w:rsidRDefault="00E919D2" w:rsidP="00E9174E">
            <w:pPr>
              <w:keepNext/>
              <w:keepLines/>
              <w:widowControl/>
              <w:spacing w:line="360" w:lineRule="auto"/>
              <w:contextualSpacing/>
              <w:rPr>
                <w:color w:val="000000"/>
                <w:sz w:val="26"/>
                <w:szCs w:val="26"/>
              </w:rPr>
            </w:pPr>
            <w:r w:rsidRPr="00E9174E">
              <w:rPr>
                <w:color w:val="000000"/>
                <w:sz w:val="26"/>
                <w:szCs w:val="26"/>
              </w:rPr>
              <w:t xml:space="preserve">South Jersey Industries, Inc. </w:t>
            </w:r>
          </w:p>
        </w:tc>
        <w:tc>
          <w:tcPr>
            <w:tcW w:w="3240" w:type="dxa"/>
            <w:tcBorders>
              <w:top w:val="nil"/>
              <w:left w:val="single" w:sz="4" w:space="0" w:color="auto"/>
              <w:bottom w:val="single" w:sz="4" w:space="0" w:color="auto"/>
              <w:right w:val="single" w:sz="4" w:space="0" w:color="auto"/>
            </w:tcBorders>
            <w:shd w:val="clear" w:color="auto" w:fill="auto"/>
            <w:noWrap/>
            <w:vAlign w:val="bottom"/>
            <w:hideMark/>
          </w:tcPr>
          <w:p w14:paraId="64CAE951" w14:textId="77777777" w:rsidR="00E919D2" w:rsidRPr="00E9174E" w:rsidRDefault="00E919D2" w:rsidP="00E9174E">
            <w:pPr>
              <w:keepNext/>
              <w:keepLines/>
              <w:widowControl/>
              <w:spacing w:line="360" w:lineRule="auto"/>
              <w:contextualSpacing/>
              <w:rPr>
                <w:color w:val="000000"/>
                <w:sz w:val="26"/>
                <w:szCs w:val="26"/>
              </w:rPr>
            </w:pPr>
            <w:r w:rsidRPr="00E9174E">
              <w:rPr>
                <w:color w:val="000000"/>
                <w:sz w:val="26"/>
                <w:szCs w:val="26"/>
              </w:rPr>
              <w:t>Spire, Inc.</w:t>
            </w:r>
          </w:p>
        </w:tc>
      </w:tr>
      <w:tr w:rsidR="00E919D2" w:rsidRPr="00E9174E" w14:paraId="56728FA1" w14:textId="77777777" w:rsidTr="00CC66FD">
        <w:trPr>
          <w:trHeight w:val="330"/>
        </w:trPr>
        <w:tc>
          <w:tcPr>
            <w:tcW w:w="3330" w:type="dxa"/>
            <w:tcBorders>
              <w:top w:val="nil"/>
              <w:left w:val="single" w:sz="4" w:space="0" w:color="auto"/>
              <w:bottom w:val="single" w:sz="4" w:space="0" w:color="auto"/>
              <w:right w:val="nil"/>
            </w:tcBorders>
            <w:shd w:val="clear" w:color="auto" w:fill="auto"/>
            <w:noWrap/>
            <w:vAlign w:val="bottom"/>
            <w:hideMark/>
          </w:tcPr>
          <w:p w14:paraId="761F420C" w14:textId="77777777" w:rsidR="00E919D2" w:rsidRPr="00E9174E" w:rsidRDefault="00E919D2" w:rsidP="00E9174E">
            <w:pPr>
              <w:keepNext/>
              <w:keepLines/>
              <w:widowControl/>
              <w:spacing w:line="360" w:lineRule="auto"/>
              <w:contextualSpacing/>
              <w:rPr>
                <w:color w:val="000000"/>
                <w:sz w:val="26"/>
                <w:szCs w:val="26"/>
              </w:rPr>
            </w:pPr>
            <w:r w:rsidRPr="00E9174E">
              <w:rPr>
                <w:color w:val="000000"/>
                <w:sz w:val="26"/>
                <w:szCs w:val="26"/>
              </w:rPr>
              <w:t xml:space="preserve">Southwest Gas Corp. </w:t>
            </w:r>
          </w:p>
        </w:tc>
        <w:tc>
          <w:tcPr>
            <w:tcW w:w="3240" w:type="dxa"/>
            <w:tcBorders>
              <w:top w:val="nil"/>
              <w:left w:val="single" w:sz="4" w:space="0" w:color="auto"/>
              <w:bottom w:val="single" w:sz="4" w:space="0" w:color="auto"/>
              <w:right w:val="nil"/>
            </w:tcBorders>
            <w:shd w:val="clear" w:color="auto" w:fill="auto"/>
            <w:noWrap/>
            <w:vAlign w:val="bottom"/>
            <w:hideMark/>
          </w:tcPr>
          <w:p w14:paraId="2835B4F5" w14:textId="77777777" w:rsidR="00E919D2" w:rsidRPr="00E9174E" w:rsidRDefault="00E919D2" w:rsidP="00E9174E">
            <w:pPr>
              <w:keepNext/>
              <w:keepLines/>
              <w:widowControl/>
              <w:spacing w:line="360" w:lineRule="auto"/>
              <w:contextualSpacing/>
              <w:rPr>
                <w:color w:val="000000"/>
                <w:sz w:val="26"/>
                <w:szCs w:val="26"/>
              </w:rPr>
            </w:pPr>
            <w:r w:rsidRPr="00E9174E">
              <w:rPr>
                <w:color w:val="000000"/>
                <w:sz w:val="26"/>
                <w:szCs w:val="26"/>
              </w:rPr>
              <w:t xml:space="preserve">Southwest Gas Corp. </w:t>
            </w:r>
          </w:p>
        </w:tc>
        <w:tc>
          <w:tcPr>
            <w:tcW w:w="3240" w:type="dxa"/>
            <w:tcBorders>
              <w:top w:val="nil"/>
              <w:left w:val="single" w:sz="4" w:space="0" w:color="auto"/>
              <w:bottom w:val="nil"/>
              <w:right w:val="single" w:sz="4" w:space="0" w:color="auto"/>
            </w:tcBorders>
            <w:shd w:val="clear" w:color="auto" w:fill="auto"/>
            <w:noWrap/>
            <w:vAlign w:val="bottom"/>
            <w:hideMark/>
          </w:tcPr>
          <w:p w14:paraId="2F6BD261" w14:textId="77777777" w:rsidR="00E919D2" w:rsidRPr="00E9174E" w:rsidRDefault="00E919D2" w:rsidP="00E9174E">
            <w:pPr>
              <w:keepNext/>
              <w:keepLines/>
              <w:widowControl/>
              <w:spacing w:line="360" w:lineRule="auto"/>
              <w:contextualSpacing/>
              <w:rPr>
                <w:color w:val="000000"/>
                <w:sz w:val="26"/>
                <w:szCs w:val="26"/>
              </w:rPr>
            </w:pPr>
            <w:r w:rsidRPr="00E9174E">
              <w:rPr>
                <w:color w:val="000000"/>
                <w:sz w:val="26"/>
                <w:szCs w:val="26"/>
              </w:rPr>
              <w:t> </w:t>
            </w:r>
          </w:p>
        </w:tc>
      </w:tr>
      <w:tr w:rsidR="00E919D2" w:rsidRPr="00E9174E" w14:paraId="372C0803" w14:textId="77777777" w:rsidTr="00CC66FD">
        <w:trPr>
          <w:trHeight w:val="330"/>
        </w:trPr>
        <w:tc>
          <w:tcPr>
            <w:tcW w:w="3330" w:type="dxa"/>
            <w:tcBorders>
              <w:top w:val="nil"/>
              <w:left w:val="single" w:sz="4" w:space="0" w:color="auto"/>
              <w:bottom w:val="single" w:sz="4" w:space="0" w:color="auto"/>
              <w:right w:val="nil"/>
            </w:tcBorders>
            <w:shd w:val="clear" w:color="auto" w:fill="auto"/>
            <w:noWrap/>
            <w:vAlign w:val="bottom"/>
            <w:hideMark/>
          </w:tcPr>
          <w:p w14:paraId="03FCFCC4" w14:textId="77777777" w:rsidR="00E919D2" w:rsidRPr="00E9174E" w:rsidRDefault="00E919D2" w:rsidP="00E9174E">
            <w:pPr>
              <w:keepNext/>
              <w:keepLines/>
              <w:widowControl/>
              <w:spacing w:line="360" w:lineRule="auto"/>
              <w:contextualSpacing/>
              <w:rPr>
                <w:color w:val="000000"/>
                <w:sz w:val="26"/>
                <w:szCs w:val="26"/>
              </w:rPr>
            </w:pPr>
            <w:r w:rsidRPr="00E9174E">
              <w:rPr>
                <w:color w:val="000000"/>
                <w:sz w:val="26"/>
                <w:szCs w:val="26"/>
              </w:rPr>
              <w:t>Spire, Inc.</w:t>
            </w:r>
          </w:p>
        </w:tc>
        <w:tc>
          <w:tcPr>
            <w:tcW w:w="3240" w:type="dxa"/>
            <w:tcBorders>
              <w:top w:val="nil"/>
              <w:left w:val="single" w:sz="4" w:space="0" w:color="auto"/>
              <w:bottom w:val="single" w:sz="4" w:space="0" w:color="auto"/>
              <w:right w:val="nil"/>
            </w:tcBorders>
            <w:shd w:val="clear" w:color="auto" w:fill="auto"/>
            <w:noWrap/>
            <w:vAlign w:val="bottom"/>
            <w:hideMark/>
          </w:tcPr>
          <w:p w14:paraId="1B79A68D" w14:textId="77777777" w:rsidR="00E919D2" w:rsidRPr="00E9174E" w:rsidRDefault="00E919D2" w:rsidP="00E9174E">
            <w:pPr>
              <w:keepNext/>
              <w:keepLines/>
              <w:widowControl/>
              <w:spacing w:line="360" w:lineRule="auto"/>
              <w:contextualSpacing/>
              <w:rPr>
                <w:color w:val="000000"/>
                <w:sz w:val="26"/>
                <w:szCs w:val="26"/>
              </w:rPr>
            </w:pPr>
            <w:r w:rsidRPr="00E9174E">
              <w:rPr>
                <w:color w:val="000000"/>
                <w:sz w:val="26"/>
                <w:szCs w:val="26"/>
              </w:rPr>
              <w:t>Spire, Inc.</w:t>
            </w:r>
          </w:p>
        </w:tc>
        <w:tc>
          <w:tcPr>
            <w:tcW w:w="3240" w:type="dxa"/>
            <w:tcBorders>
              <w:top w:val="nil"/>
              <w:left w:val="single" w:sz="4" w:space="0" w:color="auto"/>
              <w:bottom w:val="nil"/>
              <w:right w:val="single" w:sz="4" w:space="0" w:color="auto"/>
            </w:tcBorders>
            <w:shd w:val="clear" w:color="auto" w:fill="auto"/>
            <w:noWrap/>
            <w:vAlign w:val="bottom"/>
            <w:hideMark/>
          </w:tcPr>
          <w:p w14:paraId="24F71D4E" w14:textId="77777777" w:rsidR="00E919D2" w:rsidRPr="00E9174E" w:rsidRDefault="00E919D2" w:rsidP="00E9174E">
            <w:pPr>
              <w:keepNext/>
              <w:keepLines/>
              <w:widowControl/>
              <w:spacing w:line="360" w:lineRule="auto"/>
              <w:contextualSpacing/>
              <w:rPr>
                <w:color w:val="000000"/>
                <w:sz w:val="26"/>
                <w:szCs w:val="26"/>
              </w:rPr>
            </w:pPr>
            <w:r w:rsidRPr="00E9174E">
              <w:rPr>
                <w:color w:val="000000"/>
                <w:sz w:val="26"/>
                <w:szCs w:val="26"/>
              </w:rPr>
              <w:t> </w:t>
            </w:r>
          </w:p>
        </w:tc>
      </w:tr>
      <w:tr w:rsidR="00E919D2" w:rsidRPr="00E9174E" w14:paraId="3F89B775" w14:textId="77777777" w:rsidTr="00CC66FD">
        <w:trPr>
          <w:trHeight w:val="330"/>
        </w:trPr>
        <w:tc>
          <w:tcPr>
            <w:tcW w:w="3330" w:type="dxa"/>
            <w:tcBorders>
              <w:top w:val="nil"/>
              <w:left w:val="single" w:sz="4" w:space="0" w:color="auto"/>
              <w:bottom w:val="single" w:sz="4" w:space="0" w:color="auto"/>
              <w:right w:val="nil"/>
            </w:tcBorders>
            <w:shd w:val="clear" w:color="auto" w:fill="auto"/>
            <w:noWrap/>
            <w:vAlign w:val="bottom"/>
            <w:hideMark/>
          </w:tcPr>
          <w:p w14:paraId="2F3C2A4A" w14:textId="77777777" w:rsidR="00E919D2" w:rsidRPr="00E9174E" w:rsidRDefault="00E919D2" w:rsidP="00E9174E">
            <w:pPr>
              <w:keepNext/>
              <w:keepLines/>
              <w:widowControl/>
              <w:spacing w:line="360" w:lineRule="auto"/>
              <w:contextualSpacing/>
              <w:rPr>
                <w:color w:val="000000"/>
                <w:sz w:val="26"/>
                <w:szCs w:val="26"/>
              </w:rPr>
            </w:pPr>
            <w:r w:rsidRPr="00E9174E">
              <w:rPr>
                <w:color w:val="000000"/>
                <w:sz w:val="26"/>
                <w:szCs w:val="26"/>
              </w:rPr>
              <w:t> </w:t>
            </w:r>
          </w:p>
        </w:tc>
        <w:tc>
          <w:tcPr>
            <w:tcW w:w="3240" w:type="dxa"/>
            <w:tcBorders>
              <w:top w:val="nil"/>
              <w:left w:val="single" w:sz="4" w:space="0" w:color="auto"/>
              <w:bottom w:val="single" w:sz="4" w:space="0" w:color="auto"/>
              <w:right w:val="single" w:sz="4" w:space="0" w:color="auto"/>
            </w:tcBorders>
            <w:shd w:val="clear" w:color="auto" w:fill="auto"/>
            <w:noWrap/>
            <w:vAlign w:val="bottom"/>
            <w:hideMark/>
          </w:tcPr>
          <w:p w14:paraId="322F3280" w14:textId="77777777" w:rsidR="00E919D2" w:rsidRPr="00E9174E" w:rsidRDefault="00E919D2" w:rsidP="00E9174E">
            <w:pPr>
              <w:keepNext/>
              <w:keepLines/>
              <w:widowControl/>
              <w:spacing w:line="360" w:lineRule="auto"/>
              <w:contextualSpacing/>
              <w:rPr>
                <w:color w:val="000000"/>
                <w:sz w:val="26"/>
                <w:szCs w:val="26"/>
              </w:rPr>
            </w:pPr>
            <w:r w:rsidRPr="00E9174E">
              <w:rPr>
                <w:color w:val="000000"/>
                <w:sz w:val="26"/>
                <w:szCs w:val="26"/>
              </w:rPr>
              <w:t>UGI Corp.</w:t>
            </w:r>
          </w:p>
        </w:tc>
        <w:tc>
          <w:tcPr>
            <w:tcW w:w="3240" w:type="dxa"/>
            <w:tcBorders>
              <w:top w:val="nil"/>
              <w:left w:val="nil"/>
              <w:bottom w:val="single" w:sz="4" w:space="0" w:color="auto"/>
              <w:right w:val="single" w:sz="4" w:space="0" w:color="auto"/>
            </w:tcBorders>
            <w:shd w:val="clear" w:color="auto" w:fill="auto"/>
            <w:noWrap/>
            <w:vAlign w:val="bottom"/>
            <w:hideMark/>
          </w:tcPr>
          <w:p w14:paraId="57B11544" w14:textId="77777777" w:rsidR="00E919D2" w:rsidRPr="00E9174E" w:rsidRDefault="00E919D2" w:rsidP="00E9174E">
            <w:pPr>
              <w:keepNext/>
              <w:keepLines/>
              <w:widowControl/>
              <w:spacing w:line="360" w:lineRule="auto"/>
              <w:contextualSpacing/>
              <w:rPr>
                <w:color w:val="000000"/>
                <w:sz w:val="26"/>
                <w:szCs w:val="26"/>
              </w:rPr>
            </w:pPr>
            <w:r w:rsidRPr="00E9174E">
              <w:rPr>
                <w:color w:val="000000"/>
                <w:sz w:val="26"/>
                <w:szCs w:val="26"/>
              </w:rPr>
              <w:t> </w:t>
            </w:r>
          </w:p>
        </w:tc>
      </w:tr>
    </w:tbl>
    <w:p w14:paraId="214FD09B" w14:textId="77777777" w:rsidR="00E919D2" w:rsidRPr="00E9174E" w:rsidRDefault="00E919D2" w:rsidP="00E9174E">
      <w:pPr>
        <w:widowControl/>
        <w:spacing w:line="360" w:lineRule="auto"/>
        <w:ind w:firstLine="1440"/>
        <w:contextualSpacing/>
        <w:rPr>
          <w:rFonts w:eastAsiaTheme="minorHAnsi"/>
          <w:sz w:val="26"/>
          <w:szCs w:val="26"/>
        </w:rPr>
      </w:pPr>
    </w:p>
    <w:p w14:paraId="0E02A0A1" w14:textId="77777777" w:rsidR="00E919D2" w:rsidRPr="00E9174E" w:rsidRDefault="00E919D2" w:rsidP="00B91EDA">
      <w:pPr>
        <w:widowControl/>
        <w:spacing w:line="360" w:lineRule="auto"/>
        <w:contextualSpacing/>
        <w:rPr>
          <w:rFonts w:eastAsiaTheme="minorHAnsi"/>
          <w:sz w:val="26"/>
          <w:szCs w:val="26"/>
        </w:rPr>
      </w:pPr>
      <w:r w:rsidRPr="00E9174E">
        <w:rPr>
          <w:rFonts w:eastAsiaTheme="minorHAnsi"/>
          <w:sz w:val="26"/>
          <w:szCs w:val="26"/>
        </w:rPr>
        <w:t xml:space="preserve">CG St. 8-R at 16; I&amp;E M.B. at 61; OCA St. 3 at 21. </w:t>
      </w:r>
    </w:p>
    <w:p w14:paraId="15D8FD8F" w14:textId="77777777" w:rsidR="00E919D2" w:rsidRPr="00E9174E" w:rsidRDefault="00E919D2" w:rsidP="00B91EDA">
      <w:pPr>
        <w:widowControl/>
        <w:spacing w:line="360" w:lineRule="auto"/>
        <w:contextualSpacing/>
        <w:rPr>
          <w:rFonts w:eastAsiaTheme="minorHAnsi"/>
          <w:sz w:val="26"/>
          <w:szCs w:val="26"/>
        </w:rPr>
      </w:pPr>
    </w:p>
    <w:p w14:paraId="40840BD9" w14:textId="6A3733DA" w:rsidR="00E919D2" w:rsidRPr="00E9174E" w:rsidRDefault="009F3929" w:rsidP="00277ECF">
      <w:pPr>
        <w:pStyle w:val="Heading3"/>
        <w:numPr>
          <w:ilvl w:val="0"/>
          <w:numId w:val="22"/>
        </w:numPr>
        <w:ind w:left="1440" w:hanging="720"/>
      </w:pPr>
      <w:bookmarkStart w:id="249" w:name="_Toc63764516"/>
      <w:r w:rsidRPr="00E9174E">
        <w:t>Recommended Decision</w:t>
      </w:r>
      <w:bookmarkEnd w:id="249"/>
    </w:p>
    <w:p w14:paraId="24C766D0" w14:textId="77777777" w:rsidR="00E919D2" w:rsidRPr="00E9174E" w:rsidRDefault="00E919D2" w:rsidP="00B91EDA">
      <w:pPr>
        <w:keepNext/>
        <w:keepLines/>
        <w:widowControl/>
        <w:spacing w:line="360" w:lineRule="auto"/>
        <w:ind w:firstLine="1440"/>
        <w:contextualSpacing/>
        <w:rPr>
          <w:sz w:val="26"/>
          <w:szCs w:val="26"/>
        </w:rPr>
      </w:pPr>
    </w:p>
    <w:p w14:paraId="7B1109AE" w14:textId="77777777" w:rsidR="002F306D" w:rsidRPr="00E9174E" w:rsidRDefault="002F306D" w:rsidP="00B91EDA">
      <w:pPr>
        <w:widowControl/>
        <w:spacing w:line="360" w:lineRule="auto"/>
        <w:ind w:firstLine="1440"/>
        <w:contextualSpacing/>
        <w:rPr>
          <w:rFonts w:eastAsiaTheme="minorHAnsi"/>
          <w:sz w:val="26"/>
          <w:szCs w:val="26"/>
        </w:rPr>
      </w:pPr>
      <w:r w:rsidRPr="00E9174E">
        <w:rPr>
          <w:rFonts w:eastAsiaTheme="minorHAnsi"/>
          <w:sz w:val="26"/>
          <w:szCs w:val="26"/>
        </w:rPr>
        <w:t xml:space="preserve">The ALJ recommended that the Commission use I&amp;E’s proxy group in setting the appropriate cost of equity for the Company.  The ALJ found I&amp;E’s proxy group to be the most comparable to Columbia.  The ALJ agreed with I&amp;E’s usage of the percentage of revenue as a criterion and echoed I&amp;E that if fewer than fifty percent of a company’s revenues come from the regulated gas business, the company is not comparable to the subject utility because it does not provide a similar level of regulated business.  R.D. at 183-84. </w:t>
      </w:r>
    </w:p>
    <w:p w14:paraId="33678B95" w14:textId="77777777" w:rsidR="00E919D2" w:rsidRPr="00E9174E" w:rsidRDefault="00E919D2" w:rsidP="00E9174E">
      <w:pPr>
        <w:widowControl/>
        <w:spacing w:line="360" w:lineRule="auto"/>
        <w:contextualSpacing/>
        <w:rPr>
          <w:rFonts w:eastAsiaTheme="minorHAnsi"/>
          <w:sz w:val="26"/>
          <w:szCs w:val="26"/>
        </w:rPr>
      </w:pPr>
    </w:p>
    <w:p w14:paraId="2662A8B3" w14:textId="26BF34E5" w:rsidR="00E919D2" w:rsidRPr="00E9174E" w:rsidRDefault="00414232" w:rsidP="00277ECF">
      <w:pPr>
        <w:pStyle w:val="Heading3"/>
        <w:numPr>
          <w:ilvl w:val="0"/>
          <w:numId w:val="22"/>
        </w:numPr>
        <w:ind w:left="1440" w:hanging="720"/>
      </w:pPr>
      <w:bookmarkStart w:id="250" w:name="_Toc63764517"/>
      <w:r w:rsidRPr="00E9174E">
        <w:lastRenderedPageBreak/>
        <w:t xml:space="preserve">OCA </w:t>
      </w:r>
      <w:r w:rsidR="00E919D2" w:rsidRPr="00E9174E">
        <w:t>Exception</w:t>
      </w:r>
      <w:r w:rsidR="009E1DAC" w:rsidRPr="00E9174E">
        <w:t xml:space="preserve"> No. </w:t>
      </w:r>
      <w:r w:rsidR="0090580E" w:rsidRPr="00E9174E">
        <w:t>3A</w:t>
      </w:r>
      <w:r w:rsidR="00E919D2" w:rsidRPr="00E9174E">
        <w:t xml:space="preserve"> and Replies</w:t>
      </w:r>
      <w:bookmarkEnd w:id="250"/>
    </w:p>
    <w:p w14:paraId="31EE9F23" w14:textId="77777777" w:rsidR="00E919D2" w:rsidRPr="00E9174E" w:rsidRDefault="00E919D2" w:rsidP="00E9174E">
      <w:pPr>
        <w:keepNext/>
        <w:keepLines/>
        <w:widowControl/>
        <w:spacing w:line="360" w:lineRule="auto"/>
        <w:ind w:firstLine="1440"/>
        <w:contextualSpacing/>
        <w:rPr>
          <w:sz w:val="26"/>
          <w:szCs w:val="26"/>
        </w:rPr>
      </w:pPr>
    </w:p>
    <w:p w14:paraId="39E40B05" w14:textId="56966578" w:rsidR="009B4F33" w:rsidRPr="00E9174E" w:rsidRDefault="009B4F33" w:rsidP="00E9174E">
      <w:pPr>
        <w:widowControl/>
        <w:spacing w:line="360" w:lineRule="auto"/>
        <w:ind w:firstLine="1440"/>
        <w:contextualSpacing/>
        <w:rPr>
          <w:rFonts w:eastAsiaTheme="minorHAnsi"/>
          <w:sz w:val="26"/>
          <w:szCs w:val="26"/>
        </w:rPr>
      </w:pPr>
      <w:r w:rsidRPr="00E9174E">
        <w:rPr>
          <w:rFonts w:eastAsiaTheme="minorHAnsi"/>
          <w:sz w:val="26"/>
          <w:szCs w:val="26"/>
        </w:rPr>
        <w:t xml:space="preserve">In its Exception No. 3A, the OCA objects to the ALJ’s recommendation that I&amp;E’s proxy group of seven companies should be adopted.  The OCA argues that its witness Mr. </w:t>
      </w:r>
      <w:r w:rsidR="00F831C8" w:rsidRPr="00E9174E">
        <w:rPr>
          <w:rFonts w:eastAsiaTheme="minorHAnsi"/>
          <w:sz w:val="26"/>
          <w:szCs w:val="26"/>
        </w:rPr>
        <w:t xml:space="preserve">Kevin </w:t>
      </w:r>
      <w:r w:rsidRPr="00E9174E">
        <w:rPr>
          <w:rFonts w:eastAsiaTheme="minorHAnsi"/>
          <w:sz w:val="26"/>
          <w:szCs w:val="26"/>
        </w:rPr>
        <w:t xml:space="preserve">O’Donnell evaluated a larger group of companies than either the Company or I&amp;E, providing more data points and a more robust analysis to support the OCA cost of equity recommendation of 8.50% for Columbia, </w:t>
      </w:r>
      <w:r w:rsidRPr="00E9174E">
        <w:rPr>
          <w:rFonts w:eastAsiaTheme="minorHAnsi"/>
          <w:i/>
          <w:iCs/>
          <w:sz w:val="26"/>
          <w:szCs w:val="26"/>
        </w:rPr>
        <w:t>infra</w:t>
      </w:r>
      <w:r w:rsidRPr="00E9174E">
        <w:rPr>
          <w:rFonts w:eastAsiaTheme="minorHAnsi"/>
          <w:sz w:val="26"/>
          <w:szCs w:val="26"/>
        </w:rPr>
        <w:t xml:space="preserve">.  According to the OCA, the number of gas utilities needed to develop a reasonably reliable comparable group is important given that in recent years, this number has diminished due to acquisitions and mergers.  Therefore, the OCA explains that it used the full group of gas utilities compiled and followed by </w:t>
      </w:r>
      <w:r w:rsidRPr="00E9174E">
        <w:rPr>
          <w:rFonts w:eastAsiaTheme="minorHAnsi"/>
          <w:i/>
          <w:iCs/>
          <w:sz w:val="26"/>
          <w:szCs w:val="26"/>
        </w:rPr>
        <w:t>Value Line</w:t>
      </w:r>
      <w:r w:rsidRPr="00E9174E">
        <w:rPr>
          <w:rFonts w:eastAsiaTheme="minorHAnsi"/>
          <w:sz w:val="26"/>
          <w:szCs w:val="26"/>
        </w:rPr>
        <w:t xml:space="preserve">.  The OCA restates that it conducted a separate evaluation of NiSource because NiSource represents the most direct link to Columbia.  The OCA argues that while it is not possible to conduct a cost of equity evaluation of Columbia directly, it is possible to do so for NiSource as a publicly traded company followed by </w:t>
      </w:r>
      <w:r w:rsidRPr="00E9174E">
        <w:rPr>
          <w:rFonts w:eastAsiaTheme="minorHAnsi"/>
          <w:i/>
          <w:iCs/>
          <w:sz w:val="26"/>
          <w:szCs w:val="26"/>
        </w:rPr>
        <w:t>Value Line</w:t>
      </w:r>
      <w:r w:rsidRPr="00E9174E">
        <w:rPr>
          <w:rFonts w:eastAsiaTheme="minorHAnsi"/>
          <w:sz w:val="26"/>
          <w:szCs w:val="26"/>
        </w:rPr>
        <w:t xml:space="preserve"> and others.  The OCA opines that an analysis performed specifically on NiSource provides the Commission with a large body of knowledge of investor estimations specific to Columbia’s corporate parent.  OCA Exc. at</w:t>
      </w:r>
      <w:r w:rsidR="00B91EDA">
        <w:rPr>
          <w:rFonts w:eastAsiaTheme="minorHAnsi"/>
          <w:sz w:val="26"/>
          <w:szCs w:val="26"/>
        </w:rPr>
        <w:t> </w:t>
      </w:r>
      <w:r w:rsidRPr="00E9174E">
        <w:rPr>
          <w:rFonts w:eastAsiaTheme="minorHAnsi"/>
          <w:sz w:val="26"/>
          <w:szCs w:val="26"/>
        </w:rPr>
        <w:t>14-15.</w:t>
      </w:r>
    </w:p>
    <w:p w14:paraId="7C8783F9" w14:textId="77777777" w:rsidR="009B4F33" w:rsidRPr="00E9174E" w:rsidRDefault="009B4F33" w:rsidP="00E9174E">
      <w:pPr>
        <w:widowControl/>
        <w:spacing w:line="360" w:lineRule="auto"/>
        <w:ind w:firstLine="1440"/>
        <w:contextualSpacing/>
        <w:rPr>
          <w:rFonts w:eastAsiaTheme="minorHAnsi"/>
          <w:sz w:val="26"/>
          <w:szCs w:val="26"/>
        </w:rPr>
      </w:pPr>
    </w:p>
    <w:p w14:paraId="75DEDA65" w14:textId="77777777" w:rsidR="009B4F33" w:rsidRPr="00E9174E" w:rsidRDefault="009B4F33" w:rsidP="00E9174E">
      <w:pPr>
        <w:widowControl/>
        <w:spacing w:line="360" w:lineRule="auto"/>
        <w:ind w:firstLine="1440"/>
        <w:contextualSpacing/>
        <w:rPr>
          <w:rFonts w:eastAsiaTheme="minorHAnsi"/>
          <w:sz w:val="26"/>
          <w:szCs w:val="26"/>
        </w:rPr>
      </w:pPr>
      <w:r w:rsidRPr="00E9174E">
        <w:rPr>
          <w:rFonts w:eastAsiaTheme="minorHAnsi"/>
          <w:sz w:val="26"/>
          <w:szCs w:val="26"/>
        </w:rPr>
        <w:t xml:space="preserve">In contrast, the OCA contends that the different proxy groups evaluated and proffered by the Company and I&amp;E contributed to overstated cost of equity estimates of 10.95% and 9.86%, respectively, and provide the Commission with a less informative base of information.  The OCA insists that the Company’s and I&amp;E’s decision to exclude consideration of UGI, but include Chesapeake Utilities, was not reasonable.  The OCA restates its position that because both companies operate a diverse portfolio of businesses, which include natural gas utility service, both should be included in the proxy group for consistency.  Additionally, although the OCA acknowledges the criteria that I&amp;E used in selecting the companies for its proxy group, excluding New Jersey Resources, Southwest Gas Holdings, and UGI, the OCA maintains that evaluating a smaller proxy group can </w:t>
      </w:r>
      <w:r w:rsidRPr="00E9174E">
        <w:rPr>
          <w:rFonts w:eastAsiaTheme="minorHAnsi"/>
          <w:sz w:val="26"/>
          <w:szCs w:val="26"/>
        </w:rPr>
        <w:lastRenderedPageBreak/>
        <w:t xml:space="preserve">lead to data integrity issues.  Finally, the OCA submits that Columbia and I&amp;E’s decision not to separately evaluate NiSource is erroneous.  First, the OCA reasons that the inclusion of NiSource directly in the proxy group dilutes consideration of information most connected to Columbia.  Second, the OCA restates that analyzing NiSource separately avoids the problem of circularity that is inherent in the Company’s and I&amp;E’s respective proxy groups.  OCA Exc. at 14, 16-17. </w:t>
      </w:r>
    </w:p>
    <w:p w14:paraId="016D471C" w14:textId="77777777" w:rsidR="009B4F33" w:rsidRPr="00E9174E" w:rsidRDefault="009B4F33" w:rsidP="00E9174E">
      <w:pPr>
        <w:widowControl/>
        <w:spacing w:line="360" w:lineRule="auto"/>
        <w:ind w:firstLine="1440"/>
        <w:contextualSpacing/>
        <w:rPr>
          <w:rFonts w:eastAsiaTheme="minorHAnsi"/>
          <w:sz w:val="26"/>
          <w:szCs w:val="26"/>
        </w:rPr>
      </w:pPr>
    </w:p>
    <w:p w14:paraId="584DBEBC" w14:textId="77777777" w:rsidR="009B4F33" w:rsidRPr="00E9174E" w:rsidRDefault="009B4F33" w:rsidP="00E9174E">
      <w:pPr>
        <w:widowControl/>
        <w:spacing w:line="360" w:lineRule="auto"/>
        <w:ind w:firstLine="1440"/>
        <w:contextualSpacing/>
        <w:rPr>
          <w:rFonts w:eastAsiaTheme="minorHAnsi"/>
          <w:sz w:val="26"/>
          <w:szCs w:val="26"/>
        </w:rPr>
      </w:pPr>
      <w:r w:rsidRPr="00E9174E">
        <w:rPr>
          <w:rFonts w:eastAsiaTheme="minorHAnsi"/>
          <w:sz w:val="26"/>
          <w:szCs w:val="26"/>
        </w:rPr>
        <w:t xml:space="preserve">Based on the above, the OCA asserts that if the Commission adopts the ALJ’s alternative recommendation, then it should adopt the OCA’s proxy group, based on evaluation of data for the ten companies included in the </w:t>
      </w:r>
      <w:r w:rsidRPr="00E9174E">
        <w:rPr>
          <w:rFonts w:eastAsiaTheme="minorHAnsi"/>
          <w:i/>
          <w:sz w:val="26"/>
          <w:szCs w:val="26"/>
        </w:rPr>
        <w:t>Value Line</w:t>
      </w:r>
      <w:r w:rsidRPr="00E9174E">
        <w:rPr>
          <w:rFonts w:eastAsiaTheme="minorHAnsi"/>
          <w:sz w:val="26"/>
          <w:szCs w:val="26"/>
        </w:rPr>
        <w:t xml:space="preserve"> Gas Group, as opposed to I&amp;E’s proxy group of seven companies.  OCA Exc. at 17.</w:t>
      </w:r>
    </w:p>
    <w:p w14:paraId="399B09AA" w14:textId="77777777" w:rsidR="009B4F33" w:rsidRPr="00E9174E" w:rsidRDefault="009B4F33" w:rsidP="00E9174E">
      <w:pPr>
        <w:widowControl/>
        <w:spacing w:line="360" w:lineRule="auto"/>
        <w:contextualSpacing/>
        <w:rPr>
          <w:rFonts w:eastAsiaTheme="minorHAnsi"/>
          <w:sz w:val="26"/>
          <w:szCs w:val="26"/>
        </w:rPr>
      </w:pPr>
    </w:p>
    <w:p w14:paraId="0BCE9C1F" w14:textId="77777777" w:rsidR="009B4F33" w:rsidRPr="00E9174E" w:rsidRDefault="009B4F33" w:rsidP="00E9174E">
      <w:pPr>
        <w:widowControl/>
        <w:spacing w:line="360" w:lineRule="auto"/>
        <w:ind w:firstLine="1440"/>
        <w:contextualSpacing/>
        <w:rPr>
          <w:rFonts w:eastAsiaTheme="minorHAnsi"/>
          <w:sz w:val="26"/>
          <w:szCs w:val="26"/>
        </w:rPr>
      </w:pPr>
      <w:r w:rsidRPr="00E9174E">
        <w:rPr>
          <w:rFonts w:eastAsiaTheme="minorHAnsi"/>
          <w:sz w:val="26"/>
          <w:szCs w:val="26"/>
        </w:rPr>
        <w:t xml:space="preserve">In its Replies to Exceptions, Columbia explains that the Company did not except to the ALJ’s recommendation that I&amp;E’s proxy group be adopted, given that the resulting DCF returns on common equity are not dramatically different based upon the choice between Columbia’s and I&amp;E’s proxy group.  On the other hand, Columbia submits that the OCA’s proposed proxy group is flawed and should be rejected.  Columbia reinforces its argument that UGI should not be included in the proxy group because it is not a comparable gas utility.  According to Columbia, both the Company and I&amp;E correctly excluded UGI from their respective proxy groups because non-utility operations predominate.  Columbia points out that UGI also is not included in the Commission’s group of gas companies used for DSIC purposes because utility assets for UGI are less than 50%.  Columbia also submits that the OCA’s attempt to compare UGI to Chesapeake Utilities is without merit.  Namely, Columbia asserts that while many utilities have non-utility affiliate operations, the issue, for proxy group purposes, is whether those non-utility operations predominate over the utility operations.  Columbia stresses that Chesapeake Utilities’ natural gas operations represent the bulk of its operations and Chesapeake Utilities is included in I&amp;E’s barometer group, because it </w:t>
      </w:r>
      <w:r w:rsidRPr="00E9174E">
        <w:rPr>
          <w:rFonts w:eastAsiaTheme="minorHAnsi"/>
          <w:sz w:val="26"/>
          <w:szCs w:val="26"/>
        </w:rPr>
        <w:lastRenderedPageBreak/>
        <w:t xml:space="preserve">satisfies the criteria of I&amp;E’s witness Mr. </w:t>
      </w:r>
      <w:r w:rsidR="0013552C" w:rsidRPr="00E9174E">
        <w:rPr>
          <w:rFonts w:eastAsiaTheme="minorHAnsi"/>
          <w:sz w:val="26"/>
          <w:szCs w:val="26"/>
        </w:rPr>
        <w:t xml:space="preserve">Christopher </w:t>
      </w:r>
      <w:r w:rsidRPr="00E9174E">
        <w:rPr>
          <w:rFonts w:eastAsiaTheme="minorHAnsi"/>
          <w:sz w:val="26"/>
          <w:szCs w:val="26"/>
        </w:rPr>
        <w:t>Keller’s revenue screen of 50% or more utility revenues.  CG R Exc. at 3-4.</w:t>
      </w:r>
    </w:p>
    <w:p w14:paraId="2E6581A7" w14:textId="77777777" w:rsidR="001A5BEE" w:rsidRPr="00E9174E" w:rsidRDefault="001A5BEE" w:rsidP="00E9174E">
      <w:pPr>
        <w:widowControl/>
        <w:spacing w:line="360" w:lineRule="auto"/>
        <w:ind w:firstLine="1440"/>
        <w:contextualSpacing/>
        <w:rPr>
          <w:rFonts w:eastAsiaTheme="minorHAnsi"/>
          <w:sz w:val="26"/>
          <w:szCs w:val="26"/>
        </w:rPr>
      </w:pPr>
    </w:p>
    <w:p w14:paraId="37C7C2DD" w14:textId="77777777" w:rsidR="009B4F33" w:rsidRPr="00E9174E" w:rsidRDefault="009B4F33" w:rsidP="00E9174E">
      <w:pPr>
        <w:widowControl/>
        <w:spacing w:line="360" w:lineRule="auto"/>
        <w:ind w:firstLine="1440"/>
        <w:contextualSpacing/>
        <w:rPr>
          <w:rFonts w:eastAsiaTheme="minorHAnsi"/>
          <w:sz w:val="26"/>
          <w:szCs w:val="26"/>
        </w:rPr>
      </w:pPr>
      <w:r w:rsidRPr="00E9174E">
        <w:rPr>
          <w:rFonts w:eastAsiaTheme="minorHAnsi"/>
          <w:sz w:val="26"/>
          <w:szCs w:val="26"/>
        </w:rPr>
        <w:t>Further, Columbia contends that the ALJ properly gave no weight to the OCA’s stand-alone analysis of NiSource.  Columbia restates its position that a single company is not a proxy group, and thus provides no balanced analysis of the cost of equity for gas utilities.  Accordingly, Columbia submits that the OCA’s Exception No. 3A should be denied.  Columbia R. Exc. at 4-5.</w:t>
      </w:r>
    </w:p>
    <w:p w14:paraId="062292F3" w14:textId="77777777" w:rsidR="00E919D2" w:rsidRPr="00E9174E" w:rsidRDefault="00E919D2" w:rsidP="00E9174E">
      <w:pPr>
        <w:widowControl/>
        <w:spacing w:line="360" w:lineRule="auto"/>
        <w:ind w:firstLine="1440"/>
        <w:contextualSpacing/>
        <w:rPr>
          <w:rFonts w:eastAsiaTheme="minorHAnsi"/>
          <w:sz w:val="26"/>
          <w:szCs w:val="26"/>
        </w:rPr>
      </w:pPr>
    </w:p>
    <w:p w14:paraId="776C33E3" w14:textId="7971688B" w:rsidR="00E919D2" w:rsidRPr="00E9174E" w:rsidRDefault="00E919D2" w:rsidP="00277ECF">
      <w:pPr>
        <w:pStyle w:val="Heading3"/>
        <w:numPr>
          <w:ilvl w:val="0"/>
          <w:numId w:val="22"/>
        </w:numPr>
        <w:ind w:left="1440" w:hanging="720"/>
      </w:pPr>
      <w:bookmarkStart w:id="251" w:name="_Toc63764518"/>
      <w:r w:rsidRPr="00E9174E">
        <w:t>Disposition</w:t>
      </w:r>
      <w:bookmarkEnd w:id="251"/>
    </w:p>
    <w:p w14:paraId="0D0F93D6" w14:textId="77777777" w:rsidR="00E919D2" w:rsidRPr="00E9174E" w:rsidRDefault="00E919D2" w:rsidP="00E9174E">
      <w:pPr>
        <w:keepNext/>
        <w:keepLines/>
        <w:widowControl/>
        <w:spacing w:line="360" w:lineRule="auto"/>
        <w:ind w:firstLine="1440"/>
        <w:contextualSpacing/>
        <w:rPr>
          <w:sz w:val="26"/>
          <w:szCs w:val="26"/>
        </w:rPr>
      </w:pPr>
    </w:p>
    <w:p w14:paraId="348BCEDB" w14:textId="77777777" w:rsidR="004316FE" w:rsidRPr="00E9174E" w:rsidRDefault="004316FE" w:rsidP="00E9174E">
      <w:pPr>
        <w:widowControl/>
        <w:spacing w:line="360" w:lineRule="auto"/>
        <w:ind w:firstLine="1440"/>
        <w:contextualSpacing/>
        <w:rPr>
          <w:rFonts w:eastAsiaTheme="minorHAnsi"/>
          <w:sz w:val="26"/>
          <w:szCs w:val="26"/>
        </w:rPr>
      </w:pPr>
      <w:r w:rsidRPr="00E9174E">
        <w:rPr>
          <w:rFonts w:eastAsiaTheme="minorHAnsi"/>
          <w:sz w:val="26"/>
          <w:szCs w:val="26"/>
        </w:rPr>
        <w:t xml:space="preserve">On consideration of the record evidence in this proceeding, we shall adopt ALJ Dunderdale’s recommendation that I&amp;E’s proxy group should be utilized in setting the appropriate rate of return for Columbia.  We find no merit in the arguments of the OCA that by excluding three of the </w:t>
      </w:r>
      <w:r w:rsidRPr="00E9174E">
        <w:rPr>
          <w:rFonts w:eastAsiaTheme="minorHAnsi"/>
          <w:i/>
          <w:iCs/>
          <w:sz w:val="26"/>
          <w:szCs w:val="26"/>
        </w:rPr>
        <w:t xml:space="preserve">Value Line </w:t>
      </w:r>
      <w:r w:rsidRPr="00E9174E">
        <w:rPr>
          <w:rFonts w:eastAsiaTheme="minorHAnsi"/>
          <w:sz w:val="26"/>
          <w:szCs w:val="26"/>
        </w:rPr>
        <w:t>companies from its analysis, I&amp;E’s proxy group provides the Commission with a less informative base of information, or that it leads to an overstated cost of equity.  Rather, we find that I&amp;E’s proxy group of companies is the proxy group proffered in this proceeding that most closely resembles Columbia.</w:t>
      </w:r>
    </w:p>
    <w:p w14:paraId="728B84FE" w14:textId="77777777" w:rsidR="004316FE" w:rsidRPr="00E9174E" w:rsidRDefault="004316FE" w:rsidP="00E9174E">
      <w:pPr>
        <w:widowControl/>
        <w:spacing w:line="360" w:lineRule="auto"/>
        <w:ind w:firstLine="1440"/>
        <w:contextualSpacing/>
        <w:rPr>
          <w:rFonts w:eastAsiaTheme="minorHAnsi"/>
          <w:sz w:val="26"/>
          <w:szCs w:val="26"/>
        </w:rPr>
      </w:pPr>
    </w:p>
    <w:p w14:paraId="6D79F184" w14:textId="77777777" w:rsidR="004316FE" w:rsidRPr="00E9174E" w:rsidRDefault="004316FE" w:rsidP="00E9174E">
      <w:pPr>
        <w:widowControl/>
        <w:spacing w:line="360" w:lineRule="auto"/>
        <w:ind w:firstLine="1440"/>
        <w:contextualSpacing/>
        <w:rPr>
          <w:rFonts w:eastAsiaTheme="minorHAnsi"/>
          <w:sz w:val="26"/>
          <w:szCs w:val="26"/>
        </w:rPr>
      </w:pPr>
      <w:r w:rsidRPr="00E9174E">
        <w:rPr>
          <w:rFonts w:eastAsiaTheme="minorHAnsi"/>
          <w:sz w:val="26"/>
          <w:szCs w:val="26"/>
        </w:rPr>
        <w:t xml:space="preserve">First, as I&amp;E and the ALJ pointed out, a company’s revenues represent the percentage of cash flow the company receives from each business line related to providing a good or service.  Therefore, if less than fifty percent of revenues come from the regulated gas sector, the company is not comparable to the subject utility as it does not provide a similar level of regulated business.  </w:t>
      </w:r>
      <w:r w:rsidRPr="00E9174E">
        <w:rPr>
          <w:rFonts w:eastAsiaTheme="minorHAnsi"/>
          <w:i/>
          <w:iCs/>
          <w:sz w:val="26"/>
          <w:szCs w:val="26"/>
        </w:rPr>
        <w:t xml:space="preserve">See </w:t>
      </w:r>
      <w:r w:rsidRPr="00E9174E">
        <w:rPr>
          <w:rFonts w:eastAsiaTheme="minorHAnsi"/>
          <w:sz w:val="26"/>
          <w:szCs w:val="26"/>
        </w:rPr>
        <w:t>I&amp;E St. 2 at 10.  For this reason, we concur with I&amp;E’s reasoning for excluding both New Jersey Resources and Southwest Gas Holdings from its proxy group.  In our view, both companies are too dissimilar to Columbia.</w:t>
      </w:r>
    </w:p>
    <w:p w14:paraId="7A334EDC" w14:textId="77777777" w:rsidR="004316FE" w:rsidRPr="00E9174E" w:rsidRDefault="004316FE" w:rsidP="00E9174E">
      <w:pPr>
        <w:widowControl/>
        <w:spacing w:line="360" w:lineRule="auto"/>
        <w:ind w:firstLine="1440"/>
        <w:contextualSpacing/>
        <w:rPr>
          <w:rFonts w:eastAsiaTheme="minorHAnsi"/>
          <w:sz w:val="26"/>
          <w:szCs w:val="26"/>
        </w:rPr>
      </w:pPr>
    </w:p>
    <w:p w14:paraId="1D653C25" w14:textId="77777777" w:rsidR="004316FE" w:rsidRPr="00E9174E" w:rsidRDefault="004316FE" w:rsidP="00E9174E">
      <w:pPr>
        <w:widowControl/>
        <w:spacing w:line="360" w:lineRule="auto"/>
        <w:ind w:firstLine="1440"/>
        <w:contextualSpacing/>
        <w:rPr>
          <w:rFonts w:eastAsiaTheme="minorHAnsi"/>
          <w:sz w:val="26"/>
          <w:szCs w:val="26"/>
        </w:rPr>
      </w:pPr>
      <w:r w:rsidRPr="00E9174E">
        <w:rPr>
          <w:rFonts w:eastAsiaTheme="minorHAnsi"/>
          <w:sz w:val="26"/>
          <w:szCs w:val="26"/>
        </w:rPr>
        <w:lastRenderedPageBreak/>
        <w:t>Next, we are not persuaded by the OCA’s argument that both UGI and Chesapeake Utilities should be included in the proxy group for consistency.  Although the OCA correctly notes that both companies have diverse business operations, we agree with Columbia that the OCA has misstated the basis for why I&amp;E and the Company excluded UGI from their respective proxy groups.  Namely, the record indicates that non</w:t>
      </w:r>
      <w:r w:rsidRPr="00E9174E">
        <w:rPr>
          <w:rFonts w:eastAsiaTheme="minorHAnsi"/>
          <w:sz w:val="26"/>
          <w:szCs w:val="26"/>
        </w:rPr>
        <w:noBreakHyphen/>
        <w:t xml:space="preserve">utility operations dominate UGI’s overall business landscape.  In this regard, the record indicates that non-utility operations comprise 87% of UGI’s revenues, 48% of its income, and 73% of its assets.  As a result, UGI’s operations make it a greater risk and cause it to be too dissimilar to Columbia to be properly included in its proxy group.  </w:t>
      </w:r>
      <w:r w:rsidRPr="00E9174E">
        <w:rPr>
          <w:rFonts w:eastAsiaTheme="minorHAnsi"/>
          <w:i/>
          <w:iCs/>
          <w:sz w:val="26"/>
          <w:szCs w:val="26"/>
        </w:rPr>
        <w:t xml:space="preserve">See </w:t>
      </w:r>
      <w:r w:rsidRPr="00E9174E">
        <w:rPr>
          <w:rFonts w:eastAsiaTheme="minorHAnsi"/>
          <w:sz w:val="26"/>
          <w:szCs w:val="26"/>
        </w:rPr>
        <w:t>Columbia St. 8-R at 15.</w:t>
      </w:r>
    </w:p>
    <w:p w14:paraId="4FC11269" w14:textId="77777777" w:rsidR="004316FE" w:rsidRPr="00E9174E" w:rsidRDefault="004316FE" w:rsidP="00E9174E">
      <w:pPr>
        <w:widowControl/>
        <w:spacing w:line="360" w:lineRule="auto"/>
        <w:ind w:firstLine="1440"/>
        <w:contextualSpacing/>
        <w:rPr>
          <w:rFonts w:eastAsiaTheme="minorHAnsi"/>
          <w:sz w:val="26"/>
          <w:szCs w:val="26"/>
        </w:rPr>
      </w:pPr>
    </w:p>
    <w:p w14:paraId="3CEC1E1C" w14:textId="77777777" w:rsidR="004316FE" w:rsidRPr="00E9174E" w:rsidRDefault="004316FE" w:rsidP="00E9174E">
      <w:pPr>
        <w:widowControl/>
        <w:spacing w:line="360" w:lineRule="auto"/>
        <w:ind w:firstLine="1440"/>
        <w:contextualSpacing/>
        <w:rPr>
          <w:rFonts w:eastAsiaTheme="minorHAnsi"/>
          <w:sz w:val="26"/>
          <w:szCs w:val="26"/>
        </w:rPr>
      </w:pPr>
      <w:r w:rsidRPr="00E9174E">
        <w:rPr>
          <w:rFonts w:eastAsiaTheme="minorHAnsi"/>
          <w:sz w:val="26"/>
          <w:szCs w:val="26"/>
        </w:rPr>
        <w:t xml:space="preserve">On the other hand, we find that while the OCA generally outlined the reportable business segments for Chesapeake Utilities, it failed to offer any evidence as to whether the non-utility operations of Chesapeake Utilities are more dominant than its utility operations.  Instead, we concur with Columbia that because I&amp;E included Chesapeake Utilities as its proxy group, it satisfied I&amp;E’s revenue threshold of 50% or more of utility revenues.  Further, Columbia provided evidence to indicate that Chesapeake Utilities has 79% of its assets in utility operations, and 84% of its income in utility operations.  </w:t>
      </w:r>
      <w:r w:rsidRPr="00E9174E">
        <w:rPr>
          <w:rFonts w:eastAsiaTheme="minorHAnsi"/>
          <w:i/>
          <w:iCs/>
          <w:sz w:val="26"/>
          <w:szCs w:val="26"/>
        </w:rPr>
        <w:t xml:space="preserve">See </w:t>
      </w:r>
      <w:r w:rsidRPr="00E9174E">
        <w:rPr>
          <w:rFonts w:eastAsiaTheme="minorHAnsi"/>
          <w:sz w:val="26"/>
          <w:szCs w:val="26"/>
        </w:rPr>
        <w:t xml:space="preserve">Columbia St. 8-R at 15-16.  Accordingly, we find that Chesapeake Utilities is properly included in the proxy group, while UGI is properly excluded. </w:t>
      </w:r>
    </w:p>
    <w:p w14:paraId="494BFB74" w14:textId="77777777" w:rsidR="004316FE" w:rsidRPr="00E9174E" w:rsidRDefault="004316FE" w:rsidP="00E9174E">
      <w:pPr>
        <w:widowControl/>
        <w:spacing w:line="360" w:lineRule="auto"/>
        <w:ind w:firstLine="1440"/>
        <w:contextualSpacing/>
        <w:rPr>
          <w:rFonts w:eastAsiaTheme="minorHAnsi"/>
          <w:sz w:val="26"/>
          <w:szCs w:val="26"/>
        </w:rPr>
      </w:pPr>
    </w:p>
    <w:p w14:paraId="02FA5E78" w14:textId="56ECB03A" w:rsidR="004316FE" w:rsidRPr="00E9174E" w:rsidRDefault="004316FE" w:rsidP="00E9174E">
      <w:pPr>
        <w:widowControl/>
        <w:spacing w:line="360" w:lineRule="auto"/>
        <w:ind w:firstLine="1440"/>
        <w:contextualSpacing/>
        <w:rPr>
          <w:rFonts w:eastAsiaTheme="minorHAnsi"/>
          <w:sz w:val="26"/>
          <w:szCs w:val="26"/>
        </w:rPr>
      </w:pPr>
      <w:r w:rsidRPr="00E9174E">
        <w:rPr>
          <w:rFonts w:eastAsiaTheme="minorHAnsi"/>
          <w:sz w:val="26"/>
          <w:szCs w:val="26"/>
        </w:rPr>
        <w:t xml:space="preserve">Additionally, we find that a stand-alone analysis of the cost of equity for NiSource, as proffered by the OCA, is inappropriate and unnecessary.  Traditionally, this Commission has focused primarily on using a proxy group analysis to set a utility’s return on equity when the utility’s stock is not traded.  This approach produces a return that is available on other enterprises of comparable risk.  We find that the OCA has not provided any persuasive argument for deviating from this approach.  Thus, as Columbia observed, a separate analysis of a single company is not a proxy group and does not </w:t>
      </w:r>
      <w:r w:rsidRPr="00E9174E">
        <w:rPr>
          <w:rFonts w:eastAsiaTheme="minorHAnsi"/>
          <w:sz w:val="26"/>
          <w:szCs w:val="26"/>
        </w:rPr>
        <w:lastRenderedPageBreak/>
        <w:t xml:space="preserve">provide a balanced analysis of the cost of equity for gas utilities.  </w:t>
      </w:r>
      <w:r w:rsidRPr="00E9174E">
        <w:rPr>
          <w:rFonts w:eastAsiaTheme="minorHAnsi"/>
          <w:i/>
          <w:iCs/>
          <w:sz w:val="26"/>
          <w:szCs w:val="26"/>
        </w:rPr>
        <w:t xml:space="preserve">See </w:t>
      </w:r>
      <w:r w:rsidRPr="00E9174E">
        <w:rPr>
          <w:rFonts w:eastAsiaTheme="minorHAnsi"/>
          <w:sz w:val="26"/>
          <w:szCs w:val="26"/>
        </w:rPr>
        <w:t>Columbia St. 8-R at</w:t>
      </w:r>
      <w:r w:rsidR="00A658BD" w:rsidRPr="00E9174E">
        <w:rPr>
          <w:rFonts w:eastAsiaTheme="minorHAnsi"/>
          <w:sz w:val="26"/>
          <w:szCs w:val="26"/>
        </w:rPr>
        <w:t> </w:t>
      </w:r>
      <w:r w:rsidRPr="00E9174E">
        <w:rPr>
          <w:rFonts w:eastAsiaTheme="minorHAnsi"/>
          <w:sz w:val="26"/>
          <w:szCs w:val="26"/>
        </w:rPr>
        <w:t xml:space="preserve">15. </w:t>
      </w:r>
    </w:p>
    <w:p w14:paraId="5A06E674" w14:textId="77777777" w:rsidR="004316FE" w:rsidRPr="00E9174E" w:rsidRDefault="004316FE" w:rsidP="00E9174E">
      <w:pPr>
        <w:widowControl/>
        <w:spacing w:line="360" w:lineRule="auto"/>
        <w:ind w:firstLine="1440"/>
        <w:contextualSpacing/>
        <w:rPr>
          <w:rFonts w:eastAsiaTheme="minorHAnsi"/>
          <w:sz w:val="26"/>
          <w:szCs w:val="26"/>
        </w:rPr>
      </w:pPr>
    </w:p>
    <w:p w14:paraId="55C3C735" w14:textId="77777777" w:rsidR="004316FE" w:rsidRPr="00E9174E" w:rsidRDefault="004316FE" w:rsidP="00E9174E">
      <w:pPr>
        <w:widowControl/>
        <w:spacing w:line="360" w:lineRule="auto"/>
        <w:ind w:firstLine="1440"/>
        <w:contextualSpacing/>
        <w:rPr>
          <w:rFonts w:eastAsiaTheme="minorHAnsi"/>
          <w:sz w:val="26"/>
          <w:szCs w:val="26"/>
        </w:rPr>
      </w:pPr>
      <w:r w:rsidRPr="00E9174E">
        <w:rPr>
          <w:rFonts w:eastAsiaTheme="minorHAnsi"/>
          <w:sz w:val="26"/>
          <w:szCs w:val="26"/>
        </w:rPr>
        <w:t>For all of the above reasons, the OCA’s Exception No. 3A is denied.</w:t>
      </w:r>
    </w:p>
    <w:p w14:paraId="6723F946" w14:textId="77777777" w:rsidR="00374319" w:rsidRPr="00E9174E" w:rsidRDefault="00374319" w:rsidP="00E9174E">
      <w:pPr>
        <w:widowControl/>
        <w:spacing w:line="360" w:lineRule="auto"/>
        <w:ind w:firstLine="1440"/>
        <w:contextualSpacing/>
        <w:rPr>
          <w:rFonts w:eastAsiaTheme="minorHAnsi"/>
          <w:sz w:val="26"/>
          <w:szCs w:val="26"/>
        </w:rPr>
      </w:pPr>
    </w:p>
    <w:p w14:paraId="2CD3155E" w14:textId="585596DF" w:rsidR="00E919D2" w:rsidRPr="00E9174E" w:rsidRDefault="00E919D2" w:rsidP="001768DD">
      <w:pPr>
        <w:pStyle w:val="Heading2"/>
        <w:numPr>
          <w:ilvl w:val="0"/>
          <w:numId w:val="37"/>
        </w:numPr>
        <w:ind w:hanging="720"/>
      </w:pPr>
      <w:bookmarkStart w:id="252" w:name="_Toc38308890"/>
      <w:bookmarkStart w:id="253" w:name="_Toc63764519"/>
      <w:r w:rsidRPr="00E9174E">
        <w:t>Capital Structure</w:t>
      </w:r>
      <w:bookmarkEnd w:id="252"/>
      <w:r w:rsidRPr="00E9174E">
        <w:t xml:space="preserve"> Ratios</w:t>
      </w:r>
      <w:bookmarkEnd w:id="253"/>
    </w:p>
    <w:p w14:paraId="38E77770" w14:textId="77777777" w:rsidR="00E919D2" w:rsidRPr="00E9174E" w:rsidRDefault="00E919D2" w:rsidP="00E9174E">
      <w:pPr>
        <w:keepNext/>
        <w:keepLines/>
        <w:widowControl/>
        <w:spacing w:line="360" w:lineRule="auto"/>
        <w:contextualSpacing/>
        <w:rPr>
          <w:rFonts w:eastAsiaTheme="minorHAnsi"/>
          <w:sz w:val="26"/>
          <w:szCs w:val="26"/>
        </w:rPr>
      </w:pPr>
    </w:p>
    <w:p w14:paraId="22DDD7AF" w14:textId="53F83419" w:rsidR="00E919D2" w:rsidRPr="00E9174E" w:rsidRDefault="00762F4E" w:rsidP="00E9174E">
      <w:pPr>
        <w:widowControl/>
        <w:spacing w:line="360" w:lineRule="auto"/>
        <w:ind w:firstLine="1440"/>
        <w:contextualSpacing/>
        <w:rPr>
          <w:rFonts w:eastAsiaTheme="minorHAnsi"/>
          <w:sz w:val="26"/>
          <w:szCs w:val="26"/>
        </w:rPr>
      </w:pPr>
      <w:r w:rsidRPr="00E9174E">
        <w:rPr>
          <w:sz w:val="26"/>
          <w:szCs w:val="26"/>
        </w:rPr>
        <w:t>A utility’s capital structure represents how the company has financed its rate base with different sources of funds.  The primary funding sources are long-term debt and common equity.  A capital structure may also include preferred stock and/or short-term debt.  I&amp;E St. 1 at 10-11.  Determining the appropriate capital structure is crucial in developing the weighted cost of capital, which, in turn, determines the overall rate of return in the revenue requirement equation.</w:t>
      </w:r>
    </w:p>
    <w:p w14:paraId="33A81FCE" w14:textId="77777777" w:rsidR="00E919D2" w:rsidRPr="00E9174E" w:rsidRDefault="00E919D2" w:rsidP="00E9174E">
      <w:pPr>
        <w:widowControl/>
        <w:spacing w:line="360" w:lineRule="auto"/>
        <w:contextualSpacing/>
        <w:rPr>
          <w:rFonts w:eastAsiaTheme="minorHAnsi"/>
          <w:sz w:val="26"/>
          <w:szCs w:val="26"/>
        </w:rPr>
      </w:pPr>
    </w:p>
    <w:p w14:paraId="53D8E366" w14:textId="3AE5E903" w:rsidR="00E919D2" w:rsidRPr="00E9174E" w:rsidRDefault="00E919D2" w:rsidP="00277ECF">
      <w:pPr>
        <w:pStyle w:val="Heading3"/>
        <w:numPr>
          <w:ilvl w:val="0"/>
          <w:numId w:val="23"/>
        </w:numPr>
        <w:ind w:left="1440" w:hanging="720"/>
      </w:pPr>
      <w:bookmarkStart w:id="254" w:name="_Toc63764520"/>
      <w:r w:rsidRPr="00E9174E">
        <w:t>Positions of the Parties</w:t>
      </w:r>
      <w:bookmarkEnd w:id="254"/>
    </w:p>
    <w:p w14:paraId="4298976C" w14:textId="77777777" w:rsidR="00E919D2" w:rsidRPr="00E9174E" w:rsidRDefault="00E919D2" w:rsidP="00E9174E">
      <w:pPr>
        <w:keepNext/>
        <w:keepLines/>
        <w:widowControl/>
        <w:spacing w:line="360" w:lineRule="auto"/>
        <w:ind w:firstLine="1440"/>
        <w:contextualSpacing/>
        <w:rPr>
          <w:sz w:val="26"/>
          <w:szCs w:val="26"/>
        </w:rPr>
      </w:pPr>
    </w:p>
    <w:p w14:paraId="5102C31B" w14:textId="77777777" w:rsidR="00D22652" w:rsidRPr="00E9174E" w:rsidRDefault="00D22652" w:rsidP="00E9174E">
      <w:pPr>
        <w:widowControl/>
        <w:spacing w:line="360" w:lineRule="auto"/>
        <w:ind w:firstLine="1440"/>
        <w:contextualSpacing/>
        <w:rPr>
          <w:sz w:val="26"/>
          <w:szCs w:val="26"/>
        </w:rPr>
      </w:pPr>
      <w:r w:rsidRPr="00E9174E">
        <w:rPr>
          <w:sz w:val="26"/>
          <w:szCs w:val="26"/>
        </w:rPr>
        <w:t xml:space="preserve">Columbia proposed a capital structure of 54.19% common equity, 42.22% long-term debt, and 3.59% short-term debt.  Columbia submitted that capital structure ratios are not merely a set of percentages applied to common equity, long-term debt, and short-term debt, but are, instead, percentages derived from real world investments in capital.  In this regard, the Company explained that its FPFTY capital structure is based upon its actual capital structure as of November 30, 2019, updated for changes during the FTY and FPFTY.  CG M.B. at 65-66.  </w:t>
      </w:r>
    </w:p>
    <w:p w14:paraId="7203C171" w14:textId="77777777" w:rsidR="00D22652" w:rsidRPr="00E9174E" w:rsidRDefault="00D22652" w:rsidP="00E9174E">
      <w:pPr>
        <w:widowControl/>
        <w:spacing w:line="360" w:lineRule="auto"/>
        <w:ind w:firstLine="1440"/>
        <w:contextualSpacing/>
        <w:rPr>
          <w:sz w:val="26"/>
          <w:szCs w:val="26"/>
        </w:rPr>
      </w:pPr>
    </w:p>
    <w:p w14:paraId="1520F5B4" w14:textId="47C4F7F0" w:rsidR="00D22652" w:rsidRPr="00E9174E" w:rsidRDefault="00D22652" w:rsidP="00E9174E">
      <w:pPr>
        <w:widowControl/>
        <w:spacing w:line="360" w:lineRule="auto"/>
        <w:ind w:firstLine="1440"/>
        <w:contextualSpacing/>
        <w:rPr>
          <w:sz w:val="26"/>
          <w:szCs w:val="26"/>
        </w:rPr>
      </w:pPr>
      <w:r w:rsidRPr="00E9174E">
        <w:rPr>
          <w:sz w:val="26"/>
          <w:szCs w:val="26"/>
        </w:rPr>
        <w:t xml:space="preserve">According to the Company, the Commission has determined that a utility’s actual capital structure is to be used, absent circumstances where the actual capital structure is atypical for the type of utility service being offered.  Columbia continued that in determining whether the claimed capital structure is atypical, the Commission has looked to see whether the capital structure used by the utility is outside the range of that </w:t>
      </w:r>
      <w:r w:rsidRPr="00E9174E">
        <w:rPr>
          <w:sz w:val="26"/>
          <w:szCs w:val="26"/>
        </w:rPr>
        <w:lastRenderedPageBreak/>
        <w:t xml:space="preserve">employed by the proxy group of companies considered in the rate of return analysis and has concluded that if a utility’s capital structure is within a reasonable range of similar risk proxy group companies, the utility’s actual capital structure should be used, as opposed to a hypothetical capital structure.  CG M.B. at 66-67; CG R.B. at 39 (citing </w:t>
      </w:r>
      <w:r w:rsidRPr="00E9174E">
        <w:rPr>
          <w:i/>
          <w:sz w:val="26"/>
          <w:szCs w:val="26"/>
        </w:rPr>
        <w:t>Pa.</w:t>
      </w:r>
      <w:r w:rsidR="00B91EDA">
        <w:rPr>
          <w:i/>
          <w:sz w:val="26"/>
          <w:szCs w:val="26"/>
        </w:rPr>
        <w:t> </w:t>
      </w:r>
      <w:r w:rsidRPr="00E9174E">
        <w:rPr>
          <w:i/>
          <w:sz w:val="26"/>
          <w:szCs w:val="26"/>
        </w:rPr>
        <w:t>PUC v. City of Lancaster – Water</w:t>
      </w:r>
      <w:r w:rsidRPr="00B91EDA">
        <w:rPr>
          <w:iCs/>
          <w:sz w:val="26"/>
          <w:szCs w:val="26"/>
        </w:rPr>
        <w:t>,</w:t>
      </w:r>
      <w:r w:rsidRPr="00E9174E">
        <w:rPr>
          <w:sz w:val="26"/>
          <w:szCs w:val="26"/>
        </w:rPr>
        <w:t xml:space="preserve"> 1999 Pa. PUC Lexis 37 at *17; </w:t>
      </w:r>
      <w:r w:rsidRPr="00E9174E">
        <w:rPr>
          <w:i/>
          <w:sz w:val="26"/>
          <w:szCs w:val="26"/>
        </w:rPr>
        <w:t>Pa. PUC v. City of Bethlehem</w:t>
      </w:r>
      <w:r w:rsidRPr="00B91EDA">
        <w:rPr>
          <w:iCs/>
          <w:sz w:val="26"/>
          <w:szCs w:val="26"/>
        </w:rPr>
        <w:t>,</w:t>
      </w:r>
      <w:r w:rsidRPr="00E9174E">
        <w:rPr>
          <w:sz w:val="26"/>
          <w:szCs w:val="26"/>
        </w:rPr>
        <w:t xml:space="preserve"> 84 Pa. P.U.C. 275, 304 (1995); </w:t>
      </w:r>
      <w:r w:rsidRPr="00E9174E">
        <w:rPr>
          <w:i/>
          <w:sz w:val="26"/>
          <w:szCs w:val="26"/>
        </w:rPr>
        <w:t>Carnegie Natural Gas Co. v. Pa. PUC</w:t>
      </w:r>
      <w:r w:rsidRPr="00B91EDA">
        <w:rPr>
          <w:iCs/>
          <w:sz w:val="26"/>
          <w:szCs w:val="26"/>
        </w:rPr>
        <w:t>,</w:t>
      </w:r>
      <w:r w:rsidRPr="00E9174E">
        <w:rPr>
          <w:i/>
          <w:sz w:val="26"/>
          <w:szCs w:val="26"/>
        </w:rPr>
        <w:t xml:space="preserve"> </w:t>
      </w:r>
      <w:r w:rsidRPr="00E9174E">
        <w:rPr>
          <w:sz w:val="26"/>
          <w:szCs w:val="26"/>
        </w:rPr>
        <w:t>433</w:t>
      </w:r>
      <w:r w:rsidR="00B91EDA">
        <w:rPr>
          <w:sz w:val="26"/>
          <w:szCs w:val="26"/>
        </w:rPr>
        <w:t> </w:t>
      </w:r>
      <w:r w:rsidRPr="00E9174E">
        <w:rPr>
          <w:sz w:val="26"/>
          <w:szCs w:val="26"/>
        </w:rPr>
        <w:t xml:space="preserve">A.2d 938, 940 (Pa. Cmwlth. 1981); </w:t>
      </w:r>
      <w:r w:rsidRPr="00E9174E">
        <w:rPr>
          <w:i/>
          <w:sz w:val="26"/>
          <w:szCs w:val="26"/>
        </w:rPr>
        <w:t>Pa. PUC. v. PPL Electric Utilities Corporation</w:t>
      </w:r>
      <w:r w:rsidRPr="00B91EDA">
        <w:rPr>
          <w:iCs/>
          <w:sz w:val="26"/>
          <w:szCs w:val="26"/>
        </w:rPr>
        <w:t>,</w:t>
      </w:r>
      <w:r w:rsidRPr="00E9174E">
        <w:rPr>
          <w:i/>
          <w:sz w:val="26"/>
          <w:szCs w:val="26"/>
        </w:rPr>
        <w:t xml:space="preserve"> </w:t>
      </w:r>
      <w:r w:rsidRPr="00E9174E">
        <w:rPr>
          <w:sz w:val="26"/>
          <w:szCs w:val="26"/>
        </w:rPr>
        <w:t xml:space="preserve">Docket No. R-2012-2290597, </w:t>
      </w:r>
      <w:r w:rsidRPr="00E9174E">
        <w:rPr>
          <w:i/>
          <w:sz w:val="26"/>
          <w:szCs w:val="26"/>
        </w:rPr>
        <w:t>et al</w:t>
      </w:r>
      <w:r w:rsidRPr="00E9174E">
        <w:rPr>
          <w:sz w:val="26"/>
          <w:szCs w:val="26"/>
        </w:rPr>
        <w:t>. (Order entered December 28, 2012) (</w:t>
      </w:r>
      <w:bookmarkStart w:id="255" w:name="_Hlk527543797"/>
      <w:r w:rsidRPr="00E9174E">
        <w:rPr>
          <w:i/>
          <w:sz w:val="26"/>
          <w:szCs w:val="26"/>
        </w:rPr>
        <w:t>2012 PPL Order</w:t>
      </w:r>
      <w:bookmarkEnd w:id="255"/>
      <w:r w:rsidRPr="00E9174E">
        <w:rPr>
          <w:sz w:val="26"/>
          <w:szCs w:val="26"/>
        </w:rPr>
        <w:t>)).  Columbia submitted that because its actual common equity ratio clearly lies within the range of common equity ratios of comparable gas utilities, it is not possible to define the Company’s common equity ratio as “atypical.”  CG M.B. at 65-66; CG R.B. at</w:t>
      </w:r>
      <w:r w:rsidR="00B91EDA">
        <w:rPr>
          <w:sz w:val="26"/>
          <w:szCs w:val="26"/>
        </w:rPr>
        <w:t> </w:t>
      </w:r>
      <w:r w:rsidRPr="00E9174E">
        <w:rPr>
          <w:sz w:val="26"/>
          <w:szCs w:val="26"/>
        </w:rPr>
        <w:t>40-41.</w:t>
      </w:r>
    </w:p>
    <w:p w14:paraId="2C7EB25D" w14:textId="77777777" w:rsidR="00D22652" w:rsidRPr="00E9174E" w:rsidRDefault="00D22652" w:rsidP="00E9174E">
      <w:pPr>
        <w:widowControl/>
        <w:spacing w:line="360" w:lineRule="auto"/>
        <w:ind w:firstLine="1440"/>
        <w:contextualSpacing/>
        <w:rPr>
          <w:sz w:val="26"/>
          <w:szCs w:val="26"/>
        </w:rPr>
      </w:pPr>
    </w:p>
    <w:p w14:paraId="138D6790" w14:textId="77777777" w:rsidR="00D22652" w:rsidRPr="00E9174E" w:rsidRDefault="00D22652" w:rsidP="00E9174E">
      <w:pPr>
        <w:widowControl/>
        <w:spacing w:line="360" w:lineRule="auto"/>
        <w:ind w:firstLine="1440"/>
        <w:contextualSpacing/>
        <w:rPr>
          <w:sz w:val="26"/>
          <w:szCs w:val="26"/>
        </w:rPr>
      </w:pPr>
      <w:r w:rsidRPr="00E9174E">
        <w:rPr>
          <w:sz w:val="26"/>
          <w:szCs w:val="26"/>
        </w:rPr>
        <w:t>I&amp;E accepted Columbia’s proposed capital structure.  I&amp;E reasoned that Columbia’s proposed debt and equity ratios fall within the range of its proxy group capital structures.  Namely, I&amp;E stated that this range contains long-term debt ratios ranging from 33.18% to 53.48% and equity ratios ranging from 32.78% to 59.01%, with a five-year average of 40.29% for long-term debt and 47.60% for common equity.  I&amp;E argued that although the Company’s short-term debt is below the 2019 range of 4.77% to 19.65%, it is within the range for the five-year period 2015-2019 for short-term debt of 0.41% to 26.85%.  I&amp;E M.B. at 33-34.</w:t>
      </w:r>
    </w:p>
    <w:p w14:paraId="32CAC79F" w14:textId="77777777" w:rsidR="00D22652" w:rsidRPr="00E9174E" w:rsidRDefault="00D22652" w:rsidP="00E9174E">
      <w:pPr>
        <w:widowControl/>
        <w:spacing w:line="360" w:lineRule="auto"/>
        <w:ind w:firstLine="1440"/>
        <w:contextualSpacing/>
        <w:rPr>
          <w:sz w:val="26"/>
          <w:szCs w:val="26"/>
        </w:rPr>
      </w:pPr>
    </w:p>
    <w:p w14:paraId="2858DD1B" w14:textId="49E76229" w:rsidR="00D22652" w:rsidRPr="00E9174E" w:rsidRDefault="00D22652" w:rsidP="00E9174E">
      <w:pPr>
        <w:widowControl/>
        <w:spacing w:line="360" w:lineRule="auto"/>
        <w:ind w:firstLine="1440"/>
        <w:contextualSpacing/>
        <w:rPr>
          <w:sz w:val="26"/>
          <w:szCs w:val="26"/>
        </w:rPr>
      </w:pPr>
      <w:r w:rsidRPr="00E9174E">
        <w:rPr>
          <w:sz w:val="26"/>
          <w:szCs w:val="26"/>
        </w:rPr>
        <w:t xml:space="preserve">The OCA sought to utilize a hypothetical capital structure of 50% common equity and 50% total debt to set rates for Columbia.  The OCA explained that this capital structure is based upon consideration of the average equity ratios for the OCA’s proxy group and the average annual common equity ratio presented by state regulators in past years.  According to the OCA, the Company has not provided substantial evidence to support its position that it will add capital investment tied to FPFTY plant additions to arrive at the estimated end of FPFTY capital structure ratios, including a 54.19% </w:t>
      </w:r>
      <w:r w:rsidRPr="00E9174E">
        <w:rPr>
          <w:sz w:val="26"/>
          <w:szCs w:val="26"/>
        </w:rPr>
        <w:lastRenderedPageBreak/>
        <w:t xml:space="preserve">common equity ratio.  The OCA submitted that the cases Columbia cited to, </w:t>
      </w:r>
      <w:r w:rsidRPr="00E9174E">
        <w:rPr>
          <w:i/>
          <w:iCs/>
          <w:sz w:val="26"/>
          <w:szCs w:val="26"/>
        </w:rPr>
        <w:t>supra</w:t>
      </w:r>
      <w:r w:rsidRPr="00B91EDA">
        <w:rPr>
          <w:sz w:val="26"/>
          <w:szCs w:val="26"/>
        </w:rPr>
        <w:t>,</w:t>
      </w:r>
      <w:r w:rsidRPr="00E9174E">
        <w:rPr>
          <w:i/>
          <w:iCs/>
          <w:sz w:val="26"/>
          <w:szCs w:val="26"/>
        </w:rPr>
        <w:t xml:space="preserve"> </w:t>
      </w:r>
      <w:r w:rsidRPr="00E9174E">
        <w:rPr>
          <w:sz w:val="26"/>
          <w:szCs w:val="26"/>
        </w:rPr>
        <w:t>did not involve the setting of rates based upon a FPFTY, subject to the provisions of Section</w:t>
      </w:r>
      <w:r w:rsidR="00B91EDA">
        <w:rPr>
          <w:sz w:val="26"/>
          <w:szCs w:val="26"/>
        </w:rPr>
        <w:t> </w:t>
      </w:r>
      <w:r w:rsidRPr="00E9174E">
        <w:rPr>
          <w:sz w:val="26"/>
          <w:szCs w:val="26"/>
        </w:rPr>
        <w:t>315(e) of the Code, and did not involve the extraordinary circumstances of a pandemic, statewide disaster proclamation, and a period of a Commission-imposed moratorium on disconnections to protect the public.  In the OCA’s view, the Commission should consider what capital structure is appropriate to set just and reasonable rates, specific to current economic conditions, including the low cost of debt, as well as the extensive adverse economic impact of the COVID-19 pandemic on Columbia’s customer base.  The OCA took the position that under the current economic conditions, the Company’s proposed 54.19% common equity ratio is overstated and will cost consumers more, if adopted by the Commission, in part because revenues to pay equity must be grossed up for taxes.  OCA MB at 55-61; OCA R.B. at 31-37.</w:t>
      </w:r>
    </w:p>
    <w:p w14:paraId="67F4026B" w14:textId="77777777" w:rsidR="00E919D2" w:rsidRPr="00E9174E" w:rsidRDefault="00E919D2" w:rsidP="00E9174E">
      <w:pPr>
        <w:widowControl/>
        <w:spacing w:line="360" w:lineRule="auto"/>
        <w:ind w:firstLine="1440"/>
        <w:contextualSpacing/>
        <w:rPr>
          <w:sz w:val="26"/>
          <w:szCs w:val="26"/>
        </w:rPr>
      </w:pPr>
    </w:p>
    <w:p w14:paraId="170DADF2" w14:textId="7F5DCFBD" w:rsidR="00E919D2" w:rsidRPr="00E9174E" w:rsidRDefault="009F3929" w:rsidP="00277ECF">
      <w:pPr>
        <w:pStyle w:val="Heading3"/>
        <w:numPr>
          <w:ilvl w:val="0"/>
          <w:numId w:val="23"/>
        </w:numPr>
        <w:ind w:left="1440" w:hanging="720"/>
      </w:pPr>
      <w:bookmarkStart w:id="256" w:name="_Toc63764521"/>
      <w:r w:rsidRPr="00E9174E">
        <w:t>Recommended Decision</w:t>
      </w:r>
      <w:bookmarkEnd w:id="256"/>
    </w:p>
    <w:p w14:paraId="02D6E60C" w14:textId="77777777" w:rsidR="00E919D2" w:rsidRPr="00E9174E" w:rsidRDefault="00E919D2" w:rsidP="00E9174E">
      <w:pPr>
        <w:keepNext/>
        <w:keepLines/>
        <w:widowControl/>
        <w:spacing w:line="360" w:lineRule="auto"/>
        <w:ind w:firstLine="1440"/>
        <w:contextualSpacing/>
        <w:rPr>
          <w:sz w:val="26"/>
          <w:szCs w:val="26"/>
        </w:rPr>
      </w:pPr>
    </w:p>
    <w:p w14:paraId="094418A1" w14:textId="21D2963F" w:rsidR="00E919D2" w:rsidRPr="00E9174E" w:rsidRDefault="00F86D0E" w:rsidP="00E9174E">
      <w:pPr>
        <w:widowControl/>
        <w:spacing w:line="360" w:lineRule="auto"/>
        <w:ind w:firstLine="1440"/>
        <w:contextualSpacing/>
        <w:rPr>
          <w:rFonts w:eastAsiaTheme="minorHAnsi"/>
          <w:sz w:val="26"/>
          <w:szCs w:val="26"/>
        </w:rPr>
      </w:pPr>
      <w:r w:rsidRPr="00E9174E">
        <w:rPr>
          <w:sz w:val="26"/>
          <w:szCs w:val="26"/>
        </w:rPr>
        <w:t>The ALJ agreed with the OCA that Columbia’s projected actual capital structure should be rejected.  According to the ALJ, the Company’s capital structure contains too much equity and is unfair to consumers.  The ALJ recommended that in the event the Commission grants the Company’s request to consider all the elements in its base rate increase request, then it should reject the Company’s capital structure and use the OCA’s hypothetical capital structure of 50% debt and 50% common equity.  In the ALJ’s view, the OCA demonstrated that under a traditional ratemaking approach, this capital structure would lead to just and reasonable rates.  R.D. at 181.</w:t>
      </w:r>
    </w:p>
    <w:p w14:paraId="147189CC" w14:textId="77777777" w:rsidR="00E919D2" w:rsidRPr="00E9174E" w:rsidRDefault="00E919D2" w:rsidP="00E9174E">
      <w:pPr>
        <w:widowControl/>
        <w:spacing w:line="360" w:lineRule="auto"/>
        <w:ind w:firstLine="1440"/>
        <w:contextualSpacing/>
        <w:rPr>
          <w:rFonts w:eastAsiaTheme="minorHAnsi"/>
          <w:sz w:val="26"/>
          <w:szCs w:val="26"/>
        </w:rPr>
      </w:pPr>
    </w:p>
    <w:p w14:paraId="62C00F25" w14:textId="0DE0C5D6" w:rsidR="00E919D2" w:rsidRPr="00E9174E" w:rsidRDefault="0090580E" w:rsidP="00277ECF">
      <w:pPr>
        <w:pStyle w:val="Heading3"/>
        <w:numPr>
          <w:ilvl w:val="0"/>
          <w:numId w:val="23"/>
        </w:numPr>
        <w:ind w:left="1440" w:hanging="720"/>
      </w:pPr>
      <w:bookmarkStart w:id="257" w:name="_Toc63764522"/>
      <w:r w:rsidRPr="00E9174E">
        <w:t xml:space="preserve">Columbia </w:t>
      </w:r>
      <w:r w:rsidR="00E919D2" w:rsidRPr="00E9174E">
        <w:t>Exception</w:t>
      </w:r>
      <w:r w:rsidRPr="00E9174E">
        <w:t xml:space="preserve"> No. 16</w:t>
      </w:r>
      <w:r w:rsidR="00E919D2" w:rsidRPr="00E9174E">
        <w:t xml:space="preserve"> and Replies</w:t>
      </w:r>
      <w:bookmarkEnd w:id="257"/>
    </w:p>
    <w:p w14:paraId="7D11EA4C" w14:textId="77777777" w:rsidR="00E919D2" w:rsidRPr="00E9174E" w:rsidRDefault="00E919D2" w:rsidP="00E9174E">
      <w:pPr>
        <w:keepNext/>
        <w:keepLines/>
        <w:widowControl/>
        <w:spacing w:line="360" w:lineRule="auto"/>
        <w:ind w:firstLine="1440"/>
        <w:contextualSpacing/>
        <w:rPr>
          <w:sz w:val="26"/>
          <w:szCs w:val="26"/>
        </w:rPr>
      </w:pPr>
    </w:p>
    <w:p w14:paraId="5E0CB724" w14:textId="77777777" w:rsidR="00EC7547" w:rsidRPr="00E9174E" w:rsidRDefault="00EC7547" w:rsidP="00E9174E">
      <w:pPr>
        <w:widowControl/>
        <w:spacing w:line="360" w:lineRule="auto"/>
        <w:ind w:firstLine="1440"/>
        <w:contextualSpacing/>
        <w:rPr>
          <w:rFonts w:eastAsiaTheme="minorHAnsi"/>
          <w:sz w:val="26"/>
          <w:szCs w:val="26"/>
        </w:rPr>
      </w:pPr>
      <w:r w:rsidRPr="00E9174E">
        <w:rPr>
          <w:rFonts w:eastAsiaTheme="minorHAnsi"/>
          <w:sz w:val="26"/>
          <w:szCs w:val="26"/>
        </w:rPr>
        <w:t xml:space="preserve">In its Exception No. 16, Columbia finds fault with the ALJ’s recommendation that the OCA’s proposed hypothetical capital structure of 50% total debt and 50% common equity should be adopted.  According to Columbia, the ALJ’s only </w:t>
      </w:r>
      <w:r w:rsidRPr="00E9174E">
        <w:rPr>
          <w:rFonts w:eastAsiaTheme="minorHAnsi"/>
          <w:sz w:val="26"/>
          <w:szCs w:val="26"/>
        </w:rPr>
        <w:lastRenderedPageBreak/>
        <w:t xml:space="preserve">reasoning for adopting this hypothetical capital structure is that “it contains too much equity and is unfair to consumers.”  CG Exc. at 22 (citing R.D. at 181).  Columbia submits that such a finding disregards established Commission precedent on the use of actual vs. hypothetical capital structure ratios.  Namely, Columbia restates that </w:t>
      </w:r>
      <w:r w:rsidRPr="00E9174E">
        <w:rPr>
          <w:sz w:val="26"/>
          <w:szCs w:val="26"/>
        </w:rPr>
        <w:t xml:space="preserve">the precedent set forth in the </w:t>
      </w:r>
      <w:r w:rsidRPr="00E9174E">
        <w:rPr>
          <w:i/>
          <w:iCs/>
          <w:sz w:val="26"/>
          <w:szCs w:val="26"/>
        </w:rPr>
        <w:t>2012 PPL Order</w:t>
      </w:r>
      <w:r w:rsidRPr="00E9174E">
        <w:rPr>
          <w:sz w:val="26"/>
          <w:szCs w:val="26"/>
        </w:rPr>
        <w:t xml:space="preserve"> and other Commission proceedings it cited, </w:t>
      </w:r>
      <w:r w:rsidRPr="00E9174E">
        <w:rPr>
          <w:i/>
          <w:iCs/>
          <w:sz w:val="26"/>
          <w:szCs w:val="26"/>
        </w:rPr>
        <w:t>supra,</w:t>
      </w:r>
      <w:r w:rsidRPr="00E9174E">
        <w:rPr>
          <w:sz w:val="26"/>
          <w:szCs w:val="26"/>
        </w:rPr>
        <w:t xml:space="preserve"> for deciding whether to use a hypothetical capital structure in setting rates is that if a utility’s actual capital structure is within the range of a similarly situated proxy group of companies, rates are set based on the utility’s actual capital structure.  Columbia reiterates its argument that only if the capital structure is atypical, outside of the range of the proxy group, should a hypothetical capital structure be used to set rates for a utility.  </w:t>
      </w:r>
      <w:r w:rsidRPr="00E9174E">
        <w:rPr>
          <w:rFonts w:eastAsiaTheme="minorHAnsi"/>
          <w:sz w:val="26"/>
          <w:szCs w:val="26"/>
        </w:rPr>
        <w:t xml:space="preserve">CG Exc. at 22-23. </w:t>
      </w:r>
    </w:p>
    <w:p w14:paraId="28DACC6D" w14:textId="77777777" w:rsidR="00EC7547" w:rsidRPr="00E9174E" w:rsidRDefault="00EC7547" w:rsidP="00E9174E">
      <w:pPr>
        <w:widowControl/>
        <w:spacing w:line="360" w:lineRule="auto"/>
        <w:ind w:firstLine="1440"/>
        <w:contextualSpacing/>
        <w:rPr>
          <w:rFonts w:eastAsiaTheme="minorHAnsi"/>
          <w:sz w:val="26"/>
          <w:szCs w:val="26"/>
        </w:rPr>
      </w:pPr>
    </w:p>
    <w:p w14:paraId="6CE13E19" w14:textId="77777777" w:rsidR="00EC7547" w:rsidRPr="00E9174E" w:rsidRDefault="00EC7547" w:rsidP="00E9174E">
      <w:pPr>
        <w:widowControl/>
        <w:spacing w:line="360" w:lineRule="auto"/>
        <w:ind w:firstLine="1440"/>
        <w:contextualSpacing/>
        <w:rPr>
          <w:rFonts w:eastAsiaTheme="minorHAnsi"/>
          <w:sz w:val="26"/>
          <w:szCs w:val="26"/>
        </w:rPr>
      </w:pPr>
      <w:r w:rsidRPr="00E9174E">
        <w:rPr>
          <w:rFonts w:eastAsiaTheme="minorHAnsi"/>
          <w:sz w:val="26"/>
          <w:szCs w:val="26"/>
        </w:rPr>
        <w:t>Columbia argues that its capital structure contains more equity than the OCA’s proposed 50% because it needs this equity to support its infrastructure replacement program, consistent with its Commission-approved LTIIP.  Columbia insists that its actual common equity ratio clearly lies within the range of common equity ratios of comparable gas utilities.  More specifically, the Company notes that Table 4 of the Direct Testimony of the OCA’s Witness Mr. Kevin O’Donnell shows nine companies in the OCA’s proxy group with common equity ratios ranging from 39.80% to 62%, including four proxy group companies with common equity ratios ranging from 55% to 62%.  According to Columbia, the Company’s projected actual capital structure falls right in the middle.  CG Exc. at 23 (citing OCA St. 3 at 30).  Therefore, Columbia stresses its position that it is not possible to define the Company’s common equity ratio as “atypical.”  CG Exc. at 23.</w:t>
      </w:r>
    </w:p>
    <w:p w14:paraId="18183062" w14:textId="77777777" w:rsidR="00EC7547" w:rsidRPr="00E9174E" w:rsidRDefault="00EC7547" w:rsidP="00E9174E">
      <w:pPr>
        <w:widowControl/>
        <w:spacing w:line="360" w:lineRule="auto"/>
        <w:ind w:firstLine="1440"/>
        <w:contextualSpacing/>
        <w:rPr>
          <w:rFonts w:eastAsiaTheme="minorHAnsi"/>
          <w:sz w:val="26"/>
          <w:szCs w:val="26"/>
        </w:rPr>
      </w:pPr>
    </w:p>
    <w:p w14:paraId="7304D745" w14:textId="77777777" w:rsidR="00EC7547" w:rsidRPr="00E9174E" w:rsidRDefault="00EC7547" w:rsidP="00E9174E">
      <w:pPr>
        <w:widowControl/>
        <w:spacing w:line="360" w:lineRule="auto"/>
        <w:ind w:firstLine="1440"/>
        <w:contextualSpacing/>
        <w:rPr>
          <w:rFonts w:eastAsiaTheme="minorHAnsi"/>
          <w:sz w:val="26"/>
          <w:szCs w:val="26"/>
        </w:rPr>
      </w:pPr>
      <w:r w:rsidRPr="00E9174E">
        <w:rPr>
          <w:rFonts w:eastAsiaTheme="minorHAnsi"/>
          <w:sz w:val="26"/>
          <w:szCs w:val="26"/>
        </w:rPr>
        <w:t xml:space="preserve">In its Replies to Exceptions, the OCA counters that in recommending the adoption of the OCA’s proposed capital structure, Judge Dunderdale considered and balanced both the needs of the Company and the interests of Columbia’s consumers who will be paying any increase in rates during a time when residential and business </w:t>
      </w:r>
      <w:r w:rsidRPr="00E9174E">
        <w:rPr>
          <w:rFonts w:eastAsiaTheme="minorHAnsi"/>
          <w:sz w:val="26"/>
          <w:szCs w:val="26"/>
        </w:rPr>
        <w:lastRenderedPageBreak/>
        <w:t>customers face economic challenges resulting from the COVID-19 pandemic crisis.  The OCA asserts that the Company prepared its end of the FPFTY capital structure forecast in 2019, before the pandemic.  The OCA remains of the opinion that Columbia failed to provide any information in its rate filing to demonstrate that the Company’s projected capital structure will be realized or that its planned capital spending and plant additions in the FPFTY will be unaffected by the pandemic.  Therefore, the OCA maintains that adopting the Company’s projected capital structure ratio would be unfair to consumers because dollars for equity require more revenue than an equivalent amount of debt.  OCA R. Exc. at 13-14.</w:t>
      </w:r>
    </w:p>
    <w:p w14:paraId="1C81EAD8" w14:textId="77777777" w:rsidR="00E919D2" w:rsidRPr="00E9174E" w:rsidRDefault="00E919D2" w:rsidP="00E9174E">
      <w:pPr>
        <w:widowControl/>
        <w:spacing w:line="360" w:lineRule="auto"/>
        <w:ind w:firstLine="1440"/>
        <w:contextualSpacing/>
        <w:rPr>
          <w:rFonts w:eastAsiaTheme="minorHAnsi"/>
          <w:sz w:val="26"/>
          <w:szCs w:val="26"/>
        </w:rPr>
      </w:pPr>
    </w:p>
    <w:p w14:paraId="3F1B2122" w14:textId="78183456" w:rsidR="00E919D2" w:rsidRPr="00E9174E" w:rsidRDefault="00E919D2" w:rsidP="00277ECF">
      <w:pPr>
        <w:pStyle w:val="Heading3"/>
        <w:numPr>
          <w:ilvl w:val="0"/>
          <w:numId w:val="23"/>
        </w:numPr>
        <w:ind w:left="1440" w:hanging="720"/>
      </w:pPr>
      <w:bookmarkStart w:id="258" w:name="_Toc63764523"/>
      <w:r w:rsidRPr="00E9174E">
        <w:t>Disposition</w:t>
      </w:r>
      <w:bookmarkEnd w:id="258"/>
    </w:p>
    <w:p w14:paraId="0ED2E5D4" w14:textId="77777777" w:rsidR="00E919D2" w:rsidRPr="00E9174E" w:rsidRDefault="00E919D2" w:rsidP="00E9174E">
      <w:pPr>
        <w:keepNext/>
        <w:keepLines/>
        <w:widowControl/>
        <w:spacing w:line="360" w:lineRule="auto"/>
        <w:ind w:firstLine="1440"/>
        <w:contextualSpacing/>
        <w:rPr>
          <w:sz w:val="26"/>
          <w:szCs w:val="26"/>
        </w:rPr>
      </w:pPr>
    </w:p>
    <w:p w14:paraId="6B25D996" w14:textId="0349C45C" w:rsidR="00F00F8C" w:rsidRPr="00E9174E" w:rsidRDefault="00F00F8C" w:rsidP="00E9174E">
      <w:pPr>
        <w:widowControl/>
        <w:spacing w:line="360" w:lineRule="auto"/>
        <w:ind w:firstLine="1440"/>
        <w:contextualSpacing/>
        <w:rPr>
          <w:rFonts w:eastAsiaTheme="minorHAnsi"/>
          <w:sz w:val="26"/>
          <w:szCs w:val="26"/>
        </w:rPr>
      </w:pPr>
      <w:r w:rsidRPr="00E9174E">
        <w:rPr>
          <w:rFonts w:eastAsiaTheme="minorHAnsi"/>
          <w:sz w:val="26"/>
          <w:szCs w:val="26"/>
        </w:rPr>
        <w:t>Based upon our review of the record established in this proceeding, we shall decline to adopt the ALJ</w:t>
      </w:r>
      <w:r w:rsidR="004A21A6" w:rsidRPr="00E9174E">
        <w:rPr>
          <w:rFonts w:eastAsiaTheme="minorHAnsi"/>
          <w:sz w:val="26"/>
          <w:szCs w:val="26"/>
        </w:rPr>
        <w:t>’</w:t>
      </w:r>
      <w:r w:rsidRPr="00E9174E">
        <w:rPr>
          <w:rFonts w:eastAsiaTheme="minorHAnsi"/>
          <w:sz w:val="26"/>
          <w:szCs w:val="26"/>
        </w:rPr>
        <w:t xml:space="preserve">s recommendation and shall grant Columbia’s Exception on this issue.  At the outset, we note that the actual capital structure represents the Company’s decision, in which it has full discretion, on how to capitalize its rate base.  This actual capitalization forms the basis upon which Columbia attracts capital.  For example, Columbia’s proposed long-term debt cost rate of 4.73%, </w:t>
      </w:r>
      <w:r w:rsidRPr="00E9174E">
        <w:rPr>
          <w:rFonts w:eastAsiaTheme="minorHAnsi"/>
          <w:i/>
          <w:iCs/>
          <w:sz w:val="26"/>
          <w:szCs w:val="26"/>
        </w:rPr>
        <w:t xml:space="preserve">infra, </w:t>
      </w:r>
      <w:r w:rsidRPr="00E9174E">
        <w:rPr>
          <w:rFonts w:eastAsiaTheme="minorHAnsi"/>
          <w:sz w:val="26"/>
          <w:szCs w:val="26"/>
        </w:rPr>
        <w:t xml:space="preserve">fully reflects the capitalization determined by the Company to be appropriate.  As Columbia noted, the Commission has determined in previous base rate cases that the legal standard in Pennsylvania for deciding whether to use a party’s proposed hypothetical capital structure in setting rates is that if a utility’s actual capital structure is within the range of a similarly situated barometer group of companies, rates are set based on the utility’s actual capital structure.  We reaffirmed this standard in our </w:t>
      </w:r>
      <w:r w:rsidRPr="00E9174E">
        <w:rPr>
          <w:rFonts w:eastAsiaTheme="minorHAnsi"/>
          <w:i/>
          <w:iCs/>
          <w:sz w:val="26"/>
          <w:szCs w:val="26"/>
        </w:rPr>
        <w:t>2012 PPL Order</w:t>
      </w:r>
      <w:r w:rsidRPr="00E9174E">
        <w:rPr>
          <w:rFonts w:eastAsiaTheme="minorHAnsi"/>
          <w:sz w:val="26"/>
          <w:szCs w:val="26"/>
        </w:rPr>
        <w:t>, when we stated as follows:</w:t>
      </w:r>
    </w:p>
    <w:p w14:paraId="2619450E" w14:textId="77777777" w:rsidR="00F00F8C" w:rsidRPr="00E9174E" w:rsidRDefault="00F00F8C" w:rsidP="00E90FB5">
      <w:pPr>
        <w:widowControl/>
        <w:contextualSpacing/>
        <w:rPr>
          <w:rFonts w:eastAsiaTheme="minorHAnsi"/>
          <w:sz w:val="26"/>
          <w:szCs w:val="26"/>
        </w:rPr>
      </w:pPr>
    </w:p>
    <w:p w14:paraId="327B03C7" w14:textId="77777777" w:rsidR="00F00F8C" w:rsidRPr="00E9174E" w:rsidRDefault="00F00F8C" w:rsidP="00E9174E">
      <w:pPr>
        <w:widowControl/>
        <w:ind w:left="1440" w:right="1440"/>
        <w:contextualSpacing/>
        <w:rPr>
          <w:rFonts w:eastAsiaTheme="minorHAnsi"/>
          <w:sz w:val="26"/>
          <w:szCs w:val="26"/>
        </w:rPr>
      </w:pPr>
      <w:r w:rsidRPr="00E9174E">
        <w:rPr>
          <w:rFonts w:eastAsiaTheme="minorHAnsi"/>
          <w:sz w:val="26"/>
          <w:szCs w:val="26"/>
        </w:rPr>
        <w:t xml:space="preserve">Absent a finding by the Commission that a utility’s actual capital structure is atypical or too heavily weighted on either the debt or equity side, we would not normally exercise our </w:t>
      </w:r>
      <w:r w:rsidRPr="00E9174E">
        <w:rPr>
          <w:rFonts w:eastAsiaTheme="minorHAnsi"/>
          <w:sz w:val="26"/>
          <w:szCs w:val="26"/>
        </w:rPr>
        <w:lastRenderedPageBreak/>
        <w:t xml:space="preserve">discretion with regard to implementing a hypothetical capital structure.  </w:t>
      </w:r>
    </w:p>
    <w:p w14:paraId="6A404916" w14:textId="77777777" w:rsidR="002C0CAB" w:rsidRPr="00E9174E" w:rsidRDefault="002C0CAB" w:rsidP="00E9174E">
      <w:pPr>
        <w:widowControl/>
        <w:spacing w:line="360" w:lineRule="auto"/>
        <w:contextualSpacing/>
        <w:rPr>
          <w:rFonts w:eastAsiaTheme="minorHAnsi"/>
          <w:i/>
          <w:iCs/>
          <w:sz w:val="26"/>
          <w:szCs w:val="26"/>
        </w:rPr>
      </w:pPr>
    </w:p>
    <w:p w14:paraId="7C96C72C" w14:textId="365B5E60" w:rsidR="00F00F8C" w:rsidRPr="00E9174E" w:rsidRDefault="00F00F8C" w:rsidP="00E9174E">
      <w:pPr>
        <w:widowControl/>
        <w:spacing w:line="360" w:lineRule="auto"/>
        <w:contextualSpacing/>
        <w:rPr>
          <w:rFonts w:eastAsiaTheme="minorHAnsi"/>
          <w:sz w:val="26"/>
          <w:szCs w:val="26"/>
        </w:rPr>
      </w:pPr>
      <w:r w:rsidRPr="00E9174E">
        <w:rPr>
          <w:rFonts w:eastAsiaTheme="minorHAnsi"/>
          <w:i/>
          <w:iCs/>
          <w:sz w:val="26"/>
          <w:szCs w:val="26"/>
        </w:rPr>
        <w:t xml:space="preserve">2012 PPL Order </w:t>
      </w:r>
      <w:r w:rsidRPr="00E9174E">
        <w:rPr>
          <w:rFonts w:eastAsiaTheme="minorHAnsi"/>
          <w:sz w:val="26"/>
          <w:szCs w:val="26"/>
        </w:rPr>
        <w:t>at 68 (citations omitted).</w:t>
      </w:r>
    </w:p>
    <w:p w14:paraId="3F63D6D3" w14:textId="77777777" w:rsidR="00F00F8C" w:rsidRPr="00E9174E" w:rsidRDefault="00F00F8C" w:rsidP="00E9174E">
      <w:pPr>
        <w:widowControl/>
        <w:spacing w:line="360" w:lineRule="auto"/>
        <w:contextualSpacing/>
        <w:rPr>
          <w:rFonts w:eastAsiaTheme="minorHAnsi"/>
          <w:sz w:val="26"/>
          <w:szCs w:val="26"/>
        </w:rPr>
      </w:pPr>
    </w:p>
    <w:p w14:paraId="74352F98" w14:textId="77777777" w:rsidR="00F00F8C" w:rsidRPr="00E9174E" w:rsidRDefault="00F00F8C" w:rsidP="00E9174E">
      <w:pPr>
        <w:widowControl/>
        <w:spacing w:line="360" w:lineRule="auto"/>
        <w:ind w:firstLine="1440"/>
        <w:contextualSpacing/>
        <w:rPr>
          <w:rFonts w:eastAsiaTheme="minorHAnsi"/>
          <w:sz w:val="26"/>
          <w:szCs w:val="26"/>
        </w:rPr>
      </w:pPr>
      <w:r w:rsidRPr="00E9174E">
        <w:rPr>
          <w:rFonts w:eastAsiaTheme="minorHAnsi"/>
          <w:sz w:val="26"/>
          <w:szCs w:val="26"/>
        </w:rPr>
        <w:t>In the instant proceeding, we are not persuaded by the OCA’s arguments in favor of the use of a hypothetical capital structure.  As Columbia highlighted in its Exceptions, the OCA provided the following table to illustrate the 2019 common equity ratios in the proxy group it submitted on the record in this proceeding:</w:t>
      </w:r>
    </w:p>
    <w:p w14:paraId="5A77BF67" w14:textId="77777777" w:rsidR="00E919D2" w:rsidRPr="00E9174E" w:rsidRDefault="00E919D2" w:rsidP="00E9174E">
      <w:pPr>
        <w:widowControl/>
        <w:spacing w:line="360" w:lineRule="auto"/>
        <w:ind w:firstLine="1440"/>
        <w:contextualSpacing/>
        <w:rPr>
          <w:rFonts w:eastAsiaTheme="minorHAnsi"/>
          <w:sz w:val="26"/>
          <w:szCs w:val="26"/>
        </w:rPr>
      </w:pPr>
    </w:p>
    <w:tbl>
      <w:tblPr>
        <w:tblStyle w:val="TableGrid2"/>
        <w:tblW w:w="0" w:type="auto"/>
        <w:jc w:val="center"/>
        <w:tblLook w:val="04A0" w:firstRow="1" w:lastRow="0" w:firstColumn="1" w:lastColumn="0" w:noHBand="0" w:noVBand="1"/>
      </w:tblPr>
      <w:tblGrid>
        <w:gridCol w:w="2245"/>
        <w:gridCol w:w="1061"/>
      </w:tblGrid>
      <w:tr w:rsidR="00E919D2" w:rsidRPr="00E9174E" w14:paraId="5153B092" w14:textId="77777777" w:rsidTr="00CC66FD">
        <w:trPr>
          <w:trHeight w:val="600"/>
          <w:jc w:val="center"/>
        </w:trPr>
        <w:tc>
          <w:tcPr>
            <w:tcW w:w="2245" w:type="dxa"/>
            <w:noWrap/>
            <w:vAlign w:val="center"/>
            <w:hideMark/>
          </w:tcPr>
          <w:p w14:paraId="3EF6B074" w14:textId="77777777" w:rsidR="00E919D2" w:rsidRPr="00E9174E" w:rsidRDefault="00E919D2" w:rsidP="00E9174E">
            <w:pPr>
              <w:keepNext/>
              <w:keepLines/>
              <w:widowControl/>
              <w:contextualSpacing/>
              <w:jc w:val="center"/>
              <w:rPr>
                <w:rFonts w:eastAsiaTheme="minorHAnsi"/>
                <w:b/>
                <w:bCs/>
                <w:sz w:val="26"/>
                <w:szCs w:val="26"/>
              </w:rPr>
            </w:pPr>
            <w:r w:rsidRPr="00E9174E">
              <w:rPr>
                <w:rFonts w:eastAsiaTheme="minorHAnsi"/>
                <w:b/>
                <w:bCs/>
                <w:sz w:val="26"/>
                <w:szCs w:val="26"/>
              </w:rPr>
              <w:t>Company</w:t>
            </w:r>
          </w:p>
        </w:tc>
        <w:tc>
          <w:tcPr>
            <w:tcW w:w="521" w:type="dxa"/>
            <w:hideMark/>
          </w:tcPr>
          <w:p w14:paraId="18DC2A69" w14:textId="77777777" w:rsidR="00E919D2" w:rsidRPr="00E9174E" w:rsidRDefault="00E919D2" w:rsidP="00E9174E">
            <w:pPr>
              <w:keepNext/>
              <w:keepLines/>
              <w:widowControl/>
              <w:contextualSpacing/>
              <w:jc w:val="center"/>
              <w:rPr>
                <w:rFonts w:eastAsiaTheme="minorHAnsi"/>
                <w:b/>
                <w:bCs/>
                <w:sz w:val="26"/>
                <w:szCs w:val="26"/>
              </w:rPr>
            </w:pPr>
            <w:r w:rsidRPr="00E9174E">
              <w:rPr>
                <w:rFonts w:eastAsiaTheme="minorHAnsi"/>
                <w:b/>
                <w:bCs/>
                <w:sz w:val="26"/>
                <w:szCs w:val="26"/>
              </w:rPr>
              <w:t>2019 Ratio</w:t>
            </w:r>
          </w:p>
        </w:tc>
      </w:tr>
      <w:tr w:rsidR="00E919D2" w:rsidRPr="00E9174E" w14:paraId="7B7488DD" w14:textId="77777777" w:rsidTr="00CC66FD">
        <w:trPr>
          <w:trHeight w:val="315"/>
          <w:jc w:val="center"/>
        </w:trPr>
        <w:tc>
          <w:tcPr>
            <w:tcW w:w="2245" w:type="dxa"/>
            <w:noWrap/>
            <w:hideMark/>
          </w:tcPr>
          <w:p w14:paraId="12A9B43F" w14:textId="77777777" w:rsidR="00E919D2" w:rsidRPr="00E9174E" w:rsidRDefault="00E919D2" w:rsidP="00E9174E">
            <w:pPr>
              <w:keepNext/>
              <w:keepLines/>
              <w:widowControl/>
              <w:contextualSpacing/>
              <w:rPr>
                <w:rFonts w:eastAsiaTheme="minorHAnsi"/>
                <w:sz w:val="26"/>
                <w:szCs w:val="26"/>
              </w:rPr>
            </w:pPr>
            <w:r w:rsidRPr="00E9174E">
              <w:rPr>
                <w:rFonts w:eastAsiaTheme="minorHAnsi"/>
                <w:sz w:val="26"/>
                <w:szCs w:val="26"/>
              </w:rPr>
              <w:t>Atmos</w:t>
            </w:r>
          </w:p>
        </w:tc>
        <w:tc>
          <w:tcPr>
            <w:tcW w:w="521" w:type="dxa"/>
            <w:noWrap/>
            <w:hideMark/>
          </w:tcPr>
          <w:p w14:paraId="13749B3F" w14:textId="77777777" w:rsidR="00E919D2" w:rsidRPr="00E9174E" w:rsidRDefault="00E919D2" w:rsidP="00E9174E">
            <w:pPr>
              <w:keepNext/>
              <w:keepLines/>
              <w:widowControl/>
              <w:contextualSpacing/>
              <w:rPr>
                <w:rFonts w:eastAsiaTheme="minorHAnsi"/>
                <w:sz w:val="26"/>
                <w:szCs w:val="26"/>
              </w:rPr>
            </w:pPr>
            <w:r w:rsidRPr="00E9174E">
              <w:rPr>
                <w:rFonts w:eastAsiaTheme="minorHAnsi"/>
                <w:sz w:val="26"/>
                <w:szCs w:val="26"/>
              </w:rPr>
              <w:t>62.00%</w:t>
            </w:r>
          </w:p>
        </w:tc>
      </w:tr>
      <w:tr w:rsidR="00E919D2" w:rsidRPr="00E9174E" w14:paraId="5DCBEE7B" w14:textId="77777777" w:rsidTr="00CC66FD">
        <w:trPr>
          <w:trHeight w:val="345"/>
          <w:jc w:val="center"/>
        </w:trPr>
        <w:tc>
          <w:tcPr>
            <w:tcW w:w="2245" w:type="dxa"/>
            <w:noWrap/>
            <w:hideMark/>
          </w:tcPr>
          <w:p w14:paraId="40B38357" w14:textId="77777777" w:rsidR="00E919D2" w:rsidRPr="00E9174E" w:rsidRDefault="00E919D2" w:rsidP="00E9174E">
            <w:pPr>
              <w:keepNext/>
              <w:keepLines/>
              <w:widowControl/>
              <w:contextualSpacing/>
              <w:rPr>
                <w:rFonts w:eastAsiaTheme="minorHAnsi"/>
                <w:sz w:val="26"/>
                <w:szCs w:val="26"/>
              </w:rPr>
            </w:pPr>
            <w:r w:rsidRPr="00E9174E">
              <w:rPr>
                <w:rFonts w:eastAsiaTheme="minorHAnsi"/>
                <w:sz w:val="26"/>
                <w:szCs w:val="26"/>
              </w:rPr>
              <w:t>Chesapeake</w:t>
            </w:r>
          </w:p>
        </w:tc>
        <w:tc>
          <w:tcPr>
            <w:tcW w:w="521" w:type="dxa"/>
            <w:noWrap/>
            <w:hideMark/>
          </w:tcPr>
          <w:p w14:paraId="41C28097" w14:textId="77777777" w:rsidR="00E919D2" w:rsidRPr="00E9174E" w:rsidRDefault="00E919D2" w:rsidP="00E9174E">
            <w:pPr>
              <w:keepNext/>
              <w:keepLines/>
              <w:widowControl/>
              <w:contextualSpacing/>
              <w:rPr>
                <w:rFonts w:eastAsiaTheme="minorHAnsi"/>
                <w:sz w:val="26"/>
                <w:szCs w:val="26"/>
              </w:rPr>
            </w:pPr>
            <w:r w:rsidRPr="00E9174E">
              <w:rPr>
                <w:rFonts w:eastAsiaTheme="minorHAnsi"/>
                <w:sz w:val="26"/>
                <w:szCs w:val="26"/>
              </w:rPr>
              <w:t>56.10%</w:t>
            </w:r>
          </w:p>
        </w:tc>
      </w:tr>
      <w:tr w:rsidR="00E919D2" w:rsidRPr="00E9174E" w14:paraId="6623202C" w14:textId="77777777" w:rsidTr="00CC66FD">
        <w:trPr>
          <w:trHeight w:val="233"/>
          <w:jc w:val="center"/>
        </w:trPr>
        <w:tc>
          <w:tcPr>
            <w:tcW w:w="2245" w:type="dxa"/>
            <w:noWrap/>
            <w:hideMark/>
          </w:tcPr>
          <w:p w14:paraId="7388C56A" w14:textId="77777777" w:rsidR="00E919D2" w:rsidRPr="00E9174E" w:rsidRDefault="00E919D2" w:rsidP="00E9174E">
            <w:pPr>
              <w:keepNext/>
              <w:keepLines/>
              <w:widowControl/>
              <w:contextualSpacing/>
              <w:rPr>
                <w:rFonts w:eastAsiaTheme="minorHAnsi"/>
                <w:sz w:val="26"/>
                <w:szCs w:val="26"/>
              </w:rPr>
            </w:pPr>
            <w:r w:rsidRPr="00E9174E">
              <w:rPr>
                <w:rFonts w:eastAsiaTheme="minorHAnsi"/>
                <w:sz w:val="26"/>
                <w:szCs w:val="26"/>
              </w:rPr>
              <w:t>New Jersey Res</w:t>
            </w:r>
          </w:p>
        </w:tc>
        <w:tc>
          <w:tcPr>
            <w:tcW w:w="521" w:type="dxa"/>
            <w:noWrap/>
            <w:hideMark/>
          </w:tcPr>
          <w:p w14:paraId="610A6074" w14:textId="77777777" w:rsidR="00E919D2" w:rsidRPr="00E9174E" w:rsidRDefault="00E919D2" w:rsidP="00E9174E">
            <w:pPr>
              <w:keepNext/>
              <w:keepLines/>
              <w:widowControl/>
              <w:contextualSpacing/>
              <w:rPr>
                <w:rFonts w:eastAsiaTheme="minorHAnsi"/>
                <w:sz w:val="26"/>
                <w:szCs w:val="26"/>
              </w:rPr>
            </w:pPr>
            <w:r w:rsidRPr="00E9174E">
              <w:rPr>
                <w:rFonts w:eastAsiaTheme="minorHAnsi"/>
                <w:sz w:val="26"/>
                <w:szCs w:val="26"/>
              </w:rPr>
              <w:t>50.20%</w:t>
            </w:r>
          </w:p>
        </w:tc>
      </w:tr>
      <w:tr w:rsidR="00E919D2" w:rsidRPr="00E9174E" w14:paraId="4F4B6AEF" w14:textId="77777777" w:rsidTr="00CC66FD">
        <w:trPr>
          <w:trHeight w:val="345"/>
          <w:jc w:val="center"/>
        </w:trPr>
        <w:tc>
          <w:tcPr>
            <w:tcW w:w="2245" w:type="dxa"/>
            <w:noWrap/>
            <w:hideMark/>
          </w:tcPr>
          <w:p w14:paraId="6C96369C" w14:textId="77777777" w:rsidR="00E919D2" w:rsidRPr="00E9174E" w:rsidRDefault="00E919D2" w:rsidP="00E9174E">
            <w:pPr>
              <w:keepNext/>
              <w:keepLines/>
              <w:widowControl/>
              <w:contextualSpacing/>
              <w:rPr>
                <w:rFonts w:eastAsiaTheme="minorHAnsi"/>
                <w:sz w:val="26"/>
                <w:szCs w:val="26"/>
              </w:rPr>
            </w:pPr>
            <w:r w:rsidRPr="00E9174E">
              <w:rPr>
                <w:rFonts w:eastAsiaTheme="minorHAnsi"/>
                <w:sz w:val="26"/>
                <w:szCs w:val="26"/>
              </w:rPr>
              <w:t>NWNG</w:t>
            </w:r>
          </w:p>
        </w:tc>
        <w:tc>
          <w:tcPr>
            <w:tcW w:w="521" w:type="dxa"/>
            <w:noWrap/>
            <w:hideMark/>
          </w:tcPr>
          <w:p w14:paraId="59B9FDD3" w14:textId="77777777" w:rsidR="00E919D2" w:rsidRPr="00E9174E" w:rsidRDefault="00E919D2" w:rsidP="00E9174E">
            <w:pPr>
              <w:keepNext/>
              <w:keepLines/>
              <w:widowControl/>
              <w:contextualSpacing/>
              <w:rPr>
                <w:rFonts w:eastAsiaTheme="minorHAnsi"/>
                <w:sz w:val="26"/>
                <w:szCs w:val="26"/>
              </w:rPr>
            </w:pPr>
            <w:r w:rsidRPr="00E9174E">
              <w:rPr>
                <w:rFonts w:eastAsiaTheme="minorHAnsi"/>
                <w:sz w:val="26"/>
                <w:szCs w:val="26"/>
              </w:rPr>
              <w:t>51.80%</w:t>
            </w:r>
          </w:p>
        </w:tc>
      </w:tr>
      <w:tr w:rsidR="00E919D2" w:rsidRPr="00E9174E" w14:paraId="293A0C9D" w14:textId="77777777" w:rsidTr="00CC66FD">
        <w:trPr>
          <w:trHeight w:val="278"/>
          <w:jc w:val="center"/>
        </w:trPr>
        <w:tc>
          <w:tcPr>
            <w:tcW w:w="2245" w:type="dxa"/>
            <w:noWrap/>
            <w:hideMark/>
          </w:tcPr>
          <w:p w14:paraId="1B522027" w14:textId="77777777" w:rsidR="00E919D2" w:rsidRPr="00E9174E" w:rsidRDefault="00E919D2" w:rsidP="00E9174E">
            <w:pPr>
              <w:keepNext/>
              <w:keepLines/>
              <w:widowControl/>
              <w:contextualSpacing/>
              <w:rPr>
                <w:rFonts w:eastAsiaTheme="minorHAnsi"/>
                <w:sz w:val="26"/>
                <w:szCs w:val="26"/>
              </w:rPr>
            </w:pPr>
            <w:r w:rsidRPr="00E9174E">
              <w:rPr>
                <w:rFonts w:eastAsiaTheme="minorHAnsi"/>
                <w:sz w:val="26"/>
                <w:szCs w:val="26"/>
              </w:rPr>
              <w:t>ONE Gas</w:t>
            </w:r>
          </w:p>
        </w:tc>
        <w:tc>
          <w:tcPr>
            <w:tcW w:w="521" w:type="dxa"/>
            <w:noWrap/>
            <w:hideMark/>
          </w:tcPr>
          <w:p w14:paraId="38A83D07" w14:textId="77777777" w:rsidR="00E919D2" w:rsidRPr="00E9174E" w:rsidRDefault="00E919D2" w:rsidP="00E9174E">
            <w:pPr>
              <w:keepNext/>
              <w:keepLines/>
              <w:widowControl/>
              <w:contextualSpacing/>
              <w:rPr>
                <w:rFonts w:eastAsiaTheme="minorHAnsi"/>
                <w:sz w:val="26"/>
                <w:szCs w:val="26"/>
              </w:rPr>
            </w:pPr>
            <w:r w:rsidRPr="00E9174E">
              <w:rPr>
                <w:rFonts w:eastAsiaTheme="minorHAnsi"/>
                <w:sz w:val="26"/>
                <w:szCs w:val="26"/>
              </w:rPr>
              <w:t>62.30%</w:t>
            </w:r>
          </w:p>
        </w:tc>
      </w:tr>
      <w:tr w:rsidR="00E919D2" w:rsidRPr="00E9174E" w14:paraId="4C128103" w14:textId="77777777" w:rsidTr="00CC66FD">
        <w:trPr>
          <w:trHeight w:val="345"/>
          <w:jc w:val="center"/>
        </w:trPr>
        <w:tc>
          <w:tcPr>
            <w:tcW w:w="2245" w:type="dxa"/>
            <w:noWrap/>
            <w:hideMark/>
          </w:tcPr>
          <w:p w14:paraId="3302990F" w14:textId="77777777" w:rsidR="00E919D2" w:rsidRPr="00E9174E" w:rsidRDefault="00E919D2" w:rsidP="00E9174E">
            <w:pPr>
              <w:keepNext/>
              <w:keepLines/>
              <w:widowControl/>
              <w:contextualSpacing/>
              <w:rPr>
                <w:rFonts w:eastAsiaTheme="minorHAnsi"/>
                <w:sz w:val="26"/>
                <w:szCs w:val="26"/>
              </w:rPr>
            </w:pPr>
            <w:r w:rsidRPr="00E9174E">
              <w:rPr>
                <w:rFonts w:eastAsiaTheme="minorHAnsi"/>
                <w:sz w:val="26"/>
                <w:szCs w:val="26"/>
              </w:rPr>
              <w:t>South Jersey</w:t>
            </w:r>
          </w:p>
        </w:tc>
        <w:tc>
          <w:tcPr>
            <w:tcW w:w="521" w:type="dxa"/>
            <w:noWrap/>
            <w:hideMark/>
          </w:tcPr>
          <w:p w14:paraId="05B6ACDE" w14:textId="77777777" w:rsidR="00E919D2" w:rsidRPr="00E9174E" w:rsidRDefault="00E919D2" w:rsidP="00E9174E">
            <w:pPr>
              <w:keepNext/>
              <w:keepLines/>
              <w:widowControl/>
              <w:contextualSpacing/>
              <w:rPr>
                <w:rFonts w:eastAsiaTheme="minorHAnsi"/>
                <w:sz w:val="26"/>
                <w:szCs w:val="26"/>
              </w:rPr>
            </w:pPr>
            <w:r w:rsidRPr="00E9174E">
              <w:rPr>
                <w:rFonts w:eastAsiaTheme="minorHAnsi"/>
                <w:sz w:val="26"/>
                <w:szCs w:val="26"/>
              </w:rPr>
              <w:t>40.80%</w:t>
            </w:r>
          </w:p>
        </w:tc>
      </w:tr>
      <w:tr w:rsidR="00E919D2" w:rsidRPr="00E9174E" w14:paraId="2AE8632D" w14:textId="77777777" w:rsidTr="00CC66FD">
        <w:trPr>
          <w:trHeight w:val="300"/>
          <w:jc w:val="center"/>
        </w:trPr>
        <w:tc>
          <w:tcPr>
            <w:tcW w:w="2245" w:type="dxa"/>
            <w:noWrap/>
            <w:hideMark/>
          </w:tcPr>
          <w:p w14:paraId="7CEC2B0D" w14:textId="77777777" w:rsidR="00E919D2" w:rsidRPr="00E9174E" w:rsidRDefault="00E919D2" w:rsidP="00E9174E">
            <w:pPr>
              <w:keepNext/>
              <w:keepLines/>
              <w:widowControl/>
              <w:contextualSpacing/>
              <w:rPr>
                <w:rFonts w:eastAsiaTheme="minorHAnsi"/>
                <w:sz w:val="26"/>
                <w:szCs w:val="26"/>
              </w:rPr>
            </w:pPr>
            <w:r w:rsidRPr="00E9174E">
              <w:rPr>
                <w:rFonts w:eastAsiaTheme="minorHAnsi"/>
                <w:sz w:val="26"/>
                <w:szCs w:val="26"/>
              </w:rPr>
              <w:t>Southwest Gas</w:t>
            </w:r>
          </w:p>
        </w:tc>
        <w:tc>
          <w:tcPr>
            <w:tcW w:w="521" w:type="dxa"/>
            <w:noWrap/>
            <w:hideMark/>
          </w:tcPr>
          <w:p w14:paraId="0B3C7F32" w14:textId="77777777" w:rsidR="00E919D2" w:rsidRPr="00E9174E" w:rsidRDefault="00E919D2" w:rsidP="00E9174E">
            <w:pPr>
              <w:keepNext/>
              <w:keepLines/>
              <w:widowControl/>
              <w:contextualSpacing/>
              <w:rPr>
                <w:rFonts w:eastAsiaTheme="minorHAnsi"/>
                <w:sz w:val="26"/>
                <w:szCs w:val="26"/>
              </w:rPr>
            </w:pPr>
            <w:r w:rsidRPr="00E9174E">
              <w:rPr>
                <w:rFonts w:eastAsiaTheme="minorHAnsi"/>
                <w:sz w:val="26"/>
                <w:szCs w:val="26"/>
              </w:rPr>
              <w:t>52.10%</w:t>
            </w:r>
          </w:p>
        </w:tc>
      </w:tr>
      <w:tr w:rsidR="00E919D2" w:rsidRPr="00E9174E" w14:paraId="21D7CA24" w14:textId="77777777" w:rsidTr="00CC66FD">
        <w:trPr>
          <w:trHeight w:val="300"/>
          <w:jc w:val="center"/>
        </w:trPr>
        <w:tc>
          <w:tcPr>
            <w:tcW w:w="2245" w:type="dxa"/>
            <w:noWrap/>
            <w:hideMark/>
          </w:tcPr>
          <w:p w14:paraId="30319029" w14:textId="77777777" w:rsidR="00E919D2" w:rsidRPr="00E9174E" w:rsidRDefault="00E919D2" w:rsidP="00E9174E">
            <w:pPr>
              <w:keepNext/>
              <w:keepLines/>
              <w:widowControl/>
              <w:contextualSpacing/>
              <w:rPr>
                <w:rFonts w:eastAsiaTheme="minorHAnsi"/>
                <w:sz w:val="26"/>
                <w:szCs w:val="26"/>
              </w:rPr>
            </w:pPr>
            <w:r w:rsidRPr="00E9174E">
              <w:rPr>
                <w:rFonts w:eastAsiaTheme="minorHAnsi"/>
                <w:sz w:val="26"/>
                <w:szCs w:val="26"/>
              </w:rPr>
              <w:t>Spire</w:t>
            </w:r>
          </w:p>
        </w:tc>
        <w:tc>
          <w:tcPr>
            <w:tcW w:w="521" w:type="dxa"/>
            <w:noWrap/>
            <w:hideMark/>
          </w:tcPr>
          <w:p w14:paraId="7874546D" w14:textId="77777777" w:rsidR="00E919D2" w:rsidRPr="00E9174E" w:rsidRDefault="00E919D2" w:rsidP="00E9174E">
            <w:pPr>
              <w:keepNext/>
              <w:keepLines/>
              <w:widowControl/>
              <w:contextualSpacing/>
              <w:rPr>
                <w:rFonts w:eastAsiaTheme="minorHAnsi"/>
                <w:sz w:val="26"/>
                <w:szCs w:val="26"/>
              </w:rPr>
            </w:pPr>
            <w:r w:rsidRPr="00E9174E">
              <w:rPr>
                <w:rFonts w:eastAsiaTheme="minorHAnsi"/>
                <w:sz w:val="26"/>
                <w:szCs w:val="26"/>
              </w:rPr>
              <w:t>55.00%</w:t>
            </w:r>
          </w:p>
        </w:tc>
      </w:tr>
      <w:tr w:rsidR="00E919D2" w:rsidRPr="00E9174E" w14:paraId="6CC2FE28" w14:textId="77777777" w:rsidTr="00CC66FD">
        <w:trPr>
          <w:trHeight w:val="300"/>
          <w:jc w:val="center"/>
        </w:trPr>
        <w:tc>
          <w:tcPr>
            <w:tcW w:w="2245" w:type="dxa"/>
            <w:noWrap/>
            <w:hideMark/>
          </w:tcPr>
          <w:p w14:paraId="6E729A52" w14:textId="77777777" w:rsidR="00E919D2" w:rsidRPr="00E9174E" w:rsidRDefault="00E919D2" w:rsidP="00E9174E">
            <w:pPr>
              <w:keepNext/>
              <w:keepLines/>
              <w:widowControl/>
              <w:contextualSpacing/>
              <w:rPr>
                <w:rFonts w:eastAsiaTheme="minorHAnsi"/>
                <w:sz w:val="26"/>
                <w:szCs w:val="26"/>
              </w:rPr>
            </w:pPr>
            <w:r w:rsidRPr="00E9174E">
              <w:rPr>
                <w:rFonts w:eastAsiaTheme="minorHAnsi"/>
                <w:sz w:val="26"/>
                <w:szCs w:val="26"/>
              </w:rPr>
              <w:t>UGI Corp</w:t>
            </w:r>
          </w:p>
        </w:tc>
        <w:tc>
          <w:tcPr>
            <w:tcW w:w="521" w:type="dxa"/>
            <w:noWrap/>
            <w:hideMark/>
          </w:tcPr>
          <w:p w14:paraId="3D97346D" w14:textId="77777777" w:rsidR="00E919D2" w:rsidRPr="00E9174E" w:rsidRDefault="00E919D2" w:rsidP="00E9174E">
            <w:pPr>
              <w:keepNext/>
              <w:keepLines/>
              <w:widowControl/>
              <w:contextualSpacing/>
              <w:rPr>
                <w:rFonts w:eastAsiaTheme="minorHAnsi"/>
                <w:sz w:val="26"/>
                <w:szCs w:val="26"/>
              </w:rPr>
            </w:pPr>
            <w:r w:rsidRPr="00E9174E">
              <w:rPr>
                <w:rFonts w:eastAsiaTheme="minorHAnsi"/>
                <w:sz w:val="26"/>
                <w:szCs w:val="26"/>
              </w:rPr>
              <w:t>39.80%</w:t>
            </w:r>
          </w:p>
        </w:tc>
      </w:tr>
      <w:tr w:rsidR="00E919D2" w:rsidRPr="00E9174E" w14:paraId="79D8E2F1" w14:textId="77777777" w:rsidTr="00CC66FD">
        <w:trPr>
          <w:trHeight w:val="300"/>
          <w:jc w:val="center"/>
        </w:trPr>
        <w:tc>
          <w:tcPr>
            <w:tcW w:w="2245" w:type="dxa"/>
            <w:noWrap/>
            <w:hideMark/>
          </w:tcPr>
          <w:p w14:paraId="0F9D2617" w14:textId="77777777" w:rsidR="00E919D2" w:rsidRPr="00E9174E" w:rsidRDefault="00E919D2" w:rsidP="00E9174E">
            <w:pPr>
              <w:keepNext/>
              <w:keepLines/>
              <w:widowControl/>
              <w:contextualSpacing/>
              <w:rPr>
                <w:rFonts w:eastAsiaTheme="minorHAnsi"/>
                <w:b/>
                <w:bCs/>
                <w:sz w:val="26"/>
                <w:szCs w:val="26"/>
              </w:rPr>
            </w:pPr>
            <w:r w:rsidRPr="00E9174E">
              <w:rPr>
                <w:rFonts w:eastAsiaTheme="minorHAnsi"/>
                <w:b/>
                <w:bCs/>
                <w:sz w:val="26"/>
                <w:szCs w:val="26"/>
              </w:rPr>
              <w:t>Average</w:t>
            </w:r>
          </w:p>
        </w:tc>
        <w:tc>
          <w:tcPr>
            <w:tcW w:w="521" w:type="dxa"/>
            <w:noWrap/>
            <w:hideMark/>
          </w:tcPr>
          <w:p w14:paraId="1ACB0704" w14:textId="77777777" w:rsidR="00E919D2" w:rsidRPr="00E9174E" w:rsidRDefault="00E919D2" w:rsidP="00E9174E">
            <w:pPr>
              <w:keepNext/>
              <w:keepLines/>
              <w:widowControl/>
              <w:contextualSpacing/>
              <w:rPr>
                <w:rFonts w:eastAsiaTheme="minorHAnsi"/>
                <w:b/>
                <w:bCs/>
                <w:sz w:val="26"/>
                <w:szCs w:val="26"/>
              </w:rPr>
            </w:pPr>
            <w:r w:rsidRPr="00E9174E">
              <w:rPr>
                <w:rFonts w:eastAsiaTheme="minorHAnsi"/>
                <w:b/>
                <w:bCs/>
                <w:sz w:val="26"/>
                <w:szCs w:val="26"/>
              </w:rPr>
              <w:t>52.23%</w:t>
            </w:r>
          </w:p>
        </w:tc>
      </w:tr>
      <w:tr w:rsidR="00E919D2" w:rsidRPr="00E9174E" w14:paraId="261A50EE" w14:textId="77777777" w:rsidTr="00CC66FD">
        <w:trPr>
          <w:trHeight w:val="300"/>
          <w:jc w:val="center"/>
        </w:trPr>
        <w:tc>
          <w:tcPr>
            <w:tcW w:w="2245" w:type="dxa"/>
            <w:noWrap/>
            <w:hideMark/>
          </w:tcPr>
          <w:p w14:paraId="10872420" w14:textId="77777777" w:rsidR="00E919D2" w:rsidRPr="00E9174E" w:rsidRDefault="00E919D2" w:rsidP="00E9174E">
            <w:pPr>
              <w:keepNext/>
              <w:keepLines/>
              <w:widowControl/>
              <w:contextualSpacing/>
              <w:rPr>
                <w:rFonts w:eastAsiaTheme="minorHAnsi"/>
                <w:sz w:val="26"/>
                <w:szCs w:val="26"/>
              </w:rPr>
            </w:pPr>
            <w:r w:rsidRPr="00E9174E">
              <w:rPr>
                <w:rFonts w:eastAsiaTheme="minorHAnsi"/>
                <w:sz w:val="26"/>
                <w:szCs w:val="26"/>
              </w:rPr>
              <w:t> </w:t>
            </w:r>
          </w:p>
        </w:tc>
        <w:tc>
          <w:tcPr>
            <w:tcW w:w="521" w:type="dxa"/>
            <w:noWrap/>
            <w:hideMark/>
          </w:tcPr>
          <w:p w14:paraId="2B819ABF" w14:textId="77777777" w:rsidR="00E919D2" w:rsidRPr="00E9174E" w:rsidRDefault="00E919D2" w:rsidP="00E9174E">
            <w:pPr>
              <w:keepNext/>
              <w:keepLines/>
              <w:widowControl/>
              <w:contextualSpacing/>
              <w:rPr>
                <w:rFonts w:eastAsiaTheme="minorHAnsi"/>
                <w:sz w:val="26"/>
                <w:szCs w:val="26"/>
              </w:rPr>
            </w:pPr>
            <w:r w:rsidRPr="00E9174E">
              <w:rPr>
                <w:rFonts w:eastAsiaTheme="minorHAnsi"/>
                <w:sz w:val="26"/>
                <w:szCs w:val="26"/>
              </w:rPr>
              <w:t> </w:t>
            </w:r>
          </w:p>
        </w:tc>
      </w:tr>
      <w:tr w:rsidR="00E919D2" w:rsidRPr="00E9174E" w14:paraId="4BA2AC90" w14:textId="77777777" w:rsidTr="00CC66FD">
        <w:trPr>
          <w:trHeight w:val="300"/>
          <w:jc w:val="center"/>
        </w:trPr>
        <w:tc>
          <w:tcPr>
            <w:tcW w:w="2245" w:type="dxa"/>
            <w:noWrap/>
            <w:hideMark/>
          </w:tcPr>
          <w:p w14:paraId="5A9F6F22" w14:textId="77777777" w:rsidR="00E919D2" w:rsidRPr="00E9174E" w:rsidRDefault="00E919D2" w:rsidP="00E9174E">
            <w:pPr>
              <w:keepNext/>
              <w:keepLines/>
              <w:widowControl/>
              <w:contextualSpacing/>
              <w:rPr>
                <w:rFonts w:eastAsiaTheme="minorHAnsi"/>
                <w:sz w:val="26"/>
                <w:szCs w:val="26"/>
              </w:rPr>
            </w:pPr>
            <w:proofErr w:type="spellStart"/>
            <w:r w:rsidRPr="00E9174E">
              <w:rPr>
                <w:rFonts w:eastAsiaTheme="minorHAnsi"/>
                <w:sz w:val="26"/>
                <w:szCs w:val="26"/>
              </w:rPr>
              <w:t>Nisource</w:t>
            </w:r>
            <w:proofErr w:type="spellEnd"/>
          </w:p>
        </w:tc>
        <w:tc>
          <w:tcPr>
            <w:tcW w:w="521" w:type="dxa"/>
            <w:noWrap/>
            <w:hideMark/>
          </w:tcPr>
          <w:p w14:paraId="31775FCB" w14:textId="77777777" w:rsidR="00E919D2" w:rsidRPr="00E9174E" w:rsidRDefault="00E919D2" w:rsidP="00E9174E">
            <w:pPr>
              <w:keepNext/>
              <w:keepLines/>
              <w:widowControl/>
              <w:contextualSpacing/>
              <w:rPr>
                <w:rFonts w:eastAsiaTheme="minorHAnsi"/>
                <w:sz w:val="26"/>
                <w:szCs w:val="26"/>
              </w:rPr>
            </w:pPr>
            <w:r w:rsidRPr="00E9174E">
              <w:rPr>
                <w:rFonts w:eastAsiaTheme="minorHAnsi"/>
                <w:sz w:val="26"/>
                <w:szCs w:val="26"/>
              </w:rPr>
              <w:t>36.90%</w:t>
            </w:r>
          </w:p>
        </w:tc>
      </w:tr>
    </w:tbl>
    <w:p w14:paraId="3AC2E488" w14:textId="77777777" w:rsidR="00E919D2" w:rsidRPr="00E9174E" w:rsidRDefault="00E919D2" w:rsidP="00E9174E">
      <w:pPr>
        <w:widowControl/>
        <w:spacing w:line="360" w:lineRule="auto"/>
        <w:contextualSpacing/>
        <w:rPr>
          <w:rFonts w:eastAsiaTheme="minorHAnsi"/>
          <w:sz w:val="26"/>
          <w:szCs w:val="26"/>
        </w:rPr>
      </w:pPr>
    </w:p>
    <w:p w14:paraId="79D0FD29" w14:textId="608E6059" w:rsidR="000800CA" w:rsidRPr="00E9174E" w:rsidRDefault="000800CA" w:rsidP="00E9174E">
      <w:pPr>
        <w:widowControl/>
        <w:spacing w:line="360" w:lineRule="auto"/>
        <w:contextualSpacing/>
        <w:rPr>
          <w:rFonts w:eastAsiaTheme="minorHAnsi"/>
          <w:sz w:val="26"/>
          <w:szCs w:val="26"/>
        </w:rPr>
      </w:pPr>
      <w:r w:rsidRPr="00E9174E">
        <w:rPr>
          <w:rFonts w:eastAsiaTheme="minorHAnsi"/>
          <w:i/>
          <w:iCs/>
          <w:sz w:val="26"/>
          <w:szCs w:val="26"/>
        </w:rPr>
        <w:t xml:space="preserve">See </w:t>
      </w:r>
      <w:r w:rsidRPr="00E9174E">
        <w:rPr>
          <w:rFonts w:eastAsiaTheme="minorHAnsi"/>
          <w:sz w:val="26"/>
          <w:szCs w:val="26"/>
        </w:rPr>
        <w:t>OCA St. 3 at 30, Table 4.  Although the OCA submitted this table for the basis of supporting its argument that Columbia’s proposed common equity ratio is higher than the average of equity ratios for a similar group of natural gas companies, we find persuasive Columbia’s argument that its proposed common equity ratio of 54.19% is below that of four of the companies in the OCA’s group (</w:t>
      </w:r>
      <w:r w:rsidRPr="00E9174E">
        <w:rPr>
          <w:rFonts w:eastAsiaTheme="minorHAnsi"/>
          <w:i/>
          <w:iCs/>
          <w:sz w:val="26"/>
          <w:szCs w:val="26"/>
        </w:rPr>
        <w:t xml:space="preserve">i.e. </w:t>
      </w:r>
      <w:r w:rsidRPr="00E9174E">
        <w:rPr>
          <w:rFonts w:eastAsiaTheme="minorHAnsi"/>
          <w:sz w:val="26"/>
          <w:szCs w:val="26"/>
        </w:rPr>
        <w:t xml:space="preserve">Atmos, Chesapeake, </w:t>
      </w:r>
      <w:proofErr w:type="spellStart"/>
      <w:r w:rsidRPr="00E9174E">
        <w:rPr>
          <w:rFonts w:eastAsiaTheme="minorHAnsi"/>
          <w:sz w:val="26"/>
          <w:szCs w:val="26"/>
        </w:rPr>
        <w:t>OneGas</w:t>
      </w:r>
      <w:proofErr w:type="spellEnd"/>
      <w:r w:rsidRPr="00E9174E">
        <w:rPr>
          <w:rFonts w:eastAsiaTheme="minorHAnsi"/>
          <w:sz w:val="26"/>
          <w:szCs w:val="26"/>
        </w:rPr>
        <w:t xml:space="preserve"> and Spire), whose common equity ratios range from 55.00% to 62.30%.  Additionally, the Company’s proposed common equity ratio falls right in the middle of the range of equity ratios in the above table.  </w:t>
      </w:r>
    </w:p>
    <w:p w14:paraId="783DCB09" w14:textId="77777777" w:rsidR="000800CA" w:rsidRPr="00E9174E" w:rsidRDefault="000800CA" w:rsidP="00E9174E">
      <w:pPr>
        <w:widowControl/>
        <w:spacing w:line="360" w:lineRule="auto"/>
        <w:ind w:firstLine="1440"/>
        <w:contextualSpacing/>
        <w:rPr>
          <w:rFonts w:eastAsiaTheme="minorHAnsi"/>
          <w:sz w:val="26"/>
          <w:szCs w:val="26"/>
        </w:rPr>
      </w:pPr>
      <w:r w:rsidRPr="00E9174E">
        <w:rPr>
          <w:rFonts w:eastAsiaTheme="minorHAnsi"/>
          <w:sz w:val="26"/>
          <w:szCs w:val="26"/>
        </w:rPr>
        <w:lastRenderedPageBreak/>
        <w:t>Moreover, as noted above, we have determined that the proxy group of seven companies proffered by I&amp;E is the appropriate proxy group to use for establishing a return on common equity for Columbia in this proceeding.  We likewise find that I&amp;E’s proxy group lends further support for a finding that Columbia’s proposed actual capital structure is not atypical and is within the range of reasonableness.  More specifically, the record indicates that Columbia’s claimed capital structure falls within the range of the 2019 capital structures for the companies in I&amp;E’s proxy group, which we have determined to be the most like Columbia.  The 2019 range consists of long-term debt ratios ranging from 33.18% to 53.48% and equity ratios ranging from 32.78% to 59.01%, with a five-year average of 40.29% for long-term debt and 47.60% for common equity.  Additionally, Columbia’s proposed short-term debt ratio is within the range for the five</w:t>
      </w:r>
      <w:r w:rsidRPr="00E9174E">
        <w:rPr>
          <w:rFonts w:eastAsiaTheme="minorHAnsi"/>
          <w:sz w:val="26"/>
          <w:szCs w:val="26"/>
        </w:rPr>
        <w:noBreakHyphen/>
        <w:t xml:space="preserve">year period 2015-2019 for short-term debt for I&amp;E’s proxy group companies of 0.41% to 26.85%.  </w:t>
      </w:r>
      <w:r w:rsidRPr="00E9174E">
        <w:rPr>
          <w:rFonts w:eastAsiaTheme="minorHAnsi"/>
          <w:i/>
          <w:iCs/>
          <w:sz w:val="26"/>
          <w:szCs w:val="26"/>
        </w:rPr>
        <w:t xml:space="preserve">See </w:t>
      </w:r>
      <w:r w:rsidRPr="00E9174E">
        <w:rPr>
          <w:rFonts w:eastAsiaTheme="minorHAnsi"/>
          <w:sz w:val="26"/>
          <w:szCs w:val="26"/>
        </w:rPr>
        <w:t xml:space="preserve">I&amp;E St. 2 at </w:t>
      </w:r>
      <w:proofErr w:type="spellStart"/>
      <w:r w:rsidRPr="00E9174E">
        <w:rPr>
          <w:rFonts w:eastAsiaTheme="minorHAnsi"/>
          <w:sz w:val="26"/>
          <w:szCs w:val="26"/>
        </w:rPr>
        <w:t>Exh</w:t>
      </w:r>
      <w:proofErr w:type="spellEnd"/>
      <w:r w:rsidRPr="00E9174E">
        <w:rPr>
          <w:rFonts w:eastAsiaTheme="minorHAnsi"/>
          <w:sz w:val="26"/>
          <w:szCs w:val="26"/>
        </w:rPr>
        <w:t>. 2, Sch. 2; I&amp;E St. 2</w:t>
      </w:r>
      <w:r w:rsidRPr="00E9174E">
        <w:rPr>
          <w:rFonts w:eastAsiaTheme="minorHAnsi"/>
          <w:sz w:val="26"/>
          <w:szCs w:val="26"/>
        </w:rPr>
        <w:noBreakHyphen/>
        <w:t>SR at 9-10.</w:t>
      </w:r>
    </w:p>
    <w:p w14:paraId="75A321FC" w14:textId="77777777" w:rsidR="000800CA" w:rsidRPr="00E9174E" w:rsidRDefault="000800CA" w:rsidP="00E9174E">
      <w:pPr>
        <w:widowControl/>
        <w:spacing w:line="360" w:lineRule="auto"/>
        <w:ind w:firstLine="1440"/>
        <w:contextualSpacing/>
        <w:rPr>
          <w:rFonts w:eastAsiaTheme="minorHAnsi"/>
          <w:sz w:val="26"/>
          <w:szCs w:val="26"/>
        </w:rPr>
      </w:pPr>
    </w:p>
    <w:p w14:paraId="0E5BBB5C" w14:textId="77777777" w:rsidR="000800CA" w:rsidRPr="00E9174E" w:rsidRDefault="000800CA" w:rsidP="00E9174E">
      <w:pPr>
        <w:widowControl/>
        <w:spacing w:line="360" w:lineRule="auto"/>
        <w:ind w:firstLine="1440"/>
        <w:contextualSpacing/>
        <w:rPr>
          <w:rFonts w:eastAsiaTheme="minorHAnsi"/>
          <w:sz w:val="26"/>
          <w:szCs w:val="26"/>
        </w:rPr>
      </w:pPr>
      <w:r w:rsidRPr="00E9174E">
        <w:rPr>
          <w:rFonts w:eastAsiaTheme="minorHAnsi"/>
          <w:sz w:val="26"/>
          <w:szCs w:val="26"/>
        </w:rPr>
        <w:t xml:space="preserve">Based on the forgoing, we find that Columbia’s proposed actual capital structure is not atypical and is within a range of reasonableness.  Therefore, we find no reason to deviate from the established Commission precedent, </w:t>
      </w:r>
      <w:r w:rsidRPr="00E9174E">
        <w:rPr>
          <w:rFonts w:eastAsiaTheme="minorHAnsi"/>
          <w:i/>
          <w:iCs/>
          <w:sz w:val="26"/>
          <w:szCs w:val="26"/>
        </w:rPr>
        <w:t>supra,</w:t>
      </w:r>
      <w:r w:rsidRPr="00E9174E">
        <w:rPr>
          <w:rFonts w:eastAsiaTheme="minorHAnsi"/>
          <w:sz w:val="26"/>
          <w:szCs w:val="26"/>
        </w:rPr>
        <w:t xml:space="preserve"> or to impose the OCA’s hypothetical capital structure on the Company.  Accordingly, we shall grant Columbia’s Exception No. 16, reverse the ALJ’s alternative recommendation on this issue, and utilize Columbia’s proposed capital structure of 54.19% common equity, 42.22% long</w:t>
      </w:r>
      <w:r w:rsidRPr="00E9174E">
        <w:rPr>
          <w:rFonts w:eastAsiaTheme="minorHAnsi"/>
          <w:sz w:val="26"/>
          <w:szCs w:val="26"/>
        </w:rPr>
        <w:noBreakHyphen/>
        <w:t>term debt, and 3.59% short</w:t>
      </w:r>
      <w:r w:rsidRPr="00E9174E">
        <w:rPr>
          <w:rFonts w:eastAsiaTheme="minorHAnsi"/>
          <w:sz w:val="26"/>
          <w:szCs w:val="26"/>
        </w:rPr>
        <w:noBreakHyphen/>
        <w:t>term debt.</w:t>
      </w:r>
    </w:p>
    <w:p w14:paraId="724A4A78" w14:textId="77777777" w:rsidR="00E919D2" w:rsidRPr="00E9174E" w:rsidRDefault="00E919D2" w:rsidP="00E9174E">
      <w:pPr>
        <w:widowControl/>
        <w:spacing w:line="360" w:lineRule="auto"/>
        <w:ind w:firstLine="1440"/>
        <w:contextualSpacing/>
        <w:rPr>
          <w:rFonts w:eastAsiaTheme="minorHAnsi"/>
          <w:sz w:val="26"/>
          <w:szCs w:val="26"/>
        </w:rPr>
      </w:pPr>
    </w:p>
    <w:p w14:paraId="2717C260" w14:textId="24AC950E" w:rsidR="00E919D2" w:rsidRPr="00E9174E" w:rsidRDefault="00E919D2" w:rsidP="001768DD">
      <w:pPr>
        <w:pStyle w:val="Heading2"/>
        <w:numPr>
          <w:ilvl w:val="0"/>
          <w:numId w:val="37"/>
        </w:numPr>
        <w:ind w:hanging="720"/>
      </w:pPr>
      <w:bookmarkStart w:id="259" w:name="_Toc38308891"/>
      <w:bookmarkStart w:id="260" w:name="_Toc63764524"/>
      <w:r w:rsidRPr="00FA089A">
        <w:lastRenderedPageBreak/>
        <w:t>Cost</w:t>
      </w:r>
      <w:r w:rsidRPr="00E9174E">
        <w:t xml:space="preserve"> of Debt</w:t>
      </w:r>
      <w:bookmarkEnd w:id="259"/>
      <w:bookmarkEnd w:id="260"/>
    </w:p>
    <w:p w14:paraId="55889C30" w14:textId="77777777" w:rsidR="00E919D2" w:rsidRPr="00E9174E" w:rsidRDefault="00E919D2" w:rsidP="00E9174E">
      <w:pPr>
        <w:keepNext/>
        <w:keepLines/>
        <w:widowControl/>
        <w:spacing w:line="360" w:lineRule="auto"/>
        <w:ind w:firstLine="1440"/>
        <w:contextualSpacing/>
        <w:rPr>
          <w:sz w:val="26"/>
          <w:szCs w:val="26"/>
        </w:rPr>
      </w:pPr>
    </w:p>
    <w:p w14:paraId="74DCC9EE" w14:textId="5F828AE7" w:rsidR="00E919D2" w:rsidRPr="00E9174E" w:rsidRDefault="00E919D2" w:rsidP="00277ECF">
      <w:pPr>
        <w:pStyle w:val="Heading3"/>
        <w:numPr>
          <w:ilvl w:val="0"/>
          <w:numId w:val="24"/>
        </w:numPr>
        <w:ind w:left="1440" w:hanging="720"/>
      </w:pPr>
      <w:bookmarkStart w:id="261" w:name="_Toc63764525"/>
      <w:r w:rsidRPr="00E9174E">
        <w:t>Positions of the Parties</w:t>
      </w:r>
      <w:bookmarkEnd w:id="261"/>
    </w:p>
    <w:p w14:paraId="553BB043" w14:textId="77777777" w:rsidR="00E919D2" w:rsidRPr="00E9174E" w:rsidRDefault="00E919D2" w:rsidP="00E9174E">
      <w:pPr>
        <w:keepNext/>
        <w:keepLines/>
        <w:widowControl/>
        <w:spacing w:line="360" w:lineRule="auto"/>
        <w:ind w:firstLine="1440"/>
        <w:contextualSpacing/>
        <w:rPr>
          <w:sz w:val="26"/>
          <w:szCs w:val="26"/>
        </w:rPr>
      </w:pPr>
    </w:p>
    <w:p w14:paraId="7AB1F313" w14:textId="77777777" w:rsidR="008C73CF" w:rsidRPr="00E9174E" w:rsidRDefault="008C73CF" w:rsidP="00E9174E">
      <w:pPr>
        <w:keepNext/>
        <w:widowControl/>
        <w:spacing w:line="360" w:lineRule="auto"/>
        <w:ind w:firstLine="1440"/>
        <w:contextualSpacing/>
        <w:rPr>
          <w:rFonts w:eastAsiaTheme="minorHAnsi"/>
          <w:sz w:val="26"/>
          <w:szCs w:val="26"/>
        </w:rPr>
      </w:pPr>
      <w:r w:rsidRPr="00E9174E">
        <w:rPr>
          <w:rFonts w:eastAsiaTheme="minorHAnsi"/>
          <w:sz w:val="26"/>
          <w:szCs w:val="26"/>
        </w:rPr>
        <w:t xml:space="preserve">Columbia and I&amp;E agreed that the Company’s cost of long-term debt should be set at a rate of 4.73% and that its cost of short-term debt should be set at a rate of 2.06%.  CG M.B. at 69, Appendix B: Table I(A); I&amp;E M.B. at 34-35.  </w:t>
      </w:r>
    </w:p>
    <w:p w14:paraId="17C71611" w14:textId="77777777" w:rsidR="008C73CF" w:rsidRPr="00E9174E" w:rsidRDefault="008C73CF" w:rsidP="00E9174E">
      <w:pPr>
        <w:widowControl/>
        <w:spacing w:line="360" w:lineRule="auto"/>
        <w:ind w:firstLine="1440"/>
        <w:contextualSpacing/>
        <w:rPr>
          <w:rFonts w:eastAsiaTheme="minorHAnsi"/>
          <w:sz w:val="26"/>
          <w:szCs w:val="26"/>
        </w:rPr>
      </w:pPr>
    </w:p>
    <w:p w14:paraId="4BA64EE2" w14:textId="77777777" w:rsidR="008C73CF" w:rsidRPr="00E9174E" w:rsidRDefault="008C73CF" w:rsidP="00E9174E">
      <w:pPr>
        <w:widowControl/>
        <w:spacing w:line="360" w:lineRule="auto"/>
        <w:ind w:firstLine="1440"/>
        <w:contextualSpacing/>
        <w:rPr>
          <w:rFonts w:eastAsiaTheme="minorHAnsi"/>
          <w:sz w:val="26"/>
          <w:szCs w:val="26"/>
        </w:rPr>
      </w:pPr>
      <w:r w:rsidRPr="00E9174E">
        <w:rPr>
          <w:rFonts w:eastAsiaTheme="minorHAnsi"/>
          <w:sz w:val="26"/>
          <w:szCs w:val="26"/>
        </w:rPr>
        <w:t xml:space="preserve">The OCA did not oppose the Company’s cost of long-term debt.  However, based upon its proposed capital structure, </w:t>
      </w:r>
      <w:r w:rsidRPr="00E9174E">
        <w:rPr>
          <w:rFonts w:eastAsiaTheme="minorHAnsi"/>
          <w:i/>
          <w:iCs/>
          <w:sz w:val="26"/>
          <w:szCs w:val="26"/>
        </w:rPr>
        <w:t xml:space="preserve">supra, </w:t>
      </w:r>
      <w:r w:rsidRPr="00E9174E">
        <w:rPr>
          <w:rFonts w:eastAsiaTheme="minorHAnsi"/>
          <w:sz w:val="26"/>
          <w:szCs w:val="26"/>
        </w:rPr>
        <w:t>the OCA recommended a blended rate of short and long-term debt equal to 4.52%.  OCA M.B. at 44.</w:t>
      </w:r>
    </w:p>
    <w:p w14:paraId="1E7BB5C0" w14:textId="77777777" w:rsidR="00317F46" w:rsidRPr="00E9174E" w:rsidRDefault="00317F46" w:rsidP="00E9174E">
      <w:pPr>
        <w:widowControl/>
        <w:spacing w:line="360" w:lineRule="auto"/>
        <w:ind w:firstLine="1440"/>
        <w:contextualSpacing/>
        <w:rPr>
          <w:rFonts w:eastAsiaTheme="minorHAnsi"/>
          <w:sz w:val="26"/>
          <w:szCs w:val="26"/>
        </w:rPr>
      </w:pPr>
    </w:p>
    <w:p w14:paraId="508A2FF0" w14:textId="799C52DB" w:rsidR="00E919D2" w:rsidRPr="00E9174E" w:rsidRDefault="009F3929" w:rsidP="00277ECF">
      <w:pPr>
        <w:pStyle w:val="Heading3"/>
        <w:numPr>
          <w:ilvl w:val="0"/>
          <w:numId w:val="24"/>
        </w:numPr>
        <w:ind w:left="1440" w:hanging="720"/>
      </w:pPr>
      <w:bookmarkStart w:id="262" w:name="_Toc63764526"/>
      <w:r w:rsidRPr="00E9174E">
        <w:t>Recommended Decision</w:t>
      </w:r>
      <w:bookmarkEnd w:id="262"/>
    </w:p>
    <w:p w14:paraId="605DF422" w14:textId="77777777" w:rsidR="00E919D2" w:rsidRPr="00E9174E" w:rsidRDefault="00E919D2" w:rsidP="00E9174E">
      <w:pPr>
        <w:keepNext/>
        <w:keepLines/>
        <w:widowControl/>
        <w:spacing w:line="360" w:lineRule="auto"/>
        <w:ind w:firstLine="1440"/>
        <w:contextualSpacing/>
        <w:rPr>
          <w:sz w:val="26"/>
          <w:szCs w:val="26"/>
        </w:rPr>
      </w:pPr>
    </w:p>
    <w:p w14:paraId="74EF191D" w14:textId="06A8CC92" w:rsidR="004B779D" w:rsidRPr="00E9174E" w:rsidRDefault="004B779D" w:rsidP="00E9174E">
      <w:pPr>
        <w:widowControl/>
        <w:spacing w:line="360" w:lineRule="auto"/>
        <w:ind w:firstLine="1440"/>
        <w:contextualSpacing/>
        <w:rPr>
          <w:rFonts w:eastAsiaTheme="minorHAnsi"/>
          <w:sz w:val="26"/>
          <w:szCs w:val="26"/>
        </w:rPr>
      </w:pPr>
      <w:r w:rsidRPr="00E9174E">
        <w:rPr>
          <w:rFonts w:eastAsiaTheme="minorHAnsi"/>
          <w:sz w:val="26"/>
          <w:szCs w:val="26"/>
        </w:rPr>
        <w:t>The ALJ recommended that the Commission adopt Columbia’s claimed cost rate of long-term debt of 4.73%.  The ALJ concluded that this cost rate is reasonable, representative of the industry, and falls within the proxy group’s implied long-term debt cost range of 3.14% to 5.82% with an average implied long-term debt cost of 4.91%.  The ALJ also recommended that the Commission accept Columbia’s claimed cost rate of short-term debt of 2.06%.  The ALJ reasoned that the Company’s three-month average forecasted London Interbank Offered Rate (LIBOR) rate relies upon the most recent information available.  R</w:t>
      </w:r>
      <w:r w:rsidR="0032131E" w:rsidRPr="00E9174E">
        <w:rPr>
          <w:rFonts w:eastAsiaTheme="minorHAnsi"/>
          <w:sz w:val="26"/>
          <w:szCs w:val="26"/>
        </w:rPr>
        <w:t>.</w:t>
      </w:r>
      <w:r w:rsidRPr="00E9174E">
        <w:rPr>
          <w:rFonts w:eastAsiaTheme="minorHAnsi"/>
          <w:sz w:val="26"/>
          <w:szCs w:val="26"/>
        </w:rPr>
        <w:t>D</w:t>
      </w:r>
      <w:r w:rsidR="0032131E" w:rsidRPr="00E9174E">
        <w:rPr>
          <w:rFonts w:eastAsiaTheme="minorHAnsi"/>
          <w:sz w:val="26"/>
          <w:szCs w:val="26"/>
        </w:rPr>
        <w:t>.</w:t>
      </w:r>
      <w:r w:rsidRPr="00E9174E">
        <w:rPr>
          <w:rFonts w:eastAsiaTheme="minorHAnsi"/>
          <w:sz w:val="26"/>
          <w:szCs w:val="26"/>
        </w:rPr>
        <w:t xml:space="preserve"> at 182-83.</w:t>
      </w:r>
    </w:p>
    <w:p w14:paraId="13A36F9D" w14:textId="77777777" w:rsidR="004B779D" w:rsidRPr="00E9174E" w:rsidRDefault="004B779D" w:rsidP="00E9174E">
      <w:pPr>
        <w:widowControl/>
        <w:spacing w:line="360" w:lineRule="auto"/>
        <w:ind w:firstLine="1440"/>
        <w:contextualSpacing/>
        <w:rPr>
          <w:rFonts w:eastAsiaTheme="minorHAnsi"/>
          <w:sz w:val="26"/>
          <w:szCs w:val="26"/>
        </w:rPr>
      </w:pPr>
    </w:p>
    <w:p w14:paraId="7FFD9A18" w14:textId="77777777" w:rsidR="004B779D" w:rsidRPr="00E9174E" w:rsidRDefault="004B779D" w:rsidP="00E9174E">
      <w:pPr>
        <w:widowControl/>
        <w:spacing w:line="360" w:lineRule="auto"/>
        <w:ind w:firstLine="1440"/>
        <w:contextualSpacing/>
        <w:rPr>
          <w:rFonts w:eastAsiaTheme="minorHAnsi"/>
          <w:sz w:val="26"/>
          <w:szCs w:val="26"/>
        </w:rPr>
      </w:pPr>
      <w:r w:rsidRPr="00E9174E">
        <w:rPr>
          <w:rFonts w:eastAsiaTheme="minorHAnsi"/>
          <w:sz w:val="26"/>
          <w:szCs w:val="26"/>
        </w:rPr>
        <w:t xml:space="preserve">The ALJ stated that alternatively, in the event the Commission grants the Company’s request to consider all the elements in its base rate increase request, then it should accept the Company’s claimed cost rate of long-term debt and the claimed cost rate of short-term debt.  However, the ALJ stated that because she recommended the Commission use the OCA’s proposed hypothetical capital structure, she also </w:t>
      </w:r>
      <w:r w:rsidRPr="00E9174E">
        <w:rPr>
          <w:rFonts w:eastAsiaTheme="minorHAnsi"/>
          <w:sz w:val="26"/>
          <w:szCs w:val="26"/>
        </w:rPr>
        <w:lastRenderedPageBreak/>
        <w:t>recommended the use of the OCA’s blended rate of long term and short-term debt costs, equal to 4.52%, which blends the effect of the costs.  R.D. at 183.</w:t>
      </w:r>
    </w:p>
    <w:p w14:paraId="512F29BF" w14:textId="77777777" w:rsidR="00E919D2" w:rsidRPr="00E9174E" w:rsidRDefault="00E919D2" w:rsidP="00E9174E">
      <w:pPr>
        <w:widowControl/>
        <w:spacing w:line="360" w:lineRule="auto"/>
        <w:ind w:firstLine="1440"/>
        <w:contextualSpacing/>
        <w:rPr>
          <w:rFonts w:eastAsiaTheme="minorHAnsi"/>
          <w:sz w:val="26"/>
          <w:szCs w:val="26"/>
        </w:rPr>
      </w:pPr>
    </w:p>
    <w:p w14:paraId="1961645F" w14:textId="2318B523" w:rsidR="00E919D2" w:rsidRPr="00E9174E" w:rsidRDefault="00E919D2" w:rsidP="00277ECF">
      <w:pPr>
        <w:pStyle w:val="Heading3"/>
        <w:numPr>
          <w:ilvl w:val="0"/>
          <w:numId w:val="24"/>
        </w:numPr>
        <w:ind w:left="1440" w:hanging="720"/>
      </w:pPr>
      <w:bookmarkStart w:id="263" w:name="_Toc63764527"/>
      <w:r w:rsidRPr="00E9174E">
        <w:t>Disposition</w:t>
      </w:r>
      <w:bookmarkEnd w:id="263"/>
    </w:p>
    <w:p w14:paraId="48545E23" w14:textId="77777777" w:rsidR="00E919D2" w:rsidRPr="00E9174E" w:rsidRDefault="00E919D2" w:rsidP="00E9174E">
      <w:pPr>
        <w:keepNext/>
        <w:keepLines/>
        <w:widowControl/>
        <w:spacing w:line="360" w:lineRule="auto"/>
        <w:ind w:firstLine="1440"/>
        <w:contextualSpacing/>
        <w:rPr>
          <w:sz w:val="26"/>
          <w:szCs w:val="26"/>
        </w:rPr>
      </w:pPr>
    </w:p>
    <w:p w14:paraId="51567697" w14:textId="463B3263" w:rsidR="006F3AC7" w:rsidRPr="00E9174E" w:rsidRDefault="006F3AC7" w:rsidP="00E9174E">
      <w:pPr>
        <w:widowControl/>
        <w:spacing w:line="360" w:lineRule="auto"/>
        <w:ind w:firstLine="1440"/>
        <w:contextualSpacing/>
        <w:rPr>
          <w:rFonts w:eastAsiaTheme="minorHAnsi"/>
          <w:sz w:val="26"/>
          <w:szCs w:val="26"/>
        </w:rPr>
      </w:pPr>
      <w:r w:rsidRPr="00E9174E">
        <w:rPr>
          <w:rFonts w:eastAsiaTheme="minorHAnsi"/>
          <w:sz w:val="26"/>
          <w:szCs w:val="26"/>
        </w:rPr>
        <w:t xml:space="preserve">No Party filed exceptions directly to the ALJ’s recommendation on this issue.  Nonetheless, we shall modify this recommendation consistent with the following discussion.  As noted above, although the ALJ recommended that the Commission adopt Columbia’s individual cost rates for long-term debt and short-term debt, she ultimately recommended that the Commission adopt the OCA’s blended debt cost rate of 4.52%, consistent with her finding that the Commission should employ the OCA’s proposed hypothetical capital structure.  However, in light of our finding, </w:t>
      </w:r>
      <w:r w:rsidRPr="00E9174E">
        <w:rPr>
          <w:rFonts w:eastAsiaTheme="minorHAnsi"/>
          <w:i/>
          <w:iCs/>
          <w:sz w:val="26"/>
          <w:szCs w:val="26"/>
        </w:rPr>
        <w:t xml:space="preserve">supra, </w:t>
      </w:r>
      <w:r w:rsidRPr="00E9174E">
        <w:rPr>
          <w:rFonts w:eastAsiaTheme="minorHAnsi"/>
          <w:sz w:val="26"/>
          <w:szCs w:val="26"/>
        </w:rPr>
        <w:t>that Columbia’s proposed actual capital structure ratio should be used, and not the hypothetical capital structure proffered by the OCA, we shall reject this blended debt cost rate and instead adopt a long-term debt cost rate for Columbia of 4.73% and a short-term debt cost rate of 2.06%.</w:t>
      </w:r>
    </w:p>
    <w:p w14:paraId="56F1135C" w14:textId="77777777" w:rsidR="00E919D2" w:rsidRPr="00E9174E" w:rsidRDefault="00E919D2" w:rsidP="00E9174E">
      <w:pPr>
        <w:widowControl/>
        <w:spacing w:line="360" w:lineRule="auto"/>
        <w:ind w:firstLine="1440"/>
        <w:contextualSpacing/>
        <w:rPr>
          <w:rFonts w:eastAsiaTheme="minorHAnsi"/>
          <w:sz w:val="26"/>
          <w:szCs w:val="26"/>
        </w:rPr>
      </w:pPr>
    </w:p>
    <w:p w14:paraId="79808E4E" w14:textId="0588E46B" w:rsidR="00E919D2" w:rsidRPr="00E9174E" w:rsidRDefault="00321E17" w:rsidP="006751AA">
      <w:pPr>
        <w:pStyle w:val="Heading2"/>
      </w:pPr>
      <w:bookmarkStart w:id="264" w:name="_Toc38308892"/>
      <w:bookmarkStart w:id="265" w:name="_Toc63764528"/>
      <w:r>
        <w:t>D.</w:t>
      </w:r>
      <w:r>
        <w:tab/>
      </w:r>
      <w:r w:rsidR="00E919D2" w:rsidRPr="00E9174E">
        <w:t>Cost of Common Equity</w:t>
      </w:r>
      <w:bookmarkEnd w:id="264"/>
      <w:bookmarkEnd w:id="265"/>
    </w:p>
    <w:p w14:paraId="53E03707" w14:textId="77777777" w:rsidR="00E919D2" w:rsidRPr="00E9174E" w:rsidRDefault="00E919D2" w:rsidP="00E9174E">
      <w:pPr>
        <w:keepNext/>
        <w:keepLines/>
        <w:widowControl/>
        <w:spacing w:line="360" w:lineRule="auto"/>
        <w:ind w:firstLine="1440"/>
        <w:contextualSpacing/>
        <w:rPr>
          <w:rFonts w:eastAsiaTheme="minorHAnsi"/>
          <w:sz w:val="26"/>
          <w:szCs w:val="26"/>
        </w:rPr>
      </w:pPr>
    </w:p>
    <w:p w14:paraId="79F5AF8A" w14:textId="6808CC3D" w:rsidR="004523A0" w:rsidRPr="00E9174E" w:rsidRDefault="004523A0" w:rsidP="00E9174E">
      <w:pPr>
        <w:widowControl/>
        <w:spacing w:line="360" w:lineRule="auto"/>
        <w:ind w:firstLine="1440"/>
        <w:contextualSpacing/>
        <w:rPr>
          <w:rFonts w:eastAsiaTheme="minorHAnsi"/>
          <w:sz w:val="26"/>
          <w:szCs w:val="26"/>
        </w:rPr>
      </w:pPr>
      <w:r w:rsidRPr="00E9174E">
        <w:rPr>
          <w:rFonts w:eastAsiaTheme="minorHAnsi"/>
          <w:sz w:val="26"/>
          <w:szCs w:val="26"/>
        </w:rPr>
        <w:t>In the instant proceeding, Columbia, I&amp;E, the OCA, and the OSBA</w:t>
      </w:r>
      <w:r w:rsidR="0029075C" w:rsidRPr="00E9174E">
        <w:rPr>
          <w:rFonts w:eastAsiaTheme="minorHAnsi"/>
          <w:sz w:val="26"/>
          <w:szCs w:val="26"/>
        </w:rPr>
        <w:t xml:space="preserve"> each</w:t>
      </w:r>
      <w:r w:rsidRPr="00E9174E">
        <w:rPr>
          <w:rFonts w:eastAsiaTheme="minorHAnsi"/>
          <w:sz w:val="26"/>
          <w:szCs w:val="26"/>
        </w:rPr>
        <w:t xml:space="preserve"> presented a position on a reasonable rate of </w:t>
      </w:r>
      <w:bookmarkStart w:id="266" w:name="_Hlk63279722"/>
      <w:r w:rsidRPr="00E9174E">
        <w:rPr>
          <w:rFonts w:eastAsiaTheme="minorHAnsi"/>
          <w:sz w:val="26"/>
          <w:szCs w:val="26"/>
        </w:rPr>
        <w:t>return on equity</w:t>
      </w:r>
      <w:bookmarkEnd w:id="266"/>
      <w:r w:rsidRPr="00E9174E">
        <w:rPr>
          <w:rFonts w:eastAsiaTheme="minorHAnsi"/>
          <w:sz w:val="26"/>
          <w:szCs w:val="26"/>
        </w:rPr>
        <w:t xml:space="preserve"> (</w:t>
      </w:r>
      <w:bookmarkStart w:id="267" w:name="_Hlk63279701"/>
      <w:r w:rsidRPr="00E9174E">
        <w:rPr>
          <w:rFonts w:eastAsiaTheme="minorHAnsi"/>
          <w:sz w:val="26"/>
          <w:szCs w:val="26"/>
        </w:rPr>
        <w:t>ROE</w:t>
      </w:r>
      <w:bookmarkEnd w:id="267"/>
      <w:r w:rsidRPr="00E9174E">
        <w:rPr>
          <w:rFonts w:eastAsiaTheme="minorHAnsi"/>
          <w:sz w:val="26"/>
          <w:szCs w:val="26"/>
        </w:rPr>
        <w:t xml:space="preserve">).  The Parties’ positions were generally developed through comparison groups’ market data, costing models, reflection or rejection of risk and leverage adjustments and a management performance adjustment, as will be further addressed, </w:t>
      </w:r>
      <w:r w:rsidRPr="00E9174E">
        <w:rPr>
          <w:rFonts w:eastAsiaTheme="minorHAnsi"/>
          <w:i/>
          <w:sz w:val="26"/>
          <w:szCs w:val="26"/>
        </w:rPr>
        <w:t>infra</w:t>
      </w:r>
      <w:r w:rsidRPr="00E9174E">
        <w:rPr>
          <w:rFonts w:eastAsiaTheme="minorHAnsi"/>
          <w:sz w:val="26"/>
          <w:szCs w:val="26"/>
        </w:rPr>
        <w:t>.  The following table summarizes the cost of common equity claims made and the methodologies</w:t>
      </w:r>
      <w:r w:rsidRPr="00E9174E">
        <w:rPr>
          <w:sz w:val="26"/>
          <w:szCs w:val="26"/>
          <w:vertAlign w:val="superscript"/>
        </w:rPr>
        <w:footnoteReference w:id="41"/>
      </w:r>
      <w:r w:rsidRPr="00E9174E">
        <w:rPr>
          <w:rFonts w:eastAsiaTheme="minorHAnsi"/>
          <w:sz w:val="26"/>
          <w:szCs w:val="26"/>
        </w:rPr>
        <w:t xml:space="preserve"> used by the Parties in this proceeding:</w:t>
      </w:r>
    </w:p>
    <w:p w14:paraId="6D0631DB" w14:textId="77777777" w:rsidR="00E919D2" w:rsidRPr="00E9174E" w:rsidRDefault="00E919D2" w:rsidP="00E9174E">
      <w:pPr>
        <w:widowControl/>
        <w:spacing w:line="360" w:lineRule="auto"/>
        <w:ind w:firstLine="1440"/>
        <w:contextualSpacing/>
        <w:rPr>
          <w:rFonts w:eastAsiaTheme="minorHAnsi"/>
          <w:sz w:val="26"/>
          <w:szCs w:val="26"/>
        </w:rPr>
      </w:pPr>
    </w:p>
    <w:tbl>
      <w:tblPr>
        <w:tblW w:w="8928" w:type="dxa"/>
        <w:jc w:val="center"/>
        <w:tblLook w:val="04A0" w:firstRow="1" w:lastRow="0" w:firstColumn="1" w:lastColumn="0" w:noHBand="0" w:noVBand="1"/>
      </w:tblPr>
      <w:tblGrid>
        <w:gridCol w:w="1315"/>
        <w:gridCol w:w="1825"/>
        <w:gridCol w:w="1800"/>
        <w:gridCol w:w="1018"/>
        <w:gridCol w:w="1952"/>
        <w:gridCol w:w="1018"/>
      </w:tblGrid>
      <w:tr w:rsidR="00E919D2" w:rsidRPr="00E9174E" w14:paraId="5ED520C5" w14:textId="77777777" w:rsidTr="00CC66FD">
        <w:trPr>
          <w:trHeight w:val="345"/>
          <w:jc w:val="center"/>
        </w:trPr>
        <w:tc>
          <w:tcPr>
            <w:tcW w:w="1315" w:type="dxa"/>
            <w:tcBorders>
              <w:top w:val="single" w:sz="8" w:space="0" w:color="auto"/>
              <w:left w:val="single" w:sz="8" w:space="0" w:color="auto"/>
              <w:bottom w:val="single" w:sz="8" w:space="0" w:color="auto"/>
              <w:right w:val="nil"/>
            </w:tcBorders>
            <w:shd w:val="clear" w:color="auto" w:fill="auto"/>
            <w:vAlign w:val="bottom"/>
            <w:hideMark/>
          </w:tcPr>
          <w:p w14:paraId="21B39253" w14:textId="77777777" w:rsidR="00E919D2" w:rsidRPr="00E9174E" w:rsidRDefault="00E919D2" w:rsidP="00E9174E">
            <w:pPr>
              <w:keepNext/>
              <w:keepLines/>
              <w:widowControl/>
              <w:spacing w:line="360" w:lineRule="auto"/>
              <w:contextualSpacing/>
              <w:jc w:val="center"/>
              <w:rPr>
                <w:b/>
                <w:bCs/>
                <w:color w:val="000000"/>
                <w:sz w:val="26"/>
                <w:szCs w:val="26"/>
              </w:rPr>
            </w:pPr>
            <w:r w:rsidRPr="00E9174E">
              <w:rPr>
                <w:b/>
                <w:bCs/>
                <w:color w:val="000000"/>
                <w:sz w:val="26"/>
                <w:szCs w:val="26"/>
              </w:rPr>
              <w:t>Party</w:t>
            </w:r>
          </w:p>
        </w:tc>
        <w:tc>
          <w:tcPr>
            <w:tcW w:w="1825"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0101460F" w14:textId="77777777" w:rsidR="00E919D2" w:rsidRPr="00E9174E" w:rsidRDefault="00E919D2" w:rsidP="00E9174E">
            <w:pPr>
              <w:keepNext/>
              <w:keepLines/>
              <w:widowControl/>
              <w:spacing w:line="360" w:lineRule="auto"/>
              <w:contextualSpacing/>
              <w:jc w:val="center"/>
              <w:rPr>
                <w:b/>
                <w:bCs/>
                <w:color w:val="000000"/>
                <w:sz w:val="26"/>
                <w:szCs w:val="26"/>
              </w:rPr>
            </w:pPr>
            <w:r w:rsidRPr="00E9174E">
              <w:rPr>
                <w:b/>
                <w:bCs/>
                <w:color w:val="000000"/>
                <w:sz w:val="26"/>
                <w:szCs w:val="26"/>
              </w:rPr>
              <w:t>DCF</w:t>
            </w:r>
          </w:p>
        </w:tc>
        <w:tc>
          <w:tcPr>
            <w:tcW w:w="1800" w:type="dxa"/>
            <w:tcBorders>
              <w:top w:val="single" w:sz="8" w:space="0" w:color="auto"/>
              <w:left w:val="nil"/>
              <w:bottom w:val="single" w:sz="8" w:space="0" w:color="auto"/>
              <w:right w:val="nil"/>
            </w:tcBorders>
            <w:shd w:val="clear" w:color="auto" w:fill="auto"/>
            <w:vAlign w:val="bottom"/>
            <w:hideMark/>
          </w:tcPr>
          <w:p w14:paraId="28E96100" w14:textId="77777777" w:rsidR="00E919D2" w:rsidRPr="00E9174E" w:rsidRDefault="00E919D2" w:rsidP="00E9174E">
            <w:pPr>
              <w:keepNext/>
              <w:keepLines/>
              <w:widowControl/>
              <w:spacing w:line="360" w:lineRule="auto"/>
              <w:contextualSpacing/>
              <w:jc w:val="center"/>
              <w:rPr>
                <w:b/>
                <w:bCs/>
                <w:color w:val="000000"/>
                <w:sz w:val="26"/>
                <w:szCs w:val="26"/>
              </w:rPr>
            </w:pPr>
            <w:r w:rsidRPr="00E9174E">
              <w:rPr>
                <w:b/>
                <w:bCs/>
                <w:color w:val="000000"/>
                <w:sz w:val="26"/>
                <w:szCs w:val="26"/>
              </w:rPr>
              <w:t>CAPM</w:t>
            </w:r>
          </w:p>
        </w:tc>
        <w:tc>
          <w:tcPr>
            <w:tcW w:w="1018"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1C3B15A5" w14:textId="77777777" w:rsidR="00E919D2" w:rsidRPr="00E9174E" w:rsidRDefault="00E919D2" w:rsidP="00E9174E">
            <w:pPr>
              <w:keepNext/>
              <w:keepLines/>
              <w:widowControl/>
              <w:spacing w:line="360" w:lineRule="auto"/>
              <w:contextualSpacing/>
              <w:jc w:val="center"/>
              <w:rPr>
                <w:b/>
                <w:bCs/>
                <w:color w:val="000000"/>
                <w:sz w:val="26"/>
                <w:szCs w:val="26"/>
              </w:rPr>
            </w:pPr>
            <w:r w:rsidRPr="00E9174E">
              <w:rPr>
                <w:b/>
                <w:bCs/>
                <w:color w:val="000000"/>
                <w:sz w:val="26"/>
                <w:szCs w:val="26"/>
              </w:rPr>
              <w:t>RP</w:t>
            </w:r>
          </w:p>
        </w:tc>
        <w:tc>
          <w:tcPr>
            <w:tcW w:w="1952" w:type="dxa"/>
            <w:tcBorders>
              <w:top w:val="single" w:sz="8" w:space="0" w:color="auto"/>
              <w:left w:val="nil"/>
              <w:bottom w:val="single" w:sz="8" w:space="0" w:color="auto"/>
              <w:right w:val="single" w:sz="8" w:space="0" w:color="auto"/>
            </w:tcBorders>
            <w:shd w:val="clear" w:color="auto" w:fill="auto"/>
            <w:vAlign w:val="bottom"/>
            <w:hideMark/>
          </w:tcPr>
          <w:p w14:paraId="21BA155A" w14:textId="77777777" w:rsidR="00E919D2" w:rsidRPr="00E9174E" w:rsidRDefault="00E919D2" w:rsidP="00E9174E">
            <w:pPr>
              <w:keepNext/>
              <w:keepLines/>
              <w:widowControl/>
              <w:spacing w:line="360" w:lineRule="auto"/>
              <w:contextualSpacing/>
              <w:jc w:val="center"/>
              <w:rPr>
                <w:b/>
                <w:bCs/>
                <w:color w:val="000000"/>
                <w:sz w:val="26"/>
                <w:szCs w:val="26"/>
              </w:rPr>
            </w:pPr>
            <w:r w:rsidRPr="00E9174E">
              <w:rPr>
                <w:b/>
                <w:bCs/>
                <w:color w:val="000000"/>
                <w:sz w:val="26"/>
                <w:szCs w:val="26"/>
              </w:rPr>
              <w:t>CE</w:t>
            </w:r>
          </w:p>
        </w:tc>
        <w:tc>
          <w:tcPr>
            <w:tcW w:w="1018" w:type="dxa"/>
            <w:tcBorders>
              <w:top w:val="single" w:sz="8" w:space="0" w:color="auto"/>
              <w:left w:val="nil"/>
              <w:bottom w:val="single" w:sz="8" w:space="0" w:color="auto"/>
              <w:right w:val="single" w:sz="8" w:space="0" w:color="auto"/>
            </w:tcBorders>
            <w:shd w:val="clear" w:color="auto" w:fill="auto"/>
            <w:vAlign w:val="bottom"/>
            <w:hideMark/>
          </w:tcPr>
          <w:p w14:paraId="7AD1D494" w14:textId="77777777" w:rsidR="00E919D2" w:rsidRPr="00E9174E" w:rsidRDefault="00E919D2" w:rsidP="00E9174E">
            <w:pPr>
              <w:keepNext/>
              <w:keepLines/>
              <w:widowControl/>
              <w:spacing w:line="360" w:lineRule="auto"/>
              <w:contextualSpacing/>
              <w:jc w:val="center"/>
              <w:rPr>
                <w:b/>
                <w:bCs/>
                <w:color w:val="000000"/>
                <w:sz w:val="26"/>
                <w:szCs w:val="26"/>
              </w:rPr>
            </w:pPr>
            <w:r w:rsidRPr="00E9174E">
              <w:rPr>
                <w:b/>
                <w:bCs/>
                <w:color w:val="000000"/>
                <w:sz w:val="26"/>
                <w:szCs w:val="26"/>
              </w:rPr>
              <w:t>ROE</w:t>
            </w:r>
          </w:p>
        </w:tc>
      </w:tr>
      <w:tr w:rsidR="00E919D2" w:rsidRPr="00E9174E" w14:paraId="5621F92D" w14:textId="77777777" w:rsidTr="00CC66FD">
        <w:trPr>
          <w:trHeight w:val="340"/>
          <w:jc w:val="center"/>
        </w:trPr>
        <w:tc>
          <w:tcPr>
            <w:tcW w:w="1315" w:type="dxa"/>
            <w:tcBorders>
              <w:top w:val="nil"/>
              <w:left w:val="single" w:sz="8" w:space="0" w:color="auto"/>
              <w:bottom w:val="nil"/>
              <w:right w:val="nil"/>
            </w:tcBorders>
            <w:shd w:val="clear" w:color="auto" w:fill="auto"/>
            <w:vAlign w:val="center"/>
            <w:hideMark/>
          </w:tcPr>
          <w:p w14:paraId="3157167C" w14:textId="77777777" w:rsidR="00E919D2" w:rsidRPr="00E9174E" w:rsidRDefault="00E919D2" w:rsidP="00E9174E">
            <w:pPr>
              <w:keepNext/>
              <w:keepLines/>
              <w:widowControl/>
              <w:spacing w:line="360" w:lineRule="auto"/>
              <w:contextualSpacing/>
              <w:rPr>
                <w:b/>
                <w:bCs/>
                <w:color w:val="000000"/>
                <w:sz w:val="26"/>
                <w:szCs w:val="26"/>
              </w:rPr>
            </w:pPr>
            <w:r w:rsidRPr="00E9174E">
              <w:rPr>
                <w:b/>
                <w:bCs/>
                <w:color w:val="000000"/>
                <w:sz w:val="26"/>
                <w:szCs w:val="26"/>
              </w:rPr>
              <w:t>Columbia</w:t>
            </w:r>
          </w:p>
        </w:tc>
        <w:tc>
          <w:tcPr>
            <w:tcW w:w="1825" w:type="dxa"/>
            <w:tcBorders>
              <w:top w:val="nil"/>
              <w:left w:val="single" w:sz="8" w:space="0" w:color="auto"/>
              <w:bottom w:val="nil"/>
              <w:right w:val="single" w:sz="8" w:space="0" w:color="auto"/>
            </w:tcBorders>
            <w:shd w:val="clear" w:color="auto" w:fill="auto"/>
            <w:hideMark/>
          </w:tcPr>
          <w:p w14:paraId="7506629E" w14:textId="77777777" w:rsidR="00E919D2" w:rsidRPr="00E9174E" w:rsidRDefault="00E919D2" w:rsidP="00E9174E">
            <w:pPr>
              <w:keepNext/>
              <w:keepLines/>
              <w:widowControl/>
              <w:spacing w:line="360" w:lineRule="auto"/>
              <w:contextualSpacing/>
              <w:jc w:val="right"/>
              <w:rPr>
                <w:color w:val="000000"/>
                <w:sz w:val="26"/>
                <w:szCs w:val="26"/>
              </w:rPr>
            </w:pPr>
            <w:r w:rsidRPr="00E9174E">
              <w:rPr>
                <w:color w:val="000000"/>
                <w:sz w:val="26"/>
                <w:szCs w:val="26"/>
              </w:rPr>
              <w:t>12.92%</w:t>
            </w:r>
          </w:p>
        </w:tc>
        <w:tc>
          <w:tcPr>
            <w:tcW w:w="1800" w:type="dxa"/>
            <w:tcBorders>
              <w:top w:val="nil"/>
              <w:left w:val="nil"/>
              <w:bottom w:val="nil"/>
              <w:right w:val="nil"/>
            </w:tcBorders>
            <w:shd w:val="clear" w:color="auto" w:fill="auto"/>
            <w:hideMark/>
          </w:tcPr>
          <w:p w14:paraId="110243DC" w14:textId="77777777" w:rsidR="00E919D2" w:rsidRPr="00E9174E" w:rsidRDefault="00E919D2" w:rsidP="00E9174E">
            <w:pPr>
              <w:keepNext/>
              <w:keepLines/>
              <w:widowControl/>
              <w:spacing w:line="360" w:lineRule="auto"/>
              <w:contextualSpacing/>
              <w:jc w:val="right"/>
              <w:rPr>
                <w:color w:val="000000"/>
                <w:sz w:val="26"/>
                <w:szCs w:val="26"/>
              </w:rPr>
            </w:pPr>
            <w:r w:rsidRPr="00E9174E">
              <w:rPr>
                <w:color w:val="000000"/>
                <w:sz w:val="26"/>
                <w:szCs w:val="26"/>
              </w:rPr>
              <w:t>12.49%</w:t>
            </w:r>
          </w:p>
        </w:tc>
        <w:tc>
          <w:tcPr>
            <w:tcW w:w="1018" w:type="dxa"/>
            <w:tcBorders>
              <w:top w:val="nil"/>
              <w:left w:val="single" w:sz="8" w:space="0" w:color="auto"/>
              <w:bottom w:val="nil"/>
              <w:right w:val="single" w:sz="8" w:space="0" w:color="auto"/>
            </w:tcBorders>
            <w:shd w:val="clear" w:color="auto" w:fill="auto"/>
            <w:hideMark/>
          </w:tcPr>
          <w:p w14:paraId="1EF1F729" w14:textId="77777777" w:rsidR="00E919D2" w:rsidRPr="00E9174E" w:rsidRDefault="00E919D2" w:rsidP="00E9174E">
            <w:pPr>
              <w:keepNext/>
              <w:keepLines/>
              <w:widowControl/>
              <w:spacing w:line="360" w:lineRule="auto"/>
              <w:contextualSpacing/>
              <w:jc w:val="right"/>
              <w:rPr>
                <w:color w:val="000000"/>
                <w:sz w:val="26"/>
                <w:szCs w:val="26"/>
              </w:rPr>
            </w:pPr>
            <w:r w:rsidRPr="00E9174E">
              <w:rPr>
                <w:color w:val="000000"/>
                <w:sz w:val="26"/>
                <w:szCs w:val="26"/>
              </w:rPr>
              <w:t>10.10%</w:t>
            </w:r>
          </w:p>
        </w:tc>
        <w:tc>
          <w:tcPr>
            <w:tcW w:w="1952" w:type="dxa"/>
            <w:tcBorders>
              <w:top w:val="nil"/>
              <w:left w:val="nil"/>
              <w:bottom w:val="nil"/>
              <w:right w:val="single" w:sz="8" w:space="0" w:color="auto"/>
            </w:tcBorders>
            <w:shd w:val="clear" w:color="auto" w:fill="auto"/>
            <w:hideMark/>
          </w:tcPr>
          <w:p w14:paraId="43A3A820" w14:textId="77777777" w:rsidR="00E919D2" w:rsidRPr="00E9174E" w:rsidRDefault="00E919D2" w:rsidP="00E9174E">
            <w:pPr>
              <w:keepNext/>
              <w:keepLines/>
              <w:widowControl/>
              <w:spacing w:line="360" w:lineRule="auto"/>
              <w:contextualSpacing/>
              <w:jc w:val="right"/>
              <w:rPr>
                <w:color w:val="000000"/>
                <w:sz w:val="26"/>
                <w:szCs w:val="26"/>
              </w:rPr>
            </w:pPr>
            <w:r w:rsidRPr="00E9174E">
              <w:rPr>
                <w:color w:val="000000"/>
                <w:sz w:val="26"/>
                <w:szCs w:val="26"/>
              </w:rPr>
              <w:t>12.70%</w:t>
            </w:r>
          </w:p>
        </w:tc>
        <w:tc>
          <w:tcPr>
            <w:tcW w:w="1018" w:type="dxa"/>
            <w:tcBorders>
              <w:top w:val="nil"/>
              <w:left w:val="nil"/>
              <w:bottom w:val="nil"/>
              <w:right w:val="single" w:sz="8" w:space="0" w:color="auto"/>
            </w:tcBorders>
            <w:shd w:val="clear" w:color="auto" w:fill="auto"/>
            <w:hideMark/>
          </w:tcPr>
          <w:p w14:paraId="7875B15B" w14:textId="77777777" w:rsidR="00E919D2" w:rsidRPr="00E9174E" w:rsidRDefault="00E919D2" w:rsidP="00E9174E">
            <w:pPr>
              <w:keepNext/>
              <w:keepLines/>
              <w:widowControl/>
              <w:spacing w:line="360" w:lineRule="auto"/>
              <w:contextualSpacing/>
              <w:jc w:val="right"/>
              <w:rPr>
                <w:color w:val="000000"/>
                <w:sz w:val="26"/>
                <w:szCs w:val="26"/>
              </w:rPr>
            </w:pPr>
            <w:r w:rsidRPr="00E9174E">
              <w:rPr>
                <w:color w:val="000000"/>
                <w:sz w:val="26"/>
                <w:szCs w:val="26"/>
              </w:rPr>
              <w:t>10.95%</w:t>
            </w:r>
          </w:p>
        </w:tc>
      </w:tr>
      <w:tr w:rsidR="00E919D2" w:rsidRPr="00E9174E" w14:paraId="281220CD" w14:textId="77777777" w:rsidTr="00CC66FD">
        <w:trPr>
          <w:trHeight w:val="345"/>
          <w:jc w:val="center"/>
        </w:trPr>
        <w:tc>
          <w:tcPr>
            <w:tcW w:w="1315" w:type="dxa"/>
            <w:tcBorders>
              <w:top w:val="single" w:sz="8" w:space="0" w:color="auto"/>
              <w:left w:val="single" w:sz="8" w:space="0" w:color="auto"/>
              <w:bottom w:val="single" w:sz="8" w:space="0" w:color="auto"/>
              <w:right w:val="nil"/>
            </w:tcBorders>
            <w:shd w:val="clear" w:color="auto" w:fill="auto"/>
            <w:vAlign w:val="center"/>
            <w:hideMark/>
          </w:tcPr>
          <w:p w14:paraId="70611CC5" w14:textId="77777777" w:rsidR="00E919D2" w:rsidRPr="00E9174E" w:rsidRDefault="00E919D2" w:rsidP="00E9174E">
            <w:pPr>
              <w:keepNext/>
              <w:keepLines/>
              <w:widowControl/>
              <w:spacing w:line="360" w:lineRule="auto"/>
              <w:contextualSpacing/>
              <w:rPr>
                <w:b/>
                <w:bCs/>
                <w:color w:val="000000"/>
                <w:sz w:val="26"/>
                <w:szCs w:val="26"/>
              </w:rPr>
            </w:pPr>
            <w:r w:rsidRPr="00E9174E">
              <w:rPr>
                <w:b/>
                <w:bCs/>
                <w:color w:val="000000"/>
                <w:sz w:val="26"/>
                <w:szCs w:val="26"/>
              </w:rPr>
              <w:t>I&amp;E</w:t>
            </w:r>
          </w:p>
        </w:tc>
        <w:tc>
          <w:tcPr>
            <w:tcW w:w="1825" w:type="dxa"/>
            <w:tcBorders>
              <w:top w:val="single" w:sz="8" w:space="0" w:color="auto"/>
              <w:left w:val="single" w:sz="8" w:space="0" w:color="auto"/>
              <w:bottom w:val="single" w:sz="8" w:space="0" w:color="auto"/>
              <w:right w:val="single" w:sz="8" w:space="0" w:color="auto"/>
            </w:tcBorders>
            <w:shd w:val="clear" w:color="auto" w:fill="auto"/>
            <w:hideMark/>
          </w:tcPr>
          <w:p w14:paraId="5899A135" w14:textId="77777777" w:rsidR="00E919D2" w:rsidRPr="00E9174E" w:rsidRDefault="00E919D2" w:rsidP="00E9174E">
            <w:pPr>
              <w:keepNext/>
              <w:keepLines/>
              <w:widowControl/>
              <w:spacing w:line="360" w:lineRule="auto"/>
              <w:contextualSpacing/>
              <w:jc w:val="right"/>
              <w:rPr>
                <w:color w:val="000000"/>
                <w:sz w:val="26"/>
                <w:szCs w:val="26"/>
              </w:rPr>
            </w:pPr>
            <w:r w:rsidRPr="00E9174E">
              <w:rPr>
                <w:color w:val="000000"/>
                <w:sz w:val="26"/>
                <w:szCs w:val="26"/>
              </w:rPr>
              <w:t>9.86%</w:t>
            </w:r>
          </w:p>
        </w:tc>
        <w:tc>
          <w:tcPr>
            <w:tcW w:w="1800" w:type="dxa"/>
            <w:tcBorders>
              <w:top w:val="single" w:sz="8" w:space="0" w:color="auto"/>
              <w:left w:val="nil"/>
              <w:bottom w:val="single" w:sz="8" w:space="0" w:color="auto"/>
              <w:right w:val="nil"/>
            </w:tcBorders>
            <w:shd w:val="clear" w:color="auto" w:fill="auto"/>
            <w:hideMark/>
          </w:tcPr>
          <w:p w14:paraId="18CA60F9" w14:textId="77777777" w:rsidR="00E919D2" w:rsidRPr="00E9174E" w:rsidRDefault="00E919D2" w:rsidP="00E9174E">
            <w:pPr>
              <w:keepNext/>
              <w:keepLines/>
              <w:widowControl/>
              <w:spacing w:line="360" w:lineRule="auto"/>
              <w:contextualSpacing/>
              <w:jc w:val="right"/>
              <w:rPr>
                <w:color w:val="000000"/>
                <w:sz w:val="26"/>
                <w:szCs w:val="26"/>
              </w:rPr>
            </w:pPr>
            <w:r w:rsidRPr="00E9174E">
              <w:rPr>
                <w:color w:val="000000"/>
                <w:sz w:val="26"/>
                <w:szCs w:val="26"/>
              </w:rPr>
              <w:t>8.72%</w:t>
            </w:r>
          </w:p>
        </w:tc>
        <w:tc>
          <w:tcPr>
            <w:tcW w:w="1018" w:type="dxa"/>
            <w:tcBorders>
              <w:top w:val="single" w:sz="8" w:space="0" w:color="auto"/>
              <w:left w:val="single" w:sz="8" w:space="0" w:color="auto"/>
              <w:bottom w:val="single" w:sz="8" w:space="0" w:color="auto"/>
              <w:right w:val="single" w:sz="8" w:space="0" w:color="auto"/>
            </w:tcBorders>
            <w:shd w:val="clear" w:color="auto" w:fill="auto"/>
            <w:hideMark/>
          </w:tcPr>
          <w:p w14:paraId="26F6E775" w14:textId="77777777" w:rsidR="00E919D2" w:rsidRPr="00E9174E" w:rsidRDefault="00E919D2" w:rsidP="00E9174E">
            <w:pPr>
              <w:keepNext/>
              <w:keepLines/>
              <w:widowControl/>
              <w:spacing w:line="360" w:lineRule="auto"/>
              <w:contextualSpacing/>
              <w:rPr>
                <w:color w:val="000000"/>
                <w:sz w:val="26"/>
                <w:szCs w:val="26"/>
              </w:rPr>
            </w:pPr>
            <w:r w:rsidRPr="00E9174E">
              <w:rPr>
                <w:color w:val="000000"/>
                <w:sz w:val="26"/>
                <w:szCs w:val="26"/>
              </w:rPr>
              <w:t> </w:t>
            </w:r>
          </w:p>
        </w:tc>
        <w:tc>
          <w:tcPr>
            <w:tcW w:w="1952" w:type="dxa"/>
            <w:tcBorders>
              <w:top w:val="single" w:sz="8" w:space="0" w:color="auto"/>
              <w:left w:val="nil"/>
              <w:bottom w:val="single" w:sz="8" w:space="0" w:color="auto"/>
              <w:right w:val="single" w:sz="8" w:space="0" w:color="auto"/>
            </w:tcBorders>
            <w:shd w:val="clear" w:color="auto" w:fill="auto"/>
            <w:hideMark/>
          </w:tcPr>
          <w:p w14:paraId="691A336A" w14:textId="77777777" w:rsidR="00E919D2" w:rsidRPr="00E9174E" w:rsidRDefault="00E919D2" w:rsidP="00E9174E">
            <w:pPr>
              <w:keepNext/>
              <w:keepLines/>
              <w:widowControl/>
              <w:spacing w:line="360" w:lineRule="auto"/>
              <w:contextualSpacing/>
              <w:rPr>
                <w:color w:val="000000"/>
                <w:sz w:val="26"/>
                <w:szCs w:val="26"/>
              </w:rPr>
            </w:pPr>
            <w:r w:rsidRPr="00E9174E">
              <w:rPr>
                <w:color w:val="000000"/>
                <w:sz w:val="26"/>
                <w:szCs w:val="26"/>
              </w:rPr>
              <w:t> </w:t>
            </w:r>
          </w:p>
        </w:tc>
        <w:tc>
          <w:tcPr>
            <w:tcW w:w="1018" w:type="dxa"/>
            <w:tcBorders>
              <w:top w:val="single" w:sz="8" w:space="0" w:color="auto"/>
              <w:left w:val="nil"/>
              <w:bottom w:val="single" w:sz="8" w:space="0" w:color="auto"/>
              <w:right w:val="single" w:sz="8" w:space="0" w:color="auto"/>
            </w:tcBorders>
            <w:shd w:val="clear" w:color="auto" w:fill="auto"/>
            <w:hideMark/>
          </w:tcPr>
          <w:p w14:paraId="2D336764" w14:textId="77777777" w:rsidR="00E919D2" w:rsidRPr="00E9174E" w:rsidRDefault="00E919D2" w:rsidP="00E9174E">
            <w:pPr>
              <w:keepNext/>
              <w:keepLines/>
              <w:widowControl/>
              <w:spacing w:line="360" w:lineRule="auto"/>
              <w:contextualSpacing/>
              <w:jc w:val="right"/>
              <w:rPr>
                <w:color w:val="000000"/>
                <w:sz w:val="26"/>
                <w:szCs w:val="26"/>
              </w:rPr>
            </w:pPr>
            <w:r w:rsidRPr="00E9174E">
              <w:rPr>
                <w:color w:val="000000"/>
                <w:sz w:val="26"/>
                <w:szCs w:val="26"/>
              </w:rPr>
              <w:t>9.86%</w:t>
            </w:r>
          </w:p>
        </w:tc>
      </w:tr>
      <w:tr w:rsidR="00E919D2" w:rsidRPr="00E9174E" w14:paraId="1397FC28" w14:textId="77777777" w:rsidTr="00CC66FD">
        <w:trPr>
          <w:trHeight w:val="250"/>
          <w:jc w:val="center"/>
        </w:trPr>
        <w:tc>
          <w:tcPr>
            <w:tcW w:w="1315" w:type="dxa"/>
            <w:tcBorders>
              <w:top w:val="nil"/>
              <w:left w:val="single" w:sz="8" w:space="0" w:color="auto"/>
              <w:bottom w:val="single" w:sz="8" w:space="0" w:color="auto"/>
              <w:right w:val="single" w:sz="8" w:space="0" w:color="auto"/>
            </w:tcBorders>
            <w:shd w:val="clear" w:color="auto" w:fill="auto"/>
            <w:hideMark/>
          </w:tcPr>
          <w:p w14:paraId="5A811829" w14:textId="77777777" w:rsidR="00E919D2" w:rsidRPr="00E9174E" w:rsidRDefault="00E919D2" w:rsidP="00E9174E">
            <w:pPr>
              <w:keepNext/>
              <w:keepLines/>
              <w:widowControl/>
              <w:spacing w:line="360" w:lineRule="auto"/>
              <w:contextualSpacing/>
              <w:rPr>
                <w:b/>
                <w:bCs/>
                <w:color w:val="000000"/>
                <w:sz w:val="26"/>
                <w:szCs w:val="26"/>
              </w:rPr>
            </w:pPr>
            <w:r w:rsidRPr="00E9174E">
              <w:rPr>
                <w:b/>
                <w:bCs/>
                <w:color w:val="000000"/>
                <w:sz w:val="26"/>
                <w:szCs w:val="26"/>
              </w:rPr>
              <w:t>OCA</w:t>
            </w:r>
          </w:p>
        </w:tc>
        <w:tc>
          <w:tcPr>
            <w:tcW w:w="1825" w:type="dxa"/>
            <w:tcBorders>
              <w:top w:val="nil"/>
              <w:left w:val="nil"/>
              <w:bottom w:val="single" w:sz="8" w:space="0" w:color="auto"/>
              <w:right w:val="single" w:sz="8" w:space="0" w:color="auto"/>
            </w:tcBorders>
            <w:shd w:val="clear" w:color="auto" w:fill="auto"/>
            <w:hideMark/>
          </w:tcPr>
          <w:p w14:paraId="2588C5DF" w14:textId="77777777" w:rsidR="00E919D2" w:rsidRPr="00E9174E" w:rsidRDefault="00E919D2" w:rsidP="00E9174E">
            <w:pPr>
              <w:keepNext/>
              <w:keepLines/>
              <w:widowControl/>
              <w:spacing w:line="360" w:lineRule="auto"/>
              <w:contextualSpacing/>
              <w:rPr>
                <w:color w:val="000000"/>
                <w:sz w:val="26"/>
                <w:szCs w:val="26"/>
              </w:rPr>
            </w:pPr>
            <w:r w:rsidRPr="00E9174E">
              <w:rPr>
                <w:color w:val="000000"/>
                <w:sz w:val="26"/>
                <w:szCs w:val="26"/>
              </w:rPr>
              <w:t>7.50%-9.50%</w:t>
            </w:r>
          </w:p>
        </w:tc>
        <w:tc>
          <w:tcPr>
            <w:tcW w:w="1800" w:type="dxa"/>
            <w:tcBorders>
              <w:top w:val="nil"/>
              <w:left w:val="nil"/>
              <w:bottom w:val="single" w:sz="8" w:space="0" w:color="auto"/>
              <w:right w:val="nil"/>
            </w:tcBorders>
            <w:shd w:val="clear" w:color="auto" w:fill="auto"/>
            <w:hideMark/>
          </w:tcPr>
          <w:p w14:paraId="0B1BC1D9" w14:textId="77777777" w:rsidR="00E919D2" w:rsidRPr="00E9174E" w:rsidRDefault="00E919D2" w:rsidP="00E9174E">
            <w:pPr>
              <w:keepNext/>
              <w:keepLines/>
              <w:widowControl/>
              <w:spacing w:line="360" w:lineRule="auto"/>
              <w:contextualSpacing/>
              <w:rPr>
                <w:color w:val="000000"/>
                <w:sz w:val="26"/>
                <w:szCs w:val="26"/>
              </w:rPr>
            </w:pPr>
            <w:r w:rsidRPr="00E9174E">
              <w:rPr>
                <w:color w:val="000000"/>
                <w:sz w:val="26"/>
                <w:szCs w:val="26"/>
              </w:rPr>
              <w:t>5.50%-7.50%</w:t>
            </w:r>
          </w:p>
        </w:tc>
        <w:tc>
          <w:tcPr>
            <w:tcW w:w="1018" w:type="dxa"/>
            <w:tcBorders>
              <w:top w:val="nil"/>
              <w:left w:val="single" w:sz="8" w:space="0" w:color="auto"/>
              <w:bottom w:val="single" w:sz="8" w:space="0" w:color="auto"/>
              <w:right w:val="single" w:sz="8" w:space="0" w:color="auto"/>
            </w:tcBorders>
            <w:shd w:val="clear" w:color="auto" w:fill="auto"/>
            <w:hideMark/>
          </w:tcPr>
          <w:p w14:paraId="42E86066" w14:textId="77777777" w:rsidR="00E919D2" w:rsidRPr="00E9174E" w:rsidRDefault="00E919D2" w:rsidP="00E9174E">
            <w:pPr>
              <w:keepNext/>
              <w:keepLines/>
              <w:widowControl/>
              <w:spacing w:line="360" w:lineRule="auto"/>
              <w:contextualSpacing/>
              <w:rPr>
                <w:color w:val="000000"/>
                <w:sz w:val="26"/>
                <w:szCs w:val="26"/>
              </w:rPr>
            </w:pPr>
            <w:r w:rsidRPr="00E9174E">
              <w:rPr>
                <w:color w:val="000000"/>
                <w:sz w:val="26"/>
                <w:szCs w:val="26"/>
              </w:rPr>
              <w:t> </w:t>
            </w:r>
          </w:p>
        </w:tc>
        <w:tc>
          <w:tcPr>
            <w:tcW w:w="1952" w:type="dxa"/>
            <w:tcBorders>
              <w:top w:val="nil"/>
              <w:left w:val="nil"/>
              <w:bottom w:val="single" w:sz="8" w:space="0" w:color="auto"/>
              <w:right w:val="single" w:sz="8" w:space="0" w:color="auto"/>
            </w:tcBorders>
            <w:shd w:val="clear" w:color="auto" w:fill="auto"/>
            <w:hideMark/>
          </w:tcPr>
          <w:p w14:paraId="67C6F63B" w14:textId="77777777" w:rsidR="00E919D2" w:rsidRPr="00E9174E" w:rsidRDefault="00E919D2" w:rsidP="00E9174E">
            <w:pPr>
              <w:keepNext/>
              <w:keepLines/>
              <w:widowControl/>
              <w:spacing w:line="360" w:lineRule="auto"/>
              <w:contextualSpacing/>
              <w:rPr>
                <w:color w:val="000000"/>
                <w:sz w:val="26"/>
                <w:szCs w:val="26"/>
              </w:rPr>
            </w:pPr>
            <w:r w:rsidRPr="00E9174E">
              <w:rPr>
                <w:color w:val="000000"/>
                <w:sz w:val="26"/>
                <w:szCs w:val="26"/>
              </w:rPr>
              <w:t>9.25%-10.25%</w:t>
            </w:r>
          </w:p>
        </w:tc>
        <w:tc>
          <w:tcPr>
            <w:tcW w:w="1018" w:type="dxa"/>
            <w:tcBorders>
              <w:top w:val="nil"/>
              <w:left w:val="nil"/>
              <w:bottom w:val="single" w:sz="8" w:space="0" w:color="auto"/>
              <w:right w:val="single" w:sz="8" w:space="0" w:color="auto"/>
            </w:tcBorders>
            <w:shd w:val="clear" w:color="auto" w:fill="auto"/>
            <w:hideMark/>
          </w:tcPr>
          <w:p w14:paraId="56E112B8" w14:textId="77777777" w:rsidR="00E919D2" w:rsidRPr="00E9174E" w:rsidRDefault="00E919D2" w:rsidP="00E9174E">
            <w:pPr>
              <w:keepNext/>
              <w:keepLines/>
              <w:widowControl/>
              <w:spacing w:line="360" w:lineRule="auto"/>
              <w:contextualSpacing/>
              <w:jc w:val="right"/>
              <w:rPr>
                <w:color w:val="000000"/>
                <w:sz w:val="26"/>
                <w:szCs w:val="26"/>
              </w:rPr>
            </w:pPr>
            <w:r w:rsidRPr="00E9174E">
              <w:rPr>
                <w:color w:val="000000"/>
                <w:sz w:val="26"/>
                <w:szCs w:val="26"/>
              </w:rPr>
              <w:t>8.50%</w:t>
            </w:r>
          </w:p>
        </w:tc>
      </w:tr>
      <w:tr w:rsidR="00E919D2" w:rsidRPr="00E9174E" w14:paraId="207FBA26" w14:textId="77777777" w:rsidTr="00CC66FD">
        <w:trPr>
          <w:trHeight w:val="345"/>
          <w:jc w:val="center"/>
        </w:trPr>
        <w:tc>
          <w:tcPr>
            <w:tcW w:w="1315" w:type="dxa"/>
            <w:tcBorders>
              <w:top w:val="nil"/>
              <w:left w:val="single" w:sz="8" w:space="0" w:color="auto"/>
              <w:bottom w:val="single" w:sz="8" w:space="0" w:color="auto"/>
              <w:right w:val="nil"/>
            </w:tcBorders>
            <w:shd w:val="clear" w:color="auto" w:fill="auto"/>
            <w:vAlign w:val="center"/>
            <w:hideMark/>
          </w:tcPr>
          <w:p w14:paraId="48B13FCE" w14:textId="77777777" w:rsidR="00E919D2" w:rsidRPr="00E9174E" w:rsidRDefault="00E919D2" w:rsidP="00E9174E">
            <w:pPr>
              <w:keepNext/>
              <w:keepLines/>
              <w:widowControl/>
              <w:spacing w:line="360" w:lineRule="auto"/>
              <w:contextualSpacing/>
              <w:rPr>
                <w:b/>
                <w:bCs/>
                <w:color w:val="000000"/>
                <w:sz w:val="26"/>
                <w:szCs w:val="26"/>
              </w:rPr>
            </w:pPr>
            <w:r w:rsidRPr="00E9174E">
              <w:rPr>
                <w:b/>
                <w:bCs/>
                <w:color w:val="000000"/>
                <w:sz w:val="26"/>
                <w:szCs w:val="26"/>
              </w:rPr>
              <w:t>OSBA</w:t>
            </w:r>
          </w:p>
        </w:tc>
        <w:tc>
          <w:tcPr>
            <w:tcW w:w="1825" w:type="dxa"/>
            <w:tcBorders>
              <w:top w:val="nil"/>
              <w:left w:val="single" w:sz="8" w:space="0" w:color="auto"/>
              <w:bottom w:val="single" w:sz="8" w:space="0" w:color="auto"/>
              <w:right w:val="single" w:sz="8" w:space="0" w:color="auto"/>
            </w:tcBorders>
            <w:shd w:val="clear" w:color="auto" w:fill="auto"/>
            <w:hideMark/>
          </w:tcPr>
          <w:p w14:paraId="52E9A14B" w14:textId="77777777" w:rsidR="00E919D2" w:rsidRPr="00E9174E" w:rsidRDefault="00E919D2" w:rsidP="00E9174E">
            <w:pPr>
              <w:keepNext/>
              <w:keepLines/>
              <w:widowControl/>
              <w:spacing w:line="360" w:lineRule="auto"/>
              <w:contextualSpacing/>
              <w:rPr>
                <w:color w:val="000000"/>
                <w:sz w:val="26"/>
                <w:szCs w:val="26"/>
              </w:rPr>
            </w:pPr>
            <w:r w:rsidRPr="00E9174E">
              <w:rPr>
                <w:color w:val="000000"/>
                <w:sz w:val="26"/>
                <w:szCs w:val="26"/>
              </w:rPr>
              <w:t> </w:t>
            </w:r>
          </w:p>
        </w:tc>
        <w:tc>
          <w:tcPr>
            <w:tcW w:w="1800" w:type="dxa"/>
            <w:tcBorders>
              <w:top w:val="nil"/>
              <w:left w:val="nil"/>
              <w:bottom w:val="single" w:sz="8" w:space="0" w:color="auto"/>
              <w:right w:val="nil"/>
            </w:tcBorders>
            <w:shd w:val="clear" w:color="auto" w:fill="auto"/>
            <w:hideMark/>
          </w:tcPr>
          <w:p w14:paraId="67DDA3D1" w14:textId="77777777" w:rsidR="00E919D2" w:rsidRPr="00E9174E" w:rsidRDefault="00E919D2" w:rsidP="00E9174E">
            <w:pPr>
              <w:keepNext/>
              <w:keepLines/>
              <w:widowControl/>
              <w:spacing w:line="360" w:lineRule="auto"/>
              <w:contextualSpacing/>
              <w:rPr>
                <w:color w:val="000000"/>
                <w:sz w:val="26"/>
                <w:szCs w:val="26"/>
              </w:rPr>
            </w:pPr>
            <w:r w:rsidRPr="00E9174E">
              <w:rPr>
                <w:color w:val="000000"/>
                <w:sz w:val="26"/>
                <w:szCs w:val="26"/>
              </w:rPr>
              <w:t> </w:t>
            </w:r>
          </w:p>
        </w:tc>
        <w:tc>
          <w:tcPr>
            <w:tcW w:w="1018" w:type="dxa"/>
            <w:tcBorders>
              <w:top w:val="nil"/>
              <w:left w:val="single" w:sz="8" w:space="0" w:color="auto"/>
              <w:bottom w:val="single" w:sz="8" w:space="0" w:color="auto"/>
              <w:right w:val="single" w:sz="8" w:space="0" w:color="auto"/>
            </w:tcBorders>
            <w:shd w:val="clear" w:color="auto" w:fill="auto"/>
            <w:hideMark/>
          </w:tcPr>
          <w:p w14:paraId="3CE28682" w14:textId="77777777" w:rsidR="00E919D2" w:rsidRPr="00E9174E" w:rsidRDefault="00E919D2" w:rsidP="00E9174E">
            <w:pPr>
              <w:keepNext/>
              <w:keepLines/>
              <w:widowControl/>
              <w:spacing w:line="360" w:lineRule="auto"/>
              <w:contextualSpacing/>
              <w:rPr>
                <w:color w:val="000000"/>
                <w:sz w:val="26"/>
                <w:szCs w:val="26"/>
              </w:rPr>
            </w:pPr>
            <w:r w:rsidRPr="00E9174E">
              <w:rPr>
                <w:color w:val="000000"/>
                <w:sz w:val="26"/>
                <w:szCs w:val="26"/>
              </w:rPr>
              <w:t> </w:t>
            </w:r>
          </w:p>
        </w:tc>
        <w:tc>
          <w:tcPr>
            <w:tcW w:w="1952" w:type="dxa"/>
            <w:tcBorders>
              <w:top w:val="nil"/>
              <w:left w:val="nil"/>
              <w:bottom w:val="single" w:sz="8" w:space="0" w:color="auto"/>
              <w:right w:val="single" w:sz="8" w:space="0" w:color="auto"/>
            </w:tcBorders>
            <w:shd w:val="clear" w:color="auto" w:fill="auto"/>
            <w:hideMark/>
          </w:tcPr>
          <w:p w14:paraId="594EED2F" w14:textId="77777777" w:rsidR="00E919D2" w:rsidRPr="00E9174E" w:rsidRDefault="00E919D2" w:rsidP="00E9174E">
            <w:pPr>
              <w:keepNext/>
              <w:keepLines/>
              <w:widowControl/>
              <w:spacing w:line="360" w:lineRule="auto"/>
              <w:contextualSpacing/>
              <w:rPr>
                <w:color w:val="000000"/>
                <w:sz w:val="26"/>
                <w:szCs w:val="26"/>
              </w:rPr>
            </w:pPr>
            <w:r w:rsidRPr="00E9174E">
              <w:rPr>
                <w:color w:val="000000"/>
                <w:sz w:val="26"/>
                <w:szCs w:val="26"/>
              </w:rPr>
              <w:t> </w:t>
            </w:r>
          </w:p>
        </w:tc>
        <w:tc>
          <w:tcPr>
            <w:tcW w:w="1018" w:type="dxa"/>
            <w:tcBorders>
              <w:top w:val="nil"/>
              <w:left w:val="nil"/>
              <w:bottom w:val="single" w:sz="8" w:space="0" w:color="auto"/>
              <w:right w:val="single" w:sz="8" w:space="0" w:color="auto"/>
            </w:tcBorders>
            <w:shd w:val="clear" w:color="auto" w:fill="auto"/>
            <w:hideMark/>
          </w:tcPr>
          <w:p w14:paraId="43EE1A9C" w14:textId="77777777" w:rsidR="00E919D2" w:rsidRPr="00E9174E" w:rsidRDefault="00E919D2" w:rsidP="00E9174E">
            <w:pPr>
              <w:keepNext/>
              <w:keepLines/>
              <w:widowControl/>
              <w:spacing w:line="360" w:lineRule="auto"/>
              <w:contextualSpacing/>
              <w:jc w:val="right"/>
              <w:rPr>
                <w:color w:val="000000"/>
                <w:sz w:val="26"/>
                <w:szCs w:val="26"/>
              </w:rPr>
            </w:pPr>
            <w:r w:rsidRPr="00E9174E">
              <w:rPr>
                <w:color w:val="000000"/>
                <w:sz w:val="26"/>
                <w:szCs w:val="26"/>
              </w:rPr>
              <w:t>7.63%</w:t>
            </w:r>
          </w:p>
        </w:tc>
      </w:tr>
    </w:tbl>
    <w:p w14:paraId="5F1517B9" w14:textId="77777777" w:rsidR="00E919D2" w:rsidRPr="00E9174E" w:rsidRDefault="00E919D2" w:rsidP="00E9174E">
      <w:pPr>
        <w:widowControl/>
        <w:spacing w:line="360" w:lineRule="auto"/>
        <w:ind w:firstLine="1440"/>
        <w:contextualSpacing/>
        <w:rPr>
          <w:rFonts w:eastAsiaTheme="minorHAnsi"/>
          <w:sz w:val="26"/>
          <w:szCs w:val="26"/>
        </w:rPr>
      </w:pPr>
    </w:p>
    <w:p w14:paraId="473BFED4" w14:textId="6F7C933C" w:rsidR="00E919D2" w:rsidRPr="00E9174E" w:rsidRDefault="00E919D2" w:rsidP="00277ECF">
      <w:pPr>
        <w:pStyle w:val="Heading3"/>
        <w:numPr>
          <w:ilvl w:val="0"/>
          <w:numId w:val="25"/>
        </w:numPr>
        <w:ind w:left="1440" w:hanging="720"/>
        <w:rPr>
          <w:rFonts w:eastAsiaTheme="minorHAnsi"/>
        </w:rPr>
      </w:pPr>
      <w:bookmarkStart w:id="272" w:name="_Toc63764529"/>
      <w:r w:rsidRPr="00E9174E">
        <w:t>Methods</w:t>
      </w:r>
      <w:r w:rsidRPr="00E9174E">
        <w:rPr>
          <w:rFonts w:eastAsiaTheme="minorHAnsi"/>
        </w:rPr>
        <w:t xml:space="preserve"> for Determining the Cost of Common Equity</w:t>
      </w:r>
      <w:bookmarkEnd w:id="272"/>
    </w:p>
    <w:p w14:paraId="63ABF70F" w14:textId="77777777" w:rsidR="00E919D2" w:rsidRPr="00E9174E" w:rsidRDefault="00E919D2" w:rsidP="00E9174E">
      <w:pPr>
        <w:keepNext/>
        <w:keepLines/>
        <w:widowControl/>
        <w:spacing w:line="360" w:lineRule="auto"/>
        <w:contextualSpacing/>
        <w:rPr>
          <w:rFonts w:eastAsiaTheme="minorHAnsi"/>
          <w:sz w:val="26"/>
          <w:szCs w:val="26"/>
        </w:rPr>
      </w:pPr>
    </w:p>
    <w:p w14:paraId="5731F7CE" w14:textId="34903CEB" w:rsidR="00E919D2" w:rsidRPr="00E9174E" w:rsidRDefault="00FE7495" w:rsidP="00277ECF">
      <w:pPr>
        <w:pStyle w:val="Heading4"/>
        <w:numPr>
          <w:ilvl w:val="0"/>
          <w:numId w:val="38"/>
        </w:numPr>
        <w:ind w:left="2160" w:hanging="720"/>
        <w:rPr>
          <w:rFonts w:eastAsiaTheme="minorHAnsi"/>
        </w:rPr>
      </w:pPr>
      <w:bookmarkStart w:id="273" w:name="_Toc63764530"/>
      <w:r w:rsidRPr="00E9174E">
        <w:t>Discounted Cash Flow Method (</w:t>
      </w:r>
      <w:r w:rsidR="00E919D2" w:rsidRPr="00E9174E">
        <w:t>DCF</w:t>
      </w:r>
      <w:r w:rsidRPr="00E9174E">
        <w:t>)</w:t>
      </w:r>
      <w:bookmarkEnd w:id="273"/>
    </w:p>
    <w:p w14:paraId="32FC6F41" w14:textId="77777777" w:rsidR="00E919D2" w:rsidRPr="00E9174E" w:rsidRDefault="00E919D2" w:rsidP="00E9174E">
      <w:pPr>
        <w:keepNext/>
        <w:keepLines/>
        <w:widowControl/>
        <w:spacing w:line="360" w:lineRule="auto"/>
        <w:contextualSpacing/>
        <w:rPr>
          <w:rFonts w:eastAsiaTheme="minorHAnsi"/>
          <w:sz w:val="26"/>
          <w:szCs w:val="26"/>
        </w:rPr>
      </w:pPr>
    </w:p>
    <w:p w14:paraId="75A7C873" w14:textId="77777777" w:rsidR="00E25FFC" w:rsidRPr="00E9174E" w:rsidRDefault="00E25FFC" w:rsidP="00E9174E">
      <w:pPr>
        <w:widowControl/>
        <w:spacing w:line="360" w:lineRule="auto"/>
        <w:ind w:firstLine="1440"/>
        <w:contextualSpacing/>
        <w:rPr>
          <w:sz w:val="26"/>
          <w:szCs w:val="26"/>
        </w:rPr>
      </w:pPr>
      <w:r w:rsidRPr="00E9174E">
        <w:rPr>
          <w:sz w:val="26"/>
          <w:szCs w:val="26"/>
        </w:rPr>
        <w:t xml:space="preserve">The DCF method applied to a proxy group of similar utilities, has historically been the primary determinant utilized by the Commission in determining the cost of common equity.  </w:t>
      </w:r>
      <w:r w:rsidRPr="00E9174E">
        <w:rPr>
          <w:i/>
          <w:sz w:val="26"/>
          <w:szCs w:val="26"/>
        </w:rPr>
        <w:t>Pa. PUC v. City of Lancaster – Bureau of Water</w:t>
      </w:r>
      <w:r w:rsidRPr="00E9174E">
        <w:rPr>
          <w:sz w:val="26"/>
          <w:szCs w:val="26"/>
        </w:rPr>
        <w:t>, Docket No. R</w:t>
      </w:r>
      <w:r w:rsidRPr="00E9174E">
        <w:rPr>
          <w:sz w:val="26"/>
          <w:szCs w:val="26"/>
        </w:rPr>
        <w:noBreakHyphen/>
        <w:t xml:space="preserve">2010-2179103 (Order entered July 14, 2011) at 56; </w:t>
      </w:r>
      <w:r w:rsidRPr="00E9174E">
        <w:rPr>
          <w:i/>
          <w:sz w:val="26"/>
          <w:szCs w:val="26"/>
        </w:rPr>
        <w:t>Pa. PUC v. PPL Electric Utilities Corp</w:t>
      </w:r>
      <w:r w:rsidRPr="00E9174E">
        <w:rPr>
          <w:sz w:val="26"/>
          <w:szCs w:val="26"/>
        </w:rPr>
        <w:t>., Docket No. R-00049255 (Order entered December 22, 2004) (</w:t>
      </w:r>
      <w:r w:rsidRPr="00E9174E">
        <w:rPr>
          <w:i/>
          <w:sz w:val="26"/>
          <w:szCs w:val="26"/>
        </w:rPr>
        <w:t>2004 PPL Order</w:t>
      </w:r>
      <w:r w:rsidRPr="00E9174E">
        <w:rPr>
          <w:sz w:val="26"/>
          <w:szCs w:val="26"/>
        </w:rPr>
        <w:t xml:space="preserve">) at 59.  The DCF model assumes that the market price of a stock is the present value of the future benefits of holding that stock.  These benefits are the future cash flows of holding the stock, </w:t>
      </w:r>
      <w:r w:rsidRPr="00E9174E">
        <w:rPr>
          <w:i/>
          <w:sz w:val="26"/>
          <w:szCs w:val="26"/>
        </w:rPr>
        <w:t>i.e.</w:t>
      </w:r>
      <w:r w:rsidRPr="00E9174E">
        <w:rPr>
          <w:sz w:val="26"/>
          <w:szCs w:val="26"/>
        </w:rPr>
        <w:t>, the dividends paid and the proceeds from the ultimate sale of the stock.  Because dollars received in the future are worth less than dollars received today, the cash flow must be “discounted” back to the present value at the investor’s rate of return.</w:t>
      </w:r>
    </w:p>
    <w:p w14:paraId="044AB129" w14:textId="77777777" w:rsidR="00E919D2" w:rsidRPr="00E9174E" w:rsidRDefault="00E919D2" w:rsidP="00E9174E">
      <w:pPr>
        <w:widowControl/>
        <w:spacing w:line="360" w:lineRule="auto"/>
        <w:ind w:firstLine="1440"/>
        <w:contextualSpacing/>
        <w:rPr>
          <w:rFonts w:eastAsiaTheme="minorHAnsi"/>
          <w:sz w:val="26"/>
          <w:szCs w:val="26"/>
        </w:rPr>
      </w:pPr>
    </w:p>
    <w:p w14:paraId="407B2A04" w14:textId="530023E0" w:rsidR="00E919D2" w:rsidRPr="00FA089A" w:rsidRDefault="00E919D2" w:rsidP="00FA089A">
      <w:pPr>
        <w:pStyle w:val="Heading5"/>
      </w:pPr>
      <w:bookmarkStart w:id="274" w:name="_Toc63764531"/>
      <w:r w:rsidRPr="00FA089A">
        <w:t>Positions of the Parties</w:t>
      </w:r>
      <w:bookmarkEnd w:id="274"/>
    </w:p>
    <w:p w14:paraId="5007B72A" w14:textId="77777777" w:rsidR="00E919D2" w:rsidRPr="00E9174E" w:rsidRDefault="00E919D2" w:rsidP="00E9174E">
      <w:pPr>
        <w:keepNext/>
        <w:keepLines/>
        <w:widowControl/>
        <w:spacing w:line="360" w:lineRule="auto"/>
        <w:contextualSpacing/>
        <w:rPr>
          <w:rFonts w:eastAsiaTheme="minorHAnsi"/>
          <w:sz w:val="26"/>
          <w:szCs w:val="26"/>
        </w:rPr>
      </w:pPr>
    </w:p>
    <w:p w14:paraId="03EC1071" w14:textId="77777777" w:rsidR="00EA3D74" w:rsidRPr="00E9174E" w:rsidRDefault="00EA3D74" w:rsidP="00E9174E">
      <w:pPr>
        <w:widowControl/>
        <w:spacing w:line="360" w:lineRule="auto"/>
        <w:ind w:firstLine="1440"/>
        <w:contextualSpacing/>
        <w:rPr>
          <w:rFonts w:eastAsiaTheme="minorHAnsi"/>
          <w:sz w:val="26"/>
          <w:szCs w:val="26"/>
        </w:rPr>
      </w:pPr>
      <w:r w:rsidRPr="00E9174E">
        <w:rPr>
          <w:rFonts w:eastAsiaTheme="minorHAnsi"/>
          <w:sz w:val="26"/>
          <w:szCs w:val="26"/>
        </w:rPr>
        <w:t>Columbia’s DCF model consists of a dividend yield plus a growth rate plus a leverage adjustment.  Columbia proposed a cost of common equity under the DCF method of 12.92%, which is calculated as follows:</w:t>
      </w:r>
    </w:p>
    <w:p w14:paraId="5B8F9B07" w14:textId="77777777" w:rsidR="00E919D2" w:rsidRPr="00E9174E" w:rsidRDefault="00E919D2" w:rsidP="00E9174E">
      <w:pPr>
        <w:widowControl/>
        <w:spacing w:line="360" w:lineRule="auto"/>
        <w:contextualSpacing/>
        <w:rPr>
          <w:rFonts w:eastAsiaTheme="minorHAnsi"/>
          <w:sz w:val="26"/>
          <w:szCs w:val="26"/>
        </w:rPr>
      </w:pPr>
    </w:p>
    <w:tbl>
      <w:tblPr>
        <w:tblW w:w="8190" w:type="dxa"/>
        <w:jc w:val="center"/>
        <w:tblLook w:val="04A0" w:firstRow="1" w:lastRow="0" w:firstColumn="1" w:lastColumn="0" w:noHBand="0" w:noVBand="1"/>
      </w:tblPr>
      <w:tblGrid>
        <w:gridCol w:w="1920"/>
        <w:gridCol w:w="1500"/>
        <w:gridCol w:w="1350"/>
        <w:gridCol w:w="1530"/>
        <w:gridCol w:w="1890"/>
      </w:tblGrid>
      <w:tr w:rsidR="00E919D2" w:rsidRPr="00E9174E" w14:paraId="41064148" w14:textId="77777777" w:rsidTr="002E1879">
        <w:trPr>
          <w:trHeight w:val="300"/>
          <w:jc w:val="center"/>
        </w:trPr>
        <w:tc>
          <w:tcPr>
            <w:tcW w:w="1920" w:type="dxa"/>
            <w:shd w:val="clear" w:color="auto" w:fill="auto"/>
            <w:noWrap/>
            <w:vAlign w:val="bottom"/>
            <w:hideMark/>
          </w:tcPr>
          <w:p w14:paraId="2F3B3323" w14:textId="77777777" w:rsidR="00E919D2" w:rsidRPr="00E9174E" w:rsidRDefault="00E919D2" w:rsidP="00E9174E">
            <w:pPr>
              <w:keepNext/>
              <w:keepLines/>
              <w:widowControl/>
              <w:spacing w:line="360" w:lineRule="auto"/>
              <w:contextualSpacing/>
              <w:rPr>
                <w:color w:val="000000"/>
                <w:sz w:val="26"/>
                <w:szCs w:val="26"/>
              </w:rPr>
            </w:pPr>
            <w:r w:rsidRPr="00E9174E">
              <w:rPr>
                <w:color w:val="000000"/>
                <w:sz w:val="26"/>
                <w:szCs w:val="26"/>
              </w:rPr>
              <w:lastRenderedPageBreak/>
              <w:t xml:space="preserve">                      </w:t>
            </w:r>
          </w:p>
        </w:tc>
        <w:tc>
          <w:tcPr>
            <w:tcW w:w="1500" w:type="dxa"/>
            <w:shd w:val="clear" w:color="auto" w:fill="auto"/>
            <w:noWrap/>
            <w:hideMark/>
          </w:tcPr>
          <w:p w14:paraId="0D258628" w14:textId="77777777" w:rsidR="00E919D2" w:rsidRPr="00E9174E" w:rsidRDefault="00E919D2" w:rsidP="00E9174E">
            <w:pPr>
              <w:keepNext/>
              <w:keepLines/>
              <w:widowControl/>
              <w:spacing w:line="360" w:lineRule="auto"/>
              <w:contextualSpacing/>
              <w:jc w:val="right"/>
              <w:rPr>
                <w:color w:val="000000"/>
                <w:sz w:val="26"/>
                <w:szCs w:val="26"/>
              </w:rPr>
            </w:pPr>
            <w:r w:rsidRPr="00E9174E">
              <w:rPr>
                <w:color w:val="000000"/>
                <w:sz w:val="26"/>
                <w:szCs w:val="26"/>
              </w:rPr>
              <w:t>Dividend +</w:t>
            </w:r>
          </w:p>
        </w:tc>
        <w:tc>
          <w:tcPr>
            <w:tcW w:w="1350" w:type="dxa"/>
            <w:shd w:val="clear" w:color="auto" w:fill="auto"/>
            <w:noWrap/>
            <w:hideMark/>
          </w:tcPr>
          <w:p w14:paraId="73986819" w14:textId="77777777" w:rsidR="00E919D2" w:rsidRPr="00E9174E" w:rsidRDefault="00E919D2" w:rsidP="00E9174E">
            <w:pPr>
              <w:keepNext/>
              <w:keepLines/>
              <w:widowControl/>
              <w:spacing w:line="360" w:lineRule="auto"/>
              <w:contextualSpacing/>
              <w:jc w:val="right"/>
              <w:rPr>
                <w:color w:val="000000"/>
                <w:sz w:val="26"/>
                <w:szCs w:val="26"/>
              </w:rPr>
            </w:pPr>
            <w:r w:rsidRPr="00E9174E">
              <w:rPr>
                <w:color w:val="000000"/>
                <w:sz w:val="26"/>
                <w:szCs w:val="26"/>
              </w:rPr>
              <w:t>Growth +</w:t>
            </w:r>
          </w:p>
        </w:tc>
        <w:tc>
          <w:tcPr>
            <w:tcW w:w="1530" w:type="dxa"/>
            <w:shd w:val="clear" w:color="auto" w:fill="auto"/>
            <w:noWrap/>
            <w:hideMark/>
          </w:tcPr>
          <w:p w14:paraId="38DE706F" w14:textId="77777777" w:rsidR="00E919D2" w:rsidRPr="00E9174E" w:rsidRDefault="00E919D2" w:rsidP="00E9174E">
            <w:pPr>
              <w:keepNext/>
              <w:keepLines/>
              <w:widowControl/>
              <w:spacing w:line="360" w:lineRule="auto"/>
              <w:contextualSpacing/>
              <w:jc w:val="right"/>
              <w:rPr>
                <w:color w:val="000000"/>
                <w:sz w:val="26"/>
                <w:szCs w:val="26"/>
              </w:rPr>
            </w:pPr>
            <w:r w:rsidRPr="00E9174E">
              <w:rPr>
                <w:color w:val="000000"/>
                <w:sz w:val="26"/>
                <w:szCs w:val="26"/>
              </w:rPr>
              <w:t>Leverage =</w:t>
            </w:r>
          </w:p>
        </w:tc>
        <w:tc>
          <w:tcPr>
            <w:tcW w:w="1890" w:type="dxa"/>
            <w:shd w:val="clear" w:color="auto" w:fill="auto"/>
            <w:noWrap/>
            <w:hideMark/>
          </w:tcPr>
          <w:p w14:paraId="488C14C9" w14:textId="77777777" w:rsidR="00E919D2" w:rsidRPr="00E9174E" w:rsidRDefault="00E919D2" w:rsidP="00E9174E">
            <w:pPr>
              <w:keepNext/>
              <w:keepLines/>
              <w:widowControl/>
              <w:spacing w:line="360" w:lineRule="auto"/>
              <w:contextualSpacing/>
              <w:jc w:val="right"/>
              <w:rPr>
                <w:color w:val="000000"/>
                <w:sz w:val="26"/>
                <w:szCs w:val="26"/>
              </w:rPr>
            </w:pPr>
            <w:r w:rsidRPr="00E9174E">
              <w:rPr>
                <w:color w:val="000000"/>
                <w:sz w:val="26"/>
                <w:szCs w:val="26"/>
              </w:rPr>
              <w:t>DCF Cost Rate</w:t>
            </w:r>
          </w:p>
        </w:tc>
      </w:tr>
      <w:tr w:rsidR="00E919D2" w:rsidRPr="00E9174E" w14:paraId="62F602D7" w14:textId="77777777" w:rsidTr="002E1879">
        <w:trPr>
          <w:trHeight w:val="300"/>
          <w:jc w:val="center"/>
        </w:trPr>
        <w:tc>
          <w:tcPr>
            <w:tcW w:w="1920" w:type="dxa"/>
            <w:shd w:val="clear" w:color="auto" w:fill="auto"/>
            <w:noWrap/>
            <w:vAlign w:val="bottom"/>
          </w:tcPr>
          <w:p w14:paraId="28032DF7" w14:textId="77777777" w:rsidR="00E919D2" w:rsidRPr="00E9174E" w:rsidRDefault="00E919D2" w:rsidP="00E9174E">
            <w:pPr>
              <w:keepNext/>
              <w:keepLines/>
              <w:widowControl/>
              <w:spacing w:line="360" w:lineRule="auto"/>
              <w:contextualSpacing/>
              <w:rPr>
                <w:color w:val="000000"/>
                <w:sz w:val="26"/>
                <w:szCs w:val="26"/>
              </w:rPr>
            </w:pPr>
          </w:p>
        </w:tc>
        <w:tc>
          <w:tcPr>
            <w:tcW w:w="1500" w:type="dxa"/>
            <w:shd w:val="clear" w:color="auto" w:fill="auto"/>
            <w:noWrap/>
          </w:tcPr>
          <w:p w14:paraId="1D072929" w14:textId="77777777" w:rsidR="00E919D2" w:rsidRPr="00E9174E" w:rsidRDefault="00E919D2" w:rsidP="00E9174E">
            <w:pPr>
              <w:keepNext/>
              <w:keepLines/>
              <w:widowControl/>
              <w:spacing w:line="360" w:lineRule="auto"/>
              <w:contextualSpacing/>
              <w:jc w:val="right"/>
              <w:rPr>
                <w:color w:val="000000"/>
                <w:sz w:val="26"/>
                <w:szCs w:val="26"/>
              </w:rPr>
            </w:pPr>
          </w:p>
        </w:tc>
        <w:tc>
          <w:tcPr>
            <w:tcW w:w="1350" w:type="dxa"/>
            <w:shd w:val="clear" w:color="auto" w:fill="auto"/>
            <w:noWrap/>
          </w:tcPr>
          <w:p w14:paraId="36C2C7DC" w14:textId="77777777" w:rsidR="00E919D2" w:rsidRPr="00E9174E" w:rsidRDefault="00E919D2" w:rsidP="00E9174E">
            <w:pPr>
              <w:keepNext/>
              <w:keepLines/>
              <w:widowControl/>
              <w:spacing w:line="360" w:lineRule="auto"/>
              <w:contextualSpacing/>
              <w:jc w:val="right"/>
              <w:rPr>
                <w:color w:val="000000"/>
                <w:sz w:val="26"/>
                <w:szCs w:val="26"/>
              </w:rPr>
            </w:pPr>
          </w:p>
        </w:tc>
        <w:tc>
          <w:tcPr>
            <w:tcW w:w="1530" w:type="dxa"/>
            <w:shd w:val="clear" w:color="auto" w:fill="auto"/>
            <w:noWrap/>
          </w:tcPr>
          <w:p w14:paraId="697A2513" w14:textId="77777777" w:rsidR="00E919D2" w:rsidRPr="00E9174E" w:rsidRDefault="00E919D2" w:rsidP="00E9174E">
            <w:pPr>
              <w:keepNext/>
              <w:keepLines/>
              <w:widowControl/>
              <w:spacing w:line="360" w:lineRule="auto"/>
              <w:contextualSpacing/>
              <w:jc w:val="right"/>
              <w:rPr>
                <w:color w:val="000000"/>
                <w:sz w:val="26"/>
                <w:szCs w:val="26"/>
              </w:rPr>
            </w:pPr>
          </w:p>
        </w:tc>
        <w:tc>
          <w:tcPr>
            <w:tcW w:w="1890" w:type="dxa"/>
            <w:shd w:val="clear" w:color="auto" w:fill="auto"/>
            <w:noWrap/>
          </w:tcPr>
          <w:p w14:paraId="0DED4829" w14:textId="77777777" w:rsidR="00E919D2" w:rsidRPr="00E9174E" w:rsidRDefault="00E919D2" w:rsidP="00E9174E">
            <w:pPr>
              <w:keepNext/>
              <w:keepLines/>
              <w:widowControl/>
              <w:spacing w:line="360" w:lineRule="auto"/>
              <w:contextualSpacing/>
              <w:jc w:val="right"/>
              <w:rPr>
                <w:color w:val="000000"/>
                <w:sz w:val="26"/>
                <w:szCs w:val="26"/>
              </w:rPr>
            </w:pPr>
          </w:p>
        </w:tc>
      </w:tr>
      <w:tr w:rsidR="00E919D2" w:rsidRPr="00E9174E" w14:paraId="7B55EDC9" w14:textId="77777777" w:rsidTr="002E1879">
        <w:trPr>
          <w:trHeight w:val="300"/>
          <w:jc w:val="center"/>
        </w:trPr>
        <w:tc>
          <w:tcPr>
            <w:tcW w:w="1920" w:type="dxa"/>
            <w:shd w:val="clear" w:color="auto" w:fill="auto"/>
            <w:noWrap/>
            <w:vAlign w:val="bottom"/>
            <w:hideMark/>
          </w:tcPr>
          <w:p w14:paraId="12D7E9EB" w14:textId="77777777" w:rsidR="00E919D2" w:rsidRPr="00E9174E" w:rsidRDefault="00E919D2" w:rsidP="00E9174E">
            <w:pPr>
              <w:keepNext/>
              <w:keepLines/>
              <w:widowControl/>
              <w:spacing w:line="360" w:lineRule="auto"/>
              <w:contextualSpacing/>
              <w:rPr>
                <w:color w:val="000000"/>
                <w:sz w:val="26"/>
                <w:szCs w:val="26"/>
              </w:rPr>
            </w:pPr>
            <w:r w:rsidRPr="00E9174E">
              <w:rPr>
                <w:color w:val="000000"/>
                <w:sz w:val="26"/>
                <w:szCs w:val="26"/>
              </w:rPr>
              <w:t>Original</w:t>
            </w:r>
          </w:p>
        </w:tc>
        <w:tc>
          <w:tcPr>
            <w:tcW w:w="1500" w:type="dxa"/>
            <w:shd w:val="clear" w:color="auto" w:fill="auto"/>
            <w:noWrap/>
            <w:vAlign w:val="bottom"/>
            <w:hideMark/>
          </w:tcPr>
          <w:p w14:paraId="0035A0DC" w14:textId="77777777" w:rsidR="00E919D2" w:rsidRPr="00E9174E" w:rsidRDefault="00E919D2" w:rsidP="00E9174E">
            <w:pPr>
              <w:keepNext/>
              <w:keepLines/>
              <w:widowControl/>
              <w:spacing w:line="360" w:lineRule="auto"/>
              <w:contextualSpacing/>
              <w:jc w:val="right"/>
              <w:rPr>
                <w:color w:val="000000"/>
                <w:sz w:val="26"/>
                <w:szCs w:val="26"/>
              </w:rPr>
            </w:pPr>
            <w:r w:rsidRPr="00E9174E">
              <w:rPr>
                <w:color w:val="000000"/>
                <w:sz w:val="26"/>
                <w:szCs w:val="26"/>
              </w:rPr>
              <w:t>2.69%</w:t>
            </w:r>
          </w:p>
        </w:tc>
        <w:tc>
          <w:tcPr>
            <w:tcW w:w="1350" w:type="dxa"/>
            <w:shd w:val="clear" w:color="auto" w:fill="auto"/>
            <w:noWrap/>
            <w:vAlign w:val="bottom"/>
            <w:hideMark/>
          </w:tcPr>
          <w:p w14:paraId="2468CC26" w14:textId="77777777" w:rsidR="00E919D2" w:rsidRPr="00E9174E" w:rsidRDefault="00E919D2" w:rsidP="00E9174E">
            <w:pPr>
              <w:keepNext/>
              <w:keepLines/>
              <w:widowControl/>
              <w:spacing w:line="360" w:lineRule="auto"/>
              <w:contextualSpacing/>
              <w:jc w:val="right"/>
              <w:rPr>
                <w:color w:val="000000"/>
                <w:sz w:val="26"/>
                <w:szCs w:val="26"/>
              </w:rPr>
            </w:pPr>
            <w:r w:rsidRPr="00E9174E">
              <w:rPr>
                <w:color w:val="000000"/>
                <w:sz w:val="26"/>
                <w:szCs w:val="26"/>
              </w:rPr>
              <w:t>7.50%</w:t>
            </w:r>
          </w:p>
        </w:tc>
        <w:tc>
          <w:tcPr>
            <w:tcW w:w="1530" w:type="dxa"/>
            <w:shd w:val="clear" w:color="auto" w:fill="auto"/>
            <w:noWrap/>
            <w:vAlign w:val="bottom"/>
            <w:hideMark/>
          </w:tcPr>
          <w:p w14:paraId="636C986F" w14:textId="77777777" w:rsidR="00E919D2" w:rsidRPr="00E9174E" w:rsidRDefault="00E919D2" w:rsidP="00E9174E">
            <w:pPr>
              <w:keepNext/>
              <w:keepLines/>
              <w:widowControl/>
              <w:spacing w:line="360" w:lineRule="auto"/>
              <w:contextualSpacing/>
              <w:jc w:val="right"/>
              <w:rPr>
                <w:color w:val="000000"/>
                <w:sz w:val="26"/>
                <w:szCs w:val="26"/>
              </w:rPr>
            </w:pPr>
            <w:r w:rsidRPr="00E9174E">
              <w:rPr>
                <w:color w:val="000000"/>
                <w:sz w:val="26"/>
                <w:szCs w:val="26"/>
              </w:rPr>
              <w:t>1.72%</w:t>
            </w:r>
          </w:p>
        </w:tc>
        <w:tc>
          <w:tcPr>
            <w:tcW w:w="1890" w:type="dxa"/>
            <w:shd w:val="clear" w:color="auto" w:fill="auto"/>
            <w:noWrap/>
            <w:vAlign w:val="bottom"/>
            <w:hideMark/>
          </w:tcPr>
          <w:p w14:paraId="5820BF40" w14:textId="77777777" w:rsidR="00E919D2" w:rsidRPr="00E9174E" w:rsidRDefault="00E919D2" w:rsidP="00E9174E">
            <w:pPr>
              <w:keepNext/>
              <w:keepLines/>
              <w:widowControl/>
              <w:spacing w:line="360" w:lineRule="auto"/>
              <w:contextualSpacing/>
              <w:jc w:val="right"/>
              <w:rPr>
                <w:b/>
                <w:color w:val="000000"/>
                <w:sz w:val="26"/>
                <w:szCs w:val="26"/>
              </w:rPr>
            </w:pPr>
            <w:r w:rsidRPr="00E9174E">
              <w:rPr>
                <w:b/>
                <w:color w:val="000000"/>
                <w:sz w:val="26"/>
                <w:szCs w:val="26"/>
              </w:rPr>
              <w:t>11.91%</w:t>
            </w:r>
          </w:p>
        </w:tc>
      </w:tr>
      <w:tr w:rsidR="00E919D2" w:rsidRPr="00E9174E" w14:paraId="66E8BAD6" w14:textId="77777777" w:rsidTr="002E1879">
        <w:trPr>
          <w:trHeight w:val="300"/>
          <w:jc w:val="center"/>
        </w:trPr>
        <w:tc>
          <w:tcPr>
            <w:tcW w:w="1920" w:type="dxa"/>
            <w:shd w:val="clear" w:color="auto" w:fill="auto"/>
            <w:noWrap/>
            <w:vAlign w:val="bottom"/>
          </w:tcPr>
          <w:p w14:paraId="2A903BAC" w14:textId="77777777" w:rsidR="00E919D2" w:rsidRPr="00E9174E" w:rsidRDefault="00E919D2" w:rsidP="00E9174E">
            <w:pPr>
              <w:keepNext/>
              <w:keepLines/>
              <w:widowControl/>
              <w:spacing w:line="360" w:lineRule="auto"/>
              <w:contextualSpacing/>
              <w:rPr>
                <w:color w:val="000000"/>
                <w:sz w:val="26"/>
                <w:szCs w:val="26"/>
              </w:rPr>
            </w:pPr>
          </w:p>
        </w:tc>
        <w:tc>
          <w:tcPr>
            <w:tcW w:w="1500" w:type="dxa"/>
            <w:shd w:val="clear" w:color="auto" w:fill="auto"/>
            <w:noWrap/>
            <w:vAlign w:val="bottom"/>
          </w:tcPr>
          <w:p w14:paraId="7A4DEE80" w14:textId="77777777" w:rsidR="00E919D2" w:rsidRPr="00E9174E" w:rsidRDefault="00E919D2" w:rsidP="00E9174E">
            <w:pPr>
              <w:keepNext/>
              <w:keepLines/>
              <w:widowControl/>
              <w:spacing w:line="360" w:lineRule="auto"/>
              <w:contextualSpacing/>
              <w:jc w:val="right"/>
              <w:rPr>
                <w:color w:val="000000"/>
                <w:sz w:val="26"/>
                <w:szCs w:val="26"/>
              </w:rPr>
            </w:pPr>
          </w:p>
        </w:tc>
        <w:tc>
          <w:tcPr>
            <w:tcW w:w="1350" w:type="dxa"/>
            <w:shd w:val="clear" w:color="auto" w:fill="auto"/>
            <w:noWrap/>
            <w:vAlign w:val="bottom"/>
          </w:tcPr>
          <w:p w14:paraId="1AC3AD79" w14:textId="77777777" w:rsidR="00E919D2" w:rsidRPr="00E9174E" w:rsidRDefault="00E919D2" w:rsidP="00E9174E">
            <w:pPr>
              <w:keepNext/>
              <w:keepLines/>
              <w:widowControl/>
              <w:spacing w:line="360" w:lineRule="auto"/>
              <w:contextualSpacing/>
              <w:jc w:val="right"/>
              <w:rPr>
                <w:color w:val="000000"/>
                <w:sz w:val="26"/>
                <w:szCs w:val="26"/>
              </w:rPr>
            </w:pPr>
          </w:p>
        </w:tc>
        <w:tc>
          <w:tcPr>
            <w:tcW w:w="1530" w:type="dxa"/>
            <w:shd w:val="clear" w:color="auto" w:fill="auto"/>
            <w:noWrap/>
            <w:vAlign w:val="bottom"/>
          </w:tcPr>
          <w:p w14:paraId="5FE2AFEE" w14:textId="77777777" w:rsidR="00E919D2" w:rsidRPr="00E9174E" w:rsidRDefault="00E919D2" w:rsidP="00E9174E">
            <w:pPr>
              <w:keepNext/>
              <w:keepLines/>
              <w:widowControl/>
              <w:spacing w:line="360" w:lineRule="auto"/>
              <w:contextualSpacing/>
              <w:jc w:val="right"/>
              <w:rPr>
                <w:color w:val="000000"/>
                <w:sz w:val="26"/>
                <w:szCs w:val="26"/>
              </w:rPr>
            </w:pPr>
          </w:p>
        </w:tc>
        <w:tc>
          <w:tcPr>
            <w:tcW w:w="1890" w:type="dxa"/>
            <w:shd w:val="clear" w:color="auto" w:fill="auto"/>
            <w:noWrap/>
            <w:vAlign w:val="bottom"/>
          </w:tcPr>
          <w:p w14:paraId="1684276A" w14:textId="77777777" w:rsidR="00E919D2" w:rsidRPr="00E9174E" w:rsidRDefault="00E919D2" w:rsidP="00E9174E">
            <w:pPr>
              <w:keepNext/>
              <w:keepLines/>
              <w:widowControl/>
              <w:spacing w:line="360" w:lineRule="auto"/>
              <w:contextualSpacing/>
              <w:jc w:val="right"/>
              <w:rPr>
                <w:b/>
                <w:color w:val="000000"/>
                <w:sz w:val="26"/>
                <w:szCs w:val="26"/>
              </w:rPr>
            </w:pPr>
          </w:p>
        </w:tc>
      </w:tr>
      <w:tr w:rsidR="00E919D2" w:rsidRPr="00E9174E" w14:paraId="7BA11FA6" w14:textId="77777777" w:rsidTr="002E1879">
        <w:trPr>
          <w:trHeight w:val="300"/>
          <w:jc w:val="center"/>
        </w:trPr>
        <w:tc>
          <w:tcPr>
            <w:tcW w:w="1920" w:type="dxa"/>
            <w:shd w:val="clear" w:color="auto" w:fill="auto"/>
            <w:noWrap/>
            <w:vAlign w:val="bottom"/>
          </w:tcPr>
          <w:p w14:paraId="09549FD4" w14:textId="77777777" w:rsidR="00E919D2" w:rsidRPr="00E9174E" w:rsidRDefault="00E919D2" w:rsidP="00E9174E">
            <w:pPr>
              <w:keepNext/>
              <w:keepLines/>
              <w:widowControl/>
              <w:spacing w:line="360" w:lineRule="auto"/>
              <w:contextualSpacing/>
              <w:rPr>
                <w:color w:val="000000"/>
                <w:sz w:val="26"/>
                <w:szCs w:val="26"/>
              </w:rPr>
            </w:pPr>
            <w:r w:rsidRPr="00E9174E">
              <w:rPr>
                <w:color w:val="000000"/>
                <w:sz w:val="26"/>
                <w:szCs w:val="26"/>
              </w:rPr>
              <w:t>Updated</w:t>
            </w:r>
          </w:p>
        </w:tc>
        <w:tc>
          <w:tcPr>
            <w:tcW w:w="1500" w:type="dxa"/>
            <w:shd w:val="clear" w:color="auto" w:fill="auto"/>
            <w:noWrap/>
            <w:vAlign w:val="bottom"/>
          </w:tcPr>
          <w:p w14:paraId="0E8433B4" w14:textId="77777777" w:rsidR="00E919D2" w:rsidRPr="00E9174E" w:rsidRDefault="00E919D2" w:rsidP="00E9174E">
            <w:pPr>
              <w:keepNext/>
              <w:keepLines/>
              <w:widowControl/>
              <w:spacing w:line="360" w:lineRule="auto"/>
              <w:contextualSpacing/>
              <w:jc w:val="right"/>
              <w:rPr>
                <w:color w:val="000000"/>
                <w:sz w:val="26"/>
                <w:szCs w:val="26"/>
              </w:rPr>
            </w:pPr>
            <w:r w:rsidRPr="00E9174E">
              <w:rPr>
                <w:color w:val="000000"/>
                <w:sz w:val="26"/>
                <w:szCs w:val="26"/>
              </w:rPr>
              <w:t>3.39%</w:t>
            </w:r>
          </w:p>
        </w:tc>
        <w:tc>
          <w:tcPr>
            <w:tcW w:w="1350" w:type="dxa"/>
            <w:shd w:val="clear" w:color="auto" w:fill="auto"/>
            <w:noWrap/>
            <w:vAlign w:val="bottom"/>
          </w:tcPr>
          <w:p w14:paraId="00C02FE6" w14:textId="77777777" w:rsidR="00E919D2" w:rsidRPr="00E9174E" w:rsidRDefault="00E919D2" w:rsidP="00E9174E">
            <w:pPr>
              <w:keepNext/>
              <w:keepLines/>
              <w:widowControl/>
              <w:spacing w:line="360" w:lineRule="auto"/>
              <w:contextualSpacing/>
              <w:jc w:val="right"/>
              <w:rPr>
                <w:color w:val="000000"/>
                <w:sz w:val="26"/>
                <w:szCs w:val="26"/>
              </w:rPr>
            </w:pPr>
            <w:r w:rsidRPr="00E9174E">
              <w:rPr>
                <w:color w:val="000000"/>
                <w:sz w:val="26"/>
                <w:szCs w:val="26"/>
              </w:rPr>
              <w:t>7.50%</w:t>
            </w:r>
          </w:p>
        </w:tc>
        <w:tc>
          <w:tcPr>
            <w:tcW w:w="1530" w:type="dxa"/>
            <w:shd w:val="clear" w:color="auto" w:fill="auto"/>
            <w:noWrap/>
            <w:vAlign w:val="bottom"/>
          </w:tcPr>
          <w:p w14:paraId="67FA442C" w14:textId="77777777" w:rsidR="00E919D2" w:rsidRPr="00E9174E" w:rsidRDefault="00E919D2" w:rsidP="00E9174E">
            <w:pPr>
              <w:keepNext/>
              <w:keepLines/>
              <w:widowControl/>
              <w:spacing w:line="360" w:lineRule="auto"/>
              <w:contextualSpacing/>
              <w:jc w:val="right"/>
              <w:rPr>
                <w:color w:val="000000"/>
                <w:sz w:val="26"/>
                <w:szCs w:val="26"/>
              </w:rPr>
            </w:pPr>
            <w:r w:rsidRPr="00E9174E">
              <w:rPr>
                <w:color w:val="000000"/>
                <w:sz w:val="26"/>
                <w:szCs w:val="26"/>
              </w:rPr>
              <w:t>2.03%</w:t>
            </w:r>
          </w:p>
        </w:tc>
        <w:tc>
          <w:tcPr>
            <w:tcW w:w="1890" w:type="dxa"/>
            <w:shd w:val="clear" w:color="auto" w:fill="auto"/>
            <w:noWrap/>
            <w:vAlign w:val="bottom"/>
          </w:tcPr>
          <w:p w14:paraId="07163FFA" w14:textId="77777777" w:rsidR="00E919D2" w:rsidRPr="00E9174E" w:rsidRDefault="00E919D2" w:rsidP="00E9174E">
            <w:pPr>
              <w:keepNext/>
              <w:keepLines/>
              <w:widowControl/>
              <w:spacing w:line="360" w:lineRule="auto"/>
              <w:contextualSpacing/>
              <w:jc w:val="right"/>
              <w:rPr>
                <w:b/>
                <w:color w:val="000000"/>
                <w:sz w:val="26"/>
                <w:szCs w:val="26"/>
              </w:rPr>
            </w:pPr>
            <w:r w:rsidRPr="00E9174E">
              <w:rPr>
                <w:b/>
                <w:color w:val="000000"/>
                <w:sz w:val="26"/>
                <w:szCs w:val="26"/>
              </w:rPr>
              <w:t>12.92%</w:t>
            </w:r>
          </w:p>
        </w:tc>
      </w:tr>
    </w:tbl>
    <w:p w14:paraId="6F482E98" w14:textId="77777777" w:rsidR="00E919D2" w:rsidRPr="00E9174E" w:rsidRDefault="00E919D2" w:rsidP="005C1A09">
      <w:pPr>
        <w:widowControl/>
        <w:spacing w:line="480" w:lineRule="auto"/>
        <w:ind w:firstLine="1440"/>
        <w:contextualSpacing/>
        <w:rPr>
          <w:rFonts w:eastAsiaTheme="minorHAnsi"/>
          <w:sz w:val="26"/>
          <w:szCs w:val="26"/>
        </w:rPr>
      </w:pPr>
    </w:p>
    <w:p w14:paraId="78FA4898" w14:textId="77777777" w:rsidR="004058FA" w:rsidRPr="00E9174E" w:rsidRDefault="004058FA" w:rsidP="00E9174E">
      <w:pPr>
        <w:widowControl/>
        <w:spacing w:line="360" w:lineRule="auto"/>
        <w:ind w:firstLine="1440"/>
        <w:contextualSpacing/>
        <w:rPr>
          <w:rFonts w:eastAsiaTheme="minorHAnsi"/>
          <w:sz w:val="26"/>
          <w:szCs w:val="26"/>
        </w:rPr>
      </w:pPr>
      <w:r w:rsidRPr="00E9174E">
        <w:rPr>
          <w:rFonts w:eastAsiaTheme="minorHAnsi"/>
          <w:sz w:val="26"/>
          <w:szCs w:val="26"/>
        </w:rPr>
        <w:t>The Company’s original dividend yield calculation used the six-month average dividend yields for the Gas Group and adjusted those yields for expected growth in the dividend to produce the dividend yield of 2.69%.  Columbia St. 8 at 20.  Columbia’s updated calculation used data for the three-month period May – July 2020 to calculate a dividend yield following the market reaction to the COVID-19 pandemic. This data showed that if updated information were used, the adjusted dividend yield would rise to 3.39%.  CG St. 8-R at 8; CG Ex. 400 (Updated) at 14.</w:t>
      </w:r>
    </w:p>
    <w:p w14:paraId="34BFFA36" w14:textId="77777777" w:rsidR="004058FA" w:rsidRPr="00E9174E" w:rsidRDefault="004058FA" w:rsidP="00E9174E">
      <w:pPr>
        <w:widowControl/>
        <w:spacing w:line="360" w:lineRule="auto"/>
        <w:contextualSpacing/>
        <w:rPr>
          <w:rFonts w:eastAsiaTheme="minorHAnsi"/>
          <w:sz w:val="26"/>
          <w:szCs w:val="26"/>
        </w:rPr>
      </w:pPr>
    </w:p>
    <w:p w14:paraId="43EEC15C" w14:textId="77777777" w:rsidR="004058FA" w:rsidRPr="00E9174E" w:rsidRDefault="004058FA" w:rsidP="00E9174E">
      <w:pPr>
        <w:widowControl/>
        <w:spacing w:line="360" w:lineRule="auto"/>
        <w:ind w:firstLine="1440"/>
        <w:contextualSpacing/>
        <w:rPr>
          <w:rFonts w:eastAsiaTheme="minorHAnsi"/>
          <w:sz w:val="26"/>
          <w:szCs w:val="26"/>
        </w:rPr>
      </w:pPr>
      <w:r w:rsidRPr="00E9174E">
        <w:rPr>
          <w:rFonts w:eastAsiaTheme="minorHAnsi"/>
          <w:sz w:val="26"/>
          <w:szCs w:val="26"/>
        </w:rPr>
        <w:t xml:space="preserve">Columbia principally relied upon five-year forecasts of earnings per share growth, as earnings growth appropriately measures the growth in price over time.  The Company used four separate sources of projected earnings growth: </w:t>
      </w:r>
      <w:r w:rsidR="00EC2E2A" w:rsidRPr="00E9174E">
        <w:rPr>
          <w:rFonts w:eastAsiaTheme="minorHAnsi"/>
          <w:sz w:val="26"/>
          <w:szCs w:val="26"/>
        </w:rPr>
        <w:t xml:space="preserve">(1) </w:t>
      </w:r>
      <w:r w:rsidRPr="00E9174E">
        <w:rPr>
          <w:rFonts w:eastAsiaTheme="minorHAnsi"/>
          <w:sz w:val="26"/>
          <w:szCs w:val="26"/>
        </w:rPr>
        <w:t xml:space="preserve">I&amp;E’s First Call, </w:t>
      </w:r>
      <w:r w:rsidR="00EC2E2A" w:rsidRPr="00E9174E">
        <w:rPr>
          <w:rFonts w:eastAsiaTheme="minorHAnsi"/>
          <w:sz w:val="26"/>
          <w:szCs w:val="26"/>
        </w:rPr>
        <w:t>(2)</w:t>
      </w:r>
      <w:r w:rsidRPr="00E9174E">
        <w:rPr>
          <w:rFonts w:eastAsiaTheme="minorHAnsi"/>
          <w:sz w:val="26"/>
          <w:szCs w:val="26"/>
        </w:rPr>
        <w:t xml:space="preserve"> </w:t>
      </w:r>
      <w:r w:rsidRPr="00E9174E">
        <w:rPr>
          <w:rFonts w:eastAsiaTheme="minorHAnsi"/>
          <w:i/>
          <w:sz w:val="26"/>
          <w:szCs w:val="26"/>
        </w:rPr>
        <w:t>Zacks</w:t>
      </w:r>
      <w:r w:rsidRPr="00E9174E">
        <w:rPr>
          <w:rFonts w:eastAsiaTheme="minorHAnsi"/>
          <w:sz w:val="26"/>
          <w:szCs w:val="26"/>
        </w:rPr>
        <w:t xml:space="preserve">, </w:t>
      </w:r>
      <w:r w:rsidR="00EC2E2A" w:rsidRPr="00E9174E">
        <w:rPr>
          <w:rFonts w:eastAsiaTheme="minorHAnsi"/>
          <w:sz w:val="26"/>
          <w:szCs w:val="26"/>
        </w:rPr>
        <w:t xml:space="preserve">(3) </w:t>
      </w:r>
      <w:r w:rsidRPr="00E9174E">
        <w:rPr>
          <w:rFonts w:eastAsiaTheme="minorHAnsi"/>
          <w:i/>
          <w:sz w:val="26"/>
          <w:szCs w:val="26"/>
        </w:rPr>
        <w:t>Morningstar</w:t>
      </w:r>
      <w:r w:rsidRPr="00E9174E">
        <w:rPr>
          <w:rFonts w:eastAsiaTheme="minorHAnsi"/>
          <w:sz w:val="26"/>
          <w:szCs w:val="26"/>
        </w:rPr>
        <w:t xml:space="preserve"> and </w:t>
      </w:r>
      <w:r w:rsidR="00EC2E2A" w:rsidRPr="00E9174E">
        <w:rPr>
          <w:rFonts w:eastAsiaTheme="minorHAnsi"/>
          <w:sz w:val="26"/>
          <w:szCs w:val="26"/>
        </w:rPr>
        <w:t xml:space="preserve">(4) </w:t>
      </w:r>
      <w:r w:rsidRPr="00E9174E">
        <w:rPr>
          <w:rFonts w:eastAsiaTheme="minorHAnsi"/>
          <w:i/>
          <w:sz w:val="26"/>
          <w:szCs w:val="26"/>
        </w:rPr>
        <w:t>Value Line</w:t>
      </w:r>
      <w:r w:rsidRPr="00E9174E">
        <w:rPr>
          <w:rFonts w:eastAsiaTheme="minorHAnsi"/>
          <w:sz w:val="26"/>
          <w:szCs w:val="26"/>
        </w:rPr>
        <w:t xml:space="preserve">.  CG </w:t>
      </w:r>
      <w:proofErr w:type="spellStart"/>
      <w:r w:rsidRPr="00E9174E">
        <w:rPr>
          <w:rFonts w:eastAsiaTheme="minorHAnsi"/>
          <w:sz w:val="26"/>
          <w:szCs w:val="26"/>
        </w:rPr>
        <w:t>Exh</w:t>
      </w:r>
      <w:proofErr w:type="spellEnd"/>
      <w:r w:rsidRPr="00E9174E">
        <w:rPr>
          <w:rFonts w:eastAsiaTheme="minorHAnsi"/>
          <w:sz w:val="26"/>
          <w:szCs w:val="26"/>
        </w:rPr>
        <w:t>. 400 at 16.  From this data, and applying judgment, Columbia recommended a growth rate of 7.50%.  CG M.B. at 74.</w:t>
      </w:r>
    </w:p>
    <w:p w14:paraId="397CB4CC" w14:textId="77777777" w:rsidR="004058FA" w:rsidRPr="00E9174E" w:rsidRDefault="004058FA" w:rsidP="00E9174E">
      <w:pPr>
        <w:widowControl/>
        <w:spacing w:line="360" w:lineRule="auto"/>
        <w:contextualSpacing/>
        <w:rPr>
          <w:rFonts w:eastAsiaTheme="minorHAnsi"/>
          <w:sz w:val="26"/>
          <w:szCs w:val="26"/>
        </w:rPr>
      </w:pPr>
    </w:p>
    <w:p w14:paraId="0030CFCE" w14:textId="2057B7ED" w:rsidR="004058FA" w:rsidRPr="00E9174E" w:rsidRDefault="004058FA" w:rsidP="00E9174E">
      <w:pPr>
        <w:widowControl/>
        <w:spacing w:line="360" w:lineRule="auto"/>
        <w:ind w:firstLine="1440"/>
        <w:contextualSpacing/>
        <w:rPr>
          <w:rFonts w:eastAsiaTheme="minorHAnsi"/>
          <w:sz w:val="26"/>
          <w:szCs w:val="26"/>
        </w:rPr>
      </w:pPr>
      <w:r w:rsidRPr="00E9174E">
        <w:rPr>
          <w:rFonts w:eastAsiaTheme="minorHAnsi"/>
          <w:sz w:val="26"/>
          <w:szCs w:val="26"/>
        </w:rPr>
        <w:t xml:space="preserve">The Company also argued that a leverage adjustment should be added to its DCF cost rate.  Columbia explained that a leverage adjustment is designed to adjust the DCF cost rate for the different percentage of debt in the capital structure calculated at market values of equity and long-term debt (the values used by investors) as compared to the percentage of debt in the capital structure at book value (the values used in the ratemaking process) to account for the greater financial risk created by a higher debt ratio when that cost rate is applied to a book value capitalization in utility proceedings.  According to Columbia, the Commission has applied the leverage adjustment in cases </w:t>
      </w:r>
      <w:r w:rsidRPr="00E9174E">
        <w:rPr>
          <w:rFonts w:eastAsiaTheme="minorHAnsi"/>
          <w:sz w:val="26"/>
          <w:szCs w:val="26"/>
        </w:rPr>
        <w:lastRenderedPageBreak/>
        <w:t xml:space="preserve">where it believes market conditions have resulted in an understated DCF cost rate.  </w:t>
      </w:r>
      <w:r w:rsidRPr="00E9174E">
        <w:rPr>
          <w:rFonts w:eastAsiaTheme="minorHAnsi"/>
          <w:i/>
          <w:sz w:val="26"/>
          <w:szCs w:val="26"/>
        </w:rPr>
        <w:t>See</w:t>
      </w:r>
      <w:r w:rsidR="004A40E9" w:rsidRPr="00E9174E">
        <w:rPr>
          <w:rFonts w:eastAsiaTheme="minorHAnsi"/>
          <w:i/>
          <w:sz w:val="26"/>
          <w:szCs w:val="26"/>
        </w:rPr>
        <w:t>,</w:t>
      </w:r>
      <w:r w:rsidRPr="00E9174E">
        <w:rPr>
          <w:rFonts w:eastAsiaTheme="minorHAnsi"/>
          <w:i/>
          <w:sz w:val="26"/>
          <w:szCs w:val="26"/>
        </w:rPr>
        <w:t xml:space="preserve"> e.g.</w:t>
      </w:r>
      <w:r w:rsidR="004A40E9" w:rsidRPr="00E9174E">
        <w:rPr>
          <w:rFonts w:eastAsiaTheme="minorHAnsi"/>
          <w:i/>
          <w:sz w:val="26"/>
          <w:szCs w:val="26"/>
        </w:rPr>
        <w:t>,</w:t>
      </w:r>
      <w:r w:rsidRPr="00E9174E">
        <w:rPr>
          <w:rFonts w:eastAsiaTheme="minorHAnsi"/>
          <w:i/>
          <w:sz w:val="26"/>
          <w:szCs w:val="26"/>
        </w:rPr>
        <w:t xml:space="preserve"> 2004 PPL Order</w:t>
      </w:r>
      <w:r w:rsidRPr="00E9174E">
        <w:rPr>
          <w:rFonts w:eastAsiaTheme="minorHAnsi"/>
          <w:sz w:val="26"/>
          <w:szCs w:val="26"/>
        </w:rPr>
        <w:t>.  The Company submitted that such conditions exist in this case.  Columbia pointed out that the DCF cost rate for its Gas Group without a leverage adjustment is 10.19% (</w:t>
      </w:r>
      <w:r w:rsidRPr="00E9174E">
        <w:rPr>
          <w:rFonts w:eastAsiaTheme="minorHAnsi"/>
          <w:i/>
          <w:sz w:val="26"/>
          <w:szCs w:val="26"/>
        </w:rPr>
        <w:t>i.e.</w:t>
      </w:r>
      <w:r w:rsidRPr="00E9174E">
        <w:rPr>
          <w:rFonts w:eastAsiaTheme="minorHAnsi"/>
          <w:sz w:val="26"/>
          <w:szCs w:val="26"/>
        </w:rPr>
        <w:t xml:space="preserve">, a 2.69% dividend yield plus a 7.50% growth rate).  The Company argued that an unadjusted DCF greatly understates the cost of common equity because the proportion of market value common equity in the Gas Group’s capitalization was significantly higher than its proportion measure at book value.  Furthermore, Columbia points out the Commission has accepted the leverage adjustment in a number of cases, including </w:t>
      </w:r>
      <w:r w:rsidRPr="00E9174E">
        <w:rPr>
          <w:rFonts w:eastAsiaTheme="minorHAnsi"/>
          <w:i/>
          <w:sz w:val="26"/>
          <w:szCs w:val="26"/>
        </w:rPr>
        <w:t>Pa. PUC v. PPL Gas Utilities Corp</w:t>
      </w:r>
      <w:r w:rsidRPr="00E9174E">
        <w:rPr>
          <w:rFonts w:eastAsiaTheme="minorHAnsi"/>
          <w:sz w:val="26"/>
          <w:szCs w:val="26"/>
        </w:rPr>
        <w:t>., Docket No. R-00061398 (Order dated Feb. 8, 2007), approving 70 basis point adjustment.  Accordingly, Columbia proposed to add a leverage adjustment of 172 basis points (</w:t>
      </w:r>
      <w:r w:rsidRPr="00E9174E">
        <w:rPr>
          <w:rFonts w:eastAsiaTheme="minorHAnsi"/>
          <w:i/>
          <w:sz w:val="26"/>
          <w:szCs w:val="26"/>
        </w:rPr>
        <w:t>i.e.</w:t>
      </w:r>
      <w:r w:rsidRPr="00E9174E">
        <w:rPr>
          <w:rFonts w:eastAsiaTheme="minorHAnsi"/>
          <w:sz w:val="26"/>
          <w:szCs w:val="26"/>
        </w:rPr>
        <w:t>,</w:t>
      </w:r>
      <w:r w:rsidRPr="00E9174E">
        <w:rPr>
          <w:rFonts w:eastAsiaTheme="minorHAnsi"/>
          <w:i/>
          <w:sz w:val="26"/>
          <w:szCs w:val="26"/>
        </w:rPr>
        <w:t xml:space="preserve"> </w:t>
      </w:r>
      <w:r w:rsidRPr="00E9174E">
        <w:rPr>
          <w:rFonts w:eastAsiaTheme="minorHAnsi"/>
          <w:sz w:val="26"/>
          <w:szCs w:val="26"/>
        </w:rPr>
        <w:t>1.72%) to its DCF cost of common equity calculation.  CG M.B. at 75-80.</w:t>
      </w:r>
    </w:p>
    <w:p w14:paraId="6BA0AF35" w14:textId="77777777" w:rsidR="004058FA" w:rsidRPr="00E9174E" w:rsidRDefault="004058FA" w:rsidP="00E9174E">
      <w:pPr>
        <w:widowControl/>
        <w:spacing w:line="360" w:lineRule="auto"/>
        <w:ind w:firstLine="720"/>
        <w:contextualSpacing/>
        <w:rPr>
          <w:rFonts w:eastAsiaTheme="minorHAnsi"/>
          <w:sz w:val="26"/>
          <w:szCs w:val="26"/>
        </w:rPr>
      </w:pPr>
    </w:p>
    <w:p w14:paraId="0E6E65E4" w14:textId="77777777" w:rsidR="004058FA" w:rsidRPr="00E9174E" w:rsidRDefault="004058FA" w:rsidP="00E9174E">
      <w:pPr>
        <w:widowControl/>
        <w:spacing w:line="360" w:lineRule="auto"/>
        <w:ind w:firstLine="1440"/>
        <w:contextualSpacing/>
        <w:rPr>
          <w:rFonts w:eastAsiaTheme="minorHAnsi"/>
          <w:sz w:val="26"/>
          <w:szCs w:val="26"/>
        </w:rPr>
      </w:pPr>
      <w:r w:rsidRPr="00E9174E">
        <w:rPr>
          <w:rFonts w:eastAsiaTheme="minorHAnsi"/>
          <w:sz w:val="26"/>
          <w:szCs w:val="26"/>
        </w:rPr>
        <w:t>At the outset, I&amp;E claimed the DCF method is in accordance with the Commission’s historical use of the DCF as the primary methodology to determine a utility’s cost of equity.  Through the methodologies outlined in its testimony, I&amp;E calculated that the DCF methodology produces a cost of common equity of 9.86%.  I&amp;E employed the standard DCF model, k = D</w:t>
      </w:r>
      <w:r w:rsidRPr="00E9174E">
        <w:rPr>
          <w:rFonts w:eastAsiaTheme="minorHAnsi"/>
          <w:sz w:val="26"/>
          <w:szCs w:val="26"/>
          <w:vertAlign w:val="subscript"/>
        </w:rPr>
        <w:t>1</w:t>
      </w:r>
      <w:r w:rsidRPr="00E9174E">
        <w:rPr>
          <w:rFonts w:eastAsiaTheme="minorHAnsi"/>
          <w:sz w:val="26"/>
          <w:szCs w:val="26"/>
        </w:rPr>
        <w:t>/P</w:t>
      </w:r>
      <w:r w:rsidRPr="00E9174E">
        <w:rPr>
          <w:rFonts w:eastAsiaTheme="minorHAnsi"/>
          <w:sz w:val="26"/>
          <w:szCs w:val="26"/>
          <w:vertAlign w:val="subscript"/>
        </w:rPr>
        <w:t>0</w:t>
      </w:r>
      <w:r w:rsidRPr="00E9174E">
        <w:rPr>
          <w:rFonts w:eastAsiaTheme="minorHAnsi"/>
          <w:sz w:val="26"/>
          <w:szCs w:val="26"/>
        </w:rPr>
        <w:t xml:space="preserve"> + g, where k is the cost of common equity, D</w:t>
      </w:r>
      <w:r w:rsidRPr="00E9174E">
        <w:rPr>
          <w:rFonts w:eastAsiaTheme="minorHAnsi"/>
          <w:sz w:val="26"/>
          <w:szCs w:val="26"/>
          <w:vertAlign w:val="subscript"/>
        </w:rPr>
        <w:t>1</w:t>
      </w:r>
      <w:r w:rsidRPr="00E9174E">
        <w:rPr>
          <w:rFonts w:eastAsiaTheme="minorHAnsi"/>
          <w:sz w:val="26"/>
          <w:szCs w:val="26"/>
        </w:rPr>
        <w:t xml:space="preserve"> is the dividend expected during the year, P</w:t>
      </w:r>
      <w:r w:rsidRPr="00E9174E">
        <w:rPr>
          <w:rFonts w:eastAsiaTheme="minorHAnsi"/>
          <w:sz w:val="26"/>
          <w:szCs w:val="26"/>
          <w:vertAlign w:val="subscript"/>
        </w:rPr>
        <w:t>0</w:t>
      </w:r>
      <w:r w:rsidRPr="00E9174E">
        <w:rPr>
          <w:rFonts w:eastAsiaTheme="minorHAnsi"/>
          <w:sz w:val="26"/>
          <w:szCs w:val="26"/>
        </w:rPr>
        <w:t xml:space="preserve"> is the current price of the stock, and g is the expected growth rate of dividends.  I&amp;E M.B. at 61-62.  </w:t>
      </w:r>
    </w:p>
    <w:p w14:paraId="3C479167" w14:textId="77777777" w:rsidR="004058FA" w:rsidRPr="00E9174E" w:rsidRDefault="004058FA" w:rsidP="00E9174E">
      <w:pPr>
        <w:widowControl/>
        <w:spacing w:line="360" w:lineRule="auto"/>
        <w:ind w:firstLine="720"/>
        <w:contextualSpacing/>
        <w:rPr>
          <w:rFonts w:eastAsiaTheme="minorHAnsi"/>
          <w:sz w:val="26"/>
          <w:szCs w:val="26"/>
        </w:rPr>
      </w:pPr>
    </w:p>
    <w:p w14:paraId="20A1F164" w14:textId="77777777" w:rsidR="004058FA" w:rsidRPr="00E9174E" w:rsidRDefault="004058FA" w:rsidP="00E9174E">
      <w:pPr>
        <w:widowControl/>
        <w:spacing w:line="360" w:lineRule="auto"/>
        <w:ind w:firstLine="1440"/>
        <w:contextualSpacing/>
        <w:rPr>
          <w:rFonts w:eastAsiaTheme="minorHAnsi"/>
          <w:sz w:val="26"/>
          <w:szCs w:val="26"/>
        </w:rPr>
      </w:pPr>
      <w:r w:rsidRPr="00E9174E">
        <w:rPr>
          <w:rFonts w:eastAsiaTheme="minorHAnsi"/>
          <w:sz w:val="26"/>
          <w:szCs w:val="26"/>
        </w:rPr>
        <w:t>I&amp;E argued that a representative dividend yield must be calculated over a time frame that avoids problems of both short-term anomalies and stale data.  I&amp;E’s dividend yield calculation placed equal emphasis on the most recent spot and the 52-week average dividend yields, resulting in an average dividend yield of 3.34%.  I&amp;E St. 2 at 22-23.</w:t>
      </w:r>
    </w:p>
    <w:p w14:paraId="7FB63C0D" w14:textId="77777777" w:rsidR="004058FA" w:rsidRPr="00E9174E" w:rsidRDefault="004058FA" w:rsidP="00E9174E">
      <w:pPr>
        <w:widowControl/>
        <w:spacing w:line="360" w:lineRule="auto"/>
        <w:ind w:firstLine="1440"/>
        <w:contextualSpacing/>
        <w:rPr>
          <w:rFonts w:eastAsiaTheme="minorHAnsi"/>
          <w:sz w:val="26"/>
          <w:szCs w:val="26"/>
        </w:rPr>
      </w:pPr>
    </w:p>
    <w:p w14:paraId="0D2ABDCE" w14:textId="77777777" w:rsidR="004058FA" w:rsidRPr="00E9174E" w:rsidRDefault="004058FA" w:rsidP="00E9174E">
      <w:pPr>
        <w:widowControl/>
        <w:spacing w:line="360" w:lineRule="auto"/>
        <w:ind w:firstLine="1440"/>
        <w:contextualSpacing/>
        <w:rPr>
          <w:rFonts w:eastAsiaTheme="minorHAnsi"/>
          <w:sz w:val="26"/>
          <w:szCs w:val="26"/>
        </w:rPr>
      </w:pPr>
      <w:r w:rsidRPr="00E9174E">
        <w:rPr>
          <w:rFonts w:eastAsiaTheme="minorHAnsi"/>
          <w:sz w:val="26"/>
          <w:szCs w:val="26"/>
        </w:rPr>
        <w:t xml:space="preserve">I&amp;E used earnings growth forecasts to calculate its expected growth rate.  I&amp;E’s earnings forecasts are developed from projected growth rates using 5-year </w:t>
      </w:r>
      <w:r w:rsidRPr="00E9174E">
        <w:rPr>
          <w:rFonts w:eastAsiaTheme="minorHAnsi"/>
          <w:sz w:val="26"/>
          <w:szCs w:val="26"/>
        </w:rPr>
        <w:lastRenderedPageBreak/>
        <w:t>estimates from established forecasting entities for its proxy group of companies, yielding an average 5-year growth forecast of 6.52%.  I&amp;E St. 2 at 23-25.</w:t>
      </w:r>
    </w:p>
    <w:p w14:paraId="3BC03DB6" w14:textId="77777777" w:rsidR="004058FA" w:rsidRPr="00E9174E" w:rsidRDefault="004058FA" w:rsidP="00E9174E">
      <w:pPr>
        <w:widowControl/>
        <w:spacing w:line="360" w:lineRule="auto"/>
        <w:ind w:firstLine="720"/>
        <w:contextualSpacing/>
        <w:rPr>
          <w:rFonts w:eastAsiaTheme="minorHAnsi"/>
          <w:sz w:val="26"/>
          <w:szCs w:val="26"/>
        </w:rPr>
      </w:pPr>
    </w:p>
    <w:p w14:paraId="590C3998" w14:textId="77777777" w:rsidR="004058FA" w:rsidRPr="00E9174E" w:rsidRDefault="004058FA" w:rsidP="00E9174E">
      <w:pPr>
        <w:widowControl/>
        <w:spacing w:line="360" w:lineRule="auto"/>
        <w:ind w:firstLine="1440"/>
        <w:contextualSpacing/>
        <w:rPr>
          <w:rFonts w:eastAsiaTheme="minorHAnsi"/>
          <w:sz w:val="26"/>
          <w:szCs w:val="26"/>
        </w:rPr>
      </w:pPr>
      <w:r w:rsidRPr="00E9174E">
        <w:rPr>
          <w:rFonts w:eastAsiaTheme="minorHAnsi"/>
          <w:sz w:val="26"/>
          <w:szCs w:val="26"/>
        </w:rPr>
        <w:t>I&amp;E submitted that Columbia’s proposed leverage adjustment should be rejected because investors base their decisions on book value debt and equity ratios for regulated utilities, and not on market values, rendering any adjustment unnecessary.  I&amp;E also submitted that recent Commission precedent supports rejecting a utility’s request for a leverage adjustment.  I&amp;E St. 2 at 42-43.</w:t>
      </w:r>
    </w:p>
    <w:p w14:paraId="450A6B30" w14:textId="77777777" w:rsidR="004058FA" w:rsidRPr="00E9174E" w:rsidRDefault="004058FA" w:rsidP="00E9174E">
      <w:pPr>
        <w:widowControl/>
        <w:spacing w:line="360" w:lineRule="auto"/>
        <w:ind w:firstLine="1440"/>
        <w:contextualSpacing/>
        <w:rPr>
          <w:rFonts w:eastAsiaTheme="minorHAnsi"/>
          <w:sz w:val="26"/>
          <w:szCs w:val="26"/>
        </w:rPr>
      </w:pPr>
    </w:p>
    <w:p w14:paraId="3BBEEAA7" w14:textId="77777777" w:rsidR="004058FA" w:rsidRPr="00E9174E" w:rsidRDefault="004058FA" w:rsidP="00E9174E">
      <w:pPr>
        <w:widowControl/>
        <w:spacing w:line="360" w:lineRule="auto"/>
        <w:ind w:firstLine="1440"/>
        <w:contextualSpacing/>
        <w:rPr>
          <w:rFonts w:eastAsiaTheme="minorHAnsi"/>
          <w:sz w:val="26"/>
          <w:szCs w:val="26"/>
        </w:rPr>
      </w:pPr>
      <w:r w:rsidRPr="00E9174E">
        <w:rPr>
          <w:rFonts w:eastAsiaTheme="minorHAnsi"/>
          <w:sz w:val="26"/>
          <w:szCs w:val="26"/>
        </w:rPr>
        <w:t xml:space="preserve">The OCA proposed a DCF cost of equity range of between 7.50% and 9.50%.  The OCA utilized a DCF analysis and employed the formula k=D/P + g, where “k,” “D,” “P,” and “g” are as defined in I&amp;E’s DCF analysis, </w:t>
      </w:r>
      <w:r w:rsidRPr="00E9174E">
        <w:rPr>
          <w:rFonts w:eastAsiaTheme="minorHAnsi"/>
          <w:i/>
          <w:sz w:val="26"/>
          <w:szCs w:val="26"/>
        </w:rPr>
        <w:t>supra</w:t>
      </w:r>
      <w:r w:rsidRPr="00E9174E">
        <w:rPr>
          <w:rFonts w:eastAsiaTheme="minorHAnsi"/>
          <w:sz w:val="26"/>
          <w:szCs w:val="26"/>
        </w:rPr>
        <w:t>.  OCA M.B. at 80-85; OCA St. 3 at 43-44.</w:t>
      </w:r>
    </w:p>
    <w:p w14:paraId="263CD6D2" w14:textId="77777777" w:rsidR="004058FA" w:rsidRPr="00E9174E" w:rsidRDefault="004058FA" w:rsidP="00E9174E">
      <w:pPr>
        <w:widowControl/>
        <w:spacing w:line="360" w:lineRule="auto"/>
        <w:ind w:firstLine="720"/>
        <w:contextualSpacing/>
        <w:rPr>
          <w:rFonts w:eastAsiaTheme="minorHAnsi"/>
          <w:sz w:val="26"/>
          <w:szCs w:val="26"/>
        </w:rPr>
      </w:pPr>
    </w:p>
    <w:p w14:paraId="0709FB14" w14:textId="77777777" w:rsidR="004058FA" w:rsidRPr="00E9174E" w:rsidRDefault="004058FA" w:rsidP="00E9174E">
      <w:pPr>
        <w:widowControl/>
        <w:spacing w:line="360" w:lineRule="auto"/>
        <w:ind w:firstLine="1440"/>
        <w:contextualSpacing/>
        <w:rPr>
          <w:rFonts w:eastAsiaTheme="minorHAnsi"/>
          <w:sz w:val="26"/>
          <w:szCs w:val="26"/>
        </w:rPr>
      </w:pPr>
      <w:r w:rsidRPr="00E9174E">
        <w:rPr>
          <w:rFonts w:eastAsiaTheme="minorHAnsi"/>
          <w:sz w:val="26"/>
          <w:szCs w:val="26"/>
        </w:rPr>
        <w:t xml:space="preserve">The OCA calculated the dividend yield by averaging the dividend yield expected to be paid over the next twelve months for each comparable company, as reported by </w:t>
      </w:r>
      <w:r w:rsidRPr="00E9174E">
        <w:rPr>
          <w:rFonts w:eastAsiaTheme="minorHAnsi"/>
          <w:i/>
          <w:iCs/>
          <w:sz w:val="26"/>
          <w:szCs w:val="26"/>
        </w:rPr>
        <w:t>Value Line</w:t>
      </w:r>
      <w:r w:rsidRPr="00E9174E">
        <w:rPr>
          <w:rFonts w:eastAsiaTheme="minorHAnsi"/>
          <w:sz w:val="26"/>
          <w:szCs w:val="26"/>
        </w:rPr>
        <w:t>.  The OCA provided that an appropriate dividend yield must be developed utilizing forecasted annualized dividend yields based on three separate time periods (</w:t>
      </w:r>
      <w:r w:rsidRPr="00E9174E">
        <w:rPr>
          <w:rFonts w:eastAsiaTheme="minorHAnsi"/>
          <w:i/>
          <w:iCs/>
          <w:sz w:val="26"/>
          <w:szCs w:val="26"/>
        </w:rPr>
        <w:t>i.e.</w:t>
      </w:r>
      <w:r w:rsidRPr="00E9174E">
        <w:rPr>
          <w:rFonts w:eastAsiaTheme="minorHAnsi"/>
          <w:sz w:val="26"/>
          <w:szCs w:val="26"/>
        </w:rPr>
        <w:t xml:space="preserve">, 13-weeks, 4-weeks, and 1-week) provided by </w:t>
      </w:r>
      <w:r w:rsidRPr="00E9174E">
        <w:rPr>
          <w:rFonts w:eastAsiaTheme="minorHAnsi"/>
          <w:i/>
          <w:iCs/>
          <w:sz w:val="26"/>
          <w:szCs w:val="26"/>
        </w:rPr>
        <w:t>Value Line</w:t>
      </w:r>
      <w:r w:rsidRPr="00E9174E">
        <w:rPr>
          <w:rFonts w:eastAsiaTheme="minorHAnsi"/>
          <w:sz w:val="26"/>
          <w:szCs w:val="26"/>
        </w:rPr>
        <w:t xml:space="preserve">.  The OCA obtained an average dividend yield for the proxy group for each of the three time periods: 3.3%, 3.5%, and 3.5%, respectively.  OCA M.B. at 86; OCA St. 3 at 45.  </w:t>
      </w:r>
    </w:p>
    <w:p w14:paraId="24F1D801" w14:textId="77777777" w:rsidR="004058FA" w:rsidRPr="00E9174E" w:rsidRDefault="004058FA" w:rsidP="00E9174E">
      <w:pPr>
        <w:widowControl/>
        <w:spacing w:line="360" w:lineRule="auto"/>
        <w:ind w:firstLine="720"/>
        <w:contextualSpacing/>
        <w:rPr>
          <w:rFonts w:eastAsiaTheme="minorHAnsi"/>
          <w:sz w:val="26"/>
          <w:szCs w:val="26"/>
        </w:rPr>
      </w:pPr>
    </w:p>
    <w:p w14:paraId="6CF85881" w14:textId="637C5B5F" w:rsidR="004058FA" w:rsidRPr="00E9174E" w:rsidRDefault="004058FA" w:rsidP="00E9174E">
      <w:pPr>
        <w:widowControl/>
        <w:spacing w:line="360" w:lineRule="auto"/>
        <w:ind w:firstLine="1440"/>
        <w:contextualSpacing/>
        <w:rPr>
          <w:rFonts w:eastAsiaTheme="minorHAnsi"/>
          <w:sz w:val="26"/>
          <w:szCs w:val="26"/>
        </w:rPr>
      </w:pPr>
      <w:r w:rsidRPr="00E9174E">
        <w:rPr>
          <w:rFonts w:eastAsiaTheme="minorHAnsi"/>
          <w:sz w:val="26"/>
          <w:szCs w:val="26"/>
        </w:rPr>
        <w:t xml:space="preserve">The OCA stated it used two methods to identify a measure of the growth in dividends that investors expect.  The first method is referred to as the plowback ratio method.  Under this approach, if a company is earning a rate of return, or “r,” on the company’s common equity, and it retains a percentage of these earnings, or “b,” then each year of the </w:t>
      </w:r>
      <w:bookmarkStart w:id="275" w:name="_Hlk63280074"/>
      <w:r w:rsidRPr="00E9174E">
        <w:rPr>
          <w:rFonts w:eastAsiaTheme="minorHAnsi"/>
          <w:sz w:val="26"/>
          <w:szCs w:val="26"/>
        </w:rPr>
        <w:t>earnings per share</w:t>
      </w:r>
      <w:bookmarkEnd w:id="275"/>
      <w:r w:rsidRPr="00E9174E">
        <w:rPr>
          <w:rFonts w:eastAsiaTheme="minorHAnsi"/>
          <w:sz w:val="26"/>
          <w:szCs w:val="26"/>
        </w:rPr>
        <w:t xml:space="preserve"> (</w:t>
      </w:r>
      <w:bookmarkStart w:id="276" w:name="_Hlk63280050"/>
      <w:r w:rsidRPr="00E9174E">
        <w:rPr>
          <w:rFonts w:eastAsiaTheme="minorHAnsi"/>
          <w:sz w:val="26"/>
          <w:szCs w:val="26"/>
        </w:rPr>
        <w:t>EPS</w:t>
      </w:r>
      <w:bookmarkEnd w:id="276"/>
      <w:r w:rsidRPr="00E9174E">
        <w:rPr>
          <w:rFonts w:eastAsiaTheme="minorHAnsi"/>
          <w:sz w:val="26"/>
          <w:szCs w:val="26"/>
        </w:rPr>
        <w:t xml:space="preserve">) are expected to grow by b x r.  OCA St. 3 at 46.  The second method </w:t>
      </w:r>
      <w:r w:rsidR="00764120" w:rsidRPr="00E9174E">
        <w:rPr>
          <w:rFonts w:eastAsiaTheme="minorHAnsi"/>
          <w:sz w:val="26"/>
          <w:szCs w:val="26"/>
        </w:rPr>
        <w:t xml:space="preserve">the </w:t>
      </w:r>
      <w:r w:rsidRPr="00E9174E">
        <w:rPr>
          <w:rFonts w:eastAsiaTheme="minorHAnsi"/>
          <w:sz w:val="26"/>
          <w:szCs w:val="26"/>
        </w:rPr>
        <w:t xml:space="preserve">OCA used to estimate the expected growth rate was to analyze the historical 10-year and 5-year historical compound annual rates of change for earnings </w:t>
      </w:r>
      <w:r w:rsidRPr="00E9174E">
        <w:rPr>
          <w:rFonts w:eastAsiaTheme="minorHAnsi"/>
          <w:sz w:val="26"/>
          <w:szCs w:val="26"/>
        </w:rPr>
        <w:lastRenderedPageBreak/>
        <w:t xml:space="preserve">per share (EPS), </w:t>
      </w:r>
      <w:bookmarkStart w:id="277" w:name="_Hlk63280145"/>
      <w:r w:rsidRPr="00E9174E">
        <w:rPr>
          <w:rFonts w:eastAsiaTheme="minorHAnsi"/>
          <w:sz w:val="26"/>
          <w:szCs w:val="26"/>
        </w:rPr>
        <w:t>dividends per share</w:t>
      </w:r>
      <w:bookmarkEnd w:id="277"/>
      <w:r w:rsidRPr="00E9174E">
        <w:rPr>
          <w:rFonts w:eastAsiaTheme="minorHAnsi"/>
          <w:sz w:val="26"/>
          <w:szCs w:val="26"/>
        </w:rPr>
        <w:t xml:space="preserve"> (</w:t>
      </w:r>
      <w:bookmarkStart w:id="278" w:name="_Hlk63280128"/>
      <w:r w:rsidRPr="00E9174E">
        <w:rPr>
          <w:rFonts w:eastAsiaTheme="minorHAnsi"/>
          <w:sz w:val="26"/>
          <w:szCs w:val="26"/>
        </w:rPr>
        <w:t>DPS</w:t>
      </w:r>
      <w:bookmarkEnd w:id="278"/>
      <w:r w:rsidRPr="00E9174E">
        <w:rPr>
          <w:rFonts w:eastAsiaTheme="minorHAnsi"/>
          <w:sz w:val="26"/>
          <w:szCs w:val="26"/>
        </w:rPr>
        <w:t xml:space="preserve">), and </w:t>
      </w:r>
      <w:bookmarkStart w:id="279" w:name="_Hlk63280184"/>
      <w:r w:rsidRPr="00E9174E">
        <w:rPr>
          <w:rFonts w:eastAsiaTheme="minorHAnsi"/>
          <w:sz w:val="26"/>
          <w:szCs w:val="26"/>
        </w:rPr>
        <w:t>book value per share</w:t>
      </w:r>
      <w:bookmarkEnd w:id="279"/>
      <w:r w:rsidRPr="00E9174E">
        <w:rPr>
          <w:rFonts w:eastAsiaTheme="minorHAnsi"/>
          <w:sz w:val="26"/>
          <w:szCs w:val="26"/>
        </w:rPr>
        <w:t xml:space="preserve"> (</w:t>
      </w:r>
      <w:bookmarkStart w:id="280" w:name="_Hlk63280167"/>
      <w:r w:rsidRPr="00E9174E">
        <w:rPr>
          <w:rFonts w:eastAsiaTheme="minorHAnsi"/>
          <w:sz w:val="26"/>
          <w:szCs w:val="26"/>
        </w:rPr>
        <w:t>BPS</w:t>
      </w:r>
      <w:bookmarkEnd w:id="280"/>
      <w:r w:rsidRPr="00E9174E">
        <w:rPr>
          <w:rFonts w:eastAsiaTheme="minorHAnsi"/>
          <w:sz w:val="26"/>
          <w:szCs w:val="26"/>
        </w:rPr>
        <w:t xml:space="preserve">) as reported by </w:t>
      </w:r>
      <w:r w:rsidRPr="00E9174E">
        <w:rPr>
          <w:rFonts w:eastAsiaTheme="minorHAnsi"/>
          <w:i/>
          <w:iCs/>
          <w:sz w:val="26"/>
          <w:szCs w:val="26"/>
        </w:rPr>
        <w:t xml:space="preserve">Value Line </w:t>
      </w:r>
      <w:r w:rsidRPr="00E9174E">
        <w:rPr>
          <w:rFonts w:eastAsiaTheme="minorHAnsi"/>
          <w:sz w:val="26"/>
          <w:szCs w:val="26"/>
        </w:rPr>
        <w:t>for each of the relevant corporations.  OCA M.B. at 86-88; OCA St. 3 at</w:t>
      </w:r>
      <w:r w:rsidR="005C1A09">
        <w:rPr>
          <w:rFonts w:eastAsiaTheme="minorHAnsi"/>
          <w:sz w:val="26"/>
          <w:szCs w:val="26"/>
        </w:rPr>
        <w:t> </w:t>
      </w:r>
      <w:r w:rsidRPr="00E9174E">
        <w:rPr>
          <w:rFonts w:eastAsiaTheme="minorHAnsi"/>
          <w:sz w:val="26"/>
          <w:szCs w:val="26"/>
        </w:rPr>
        <w:t>46</w:t>
      </w:r>
      <w:r w:rsidRPr="00E9174E">
        <w:rPr>
          <w:rFonts w:eastAsiaTheme="minorHAnsi"/>
          <w:sz w:val="26"/>
          <w:szCs w:val="26"/>
        </w:rPr>
        <w:noBreakHyphen/>
        <w:t>51.</w:t>
      </w:r>
    </w:p>
    <w:p w14:paraId="0E684B45" w14:textId="77777777" w:rsidR="004058FA" w:rsidRPr="00E9174E" w:rsidRDefault="004058FA" w:rsidP="00E9174E">
      <w:pPr>
        <w:widowControl/>
        <w:spacing w:line="360" w:lineRule="auto"/>
        <w:ind w:firstLine="1440"/>
        <w:contextualSpacing/>
        <w:rPr>
          <w:rFonts w:eastAsiaTheme="minorHAnsi"/>
          <w:sz w:val="26"/>
          <w:szCs w:val="26"/>
        </w:rPr>
      </w:pPr>
    </w:p>
    <w:p w14:paraId="521C5A07" w14:textId="10A56495" w:rsidR="004058FA" w:rsidRPr="00E9174E" w:rsidRDefault="004058FA" w:rsidP="00E9174E">
      <w:pPr>
        <w:widowControl/>
        <w:spacing w:line="360" w:lineRule="auto"/>
        <w:ind w:firstLine="1440"/>
        <w:contextualSpacing/>
        <w:rPr>
          <w:rFonts w:eastAsiaTheme="minorHAnsi"/>
          <w:sz w:val="26"/>
          <w:szCs w:val="26"/>
        </w:rPr>
      </w:pPr>
      <w:r w:rsidRPr="00E9174E">
        <w:rPr>
          <w:rFonts w:eastAsiaTheme="minorHAnsi"/>
          <w:sz w:val="26"/>
          <w:szCs w:val="26"/>
        </w:rPr>
        <w:t>Like I&amp;E, the OCA submitted that Columbia’s proposed leverage adjustment should be rejected.  The OCA reasoned that leverage adjustments distort the natural market dynamic between a regulated utility’s stock price and its allowed rate of return.  OCA M.B. at 64-65.</w:t>
      </w:r>
    </w:p>
    <w:p w14:paraId="34107070" w14:textId="77777777" w:rsidR="00391A45" w:rsidRPr="00E9174E" w:rsidRDefault="00391A45" w:rsidP="00E9174E">
      <w:pPr>
        <w:widowControl/>
        <w:spacing w:line="360" w:lineRule="auto"/>
        <w:ind w:firstLine="1440"/>
        <w:contextualSpacing/>
        <w:rPr>
          <w:rFonts w:eastAsiaTheme="minorHAnsi"/>
          <w:sz w:val="26"/>
          <w:szCs w:val="26"/>
        </w:rPr>
      </w:pPr>
    </w:p>
    <w:p w14:paraId="5C458097" w14:textId="5878F48B" w:rsidR="00E919D2" w:rsidRPr="00E9174E" w:rsidRDefault="00FE7495" w:rsidP="00277ECF">
      <w:pPr>
        <w:pStyle w:val="Heading4"/>
        <w:numPr>
          <w:ilvl w:val="0"/>
          <w:numId w:val="38"/>
        </w:numPr>
        <w:ind w:left="2160" w:hanging="720"/>
        <w:rPr>
          <w:rFonts w:eastAsiaTheme="minorHAnsi"/>
        </w:rPr>
      </w:pPr>
      <w:bookmarkStart w:id="281" w:name="_Toc63764532"/>
      <w:r w:rsidRPr="00E9174E">
        <w:t>Capital Asset Pricing Model (</w:t>
      </w:r>
      <w:r w:rsidR="00E919D2" w:rsidRPr="00E9174E">
        <w:t>CAPM</w:t>
      </w:r>
      <w:r w:rsidRPr="00E9174E">
        <w:t>)</w:t>
      </w:r>
      <w:bookmarkEnd w:id="281"/>
    </w:p>
    <w:p w14:paraId="7162FC1E" w14:textId="77777777" w:rsidR="00E919D2" w:rsidRPr="00E9174E" w:rsidRDefault="00E919D2" w:rsidP="00E9174E">
      <w:pPr>
        <w:keepNext/>
        <w:keepLines/>
        <w:widowControl/>
        <w:spacing w:line="360" w:lineRule="auto"/>
        <w:contextualSpacing/>
        <w:rPr>
          <w:rFonts w:eastAsiaTheme="minorHAnsi"/>
          <w:b/>
          <w:sz w:val="26"/>
          <w:szCs w:val="26"/>
        </w:rPr>
      </w:pPr>
    </w:p>
    <w:p w14:paraId="570C54AB" w14:textId="77777777" w:rsidR="00495FFF" w:rsidRPr="00E9174E" w:rsidRDefault="00495FFF" w:rsidP="00E9174E">
      <w:pPr>
        <w:widowControl/>
        <w:spacing w:line="360" w:lineRule="auto"/>
        <w:ind w:firstLine="1440"/>
        <w:contextualSpacing/>
        <w:rPr>
          <w:rFonts w:eastAsiaTheme="minorHAnsi"/>
          <w:sz w:val="26"/>
          <w:szCs w:val="26"/>
        </w:rPr>
      </w:pPr>
      <w:r w:rsidRPr="00E9174E">
        <w:rPr>
          <w:rFonts w:eastAsiaTheme="minorHAnsi"/>
          <w:sz w:val="26"/>
          <w:szCs w:val="26"/>
        </w:rPr>
        <w:t xml:space="preserve">The CAPM uses the yield on a risk-free interest-bearing obligation (such as those issued by the U.S. Treasury) plus a rate of return premium that is proportional to the systematic risk of an investment.  To compute the cost of equity with the CAPM, three components are necessary: </w:t>
      </w:r>
      <w:r w:rsidR="001D75F2" w:rsidRPr="00E9174E">
        <w:rPr>
          <w:rFonts w:eastAsiaTheme="minorHAnsi"/>
          <w:sz w:val="26"/>
          <w:szCs w:val="26"/>
        </w:rPr>
        <w:t xml:space="preserve">(1) </w:t>
      </w:r>
      <w:r w:rsidRPr="00E9174E">
        <w:rPr>
          <w:rFonts w:eastAsiaTheme="minorHAnsi"/>
          <w:sz w:val="26"/>
          <w:szCs w:val="26"/>
        </w:rPr>
        <w:t xml:space="preserve">a risk-free rate of return (Rf), </w:t>
      </w:r>
      <w:r w:rsidR="001D75F2" w:rsidRPr="00E9174E">
        <w:rPr>
          <w:rFonts w:eastAsiaTheme="minorHAnsi"/>
          <w:sz w:val="26"/>
          <w:szCs w:val="26"/>
        </w:rPr>
        <w:t xml:space="preserve">(2) </w:t>
      </w:r>
      <w:r w:rsidRPr="00E9174E">
        <w:rPr>
          <w:rFonts w:eastAsiaTheme="minorHAnsi"/>
          <w:sz w:val="26"/>
          <w:szCs w:val="26"/>
        </w:rPr>
        <w:t xml:space="preserve">the beta measure of systematic risk (β), and </w:t>
      </w:r>
      <w:r w:rsidR="001D75F2" w:rsidRPr="00E9174E">
        <w:rPr>
          <w:rFonts w:eastAsiaTheme="minorHAnsi"/>
          <w:sz w:val="26"/>
          <w:szCs w:val="26"/>
        </w:rPr>
        <w:t xml:space="preserve">(3) </w:t>
      </w:r>
      <w:r w:rsidRPr="00E9174E">
        <w:rPr>
          <w:rFonts w:eastAsiaTheme="minorHAnsi"/>
          <w:sz w:val="26"/>
          <w:szCs w:val="26"/>
        </w:rPr>
        <w:t>the market risk premium (Rm-Rf) derived from the total return on the market of equities reduced by the risk-free rate of return.  The CAPM specifically accounts for differences in systematic risk (</w:t>
      </w:r>
      <w:r w:rsidRPr="00E9174E">
        <w:rPr>
          <w:rFonts w:eastAsiaTheme="minorHAnsi"/>
          <w:i/>
          <w:sz w:val="26"/>
          <w:szCs w:val="26"/>
        </w:rPr>
        <w:t>i.e.</w:t>
      </w:r>
      <w:r w:rsidRPr="00E9174E">
        <w:rPr>
          <w:rFonts w:eastAsiaTheme="minorHAnsi"/>
          <w:sz w:val="26"/>
          <w:szCs w:val="26"/>
        </w:rPr>
        <w:t>, market risk as measured by the beta) between an individual firm or group of firms and the entire market of equities.</w:t>
      </w:r>
    </w:p>
    <w:p w14:paraId="0F1907DB" w14:textId="77777777" w:rsidR="00495FFF" w:rsidRPr="00E9174E" w:rsidRDefault="00495FFF" w:rsidP="00E9174E">
      <w:pPr>
        <w:widowControl/>
        <w:spacing w:line="360" w:lineRule="auto"/>
        <w:ind w:firstLine="720"/>
        <w:contextualSpacing/>
        <w:rPr>
          <w:rFonts w:eastAsiaTheme="minorHAnsi"/>
          <w:sz w:val="26"/>
          <w:szCs w:val="26"/>
        </w:rPr>
      </w:pPr>
    </w:p>
    <w:p w14:paraId="4E4F06F8" w14:textId="77777777" w:rsidR="00495FFF" w:rsidRPr="00E9174E" w:rsidRDefault="00495FFF" w:rsidP="00E9174E">
      <w:pPr>
        <w:widowControl/>
        <w:spacing w:line="360" w:lineRule="auto"/>
        <w:ind w:firstLine="1440"/>
        <w:contextualSpacing/>
        <w:rPr>
          <w:rFonts w:eastAsiaTheme="minorHAnsi"/>
          <w:sz w:val="26"/>
          <w:szCs w:val="26"/>
        </w:rPr>
      </w:pPr>
      <w:r w:rsidRPr="00E9174E">
        <w:rPr>
          <w:rFonts w:eastAsiaTheme="minorHAnsi"/>
          <w:sz w:val="26"/>
          <w:szCs w:val="26"/>
        </w:rPr>
        <w:t>Columbia, the OCA, and I&amp;E each used the following standard CAPM formula:</w:t>
      </w:r>
    </w:p>
    <w:p w14:paraId="5079DDCA" w14:textId="77777777" w:rsidR="00E919D2" w:rsidRPr="00E9174E" w:rsidRDefault="00E919D2" w:rsidP="00E9174E">
      <w:pPr>
        <w:widowControl/>
        <w:spacing w:line="360" w:lineRule="auto"/>
        <w:ind w:firstLine="720"/>
        <w:contextualSpacing/>
        <w:rPr>
          <w:rFonts w:eastAsiaTheme="minorHAnsi"/>
          <w:sz w:val="26"/>
          <w:szCs w:val="26"/>
        </w:rPr>
      </w:pPr>
    </w:p>
    <w:p w14:paraId="6E3E751B" w14:textId="77777777" w:rsidR="00E919D2" w:rsidRPr="00E9174E" w:rsidRDefault="00E919D2" w:rsidP="00E9174E">
      <w:pPr>
        <w:widowControl/>
        <w:spacing w:line="360" w:lineRule="auto"/>
        <w:contextualSpacing/>
        <w:jc w:val="center"/>
        <w:rPr>
          <w:rFonts w:eastAsiaTheme="minorHAnsi"/>
          <w:sz w:val="26"/>
          <w:szCs w:val="26"/>
        </w:rPr>
      </w:pPr>
      <w:r w:rsidRPr="00E9174E">
        <w:rPr>
          <w:rFonts w:eastAsiaTheme="minorHAnsi"/>
          <w:sz w:val="26"/>
          <w:szCs w:val="26"/>
        </w:rPr>
        <w:t>k = R</w:t>
      </w:r>
      <w:r w:rsidRPr="00E9174E">
        <w:rPr>
          <w:rFonts w:eastAsiaTheme="minorHAnsi"/>
          <w:sz w:val="26"/>
          <w:szCs w:val="26"/>
          <w:vertAlign w:val="subscript"/>
        </w:rPr>
        <w:t>f</w:t>
      </w:r>
      <w:r w:rsidRPr="00E9174E">
        <w:rPr>
          <w:rFonts w:eastAsiaTheme="minorHAnsi"/>
          <w:sz w:val="26"/>
          <w:szCs w:val="26"/>
        </w:rPr>
        <w:t xml:space="preserve"> + </w:t>
      </w:r>
      <w:r w:rsidRPr="00E9174E">
        <w:rPr>
          <w:rFonts w:eastAsiaTheme="minorHAnsi"/>
          <w:sz w:val="26"/>
          <w:szCs w:val="26"/>
        </w:rPr>
        <w:sym w:font="Symbol" w:char="F062"/>
      </w:r>
      <w:r w:rsidRPr="00E9174E">
        <w:rPr>
          <w:rFonts w:eastAsiaTheme="minorHAnsi"/>
          <w:sz w:val="26"/>
          <w:szCs w:val="26"/>
        </w:rPr>
        <w:t>(R</w:t>
      </w:r>
      <w:r w:rsidRPr="00E9174E">
        <w:rPr>
          <w:rFonts w:eastAsiaTheme="minorHAnsi"/>
          <w:sz w:val="26"/>
          <w:szCs w:val="26"/>
          <w:vertAlign w:val="subscript"/>
        </w:rPr>
        <w:t>m</w:t>
      </w:r>
      <w:r w:rsidRPr="00E9174E">
        <w:rPr>
          <w:rFonts w:eastAsiaTheme="minorHAnsi"/>
          <w:sz w:val="26"/>
          <w:szCs w:val="26"/>
        </w:rPr>
        <w:t xml:space="preserve"> – R</w:t>
      </w:r>
      <w:r w:rsidRPr="00E9174E">
        <w:rPr>
          <w:rFonts w:eastAsiaTheme="minorHAnsi"/>
          <w:sz w:val="26"/>
          <w:szCs w:val="26"/>
          <w:vertAlign w:val="subscript"/>
        </w:rPr>
        <w:t>f</w:t>
      </w:r>
      <w:r w:rsidRPr="00E9174E">
        <w:rPr>
          <w:rFonts w:eastAsiaTheme="minorHAnsi"/>
          <w:sz w:val="26"/>
          <w:szCs w:val="26"/>
        </w:rPr>
        <w:t>)</w:t>
      </w:r>
    </w:p>
    <w:p w14:paraId="6D1F8E22" w14:textId="77777777" w:rsidR="00E919D2" w:rsidRPr="00E9174E" w:rsidRDefault="00E919D2" w:rsidP="00E9174E">
      <w:pPr>
        <w:widowControl/>
        <w:spacing w:line="360" w:lineRule="auto"/>
        <w:ind w:firstLine="720"/>
        <w:contextualSpacing/>
        <w:rPr>
          <w:rFonts w:eastAsiaTheme="minorHAnsi"/>
          <w:sz w:val="26"/>
          <w:szCs w:val="26"/>
        </w:rPr>
      </w:pPr>
    </w:p>
    <w:p w14:paraId="6E9C9BF8" w14:textId="77777777" w:rsidR="00E919D2" w:rsidRPr="00E9174E" w:rsidRDefault="00E919D2" w:rsidP="00E9174E">
      <w:pPr>
        <w:widowControl/>
        <w:spacing w:line="360" w:lineRule="auto"/>
        <w:ind w:firstLine="1440"/>
        <w:contextualSpacing/>
        <w:rPr>
          <w:rFonts w:eastAsiaTheme="minorHAnsi"/>
          <w:sz w:val="26"/>
          <w:szCs w:val="26"/>
        </w:rPr>
      </w:pPr>
      <w:r w:rsidRPr="00E9174E">
        <w:rPr>
          <w:rFonts w:eastAsiaTheme="minorHAnsi"/>
          <w:sz w:val="26"/>
          <w:szCs w:val="26"/>
        </w:rPr>
        <w:t>Where: k= the cost of equity and the remaining terms are as defined above.</w:t>
      </w:r>
    </w:p>
    <w:p w14:paraId="09186F69" w14:textId="77777777" w:rsidR="00E919D2" w:rsidRPr="00E9174E" w:rsidRDefault="00E919D2" w:rsidP="00E9174E">
      <w:pPr>
        <w:widowControl/>
        <w:spacing w:line="360" w:lineRule="auto"/>
        <w:ind w:firstLine="1440"/>
        <w:contextualSpacing/>
        <w:rPr>
          <w:rFonts w:eastAsiaTheme="minorHAnsi"/>
          <w:sz w:val="26"/>
          <w:szCs w:val="26"/>
        </w:rPr>
      </w:pPr>
    </w:p>
    <w:p w14:paraId="0976BB6E" w14:textId="10E3807B" w:rsidR="00E919D2" w:rsidRPr="00E9174E" w:rsidRDefault="00E919D2" w:rsidP="00277ECF">
      <w:pPr>
        <w:pStyle w:val="Heading5"/>
        <w:numPr>
          <w:ilvl w:val="0"/>
          <w:numId w:val="70"/>
        </w:numPr>
      </w:pPr>
      <w:bookmarkStart w:id="282" w:name="_Toc63764533"/>
      <w:r w:rsidRPr="00E9174E">
        <w:lastRenderedPageBreak/>
        <w:t>Positions of the Parties</w:t>
      </w:r>
      <w:bookmarkEnd w:id="282"/>
    </w:p>
    <w:p w14:paraId="2B012BDA" w14:textId="77777777" w:rsidR="00E919D2" w:rsidRPr="00E9174E" w:rsidRDefault="00E919D2" w:rsidP="00E9174E">
      <w:pPr>
        <w:keepNext/>
        <w:keepLines/>
        <w:widowControl/>
        <w:spacing w:line="360" w:lineRule="auto"/>
        <w:contextualSpacing/>
        <w:rPr>
          <w:rFonts w:eastAsiaTheme="minorHAnsi"/>
          <w:sz w:val="26"/>
          <w:szCs w:val="26"/>
        </w:rPr>
      </w:pPr>
    </w:p>
    <w:p w14:paraId="66FC0935" w14:textId="77777777" w:rsidR="00E919D2" w:rsidRPr="00E9174E" w:rsidRDefault="00E919D2" w:rsidP="00E9174E">
      <w:pPr>
        <w:widowControl/>
        <w:spacing w:line="360" w:lineRule="auto"/>
        <w:ind w:firstLine="720"/>
        <w:contextualSpacing/>
        <w:rPr>
          <w:rFonts w:eastAsiaTheme="minorHAnsi"/>
          <w:sz w:val="26"/>
          <w:szCs w:val="26"/>
        </w:rPr>
      </w:pPr>
      <w:r w:rsidRPr="00E9174E">
        <w:rPr>
          <w:rFonts w:eastAsiaTheme="minorHAnsi"/>
          <w:sz w:val="26"/>
          <w:szCs w:val="26"/>
        </w:rPr>
        <w:t>Columbia determined the CAPM cost of equity as follows:</w:t>
      </w:r>
    </w:p>
    <w:p w14:paraId="6DFA2D3D" w14:textId="77777777" w:rsidR="00E919D2" w:rsidRPr="00E9174E" w:rsidRDefault="00E919D2" w:rsidP="00E9174E">
      <w:pPr>
        <w:widowControl/>
        <w:spacing w:line="360" w:lineRule="auto"/>
        <w:ind w:firstLine="720"/>
        <w:contextualSpacing/>
        <w:rPr>
          <w:rFonts w:eastAsiaTheme="minorHAnsi"/>
          <w:sz w:val="26"/>
          <w:szCs w:val="26"/>
        </w:rPr>
      </w:pPr>
      <w:r w:rsidRPr="00E9174E">
        <w:rPr>
          <w:rFonts w:eastAsiaTheme="minorHAnsi"/>
          <w:sz w:val="26"/>
          <w:szCs w:val="26"/>
        </w:rPr>
        <w:tab/>
      </w:r>
    </w:p>
    <w:tbl>
      <w:tblPr>
        <w:tblW w:w="9360" w:type="dxa"/>
        <w:jc w:val="center"/>
        <w:tblLook w:val="04A0" w:firstRow="1" w:lastRow="0" w:firstColumn="1" w:lastColumn="0" w:noHBand="0" w:noVBand="1"/>
      </w:tblPr>
      <w:tblGrid>
        <w:gridCol w:w="1920"/>
        <w:gridCol w:w="1500"/>
        <w:gridCol w:w="1350"/>
        <w:gridCol w:w="1530"/>
        <w:gridCol w:w="900"/>
        <w:gridCol w:w="2160"/>
      </w:tblGrid>
      <w:tr w:rsidR="00E919D2" w:rsidRPr="00E9174E" w14:paraId="45A2ED5E" w14:textId="77777777" w:rsidTr="00CC66FD">
        <w:trPr>
          <w:trHeight w:val="300"/>
          <w:jc w:val="center"/>
        </w:trPr>
        <w:tc>
          <w:tcPr>
            <w:tcW w:w="1920" w:type="dxa"/>
            <w:tcBorders>
              <w:top w:val="nil"/>
              <w:left w:val="nil"/>
              <w:bottom w:val="nil"/>
              <w:right w:val="nil"/>
            </w:tcBorders>
            <w:shd w:val="clear" w:color="auto" w:fill="auto"/>
            <w:noWrap/>
            <w:vAlign w:val="bottom"/>
            <w:hideMark/>
          </w:tcPr>
          <w:p w14:paraId="31A66816" w14:textId="77777777" w:rsidR="00E919D2" w:rsidRPr="00E9174E" w:rsidRDefault="00E919D2" w:rsidP="00E9174E">
            <w:pPr>
              <w:keepNext/>
              <w:keepLines/>
              <w:widowControl/>
              <w:contextualSpacing/>
              <w:rPr>
                <w:color w:val="000000"/>
                <w:sz w:val="26"/>
                <w:szCs w:val="26"/>
              </w:rPr>
            </w:pPr>
            <w:r w:rsidRPr="00E9174E">
              <w:rPr>
                <w:color w:val="000000"/>
                <w:sz w:val="26"/>
                <w:szCs w:val="26"/>
              </w:rPr>
              <w:t xml:space="preserve">                      </w:t>
            </w:r>
          </w:p>
        </w:tc>
        <w:tc>
          <w:tcPr>
            <w:tcW w:w="1500" w:type="dxa"/>
            <w:tcBorders>
              <w:top w:val="nil"/>
              <w:left w:val="nil"/>
              <w:bottom w:val="nil"/>
              <w:right w:val="nil"/>
            </w:tcBorders>
            <w:shd w:val="clear" w:color="auto" w:fill="auto"/>
            <w:noWrap/>
            <w:hideMark/>
          </w:tcPr>
          <w:p w14:paraId="57F3CF42" w14:textId="77777777" w:rsidR="00E919D2" w:rsidRPr="00E9174E" w:rsidRDefault="00E919D2" w:rsidP="00E9174E">
            <w:pPr>
              <w:keepNext/>
              <w:keepLines/>
              <w:widowControl/>
              <w:contextualSpacing/>
              <w:jc w:val="right"/>
              <w:rPr>
                <w:color w:val="000000"/>
                <w:sz w:val="26"/>
                <w:szCs w:val="26"/>
              </w:rPr>
            </w:pPr>
            <w:r w:rsidRPr="00E9174E">
              <w:rPr>
                <w:rFonts w:eastAsiaTheme="minorHAnsi"/>
                <w:sz w:val="26"/>
                <w:szCs w:val="26"/>
              </w:rPr>
              <w:t>R</w:t>
            </w:r>
            <w:r w:rsidRPr="00E9174E">
              <w:rPr>
                <w:rFonts w:eastAsiaTheme="minorHAnsi"/>
                <w:sz w:val="26"/>
                <w:szCs w:val="26"/>
                <w:vertAlign w:val="subscript"/>
              </w:rPr>
              <w:t>f</w:t>
            </w:r>
            <w:r w:rsidRPr="00E9174E">
              <w:rPr>
                <w:color w:val="000000"/>
                <w:sz w:val="26"/>
                <w:szCs w:val="26"/>
              </w:rPr>
              <w:t xml:space="preserve"> +</w:t>
            </w:r>
          </w:p>
        </w:tc>
        <w:tc>
          <w:tcPr>
            <w:tcW w:w="1350" w:type="dxa"/>
            <w:tcBorders>
              <w:top w:val="nil"/>
              <w:left w:val="nil"/>
              <w:bottom w:val="nil"/>
              <w:right w:val="nil"/>
            </w:tcBorders>
            <w:shd w:val="clear" w:color="auto" w:fill="auto"/>
            <w:noWrap/>
            <w:hideMark/>
          </w:tcPr>
          <w:p w14:paraId="3F630AD1" w14:textId="77777777" w:rsidR="00E919D2" w:rsidRPr="00E9174E" w:rsidRDefault="00E919D2" w:rsidP="00E9174E">
            <w:pPr>
              <w:keepNext/>
              <w:keepLines/>
              <w:widowControl/>
              <w:contextualSpacing/>
              <w:jc w:val="right"/>
              <w:rPr>
                <w:color w:val="000000"/>
                <w:sz w:val="26"/>
                <w:szCs w:val="26"/>
              </w:rPr>
            </w:pPr>
            <w:r w:rsidRPr="00E9174E">
              <w:rPr>
                <w:rFonts w:eastAsiaTheme="minorHAnsi"/>
                <w:sz w:val="26"/>
                <w:szCs w:val="26"/>
              </w:rPr>
              <w:sym w:font="Symbol" w:char="F062"/>
            </w:r>
            <w:r w:rsidRPr="00E9174E">
              <w:rPr>
                <w:color w:val="000000"/>
                <w:sz w:val="26"/>
                <w:szCs w:val="26"/>
              </w:rPr>
              <w:t xml:space="preserve"> +</w:t>
            </w:r>
          </w:p>
        </w:tc>
        <w:tc>
          <w:tcPr>
            <w:tcW w:w="1530" w:type="dxa"/>
            <w:tcBorders>
              <w:top w:val="nil"/>
              <w:left w:val="nil"/>
              <w:bottom w:val="nil"/>
              <w:right w:val="nil"/>
            </w:tcBorders>
            <w:shd w:val="clear" w:color="auto" w:fill="auto"/>
            <w:noWrap/>
            <w:hideMark/>
          </w:tcPr>
          <w:p w14:paraId="55A2C6B8" w14:textId="77777777" w:rsidR="00E919D2" w:rsidRPr="00E9174E" w:rsidRDefault="00E919D2" w:rsidP="00E9174E">
            <w:pPr>
              <w:keepNext/>
              <w:keepLines/>
              <w:widowControl/>
              <w:contextualSpacing/>
              <w:jc w:val="right"/>
              <w:rPr>
                <w:color w:val="000000"/>
                <w:sz w:val="26"/>
                <w:szCs w:val="26"/>
              </w:rPr>
            </w:pPr>
            <w:r w:rsidRPr="00E9174E">
              <w:rPr>
                <w:rFonts w:eastAsiaTheme="minorHAnsi"/>
                <w:sz w:val="26"/>
                <w:szCs w:val="26"/>
              </w:rPr>
              <w:t>(R</w:t>
            </w:r>
            <w:r w:rsidRPr="00E9174E">
              <w:rPr>
                <w:rFonts w:eastAsiaTheme="minorHAnsi"/>
                <w:sz w:val="26"/>
                <w:szCs w:val="26"/>
                <w:vertAlign w:val="subscript"/>
              </w:rPr>
              <w:t>m</w:t>
            </w:r>
            <w:r w:rsidRPr="00E9174E">
              <w:rPr>
                <w:rFonts w:eastAsiaTheme="minorHAnsi"/>
                <w:sz w:val="26"/>
                <w:szCs w:val="26"/>
              </w:rPr>
              <w:t xml:space="preserve"> – R</w:t>
            </w:r>
            <w:r w:rsidRPr="00E9174E">
              <w:rPr>
                <w:rFonts w:eastAsiaTheme="minorHAnsi"/>
                <w:sz w:val="26"/>
                <w:szCs w:val="26"/>
                <w:vertAlign w:val="subscript"/>
              </w:rPr>
              <w:t>f</w:t>
            </w:r>
            <w:r w:rsidRPr="00E9174E">
              <w:rPr>
                <w:rFonts w:eastAsiaTheme="minorHAnsi"/>
                <w:sz w:val="26"/>
                <w:szCs w:val="26"/>
              </w:rPr>
              <w:t>)+</w:t>
            </w:r>
          </w:p>
        </w:tc>
        <w:tc>
          <w:tcPr>
            <w:tcW w:w="1170" w:type="dxa"/>
            <w:tcBorders>
              <w:top w:val="nil"/>
              <w:left w:val="nil"/>
              <w:bottom w:val="nil"/>
              <w:right w:val="nil"/>
            </w:tcBorders>
          </w:tcPr>
          <w:p w14:paraId="60AE7608" w14:textId="77777777" w:rsidR="00E919D2" w:rsidRPr="00E9174E" w:rsidRDefault="00E919D2" w:rsidP="00E9174E">
            <w:pPr>
              <w:keepNext/>
              <w:keepLines/>
              <w:widowControl/>
              <w:contextualSpacing/>
              <w:jc w:val="right"/>
              <w:rPr>
                <w:color w:val="000000"/>
                <w:sz w:val="26"/>
                <w:szCs w:val="26"/>
              </w:rPr>
            </w:pPr>
            <w:r w:rsidRPr="00E9174E">
              <w:rPr>
                <w:color w:val="000000"/>
                <w:sz w:val="26"/>
                <w:szCs w:val="26"/>
              </w:rPr>
              <w:t>Size=</w:t>
            </w:r>
          </w:p>
        </w:tc>
        <w:tc>
          <w:tcPr>
            <w:tcW w:w="2160" w:type="dxa"/>
            <w:tcBorders>
              <w:top w:val="nil"/>
              <w:left w:val="nil"/>
              <w:bottom w:val="nil"/>
              <w:right w:val="nil"/>
            </w:tcBorders>
            <w:shd w:val="clear" w:color="auto" w:fill="auto"/>
            <w:noWrap/>
            <w:hideMark/>
          </w:tcPr>
          <w:p w14:paraId="1FF2EE0B" w14:textId="77777777" w:rsidR="00E919D2" w:rsidRPr="00E9174E" w:rsidRDefault="00E919D2" w:rsidP="00E9174E">
            <w:pPr>
              <w:keepNext/>
              <w:keepLines/>
              <w:widowControl/>
              <w:contextualSpacing/>
              <w:jc w:val="right"/>
              <w:rPr>
                <w:color w:val="000000"/>
                <w:sz w:val="26"/>
                <w:szCs w:val="26"/>
              </w:rPr>
            </w:pPr>
            <w:r w:rsidRPr="00E9174E">
              <w:rPr>
                <w:color w:val="000000"/>
                <w:sz w:val="26"/>
                <w:szCs w:val="26"/>
              </w:rPr>
              <w:t>CAPM Cost Rate</w:t>
            </w:r>
          </w:p>
        </w:tc>
      </w:tr>
      <w:tr w:rsidR="00E919D2" w:rsidRPr="00E9174E" w14:paraId="69400DA6" w14:textId="77777777" w:rsidTr="00CC66FD">
        <w:trPr>
          <w:trHeight w:val="300"/>
          <w:jc w:val="center"/>
        </w:trPr>
        <w:tc>
          <w:tcPr>
            <w:tcW w:w="1920" w:type="dxa"/>
            <w:tcBorders>
              <w:top w:val="nil"/>
              <w:left w:val="nil"/>
              <w:bottom w:val="nil"/>
              <w:right w:val="nil"/>
            </w:tcBorders>
            <w:shd w:val="clear" w:color="auto" w:fill="auto"/>
            <w:noWrap/>
            <w:vAlign w:val="bottom"/>
          </w:tcPr>
          <w:p w14:paraId="16791308" w14:textId="77777777" w:rsidR="00E919D2" w:rsidRPr="00E9174E" w:rsidRDefault="00E919D2" w:rsidP="00E9174E">
            <w:pPr>
              <w:keepNext/>
              <w:keepLines/>
              <w:widowControl/>
              <w:contextualSpacing/>
              <w:rPr>
                <w:color w:val="000000"/>
                <w:sz w:val="26"/>
                <w:szCs w:val="26"/>
              </w:rPr>
            </w:pPr>
          </w:p>
        </w:tc>
        <w:tc>
          <w:tcPr>
            <w:tcW w:w="1500" w:type="dxa"/>
            <w:tcBorders>
              <w:top w:val="nil"/>
              <w:left w:val="nil"/>
              <w:bottom w:val="nil"/>
              <w:right w:val="nil"/>
            </w:tcBorders>
            <w:shd w:val="clear" w:color="auto" w:fill="auto"/>
            <w:noWrap/>
          </w:tcPr>
          <w:p w14:paraId="3DDBD241" w14:textId="77777777" w:rsidR="00E919D2" w:rsidRPr="00E9174E" w:rsidRDefault="00E919D2" w:rsidP="00E9174E">
            <w:pPr>
              <w:keepNext/>
              <w:keepLines/>
              <w:widowControl/>
              <w:contextualSpacing/>
              <w:jc w:val="right"/>
              <w:rPr>
                <w:color w:val="000000"/>
                <w:sz w:val="26"/>
                <w:szCs w:val="26"/>
              </w:rPr>
            </w:pPr>
          </w:p>
        </w:tc>
        <w:tc>
          <w:tcPr>
            <w:tcW w:w="1350" w:type="dxa"/>
            <w:tcBorders>
              <w:top w:val="nil"/>
              <w:left w:val="nil"/>
              <w:bottom w:val="nil"/>
              <w:right w:val="nil"/>
            </w:tcBorders>
            <w:shd w:val="clear" w:color="auto" w:fill="auto"/>
            <w:noWrap/>
          </w:tcPr>
          <w:p w14:paraId="351DD1DE" w14:textId="77777777" w:rsidR="00E919D2" w:rsidRPr="00E9174E" w:rsidRDefault="00E919D2" w:rsidP="00E9174E">
            <w:pPr>
              <w:keepNext/>
              <w:keepLines/>
              <w:widowControl/>
              <w:contextualSpacing/>
              <w:jc w:val="right"/>
              <w:rPr>
                <w:color w:val="000000"/>
                <w:sz w:val="26"/>
                <w:szCs w:val="26"/>
              </w:rPr>
            </w:pPr>
          </w:p>
        </w:tc>
        <w:tc>
          <w:tcPr>
            <w:tcW w:w="1530" w:type="dxa"/>
            <w:tcBorders>
              <w:top w:val="nil"/>
              <w:left w:val="nil"/>
              <w:bottom w:val="nil"/>
              <w:right w:val="nil"/>
            </w:tcBorders>
            <w:shd w:val="clear" w:color="auto" w:fill="auto"/>
            <w:noWrap/>
          </w:tcPr>
          <w:p w14:paraId="54090BB6" w14:textId="77777777" w:rsidR="00E919D2" w:rsidRPr="00E9174E" w:rsidRDefault="00E919D2" w:rsidP="00E9174E">
            <w:pPr>
              <w:keepNext/>
              <w:keepLines/>
              <w:widowControl/>
              <w:contextualSpacing/>
              <w:jc w:val="right"/>
              <w:rPr>
                <w:color w:val="000000"/>
                <w:sz w:val="26"/>
                <w:szCs w:val="26"/>
              </w:rPr>
            </w:pPr>
          </w:p>
        </w:tc>
        <w:tc>
          <w:tcPr>
            <w:tcW w:w="1170" w:type="dxa"/>
            <w:tcBorders>
              <w:top w:val="nil"/>
              <w:left w:val="nil"/>
              <w:bottom w:val="nil"/>
              <w:right w:val="nil"/>
            </w:tcBorders>
          </w:tcPr>
          <w:p w14:paraId="7A132BB1" w14:textId="77777777" w:rsidR="00E919D2" w:rsidRPr="00E9174E" w:rsidRDefault="00E919D2" w:rsidP="00E9174E">
            <w:pPr>
              <w:keepNext/>
              <w:keepLines/>
              <w:widowControl/>
              <w:contextualSpacing/>
              <w:jc w:val="right"/>
              <w:rPr>
                <w:color w:val="000000"/>
                <w:sz w:val="26"/>
                <w:szCs w:val="26"/>
              </w:rPr>
            </w:pPr>
          </w:p>
        </w:tc>
        <w:tc>
          <w:tcPr>
            <w:tcW w:w="2160" w:type="dxa"/>
            <w:tcBorders>
              <w:top w:val="nil"/>
              <w:left w:val="nil"/>
              <w:bottom w:val="nil"/>
              <w:right w:val="nil"/>
            </w:tcBorders>
            <w:shd w:val="clear" w:color="auto" w:fill="auto"/>
            <w:noWrap/>
          </w:tcPr>
          <w:p w14:paraId="4C8018B1" w14:textId="77777777" w:rsidR="00E919D2" w:rsidRPr="00E9174E" w:rsidRDefault="00E919D2" w:rsidP="00E9174E">
            <w:pPr>
              <w:keepNext/>
              <w:keepLines/>
              <w:widowControl/>
              <w:contextualSpacing/>
              <w:jc w:val="right"/>
              <w:rPr>
                <w:color w:val="000000"/>
                <w:sz w:val="26"/>
                <w:szCs w:val="26"/>
              </w:rPr>
            </w:pPr>
          </w:p>
        </w:tc>
      </w:tr>
      <w:tr w:rsidR="00E919D2" w:rsidRPr="00E9174E" w14:paraId="0D12B321" w14:textId="77777777" w:rsidTr="00CC66FD">
        <w:trPr>
          <w:trHeight w:val="300"/>
          <w:jc w:val="center"/>
        </w:trPr>
        <w:tc>
          <w:tcPr>
            <w:tcW w:w="1920" w:type="dxa"/>
            <w:tcBorders>
              <w:top w:val="nil"/>
              <w:left w:val="nil"/>
              <w:bottom w:val="nil"/>
              <w:right w:val="nil"/>
            </w:tcBorders>
            <w:shd w:val="clear" w:color="auto" w:fill="auto"/>
            <w:noWrap/>
            <w:vAlign w:val="bottom"/>
            <w:hideMark/>
          </w:tcPr>
          <w:p w14:paraId="595880DB" w14:textId="77777777" w:rsidR="00E919D2" w:rsidRPr="00E9174E" w:rsidRDefault="00E919D2" w:rsidP="00E9174E">
            <w:pPr>
              <w:keepNext/>
              <w:keepLines/>
              <w:widowControl/>
              <w:contextualSpacing/>
              <w:rPr>
                <w:color w:val="000000"/>
                <w:sz w:val="26"/>
                <w:szCs w:val="26"/>
              </w:rPr>
            </w:pPr>
            <w:r w:rsidRPr="00E9174E">
              <w:rPr>
                <w:color w:val="000000"/>
                <w:sz w:val="26"/>
                <w:szCs w:val="26"/>
              </w:rPr>
              <w:t>Original</w:t>
            </w:r>
          </w:p>
        </w:tc>
        <w:tc>
          <w:tcPr>
            <w:tcW w:w="1500" w:type="dxa"/>
            <w:tcBorders>
              <w:top w:val="nil"/>
              <w:left w:val="nil"/>
              <w:bottom w:val="nil"/>
              <w:right w:val="nil"/>
            </w:tcBorders>
            <w:shd w:val="clear" w:color="auto" w:fill="auto"/>
            <w:noWrap/>
            <w:vAlign w:val="bottom"/>
            <w:hideMark/>
          </w:tcPr>
          <w:p w14:paraId="33542C73" w14:textId="77777777" w:rsidR="00E919D2" w:rsidRPr="00E9174E" w:rsidRDefault="00E919D2" w:rsidP="00E9174E">
            <w:pPr>
              <w:keepNext/>
              <w:keepLines/>
              <w:widowControl/>
              <w:contextualSpacing/>
              <w:jc w:val="right"/>
              <w:rPr>
                <w:color w:val="000000"/>
                <w:sz w:val="26"/>
                <w:szCs w:val="26"/>
              </w:rPr>
            </w:pPr>
            <w:r w:rsidRPr="00E9174E">
              <w:rPr>
                <w:color w:val="000000"/>
                <w:sz w:val="26"/>
                <w:szCs w:val="26"/>
              </w:rPr>
              <w:t>2.75%</w:t>
            </w:r>
          </w:p>
        </w:tc>
        <w:tc>
          <w:tcPr>
            <w:tcW w:w="1350" w:type="dxa"/>
            <w:tcBorders>
              <w:top w:val="nil"/>
              <w:left w:val="nil"/>
              <w:bottom w:val="nil"/>
              <w:right w:val="nil"/>
            </w:tcBorders>
            <w:shd w:val="clear" w:color="auto" w:fill="auto"/>
            <w:noWrap/>
            <w:vAlign w:val="bottom"/>
            <w:hideMark/>
          </w:tcPr>
          <w:p w14:paraId="3F39F7EB" w14:textId="77777777" w:rsidR="00E919D2" w:rsidRPr="00E9174E" w:rsidRDefault="00E919D2" w:rsidP="00E9174E">
            <w:pPr>
              <w:keepNext/>
              <w:keepLines/>
              <w:widowControl/>
              <w:contextualSpacing/>
              <w:jc w:val="right"/>
              <w:rPr>
                <w:color w:val="000000"/>
                <w:sz w:val="26"/>
                <w:szCs w:val="26"/>
              </w:rPr>
            </w:pPr>
            <w:r w:rsidRPr="00E9174E">
              <w:rPr>
                <w:color w:val="000000"/>
                <w:sz w:val="26"/>
                <w:szCs w:val="26"/>
              </w:rPr>
              <w:t>0.83</w:t>
            </w:r>
          </w:p>
        </w:tc>
        <w:tc>
          <w:tcPr>
            <w:tcW w:w="1530" w:type="dxa"/>
            <w:tcBorders>
              <w:top w:val="nil"/>
              <w:left w:val="nil"/>
              <w:bottom w:val="nil"/>
              <w:right w:val="nil"/>
            </w:tcBorders>
            <w:shd w:val="clear" w:color="auto" w:fill="auto"/>
            <w:noWrap/>
            <w:vAlign w:val="bottom"/>
            <w:hideMark/>
          </w:tcPr>
          <w:p w14:paraId="2DE8B86E" w14:textId="77777777" w:rsidR="00E919D2" w:rsidRPr="00E9174E" w:rsidRDefault="00E919D2" w:rsidP="00E9174E">
            <w:pPr>
              <w:keepNext/>
              <w:keepLines/>
              <w:widowControl/>
              <w:contextualSpacing/>
              <w:jc w:val="right"/>
              <w:rPr>
                <w:color w:val="000000"/>
                <w:sz w:val="26"/>
                <w:szCs w:val="26"/>
              </w:rPr>
            </w:pPr>
            <w:r w:rsidRPr="00E9174E">
              <w:rPr>
                <w:color w:val="000000"/>
                <w:sz w:val="26"/>
                <w:szCs w:val="26"/>
              </w:rPr>
              <w:t>7.745%</w:t>
            </w:r>
          </w:p>
        </w:tc>
        <w:tc>
          <w:tcPr>
            <w:tcW w:w="1170" w:type="dxa"/>
            <w:tcBorders>
              <w:top w:val="nil"/>
              <w:left w:val="nil"/>
              <w:bottom w:val="nil"/>
              <w:right w:val="nil"/>
            </w:tcBorders>
          </w:tcPr>
          <w:p w14:paraId="53F8276E" w14:textId="77777777" w:rsidR="00E919D2" w:rsidRPr="00E9174E" w:rsidRDefault="00E919D2" w:rsidP="00E9174E">
            <w:pPr>
              <w:keepNext/>
              <w:keepLines/>
              <w:widowControl/>
              <w:contextualSpacing/>
              <w:jc w:val="right"/>
              <w:rPr>
                <w:bCs/>
                <w:color w:val="000000"/>
                <w:sz w:val="26"/>
                <w:szCs w:val="26"/>
              </w:rPr>
            </w:pPr>
            <w:r w:rsidRPr="00E9174E">
              <w:rPr>
                <w:bCs/>
                <w:color w:val="000000"/>
                <w:sz w:val="26"/>
                <w:szCs w:val="26"/>
              </w:rPr>
              <w:t>1.02%</w:t>
            </w:r>
          </w:p>
        </w:tc>
        <w:tc>
          <w:tcPr>
            <w:tcW w:w="2160" w:type="dxa"/>
            <w:tcBorders>
              <w:top w:val="nil"/>
              <w:left w:val="nil"/>
              <w:bottom w:val="nil"/>
              <w:right w:val="nil"/>
            </w:tcBorders>
            <w:shd w:val="clear" w:color="auto" w:fill="auto"/>
            <w:noWrap/>
            <w:vAlign w:val="bottom"/>
            <w:hideMark/>
          </w:tcPr>
          <w:p w14:paraId="720D8E22" w14:textId="77777777" w:rsidR="00E919D2" w:rsidRPr="00E9174E" w:rsidRDefault="00E919D2" w:rsidP="00E9174E">
            <w:pPr>
              <w:keepNext/>
              <w:keepLines/>
              <w:widowControl/>
              <w:contextualSpacing/>
              <w:jc w:val="right"/>
              <w:rPr>
                <w:b/>
                <w:color w:val="000000"/>
                <w:sz w:val="26"/>
                <w:szCs w:val="26"/>
              </w:rPr>
            </w:pPr>
            <w:r w:rsidRPr="00E9174E">
              <w:rPr>
                <w:b/>
                <w:color w:val="000000"/>
                <w:sz w:val="26"/>
                <w:szCs w:val="26"/>
              </w:rPr>
              <w:t>10.19%</w:t>
            </w:r>
          </w:p>
        </w:tc>
      </w:tr>
      <w:tr w:rsidR="00E919D2" w:rsidRPr="00E9174E" w14:paraId="1A3A6C89" w14:textId="77777777" w:rsidTr="00CC66FD">
        <w:trPr>
          <w:trHeight w:val="300"/>
          <w:jc w:val="center"/>
        </w:trPr>
        <w:tc>
          <w:tcPr>
            <w:tcW w:w="1920" w:type="dxa"/>
            <w:tcBorders>
              <w:top w:val="nil"/>
              <w:left w:val="nil"/>
              <w:bottom w:val="nil"/>
              <w:right w:val="nil"/>
            </w:tcBorders>
            <w:shd w:val="clear" w:color="auto" w:fill="auto"/>
            <w:noWrap/>
            <w:vAlign w:val="bottom"/>
          </w:tcPr>
          <w:p w14:paraId="216EA75F" w14:textId="77777777" w:rsidR="00E919D2" w:rsidRPr="00E9174E" w:rsidRDefault="00E919D2" w:rsidP="00E9174E">
            <w:pPr>
              <w:keepNext/>
              <w:keepLines/>
              <w:widowControl/>
              <w:contextualSpacing/>
              <w:rPr>
                <w:color w:val="000000"/>
                <w:sz w:val="26"/>
                <w:szCs w:val="26"/>
              </w:rPr>
            </w:pPr>
          </w:p>
        </w:tc>
        <w:tc>
          <w:tcPr>
            <w:tcW w:w="1500" w:type="dxa"/>
            <w:tcBorders>
              <w:top w:val="nil"/>
              <w:left w:val="nil"/>
              <w:bottom w:val="nil"/>
              <w:right w:val="nil"/>
            </w:tcBorders>
            <w:shd w:val="clear" w:color="auto" w:fill="auto"/>
            <w:noWrap/>
            <w:vAlign w:val="bottom"/>
          </w:tcPr>
          <w:p w14:paraId="2D17ABB3" w14:textId="77777777" w:rsidR="00E919D2" w:rsidRPr="00E9174E" w:rsidRDefault="00E919D2" w:rsidP="00E9174E">
            <w:pPr>
              <w:keepNext/>
              <w:keepLines/>
              <w:widowControl/>
              <w:contextualSpacing/>
              <w:jc w:val="right"/>
              <w:rPr>
                <w:color w:val="000000"/>
                <w:sz w:val="26"/>
                <w:szCs w:val="26"/>
              </w:rPr>
            </w:pPr>
          </w:p>
        </w:tc>
        <w:tc>
          <w:tcPr>
            <w:tcW w:w="1350" w:type="dxa"/>
            <w:tcBorders>
              <w:top w:val="nil"/>
              <w:left w:val="nil"/>
              <w:bottom w:val="nil"/>
              <w:right w:val="nil"/>
            </w:tcBorders>
            <w:shd w:val="clear" w:color="auto" w:fill="auto"/>
            <w:noWrap/>
            <w:vAlign w:val="bottom"/>
          </w:tcPr>
          <w:p w14:paraId="0022B0BF" w14:textId="77777777" w:rsidR="00E919D2" w:rsidRPr="00E9174E" w:rsidRDefault="00E919D2" w:rsidP="00E9174E">
            <w:pPr>
              <w:keepNext/>
              <w:keepLines/>
              <w:widowControl/>
              <w:contextualSpacing/>
              <w:jc w:val="right"/>
              <w:rPr>
                <w:color w:val="000000"/>
                <w:sz w:val="26"/>
                <w:szCs w:val="26"/>
              </w:rPr>
            </w:pPr>
          </w:p>
        </w:tc>
        <w:tc>
          <w:tcPr>
            <w:tcW w:w="1530" w:type="dxa"/>
            <w:tcBorders>
              <w:top w:val="nil"/>
              <w:left w:val="nil"/>
              <w:bottom w:val="nil"/>
              <w:right w:val="nil"/>
            </w:tcBorders>
            <w:shd w:val="clear" w:color="auto" w:fill="auto"/>
            <w:noWrap/>
            <w:vAlign w:val="bottom"/>
          </w:tcPr>
          <w:p w14:paraId="4DE34423" w14:textId="77777777" w:rsidR="00E919D2" w:rsidRPr="00E9174E" w:rsidRDefault="00E919D2" w:rsidP="00E9174E">
            <w:pPr>
              <w:keepNext/>
              <w:keepLines/>
              <w:widowControl/>
              <w:contextualSpacing/>
              <w:jc w:val="right"/>
              <w:rPr>
                <w:color w:val="000000"/>
                <w:sz w:val="26"/>
                <w:szCs w:val="26"/>
              </w:rPr>
            </w:pPr>
          </w:p>
        </w:tc>
        <w:tc>
          <w:tcPr>
            <w:tcW w:w="1170" w:type="dxa"/>
            <w:tcBorders>
              <w:top w:val="nil"/>
              <w:left w:val="nil"/>
              <w:bottom w:val="nil"/>
              <w:right w:val="nil"/>
            </w:tcBorders>
          </w:tcPr>
          <w:p w14:paraId="22B9C7C3" w14:textId="77777777" w:rsidR="00E919D2" w:rsidRPr="00E9174E" w:rsidRDefault="00E919D2" w:rsidP="00E9174E">
            <w:pPr>
              <w:keepNext/>
              <w:keepLines/>
              <w:widowControl/>
              <w:contextualSpacing/>
              <w:jc w:val="right"/>
              <w:rPr>
                <w:bCs/>
                <w:color w:val="000000"/>
                <w:sz w:val="26"/>
                <w:szCs w:val="26"/>
              </w:rPr>
            </w:pPr>
          </w:p>
        </w:tc>
        <w:tc>
          <w:tcPr>
            <w:tcW w:w="2160" w:type="dxa"/>
            <w:tcBorders>
              <w:top w:val="nil"/>
              <w:left w:val="nil"/>
              <w:bottom w:val="nil"/>
              <w:right w:val="nil"/>
            </w:tcBorders>
            <w:shd w:val="clear" w:color="auto" w:fill="auto"/>
            <w:noWrap/>
            <w:vAlign w:val="bottom"/>
          </w:tcPr>
          <w:p w14:paraId="4C314BEC" w14:textId="77777777" w:rsidR="00E919D2" w:rsidRPr="00E9174E" w:rsidRDefault="00E919D2" w:rsidP="00E9174E">
            <w:pPr>
              <w:keepNext/>
              <w:keepLines/>
              <w:widowControl/>
              <w:contextualSpacing/>
              <w:jc w:val="right"/>
              <w:rPr>
                <w:b/>
                <w:color w:val="000000"/>
                <w:sz w:val="26"/>
                <w:szCs w:val="26"/>
              </w:rPr>
            </w:pPr>
          </w:p>
        </w:tc>
      </w:tr>
      <w:tr w:rsidR="00E919D2" w:rsidRPr="00E9174E" w14:paraId="03E80A89" w14:textId="77777777" w:rsidTr="00CC66FD">
        <w:trPr>
          <w:trHeight w:val="300"/>
          <w:jc w:val="center"/>
        </w:trPr>
        <w:tc>
          <w:tcPr>
            <w:tcW w:w="1920" w:type="dxa"/>
            <w:tcBorders>
              <w:top w:val="nil"/>
              <w:left w:val="nil"/>
              <w:bottom w:val="nil"/>
              <w:right w:val="nil"/>
            </w:tcBorders>
            <w:shd w:val="clear" w:color="auto" w:fill="auto"/>
            <w:noWrap/>
            <w:vAlign w:val="bottom"/>
          </w:tcPr>
          <w:p w14:paraId="4E628867" w14:textId="77777777" w:rsidR="00E919D2" w:rsidRPr="00E9174E" w:rsidRDefault="00E919D2" w:rsidP="00E9174E">
            <w:pPr>
              <w:keepNext/>
              <w:keepLines/>
              <w:widowControl/>
              <w:contextualSpacing/>
              <w:rPr>
                <w:color w:val="000000"/>
                <w:sz w:val="26"/>
                <w:szCs w:val="26"/>
              </w:rPr>
            </w:pPr>
            <w:r w:rsidRPr="00E9174E">
              <w:rPr>
                <w:color w:val="000000"/>
                <w:sz w:val="26"/>
                <w:szCs w:val="26"/>
              </w:rPr>
              <w:t>Updated</w:t>
            </w:r>
          </w:p>
        </w:tc>
        <w:tc>
          <w:tcPr>
            <w:tcW w:w="1500" w:type="dxa"/>
            <w:tcBorders>
              <w:top w:val="nil"/>
              <w:left w:val="nil"/>
              <w:bottom w:val="nil"/>
              <w:right w:val="nil"/>
            </w:tcBorders>
            <w:shd w:val="clear" w:color="auto" w:fill="auto"/>
            <w:noWrap/>
            <w:vAlign w:val="bottom"/>
          </w:tcPr>
          <w:p w14:paraId="3517BFF2" w14:textId="77777777" w:rsidR="00E919D2" w:rsidRPr="00E9174E" w:rsidRDefault="00E919D2" w:rsidP="00E9174E">
            <w:pPr>
              <w:keepNext/>
              <w:keepLines/>
              <w:widowControl/>
              <w:contextualSpacing/>
              <w:jc w:val="right"/>
              <w:rPr>
                <w:color w:val="000000"/>
                <w:sz w:val="26"/>
                <w:szCs w:val="26"/>
              </w:rPr>
            </w:pPr>
            <w:r w:rsidRPr="00E9174E">
              <w:rPr>
                <w:color w:val="000000"/>
                <w:sz w:val="26"/>
                <w:szCs w:val="26"/>
              </w:rPr>
              <w:t>1.75%</w:t>
            </w:r>
          </w:p>
        </w:tc>
        <w:tc>
          <w:tcPr>
            <w:tcW w:w="1350" w:type="dxa"/>
            <w:tcBorders>
              <w:top w:val="nil"/>
              <w:left w:val="nil"/>
              <w:bottom w:val="nil"/>
              <w:right w:val="nil"/>
            </w:tcBorders>
            <w:shd w:val="clear" w:color="auto" w:fill="auto"/>
            <w:noWrap/>
            <w:vAlign w:val="bottom"/>
          </w:tcPr>
          <w:p w14:paraId="6B2B694C" w14:textId="77777777" w:rsidR="00E919D2" w:rsidRPr="00E9174E" w:rsidRDefault="00E919D2" w:rsidP="00E9174E">
            <w:pPr>
              <w:keepNext/>
              <w:keepLines/>
              <w:widowControl/>
              <w:contextualSpacing/>
              <w:jc w:val="right"/>
              <w:rPr>
                <w:color w:val="000000"/>
                <w:sz w:val="26"/>
                <w:szCs w:val="26"/>
              </w:rPr>
            </w:pPr>
            <w:r w:rsidRPr="00E9174E">
              <w:rPr>
                <w:color w:val="000000"/>
                <w:sz w:val="26"/>
                <w:szCs w:val="26"/>
              </w:rPr>
              <w:t>1.05</w:t>
            </w:r>
          </w:p>
        </w:tc>
        <w:tc>
          <w:tcPr>
            <w:tcW w:w="1530" w:type="dxa"/>
            <w:tcBorders>
              <w:top w:val="nil"/>
              <w:left w:val="nil"/>
              <w:bottom w:val="nil"/>
              <w:right w:val="nil"/>
            </w:tcBorders>
            <w:shd w:val="clear" w:color="auto" w:fill="auto"/>
            <w:noWrap/>
            <w:vAlign w:val="bottom"/>
          </w:tcPr>
          <w:p w14:paraId="7B738643" w14:textId="77777777" w:rsidR="00E919D2" w:rsidRPr="00E9174E" w:rsidRDefault="00E919D2" w:rsidP="00E9174E">
            <w:pPr>
              <w:keepNext/>
              <w:keepLines/>
              <w:widowControl/>
              <w:contextualSpacing/>
              <w:jc w:val="right"/>
              <w:rPr>
                <w:color w:val="000000"/>
                <w:sz w:val="26"/>
                <w:szCs w:val="26"/>
              </w:rPr>
            </w:pPr>
            <w:r w:rsidRPr="00E9174E">
              <w:rPr>
                <w:color w:val="000000"/>
                <w:sz w:val="26"/>
                <w:szCs w:val="26"/>
              </w:rPr>
              <w:t>9.26%</w:t>
            </w:r>
          </w:p>
        </w:tc>
        <w:tc>
          <w:tcPr>
            <w:tcW w:w="1170" w:type="dxa"/>
            <w:tcBorders>
              <w:top w:val="nil"/>
              <w:left w:val="nil"/>
              <w:bottom w:val="nil"/>
              <w:right w:val="nil"/>
            </w:tcBorders>
          </w:tcPr>
          <w:p w14:paraId="19F2A9B6" w14:textId="77777777" w:rsidR="00E919D2" w:rsidRPr="00E9174E" w:rsidRDefault="00E919D2" w:rsidP="00E9174E">
            <w:pPr>
              <w:keepNext/>
              <w:keepLines/>
              <w:widowControl/>
              <w:contextualSpacing/>
              <w:jc w:val="right"/>
              <w:rPr>
                <w:bCs/>
                <w:color w:val="000000"/>
                <w:sz w:val="26"/>
                <w:szCs w:val="26"/>
              </w:rPr>
            </w:pPr>
            <w:r w:rsidRPr="00E9174E">
              <w:rPr>
                <w:bCs/>
                <w:color w:val="000000"/>
                <w:sz w:val="26"/>
                <w:szCs w:val="26"/>
              </w:rPr>
              <w:t>1.02%</w:t>
            </w:r>
          </w:p>
        </w:tc>
        <w:tc>
          <w:tcPr>
            <w:tcW w:w="2160" w:type="dxa"/>
            <w:tcBorders>
              <w:top w:val="nil"/>
              <w:left w:val="nil"/>
              <w:bottom w:val="nil"/>
              <w:right w:val="nil"/>
            </w:tcBorders>
            <w:shd w:val="clear" w:color="auto" w:fill="auto"/>
            <w:noWrap/>
            <w:vAlign w:val="bottom"/>
          </w:tcPr>
          <w:p w14:paraId="0D6557DA" w14:textId="77777777" w:rsidR="00E919D2" w:rsidRPr="00E9174E" w:rsidRDefault="00E919D2" w:rsidP="00E9174E">
            <w:pPr>
              <w:keepNext/>
              <w:keepLines/>
              <w:widowControl/>
              <w:contextualSpacing/>
              <w:jc w:val="right"/>
              <w:rPr>
                <w:b/>
                <w:color w:val="000000"/>
                <w:sz w:val="26"/>
                <w:szCs w:val="26"/>
              </w:rPr>
            </w:pPr>
            <w:r w:rsidRPr="00E9174E">
              <w:rPr>
                <w:b/>
                <w:color w:val="000000"/>
                <w:sz w:val="26"/>
                <w:szCs w:val="26"/>
              </w:rPr>
              <w:t>12.49%</w:t>
            </w:r>
          </w:p>
        </w:tc>
      </w:tr>
    </w:tbl>
    <w:p w14:paraId="77E8D00E" w14:textId="77777777" w:rsidR="00E919D2" w:rsidRPr="00E9174E" w:rsidRDefault="00E919D2" w:rsidP="00E9174E">
      <w:pPr>
        <w:widowControl/>
        <w:spacing w:line="360" w:lineRule="auto"/>
        <w:ind w:firstLine="720"/>
        <w:contextualSpacing/>
        <w:rPr>
          <w:rFonts w:eastAsiaTheme="minorHAnsi"/>
          <w:sz w:val="26"/>
          <w:szCs w:val="26"/>
        </w:rPr>
      </w:pPr>
    </w:p>
    <w:p w14:paraId="190B8C6F" w14:textId="77777777" w:rsidR="00181874" w:rsidRPr="00E9174E" w:rsidRDefault="00181874" w:rsidP="00E9174E">
      <w:pPr>
        <w:widowControl/>
        <w:spacing w:line="360" w:lineRule="auto"/>
        <w:ind w:firstLine="1440"/>
        <w:contextualSpacing/>
        <w:rPr>
          <w:rFonts w:eastAsiaTheme="minorHAnsi"/>
          <w:sz w:val="26"/>
          <w:szCs w:val="26"/>
        </w:rPr>
      </w:pPr>
      <w:r w:rsidRPr="00E9174E">
        <w:rPr>
          <w:rFonts w:eastAsiaTheme="minorHAnsi"/>
          <w:sz w:val="26"/>
          <w:szCs w:val="26"/>
        </w:rPr>
        <w:t>Columbia initially determined the risk-free rate to be 2.75% based on current and forecasted long-term Treasury Bond yields.  In the Company’s update, based on revised projections, the risk-free rate was reduced to 1.75%.  Columbia also calculated a 7.74% premium for the risk/market premium component of the CAPM analysis, based upon the average historical data and forecasted returns.  Columbia updated the risk premium, increasing it to 9.26%.  The Company used a leverage adjusted beta of 0.83, to reflect the financial risk associated with the rate setting capital structure that is measured at book value.  In Columbia’s update, there was an increase in the leverage adjusted beta to 1.05.  Additionally, Columbia included a 1.02% size adjustment to its CAPM analysis.  Therefore, Columbia calculated a CAPM cost of common equity of 12.49% for its gas group.  CG M.B. at 82-84; CG St. 8 at 35-40; CG St. 8-R at 9, 28-29.</w:t>
      </w:r>
    </w:p>
    <w:p w14:paraId="6B173EFC" w14:textId="77777777" w:rsidR="00181874" w:rsidRPr="00E9174E" w:rsidRDefault="00181874" w:rsidP="00E9174E">
      <w:pPr>
        <w:widowControl/>
        <w:spacing w:line="360" w:lineRule="auto"/>
        <w:ind w:firstLine="720"/>
        <w:contextualSpacing/>
        <w:rPr>
          <w:rFonts w:eastAsiaTheme="minorHAnsi"/>
          <w:sz w:val="26"/>
          <w:szCs w:val="26"/>
        </w:rPr>
      </w:pPr>
    </w:p>
    <w:p w14:paraId="75D84061" w14:textId="77777777" w:rsidR="00181874" w:rsidRPr="00E9174E" w:rsidRDefault="00181874" w:rsidP="00E9174E">
      <w:pPr>
        <w:widowControl/>
        <w:spacing w:line="360" w:lineRule="auto"/>
        <w:ind w:firstLine="1440"/>
        <w:contextualSpacing/>
        <w:rPr>
          <w:rFonts w:eastAsiaTheme="minorHAnsi"/>
          <w:sz w:val="26"/>
          <w:szCs w:val="26"/>
        </w:rPr>
      </w:pPr>
      <w:r w:rsidRPr="00E9174E">
        <w:rPr>
          <w:rFonts w:eastAsiaTheme="minorHAnsi"/>
          <w:sz w:val="26"/>
          <w:szCs w:val="26"/>
        </w:rPr>
        <w:t xml:space="preserve">In calculating the CAPM cost of common equity, I&amp;E chose the risk-free rate of return (Rf) of 1.22% from the projected yield on 10-year Treasury bonds as the most stable risk-free measure.  I&amp;E explained that its decision to use 10-year Treasury bonds balanced out issues related to the use of long-term bonds and short-term T-Bills.  I&amp;E used the average of the betas from the Value Line Investment Survey of 0.82. </w:t>
      </w:r>
      <w:r w:rsidRPr="00E9174E">
        <w:rPr>
          <w:rFonts w:eastAsiaTheme="minorHAnsi"/>
          <w:sz w:val="26"/>
          <w:szCs w:val="26"/>
          <w:vertAlign w:val="superscript"/>
        </w:rPr>
        <w:t xml:space="preserve">  </w:t>
      </w:r>
      <w:r w:rsidRPr="00E9174E">
        <w:rPr>
          <w:rFonts w:eastAsiaTheme="minorHAnsi"/>
          <w:sz w:val="26"/>
          <w:szCs w:val="26"/>
        </w:rPr>
        <w:t xml:space="preserve">To arrive at a representative expected return on the overall stock market, I&amp;E stated that it reviewed </w:t>
      </w:r>
      <w:r w:rsidRPr="00E9174E">
        <w:rPr>
          <w:rFonts w:eastAsiaTheme="minorHAnsi"/>
          <w:i/>
          <w:sz w:val="26"/>
          <w:szCs w:val="26"/>
        </w:rPr>
        <w:t>Value Line’s</w:t>
      </w:r>
      <w:r w:rsidRPr="00E9174E">
        <w:rPr>
          <w:rFonts w:eastAsiaTheme="minorHAnsi"/>
          <w:sz w:val="26"/>
          <w:szCs w:val="26"/>
        </w:rPr>
        <w:t xml:space="preserve"> 1700 stocks and the S&amp;P 500.  I&amp;E explained that the result of the overall stock market returns based on its CAPM analysis is 10.35%, which yields a cost </w:t>
      </w:r>
      <w:r w:rsidRPr="00E9174E">
        <w:rPr>
          <w:rFonts w:eastAsiaTheme="minorHAnsi"/>
          <w:sz w:val="26"/>
          <w:szCs w:val="26"/>
        </w:rPr>
        <w:lastRenderedPageBreak/>
        <w:t>of equity result of 8.72%.  According to I&amp;E, its 8.72% CAPM analysis confirms the reasonableness of its proposed 9.86% DCF cost of capital.  I&amp;E M.B. at 63-64; I&amp;E St. 2 at 25-28.</w:t>
      </w:r>
    </w:p>
    <w:p w14:paraId="042ACCBE" w14:textId="77777777" w:rsidR="00181874" w:rsidRPr="00E9174E" w:rsidRDefault="00181874" w:rsidP="00E9174E">
      <w:pPr>
        <w:widowControl/>
        <w:spacing w:line="360" w:lineRule="auto"/>
        <w:ind w:firstLine="1440"/>
        <w:contextualSpacing/>
        <w:rPr>
          <w:rFonts w:eastAsiaTheme="minorHAnsi"/>
          <w:sz w:val="26"/>
          <w:szCs w:val="26"/>
        </w:rPr>
      </w:pPr>
    </w:p>
    <w:p w14:paraId="78FD401B" w14:textId="77777777" w:rsidR="00181874" w:rsidRPr="00E9174E" w:rsidRDefault="00181874" w:rsidP="00E9174E">
      <w:pPr>
        <w:widowControl/>
        <w:spacing w:line="360" w:lineRule="auto"/>
        <w:ind w:firstLine="1440"/>
        <w:contextualSpacing/>
        <w:rPr>
          <w:rFonts w:eastAsiaTheme="minorHAnsi"/>
          <w:sz w:val="26"/>
          <w:szCs w:val="26"/>
        </w:rPr>
      </w:pPr>
      <w:r w:rsidRPr="00E9174E">
        <w:rPr>
          <w:rFonts w:eastAsiaTheme="minorHAnsi"/>
          <w:sz w:val="26"/>
          <w:szCs w:val="26"/>
        </w:rPr>
        <w:t>In response to Columbia’s CAPM analysis, I&amp;E submitted that the Company used the same leverage adjustment for inflating its CAPM betas from 0.66 to 0.83 that was used for its DCF calculation.  I&amp;E asserted that such enhancements are unwarranted for beta in a CAPM analysis for the same reasons that enhancements are unwarranted for DCF results.  In addition, I&amp;E disagreed with Columbia’s 102-basis point size adjustment applied to its CAPM analysis.  I&amp;E M.B at 57-59.</w:t>
      </w:r>
    </w:p>
    <w:p w14:paraId="269136A9" w14:textId="77777777" w:rsidR="00181874" w:rsidRPr="00E9174E" w:rsidRDefault="00181874" w:rsidP="00E9174E">
      <w:pPr>
        <w:widowControl/>
        <w:spacing w:line="360" w:lineRule="auto"/>
        <w:ind w:firstLine="720"/>
        <w:contextualSpacing/>
        <w:rPr>
          <w:rFonts w:eastAsiaTheme="minorHAnsi"/>
          <w:sz w:val="26"/>
          <w:szCs w:val="26"/>
        </w:rPr>
      </w:pPr>
    </w:p>
    <w:p w14:paraId="2BEAA5C5" w14:textId="77777777" w:rsidR="00181874" w:rsidRPr="00E9174E" w:rsidRDefault="00181874" w:rsidP="00E9174E">
      <w:pPr>
        <w:widowControl/>
        <w:spacing w:line="360" w:lineRule="auto"/>
        <w:ind w:firstLine="1440"/>
        <w:contextualSpacing/>
        <w:rPr>
          <w:rFonts w:eastAsiaTheme="minorHAnsi"/>
          <w:sz w:val="26"/>
          <w:szCs w:val="26"/>
        </w:rPr>
      </w:pPr>
      <w:r w:rsidRPr="00E9174E">
        <w:rPr>
          <w:rFonts w:eastAsiaTheme="minorHAnsi"/>
          <w:sz w:val="26"/>
          <w:szCs w:val="26"/>
        </w:rPr>
        <w:t xml:space="preserve">The OCA performed a CAPM analyses to provide the Commission with additional information.  However, the OCA expressed its reservations regarding the usefulness of the CAPM approach.  Specifically, the OCA asserted that the application of the CAPM in an erroneous manner, such as when forecasted risk premiums or forecasted interest rates are employed, can lead to erroneous results.  In its CAPM analyses, the OCA used a one-year historical period of 30-year Treasury Bond yields to calculate a risk-free rate of 1.89%, a beta of 0.85, and an equity risk premium range from 4.0% to 6.0%.  Using this data, the OCA concluded the proper CAPM return on equity is in the range of 5.50% to 7.50%.  OCA M.B. 91-93; OCA St. 3R at 9-10. </w:t>
      </w:r>
    </w:p>
    <w:p w14:paraId="63E64F21" w14:textId="77777777" w:rsidR="00181874" w:rsidRPr="00E9174E" w:rsidRDefault="00181874" w:rsidP="00E9174E">
      <w:pPr>
        <w:widowControl/>
        <w:spacing w:line="360" w:lineRule="auto"/>
        <w:ind w:firstLine="1440"/>
        <w:contextualSpacing/>
        <w:rPr>
          <w:rFonts w:eastAsiaTheme="minorHAnsi"/>
          <w:sz w:val="26"/>
          <w:szCs w:val="26"/>
        </w:rPr>
      </w:pPr>
    </w:p>
    <w:p w14:paraId="689A02E8" w14:textId="47CF3D6C" w:rsidR="00E919D2" w:rsidRPr="00E9174E" w:rsidRDefault="00E919D2" w:rsidP="00277ECF">
      <w:pPr>
        <w:pStyle w:val="Heading4"/>
        <w:numPr>
          <w:ilvl w:val="0"/>
          <w:numId w:val="38"/>
        </w:numPr>
        <w:spacing w:line="240" w:lineRule="auto"/>
        <w:ind w:left="2160" w:hanging="720"/>
        <w:rPr>
          <w:rFonts w:eastAsiaTheme="minorHAnsi"/>
        </w:rPr>
      </w:pPr>
      <w:bookmarkStart w:id="283" w:name="_Toc63764534"/>
      <w:r w:rsidRPr="00E9174E">
        <w:rPr>
          <w:rFonts w:eastAsiaTheme="minorHAnsi"/>
        </w:rPr>
        <w:t xml:space="preserve">Risk Premium (RP) Model and Comparable Earnings (CE) </w:t>
      </w:r>
      <w:r w:rsidRPr="00E9174E">
        <w:t>Model</w:t>
      </w:r>
      <w:bookmarkEnd w:id="283"/>
    </w:p>
    <w:p w14:paraId="776E6D9F" w14:textId="77777777" w:rsidR="00E919D2" w:rsidRPr="00E9174E" w:rsidRDefault="00E919D2" w:rsidP="002E1879">
      <w:pPr>
        <w:keepNext/>
        <w:keepLines/>
        <w:widowControl/>
        <w:spacing w:line="480" w:lineRule="auto"/>
        <w:ind w:left="2160" w:hanging="720"/>
        <w:contextualSpacing/>
        <w:rPr>
          <w:rFonts w:eastAsiaTheme="minorHAnsi"/>
          <w:sz w:val="26"/>
          <w:szCs w:val="26"/>
        </w:rPr>
      </w:pPr>
    </w:p>
    <w:p w14:paraId="5A6D473C" w14:textId="77777777" w:rsidR="006523F3" w:rsidRPr="00E9174E" w:rsidRDefault="006523F3" w:rsidP="00E9174E">
      <w:pPr>
        <w:widowControl/>
        <w:spacing w:line="360" w:lineRule="auto"/>
        <w:ind w:firstLine="1440"/>
        <w:contextualSpacing/>
        <w:rPr>
          <w:rFonts w:eastAsiaTheme="minorHAnsi"/>
          <w:sz w:val="26"/>
          <w:szCs w:val="26"/>
        </w:rPr>
      </w:pPr>
      <w:r w:rsidRPr="00E9174E">
        <w:rPr>
          <w:rFonts w:eastAsiaTheme="minorHAnsi"/>
          <w:sz w:val="26"/>
          <w:szCs w:val="26"/>
        </w:rPr>
        <w:t xml:space="preserve">The RP method is based upon the fundamental principle that an equity investor in a given company has a greater risk than a bond holder in the same company because interest on bonds is paid before any return is received by the equity investor, and the bond holder receives a return of its capital before an equity investor receives any return of capital in the event of bankruptcy or the dissolution of the subject company.  </w:t>
      </w:r>
      <w:r w:rsidRPr="00E9174E">
        <w:rPr>
          <w:rFonts w:eastAsiaTheme="minorHAnsi"/>
          <w:sz w:val="26"/>
          <w:szCs w:val="26"/>
        </w:rPr>
        <w:lastRenderedPageBreak/>
        <w:t>The RP method determines the cost of equity by summing the expected public utility bond yield and the return of equities over bond returns (i.e. the “equity premium”) over a historical period, as adjusted to reflect lower risk of utilities compared to the common equity of all corporations.  CG M.B. at 80.</w:t>
      </w:r>
    </w:p>
    <w:p w14:paraId="2D52A748" w14:textId="77777777" w:rsidR="006523F3" w:rsidRPr="00E9174E" w:rsidRDefault="006523F3" w:rsidP="00E9174E">
      <w:pPr>
        <w:widowControl/>
        <w:spacing w:line="360" w:lineRule="auto"/>
        <w:ind w:firstLine="720"/>
        <w:contextualSpacing/>
        <w:rPr>
          <w:rFonts w:eastAsiaTheme="minorHAnsi"/>
          <w:sz w:val="26"/>
          <w:szCs w:val="26"/>
        </w:rPr>
      </w:pPr>
    </w:p>
    <w:p w14:paraId="56E850DE" w14:textId="77777777" w:rsidR="006523F3" w:rsidRPr="00E9174E" w:rsidRDefault="006523F3" w:rsidP="00E9174E">
      <w:pPr>
        <w:widowControl/>
        <w:spacing w:line="360" w:lineRule="auto"/>
        <w:ind w:firstLine="1440"/>
        <w:contextualSpacing/>
        <w:rPr>
          <w:rFonts w:eastAsiaTheme="minorHAnsi"/>
          <w:sz w:val="26"/>
          <w:szCs w:val="26"/>
        </w:rPr>
      </w:pPr>
      <w:r w:rsidRPr="00E9174E">
        <w:rPr>
          <w:rFonts w:eastAsiaTheme="minorHAnsi"/>
          <w:sz w:val="26"/>
          <w:szCs w:val="26"/>
        </w:rPr>
        <w:t>The CE method estimates a fair return on equity by comparing returns realized by non-regulated companies to the returns that a public utility with similar risk characteristics would need to realize in order to compete for capital.  According to Columbia, because regulation is a substitute for competitively determined prices, the returns realized by non-regulated firms with comparable risks to a public utility provide useful insight into investor expectations for public utility returns.  The firms selected for the CE method should be companies whose prices are not subject to cost-based price ceilings (</w:t>
      </w:r>
      <w:r w:rsidRPr="00E9174E">
        <w:rPr>
          <w:rFonts w:eastAsiaTheme="minorHAnsi"/>
          <w:i/>
          <w:sz w:val="26"/>
          <w:szCs w:val="26"/>
        </w:rPr>
        <w:t>i.e.</w:t>
      </w:r>
      <w:r w:rsidRPr="00E9174E">
        <w:rPr>
          <w:rFonts w:eastAsiaTheme="minorHAnsi"/>
          <w:sz w:val="26"/>
          <w:szCs w:val="26"/>
        </w:rPr>
        <w:t>, non</w:t>
      </w:r>
      <w:r w:rsidRPr="00E9174E">
        <w:rPr>
          <w:rFonts w:eastAsiaTheme="minorHAnsi"/>
          <w:sz w:val="26"/>
          <w:szCs w:val="26"/>
        </w:rPr>
        <w:noBreakHyphen/>
        <w:t>regulated firms) so that circularity is avoided.  The CE method utilizes the concept of opportunity cost, wherein investors will likely dedicate their capital to the investment offering the highest return with similar risk to alternative investments.  CG St. 8 at 43-44.</w:t>
      </w:r>
    </w:p>
    <w:p w14:paraId="29733B14" w14:textId="77777777" w:rsidR="006523F3" w:rsidRPr="00E9174E" w:rsidRDefault="006523F3" w:rsidP="00E9174E">
      <w:pPr>
        <w:widowControl/>
        <w:spacing w:line="360" w:lineRule="auto"/>
        <w:ind w:left="2160" w:hanging="720"/>
        <w:contextualSpacing/>
        <w:rPr>
          <w:rFonts w:eastAsiaTheme="minorHAnsi"/>
          <w:sz w:val="26"/>
          <w:szCs w:val="26"/>
        </w:rPr>
      </w:pPr>
    </w:p>
    <w:p w14:paraId="693DA00E" w14:textId="00098BE6" w:rsidR="00E919D2" w:rsidRPr="00E9174E" w:rsidRDefault="00E919D2" w:rsidP="00277ECF">
      <w:pPr>
        <w:pStyle w:val="Heading5"/>
        <w:numPr>
          <w:ilvl w:val="0"/>
          <w:numId w:val="71"/>
        </w:numPr>
      </w:pPr>
      <w:bookmarkStart w:id="284" w:name="_Toc63764535"/>
      <w:r w:rsidRPr="00E9174E">
        <w:t>Positions of the Parties</w:t>
      </w:r>
      <w:bookmarkEnd w:id="284"/>
    </w:p>
    <w:p w14:paraId="7C3216F8" w14:textId="77777777" w:rsidR="00E919D2" w:rsidRPr="00E9174E" w:rsidRDefault="00E919D2" w:rsidP="00E9174E">
      <w:pPr>
        <w:keepNext/>
        <w:keepLines/>
        <w:widowControl/>
        <w:spacing w:line="360" w:lineRule="auto"/>
        <w:contextualSpacing/>
        <w:rPr>
          <w:rFonts w:eastAsiaTheme="minorHAnsi"/>
          <w:sz w:val="26"/>
          <w:szCs w:val="26"/>
        </w:rPr>
      </w:pPr>
    </w:p>
    <w:p w14:paraId="28A818CA" w14:textId="77777777" w:rsidR="00E919D2" w:rsidRPr="00E9174E" w:rsidRDefault="00E919D2" w:rsidP="00E9174E">
      <w:pPr>
        <w:widowControl/>
        <w:spacing w:line="360" w:lineRule="auto"/>
        <w:ind w:firstLine="1440"/>
        <w:contextualSpacing/>
        <w:rPr>
          <w:rFonts w:eastAsiaTheme="minorHAnsi"/>
          <w:sz w:val="26"/>
          <w:szCs w:val="26"/>
        </w:rPr>
      </w:pPr>
      <w:r w:rsidRPr="00E9174E">
        <w:rPr>
          <w:rFonts w:eastAsiaTheme="minorHAnsi"/>
          <w:sz w:val="26"/>
          <w:szCs w:val="26"/>
        </w:rPr>
        <w:t>The Company determined the RP cost of common equity to be 10.50%, updated to 10.10%, as follows:</w:t>
      </w:r>
    </w:p>
    <w:p w14:paraId="53CBB80D" w14:textId="77777777" w:rsidR="00E919D2" w:rsidRPr="00E9174E" w:rsidRDefault="00E919D2" w:rsidP="00E9174E">
      <w:pPr>
        <w:widowControl/>
        <w:spacing w:line="360" w:lineRule="auto"/>
        <w:ind w:firstLine="1440"/>
        <w:contextualSpacing/>
        <w:rPr>
          <w:rFonts w:eastAsiaTheme="minorHAnsi"/>
          <w:sz w:val="26"/>
          <w:szCs w:val="26"/>
        </w:rPr>
      </w:pPr>
    </w:p>
    <w:tbl>
      <w:tblPr>
        <w:tblW w:w="6840" w:type="dxa"/>
        <w:jc w:val="center"/>
        <w:tblLook w:val="04A0" w:firstRow="1" w:lastRow="0" w:firstColumn="1" w:lastColumn="0" w:noHBand="0" w:noVBand="1"/>
      </w:tblPr>
      <w:tblGrid>
        <w:gridCol w:w="1920"/>
        <w:gridCol w:w="2160"/>
        <w:gridCol w:w="2160"/>
        <w:gridCol w:w="1890"/>
      </w:tblGrid>
      <w:tr w:rsidR="00E919D2" w:rsidRPr="00E9174E" w14:paraId="3EB157C5" w14:textId="77777777" w:rsidTr="00CC66FD">
        <w:trPr>
          <w:trHeight w:val="300"/>
          <w:jc w:val="center"/>
        </w:trPr>
        <w:tc>
          <w:tcPr>
            <w:tcW w:w="1920" w:type="dxa"/>
            <w:tcBorders>
              <w:top w:val="nil"/>
              <w:left w:val="nil"/>
              <w:bottom w:val="nil"/>
              <w:right w:val="nil"/>
            </w:tcBorders>
            <w:shd w:val="clear" w:color="auto" w:fill="auto"/>
            <w:noWrap/>
            <w:vAlign w:val="bottom"/>
            <w:hideMark/>
          </w:tcPr>
          <w:p w14:paraId="4960AD2E" w14:textId="77777777" w:rsidR="00E919D2" w:rsidRPr="00E9174E" w:rsidRDefault="00E919D2" w:rsidP="00E9174E">
            <w:pPr>
              <w:keepNext/>
              <w:keepLines/>
              <w:widowControl/>
              <w:contextualSpacing/>
              <w:rPr>
                <w:color w:val="000000"/>
                <w:sz w:val="26"/>
                <w:szCs w:val="26"/>
              </w:rPr>
            </w:pPr>
            <w:r w:rsidRPr="00E9174E">
              <w:rPr>
                <w:color w:val="000000"/>
                <w:sz w:val="26"/>
                <w:szCs w:val="26"/>
              </w:rPr>
              <w:t xml:space="preserve">                      </w:t>
            </w:r>
          </w:p>
        </w:tc>
        <w:tc>
          <w:tcPr>
            <w:tcW w:w="2160" w:type="dxa"/>
            <w:tcBorders>
              <w:top w:val="nil"/>
              <w:left w:val="nil"/>
              <w:bottom w:val="nil"/>
              <w:right w:val="nil"/>
            </w:tcBorders>
            <w:shd w:val="clear" w:color="auto" w:fill="auto"/>
            <w:noWrap/>
            <w:hideMark/>
          </w:tcPr>
          <w:p w14:paraId="1CE08B1D" w14:textId="77777777" w:rsidR="00E919D2" w:rsidRPr="00E9174E" w:rsidRDefault="00E919D2" w:rsidP="00E9174E">
            <w:pPr>
              <w:keepNext/>
              <w:keepLines/>
              <w:widowControl/>
              <w:contextualSpacing/>
              <w:jc w:val="right"/>
              <w:rPr>
                <w:color w:val="000000"/>
                <w:sz w:val="26"/>
                <w:szCs w:val="26"/>
              </w:rPr>
            </w:pPr>
            <w:r w:rsidRPr="00E9174E">
              <w:rPr>
                <w:color w:val="000000"/>
                <w:sz w:val="26"/>
                <w:szCs w:val="26"/>
              </w:rPr>
              <w:t>Interest Rate +</w:t>
            </w:r>
          </w:p>
        </w:tc>
        <w:tc>
          <w:tcPr>
            <w:tcW w:w="2160" w:type="dxa"/>
            <w:tcBorders>
              <w:top w:val="nil"/>
              <w:left w:val="nil"/>
              <w:bottom w:val="nil"/>
              <w:right w:val="nil"/>
            </w:tcBorders>
            <w:shd w:val="clear" w:color="auto" w:fill="auto"/>
            <w:noWrap/>
            <w:hideMark/>
          </w:tcPr>
          <w:p w14:paraId="6D45A35C" w14:textId="77777777" w:rsidR="00E919D2" w:rsidRPr="00E9174E" w:rsidRDefault="00E919D2" w:rsidP="00E9174E">
            <w:pPr>
              <w:keepNext/>
              <w:keepLines/>
              <w:widowControl/>
              <w:contextualSpacing/>
              <w:jc w:val="right"/>
              <w:rPr>
                <w:color w:val="000000"/>
                <w:sz w:val="26"/>
                <w:szCs w:val="26"/>
              </w:rPr>
            </w:pPr>
            <w:r w:rsidRPr="00E9174E">
              <w:rPr>
                <w:color w:val="000000"/>
                <w:sz w:val="26"/>
                <w:szCs w:val="26"/>
              </w:rPr>
              <w:t>Risk Premium =</w:t>
            </w:r>
          </w:p>
        </w:tc>
        <w:tc>
          <w:tcPr>
            <w:tcW w:w="1890" w:type="dxa"/>
            <w:tcBorders>
              <w:top w:val="nil"/>
              <w:left w:val="nil"/>
              <w:bottom w:val="nil"/>
              <w:right w:val="nil"/>
            </w:tcBorders>
            <w:shd w:val="clear" w:color="auto" w:fill="auto"/>
            <w:noWrap/>
            <w:hideMark/>
          </w:tcPr>
          <w:p w14:paraId="2398F9BC" w14:textId="77777777" w:rsidR="00E919D2" w:rsidRPr="00E9174E" w:rsidRDefault="00E919D2" w:rsidP="00E9174E">
            <w:pPr>
              <w:keepNext/>
              <w:keepLines/>
              <w:widowControl/>
              <w:contextualSpacing/>
              <w:jc w:val="right"/>
              <w:rPr>
                <w:color w:val="000000"/>
                <w:sz w:val="26"/>
                <w:szCs w:val="26"/>
              </w:rPr>
            </w:pPr>
            <w:r w:rsidRPr="00E9174E">
              <w:rPr>
                <w:color w:val="000000"/>
                <w:sz w:val="26"/>
                <w:szCs w:val="26"/>
              </w:rPr>
              <w:t>RP Cost Rate</w:t>
            </w:r>
          </w:p>
        </w:tc>
      </w:tr>
      <w:tr w:rsidR="00E919D2" w:rsidRPr="00E9174E" w14:paraId="56574C91" w14:textId="77777777" w:rsidTr="00CC66FD">
        <w:trPr>
          <w:trHeight w:val="300"/>
          <w:jc w:val="center"/>
        </w:trPr>
        <w:tc>
          <w:tcPr>
            <w:tcW w:w="1920" w:type="dxa"/>
            <w:tcBorders>
              <w:top w:val="nil"/>
              <w:left w:val="nil"/>
              <w:bottom w:val="nil"/>
              <w:right w:val="nil"/>
            </w:tcBorders>
            <w:shd w:val="clear" w:color="auto" w:fill="auto"/>
            <w:noWrap/>
            <w:vAlign w:val="bottom"/>
          </w:tcPr>
          <w:p w14:paraId="3480FC6E" w14:textId="77777777" w:rsidR="00E919D2" w:rsidRPr="00E9174E" w:rsidRDefault="00E919D2" w:rsidP="00E9174E">
            <w:pPr>
              <w:keepNext/>
              <w:keepLines/>
              <w:widowControl/>
              <w:contextualSpacing/>
              <w:rPr>
                <w:color w:val="000000"/>
                <w:sz w:val="26"/>
                <w:szCs w:val="26"/>
              </w:rPr>
            </w:pPr>
          </w:p>
        </w:tc>
        <w:tc>
          <w:tcPr>
            <w:tcW w:w="1500" w:type="dxa"/>
            <w:tcBorders>
              <w:top w:val="nil"/>
              <w:left w:val="nil"/>
              <w:bottom w:val="nil"/>
              <w:right w:val="nil"/>
            </w:tcBorders>
            <w:shd w:val="clear" w:color="auto" w:fill="auto"/>
            <w:noWrap/>
          </w:tcPr>
          <w:p w14:paraId="5360D5F6" w14:textId="77777777" w:rsidR="00E919D2" w:rsidRPr="00E9174E" w:rsidRDefault="00E919D2" w:rsidP="00E9174E">
            <w:pPr>
              <w:keepNext/>
              <w:keepLines/>
              <w:widowControl/>
              <w:contextualSpacing/>
              <w:jc w:val="right"/>
              <w:rPr>
                <w:color w:val="000000"/>
                <w:sz w:val="26"/>
                <w:szCs w:val="26"/>
              </w:rPr>
            </w:pPr>
          </w:p>
        </w:tc>
        <w:tc>
          <w:tcPr>
            <w:tcW w:w="1530" w:type="dxa"/>
            <w:tcBorders>
              <w:top w:val="nil"/>
              <w:left w:val="nil"/>
              <w:bottom w:val="nil"/>
              <w:right w:val="nil"/>
            </w:tcBorders>
            <w:shd w:val="clear" w:color="auto" w:fill="auto"/>
            <w:noWrap/>
          </w:tcPr>
          <w:p w14:paraId="44FD1B94" w14:textId="77777777" w:rsidR="00E919D2" w:rsidRPr="00E9174E" w:rsidRDefault="00E919D2" w:rsidP="00E9174E">
            <w:pPr>
              <w:keepNext/>
              <w:keepLines/>
              <w:widowControl/>
              <w:contextualSpacing/>
              <w:jc w:val="right"/>
              <w:rPr>
                <w:color w:val="000000"/>
                <w:sz w:val="26"/>
                <w:szCs w:val="26"/>
              </w:rPr>
            </w:pPr>
          </w:p>
        </w:tc>
        <w:tc>
          <w:tcPr>
            <w:tcW w:w="1890" w:type="dxa"/>
            <w:tcBorders>
              <w:top w:val="nil"/>
              <w:left w:val="nil"/>
              <w:bottom w:val="nil"/>
              <w:right w:val="nil"/>
            </w:tcBorders>
            <w:shd w:val="clear" w:color="auto" w:fill="auto"/>
            <w:noWrap/>
          </w:tcPr>
          <w:p w14:paraId="3D17D51B" w14:textId="77777777" w:rsidR="00E919D2" w:rsidRPr="00E9174E" w:rsidRDefault="00E919D2" w:rsidP="00E9174E">
            <w:pPr>
              <w:keepNext/>
              <w:keepLines/>
              <w:widowControl/>
              <w:contextualSpacing/>
              <w:jc w:val="right"/>
              <w:rPr>
                <w:color w:val="000000"/>
                <w:sz w:val="26"/>
                <w:szCs w:val="26"/>
              </w:rPr>
            </w:pPr>
          </w:p>
        </w:tc>
      </w:tr>
      <w:tr w:rsidR="00E919D2" w:rsidRPr="00E9174E" w14:paraId="666CEA4B" w14:textId="77777777" w:rsidTr="00CC66FD">
        <w:trPr>
          <w:trHeight w:val="300"/>
          <w:jc w:val="center"/>
        </w:trPr>
        <w:tc>
          <w:tcPr>
            <w:tcW w:w="1920" w:type="dxa"/>
            <w:tcBorders>
              <w:top w:val="nil"/>
              <w:left w:val="nil"/>
              <w:bottom w:val="nil"/>
              <w:right w:val="nil"/>
            </w:tcBorders>
            <w:shd w:val="clear" w:color="auto" w:fill="auto"/>
            <w:noWrap/>
            <w:vAlign w:val="bottom"/>
            <w:hideMark/>
          </w:tcPr>
          <w:p w14:paraId="6E2135C2" w14:textId="77777777" w:rsidR="00E919D2" w:rsidRPr="00E9174E" w:rsidRDefault="00E919D2" w:rsidP="00E9174E">
            <w:pPr>
              <w:keepNext/>
              <w:keepLines/>
              <w:widowControl/>
              <w:contextualSpacing/>
              <w:rPr>
                <w:color w:val="000000"/>
                <w:sz w:val="26"/>
                <w:szCs w:val="26"/>
              </w:rPr>
            </w:pPr>
            <w:r w:rsidRPr="00E9174E">
              <w:rPr>
                <w:color w:val="000000"/>
                <w:sz w:val="26"/>
                <w:szCs w:val="26"/>
              </w:rPr>
              <w:t>Original</w:t>
            </w:r>
          </w:p>
        </w:tc>
        <w:tc>
          <w:tcPr>
            <w:tcW w:w="1500" w:type="dxa"/>
            <w:tcBorders>
              <w:top w:val="nil"/>
              <w:left w:val="nil"/>
              <w:bottom w:val="nil"/>
              <w:right w:val="nil"/>
            </w:tcBorders>
            <w:shd w:val="clear" w:color="auto" w:fill="auto"/>
            <w:noWrap/>
            <w:vAlign w:val="bottom"/>
            <w:hideMark/>
          </w:tcPr>
          <w:p w14:paraId="0B184093" w14:textId="77777777" w:rsidR="00E919D2" w:rsidRPr="00E9174E" w:rsidRDefault="00E919D2" w:rsidP="00E9174E">
            <w:pPr>
              <w:keepNext/>
              <w:keepLines/>
              <w:widowControl/>
              <w:contextualSpacing/>
              <w:jc w:val="right"/>
              <w:rPr>
                <w:color w:val="000000"/>
                <w:sz w:val="26"/>
                <w:szCs w:val="26"/>
              </w:rPr>
            </w:pPr>
            <w:r w:rsidRPr="00E9174E">
              <w:rPr>
                <w:color w:val="000000"/>
                <w:sz w:val="26"/>
                <w:szCs w:val="26"/>
              </w:rPr>
              <w:t>4.00%</w:t>
            </w:r>
          </w:p>
        </w:tc>
        <w:tc>
          <w:tcPr>
            <w:tcW w:w="1530" w:type="dxa"/>
            <w:tcBorders>
              <w:top w:val="nil"/>
              <w:left w:val="nil"/>
              <w:bottom w:val="nil"/>
              <w:right w:val="nil"/>
            </w:tcBorders>
            <w:shd w:val="clear" w:color="auto" w:fill="auto"/>
            <w:noWrap/>
            <w:vAlign w:val="bottom"/>
            <w:hideMark/>
          </w:tcPr>
          <w:p w14:paraId="3C720CDD" w14:textId="77777777" w:rsidR="00E919D2" w:rsidRPr="00E9174E" w:rsidRDefault="00E919D2" w:rsidP="00E9174E">
            <w:pPr>
              <w:keepNext/>
              <w:keepLines/>
              <w:widowControl/>
              <w:contextualSpacing/>
              <w:jc w:val="right"/>
              <w:rPr>
                <w:color w:val="000000"/>
                <w:sz w:val="26"/>
                <w:szCs w:val="26"/>
              </w:rPr>
            </w:pPr>
            <w:r w:rsidRPr="00E9174E">
              <w:rPr>
                <w:color w:val="000000"/>
                <w:sz w:val="26"/>
                <w:szCs w:val="26"/>
              </w:rPr>
              <w:t>6.50%</w:t>
            </w:r>
          </w:p>
        </w:tc>
        <w:tc>
          <w:tcPr>
            <w:tcW w:w="1890" w:type="dxa"/>
            <w:tcBorders>
              <w:top w:val="nil"/>
              <w:left w:val="nil"/>
              <w:bottom w:val="nil"/>
              <w:right w:val="nil"/>
            </w:tcBorders>
            <w:shd w:val="clear" w:color="auto" w:fill="auto"/>
            <w:noWrap/>
            <w:vAlign w:val="bottom"/>
            <w:hideMark/>
          </w:tcPr>
          <w:p w14:paraId="7E643C5E" w14:textId="77777777" w:rsidR="00E919D2" w:rsidRPr="00E9174E" w:rsidRDefault="00E919D2" w:rsidP="00E9174E">
            <w:pPr>
              <w:keepNext/>
              <w:keepLines/>
              <w:widowControl/>
              <w:contextualSpacing/>
              <w:jc w:val="right"/>
              <w:rPr>
                <w:b/>
                <w:color w:val="000000"/>
                <w:sz w:val="26"/>
                <w:szCs w:val="26"/>
              </w:rPr>
            </w:pPr>
            <w:r w:rsidRPr="00E9174E">
              <w:rPr>
                <w:b/>
                <w:color w:val="000000"/>
                <w:sz w:val="26"/>
                <w:szCs w:val="26"/>
              </w:rPr>
              <w:t>10.50%</w:t>
            </w:r>
          </w:p>
        </w:tc>
      </w:tr>
      <w:tr w:rsidR="00E919D2" w:rsidRPr="00E9174E" w14:paraId="5A8B05B9" w14:textId="77777777" w:rsidTr="00CC66FD">
        <w:trPr>
          <w:trHeight w:val="300"/>
          <w:jc w:val="center"/>
        </w:trPr>
        <w:tc>
          <w:tcPr>
            <w:tcW w:w="1920" w:type="dxa"/>
            <w:tcBorders>
              <w:top w:val="nil"/>
              <w:left w:val="nil"/>
              <w:bottom w:val="nil"/>
              <w:right w:val="nil"/>
            </w:tcBorders>
            <w:shd w:val="clear" w:color="auto" w:fill="auto"/>
            <w:noWrap/>
            <w:vAlign w:val="bottom"/>
          </w:tcPr>
          <w:p w14:paraId="7B651ABB" w14:textId="77777777" w:rsidR="00E919D2" w:rsidRPr="00E9174E" w:rsidRDefault="00E919D2" w:rsidP="00E9174E">
            <w:pPr>
              <w:keepNext/>
              <w:keepLines/>
              <w:widowControl/>
              <w:contextualSpacing/>
              <w:rPr>
                <w:color w:val="000000"/>
                <w:sz w:val="26"/>
                <w:szCs w:val="26"/>
              </w:rPr>
            </w:pPr>
          </w:p>
        </w:tc>
        <w:tc>
          <w:tcPr>
            <w:tcW w:w="1500" w:type="dxa"/>
            <w:tcBorders>
              <w:top w:val="nil"/>
              <w:left w:val="nil"/>
              <w:bottom w:val="nil"/>
              <w:right w:val="nil"/>
            </w:tcBorders>
            <w:shd w:val="clear" w:color="auto" w:fill="auto"/>
            <w:noWrap/>
            <w:vAlign w:val="bottom"/>
          </w:tcPr>
          <w:p w14:paraId="70BF6FD1" w14:textId="77777777" w:rsidR="00E919D2" w:rsidRPr="00E9174E" w:rsidRDefault="00E919D2" w:rsidP="00E9174E">
            <w:pPr>
              <w:keepNext/>
              <w:keepLines/>
              <w:widowControl/>
              <w:contextualSpacing/>
              <w:jc w:val="right"/>
              <w:rPr>
                <w:color w:val="000000"/>
                <w:sz w:val="26"/>
                <w:szCs w:val="26"/>
              </w:rPr>
            </w:pPr>
          </w:p>
        </w:tc>
        <w:tc>
          <w:tcPr>
            <w:tcW w:w="1530" w:type="dxa"/>
            <w:tcBorders>
              <w:top w:val="nil"/>
              <w:left w:val="nil"/>
              <w:bottom w:val="nil"/>
              <w:right w:val="nil"/>
            </w:tcBorders>
            <w:shd w:val="clear" w:color="auto" w:fill="auto"/>
            <w:noWrap/>
            <w:vAlign w:val="bottom"/>
          </w:tcPr>
          <w:p w14:paraId="7B3196BD" w14:textId="77777777" w:rsidR="00E919D2" w:rsidRPr="00E9174E" w:rsidRDefault="00E919D2" w:rsidP="00E9174E">
            <w:pPr>
              <w:keepNext/>
              <w:keepLines/>
              <w:widowControl/>
              <w:contextualSpacing/>
              <w:jc w:val="right"/>
              <w:rPr>
                <w:color w:val="000000"/>
                <w:sz w:val="26"/>
                <w:szCs w:val="26"/>
              </w:rPr>
            </w:pPr>
          </w:p>
        </w:tc>
        <w:tc>
          <w:tcPr>
            <w:tcW w:w="1890" w:type="dxa"/>
            <w:tcBorders>
              <w:top w:val="nil"/>
              <w:left w:val="nil"/>
              <w:bottom w:val="nil"/>
              <w:right w:val="nil"/>
            </w:tcBorders>
            <w:shd w:val="clear" w:color="auto" w:fill="auto"/>
            <w:noWrap/>
            <w:vAlign w:val="bottom"/>
          </w:tcPr>
          <w:p w14:paraId="3870CD91" w14:textId="77777777" w:rsidR="00E919D2" w:rsidRPr="00E9174E" w:rsidRDefault="00E919D2" w:rsidP="00E9174E">
            <w:pPr>
              <w:keepNext/>
              <w:keepLines/>
              <w:widowControl/>
              <w:contextualSpacing/>
              <w:jc w:val="right"/>
              <w:rPr>
                <w:b/>
                <w:color w:val="000000"/>
                <w:sz w:val="26"/>
                <w:szCs w:val="26"/>
              </w:rPr>
            </w:pPr>
          </w:p>
        </w:tc>
      </w:tr>
      <w:tr w:rsidR="00E919D2" w:rsidRPr="00E9174E" w14:paraId="183139F1" w14:textId="77777777" w:rsidTr="00CC66FD">
        <w:trPr>
          <w:trHeight w:val="300"/>
          <w:jc w:val="center"/>
        </w:trPr>
        <w:tc>
          <w:tcPr>
            <w:tcW w:w="1920" w:type="dxa"/>
            <w:tcBorders>
              <w:top w:val="nil"/>
              <w:left w:val="nil"/>
              <w:bottom w:val="nil"/>
              <w:right w:val="nil"/>
            </w:tcBorders>
            <w:shd w:val="clear" w:color="auto" w:fill="auto"/>
            <w:noWrap/>
            <w:vAlign w:val="bottom"/>
          </w:tcPr>
          <w:p w14:paraId="22676014" w14:textId="77777777" w:rsidR="00E919D2" w:rsidRPr="00E9174E" w:rsidRDefault="00E919D2" w:rsidP="00E9174E">
            <w:pPr>
              <w:keepNext/>
              <w:keepLines/>
              <w:widowControl/>
              <w:contextualSpacing/>
              <w:rPr>
                <w:color w:val="000000"/>
                <w:sz w:val="26"/>
                <w:szCs w:val="26"/>
              </w:rPr>
            </w:pPr>
            <w:r w:rsidRPr="00E9174E">
              <w:rPr>
                <w:color w:val="000000"/>
                <w:sz w:val="26"/>
                <w:szCs w:val="26"/>
              </w:rPr>
              <w:t>Updated</w:t>
            </w:r>
          </w:p>
        </w:tc>
        <w:tc>
          <w:tcPr>
            <w:tcW w:w="1500" w:type="dxa"/>
            <w:tcBorders>
              <w:top w:val="nil"/>
              <w:left w:val="nil"/>
              <w:bottom w:val="nil"/>
              <w:right w:val="nil"/>
            </w:tcBorders>
            <w:shd w:val="clear" w:color="auto" w:fill="auto"/>
            <w:noWrap/>
            <w:vAlign w:val="bottom"/>
          </w:tcPr>
          <w:p w14:paraId="72DD98E2" w14:textId="77777777" w:rsidR="00E919D2" w:rsidRPr="00E9174E" w:rsidRDefault="00E919D2" w:rsidP="00E9174E">
            <w:pPr>
              <w:keepNext/>
              <w:keepLines/>
              <w:widowControl/>
              <w:contextualSpacing/>
              <w:jc w:val="right"/>
              <w:rPr>
                <w:color w:val="000000"/>
                <w:sz w:val="26"/>
                <w:szCs w:val="26"/>
              </w:rPr>
            </w:pPr>
            <w:r w:rsidRPr="00E9174E">
              <w:rPr>
                <w:color w:val="000000"/>
                <w:sz w:val="26"/>
                <w:szCs w:val="26"/>
              </w:rPr>
              <w:t>3.35%</w:t>
            </w:r>
          </w:p>
        </w:tc>
        <w:tc>
          <w:tcPr>
            <w:tcW w:w="1530" w:type="dxa"/>
            <w:tcBorders>
              <w:top w:val="nil"/>
              <w:left w:val="nil"/>
              <w:bottom w:val="nil"/>
              <w:right w:val="nil"/>
            </w:tcBorders>
            <w:shd w:val="clear" w:color="auto" w:fill="auto"/>
            <w:noWrap/>
            <w:vAlign w:val="bottom"/>
          </w:tcPr>
          <w:p w14:paraId="3A3F0A17" w14:textId="77777777" w:rsidR="00E919D2" w:rsidRPr="00E9174E" w:rsidRDefault="00E919D2" w:rsidP="00E9174E">
            <w:pPr>
              <w:keepNext/>
              <w:keepLines/>
              <w:widowControl/>
              <w:contextualSpacing/>
              <w:jc w:val="right"/>
              <w:rPr>
                <w:color w:val="000000"/>
                <w:sz w:val="26"/>
                <w:szCs w:val="26"/>
              </w:rPr>
            </w:pPr>
            <w:r w:rsidRPr="00E9174E">
              <w:rPr>
                <w:color w:val="000000"/>
                <w:sz w:val="26"/>
                <w:szCs w:val="26"/>
              </w:rPr>
              <w:t>6.75%</w:t>
            </w:r>
          </w:p>
        </w:tc>
        <w:tc>
          <w:tcPr>
            <w:tcW w:w="1890" w:type="dxa"/>
            <w:tcBorders>
              <w:top w:val="nil"/>
              <w:left w:val="nil"/>
              <w:bottom w:val="nil"/>
              <w:right w:val="nil"/>
            </w:tcBorders>
            <w:shd w:val="clear" w:color="auto" w:fill="auto"/>
            <w:noWrap/>
            <w:vAlign w:val="bottom"/>
          </w:tcPr>
          <w:p w14:paraId="1F72F517" w14:textId="77777777" w:rsidR="00E919D2" w:rsidRPr="00E9174E" w:rsidRDefault="00E919D2" w:rsidP="00E9174E">
            <w:pPr>
              <w:keepNext/>
              <w:keepLines/>
              <w:widowControl/>
              <w:contextualSpacing/>
              <w:jc w:val="right"/>
              <w:rPr>
                <w:b/>
                <w:color w:val="000000"/>
                <w:sz w:val="26"/>
                <w:szCs w:val="26"/>
              </w:rPr>
            </w:pPr>
            <w:r w:rsidRPr="00E9174E">
              <w:rPr>
                <w:b/>
                <w:color w:val="000000"/>
                <w:sz w:val="26"/>
                <w:szCs w:val="26"/>
              </w:rPr>
              <w:t>10.10%</w:t>
            </w:r>
          </w:p>
        </w:tc>
      </w:tr>
    </w:tbl>
    <w:p w14:paraId="33888A13" w14:textId="77777777" w:rsidR="00E919D2" w:rsidRPr="00E9174E" w:rsidRDefault="00E919D2" w:rsidP="00E9174E">
      <w:pPr>
        <w:widowControl/>
        <w:contextualSpacing/>
        <w:rPr>
          <w:rFonts w:eastAsiaTheme="minorHAnsi"/>
          <w:sz w:val="26"/>
          <w:szCs w:val="26"/>
        </w:rPr>
      </w:pPr>
    </w:p>
    <w:p w14:paraId="1825C53C" w14:textId="77777777" w:rsidR="00E919D2" w:rsidRPr="00E9174E" w:rsidRDefault="00E919D2" w:rsidP="00E9174E">
      <w:pPr>
        <w:widowControl/>
        <w:spacing w:line="360" w:lineRule="auto"/>
        <w:ind w:firstLine="1440"/>
        <w:contextualSpacing/>
        <w:rPr>
          <w:rFonts w:eastAsiaTheme="minorHAnsi"/>
          <w:sz w:val="26"/>
          <w:szCs w:val="26"/>
        </w:rPr>
      </w:pPr>
    </w:p>
    <w:p w14:paraId="417D7562" w14:textId="77777777" w:rsidR="00D80C2B" w:rsidRPr="00E9174E" w:rsidRDefault="00D80C2B" w:rsidP="00E9174E">
      <w:pPr>
        <w:widowControl/>
        <w:spacing w:line="360" w:lineRule="auto"/>
        <w:ind w:firstLine="1440"/>
        <w:contextualSpacing/>
        <w:rPr>
          <w:rFonts w:eastAsiaTheme="minorHAnsi"/>
          <w:sz w:val="26"/>
          <w:szCs w:val="26"/>
        </w:rPr>
      </w:pPr>
      <w:r w:rsidRPr="00E9174E">
        <w:rPr>
          <w:rFonts w:eastAsiaTheme="minorHAnsi"/>
          <w:sz w:val="26"/>
          <w:szCs w:val="26"/>
        </w:rPr>
        <w:lastRenderedPageBreak/>
        <w:t>Columbia explained that the interest rate in its calculation is an estimated interest rate for A</w:t>
      </w:r>
      <w:r w:rsidRPr="00E9174E">
        <w:rPr>
          <w:rFonts w:eastAsiaTheme="minorHAnsi"/>
          <w:sz w:val="26"/>
          <w:szCs w:val="26"/>
        </w:rPr>
        <w:noBreakHyphen/>
        <w:t xml:space="preserve">rated public utility bonds, while the risk premium in its calculation is the average of historical risk premiums over long-term corporate bonds.  </w:t>
      </w:r>
    </w:p>
    <w:p w14:paraId="050CF970" w14:textId="77777777" w:rsidR="00D80C2B" w:rsidRPr="00E9174E" w:rsidRDefault="00D80C2B" w:rsidP="00E9174E">
      <w:pPr>
        <w:widowControl/>
        <w:spacing w:line="360" w:lineRule="auto"/>
        <w:ind w:firstLine="720"/>
        <w:contextualSpacing/>
        <w:rPr>
          <w:rFonts w:eastAsiaTheme="minorHAnsi"/>
          <w:sz w:val="26"/>
          <w:szCs w:val="26"/>
        </w:rPr>
      </w:pPr>
    </w:p>
    <w:p w14:paraId="5DC9E014" w14:textId="4CB42A46" w:rsidR="00D80C2B" w:rsidRPr="00E9174E" w:rsidRDefault="00D80C2B" w:rsidP="00E9174E">
      <w:pPr>
        <w:widowControl/>
        <w:spacing w:line="360" w:lineRule="auto"/>
        <w:ind w:firstLine="1440"/>
        <w:contextualSpacing/>
        <w:rPr>
          <w:rFonts w:eastAsiaTheme="minorHAnsi"/>
          <w:sz w:val="26"/>
          <w:szCs w:val="26"/>
        </w:rPr>
      </w:pPr>
      <w:r w:rsidRPr="00E9174E">
        <w:rPr>
          <w:rFonts w:eastAsiaTheme="minorHAnsi"/>
          <w:sz w:val="26"/>
          <w:szCs w:val="26"/>
        </w:rPr>
        <w:t xml:space="preserve">Columbia also performed a comparable earnings analysis based on the principle set forth by the United States Supreme Court that a utility should be afforded an opportunity to earn a return on its property equal to that being earned on investments in other businesses with corresponding risks and uncertainties.  </w:t>
      </w:r>
      <w:r w:rsidRPr="00E9174E">
        <w:rPr>
          <w:rFonts w:eastAsiaTheme="minorHAnsi"/>
          <w:i/>
          <w:iCs/>
          <w:sz w:val="26"/>
          <w:szCs w:val="26"/>
        </w:rPr>
        <w:t>Bluefield</w:t>
      </w:r>
      <w:r w:rsidRPr="00E9174E">
        <w:rPr>
          <w:rFonts w:eastAsiaTheme="minorHAnsi"/>
          <w:sz w:val="26"/>
          <w:szCs w:val="26"/>
        </w:rPr>
        <w:t xml:space="preserve">.  The Company’s analysis identified non-regulated companies with comparable risk and produced a cost rate of 12.75% (updated to 12.70%).  CG St.  8 at 43-44; Columbia </w:t>
      </w:r>
      <w:proofErr w:type="spellStart"/>
      <w:r w:rsidRPr="00E9174E">
        <w:rPr>
          <w:rFonts w:eastAsiaTheme="minorHAnsi"/>
          <w:sz w:val="26"/>
          <w:szCs w:val="26"/>
        </w:rPr>
        <w:t>Exh</w:t>
      </w:r>
      <w:proofErr w:type="spellEnd"/>
      <w:r w:rsidRPr="00E9174E">
        <w:rPr>
          <w:rFonts w:eastAsiaTheme="minorHAnsi"/>
          <w:sz w:val="26"/>
          <w:szCs w:val="26"/>
        </w:rPr>
        <w:t>. 400 (Updated) at</w:t>
      </w:r>
      <w:r w:rsidR="00FC27EE" w:rsidRPr="00E9174E">
        <w:rPr>
          <w:rFonts w:eastAsiaTheme="minorHAnsi"/>
          <w:sz w:val="26"/>
          <w:szCs w:val="26"/>
        </w:rPr>
        <w:t> </w:t>
      </w:r>
      <w:r w:rsidRPr="00E9174E">
        <w:rPr>
          <w:rFonts w:eastAsiaTheme="minorHAnsi"/>
          <w:sz w:val="26"/>
          <w:szCs w:val="26"/>
        </w:rPr>
        <w:t>2.</w:t>
      </w:r>
    </w:p>
    <w:p w14:paraId="24A6476B" w14:textId="77777777" w:rsidR="00D80C2B" w:rsidRPr="00E9174E" w:rsidRDefault="00D80C2B" w:rsidP="00E9174E">
      <w:pPr>
        <w:widowControl/>
        <w:spacing w:line="360" w:lineRule="auto"/>
        <w:ind w:firstLine="720"/>
        <w:contextualSpacing/>
        <w:rPr>
          <w:rFonts w:eastAsiaTheme="minorHAnsi"/>
          <w:sz w:val="26"/>
          <w:szCs w:val="26"/>
        </w:rPr>
      </w:pPr>
    </w:p>
    <w:p w14:paraId="1A0E99C8" w14:textId="77777777" w:rsidR="00D80C2B" w:rsidRPr="00E9174E" w:rsidRDefault="00D80C2B" w:rsidP="00E9174E">
      <w:pPr>
        <w:widowControl/>
        <w:spacing w:line="360" w:lineRule="auto"/>
        <w:ind w:firstLine="1440"/>
        <w:contextualSpacing/>
        <w:rPr>
          <w:rFonts w:eastAsiaTheme="minorHAnsi"/>
          <w:sz w:val="26"/>
          <w:szCs w:val="26"/>
        </w:rPr>
      </w:pPr>
      <w:r w:rsidRPr="00E9174E">
        <w:rPr>
          <w:rFonts w:eastAsiaTheme="minorHAnsi"/>
          <w:sz w:val="26"/>
          <w:szCs w:val="26"/>
        </w:rPr>
        <w:t>I&amp;E submitted that neither the RP method nor the CE method should be used in determining an appropriate cost of equity in a base rate proceeding.  I&amp;E pointed out that the RP method is a simplified version of the CAPM model.  However, I&amp;E noted that while the CAPM directly measures the systematic risk of the company through the use of beta, the RP method does not measure the specific risk of the company.  As to the CE method, I&amp;E charged that it is not market-based and relies upon historic accounting data.  Further, I&amp;E contended that under the CE method, the most problematic issue is determining what constitutes comparable companies.  I&amp;E St. 2 at 20.</w:t>
      </w:r>
    </w:p>
    <w:p w14:paraId="3D2E5331" w14:textId="77777777" w:rsidR="00D80C2B" w:rsidRPr="00E9174E" w:rsidRDefault="00D80C2B" w:rsidP="00E9174E">
      <w:pPr>
        <w:widowControl/>
        <w:spacing w:line="360" w:lineRule="auto"/>
        <w:ind w:firstLine="720"/>
        <w:contextualSpacing/>
        <w:rPr>
          <w:rFonts w:eastAsiaTheme="minorHAnsi"/>
          <w:sz w:val="26"/>
          <w:szCs w:val="26"/>
        </w:rPr>
      </w:pPr>
    </w:p>
    <w:p w14:paraId="353A47DB" w14:textId="77777777" w:rsidR="00D80C2B" w:rsidRPr="00E9174E" w:rsidRDefault="00D80C2B" w:rsidP="00E9174E">
      <w:pPr>
        <w:widowControl/>
        <w:spacing w:line="360" w:lineRule="auto"/>
        <w:ind w:firstLine="1440"/>
        <w:contextualSpacing/>
        <w:rPr>
          <w:rFonts w:eastAsiaTheme="minorHAnsi"/>
          <w:sz w:val="26"/>
          <w:szCs w:val="26"/>
        </w:rPr>
      </w:pPr>
      <w:r w:rsidRPr="00E9174E">
        <w:rPr>
          <w:rFonts w:eastAsiaTheme="minorHAnsi"/>
          <w:sz w:val="26"/>
          <w:szCs w:val="26"/>
        </w:rPr>
        <w:t xml:space="preserve">The OCA conducted two different CE analyses.  The first examines returns on book value equity for the comparable group.  The second examines allowed natural gas utility returns over an extended period of time to evaluate the trend in returns for companies of similar risk.  However, the OCA stated the Comparable Earnings Analysis is inferior to the DCF model and should be given much less weight in the determination of the ROE recommended in this case.  The OCA used historic and forecasted earned returns on book value equity resulting in average earned returns on equity ranging from 8.9% to 10.5%.  The OCA’s second Comparable Earnings Analysis takes the average </w:t>
      </w:r>
      <w:r w:rsidRPr="00E9174E">
        <w:rPr>
          <w:rFonts w:eastAsiaTheme="minorHAnsi"/>
          <w:sz w:val="26"/>
          <w:szCs w:val="26"/>
        </w:rPr>
        <w:lastRenderedPageBreak/>
        <w:t>authorized return on equity for natural gas utilities by state regulators across the United States from 2005 to 2019.  The OCA averred the average allowed return on equity over this period is 9.95%.  OCA M.B. at 93-94; OCA St. 3 at 57-58.</w:t>
      </w:r>
    </w:p>
    <w:p w14:paraId="17E37A39" w14:textId="77777777" w:rsidR="00D80C2B" w:rsidRPr="00E9174E" w:rsidRDefault="00D80C2B" w:rsidP="00E9174E">
      <w:pPr>
        <w:widowControl/>
        <w:spacing w:line="360" w:lineRule="auto"/>
        <w:ind w:firstLine="720"/>
        <w:contextualSpacing/>
        <w:rPr>
          <w:rFonts w:eastAsiaTheme="minorHAnsi"/>
          <w:sz w:val="26"/>
          <w:szCs w:val="26"/>
        </w:rPr>
      </w:pPr>
    </w:p>
    <w:p w14:paraId="0CD49222" w14:textId="77777777" w:rsidR="00D80C2B" w:rsidRPr="00E9174E" w:rsidRDefault="00D80C2B" w:rsidP="00E9174E">
      <w:pPr>
        <w:widowControl/>
        <w:spacing w:line="360" w:lineRule="auto"/>
        <w:ind w:firstLine="1440"/>
        <w:contextualSpacing/>
        <w:rPr>
          <w:rFonts w:eastAsiaTheme="minorHAnsi"/>
          <w:sz w:val="26"/>
          <w:szCs w:val="26"/>
        </w:rPr>
      </w:pPr>
      <w:r w:rsidRPr="00E9174E">
        <w:rPr>
          <w:rFonts w:eastAsiaTheme="minorHAnsi"/>
          <w:sz w:val="26"/>
          <w:szCs w:val="26"/>
        </w:rPr>
        <w:t>The OCA claimed that the Commission should give little, if any, weight to Columbia’s RP and CAPM analyses.  The OCA argued that Columbia’s RP and CAPM analyses are flawed by the Company’s choice of inputs and inclusion of a size adjustment.  Further, the OCA noted the RP and CAPM are both essentially risk premium models, with CAPM more company specific due to its use of beta to measure systemic risk.  The OCA averred that the Company’s CE analysis did not address the cost of equity for Columbia and focused on companies that are not public utility companies.  OCA M.B. at 72-77.</w:t>
      </w:r>
    </w:p>
    <w:p w14:paraId="314C8A3E" w14:textId="77777777" w:rsidR="00F76C1C" w:rsidRPr="00E9174E" w:rsidRDefault="00F76C1C" w:rsidP="00E9174E">
      <w:pPr>
        <w:widowControl/>
        <w:spacing w:line="360" w:lineRule="auto"/>
        <w:ind w:firstLine="1440"/>
        <w:contextualSpacing/>
        <w:rPr>
          <w:rFonts w:eastAsiaTheme="minorHAnsi"/>
          <w:sz w:val="26"/>
          <w:szCs w:val="26"/>
        </w:rPr>
      </w:pPr>
    </w:p>
    <w:p w14:paraId="086435F0" w14:textId="77777777" w:rsidR="00D80C2B" w:rsidRPr="00E9174E" w:rsidRDefault="00D80C2B" w:rsidP="00E9174E">
      <w:pPr>
        <w:widowControl/>
        <w:spacing w:line="360" w:lineRule="auto"/>
        <w:ind w:firstLine="1440"/>
        <w:contextualSpacing/>
        <w:rPr>
          <w:rFonts w:eastAsiaTheme="minorHAnsi"/>
          <w:sz w:val="26"/>
          <w:szCs w:val="26"/>
        </w:rPr>
      </w:pPr>
      <w:r w:rsidRPr="00E9174E">
        <w:rPr>
          <w:rFonts w:eastAsiaTheme="minorHAnsi"/>
          <w:sz w:val="26"/>
          <w:szCs w:val="26"/>
        </w:rPr>
        <w:t>Therefore, I&amp;E and the OCA recommended using the DCF method as the primary method to determine the cost of common equity and using the CAPM method as a comparison to the DCF results.  Both I&amp;E and the OCA pointed out that the DCF method has historically been the Commission’s preferred method of setting common equity cost rates.  I&amp;E M.B. at 39-41; OCA M.B. at 73.</w:t>
      </w:r>
    </w:p>
    <w:p w14:paraId="0775E9CB" w14:textId="77777777" w:rsidR="00D80C2B" w:rsidRPr="00E9174E" w:rsidRDefault="00D80C2B" w:rsidP="00E9174E">
      <w:pPr>
        <w:widowControl/>
        <w:spacing w:line="360" w:lineRule="auto"/>
        <w:ind w:firstLine="1440"/>
        <w:contextualSpacing/>
        <w:rPr>
          <w:rFonts w:eastAsiaTheme="minorHAnsi"/>
          <w:sz w:val="26"/>
          <w:szCs w:val="26"/>
        </w:rPr>
      </w:pPr>
    </w:p>
    <w:p w14:paraId="7456A863" w14:textId="5D47973A" w:rsidR="00E919D2" w:rsidRPr="00E9174E" w:rsidRDefault="009F3929" w:rsidP="00F94A24">
      <w:pPr>
        <w:pStyle w:val="Heading5"/>
      </w:pPr>
      <w:bookmarkStart w:id="285" w:name="_Toc63764536"/>
      <w:r w:rsidRPr="00E9174E">
        <w:t>Recommended Decision</w:t>
      </w:r>
      <w:bookmarkEnd w:id="285"/>
    </w:p>
    <w:p w14:paraId="3B86C524" w14:textId="77777777" w:rsidR="00E919D2" w:rsidRPr="00E9174E" w:rsidRDefault="00E919D2" w:rsidP="00E9174E">
      <w:pPr>
        <w:keepNext/>
        <w:keepLines/>
        <w:widowControl/>
        <w:spacing w:line="360" w:lineRule="auto"/>
        <w:ind w:firstLine="1440"/>
        <w:contextualSpacing/>
        <w:rPr>
          <w:sz w:val="26"/>
          <w:szCs w:val="26"/>
        </w:rPr>
      </w:pPr>
    </w:p>
    <w:p w14:paraId="44CD8C53" w14:textId="77777777" w:rsidR="00B96FAC" w:rsidRPr="00E9174E" w:rsidRDefault="00B96FAC" w:rsidP="00E9174E">
      <w:pPr>
        <w:widowControl/>
        <w:spacing w:line="360" w:lineRule="auto"/>
        <w:ind w:firstLine="1440"/>
        <w:contextualSpacing/>
        <w:rPr>
          <w:rFonts w:eastAsiaTheme="minorHAnsi"/>
          <w:sz w:val="26"/>
          <w:szCs w:val="26"/>
        </w:rPr>
      </w:pPr>
      <w:r w:rsidRPr="00E9174E">
        <w:rPr>
          <w:rFonts w:eastAsiaTheme="minorHAnsi"/>
          <w:sz w:val="26"/>
          <w:szCs w:val="26"/>
        </w:rPr>
        <w:t xml:space="preserve">The ALJ agreed with I&amp;E’s proposal to calculate the recommended return on equity pursuant to the DCF methodology, using I&amp;E’s barometer group, and use the CAPM as an alternate means to verify the reasonableness of the return on equity.  The ALJ recommended the Commission approve the use of the DCF method as the primary method to determine the cost of common equity and to use the results of the CAPM as a comparison to the DCF results, consistent with the methodology commonly endorsed by the Commission in base rate proceedings.  R.D. at 184.  </w:t>
      </w:r>
    </w:p>
    <w:p w14:paraId="5DF87406" w14:textId="77777777" w:rsidR="00E919D2" w:rsidRPr="00E9174E" w:rsidRDefault="00E919D2" w:rsidP="00E9174E">
      <w:pPr>
        <w:widowControl/>
        <w:spacing w:line="360" w:lineRule="auto"/>
        <w:ind w:firstLine="1440"/>
        <w:contextualSpacing/>
        <w:rPr>
          <w:rFonts w:eastAsiaTheme="minorHAnsi"/>
          <w:sz w:val="26"/>
          <w:szCs w:val="26"/>
        </w:rPr>
      </w:pPr>
    </w:p>
    <w:p w14:paraId="1F87F09C" w14:textId="2CE59506" w:rsidR="00E919D2" w:rsidRPr="00E9174E" w:rsidRDefault="00E919D2" w:rsidP="00F94A24">
      <w:pPr>
        <w:pStyle w:val="Heading5"/>
      </w:pPr>
      <w:bookmarkStart w:id="286" w:name="_Toc63764537"/>
      <w:r w:rsidRPr="00E9174E">
        <w:lastRenderedPageBreak/>
        <w:t>Exceptions</w:t>
      </w:r>
      <w:bookmarkEnd w:id="286"/>
    </w:p>
    <w:p w14:paraId="3D264FC3" w14:textId="77777777" w:rsidR="00E919D2" w:rsidRPr="00E9174E" w:rsidRDefault="00E919D2" w:rsidP="00E9174E">
      <w:pPr>
        <w:keepNext/>
        <w:keepLines/>
        <w:widowControl/>
        <w:spacing w:line="360" w:lineRule="auto"/>
        <w:ind w:firstLine="1440"/>
        <w:contextualSpacing/>
        <w:rPr>
          <w:sz w:val="26"/>
          <w:szCs w:val="26"/>
        </w:rPr>
      </w:pPr>
    </w:p>
    <w:p w14:paraId="0B3C9982" w14:textId="77777777" w:rsidR="00670951" w:rsidRPr="00E9174E" w:rsidRDefault="00670951" w:rsidP="00E9174E">
      <w:pPr>
        <w:widowControl/>
        <w:spacing w:line="360" w:lineRule="auto"/>
        <w:ind w:firstLine="1440"/>
        <w:contextualSpacing/>
        <w:rPr>
          <w:rFonts w:eastAsiaTheme="minorHAnsi"/>
          <w:sz w:val="26"/>
          <w:szCs w:val="26"/>
        </w:rPr>
      </w:pPr>
      <w:r w:rsidRPr="00E9174E">
        <w:rPr>
          <w:rFonts w:eastAsiaTheme="minorHAnsi"/>
          <w:sz w:val="26"/>
          <w:szCs w:val="26"/>
        </w:rPr>
        <w:t xml:space="preserve">In its Exceptions, Columbia stated that it does not except to calculating the return on common equity by relying principally upon the DCF methodology, consistent with recent Commission decisions.  However, the Company stressed that it continues to support the use of multiple methods to account for problems inherent in all methods used to calculate returns on common equity.  CG Exc. at 24.  </w:t>
      </w:r>
    </w:p>
    <w:p w14:paraId="742C39C2" w14:textId="77777777" w:rsidR="00E919D2" w:rsidRPr="00E9174E" w:rsidRDefault="00E919D2" w:rsidP="00E9174E">
      <w:pPr>
        <w:widowControl/>
        <w:spacing w:line="360" w:lineRule="auto"/>
        <w:ind w:firstLine="1440"/>
        <w:contextualSpacing/>
        <w:rPr>
          <w:rFonts w:eastAsiaTheme="minorHAnsi"/>
          <w:sz w:val="26"/>
          <w:szCs w:val="26"/>
        </w:rPr>
      </w:pPr>
    </w:p>
    <w:p w14:paraId="5FB0CFC6" w14:textId="382863EC" w:rsidR="00E919D2" w:rsidRPr="00E9174E" w:rsidRDefault="00E919D2" w:rsidP="00F94A24">
      <w:pPr>
        <w:pStyle w:val="Heading5"/>
      </w:pPr>
      <w:bookmarkStart w:id="287" w:name="_Toc63764538"/>
      <w:bookmarkStart w:id="288" w:name="_Hlk37974373"/>
      <w:r w:rsidRPr="00E9174E">
        <w:t>Disposition</w:t>
      </w:r>
      <w:bookmarkEnd w:id="287"/>
    </w:p>
    <w:p w14:paraId="1D1FB8EC" w14:textId="77777777" w:rsidR="00E919D2" w:rsidRPr="00E9174E" w:rsidRDefault="00E919D2" w:rsidP="00E9174E">
      <w:pPr>
        <w:keepNext/>
        <w:keepLines/>
        <w:widowControl/>
        <w:spacing w:line="360" w:lineRule="auto"/>
        <w:ind w:firstLine="1440"/>
        <w:contextualSpacing/>
        <w:rPr>
          <w:sz w:val="26"/>
          <w:szCs w:val="26"/>
        </w:rPr>
      </w:pPr>
    </w:p>
    <w:bookmarkEnd w:id="288"/>
    <w:p w14:paraId="52364B85" w14:textId="2393DCC6" w:rsidR="008C07D7" w:rsidRPr="00E9174E" w:rsidRDefault="008C07D7" w:rsidP="00E9174E">
      <w:pPr>
        <w:widowControl/>
        <w:spacing w:line="360" w:lineRule="auto"/>
        <w:ind w:firstLine="1440"/>
        <w:contextualSpacing/>
        <w:rPr>
          <w:rFonts w:eastAsiaTheme="minorHAnsi"/>
          <w:sz w:val="26"/>
          <w:szCs w:val="26"/>
        </w:rPr>
      </w:pPr>
      <w:r w:rsidRPr="00E9174E">
        <w:rPr>
          <w:rFonts w:eastAsiaTheme="minorHAnsi"/>
          <w:sz w:val="26"/>
          <w:szCs w:val="26"/>
        </w:rPr>
        <w:t>Upon our consideration of the record evidence, we agree with the finding of the ALJ that the Company’s cost of equity in this proceeding should primarily be based upon the use of the DCF methodology and that the results of the CAPM analysis should be used as a comparison to the DCF results.  We note</w:t>
      </w:r>
      <w:r w:rsidR="00AC6D5C" w:rsidRPr="00E9174E">
        <w:rPr>
          <w:rFonts w:eastAsiaTheme="minorHAnsi"/>
          <w:sz w:val="26"/>
          <w:szCs w:val="26"/>
        </w:rPr>
        <w:t xml:space="preserve"> that </w:t>
      </w:r>
      <w:r w:rsidRPr="00E9174E">
        <w:rPr>
          <w:rFonts w:eastAsiaTheme="minorHAnsi"/>
          <w:sz w:val="26"/>
          <w:szCs w:val="26"/>
        </w:rPr>
        <w:t>where evidence based on other cost of equity methods indicates that the DCF-only results may understate the utility’s current cost of equity capital, we will consider those other methods, to some degree, in evaluating the appropriate range of reasonableness for our equity return determination.</w:t>
      </w:r>
    </w:p>
    <w:p w14:paraId="07FC1ACA" w14:textId="77777777" w:rsidR="008C07D7" w:rsidRPr="00E9174E" w:rsidRDefault="008C07D7" w:rsidP="00E9174E">
      <w:pPr>
        <w:widowControl/>
        <w:spacing w:line="360" w:lineRule="auto"/>
        <w:ind w:firstLine="1440"/>
        <w:contextualSpacing/>
        <w:rPr>
          <w:rFonts w:eastAsiaTheme="minorHAnsi"/>
          <w:sz w:val="26"/>
          <w:szCs w:val="26"/>
        </w:rPr>
      </w:pPr>
    </w:p>
    <w:p w14:paraId="6D9C7951" w14:textId="77777777" w:rsidR="008C07D7" w:rsidRPr="00E9174E" w:rsidRDefault="008C07D7" w:rsidP="00E9174E">
      <w:pPr>
        <w:widowControl/>
        <w:spacing w:line="360" w:lineRule="auto"/>
        <w:ind w:firstLine="1440"/>
        <w:contextualSpacing/>
        <w:rPr>
          <w:rFonts w:eastAsiaTheme="minorHAnsi"/>
          <w:sz w:val="26"/>
          <w:szCs w:val="26"/>
        </w:rPr>
      </w:pPr>
      <w:r w:rsidRPr="00E9174E">
        <w:rPr>
          <w:rFonts w:eastAsiaTheme="minorHAnsi"/>
          <w:sz w:val="26"/>
          <w:szCs w:val="26"/>
        </w:rPr>
        <w:t xml:space="preserve">In light of the above, we shall adopt the position of I&amp;E and shall base our determination of the appropriate cost of equity on the results of the DCF method and shall use the CAPM results as a comparison thereto.  As I&amp;E noted, the use of the DCF model has historically been our preferred methodology and was recently affirmed in </w:t>
      </w:r>
      <w:r w:rsidRPr="00E9174E">
        <w:rPr>
          <w:rFonts w:eastAsiaTheme="minorHAnsi"/>
          <w:i/>
          <w:sz w:val="26"/>
          <w:szCs w:val="26"/>
        </w:rPr>
        <w:t>UGI Electric</w:t>
      </w:r>
      <w:r w:rsidRPr="00E9174E">
        <w:rPr>
          <w:rFonts w:eastAsiaTheme="minorHAnsi"/>
          <w:iCs/>
          <w:sz w:val="26"/>
          <w:szCs w:val="26"/>
        </w:rPr>
        <w:t>.</w:t>
      </w:r>
      <w:r w:rsidRPr="00E9174E">
        <w:rPr>
          <w:rFonts w:eastAsiaTheme="minorHAnsi"/>
          <w:sz w:val="26"/>
          <w:szCs w:val="26"/>
        </w:rPr>
        <w:t xml:space="preserve">  Like the ALJ, we find no reason to deviate from the use of this method in the instant case.  </w:t>
      </w:r>
    </w:p>
    <w:p w14:paraId="26E712A3" w14:textId="77777777" w:rsidR="008C07D7" w:rsidRPr="00E9174E" w:rsidRDefault="008C07D7" w:rsidP="00E9174E">
      <w:pPr>
        <w:widowControl/>
        <w:spacing w:line="360" w:lineRule="auto"/>
        <w:ind w:firstLine="1440"/>
        <w:contextualSpacing/>
        <w:rPr>
          <w:rFonts w:eastAsiaTheme="minorHAnsi"/>
          <w:sz w:val="26"/>
          <w:szCs w:val="26"/>
        </w:rPr>
      </w:pPr>
    </w:p>
    <w:p w14:paraId="4B1D3532" w14:textId="45620D24" w:rsidR="00E919D2" w:rsidRPr="00E9174E" w:rsidRDefault="00E919D2" w:rsidP="00277ECF">
      <w:pPr>
        <w:pStyle w:val="Heading3"/>
        <w:numPr>
          <w:ilvl w:val="0"/>
          <w:numId w:val="25"/>
        </w:numPr>
        <w:ind w:left="1440" w:hanging="720"/>
        <w:rPr>
          <w:rFonts w:eastAsiaTheme="minorHAnsi"/>
        </w:rPr>
      </w:pPr>
      <w:bookmarkStart w:id="289" w:name="_Toc63764539"/>
      <w:r w:rsidRPr="00E9174E">
        <w:lastRenderedPageBreak/>
        <w:t>Management</w:t>
      </w:r>
      <w:r w:rsidRPr="00E9174E">
        <w:rPr>
          <w:rFonts w:eastAsiaTheme="minorHAnsi"/>
        </w:rPr>
        <w:t xml:space="preserve"> Effectiveness Adjustment</w:t>
      </w:r>
      <w:bookmarkEnd w:id="289"/>
    </w:p>
    <w:p w14:paraId="3A8EA3CB" w14:textId="77777777" w:rsidR="00E919D2" w:rsidRPr="00E9174E" w:rsidRDefault="00E919D2" w:rsidP="00E9174E">
      <w:pPr>
        <w:keepNext/>
        <w:keepLines/>
        <w:widowControl/>
        <w:spacing w:line="360" w:lineRule="auto"/>
        <w:contextualSpacing/>
        <w:rPr>
          <w:rFonts w:eastAsiaTheme="minorHAnsi"/>
          <w:sz w:val="26"/>
          <w:szCs w:val="26"/>
        </w:rPr>
      </w:pPr>
    </w:p>
    <w:p w14:paraId="0D2E7A6A" w14:textId="1DC7DA65" w:rsidR="00E919D2" w:rsidRPr="00706ADD" w:rsidRDefault="00E919D2" w:rsidP="00277ECF">
      <w:pPr>
        <w:pStyle w:val="Heading4"/>
        <w:numPr>
          <w:ilvl w:val="0"/>
          <w:numId w:val="57"/>
        </w:numPr>
        <w:ind w:left="2160" w:hanging="720"/>
        <w:rPr>
          <w:rFonts w:eastAsiaTheme="minorHAnsi"/>
        </w:rPr>
      </w:pPr>
      <w:bookmarkStart w:id="290" w:name="_Toc63764540"/>
      <w:r w:rsidRPr="00E9174E">
        <w:t>Positions</w:t>
      </w:r>
      <w:r w:rsidRPr="00706ADD">
        <w:rPr>
          <w:rFonts w:eastAsiaTheme="minorHAnsi"/>
        </w:rPr>
        <w:t xml:space="preserve"> of the Parties</w:t>
      </w:r>
      <w:bookmarkEnd w:id="290"/>
    </w:p>
    <w:p w14:paraId="4B1AFBEA" w14:textId="77777777" w:rsidR="00E919D2" w:rsidRPr="00E9174E" w:rsidRDefault="00E919D2" w:rsidP="00E9174E">
      <w:pPr>
        <w:keepNext/>
        <w:keepLines/>
        <w:widowControl/>
        <w:spacing w:line="360" w:lineRule="auto"/>
        <w:contextualSpacing/>
        <w:rPr>
          <w:rFonts w:eastAsiaTheme="minorHAnsi"/>
          <w:sz w:val="26"/>
          <w:szCs w:val="26"/>
        </w:rPr>
      </w:pPr>
    </w:p>
    <w:p w14:paraId="0ACC3B10" w14:textId="77777777" w:rsidR="00D46647" w:rsidRPr="00E9174E" w:rsidRDefault="00D46647" w:rsidP="00E9174E">
      <w:pPr>
        <w:widowControl/>
        <w:spacing w:line="360" w:lineRule="auto"/>
        <w:ind w:firstLine="1440"/>
        <w:contextualSpacing/>
        <w:rPr>
          <w:sz w:val="26"/>
          <w:szCs w:val="26"/>
        </w:rPr>
      </w:pPr>
      <w:bookmarkStart w:id="291" w:name="_Hlk37355666"/>
      <w:r w:rsidRPr="00E9174E">
        <w:rPr>
          <w:sz w:val="26"/>
          <w:szCs w:val="26"/>
        </w:rPr>
        <w:t>Columbia included a twenty-basis point management effectiveness upward adjustment to its ROE claim.  CG M.B. at 92-97.</w:t>
      </w:r>
    </w:p>
    <w:bookmarkEnd w:id="291"/>
    <w:p w14:paraId="58029660" w14:textId="77777777" w:rsidR="00D46647" w:rsidRPr="00E9174E" w:rsidRDefault="00D46647" w:rsidP="00E9174E">
      <w:pPr>
        <w:widowControl/>
        <w:spacing w:line="360" w:lineRule="auto"/>
        <w:ind w:firstLine="1440"/>
        <w:contextualSpacing/>
        <w:rPr>
          <w:sz w:val="26"/>
          <w:szCs w:val="26"/>
        </w:rPr>
      </w:pPr>
    </w:p>
    <w:p w14:paraId="764FB83D" w14:textId="6B4E2BEC" w:rsidR="00D46647" w:rsidRPr="00E9174E" w:rsidRDefault="00D46647" w:rsidP="00E9174E">
      <w:pPr>
        <w:widowControl/>
        <w:spacing w:line="360" w:lineRule="auto"/>
        <w:ind w:firstLine="1440"/>
        <w:contextualSpacing/>
        <w:rPr>
          <w:sz w:val="26"/>
          <w:szCs w:val="26"/>
        </w:rPr>
      </w:pPr>
      <w:r w:rsidRPr="00E9174E">
        <w:rPr>
          <w:sz w:val="26"/>
          <w:szCs w:val="26"/>
        </w:rPr>
        <w:t>I&amp;E, the OCA, and the OSBA each opposed any allowance for management effectiveness.  I&amp;E M.B. at 66-70; OCA M.B. at 95-111; OCA R.B. at</w:t>
      </w:r>
      <w:r w:rsidR="002E1879">
        <w:rPr>
          <w:sz w:val="26"/>
          <w:szCs w:val="26"/>
        </w:rPr>
        <w:t> </w:t>
      </w:r>
      <w:r w:rsidRPr="00E9174E">
        <w:rPr>
          <w:sz w:val="26"/>
          <w:szCs w:val="26"/>
        </w:rPr>
        <w:t>45</w:t>
      </w:r>
      <w:r w:rsidRPr="00E9174E">
        <w:rPr>
          <w:sz w:val="26"/>
          <w:szCs w:val="26"/>
        </w:rPr>
        <w:noBreakHyphen/>
        <w:t>50; OSBA M.B. at 9-10.</w:t>
      </w:r>
    </w:p>
    <w:p w14:paraId="6B5BF46B" w14:textId="77777777" w:rsidR="00D46647" w:rsidRPr="00E9174E" w:rsidRDefault="00D46647" w:rsidP="00E9174E">
      <w:pPr>
        <w:widowControl/>
        <w:spacing w:line="360" w:lineRule="auto"/>
        <w:ind w:firstLine="1440"/>
        <w:contextualSpacing/>
        <w:rPr>
          <w:rFonts w:eastAsiaTheme="minorHAnsi"/>
          <w:sz w:val="26"/>
          <w:szCs w:val="26"/>
        </w:rPr>
      </w:pPr>
    </w:p>
    <w:p w14:paraId="41BC9B3E" w14:textId="0603ADCD" w:rsidR="00D46647" w:rsidRPr="00E9174E" w:rsidRDefault="00D46647" w:rsidP="00E9174E">
      <w:pPr>
        <w:widowControl/>
        <w:spacing w:line="360" w:lineRule="auto"/>
        <w:ind w:firstLine="1440"/>
        <w:contextualSpacing/>
        <w:rPr>
          <w:rFonts w:eastAsiaTheme="minorHAnsi"/>
          <w:sz w:val="26"/>
          <w:szCs w:val="26"/>
        </w:rPr>
      </w:pPr>
      <w:r w:rsidRPr="00E9174E">
        <w:rPr>
          <w:rFonts w:eastAsiaTheme="minorHAnsi"/>
          <w:sz w:val="26"/>
          <w:szCs w:val="26"/>
        </w:rPr>
        <w:t xml:space="preserve">Columbia submitted that, in accordance with Section 523 of the Code, 66 Pa. C.S. § 523, the Commission is required to consider management effectiveness in setting a utility’s rates.  According to Columbia, it has demonstrated strong performance in the area of management effectiveness.  Columbia claimed that this has been demonstrated through, </w:t>
      </w:r>
      <w:r w:rsidRPr="00E9174E">
        <w:rPr>
          <w:rFonts w:eastAsiaTheme="minorHAnsi"/>
          <w:i/>
          <w:iCs/>
          <w:sz w:val="26"/>
          <w:szCs w:val="26"/>
        </w:rPr>
        <w:t>inter alia</w:t>
      </w:r>
      <w:r w:rsidRPr="00E9174E">
        <w:rPr>
          <w:rFonts w:eastAsiaTheme="minorHAnsi"/>
          <w:sz w:val="26"/>
          <w:szCs w:val="26"/>
        </w:rPr>
        <w:t xml:space="preserve">, its enhanced safety measures, its accelerated infrastructure replacement plan, superior results in PUC Management Performance Audit and PUC </w:t>
      </w:r>
      <w:bookmarkStart w:id="292" w:name="_Hlk63280384"/>
      <w:r w:rsidRPr="00E9174E">
        <w:rPr>
          <w:rFonts w:eastAsiaTheme="minorHAnsi"/>
          <w:sz w:val="26"/>
          <w:szCs w:val="26"/>
        </w:rPr>
        <w:t xml:space="preserve">Utility Consumer Report and Evaluation </w:t>
      </w:r>
      <w:bookmarkEnd w:id="292"/>
      <w:r w:rsidRPr="00E9174E">
        <w:rPr>
          <w:rFonts w:eastAsiaTheme="minorHAnsi"/>
          <w:sz w:val="26"/>
          <w:szCs w:val="26"/>
        </w:rPr>
        <w:t>(</w:t>
      </w:r>
      <w:bookmarkStart w:id="293" w:name="_Hlk63280368"/>
      <w:r w:rsidRPr="00E9174E">
        <w:rPr>
          <w:rFonts w:eastAsiaTheme="minorHAnsi"/>
          <w:sz w:val="26"/>
          <w:szCs w:val="26"/>
        </w:rPr>
        <w:t>UCARE</w:t>
      </w:r>
      <w:bookmarkEnd w:id="293"/>
      <w:r w:rsidRPr="00E9174E">
        <w:rPr>
          <w:rFonts w:eastAsiaTheme="minorHAnsi"/>
          <w:sz w:val="26"/>
          <w:szCs w:val="26"/>
        </w:rPr>
        <w:t xml:space="preserve">) reports, its </w:t>
      </w:r>
      <w:bookmarkStart w:id="294" w:name="_Hlk63280496"/>
      <w:r w:rsidRPr="00E9174E">
        <w:rPr>
          <w:rFonts w:eastAsiaTheme="minorHAnsi"/>
          <w:sz w:val="26"/>
          <w:szCs w:val="26"/>
        </w:rPr>
        <w:t>Payment Arrangement Request</w:t>
      </w:r>
      <w:bookmarkEnd w:id="294"/>
      <w:r w:rsidRPr="00E9174E">
        <w:rPr>
          <w:rFonts w:eastAsiaTheme="minorHAnsi"/>
          <w:sz w:val="26"/>
          <w:szCs w:val="26"/>
        </w:rPr>
        <w:t xml:space="preserve"> (</w:t>
      </w:r>
      <w:bookmarkStart w:id="295" w:name="_Hlk63280473"/>
      <w:r w:rsidRPr="00E9174E">
        <w:rPr>
          <w:rFonts w:eastAsiaTheme="minorHAnsi"/>
          <w:sz w:val="26"/>
          <w:szCs w:val="26"/>
        </w:rPr>
        <w:t>PAR</w:t>
      </w:r>
      <w:bookmarkEnd w:id="295"/>
      <w:r w:rsidRPr="00E9174E">
        <w:rPr>
          <w:rFonts w:eastAsiaTheme="minorHAnsi"/>
          <w:sz w:val="26"/>
          <w:szCs w:val="26"/>
        </w:rPr>
        <w:t>) rate, its Quality of Service Performance report, and its result in the 2019 J.D. Power Residential Customer Satisfaction Survey.  CG M.B. at 92</w:t>
      </w:r>
      <w:r w:rsidRPr="00E9174E">
        <w:rPr>
          <w:rFonts w:eastAsiaTheme="minorHAnsi"/>
          <w:sz w:val="26"/>
          <w:szCs w:val="26"/>
        </w:rPr>
        <w:noBreakHyphen/>
        <w:t>97.</w:t>
      </w:r>
    </w:p>
    <w:p w14:paraId="7B9C626D" w14:textId="77777777" w:rsidR="00D46647" w:rsidRPr="00E9174E" w:rsidRDefault="00D46647" w:rsidP="00E9174E">
      <w:pPr>
        <w:widowControl/>
        <w:spacing w:line="360" w:lineRule="auto"/>
        <w:ind w:firstLine="1440"/>
        <w:contextualSpacing/>
        <w:rPr>
          <w:rFonts w:eastAsiaTheme="minorHAnsi"/>
          <w:sz w:val="26"/>
          <w:szCs w:val="26"/>
        </w:rPr>
      </w:pPr>
    </w:p>
    <w:p w14:paraId="3978E5AF" w14:textId="310C986B" w:rsidR="00D46647" w:rsidRPr="00E9174E" w:rsidRDefault="00D46647" w:rsidP="00E9174E">
      <w:pPr>
        <w:widowControl/>
        <w:spacing w:line="360" w:lineRule="auto"/>
        <w:ind w:firstLine="1440"/>
        <w:contextualSpacing/>
        <w:rPr>
          <w:rFonts w:eastAsiaTheme="minorHAnsi"/>
          <w:sz w:val="26"/>
          <w:szCs w:val="26"/>
        </w:rPr>
      </w:pPr>
      <w:r w:rsidRPr="00E9174E">
        <w:rPr>
          <w:rFonts w:eastAsiaTheme="minorHAnsi"/>
          <w:sz w:val="26"/>
          <w:szCs w:val="26"/>
        </w:rPr>
        <w:t>I&amp;E argued that the Company’s proposal is inappropriate and is not supported by the record in this proceeding.  I&amp;E took the position that no utility should reap additional rewards for programs funded by ratepayers for meeting the Company’s statutory obligation under Section 1501 of the Code, 66 Pa. C.S. §</w:t>
      </w:r>
      <w:r w:rsidR="006F76CA" w:rsidRPr="00E9174E">
        <w:rPr>
          <w:rFonts w:eastAsiaTheme="minorHAnsi"/>
          <w:sz w:val="26"/>
          <w:szCs w:val="26"/>
        </w:rPr>
        <w:t xml:space="preserve"> </w:t>
      </w:r>
      <w:r w:rsidRPr="00E9174E">
        <w:rPr>
          <w:rFonts w:eastAsiaTheme="minorHAnsi"/>
          <w:sz w:val="26"/>
          <w:szCs w:val="26"/>
        </w:rPr>
        <w:t>1501, to provide safe and reliable service.  I&amp;E emphasized that if the Company’s twenty-basis points for management effectiveness was awarded</w:t>
      </w:r>
      <w:r w:rsidR="005A400B" w:rsidRPr="00E9174E">
        <w:rPr>
          <w:rFonts w:eastAsiaTheme="minorHAnsi"/>
          <w:sz w:val="26"/>
          <w:szCs w:val="26"/>
        </w:rPr>
        <w:t>,</w:t>
      </w:r>
      <w:r w:rsidRPr="00E9174E">
        <w:rPr>
          <w:rFonts w:eastAsiaTheme="minorHAnsi"/>
          <w:sz w:val="26"/>
          <w:szCs w:val="26"/>
        </w:rPr>
        <w:t xml:space="preserve"> the total impact to ratepayers would be $2,602,667.  According to I&amp;E, ensuring that cost saving measures flow to ratepayers is especially important now as many have recently experienced reduced household income </w:t>
      </w:r>
      <w:r w:rsidRPr="00E9174E">
        <w:rPr>
          <w:rFonts w:eastAsiaTheme="minorHAnsi"/>
          <w:sz w:val="26"/>
          <w:szCs w:val="26"/>
        </w:rPr>
        <w:lastRenderedPageBreak/>
        <w:t>as a result of job loss or reduction in hours due to the global pandemic.  Therefore, I&amp;E stated that the Company’s management effectiveness adjustment should be disallowed.  I&amp;E M.B. at 66-70.</w:t>
      </w:r>
    </w:p>
    <w:p w14:paraId="6E104E9A" w14:textId="77777777" w:rsidR="00D46647" w:rsidRPr="00E9174E" w:rsidRDefault="00D46647" w:rsidP="00E9174E">
      <w:pPr>
        <w:widowControl/>
        <w:spacing w:line="360" w:lineRule="auto"/>
        <w:ind w:firstLine="1440"/>
        <w:contextualSpacing/>
        <w:rPr>
          <w:rFonts w:eastAsiaTheme="minorHAnsi"/>
          <w:sz w:val="26"/>
          <w:szCs w:val="26"/>
        </w:rPr>
      </w:pPr>
    </w:p>
    <w:p w14:paraId="02A45698" w14:textId="77777777" w:rsidR="00D46647" w:rsidRPr="00E9174E" w:rsidRDefault="00D46647" w:rsidP="00E9174E">
      <w:pPr>
        <w:widowControl/>
        <w:spacing w:line="360" w:lineRule="auto"/>
        <w:ind w:firstLine="1440"/>
        <w:contextualSpacing/>
        <w:rPr>
          <w:rFonts w:eastAsiaTheme="minorHAnsi"/>
          <w:sz w:val="26"/>
          <w:szCs w:val="26"/>
        </w:rPr>
      </w:pPr>
      <w:r w:rsidRPr="00E9174E">
        <w:rPr>
          <w:rFonts w:eastAsiaTheme="minorHAnsi"/>
          <w:sz w:val="26"/>
          <w:szCs w:val="26"/>
        </w:rPr>
        <w:t xml:space="preserve">The OCA echoed the position of I&amp;E and asserted that the record evidence in this proceeding does not support Columbia’s request for a management effectiveness adjustment.  The OCA also argued that the </w:t>
      </w:r>
      <w:r w:rsidRPr="00E9174E">
        <w:rPr>
          <w:rFonts w:eastAsiaTheme="minorHAnsi"/>
          <w:i/>
          <w:iCs/>
          <w:sz w:val="26"/>
          <w:szCs w:val="26"/>
        </w:rPr>
        <w:t>Management and Operations Audit of Columbia Gas of Pennsylvania Management Audit, Pennsylvania Public Utility Commission Bureau of Audits</w:t>
      </w:r>
      <w:r w:rsidRPr="00E9174E">
        <w:rPr>
          <w:rFonts w:eastAsiaTheme="minorHAnsi"/>
          <w:sz w:val="26"/>
          <w:szCs w:val="26"/>
        </w:rPr>
        <w:t>, Docket No. D-2019-3011582 (June 2020) (Columbia 2020 Management Audit) rebuts the Company’s exemplary management claim.  The OCA pointed to collections data which, it asserted, demonstrated that while Columbia is not among the worst performing natural gas utilities in Pennsylvania on collections from residential customers, it also does not reflect exemplary management.  Further, the OCA submitted that in its testimony, the Company failed to address a July 31, 2019 gas explosion in Columbia’s service territory which resulted in the destruction of a home, injuries, and damage to approximately sixty other homes.  According to the OCA, although the Company accepted responsibility for the event, the Commission should recognize that this event weighs against Columbia’s position that it has demonstrated exemplary management, in general, and in the area of gas safety and pipeline replacement efforts, specifically.  OCA M.B. at 95-111; OCA R.B. at 45</w:t>
      </w:r>
      <w:r w:rsidRPr="00E9174E">
        <w:rPr>
          <w:rFonts w:eastAsiaTheme="minorHAnsi"/>
          <w:sz w:val="26"/>
          <w:szCs w:val="26"/>
        </w:rPr>
        <w:noBreakHyphen/>
        <w:t>50.</w:t>
      </w:r>
    </w:p>
    <w:p w14:paraId="759AC761" w14:textId="77777777" w:rsidR="00D46647" w:rsidRPr="00E9174E" w:rsidRDefault="00D46647" w:rsidP="00E9174E">
      <w:pPr>
        <w:widowControl/>
        <w:spacing w:line="360" w:lineRule="auto"/>
        <w:ind w:firstLine="1440"/>
        <w:contextualSpacing/>
        <w:rPr>
          <w:rFonts w:eastAsiaTheme="minorHAnsi"/>
          <w:sz w:val="26"/>
          <w:szCs w:val="26"/>
        </w:rPr>
      </w:pPr>
    </w:p>
    <w:p w14:paraId="4DDFBCFD" w14:textId="602E81CE" w:rsidR="00D46647" w:rsidRPr="00E9174E" w:rsidRDefault="00D46647" w:rsidP="00E9174E">
      <w:pPr>
        <w:widowControl/>
        <w:spacing w:line="360" w:lineRule="auto"/>
        <w:ind w:firstLine="1440"/>
        <w:contextualSpacing/>
        <w:rPr>
          <w:rFonts w:eastAsiaTheme="minorHAnsi"/>
          <w:sz w:val="26"/>
          <w:szCs w:val="26"/>
        </w:rPr>
      </w:pPr>
      <w:r w:rsidRPr="00E9174E">
        <w:rPr>
          <w:rFonts w:eastAsiaTheme="minorHAnsi"/>
          <w:sz w:val="26"/>
          <w:szCs w:val="26"/>
        </w:rPr>
        <w:t>The OSBA took the position that demanding a premium from ratepayers during a pandemic is grossly inequitable given the high level of unemployment experienced by residential customers and the detrimental effect the pandemic has had on small businesses.  In addition, the OSBA argued that recent management failures at Columbia’s affiliates indicate that management is undeserving of a reward for exemplary performance.  The OSBA specifically pointed to the management failure and criminal negligence of Columbia Gas of Massachusetts in September of 2018, which led to one fatality and</w:t>
      </w:r>
      <w:r w:rsidR="00E272B6" w:rsidRPr="00E9174E">
        <w:rPr>
          <w:rFonts w:eastAsiaTheme="minorHAnsi"/>
          <w:sz w:val="26"/>
          <w:szCs w:val="26"/>
        </w:rPr>
        <w:t>:</w:t>
      </w:r>
      <w:r w:rsidRPr="00E9174E">
        <w:rPr>
          <w:rFonts w:eastAsiaTheme="minorHAnsi"/>
          <w:sz w:val="26"/>
          <w:szCs w:val="26"/>
        </w:rPr>
        <w:t xml:space="preserve"> (1) massive disruptions to the lives of residents and businesses of several </w:t>
      </w:r>
      <w:r w:rsidRPr="00E9174E">
        <w:rPr>
          <w:rFonts w:eastAsiaTheme="minorHAnsi"/>
          <w:sz w:val="26"/>
          <w:szCs w:val="26"/>
        </w:rPr>
        <w:lastRenderedPageBreak/>
        <w:t>towns in the Merrimack Valley in Massachusetts</w:t>
      </w:r>
      <w:r w:rsidR="00E272B6" w:rsidRPr="00E9174E">
        <w:rPr>
          <w:rFonts w:eastAsiaTheme="minorHAnsi"/>
          <w:sz w:val="26"/>
          <w:szCs w:val="26"/>
        </w:rPr>
        <w:t>;</w:t>
      </w:r>
      <w:r w:rsidRPr="00E9174E">
        <w:rPr>
          <w:rFonts w:eastAsiaTheme="minorHAnsi"/>
          <w:sz w:val="26"/>
          <w:szCs w:val="26"/>
        </w:rPr>
        <w:t xml:space="preserve"> (2) the required divestiture of that local distribution company by NiSource</w:t>
      </w:r>
      <w:r w:rsidR="00E272B6" w:rsidRPr="00E9174E">
        <w:rPr>
          <w:rFonts w:eastAsiaTheme="minorHAnsi"/>
          <w:sz w:val="26"/>
          <w:szCs w:val="26"/>
        </w:rPr>
        <w:t>;</w:t>
      </w:r>
      <w:r w:rsidRPr="00E9174E">
        <w:rPr>
          <w:rFonts w:eastAsiaTheme="minorHAnsi"/>
          <w:sz w:val="26"/>
          <w:szCs w:val="26"/>
        </w:rPr>
        <w:t xml:space="preserve"> and (3) the diversion of resources away from planned investments at Columbia in Pennsylvania.  In the OSBA’s view, not only should </w:t>
      </w:r>
      <w:r w:rsidR="00B821E1" w:rsidRPr="00E9174E">
        <w:rPr>
          <w:rFonts w:eastAsiaTheme="minorHAnsi"/>
          <w:sz w:val="26"/>
          <w:szCs w:val="26"/>
        </w:rPr>
        <w:t xml:space="preserve">the </w:t>
      </w:r>
      <w:r w:rsidR="005653C5" w:rsidRPr="00E9174E">
        <w:rPr>
          <w:rFonts w:eastAsiaTheme="minorHAnsi"/>
          <w:sz w:val="26"/>
          <w:szCs w:val="26"/>
        </w:rPr>
        <w:t xml:space="preserve">Commission reject any </w:t>
      </w:r>
      <w:r w:rsidRPr="00E9174E">
        <w:rPr>
          <w:rFonts w:eastAsiaTheme="minorHAnsi"/>
          <w:sz w:val="26"/>
          <w:szCs w:val="26"/>
        </w:rPr>
        <w:t xml:space="preserve">upward adjustment in ROE for </w:t>
      </w:r>
      <w:r w:rsidR="005653C5" w:rsidRPr="00E9174E">
        <w:rPr>
          <w:rFonts w:eastAsiaTheme="minorHAnsi"/>
          <w:sz w:val="26"/>
          <w:szCs w:val="26"/>
        </w:rPr>
        <w:t xml:space="preserve">Columbia’s </w:t>
      </w:r>
      <w:r w:rsidRPr="00E9174E">
        <w:rPr>
          <w:rFonts w:eastAsiaTheme="minorHAnsi"/>
          <w:sz w:val="26"/>
          <w:szCs w:val="26"/>
        </w:rPr>
        <w:t>management’s performance,</w:t>
      </w:r>
      <w:r w:rsidR="00943FFD" w:rsidRPr="00E9174E">
        <w:rPr>
          <w:rFonts w:eastAsiaTheme="minorHAnsi"/>
          <w:sz w:val="26"/>
          <w:szCs w:val="26"/>
        </w:rPr>
        <w:t xml:space="preserve"> but</w:t>
      </w:r>
      <w:r w:rsidRPr="00E9174E">
        <w:rPr>
          <w:rFonts w:eastAsiaTheme="minorHAnsi"/>
          <w:sz w:val="26"/>
          <w:szCs w:val="26"/>
        </w:rPr>
        <w:t xml:space="preserve"> the Commission should also consider assigning a penalty to Columbia’s ROE in this proceeding.  OSBA M.B. at 9-10.</w:t>
      </w:r>
    </w:p>
    <w:p w14:paraId="07A83088" w14:textId="77777777" w:rsidR="00E919D2" w:rsidRPr="00E9174E" w:rsidRDefault="00E919D2" w:rsidP="00E9174E">
      <w:pPr>
        <w:widowControl/>
        <w:spacing w:line="360" w:lineRule="auto"/>
        <w:ind w:firstLine="1440"/>
        <w:contextualSpacing/>
        <w:rPr>
          <w:rFonts w:eastAsiaTheme="minorHAnsi"/>
          <w:sz w:val="26"/>
          <w:szCs w:val="26"/>
        </w:rPr>
      </w:pPr>
    </w:p>
    <w:p w14:paraId="5A5A96F0" w14:textId="798169B7" w:rsidR="00E919D2" w:rsidRPr="00E9174E" w:rsidRDefault="009F3929" w:rsidP="001A4C29">
      <w:pPr>
        <w:pStyle w:val="Heading4"/>
        <w:ind w:left="2160" w:hanging="720"/>
        <w:rPr>
          <w:rFonts w:eastAsiaTheme="minorHAnsi"/>
        </w:rPr>
      </w:pPr>
      <w:bookmarkStart w:id="296" w:name="_Toc63764541"/>
      <w:r w:rsidRPr="00E9174E">
        <w:t>Recommended Decision</w:t>
      </w:r>
      <w:bookmarkEnd w:id="296"/>
    </w:p>
    <w:p w14:paraId="605D649B" w14:textId="77777777" w:rsidR="00E919D2" w:rsidRPr="00E9174E" w:rsidRDefault="00E919D2" w:rsidP="00E9174E">
      <w:pPr>
        <w:keepNext/>
        <w:keepLines/>
        <w:widowControl/>
        <w:spacing w:line="360" w:lineRule="auto"/>
        <w:contextualSpacing/>
        <w:rPr>
          <w:rFonts w:eastAsiaTheme="minorHAnsi"/>
          <w:sz w:val="26"/>
          <w:szCs w:val="26"/>
        </w:rPr>
      </w:pPr>
    </w:p>
    <w:p w14:paraId="334E5CEA" w14:textId="77777777" w:rsidR="00530A4F" w:rsidRPr="00E9174E" w:rsidRDefault="00530A4F" w:rsidP="00E9174E">
      <w:pPr>
        <w:widowControl/>
        <w:spacing w:line="360" w:lineRule="auto"/>
        <w:ind w:firstLine="1440"/>
        <w:contextualSpacing/>
        <w:rPr>
          <w:rFonts w:eastAsiaTheme="minorHAnsi"/>
          <w:sz w:val="26"/>
          <w:szCs w:val="26"/>
        </w:rPr>
      </w:pPr>
      <w:r w:rsidRPr="00E9174E">
        <w:rPr>
          <w:rFonts w:eastAsiaTheme="minorHAnsi"/>
          <w:sz w:val="26"/>
          <w:szCs w:val="26"/>
        </w:rPr>
        <w:t>The ALJ stated that she agreed with I&amp;E, the OCA, and the OSBA that Columbia failed to provide sufficient evidence to support its proposal for an additional twenty-basis points for “strong management performance.”  The ALJ reasoned that while effective operating and maintenance cost measures should flow through to ratepayers and/or investors, Columbia’s proposal defeats the purpose of cutting expenses to benefit ratepayers, particularly during a pandemic when so many ratepayers have experienced reduced household income from job loss or reduction in hours.  Therefore, the ALJ recommended that no upward management effectiveness adjustment be made to the Company’s cost of equity.  R.D. at 182, 184-85.</w:t>
      </w:r>
    </w:p>
    <w:p w14:paraId="0ADFE4E2" w14:textId="77777777" w:rsidR="00E919D2" w:rsidRPr="00E9174E" w:rsidRDefault="00E919D2" w:rsidP="00E9174E">
      <w:pPr>
        <w:widowControl/>
        <w:spacing w:line="360" w:lineRule="auto"/>
        <w:ind w:firstLine="1440"/>
        <w:contextualSpacing/>
        <w:rPr>
          <w:rFonts w:eastAsiaTheme="minorHAnsi"/>
          <w:sz w:val="26"/>
          <w:szCs w:val="26"/>
        </w:rPr>
      </w:pPr>
    </w:p>
    <w:p w14:paraId="4A5C7935" w14:textId="661F806E" w:rsidR="00E919D2" w:rsidRPr="00E9174E" w:rsidRDefault="00E919D2" w:rsidP="001A4C29">
      <w:pPr>
        <w:pStyle w:val="Heading4"/>
        <w:ind w:left="2160" w:hanging="720"/>
        <w:rPr>
          <w:rFonts w:eastAsiaTheme="minorHAnsi"/>
        </w:rPr>
      </w:pPr>
      <w:bookmarkStart w:id="297" w:name="_Toc63764542"/>
      <w:r w:rsidRPr="00E9174E">
        <w:t>Exceptions</w:t>
      </w:r>
      <w:bookmarkEnd w:id="297"/>
    </w:p>
    <w:p w14:paraId="58A2CE8E" w14:textId="77777777" w:rsidR="00E919D2" w:rsidRPr="00E9174E" w:rsidRDefault="00E919D2" w:rsidP="00E9174E">
      <w:pPr>
        <w:keepNext/>
        <w:keepLines/>
        <w:widowControl/>
        <w:spacing w:line="360" w:lineRule="auto"/>
        <w:contextualSpacing/>
        <w:rPr>
          <w:rFonts w:eastAsiaTheme="minorHAnsi"/>
          <w:sz w:val="26"/>
          <w:szCs w:val="26"/>
        </w:rPr>
      </w:pPr>
    </w:p>
    <w:p w14:paraId="445CFE73" w14:textId="77777777" w:rsidR="00DE6476" w:rsidRPr="00E9174E" w:rsidRDefault="00DE6476" w:rsidP="00E9174E">
      <w:pPr>
        <w:widowControl/>
        <w:spacing w:line="360" w:lineRule="auto"/>
        <w:ind w:firstLine="1440"/>
        <w:contextualSpacing/>
        <w:rPr>
          <w:rFonts w:eastAsiaTheme="minorHAnsi"/>
          <w:sz w:val="26"/>
          <w:szCs w:val="26"/>
        </w:rPr>
      </w:pPr>
      <w:r w:rsidRPr="00E9174E">
        <w:rPr>
          <w:rFonts w:eastAsiaTheme="minorHAnsi"/>
          <w:sz w:val="26"/>
          <w:szCs w:val="26"/>
        </w:rPr>
        <w:t>In its Exceptions, Columbia explained that it has decided to withdraw its request for an upward adjustment to its cost of equity for management performance, in recognition of the effects of the pandemic and the time in which vaccine distribution is anticipated to be administered.  Columbia Exc. at 24.</w:t>
      </w:r>
    </w:p>
    <w:p w14:paraId="026CEC9F" w14:textId="77777777" w:rsidR="00E919D2" w:rsidRPr="00E9174E" w:rsidRDefault="00E919D2" w:rsidP="00E9174E">
      <w:pPr>
        <w:widowControl/>
        <w:spacing w:line="360" w:lineRule="auto"/>
        <w:ind w:firstLine="1440"/>
        <w:contextualSpacing/>
        <w:rPr>
          <w:rFonts w:eastAsiaTheme="minorHAnsi"/>
          <w:sz w:val="26"/>
          <w:szCs w:val="26"/>
        </w:rPr>
      </w:pPr>
    </w:p>
    <w:p w14:paraId="27BE335B" w14:textId="58CD2AD4" w:rsidR="00E919D2" w:rsidRPr="00E9174E" w:rsidRDefault="00E919D2" w:rsidP="001A4C29">
      <w:pPr>
        <w:pStyle w:val="Heading4"/>
        <w:ind w:left="2160" w:hanging="720"/>
        <w:rPr>
          <w:rFonts w:eastAsiaTheme="minorHAnsi"/>
        </w:rPr>
      </w:pPr>
      <w:bookmarkStart w:id="298" w:name="_Toc63764543"/>
      <w:r w:rsidRPr="00E9174E">
        <w:rPr>
          <w:rFonts w:eastAsiaTheme="minorHAnsi"/>
        </w:rPr>
        <w:lastRenderedPageBreak/>
        <w:t>Disposition</w:t>
      </w:r>
      <w:bookmarkEnd w:id="298"/>
    </w:p>
    <w:p w14:paraId="46C4E840" w14:textId="77777777" w:rsidR="00E919D2" w:rsidRPr="00E9174E" w:rsidRDefault="00E919D2" w:rsidP="00E9174E">
      <w:pPr>
        <w:keepNext/>
        <w:keepLines/>
        <w:widowControl/>
        <w:spacing w:line="360" w:lineRule="auto"/>
        <w:contextualSpacing/>
        <w:rPr>
          <w:rFonts w:eastAsiaTheme="minorHAnsi"/>
          <w:sz w:val="26"/>
          <w:szCs w:val="26"/>
        </w:rPr>
      </w:pPr>
    </w:p>
    <w:p w14:paraId="14C5DFBB" w14:textId="1423B0F7" w:rsidR="00677CB3" w:rsidRPr="00E9174E" w:rsidRDefault="00677CB3" w:rsidP="00E9174E">
      <w:pPr>
        <w:widowControl/>
        <w:spacing w:line="360" w:lineRule="auto"/>
        <w:ind w:firstLine="1440"/>
        <w:contextualSpacing/>
        <w:rPr>
          <w:sz w:val="26"/>
          <w:szCs w:val="26"/>
        </w:rPr>
      </w:pPr>
      <w:r w:rsidRPr="00E9174E">
        <w:rPr>
          <w:sz w:val="26"/>
          <w:szCs w:val="26"/>
        </w:rPr>
        <w:t>As noted above, no Party filed Exceptions objecting to the ALJ’s recommendation on this issue.  We find that the ALJ</w:t>
      </w:r>
      <w:r w:rsidR="002303CA" w:rsidRPr="00E9174E">
        <w:rPr>
          <w:sz w:val="26"/>
          <w:szCs w:val="26"/>
        </w:rPr>
        <w:t>’</w:t>
      </w:r>
      <w:r w:rsidRPr="00E9174E">
        <w:rPr>
          <w:sz w:val="26"/>
          <w:szCs w:val="26"/>
        </w:rPr>
        <w:t>s recommendation is supported by ample record evidence and is just and reasonable.  Accordingly, we shall adopt it without further comment.</w:t>
      </w:r>
    </w:p>
    <w:p w14:paraId="0624C601" w14:textId="77777777" w:rsidR="00677CB3" w:rsidRPr="00E9174E" w:rsidRDefault="00677CB3" w:rsidP="00E9174E">
      <w:pPr>
        <w:widowControl/>
        <w:spacing w:line="360" w:lineRule="auto"/>
        <w:ind w:firstLine="1440"/>
        <w:contextualSpacing/>
        <w:rPr>
          <w:rFonts w:eastAsiaTheme="minorHAnsi"/>
          <w:sz w:val="26"/>
          <w:szCs w:val="26"/>
        </w:rPr>
      </w:pPr>
    </w:p>
    <w:p w14:paraId="1F1560B5" w14:textId="1A3BA537" w:rsidR="00E919D2" w:rsidRPr="00E9174E" w:rsidRDefault="00E919D2" w:rsidP="00277ECF">
      <w:pPr>
        <w:pStyle w:val="Heading3"/>
        <w:numPr>
          <w:ilvl w:val="0"/>
          <w:numId w:val="25"/>
        </w:numPr>
        <w:ind w:left="1440" w:hanging="720"/>
        <w:rPr>
          <w:rFonts w:eastAsiaTheme="minorHAnsi"/>
        </w:rPr>
      </w:pPr>
      <w:bookmarkStart w:id="299" w:name="_Toc63764544"/>
      <w:r w:rsidRPr="00E9174E">
        <w:t>Rate</w:t>
      </w:r>
      <w:r w:rsidRPr="00E9174E">
        <w:rPr>
          <w:rFonts w:eastAsiaTheme="minorHAnsi"/>
        </w:rPr>
        <w:t xml:space="preserve"> of Return on Common Equity</w:t>
      </w:r>
      <w:bookmarkEnd w:id="299"/>
    </w:p>
    <w:p w14:paraId="122BC690" w14:textId="77777777" w:rsidR="00E919D2" w:rsidRPr="00E9174E" w:rsidRDefault="00E919D2" w:rsidP="00E9174E">
      <w:pPr>
        <w:keepNext/>
        <w:keepLines/>
        <w:widowControl/>
        <w:spacing w:line="360" w:lineRule="auto"/>
        <w:contextualSpacing/>
        <w:rPr>
          <w:rFonts w:eastAsiaTheme="minorHAnsi"/>
          <w:sz w:val="26"/>
          <w:szCs w:val="26"/>
        </w:rPr>
      </w:pPr>
    </w:p>
    <w:p w14:paraId="346D4EBE" w14:textId="0F33C6A7" w:rsidR="00E919D2" w:rsidRPr="00E9174E" w:rsidRDefault="00E919D2" w:rsidP="00277ECF">
      <w:pPr>
        <w:pStyle w:val="Heading4"/>
        <w:numPr>
          <w:ilvl w:val="0"/>
          <w:numId w:val="39"/>
        </w:numPr>
        <w:ind w:left="2160" w:hanging="720"/>
        <w:rPr>
          <w:rFonts w:eastAsiaTheme="minorHAnsi"/>
        </w:rPr>
      </w:pPr>
      <w:bookmarkStart w:id="300" w:name="_Toc63764545"/>
      <w:r w:rsidRPr="00E9174E">
        <w:t>Positions</w:t>
      </w:r>
      <w:r w:rsidRPr="00E9174E">
        <w:rPr>
          <w:rFonts w:eastAsiaTheme="minorHAnsi"/>
        </w:rPr>
        <w:t xml:space="preserve"> of the Parties</w:t>
      </w:r>
      <w:bookmarkEnd w:id="300"/>
    </w:p>
    <w:p w14:paraId="60728CFD" w14:textId="77777777" w:rsidR="00E919D2" w:rsidRPr="00E9174E" w:rsidRDefault="00E919D2" w:rsidP="00E9174E">
      <w:pPr>
        <w:keepNext/>
        <w:keepLines/>
        <w:widowControl/>
        <w:spacing w:line="360" w:lineRule="auto"/>
        <w:contextualSpacing/>
        <w:rPr>
          <w:rFonts w:eastAsiaTheme="minorHAnsi"/>
          <w:sz w:val="26"/>
          <w:szCs w:val="26"/>
        </w:rPr>
      </w:pPr>
    </w:p>
    <w:p w14:paraId="054A1AE8" w14:textId="77777777" w:rsidR="00104F91" w:rsidRPr="00E9174E" w:rsidRDefault="00104F91" w:rsidP="00E9174E">
      <w:pPr>
        <w:widowControl/>
        <w:spacing w:line="360" w:lineRule="auto"/>
        <w:ind w:firstLine="1440"/>
        <w:contextualSpacing/>
        <w:rPr>
          <w:sz w:val="26"/>
          <w:szCs w:val="26"/>
        </w:rPr>
      </w:pPr>
      <w:r w:rsidRPr="00E9174E">
        <w:rPr>
          <w:sz w:val="26"/>
          <w:szCs w:val="26"/>
        </w:rPr>
        <w:t xml:space="preserve">As noted above, four methods of determining the cost of equity were presented for inclusion in the record in this proceeding: (1) DCF; (2) CAPM; (3) RP; and (4) CE.  Columbia relied on each of these methodologies in presenting its recommended rate of return on common equity of 10.95%.  This figure is inclusive of the 0.20% management effectiveness upward adjustment that Columbia requested.  CG M.B. at 62, Appendix B Table I(A).  However, as noted, </w:t>
      </w:r>
      <w:r w:rsidRPr="00E9174E">
        <w:rPr>
          <w:i/>
          <w:iCs/>
          <w:sz w:val="26"/>
          <w:szCs w:val="26"/>
        </w:rPr>
        <w:t xml:space="preserve">supra, </w:t>
      </w:r>
      <w:r w:rsidRPr="00E9174E">
        <w:rPr>
          <w:sz w:val="26"/>
          <w:szCs w:val="26"/>
        </w:rPr>
        <w:t>Columbia did not oppose the ALJ’s recommendation to calculate the return on common equity in this case by relying principally upon the DCF methodology, consistent with recent Commission decisions, and has withdrawn its request for a management effectiveness upward adjustment.</w:t>
      </w:r>
      <w:r w:rsidRPr="00E9174E">
        <w:rPr>
          <w:sz w:val="26"/>
          <w:szCs w:val="26"/>
          <w:vertAlign w:val="superscript"/>
        </w:rPr>
        <w:footnoteReference w:id="42"/>
      </w:r>
      <w:r w:rsidRPr="00E9174E">
        <w:rPr>
          <w:sz w:val="26"/>
          <w:szCs w:val="26"/>
        </w:rPr>
        <w:t xml:space="preserve">  </w:t>
      </w:r>
    </w:p>
    <w:p w14:paraId="06F6EFAE" w14:textId="77777777" w:rsidR="00104F91" w:rsidRPr="00E9174E" w:rsidRDefault="00104F91" w:rsidP="00E9174E">
      <w:pPr>
        <w:widowControl/>
        <w:spacing w:line="360" w:lineRule="auto"/>
        <w:ind w:firstLine="1440"/>
        <w:contextualSpacing/>
        <w:rPr>
          <w:sz w:val="26"/>
          <w:szCs w:val="26"/>
        </w:rPr>
      </w:pPr>
    </w:p>
    <w:p w14:paraId="4A559EEE" w14:textId="77777777" w:rsidR="00104F91" w:rsidRPr="00E9174E" w:rsidRDefault="00104F91" w:rsidP="00E9174E">
      <w:pPr>
        <w:widowControl/>
        <w:spacing w:line="360" w:lineRule="auto"/>
        <w:ind w:firstLine="1440"/>
        <w:contextualSpacing/>
        <w:rPr>
          <w:sz w:val="26"/>
          <w:szCs w:val="26"/>
        </w:rPr>
      </w:pPr>
      <w:r w:rsidRPr="00E9174E">
        <w:rPr>
          <w:sz w:val="26"/>
          <w:szCs w:val="26"/>
        </w:rPr>
        <w:t xml:space="preserve">As previously discussed, both I&amp;E and the OCA took issue with the Company’s analysis in arriving at the proposed cost of equity and argued that equal weight should not be given to the four different methodologies as Columbia did in its evaluation.  Additionally, both I&amp;E and the OCA submitted that the Commission has </w:t>
      </w:r>
      <w:r w:rsidRPr="00E9174E">
        <w:rPr>
          <w:sz w:val="26"/>
          <w:szCs w:val="26"/>
        </w:rPr>
        <w:lastRenderedPageBreak/>
        <w:t>indicated a preference for using the DCF method to establish reasonable common equity costs.</w:t>
      </w:r>
    </w:p>
    <w:p w14:paraId="51BEFD8E" w14:textId="77777777" w:rsidR="00104F91" w:rsidRPr="00E9174E" w:rsidRDefault="00104F91" w:rsidP="00E9174E">
      <w:pPr>
        <w:widowControl/>
        <w:spacing w:line="360" w:lineRule="auto"/>
        <w:ind w:firstLine="1440"/>
        <w:contextualSpacing/>
        <w:rPr>
          <w:sz w:val="26"/>
          <w:szCs w:val="26"/>
        </w:rPr>
      </w:pPr>
    </w:p>
    <w:p w14:paraId="27121C69" w14:textId="77777777" w:rsidR="00104F91" w:rsidRPr="00E9174E" w:rsidRDefault="00104F91" w:rsidP="00E9174E">
      <w:pPr>
        <w:widowControl/>
        <w:spacing w:line="360" w:lineRule="auto"/>
        <w:ind w:firstLine="1440"/>
        <w:contextualSpacing/>
        <w:rPr>
          <w:sz w:val="26"/>
          <w:szCs w:val="26"/>
        </w:rPr>
      </w:pPr>
      <w:r w:rsidRPr="00E9174E">
        <w:rPr>
          <w:sz w:val="26"/>
          <w:szCs w:val="26"/>
        </w:rPr>
        <w:t>As a result of its DCF analysis, I&amp;E recommended a cost of common equity of 9.86%.  I&amp;E M.B. at 62.</w:t>
      </w:r>
    </w:p>
    <w:p w14:paraId="7CD8AA3A" w14:textId="77777777" w:rsidR="00104F91" w:rsidRPr="00E9174E" w:rsidRDefault="00104F91" w:rsidP="00E9174E">
      <w:pPr>
        <w:widowControl/>
        <w:spacing w:line="360" w:lineRule="auto"/>
        <w:ind w:firstLine="1440"/>
        <w:contextualSpacing/>
        <w:rPr>
          <w:sz w:val="26"/>
          <w:szCs w:val="26"/>
        </w:rPr>
      </w:pPr>
    </w:p>
    <w:p w14:paraId="1F077B38" w14:textId="77777777" w:rsidR="00104F91" w:rsidRPr="00E9174E" w:rsidRDefault="00104F91" w:rsidP="00E9174E">
      <w:pPr>
        <w:widowControl/>
        <w:spacing w:line="360" w:lineRule="auto"/>
        <w:ind w:firstLine="1440"/>
        <w:contextualSpacing/>
        <w:rPr>
          <w:sz w:val="26"/>
          <w:szCs w:val="26"/>
        </w:rPr>
      </w:pPr>
      <w:r w:rsidRPr="00E9174E">
        <w:rPr>
          <w:sz w:val="26"/>
          <w:szCs w:val="26"/>
        </w:rPr>
        <w:t>The OCA recommended a cost of common equity of 8.50% under a traditional ratemaking approach, primarily based on the DCF model.  OCA M.B. at 49, 52, 54-55.</w:t>
      </w:r>
      <w:r w:rsidRPr="00E9174E">
        <w:rPr>
          <w:sz w:val="26"/>
          <w:szCs w:val="26"/>
          <w:vertAlign w:val="superscript"/>
        </w:rPr>
        <w:footnoteReference w:id="43"/>
      </w:r>
    </w:p>
    <w:p w14:paraId="7D0EC877" w14:textId="77777777" w:rsidR="00104F91" w:rsidRPr="00E9174E" w:rsidRDefault="00104F91" w:rsidP="00E9174E">
      <w:pPr>
        <w:widowControl/>
        <w:spacing w:line="360" w:lineRule="auto"/>
        <w:ind w:firstLine="1440"/>
        <w:contextualSpacing/>
        <w:rPr>
          <w:sz w:val="26"/>
          <w:szCs w:val="26"/>
        </w:rPr>
      </w:pPr>
    </w:p>
    <w:p w14:paraId="3B2D751E" w14:textId="77777777" w:rsidR="00104F91" w:rsidRPr="00E9174E" w:rsidRDefault="00104F91" w:rsidP="00E9174E">
      <w:pPr>
        <w:widowControl/>
        <w:spacing w:line="360" w:lineRule="auto"/>
        <w:ind w:firstLine="1440"/>
        <w:contextualSpacing/>
        <w:rPr>
          <w:sz w:val="26"/>
          <w:szCs w:val="26"/>
        </w:rPr>
      </w:pPr>
      <w:r w:rsidRPr="00E9174E">
        <w:rPr>
          <w:sz w:val="26"/>
          <w:szCs w:val="26"/>
        </w:rPr>
        <w:t xml:space="preserve">The OSBA noted that in Columbia’s previous base rate case in 2018, the Company requested an ROE of 10.95% during a time period when the 10 Year </w:t>
      </w:r>
      <w:r w:rsidR="00C310DC" w:rsidRPr="00E9174E">
        <w:rPr>
          <w:sz w:val="26"/>
          <w:szCs w:val="26"/>
        </w:rPr>
        <w:t>Treasury Note (</w:t>
      </w:r>
      <w:r w:rsidRPr="00E9174E">
        <w:rPr>
          <w:sz w:val="26"/>
          <w:szCs w:val="26"/>
        </w:rPr>
        <w:t>T-Note</w:t>
      </w:r>
      <w:r w:rsidR="00C310DC" w:rsidRPr="00E9174E">
        <w:rPr>
          <w:sz w:val="26"/>
          <w:szCs w:val="26"/>
        </w:rPr>
        <w:t>)</w:t>
      </w:r>
      <w:r w:rsidRPr="00E9174E">
        <w:rPr>
          <w:sz w:val="26"/>
          <w:szCs w:val="26"/>
        </w:rPr>
        <w:t xml:space="preserve"> was in the 2.8% to 3.0% range.  The OSBA also noted that in the instant proceeding, the Company requests this same ROE when the 10 Year T-Note ranges from 0.50 to 0.75%.  OSBA M.B. at 7.  In addition, the OSBA pointed out that in </w:t>
      </w:r>
      <w:r w:rsidRPr="00E9174E">
        <w:rPr>
          <w:i/>
          <w:iCs/>
          <w:sz w:val="26"/>
          <w:szCs w:val="26"/>
        </w:rPr>
        <w:t xml:space="preserve">UGI Electric, </w:t>
      </w:r>
      <w:r w:rsidRPr="00E9174E">
        <w:rPr>
          <w:sz w:val="26"/>
          <w:szCs w:val="26"/>
        </w:rPr>
        <w:t xml:space="preserve">the Commission awarded UGI an ROE of 9.85% in October of 2018 when the 10 Year T-Note was slightly below 3%.  </w:t>
      </w:r>
      <w:r w:rsidRPr="00E9174E">
        <w:rPr>
          <w:i/>
          <w:iCs/>
          <w:sz w:val="26"/>
          <w:szCs w:val="26"/>
        </w:rPr>
        <w:t xml:space="preserve">Id. </w:t>
      </w:r>
      <w:r w:rsidRPr="00E9174E">
        <w:rPr>
          <w:sz w:val="26"/>
          <w:szCs w:val="26"/>
        </w:rPr>
        <w:t xml:space="preserve">(citing </w:t>
      </w:r>
      <w:r w:rsidRPr="00E9174E">
        <w:rPr>
          <w:i/>
          <w:iCs/>
          <w:sz w:val="26"/>
          <w:szCs w:val="26"/>
        </w:rPr>
        <w:t xml:space="preserve">UGI Electric </w:t>
      </w:r>
      <w:r w:rsidRPr="00E9174E">
        <w:rPr>
          <w:sz w:val="26"/>
          <w:szCs w:val="26"/>
        </w:rPr>
        <w:t>at 119).  According to the OSBA, this implies that the Commission awarded UGI a 6.9% (</w:t>
      </w:r>
      <w:r w:rsidRPr="00E9174E">
        <w:rPr>
          <w:i/>
          <w:iCs/>
          <w:sz w:val="26"/>
          <w:szCs w:val="26"/>
        </w:rPr>
        <w:t>i.e</w:t>
      </w:r>
      <w:r w:rsidRPr="00E9174E">
        <w:rPr>
          <w:sz w:val="26"/>
          <w:szCs w:val="26"/>
        </w:rPr>
        <w:t>., 690 basis point) risk premium over the 10-year T</w:t>
      </w:r>
      <w:r w:rsidRPr="00E9174E">
        <w:rPr>
          <w:sz w:val="26"/>
          <w:szCs w:val="26"/>
        </w:rPr>
        <w:noBreakHyphen/>
        <w:t xml:space="preserve">Note rate.  Therefore, the OSBA submitted that although the COVID-19 Pandemic was not in existence during October of 2018, using that 690-basis award as precedent, and using the 10 Year T-Note rate at the time of this proceeding, would imply that Columbia should receive an ROE in the 7.63% range.  OSBA M.B. at 7. </w:t>
      </w:r>
    </w:p>
    <w:p w14:paraId="4DBAA845" w14:textId="37C1A2F7" w:rsidR="00E919D2" w:rsidRPr="00E9174E" w:rsidRDefault="009F3929" w:rsidP="00277ECF">
      <w:pPr>
        <w:pStyle w:val="Heading4"/>
        <w:numPr>
          <w:ilvl w:val="0"/>
          <w:numId w:val="39"/>
        </w:numPr>
        <w:ind w:left="2160" w:hanging="720"/>
        <w:rPr>
          <w:rFonts w:eastAsiaTheme="minorHAnsi"/>
        </w:rPr>
      </w:pPr>
      <w:bookmarkStart w:id="301" w:name="_Toc63764546"/>
      <w:r w:rsidRPr="00E9174E">
        <w:lastRenderedPageBreak/>
        <w:t>Recommended Decision</w:t>
      </w:r>
      <w:bookmarkEnd w:id="301"/>
    </w:p>
    <w:p w14:paraId="0CD62C52" w14:textId="77777777" w:rsidR="00E919D2" w:rsidRPr="00E9174E" w:rsidRDefault="00E919D2" w:rsidP="00E9174E">
      <w:pPr>
        <w:keepNext/>
        <w:keepLines/>
        <w:widowControl/>
        <w:spacing w:line="360" w:lineRule="auto"/>
        <w:contextualSpacing/>
        <w:rPr>
          <w:rFonts w:eastAsiaTheme="minorHAnsi"/>
          <w:sz w:val="26"/>
          <w:szCs w:val="26"/>
        </w:rPr>
      </w:pPr>
    </w:p>
    <w:p w14:paraId="0D98B1D0" w14:textId="77777777" w:rsidR="00A27EBF" w:rsidRPr="00E9174E" w:rsidRDefault="00A27EBF" w:rsidP="00E9174E">
      <w:pPr>
        <w:widowControl/>
        <w:spacing w:line="360" w:lineRule="auto"/>
        <w:ind w:firstLine="1440"/>
        <w:contextualSpacing/>
        <w:rPr>
          <w:rFonts w:eastAsiaTheme="minorHAnsi"/>
          <w:sz w:val="26"/>
          <w:szCs w:val="26"/>
        </w:rPr>
      </w:pPr>
      <w:bookmarkStart w:id="302" w:name="_Hlk37716186"/>
      <w:r w:rsidRPr="00E9174E">
        <w:rPr>
          <w:rFonts w:eastAsiaTheme="minorHAnsi"/>
          <w:sz w:val="26"/>
          <w:szCs w:val="26"/>
        </w:rPr>
        <w:t>The ALJ rejected Columbia’s proposed rate of return on common equity of 10.95% as overstated and based upon flawed approaches.  Namely, the ALJ agreed with I&amp;E’s reasoning that the Company’s calculated return on equity is flawed in the following ways: (1) the weights given to the results of the Company’s CAPM, RP, and CE analyses; (2) certain aspects of Columbia’s discussion of risk; (3) Columbia’s application of the DCF including the forecasted growth rate and leverage adjustment used; (4) Columbia’s inclusion of a size adjustment, reliance on the 3</w:t>
      </w:r>
      <w:bookmarkStart w:id="303" w:name="_BA_Cite_2300F4_000028"/>
      <w:bookmarkEnd w:id="303"/>
      <w:r w:rsidRPr="00E9174E">
        <w:rPr>
          <w:rFonts w:eastAsiaTheme="minorHAnsi"/>
          <w:sz w:val="26"/>
          <w:szCs w:val="26"/>
        </w:rPr>
        <w:t>0-year Treasury Bond for the risk-free rate, and the use of a double-adjusted beta in the CAPM analysis; and (5) the Company’s request for an additional twenty-basis points for ‘strong management performance’ is unjustified.  Additionally, the ALJ pointed to the OSBA’s argument that Commission precedent implies Columbia should receive a ROE in the 7.63% range.  R.D. at 184-185.</w:t>
      </w:r>
    </w:p>
    <w:p w14:paraId="35EA284B" w14:textId="77777777" w:rsidR="00A27EBF" w:rsidRPr="00E9174E" w:rsidRDefault="00A27EBF" w:rsidP="00E9174E">
      <w:pPr>
        <w:widowControl/>
        <w:spacing w:line="360" w:lineRule="auto"/>
        <w:ind w:firstLine="1440"/>
        <w:contextualSpacing/>
        <w:rPr>
          <w:rFonts w:eastAsiaTheme="minorHAnsi"/>
          <w:sz w:val="26"/>
          <w:szCs w:val="26"/>
        </w:rPr>
      </w:pPr>
    </w:p>
    <w:p w14:paraId="731893C5" w14:textId="77777777" w:rsidR="00A27EBF" w:rsidRPr="00E9174E" w:rsidRDefault="00A27EBF" w:rsidP="00E9174E">
      <w:pPr>
        <w:widowControl/>
        <w:spacing w:line="360" w:lineRule="auto"/>
        <w:ind w:firstLine="1440"/>
        <w:contextualSpacing/>
        <w:rPr>
          <w:rFonts w:eastAsiaTheme="minorHAnsi"/>
          <w:sz w:val="26"/>
          <w:szCs w:val="26"/>
        </w:rPr>
      </w:pPr>
      <w:r w:rsidRPr="00E9174E">
        <w:rPr>
          <w:rFonts w:eastAsiaTheme="minorHAnsi"/>
          <w:sz w:val="26"/>
          <w:szCs w:val="26"/>
        </w:rPr>
        <w:t xml:space="preserve">Alternatively, the ALJ recommended that in the event the Commission grants the Company’s request to consider all the elements in its base rate increase request, then I&amp;E’s proposed DCF methodology and proxy group should be used in setting a cost of common equity for the Company.  According to the ALJ, I&amp;E’s analysis is consistent with the methodology commonly endorsed by the Commission in base rate proceedings, will produce rates that are just and reasonable, and will maintain a balance between the needs of ratepayers and the needs of the Company and its investors.  R.D. at 185.  However, the ALJ did not identify specific DCF inputs or explicitly recommend a specific cost of equity to replace the Company’s requested 10.95%. </w:t>
      </w:r>
    </w:p>
    <w:p w14:paraId="10E9D432" w14:textId="77777777" w:rsidR="00A27EBF" w:rsidRPr="00E9174E" w:rsidRDefault="00A27EBF" w:rsidP="00E9174E">
      <w:pPr>
        <w:widowControl/>
        <w:spacing w:line="360" w:lineRule="auto"/>
        <w:ind w:firstLine="1440"/>
        <w:contextualSpacing/>
        <w:rPr>
          <w:rFonts w:eastAsiaTheme="minorHAnsi"/>
          <w:sz w:val="26"/>
          <w:szCs w:val="26"/>
        </w:rPr>
      </w:pPr>
    </w:p>
    <w:p w14:paraId="240D1B82" w14:textId="271DE0CF" w:rsidR="00E919D2" w:rsidRPr="00E9174E" w:rsidRDefault="00E919D2" w:rsidP="00277ECF">
      <w:pPr>
        <w:pStyle w:val="Heading4"/>
        <w:numPr>
          <w:ilvl w:val="0"/>
          <w:numId w:val="39"/>
        </w:numPr>
        <w:ind w:left="2160" w:hanging="720"/>
        <w:rPr>
          <w:rFonts w:eastAsiaTheme="minorHAnsi"/>
        </w:rPr>
      </w:pPr>
      <w:bookmarkStart w:id="304" w:name="_Toc63764547"/>
      <w:r w:rsidRPr="00E9174E">
        <w:lastRenderedPageBreak/>
        <w:t>Exceptions</w:t>
      </w:r>
      <w:r w:rsidRPr="00E9174E">
        <w:rPr>
          <w:rFonts w:eastAsiaTheme="minorHAnsi"/>
        </w:rPr>
        <w:t xml:space="preserve"> and Replies</w:t>
      </w:r>
      <w:bookmarkEnd w:id="304"/>
    </w:p>
    <w:p w14:paraId="25E4FCF4" w14:textId="0B6953E9" w:rsidR="00E919D2" w:rsidRPr="00E9174E" w:rsidRDefault="00E919D2" w:rsidP="00E9174E">
      <w:pPr>
        <w:keepNext/>
        <w:keepLines/>
        <w:widowControl/>
        <w:spacing w:line="360" w:lineRule="auto"/>
        <w:contextualSpacing/>
        <w:rPr>
          <w:rFonts w:eastAsiaTheme="minorHAnsi"/>
          <w:sz w:val="26"/>
          <w:szCs w:val="26"/>
        </w:rPr>
      </w:pPr>
    </w:p>
    <w:p w14:paraId="6CC16A6C" w14:textId="68402E75" w:rsidR="006C2367" w:rsidRPr="00E9174E" w:rsidRDefault="00CE275C" w:rsidP="00277ECF">
      <w:pPr>
        <w:pStyle w:val="Heading5"/>
        <w:numPr>
          <w:ilvl w:val="0"/>
          <w:numId w:val="72"/>
        </w:numPr>
      </w:pPr>
      <w:bookmarkStart w:id="305" w:name="_Toc63764548"/>
      <w:r w:rsidRPr="00E9174E">
        <w:t>Columbia Exception No. 17 and Replies</w:t>
      </w:r>
      <w:bookmarkEnd w:id="305"/>
    </w:p>
    <w:bookmarkEnd w:id="302"/>
    <w:p w14:paraId="6EB3AEE1" w14:textId="77777777" w:rsidR="006C2367" w:rsidRPr="00E9174E" w:rsidRDefault="006C2367" w:rsidP="00E9174E">
      <w:pPr>
        <w:keepNext/>
        <w:keepLines/>
        <w:widowControl/>
        <w:spacing w:line="360" w:lineRule="auto"/>
        <w:ind w:firstLine="1440"/>
        <w:contextualSpacing/>
        <w:rPr>
          <w:rFonts w:eastAsiaTheme="minorHAnsi"/>
          <w:sz w:val="26"/>
          <w:szCs w:val="26"/>
        </w:rPr>
      </w:pPr>
    </w:p>
    <w:p w14:paraId="7A14B16F" w14:textId="18F8CC8F" w:rsidR="00E77E90" w:rsidRPr="00E9174E" w:rsidRDefault="00E77E90" w:rsidP="00E9174E">
      <w:pPr>
        <w:widowControl/>
        <w:spacing w:line="360" w:lineRule="auto"/>
        <w:ind w:firstLine="1440"/>
        <w:contextualSpacing/>
        <w:rPr>
          <w:rFonts w:eastAsiaTheme="minorHAnsi"/>
          <w:sz w:val="26"/>
          <w:szCs w:val="26"/>
        </w:rPr>
      </w:pPr>
      <w:r w:rsidRPr="00E9174E">
        <w:rPr>
          <w:rFonts w:eastAsiaTheme="minorHAnsi"/>
          <w:sz w:val="26"/>
          <w:szCs w:val="26"/>
        </w:rPr>
        <w:t xml:space="preserve">In its Exception No. 17, Columbia explains that based on the fact that it does not oppose the ALJ’s recommendation to rely principally on the DCF in this proceeding and that it has decided to withdraw its request for an upward adjustment for strong management performance, it would support a return on common equity of 9.86%, as recommended by I&amp;E.  However, Columbia submits that because the ALJ did not include any rate tables with her Recommended Decision, it is unclear whether the ALJ explicitly recommended the adoption of I&amp;E’s proposed ROE.  Therefore, Columbia excepts to the ALJ’s conclusions with respect to any return on equity allowance that would be below 9.86%.  Namely, Columbia submits that the ALJ erred by highlighting the position of the OSBA that Commission precedent implies that Columbia should receive a return on common equity of 7.63%.  Columbia reasons that the OSBA’s recommendation is not based upon any data for a proxy group, or any real analysis of current or projected market data.  Rather, Columbia argues that the OSBA relied on data that was several years old to claim that the Commission implicitly awarded a 6.9% risk premium over the asserted yield on 10-year treasury </w:t>
      </w:r>
      <w:r w:rsidR="00A228CE" w:rsidRPr="00E9174E">
        <w:rPr>
          <w:rFonts w:eastAsiaTheme="minorHAnsi"/>
          <w:sz w:val="26"/>
          <w:szCs w:val="26"/>
        </w:rPr>
        <w:t>notes</w:t>
      </w:r>
      <w:r w:rsidRPr="00E9174E">
        <w:rPr>
          <w:rFonts w:eastAsiaTheme="minorHAnsi"/>
          <w:sz w:val="26"/>
          <w:szCs w:val="26"/>
        </w:rPr>
        <w:t xml:space="preserve"> at the time the Commission issued its order in </w:t>
      </w:r>
      <w:r w:rsidRPr="00E9174E">
        <w:rPr>
          <w:rFonts w:eastAsiaTheme="minorHAnsi"/>
          <w:i/>
          <w:iCs/>
          <w:sz w:val="26"/>
          <w:szCs w:val="26"/>
        </w:rPr>
        <w:t xml:space="preserve">UGI Electric. </w:t>
      </w:r>
      <w:r w:rsidRPr="00E9174E">
        <w:rPr>
          <w:rFonts w:eastAsiaTheme="minorHAnsi"/>
          <w:sz w:val="26"/>
          <w:szCs w:val="26"/>
        </w:rPr>
        <w:t xml:space="preserve"> According to Columbia, because risk premiums move inversely to interest rates, any calculation of a risk premium from several years ago, when interest rates were higher, is not relevant to current circumstances because the risk premium would be higher at today’s lower interest rates.  In addition, Columbia argues that the OSBA’s analysis disregards the industry-specific risks and differences between allowed returns for gas and electric utilities.  CG Exc. at 24-27.</w:t>
      </w:r>
    </w:p>
    <w:p w14:paraId="06E7E723" w14:textId="77777777" w:rsidR="00E77E90" w:rsidRPr="00E9174E" w:rsidRDefault="00E77E90" w:rsidP="00E9174E">
      <w:pPr>
        <w:widowControl/>
        <w:spacing w:line="360" w:lineRule="auto"/>
        <w:ind w:firstLine="1440"/>
        <w:contextualSpacing/>
        <w:rPr>
          <w:rFonts w:eastAsiaTheme="minorHAnsi"/>
          <w:sz w:val="26"/>
          <w:szCs w:val="26"/>
        </w:rPr>
      </w:pPr>
    </w:p>
    <w:p w14:paraId="099AEE47" w14:textId="1BCC48E4" w:rsidR="00E77E90" w:rsidRPr="00E9174E" w:rsidRDefault="00E77E90" w:rsidP="00E9174E">
      <w:pPr>
        <w:widowControl/>
        <w:spacing w:line="360" w:lineRule="auto"/>
        <w:ind w:firstLine="1440"/>
        <w:contextualSpacing/>
        <w:rPr>
          <w:rFonts w:eastAsiaTheme="minorHAnsi"/>
          <w:sz w:val="26"/>
          <w:szCs w:val="26"/>
        </w:rPr>
      </w:pPr>
      <w:r w:rsidRPr="00E9174E">
        <w:rPr>
          <w:rFonts w:eastAsiaTheme="minorHAnsi"/>
          <w:sz w:val="26"/>
          <w:szCs w:val="26"/>
        </w:rPr>
        <w:t xml:space="preserve">Columbia further argues that the DSIC authorized return is a relevant factor in assessing the reasonableness of the cost rate for common equity in a base rate proceeding.  Columbia explains that although it recognizes that the data considered in a </w:t>
      </w:r>
      <w:r w:rsidRPr="00E9174E">
        <w:rPr>
          <w:rFonts w:eastAsiaTheme="minorHAnsi"/>
          <w:sz w:val="26"/>
          <w:szCs w:val="26"/>
        </w:rPr>
        <w:lastRenderedPageBreak/>
        <w:t>base rate case is more detailed than that considered in the DSIC context, the DSIC return uses that same proxy group of companies and uses the DCF methodology.  Therefore, Columbia submits that it is not rational to provide the Company with a return on equity that is below the range of other gas companies who are currently earning 10.15% on DSIC investments.  Accordingly, Columbia submits that it should be awarded an ROE of no less than 9.86%.  C.G. Exc. at 28.</w:t>
      </w:r>
    </w:p>
    <w:p w14:paraId="17B3D4FD" w14:textId="77777777" w:rsidR="00E77E90" w:rsidRPr="00E9174E" w:rsidRDefault="00E77E90" w:rsidP="00E9174E">
      <w:pPr>
        <w:widowControl/>
        <w:spacing w:line="360" w:lineRule="auto"/>
        <w:ind w:firstLine="1440"/>
        <w:contextualSpacing/>
        <w:rPr>
          <w:rFonts w:eastAsiaTheme="minorHAnsi"/>
          <w:sz w:val="26"/>
          <w:szCs w:val="26"/>
        </w:rPr>
      </w:pPr>
    </w:p>
    <w:p w14:paraId="68FEB46A" w14:textId="77777777" w:rsidR="00E77E90" w:rsidRPr="00E9174E" w:rsidRDefault="00E77E90" w:rsidP="00E9174E">
      <w:pPr>
        <w:widowControl/>
        <w:spacing w:line="360" w:lineRule="auto"/>
        <w:ind w:firstLine="1440"/>
        <w:contextualSpacing/>
        <w:rPr>
          <w:rFonts w:eastAsiaTheme="minorHAnsi"/>
          <w:sz w:val="26"/>
          <w:szCs w:val="26"/>
        </w:rPr>
      </w:pPr>
      <w:r w:rsidRPr="00E9174E">
        <w:rPr>
          <w:rFonts w:eastAsiaTheme="minorHAnsi"/>
          <w:sz w:val="26"/>
          <w:szCs w:val="26"/>
        </w:rPr>
        <w:t xml:space="preserve">In its Replies to Exceptions, the OCA rebuts that the lower cost of equity of 9.86% that Columbia requested in its Exceptions is still overstated.  The OCA highlights that although the Company agreed to rely principally on the DCF methodology for calculating an ROE and withdrew its request for an upward adjustment for management effectiveness, it did not, </w:t>
      </w:r>
      <w:r w:rsidRPr="00E9174E">
        <w:rPr>
          <w:rFonts w:eastAsiaTheme="minorHAnsi"/>
          <w:i/>
          <w:iCs/>
          <w:sz w:val="26"/>
          <w:szCs w:val="26"/>
        </w:rPr>
        <w:t xml:space="preserve">inter alia, </w:t>
      </w:r>
      <w:r w:rsidRPr="00E9174E">
        <w:rPr>
          <w:rFonts w:eastAsiaTheme="minorHAnsi"/>
          <w:sz w:val="26"/>
          <w:szCs w:val="26"/>
        </w:rPr>
        <w:t xml:space="preserve">explicitly withdraw its request for a leverage adjustment in its DCF analysis of a size adjustment in its CAPM analysis.  Therefore, the OCA posits that the Commission should adopt the ALJ’s finding that the Company’s cost of equity claim is based on a flawed DCF analysis and that the Company’s CAPM analysis should be dismissed.  However, the OCA also argues that given the flaws in Columbia’s cost of equity analyses, there is no evidentiary support for a cost of equity as proposed by either the Company or I&amp;E.  Rather, the OCA asserts that its own recommended ROE is supported by a proper DCF analysis and consideration of current economic conditions which include very low costs of borrowing and consider the hardships faced by Columbia’s customers.  Therefore, the OCA submits that Columbia’s Exception No. 17 should be denied and that its own Exception No. 3B, </w:t>
      </w:r>
      <w:r w:rsidRPr="00E9174E">
        <w:rPr>
          <w:rFonts w:eastAsiaTheme="minorHAnsi"/>
          <w:i/>
          <w:iCs/>
          <w:sz w:val="26"/>
          <w:szCs w:val="26"/>
        </w:rPr>
        <w:t xml:space="preserve">infra, </w:t>
      </w:r>
      <w:r w:rsidRPr="00E9174E">
        <w:rPr>
          <w:rFonts w:eastAsiaTheme="minorHAnsi"/>
          <w:sz w:val="26"/>
          <w:szCs w:val="26"/>
        </w:rPr>
        <w:t>should be granted.  OCA R. Exc. at 14-16.</w:t>
      </w:r>
    </w:p>
    <w:p w14:paraId="5D068D47" w14:textId="77777777" w:rsidR="00E919D2" w:rsidRPr="00E9174E" w:rsidRDefault="00E919D2" w:rsidP="00E9174E">
      <w:pPr>
        <w:widowControl/>
        <w:spacing w:line="360" w:lineRule="auto"/>
        <w:ind w:firstLine="1440"/>
        <w:contextualSpacing/>
        <w:rPr>
          <w:rFonts w:eastAsiaTheme="minorHAnsi"/>
          <w:sz w:val="26"/>
          <w:szCs w:val="26"/>
        </w:rPr>
      </w:pPr>
    </w:p>
    <w:p w14:paraId="6C35C6C2" w14:textId="1742890C" w:rsidR="00CE275C" w:rsidRPr="00E9174E" w:rsidRDefault="00CE275C" w:rsidP="00FA089A">
      <w:pPr>
        <w:pStyle w:val="Heading5"/>
      </w:pPr>
      <w:bookmarkStart w:id="306" w:name="_Toc63764549"/>
      <w:r w:rsidRPr="00E9174E">
        <w:t>OCA Exception No. 3B and Replies</w:t>
      </w:r>
      <w:bookmarkEnd w:id="306"/>
    </w:p>
    <w:p w14:paraId="1AC42D7F" w14:textId="024CBDC2" w:rsidR="00CE275C" w:rsidRPr="00E9174E" w:rsidRDefault="00CE275C" w:rsidP="00E9174E">
      <w:pPr>
        <w:keepNext/>
        <w:keepLines/>
        <w:widowControl/>
        <w:spacing w:line="360" w:lineRule="auto"/>
        <w:ind w:firstLine="1440"/>
        <w:contextualSpacing/>
        <w:rPr>
          <w:rFonts w:eastAsiaTheme="minorHAnsi"/>
          <w:sz w:val="26"/>
          <w:szCs w:val="26"/>
        </w:rPr>
      </w:pPr>
    </w:p>
    <w:p w14:paraId="6FC320F1" w14:textId="77777777" w:rsidR="00157E26" w:rsidRPr="00E9174E" w:rsidRDefault="00157E26" w:rsidP="00E9174E">
      <w:pPr>
        <w:widowControl/>
        <w:spacing w:line="360" w:lineRule="auto"/>
        <w:ind w:firstLine="1440"/>
        <w:contextualSpacing/>
        <w:rPr>
          <w:rFonts w:eastAsiaTheme="minorHAnsi"/>
          <w:sz w:val="26"/>
          <w:szCs w:val="26"/>
        </w:rPr>
      </w:pPr>
      <w:r w:rsidRPr="00E9174E">
        <w:rPr>
          <w:rFonts w:eastAsiaTheme="minorHAnsi"/>
          <w:sz w:val="26"/>
          <w:szCs w:val="26"/>
        </w:rPr>
        <w:t xml:space="preserve">In its Exception No. 3B, the OCA notes that it concurs with the ALJ that the Company’s proposed cost of equity of 10.95% is overstated, flawed, and should not be adopted.  However, the OCA is of the opinion that certain aspects of the ALJ’s </w:t>
      </w:r>
      <w:r w:rsidRPr="00E9174E">
        <w:rPr>
          <w:rFonts w:eastAsiaTheme="minorHAnsi"/>
          <w:sz w:val="26"/>
          <w:szCs w:val="26"/>
        </w:rPr>
        <w:lastRenderedPageBreak/>
        <w:t>conclusions as to the rate of return on common equity, if adopted, could still result in the grant of an overstated cost of equity for Columbia.  Namely, according to the OCA, a cost of common equity of 9.86%, as proffered by I&amp;E is not reflective of current market conditions and will allow Columbia to over-earn in a market reflective of much lower capital costs.  In contrast, the OCA insists that its own proposed cost of common equity of 8.50% is soundly based and reflects an appropriate ROE for Columbia.  The OCA notes that apart from the difference in the proxy group, the OCA’s proposed cost of equity recommendation is based upon I&amp;E’s DCF analyses and a CAPM used as a check on the reasonableness of the DCF results.  The OCA stresses that its recommendation considered the impact of the COVID-19 pandemic on the economy, interest rates, growth prospects for the economy and utility industry, as well as the interest of Columbia’s ratepayers.  Accordingly, the OCA reinforces its position that in the event the Commission grants a rate increase, it should adopt a cost of equity of no more than 8.50%.  OCA Exc. at 17-23.</w:t>
      </w:r>
    </w:p>
    <w:p w14:paraId="2BD3C253" w14:textId="77777777" w:rsidR="00157E26" w:rsidRPr="00E9174E" w:rsidRDefault="00157E26" w:rsidP="00E9174E">
      <w:pPr>
        <w:widowControl/>
        <w:spacing w:line="360" w:lineRule="auto"/>
        <w:ind w:firstLine="1440"/>
        <w:contextualSpacing/>
        <w:rPr>
          <w:rFonts w:eastAsiaTheme="minorHAnsi"/>
          <w:sz w:val="26"/>
          <w:szCs w:val="26"/>
        </w:rPr>
      </w:pPr>
    </w:p>
    <w:p w14:paraId="75D2BEE5" w14:textId="07151C7D" w:rsidR="00157E26" w:rsidRPr="00E9174E" w:rsidRDefault="00157E26" w:rsidP="00E9174E">
      <w:pPr>
        <w:widowControl/>
        <w:spacing w:line="360" w:lineRule="auto"/>
        <w:ind w:firstLine="1440"/>
        <w:contextualSpacing/>
        <w:rPr>
          <w:rFonts w:eastAsiaTheme="minorHAnsi"/>
          <w:sz w:val="26"/>
          <w:szCs w:val="26"/>
        </w:rPr>
      </w:pPr>
      <w:r w:rsidRPr="00E9174E">
        <w:rPr>
          <w:rFonts w:eastAsiaTheme="minorHAnsi"/>
          <w:sz w:val="26"/>
          <w:szCs w:val="26"/>
        </w:rPr>
        <w:t xml:space="preserve">In response to the OCA’s Exceptions, Columbia asserts that the OCA’s proposed cost of equity should be rejected.  According to Columbia, the growth rate portion of the OCA’s DCF analysis is flawed.  More specifically, Columbia states there are three principal flaws in OCA’s analysis of growth.  First, Columbia maintains that the use of historic growth rates is flawed since investors’ projections of earnings are informed by historic experience and this information is considered in projected growth rates.  Second, the Company claims using retained earnings growth is not proper in developing a DCF growth rate and has been rejected by the Commission.  </w:t>
      </w:r>
      <w:r w:rsidRPr="00E9174E">
        <w:rPr>
          <w:rFonts w:eastAsiaTheme="minorHAnsi"/>
          <w:i/>
          <w:iCs/>
          <w:sz w:val="26"/>
          <w:szCs w:val="26"/>
        </w:rPr>
        <w:t>See UGI Electric</w:t>
      </w:r>
      <w:r w:rsidRPr="00E9174E">
        <w:rPr>
          <w:rFonts w:eastAsiaTheme="minorHAnsi"/>
          <w:sz w:val="26"/>
          <w:szCs w:val="26"/>
        </w:rPr>
        <w:t xml:space="preserve"> at 90, 92.  Third, Columbia disagrees with the OCA’s inclusion of dividend and book value growth rates, in addition to earnings per share growth rates, in its DCF analysis.  Further the Company claims the OCA’s CAPM analysis fails to reflect the expectational nature of rate of return calculations by using only historic bond yields.  For these reasons, Columbia declares </w:t>
      </w:r>
      <w:r w:rsidR="009D0D9A" w:rsidRPr="00E9174E">
        <w:rPr>
          <w:rFonts w:eastAsiaTheme="minorHAnsi"/>
          <w:sz w:val="26"/>
          <w:szCs w:val="26"/>
        </w:rPr>
        <w:t>the</w:t>
      </w:r>
      <w:r w:rsidRPr="00E9174E">
        <w:rPr>
          <w:rFonts w:eastAsiaTheme="minorHAnsi"/>
          <w:sz w:val="26"/>
          <w:szCs w:val="26"/>
        </w:rPr>
        <w:t xml:space="preserve"> OCA’s recommended growth rate range of 4% to 6% is flawed and should be rejected.  CG R. Exc. at 5-9.</w:t>
      </w:r>
    </w:p>
    <w:p w14:paraId="2DADC490" w14:textId="4C0D498A" w:rsidR="00E919D2" w:rsidRPr="00E9174E" w:rsidRDefault="001A4C29" w:rsidP="001A4C29">
      <w:pPr>
        <w:pStyle w:val="Heading4"/>
        <w:numPr>
          <w:ilvl w:val="0"/>
          <w:numId w:val="0"/>
        </w:numPr>
        <w:ind w:left="2160" w:hanging="720"/>
        <w:rPr>
          <w:rFonts w:eastAsiaTheme="minorHAnsi"/>
        </w:rPr>
      </w:pPr>
      <w:bookmarkStart w:id="307" w:name="_Toc63764550"/>
      <w:r>
        <w:lastRenderedPageBreak/>
        <w:t>d.</w:t>
      </w:r>
      <w:r>
        <w:tab/>
      </w:r>
      <w:r w:rsidR="00E919D2" w:rsidRPr="00E9174E">
        <w:t>Disposition</w:t>
      </w:r>
      <w:bookmarkEnd w:id="307"/>
    </w:p>
    <w:p w14:paraId="7E5AA346" w14:textId="77777777" w:rsidR="00E919D2" w:rsidRPr="00E9174E" w:rsidRDefault="00E919D2" w:rsidP="00E9174E">
      <w:pPr>
        <w:keepNext/>
        <w:keepLines/>
        <w:widowControl/>
        <w:spacing w:line="360" w:lineRule="auto"/>
        <w:ind w:firstLine="1440"/>
        <w:contextualSpacing/>
        <w:rPr>
          <w:rFonts w:eastAsiaTheme="minorHAnsi"/>
          <w:sz w:val="26"/>
          <w:szCs w:val="26"/>
        </w:rPr>
      </w:pPr>
    </w:p>
    <w:p w14:paraId="5FBBC27B" w14:textId="77777777" w:rsidR="00132D6C" w:rsidRPr="00E9174E" w:rsidRDefault="00132D6C" w:rsidP="00E9174E">
      <w:pPr>
        <w:keepNext/>
        <w:widowControl/>
        <w:spacing w:line="360" w:lineRule="auto"/>
        <w:ind w:firstLine="1440"/>
        <w:contextualSpacing/>
        <w:rPr>
          <w:rFonts w:eastAsiaTheme="minorHAnsi"/>
          <w:sz w:val="26"/>
          <w:szCs w:val="26"/>
        </w:rPr>
      </w:pPr>
      <w:r w:rsidRPr="00E9174E">
        <w:rPr>
          <w:rFonts w:eastAsiaTheme="minorHAnsi"/>
          <w:sz w:val="26"/>
          <w:szCs w:val="26"/>
        </w:rPr>
        <w:t xml:space="preserve">We have previously determined above that, consistent with Commission precedent, we shall use the DCF method as the primary method in establishing Columbia’s cost of common equity.  Therefore, we have adopted the ALJ’s recommendation to use I&amp;E’s DCF methodology utilizing I&amp;E’s dividend yield of 3.34% and growth rate of 6.52%.  As noted above, the ALJ did not specify a recommended cost of equity for Columbia in her Recommended Decision.  However, we note that I&amp;E’s methodology results in an ROE of 9.86%.  In our view, this is an appropriate cost of equity for Columbia given the record developed in this proceeding.  Accordingly, we shall grant Columbia’s Exception No. 17 and shall deny the OCA’s Exception No. 3B.  </w:t>
      </w:r>
    </w:p>
    <w:p w14:paraId="28EDDCEE" w14:textId="77777777" w:rsidR="00E919D2" w:rsidRPr="00E9174E" w:rsidRDefault="00E919D2" w:rsidP="00E9174E">
      <w:pPr>
        <w:widowControl/>
        <w:spacing w:line="360" w:lineRule="auto"/>
        <w:ind w:firstLine="1440"/>
        <w:contextualSpacing/>
        <w:rPr>
          <w:rFonts w:eastAsiaTheme="minorHAnsi"/>
          <w:sz w:val="26"/>
          <w:szCs w:val="26"/>
        </w:rPr>
      </w:pPr>
    </w:p>
    <w:p w14:paraId="48417159" w14:textId="360EF8EB" w:rsidR="00E919D2" w:rsidRPr="00E9174E" w:rsidRDefault="00E919D2" w:rsidP="00F94A24">
      <w:pPr>
        <w:pStyle w:val="Heading2"/>
        <w:numPr>
          <w:ilvl w:val="0"/>
          <w:numId w:val="83"/>
        </w:numPr>
        <w:ind w:hanging="720"/>
      </w:pPr>
      <w:bookmarkStart w:id="308" w:name="_Toc63764551"/>
      <w:r w:rsidRPr="00E9174E">
        <w:t>Overall Rate of Return</w:t>
      </w:r>
      <w:bookmarkEnd w:id="308"/>
    </w:p>
    <w:p w14:paraId="11A649D6" w14:textId="77777777" w:rsidR="00E919D2" w:rsidRPr="00E9174E" w:rsidRDefault="00E919D2" w:rsidP="00E9174E">
      <w:pPr>
        <w:keepNext/>
        <w:keepLines/>
        <w:widowControl/>
        <w:spacing w:line="360" w:lineRule="auto"/>
        <w:contextualSpacing/>
        <w:rPr>
          <w:rFonts w:eastAsiaTheme="minorHAnsi"/>
          <w:sz w:val="26"/>
          <w:szCs w:val="26"/>
        </w:rPr>
      </w:pPr>
    </w:p>
    <w:p w14:paraId="336B5CCD" w14:textId="3F23F97A" w:rsidR="00E919D2" w:rsidRPr="00E9174E" w:rsidRDefault="00E919D2" w:rsidP="00277ECF">
      <w:pPr>
        <w:pStyle w:val="Heading3"/>
        <w:numPr>
          <w:ilvl w:val="0"/>
          <w:numId w:val="26"/>
        </w:numPr>
        <w:ind w:left="1440" w:hanging="720"/>
        <w:rPr>
          <w:rFonts w:eastAsiaTheme="minorHAnsi"/>
        </w:rPr>
      </w:pPr>
      <w:bookmarkStart w:id="309" w:name="_Toc63764552"/>
      <w:r w:rsidRPr="00E9174E">
        <w:t>Positions</w:t>
      </w:r>
      <w:r w:rsidRPr="00E9174E">
        <w:rPr>
          <w:rFonts w:eastAsiaTheme="minorHAnsi"/>
        </w:rPr>
        <w:t xml:space="preserve"> of the Parties</w:t>
      </w:r>
      <w:bookmarkEnd w:id="309"/>
      <w:r w:rsidRPr="00E9174E">
        <w:rPr>
          <w:rFonts w:eastAsiaTheme="minorHAnsi"/>
        </w:rPr>
        <w:t xml:space="preserve"> </w:t>
      </w:r>
    </w:p>
    <w:p w14:paraId="38D3F7F2" w14:textId="77777777" w:rsidR="00E919D2" w:rsidRPr="00E9174E" w:rsidRDefault="00E919D2" w:rsidP="00E9174E">
      <w:pPr>
        <w:keepNext/>
        <w:keepLines/>
        <w:widowControl/>
        <w:spacing w:line="360" w:lineRule="auto"/>
        <w:contextualSpacing/>
        <w:rPr>
          <w:rFonts w:eastAsiaTheme="minorHAnsi"/>
          <w:sz w:val="26"/>
          <w:szCs w:val="26"/>
        </w:rPr>
      </w:pPr>
    </w:p>
    <w:p w14:paraId="5C59FFE4" w14:textId="31C8F4EC" w:rsidR="008930F7" w:rsidRPr="00E9174E" w:rsidRDefault="008930F7" w:rsidP="00E9174E">
      <w:pPr>
        <w:widowControl/>
        <w:spacing w:line="360" w:lineRule="auto"/>
        <w:ind w:firstLine="1440"/>
        <w:contextualSpacing/>
        <w:rPr>
          <w:rFonts w:eastAsiaTheme="minorHAnsi"/>
          <w:sz w:val="26"/>
          <w:szCs w:val="26"/>
        </w:rPr>
      </w:pPr>
      <w:r w:rsidRPr="00E9174E">
        <w:rPr>
          <w:rFonts w:eastAsiaTheme="minorHAnsi"/>
          <w:sz w:val="26"/>
          <w:szCs w:val="26"/>
        </w:rPr>
        <w:t>In this proceeding, Columbia claimed that it should be permitted to earn an 8.00% overall rate of return.  Columbia’s proposed overall rate of return is comprised of a weighted average of a 4.73% rate of return on long-term debt, a 2.06% rate of return on short-term debt, and a 10.95% rate of return on common equity.  This is, in turn, based off a capital structure of 54.19% common equity, 42.22% long-term debt, and 3.59% short-term debt.  CG M.B. at 64, Appendix B: Table I(A).  However, as noted above, in its Exception No. 17, Columbia stated that it will accept a rate of return on common equity of 9.86%.  We note that applying the above capital structure and cost of debt would result in a revised overall claimed rate of return for the Company of 7.41%.</w:t>
      </w:r>
    </w:p>
    <w:p w14:paraId="0568D3EF" w14:textId="77777777" w:rsidR="00FC27EE" w:rsidRPr="00E9174E" w:rsidRDefault="00FC27EE" w:rsidP="00E9174E">
      <w:pPr>
        <w:widowControl/>
        <w:spacing w:line="360" w:lineRule="auto"/>
        <w:ind w:firstLine="1440"/>
        <w:contextualSpacing/>
        <w:rPr>
          <w:rFonts w:eastAsiaTheme="minorHAnsi"/>
          <w:sz w:val="26"/>
          <w:szCs w:val="26"/>
        </w:rPr>
      </w:pPr>
    </w:p>
    <w:p w14:paraId="2B5D35AE" w14:textId="77777777" w:rsidR="008930F7" w:rsidRPr="00E9174E" w:rsidRDefault="008930F7" w:rsidP="00E9174E">
      <w:pPr>
        <w:widowControl/>
        <w:spacing w:line="360" w:lineRule="auto"/>
        <w:ind w:firstLine="1440"/>
        <w:contextualSpacing/>
        <w:rPr>
          <w:rFonts w:eastAsiaTheme="minorHAnsi"/>
          <w:sz w:val="26"/>
          <w:szCs w:val="26"/>
        </w:rPr>
      </w:pPr>
      <w:r w:rsidRPr="00E9174E">
        <w:rPr>
          <w:rFonts w:eastAsiaTheme="minorHAnsi"/>
          <w:sz w:val="26"/>
          <w:szCs w:val="26"/>
        </w:rPr>
        <w:t xml:space="preserve">I&amp;E recommended that Columbia should be afforded the opportunity to earn an overall rate of return of 7.41%.  This recommended overall rate of return is comprised of a weighted average of a 4.73% rate of return on long-term debt, a 2.05% </w:t>
      </w:r>
      <w:r w:rsidRPr="00E9174E">
        <w:rPr>
          <w:rFonts w:eastAsiaTheme="minorHAnsi"/>
          <w:sz w:val="26"/>
          <w:szCs w:val="26"/>
        </w:rPr>
        <w:lastRenderedPageBreak/>
        <w:t>rate of return on short-term debt, and a 9.86% rate of return on common equity, and is based off of Columbia’s proposed capital structure.  I&amp;E M.B. at Appendix A: Page 2.</w:t>
      </w:r>
    </w:p>
    <w:p w14:paraId="31E13120" w14:textId="77777777" w:rsidR="008930F7" w:rsidRPr="00E9174E" w:rsidRDefault="008930F7" w:rsidP="00E9174E">
      <w:pPr>
        <w:widowControl/>
        <w:spacing w:line="360" w:lineRule="auto"/>
        <w:ind w:firstLine="1440"/>
        <w:contextualSpacing/>
        <w:rPr>
          <w:rFonts w:eastAsiaTheme="minorHAnsi"/>
          <w:sz w:val="26"/>
          <w:szCs w:val="26"/>
        </w:rPr>
      </w:pPr>
    </w:p>
    <w:p w14:paraId="27265518" w14:textId="48C0DB9A" w:rsidR="008930F7" w:rsidRPr="00E9174E" w:rsidRDefault="008930F7" w:rsidP="00E9174E">
      <w:pPr>
        <w:widowControl/>
        <w:spacing w:line="360" w:lineRule="auto"/>
        <w:ind w:firstLine="1440"/>
        <w:contextualSpacing/>
        <w:rPr>
          <w:rFonts w:eastAsiaTheme="minorHAnsi"/>
          <w:sz w:val="26"/>
          <w:szCs w:val="26"/>
        </w:rPr>
      </w:pPr>
      <w:r w:rsidRPr="00E9174E">
        <w:rPr>
          <w:rFonts w:eastAsiaTheme="minorHAnsi"/>
          <w:sz w:val="26"/>
          <w:szCs w:val="26"/>
        </w:rPr>
        <w:t xml:space="preserve">The OCA proffered that the Commission should allow Columbia the opportunity to earn a 6.51% overall rate of return on its rate base.  The OCA’s recommendation is comprised of a weighted average of a 4.52% blended rate of return on debt and an 8.50% rate of return on equity and is based off of a capital structure of 50% common equity and 50% debt.  OCA M.B. at 50.  </w:t>
      </w:r>
    </w:p>
    <w:p w14:paraId="049B439A" w14:textId="77777777" w:rsidR="008930F7" w:rsidRPr="00E9174E" w:rsidRDefault="008930F7" w:rsidP="00E9174E">
      <w:pPr>
        <w:widowControl/>
        <w:spacing w:line="360" w:lineRule="auto"/>
        <w:ind w:firstLine="1440"/>
        <w:contextualSpacing/>
        <w:rPr>
          <w:rFonts w:eastAsiaTheme="minorHAnsi"/>
          <w:sz w:val="26"/>
          <w:szCs w:val="26"/>
        </w:rPr>
      </w:pPr>
    </w:p>
    <w:p w14:paraId="537D222B" w14:textId="77777777" w:rsidR="008930F7" w:rsidRPr="00E9174E" w:rsidRDefault="008930F7" w:rsidP="00E9174E">
      <w:pPr>
        <w:widowControl/>
        <w:spacing w:line="360" w:lineRule="auto"/>
        <w:ind w:firstLine="1440"/>
        <w:contextualSpacing/>
        <w:rPr>
          <w:rFonts w:eastAsiaTheme="minorHAnsi"/>
          <w:sz w:val="26"/>
          <w:szCs w:val="26"/>
        </w:rPr>
      </w:pPr>
      <w:r w:rsidRPr="00E9174E">
        <w:rPr>
          <w:rFonts w:eastAsiaTheme="minorHAnsi"/>
          <w:sz w:val="26"/>
          <w:szCs w:val="26"/>
        </w:rPr>
        <w:t xml:space="preserve">Although the OSBA proposed a rate of return on common equity “in the 7.63% range,” the OSBA did not provide tables specifying what it proposed as an overall rate of return.  OSBA M.B. at 7. </w:t>
      </w:r>
    </w:p>
    <w:p w14:paraId="0294A072" w14:textId="77777777" w:rsidR="008930F7" w:rsidRPr="00E9174E" w:rsidRDefault="008930F7" w:rsidP="00E9174E">
      <w:pPr>
        <w:widowControl/>
        <w:spacing w:line="360" w:lineRule="auto"/>
        <w:ind w:firstLine="1440"/>
        <w:contextualSpacing/>
        <w:rPr>
          <w:rFonts w:eastAsiaTheme="minorHAnsi"/>
          <w:sz w:val="26"/>
          <w:szCs w:val="26"/>
        </w:rPr>
      </w:pPr>
    </w:p>
    <w:p w14:paraId="5E18FD46" w14:textId="19687F3E" w:rsidR="00E919D2" w:rsidRPr="00E9174E" w:rsidRDefault="00E919D2" w:rsidP="00277ECF">
      <w:pPr>
        <w:pStyle w:val="Heading3"/>
        <w:numPr>
          <w:ilvl w:val="0"/>
          <w:numId w:val="26"/>
        </w:numPr>
        <w:ind w:left="1440" w:hanging="720"/>
        <w:rPr>
          <w:rFonts w:eastAsiaTheme="minorHAnsi"/>
        </w:rPr>
      </w:pPr>
      <w:bookmarkStart w:id="310" w:name="_Toc63764553"/>
      <w:r w:rsidRPr="00E9174E">
        <w:t>Recommended</w:t>
      </w:r>
      <w:r w:rsidRPr="00E9174E">
        <w:rPr>
          <w:rFonts w:eastAsiaTheme="minorHAnsi"/>
        </w:rPr>
        <w:t xml:space="preserve"> Decision</w:t>
      </w:r>
      <w:bookmarkEnd w:id="310"/>
    </w:p>
    <w:p w14:paraId="7FB945E3" w14:textId="77777777" w:rsidR="00E919D2" w:rsidRPr="00E9174E" w:rsidRDefault="00E919D2" w:rsidP="00E9174E">
      <w:pPr>
        <w:keepNext/>
        <w:keepLines/>
        <w:widowControl/>
        <w:spacing w:line="360" w:lineRule="auto"/>
        <w:contextualSpacing/>
        <w:rPr>
          <w:rFonts w:eastAsiaTheme="minorHAnsi"/>
          <w:sz w:val="26"/>
          <w:szCs w:val="26"/>
        </w:rPr>
      </w:pPr>
    </w:p>
    <w:p w14:paraId="19D7170E" w14:textId="2500C2F1" w:rsidR="00F44018" w:rsidRPr="00E9174E" w:rsidRDefault="00F44018" w:rsidP="00E9174E">
      <w:pPr>
        <w:widowControl/>
        <w:spacing w:line="360" w:lineRule="auto"/>
        <w:ind w:firstLine="1440"/>
        <w:contextualSpacing/>
        <w:rPr>
          <w:rFonts w:eastAsiaTheme="minorHAnsi"/>
          <w:sz w:val="26"/>
          <w:szCs w:val="26"/>
        </w:rPr>
      </w:pPr>
      <w:r w:rsidRPr="00E9174E">
        <w:rPr>
          <w:rFonts w:eastAsiaTheme="minorHAnsi"/>
          <w:sz w:val="26"/>
          <w:szCs w:val="26"/>
        </w:rPr>
        <w:t>In her Recommended Decision, ALJ Dunderdale did not set forth a specific recommended overall rate of return for Columbia.  However, as noted above, the ALJ recommended: (1) approving the OCA’s proposed capital structure of 50% common equity and 50% debt; (2) approving Columbia’s claimed cost rate of 4.73% for long</w:t>
      </w:r>
      <w:r w:rsidRPr="00E9174E">
        <w:rPr>
          <w:rFonts w:eastAsiaTheme="minorHAnsi"/>
          <w:sz w:val="26"/>
          <w:szCs w:val="26"/>
        </w:rPr>
        <w:noBreakHyphen/>
        <w:t>term debt and 2.06% short-term debt while applying the OCA’s blended cost of debt of 4.52%; and (3) utilizing</w:t>
      </w:r>
      <w:r w:rsidR="00056482" w:rsidRPr="00E9174E">
        <w:rPr>
          <w:rFonts w:eastAsiaTheme="minorHAnsi"/>
          <w:sz w:val="26"/>
          <w:szCs w:val="26"/>
        </w:rPr>
        <w:t xml:space="preserve"> </w:t>
      </w:r>
      <w:r w:rsidRPr="00E9174E">
        <w:rPr>
          <w:rFonts w:eastAsiaTheme="minorHAnsi"/>
          <w:sz w:val="26"/>
          <w:szCs w:val="26"/>
        </w:rPr>
        <w:t xml:space="preserve">I&amp;E’s methodology for determining a rate of return on common equity.  R.D. at 181-85. </w:t>
      </w:r>
    </w:p>
    <w:p w14:paraId="6B9C33D9" w14:textId="77777777" w:rsidR="00F44018" w:rsidRPr="00E9174E" w:rsidRDefault="00F44018" w:rsidP="00E9174E">
      <w:pPr>
        <w:widowControl/>
        <w:spacing w:line="360" w:lineRule="auto"/>
        <w:ind w:firstLine="1440"/>
        <w:contextualSpacing/>
        <w:rPr>
          <w:rFonts w:eastAsiaTheme="minorHAnsi"/>
          <w:sz w:val="26"/>
          <w:szCs w:val="26"/>
        </w:rPr>
      </w:pPr>
    </w:p>
    <w:p w14:paraId="3B3EC407" w14:textId="37571B8D" w:rsidR="00E919D2" w:rsidRPr="00E9174E" w:rsidRDefault="00E919D2" w:rsidP="00277ECF">
      <w:pPr>
        <w:pStyle w:val="Heading3"/>
        <w:numPr>
          <w:ilvl w:val="0"/>
          <w:numId w:val="26"/>
        </w:numPr>
        <w:ind w:left="1440" w:hanging="720"/>
        <w:rPr>
          <w:rFonts w:eastAsiaTheme="minorHAnsi"/>
        </w:rPr>
      </w:pPr>
      <w:bookmarkStart w:id="311" w:name="_Toc63764554"/>
      <w:r w:rsidRPr="00E9174E">
        <w:rPr>
          <w:rFonts w:eastAsiaTheme="minorHAnsi"/>
        </w:rPr>
        <w:t>Exceptions and Replies</w:t>
      </w:r>
      <w:bookmarkEnd w:id="311"/>
    </w:p>
    <w:p w14:paraId="71F323AC" w14:textId="77777777" w:rsidR="00E919D2" w:rsidRPr="00E9174E" w:rsidRDefault="00E919D2" w:rsidP="00E9174E">
      <w:pPr>
        <w:keepNext/>
        <w:keepLines/>
        <w:widowControl/>
        <w:spacing w:line="360" w:lineRule="auto"/>
        <w:contextualSpacing/>
        <w:rPr>
          <w:rFonts w:eastAsiaTheme="minorHAnsi"/>
          <w:sz w:val="26"/>
          <w:szCs w:val="26"/>
        </w:rPr>
      </w:pPr>
    </w:p>
    <w:p w14:paraId="585650A5" w14:textId="77777777" w:rsidR="001C14C9" w:rsidRPr="00E9174E" w:rsidRDefault="001C14C9" w:rsidP="00E9174E">
      <w:pPr>
        <w:widowControl/>
        <w:spacing w:line="360" w:lineRule="auto"/>
        <w:ind w:firstLine="1440"/>
        <w:contextualSpacing/>
        <w:rPr>
          <w:rFonts w:eastAsiaTheme="minorHAnsi"/>
          <w:sz w:val="26"/>
          <w:szCs w:val="26"/>
        </w:rPr>
      </w:pPr>
      <w:r w:rsidRPr="00E9174E">
        <w:rPr>
          <w:rFonts w:eastAsiaTheme="minorHAnsi"/>
          <w:sz w:val="26"/>
          <w:szCs w:val="26"/>
        </w:rPr>
        <w:t xml:space="preserve">Only Columbia and the OCA filed exceptions to the ALJ’s recommendations on a fair rate of return for the Company.  Columbia and the OCA’s Exceptions and Replies to Exceptions on the overall rate of return are based on their </w:t>
      </w:r>
      <w:r w:rsidRPr="00E9174E">
        <w:rPr>
          <w:rFonts w:eastAsiaTheme="minorHAnsi"/>
          <w:sz w:val="26"/>
          <w:szCs w:val="26"/>
        </w:rPr>
        <w:lastRenderedPageBreak/>
        <w:t xml:space="preserve">respective Exceptions and Replies to Exceptions regarding the ALJ’s recommended capital structure, proxy group, and the cost of common equity, </w:t>
      </w:r>
      <w:r w:rsidRPr="00E9174E">
        <w:rPr>
          <w:rFonts w:eastAsiaTheme="minorHAnsi"/>
          <w:i/>
          <w:iCs/>
          <w:sz w:val="26"/>
          <w:szCs w:val="26"/>
        </w:rPr>
        <w:t>supra.</w:t>
      </w:r>
    </w:p>
    <w:p w14:paraId="0260A6C8" w14:textId="77777777" w:rsidR="001C14C9" w:rsidRPr="00E9174E" w:rsidRDefault="001C14C9" w:rsidP="00E9174E">
      <w:pPr>
        <w:widowControl/>
        <w:spacing w:line="360" w:lineRule="auto"/>
        <w:ind w:firstLine="1440"/>
        <w:contextualSpacing/>
        <w:rPr>
          <w:rFonts w:eastAsiaTheme="minorHAnsi"/>
          <w:sz w:val="26"/>
          <w:szCs w:val="26"/>
        </w:rPr>
      </w:pPr>
    </w:p>
    <w:p w14:paraId="6C4BE865" w14:textId="0C6F8C65" w:rsidR="00E919D2" w:rsidRPr="00E9174E" w:rsidRDefault="00E919D2" w:rsidP="00277ECF">
      <w:pPr>
        <w:pStyle w:val="Heading3"/>
        <w:numPr>
          <w:ilvl w:val="0"/>
          <w:numId w:val="26"/>
        </w:numPr>
        <w:ind w:left="1440" w:hanging="720"/>
        <w:rPr>
          <w:rFonts w:eastAsiaTheme="minorHAnsi"/>
        </w:rPr>
      </w:pPr>
      <w:bookmarkStart w:id="312" w:name="_Toc63764555"/>
      <w:r w:rsidRPr="00E9174E">
        <w:rPr>
          <w:rFonts w:eastAsiaTheme="minorHAnsi"/>
        </w:rPr>
        <w:t>Disposition</w:t>
      </w:r>
      <w:bookmarkEnd w:id="312"/>
    </w:p>
    <w:p w14:paraId="371F6C3E" w14:textId="77777777" w:rsidR="00E919D2" w:rsidRPr="00E9174E" w:rsidRDefault="00E919D2" w:rsidP="00E9174E">
      <w:pPr>
        <w:keepNext/>
        <w:keepLines/>
        <w:widowControl/>
        <w:spacing w:line="360" w:lineRule="auto"/>
        <w:ind w:left="720"/>
        <w:contextualSpacing/>
        <w:rPr>
          <w:rFonts w:eastAsiaTheme="minorHAnsi"/>
          <w:b/>
          <w:sz w:val="26"/>
          <w:szCs w:val="26"/>
        </w:rPr>
      </w:pPr>
    </w:p>
    <w:p w14:paraId="4B88629C" w14:textId="6A492F3B" w:rsidR="00E919D2" w:rsidRPr="00E9174E" w:rsidRDefault="00E919D2" w:rsidP="00E9174E">
      <w:pPr>
        <w:widowControl/>
        <w:spacing w:line="360" w:lineRule="auto"/>
        <w:ind w:firstLine="1440"/>
        <w:contextualSpacing/>
        <w:rPr>
          <w:rFonts w:eastAsiaTheme="minorHAnsi"/>
          <w:sz w:val="26"/>
          <w:szCs w:val="26"/>
        </w:rPr>
      </w:pPr>
      <w:r w:rsidRPr="00E9174E">
        <w:rPr>
          <w:rFonts w:eastAsiaTheme="minorHAnsi"/>
          <w:sz w:val="26"/>
          <w:szCs w:val="26"/>
        </w:rPr>
        <w:t xml:space="preserve">For the reasons discussed above, we have modified the ALJ’s </w:t>
      </w:r>
      <w:r w:rsidR="007D3923" w:rsidRPr="00E9174E">
        <w:rPr>
          <w:rFonts w:eastAsiaTheme="minorHAnsi"/>
          <w:sz w:val="26"/>
          <w:szCs w:val="26"/>
        </w:rPr>
        <w:t xml:space="preserve">alternate </w:t>
      </w:r>
      <w:r w:rsidRPr="00E9174E">
        <w:rPr>
          <w:rFonts w:eastAsiaTheme="minorHAnsi"/>
          <w:sz w:val="26"/>
          <w:szCs w:val="26"/>
        </w:rPr>
        <w:t>recommendation as to the appropriate capital structure, cost of debt, and cost of common equity for Columbia.  The following table summarizes our final determinations regarding Columbia’s capital structure, cost of debt, and cost of common equity, as well as the resulting weighted costs.  As this table indicates, we shall set an authorized overall rate of return for Columbia of 7.41%.</w:t>
      </w:r>
      <w:r w:rsidR="00920589" w:rsidRPr="00E9174E">
        <w:rPr>
          <w:rStyle w:val="FootnoteReference"/>
          <w:rFonts w:eastAsiaTheme="minorHAnsi"/>
          <w:sz w:val="26"/>
          <w:szCs w:val="26"/>
        </w:rPr>
        <w:footnoteReference w:id="44"/>
      </w:r>
    </w:p>
    <w:p w14:paraId="4A3BDD94" w14:textId="77777777" w:rsidR="00E919D2" w:rsidRPr="00E9174E" w:rsidRDefault="00E919D2" w:rsidP="00E9174E">
      <w:pPr>
        <w:widowControl/>
        <w:spacing w:line="360" w:lineRule="auto"/>
        <w:contextualSpacing/>
        <w:rPr>
          <w:rFonts w:eastAsiaTheme="minorHAnsi"/>
          <w:sz w:val="26"/>
          <w:szCs w:val="26"/>
        </w:rPr>
      </w:pPr>
    </w:p>
    <w:tbl>
      <w:tblPr>
        <w:tblW w:w="6830" w:type="dxa"/>
        <w:jc w:val="center"/>
        <w:tblLook w:val="04A0" w:firstRow="1" w:lastRow="0" w:firstColumn="1" w:lastColumn="0" w:noHBand="0" w:noVBand="1"/>
      </w:tblPr>
      <w:tblGrid>
        <w:gridCol w:w="2160"/>
        <w:gridCol w:w="1872"/>
        <w:gridCol w:w="1872"/>
        <w:gridCol w:w="1872"/>
      </w:tblGrid>
      <w:tr w:rsidR="00E919D2" w:rsidRPr="00E9174E" w14:paraId="4FBC59BE" w14:textId="77777777" w:rsidTr="00CC66FD">
        <w:trPr>
          <w:trHeight w:val="315"/>
          <w:jc w:val="center"/>
        </w:trPr>
        <w:tc>
          <w:tcPr>
            <w:tcW w:w="2160" w:type="dxa"/>
            <w:tcBorders>
              <w:top w:val="single" w:sz="8" w:space="0" w:color="auto"/>
              <w:left w:val="single" w:sz="8" w:space="0" w:color="auto"/>
              <w:bottom w:val="single" w:sz="8" w:space="0" w:color="auto"/>
              <w:right w:val="nil"/>
            </w:tcBorders>
            <w:shd w:val="clear" w:color="auto" w:fill="auto"/>
            <w:hideMark/>
          </w:tcPr>
          <w:p w14:paraId="75B0479C" w14:textId="77777777" w:rsidR="00E919D2" w:rsidRPr="00E9174E" w:rsidRDefault="00E919D2" w:rsidP="00E9174E">
            <w:pPr>
              <w:keepNext/>
              <w:keepLines/>
              <w:widowControl/>
              <w:spacing w:line="360" w:lineRule="auto"/>
              <w:contextualSpacing/>
              <w:rPr>
                <w:rFonts w:eastAsiaTheme="minorHAnsi"/>
                <w:b/>
                <w:bCs/>
                <w:sz w:val="26"/>
                <w:szCs w:val="26"/>
              </w:rPr>
            </w:pPr>
            <w:r w:rsidRPr="00E9174E">
              <w:rPr>
                <w:rFonts w:eastAsiaTheme="minorHAnsi"/>
                <w:b/>
                <w:bCs/>
                <w:sz w:val="26"/>
                <w:szCs w:val="26"/>
              </w:rPr>
              <w:t>Capital Type</w:t>
            </w:r>
          </w:p>
        </w:tc>
        <w:tc>
          <w:tcPr>
            <w:tcW w:w="1872" w:type="dxa"/>
            <w:tcBorders>
              <w:top w:val="single" w:sz="8" w:space="0" w:color="auto"/>
              <w:left w:val="single" w:sz="8" w:space="0" w:color="auto"/>
              <w:bottom w:val="single" w:sz="8" w:space="0" w:color="auto"/>
              <w:right w:val="single" w:sz="8" w:space="0" w:color="auto"/>
            </w:tcBorders>
            <w:shd w:val="clear" w:color="auto" w:fill="auto"/>
            <w:hideMark/>
          </w:tcPr>
          <w:p w14:paraId="06B82B81" w14:textId="77777777" w:rsidR="00E919D2" w:rsidRPr="00E9174E" w:rsidRDefault="00E919D2" w:rsidP="00E9174E">
            <w:pPr>
              <w:keepNext/>
              <w:keepLines/>
              <w:widowControl/>
              <w:spacing w:line="360" w:lineRule="auto"/>
              <w:contextualSpacing/>
              <w:rPr>
                <w:rFonts w:eastAsiaTheme="minorHAnsi"/>
                <w:b/>
                <w:bCs/>
                <w:sz w:val="26"/>
                <w:szCs w:val="26"/>
              </w:rPr>
            </w:pPr>
            <w:r w:rsidRPr="00E9174E">
              <w:rPr>
                <w:rFonts w:eastAsiaTheme="minorHAnsi"/>
                <w:b/>
                <w:bCs/>
                <w:sz w:val="26"/>
                <w:szCs w:val="26"/>
              </w:rPr>
              <w:t>Ratio</w:t>
            </w:r>
          </w:p>
        </w:tc>
        <w:tc>
          <w:tcPr>
            <w:tcW w:w="1872" w:type="dxa"/>
            <w:tcBorders>
              <w:top w:val="single" w:sz="8" w:space="0" w:color="auto"/>
              <w:left w:val="nil"/>
              <w:bottom w:val="single" w:sz="8" w:space="0" w:color="auto"/>
              <w:right w:val="single" w:sz="8" w:space="0" w:color="auto"/>
            </w:tcBorders>
            <w:shd w:val="clear" w:color="auto" w:fill="auto"/>
            <w:hideMark/>
          </w:tcPr>
          <w:p w14:paraId="6269A2D7" w14:textId="77777777" w:rsidR="00E919D2" w:rsidRPr="00E9174E" w:rsidRDefault="00E919D2" w:rsidP="00E9174E">
            <w:pPr>
              <w:keepNext/>
              <w:keepLines/>
              <w:widowControl/>
              <w:spacing w:line="360" w:lineRule="auto"/>
              <w:contextualSpacing/>
              <w:rPr>
                <w:rFonts w:eastAsiaTheme="minorHAnsi"/>
                <w:b/>
                <w:bCs/>
                <w:sz w:val="26"/>
                <w:szCs w:val="26"/>
              </w:rPr>
            </w:pPr>
            <w:r w:rsidRPr="00E9174E">
              <w:rPr>
                <w:rFonts w:eastAsiaTheme="minorHAnsi"/>
                <w:b/>
                <w:bCs/>
                <w:sz w:val="26"/>
                <w:szCs w:val="26"/>
              </w:rPr>
              <w:t>Cost Rate</w:t>
            </w:r>
          </w:p>
        </w:tc>
        <w:tc>
          <w:tcPr>
            <w:tcW w:w="1872" w:type="dxa"/>
            <w:tcBorders>
              <w:top w:val="single" w:sz="8" w:space="0" w:color="auto"/>
              <w:left w:val="nil"/>
              <w:bottom w:val="single" w:sz="8" w:space="0" w:color="auto"/>
              <w:right w:val="single" w:sz="8" w:space="0" w:color="auto"/>
            </w:tcBorders>
            <w:shd w:val="clear" w:color="auto" w:fill="auto"/>
            <w:hideMark/>
          </w:tcPr>
          <w:p w14:paraId="09990E0A" w14:textId="77777777" w:rsidR="00E919D2" w:rsidRPr="00E9174E" w:rsidRDefault="00E919D2" w:rsidP="00E9174E">
            <w:pPr>
              <w:keepNext/>
              <w:keepLines/>
              <w:widowControl/>
              <w:spacing w:line="360" w:lineRule="auto"/>
              <w:contextualSpacing/>
              <w:rPr>
                <w:rFonts w:eastAsiaTheme="minorHAnsi"/>
                <w:b/>
                <w:bCs/>
                <w:sz w:val="26"/>
                <w:szCs w:val="26"/>
              </w:rPr>
            </w:pPr>
            <w:r w:rsidRPr="00E9174E">
              <w:rPr>
                <w:rFonts w:eastAsiaTheme="minorHAnsi"/>
                <w:b/>
                <w:bCs/>
                <w:sz w:val="26"/>
                <w:szCs w:val="26"/>
              </w:rPr>
              <w:t>Weighted Cost</w:t>
            </w:r>
          </w:p>
        </w:tc>
      </w:tr>
      <w:tr w:rsidR="00E919D2" w:rsidRPr="00E9174E" w14:paraId="0A12393C" w14:textId="77777777" w:rsidTr="00CC66FD">
        <w:trPr>
          <w:trHeight w:val="315"/>
          <w:jc w:val="center"/>
        </w:trPr>
        <w:tc>
          <w:tcPr>
            <w:tcW w:w="2160" w:type="dxa"/>
            <w:tcBorders>
              <w:top w:val="nil"/>
              <w:left w:val="single" w:sz="8" w:space="0" w:color="auto"/>
              <w:bottom w:val="nil"/>
              <w:right w:val="nil"/>
            </w:tcBorders>
            <w:shd w:val="clear" w:color="auto" w:fill="auto"/>
            <w:noWrap/>
            <w:vAlign w:val="bottom"/>
            <w:hideMark/>
          </w:tcPr>
          <w:p w14:paraId="07CBAC23" w14:textId="77777777" w:rsidR="00E919D2" w:rsidRPr="00E9174E" w:rsidRDefault="00E919D2" w:rsidP="00E9174E">
            <w:pPr>
              <w:keepNext/>
              <w:keepLines/>
              <w:widowControl/>
              <w:spacing w:line="360" w:lineRule="auto"/>
              <w:contextualSpacing/>
              <w:rPr>
                <w:rFonts w:eastAsiaTheme="minorHAnsi"/>
                <w:b/>
                <w:bCs/>
                <w:sz w:val="26"/>
                <w:szCs w:val="26"/>
              </w:rPr>
            </w:pPr>
            <w:r w:rsidRPr="00E9174E">
              <w:rPr>
                <w:rFonts w:eastAsiaTheme="minorHAnsi"/>
                <w:b/>
                <w:bCs/>
                <w:sz w:val="26"/>
                <w:szCs w:val="26"/>
              </w:rPr>
              <w:t>Long-Term Debt</w:t>
            </w:r>
          </w:p>
        </w:tc>
        <w:tc>
          <w:tcPr>
            <w:tcW w:w="1872" w:type="dxa"/>
            <w:tcBorders>
              <w:top w:val="nil"/>
              <w:left w:val="single" w:sz="8" w:space="0" w:color="auto"/>
              <w:bottom w:val="nil"/>
              <w:right w:val="single" w:sz="8" w:space="0" w:color="auto"/>
            </w:tcBorders>
            <w:shd w:val="clear" w:color="auto" w:fill="auto"/>
            <w:noWrap/>
            <w:vAlign w:val="bottom"/>
            <w:hideMark/>
          </w:tcPr>
          <w:p w14:paraId="2B977396" w14:textId="77777777" w:rsidR="00E919D2" w:rsidRPr="00E9174E" w:rsidRDefault="00E919D2" w:rsidP="00E9174E">
            <w:pPr>
              <w:keepNext/>
              <w:keepLines/>
              <w:widowControl/>
              <w:spacing w:line="360" w:lineRule="auto"/>
              <w:contextualSpacing/>
              <w:rPr>
                <w:rFonts w:eastAsiaTheme="minorHAnsi"/>
                <w:sz w:val="26"/>
                <w:szCs w:val="26"/>
              </w:rPr>
            </w:pPr>
            <w:r w:rsidRPr="00E9174E">
              <w:rPr>
                <w:rFonts w:eastAsiaTheme="minorHAnsi"/>
                <w:sz w:val="26"/>
                <w:szCs w:val="26"/>
              </w:rPr>
              <w:t>42.22%</w:t>
            </w:r>
          </w:p>
        </w:tc>
        <w:tc>
          <w:tcPr>
            <w:tcW w:w="1872" w:type="dxa"/>
            <w:tcBorders>
              <w:top w:val="nil"/>
              <w:left w:val="nil"/>
              <w:bottom w:val="nil"/>
              <w:right w:val="single" w:sz="8" w:space="0" w:color="auto"/>
            </w:tcBorders>
            <w:shd w:val="clear" w:color="auto" w:fill="auto"/>
            <w:noWrap/>
            <w:vAlign w:val="bottom"/>
            <w:hideMark/>
          </w:tcPr>
          <w:p w14:paraId="6C3A1629" w14:textId="77777777" w:rsidR="00E919D2" w:rsidRPr="00E9174E" w:rsidRDefault="00E919D2" w:rsidP="00E9174E">
            <w:pPr>
              <w:keepNext/>
              <w:keepLines/>
              <w:widowControl/>
              <w:spacing w:line="360" w:lineRule="auto"/>
              <w:contextualSpacing/>
              <w:rPr>
                <w:rFonts w:eastAsiaTheme="minorHAnsi"/>
                <w:sz w:val="26"/>
                <w:szCs w:val="26"/>
              </w:rPr>
            </w:pPr>
            <w:r w:rsidRPr="00E9174E">
              <w:rPr>
                <w:rFonts w:eastAsiaTheme="minorHAnsi"/>
                <w:sz w:val="26"/>
                <w:szCs w:val="26"/>
              </w:rPr>
              <w:t>4.73%</w:t>
            </w:r>
          </w:p>
        </w:tc>
        <w:tc>
          <w:tcPr>
            <w:tcW w:w="1872" w:type="dxa"/>
            <w:tcBorders>
              <w:top w:val="nil"/>
              <w:left w:val="nil"/>
              <w:bottom w:val="nil"/>
              <w:right w:val="single" w:sz="8" w:space="0" w:color="auto"/>
            </w:tcBorders>
            <w:shd w:val="clear" w:color="auto" w:fill="auto"/>
            <w:noWrap/>
            <w:vAlign w:val="bottom"/>
            <w:hideMark/>
          </w:tcPr>
          <w:p w14:paraId="0B71067A" w14:textId="77777777" w:rsidR="00E919D2" w:rsidRPr="00E9174E" w:rsidRDefault="00E919D2" w:rsidP="00E9174E">
            <w:pPr>
              <w:keepNext/>
              <w:keepLines/>
              <w:widowControl/>
              <w:spacing w:line="360" w:lineRule="auto"/>
              <w:contextualSpacing/>
              <w:rPr>
                <w:rFonts w:eastAsiaTheme="minorHAnsi"/>
                <w:sz w:val="26"/>
                <w:szCs w:val="26"/>
              </w:rPr>
            </w:pPr>
            <w:r w:rsidRPr="00E9174E">
              <w:rPr>
                <w:rFonts w:eastAsiaTheme="minorHAnsi"/>
                <w:sz w:val="26"/>
                <w:szCs w:val="26"/>
              </w:rPr>
              <w:t>2.00%</w:t>
            </w:r>
          </w:p>
        </w:tc>
      </w:tr>
      <w:tr w:rsidR="00E919D2" w:rsidRPr="00E9174E" w14:paraId="6C16B77B" w14:textId="77777777" w:rsidTr="00CC66FD">
        <w:trPr>
          <w:trHeight w:val="315"/>
          <w:jc w:val="center"/>
        </w:trPr>
        <w:tc>
          <w:tcPr>
            <w:tcW w:w="2160" w:type="dxa"/>
            <w:tcBorders>
              <w:top w:val="single" w:sz="8" w:space="0" w:color="auto"/>
              <w:left w:val="single" w:sz="8" w:space="0" w:color="auto"/>
              <w:bottom w:val="single" w:sz="8" w:space="0" w:color="auto"/>
              <w:right w:val="nil"/>
            </w:tcBorders>
            <w:shd w:val="clear" w:color="auto" w:fill="auto"/>
            <w:noWrap/>
            <w:vAlign w:val="bottom"/>
          </w:tcPr>
          <w:p w14:paraId="782A6E23" w14:textId="77777777" w:rsidR="00E919D2" w:rsidRPr="00E9174E" w:rsidRDefault="00E919D2" w:rsidP="00E9174E">
            <w:pPr>
              <w:keepNext/>
              <w:keepLines/>
              <w:widowControl/>
              <w:spacing w:line="360" w:lineRule="auto"/>
              <w:contextualSpacing/>
              <w:rPr>
                <w:rFonts w:eastAsiaTheme="minorHAnsi"/>
                <w:b/>
                <w:bCs/>
                <w:sz w:val="26"/>
                <w:szCs w:val="26"/>
              </w:rPr>
            </w:pPr>
            <w:r w:rsidRPr="00E9174E">
              <w:rPr>
                <w:rFonts w:eastAsiaTheme="minorHAnsi"/>
                <w:b/>
                <w:bCs/>
                <w:sz w:val="26"/>
                <w:szCs w:val="26"/>
              </w:rPr>
              <w:t>Short-Term Debt</w:t>
            </w:r>
          </w:p>
        </w:tc>
        <w:tc>
          <w:tcPr>
            <w:tcW w:w="1872"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ED02F87" w14:textId="77777777" w:rsidR="00E919D2" w:rsidRPr="00E9174E" w:rsidRDefault="00E919D2" w:rsidP="00E9174E">
            <w:pPr>
              <w:keepNext/>
              <w:keepLines/>
              <w:widowControl/>
              <w:spacing w:line="360" w:lineRule="auto"/>
              <w:contextualSpacing/>
              <w:rPr>
                <w:rFonts w:eastAsiaTheme="minorHAnsi"/>
                <w:sz w:val="26"/>
                <w:szCs w:val="26"/>
              </w:rPr>
            </w:pPr>
            <w:r w:rsidRPr="00E9174E">
              <w:rPr>
                <w:rFonts w:eastAsiaTheme="minorHAnsi"/>
                <w:sz w:val="26"/>
                <w:szCs w:val="26"/>
              </w:rPr>
              <w:t>3.59%</w:t>
            </w:r>
          </w:p>
        </w:tc>
        <w:tc>
          <w:tcPr>
            <w:tcW w:w="1872" w:type="dxa"/>
            <w:tcBorders>
              <w:top w:val="single" w:sz="8" w:space="0" w:color="auto"/>
              <w:left w:val="nil"/>
              <w:bottom w:val="single" w:sz="8" w:space="0" w:color="auto"/>
              <w:right w:val="single" w:sz="8" w:space="0" w:color="auto"/>
            </w:tcBorders>
            <w:shd w:val="clear" w:color="auto" w:fill="auto"/>
            <w:noWrap/>
            <w:vAlign w:val="bottom"/>
          </w:tcPr>
          <w:p w14:paraId="63BBF66D" w14:textId="77777777" w:rsidR="00E919D2" w:rsidRPr="00E9174E" w:rsidRDefault="00E919D2" w:rsidP="00E9174E">
            <w:pPr>
              <w:keepNext/>
              <w:keepLines/>
              <w:widowControl/>
              <w:spacing w:line="360" w:lineRule="auto"/>
              <w:contextualSpacing/>
              <w:rPr>
                <w:rFonts w:eastAsiaTheme="minorHAnsi"/>
                <w:sz w:val="26"/>
                <w:szCs w:val="26"/>
              </w:rPr>
            </w:pPr>
            <w:r w:rsidRPr="00E9174E">
              <w:rPr>
                <w:rFonts w:eastAsiaTheme="minorHAnsi"/>
                <w:sz w:val="26"/>
                <w:szCs w:val="26"/>
              </w:rPr>
              <w:t>2.06%</w:t>
            </w:r>
          </w:p>
        </w:tc>
        <w:tc>
          <w:tcPr>
            <w:tcW w:w="1872" w:type="dxa"/>
            <w:tcBorders>
              <w:top w:val="single" w:sz="8" w:space="0" w:color="auto"/>
              <w:left w:val="nil"/>
              <w:bottom w:val="single" w:sz="8" w:space="0" w:color="auto"/>
              <w:right w:val="single" w:sz="8" w:space="0" w:color="auto"/>
            </w:tcBorders>
            <w:shd w:val="clear" w:color="auto" w:fill="auto"/>
            <w:noWrap/>
            <w:vAlign w:val="bottom"/>
          </w:tcPr>
          <w:p w14:paraId="3CE9B021" w14:textId="77777777" w:rsidR="00E919D2" w:rsidRPr="00E9174E" w:rsidRDefault="00E919D2" w:rsidP="00E9174E">
            <w:pPr>
              <w:keepNext/>
              <w:keepLines/>
              <w:widowControl/>
              <w:spacing w:line="360" w:lineRule="auto"/>
              <w:contextualSpacing/>
              <w:rPr>
                <w:rFonts w:eastAsiaTheme="minorHAnsi"/>
                <w:sz w:val="26"/>
                <w:szCs w:val="26"/>
              </w:rPr>
            </w:pPr>
            <w:r w:rsidRPr="00E9174E">
              <w:rPr>
                <w:rFonts w:eastAsiaTheme="minorHAnsi"/>
                <w:sz w:val="26"/>
                <w:szCs w:val="26"/>
              </w:rPr>
              <w:t>0.07%</w:t>
            </w:r>
          </w:p>
        </w:tc>
      </w:tr>
      <w:tr w:rsidR="00E919D2" w:rsidRPr="00E9174E" w14:paraId="37445FB3" w14:textId="77777777" w:rsidTr="00CC66FD">
        <w:trPr>
          <w:trHeight w:val="315"/>
          <w:jc w:val="center"/>
        </w:trPr>
        <w:tc>
          <w:tcPr>
            <w:tcW w:w="2160" w:type="dxa"/>
            <w:tcBorders>
              <w:top w:val="single" w:sz="8" w:space="0" w:color="auto"/>
              <w:left w:val="single" w:sz="8" w:space="0" w:color="auto"/>
              <w:bottom w:val="single" w:sz="8" w:space="0" w:color="auto"/>
              <w:right w:val="nil"/>
            </w:tcBorders>
            <w:shd w:val="clear" w:color="auto" w:fill="auto"/>
            <w:noWrap/>
            <w:vAlign w:val="bottom"/>
            <w:hideMark/>
          </w:tcPr>
          <w:p w14:paraId="3E89CD30" w14:textId="77777777" w:rsidR="00E919D2" w:rsidRPr="00E9174E" w:rsidRDefault="00E919D2" w:rsidP="00E9174E">
            <w:pPr>
              <w:keepNext/>
              <w:keepLines/>
              <w:widowControl/>
              <w:spacing w:line="360" w:lineRule="auto"/>
              <w:contextualSpacing/>
              <w:rPr>
                <w:rFonts w:eastAsiaTheme="minorHAnsi"/>
                <w:b/>
                <w:bCs/>
                <w:sz w:val="26"/>
                <w:szCs w:val="26"/>
              </w:rPr>
            </w:pPr>
            <w:r w:rsidRPr="00E9174E">
              <w:rPr>
                <w:rFonts w:eastAsiaTheme="minorHAnsi"/>
                <w:b/>
                <w:bCs/>
                <w:sz w:val="26"/>
                <w:szCs w:val="26"/>
              </w:rPr>
              <w:t>Equity</w:t>
            </w:r>
          </w:p>
        </w:tc>
        <w:tc>
          <w:tcPr>
            <w:tcW w:w="187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7918CAB" w14:textId="77777777" w:rsidR="00E919D2" w:rsidRPr="00E9174E" w:rsidRDefault="00E919D2" w:rsidP="00E9174E">
            <w:pPr>
              <w:keepNext/>
              <w:keepLines/>
              <w:widowControl/>
              <w:spacing w:line="360" w:lineRule="auto"/>
              <w:contextualSpacing/>
              <w:rPr>
                <w:rFonts w:eastAsiaTheme="minorHAnsi"/>
                <w:sz w:val="26"/>
                <w:szCs w:val="26"/>
              </w:rPr>
            </w:pPr>
            <w:r w:rsidRPr="00E9174E">
              <w:rPr>
                <w:rFonts w:eastAsiaTheme="minorHAnsi"/>
                <w:sz w:val="26"/>
                <w:szCs w:val="26"/>
              </w:rPr>
              <w:t>54.19%</w:t>
            </w:r>
          </w:p>
        </w:tc>
        <w:tc>
          <w:tcPr>
            <w:tcW w:w="1872" w:type="dxa"/>
            <w:tcBorders>
              <w:top w:val="single" w:sz="8" w:space="0" w:color="auto"/>
              <w:left w:val="nil"/>
              <w:bottom w:val="single" w:sz="8" w:space="0" w:color="auto"/>
              <w:right w:val="single" w:sz="8" w:space="0" w:color="auto"/>
            </w:tcBorders>
            <w:shd w:val="clear" w:color="auto" w:fill="auto"/>
            <w:noWrap/>
            <w:vAlign w:val="bottom"/>
            <w:hideMark/>
          </w:tcPr>
          <w:p w14:paraId="35CE5AFB" w14:textId="77777777" w:rsidR="00E919D2" w:rsidRPr="00E9174E" w:rsidRDefault="00E919D2" w:rsidP="00E9174E">
            <w:pPr>
              <w:keepNext/>
              <w:keepLines/>
              <w:widowControl/>
              <w:spacing w:line="360" w:lineRule="auto"/>
              <w:contextualSpacing/>
              <w:rPr>
                <w:rFonts w:eastAsiaTheme="minorHAnsi"/>
                <w:sz w:val="26"/>
                <w:szCs w:val="26"/>
              </w:rPr>
            </w:pPr>
            <w:r w:rsidRPr="00E9174E">
              <w:rPr>
                <w:rFonts w:eastAsiaTheme="minorHAnsi"/>
                <w:sz w:val="26"/>
                <w:szCs w:val="26"/>
              </w:rPr>
              <w:t>9.86%</w:t>
            </w:r>
          </w:p>
        </w:tc>
        <w:tc>
          <w:tcPr>
            <w:tcW w:w="1872" w:type="dxa"/>
            <w:tcBorders>
              <w:top w:val="single" w:sz="8" w:space="0" w:color="auto"/>
              <w:left w:val="nil"/>
              <w:bottom w:val="single" w:sz="8" w:space="0" w:color="auto"/>
              <w:right w:val="single" w:sz="8" w:space="0" w:color="auto"/>
            </w:tcBorders>
            <w:shd w:val="clear" w:color="auto" w:fill="auto"/>
            <w:noWrap/>
            <w:vAlign w:val="bottom"/>
            <w:hideMark/>
          </w:tcPr>
          <w:p w14:paraId="48852760" w14:textId="77777777" w:rsidR="00E919D2" w:rsidRPr="00E9174E" w:rsidRDefault="00E919D2" w:rsidP="00E9174E">
            <w:pPr>
              <w:keepNext/>
              <w:keepLines/>
              <w:widowControl/>
              <w:spacing w:line="360" w:lineRule="auto"/>
              <w:contextualSpacing/>
              <w:rPr>
                <w:rFonts w:eastAsiaTheme="minorHAnsi"/>
                <w:sz w:val="26"/>
                <w:szCs w:val="26"/>
              </w:rPr>
            </w:pPr>
            <w:r w:rsidRPr="00E9174E">
              <w:rPr>
                <w:rFonts w:eastAsiaTheme="minorHAnsi"/>
                <w:sz w:val="26"/>
                <w:szCs w:val="26"/>
              </w:rPr>
              <w:t>5.34%</w:t>
            </w:r>
          </w:p>
        </w:tc>
      </w:tr>
      <w:tr w:rsidR="00E919D2" w:rsidRPr="00E9174E" w14:paraId="767E666E" w14:textId="77777777" w:rsidTr="00CC66FD">
        <w:trPr>
          <w:trHeight w:val="315"/>
          <w:jc w:val="center"/>
        </w:trPr>
        <w:tc>
          <w:tcPr>
            <w:tcW w:w="2160" w:type="dxa"/>
            <w:tcBorders>
              <w:top w:val="nil"/>
              <w:left w:val="single" w:sz="8" w:space="0" w:color="auto"/>
              <w:bottom w:val="single" w:sz="8" w:space="0" w:color="auto"/>
              <w:right w:val="nil"/>
            </w:tcBorders>
            <w:shd w:val="clear" w:color="auto" w:fill="auto"/>
            <w:noWrap/>
            <w:vAlign w:val="bottom"/>
            <w:hideMark/>
          </w:tcPr>
          <w:p w14:paraId="551816FD" w14:textId="77777777" w:rsidR="00E919D2" w:rsidRPr="00E9174E" w:rsidRDefault="00E919D2" w:rsidP="00E9174E">
            <w:pPr>
              <w:keepNext/>
              <w:keepLines/>
              <w:widowControl/>
              <w:spacing w:line="360" w:lineRule="auto"/>
              <w:contextualSpacing/>
              <w:rPr>
                <w:rFonts w:eastAsiaTheme="minorHAnsi"/>
                <w:b/>
                <w:bCs/>
                <w:sz w:val="26"/>
                <w:szCs w:val="26"/>
              </w:rPr>
            </w:pPr>
            <w:r w:rsidRPr="00E9174E">
              <w:rPr>
                <w:rFonts w:eastAsiaTheme="minorHAnsi"/>
                <w:b/>
                <w:bCs/>
                <w:sz w:val="26"/>
                <w:szCs w:val="26"/>
              </w:rPr>
              <w:t>Total</w:t>
            </w:r>
          </w:p>
        </w:tc>
        <w:tc>
          <w:tcPr>
            <w:tcW w:w="1872" w:type="dxa"/>
            <w:tcBorders>
              <w:top w:val="nil"/>
              <w:left w:val="single" w:sz="8" w:space="0" w:color="auto"/>
              <w:bottom w:val="single" w:sz="8" w:space="0" w:color="auto"/>
              <w:right w:val="single" w:sz="8" w:space="0" w:color="auto"/>
            </w:tcBorders>
            <w:shd w:val="clear" w:color="auto" w:fill="auto"/>
            <w:noWrap/>
            <w:vAlign w:val="bottom"/>
            <w:hideMark/>
          </w:tcPr>
          <w:p w14:paraId="1836D442" w14:textId="77777777" w:rsidR="00E919D2" w:rsidRPr="00E9174E" w:rsidRDefault="00E919D2" w:rsidP="00E9174E">
            <w:pPr>
              <w:keepNext/>
              <w:keepLines/>
              <w:widowControl/>
              <w:spacing w:line="360" w:lineRule="auto"/>
              <w:contextualSpacing/>
              <w:rPr>
                <w:rFonts w:eastAsiaTheme="minorHAnsi"/>
                <w:sz w:val="26"/>
                <w:szCs w:val="26"/>
              </w:rPr>
            </w:pPr>
            <w:r w:rsidRPr="00E9174E">
              <w:rPr>
                <w:rFonts w:eastAsiaTheme="minorHAnsi"/>
                <w:sz w:val="26"/>
                <w:szCs w:val="26"/>
              </w:rPr>
              <w:t>100.00%</w:t>
            </w:r>
          </w:p>
        </w:tc>
        <w:tc>
          <w:tcPr>
            <w:tcW w:w="1872" w:type="dxa"/>
            <w:tcBorders>
              <w:top w:val="nil"/>
              <w:left w:val="nil"/>
              <w:bottom w:val="single" w:sz="8" w:space="0" w:color="auto"/>
              <w:right w:val="single" w:sz="8" w:space="0" w:color="auto"/>
            </w:tcBorders>
            <w:shd w:val="clear" w:color="auto" w:fill="auto"/>
            <w:noWrap/>
            <w:vAlign w:val="bottom"/>
            <w:hideMark/>
          </w:tcPr>
          <w:p w14:paraId="0A79B47B" w14:textId="77777777" w:rsidR="00E919D2" w:rsidRPr="00E9174E" w:rsidRDefault="00E919D2" w:rsidP="00E9174E">
            <w:pPr>
              <w:keepNext/>
              <w:keepLines/>
              <w:widowControl/>
              <w:spacing w:line="360" w:lineRule="auto"/>
              <w:contextualSpacing/>
              <w:rPr>
                <w:rFonts w:eastAsiaTheme="minorHAnsi"/>
                <w:sz w:val="26"/>
                <w:szCs w:val="26"/>
              </w:rPr>
            </w:pPr>
            <w:r w:rsidRPr="00E9174E">
              <w:rPr>
                <w:rFonts w:eastAsiaTheme="minorHAnsi"/>
                <w:sz w:val="26"/>
                <w:szCs w:val="26"/>
              </w:rPr>
              <w:t> </w:t>
            </w:r>
          </w:p>
        </w:tc>
        <w:tc>
          <w:tcPr>
            <w:tcW w:w="1872" w:type="dxa"/>
            <w:tcBorders>
              <w:top w:val="nil"/>
              <w:left w:val="nil"/>
              <w:bottom w:val="single" w:sz="8" w:space="0" w:color="auto"/>
              <w:right w:val="single" w:sz="8" w:space="0" w:color="auto"/>
            </w:tcBorders>
            <w:shd w:val="clear" w:color="auto" w:fill="auto"/>
            <w:noWrap/>
            <w:vAlign w:val="bottom"/>
            <w:hideMark/>
          </w:tcPr>
          <w:p w14:paraId="7A0D979D" w14:textId="77777777" w:rsidR="00E919D2" w:rsidRPr="00E9174E" w:rsidRDefault="00E919D2" w:rsidP="00E9174E">
            <w:pPr>
              <w:keepNext/>
              <w:keepLines/>
              <w:widowControl/>
              <w:spacing w:line="360" w:lineRule="auto"/>
              <w:contextualSpacing/>
              <w:rPr>
                <w:rFonts w:eastAsiaTheme="minorHAnsi"/>
                <w:sz w:val="26"/>
                <w:szCs w:val="26"/>
              </w:rPr>
            </w:pPr>
            <w:r w:rsidRPr="00E9174E">
              <w:rPr>
                <w:rFonts w:eastAsiaTheme="minorHAnsi"/>
                <w:sz w:val="26"/>
                <w:szCs w:val="26"/>
              </w:rPr>
              <w:t>7.41%</w:t>
            </w:r>
          </w:p>
        </w:tc>
      </w:tr>
    </w:tbl>
    <w:p w14:paraId="6A2C88AA" w14:textId="77777777" w:rsidR="00E919D2" w:rsidRPr="00E9174E" w:rsidRDefault="00E919D2" w:rsidP="00E9174E">
      <w:pPr>
        <w:widowControl/>
        <w:spacing w:line="360" w:lineRule="auto"/>
        <w:contextualSpacing/>
        <w:rPr>
          <w:rFonts w:eastAsiaTheme="minorHAnsi"/>
          <w:sz w:val="26"/>
          <w:szCs w:val="26"/>
        </w:rPr>
      </w:pPr>
    </w:p>
    <w:p w14:paraId="7DED51B0" w14:textId="772DAD2F" w:rsidR="00455B4B" w:rsidRPr="00E9174E" w:rsidRDefault="00455B4B" w:rsidP="006C7826">
      <w:pPr>
        <w:pStyle w:val="Heading1"/>
        <w:keepNext/>
      </w:pPr>
      <w:bookmarkStart w:id="313" w:name="_Toc63764556"/>
      <w:r w:rsidRPr="00E9174E">
        <w:lastRenderedPageBreak/>
        <w:t>Miscellaneous Issues</w:t>
      </w:r>
      <w:bookmarkEnd w:id="313"/>
      <w:r w:rsidRPr="00E9174E">
        <w:t xml:space="preserve"> </w:t>
      </w:r>
    </w:p>
    <w:p w14:paraId="2E59D418" w14:textId="77777777" w:rsidR="00516B8E" w:rsidRPr="00E9174E" w:rsidRDefault="00516B8E" w:rsidP="00E9174E">
      <w:pPr>
        <w:pStyle w:val="BodyText2"/>
        <w:keepNext/>
        <w:keepLines/>
        <w:widowControl/>
        <w:spacing w:after="0" w:line="360" w:lineRule="auto"/>
        <w:contextualSpacing/>
        <w:rPr>
          <w:rFonts w:eastAsiaTheme="minorHAnsi"/>
          <w:sz w:val="26"/>
          <w:szCs w:val="26"/>
        </w:rPr>
      </w:pPr>
    </w:p>
    <w:p w14:paraId="1463CC2B" w14:textId="76148012" w:rsidR="00455B4B" w:rsidRPr="006C7826" w:rsidRDefault="00455B4B" w:rsidP="00F94A24">
      <w:pPr>
        <w:pStyle w:val="Heading2"/>
        <w:numPr>
          <w:ilvl w:val="0"/>
          <w:numId w:val="86"/>
        </w:numPr>
        <w:ind w:hanging="720"/>
      </w:pPr>
      <w:bookmarkStart w:id="314" w:name="_Toc63764557"/>
      <w:r w:rsidRPr="006C7826">
        <w:t>Low-Income Customer Issues</w:t>
      </w:r>
      <w:bookmarkEnd w:id="314"/>
      <w:r w:rsidRPr="006C7826">
        <w:t xml:space="preserve"> </w:t>
      </w:r>
    </w:p>
    <w:p w14:paraId="539C5195" w14:textId="77777777" w:rsidR="00455B4B" w:rsidRPr="00E9174E" w:rsidRDefault="00455B4B" w:rsidP="00E9174E">
      <w:pPr>
        <w:keepNext/>
        <w:keepLines/>
        <w:widowControl/>
        <w:tabs>
          <w:tab w:val="left" w:pos="360"/>
        </w:tabs>
        <w:spacing w:line="360" w:lineRule="auto"/>
        <w:contextualSpacing/>
        <w:rPr>
          <w:rFonts w:eastAsiaTheme="minorHAnsi"/>
          <w:sz w:val="26"/>
          <w:szCs w:val="26"/>
        </w:rPr>
      </w:pPr>
    </w:p>
    <w:p w14:paraId="2EF2914E" w14:textId="670321F1" w:rsidR="00455B4B" w:rsidRPr="00E9174E" w:rsidRDefault="00455B4B" w:rsidP="00277ECF">
      <w:pPr>
        <w:pStyle w:val="Heading3"/>
        <w:numPr>
          <w:ilvl w:val="0"/>
          <w:numId w:val="27"/>
        </w:numPr>
        <w:ind w:left="1440" w:hanging="720"/>
        <w:rPr>
          <w:rFonts w:eastAsiaTheme="minorHAnsi"/>
        </w:rPr>
      </w:pPr>
      <w:bookmarkStart w:id="315" w:name="_Toc63764558"/>
      <w:r w:rsidRPr="00E9174E">
        <w:t>Customer</w:t>
      </w:r>
      <w:r w:rsidRPr="00E9174E">
        <w:rPr>
          <w:rFonts w:eastAsiaTheme="minorHAnsi"/>
        </w:rPr>
        <w:t xml:space="preserve"> Assistance Program</w:t>
      </w:r>
      <w:bookmarkEnd w:id="315"/>
    </w:p>
    <w:p w14:paraId="2ABD1E73" w14:textId="77777777" w:rsidR="00455B4B" w:rsidRPr="00E9174E" w:rsidRDefault="00455B4B" w:rsidP="00E9174E">
      <w:pPr>
        <w:keepNext/>
        <w:keepLines/>
        <w:widowControl/>
        <w:spacing w:line="360" w:lineRule="auto"/>
        <w:contextualSpacing/>
        <w:jc w:val="both"/>
        <w:rPr>
          <w:rFonts w:eastAsiaTheme="minorHAnsi"/>
          <w:sz w:val="26"/>
          <w:szCs w:val="26"/>
        </w:rPr>
      </w:pPr>
    </w:p>
    <w:p w14:paraId="54B21491" w14:textId="77777777" w:rsidR="00455B4B" w:rsidRPr="00E9174E" w:rsidRDefault="00455B4B" w:rsidP="00277ECF">
      <w:pPr>
        <w:pStyle w:val="Heading4"/>
        <w:numPr>
          <w:ilvl w:val="0"/>
          <w:numId w:val="59"/>
        </w:numPr>
        <w:ind w:left="2160" w:hanging="720"/>
        <w:rPr>
          <w:rFonts w:eastAsiaTheme="minorHAnsi"/>
        </w:rPr>
      </w:pPr>
      <w:bookmarkStart w:id="316" w:name="_Toc63764559"/>
      <w:r w:rsidRPr="00E9174E">
        <w:t>Positions</w:t>
      </w:r>
      <w:r w:rsidRPr="00E9174E">
        <w:rPr>
          <w:rFonts w:eastAsiaTheme="minorHAnsi"/>
        </w:rPr>
        <w:t xml:space="preserve"> of the Parties</w:t>
      </w:r>
      <w:bookmarkEnd w:id="316"/>
      <w:r w:rsidRPr="00E9174E">
        <w:rPr>
          <w:rFonts w:eastAsiaTheme="minorHAnsi"/>
        </w:rPr>
        <w:t xml:space="preserve"> </w:t>
      </w:r>
    </w:p>
    <w:p w14:paraId="260F9492" w14:textId="77777777" w:rsidR="00594DBE" w:rsidRPr="00E9174E" w:rsidRDefault="00594DBE" w:rsidP="00E9174E">
      <w:pPr>
        <w:keepNext/>
        <w:keepLines/>
        <w:widowControl/>
        <w:spacing w:line="360" w:lineRule="auto"/>
        <w:contextualSpacing/>
        <w:rPr>
          <w:rFonts w:eastAsiaTheme="minorHAnsi"/>
          <w:sz w:val="26"/>
          <w:szCs w:val="26"/>
        </w:rPr>
      </w:pPr>
    </w:p>
    <w:p w14:paraId="7CD69647" w14:textId="0CEDD4CD" w:rsidR="00455B4B" w:rsidRPr="00E9174E" w:rsidRDefault="00455B4B" w:rsidP="00E9174E">
      <w:pPr>
        <w:keepNext/>
        <w:widowControl/>
        <w:spacing w:line="360" w:lineRule="auto"/>
        <w:ind w:firstLine="1440"/>
        <w:contextualSpacing/>
        <w:rPr>
          <w:rFonts w:eastAsiaTheme="minorHAnsi"/>
          <w:sz w:val="26"/>
          <w:szCs w:val="26"/>
        </w:rPr>
      </w:pPr>
      <w:r w:rsidRPr="00E9174E">
        <w:rPr>
          <w:rFonts w:eastAsiaTheme="minorHAnsi"/>
          <w:sz w:val="26"/>
          <w:szCs w:val="26"/>
        </w:rPr>
        <w:t xml:space="preserve">The OCA argued that Columbia’s collection policy for Customer Assistance Program (CAP) customers may be inconsistent with </w:t>
      </w:r>
      <w:r w:rsidRPr="00E9174E">
        <w:rPr>
          <w:rFonts w:eastAsiaTheme="minorHAnsi"/>
          <w:i/>
          <w:iCs/>
          <w:sz w:val="26"/>
          <w:szCs w:val="26"/>
        </w:rPr>
        <w:t>Amendments to Policy Statement on Customer Assistance Program, Final Policy Statement Order</w:t>
      </w:r>
      <w:r w:rsidRPr="00E9174E">
        <w:rPr>
          <w:rFonts w:eastAsiaTheme="minorHAnsi"/>
          <w:sz w:val="26"/>
          <w:szCs w:val="26"/>
        </w:rPr>
        <w:t>, Docket No. M-2019-3012599 (Order entered November 5, 2019) (</w:t>
      </w:r>
      <w:r w:rsidRPr="00E9174E">
        <w:rPr>
          <w:rFonts w:eastAsiaTheme="minorHAnsi"/>
          <w:i/>
          <w:iCs/>
          <w:sz w:val="26"/>
          <w:szCs w:val="26"/>
        </w:rPr>
        <w:t>Final CAP Policy Statement Order</w:t>
      </w:r>
      <w:r w:rsidRPr="00E9174E">
        <w:rPr>
          <w:rFonts w:eastAsiaTheme="minorHAnsi"/>
          <w:sz w:val="26"/>
          <w:szCs w:val="26"/>
        </w:rPr>
        <w:t xml:space="preserve">) and, accordingly, recommended that Columbia submit to its </w:t>
      </w:r>
      <w:bookmarkStart w:id="317" w:name="_Hlk63280907"/>
      <w:r w:rsidRPr="00E9174E">
        <w:rPr>
          <w:rFonts w:eastAsiaTheme="minorHAnsi"/>
          <w:sz w:val="26"/>
          <w:szCs w:val="26"/>
        </w:rPr>
        <w:t>Universal Service Advisory Committee</w:t>
      </w:r>
      <w:bookmarkEnd w:id="317"/>
      <w:r w:rsidR="008505F4" w:rsidRPr="00E9174E">
        <w:rPr>
          <w:rFonts w:eastAsiaTheme="minorHAnsi"/>
          <w:sz w:val="26"/>
          <w:szCs w:val="26"/>
        </w:rPr>
        <w:t xml:space="preserve"> (</w:t>
      </w:r>
      <w:bookmarkStart w:id="318" w:name="_Hlk63280888"/>
      <w:r w:rsidR="008505F4" w:rsidRPr="00E9174E">
        <w:rPr>
          <w:rFonts w:eastAsiaTheme="minorHAnsi"/>
          <w:sz w:val="26"/>
          <w:szCs w:val="26"/>
        </w:rPr>
        <w:t>USAC</w:t>
      </w:r>
      <w:bookmarkEnd w:id="318"/>
      <w:r w:rsidR="008505F4" w:rsidRPr="00E9174E">
        <w:rPr>
          <w:rFonts w:eastAsiaTheme="minorHAnsi"/>
          <w:sz w:val="26"/>
          <w:szCs w:val="26"/>
        </w:rPr>
        <w:t>)</w:t>
      </w:r>
      <w:r w:rsidRPr="00E9174E">
        <w:rPr>
          <w:rFonts w:eastAsiaTheme="minorHAnsi"/>
          <w:sz w:val="26"/>
          <w:szCs w:val="26"/>
        </w:rPr>
        <w:t xml:space="preserve">, within six months of this Opinion and Order, the question of how customer payments on CAP bills can be pursued through a reasonable process.  OCA M.B. at 112 (citing OCA St. 5 at 11).  The OCA was concerned that the Company engage in timely collections to CAP customers so that low-income customers will be more likely to get caught up on missed payments or find available resources to assist in paying those missed payments.  OCA M.B. at 113.    </w:t>
      </w:r>
    </w:p>
    <w:p w14:paraId="4F501C73" w14:textId="77777777" w:rsidR="00455B4B" w:rsidRPr="00E9174E" w:rsidRDefault="00455B4B" w:rsidP="00E9174E">
      <w:pPr>
        <w:widowControl/>
        <w:spacing w:line="360" w:lineRule="auto"/>
        <w:contextualSpacing/>
        <w:rPr>
          <w:rFonts w:eastAsiaTheme="minorHAnsi"/>
          <w:sz w:val="26"/>
          <w:szCs w:val="26"/>
        </w:rPr>
      </w:pPr>
    </w:p>
    <w:p w14:paraId="4F604EF4" w14:textId="77777777" w:rsidR="00455B4B" w:rsidRPr="00E9174E" w:rsidRDefault="00455B4B" w:rsidP="00E9174E">
      <w:pPr>
        <w:widowControl/>
        <w:spacing w:line="360" w:lineRule="auto"/>
        <w:ind w:firstLine="1440"/>
        <w:contextualSpacing/>
        <w:rPr>
          <w:rFonts w:eastAsiaTheme="minorHAnsi"/>
          <w:sz w:val="26"/>
          <w:szCs w:val="26"/>
        </w:rPr>
      </w:pPr>
      <w:r w:rsidRPr="00E9174E">
        <w:rPr>
          <w:rFonts w:eastAsiaTheme="minorHAnsi"/>
          <w:sz w:val="26"/>
          <w:szCs w:val="26"/>
        </w:rPr>
        <w:t xml:space="preserve">The OCA stated that it examined the Company’s collections policy and the results of the Company’s collections activity, and there was a significant gap between the number of CAP bills tendered and the number of CAP full payments received.  The OCA noted that the Company’s data is set forth in Schedule RDC-1 and shows that while Columbia tendered on average between 22,000 and 23,000 CAP bills each month for the years 2018 through 2019, the Company received between roughly 12,000 and 13,000 full payments.  The OCA also noted that in dollar terms, Columbia received CAP payments equal to only 71.8% of the CAP bills it issued in 2017 (payments of $9,050,991 against bills of $12,598,585); Columbia received payments equal to only 73.4% of its CAP bills </w:t>
      </w:r>
      <w:r w:rsidRPr="00E9174E">
        <w:rPr>
          <w:rFonts w:eastAsiaTheme="minorHAnsi"/>
          <w:sz w:val="26"/>
          <w:szCs w:val="26"/>
        </w:rPr>
        <w:lastRenderedPageBreak/>
        <w:t xml:space="preserve">in 2018 ($10,262,398 in CAP payments against $13,972,031 in CAP bills); and Columbia received CAP payments equal to 77.0% of CAP bills in 2019 ($11,066,661 in CAP payments against $14,229,197 in CAP bills).  The OCA stated that in each year, Columbia fell between 25% and 30% in fully collecting its CAP bills.  OCA M.B. at 114 (citing OCA St. 5 at 7, Sch. RDC-1).  </w:t>
      </w:r>
    </w:p>
    <w:p w14:paraId="3CC1C50D" w14:textId="77777777" w:rsidR="00455B4B" w:rsidRPr="00E9174E" w:rsidRDefault="00455B4B" w:rsidP="00E9174E">
      <w:pPr>
        <w:widowControl/>
        <w:spacing w:line="360" w:lineRule="auto"/>
        <w:contextualSpacing/>
        <w:rPr>
          <w:rFonts w:eastAsiaTheme="minorHAnsi"/>
          <w:sz w:val="26"/>
          <w:szCs w:val="26"/>
        </w:rPr>
      </w:pPr>
    </w:p>
    <w:p w14:paraId="70B15877" w14:textId="77777777" w:rsidR="00455B4B" w:rsidRPr="00E9174E" w:rsidRDefault="00455B4B" w:rsidP="00E9174E">
      <w:pPr>
        <w:widowControl/>
        <w:spacing w:line="360" w:lineRule="auto"/>
        <w:ind w:firstLine="1440"/>
        <w:contextualSpacing/>
        <w:rPr>
          <w:rFonts w:eastAsiaTheme="minorHAnsi"/>
          <w:sz w:val="26"/>
          <w:szCs w:val="26"/>
        </w:rPr>
      </w:pPr>
      <w:r w:rsidRPr="00E9174E">
        <w:rPr>
          <w:rFonts w:eastAsiaTheme="minorHAnsi"/>
          <w:sz w:val="26"/>
          <w:szCs w:val="26"/>
        </w:rPr>
        <w:t xml:space="preserve">In response, Columbia averred that it complies with its CAP collections policy as set forth in its Commission-approved </w:t>
      </w:r>
      <w:bookmarkStart w:id="319" w:name="_Hlk63280984"/>
      <w:r w:rsidRPr="00E9174E">
        <w:rPr>
          <w:rFonts w:eastAsiaTheme="minorHAnsi"/>
          <w:sz w:val="26"/>
          <w:szCs w:val="26"/>
        </w:rPr>
        <w:t>Universal Service and Energy Conservation Plan</w:t>
      </w:r>
      <w:bookmarkEnd w:id="319"/>
      <w:r w:rsidRPr="00E9174E">
        <w:rPr>
          <w:rFonts w:eastAsiaTheme="minorHAnsi"/>
          <w:sz w:val="26"/>
          <w:szCs w:val="26"/>
        </w:rPr>
        <w:t xml:space="preserve"> (</w:t>
      </w:r>
      <w:bookmarkStart w:id="320" w:name="_Hlk63280963"/>
      <w:r w:rsidRPr="00E9174E">
        <w:rPr>
          <w:rFonts w:eastAsiaTheme="minorHAnsi"/>
          <w:sz w:val="26"/>
          <w:szCs w:val="26"/>
        </w:rPr>
        <w:t>USECP</w:t>
      </w:r>
      <w:bookmarkEnd w:id="320"/>
      <w:r w:rsidRPr="00E9174E">
        <w:rPr>
          <w:rFonts w:eastAsiaTheme="minorHAnsi"/>
          <w:sz w:val="26"/>
          <w:szCs w:val="26"/>
        </w:rPr>
        <w:t xml:space="preserve">), which provides that Columbia will pursue collections after two missed payments.  CG M.B. at 99-100 (citing CG St. 13-R at 2).  The Company’s USECP provides the following:  </w:t>
      </w:r>
    </w:p>
    <w:p w14:paraId="5E9BB7C7" w14:textId="77777777" w:rsidR="00455B4B" w:rsidRPr="00E9174E" w:rsidRDefault="00455B4B" w:rsidP="006C7826">
      <w:pPr>
        <w:widowControl/>
        <w:contextualSpacing/>
        <w:rPr>
          <w:rFonts w:eastAsiaTheme="minorHAnsi"/>
          <w:sz w:val="26"/>
          <w:szCs w:val="26"/>
        </w:rPr>
      </w:pPr>
    </w:p>
    <w:p w14:paraId="16E63286" w14:textId="59676137" w:rsidR="00455B4B" w:rsidRPr="00E9174E" w:rsidRDefault="00455B4B" w:rsidP="00E9174E">
      <w:pPr>
        <w:widowControl/>
        <w:ind w:left="1440" w:right="1440"/>
        <w:contextualSpacing/>
        <w:rPr>
          <w:rFonts w:eastAsiaTheme="minorHAnsi"/>
          <w:sz w:val="26"/>
          <w:szCs w:val="26"/>
        </w:rPr>
      </w:pPr>
      <w:r w:rsidRPr="00E9174E">
        <w:rPr>
          <w:rFonts w:eastAsiaTheme="minorHAnsi"/>
          <w:sz w:val="26"/>
          <w:szCs w:val="26"/>
        </w:rPr>
        <w:t xml:space="preserve">Columbia will issue a termination notice no sooner than 10 days after a customer fails to pay two missed CAP budget payments by the due date.  If a CAP customer does not make up all missed CAP payments within 10 days of the date of the termination notice, Columbia will attempt to terminate service for non-payment of the CAP budget bill.  Columbia, in its sole discretion, may delay termination in the event of extenuating circumstances.  </w:t>
      </w:r>
    </w:p>
    <w:p w14:paraId="2A6B688B" w14:textId="77777777" w:rsidR="00BD610D" w:rsidRPr="00E9174E" w:rsidRDefault="00BD610D" w:rsidP="00E9174E">
      <w:pPr>
        <w:widowControl/>
        <w:spacing w:line="360" w:lineRule="auto"/>
        <w:contextualSpacing/>
        <w:rPr>
          <w:rFonts w:eastAsiaTheme="minorHAnsi"/>
          <w:sz w:val="26"/>
          <w:szCs w:val="26"/>
        </w:rPr>
      </w:pPr>
    </w:p>
    <w:p w14:paraId="119A3FF4" w14:textId="4538ADAC" w:rsidR="00455B4B" w:rsidRPr="00E9174E" w:rsidRDefault="00455B4B" w:rsidP="00E9174E">
      <w:pPr>
        <w:widowControl/>
        <w:spacing w:line="360" w:lineRule="auto"/>
        <w:contextualSpacing/>
        <w:rPr>
          <w:rFonts w:eastAsiaTheme="minorHAnsi"/>
          <w:sz w:val="26"/>
          <w:szCs w:val="26"/>
        </w:rPr>
      </w:pPr>
      <w:r w:rsidRPr="00E9174E">
        <w:rPr>
          <w:rFonts w:eastAsiaTheme="minorHAnsi"/>
          <w:sz w:val="26"/>
          <w:szCs w:val="26"/>
        </w:rPr>
        <w:t xml:space="preserve">Columbia St. 13-R at 2.  </w:t>
      </w:r>
    </w:p>
    <w:p w14:paraId="65942E15" w14:textId="77777777" w:rsidR="00455B4B" w:rsidRPr="00E9174E" w:rsidRDefault="00455B4B" w:rsidP="00E9174E">
      <w:pPr>
        <w:widowControl/>
        <w:spacing w:line="360" w:lineRule="auto"/>
        <w:contextualSpacing/>
        <w:rPr>
          <w:rFonts w:eastAsiaTheme="minorHAnsi"/>
          <w:sz w:val="26"/>
          <w:szCs w:val="26"/>
        </w:rPr>
      </w:pPr>
    </w:p>
    <w:p w14:paraId="00B8CF8C" w14:textId="77414B5F" w:rsidR="00455B4B" w:rsidRPr="00E9174E" w:rsidRDefault="00455B4B" w:rsidP="00E9174E">
      <w:pPr>
        <w:widowControl/>
        <w:spacing w:line="360" w:lineRule="auto"/>
        <w:ind w:firstLine="1440"/>
        <w:contextualSpacing/>
        <w:rPr>
          <w:rFonts w:eastAsiaTheme="minorHAnsi"/>
          <w:sz w:val="26"/>
          <w:szCs w:val="26"/>
        </w:rPr>
      </w:pPr>
      <w:r w:rsidRPr="00E9174E">
        <w:rPr>
          <w:rFonts w:eastAsiaTheme="minorHAnsi"/>
          <w:sz w:val="26"/>
          <w:szCs w:val="26"/>
        </w:rPr>
        <w:t xml:space="preserve">Columbia also averred that its CAP Collections Policy is consistent with the </w:t>
      </w:r>
      <w:r w:rsidRPr="00E9174E">
        <w:rPr>
          <w:rFonts w:eastAsiaTheme="minorHAnsi"/>
          <w:i/>
          <w:iCs/>
          <w:sz w:val="26"/>
          <w:szCs w:val="26"/>
        </w:rPr>
        <w:t>Final CAP Policy Statement Order</w:t>
      </w:r>
      <w:r w:rsidRPr="00E9174E">
        <w:rPr>
          <w:rFonts w:eastAsiaTheme="minorHAnsi"/>
          <w:sz w:val="26"/>
          <w:szCs w:val="26"/>
        </w:rPr>
        <w:t xml:space="preserve">.  CG M.B. at 100.  Columbia asserted that its exemplary collection efforts are demonstrated by the percentage of CAP bills paid, calculated by dividing the total annual CAP payments by the total annual CAP amount billed, and stated that the percentage was the third highest of all Pennsylvania gas utilities.  Columbia argued that the percentage of CAP bills paid, as reported in the Commission’s 2018 Universal Service Programs and Collections Performance Report, is a more accurate assessment of the Company’s collection efforts than the OCA’s flawed comparison, which Columbia contended, omits crucial </w:t>
      </w:r>
      <w:bookmarkStart w:id="321" w:name="_Hlk63281091"/>
      <w:r w:rsidR="000E0846" w:rsidRPr="00E9174E">
        <w:rPr>
          <w:rFonts w:eastAsiaTheme="minorHAnsi"/>
          <w:sz w:val="26"/>
          <w:szCs w:val="26"/>
        </w:rPr>
        <w:t xml:space="preserve">Low Income Energy Assistance </w:t>
      </w:r>
      <w:r w:rsidR="000E0846" w:rsidRPr="00E9174E">
        <w:rPr>
          <w:rFonts w:eastAsiaTheme="minorHAnsi"/>
          <w:sz w:val="26"/>
          <w:szCs w:val="26"/>
        </w:rPr>
        <w:lastRenderedPageBreak/>
        <w:t>Program</w:t>
      </w:r>
      <w:bookmarkEnd w:id="321"/>
      <w:r w:rsidR="000E0846" w:rsidRPr="00E9174E">
        <w:rPr>
          <w:rFonts w:eastAsiaTheme="minorHAnsi"/>
          <w:sz w:val="26"/>
          <w:szCs w:val="26"/>
        </w:rPr>
        <w:t xml:space="preserve"> (</w:t>
      </w:r>
      <w:bookmarkStart w:id="322" w:name="_Hlk63281072"/>
      <w:r w:rsidRPr="00E9174E">
        <w:rPr>
          <w:rFonts w:eastAsiaTheme="minorHAnsi"/>
          <w:sz w:val="26"/>
          <w:szCs w:val="26"/>
        </w:rPr>
        <w:t>LIHEAP</w:t>
      </w:r>
      <w:bookmarkEnd w:id="322"/>
      <w:r w:rsidR="000E0846" w:rsidRPr="00E9174E">
        <w:rPr>
          <w:rFonts w:eastAsiaTheme="minorHAnsi"/>
          <w:sz w:val="26"/>
          <w:szCs w:val="26"/>
        </w:rPr>
        <w:t>)</w:t>
      </w:r>
      <w:r w:rsidRPr="00E9174E">
        <w:rPr>
          <w:rFonts w:eastAsiaTheme="minorHAnsi"/>
          <w:sz w:val="26"/>
          <w:szCs w:val="26"/>
        </w:rPr>
        <w:t xml:space="preserve"> funds and Hardship Funds.  CG M.B. at 101 (citing Pennsylvania Public Utility Commission Report on 2018 Universal Service Programs and Collections Performance (published December 2019)).   </w:t>
      </w:r>
    </w:p>
    <w:p w14:paraId="4CFEE142" w14:textId="77777777" w:rsidR="00455B4B" w:rsidRPr="00E9174E" w:rsidRDefault="00455B4B" w:rsidP="00E9174E">
      <w:pPr>
        <w:widowControl/>
        <w:spacing w:line="360" w:lineRule="auto"/>
        <w:contextualSpacing/>
        <w:rPr>
          <w:rFonts w:eastAsiaTheme="minorHAnsi"/>
          <w:sz w:val="26"/>
          <w:szCs w:val="26"/>
        </w:rPr>
      </w:pPr>
    </w:p>
    <w:p w14:paraId="6914920B" w14:textId="77777777" w:rsidR="00455B4B" w:rsidRPr="00E9174E" w:rsidRDefault="00455B4B" w:rsidP="00277ECF">
      <w:pPr>
        <w:pStyle w:val="Heading4"/>
        <w:numPr>
          <w:ilvl w:val="0"/>
          <w:numId w:val="59"/>
        </w:numPr>
        <w:ind w:left="2160" w:hanging="720"/>
        <w:rPr>
          <w:rFonts w:eastAsiaTheme="minorHAnsi"/>
        </w:rPr>
      </w:pPr>
      <w:bookmarkStart w:id="323" w:name="_Toc63764560"/>
      <w:r w:rsidRPr="00E9174E">
        <w:t>Recommended</w:t>
      </w:r>
      <w:r w:rsidRPr="00E9174E">
        <w:rPr>
          <w:rFonts w:eastAsiaTheme="minorHAnsi"/>
        </w:rPr>
        <w:t xml:space="preserve"> Decision</w:t>
      </w:r>
      <w:bookmarkEnd w:id="323"/>
      <w:r w:rsidRPr="00E9174E">
        <w:rPr>
          <w:rFonts w:eastAsiaTheme="minorHAnsi"/>
        </w:rPr>
        <w:t xml:space="preserve"> </w:t>
      </w:r>
    </w:p>
    <w:p w14:paraId="553398F8" w14:textId="77777777" w:rsidR="00455B4B" w:rsidRPr="00E9174E" w:rsidRDefault="00455B4B" w:rsidP="00E9174E">
      <w:pPr>
        <w:keepNext/>
        <w:keepLines/>
        <w:widowControl/>
        <w:spacing w:line="360" w:lineRule="auto"/>
        <w:contextualSpacing/>
        <w:rPr>
          <w:rFonts w:eastAsiaTheme="minorHAnsi"/>
          <w:sz w:val="26"/>
          <w:szCs w:val="26"/>
        </w:rPr>
      </w:pPr>
    </w:p>
    <w:p w14:paraId="37804E4B" w14:textId="1A288919" w:rsidR="00455B4B" w:rsidRPr="00E9174E" w:rsidRDefault="00455B4B" w:rsidP="00E9174E">
      <w:pPr>
        <w:widowControl/>
        <w:spacing w:line="360" w:lineRule="auto"/>
        <w:ind w:firstLine="1440"/>
        <w:contextualSpacing/>
        <w:rPr>
          <w:rFonts w:eastAsiaTheme="minorHAnsi"/>
          <w:sz w:val="26"/>
          <w:szCs w:val="26"/>
        </w:rPr>
      </w:pPr>
      <w:r w:rsidRPr="00E9174E">
        <w:rPr>
          <w:rFonts w:eastAsia="Calibri"/>
          <w:sz w:val="26"/>
          <w:szCs w:val="26"/>
        </w:rPr>
        <w:t xml:space="preserve">The ALJ </w:t>
      </w:r>
      <w:r w:rsidRPr="00E9174E">
        <w:rPr>
          <w:rFonts w:eastAsiaTheme="minorHAnsi"/>
          <w:sz w:val="26"/>
          <w:szCs w:val="26"/>
        </w:rPr>
        <w:t xml:space="preserve">agreed with the OCA that Columbia’s collections policy is a concern and may not be consistent with the Commission’s </w:t>
      </w:r>
      <w:r w:rsidRPr="00E9174E">
        <w:rPr>
          <w:rFonts w:eastAsiaTheme="minorHAnsi"/>
          <w:i/>
          <w:iCs/>
          <w:sz w:val="26"/>
          <w:szCs w:val="26"/>
        </w:rPr>
        <w:t>Final CAP Policy Statement Order</w:t>
      </w:r>
      <w:r w:rsidRPr="00E9174E">
        <w:rPr>
          <w:rFonts w:eastAsiaTheme="minorHAnsi"/>
          <w:sz w:val="26"/>
          <w:szCs w:val="26"/>
        </w:rPr>
        <w:t xml:space="preserve">.  The ALJ noted that the Commission recommended utilities initiate collection activity no later than after the customer misses two CAP payments.  R.D. at 237 (citing </w:t>
      </w:r>
      <w:r w:rsidRPr="00E9174E">
        <w:rPr>
          <w:rFonts w:eastAsiaTheme="minorHAnsi"/>
          <w:i/>
          <w:iCs/>
          <w:sz w:val="26"/>
          <w:szCs w:val="26"/>
        </w:rPr>
        <w:t>Final CAP Policy Statement Order</w:t>
      </w:r>
      <w:r w:rsidRPr="00E9174E">
        <w:rPr>
          <w:rFonts w:eastAsiaTheme="minorHAnsi"/>
          <w:sz w:val="26"/>
          <w:szCs w:val="26"/>
        </w:rPr>
        <w:t xml:space="preserve"> at 72-73; </w:t>
      </w:r>
      <w:bookmarkStart w:id="324" w:name="_Hlk56857134"/>
      <w:r w:rsidRPr="00E9174E">
        <w:rPr>
          <w:rFonts w:eastAsiaTheme="minorHAnsi"/>
          <w:sz w:val="26"/>
          <w:szCs w:val="26"/>
        </w:rPr>
        <w:t xml:space="preserve">52 Pa. Code § 69.265(11)).  </w:t>
      </w:r>
      <w:bookmarkEnd w:id="324"/>
      <w:r w:rsidRPr="00E9174E">
        <w:rPr>
          <w:rFonts w:eastAsiaTheme="minorHAnsi"/>
          <w:sz w:val="26"/>
          <w:szCs w:val="26"/>
        </w:rPr>
        <w:t xml:space="preserve">However, the ALJ stated that Columbia received only between 12,000 and 13,000 full payments after it tendered between 22,000 and 23,000 CAP bills each month for 2018 through 2019.  The ALJ observed that the OCA showed that in dollar terms, Columbia received CAP payments equal to 71.8% of the CAP bills in 2017 (payments of $9,050,991 against bills of $12,598,585); 73.4% of its CAP bills in 2018 ($10,262,398 in CAP payments against $13,972,031 of CAP bills); and 77.0% of CAP bills in 2019 ($11,066,661 in CAP payments against $14,229,197 in CAP bills).  R.D. at 237.  In each of the last three years, the Company fell short between 25% and 30% in fully collecting its CAP bills.  </w:t>
      </w:r>
      <w:r w:rsidRPr="00E9174E">
        <w:rPr>
          <w:rFonts w:eastAsiaTheme="minorHAnsi"/>
          <w:i/>
          <w:iCs/>
          <w:sz w:val="26"/>
          <w:szCs w:val="26"/>
        </w:rPr>
        <w:t>Id</w:t>
      </w:r>
      <w:r w:rsidRPr="00E9174E">
        <w:rPr>
          <w:rFonts w:eastAsiaTheme="minorHAnsi"/>
          <w:sz w:val="26"/>
          <w:szCs w:val="26"/>
        </w:rPr>
        <w:t xml:space="preserve">.  (citing OCA St. 5 at 7, Sch. RDC-1).  </w:t>
      </w:r>
    </w:p>
    <w:p w14:paraId="504851D0" w14:textId="49B1F793" w:rsidR="00455B4B" w:rsidRPr="00E9174E" w:rsidRDefault="00455B4B" w:rsidP="00E9174E">
      <w:pPr>
        <w:widowControl/>
        <w:spacing w:line="360" w:lineRule="auto"/>
        <w:contextualSpacing/>
        <w:rPr>
          <w:rFonts w:eastAsiaTheme="minorHAnsi"/>
          <w:sz w:val="26"/>
          <w:szCs w:val="26"/>
        </w:rPr>
      </w:pPr>
    </w:p>
    <w:p w14:paraId="017765BE" w14:textId="77777777" w:rsidR="00455B4B" w:rsidRPr="00E9174E" w:rsidRDefault="00455B4B" w:rsidP="00E9174E">
      <w:pPr>
        <w:widowControl/>
        <w:spacing w:line="360" w:lineRule="auto"/>
        <w:ind w:firstLine="1440"/>
        <w:contextualSpacing/>
        <w:rPr>
          <w:rFonts w:eastAsiaTheme="minorHAnsi"/>
          <w:sz w:val="26"/>
          <w:szCs w:val="26"/>
        </w:rPr>
      </w:pPr>
      <w:r w:rsidRPr="00E9174E">
        <w:rPr>
          <w:rFonts w:eastAsiaTheme="minorHAnsi"/>
          <w:sz w:val="26"/>
          <w:szCs w:val="26"/>
        </w:rPr>
        <w:t xml:space="preserve">The ALJ reasoned that despite the significant gap between the number of CAP bills tendered and the number of payments received, Columbia argued there were no collections issues.  R.D. at 237.  The ALJ noted that the Commission indicated the purpose of pursuing timely collection is because “a low-income CAP participant is more likely to be able to pay a catch-up amount if the utility pursues collections in a prompt manner.”  </w:t>
      </w:r>
      <w:r w:rsidRPr="00E9174E">
        <w:rPr>
          <w:rFonts w:eastAsiaTheme="minorHAnsi"/>
          <w:i/>
          <w:iCs/>
          <w:sz w:val="26"/>
          <w:szCs w:val="26"/>
        </w:rPr>
        <w:t>Id</w:t>
      </w:r>
      <w:r w:rsidRPr="00E9174E">
        <w:rPr>
          <w:rFonts w:eastAsiaTheme="minorHAnsi"/>
          <w:sz w:val="26"/>
          <w:szCs w:val="26"/>
        </w:rPr>
        <w:t xml:space="preserve">. (citing </w:t>
      </w:r>
      <w:r w:rsidRPr="00E9174E">
        <w:rPr>
          <w:rFonts w:eastAsiaTheme="minorHAnsi"/>
          <w:i/>
          <w:iCs/>
          <w:sz w:val="26"/>
          <w:szCs w:val="26"/>
        </w:rPr>
        <w:t>Final CAP Policy Statement Order</w:t>
      </w:r>
      <w:r w:rsidRPr="00E9174E">
        <w:rPr>
          <w:rFonts w:eastAsiaTheme="minorHAnsi"/>
          <w:sz w:val="26"/>
          <w:szCs w:val="26"/>
        </w:rPr>
        <w:t xml:space="preserve"> at 73).  The ALJ stated that non-CAP customers also benefit because the more CAP customers that pay their monthly bills, the less cost that is passed on to non-CAP customers to pay for unpaid natural gas </w:t>
      </w:r>
      <w:r w:rsidRPr="00E9174E">
        <w:rPr>
          <w:rFonts w:eastAsiaTheme="minorHAnsi"/>
          <w:sz w:val="26"/>
          <w:szCs w:val="26"/>
        </w:rPr>
        <w:lastRenderedPageBreak/>
        <w:t xml:space="preserve">service.  Lastly, by pursuing the unpaid CAP payments quickly, the utility can seek termination of service when the unpaid balance is low, making repayment and, ultimately, reconnection of service easier for the CAP customer.  R.D. at 237.  </w:t>
      </w:r>
    </w:p>
    <w:p w14:paraId="5C86E0F2" w14:textId="77777777" w:rsidR="00455B4B" w:rsidRPr="00E9174E" w:rsidRDefault="00455B4B" w:rsidP="00E9174E">
      <w:pPr>
        <w:widowControl/>
        <w:spacing w:line="360" w:lineRule="auto"/>
        <w:contextualSpacing/>
        <w:rPr>
          <w:rFonts w:eastAsiaTheme="minorHAnsi"/>
          <w:sz w:val="26"/>
          <w:szCs w:val="26"/>
        </w:rPr>
      </w:pPr>
    </w:p>
    <w:p w14:paraId="3D708339" w14:textId="4CD1F888" w:rsidR="00455B4B" w:rsidRPr="00E9174E" w:rsidRDefault="00455B4B" w:rsidP="00E9174E">
      <w:pPr>
        <w:widowControl/>
        <w:spacing w:line="360" w:lineRule="auto"/>
        <w:ind w:left="90" w:firstLine="1350"/>
        <w:contextualSpacing/>
        <w:rPr>
          <w:rFonts w:eastAsiaTheme="minorHAnsi"/>
          <w:sz w:val="26"/>
          <w:szCs w:val="26"/>
        </w:rPr>
      </w:pPr>
      <w:r w:rsidRPr="00E9174E">
        <w:rPr>
          <w:rFonts w:eastAsiaTheme="minorHAnsi"/>
          <w:sz w:val="26"/>
          <w:szCs w:val="26"/>
        </w:rPr>
        <w:t xml:space="preserve">The ALJ suggested that Columbia direct greater attention to ensuring its CAP customers pay the affordable bills that Columbia delivers to them and that the Company determine, with the help of its advisory committee, how customer payments on CAP bills can be pursued through a reasonable process.  </w:t>
      </w:r>
      <w:r w:rsidRPr="00E9174E">
        <w:rPr>
          <w:rFonts w:eastAsiaTheme="minorHAnsi"/>
          <w:i/>
          <w:iCs/>
          <w:sz w:val="26"/>
          <w:szCs w:val="26"/>
        </w:rPr>
        <w:t>Id</w:t>
      </w:r>
      <w:r w:rsidRPr="00E9174E">
        <w:rPr>
          <w:rFonts w:eastAsiaTheme="minorHAnsi"/>
          <w:sz w:val="26"/>
          <w:szCs w:val="26"/>
        </w:rPr>
        <w:t>. at 238.  Specifically, the ALJ found that if the Commission grants Columbia’s request to consider all of the elements in its base rate increase request, the Commission should require Columbia to improve its collections policy and, within six months from the entry of this Opinion and Order, to submit to the U</w:t>
      </w:r>
      <w:r w:rsidR="00625FA4" w:rsidRPr="00E9174E">
        <w:rPr>
          <w:rFonts w:eastAsiaTheme="minorHAnsi"/>
          <w:sz w:val="26"/>
          <w:szCs w:val="26"/>
        </w:rPr>
        <w:t>SAC</w:t>
      </w:r>
      <w:r w:rsidRPr="00E9174E">
        <w:rPr>
          <w:rFonts w:eastAsiaTheme="minorHAnsi"/>
          <w:sz w:val="26"/>
          <w:szCs w:val="26"/>
        </w:rPr>
        <w:t xml:space="preserve"> a reasonable process or plan on how the Company will pursue and improve collections, especially after the pandemic.  </w:t>
      </w:r>
      <w:r w:rsidR="00B73D67" w:rsidRPr="00E9174E">
        <w:rPr>
          <w:rFonts w:eastAsiaTheme="minorHAnsi"/>
          <w:i/>
          <w:iCs/>
          <w:sz w:val="26"/>
          <w:szCs w:val="26"/>
        </w:rPr>
        <w:t>Id</w:t>
      </w:r>
      <w:r w:rsidR="00B73D67" w:rsidRPr="00E9174E">
        <w:rPr>
          <w:rFonts w:eastAsiaTheme="minorHAnsi"/>
          <w:sz w:val="26"/>
          <w:szCs w:val="26"/>
        </w:rPr>
        <w:t xml:space="preserve">. at 239. </w:t>
      </w:r>
    </w:p>
    <w:p w14:paraId="206708D0" w14:textId="4B73932D" w:rsidR="00455B4B" w:rsidRPr="00E9174E" w:rsidRDefault="00455B4B" w:rsidP="00E9174E">
      <w:pPr>
        <w:widowControl/>
        <w:spacing w:line="360" w:lineRule="auto"/>
        <w:contextualSpacing/>
        <w:rPr>
          <w:rFonts w:eastAsiaTheme="minorHAnsi"/>
          <w:sz w:val="26"/>
          <w:szCs w:val="26"/>
        </w:rPr>
      </w:pPr>
    </w:p>
    <w:p w14:paraId="2BC9C4A4" w14:textId="2BE1F7D8" w:rsidR="00455B4B" w:rsidRPr="00E9174E" w:rsidRDefault="00455B4B" w:rsidP="00277ECF">
      <w:pPr>
        <w:pStyle w:val="Heading4"/>
        <w:numPr>
          <w:ilvl w:val="0"/>
          <w:numId w:val="59"/>
        </w:numPr>
        <w:ind w:left="2160" w:hanging="720"/>
        <w:rPr>
          <w:rFonts w:eastAsiaTheme="minorHAnsi"/>
        </w:rPr>
      </w:pPr>
      <w:bookmarkStart w:id="325" w:name="_Toc63764561"/>
      <w:r w:rsidRPr="00E9174E">
        <w:t>Columbia</w:t>
      </w:r>
      <w:r w:rsidRPr="00E9174E">
        <w:rPr>
          <w:rFonts w:eastAsiaTheme="minorHAnsi"/>
        </w:rPr>
        <w:t xml:space="preserve"> Exception No. 22 and Replies</w:t>
      </w:r>
      <w:bookmarkEnd w:id="325"/>
      <w:r w:rsidRPr="00E9174E">
        <w:rPr>
          <w:rFonts w:eastAsiaTheme="minorHAnsi"/>
        </w:rPr>
        <w:t xml:space="preserve"> </w:t>
      </w:r>
    </w:p>
    <w:p w14:paraId="7689A071" w14:textId="77777777" w:rsidR="00455B4B" w:rsidRPr="00E9174E" w:rsidRDefault="00455B4B" w:rsidP="00E9174E">
      <w:pPr>
        <w:keepNext/>
        <w:keepLines/>
        <w:widowControl/>
        <w:spacing w:line="360" w:lineRule="auto"/>
        <w:contextualSpacing/>
        <w:jc w:val="both"/>
        <w:rPr>
          <w:rFonts w:eastAsiaTheme="minorHAnsi"/>
          <w:b/>
          <w:bCs/>
          <w:sz w:val="26"/>
          <w:szCs w:val="26"/>
        </w:rPr>
      </w:pPr>
    </w:p>
    <w:p w14:paraId="18DCF93A" w14:textId="77777777" w:rsidR="00455B4B" w:rsidRPr="00E9174E" w:rsidRDefault="00455B4B" w:rsidP="00E9174E">
      <w:pPr>
        <w:widowControl/>
        <w:spacing w:line="360" w:lineRule="auto"/>
        <w:ind w:left="90" w:firstLine="1350"/>
        <w:contextualSpacing/>
        <w:rPr>
          <w:rFonts w:eastAsiaTheme="minorHAnsi"/>
          <w:sz w:val="26"/>
          <w:szCs w:val="26"/>
        </w:rPr>
      </w:pPr>
      <w:r w:rsidRPr="00E9174E">
        <w:rPr>
          <w:rFonts w:eastAsiaTheme="minorHAnsi"/>
          <w:sz w:val="26"/>
          <w:szCs w:val="26"/>
        </w:rPr>
        <w:t xml:space="preserve">In its Exception No. 22, Columbia disagrees with the ALJ’s conclusion that Columbia’s CAP collections policy may not comply with the Commission’s </w:t>
      </w:r>
      <w:r w:rsidRPr="00E9174E">
        <w:rPr>
          <w:rFonts w:eastAsiaTheme="minorHAnsi"/>
          <w:i/>
          <w:iCs/>
          <w:sz w:val="26"/>
          <w:szCs w:val="26"/>
        </w:rPr>
        <w:t>F</w:t>
      </w:r>
      <w:bookmarkStart w:id="326" w:name="_BA_Cite_EAF4C8_001005"/>
      <w:bookmarkEnd w:id="326"/>
      <w:r w:rsidRPr="00E9174E">
        <w:rPr>
          <w:rFonts w:eastAsiaTheme="minorHAnsi"/>
          <w:i/>
          <w:iCs/>
          <w:sz w:val="26"/>
          <w:szCs w:val="26"/>
        </w:rPr>
        <w:t xml:space="preserve">inal CAP Policy Statement Order.  </w:t>
      </w:r>
      <w:r w:rsidRPr="00E9174E">
        <w:rPr>
          <w:rFonts w:eastAsiaTheme="minorHAnsi"/>
          <w:sz w:val="26"/>
          <w:szCs w:val="26"/>
        </w:rPr>
        <w:t xml:space="preserve">CG Exc. at 39.  Columbia notes that the Commission’s </w:t>
      </w:r>
      <w:bookmarkStart w:id="327" w:name="_Hlk59008107"/>
      <w:r w:rsidRPr="00E9174E">
        <w:rPr>
          <w:rFonts w:eastAsiaTheme="minorHAnsi"/>
          <w:i/>
          <w:iCs/>
          <w:sz w:val="26"/>
          <w:szCs w:val="26"/>
        </w:rPr>
        <w:t>Final CAP Policy Statement Order</w:t>
      </w:r>
      <w:r w:rsidRPr="00E9174E">
        <w:rPr>
          <w:rFonts w:eastAsiaTheme="minorHAnsi"/>
          <w:sz w:val="26"/>
          <w:szCs w:val="26"/>
        </w:rPr>
        <w:t xml:space="preserve"> </w:t>
      </w:r>
      <w:bookmarkEnd w:id="327"/>
      <w:r w:rsidRPr="00E9174E">
        <w:rPr>
          <w:rFonts w:eastAsiaTheme="minorHAnsi"/>
          <w:sz w:val="26"/>
          <w:szCs w:val="26"/>
        </w:rPr>
        <w:t xml:space="preserve">states that “utilities should initiate collection activity for CAP accounts when a customer has no more than two in-program payments in arrears.”  </w:t>
      </w:r>
      <w:r w:rsidRPr="00E9174E">
        <w:rPr>
          <w:rFonts w:eastAsiaTheme="minorHAnsi"/>
          <w:i/>
          <w:iCs/>
          <w:sz w:val="26"/>
          <w:szCs w:val="26"/>
        </w:rPr>
        <w:t>Id</w:t>
      </w:r>
      <w:r w:rsidRPr="00E9174E">
        <w:rPr>
          <w:rFonts w:eastAsiaTheme="minorHAnsi"/>
          <w:sz w:val="26"/>
          <w:szCs w:val="26"/>
        </w:rPr>
        <w:t xml:space="preserve">.  (citing </w:t>
      </w:r>
      <w:r w:rsidRPr="00E9174E">
        <w:rPr>
          <w:rFonts w:eastAsiaTheme="minorHAnsi"/>
          <w:i/>
          <w:iCs/>
          <w:sz w:val="26"/>
          <w:szCs w:val="26"/>
        </w:rPr>
        <w:t>Final CAP Policy Statement Order</w:t>
      </w:r>
      <w:r w:rsidRPr="00E9174E">
        <w:rPr>
          <w:rFonts w:eastAsiaTheme="minorHAnsi"/>
          <w:sz w:val="26"/>
          <w:szCs w:val="26"/>
        </w:rPr>
        <w:t xml:space="preserve"> at 7, 70; 5</w:t>
      </w:r>
      <w:bookmarkStart w:id="328" w:name="_BA_Cite_EAF4C8_001007"/>
      <w:bookmarkEnd w:id="328"/>
      <w:r w:rsidRPr="00E9174E">
        <w:rPr>
          <w:rFonts w:eastAsiaTheme="minorHAnsi"/>
          <w:sz w:val="26"/>
          <w:szCs w:val="26"/>
        </w:rPr>
        <w:t xml:space="preserve">2 Pa. Code § 69.265).  Columbia explains that it follows its CAP collections policy set forth in the Company’s Commission-approved USECP, which provides that the Company will pursue collections on CAP bills after two missed payments.  CG Exc. at 39-40.  Therefore, Columbia avers that its CAP collections policy is consistent with the Commission’s </w:t>
      </w:r>
      <w:r w:rsidRPr="00E9174E">
        <w:rPr>
          <w:rFonts w:eastAsiaTheme="minorHAnsi"/>
          <w:i/>
          <w:iCs/>
          <w:sz w:val="26"/>
          <w:szCs w:val="26"/>
        </w:rPr>
        <w:t>Final CAP Policy Statement Order</w:t>
      </w:r>
      <w:r w:rsidRPr="00E9174E">
        <w:rPr>
          <w:rFonts w:eastAsiaTheme="minorHAnsi"/>
          <w:sz w:val="26"/>
          <w:szCs w:val="26"/>
        </w:rPr>
        <w:t xml:space="preserve">.  CG Exc. at 40.   </w:t>
      </w:r>
    </w:p>
    <w:p w14:paraId="6C9364B9" w14:textId="77777777" w:rsidR="00594DBE" w:rsidRPr="00E9174E" w:rsidRDefault="00594DBE" w:rsidP="00E9174E">
      <w:pPr>
        <w:widowControl/>
        <w:spacing w:line="360" w:lineRule="auto"/>
        <w:contextualSpacing/>
        <w:rPr>
          <w:rFonts w:eastAsiaTheme="minorHAnsi"/>
          <w:sz w:val="26"/>
          <w:szCs w:val="26"/>
        </w:rPr>
      </w:pPr>
    </w:p>
    <w:p w14:paraId="7051E861" w14:textId="6F30BFD9" w:rsidR="00455B4B" w:rsidRPr="00E9174E" w:rsidRDefault="00455B4B" w:rsidP="00E9174E">
      <w:pPr>
        <w:widowControl/>
        <w:spacing w:line="360" w:lineRule="auto"/>
        <w:ind w:left="90" w:firstLine="1350"/>
        <w:contextualSpacing/>
        <w:rPr>
          <w:rFonts w:eastAsiaTheme="minorHAnsi"/>
          <w:sz w:val="26"/>
          <w:szCs w:val="26"/>
        </w:rPr>
      </w:pPr>
      <w:r w:rsidRPr="00E9174E">
        <w:rPr>
          <w:rFonts w:eastAsiaTheme="minorHAnsi"/>
          <w:sz w:val="26"/>
          <w:szCs w:val="26"/>
        </w:rPr>
        <w:lastRenderedPageBreak/>
        <w:t xml:space="preserve">In its Replies to Exceptions, the OCA states that the ALJ correctly found that Columbia’s collections policy may not comply with the </w:t>
      </w:r>
      <w:r w:rsidRPr="00E9174E">
        <w:rPr>
          <w:rFonts w:eastAsiaTheme="minorHAnsi"/>
          <w:i/>
          <w:iCs/>
          <w:sz w:val="26"/>
          <w:szCs w:val="26"/>
        </w:rPr>
        <w:t>Final CAP Policy Statement Order</w:t>
      </w:r>
      <w:r w:rsidRPr="00E9174E">
        <w:rPr>
          <w:rFonts w:eastAsiaTheme="minorHAnsi"/>
          <w:sz w:val="26"/>
          <w:szCs w:val="26"/>
        </w:rPr>
        <w:t xml:space="preserve">.  OCA R. Exc. at 21.  The OCA avers that Columbia’s Exception ignores the collections problems identified by the OCA’s witness Mr. </w:t>
      </w:r>
      <w:r w:rsidR="00490540" w:rsidRPr="00E9174E">
        <w:rPr>
          <w:rFonts w:eastAsiaTheme="minorHAnsi"/>
          <w:sz w:val="26"/>
          <w:szCs w:val="26"/>
        </w:rPr>
        <w:t xml:space="preserve">Roger D. </w:t>
      </w:r>
      <w:r w:rsidRPr="00E9174E">
        <w:rPr>
          <w:rFonts w:eastAsiaTheme="minorHAnsi"/>
          <w:sz w:val="26"/>
          <w:szCs w:val="26"/>
        </w:rPr>
        <w:t xml:space="preserve">Colton.  </w:t>
      </w:r>
      <w:r w:rsidRPr="00E9174E">
        <w:rPr>
          <w:rFonts w:eastAsiaTheme="minorHAnsi"/>
          <w:i/>
          <w:iCs/>
          <w:sz w:val="26"/>
          <w:szCs w:val="26"/>
        </w:rPr>
        <w:t>Id</w:t>
      </w:r>
      <w:r w:rsidRPr="00E9174E">
        <w:rPr>
          <w:rFonts w:eastAsiaTheme="minorHAnsi"/>
          <w:sz w:val="26"/>
          <w:szCs w:val="26"/>
        </w:rPr>
        <w:t>. at 22.  The OCA submits that Mr. Colton’s conclusions are based on Columbia</w:t>
      </w:r>
      <w:r w:rsidR="003442BF" w:rsidRPr="00E9174E">
        <w:rPr>
          <w:rFonts w:eastAsiaTheme="minorHAnsi"/>
          <w:sz w:val="26"/>
          <w:szCs w:val="26"/>
        </w:rPr>
        <w:t xml:space="preserve">’s lack </w:t>
      </w:r>
      <w:r w:rsidR="001C5847" w:rsidRPr="00E9174E">
        <w:rPr>
          <w:rFonts w:eastAsiaTheme="minorHAnsi"/>
          <w:sz w:val="26"/>
          <w:szCs w:val="26"/>
        </w:rPr>
        <w:t>of</w:t>
      </w:r>
      <w:r w:rsidRPr="00E9174E">
        <w:rPr>
          <w:rFonts w:eastAsiaTheme="minorHAnsi"/>
          <w:sz w:val="26"/>
          <w:szCs w:val="26"/>
        </w:rPr>
        <w:t xml:space="preserve"> a satisfactory explanation for </w:t>
      </w:r>
      <w:r w:rsidR="001C5847" w:rsidRPr="00E9174E">
        <w:rPr>
          <w:rFonts w:eastAsiaTheme="minorHAnsi"/>
          <w:sz w:val="26"/>
          <w:szCs w:val="26"/>
        </w:rPr>
        <w:t>the</w:t>
      </w:r>
      <w:r w:rsidRPr="00E9174E">
        <w:rPr>
          <w:rFonts w:eastAsiaTheme="minorHAnsi"/>
          <w:sz w:val="26"/>
          <w:szCs w:val="26"/>
        </w:rPr>
        <w:t xml:space="preserve"> significant gap between the number of CAP bills issued and the number of full CAP payments received each month.  </w:t>
      </w:r>
      <w:r w:rsidRPr="00E9174E">
        <w:rPr>
          <w:rFonts w:eastAsiaTheme="minorHAnsi"/>
          <w:i/>
          <w:iCs/>
          <w:sz w:val="26"/>
          <w:szCs w:val="26"/>
        </w:rPr>
        <w:t>Id</w:t>
      </w:r>
      <w:r w:rsidRPr="00E9174E">
        <w:rPr>
          <w:rFonts w:eastAsiaTheme="minorHAnsi"/>
          <w:sz w:val="26"/>
          <w:szCs w:val="26"/>
        </w:rPr>
        <w:t>. (citing OCA M.B. at</w:t>
      </w:r>
      <w:r w:rsidR="006C7826">
        <w:rPr>
          <w:rFonts w:eastAsiaTheme="minorHAnsi"/>
          <w:sz w:val="26"/>
          <w:szCs w:val="26"/>
        </w:rPr>
        <w:t> </w:t>
      </w:r>
      <w:r w:rsidRPr="00E9174E">
        <w:rPr>
          <w:rFonts w:eastAsiaTheme="minorHAnsi"/>
          <w:sz w:val="26"/>
          <w:szCs w:val="26"/>
        </w:rPr>
        <w:t>112-116; OCA R.B. at 51-54; OCA St. 5 at 7, Sch. RDC-1; OCA St. 5-S at 14-15).  The OCA explains that Mr.</w:t>
      </w:r>
      <w:r w:rsidRPr="00E9174E">
        <w:rPr>
          <w:sz w:val="26"/>
          <w:szCs w:val="26"/>
        </w:rPr>
        <w:t xml:space="preserve"> Colton performed a detailed analysis of Columbia’s collections data, and t</w:t>
      </w:r>
      <w:r w:rsidRPr="00E9174E">
        <w:rPr>
          <w:rFonts w:eastAsiaTheme="minorHAnsi"/>
          <w:sz w:val="26"/>
          <w:szCs w:val="26"/>
        </w:rPr>
        <w:t xml:space="preserve">he data showed that from October 2018 through December 2019, while Columbia has, on average, issued roughly 22,800 CAP bills each month, it has received, on average, fewer than 12,723 on-time payments.  </w:t>
      </w:r>
      <w:bookmarkStart w:id="329" w:name="_BA_Cite_0CCD6D_000088"/>
      <w:bookmarkEnd w:id="329"/>
      <w:r w:rsidRPr="00E9174E">
        <w:rPr>
          <w:rFonts w:eastAsiaTheme="minorHAnsi"/>
          <w:sz w:val="26"/>
          <w:szCs w:val="26"/>
        </w:rPr>
        <w:t>In other words, more than 10,000 customers receiving a CAP bill each month do not make an on-time payment.  OCA R. Exc. at 22 (citing OCA St. 5 at 7, Sch. RDC-1; OCA St. 5-S at 14-15).</w:t>
      </w:r>
      <w:bookmarkStart w:id="330" w:name="_BA_Cite_0CCD6D_000089"/>
      <w:bookmarkEnd w:id="330"/>
      <w:r w:rsidR="00056482" w:rsidRPr="00E9174E">
        <w:rPr>
          <w:rFonts w:eastAsiaTheme="minorHAnsi"/>
          <w:sz w:val="26"/>
          <w:szCs w:val="26"/>
        </w:rPr>
        <w:t xml:space="preserve">  </w:t>
      </w:r>
      <w:r w:rsidRPr="00E9174E">
        <w:rPr>
          <w:rFonts w:eastAsiaTheme="minorHAnsi"/>
          <w:sz w:val="26"/>
          <w:szCs w:val="26"/>
        </w:rPr>
        <w:t xml:space="preserve">The OCA asserts that as the ALJ found, Columbia was unable to explain adequately this significant gap in the number of bills rendered and the number of bills collected, and the Company must address this problem.  </w:t>
      </w:r>
    </w:p>
    <w:p w14:paraId="114CC7EE" w14:textId="77777777" w:rsidR="00455B4B" w:rsidRPr="00E9174E" w:rsidRDefault="00455B4B" w:rsidP="00E9174E">
      <w:pPr>
        <w:widowControl/>
        <w:spacing w:line="360" w:lineRule="auto"/>
        <w:contextualSpacing/>
        <w:rPr>
          <w:rFonts w:eastAsiaTheme="minorHAnsi"/>
          <w:sz w:val="26"/>
          <w:szCs w:val="26"/>
        </w:rPr>
      </w:pPr>
    </w:p>
    <w:p w14:paraId="499E9E26" w14:textId="77777777" w:rsidR="00455B4B" w:rsidRPr="00E9174E" w:rsidRDefault="00455B4B" w:rsidP="00277ECF">
      <w:pPr>
        <w:pStyle w:val="Heading4"/>
        <w:numPr>
          <w:ilvl w:val="0"/>
          <w:numId w:val="59"/>
        </w:numPr>
        <w:ind w:left="2160" w:hanging="720"/>
        <w:rPr>
          <w:rFonts w:eastAsiaTheme="minorHAnsi"/>
        </w:rPr>
      </w:pPr>
      <w:bookmarkStart w:id="331" w:name="_Toc63764562"/>
      <w:r w:rsidRPr="00E9174E">
        <w:t>Disposition</w:t>
      </w:r>
      <w:bookmarkEnd w:id="331"/>
    </w:p>
    <w:p w14:paraId="6525E37B" w14:textId="77777777" w:rsidR="00455B4B" w:rsidRPr="00E9174E" w:rsidRDefault="00455B4B" w:rsidP="00E9174E">
      <w:pPr>
        <w:keepNext/>
        <w:keepLines/>
        <w:widowControl/>
        <w:spacing w:line="360" w:lineRule="auto"/>
        <w:contextualSpacing/>
        <w:rPr>
          <w:rFonts w:eastAsiaTheme="minorHAnsi"/>
          <w:sz w:val="26"/>
          <w:szCs w:val="26"/>
        </w:rPr>
      </w:pPr>
    </w:p>
    <w:p w14:paraId="7994D10D" w14:textId="71579C59" w:rsidR="00455B4B" w:rsidRPr="00E9174E" w:rsidRDefault="00455B4B" w:rsidP="00E9174E">
      <w:pPr>
        <w:widowControl/>
        <w:spacing w:line="360" w:lineRule="auto"/>
        <w:ind w:left="90" w:firstLine="1350"/>
        <w:contextualSpacing/>
        <w:rPr>
          <w:rFonts w:eastAsiaTheme="minorHAnsi"/>
          <w:sz w:val="26"/>
          <w:szCs w:val="26"/>
        </w:rPr>
      </w:pPr>
      <w:r w:rsidRPr="00E9174E">
        <w:rPr>
          <w:rFonts w:eastAsiaTheme="minorHAnsi"/>
          <w:sz w:val="26"/>
          <w:szCs w:val="26"/>
        </w:rPr>
        <w:t>Based on our review of the record, we conclude that the manner in which Columbia conducts collection activity for CAP accounts presents some concerns and that Columbia should submit to its U</w:t>
      </w:r>
      <w:r w:rsidR="00625FA4" w:rsidRPr="00E9174E">
        <w:rPr>
          <w:rFonts w:eastAsiaTheme="minorHAnsi"/>
          <w:sz w:val="26"/>
          <w:szCs w:val="26"/>
        </w:rPr>
        <w:t>SAC</w:t>
      </w:r>
      <w:r w:rsidRPr="00E9174E">
        <w:rPr>
          <w:rFonts w:eastAsiaTheme="minorHAnsi"/>
          <w:sz w:val="26"/>
          <w:szCs w:val="26"/>
        </w:rPr>
        <w:t xml:space="preserve">, within six months of the entry of this Opinion and Order, the question of how customer payments on CAP bills can be pursued through a reasonable collections process, consistent with the OCA’s recommendation.  </w:t>
      </w:r>
      <w:r w:rsidRPr="00E9174E">
        <w:rPr>
          <w:rFonts w:eastAsiaTheme="minorHAnsi"/>
          <w:i/>
          <w:iCs/>
          <w:sz w:val="26"/>
          <w:szCs w:val="26"/>
        </w:rPr>
        <w:t>See</w:t>
      </w:r>
      <w:r w:rsidRPr="00E9174E">
        <w:rPr>
          <w:rFonts w:eastAsiaTheme="minorHAnsi"/>
          <w:sz w:val="26"/>
          <w:szCs w:val="26"/>
        </w:rPr>
        <w:t xml:space="preserve"> OCA St. 5 at 4.  In the </w:t>
      </w:r>
      <w:r w:rsidRPr="00E9174E">
        <w:rPr>
          <w:rFonts w:eastAsiaTheme="minorHAnsi"/>
          <w:i/>
          <w:iCs/>
          <w:sz w:val="26"/>
          <w:szCs w:val="26"/>
        </w:rPr>
        <w:t>Final CAP Policy Statement Order</w:t>
      </w:r>
      <w:r w:rsidRPr="00E9174E">
        <w:rPr>
          <w:rFonts w:eastAsiaTheme="minorHAnsi"/>
          <w:sz w:val="26"/>
          <w:szCs w:val="26"/>
        </w:rPr>
        <w:t xml:space="preserve">, we emphasized the importance of timely collection for CAP participants as follows:  </w:t>
      </w:r>
    </w:p>
    <w:p w14:paraId="5D24EB16" w14:textId="77777777" w:rsidR="00455B4B" w:rsidRPr="00E9174E" w:rsidRDefault="00455B4B" w:rsidP="00E9174E">
      <w:pPr>
        <w:widowControl/>
        <w:spacing w:line="360" w:lineRule="auto"/>
        <w:contextualSpacing/>
        <w:rPr>
          <w:rFonts w:eastAsiaTheme="minorHAnsi"/>
          <w:sz w:val="26"/>
          <w:szCs w:val="26"/>
        </w:rPr>
      </w:pPr>
    </w:p>
    <w:p w14:paraId="6C5BA57F" w14:textId="77777777" w:rsidR="00455B4B" w:rsidRPr="00E9174E" w:rsidRDefault="00455B4B" w:rsidP="00E9174E">
      <w:pPr>
        <w:widowControl/>
        <w:ind w:left="1440" w:right="1440"/>
        <w:contextualSpacing/>
        <w:rPr>
          <w:rFonts w:eastAsiaTheme="minorHAnsi"/>
          <w:sz w:val="26"/>
          <w:szCs w:val="26"/>
        </w:rPr>
      </w:pPr>
      <w:r w:rsidRPr="00E9174E">
        <w:rPr>
          <w:rFonts w:eastAsiaTheme="minorHAnsi"/>
          <w:sz w:val="26"/>
          <w:szCs w:val="26"/>
        </w:rPr>
        <w:lastRenderedPageBreak/>
        <w:t>The rationale for timely collection for CAP participants is that a low-income CAP participant is more likely to be able to pay a catch-up amount if the utility pursues collections in a prompt manner.  For a utility to allow more than two CAP payments in arrears without taking any collection action is counterproductive and inconsistent with the General Assembly’s declaration of policy that utilities are to increase timely collections.  When a utility fails to take timely collection action, it increases the likelihood that a low-income customer will accrue a balance it cannot pay back or satisfy through available energy assistance grants or donations.</w:t>
      </w:r>
    </w:p>
    <w:p w14:paraId="2D10B286" w14:textId="77777777" w:rsidR="00B024B4" w:rsidRPr="00E9174E" w:rsidRDefault="00B024B4" w:rsidP="00E9174E">
      <w:pPr>
        <w:widowControl/>
        <w:spacing w:line="360" w:lineRule="auto"/>
        <w:contextualSpacing/>
        <w:rPr>
          <w:rFonts w:eastAsiaTheme="minorHAnsi"/>
          <w:i/>
          <w:iCs/>
          <w:sz w:val="26"/>
          <w:szCs w:val="26"/>
        </w:rPr>
      </w:pPr>
    </w:p>
    <w:p w14:paraId="0E987198" w14:textId="61B6636A" w:rsidR="00455B4B" w:rsidRPr="00E9174E" w:rsidRDefault="00455B4B" w:rsidP="00E9174E">
      <w:pPr>
        <w:widowControl/>
        <w:spacing w:line="360" w:lineRule="auto"/>
        <w:contextualSpacing/>
        <w:rPr>
          <w:rFonts w:eastAsiaTheme="minorHAnsi"/>
          <w:sz w:val="26"/>
          <w:szCs w:val="26"/>
        </w:rPr>
      </w:pPr>
      <w:r w:rsidRPr="00E9174E">
        <w:rPr>
          <w:rFonts w:eastAsiaTheme="minorHAnsi"/>
          <w:i/>
          <w:iCs/>
          <w:sz w:val="26"/>
          <w:szCs w:val="26"/>
        </w:rPr>
        <w:t>Final CAP Policy Statement Order</w:t>
      </w:r>
      <w:r w:rsidRPr="00E9174E">
        <w:rPr>
          <w:rFonts w:eastAsiaTheme="minorHAnsi"/>
          <w:sz w:val="26"/>
          <w:szCs w:val="26"/>
        </w:rPr>
        <w:t xml:space="preserve"> at 73.  </w:t>
      </w:r>
    </w:p>
    <w:p w14:paraId="094A93E9" w14:textId="77777777" w:rsidR="00455B4B" w:rsidRPr="00E9174E" w:rsidRDefault="00455B4B" w:rsidP="00E9174E">
      <w:pPr>
        <w:widowControl/>
        <w:spacing w:line="360" w:lineRule="auto"/>
        <w:contextualSpacing/>
        <w:rPr>
          <w:rFonts w:eastAsiaTheme="minorHAnsi"/>
          <w:sz w:val="26"/>
          <w:szCs w:val="26"/>
        </w:rPr>
      </w:pPr>
    </w:p>
    <w:p w14:paraId="0D191442" w14:textId="0E2C0396" w:rsidR="00455B4B" w:rsidRDefault="00455B4B" w:rsidP="00E9174E">
      <w:pPr>
        <w:widowControl/>
        <w:autoSpaceDE w:val="0"/>
        <w:autoSpaceDN w:val="0"/>
        <w:adjustRightInd w:val="0"/>
        <w:spacing w:line="360" w:lineRule="auto"/>
        <w:ind w:firstLine="1440"/>
        <w:contextualSpacing/>
        <w:rPr>
          <w:rFonts w:eastAsiaTheme="minorHAnsi"/>
          <w:sz w:val="26"/>
          <w:szCs w:val="26"/>
        </w:rPr>
      </w:pPr>
      <w:r w:rsidRPr="00E9174E">
        <w:rPr>
          <w:rFonts w:eastAsiaTheme="minorHAnsi"/>
          <w:sz w:val="26"/>
          <w:szCs w:val="26"/>
        </w:rPr>
        <w:t xml:space="preserve">In this proceeding, the OCA presented evidence showing that there was a </w:t>
      </w:r>
      <w:bookmarkStart w:id="332" w:name="_Hlk62140550"/>
      <w:r w:rsidRPr="00E9174E">
        <w:rPr>
          <w:rFonts w:eastAsiaTheme="minorHAnsi"/>
          <w:sz w:val="26"/>
          <w:szCs w:val="26"/>
        </w:rPr>
        <w:t>significant gap between the number of CAP bills Columbia tendered and the number of CAP full payments Columbia received</w:t>
      </w:r>
      <w:bookmarkEnd w:id="332"/>
      <w:r w:rsidRPr="00E9174E">
        <w:rPr>
          <w:rFonts w:eastAsiaTheme="minorHAnsi"/>
          <w:sz w:val="26"/>
          <w:szCs w:val="26"/>
        </w:rPr>
        <w:t>.  The OCA’s witness Mr. Colton testified that the data for Columbia in this proceeding provides reason for concern when contrasted with Columbia’s statement that its collection activity is consistent with the CAP Policy Statement.  OCA St. 5 at 7; OCA Schedule RDC-1.  The data shows that while Columbia tendered, on average, between 22,000 and 23,000 CAP bills each month for the years 2018 through 2019, the Company received only between roughly 12,000 and 13,000 full payments.  Schedule RDC-1 shows the following:</w:t>
      </w:r>
    </w:p>
    <w:p w14:paraId="49924F3C" w14:textId="77777777" w:rsidR="006C7826" w:rsidRPr="00E9174E" w:rsidRDefault="006C7826" w:rsidP="006C7826">
      <w:pPr>
        <w:widowControl/>
        <w:autoSpaceDE w:val="0"/>
        <w:autoSpaceDN w:val="0"/>
        <w:adjustRightInd w:val="0"/>
        <w:ind w:firstLine="1440"/>
        <w:contextualSpacing/>
        <w:rPr>
          <w:rFonts w:eastAsiaTheme="minorHAnsi"/>
          <w:sz w:val="26"/>
          <w:szCs w:val="26"/>
        </w:rPr>
      </w:pPr>
    </w:p>
    <w:p w14:paraId="07F20322" w14:textId="054D708E" w:rsidR="00455B4B" w:rsidRPr="00E9174E" w:rsidRDefault="00455B4B" w:rsidP="00D155BD">
      <w:pPr>
        <w:widowControl/>
        <w:numPr>
          <w:ilvl w:val="0"/>
          <w:numId w:val="8"/>
        </w:numPr>
        <w:autoSpaceDE w:val="0"/>
        <w:autoSpaceDN w:val="0"/>
        <w:adjustRightInd w:val="0"/>
        <w:spacing w:line="276" w:lineRule="auto"/>
        <w:ind w:left="1440" w:right="1440" w:hanging="1080"/>
        <w:contextualSpacing/>
        <w:rPr>
          <w:rFonts w:eastAsiaTheme="minorHAnsi"/>
          <w:sz w:val="26"/>
          <w:szCs w:val="26"/>
        </w:rPr>
      </w:pPr>
      <w:r w:rsidRPr="00E9174E">
        <w:rPr>
          <w:rFonts w:eastAsiaTheme="minorHAnsi"/>
          <w:sz w:val="26"/>
          <w:szCs w:val="26"/>
        </w:rPr>
        <w:t>In 2017, Columbia issued an average of 22,005 CAP bills per month and received an average of 11,694 full CAP payments (46.4%).</w:t>
      </w:r>
    </w:p>
    <w:p w14:paraId="6A6ED62A" w14:textId="77777777" w:rsidR="00455B4B" w:rsidRPr="00E9174E" w:rsidRDefault="00455B4B" w:rsidP="00E9174E">
      <w:pPr>
        <w:widowControl/>
        <w:autoSpaceDE w:val="0"/>
        <w:autoSpaceDN w:val="0"/>
        <w:adjustRightInd w:val="0"/>
        <w:ind w:left="1440" w:right="1440"/>
        <w:contextualSpacing/>
        <w:rPr>
          <w:rFonts w:eastAsiaTheme="minorHAnsi"/>
          <w:sz w:val="26"/>
          <w:szCs w:val="26"/>
        </w:rPr>
      </w:pPr>
    </w:p>
    <w:p w14:paraId="391AE68B" w14:textId="662681FE" w:rsidR="00455B4B" w:rsidRPr="00E9174E" w:rsidRDefault="00455B4B" w:rsidP="00D155BD">
      <w:pPr>
        <w:widowControl/>
        <w:numPr>
          <w:ilvl w:val="0"/>
          <w:numId w:val="8"/>
        </w:numPr>
        <w:autoSpaceDE w:val="0"/>
        <w:autoSpaceDN w:val="0"/>
        <w:adjustRightInd w:val="0"/>
        <w:spacing w:line="276" w:lineRule="auto"/>
        <w:ind w:left="1440" w:right="1440" w:hanging="1080"/>
        <w:contextualSpacing/>
        <w:rPr>
          <w:rFonts w:eastAsiaTheme="minorHAnsi"/>
          <w:sz w:val="26"/>
          <w:szCs w:val="26"/>
        </w:rPr>
      </w:pPr>
      <w:r w:rsidRPr="00E9174E">
        <w:rPr>
          <w:rFonts w:eastAsiaTheme="minorHAnsi"/>
          <w:sz w:val="26"/>
          <w:szCs w:val="26"/>
        </w:rPr>
        <w:t>In 2018, Columbia issued an average of 23,420 CAP bills per month and received an average of 11,817 full CAP payments (50.5%).</w:t>
      </w:r>
    </w:p>
    <w:p w14:paraId="6E55DC2A" w14:textId="77777777" w:rsidR="00432927" w:rsidRPr="00E9174E" w:rsidRDefault="00432927" w:rsidP="00E9174E">
      <w:pPr>
        <w:widowControl/>
        <w:autoSpaceDE w:val="0"/>
        <w:autoSpaceDN w:val="0"/>
        <w:adjustRightInd w:val="0"/>
        <w:spacing w:line="276" w:lineRule="auto"/>
        <w:ind w:left="1440" w:right="1440"/>
        <w:contextualSpacing/>
        <w:rPr>
          <w:rFonts w:eastAsiaTheme="minorHAnsi"/>
          <w:sz w:val="26"/>
          <w:szCs w:val="26"/>
        </w:rPr>
      </w:pPr>
    </w:p>
    <w:p w14:paraId="66709C6A" w14:textId="77777777" w:rsidR="00455B4B" w:rsidRPr="00E9174E" w:rsidRDefault="00455B4B" w:rsidP="00D155BD">
      <w:pPr>
        <w:widowControl/>
        <w:numPr>
          <w:ilvl w:val="0"/>
          <w:numId w:val="8"/>
        </w:numPr>
        <w:spacing w:line="276" w:lineRule="auto"/>
        <w:ind w:left="1440" w:right="1440" w:hanging="1080"/>
        <w:contextualSpacing/>
        <w:rPr>
          <w:rFonts w:eastAsiaTheme="minorHAnsi"/>
          <w:sz w:val="26"/>
          <w:szCs w:val="26"/>
        </w:rPr>
      </w:pPr>
      <w:r w:rsidRPr="00E9174E">
        <w:rPr>
          <w:rFonts w:eastAsiaTheme="minorHAnsi"/>
          <w:sz w:val="26"/>
          <w:szCs w:val="26"/>
        </w:rPr>
        <w:t xml:space="preserve">In 2019, Columbia issued an average of 22,899 CAP bills per month and received an average of 13,043 full CAP payments (57.0%).  </w:t>
      </w:r>
    </w:p>
    <w:p w14:paraId="306494D9" w14:textId="77777777" w:rsidR="00455B4B" w:rsidRPr="00E9174E" w:rsidRDefault="00455B4B" w:rsidP="00E9174E">
      <w:pPr>
        <w:widowControl/>
        <w:autoSpaceDE w:val="0"/>
        <w:autoSpaceDN w:val="0"/>
        <w:adjustRightInd w:val="0"/>
        <w:spacing w:line="360" w:lineRule="auto"/>
        <w:contextualSpacing/>
        <w:rPr>
          <w:rFonts w:eastAsiaTheme="minorHAnsi"/>
          <w:sz w:val="26"/>
          <w:szCs w:val="26"/>
        </w:rPr>
      </w:pPr>
      <w:r w:rsidRPr="00E9174E">
        <w:rPr>
          <w:rFonts w:eastAsiaTheme="minorHAnsi"/>
          <w:sz w:val="26"/>
          <w:szCs w:val="26"/>
        </w:rPr>
        <w:lastRenderedPageBreak/>
        <w:t>Mr. Colton explained that</w:t>
      </w:r>
      <w:r w:rsidR="00FB74FF" w:rsidRPr="00E9174E">
        <w:rPr>
          <w:rFonts w:eastAsiaTheme="minorHAnsi"/>
          <w:sz w:val="26"/>
          <w:szCs w:val="26"/>
        </w:rPr>
        <w:t>,</w:t>
      </w:r>
      <w:r w:rsidRPr="00E9174E">
        <w:rPr>
          <w:rFonts w:eastAsiaTheme="minorHAnsi"/>
          <w:sz w:val="26"/>
          <w:szCs w:val="26"/>
        </w:rPr>
        <w:t xml:space="preserve"> in dollar terms, in 2017, Columbia received CAP payments equal to only 71.8% of the CAP bills it issued (payments of $9,050,991 against bills of $12,598,585); in 2018, Columbia received CAP payments equal to only 73.4% of its CAP bills ($10,262,398 in CAP payments against $13,972,031 in CAP bills); and in 2019, Columbia received CAP payments equal to 77.0% of CAP bills ($11,006,661 in CAP payments against $14,229,197 in CAP bills).  In other words, each year, Columbia fell between roughly 25% and 30% further behind in fully collecting its CAP bills.  </w:t>
      </w:r>
      <w:r w:rsidRPr="00E9174E">
        <w:rPr>
          <w:rFonts w:eastAsiaTheme="minorHAnsi"/>
          <w:i/>
          <w:iCs/>
          <w:sz w:val="26"/>
          <w:szCs w:val="26"/>
        </w:rPr>
        <w:t>Id</w:t>
      </w:r>
      <w:r w:rsidRPr="00E9174E">
        <w:rPr>
          <w:rFonts w:eastAsiaTheme="minorHAnsi"/>
          <w:sz w:val="26"/>
          <w:szCs w:val="26"/>
        </w:rPr>
        <w:t xml:space="preserve">.  </w:t>
      </w:r>
    </w:p>
    <w:p w14:paraId="1DAF0CCB" w14:textId="77777777" w:rsidR="00455B4B" w:rsidRPr="00E9174E" w:rsidRDefault="00455B4B" w:rsidP="00E9174E">
      <w:pPr>
        <w:widowControl/>
        <w:autoSpaceDE w:val="0"/>
        <w:autoSpaceDN w:val="0"/>
        <w:adjustRightInd w:val="0"/>
        <w:spacing w:line="360" w:lineRule="auto"/>
        <w:contextualSpacing/>
        <w:rPr>
          <w:rFonts w:eastAsiaTheme="minorHAnsi"/>
          <w:sz w:val="26"/>
          <w:szCs w:val="26"/>
        </w:rPr>
      </w:pPr>
    </w:p>
    <w:p w14:paraId="5F8A97EB" w14:textId="77777777" w:rsidR="00455B4B" w:rsidRPr="00E9174E" w:rsidRDefault="00455B4B" w:rsidP="00E9174E">
      <w:pPr>
        <w:widowControl/>
        <w:spacing w:line="360" w:lineRule="auto"/>
        <w:ind w:firstLine="1440"/>
        <w:contextualSpacing/>
        <w:rPr>
          <w:rFonts w:eastAsiaTheme="minorHAnsi"/>
          <w:sz w:val="26"/>
          <w:szCs w:val="26"/>
        </w:rPr>
      </w:pPr>
      <w:r w:rsidRPr="00E9174E">
        <w:rPr>
          <w:rFonts w:eastAsiaTheme="minorHAnsi"/>
          <w:sz w:val="26"/>
          <w:szCs w:val="26"/>
        </w:rPr>
        <w:t xml:space="preserve">In response, the Company asserted that it is complying with the </w:t>
      </w:r>
      <w:r w:rsidRPr="00E9174E">
        <w:rPr>
          <w:rFonts w:eastAsiaTheme="minorHAnsi"/>
          <w:i/>
          <w:iCs/>
          <w:sz w:val="26"/>
          <w:szCs w:val="26"/>
        </w:rPr>
        <w:t>Final CAP Policy Statement Order</w:t>
      </w:r>
      <w:r w:rsidRPr="00E9174E">
        <w:rPr>
          <w:rFonts w:eastAsiaTheme="minorHAnsi"/>
          <w:sz w:val="26"/>
          <w:szCs w:val="26"/>
        </w:rPr>
        <w:t xml:space="preserve">.  The Company noted that its USECP provides the following:  </w:t>
      </w:r>
    </w:p>
    <w:p w14:paraId="62F2F9D8" w14:textId="77777777" w:rsidR="00455B4B" w:rsidRPr="00E9174E" w:rsidRDefault="00455B4B" w:rsidP="006C7826">
      <w:pPr>
        <w:widowControl/>
        <w:contextualSpacing/>
        <w:rPr>
          <w:rFonts w:eastAsiaTheme="minorHAnsi"/>
          <w:sz w:val="26"/>
          <w:szCs w:val="26"/>
        </w:rPr>
      </w:pPr>
    </w:p>
    <w:p w14:paraId="1E67CDC1" w14:textId="69E292A1" w:rsidR="00455B4B" w:rsidRPr="00E9174E" w:rsidRDefault="00455B4B" w:rsidP="00E9174E">
      <w:pPr>
        <w:widowControl/>
        <w:ind w:left="1440" w:right="1440"/>
        <w:contextualSpacing/>
        <w:rPr>
          <w:rFonts w:eastAsiaTheme="minorHAnsi"/>
          <w:sz w:val="26"/>
          <w:szCs w:val="26"/>
        </w:rPr>
      </w:pPr>
      <w:r w:rsidRPr="00E9174E">
        <w:rPr>
          <w:rFonts w:eastAsiaTheme="minorHAnsi"/>
          <w:sz w:val="26"/>
          <w:szCs w:val="26"/>
        </w:rPr>
        <w:t xml:space="preserve">Columbia will issue a termination notice no sooner than 10 days after a customer fails to pay two missed CAP budget payments by the due date.  If a CAP customer does not make up all missed CAP payments within 10 days of the date of the termination notice, Columbia will attempt to terminate service for non-payment of the CAP budget bill.  Columbia, in its sole discretion, may delay termination in the event of extenuating circumstances.  </w:t>
      </w:r>
    </w:p>
    <w:p w14:paraId="2ABB1A87" w14:textId="77777777" w:rsidR="00A07F28" w:rsidRPr="00E9174E" w:rsidRDefault="00A07F28" w:rsidP="00E9174E">
      <w:pPr>
        <w:widowControl/>
        <w:spacing w:line="360" w:lineRule="auto"/>
        <w:contextualSpacing/>
        <w:rPr>
          <w:rFonts w:eastAsiaTheme="minorHAnsi"/>
          <w:sz w:val="26"/>
          <w:szCs w:val="26"/>
        </w:rPr>
      </w:pPr>
    </w:p>
    <w:p w14:paraId="1E390D90" w14:textId="2D8D8F31" w:rsidR="00455B4B" w:rsidRPr="00E9174E" w:rsidRDefault="00455B4B" w:rsidP="00E9174E">
      <w:pPr>
        <w:widowControl/>
        <w:spacing w:line="360" w:lineRule="auto"/>
        <w:contextualSpacing/>
        <w:rPr>
          <w:rFonts w:eastAsiaTheme="minorHAnsi"/>
          <w:sz w:val="26"/>
          <w:szCs w:val="26"/>
        </w:rPr>
      </w:pPr>
      <w:r w:rsidRPr="00E9174E">
        <w:rPr>
          <w:rFonts w:eastAsiaTheme="minorHAnsi"/>
          <w:sz w:val="26"/>
          <w:szCs w:val="26"/>
        </w:rPr>
        <w:t xml:space="preserve">Columbia St. 13-R at 2.  </w:t>
      </w:r>
    </w:p>
    <w:p w14:paraId="0DC9FDF2" w14:textId="77777777" w:rsidR="00455B4B" w:rsidRPr="00E9174E" w:rsidRDefault="00455B4B" w:rsidP="00E9174E">
      <w:pPr>
        <w:widowControl/>
        <w:autoSpaceDE w:val="0"/>
        <w:autoSpaceDN w:val="0"/>
        <w:adjustRightInd w:val="0"/>
        <w:spacing w:line="360" w:lineRule="auto"/>
        <w:contextualSpacing/>
        <w:rPr>
          <w:rFonts w:eastAsiaTheme="minorHAnsi"/>
          <w:sz w:val="26"/>
          <w:szCs w:val="26"/>
        </w:rPr>
      </w:pPr>
    </w:p>
    <w:p w14:paraId="191FDBF9" w14:textId="20C0C5F8" w:rsidR="00455B4B" w:rsidRPr="00E9174E" w:rsidRDefault="00455B4B" w:rsidP="00E9174E">
      <w:pPr>
        <w:widowControl/>
        <w:autoSpaceDE w:val="0"/>
        <w:autoSpaceDN w:val="0"/>
        <w:adjustRightInd w:val="0"/>
        <w:spacing w:line="360" w:lineRule="auto"/>
        <w:ind w:firstLine="1440"/>
        <w:contextualSpacing/>
        <w:rPr>
          <w:rFonts w:eastAsiaTheme="minorHAnsi"/>
          <w:color w:val="000000"/>
          <w:sz w:val="26"/>
          <w:szCs w:val="26"/>
        </w:rPr>
      </w:pPr>
      <w:r w:rsidRPr="00E9174E">
        <w:rPr>
          <w:rFonts w:eastAsiaTheme="minorHAnsi"/>
          <w:sz w:val="26"/>
          <w:szCs w:val="26"/>
        </w:rPr>
        <w:t xml:space="preserve">Additionally, Columbia contended there were flaws in the OCA’s analysis.  Columbia’s witness Ms. </w:t>
      </w:r>
      <w:r w:rsidR="001F6E3D" w:rsidRPr="00E9174E">
        <w:rPr>
          <w:rFonts w:eastAsiaTheme="minorHAnsi"/>
          <w:sz w:val="26"/>
          <w:szCs w:val="26"/>
        </w:rPr>
        <w:t>Deborah</w:t>
      </w:r>
      <w:r w:rsidRPr="00E9174E">
        <w:rPr>
          <w:rFonts w:eastAsiaTheme="minorHAnsi"/>
          <w:sz w:val="26"/>
          <w:szCs w:val="26"/>
        </w:rPr>
        <w:t xml:space="preserve"> Davis e</w:t>
      </w:r>
      <w:r w:rsidRPr="00E9174E">
        <w:rPr>
          <w:rFonts w:eastAsiaTheme="minorHAnsi"/>
          <w:color w:val="000000"/>
          <w:sz w:val="26"/>
          <w:szCs w:val="26"/>
        </w:rPr>
        <w:t>xplained that any assumption regarding collections that is based on the OCA’s data is inaccurate because LIHEAP grant credits are not included in the full, on-time payment data Mr. Colton referenced.  Ms. Davis noted the importance of recognizing that LIHEAP funds supplement past, current, and future customer payments, so that a customer may be current on their CAP bill but have not paid twelve, on time, in full payments in a year due to LIHEAP grant credits.  CG</w:t>
      </w:r>
      <w:r w:rsidR="006C7826">
        <w:rPr>
          <w:rFonts w:eastAsiaTheme="minorHAnsi"/>
          <w:color w:val="000000"/>
          <w:sz w:val="26"/>
          <w:szCs w:val="26"/>
        </w:rPr>
        <w:t> </w:t>
      </w:r>
      <w:r w:rsidRPr="00E9174E">
        <w:rPr>
          <w:rFonts w:eastAsiaTheme="minorHAnsi"/>
          <w:color w:val="000000"/>
          <w:sz w:val="26"/>
          <w:szCs w:val="26"/>
        </w:rPr>
        <w:t>St.</w:t>
      </w:r>
      <w:r w:rsidR="006C7826">
        <w:rPr>
          <w:rFonts w:eastAsiaTheme="minorHAnsi"/>
          <w:color w:val="000000"/>
          <w:sz w:val="26"/>
          <w:szCs w:val="26"/>
        </w:rPr>
        <w:t> </w:t>
      </w:r>
      <w:r w:rsidRPr="00E9174E">
        <w:rPr>
          <w:rFonts w:eastAsiaTheme="minorHAnsi"/>
          <w:color w:val="000000"/>
          <w:sz w:val="26"/>
          <w:szCs w:val="26"/>
        </w:rPr>
        <w:t xml:space="preserve">13-R at 2.  Ms. Davis also testified that there are other reasons why a CAP customer’s service may not be terminated for nonpayment, including when a customer has a pending dispute before the Commission, when a customer has a critical health </w:t>
      </w:r>
      <w:r w:rsidRPr="00E9174E">
        <w:rPr>
          <w:rFonts w:eastAsiaTheme="minorHAnsi"/>
          <w:color w:val="000000"/>
          <w:sz w:val="26"/>
          <w:szCs w:val="26"/>
        </w:rPr>
        <w:lastRenderedPageBreak/>
        <w:t xml:space="preserve">condition supported by a medical certificate, or when the winter moratorium is effective from December 1 through March 31.  </w:t>
      </w:r>
      <w:r w:rsidRPr="00E9174E">
        <w:rPr>
          <w:rFonts w:eastAsiaTheme="minorHAnsi"/>
          <w:i/>
          <w:iCs/>
          <w:color w:val="000000"/>
          <w:sz w:val="26"/>
          <w:szCs w:val="26"/>
        </w:rPr>
        <w:t>Id.</w:t>
      </w:r>
      <w:r w:rsidRPr="00E9174E">
        <w:rPr>
          <w:rFonts w:eastAsiaTheme="minorHAnsi"/>
          <w:color w:val="000000"/>
          <w:sz w:val="26"/>
          <w:szCs w:val="26"/>
        </w:rPr>
        <w:t xml:space="preserve"> at 3.  Ms. Davis further testified that as reflected in the 2018 </w:t>
      </w:r>
      <w:r w:rsidRPr="00E9174E">
        <w:rPr>
          <w:rFonts w:eastAsiaTheme="minorHAnsi"/>
          <w:sz w:val="26"/>
          <w:szCs w:val="26"/>
        </w:rPr>
        <w:t>Universal Service Programs and Collections Performance Report</w:t>
      </w:r>
      <w:r w:rsidRPr="00E9174E">
        <w:rPr>
          <w:rFonts w:eastAsiaTheme="minorHAnsi"/>
          <w:color w:val="000000"/>
          <w:sz w:val="26"/>
          <w:szCs w:val="26"/>
        </w:rPr>
        <w:t xml:space="preserve">, the Company’s percentage of CAP bills paid in 2018 was the third highest of all Pennsylvania gas utilities.  </w:t>
      </w:r>
      <w:r w:rsidRPr="00E9174E">
        <w:rPr>
          <w:rFonts w:eastAsiaTheme="minorHAnsi"/>
          <w:i/>
          <w:iCs/>
          <w:color w:val="000000"/>
          <w:sz w:val="26"/>
          <w:szCs w:val="26"/>
        </w:rPr>
        <w:t>Id</w:t>
      </w:r>
      <w:r w:rsidRPr="00E9174E">
        <w:rPr>
          <w:rFonts w:eastAsiaTheme="minorHAnsi"/>
          <w:color w:val="000000"/>
          <w:sz w:val="26"/>
          <w:szCs w:val="26"/>
        </w:rPr>
        <w:t xml:space="preserve">. at 4.  </w:t>
      </w:r>
    </w:p>
    <w:p w14:paraId="764695A1" w14:textId="77777777" w:rsidR="00455B4B" w:rsidRPr="00E9174E" w:rsidRDefault="00455B4B" w:rsidP="00E9174E">
      <w:pPr>
        <w:widowControl/>
        <w:spacing w:line="360" w:lineRule="auto"/>
        <w:contextualSpacing/>
        <w:rPr>
          <w:rFonts w:eastAsiaTheme="minorHAnsi"/>
          <w:sz w:val="26"/>
          <w:szCs w:val="26"/>
        </w:rPr>
      </w:pPr>
    </w:p>
    <w:p w14:paraId="0CE727D8" w14:textId="6C266BAB" w:rsidR="00455B4B" w:rsidRPr="00E9174E" w:rsidRDefault="00455B4B" w:rsidP="00E9174E">
      <w:pPr>
        <w:widowControl/>
        <w:spacing w:line="360" w:lineRule="auto"/>
        <w:ind w:firstLine="1440"/>
        <w:contextualSpacing/>
        <w:rPr>
          <w:rFonts w:eastAsiaTheme="minorHAnsi"/>
          <w:sz w:val="26"/>
          <w:szCs w:val="26"/>
        </w:rPr>
      </w:pPr>
      <w:r w:rsidRPr="00E9174E">
        <w:rPr>
          <w:rFonts w:eastAsiaTheme="minorHAnsi"/>
          <w:sz w:val="26"/>
          <w:szCs w:val="26"/>
        </w:rPr>
        <w:t xml:space="preserve">The OCA provided evidence sufficient to rebut that of Columbia.  In </w:t>
      </w:r>
      <w:proofErr w:type="spellStart"/>
      <w:r w:rsidRPr="00E9174E">
        <w:rPr>
          <w:rFonts w:eastAsiaTheme="minorHAnsi"/>
          <w:sz w:val="26"/>
          <w:szCs w:val="26"/>
        </w:rPr>
        <w:t>Surrebuttal</w:t>
      </w:r>
      <w:proofErr w:type="spellEnd"/>
      <w:r w:rsidRPr="00E9174E">
        <w:rPr>
          <w:rFonts w:eastAsiaTheme="minorHAnsi"/>
          <w:sz w:val="26"/>
          <w:szCs w:val="26"/>
        </w:rPr>
        <w:t xml:space="preserve"> Testimony, Mr. Colton created Table 2S, which compared the number of accounts for which a LIHEAP credit was applied to the bill compared to the number of CAP accounts not receiving a LIHEAP grant with bill credit.  OCA St. 5-S at 13, Table</w:t>
      </w:r>
      <w:r w:rsidR="006C7826">
        <w:rPr>
          <w:rFonts w:eastAsiaTheme="minorHAnsi"/>
          <w:sz w:val="26"/>
          <w:szCs w:val="26"/>
        </w:rPr>
        <w:t> </w:t>
      </w:r>
      <w:r w:rsidRPr="00E9174E">
        <w:rPr>
          <w:rFonts w:eastAsiaTheme="minorHAnsi"/>
          <w:sz w:val="26"/>
          <w:szCs w:val="26"/>
        </w:rPr>
        <w:t xml:space="preserve">2S.  The data in Table 2S demonstrates that LIHEAP grants would not be sufficient to bridge the gap between the number of CAP bills issued, the number of full payments received, and the number of CAP accounts with bill credits received.  OCA St. 5-S at 13.  Additionally, Mr. Colton testified that the presence of disputes, the existence of medical certificates, and the presence of winter shutoff restrictions do not explain the significant difference between the number of CAP bills rendered each month and the number of timely payments received.  Mr. Colton stated that “[o]n average, there is a difference of more than 10,000 CAP accounts receiving a bill and CAP accounts making a timely payment.  While there is some seasonal variation, that seasonal variation does not explain the extensive differences that exist.”  OCA St. 5-S at 15.  </w:t>
      </w:r>
    </w:p>
    <w:p w14:paraId="1AF041BE" w14:textId="77777777" w:rsidR="00455B4B" w:rsidRPr="00E9174E" w:rsidRDefault="00455B4B" w:rsidP="00E9174E">
      <w:pPr>
        <w:widowControl/>
        <w:spacing w:line="360" w:lineRule="auto"/>
        <w:contextualSpacing/>
        <w:rPr>
          <w:rFonts w:eastAsiaTheme="minorHAnsi"/>
          <w:sz w:val="26"/>
          <w:szCs w:val="26"/>
        </w:rPr>
      </w:pPr>
    </w:p>
    <w:p w14:paraId="0E16D950" w14:textId="4BEE543B" w:rsidR="00455B4B" w:rsidRPr="00E9174E" w:rsidRDefault="00455B4B" w:rsidP="00E9174E">
      <w:pPr>
        <w:widowControl/>
        <w:spacing w:line="360" w:lineRule="auto"/>
        <w:ind w:firstLine="1440"/>
        <w:contextualSpacing/>
        <w:rPr>
          <w:rFonts w:eastAsiaTheme="minorHAnsi"/>
          <w:sz w:val="26"/>
          <w:szCs w:val="26"/>
        </w:rPr>
      </w:pPr>
      <w:r w:rsidRPr="00E9174E">
        <w:rPr>
          <w:rFonts w:eastAsiaTheme="minorHAnsi"/>
          <w:sz w:val="26"/>
          <w:szCs w:val="26"/>
        </w:rPr>
        <w:t xml:space="preserve">Based on the substantial record evidence, we find troubling the pattern over recent years of a significant gap between the number of CAP bills Columbia tendered and the number of CAP full payments Columbia received, a pattern which Columbia was not able to explain sufficiently.  While Columbia’s collection policy set forth in its USECP indicates that Columbia will issue a termination notice after a customer fails to pay two missed CAP budget payments by the due date, this is not a new policy for Columbia, as this policy was part of its prior USECP.  </w:t>
      </w:r>
      <w:r w:rsidRPr="00E9174E">
        <w:rPr>
          <w:rFonts w:eastAsiaTheme="minorHAnsi"/>
          <w:i/>
          <w:iCs/>
          <w:sz w:val="26"/>
          <w:szCs w:val="26"/>
        </w:rPr>
        <w:t>See</w:t>
      </w:r>
      <w:r w:rsidRPr="00E9174E">
        <w:rPr>
          <w:rFonts w:eastAsiaTheme="minorHAnsi"/>
          <w:sz w:val="26"/>
          <w:szCs w:val="26"/>
        </w:rPr>
        <w:t xml:space="preserve"> </w:t>
      </w:r>
      <w:r w:rsidRPr="00E9174E">
        <w:rPr>
          <w:rFonts w:eastAsiaTheme="minorHAnsi"/>
          <w:i/>
          <w:iCs/>
          <w:sz w:val="26"/>
          <w:szCs w:val="26"/>
        </w:rPr>
        <w:t xml:space="preserve">Columbia Gas of Pennsylvania Inc. Universal Service and Energy Conservation Plan for 2015-2018 Submitted in </w:t>
      </w:r>
      <w:r w:rsidRPr="00E9174E">
        <w:rPr>
          <w:rFonts w:eastAsiaTheme="minorHAnsi"/>
          <w:i/>
          <w:iCs/>
          <w:sz w:val="26"/>
          <w:szCs w:val="26"/>
        </w:rPr>
        <w:lastRenderedPageBreak/>
        <w:t>Compliance with 52 Pa. Code § 62.4</w:t>
      </w:r>
      <w:r w:rsidRPr="00E9174E">
        <w:rPr>
          <w:rFonts w:eastAsiaTheme="minorHAnsi"/>
          <w:sz w:val="26"/>
          <w:szCs w:val="26"/>
        </w:rPr>
        <w:t>, Docket No. M-2014-2424462 (Order entered July</w:t>
      </w:r>
      <w:r w:rsidR="006C7826">
        <w:rPr>
          <w:rFonts w:eastAsiaTheme="minorHAnsi"/>
          <w:sz w:val="26"/>
          <w:szCs w:val="26"/>
        </w:rPr>
        <w:t> </w:t>
      </w:r>
      <w:r w:rsidRPr="00E9174E">
        <w:rPr>
          <w:rFonts w:eastAsiaTheme="minorHAnsi"/>
          <w:sz w:val="26"/>
          <w:szCs w:val="26"/>
        </w:rPr>
        <w:t xml:space="preserve">8, 2015), at 11 (indicating Columbia initiates termination procedures for CAP customers after two missed payments); </w:t>
      </w:r>
      <w:r w:rsidRPr="00E9174E">
        <w:rPr>
          <w:rFonts w:eastAsiaTheme="minorHAnsi"/>
          <w:i/>
          <w:iCs/>
          <w:sz w:val="26"/>
          <w:szCs w:val="26"/>
        </w:rPr>
        <w:t>see also</w:t>
      </w:r>
      <w:r w:rsidRPr="00E9174E">
        <w:rPr>
          <w:rFonts w:eastAsiaTheme="minorHAnsi"/>
          <w:sz w:val="26"/>
          <w:szCs w:val="26"/>
        </w:rPr>
        <w:t xml:space="preserve"> </w:t>
      </w:r>
      <w:r w:rsidRPr="00E9174E">
        <w:rPr>
          <w:rFonts w:eastAsiaTheme="minorHAnsi"/>
          <w:i/>
          <w:iCs/>
          <w:sz w:val="26"/>
          <w:szCs w:val="26"/>
        </w:rPr>
        <w:t>Final CAP Policy Statement Order</w:t>
      </w:r>
      <w:r w:rsidRPr="00E9174E">
        <w:rPr>
          <w:rFonts w:eastAsiaTheme="minorHAnsi"/>
          <w:sz w:val="26"/>
          <w:szCs w:val="26"/>
        </w:rPr>
        <w:t xml:space="preserve"> at 71.  </w:t>
      </w:r>
    </w:p>
    <w:p w14:paraId="1D9B89E3" w14:textId="77777777" w:rsidR="00455B4B" w:rsidRPr="00E9174E" w:rsidRDefault="00455B4B" w:rsidP="00E9174E">
      <w:pPr>
        <w:widowControl/>
        <w:spacing w:line="360" w:lineRule="auto"/>
        <w:contextualSpacing/>
        <w:rPr>
          <w:rFonts w:eastAsiaTheme="minorHAnsi"/>
          <w:sz w:val="26"/>
          <w:szCs w:val="26"/>
        </w:rPr>
      </w:pPr>
    </w:p>
    <w:p w14:paraId="7305894D" w14:textId="17F4196B" w:rsidR="00455B4B" w:rsidRPr="00E9174E" w:rsidRDefault="00455B4B" w:rsidP="00E9174E">
      <w:pPr>
        <w:widowControl/>
        <w:spacing w:line="360" w:lineRule="auto"/>
        <w:ind w:firstLine="1440"/>
        <w:contextualSpacing/>
        <w:rPr>
          <w:rFonts w:eastAsiaTheme="minorHAnsi"/>
          <w:sz w:val="26"/>
          <w:szCs w:val="26"/>
        </w:rPr>
      </w:pPr>
      <w:r w:rsidRPr="00E9174E">
        <w:rPr>
          <w:rFonts w:eastAsiaTheme="minorHAnsi"/>
          <w:sz w:val="26"/>
          <w:szCs w:val="26"/>
        </w:rPr>
        <w:t>Under the circumstances, based on the OCA’s data in this proceeding, which covers dates during which Columbia already had a written policy of pursuing termination after two missed payments, it is not clear that Columbia’s written collection policy alone will be sufficient to help improve the Company’s collection practices.  Accordingly, we shall deny Columbia’s Exception No. 22 and direct that Columbia submit to its U</w:t>
      </w:r>
      <w:r w:rsidR="00625FA4" w:rsidRPr="00E9174E">
        <w:rPr>
          <w:rFonts w:eastAsiaTheme="minorHAnsi"/>
          <w:sz w:val="26"/>
          <w:szCs w:val="26"/>
        </w:rPr>
        <w:t>SAC</w:t>
      </w:r>
      <w:r w:rsidRPr="00E9174E">
        <w:rPr>
          <w:rFonts w:eastAsiaTheme="minorHAnsi"/>
          <w:sz w:val="26"/>
          <w:szCs w:val="26"/>
        </w:rPr>
        <w:t xml:space="preserve">, within six months of the entry date of this Opinion and Order, the question of how customer payments on CAP bills can be pursued through a reasonable collections process.  We further direct that Columbia be fully prepared to address this CAP collection policy issue in its next USECP.  </w:t>
      </w:r>
    </w:p>
    <w:p w14:paraId="367145E3" w14:textId="77777777" w:rsidR="00455B4B" w:rsidRPr="00E9174E" w:rsidRDefault="00455B4B" w:rsidP="00E9174E">
      <w:pPr>
        <w:widowControl/>
        <w:spacing w:line="360" w:lineRule="auto"/>
        <w:contextualSpacing/>
        <w:rPr>
          <w:rFonts w:eastAsiaTheme="minorHAnsi"/>
          <w:sz w:val="26"/>
          <w:szCs w:val="26"/>
        </w:rPr>
      </w:pPr>
    </w:p>
    <w:p w14:paraId="3292D322" w14:textId="305AD6B6" w:rsidR="00455B4B" w:rsidRPr="00E9174E" w:rsidRDefault="00455B4B" w:rsidP="00E9174E">
      <w:pPr>
        <w:pStyle w:val="Heading1"/>
        <w:keepNext/>
      </w:pPr>
      <w:bookmarkStart w:id="333" w:name="_Toc63764563"/>
      <w:r w:rsidRPr="00E9174E">
        <w:t>Energy Burdens</w:t>
      </w:r>
      <w:bookmarkEnd w:id="333"/>
    </w:p>
    <w:p w14:paraId="45BA85A2" w14:textId="77777777" w:rsidR="00455B4B" w:rsidRPr="00E9174E" w:rsidRDefault="00455B4B" w:rsidP="00E9174E">
      <w:pPr>
        <w:keepNext/>
        <w:widowControl/>
        <w:spacing w:line="360" w:lineRule="auto"/>
        <w:contextualSpacing/>
        <w:rPr>
          <w:rFonts w:eastAsiaTheme="minorHAnsi"/>
          <w:sz w:val="26"/>
          <w:szCs w:val="26"/>
        </w:rPr>
      </w:pPr>
    </w:p>
    <w:p w14:paraId="798160DB" w14:textId="7FCF0EBC" w:rsidR="003A60DD" w:rsidRPr="00E9174E" w:rsidRDefault="00455B4B" w:rsidP="00F94A24">
      <w:pPr>
        <w:pStyle w:val="Heading2"/>
        <w:numPr>
          <w:ilvl w:val="0"/>
          <w:numId w:val="87"/>
        </w:numPr>
        <w:ind w:hanging="720"/>
      </w:pPr>
      <w:bookmarkStart w:id="334" w:name="_Toc63764564"/>
      <w:r w:rsidRPr="00E9174E">
        <w:t>Positions of the Parties</w:t>
      </w:r>
      <w:bookmarkEnd w:id="334"/>
      <w:r w:rsidRPr="00E9174E">
        <w:t xml:space="preserve"> </w:t>
      </w:r>
    </w:p>
    <w:p w14:paraId="21E960C2" w14:textId="77777777" w:rsidR="003A60DD" w:rsidRPr="00E9174E" w:rsidRDefault="003A60DD" w:rsidP="00E9174E">
      <w:pPr>
        <w:keepNext/>
        <w:widowControl/>
        <w:spacing w:line="360" w:lineRule="auto"/>
        <w:contextualSpacing/>
        <w:rPr>
          <w:rFonts w:eastAsiaTheme="minorHAnsi"/>
          <w:sz w:val="26"/>
          <w:szCs w:val="26"/>
        </w:rPr>
      </w:pPr>
    </w:p>
    <w:p w14:paraId="2D15BCA3" w14:textId="38B006BD" w:rsidR="00455B4B" w:rsidRPr="00E9174E" w:rsidRDefault="00455B4B" w:rsidP="00E9174E">
      <w:pPr>
        <w:keepNext/>
        <w:widowControl/>
        <w:spacing w:line="360" w:lineRule="auto"/>
        <w:ind w:firstLine="1440"/>
        <w:contextualSpacing/>
        <w:rPr>
          <w:rFonts w:eastAsiaTheme="minorHAnsi"/>
          <w:sz w:val="26"/>
          <w:szCs w:val="26"/>
        </w:rPr>
      </w:pPr>
      <w:r w:rsidRPr="00E9174E">
        <w:rPr>
          <w:rFonts w:eastAsiaTheme="minorHAnsi"/>
          <w:sz w:val="26"/>
          <w:szCs w:val="26"/>
        </w:rPr>
        <w:t xml:space="preserve">CAUSE-PA averred that Columbia should be required to reduce its CAP </w:t>
      </w:r>
      <w:bookmarkStart w:id="335" w:name="_Hlk63281288"/>
      <w:r w:rsidRPr="00E9174E">
        <w:rPr>
          <w:rFonts w:eastAsiaTheme="minorHAnsi"/>
          <w:sz w:val="26"/>
          <w:szCs w:val="26"/>
        </w:rPr>
        <w:t>Percentage of Income Payment</w:t>
      </w:r>
      <w:bookmarkEnd w:id="335"/>
      <w:r w:rsidRPr="00E9174E">
        <w:rPr>
          <w:rFonts w:eastAsiaTheme="minorHAnsi"/>
          <w:sz w:val="26"/>
          <w:szCs w:val="26"/>
        </w:rPr>
        <w:t xml:space="preserve"> (</w:t>
      </w:r>
      <w:bookmarkStart w:id="336" w:name="_Hlk63281268"/>
      <w:r w:rsidRPr="00E9174E">
        <w:rPr>
          <w:rFonts w:eastAsiaTheme="minorHAnsi"/>
          <w:sz w:val="26"/>
          <w:szCs w:val="26"/>
        </w:rPr>
        <w:t>PIP</w:t>
      </w:r>
      <w:bookmarkEnd w:id="336"/>
      <w:r w:rsidRPr="00E9174E">
        <w:rPr>
          <w:rFonts w:eastAsiaTheme="minorHAnsi"/>
          <w:sz w:val="26"/>
          <w:szCs w:val="26"/>
        </w:rPr>
        <w:t xml:space="preserve">) rates to meet the maximum CAP energy burden standards in the Commission’s CAP Policy Statement to offset categorical unaffordability at current and proposed rates.  CAUSE-PA M.B. at 11.  CAUSE-PA noted that the average CAP energy burdens for Columbia’s PIP customers range from 7.4% to 8.02%, much higher than the Commission’s guidelines of 4% and 6%.  </w:t>
      </w:r>
      <w:r w:rsidRPr="00E9174E">
        <w:rPr>
          <w:rFonts w:eastAsiaTheme="minorHAnsi"/>
          <w:i/>
          <w:iCs/>
          <w:sz w:val="26"/>
          <w:szCs w:val="26"/>
        </w:rPr>
        <w:t>Id</w:t>
      </w:r>
      <w:r w:rsidRPr="00E9174E">
        <w:rPr>
          <w:rFonts w:eastAsiaTheme="minorHAnsi"/>
          <w:sz w:val="26"/>
          <w:szCs w:val="26"/>
        </w:rPr>
        <w:t>. at 16 (citing CAUSE-PA St. 1 at 16).  CAUSE-PA pointed out that</w:t>
      </w:r>
      <w:r w:rsidR="002628E7" w:rsidRPr="00E9174E">
        <w:rPr>
          <w:rFonts w:eastAsiaTheme="minorHAnsi"/>
          <w:sz w:val="26"/>
          <w:szCs w:val="26"/>
        </w:rPr>
        <w:t>,</w:t>
      </w:r>
      <w:r w:rsidRPr="00E9174E">
        <w:rPr>
          <w:rFonts w:eastAsiaTheme="minorHAnsi"/>
          <w:sz w:val="26"/>
          <w:szCs w:val="26"/>
        </w:rPr>
        <w:t xml:space="preserve"> in 2020, nearly every Pennsylvania natural gas utility, except Columbia, petitioned the Commission to voluntarily adjust their CAP rates to comply with the Commission’s CAP Policy Statement, 52 Pa. Code §§</w:t>
      </w:r>
      <w:r w:rsidR="006C7826">
        <w:rPr>
          <w:rFonts w:eastAsiaTheme="minorHAnsi"/>
          <w:sz w:val="26"/>
          <w:szCs w:val="26"/>
        </w:rPr>
        <w:t> </w:t>
      </w:r>
      <w:r w:rsidRPr="00E9174E">
        <w:rPr>
          <w:rFonts w:eastAsiaTheme="minorHAnsi"/>
          <w:sz w:val="26"/>
          <w:szCs w:val="26"/>
        </w:rPr>
        <w:t>69.261</w:t>
      </w:r>
      <w:r w:rsidR="006C7826">
        <w:rPr>
          <w:rFonts w:eastAsiaTheme="minorHAnsi"/>
          <w:sz w:val="26"/>
          <w:szCs w:val="26"/>
        </w:rPr>
        <w:noBreakHyphen/>
      </w:r>
      <w:r w:rsidRPr="00E9174E">
        <w:rPr>
          <w:rFonts w:eastAsiaTheme="minorHAnsi"/>
          <w:sz w:val="26"/>
          <w:szCs w:val="26"/>
        </w:rPr>
        <w:t xml:space="preserve">69.267.  CAUSE-PA M.B. at 13 (citing </w:t>
      </w:r>
      <w:r w:rsidRPr="00E9174E">
        <w:rPr>
          <w:rFonts w:eastAsiaTheme="minorHAnsi"/>
          <w:i/>
          <w:iCs/>
          <w:sz w:val="26"/>
          <w:szCs w:val="26"/>
        </w:rPr>
        <w:t>Peoples Natural Gas Company LLC Addendum to Universal Service and Energy Conservation Plan</w:t>
      </w:r>
      <w:r w:rsidRPr="00E9174E">
        <w:rPr>
          <w:rFonts w:eastAsiaTheme="minorHAnsi"/>
          <w:sz w:val="26"/>
          <w:szCs w:val="26"/>
        </w:rPr>
        <w:t xml:space="preserve">, Docket No. </w:t>
      </w:r>
      <w:r w:rsidRPr="00E9174E">
        <w:rPr>
          <w:rFonts w:eastAsiaTheme="minorHAnsi"/>
          <w:sz w:val="26"/>
          <w:szCs w:val="26"/>
        </w:rPr>
        <w:lastRenderedPageBreak/>
        <w:t>M</w:t>
      </w:r>
      <w:r w:rsidR="006C7826">
        <w:rPr>
          <w:rFonts w:eastAsiaTheme="minorHAnsi"/>
          <w:sz w:val="26"/>
          <w:szCs w:val="26"/>
        </w:rPr>
        <w:noBreakHyphen/>
      </w:r>
      <w:r w:rsidRPr="00E9174E">
        <w:rPr>
          <w:rFonts w:eastAsiaTheme="minorHAnsi"/>
          <w:sz w:val="26"/>
          <w:szCs w:val="26"/>
        </w:rPr>
        <w:t>2018</w:t>
      </w:r>
      <w:r w:rsidR="006C7826">
        <w:rPr>
          <w:rFonts w:eastAsiaTheme="minorHAnsi"/>
          <w:sz w:val="26"/>
          <w:szCs w:val="26"/>
        </w:rPr>
        <w:noBreakHyphen/>
      </w:r>
      <w:r w:rsidRPr="00E9174E">
        <w:rPr>
          <w:rFonts w:eastAsiaTheme="minorHAnsi"/>
          <w:sz w:val="26"/>
          <w:szCs w:val="26"/>
        </w:rPr>
        <w:t xml:space="preserve">3003177; </w:t>
      </w:r>
      <w:r w:rsidRPr="00E9174E">
        <w:rPr>
          <w:rFonts w:eastAsiaTheme="minorHAnsi"/>
          <w:i/>
          <w:iCs/>
          <w:sz w:val="26"/>
          <w:szCs w:val="26"/>
        </w:rPr>
        <w:t>Petition of UGI Utilities, Inc. to Amend its Universal Service and Energy Conservation Plan</w:t>
      </w:r>
      <w:r w:rsidRPr="00E9174E">
        <w:rPr>
          <w:rFonts w:eastAsiaTheme="minorHAnsi"/>
          <w:sz w:val="26"/>
          <w:szCs w:val="26"/>
        </w:rPr>
        <w:t xml:space="preserve">, Docket Nos. M-2019-3014966, P-2020-3019196; </w:t>
      </w:r>
      <w:r w:rsidRPr="00E9174E">
        <w:rPr>
          <w:rFonts w:eastAsiaTheme="minorHAnsi"/>
          <w:i/>
          <w:iCs/>
          <w:sz w:val="26"/>
          <w:szCs w:val="26"/>
        </w:rPr>
        <w:t>Petition for Expedited Approval of PGW’s Letter Request to Amend its Universal Service and Energy Conservation Plan Pursuant to the 2019 Amendments to the Policy Statement</w:t>
      </w:r>
      <w:r w:rsidRPr="00E9174E">
        <w:rPr>
          <w:rFonts w:eastAsiaTheme="minorHAnsi"/>
          <w:sz w:val="26"/>
          <w:szCs w:val="26"/>
        </w:rPr>
        <w:t>, Docket Nos. M-2019-3012599, P-2020-3018867</w:t>
      </w:r>
      <w:r w:rsidR="00736111" w:rsidRPr="00E9174E">
        <w:rPr>
          <w:rFonts w:eastAsiaTheme="minorHAnsi"/>
          <w:sz w:val="26"/>
          <w:szCs w:val="26"/>
        </w:rPr>
        <w:t>)</w:t>
      </w:r>
      <w:r w:rsidRPr="00E9174E">
        <w:rPr>
          <w:rFonts w:eastAsiaTheme="minorHAnsi"/>
          <w:sz w:val="26"/>
          <w:szCs w:val="26"/>
        </w:rPr>
        <w:t xml:space="preserve">.  </w:t>
      </w:r>
    </w:p>
    <w:p w14:paraId="35F28365" w14:textId="77777777" w:rsidR="00455B4B" w:rsidRPr="00E9174E" w:rsidRDefault="00455B4B" w:rsidP="00E9174E">
      <w:pPr>
        <w:widowControl/>
        <w:spacing w:line="360" w:lineRule="auto"/>
        <w:contextualSpacing/>
        <w:rPr>
          <w:rFonts w:eastAsiaTheme="minorHAnsi"/>
          <w:sz w:val="26"/>
          <w:szCs w:val="26"/>
        </w:rPr>
      </w:pPr>
    </w:p>
    <w:p w14:paraId="33A78CCA" w14:textId="77777777" w:rsidR="00455B4B" w:rsidRPr="00E9174E" w:rsidRDefault="00455B4B" w:rsidP="00E9174E">
      <w:pPr>
        <w:widowControl/>
        <w:spacing w:line="360" w:lineRule="auto"/>
        <w:ind w:firstLine="1440"/>
        <w:contextualSpacing/>
        <w:rPr>
          <w:rFonts w:eastAsiaTheme="minorHAnsi"/>
          <w:sz w:val="26"/>
          <w:szCs w:val="26"/>
        </w:rPr>
      </w:pPr>
      <w:r w:rsidRPr="00E9174E">
        <w:rPr>
          <w:rFonts w:eastAsiaTheme="minorHAnsi"/>
          <w:sz w:val="26"/>
          <w:szCs w:val="26"/>
        </w:rPr>
        <w:t>CAUSE-PA asserted that Columbia’s low-income consumers cannot afford to wait nearly five years for Columbia to correct current</w:t>
      </w:r>
      <w:r w:rsidRPr="00E9174E">
        <w:rPr>
          <w:rFonts w:eastAsiaTheme="minorHAnsi"/>
          <w:i/>
          <w:iCs/>
          <w:sz w:val="26"/>
          <w:szCs w:val="26"/>
        </w:rPr>
        <w:t xml:space="preserve"> </w:t>
      </w:r>
      <w:r w:rsidRPr="00E9174E">
        <w:rPr>
          <w:rFonts w:eastAsiaTheme="minorHAnsi"/>
          <w:sz w:val="26"/>
          <w:szCs w:val="26"/>
        </w:rPr>
        <w:t xml:space="preserve">unaffordable CAP rates.  As the Commission extended the USECP filing schedule, Columbia’s next USECP filing was pushed out to April 1, 2024, which CAUSE-PA contended is far beyond the time period contemplated by the Parties at the time of the settlement in </w:t>
      </w:r>
      <w:r w:rsidRPr="00E9174E">
        <w:rPr>
          <w:rFonts w:eastAsiaTheme="minorHAnsi"/>
          <w:i/>
          <w:iCs/>
          <w:sz w:val="26"/>
          <w:szCs w:val="26"/>
        </w:rPr>
        <w:t>Pa. PUC v. Columbia Gas of Pennsylvania, Inc.</w:t>
      </w:r>
      <w:r w:rsidRPr="00E9174E">
        <w:rPr>
          <w:rFonts w:eastAsiaTheme="minorHAnsi"/>
          <w:sz w:val="26"/>
          <w:szCs w:val="26"/>
        </w:rPr>
        <w:t xml:space="preserve">, Docket No. R-2018-2647577 (Order entered December 6, 2018) (2018 Settlement).  CAUSE-PA argued that the combination of the existing need identified in the Energy Affordability Study, which was issued in January 2019, compounded by the COVID-19 pandemic and Columbia’s proposed rate increase, calls for immediate action.  CAUSE-PA M.B. at 15.  </w:t>
      </w:r>
    </w:p>
    <w:p w14:paraId="3DD0E5B8" w14:textId="77777777" w:rsidR="00455B4B" w:rsidRPr="00E9174E" w:rsidRDefault="00455B4B" w:rsidP="00E9174E">
      <w:pPr>
        <w:widowControl/>
        <w:spacing w:line="360" w:lineRule="auto"/>
        <w:contextualSpacing/>
        <w:rPr>
          <w:rFonts w:eastAsiaTheme="minorHAnsi"/>
          <w:sz w:val="26"/>
          <w:szCs w:val="26"/>
        </w:rPr>
      </w:pPr>
    </w:p>
    <w:p w14:paraId="12099080" w14:textId="6C726719" w:rsidR="00455B4B" w:rsidRPr="00E9174E" w:rsidRDefault="00455B4B" w:rsidP="00E9174E">
      <w:pPr>
        <w:widowControl/>
        <w:spacing w:line="360" w:lineRule="auto"/>
        <w:ind w:firstLine="1440"/>
        <w:contextualSpacing/>
        <w:rPr>
          <w:rFonts w:eastAsiaTheme="minorHAnsi"/>
          <w:b/>
          <w:bCs/>
          <w:sz w:val="26"/>
          <w:szCs w:val="26"/>
        </w:rPr>
      </w:pPr>
      <w:r w:rsidRPr="00E9174E">
        <w:rPr>
          <w:rFonts w:eastAsiaTheme="minorHAnsi"/>
          <w:sz w:val="26"/>
          <w:szCs w:val="26"/>
        </w:rPr>
        <w:t xml:space="preserve">In response, Columbia averred that CAUSE-PA’s recommendation to modify the energy burden for the PIP Plan customers would not be in the customers’ best interests at this time, because Columbia is implementing costly programming changes related to its recently approved USECP and changing program guidelines before the program is fully implemented is not cost effective.  Columbia argued that a decision to change a part of its CAP based on energy burdens should be addressed in its USECP proceeding and not in a base rate proceeding.  According to Columbia, the energy burdens of customers on PIP Plans should not be considered separately from other parts of the Company’s CAP and universal service programs but, rather, should be considered as part of the Company’s entire universal service plan, including the need for changes and associated costs.  CG M.B. at 107.  The Company further noted that other forms of energy assistance are available to help customers afford their utility bills, without </w:t>
      </w:r>
      <w:r w:rsidRPr="00E9174E">
        <w:rPr>
          <w:rFonts w:eastAsiaTheme="minorHAnsi"/>
          <w:sz w:val="26"/>
          <w:szCs w:val="26"/>
        </w:rPr>
        <w:lastRenderedPageBreak/>
        <w:t>changing the current CAP requirements, and other CAP payment plans are available that would reduce a customer’s energy burden.  CG M.B. at 106 (citing CG St. 13-R at 16-17).  Moreover, in response to CAUSE-PA’s argument that Columbia failed to comply with the commitments made in the 2018 Settlement, Columbia stated that the Energy Burden Study</w:t>
      </w:r>
      <w:r w:rsidR="00876259" w:rsidRPr="00E9174E">
        <w:rPr>
          <w:rStyle w:val="FootnoteReference"/>
          <w:rFonts w:eastAsiaTheme="minorHAnsi"/>
          <w:sz w:val="26"/>
          <w:szCs w:val="26"/>
        </w:rPr>
        <w:footnoteReference w:id="45"/>
      </w:r>
      <w:r w:rsidRPr="00E9174E">
        <w:rPr>
          <w:rFonts w:eastAsiaTheme="minorHAnsi"/>
          <w:sz w:val="26"/>
          <w:szCs w:val="26"/>
        </w:rPr>
        <w:t xml:space="preserve"> did not direct an earlier filing than Columbia’s next USECP filing and Columbia has not yet filed a USECP following the Commission’s Energy Burden Study.  CG M.B. at 107. </w:t>
      </w:r>
    </w:p>
    <w:p w14:paraId="13F92B03" w14:textId="77777777" w:rsidR="00455B4B" w:rsidRPr="00E9174E" w:rsidRDefault="00455B4B" w:rsidP="00E9174E">
      <w:pPr>
        <w:widowControl/>
        <w:spacing w:line="360" w:lineRule="auto"/>
        <w:contextualSpacing/>
        <w:rPr>
          <w:rFonts w:eastAsiaTheme="minorHAnsi"/>
          <w:b/>
          <w:bCs/>
          <w:sz w:val="26"/>
          <w:szCs w:val="26"/>
        </w:rPr>
      </w:pPr>
    </w:p>
    <w:p w14:paraId="58F3C185" w14:textId="6158FC11" w:rsidR="00455B4B" w:rsidRPr="006C7826" w:rsidRDefault="00455B4B" w:rsidP="00F94A24">
      <w:pPr>
        <w:pStyle w:val="Heading2"/>
        <w:numPr>
          <w:ilvl w:val="0"/>
          <w:numId w:val="87"/>
        </w:numPr>
        <w:ind w:hanging="720"/>
      </w:pPr>
      <w:bookmarkStart w:id="337" w:name="_Toc63764565"/>
      <w:r w:rsidRPr="00E9174E">
        <w:t>Recommended</w:t>
      </w:r>
      <w:r w:rsidRPr="006C7826">
        <w:t xml:space="preserve"> Decision</w:t>
      </w:r>
      <w:bookmarkEnd w:id="337"/>
      <w:r w:rsidRPr="006C7826">
        <w:t xml:space="preserve"> </w:t>
      </w:r>
    </w:p>
    <w:p w14:paraId="1A53E455" w14:textId="1131A488" w:rsidR="00455B4B" w:rsidRPr="00E9174E" w:rsidRDefault="00455B4B" w:rsidP="00E9174E">
      <w:pPr>
        <w:keepNext/>
        <w:keepLines/>
        <w:widowControl/>
        <w:spacing w:line="360" w:lineRule="auto"/>
        <w:contextualSpacing/>
        <w:rPr>
          <w:rFonts w:eastAsiaTheme="minorHAnsi"/>
          <w:sz w:val="26"/>
          <w:szCs w:val="26"/>
        </w:rPr>
      </w:pPr>
    </w:p>
    <w:p w14:paraId="1F6B62A1" w14:textId="3FD51AE9" w:rsidR="00455B4B" w:rsidRPr="00E9174E" w:rsidRDefault="00455B4B" w:rsidP="00E9174E">
      <w:pPr>
        <w:widowControl/>
        <w:spacing w:line="360" w:lineRule="auto"/>
        <w:ind w:firstLine="1440"/>
        <w:contextualSpacing/>
        <w:rPr>
          <w:rFonts w:eastAsiaTheme="minorHAnsi"/>
          <w:sz w:val="26"/>
          <w:szCs w:val="26"/>
        </w:rPr>
      </w:pPr>
      <w:r w:rsidRPr="00E9174E">
        <w:rPr>
          <w:rFonts w:eastAsiaTheme="minorHAnsi"/>
          <w:sz w:val="26"/>
          <w:szCs w:val="26"/>
        </w:rPr>
        <w:t xml:space="preserve">The ALJ determined that the energy burdens for Columbia’s CAP program should not be changed in this base rate proceeding.  R.D. at 238.  The ALJ found that the Commission anticipated utilities would address the energy burdens in their USECPs and not in their base rate proceedings.  </w:t>
      </w:r>
      <w:r w:rsidRPr="00E9174E">
        <w:rPr>
          <w:rFonts w:eastAsiaTheme="minorHAnsi"/>
          <w:i/>
          <w:iCs/>
          <w:sz w:val="26"/>
          <w:szCs w:val="26"/>
        </w:rPr>
        <w:t>Id</w:t>
      </w:r>
      <w:r w:rsidRPr="00E9174E">
        <w:rPr>
          <w:rFonts w:eastAsiaTheme="minorHAnsi"/>
          <w:sz w:val="26"/>
          <w:szCs w:val="26"/>
        </w:rPr>
        <w:t xml:space="preserve">. (citing </w:t>
      </w:r>
      <w:r w:rsidRPr="00E9174E">
        <w:rPr>
          <w:rFonts w:eastAsiaTheme="minorHAnsi"/>
          <w:i/>
          <w:iCs/>
          <w:sz w:val="26"/>
          <w:szCs w:val="26"/>
        </w:rPr>
        <w:t>Final CAP Policy Statement Order</w:t>
      </w:r>
      <w:r w:rsidRPr="00E9174E">
        <w:rPr>
          <w:rFonts w:eastAsiaTheme="minorHAnsi"/>
          <w:sz w:val="26"/>
          <w:szCs w:val="26"/>
        </w:rPr>
        <w:t xml:space="preserve"> at 2).  As such, the ALJ agreed with Columbia that the appropriate level of the percentage of income burden should be determined in the Company’s USECP proceeding and not in this proceeding.  R.D. at 238 (citing Columbia St. 13-R at 15-16).  </w:t>
      </w:r>
    </w:p>
    <w:p w14:paraId="75B3747B" w14:textId="77777777" w:rsidR="00455B4B" w:rsidRPr="00E9174E" w:rsidRDefault="00455B4B" w:rsidP="00E9174E">
      <w:pPr>
        <w:widowControl/>
        <w:spacing w:line="360" w:lineRule="auto"/>
        <w:contextualSpacing/>
        <w:rPr>
          <w:rFonts w:eastAsiaTheme="minorHAnsi"/>
          <w:sz w:val="26"/>
          <w:szCs w:val="26"/>
        </w:rPr>
      </w:pPr>
    </w:p>
    <w:p w14:paraId="00888328" w14:textId="7BEA0C3C" w:rsidR="00455B4B" w:rsidRPr="00E9174E" w:rsidRDefault="00455B4B" w:rsidP="00E9174E">
      <w:pPr>
        <w:widowControl/>
        <w:spacing w:line="360" w:lineRule="auto"/>
        <w:ind w:firstLine="1440"/>
        <w:contextualSpacing/>
        <w:rPr>
          <w:rFonts w:eastAsiaTheme="minorHAnsi"/>
          <w:sz w:val="26"/>
          <w:szCs w:val="26"/>
        </w:rPr>
      </w:pPr>
      <w:r w:rsidRPr="00E9174E">
        <w:rPr>
          <w:rFonts w:eastAsiaTheme="minorHAnsi"/>
          <w:sz w:val="26"/>
          <w:szCs w:val="26"/>
        </w:rPr>
        <w:t xml:space="preserve">Nevertheless, the ALJ noted that Columbia’s behavior regarding the energy burden levels is disturbing.  The ALJ pointed out that CAUSE-PA stated that Columbia’s most recent USECP was approved in January 2020, and the Company asserted that additional changes should wait until the Company’s next USECP filing.  R.D. at 238 (citing CAUSE-PA M.B. at 107; OCA M.B. at 119-122).  Yet, in the 2018 Settlement, the Company agreed to adjust its CAP energy burdens to comply with the recommended maximum CAP energy burdens once the Energy Affordability Study was released and to </w:t>
      </w:r>
      <w:r w:rsidRPr="00E9174E">
        <w:rPr>
          <w:rFonts w:eastAsiaTheme="minorHAnsi"/>
          <w:sz w:val="26"/>
          <w:szCs w:val="26"/>
        </w:rPr>
        <w:lastRenderedPageBreak/>
        <w:t xml:space="preserve">make the Commission’s recommended changes by its next USECP proceeding </w:t>
      </w:r>
      <w:r w:rsidRPr="00E9174E">
        <w:rPr>
          <w:rFonts w:eastAsiaTheme="minorHAnsi"/>
          <w:bCs/>
          <w:sz w:val="26"/>
          <w:szCs w:val="26"/>
        </w:rPr>
        <w:t>“or earlier date dictated by the Commission’s Energy Burden Study (</w:t>
      </w:r>
      <w:r w:rsidRPr="00E9174E">
        <w:rPr>
          <w:rFonts w:eastAsiaTheme="minorHAnsi"/>
          <w:bCs/>
          <w:sz w:val="26"/>
          <w:szCs w:val="26"/>
          <w:u w:val="single"/>
        </w:rPr>
        <w:t>whichever is sooner</w:t>
      </w:r>
      <w:r w:rsidRPr="00E9174E">
        <w:rPr>
          <w:rFonts w:eastAsiaTheme="minorHAnsi"/>
          <w:bCs/>
          <w:sz w:val="26"/>
          <w:szCs w:val="26"/>
        </w:rPr>
        <w:t>).”</w:t>
      </w:r>
      <w:r w:rsidRPr="00E9174E">
        <w:rPr>
          <w:rFonts w:eastAsiaTheme="minorHAnsi"/>
          <w:b/>
          <w:sz w:val="26"/>
          <w:szCs w:val="26"/>
        </w:rPr>
        <w:t xml:space="preserve">  </w:t>
      </w:r>
      <w:r w:rsidRPr="00E9174E">
        <w:rPr>
          <w:rFonts w:eastAsiaTheme="minorHAnsi"/>
          <w:sz w:val="26"/>
          <w:szCs w:val="26"/>
        </w:rPr>
        <w:t>R.D. at 238-39 (citing CAUSE-PA St. 1 at 13) (quoting 2018 Settlement, ¶ 57)</w:t>
      </w:r>
      <w:r w:rsidR="005D09B4" w:rsidRPr="00E9174E">
        <w:rPr>
          <w:rFonts w:eastAsiaTheme="minorHAnsi"/>
          <w:sz w:val="26"/>
          <w:szCs w:val="26"/>
        </w:rPr>
        <w:t xml:space="preserve"> (emphasis added</w:t>
      </w:r>
      <w:r w:rsidR="00D3057C" w:rsidRPr="00E9174E">
        <w:rPr>
          <w:rFonts w:eastAsiaTheme="minorHAnsi"/>
          <w:sz w:val="26"/>
          <w:szCs w:val="26"/>
        </w:rPr>
        <w:t>)</w:t>
      </w:r>
      <w:r w:rsidRPr="00E9174E">
        <w:rPr>
          <w:rFonts w:eastAsiaTheme="minorHAnsi"/>
          <w:sz w:val="26"/>
          <w:szCs w:val="26"/>
        </w:rPr>
        <w:t>.</w:t>
      </w:r>
    </w:p>
    <w:p w14:paraId="101C3B60" w14:textId="77777777" w:rsidR="00455B4B" w:rsidRPr="00E9174E" w:rsidRDefault="00455B4B" w:rsidP="00E9174E">
      <w:pPr>
        <w:widowControl/>
        <w:spacing w:line="360" w:lineRule="auto"/>
        <w:contextualSpacing/>
        <w:rPr>
          <w:rFonts w:eastAsiaTheme="minorHAnsi"/>
          <w:sz w:val="26"/>
          <w:szCs w:val="26"/>
        </w:rPr>
      </w:pPr>
    </w:p>
    <w:p w14:paraId="261E7AF0" w14:textId="1D2A01E5" w:rsidR="00455B4B" w:rsidRPr="00E9174E" w:rsidRDefault="00455B4B" w:rsidP="00E9174E">
      <w:pPr>
        <w:widowControl/>
        <w:spacing w:line="360" w:lineRule="auto"/>
        <w:ind w:firstLine="1440"/>
        <w:contextualSpacing/>
        <w:rPr>
          <w:rFonts w:eastAsia="Calibri"/>
          <w:sz w:val="26"/>
          <w:szCs w:val="26"/>
        </w:rPr>
      </w:pPr>
      <w:r w:rsidRPr="00E9174E">
        <w:rPr>
          <w:rFonts w:eastAsiaTheme="minorHAnsi"/>
          <w:sz w:val="26"/>
          <w:szCs w:val="26"/>
        </w:rPr>
        <w:t xml:space="preserve">The ALJ observed that as a result of the Energy Burden Study, the Commission reduced the applicable energy burdens and standards and required each utility to make a filing indicating the extent to which each utility intended to comply with the new standards.  R.D. at 239.  The ALJ stated that CAUSE-PA pointed out that every natural gas company voluntarily complied, </w:t>
      </w:r>
      <w:r w:rsidRPr="00E9174E">
        <w:rPr>
          <w:rFonts w:eastAsiaTheme="minorHAnsi"/>
          <w:iCs/>
          <w:sz w:val="26"/>
          <w:szCs w:val="26"/>
        </w:rPr>
        <w:t>except for Columbia,</w:t>
      </w:r>
      <w:r w:rsidRPr="00E9174E">
        <w:rPr>
          <w:rFonts w:eastAsiaTheme="minorHAnsi"/>
          <w:sz w:val="26"/>
          <w:szCs w:val="26"/>
        </w:rPr>
        <w:t xml:space="preserve"> even though Columbia settled its last base rate proceeding agreeing to do the same thing.  </w:t>
      </w:r>
      <w:r w:rsidRPr="00E9174E">
        <w:rPr>
          <w:rFonts w:eastAsiaTheme="minorHAnsi"/>
          <w:i/>
          <w:iCs/>
          <w:sz w:val="26"/>
          <w:szCs w:val="26"/>
        </w:rPr>
        <w:t>Id</w:t>
      </w:r>
      <w:r w:rsidRPr="00E9174E">
        <w:rPr>
          <w:rFonts w:eastAsiaTheme="minorHAnsi"/>
          <w:sz w:val="26"/>
          <w:szCs w:val="26"/>
        </w:rPr>
        <w:t>. (citing CAUSE-PA M.B. at 14).  The ALJ recommended that if the Commission grants Columbia’s request to consider all the elements in its base rate increase request, the Commission should require Columbia to present evidence in its next USECP proceeding explaining why its energy burden exceeded the Commission’s guidance of 4% and to present a plan or process for reducing the energy burden</w:t>
      </w:r>
      <w:r w:rsidRPr="00E9174E">
        <w:rPr>
          <w:rFonts w:eastAsia="Calibri"/>
          <w:sz w:val="26"/>
          <w:szCs w:val="26"/>
        </w:rPr>
        <w:t xml:space="preserve">.  </w:t>
      </w:r>
      <w:r w:rsidRPr="00E9174E">
        <w:rPr>
          <w:rFonts w:eastAsia="Calibri"/>
          <w:i/>
          <w:iCs/>
          <w:sz w:val="26"/>
          <w:szCs w:val="26"/>
        </w:rPr>
        <w:t>Id</w:t>
      </w:r>
      <w:r w:rsidRPr="00E9174E">
        <w:rPr>
          <w:rFonts w:eastAsia="Calibri"/>
          <w:sz w:val="26"/>
          <w:szCs w:val="26"/>
        </w:rPr>
        <w:t xml:space="preserve">. at 239-240.  </w:t>
      </w:r>
    </w:p>
    <w:p w14:paraId="7A5F1CD7" w14:textId="77777777" w:rsidR="00455B4B" w:rsidRPr="00E9174E" w:rsidRDefault="00455B4B" w:rsidP="00E9174E">
      <w:pPr>
        <w:widowControl/>
        <w:spacing w:line="360" w:lineRule="auto"/>
        <w:contextualSpacing/>
        <w:jc w:val="both"/>
        <w:rPr>
          <w:rFonts w:eastAsiaTheme="minorHAnsi"/>
          <w:sz w:val="26"/>
          <w:szCs w:val="26"/>
        </w:rPr>
      </w:pPr>
    </w:p>
    <w:p w14:paraId="2DE26FE3" w14:textId="08F5CDE8" w:rsidR="00455B4B" w:rsidRPr="00E9174E" w:rsidRDefault="00455B4B" w:rsidP="00F94A24">
      <w:pPr>
        <w:pStyle w:val="Heading2"/>
        <w:numPr>
          <w:ilvl w:val="0"/>
          <w:numId w:val="87"/>
        </w:numPr>
        <w:ind w:hanging="720"/>
      </w:pPr>
      <w:bookmarkStart w:id="338" w:name="_Toc63764566"/>
      <w:r w:rsidRPr="00E9174E">
        <w:t>CAUSE-PA Exception No. 1 and Replies</w:t>
      </w:r>
      <w:bookmarkEnd w:id="338"/>
      <w:r w:rsidRPr="00E9174E">
        <w:t xml:space="preserve"> </w:t>
      </w:r>
    </w:p>
    <w:p w14:paraId="62EB186D" w14:textId="77777777" w:rsidR="00455B4B" w:rsidRPr="00E9174E" w:rsidRDefault="00455B4B" w:rsidP="00E9174E">
      <w:pPr>
        <w:keepNext/>
        <w:keepLines/>
        <w:widowControl/>
        <w:tabs>
          <w:tab w:val="left" w:pos="360"/>
        </w:tabs>
        <w:spacing w:line="360" w:lineRule="auto"/>
        <w:contextualSpacing/>
        <w:rPr>
          <w:rFonts w:eastAsiaTheme="minorHAnsi"/>
          <w:sz w:val="26"/>
          <w:szCs w:val="26"/>
        </w:rPr>
      </w:pPr>
    </w:p>
    <w:p w14:paraId="7014F9F1" w14:textId="1B039BFF" w:rsidR="00455B4B" w:rsidRPr="00E9174E" w:rsidRDefault="00455B4B" w:rsidP="00E9174E">
      <w:pPr>
        <w:widowControl/>
        <w:spacing w:line="360" w:lineRule="auto"/>
        <w:ind w:firstLine="1440"/>
        <w:contextualSpacing/>
        <w:rPr>
          <w:rFonts w:eastAsiaTheme="minorHAnsi"/>
          <w:sz w:val="26"/>
          <w:szCs w:val="26"/>
          <w:u w:val="single"/>
        </w:rPr>
      </w:pPr>
      <w:r w:rsidRPr="00E9174E">
        <w:rPr>
          <w:rFonts w:eastAsiaTheme="minorHAnsi"/>
          <w:sz w:val="26"/>
          <w:szCs w:val="26"/>
        </w:rPr>
        <w:t xml:space="preserve">In CAUSE-PA’s Exception No. 1, CAUSE-PA states that the ALJ erred as a matter of law and established Commission policy by failing to direct Columbia to comply with the terms of its 2018 Settlement in which the Company agreed to adopt the Commission’s recommended CAP energy burdens.  CAUSE-PA Exc. at 4.  CAUSE-PA asserts that as a matter of law and established Commission policy, it would be unjust and unreasonable to approve Columbia’s CAP rates without adjusting Columbia’s applicable energy burden standards in compliance with the Commission’s revised energy burden standards.  </w:t>
      </w:r>
      <w:r w:rsidRPr="00E9174E">
        <w:rPr>
          <w:rFonts w:eastAsiaTheme="minorHAnsi"/>
          <w:i/>
          <w:iCs/>
          <w:sz w:val="26"/>
          <w:szCs w:val="26"/>
        </w:rPr>
        <w:t>Id</w:t>
      </w:r>
      <w:r w:rsidRPr="00E9174E">
        <w:rPr>
          <w:rFonts w:eastAsiaTheme="minorHAnsi"/>
          <w:sz w:val="26"/>
          <w:szCs w:val="26"/>
        </w:rPr>
        <w:t xml:space="preserve">. (citing </w:t>
      </w:r>
      <w:r w:rsidRPr="00E9174E">
        <w:rPr>
          <w:rFonts w:eastAsiaTheme="minorHAnsi"/>
          <w:i/>
          <w:iCs/>
          <w:sz w:val="26"/>
          <w:szCs w:val="26"/>
        </w:rPr>
        <w:t>Popowsky I</w:t>
      </w:r>
      <w:r w:rsidRPr="00E9174E">
        <w:rPr>
          <w:rFonts w:eastAsiaTheme="minorHAnsi"/>
          <w:sz w:val="26"/>
          <w:szCs w:val="26"/>
        </w:rPr>
        <w:t xml:space="preserve">, 665 A.2d at 811; 66 Pa. C.S. § 1301; </w:t>
      </w:r>
      <w:r w:rsidRPr="00E9174E">
        <w:rPr>
          <w:rFonts w:eastAsiaTheme="minorHAnsi"/>
          <w:i/>
          <w:iCs/>
          <w:sz w:val="26"/>
          <w:szCs w:val="26"/>
        </w:rPr>
        <w:t>Final CAP Policy Statement Order</w:t>
      </w:r>
      <w:r w:rsidRPr="00E9174E">
        <w:rPr>
          <w:rFonts w:eastAsiaTheme="minorHAnsi"/>
          <w:sz w:val="26"/>
          <w:szCs w:val="26"/>
        </w:rPr>
        <w:t>).  CAUSE-PA explains that Columbia already agreed to implement the Commission’s recommended maximum CAP energy burdens as part of a comprehensive settlement in its last rate case, which was approved by the Commission,</w:t>
      </w:r>
      <w:r w:rsidRPr="00E9174E">
        <w:rPr>
          <w:rFonts w:eastAsiaTheme="minorHAnsi"/>
          <w:b/>
          <w:sz w:val="26"/>
          <w:szCs w:val="26"/>
        </w:rPr>
        <w:t xml:space="preserve"> </w:t>
      </w:r>
      <w:r w:rsidRPr="00E9174E">
        <w:rPr>
          <w:rFonts w:eastAsiaTheme="minorHAnsi"/>
          <w:sz w:val="26"/>
          <w:szCs w:val="26"/>
        </w:rPr>
        <w:t xml:space="preserve">and now refuses </w:t>
      </w:r>
      <w:r w:rsidRPr="00E9174E">
        <w:rPr>
          <w:rFonts w:eastAsiaTheme="minorHAnsi"/>
          <w:sz w:val="26"/>
          <w:szCs w:val="26"/>
        </w:rPr>
        <w:lastRenderedPageBreak/>
        <w:t xml:space="preserve">to comply.  CAUSE-PA asserts that this is egregious, because Columbia is seeking a $100 million per year rate increase during the worst economic crisis in recent history yet refuses to address longstanding unaffordability within its CAP to ensure that low-income customers can reasonably afford to heat their home.  CAUSE-PA believes that Columbia should be ordered to comply with its agreement and accordingly to adjust its energy burden standards.  CAUSE-PA Exc. at 5.  </w:t>
      </w:r>
    </w:p>
    <w:p w14:paraId="6FC5856A" w14:textId="77777777" w:rsidR="00455B4B" w:rsidRPr="00E9174E" w:rsidRDefault="00455B4B" w:rsidP="00E9174E">
      <w:pPr>
        <w:widowControl/>
        <w:spacing w:line="360" w:lineRule="auto"/>
        <w:contextualSpacing/>
        <w:rPr>
          <w:rFonts w:eastAsiaTheme="minorHAnsi"/>
          <w:sz w:val="26"/>
          <w:szCs w:val="26"/>
        </w:rPr>
      </w:pPr>
    </w:p>
    <w:p w14:paraId="079C1EE2" w14:textId="10F16F4E" w:rsidR="00455B4B" w:rsidRPr="00E9174E" w:rsidRDefault="00455B4B" w:rsidP="00E9174E">
      <w:pPr>
        <w:widowControl/>
        <w:spacing w:line="360" w:lineRule="auto"/>
        <w:ind w:firstLine="1440"/>
        <w:contextualSpacing/>
        <w:rPr>
          <w:rFonts w:eastAsiaTheme="minorHAnsi"/>
          <w:sz w:val="26"/>
          <w:szCs w:val="26"/>
        </w:rPr>
      </w:pPr>
      <w:r w:rsidRPr="00E9174E">
        <w:rPr>
          <w:rFonts w:eastAsiaTheme="minorHAnsi"/>
          <w:sz w:val="26"/>
          <w:szCs w:val="26"/>
        </w:rPr>
        <w:t xml:space="preserve">CAUSE-PA also explains that the Commission’s current maximum CAP energy burdens are the result of a multi-year investigation, which determined that the Commission’s former maximum CAP energy burden standards, currently in effect for Columbia’s CAP customers, are unaffordable.  </w:t>
      </w:r>
      <w:r w:rsidRPr="00E9174E">
        <w:rPr>
          <w:rFonts w:eastAsiaTheme="minorHAnsi"/>
          <w:i/>
          <w:iCs/>
          <w:sz w:val="26"/>
          <w:szCs w:val="26"/>
        </w:rPr>
        <w:t>Id</w:t>
      </w:r>
      <w:r w:rsidRPr="00E9174E">
        <w:rPr>
          <w:rFonts w:eastAsiaTheme="minorHAnsi"/>
          <w:sz w:val="26"/>
          <w:szCs w:val="26"/>
        </w:rPr>
        <w:t xml:space="preserve">.  CAUSE-PA notes that in adopting its revised standards, the Commission stated that its previous standards “do not reflect reasonable or affordable payments for many low-income customers.”  </w:t>
      </w:r>
      <w:r w:rsidRPr="00E9174E">
        <w:rPr>
          <w:rFonts w:eastAsiaTheme="minorHAnsi"/>
          <w:i/>
          <w:iCs/>
          <w:sz w:val="26"/>
          <w:szCs w:val="26"/>
        </w:rPr>
        <w:t>Id</w:t>
      </w:r>
      <w:r w:rsidRPr="00E9174E">
        <w:rPr>
          <w:rFonts w:eastAsiaTheme="minorHAnsi"/>
          <w:sz w:val="26"/>
          <w:szCs w:val="26"/>
        </w:rPr>
        <w:t xml:space="preserve">. (citing </w:t>
      </w:r>
      <w:bookmarkStart w:id="339" w:name="_Hlk61263095"/>
      <w:r w:rsidRPr="00E9174E">
        <w:rPr>
          <w:rFonts w:eastAsiaTheme="minorHAnsi"/>
          <w:i/>
          <w:iCs/>
          <w:sz w:val="26"/>
          <w:szCs w:val="26"/>
        </w:rPr>
        <w:t>Final CAP Policy Statement Order</w:t>
      </w:r>
      <w:r w:rsidRPr="00E9174E">
        <w:rPr>
          <w:rFonts w:eastAsiaTheme="minorHAnsi"/>
          <w:sz w:val="26"/>
          <w:szCs w:val="26"/>
        </w:rPr>
        <w:t xml:space="preserve"> </w:t>
      </w:r>
      <w:bookmarkEnd w:id="339"/>
      <w:r w:rsidRPr="00E9174E">
        <w:rPr>
          <w:rFonts w:eastAsiaTheme="minorHAnsi"/>
          <w:sz w:val="26"/>
          <w:szCs w:val="26"/>
        </w:rPr>
        <w:t xml:space="preserve">at 27).  CAUSE-PA argues that if Columbia’s CAP rates are not reasonable, as the Commission has declared in its </w:t>
      </w:r>
      <w:r w:rsidRPr="00E9174E">
        <w:rPr>
          <w:rFonts w:eastAsiaTheme="minorHAnsi"/>
          <w:i/>
          <w:iCs/>
          <w:sz w:val="26"/>
          <w:szCs w:val="26"/>
        </w:rPr>
        <w:t>Final CAP Policy Statement Order</w:t>
      </w:r>
      <w:r w:rsidRPr="00E9174E">
        <w:rPr>
          <w:rFonts w:eastAsiaTheme="minorHAnsi"/>
          <w:sz w:val="26"/>
          <w:szCs w:val="26"/>
        </w:rPr>
        <w:t xml:space="preserve">, then the rates cannot be approved as just and reasonable in this proceeding.  CAUSE-PA Exc. at 5-6 (citing </w:t>
      </w:r>
      <w:r w:rsidRPr="00E9174E">
        <w:rPr>
          <w:rFonts w:eastAsiaTheme="minorHAnsi"/>
          <w:i/>
          <w:iCs/>
          <w:sz w:val="26"/>
          <w:szCs w:val="26"/>
        </w:rPr>
        <w:t>Popowsky I</w:t>
      </w:r>
      <w:r w:rsidRPr="00E9174E">
        <w:rPr>
          <w:rFonts w:eastAsiaTheme="minorHAnsi"/>
          <w:sz w:val="26"/>
          <w:szCs w:val="26"/>
        </w:rPr>
        <w:t xml:space="preserve"> at 811).  </w:t>
      </w:r>
    </w:p>
    <w:p w14:paraId="0B5982D2" w14:textId="77777777" w:rsidR="00455B4B" w:rsidRPr="00E9174E" w:rsidRDefault="00455B4B" w:rsidP="00E9174E">
      <w:pPr>
        <w:widowControl/>
        <w:spacing w:line="360" w:lineRule="auto"/>
        <w:contextualSpacing/>
        <w:rPr>
          <w:rFonts w:eastAsiaTheme="minorHAnsi"/>
          <w:sz w:val="26"/>
          <w:szCs w:val="26"/>
        </w:rPr>
      </w:pPr>
    </w:p>
    <w:p w14:paraId="03FC670B" w14:textId="1D2BD310" w:rsidR="00455B4B" w:rsidRPr="00E9174E" w:rsidRDefault="00455B4B" w:rsidP="00E9174E">
      <w:pPr>
        <w:widowControl/>
        <w:spacing w:line="360" w:lineRule="auto"/>
        <w:ind w:firstLine="1440"/>
        <w:contextualSpacing/>
        <w:rPr>
          <w:rFonts w:eastAsiaTheme="minorHAnsi"/>
          <w:sz w:val="26"/>
          <w:szCs w:val="26"/>
        </w:rPr>
      </w:pPr>
      <w:r w:rsidRPr="00E9174E">
        <w:rPr>
          <w:rFonts w:eastAsiaTheme="minorHAnsi"/>
          <w:sz w:val="26"/>
          <w:szCs w:val="26"/>
        </w:rPr>
        <w:t xml:space="preserve">CAUSE-PA continues that in addition to concluding that the Commission’s prior energy burden standards are not affordable or reasonable, the Commission has also concluded that the prior energy burden standards “fail to satisfy the statutory objectives of universal service and continue to lead to disproportionate termination numbers.”  CAUSE-PA Exc. at 6 (citing </w:t>
      </w:r>
      <w:r w:rsidRPr="00E9174E">
        <w:rPr>
          <w:rFonts w:eastAsiaTheme="minorHAnsi"/>
          <w:i/>
          <w:iCs/>
          <w:sz w:val="26"/>
          <w:szCs w:val="26"/>
        </w:rPr>
        <w:t xml:space="preserve">Final CAP Policy Statement Order </w:t>
      </w:r>
      <w:r w:rsidRPr="00E9174E">
        <w:rPr>
          <w:rFonts w:eastAsiaTheme="minorHAnsi"/>
          <w:sz w:val="26"/>
          <w:szCs w:val="26"/>
        </w:rPr>
        <w:t xml:space="preserve">at 30-31).  </w:t>
      </w:r>
      <w:bookmarkStart w:id="340" w:name="_Hlk53703003"/>
      <w:r w:rsidRPr="00E9174E">
        <w:rPr>
          <w:rFonts w:eastAsiaTheme="minorHAnsi"/>
          <w:sz w:val="26"/>
          <w:szCs w:val="26"/>
        </w:rPr>
        <w:t xml:space="preserve">CAUSE-PA notes some of the testimony of its witness, Mr. </w:t>
      </w:r>
      <w:r w:rsidR="00F10289" w:rsidRPr="00E9174E">
        <w:rPr>
          <w:rFonts w:eastAsiaTheme="minorHAnsi"/>
          <w:sz w:val="26"/>
          <w:szCs w:val="26"/>
        </w:rPr>
        <w:t xml:space="preserve">Mitchell </w:t>
      </w:r>
      <w:r w:rsidRPr="00E9174E">
        <w:rPr>
          <w:rFonts w:eastAsiaTheme="minorHAnsi"/>
          <w:sz w:val="26"/>
          <w:szCs w:val="26"/>
        </w:rPr>
        <w:t xml:space="preserve">Miller, who explained that low-income customers, including CAP customers, have higher termination rates than average residential customers and carry a disproportionate level of debt, which has been exacerbated by the ongoing economic crisis.  CAUSE-PA Exc. at 6.  In testimony, Mr. Miller explained that, even with financial assistance, many low-income households are forced to forego other necessities or keep their home at unsafe temperatures.  </w:t>
      </w:r>
      <w:r w:rsidRPr="00E9174E">
        <w:rPr>
          <w:rFonts w:eastAsiaTheme="minorHAnsi"/>
          <w:i/>
          <w:iCs/>
          <w:sz w:val="26"/>
          <w:szCs w:val="26"/>
        </w:rPr>
        <w:t>Id</w:t>
      </w:r>
      <w:r w:rsidRPr="00E9174E">
        <w:rPr>
          <w:rFonts w:eastAsiaTheme="minorHAnsi"/>
          <w:sz w:val="26"/>
          <w:szCs w:val="26"/>
        </w:rPr>
        <w:t xml:space="preserve">. (citing </w:t>
      </w:r>
      <w:r w:rsidRPr="00E9174E">
        <w:rPr>
          <w:rFonts w:eastAsiaTheme="minorHAnsi"/>
          <w:sz w:val="26"/>
          <w:szCs w:val="26"/>
        </w:rPr>
        <w:lastRenderedPageBreak/>
        <w:t>CAUSE-PA St. 1 at 25.)</w:t>
      </w:r>
      <w:r w:rsidR="00EE6A33" w:rsidRPr="00E9174E">
        <w:rPr>
          <w:rFonts w:eastAsiaTheme="minorHAnsi"/>
          <w:sz w:val="26"/>
          <w:szCs w:val="26"/>
        </w:rPr>
        <w:t>.</w:t>
      </w:r>
      <w:r w:rsidRPr="00E9174E">
        <w:rPr>
          <w:rFonts w:eastAsiaTheme="minorHAnsi"/>
          <w:sz w:val="26"/>
          <w:szCs w:val="26"/>
        </w:rPr>
        <w:t xml:space="preserve"> </w:t>
      </w:r>
      <w:bookmarkEnd w:id="340"/>
      <w:r w:rsidRPr="00E9174E">
        <w:rPr>
          <w:rFonts w:eastAsiaTheme="minorHAnsi"/>
          <w:sz w:val="26"/>
          <w:szCs w:val="26"/>
        </w:rPr>
        <w:t xml:space="preserve"> Mr. Miller also explained the effects of energy insecurity and, consequently the importance of providing affordable bills to low-income customers, as follows: </w:t>
      </w:r>
    </w:p>
    <w:p w14:paraId="0509BFAE" w14:textId="77777777" w:rsidR="00455B4B" w:rsidRPr="00E9174E" w:rsidRDefault="00455B4B" w:rsidP="002F6F81">
      <w:pPr>
        <w:widowControl/>
        <w:contextualSpacing/>
        <w:rPr>
          <w:rFonts w:eastAsiaTheme="minorHAnsi"/>
          <w:sz w:val="26"/>
          <w:szCs w:val="26"/>
        </w:rPr>
      </w:pPr>
    </w:p>
    <w:p w14:paraId="620B2FE7" w14:textId="77777777" w:rsidR="00455B4B" w:rsidRPr="00E9174E" w:rsidRDefault="00455B4B" w:rsidP="00E9174E">
      <w:pPr>
        <w:widowControl/>
        <w:tabs>
          <w:tab w:val="left" w:pos="7920"/>
        </w:tabs>
        <w:ind w:left="1440" w:right="1440"/>
        <w:contextualSpacing/>
        <w:rPr>
          <w:rFonts w:eastAsiaTheme="minorHAnsi"/>
          <w:sz w:val="26"/>
          <w:szCs w:val="26"/>
        </w:rPr>
      </w:pPr>
      <w:bookmarkStart w:id="341" w:name="_Hlk53703447"/>
      <w:r w:rsidRPr="00E9174E">
        <w:rPr>
          <w:rFonts w:eastAsiaTheme="minorHAnsi"/>
          <w:sz w:val="26"/>
          <w:szCs w:val="26"/>
        </w:rPr>
        <w:t xml:space="preserve">The overwhelming energy burden on low-income households makes it difficult to pay for other basic necessities such as housing, food, and medicine; threatens stable and continued employment and education; has substantial and long-term impacts on mental and physical health; creates serious risks to the household and the larger community; and negatively impacts the greater economy. </w:t>
      </w:r>
    </w:p>
    <w:bookmarkEnd w:id="341"/>
    <w:p w14:paraId="6239ABE0" w14:textId="77777777" w:rsidR="00455B4B" w:rsidRPr="00E9174E" w:rsidRDefault="00455B4B" w:rsidP="00E9174E">
      <w:pPr>
        <w:widowControl/>
        <w:spacing w:line="360" w:lineRule="auto"/>
        <w:contextualSpacing/>
        <w:rPr>
          <w:rFonts w:eastAsiaTheme="minorHAnsi"/>
          <w:sz w:val="26"/>
          <w:szCs w:val="26"/>
        </w:rPr>
      </w:pPr>
    </w:p>
    <w:p w14:paraId="59838CFC" w14:textId="77777777" w:rsidR="00455B4B" w:rsidRPr="00E9174E" w:rsidRDefault="00455B4B" w:rsidP="00E9174E">
      <w:pPr>
        <w:widowControl/>
        <w:spacing w:line="360" w:lineRule="auto"/>
        <w:contextualSpacing/>
        <w:rPr>
          <w:rFonts w:eastAsiaTheme="minorHAnsi"/>
          <w:sz w:val="26"/>
          <w:szCs w:val="26"/>
        </w:rPr>
      </w:pPr>
      <w:r w:rsidRPr="00E9174E">
        <w:rPr>
          <w:rFonts w:eastAsiaTheme="minorHAnsi"/>
          <w:sz w:val="26"/>
          <w:szCs w:val="26"/>
        </w:rPr>
        <w:t xml:space="preserve">CAUSE-PA Exc. at 6 (citing CAUSE-PA St. 1 at 16-17).  As </w:t>
      </w:r>
      <w:bookmarkStart w:id="342" w:name="_Hlk53703582"/>
      <w:r w:rsidRPr="00E9174E">
        <w:rPr>
          <w:rFonts w:eastAsiaTheme="minorHAnsi"/>
          <w:sz w:val="26"/>
          <w:szCs w:val="26"/>
        </w:rPr>
        <w:t>Mr. Miller testified, helping low-income customers better afford service will ensure they are able to have heat and hot water to wash properly, sanitize, and remain in their homes to help avoid the spread of COVID-19.  CAUSE-PA Exc. at 7 (citing CAUSE-PA St. 1 at 40-41).</w:t>
      </w:r>
      <w:bookmarkEnd w:id="342"/>
      <w:r w:rsidRPr="00E9174E">
        <w:rPr>
          <w:rFonts w:eastAsiaTheme="minorHAnsi"/>
          <w:sz w:val="26"/>
          <w:szCs w:val="26"/>
        </w:rPr>
        <w:t xml:space="preserve">  Accordingly, CAUSE-PA asserts that allowing Columbia to charge CAP rates that violate the statutory objectives of universal service and lead to disproportionate terminations is not an acceptable outcome.  CAUSE-PA Exc. at 7.   </w:t>
      </w:r>
    </w:p>
    <w:p w14:paraId="26C48CDE" w14:textId="77777777" w:rsidR="00455B4B" w:rsidRPr="00E9174E" w:rsidRDefault="00455B4B" w:rsidP="00E9174E">
      <w:pPr>
        <w:widowControl/>
        <w:spacing w:line="360" w:lineRule="auto"/>
        <w:contextualSpacing/>
        <w:rPr>
          <w:rFonts w:eastAsiaTheme="minorHAnsi"/>
          <w:sz w:val="26"/>
          <w:szCs w:val="26"/>
        </w:rPr>
      </w:pPr>
    </w:p>
    <w:p w14:paraId="5D5CFB03" w14:textId="312071FF" w:rsidR="00455B4B" w:rsidRPr="00E9174E" w:rsidRDefault="00455B4B" w:rsidP="00E9174E">
      <w:pPr>
        <w:widowControl/>
        <w:spacing w:line="360" w:lineRule="auto"/>
        <w:ind w:firstLine="1440"/>
        <w:contextualSpacing/>
        <w:rPr>
          <w:rFonts w:eastAsiaTheme="minorHAnsi"/>
          <w:sz w:val="26"/>
          <w:szCs w:val="26"/>
        </w:rPr>
      </w:pPr>
      <w:r w:rsidRPr="00E9174E">
        <w:rPr>
          <w:rFonts w:eastAsiaTheme="minorHAnsi"/>
          <w:sz w:val="26"/>
          <w:szCs w:val="26"/>
        </w:rPr>
        <w:t xml:space="preserve">CAUSE-PA finds it significant that the undisputed evidence in this proceeding shows that the cost of adopting the Commission’s maximum energy burden standards would amount to just 22 cents per month or $2.67 per year for other residential customers.  CAUSE-PA Exc. at 7 (citing CAUSE-PA St. 1 at 26-27).  CAUSE-PA asserts that this is a small price to pay for the potentially vast resulting benefit of ensuring that economically vulnerable households can reasonably afford to maintain critical natural gas services to their home and will not impose an insurmountable burden on non-low-income households.  CAUSE-PA Exc. at 7.  CAUSE-PA emphasizes that the Commission has already agreed that the cost to reduce CAP energy burden standards “will not significantly increase CAP costs for most utilities.”  </w:t>
      </w:r>
      <w:r w:rsidRPr="00E9174E">
        <w:rPr>
          <w:rFonts w:eastAsiaTheme="minorHAnsi"/>
          <w:i/>
          <w:iCs/>
          <w:sz w:val="26"/>
          <w:szCs w:val="26"/>
        </w:rPr>
        <w:t>Id</w:t>
      </w:r>
      <w:r w:rsidRPr="00E9174E">
        <w:rPr>
          <w:rFonts w:eastAsiaTheme="minorHAnsi"/>
          <w:sz w:val="26"/>
          <w:szCs w:val="26"/>
        </w:rPr>
        <w:t xml:space="preserve">. (citing </w:t>
      </w:r>
      <w:r w:rsidRPr="00E9174E">
        <w:rPr>
          <w:rFonts w:eastAsiaTheme="minorHAnsi"/>
          <w:i/>
          <w:iCs/>
          <w:sz w:val="26"/>
          <w:szCs w:val="26"/>
        </w:rPr>
        <w:t>Final CAP Policy Statement Order</w:t>
      </w:r>
      <w:r w:rsidRPr="00E9174E">
        <w:rPr>
          <w:rFonts w:eastAsiaTheme="minorHAnsi"/>
          <w:sz w:val="26"/>
          <w:szCs w:val="26"/>
        </w:rPr>
        <w:t xml:space="preserve"> at 29).  </w:t>
      </w:r>
    </w:p>
    <w:p w14:paraId="53167E2D" w14:textId="33D0AD82" w:rsidR="00455B4B" w:rsidRPr="00E9174E" w:rsidRDefault="00455B4B" w:rsidP="00E9174E">
      <w:pPr>
        <w:widowControl/>
        <w:spacing w:line="360" w:lineRule="auto"/>
        <w:ind w:firstLine="1440"/>
        <w:contextualSpacing/>
        <w:rPr>
          <w:rFonts w:eastAsiaTheme="minorHAnsi"/>
          <w:sz w:val="26"/>
          <w:szCs w:val="26"/>
        </w:rPr>
      </w:pPr>
      <w:r w:rsidRPr="00E9174E">
        <w:rPr>
          <w:rFonts w:eastAsiaTheme="minorHAnsi"/>
          <w:sz w:val="26"/>
          <w:szCs w:val="26"/>
        </w:rPr>
        <w:lastRenderedPageBreak/>
        <w:t xml:space="preserve">In its Replies to Exceptions, Columbia states that any modification to the Company’s existing energy burdens should be addressed in a USECP proceeding, not in a base rate proceeding.  Columbia avers that energy burdens should not be considered separately from other components of the Company’s CAP and universal service offerings but, rather, should be considered as part of the Company’s entire universal service plan.  Columbia notes that as it stated in its Briefs, there are many other forms of assistance available to low-income customers that can work in conjunction with CAP to reduce the customer’s overall energy burden.  For instance, a LIHEAP grant would reduce the average energy burden for customers on the PIP Plan to 4.18%, which is consistent with the Commission’s </w:t>
      </w:r>
      <w:r w:rsidRPr="00E9174E">
        <w:rPr>
          <w:rFonts w:eastAsiaTheme="minorHAnsi"/>
          <w:i/>
          <w:iCs/>
          <w:sz w:val="26"/>
          <w:szCs w:val="26"/>
        </w:rPr>
        <w:t>Final CAP Policy Statement Order</w:t>
      </w:r>
      <w:r w:rsidRPr="00E9174E">
        <w:rPr>
          <w:rFonts w:eastAsiaTheme="minorHAnsi"/>
          <w:sz w:val="26"/>
          <w:szCs w:val="26"/>
        </w:rPr>
        <w:t xml:space="preserve">.  CG R. Exc. at 17. </w:t>
      </w:r>
      <w:r w:rsidR="00256C54" w:rsidRPr="00E9174E">
        <w:rPr>
          <w:rFonts w:eastAsiaTheme="minorHAnsi"/>
          <w:sz w:val="26"/>
          <w:szCs w:val="26"/>
        </w:rPr>
        <w:t xml:space="preserve"> </w:t>
      </w:r>
    </w:p>
    <w:p w14:paraId="20F36741" w14:textId="77777777" w:rsidR="00455B4B" w:rsidRPr="00E9174E" w:rsidRDefault="00455B4B" w:rsidP="00E9174E">
      <w:pPr>
        <w:widowControl/>
        <w:spacing w:line="360" w:lineRule="auto"/>
        <w:contextualSpacing/>
        <w:rPr>
          <w:rFonts w:eastAsiaTheme="minorHAnsi"/>
          <w:sz w:val="26"/>
          <w:szCs w:val="26"/>
        </w:rPr>
      </w:pPr>
    </w:p>
    <w:p w14:paraId="34CCF976" w14:textId="77777777" w:rsidR="00455B4B" w:rsidRPr="00E9174E" w:rsidRDefault="00455B4B" w:rsidP="00E9174E">
      <w:pPr>
        <w:widowControl/>
        <w:spacing w:line="360" w:lineRule="auto"/>
        <w:ind w:firstLine="1440"/>
        <w:contextualSpacing/>
        <w:rPr>
          <w:rFonts w:eastAsiaTheme="minorHAnsi"/>
          <w:sz w:val="26"/>
          <w:szCs w:val="26"/>
        </w:rPr>
      </w:pPr>
      <w:r w:rsidRPr="00E9174E">
        <w:rPr>
          <w:rFonts w:eastAsiaTheme="minorHAnsi"/>
          <w:sz w:val="26"/>
          <w:szCs w:val="26"/>
        </w:rPr>
        <w:t xml:space="preserve">Columbia continues that should the Commission determine that it is proper to address the Company’s current energy burdens in this proceeding, then the evidence in this proceeding supports a finding that a reduction of the energy burden for customers on the PIP Plan is not necessary.  Columbia explains that only 4% of customers on the existing PIP plan are removed from service for not paying their CAP payment.  Additionally, if a customer’s energy burden under the PIP Plan becomes unaffordable, Columbia offers other CAP payment plans with lower energy burdens, and customers can switch to these more affordable plans.  </w:t>
      </w:r>
      <w:r w:rsidRPr="00E9174E">
        <w:rPr>
          <w:rFonts w:eastAsiaTheme="minorHAnsi"/>
          <w:i/>
          <w:iCs/>
          <w:sz w:val="26"/>
          <w:szCs w:val="26"/>
        </w:rPr>
        <w:t>Id</w:t>
      </w:r>
      <w:r w:rsidRPr="00E9174E">
        <w:rPr>
          <w:rFonts w:eastAsiaTheme="minorHAnsi"/>
          <w:sz w:val="26"/>
          <w:szCs w:val="26"/>
        </w:rPr>
        <w:t xml:space="preserve">.  </w:t>
      </w:r>
    </w:p>
    <w:p w14:paraId="368AFD55" w14:textId="77777777" w:rsidR="00455B4B" w:rsidRPr="00E9174E" w:rsidRDefault="00455B4B" w:rsidP="00E9174E">
      <w:pPr>
        <w:widowControl/>
        <w:spacing w:line="360" w:lineRule="auto"/>
        <w:contextualSpacing/>
        <w:rPr>
          <w:rFonts w:eastAsiaTheme="minorHAnsi"/>
          <w:sz w:val="26"/>
          <w:szCs w:val="26"/>
        </w:rPr>
      </w:pPr>
    </w:p>
    <w:p w14:paraId="0D257B13" w14:textId="679D2F43" w:rsidR="00455B4B" w:rsidRPr="00E9174E" w:rsidRDefault="00455B4B" w:rsidP="00E9174E">
      <w:pPr>
        <w:widowControl/>
        <w:spacing w:line="360" w:lineRule="auto"/>
        <w:ind w:firstLine="1440"/>
        <w:contextualSpacing/>
        <w:rPr>
          <w:rFonts w:eastAsiaTheme="minorHAnsi"/>
          <w:sz w:val="26"/>
          <w:szCs w:val="26"/>
        </w:rPr>
      </w:pPr>
      <w:r w:rsidRPr="00E9174E">
        <w:rPr>
          <w:rFonts w:eastAsiaTheme="minorHAnsi"/>
          <w:sz w:val="26"/>
          <w:szCs w:val="26"/>
        </w:rPr>
        <w:t>In response to CAUSE-PA’s argument that the ALJ erred by failing to direct Columbia to comply with the terms of the Company’s 2018 Settlement, Columbia avers that is has fully complied with the 2018 Settlement.  According to Columbia, the 2018 Settlement does not require Columbia to change its energy burdens as part of this base rate filing.  CG R. Exc. at 18.  Columbia notes that it committed to the following in the 2018 Settlement:</w:t>
      </w:r>
    </w:p>
    <w:p w14:paraId="142B11C8" w14:textId="77777777" w:rsidR="00256C54" w:rsidRPr="00E9174E" w:rsidRDefault="00256C54" w:rsidP="002F6F81">
      <w:pPr>
        <w:widowControl/>
        <w:ind w:firstLine="1440"/>
        <w:contextualSpacing/>
        <w:rPr>
          <w:rFonts w:eastAsiaTheme="minorHAnsi"/>
          <w:sz w:val="26"/>
          <w:szCs w:val="26"/>
        </w:rPr>
      </w:pPr>
    </w:p>
    <w:p w14:paraId="04CB0720" w14:textId="3BC19438" w:rsidR="00455B4B" w:rsidRPr="00E9174E" w:rsidRDefault="00455B4B" w:rsidP="00E9174E">
      <w:pPr>
        <w:widowControl/>
        <w:ind w:left="1440" w:right="1440"/>
        <w:contextualSpacing/>
        <w:rPr>
          <w:rFonts w:eastAsiaTheme="minorHAnsi"/>
          <w:sz w:val="26"/>
          <w:szCs w:val="26"/>
        </w:rPr>
      </w:pPr>
      <w:r w:rsidRPr="00E9174E">
        <w:rPr>
          <w:rFonts w:eastAsiaTheme="minorHAnsi"/>
          <w:sz w:val="26"/>
          <w:szCs w:val="26"/>
        </w:rPr>
        <w:t xml:space="preserve">By no later than its next Universal Service and Energy Conservation Plan (“USECP”) filing following the issuance of the Energy Burden Study or earlier date dictated by the </w:t>
      </w:r>
      <w:r w:rsidRPr="00E9174E">
        <w:rPr>
          <w:rFonts w:eastAsiaTheme="minorHAnsi"/>
          <w:sz w:val="26"/>
          <w:szCs w:val="26"/>
        </w:rPr>
        <w:lastRenderedPageBreak/>
        <w:t>Commission’s Energy Burden Study (whichever is sooner</w:t>
      </w:r>
      <w:r w:rsidR="00B554B1" w:rsidRPr="00E9174E">
        <w:rPr>
          <w:rFonts w:eastAsiaTheme="minorHAnsi"/>
          <w:sz w:val="26"/>
          <w:szCs w:val="26"/>
        </w:rPr>
        <w:t>), Columbia</w:t>
      </w:r>
      <w:r w:rsidRPr="00E9174E">
        <w:rPr>
          <w:rFonts w:eastAsiaTheme="minorHAnsi"/>
          <w:sz w:val="26"/>
          <w:szCs w:val="26"/>
        </w:rPr>
        <w:t xml:space="preserve"> will make such filings as required by the Energy Burden Study to modify or change its CAP rate selection. </w:t>
      </w:r>
    </w:p>
    <w:p w14:paraId="7BDD0DB2" w14:textId="77777777" w:rsidR="00455B4B" w:rsidRPr="00E9174E" w:rsidRDefault="00455B4B" w:rsidP="00E9174E">
      <w:pPr>
        <w:widowControl/>
        <w:spacing w:line="360" w:lineRule="auto"/>
        <w:ind w:right="1440"/>
        <w:contextualSpacing/>
        <w:rPr>
          <w:rFonts w:eastAsiaTheme="minorHAnsi"/>
          <w:sz w:val="26"/>
          <w:szCs w:val="26"/>
        </w:rPr>
      </w:pPr>
    </w:p>
    <w:p w14:paraId="6A6352E8" w14:textId="16FA491C" w:rsidR="00455B4B" w:rsidRPr="00E9174E" w:rsidRDefault="00455B4B" w:rsidP="00E9174E">
      <w:pPr>
        <w:widowControl/>
        <w:spacing w:line="360" w:lineRule="auto"/>
        <w:contextualSpacing/>
        <w:rPr>
          <w:rFonts w:eastAsiaTheme="minorHAnsi"/>
          <w:sz w:val="26"/>
          <w:szCs w:val="26"/>
        </w:rPr>
      </w:pPr>
      <w:r w:rsidRPr="00E9174E">
        <w:rPr>
          <w:rFonts w:eastAsiaTheme="minorHAnsi"/>
          <w:i/>
          <w:iCs/>
          <w:sz w:val="26"/>
          <w:szCs w:val="26"/>
        </w:rPr>
        <w:t>Id</w:t>
      </w:r>
      <w:r w:rsidRPr="00E9174E">
        <w:rPr>
          <w:rFonts w:eastAsiaTheme="minorHAnsi"/>
          <w:sz w:val="26"/>
          <w:szCs w:val="26"/>
        </w:rPr>
        <w:t xml:space="preserve">. (citing 2018 Settlement at ¶ 57).  Columbia states that the Energy Burden Study does not direct utilities to modify their energy burdens, and Columbia has yet to file a USECP following the issuance of the Commission’s Energy Burden Study.  Columbia explains that on February 20, 2020, it submitted a letter indicating that it will be prepared to address the new energy burdens set forth in the Commission’s </w:t>
      </w:r>
      <w:r w:rsidRPr="00E9174E">
        <w:rPr>
          <w:rFonts w:eastAsiaTheme="minorHAnsi"/>
          <w:i/>
          <w:iCs/>
          <w:sz w:val="26"/>
          <w:szCs w:val="26"/>
        </w:rPr>
        <w:t>Final CAP Policy Statement Order</w:t>
      </w:r>
      <w:r w:rsidRPr="00E9174E">
        <w:rPr>
          <w:rFonts w:eastAsiaTheme="minorHAnsi"/>
          <w:sz w:val="26"/>
          <w:szCs w:val="26"/>
        </w:rPr>
        <w:t xml:space="preserve"> no later than the Company’s next USECP filing. </w:t>
      </w:r>
      <w:r w:rsidR="007F5313" w:rsidRPr="00E9174E">
        <w:rPr>
          <w:rFonts w:eastAsiaTheme="minorHAnsi"/>
          <w:sz w:val="26"/>
          <w:szCs w:val="26"/>
        </w:rPr>
        <w:t xml:space="preserve"> </w:t>
      </w:r>
      <w:r w:rsidRPr="00E9174E">
        <w:rPr>
          <w:rFonts w:eastAsiaTheme="minorHAnsi"/>
          <w:sz w:val="26"/>
          <w:szCs w:val="26"/>
        </w:rPr>
        <w:t xml:space="preserve">Columbia submitted this letter in accordance with the directive in the </w:t>
      </w:r>
      <w:r w:rsidRPr="00E9174E">
        <w:rPr>
          <w:rFonts w:eastAsiaTheme="minorHAnsi"/>
          <w:i/>
          <w:iCs/>
          <w:sz w:val="26"/>
          <w:szCs w:val="26"/>
        </w:rPr>
        <w:t>Final CAP Policy Statement Order</w:t>
      </w:r>
      <w:r w:rsidRPr="00E9174E">
        <w:rPr>
          <w:rFonts w:eastAsiaTheme="minorHAnsi"/>
          <w:sz w:val="26"/>
          <w:szCs w:val="26"/>
        </w:rPr>
        <w:t xml:space="preserve"> at</w:t>
      </w:r>
      <w:r w:rsidR="002F6F81">
        <w:rPr>
          <w:rFonts w:eastAsiaTheme="minorHAnsi"/>
          <w:sz w:val="26"/>
          <w:szCs w:val="26"/>
        </w:rPr>
        <w:t> </w:t>
      </w:r>
      <w:r w:rsidRPr="00E9174E">
        <w:rPr>
          <w:rFonts w:eastAsiaTheme="minorHAnsi"/>
          <w:sz w:val="26"/>
          <w:szCs w:val="26"/>
        </w:rPr>
        <w:t>106.</w:t>
      </w:r>
      <w:r w:rsidRPr="00E9174E">
        <w:rPr>
          <w:rFonts w:eastAsiaTheme="minorHAnsi"/>
          <w:b/>
          <w:bCs/>
          <w:sz w:val="26"/>
          <w:szCs w:val="26"/>
        </w:rPr>
        <w:t xml:space="preserve">  </w:t>
      </w:r>
      <w:r w:rsidRPr="00E9174E">
        <w:rPr>
          <w:rFonts w:eastAsiaTheme="minorHAnsi"/>
          <w:sz w:val="26"/>
          <w:szCs w:val="26"/>
        </w:rPr>
        <w:t xml:space="preserve">CG R. Exc. at 18.  </w:t>
      </w:r>
    </w:p>
    <w:p w14:paraId="7F708830" w14:textId="77777777" w:rsidR="00455B4B" w:rsidRPr="00E9174E" w:rsidRDefault="00455B4B" w:rsidP="00E9174E">
      <w:pPr>
        <w:widowControl/>
        <w:spacing w:line="360" w:lineRule="auto"/>
        <w:contextualSpacing/>
        <w:rPr>
          <w:rFonts w:eastAsiaTheme="minorHAnsi"/>
          <w:sz w:val="26"/>
          <w:szCs w:val="26"/>
        </w:rPr>
      </w:pPr>
    </w:p>
    <w:p w14:paraId="1B258796" w14:textId="77777777" w:rsidR="00455B4B" w:rsidRPr="00E9174E" w:rsidRDefault="00455B4B" w:rsidP="00E9174E">
      <w:pPr>
        <w:widowControl/>
        <w:spacing w:line="360" w:lineRule="auto"/>
        <w:ind w:firstLine="1440"/>
        <w:contextualSpacing/>
        <w:rPr>
          <w:rFonts w:eastAsiaTheme="minorHAnsi"/>
          <w:sz w:val="26"/>
          <w:szCs w:val="26"/>
        </w:rPr>
      </w:pPr>
      <w:r w:rsidRPr="00E9174E">
        <w:rPr>
          <w:rFonts w:eastAsiaTheme="minorHAnsi"/>
          <w:sz w:val="26"/>
          <w:szCs w:val="26"/>
        </w:rPr>
        <w:t xml:space="preserve">Further, in response to CAUSE-PA’s arguments that Columbia’s existing energy burdens result in unreasonable CAP rates, Columbia will be prepared to address this question in its next USECP filing, where all aspects of Columbia’s low-income programs, including energy burdens, can be considered together, as was done with respect to the Company’s most-recently approved USECP.  </w:t>
      </w:r>
      <w:r w:rsidRPr="00E9174E">
        <w:rPr>
          <w:rFonts w:eastAsiaTheme="minorHAnsi"/>
          <w:i/>
          <w:iCs/>
          <w:sz w:val="26"/>
          <w:szCs w:val="26"/>
        </w:rPr>
        <w:t>Id</w:t>
      </w:r>
      <w:r w:rsidRPr="00E9174E">
        <w:rPr>
          <w:rFonts w:eastAsiaTheme="minorHAnsi"/>
          <w:sz w:val="26"/>
          <w:szCs w:val="26"/>
        </w:rPr>
        <w:t xml:space="preserve">. at 18-19.  Columbia states that the Commission has observed that utilities are not required to adopt the exact energy burdens in the Commission’s </w:t>
      </w:r>
      <w:r w:rsidRPr="00E9174E">
        <w:rPr>
          <w:rFonts w:eastAsiaTheme="minorHAnsi"/>
          <w:i/>
          <w:iCs/>
          <w:sz w:val="26"/>
          <w:szCs w:val="26"/>
        </w:rPr>
        <w:t>Final CAP Policy Statement</w:t>
      </w:r>
      <w:r w:rsidR="000E3B31" w:rsidRPr="00E9174E">
        <w:rPr>
          <w:rFonts w:eastAsiaTheme="minorHAnsi"/>
          <w:i/>
          <w:iCs/>
          <w:sz w:val="26"/>
          <w:szCs w:val="26"/>
        </w:rPr>
        <w:t xml:space="preserve"> Orde</w:t>
      </w:r>
      <w:r w:rsidR="004F4F76" w:rsidRPr="00E9174E">
        <w:rPr>
          <w:rFonts w:eastAsiaTheme="minorHAnsi"/>
          <w:i/>
          <w:iCs/>
          <w:sz w:val="26"/>
          <w:szCs w:val="26"/>
        </w:rPr>
        <w:t>r</w:t>
      </w:r>
      <w:r w:rsidRPr="00E9174E">
        <w:rPr>
          <w:rFonts w:eastAsiaTheme="minorHAnsi"/>
          <w:sz w:val="26"/>
          <w:szCs w:val="26"/>
        </w:rPr>
        <w:t xml:space="preserve">.  </w:t>
      </w:r>
      <w:r w:rsidRPr="00E9174E">
        <w:rPr>
          <w:rFonts w:eastAsiaTheme="minorHAnsi"/>
          <w:i/>
          <w:iCs/>
          <w:sz w:val="26"/>
          <w:szCs w:val="26"/>
        </w:rPr>
        <w:t>Id</w:t>
      </w:r>
      <w:r w:rsidRPr="00E9174E">
        <w:rPr>
          <w:rFonts w:eastAsiaTheme="minorHAnsi"/>
          <w:sz w:val="26"/>
          <w:szCs w:val="26"/>
        </w:rPr>
        <w:t xml:space="preserve">. at 19.  The Commission stated: </w:t>
      </w:r>
    </w:p>
    <w:p w14:paraId="09CF3992" w14:textId="77777777" w:rsidR="00455B4B" w:rsidRPr="00E9174E" w:rsidRDefault="00455B4B" w:rsidP="002F6F81">
      <w:pPr>
        <w:widowControl/>
        <w:contextualSpacing/>
        <w:rPr>
          <w:rFonts w:eastAsiaTheme="minorHAnsi"/>
          <w:sz w:val="26"/>
          <w:szCs w:val="26"/>
        </w:rPr>
      </w:pPr>
    </w:p>
    <w:p w14:paraId="6DE052BA" w14:textId="77777777" w:rsidR="00455B4B" w:rsidRPr="00E9174E" w:rsidRDefault="00455B4B" w:rsidP="00E9174E">
      <w:pPr>
        <w:widowControl/>
        <w:ind w:left="1440" w:right="1440"/>
        <w:contextualSpacing/>
        <w:rPr>
          <w:rFonts w:eastAsiaTheme="minorHAnsi"/>
          <w:sz w:val="26"/>
          <w:szCs w:val="26"/>
        </w:rPr>
      </w:pPr>
      <w:r w:rsidRPr="00E9174E">
        <w:rPr>
          <w:rFonts w:eastAsiaTheme="minorHAnsi"/>
          <w:sz w:val="26"/>
          <w:szCs w:val="26"/>
        </w:rPr>
        <w:t xml:space="preserve">We remind stakeholders that the maximum energy burden percentages in the Annex to the November 5 Order are recommendations, not iron-clad limits on what a utility can charge a CAP household.  Issues related to a specific utility burdens are still subject to strict scrutiny in that utility’s USECP proceedings.  </w:t>
      </w:r>
    </w:p>
    <w:p w14:paraId="15F339D1" w14:textId="77777777" w:rsidR="00830022" w:rsidRPr="00E9174E" w:rsidRDefault="00830022" w:rsidP="00E9174E">
      <w:pPr>
        <w:widowControl/>
        <w:spacing w:line="360" w:lineRule="auto"/>
        <w:contextualSpacing/>
        <w:rPr>
          <w:rFonts w:eastAsiaTheme="minorHAnsi"/>
          <w:i/>
          <w:iCs/>
          <w:sz w:val="26"/>
          <w:szCs w:val="26"/>
        </w:rPr>
      </w:pPr>
    </w:p>
    <w:p w14:paraId="1A859A25" w14:textId="49AF511C" w:rsidR="00455B4B" w:rsidRPr="00E9174E" w:rsidRDefault="00455B4B" w:rsidP="00E9174E">
      <w:pPr>
        <w:widowControl/>
        <w:spacing w:line="360" w:lineRule="auto"/>
        <w:contextualSpacing/>
        <w:rPr>
          <w:rFonts w:eastAsiaTheme="minorHAnsi"/>
          <w:sz w:val="26"/>
          <w:szCs w:val="26"/>
        </w:rPr>
      </w:pPr>
      <w:r w:rsidRPr="00E9174E">
        <w:rPr>
          <w:rFonts w:eastAsiaTheme="minorHAnsi"/>
          <w:i/>
          <w:iCs/>
          <w:sz w:val="26"/>
          <w:szCs w:val="26"/>
        </w:rPr>
        <w:t xml:space="preserve">Id. (citing Petition of Office of Consumer Advocate for Reconsideration/Clarification of the November 5, 2019 Final CAP Policy Statement Order at Docket No. </w:t>
      </w:r>
      <w:r w:rsidRPr="00E9174E">
        <w:rPr>
          <w:rFonts w:eastAsiaTheme="minorHAnsi"/>
          <w:i/>
          <w:iCs/>
          <w:sz w:val="26"/>
          <w:szCs w:val="26"/>
        </w:rPr>
        <w:lastRenderedPageBreak/>
        <w:t>M</w:t>
      </w:r>
      <w:r w:rsidR="002F6F81">
        <w:rPr>
          <w:rFonts w:eastAsiaTheme="minorHAnsi"/>
          <w:i/>
          <w:iCs/>
          <w:sz w:val="26"/>
          <w:szCs w:val="26"/>
        </w:rPr>
        <w:noBreakHyphen/>
      </w:r>
      <w:r w:rsidRPr="00E9174E">
        <w:rPr>
          <w:rFonts w:eastAsiaTheme="minorHAnsi"/>
          <w:i/>
          <w:iCs/>
          <w:sz w:val="26"/>
          <w:szCs w:val="26"/>
        </w:rPr>
        <w:t>2019</w:t>
      </w:r>
      <w:r w:rsidR="002F6F81">
        <w:rPr>
          <w:rFonts w:eastAsiaTheme="minorHAnsi"/>
          <w:i/>
          <w:iCs/>
          <w:sz w:val="26"/>
          <w:szCs w:val="26"/>
        </w:rPr>
        <w:noBreakHyphen/>
      </w:r>
      <w:r w:rsidRPr="00E9174E">
        <w:rPr>
          <w:rFonts w:eastAsiaTheme="minorHAnsi"/>
          <w:i/>
          <w:iCs/>
          <w:sz w:val="26"/>
          <w:szCs w:val="26"/>
        </w:rPr>
        <w:t>3012599</w:t>
      </w:r>
      <w:r w:rsidRPr="00E9174E">
        <w:rPr>
          <w:rFonts w:eastAsiaTheme="minorHAnsi"/>
          <w:sz w:val="26"/>
          <w:szCs w:val="26"/>
        </w:rPr>
        <w:t>, Docket No. P-2020-3016885 (Order entered February 6, 2020), at</w:t>
      </w:r>
      <w:r w:rsidR="002F6F81">
        <w:rPr>
          <w:rFonts w:eastAsiaTheme="minorHAnsi"/>
          <w:sz w:val="26"/>
          <w:szCs w:val="26"/>
        </w:rPr>
        <w:t> </w:t>
      </w:r>
      <w:r w:rsidRPr="00E9174E">
        <w:rPr>
          <w:rFonts w:eastAsiaTheme="minorHAnsi"/>
          <w:sz w:val="26"/>
          <w:szCs w:val="26"/>
        </w:rPr>
        <w:t>10</w:t>
      </w:r>
      <w:r w:rsidR="002F6F81">
        <w:rPr>
          <w:rFonts w:eastAsiaTheme="minorHAnsi"/>
          <w:sz w:val="26"/>
          <w:szCs w:val="26"/>
        </w:rPr>
        <w:noBreakHyphen/>
      </w:r>
      <w:r w:rsidRPr="00E9174E">
        <w:rPr>
          <w:rFonts w:eastAsiaTheme="minorHAnsi"/>
          <w:sz w:val="26"/>
          <w:szCs w:val="26"/>
        </w:rPr>
        <w:t>11 (</w:t>
      </w:r>
      <w:r w:rsidRPr="00E9174E">
        <w:rPr>
          <w:rFonts w:eastAsiaTheme="minorHAnsi"/>
          <w:i/>
          <w:iCs/>
          <w:sz w:val="26"/>
          <w:szCs w:val="26"/>
        </w:rPr>
        <w:t>February 2020 Reconsideration Order</w:t>
      </w:r>
      <w:r w:rsidRPr="00E9174E">
        <w:rPr>
          <w:rFonts w:eastAsiaTheme="minorHAnsi"/>
          <w:sz w:val="26"/>
          <w:szCs w:val="26"/>
        </w:rPr>
        <w:t>)</w:t>
      </w:r>
      <w:r w:rsidR="00B15F85" w:rsidRPr="00E9174E">
        <w:rPr>
          <w:rFonts w:eastAsiaTheme="minorHAnsi"/>
          <w:sz w:val="26"/>
          <w:szCs w:val="26"/>
        </w:rPr>
        <w:t>)</w:t>
      </w:r>
      <w:r w:rsidRPr="00E9174E">
        <w:rPr>
          <w:rFonts w:eastAsiaTheme="minorHAnsi"/>
          <w:sz w:val="26"/>
          <w:szCs w:val="26"/>
        </w:rPr>
        <w:t xml:space="preserve">.  </w:t>
      </w:r>
    </w:p>
    <w:p w14:paraId="127733FE" w14:textId="5355E379" w:rsidR="00455B4B" w:rsidRPr="00E9174E" w:rsidRDefault="00455B4B" w:rsidP="00E9174E">
      <w:pPr>
        <w:widowControl/>
        <w:spacing w:line="360" w:lineRule="auto"/>
        <w:contextualSpacing/>
        <w:rPr>
          <w:rFonts w:eastAsiaTheme="minorHAnsi"/>
          <w:sz w:val="26"/>
          <w:szCs w:val="26"/>
        </w:rPr>
      </w:pPr>
    </w:p>
    <w:p w14:paraId="021253BF" w14:textId="18B61792" w:rsidR="00455B4B" w:rsidRPr="00E9174E" w:rsidRDefault="00455B4B" w:rsidP="00E9174E">
      <w:pPr>
        <w:widowControl/>
        <w:spacing w:line="360" w:lineRule="auto"/>
        <w:ind w:firstLine="1440"/>
        <w:contextualSpacing/>
        <w:rPr>
          <w:rFonts w:eastAsiaTheme="minorHAnsi"/>
          <w:sz w:val="26"/>
          <w:szCs w:val="26"/>
        </w:rPr>
      </w:pPr>
      <w:r w:rsidRPr="00E9174E">
        <w:rPr>
          <w:rFonts w:eastAsiaTheme="minorHAnsi"/>
          <w:sz w:val="26"/>
          <w:szCs w:val="26"/>
        </w:rPr>
        <w:t>In its Replies to Exceptions, the OCA states that the ALJ was correct in denying CAUSE-PA’s proposal to change Columbia’s CAP Energy Burdens in the instant proceeding.  The OCA submits that the ALJ correctly deferred the issues CAUSE-</w:t>
      </w:r>
      <w:r w:rsidR="00500621" w:rsidRPr="00E9174E">
        <w:rPr>
          <w:rFonts w:eastAsiaTheme="minorHAnsi"/>
          <w:sz w:val="26"/>
          <w:szCs w:val="26"/>
        </w:rPr>
        <w:t> </w:t>
      </w:r>
      <w:r w:rsidRPr="00E9174E">
        <w:rPr>
          <w:rFonts w:eastAsiaTheme="minorHAnsi"/>
          <w:sz w:val="26"/>
          <w:szCs w:val="26"/>
        </w:rPr>
        <w:t xml:space="preserve">PA identified to be resolved as part of Columbia’s USECP, as the </w:t>
      </w:r>
      <w:bookmarkStart w:id="343" w:name="_Hlk62563159"/>
      <w:r w:rsidRPr="00E9174E">
        <w:rPr>
          <w:rFonts w:eastAsiaTheme="minorHAnsi"/>
          <w:i/>
          <w:iCs/>
          <w:sz w:val="26"/>
          <w:szCs w:val="26"/>
        </w:rPr>
        <w:t xml:space="preserve">February 2020 </w:t>
      </w:r>
      <w:bookmarkEnd w:id="343"/>
      <w:r w:rsidRPr="00E9174E">
        <w:rPr>
          <w:rFonts w:eastAsiaTheme="minorHAnsi"/>
          <w:i/>
          <w:iCs/>
          <w:sz w:val="26"/>
          <w:szCs w:val="26"/>
        </w:rPr>
        <w:t>Reconsideration Order</w:t>
      </w:r>
      <w:r w:rsidRPr="00E9174E">
        <w:rPr>
          <w:rFonts w:eastAsiaTheme="minorHAnsi"/>
          <w:sz w:val="26"/>
          <w:szCs w:val="26"/>
        </w:rPr>
        <w:t xml:space="preserve"> stated that changes to energy burdens should be considered as part of a utility-specific USECP.  </w:t>
      </w:r>
      <w:r w:rsidR="008C3BCB" w:rsidRPr="00E9174E">
        <w:rPr>
          <w:rFonts w:eastAsiaTheme="minorHAnsi"/>
          <w:sz w:val="26"/>
          <w:szCs w:val="26"/>
        </w:rPr>
        <w:t>OCA R. Exc. at 22-23 (citing</w:t>
      </w:r>
      <w:r w:rsidRPr="00E9174E">
        <w:rPr>
          <w:rFonts w:eastAsiaTheme="minorHAnsi"/>
          <w:i/>
          <w:iCs/>
          <w:sz w:val="26"/>
          <w:szCs w:val="26"/>
        </w:rPr>
        <w:t xml:space="preserve"> February 2020 Reconsideration Order</w:t>
      </w:r>
      <w:r w:rsidRPr="00E9174E">
        <w:rPr>
          <w:rFonts w:eastAsiaTheme="minorHAnsi"/>
          <w:sz w:val="26"/>
          <w:szCs w:val="26"/>
        </w:rPr>
        <w:t xml:space="preserve"> at 10-11</w:t>
      </w:r>
      <w:r w:rsidR="008C3BCB" w:rsidRPr="00E9174E">
        <w:rPr>
          <w:rFonts w:eastAsiaTheme="minorHAnsi"/>
          <w:sz w:val="26"/>
          <w:szCs w:val="26"/>
        </w:rPr>
        <w:t>)</w:t>
      </w:r>
      <w:r w:rsidRPr="00E9174E">
        <w:rPr>
          <w:rFonts w:eastAsiaTheme="minorHAnsi"/>
          <w:sz w:val="26"/>
          <w:szCs w:val="26"/>
        </w:rPr>
        <w:t xml:space="preserve">.  </w:t>
      </w:r>
    </w:p>
    <w:p w14:paraId="142369E8" w14:textId="77777777" w:rsidR="00455B4B" w:rsidRPr="00E9174E" w:rsidRDefault="00455B4B" w:rsidP="00E9174E">
      <w:pPr>
        <w:widowControl/>
        <w:tabs>
          <w:tab w:val="left" w:pos="360"/>
        </w:tabs>
        <w:spacing w:line="360" w:lineRule="auto"/>
        <w:contextualSpacing/>
        <w:rPr>
          <w:rFonts w:eastAsiaTheme="minorHAnsi"/>
          <w:sz w:val="26"/>
          <w:szCs w:val="26"/>
        </w:rPr>
      </w:pPr>
    </w:p>
    <w:p w14:paraId="2DA2A082" w14:textId="3F885825" w:rsidR="00455B4B" w:rsidRPr="00E9174E" w:rsidRDefault="00455B4B" w:rsidP="00F94A24">
      <w:pPr>
        <w:pStyle w:val="Heading2"/>
        <w:numPr>
          <w:ilvl w:val="0"/>
          <w:numId w:val="87"/>
        </w:numPr>
        <w:ind w:hanging="720"/>
      </w:pPr>
      <w:bookmarkStart w:id="344" w:name="_Toc63764567"/>
      <w:r w:rsidRPr="00E9174E">
        <w:t>Disposition</w:t>
      </w:r>
      <w:bookmarkEnd w:id="344"/>
      <w:r w:rsidRPr="00E9174E">
        <w:t xml:space="preserve"> </w:t>
      </w:r>
    </w:p>
    <w:p w14:paraId="52F460AF" w14:textId="41273EF0" w:rsidR="00455B4B" w:rsidRPr="00E9174E" w:rsidRDefault="00455B4B" w:rsidP="00E9174E">
      <w:pPr>
        <w:keepNext/>
        <w:keepLines/>
        <w:widowControl/>
        <w:spacing w:line="360" w:lineRule="auto"/>
        <w:contextualSpacing/>
        <w:rPr>
          <w:rFonts w:eastAsiaTheme="minorHAnsi"/>
          <w:sz w:val="26"/>
          <w:szCs w:val="26"/>
        </w:rPr>
      </w:pPr>
    </w:p>
    <w:p w14:paraId="5849430D" w14:textId="77777777" w:rsidR="00830022" w:rsidRPr="00E9174E" w:rsidRDefault="00455B4B" w:rsidP="00E9174E">
      <w:pPr>
        <w:widowControl/>
        <w:tabs>
          <w:tab w:val="left" w:pos="360"/>
        </w:tabs>
        <w:spacing w:line="360" w:lineRule="auto"/>
        <w:ind w:firstLine="1440"/>
        <w:contextualSpacing/>
        <w:rPr>
          <w:rFonts w:eastAsiaTheme="minorHAnsi"/>
          <w:sz w:val="26"/>
          <w:szCs w:val="26"/>
        </w:rPr>
      </w:pPr>
      <w:r w:rsidRPr="00E9174E">
        <w:rPr>
          <w:rFonts w:eastAsiaTheme="minorHAnsi"/>
          <w:sz w:val="26"/>
          <w:szCs w:val="26"/>
        </w:rPr>
        <w:t xml:space="preserve">Based on our review of the record and the applicable law, we find that issues related to Columbia’s energy burden levels are more properly considered in the context of the Company’s next USECP filing.  We agree with Columbia and the OCA that the energy burdens of customers on PIP Plans should not be considered separately from other parts of the Company’s CAP and universal service programs but should be considered as part of the Company’s entire universal service plan, including the need for changes and associated costs.  As the OCA’s witness Mr. Colton aptly testified, an evaluation of whether additional cost controls, such as minimum payment terms, consumption limits, high usage treatments, and maximum CAP credits, should also be evaluated within a USECP proceeding.  OCA St. 5 at 20.  Our determination on this issue is consistent with our prior statements in the </w:t>
      </w:r>
      <w:r w:rsidRPr="00E9174E">
        <w:rPr>
          <w:rFonts w:eastAsiaTheme="minorHAnsi"/>
          <w:i/>
          <w:iCs/>
          <w:sz w:val="26"/>
          <w:szCs w:val="26"/>
        </w:rPr>
        <w:t>February 2020 Reconsideration Order</w:t>
      </w:r>
      <w:r w:rsidRPr="00E9174E">
        <w:rPr>
          <w:rFonts w:eastAsiaTheme="minorHAnsi"/>
          <w:sz w:val="26"/>
          <w:szCs w:val="26"/>
        </w:rPr>
        <w:t xml:space="preserve"> that issues related to a specific utility’s energy burdens will be subject to strict scrutiny in that utility’s USECP proceeding.  </w:t>
      </w:r>
      <w:r w:rsidRPr="00E9174E">
        <w:rPr>
          <w:rFonts w:eastAsiaTheme="minorHAnsi"/>
          <w:i/>
          <w:iCs/>
          <w:sz w:val="26"/>
          <w:szCs w:val="26"/>
        </w:rPr>
        <w:t xml:space="preserve">February 2020 Reconsideration Order </w:t>
      </w:r>
      <w:r w:rsidRPr="00E9174E">
        <w:rPr>
          <w:rFonts w:eastAsiaTheme="minorHAnsi"/>
          <w:sz w:val="26"/>
          <w:szCs w:val="26"/>
        </w:rPr>
        <w:t xml:space="preserve">at 10-11.  </w:t>
      </w:r>
    </w:p>
    <w:p w14:paraId="042E0207" w14:textId="63D29AA1" w:rsidR="00455B4B" w:rsidRPr="00E9174E" w:rsidRDefault="00455B4B" w:rsidP="00E9174E">
      <w:pPr>
        <w:widowControl/>
        <w:tabs>
          <w:tab w:val="left" w:pos="360"/>
        </w:tabs>
        <w:spacing w:line="360" w:lineRule="auto"/>
        <w:contextualSpacing/>
        <w:rPr>
          <w:rFonts w:eastAsiaTheme="minorHAnsi"/>
          <w:sz w:val="26"/>
          <w:szCs w:val="26"/>
        </w:rPr>
      </w:pPr>
    </w:p>
    <w:p w14:paraId="385695C8" w14:textId="1F8009C9" w:rsidR="00455B4B" w:rsidRPr="00E9174E" w:rsidRDefault="00455B4B" w:rsidP="00E9174E">
      <w:pPr>
        <w:widowControl/>
        <w:spacing w:line="360" w:lineRule="auto"/>
        <w:ind w:firstLine="1440"/>
        <w:contextualSpacing/>
        <w:rPr>
          <w:rFonts w:eastAsiaTheme="minorHAnsi"/>
          <w:sz w:val="26"/>
          <w:szCs w:val="26"/>
        </w:rPr>
      </w:pPr>
      <w:r w:rsidRPr="00E9174E">
        <w:rPr>
          <w:rFonts w:eastAsiaTheme="minorHAnsi"/>
          <w:sz w:val="26"/>
          <w:szCs w:val="26"/>
        </w:rPr>
        <w:t xml:space="preserve">There is no evidence in this proceeding that Columbia has not complied with the 2018 Settlement or the </w:t>
      </w:r>
      <w:r w:rsidRPr="00E9174E">
        <w:rPr>
          <w:rFonts w:eastAsiaTheme="minorHAnsi"/>
          <w:i/>
          <w:iCs/>
          <w:sz w:val="26"/>
          <w:szCs w:val="26"/>
        </w:rPr>
        <w:t>Final CAP Policy Statement Order</w:t>
      </w:r>
      <w:r w:rsidRPr="00E9174E">
        <w:rPr>
          <w:rFonts w:eastAsiaTheme="minorHAnsi"/>
          <w:sz w:val="26"/>
          <w:szCs w:val="26"/>
        </w:rPr>
        <w:t xml:space="preserve"> or the CAP Policy </w:t>
      </w:r>
      <w:r w:rsidRPr="00E9174E">
        <w:rPr>
          <w:rFonts w:eastAsiaTheme="minorHAnsi"/>
          <w:sz w:val="26"/>
          <w:szCs w:val="26"/>
        </w:rPr>
        <w:lastRenderedPageBreak/>
        <w:t>Statement.  Columbia filed its most recent USECP in February 2018, prior to the date that the Commission released the Energy Burden Study</w:t>
      </w:r>
      <w:r w:rsidR="007E1752" w:rsidRPr="00E9174E">
        <w:rPr>
          <w:rFonts w:eastAsiaTheme="minorHAnsi"/>
          <w:sz w:val="26"/>
          <w:szCs w:val="26"/>
        </w:rPr>
        <w:t xml:space="preserve">. </w:t>
      </w:r>
      <w:r w:rsidRPr="00E9174E">
        <w:rPr>
          <w:rFonts w:eastAsiaTheme="minorHAnsi"/>
          <w:sz w:val="26"/>
          <w:szCs w:val="26"/>
        </w:rPr>
        <w:t xml:space="preserve">The Commission approved Columbia’s USECP, which included its CAP PIP Plan, in January 2020.  </w:t>
      </w:r>
      <w:r w:rsidRPr="00E9174E">
        <w:rPr>
          <w:rFonts w:eastAsiaTheme="minorHAnsi"/>
          <w:i/>
          <w:iCs/>
          <w:sz w:val="26"/>
          <w:szCs w:val="26"/>
        </w:rPr>
        <w:t>Columbia Gas of Pennsylvania, Inc.’s 2019-2021 Universal Service and Energy Conservation Plan</w:t>
      </w:r>
      <w:r w:rsidRPr="00E9174E">
        <w:rPr>
          <w:rFonts w:eastAsiaTheme="minorHAnsi"/>
          <w:sz w:val="26"/>
          <w:szCs w:val="26"/>
        </w:rPr>
        <w:t xml:space="preserve">, Docket No. M-2018-2645401 (Order entered January 16, 2020).  Columbia is scheduled to file its next USECP in April 2023.  </w:t>
      </w:r>
      <w:r w:rsidRPr="00E9174E">
        <w:rPr>
          <w:rFonts w:eastAsiaTheme="minorHAnsi"/>
          <w:i/>
          <w:iCs/>
          <w:sz w:val="26"/>
          <w:szCs w:val="26"/>
        </w:rPr>
        <w:t>See Universal Service and Energy Conservation Plan Filing Schedule and Independent Evaluation Filing Schedule</w:t>
      </w:r>
      <w:r w:rsidRPr="00E9174E">
        <w:rPr>
          <w:rFonts w:eastAsiaTheme="minorHAnsi"/>
          <w:sz w:val="26"/>
          <w:szCs w:val="26"/>
        </w:rPr>
        <w:t>, Docket No. M</w:t>
      </w:r>
      <w:r w:rsidR="002F6F81">
        <w:rPr>
          <w:rFonts w:eastAsiaTheme="minorHAnsi"/>
          <w:sz w:val="26"/>
          <w:szCs w:val="26"/>
        </w:rPr>
        <w:noBreakHyphen/>
      </w:r>
      <w:r w:rsidRPr="00E9174E">
        <w:rPr>
          <w:rFonts w:eastAsiaTheme="minorHAnsi"/>
          <w:sz w:val="26"/>
          <w:szCs w:val="26"/>
        </w:rPr>
        <w:t>2019</w:t>
      </w:r>
      <w:r w:rsidR="002F6F81">
        <w:rPr>
          <w:rFonts w:eastAsiaTheme="minorHAnsi"/>
          <w:sz w:val="26"/>
          <w:szCs w:val="26"/>
        </w:rPr>
        <w:noBreakHyphen/>
      </w:r>
      <w:r w:rsidRPr="00E9174E">
        <w:rPr>
          <w:rFonts w:eastAsiaTheme="minorHAnsi"/>
          <w:sz w:val="26"/>
          <w:szCs w:val="26"/>
        </w:rPr>
        <w:t>3012601 (Order entered October 3, 2019).</w:t>
      </w:r>
    </w:p>
    <w:p w14:paraId="6CBCE435" w14:textId="77777777" w:rsidR="00455B4B" w:rsidRPr="00E9174E" w:rsidRDefault="00455B4B" w:rsidP="00E9174E">
      <w:pPr>
        <w:widowControl/>
        <w:tabs>
          <w:tab w:val="left" w:pos="360"/>
        </w:tabs>
        <w:spacing w:line="360" w:lineRule="auto"/>
        <w:contextualSpacing/>
        <w:rPr>
          <w:rFonts w:eastAsiaTheme="minorHAnsi"/>
          <w:sz w:val="26"/>
          <w:szCs w:val="26"/>
        </w:rPr>
      </w:pPr>
    </w:p>
    <w:p w14:paraId="258BBB31" w14:textId="3AD8B456" w:rsidR="00455B4B" w:rsidRPr="00E9174E" w:rsidRDefault="00455B4B" w:rsidP="00E9174E">
      <w:pPr>
        <w:widowControl/>
        <w:spacing w:line="360" w:lineRule="auto"/>
        <w:ind w:firstLine="1440"/>
        <w:contextualSpacing/>
        <w:rPr>
          <w:rFonts w:eastAsiaTheme="minorHAnsi"/>
          <w:sz w:val="26"/>
          <w:szCs w:val="26"/>
        </w:rPr>
      </w:pPr>
      <w:r w:rsidRPr="00E9174E">
        <w:rPr>
          <w:rFonts w:eastAsiaTheme="minorHAnsi"/>
          <w:sz w:val="26"/>
          <w:szCs w:val="26"/>
        </w:rPr>
        <w:t xml:space="preserve">Neither the Energy Burden Study nor the </w:t>
      </w:r>
      <w:r w:rsidRPr="00E9174E">
        <w:rPr>
          <w:rFonts w:eastAsiaTheme="minorHAnsi"/>
          <w:i/>
          <w:iCs/>
          <w:sz w:val="26"/>
          <w:szCs w:val="26"/>
        </w:rPr>
        <w:t>Final CAP Policy Statement Order</w:t>
      </w:r>
      <w:r w:rsidRPr="00E9174E">
        <w:rPr>
          <w:rFonts w:eastAsiaTheme="minorHAnsi"/>
          <w:sz w:val="26"/>
          <w:szCs w:val="26"/>
        </w:rPr>
        <w:t xml:space="preserve"> direct an earlier USECP filing than Columbia’s next USECP filing date.  The </w:t>
      </w:r>
      <w:r w:rsidRPr="00E9174E">
        <w:rPr>
          <w:rFonts w:eastAsiaTheme="minorHAnsi"/>
          <w:i/>
          <w:iCs/>
          <w:sz w:val="26"/>
          <w:szCs w:val="26"/>
        </w:rPr>
        <w:t>Final CAP Policy Statement Order</w:t>
      </w:r>
      <w:r w:rsidRPr="00E9174E">
        <w:rPr>
          <w:rFonts w:eastAsiaTheme="minorHAnsi"/>
          <w:sz w:val="26"/>
          <w:szCs w:val="26"/>
        </w:rPr>
        <w:t xml:space="preserve"> indicated that utilities could implement the CAP Policy changes through voluntary compliance with the amended CAP Policy Statement or could address the matters in utility-specific proceedings.  </w:t>
      </w:r>
      <w:r w:rsidRPr="00E9174E">
        <w:rPr>
          <w:rFonts w:eastAsiaTheme="minorHAnsi"/>
          <w:i/>
          <w:iCs/>
          <w:sz w:val="26"/>
          <w:szCs w:val="26"/>
        </w:rPr>
        <w:t>Final CAP Policy Statement Order</w:t>
      </w:r>
      <w:r w:rsidRPr="00E9174E">
        <w:rPr>
          <w:rFonts w:eastAsiaTheme="minorHAnsi"/>
          <w:sz w:val="26"/>
          <w:szCs w:val="26"/>
        </w:rPr>
        <w:t xml:space="preserve"> at 13.  We also find compelling the OCA’s testimony that</w:t>
      </w:r>
      <w:r w:rsidR="009C26C3" w:rsidRPr="00E9174E">
        <w:rPr>
          <w:rFonts w:eastAsiaTheme="minorHAnsi"/>
          <w:sz w:val="26"/>
          <w:szCs w:val="26"/>
        </w:rPr>
        <w:t>,</w:t>
      </w:r>
      <w:r w:rsidRPr="00E9174E">
        <w:rPr>
          <w:rFonts w:eastAsiaTheme="minorHAnsi"/>
          <w:sz w:val="26"/>
          <w:szCs w:val="26"/>
        </w:rPr>
        <w:t xml:space="preserve"> because Columbia’s USECP was recently approved in January 2020, an aspect of that USECP that is as fundamental as the appropriate burden to use to define “affordability” for purposes of the percentage of income CAP program component should not be revisited so quickly or prior to the Company’s next USECP filing.  OCA St. 5-S at 19.  For these reasons, we shall direct Columbia to address the CAP Policy Statement amendments pertaining to energy burdens in its next USECP filing.  We also deny CAUSE-PA’s Exceptions on this issue.  </w:t>
      </w:r>
    </w:p>
    <w:p w14:paraId="7C991D0A" w14:textId="77777777" w:rsidR="00455B4B" w:rsidRPr="00E9174E" w:rsidRDefault="00455B4B" w:rsidP="00E9174E">
      <w:pPr>
        <w:widowControl/>
        <w:tabs>
          <w:tab w:val="left" w:pos="360"/>
        </w:tabs>
        <w:spacing w:line="360" w:lineRule="auto"/>
        <w:contextualSpacing/>
        <w:rPr>
          <w:rFonts w:eastAsiaTheme="minorHAnsi"/>
          <w:sz w:val="26"/>
          <w:szCs w:val="26"/>
        </w:rPr>
      </w:pPr>
    </w:p>
    <w:p w14:paraId="1850670A" w14:textId="77777777" w:rsidR="00455B4B" w:rsidRPr="00E9174E" w:rsidRDefault="00455B4B" w:rsidP="00277ECF">
      <w:pPr>
        <w:pStyle w:val="Heading3"/>
        <w:numPr>
          <w:ilvl w:val="0"/>
          <w:numId w:val="41"/>
        </w:numPr>
        <w:ind w:left="1440" w:hanging="720"/>
        <w:rPr>
          <w:rFonts w:eastAsiaTheme="minorHAnsi"/>
        </w:rPr>
      </w:pPr>
      <w:bookmarkStart w:id="345" w:name="_Toc63764568"/>
      <w:r w:rsidRPr="00E9174E">
        <w:rPr>
          <w:rFonts w:eastAsiaTheme="minorHAnsi"/>
        </w:rPr>
        <w:t>Low-Income Customer Outreach</w:t>
      </w:r>
      <w:bookmarkEnd w:id="345"/>
      <w:r w:rsidRPr="00E9174E">
        <w:rPr>
          <w:rFonts w:eastAsiaTheme="minorHAnsi"/>
        </w:rPr>
        <w:t xml:space="preserve"> </w:t>
      </w:r>
    </w:p>
    <w:p w14:paraId="6DA038C3" w14:textId="349036D8" w:rsidR="00111616" w:rsidRPr="00E9174E" w:rsidRDefault="00111616" w:rsidP="00E9174E">
      <w:pPr>
        <w:keepNext/>
        <w:keepLines/>
        <w:widowControl/>
        <w:tabs>
          <w:tab w:val="left" w:pos="360"/>
        </w:tabs>
        <w:spacing w:line="360" w:lineRule="auto"/>
        <w:ind w:left="720"/>
        <w:contextualSpacing/>
        <w:rPr>
          <w:rFonts w:eastAsiaTheme="minorHAnsi"/>
          <w:sz w:val="26"/>
          <w:szCs w:val="26"/>
        </w:rPr>
      </w:pPr>
    </w:p>
    <w:p w14:paraId="11E10DF9" w14:textId="6D50E785" w:rsidR="00141954" w:rsidRPr="00E9174E" w:rsidRDefault="00141954" w:rsidP="00277ECF">
      <w:pPr>
        <w:pStyle w:val="Heading4"/>
        <w:numPr>
          <w:ilvl w:val="1"/>
          <w:numId w:val="41"/>
        </w:numPr>
        <w:ind w:left="2160" w:hanging="720"/>
        <w:rPr>
          <w:rFonts w:eastAsiaTheme="minorHAnsi"/>
        </w:rPr>
      </w:pPr>
      <w:bookmarkStart w:id="346" w:name="_Toc63764569"/>
      <w:r w:rsidRPr="00E9174E">
        <w:t>Positions</w:t>
      </w:r>
      <w:r w:rsidRPr="00E9174E">
        <w:rPr>
          <w:rFonts w:eastAsiaTheme="minorHAnsi"/>
        </w:rPr>
        <w:t xml:space="preserve"> of the Parties</w:t>
      </w:r>
      <w:bookmarkEnd w:id="346"/>
      <w:r w:rsidRPr="00E9174E">
        <w:rPr>
          <w:rFonts w:eastAsiaTheme="minorHAnsi"/>
        </w:rPr>
        <w:t xml:space="preserve"> </w:t>
      </w:r>
    </w:p>
    <w:p w14:paraId="01E1CFAB" w14:textId="77777777" w:rsidR="00141954" w:rsidRPr="00E9174E" w:rsidRDefault="00141954" w:rsidP="00E9174E">
      <w:pPr>
        <w:keepNext/>
        <w:keepLines/>
        <w:widowControl/>
        <w:tabs>
          <w:tab w:val="left" w:pos="360"/>
        </w:tabs>
        <w:spacing w:line="360" w:lineRule="auto"/>
        <w:contextualSpacing/>
        <w:rPr>
          <w:rFonts w:eastAsiaTheme="minorHAnsi"/>
          <w:sz w:val="26"/>
          <w:szCs w:val="26"/>
        </w:rPr>
      </w:pPr>
    </w:p>
    <w:p w14:paraId="388AA00F" w14:textId="33A38627" w:rsidR="00C537A2" w:rsidRPr="00E9174E" w:rsidRDefault="00C537A2" w:rsidP="00E9174E">
      <w:pPr>
        <w:widowControl/>
        <w:spacing w:line="360" w:lineRule="auto"/>
        <w:ind w:firstLine="1440"/>
        <w:contextualSpacing/>
        <w:rPr>
          <w:rFonts w:eastAsiaTheme="minorHAnsi"/>
          <w:sz w:val="26"/>
          <w:szCs w:val="26"/>
        </w:rPr>
      </w:pPr>
      <w:r w:rsidRPr="00E9174E">
        <w:rPr>
          <w:rFonts w:eastAsiaTheme="minorHAnsi"/>
          <w:sz w:val="26"/>
          <w:szCs w:val="26"/>
        </w:rPr>
        <w:t>The OCA stated that the Commission’s 2019 Focused Management and Operations Audit of Columbia (Management Audit) released in June 2020 identified low-</w:t>
      </w:r>
      <w:r w:rsidRPr="00E9174E">
        <w:rPr>
          <w:rFonts w:eastAsiaTheme="minorHAnsi"/>
          <w:sz w:val="26"/>
          <w:szCs w:val="26"/>
        </w:rPr>
        <w:lastRenderedPageBreak/>
        <w:t xml:space="preserve">income payment difficulties as an issue of concern that needed improvement.  OCA St. 5 at 12. </w:t>
      </w:r>
      <w:r w:rsidR="004365B9" w:rsidRPr="00E9174E">
        <w:rPr>
          <w:rFonts w:eastAsiaTheme="minorHAnsi"/>
          <w:sz w:val="26"/>
          <w:szCs w:val="26"/>
        </w:rPr>
        <w:t xml:space="preserve"> </w:t>
      </w:r>
      <w:r w:rsidRPr="00E9174E">
        <w:rPr>
          <w:rFonts w:eastAsiaTheme="minorHAnsi"/>
          <w:sz w:val="26"/>
          <w:szCs w:val="26"/>
        </w:rPr>
        <w:t xml:space="preserve">The Management Audit recommended that the Company should increase its universal service programs’ participation rates, particularly through its CAP, as the best way to improve the Company’s low-income payment difficulties.  </w:t>
      </w:r>
      <w:r w:rsidRPr="00E9174E">
        <w:rPr>
          <w:rFonts w:eastAsiaTheme="minorHAnsi"/>
          <w:i/>
          <w:iCs/>
          <w:sz w:val="26"/>
          <w:szCs w:val="26"/>
        </w:rPr>
        <w:t>Id</w:t>
      </w:r>
      <w:r w:rsidRPr="00E9174E">
        <w:rPr>
          <w:rFonts w:eastAsiaTheme="minorHAnsi"/>
          <w:sz w:val="26"/>
          <w:szCs w:val="26"/>
        </w:rPr>
        <w:t xml:space="preserve">.  In particular, the Management Audit recommended Columbia needed to develop strategies that will reduce arrearage levels by increasing CAP enrollment levels.  </w:t>
      </w:r>
      <w:r w:rsidRPr="00E9174E">
        <w:rPr>
          <w:rFonts w:eastAsiaTheme="minorHAnsi"/>
          <w:i/>
          <w:iCs/>
          <w:sz w:val="26"/>
          <w:szCs w:val="26"/>
        </w:rPr>
        <w:t>Id.</w:t>
      </w:r>
      <w:r w:rsidRPr="00E9174E">
        <w:rPr>
          <w:rFonts w:eastAsiaTheme="minorHAnsi"/>
          <w:sz w:val="26"/>
          <w:szCs w:val="26"/>
        </w:rPr>
        <w:t xml:space="preserve">; Management Audit at 5, 8, 59.  The OCA stated that in Columbia’s 2020 Implementation Plan in response to the Management Audit, the Company accepted this recommendation and advised that the steps to implement this recommendation were “in progress.”  OCA St. 5 at 12; </w:t>
      </w:r>
      <w:r w:rsidRPr="00E9174E">
        <w:rPr>
          <w:rFonts w:eastAsiaTheme="minorHAnsi"/>
          <w:i/>
          <w:iCs/>
          <w:sz w:val="26"/>
          <w:szCs w:val="26"/>
        </w:rPr>
        <w:t xml:space="preserve">Focused Management and Operations Audit of Columbia Gas of Pennsylvania, Inc., </w:t>
      </w:r>
      <w:r w:rsidRPr="00E9174E">
        <w:rPr>
          <w:rFonts w:eastAsiaTheme="minorHAnsi"/>
          <w:sz w:val="26"/>
          <w:szCs w:val="26"/>
        </w:rPr>
        <w:t>Docket No. D-2019-3011582, June 29, 2020 Implementation Plan (</w:t>
      </w:r>
      <w:r w:rsidRPr="00E9174E">
        <w:rPr>
          <w:rFonts w:eastAsiaTheme="minorHAnsi"/>
          <w:i/>
          <w:iCs/>
          <w:sz w:val="26"/>
          <w:szCs w:val="26"/>
        </w:rPr>
        <w:t>June 29, 2020 Implementation Plan</w:t>
      </w:r>
      <w:r w:rsidRPr="00E9174E">
        <w:rPr>
          <w:rFonts w:eastAsiaTheme="minorHAnsi"/>
          <w:sz w:val="26"/>
          <w:szCs w:val="26"/>
        </w:rPr>
        <w:t>) at 17.  Specifically, Columbia advised that these steps included the development and documentation of a customer outreach strategy and communication plan to increase enrollment in its universal service programs with input from the Company’s USAC.  OCA St. 5 at 12.</w:t>
      </w:r>
    </w:p>
    <w:p w14:paraId="392B3DDC" w14:textId="77777777" w:rsidR="00C537A2" w:rsidRPr="00E9174E" w:rsidRDefault="00C537A2" w:rsidP="00E9174E">
      <w:pPr>
        <w:widowControl/>
        <w:tabs>
          <w:tab w:val="left" w:pos="0"/>
        </w:tabs>
        <w:spacing w:line="360" w:lineRule="auto"/>
        <w:contextualSpacing/>
        <w:rPr>
          <w:rFonts w:eastAsiaTheme="minorHAnsi"/>
          <w:sz w:val="26"/>
          <w:szCs w:val="26"/>
        </w:rPr>
      </w:pPr>
    </w:p>
    <w:p w14:paraId="4AF0F5AA" w14:textId="268B2A60" w:rsidR="00C537A2" w:rsidRPr="00E9174E" w:rsidRDefault="00C537A2" w:rsidP="00E9174E">
      <w:pPr>
        <w:widowControl/>
        <w:spacing w:line="360" w:lineRule="auto"/>
        <w:ind w:firstLine="1440"/>
        <w:contextualSpacing/>
        <w:rPr>
          <w:rFonts w:eastAsiaTheme="minorHAnsi"/>
          <w:sz w:val="26"/>
          <w:szCs w:val="26"/>
        </w:rPr>
      </w:pPr>
      <w:r w:rsidRPr="00E9174E">
        <w:rPr>
          <w:rFonts w:eastAsiaTheme="minorHAnsi"/>
          <w:sz w:val="26"/>
          <w:szCs w:val="26"/>
        </w:rPr>
        <w:t>In addressing this need to address low-income payment difficulties through improved customer outreach, the OCA stated that the Company’s current outreach efforts are not inclusive enough because when asked how it identifies who is low</w:t>
      </w:r>
      <w:r w:rsidR="00CB59F1" w:rsidRPr="00E9174E">
        <w:rPr>
          <w:rFonts w:eastAsiaTheme="minorHAnsi"/>
          <w:sz w:val="26"/>
          <w:szCs w:val="26"/>
        </w:rPr>
        <w:t>-</w:t>
      </w:r>
      <w:r w:rsidRPr="00E9174E">
        <w:rPr>
          <w:rFonts w:eastAsiaTheme="minorHAnsi"/>
          <w:sz w:val="26"/>
          <w:szCs w:val="26"/>
        </w:rPr>
        <w:t>income, the Company responded that it identifies customers as low</w:t>
      </w:r>
      <w:r w:rsidR="00CB59F1" w:rsidRPr="00E9174E">
        <w:rPr>
          <w:rFonts w:eastAsiaTheme="minorHAnsi"/>
          <w:sz w:val="26"/>
          <w:szCs w:val="26"/>
        </w:rPr>
        <w:t>-</w:t>
      </w:r>
      <w:r w:rsidRPr="00E9174E">
        <w:rPr>
          <w:rFonts w:eastAsiaTheme="minorHAnsi"/>
          <w:sz w:val="26"/>
          <w:szCs w:val="26"/>
        </w:rPr>
        <w:t>income based on who receives LIHEAP or Hardship Fund grants, who enrolls in CAP, or who self-declares their low</w:t>
      </w:r>
      <w:r w:rsidR="000C1F1D" w:rsidRPr="00E9174E">
        <w:rPr>
          <w:rFonts w:eastAsiaTheme="minorHAnsi"/>
          <w:sz w:val="26"/>
          <w:szCs w:val="26"/>
        </w:rPr>
        <w:t xml:space="preserve"> </w:t>
      </w:r>
      <w:r w:rsidRPr="00E9174E">
        <w:rPr>
          <w:rFonts w:eastAsiaTheme="minorHAnsi"/>
          <w:sz w:val="26"/>
          <w:szCs w:val="26"/>
        </w:rPr>
        <w:t>income status to Columbia.  OCA St. 5 at 19.  In other words, the OCA argued that Columbia customers mainly get identified as low</w:t>
      </w:r>
      <w:r w:rsidR="00CB59F1" w:rsidRPr="00E9174E">
        <w:rPr>
          <w:rFonts w:eastAsiaTheme="minorHAnsi"/>
          <w:sz w:val="26"/>
          <w:szCs w:val="26"/>
        </w:rPr>
        <w:t>-</w:t>
      </w:r>
      <w:r w:rsidRPr="00E9174E">
        <w:rPr>
          <w:rFonts w:eastAsiaTheme="minorHAnsi"/>
          <w:sz w:val="26"/>
          <w:szCs w:val="26"/>
        </w:rPr>
        <w:t xml:space="preserve">income when they seek assistance or when they contact the </w:t>
      </w:r>
      <w:r w:rsidR="0009276C" w:rsidRPr="00E9174E">
        <w:rPr>
          <w:rFonts w:eastAsiaTheme="minorHAnsi"/>
          <w:sz w:val="26"/>
          <w:szCs w:val="26"/>
        </w:rPr>
        <w:t>C</w:t>
      </w:r>
      <w:r w:rsidRPr="00E9174E">
        <w:rPr>
          <w:rFonts w:eastAsiaTheme="minorHAnsi"/>
          <w:sz w:val="26"/>
          <w:szCs w:val="26"/>
        </w:rPr>
        <w:t xml:space="preserve">ompany.  </w:t>
      </w:r>
      <w:r w:rsidRPr="00E9174E">
        <w:rPr>
          <w:rFonts w:eastAsiaTheme="minorHAnsi"/>
          <w:i/>
          <w:iCs/>
          <w:sz w:val="26"/>
          <w:szCs w:val="26"/>
        </w:rPr>
        <w:t>Id</w:t>
      </w:r>
      <w:r w:rsidRPr="00E9174E">
        <w:rPr>
          <w:rFonts w:eastAsiaTheme="minorHAnsi"/>
          <w:sz w:val="26"/>
          <w:szCs w:val="26"/>
        </w:rPr>
        <w:t xml:space="preserve">.  </w:t>
      </w:r>
    </w:p>
    <w:p w14:paraId="190D654F" w14:textId="77777777" w:rsidR="00C537A2" w:rsidRPr="00E9174E" w:rsidRDefault="00C537A2" w:rsidP="00E9174E">
      <w:pPr>
        <w:widowControl/>
        <w:tabs>
          <w:tab w:val="left" w:pos="0"/>
        </w:tabs>
        <w:spacing w:line="360" w:lineRule="auto"/>
        <w:contextualSpacing/>
        <w:rPr>
          <w:rFonts w:eastAsiaTheme="minorHAnsi"/>
          <w:sz w:val="26"/>
          <w:szCs w:val="26"/>
        </w:rPr>
      </w:pPr>
    </w:p>
    <w:p w14:paraId="31F4466A" w14:textId="215025FE" w:rsidR="00C537A2" w:rsidRPr="00E9174E" w:rsidRDefault="00C537A2" w:rsidP="00E9174E">
      <w:pPr>
        <w:widowControl/>
        <w:spacing w:line="360" w:lineRule="auto"/>
        <w:ind w:firstLine="1440"/>
        <w:contextualSpacing/>
        <w:rPr>
          <w:rFonts w:eastAsiaTheme="minorHAnsi"/>
          <w:sz w:val="26"/>
          <w:szCs w:val="26"/>
        </w:rPr>
      </w:pPr>
      <w:r w:rsidRPr="00E9174E">
        <w:rPr>
          <w:rFonts w:eastAsiaTheme="minorHAnsi"/>
          <w:sz w:val="26"/>
          <w:szCs w:val="26"/>
        </w:rPr>
        <w:t xml:space="preserve">To rectify this alleged deficiency in Columbia’s customer outreach, the OCA witness Colton recommended that the Company’s outreach plan should: </w:t>
      </w:r>
      <w:r w:rsidR="00AC6840" w:rsidRPr="00E9174E">
        <w:rPr>
          <w:rFonts w:eastAsiaTheme="minorHAnsi"/>
          <w:sz w:val="26"/>
          <w:szCs w:val="26"/>
        </w:rPr>
        <w:t xml:space="preserve"> </w:t>
      </w:r>
      <w:r w:rsidRPr="00E9174E">
        <w:rPr>
          <w:rFonts w:eastAsiaTheme="minorHAnsi"/>
          <w:sz w:val="26"/>
          <w:szCs w:val="26"/>
        </w:rPr>
        <w:t xml:space="preserve">(1) use the community as a means of identifying such customers rather than rely on call center contacts; (2) focus on relationship-building; (3) go to where the customers, live, work, </w:t>
      </w:r>
      <w:r w:rsidRPr="00E9174E">
        <w:rPr>
          <w:rFonts w:eastAsiaTheme="minorHAnsi"/>
          <w:sz w:val="26"/>
          <w:szCs w:val="26"/>
        </w:rPr>
        <w:lastRenderedPageBreak/>
        <w:t xml:space="preserve">shop, play, and pray rather than rely on the customers initiating contacts; and (4) rely on grassroots “trusted messengers” from within the community.  OCA St. 5 at 26-27.  </w:t>
      </w:r>
    </w:p>
    <w:p w14:paraId="033E2BA0" w14:textId="77777777" w:rsidR="00C537A2" w:rsidRPr="00E9174E" w:rsidRDefault="00C537A2" w:rsidP="00E9174E">
      <w:pPr>
        <w:widowControl/>
        <w:tabs>
          <w:tab w:val="left" w:pos="0"/>
        </w:tabs>
        <w:spacing w:line="360" w:lineRule="auto"/>
        <w:contextualSpacing/>
        <w:rPr>
          <w:rFonts w:eastAsiaTheme="minorHAnsi"/>
          <w:sz w:val="26"/>
          <w:szCs w:val="26"/>
        </w:rPr>
      </w:pPr>
    </w:p>
    <w:p w14:paraId="6EFB89E5" w14:textId="329902F1" w:rsidR="00C537A2" w:rsidRPr="00E9174E" w:rsidRDefault="00C537A2" w:rsidP="00E9174E">
      <w:pPr>
        <w:widowControl/>
        <w:spacing w:line="360" w:lineRule="auto"/>
        <w:ind w:firstLine="1440"/>
        <w:contextualSpacing/>
        <w:rPr>
          <w:rFonts w:eastAsiaTheme="minorHAnsi"/>
          <w:sz w:val="26"/>
          <w:szCs w:val="26"/>
        </w:rPr>
      </w:pPr>
      <w:r w:rsidRPr="00E9174E">
        <w:rPr>
          <w:rFonts w:eastAsiaTheme="minorHAnsi"/>
          <w:sz w:val="26"/>
          <w:szCs w:val="26"/>
        </w:rPr>
        <w:t xml:space="preserve">The OCA witness Mr. Colton also recommended that Columbia’s customer outreach be expressly rolled into the Company’s collections performance in four ways: </w:t>
      </w:r>
      <w:r w:rsidR="00B86B59" w:rsidRPr="00E9174E">
        <w:rPr>
          <w:rFonts w:eastAsiaTheme="minorHAnsi"/>
          <w:sz w:val="26"/>
          <w:szCs w:val="26"/>
        </w:rPr>
        <w:t xml:space="preserve"> </w:t>
      </w:r>
      <w:r w:rsidR="00EC75E5" w:rsidRPr="00E9174E">
        <w:rPr>
          <w:rFonts w:eastAsiaTheme="minorHAnsi"/>
          <w:sz w:val="26"/>
          <w:szCs w:val="26"/>
        </w:rPr>
        <w:t xml:space="preserve">  </w:t>
      </w:r>
      <w:r w:rsidRPr="00E9174E">
        <w:rPr>
          <w:rFonts w:eastAsiaTheme="minorHAnsi"/>
          <w:sz w:val="26"/>
          <w:szCs w:val="26"/>
        </w:rPr>
        <w:t>(1) whenever a confirmed low</w:t>
      </w:r>
      <w:r w:rsidR="00A61E25" w:rsidRPr="00E9174E">
        <w:rPr>
          <w:rFonts w:eastAsiaTheme="minorHAnsi"/>
          <w:sz w:val="26"/>
          <w:szCs w:val="26"/>
        </w:rPr>
        <w:t>-</w:t>
      </w:r>
      <w:r w:rsidRPr="00E9174E">
        <w:rPr>
          <w:rFonts w:eastAsiaTheme="minorHAnsi"/>
          <w:sz w:val="26"/>
          <w:szCs w:val="26"/>
        </w:rPr>
        <w:t>income customer is offered a payment arrangement, the customer should be offered the option of enrolling in CAP; (2) prior to an involuntary disconnection of service due to non-payment, the confirmed low</w:t>
      </w:r>
      <w:r w:rsidR="00AC4395" w:rsidRPr="00E9174E">
        <w:rPr>
          <w:rFonts w:eastAsiaTheme="minorHAnsi"/>
          <w:sz w:val="26"/>
          <w:szCs w:val="26"/>
        </w:rPr>
        <w:t xml:space="preserve"> </w:t>
      </w:r>
      <w:r w:rsidRPr="00E9174E">
        <w:rPr>
          <w:rFonts w:eastAsiaTheme="minorHAnsi"/>
          <w:sz w:val="26"/>
          <w:szCs w:val="26"/>
        </w:rPr>
        <w:t>income customer should be offered the option of enrolling in CAP; (3) once service to a confirmed low</w:t>
      </w:r>
      <w:r w:rsidR="006C3E70" w:rsidRPr="00E9174E">
        <w:rPr>
          <w:rFonts w:eastAsiaTheme="minorHAnsi"/>
          <w:sz w:val="26"/>
          <w:szCs w:val="26"/>
        </w:rPr>
        <w:t>-</w:t>
      </w:r>
      <w:r w:rsidRPr="00E9174E">
        <w:rPr>
          <w:rFonts w:eastAsiaTheme="minorHAnsi"/>
          <w:sz w:val="26"/>
          <w:szCs w:val="26"/>
        </w:rPr>
        <w:t>income customer has been disconnected for nonpayment, the customer should be given the option of reconnection by agreeing to enroll in CAP; and (4) whenever a confirmed low</w:t>
      </w:r>
      <w:r w:rsidR="00012601" w:rsidRPr="00E9174E">
        <w:rPr>
          <w:rFonts w:eastAsiaTheme="minorHAnsi"/>
          <w:sz w:val="26"/>
          <w:szCs w:val="26"/>
        </w:rPr>
        <w:t>-</w:t>
      </w:r>
      <w:r w:rsidRPr="00E9174E">
        <w:rPr>
          <w:rFonts w:eastAsiaTheme="minorHAnsi"/>
          <w:sz w:val="26"/>
          <w:szCs w:val="26"/>
        </w:rPr>
        <w:t>income customer is contacted by Columbia as part of the Company’s annual Cold Weather Survey and is found to either be using a potentially unsafe heating source or is without service, the customer should be offered the option of enrolling in CAP.  OCA St. 5 at</w:t>
      </w:r>
      <w:r w:rsidR="002F6F81">
        <w:rPr>
          <w:rFonts w:eastAsiaTheme="minorHAnsi"/>
          <w:sz w:val="26"/>
          <w:szCs w:val="26"/>
        </w:rPr>
        <w:t> </w:t>
      </w:r>
      <w:r w:rsidRPr="00E9174E">
        <w:rPr>
          <w:rFonts w:eastAsiaTheme="minorHAnsi"/>
          <w:sz w:val="26"/>
          <w:szCs w:val="26"/>
        </w:rPr>
        <w:t>27</w:t>
      </w:r>
      <w:r w:rsidR="002F6F81">
        <w:rPr>
          <w:rFonts w:eastAsiaTheme="minorHAnsi"/>
          <w:sz w:val="26"/>
          <w:szCs w:val="26"/>
        </w:rPr>
        <w:noBreakHyphen/>
      </w:r>
      <w:r w:rsidRPr="00E9174E">
        <w:rPr>
          <w:rFonts w:eastAsiaTheme="minorHAnsi"/>
          <w:sz w:val="26"/>
          <w:szCs w:val="26"/>
        </w:rPr>
        <w:t xml:space="preserve">28.  The OCA argued that the goal of these recommendations is to provide more opportunities to reach otherwise hard-to-reach low-income customers who may not be aware that they are entitled to enroll in CAP.  </w:t>
      </w:r>
      <w:r w:rsidRPr="00E9174E">
        <w:rPr>
          <w:rFonts w:eastAsiaTheme="minorHAnsi"/>
          <w:i/>
          <w:iCs/>
          <w:sz w:val="26"/>
          <w:szCs w:val="26"/>
        </w:rPr>
        <w:t>Id</w:t>
      </w:r>
      <w:r w:rsidRPr="00E9174E">
        <w:rPr>
          <w:rFonts w:eastAsiaTheme="minorHAnsi"/>
          <w:sz w:val="26"/>
          <w:szCs w:val="26"/>
        </w:rPr>
        <w:t xml:space="preserve">.    </w:t>
      </w:r>
    </w:p>
    <w:p w14:paraId="42E601C9" w14:textId="77777777" w:rsidR="00C537A2" w:rsidRPr="00E9174E" w:rsidRDefault="00C537A2" w:rsidP="00E9174E">
      <w:pPr>
        <w:widowControl/>
        <w:tabs>
          <w:tab w:val="left" w:pos="0"/>
        </w:tabs>
        <w:spacing w:line="360" w:lineRule="auto"/>
        <w:contextualSpacing/>
        <w:rPr>
          <w:rFonts w:eastAsiaTheme="minorHAnsi"/>
          <w:sz w:val="26"/>
          <w:szCs w:val="26"/>
        </w:rPr>
      </w:pPr>
    </w:p>
    <w:p w14:paraId="0CDF4813" w14:textId="36A15F1F" w:rsidR="00C537A2" w:rsidRPr="00E9174E" w:rsidRDefault="00C537A2" w:rsidP="00E9174E">
      <w:pPr>
        <w:widowControl/>
        <w:spacing w:line="360" w:lineRule="auto"/>
        <w:ind w:firstLine="1440"/>
        <w:contextualSpacing/>
        <w:rPr>
          <w:rFonts w:eastAsiaTheme="minorHAnsi"/>
          <w:sz w:val="26"/>
          <w:szCs w:val="26"/>
        </w:rPr>
      </w:pPr>
      <w:r w:rsidRPr="00E9174E">
        <w:rPr>
          <w:rFonts w:eastAsiaTheme="minorHAnsi"/>
          <w:sz w:val="26"/>
          <w:szCs w:val="26"/>
        </w:rPr>
        <w:t xml:space="preserve">CAUSE-PA similarly contended that Columbia must increase its customer outreach to reach more low-income customers.  CAUSE-PA witness Miller examined various low-income statistics to support his contention that there are a substantial number of low-income customers that have not yet been confirmed by Columbia as such.  CAUSE-PA St. 1 at 21-25; CAUSE M.B. at 21-22.  Further, Mr. Miller used this analysis to argue that “Columbia’s CAP participation rate has shown no measurable improvement in the last decade.”  CAUSE-PA St. 1 at 23.  Equally troubling was the fact that two months into the statewide shutdown caused by the COVID-19 pandemic, Mr. Miller found that “Columbia’s CAP participation rate has remained relatively unaffected” by the shutdown.  CAUSE-PA St. 1 at 24. </w:t>
      </w:r>
    </w:p>
    <w:p w14:paraId="6CDCC263" w14:textId="77777777" w:rsidR="00C537A2" w:rsidRPr="00E9174E" w:rsidRDefault="00C537A2" w:rsidP="00E9174E">
      <w:pPr>
        <w:widowControl/>
        <w:tabs>
          <w:tab w:val="left" w:pos="0"/>
        </w:tabs>
        <w:spacing w:line="360" w:lineRule="auto"/>
        <w:contextualSpacing/>
        <w:rPr>
          <w:rFonts w:eastAsiaTheme="minorHAnsi"/>
          <w:sz w:val="26"/>
          <w:szCs w:val="26"/>
        </w:rPr>
      </w:pPr>
    </w:p>
    <w:p w14:paraId="6C1A46B9" w14:textId="6F8DD69A" w:rsidR="00C537A2" w:rsidRPr="00E9174E" w:rsidRDefault="00C537A2" w:rsidP="00E9174E">
      <w:pPr>
        <w:widowControl/>
        <w:spacing w:line="360" w:lineRule="auto"/>
        <w:ind w:firstLine="1440"/>
        <w:contextualSpacing/>
        <w:rPr>
          <w:rFonts w:eastAsiaTheme="minorHAnsi"/>
          <w:sz w:val="26"/>
          <w:szCs w:val="26"/>
        </w:rPr>
      </w:pPr>
      <w:r w:rsidRPr="00E9174E">
        <w:rPr>
          <w:rFonts w:eastAsiaTheme="minorHAnsi"/>
          <w:sz w:val="26"/>
          <w:szCs w:val="26"/>
        </w:rPr>
        <w:lastRenderedPageBreak/>
        <w:t>To remedy this alleged shortfall in CAP enrollment, CAUSE-PA asserted that Columbia should be required to increase its CAP participation rate to 50% by the year 2025.  CAUSE-PA St. 1 at 24-25; CAUSE-PA M.B. at 20-24.  To accomplish this goal, CAUSE-PA asserted that this goal alone is not enough with measurable benchmarking in place to ensure improvement in Columbia’s CAP enrollment numbers.  CAUSE-PA St. 1 at 24-25.  CAUSE-PA witness Miller explained that Columbia’s plan to achieve a 50% CAP enrollment rate should include a range of tactics, including:</w:t>
      </w:r>
      <w:r w:rsidR="00723E3F" w:rsidRPr="00E9174E">
        <w:rPr>
          <w:rFonts w:eastAsiaTheme="minorHAnsi"/>
          <w:sz w:val="26"/>
          <w:szCs w:val="26"/>
        </w:rPr>
        <w:t xml:space="preserve"> </w:t>
      </w:r>
      <w:r w:rsidRPr="00E9174E">
        <w:rPr>
          <w:rFonts w:eastAsiaTheme="minorHAnsi"/>
          <w:sz w:val="26"/>
          <w:szCs w:val="26"/>
        </w:rPr>
        <w:t xml:space="preserve"> (1)</w:t>
      </w:r>
      <w:r w:rsidR="002F6F81">
        <w:rPr>
          <w:rFonts w:eastAsiaTheme="minorHAnsi"/>
          <w:sz w:val="26"/>
          <w:szCs w:val="26"/>
        </w:rPr>
        <w:t> </w:t>
      </w:r>
      <w:r w:rsidRPr="00E9174E">
        <w:rPr>
          <w:rFonts w:eastAsiaTheme="minorHAnsi"/>
          <w:sz w:val="26"/>
          <w:szCs w:val="26"/>
        </w:rPr>
        <w:t xml:space="preserve">increased outreach and education; (2) improved incentive structures with its program administrators; (3) streamlined CAP application requirements; (4) improved recertification processes; and/or (5) increased coordination with its CAP enrollment.  </w:t>
      </w:r>
      <w:r w:rsidRPr="00E9174E">
        <w:rPr>
          <w:rFonts w:eastAsiaTheme="minorHAnsi"/>
          <w:i/>
          <w:iCs/>
          <w:sz w:val="26"/>
          <w:szCs w:val="26"/>
        </w:rPr>
        <w:t>Id</w:t>
      </w:r>
      <w:r w:rsidRPr="00E9174E">
        <w:rPr>
          <w:rFonts w:eastAsiaTheme="minorHAnsi"/>
          <w:sz w:val="26"/>
          <w:szCs w:val="26"/>
        </w:rPr>
        <w:t xml:space="preserve">.  </w:t>
      </w:r>
    </w:p>
    <w:p w14:paraId="471823AA" w14:textId="77777777" w:rsidR="00C537A2" w:rsidRPr="00E9174E" w:rsidRDefault="00C537A2" w:rsidP="00E9174E">
      <w:pPr>
        <w:widowControl/>
        <w:tabs>
          <w:tab w:val="left" w:pos="0"/>
        </w:tabs>
        <w:spacing w:line="360" w:lineRule="auto"/>
        <w:contextualSpacing/>
        <w:rPr>
          <w:rFonts w:eastAsiaTheme="minorHAnsi"/>
          <w:sz w:val="26"/>
          <w:szCs w:val="26"/>
        </w:rPr>
      </w:pPr>
    </w:p>
    <w:p w14:paraId="041CFF5D" w14:textId="5A8C287D" w:rsidR="00C537A2" w:rsidRPr="00E9174E" w:rsidRDefault="00C537A2" w:rsidP="00E9174E">
      <w:pPr>
        <w:widowControl/>
        <w:spacing w:line="360" w:lineRule="auto"/>
        <w:ind w:firstLine="1440"/>
        <w:contextualSpacing/>
        <w:rPr>
          <w:rFonts w:eastAsiaTheme="minorHAnsi"/>
          <w:sz w:val="26"/>
          <w:szCs w:val="26"/>
        </w:rPr>
      </w:pPr>
      <w:r w:rsidRPr="00E9174E">
        <w:rPr>
          <w:rFonts w:eastAsiaTheme="minorHAnsi"/>
          <w:sz w:val="26"/>
          <w:szCs w:val="26"/>
        </w:rPr>
        <w:t xml:space="preserve">Additionally, CAUSE-PA recommended that Columbia be required to work more closely with stakeholders to identify “workable solutions” to achieve measurable improvements in CAP enrollment.  </w:t>
      </w:r>
      <w:r w:rsidRPr="00E9174E">
        <w:rPr>
          <w:rFonts w:eastAsiaTheme="minorHAnsi"/>
          <w:i/>
          <w:iCs/>
          <w:sz w:val="26"/>
          <w:szCs w:val="26"/>
        </w:rPr>
        <w:t>Id.</w:t>
      </w:r>
      <w:r w:rsidRPr="00E9174E">
        <w:rPr>
          <w:rFonts w:eastAsiaTheme="minorHAnsi"/>
          <w:sz w:val="26"/>
          <w:szCs w:val="26"/>
        </w:rPr>
        <w:t xml:space="preserve"> at 25.  CAUSE-PA also recommended that Columbia should be required to report its progress annually to the Commission to help ensure it is on track to meet its enrollment target, and that Columbia’s success for failure to meet its enrollment goals should be a factor to be affirmatively considered in future rate cases.  </w:t>
      </w:r>
      <w:r w:rsidRPr="00E9174E">
        <w:rPr>
          <w:rFonts w:eastAsiaTheme="minorHAnsi"/>
          <w:i/>
          <w:iCs/>
          <w:sz w:val="26"/>
          <w:szCs w:val="26"/>
        </w:rPr>
        <w:t>Id.</w:t>
      </w:r>
      <w:r w:rsidRPr="00E9174E">
        <w:rPr>
          <w:rFonts w:eastAsiaTheme="minorHAnsi"/>
          <w:sz w:val="26"/>
          <w:szCs w:val="26"/>
        </w:rPr>
        <w:t xml:space="preserve">  </w:t>
      </w:r>
    </w:p>
    <w:p w14:paraId="677D34A7" w14:textId="77777777" w:rsidR="00C537A2" w:rsidRPr="00E9174E" w:rsidRDefault="00C537A2" w:rsidP="00E9174E">
      <w:pPr>
        <w:widowControl/>
        <w:tabs>
          <w:tab w:val="left" w:pos="0"/>
        </w:tabs>
        <w:spacing w:line="360" w:lineRule="auto"/>
        <w:contextualSpacing/>
        <w:rPr>
          <w:rFonts w:eastAsiaTheme="minorHAnsi"/>
          <w:sz w:val="26"/>
          <w:szCs w:val="26"/>
        </w:rPr>
      </w:pPr>
    </w:p>
    <w:p w14:paraId="4959C867" w14:textId="6B4CA466" w:rsidR="00C537A2" w:rsidRPr="00E9174E" w:rsidRDefault="00C537A2" w:rsidP="00E9174E">
      <w:pPr>
        <w:widowControl/>
        <w:spacing w:line="360" w:lineRule="auto"/>
        <w:ind w:firstLine="1440"/>
        <w:contextualSpacing/>
        <w:rPr>
          <w:rFonts w:eastAsiaTheme="minorHAnsi"/>
          <w:sz w:val="26"/>
          <w:szCs w:val="26"/>
        </w:rPr>
      </w:pPr>
      <w:r w:rsidRPr="00E9174E">
        <w:rPr>
          <w:rFonts w:eastAsiaTheme="minorHAnsi"/>
          <w:sz w:val="26"/>
          <w:szCs w:val="26"/>
        </w:rPr>
        <w:t xml:space="preserve">In response, Columbia asserted that its customer outreach efforts are highly inclusive and that these efforts already incorporate the four principles articulated by the OCA’s witness.  Columbia stressed that it utilizes a variety of venues and methods to reach customers outside of the Company’s call center.  The Company stated, for example, that it uses community meetings, CAP screening agencies, web site updates, targeted mail solicitations, paid social media advertisements, advertisements on its own website, and different types of paid advertising on radio, television, billboards, and busses to expand outreach.  The Company affirmed that it accepts applications in the community from churches, unemployment offices, banks, senior centers, Salvation Army offices, and other similar businesses and offices, and that it partners with housing authorities, </w:t>
      </w:r>
      <w:r w:rsidRPr="00E9174E">
        <w:rPr>
          <w:rFonts w:eastAsiaTheme="minorHAnsi"/>
          <w:sz w:val="26"/>
          <w:szCs w:val="26"/>
        </w:rPr>
        <w:lastRenderedPageBreak/>
        <w:t>veterans’ groups, career training centers, and other local community-based agencies as well.  CG M.B. at 108 (citing CG St. 13-R at 5-8</w:t>
      </w:r>
      <w:r w:rsidR="0037488F" w:rsidRPr="00E9174E">
        <w:rPr>
          <w:rFonts w:eastAsiaTheme="minorHAnsi"/>
          <w:sz w:val="26"/>
          <w:szCs w:val="26"/>
        </w:rPr>
        <w:t>)</w:t>
      </w:r>
      <w:r w:rsidRPr="00E9174E">
        <w:rPr>
          <w:rFonts w:eastAsiaTheme="minorHAnsi"/>
          <w:sz w:val="26"/>
          <w:szCs w:val="26"/>
        </w:rPr>
        <w:t xml:space="preserve">.  Finally, Columbia also asserted that it has already rolled the four specific outreach mechanisms recommended by the OCA into the Company’s collections performance efforts.  </w:t>
      </w:r>
      <w:r w:rsidRPr="00E9174E">
        <w:rPr>
          <w:rFonts w:eastAsiaTheme="minorHAnsi"/>
          <w:i/>
          <w:iCs/>
          <w:sz w:val="26"/>
          <w:szCs w:val="26"/>
        </w:rPr>
        <w:t>Id.</w:t>
      </w:r>
      <w:r w:rsidRPr="00E9174E">
        <w:rPr>
          <w:rFonts w:eastAsiaTheme="minorHAnsi"/>
          <w:sz w:val="26"/>
          <w:szCs w:val="26"/>
        </w:rPr>
        <w:t xml:space="preserve"> at 109.</w:t>
      </w:r>
    </w:p>
    <w:p w14:paraId="1B94CFB7" w14:textId="3B7239F4" w:rsidR="00FF07BA" w:rsidRPr="00E9174E" w:rsidRDefault="00FF07BA" w:rsidP="00E9174E">
      <w:pPr>
        <w:widowControl/>
        <w:tabs>
          <w:tab w:val="left" w:pos="360"/>
        </w:tabs>
        <w:spacing w:line="360" w:lineRule="auto"/>
        <w:ind w:left="720"/>
        <w:contextualSpacing/>
        <w:rPr>
          <w:rFonts w:eastAsiaTheme="minorHAnsi"/>
          <w:sz w:val="26"/>
          <w:szCs w:val="26"/>
        </w:rPr>
      </w:pPr>
    </w:p>
    <w:p w14:paraId="794A4AB0" w14:textId="38787CF5" w:rsidR="00111C91" w:rsidRPr="00E9174E" w:rsidRDefault="00111C91" w:rsidP="00277ECF">
      <w:pPr>
        <w:pStyle w:val="Heading4"/>
        <w:numPr>
          <w:ilvl w:val="0"/>
          <w:numId w:val="43"/>
        </w:numPr>
        <w:ind w:left="2160" w:hanging="720"/>
        <w:rPr>
          <w:rFonts w:eastAsiaTheme="minorHAnsi"/>
        </w:rPr>
      </w:pPr>
      <w:bookmarkStart w:id="347" w:name="_Toc63764570"/>
      <w:r w:rsidRPr="00E9174E">
        <w:rPr>
          <w:rFonts w:eastAsiaTheme="minorHAnsi"/>
        </w:rPr>
        <w:t>Recommended Decision</w:t>
      </w:r>
      <w:bookmarkEnd w:id="347"/>
      <w:r w:rsidRPr="00E9174E">
        <w:rPr>
          <w:rFonts w:eastAsiaTheme="minorHAnsi"/>
        </w:rPr>
        <w:t xml:space="preserve"> </w:t>
      </w:r>
    </w:p>
    <w:p w14:paraId="28261C56" w14:textId="3FBDC297" w:rsidR="00C537A2" w:rsidRPr="00E9174E" w:rsidRDefault="00C537A2" w:rsidP="00E9174E">
      <w:pPr>
        <w:keepNext/>
        <w:keepLines/>
        <w:widowControl/>
        <w:tabs>
          <w:tab w:val="left" w:pos="360"/>
        </w:tabs>
        <w:spacing w:line="360" w:lineRule="auto"/>
        <w:ind w:left="720"/>
        <w:contextualSpacing/>
        <w:rPr>
          <w:rFonts w:eastAsiaTheme="minorHAnsi"/>
          <w:sz w:val="26"/>
          <w:szCs w:val="26"/>
        </w:rPr>
      </w:pPr>
    </w:p>
    <w:p w14:paraId="67A5BD85" w14:textId="524451CE" w:rsidR="00FF07BA" w:rsidRPr="00E9174E" w:rsidRDefault="00280BD0" w:rsidP="00E9174E">
      <w:pPr>
        <w:widowControl/>
        <w:spacing w:line="360" w:lineRule="auto"/>
        <w:ind w:firstLine="1440"/>
        <w:contextualSpacing/>
        <w:rPr>
          <w:sz w:val="26"/>
          <w:szCs w:val="26"/>
        </w:rPr>
      </w:pPr>
      <w:r w:rsidRPr="00E9174E">
        <w:rPr>
          <w:sz w:val="26"/>
          <w:szCs w:val="26"/>
        </w:rPr>
        <w:t xml:space="preserve">In her Recommended Decision, the ALJ did not make a specific recommendation for what the Commission should do about Columbia’s CAP outreach if the Company’s rate proposal is denied as recommended.  R.D. at 240-41.  However, the ALJ found that if the Commission grants Columbia’s request to consider all the elements in its base rate increase request, there is no need to change Columbia’s outreach initiatives at this time.  </w:t>
      </w:r>
      <w:r w:rsidRPr="00E9174E">
        <w:rPr>
          <w:i/>
          <w:iCs/>
          <w:sz w:val="26"/>
          <w:szCs w:val="26"/>
        </w:rPr>
        <w:t>Id.</w:t>
      </w:r>
      <w:r w:rsidRPr="00E9174E">
        <w:rPr>
          <w:sz w:val="26"/>
          <w:szCs w:val="26"/>
        </w:rPr>
        <w:t xml:space="preserve"> at 241.  </w:t>
      </w:r>
    </w:p>
    <w:p w14:paraId="22032228" w14:textId="77777777" w:rsidR="00256C54" w:rsidRPr="00E9174E" w:rsidRDefault="00256C54" w:rsidP="00E9174E">
      <w:pPr>
        <w:widowControl/>
        <w:spacing w:line="360" w:lineRule="auto"/>
        <w:ind w:firstLine="1440"/>
        <w:contextualSpacing/>
        <w:rPr>
          <w:rFonts w:eastAsiaTheme="minorHAnsi"/>
          <w:sz w:val="26"/>
          <w:szCs w:val="26"/>
        </w:rPr>
      </w:pPr>
    </w:p>
    <w:p w14:paraId="426E7ABF" w14:textId="7542342B" w:rsidR="00280BD0" w:rsidRPr="00FD7CED" w:rsidRDefault="004A3375" w:rsidP="00277ECF">
      <w:pPr>
        <w:pStyle w:val="Heading4"/>
        <w:numPr>
          <w:ilvl w:val="0"/>
          <w:numId w:val="43"/>
        </w:numPr>
        <w:spacing w:line="240" w:lineRule="auto"/>
        <w:ind w:left="2160" w:hanging="720"/>
        <w:rPr>
          <w:rFonts w:eastAsiaTheme="minorHAnsi"/>
        </w:rPr>
      </w:pPr>
      <w:bookmarkStart w:id="348" w:name="_Toc63764571"/>
      <w:r w:rsidRPr="00FD7CED">
        <w:rPr>
          <w:rFonts w:eastAsiaTheme="minorHAnsi"/>
        </w:rPr>
        <w:t>OCA Exception No. 2 and CAUSE-PA Exception No. 3 and Replies</w:t>
      </w:r>
      <w:bookmarkEnd w:id="348"/>
    </w:p>
    <w:p w14:paraId="3D723675" w14:textId="44DDF84A" w:rsidR="00111C91" w:rsidRPr="00E9174E" w:rsidRDefault="00111C91" w:rsidP="00FD7CED">
      <w:pPr>
        <w:keepNext/>
        <w:keepLines/>
        <w:widowControl/>
        <w:tabs>
          <w:tab w:val="left" w:pos="360"/>
        </w:tabs>
        <w:spacing w:line="480" w:lineRule="auto"/>
        <w:ind w:left="720"/>
        <w:contextualSpacing/>
        <w:rPr>
          <w:rFonts w:eastAsiaTheme="minorHAnsi"/>
          <w:sz w:val="26"/>
          <w:szCs w:val="26"/>
        </w:rPr>
      </w:pPr>
    </w:p>
    <w:p w14:paraId="37061217" w14:textId="408CC406" w:rsidR="00C31C4F" w:rsidRPr="00E9174E" w:rsidRDefault="00C31C4F" w:rsidP="00E9174E">
      <w:pPr>
        <w:keepNext/>
        <w:widowControl/>
        <w:spacing w:line="360" w:lineRule="auto"/>
        <w:ind w:firstLine="1440"/>
        <w:contextualSpacing/>
        <w:rPr>
          <w:rFonts w:eastAsiaTheme="minorHAnsi"/>
          <w:sz w:val="26"/>
          <w:szCs w:val="26"/>
        </w:rPr>
      </w:pPr>
      <w:r w:rsidRPr="00E9174E">
        <w:rPr>
          <w:rFonts w:eastAsiaTheme="minorHAnsi"/>
          <w:sz w:val="26"/>
          <w:szCs w:val="26"/>
        </w:rPr>
        <w:t xml:space="preserve">In its Exception No. 2, the OCA avers that the ALJ erred in finding that Columbia should not expand its outreach efforts.  The OCA states that while the ALJ correctly concluded that the Company’s low-income collection efforts should be improved, the ALJ did not specifically recognize that the customer outreach efforts were also needed and could aid in collection efforts.  OCA Exc. at 11.  The OCA explains that the purpose of its outreach recommendation was to address the “payment difficulties that exist within [Columbia’s] confirmed low-income customer population” that were found in Columbia’s Management Audit.  </w:t>
      </w:r>
      <w:r w:rsidRPr="00E9174E">
        <w:rPr>
          <w:rFonts w:eastAsiaTheme="minorHAnsi"/>
          <w:i/>
          <w:iCs/>
          <w:sz w:val="26"/>
          <w:szCs w:val="26"/>
        </w:rPr>
        <w:t>Id</w:t>
      </w:r>
      <w:r w:rsidRPr="00E9174E">
        <w:rPr>
          <w:rFonts w:eastAsiaTheme="minorHAnsi"/>
          <w:sz w:val="26"/>
          <w:szCs w:val="26"/>
        </w:rPr>
        <w:t>. (citing OCA St. 5 at 12).  The OCA submits that additional outreach efforts should be combined with the collection efforts recommended by the U</w:t>
      </w:r>
      <w:r w:rsidR="00625FA4" w:rsidRPr="00E9174E">
        <w:rPr>
          <w:rFonts w:eastAsiaTheme="minorHAnsi"/>
          <w:sz w:val="26"/>
          <w:szCs w:val="26"/>
        </w:rPr>
        <w:t>SAC</w:t>
      </w:r>
      <w:r w:rsidRPr="00E9174E">
        <w:rPr>
          <w:rFonts w:eastAsiaTheme="minorHAnsi"/>
          <w:sz w:val="26"/>
          <w:szCs w:val="26"/>
        </w:rPr>
        <w:t>.  OCA Exc. at 11.</w:t>
      </w:r>
    </w:p>
    <w:p w14:paraId="7EF0BBF8" w14:textId="6D421598" w:rsidR="00C31C4F" w:rsidRPr="00E9174E" w:rsidRDefault="00C31C4F" w:rsidP="00E9174E">
      <w:pPr>
        <w:widowControl/>
        <w:autoSpaceDE w:val="0"/>
        <w:autoSpaceDN w:val="0"/>
        <w:adjustRightInd w:val="0"/>
        <w:spacing w:line="360" w:lineRule="auto"/>
        <w:contextualSpacing/>
        <w:rPr>
          <w:rFonts w:eastAsiaTheme="minorHAnsi"/>
          <w:sz w:val="26"/>
          <w:szCs w:val="26"/>
        </w:rPr>
      </w:pPr>
    </w:p>
    <w:p w14:paraId="74680690" w14:textId="6B41F7EA" w:rsidR="00C31C4F" w:rsidRPr="00E9174E" w:rsidRDefault="00C31C4F" w:rsidP="00E9174E">
      <w:pPr>
        <w:widowControl/>
        <w:autoSpaceDE w:val="0"/>
        <w:autoSpaceDN w:val="0"/>
        <w:adjustRightInd w:val="0"/>
        <w:spacing w:line="360" w:lineRule="auto"/>
        <w:ind w:firstLine="1440"/>
        <w:contextualSpacing/>
        <w:rPr>
          <w:rFonts w:eastAsiaTheme="minorHAnsi"/>
          <w:sz w:val="26"/>
          <w:szCs w:val="26"/>
        </w:rPr>
      </w:pPr>
      <w:r w:rsidRPr="00E9174E">
        <w:rPr>
          <w:rFonts w:eastAsiaTheme="minorHAnsi"/>
          <w:sz w:val="26"/>
          <w:szCs w:val="26"/>
        </w:rPr>
        <w:lastRenderedPageBreak/>
        <w:t>The OCA also explains that its CAP collection policy recommendations and outreach recommendations were proposed to work together to address increasing arrearages for confirmed low-income customers.  OCA Exc. at 11 (citing OCA St. 5 at</w:t>
      </w:r>
      <w:r w:rsidR="00FD7CED">
        <w:rPr>
          <w:rFonts w:eastAsiaTheme="minorHAnsi"/>
          <w:sz w:val="26"/>
          <w:szCs w:val="26"/>
        </w:rPr>
        <w:t> </w:t>
      </w:r>
      <w:r w:rsidRPr="00E9174E">
        <w:rPr>
          <w:rFonts w:eastAsiaTheme="minorHAnsi"/>
          <w:sz w:val="26"/>
          <w:szCs w:val="26"/>
        </w:rPr>
        <w:t>6</w:t>
      </w:r>
      <w:r w:rsidR="00FD7CED">
        <w:rPr>
          <w:rFonts w:eastAsiaTheme="minorHAnsi"/>
          <w:sz w:val="26"/>
          <w:szCs w:val="26"/>
        </w:rPr>
        <w:noBreakHyphen/>
      </w:r>
      <w:r w:rsidRPr="00E9174E">
        <w:rPr>
          <w:rFonts w:eastAsiaTheme="minorHAnsi"/>
          <w:sz w:val="26"/>
          <w:szCs w:val="26"/>
        </w:rPr>
        <w:t>28).  The OCA states that the ALJ correctly found that the Company’s current CAP collections policies are not adequate and adopted the OCA witness</w:t>
      </w:r>
      <w:r w:rsidR="004B049D" w:rsidRPr="00E9174E">
        <w:rPr>
          <w:rFonts w:eastAsiaTheme="minorHAnsi"/>
          <w:sz w:val="26"/>
          <w:szCs w:val="26"/>
        </w:rPr>
        <w:t xml:space="preserve"> Mr.</w:t>
      </w:r>
      <w:r w:rsidRPr="00E9174E">
        <w:rPr>
          <w:rFonts w:eastAsiaTheme="minorHAnsi"/>
          <w:sz w:val="26"/>
          <w:szCs w:val="26"/>
        </w:rPr>
        <w:t xml:space="preserve"> Colton’s recommendation that Columbia address the issue by submitting to the Company’s USAC the question of how customer payments on CAP bills can be pursued through a reasonable collections process.  OCA Exc. at 11-12 (citing R.D. at 238, 240-241; OCA</w:t>
      </w:r>
      <w:r w:rsidR="00FD7CED">
        <w:rPr>
          <w:rFonts w:eastAsiaTheme="minorHAnsi"/>
          <w:sz w:val="26"/>
          <w:szCs w:val="26"/>
        </w:rPr>
        <w:t> </w:t>
      </w:r>
      <w:r w:rsidRPr="00E9174E">
        <w:rPr>
          <w:rFonts w:eastAsiaTheme="minorHAnsi"/>
          <w:sz w:val="26"/>
          <w:szCs w:val="26"/>
        </w:rPr>
        <w:t xml:space="preserve">St. 5 at 11).  The OCA pointed out that </w:t>
      </w:r>
      <w:r w:rsidR="00E7519D" w:rsidRPr="00E9174E">
        <w:rPr>
          <w:rFonts w:eastAsiaTheme="minorHAnsi"/>
          <w:sz w:val="26"/>
          <w:szCs w:val="26"/>
        </w:rPr>
        <w:t>Mr.</w:t>
      </w:r>
      <w:r w:rsidRPr="00E9174E">
        <w:rPr>
          <w:rFonts w:eastAsiaTheme="minorHAnsi"/>
          <w:sz w:val="26"/>
          <w:szCs w:val="26"/>
        </w:rPr>
        <w:t xml:space="preserve"> Colton also testified that a significant number of confirmed low-income customers are in arrears and that the Company’s CAP outreach does not appear to be reaching a significant segment of the confirmed low-income population that could benefit from CAP, particularly those customers at or below 50% of the Federal Poverty Level (FPL).  OCA Exc. at 12 (citing OCA M.B. at 122; OCA St. 5 at 13-14, Table 3).  Accordingly, the OCA states that Mr. Colton recommended additional steps the Company should take to improve its community-based, grass-roots outreach to better reach low-income customers in its communities and to address the confirmed low-income customer arrearages.  OCA Exc. at 12 (citing OCA</w:t>
      </w:r>
      <w:r w:rsidR="00FD7CED">
        <w:rPr>
          <w:rFonts w:eastAsiaTheme="minorHAnsi"/>
          <w:sz w:val="26"/>
          <w:szCs w:val="26"/>
        </w:rPr>
        <w:t> </w:t>
      </w:r>
      <w:r w:rsidRPr="00E9174E">
        <w:rPr>
          <w:rFonts w:eastAsiaTheme="minorHAnsi"/>
          <w:sz w:val="26"/>
          <w:szCs w:val="26"/>
        </w:rPr>
        <w:t>St. 5 at 28).  The OCA believes that this is particularly critical for customers with incomes between 0-50% of FPL.  OCA Exc. at 12.</w:t>
      </w:r>
    </w:p>
    <w:p w14:paraId="55D0AAB0" w14:textId="1B4369D9" w:rsidR="00C31C4F" w:rsidRPr="00E9174E" w:rsidRDefault="00C31C4F" w:rsidP="00E9174E">
      <w:pPr>
        <w:widowControl/>
        <w:autoSpaceDE w:val="0"/>
        <w:autoSpaceDN w:val="0"/>
        <w:adjustRightInd w:val="0"/>
        <w:spacing w:line="360" w:lineRule="auto"/>
        <w:contextualSpacing/>
        <w:jc w:val="both"/>
        <w:rPr>
          <w:rFonts w:eastAsiaTheme="minorHAnsi"/>
          <w:sz w:val="26"/>
          <w:szCs w:val="26"/>
        </w:rPr>
      </w:pPr>
    </w:p>
    <w:p w14:paraId="4130FCD3" w14:textId="4D5FF198" w:rsidR="00C31C4F" w:rsidRPr="00E9174E" w:rsidRDefault="00C31C4F" w:rsidP="00FD7CED">
      <w:pPr>
        <w:widowControl/>
        <w:autoSpaceDE w:val="0"/>
        <w:autoSpaceDN w:val="0"/>
        <w:adjustRightInd w:val="0"/>
        <w:spacing w:line="360" w:lineRule="auto"/>
        <w:ind w:firstLine="1440"/>
        <w:contextualSpacing/>
        <w:rPr>
          <w:rFonts w:eastAsiaTheme="minorHAnsi"/>
          <w:sz w:val="26"/>
          <w:szCs w:val="26"/>
        </w:rPr>
      </w:pPr>
      <w:r w:rsidRPr="00E9174E">
        <w:rPr>
          <w:rFonts w:eastAsiaTheme="minorHAnsi"/>
          <w:sz w:val="26"/>
          <w:szCs w:val="26"/>
        </w:rPr>
        <w:t xml:space="preserve">In addition to improvements to the Company’s collection efforts, the OCA submits that Columbia should be directed to improve its low-income customer outreach in order to help improve its collection efforts.  The OCA notes its witness Colton’s recommendations that are designed to leverage trusted resources in the community to reach otherwise hard-to-reach low-income customer populations.  </w:t>
      </w:r>
      <w:r w:rsidRPr="00E9174E">
        <w:rPr>
          <w:rFonts w:eastAsiaTheme="minorHAnsi"/>
          <w:i/>
          <w:iCs/>
          <w:sz w:val="26"/>
          <w:szCs w:val="26"/>
        </w:rPr>
        <w:t>Id</w:t>
      </w:r>
      <w:r w:rsidRPr="00E9174E">
        <w:rPr>
          <w:rFonts w:eastAsiaTheme="minorHAnsi"/>
          <w:sz w:val="26"/>
          <w:szCs w:val="26"/>
        </w:rPr>
        <w:t xml:space="preserve">.  The OCA witness Colton recommended that the “Outreach and Communication Plan” incorporate the following principles: </w:t>
      </w:r>
      <w:r w:rsidR="000674B0" w:rsidRPr="00E9174E">
        <w:rPr>
          <w:rFonts w:eastAsiaTheme="minorHAnsi"/>
          <w:sz w:val="26"/>
          <w:szCs w:val="26"/>
        </w:rPr>
        <w:t xml:space="preserve"> </w:t>
      </w:r>
      <w:r w:rsidRPr="00E9174E">
        <w:rPr>
          <w:rFonts w:eastAsiaTheme="minorHAnsi"/>
          <w:sz w:val="26"/>
          <w:szCs w:val="26"/>
        </w:rPr>
        <w:t>(1) r</w:t>
      </w:r>
      <w:r w:rsidRPr="00E9174E">
        <w:rPr>
          <w:sz w:val="26"/>
          <w:szCs w:val="26"/>
        </w:rPr>
        <w:t xml:space="preserve">ather than relying primarily on call center contacts, use the community as a means of identifying and engaging the hard-to-reach population; (2) rather than relying primarily on staff contacts as the means of identifying low-income </w:t>
      </w:r>
      <w:r w:rsidRPr="00E9174E">
        <w:rPr>
          <w:sz w:val="26"/>
          <w:szCs w:val="26"/>
        </w:rPr>
        <w:lastRenderedPageBreak/>
        <w:t xml:space="preserve">customers, focus on relationship-building; (3) rather than relying primarily on customers initiating contacts (whether to apply for assistance, or to be in contact with a “self-declaration”), go to the community (reaching them “where they live, work, shop, play and pray”) rather than making the community come to you; and (4) rather than relying primarily on Columbia communications to its customers, rely on grassroots “trusted messengers” from within the community.  </w:t>
      </w:r>
      <w:r w:rsidRPr="00E9174E">
        <w:rPr>
          <w:i/>
          <w:iCs/>
          <w:sz w:val="26"/>
          <w:szCs w:val="26"/>
        </w:rPr>
        <w:t>Id</w:t>
      </w:r>
      <w:r w:rsidRPr="00E9174E">
        <w:rPr>
          <w:sz w:val="26"/>
          <w:szCs w:val="26"/>
        </w:rPr>
        <w:t>. at 12-13 (citing OCA St. 5 at 26-27; OCA</w:t>
      </w:r>
      <w:r w:rsidR="00FD7CED">
        <w:rPr>
          <w:sz w:val="26"/>
          <w:szCs w:val="26"/>
        </w:rPr>
        <w:t> </w:t>
      </w:r>
      <w:r w:rsidRPr="00E9174E">
        <w:rPr>
          <w:sz w:val="26"/>
          <w:szCs w:val="26"/>
        </w:rPr>
        <w:t xml:space="preserve">M.B. at 123).  </w:t>
      </w:r>
      <w:r w:rsidRPr="00E9174E">
        <w:rPr>
          <w:rFonts w:eastAsiaTheme="minorHAnsi"/>
          <w:sz w:val="26"/>
          <w:szCs w:val="26"/>
        </w:rPr>
        <w:t>The OCA asserts that the additional outreach efforts will help to increase enrollment in the Company’s CAP and will reduce its residential arrears.  OCA Exc. at</w:t>
      </w:r>
      <w:r w:rsidR="00256C54" w:rsidRPr="00E9174E">
        <w:rPr>
          <w:rFonts w:eastAsiaTheme="minorHAnsi"/>
          <w:sz w:val="26"/>
          <w:szCs w:val="26"/>
        </w:rPr>
        <w:t> </w:t>
      </w:r>
      <w:r w:rsidRPr="00E9174E">
        <w:rPr>
          <w:rFonts w:eastAsiaTheme="minorHAnsi"/>
          <w:sz w:val="26"/>
          <w:szCs w:val="26"/>
        </w:rPr>
        <w:t xml:space="preserve">13.  </w:t>
      </w:r>
    </w:p>
    <w:p w14:paraId="0F601128" w14:textId="77777777" w:rsidR="00C31C4F" w:rsidRPr="00E9174E" w:rsidRDefault="00C31C4F" w:rsidP="00E9174E">
      <w:pPr>
        <w:widowControl/>
        <w:autoSpaceDE w:val="0"/>
        <w:autoSpaceDN w:val="0"/>
        <w:adjustRightInd w:val="0"/>
        <w:spacing w:line="360" w:lineRule="auto"/>
        <w:ind w:firstLine="1440"/>
        <w:contextualSpacing/>
        <w:rPr>
          <w:rFonts w:eastAsiaTheme="minorHAnsi"/>
          <w:sz w:val="26"/>
          <w:szCs w:val="26"/>
        </w:rPr>
      </w:pPr>
    </w:p>
    <w:p w14:paraId="737EF196" w14:textId="77777777" w:rsidR="00C31C4F" w:rsidRPr="00E9174E" w:rsidRDefault="00C31C4F" w:rsidP="00E9174E">
      <w:pPr>
        <w:widowControl/>
        <w:spacing w:line="360" w:lineRule="auto"/>
        <w:ind w:firstLine="1440"/>
        <w:contextualSpacing/>
        <w:rPr>
          <w:rFonts w:eastAsiaTheme="minorHAnsi"/>
          <w:sz w:val="26"/>
          <w:szCs w:val="26"/>
        </w:rPr>
      </w:pPr>
      <w:r w:rsidRPr="00E9174E">
        <w:rPr>
          <w:rFonts w:eastAsiaTheme="minorHAnsi"/>
          <w:sz w:val="26"/>
          <w:szCs w:val="26"/>
        </w:rPr>
        <w:t xml:space="preserve">In its Reply to </w:t>
      </w:r>
      <w:r w:rsidR="00B26E37" w:rsidRPr="00E9174E">
        <w:rPr>
          <w:rFonts w:eastAsiaTheme="minorHAnsi"/>
          <w:sz w:val="26"/>
          <w:szCs w:val="26"/>
        </w:rPr>
        <w:t xml:space="preserve">the </w:t>
      </w:r>
      <w:r w:rsidRPr="00E9174E">
        <w:rPr>
          <w:rFonts w:eastAsiaTheme="minorHAnsi"/>
          <w:sz w:val="26"/>
          <w:szCs w:val="26"/>
        </w:rPr>
        <w:t xml:space="preserve">OCA’s Exception No. 2, Columbia states that it agrees with the fundamental principles </w:t>
      </w:r>
      <w:r w:rsidR="001F1BB3" w:rsidRPr="00E9174E">
        <w:rPr>
          <w:rFonts w:eastAsiaTheme="minorHAnsi"/>
          <w:sz w:val="26"/>
          <w:szCs w:val="26"/>
        </w:rPr>
        <w:t xml:space="preserve">the </w:t>
      </w:r>
      <w:r w:rsidRPr="00E9174E">
        <w:rPr>
          <w:rFonts w:eastAsiaTheme="minorHAnsi"/>
          <w:sz w:val="26"/>
          <w:szCs w:val="26"/>
        </w:rPr>
        <w:t xml:space="preserve">OCA suggests and has developed its outreach efforts consistent with those principles.  Columbia asserts that its outreach efforts are already strong and effective in reaching customers in need, and there is no need to change the Company’s outreach initiatives at this time.  CG R. Exc. at 9.  Specifically, Columbia states that the four outreach principles the OCA suggested are already embodied in the Company’s existing outreach efforts.  </w:t>
      </w:r>
    </w:p>
    <w:p w14:paraId="68070153" w14:textId="77777777" w:rsidR="00C31C4F" w:rsidRPr="00E9174E" w:rsidRDefault="00C31C4F" w:rsidP="00E9174E">
      <w:pPr>
        <w:widowControl/>
        <w:spacing w:line="360" w:lineRule="auto"/>
        <w:ind w:firstLine="1440"/>
        <w:contextualSpacing/>
        <w:rPr>
          <w:rFonts w:eastAsiaTheme="minorHAnsi"/>
          <w:sz w:val="26"/>
          <w:szCs w:val="26"/>
        </w:rPr>
      </w:pPr>
    </w:p>
    <w:p w14:paraId="6FCAB47A" w14:textId="69689F49" w:rsidR="00C31C4F" w:rsidRPr="00E9174E" w:rsidRDefault="00C31C4F" w:rsidP="00E9174E">
      <w:pPr>
        <w:widowControl/>
        <w:spacing w:line="360" w:lineRule="auto"/>
        <w:ind w:firstLine="1440"/>
        <w:contextualSpacing/>
        <w:rPr>
          <w:rFonts w:eastAsiaTheme="minorHAnsi"/>
          <w:sz w:val="26"/>
          <w:szCs w:val="26"/>
        </w:rPr>
      </w:pPr>
      <w:r w:rsidRPr="00E9174E">
        <w:rPr>
          <w:rFonts w:eastAsiaTheme="minorHAnsi"/>
          <w:sz w:val="26"/>
          <w:szCs w:val="26"/>
        </w:rPr>
        <w:t>First, Columbia explains that it uses many different venues and methods to reach customers outside of its call center</w:t>
      </w:r>
      <w:bookmarkStart w:id="349" w:name="_Hlk53643370"/>
      <w:r w:rsidRPr="00E9174E">
        <w:rPr>
          <w:rFonts w:eastAsiaTheme="minorHAnsi"/>
          <w:sz w:val="26"/>
          <w:szCs w:val="26"/>
        </w:rPr>
        <w:t xml:space="preserve">.  Columbia uses community meetings, CAP screening agencies, web site updates, targeted mail solicitations, paid social media advertisements, advertisements on the Company website, television and radio advertisements, and advertisements on busses and billboards to educate customers regarding the availability of low-income assistance programs.  The Company continues that it develops an annual strategy for outreach that includes an advertising component and at least one Company-sponsored community engagement opportunity.  Each year, the Company also identifies a new audience to specifically target, such as the elderly, veterans, or the working poor.  The Company further states that it works with its USAC </w:t>
      </w:r>
      <w:r w:rsidRPr="00E9174E">
        <w:rPr>
          <w:rFonts w:eastAsiaTheme="minorHAnsi"/>
          <w:sz w:val="26"/>
          <w:szCs w:val="26"/>
        </w:rPr>
        <w:lastRenderedPageBreak/>
        <w:t xml:space="preserve">members, which include representatives from the community, to review outreach efforts for effectiveness and to develop new approaches.  </w:t>
      </w:r>
      <w:r w:rsidRPr="00E9174E">
        <w:rPr>
          <w:rFonts w:eastAsiaTheme="minorHAnsi"/>
          <w:i/>
          <w:iCs/>
          <w:sz w:val="26"/>
          <w:szCs w:val="26"/>
        </w:rPr>
        <w:t>Id</w:t>
      </w:r>
      <w:r w:rsidRPr="00E9174E">
        <w:rPr>
          <w:rFonts w:eastAsiaTheme="minorHAnsi"/>
          <w:sz w:val="26"/>
          <w:szCs w:val="26"/>
        </w:rPr>
        <w:t xml:space="preserve">. at 10.  </w:t>
      </w:r>
    </w:p>
    <w:p w14:paraId="4E7A98AB" w14:textId="77777777" w:rsidR="00C31C4F" w:rsidRPr="00E9174E" w:rsidRDefault="00C31C4F" w:rsidP="00E9174E">
      <w:pPr>
        <w:widowControl/>
        <w:spacing w:line="360" w:lineRule="auto"/>
        <w:ind w:firstLine="720"/>
        <w:contextualSpacing/>
        <w:rPr>
          <w:rFonts w:eastAsiaTheme="minorHAnsi"/>
          <w:sz w:val="26"/>
          <w:szCs w:val="26"/>
        </w:rPr>
      </w:pPr>
    </w:p>
    <w:p w14:paraId="503FA4C6" w14:textId="77777777" w:rsidR="00C31C4F" w:rsidRPr="00E9174E" w:rsidRDefault="00C31C4F" w:rsidP="00E9174E">
      <w:pPr>
        <w:widowControl/>
        <w:spacing w:line="360" w:lineRule="auto"/>
        <w:ind w:firstLine="1440"/>
        <w:contextualSpacing/>
        <w:rPr>
          <w:rFonts w:eastAsiaTheme="minorHAnsi"/>
          <w:sz w:val="26"/>
          <w:szCs w:val="26"/>
        </w:rPr>
      </w:pPr>
      <w:r w:rsidRPr="00E9174E">
        <w:rPr>
          <w:rFonts w:eastAsiaTheme="minorHAnsi"/>
          <w:sz w:val="26"/>
          <w:szCs w:val="26"/>
        </w:rPr>
        <w:t xml:space="preserve">Second, Columbia explains that it focuses on relationship building as opposed to relying on staff contacts.  </w:t>
      </w:r>
      <w:r w:rsidRPr="00E9174E">
        <w:rPr>
          <w:rFonts w:eastAsiaTheme="minorHAnsi"/>
          <w:i/>
          <w:iCs/>
          <w:sz w:val="26"/>
          <w:szCs w:val="26"/>
        </w:rPr>
        <w:t>Id</w:t>
      </w:r>
      <w:r w:rsidRPr="00E9174E">
        <w:rPr>
          <w:rFonts w:eastAsiaTheme="minorHAnsi"/>
          <w:sz w:val="26"/>
          <w:szCs w:val="26"/>
        </w:rPr>
        <w:t xml:space="preserve">.  Each year, the Company participates in fifteen to twenty legislative and/or senior events and three “Be Utility Wise” events to promote programs to individuals, community advocates, and caseworkers and to build relationships in the community.  </w:t>
      </w:r>
      <w:r w:rsidRPr="00E9174E">
        <w:rPr>
          <w:rFonts w:eastAsiaTheme="minorHAnsi"/>
          <w:i/>
          <w:iCs/>
          <w:sz w:val="26"/>
          <w:szCs w:val="26"/>
        </w:rPr>
        <w:t>Id</w:t>
      </w:r>
      <w:r w:rsidRPr="00E9174E">
        <w:rPr>
          <w:rFonts w:eastAsiaTheme="minorHAnsi"/>
          <w:sz w:val="26"/>
          <w:szCs w:val="26"/>
        </w:rPr>
        <w:t xml:space="preserve">. at 10-11.  </w:t>
      </w:r>
    </w:p>
    <w:p w14:paraId="34A112CD" w14:textId="77777777" w:rsidR="00C31C4F" w:rsidRPr="00E9174E" w:rsidRDefault="00C31C4F" w:rsidP="00E9174E">
      <w:pPr>
        <w:widowControl/>
        <w:spacing w:line="360" w:lineRule="auto"/>
        <w:ind w:firstLine="1440"/>
        <w:contextualSpacing/>
        <w:rPr>
          <w:rFonts w:eastAsiaTheme="minorHAnsi"/>
          <w:sz w:val="26"/>
          <w:szCs w:val="26"/>
        </w:rPr>
      </w:pPr>
    </w:p>
    <w:p w14:paraId="225B1845" w14:textId="77777777" w:rsidR="00C31C4F" w:rsidRPr="00E9174E" w:rsidRDefault="00C31C4F" w:rsidP="00E9174E">
      <w:pPr>
        <w:widowControl/>
        <w:spacing w:line="360" w:lineRule="auto"/>
        <w:ind w:firstLine="1440"/>
        <w:contextualSpacing/>
        <w:rPr>
          <w:rFonts w:eastAsiaTheme="minorHAnsi"/>
          <w:sz w:val="26"/>
          <w:szCs w:val="26"/>
        </w:rPr>
      </w:pPr>
      <w:r w:rsidRPr="00E9174E">
        <w:rPr>
          <w:rFonts w:eastAsiaTheme="minorHAnsi"/>
          <w:sz w:val="26"/>
          <w:szCs w:val="26"/>
        </w:rPr>
        <w:t xml:space="preserve">Third, Columbia explains that it actively engages in outreach activities within the community, including accepting CAP applications in the community.  For example, Columbia has accepted CAP applications at worship sites, unemployment offices, banks, stores, community action agencies, senior centers, Salvation Army offices, and in customer homes when necessary.  </w:t>
      </w:r>
    </w:p>
    <w:p w14:paraId="1BBEC1B8" w14:textId="77777777" w:rsidR="00C31C4F" w:rsidRPr="00E9174E" w:rsidRDefault="00C31C4F" w:rsidP="00E9174E">
      <w:pPr>
        <w:widowControl/>
        <w:spacing w:line="360" w:lineRule="auto"/>
        <w:ind w:firstLine="1440"/>
        <w:contextualSpacing/>
        <w:rPr>
          <w:rFonts w:eastAsiaTheme="minorHAnsi"/>
          <w:sz w:val="26"/>
          <w:szCs w:val="26"/>
        </w:rPr>
      </w:pPr>
    </w:p>
    <w:p w14:paraId="001A8198" w14:textId="1DB2C38B" w:rsidR="00C31C4F" w:rsidRPr="00E9174E" w:rsidRDefault="00C31C4F" w:rsidP="00E9174E">
      <w:pPr>
        <w:widowControl/>
        <w:spacing w:line="360" w:lineRule="auto"/>
        <w:ind w:firstLine="1440"/>
        <w:contextualSpacing/>
        <w:rPr>
          <w:rFonts w:eastAsiaTheme="minorHAnsi"/>
          <w:sz w:val="26"/>
          <w:szCs w:val="26"/>
        </w:rPr>
      </w:pPr>
      <w:r w:rsidRPr="00E9174E">
        <w:rPr>
          <w:rFonts w:eastAsiaTheme="minorHAnsi"/>
          <w:sz w:val="26"/>
          <w:szCs w:val="26"/>
        </w:rPr>
        <w:t xml:space="preserve">Fourth, Columbia explains that it relies on </w:t>
      </w:r>
      <w:bookmarkEnd w:id="349"/>
      <w:r w:rsidRPr="00E9174E">
        <w:rPr>
          <w:rFonts w:eastAsiaTheme="minorHAnsi"/>
          <w:sz w:val="26"/>
          <w:szCs w:val="26"/>
        </w:rPr>
        <w:t xml:space="preserve">trusted messengers from within the community by using resources in the community to promote assistance programs.  The Company has partnered with various community resources, including housing authorities, veterans’ groups, career training centers, medical clinics, the state Department of Human Services, and other local community-based agencies to help reach low-income customers.  </w:t>
      </w:r>
      <w:r w:rsidRPr="00E9174E">
        <w:rPr>
          <w:rFonts w:eastAsiaTheme="minorHAnsi"/>
          <w:i/>
          <w:iCs/>
          <w:sz w:val="26"/>
          <w:szCs w:val="26"/>
        </w:rPr>
        <w:t>Id</w:t>
      </w:r>
      <w:r w:rsidRPr="00E9174E">
        <w:rPr>
          <w:rFonts w:eastAsiaTheme="minorHAnsi"/>
          <w:sz w:val="26"/>
          <w:szCs w:val="26"/>
        </w:rPr>
        <w:t xml:space="preserve">. at 11.  </w:t>
      </w:r>
    </w:p>
    <w:p w14:paraId="13EA5E37" w14:textId="77777777" w:rsidR="00C31C4F" w:rsidRPr="00E9174E" w:rsidRDefault="00C31C4F" w:rsidP="00E9174E">
      <w:pPr>
        <w:widowControl/>
        <w:spacing w:line="360" w:lineRule="auto"/>
        <w:ind w:firstLine="720"/>
        <w:contextualSpacing/>
        <w:rPr>
          <w:rFonts w:eastAsiaTheme="minorHAnsi"/>
          <w:sz w:val="26"/>
          <w:szCs w:val="26"/>
        </w:rPr>
      </w:pPr>
    </w:p>
    <w:p w14:paraId="212D2E17" w14:textId="77777777" w:rsidR="00C31C4F" w:rsidRPr="00E9174E" w:rsidRDefault="00C31C4F" w:rsidP="00E9174E">
      <w:pPr>
        <w:widowControl/>
        <w:spacing w:line="360" w:lineRule="auto"/>
        <w:ind w:firstLine="1440"/>
        <w:contextualSpacing/>
        <w:rPr>
          <w:rFonts w:eastAsiaTheme="minorHAnsi"/>
          <w:sz w:val="26"/>
          <w:szCs w:val="26"/>
        </w:rPr>
      </w:pPr>
      <w:r w:rsidRPr="00E9174E">
        <w:rPr>
          <w:rFonts w:eastAsiaTheme="minorHAnsi"/>
          <w:sz w:val="26"/>
          <w:szCs w:val="26"/>
        </w:rPr>
        <w:t xml:space="preserve">Further, the Company notes that in response to the challenges many customers are facing as a result of the COVID-19 pandemic, Columbia has instituted enhanced programs that will enable customers to maintain service through targeted relief efforts, such as a waiver of late fees and penalties and an expansion of customer assistance efforts.  </w:t>
      </w:r>
      <w:r w:rsidRPr="00E9174E">
        <w:rPr>
          <w:rFonts w:eastAsiaTheme="minorHAnsi"/>
          <w:i/>
          <w:iCs/>
          <w:sz w:val="26"/>
          <w:szCs w:val="26"/>
        </w:rPr>
        <w:t>Id</w:t>
      </w:r>
      <w:r w:rsidRPr="00E9174E">
        <w:rPr>
          <w:rFonts w:eastAsiaTheme="minorHAnsi"/>
          <w:sz w:val="26"/>
          <w:szCs w:val="26"/>
        </w:rPr>
        <w:t xml:space="preserve">.  Columbia is using several different resources to educate customers regarding the Company’s current collection practices and available assistance programs, including social media posts on Facebook and Twitter, targeted outbound calls for the </w:t>
      </w:r>
      <w:r w:rsidRPr="00E9174E">
        <w:rPr>
          <w:rFonts w:eastAsiaTheme="minorHAnsi"/>
          <w:sz w:val="26"/>
          <w:szCs w:val="26"/>
        </w:rPr>
        <w:lastRenderedPageBreak/>
        <w:t xml:space="preserve">LIHEAP recovery CRISIS program, e-mails to customers who may be eligible for the LIHEAP recovery CRISIS program, e-mails to customers regarding current collection practices, updated information on the Company website regarding terminations for non-payment, bill inserts, and customer newsletters.  </w:t>
      </w:r>
      <w:r w:rsidRPr="00E9174E">
        <w:rPr>
          <w:rFonts w:eastAsiaTheme="minorHAnsi"/>
          <w:i/>
          <w:iCs/>
          <w:sz w:val="26"/>
          <w:szCs w:val="26"/>
        </w:rPr>
        <w:t>Id</w:t>
      </w:r>
      <w:r w:rsidRPr="00E9174E">
        <w:rPr>
          <w:rFonts w:eastAsiaTheme="minorHAnsi"/>
          <w:sz w:val="26"/>
          <w:szCs w:val="26"/>
        </w:rPr>
        <w:t xml:space="preserve">. at 11-12.  </w:t>
      </w:r>
    </w:p>
    <w:p w14:paraId="5D4DDC7C" w14:textId="77777777" w:rsidR="00C31C4F" w:rsidRPr="00E9174E" w:rsidRDefault="00C31C4F" w:rsidP="00E9174E">
      <w:pPr>
        <w:widowControl/>
        <w:spacing w:line="360" w:lineRule="auto"/>
        <w:ind w:firstLine="1440"/>
        <w:contextualSpacing/>
        <w:rPr>
          <w:rFonts w:eastAsiaTheme="minorHAnsi"/>
          <w:sz w:val="26"/>
          <w:szCs w:val="26"/>
        </w:rPr>
      </w:pPr>
    </w:p>
    <w:p w14:paraId="0F1072F1" w14:textId="77777777" w:rsidR="00C31C4F" w:rsidRPr="00E9174E" w:rsidRDefault="00C31C4F" w:rsidP="00E9174E">
      <w:pPr>
        <w:widowControl/>
        <w:spacing w:line="360" w:lineRule="auto"/>
        <w:ind w:firstLine="1440"/>
        <w:contextualSpacing/>
        <w:rPr>
          <w:rFonts w:eastAsiaTheme="minorHAnsi"/>
          <w:sz w:val="26"/>
          <w:szCs w:val="26"/>
        </w:rPr>
      </w:pPr>
      <w:r w:rsidRPr="00E9174E">
        <w:rPr>
          <w:rFonts w:eastAsiaTheme="minorHAnsi"/>
          <w:sz w:val="26"/>
          <w:szCs w:val="26"/>
        </w:rPr>
        <w:t xml:space="preserve">Columbia states that as part of its proactive outreach measures, the Company also decided to reverse calls from its customer care call center.  Rather than waiting for customers to contact Columbia, Columbia’s customer service representatives made outbound calls to customers who were previously eligible for LIHEAP assistance but did not appear to be currently seeking LIHEAP assistance in order to obtain permission from eligible customers to apply for LIHEAP on their behalf.  The Company represents that it has assisted 1,376 customers in receiving $405,142 in LIHEAP Recovery CRISIS assistance, primarily as a result of outreach efforts made by Company representatives to customers.  </w:t>
      </w:r>
      <w:r w:rsidRPr="00E9174E">
        <w:rPr>
          <w:rFonts w:eastAsiaTheme="minorHAnsi"/>
          <w:i/>
          <w:iCs/>
          <w:sz w:val="26"/>
          <w:szCs w:val="26"/>
        </w:rPr>
        <w:t>Id</w:t>
      </w:r>
      <w:r w:rsidRPr="00E9174E">
        <w:rPr>
          <w:rFonts w:eastAsiaTheme="minorHAnsi"/>
          <w:sz w:val="26"/>
          <w:szCs w:val="26"/>
        </w:rPr>
        <w:t xml:space="preserve">. at 12. </w:t>
      </w:r>
    </w:p>
    <w:p w14:paraId="05163EA1" w14:textId="72AD3758" w:rsidR="00C31C4F" w:rsidRPr="00E9174E" w:rsidRDefault="00C31C4F" w:rsidP="00E9174E">
      <w:pPr>
        <w:widowControl/>
        <w:spacing w:line="360" w:lineRule="auto"/>
        <w:contextualSpacing/>
        <w:rPr>
          <w:rFonts w:eastAsiaTheme="minorHAnsi"/>
          <w:sz w:val="26"/>
          <w:szCs w:val="26"/>
        </w:rPr>
      </w:pPr>
    </w:p>
    <w:p w14:paraId="416D4702" w14:textId="77777777" w:rsidR="00C31C4F" w:rsidRPr="00E9174E" w:rsidRDefault="00C31C4F" w:rsidP="00E9174E">
      <w:pPr>
        <w:widowControl/>
        <w:spacing w:line="360" w:lineRule="auto"/>
        <w:ind w:firstLine="1440"/>
        <w:contextualSpacing/>
        <w:rPr>
          <w:rFonts w:eastAsiaTheme="minorHAnsi"/>
          <w:sz w:val="26"/>
          <w:szCs w:val="26"/>
        </w:rPr>
      </w:pPr>
      <w:r w:rsidRPr="00E9174E">
        <w:rPr>
          <w:rFonts w:eastAsiaTheme="minorHAnsi"/>
          <w:sz w:val="26"/>
          <w:szCs w:val="26"/>
        </w:rPr>
        <w:t xml:space="preserve">Moreover, Columbia argues that the OCA’s recommendations are not necessary to address the issue of residential customer arrears because the Company is addressing this issue in Columbia’s </w:t>
      </w:r>
      <w:r w:rsidRPr="00E9174E">
        <w:rPr>
          <w:rFonts w:eastAsiaTheme="minorHAnsi"/>
          <w:i/>
          <w:iCs/>
          <w:sz w:val="26"/>
          <w:szCs w:val="26"/>
        </w:rPr>
        <w:t>June 29, 2020 Implementation Plan</w:t>
      </w:r>
      <w:r w:rsidRPr="00E9174E">
        <w:rPr>
          <w:rFonts w:eastAsiaTheme="minorHAnsi"/>
          <w:sz w:val="26"/>
          <w:szCs w:val="26"/>
        </w:rPr>
        <w:t xml:space="preserve"> submitted in response to the Management Audit.  Columbia’s </w:t>
      </w:r>
      <w:r w:rsidRPr="00E9174E">
        <w:rPr>
          <w:rFonts w:eastAsiaTheme="minorHAnsi"/>
          <w:i/>
          <w:iCs/>
          <w:sz w:val="26"/>
          <w:szCs w:val="26"/>
        </w:rPr>
        <w:t xml:space="preserve">June 29, 2020 Implementation Plan </w:t>
      </w:r>
      <w:r w:rsidRPr="00E9174E">
        <w:rPr>
          <w:rFonts w:eastAsiaTheme="minorHAnsi"/>
          <w:sz w:val="26"/>
          <w:szCs w:val="26"/>
        </w:rPr>
        <w:t xml:space="preserve">consists of three action steps: </w:t>
      </w:r>
    </w:p>
    <w:p w14:paraId="1849EB20" w14:textId="77777777" w:rsidR="00C31C4F" w:rsidRPr="00E9174E" w:rsidRDefault="00C31C4F" w:rsidP="00FD7CED">
      <w:pPr>
        <w:widowControl/>
        <w:ind w:firstLine="1440"/>
        <w:contextualSpacing/>
        <w:rPr>
          <w:rFonts w:eastAsiaTheme="minorHAnsi"/>
          <w:sz w:val="26"/>
          <w:szCs w:val="26"/>
        </w:rPr>
      </w:pPr>
    </w:p>
    <w:p w14:paraId="66CDE478" w14:textId="77777777" w:rsidR="00C31C4F" w:rsidRPr="00E9174E" w:rsidRDefault="00C31C4F" w:rsidP="00277ECF">
      <w:pPr>
        <w:widowControl/>
        <w:numPr>
          <w:ilvl w:val="0"/>
          <w:numId w:val="32"/>
        </w:numPr>
        <w:spacing w:line="276" w:lineRule="auto"/>
        <w:ind w:left="2160" w:right="1440" w:hanging="720"/>
        <w:contextualSpacing/>
        <w:rPr>
          <w:rFonts w:eastAsiaTheme="minorHAnsi"/>
          <w:sz w:val="26"/>
          <w:szCs w:val="26"/>
        </w:rPr>
      </w:pPr>
      <w:r w:rsidRPr="00E9174E">
        <w:rPr>
          <w:rFonts w:eastAsiaTheme="minorHAnsi"/>
          <w:sz w:val="26"/>
          <w:szCs w:val="26"/>
        </w:rPr>
        <w:t xml:space="preserve">Create a multi-departmental focus group to identify process changes to improve the management of customer accounts and collection performance to reduce account arrearages. </w:t>
      </w:r>
    </w:p>
    <w:p w14:paraId="03C2B221" w14:textId="77777777" w:rsidR="00C31C4F" w:rsidRPr="00E9174E" w:rsidRDefault="00C31C4F" w:rsidP="00E9174E">
      <w:pPr>
        <w:widowControl/>
        <w:ind w:left="2160" w:right="1440" w:hanging="720"/>
        <w:contextualSpacing/>
        <w:rPr>
          <w:rFonts w:eastAsiaTheme="minorHAnsi"/>
          <w:sz w:val="26"/>
          <w:szCs w:val="26"/>
        </w:rPr>
      </w:pPr>
    </w:p>
    <w:p w14:paraId="5F3849FE" w14:textId="77777777" w:rsidR="00C31C4F" w:rsidRPr="00E9174E" w:rsidRDefault="00C31C4F" w:rsidP="00277ECF">
      <w:pPr>
        <w:widowControl/>
        <w:numPr>
          <w:ilvl w:val="0"/>
          <w:numId w:val="32"/>
        </w:numPr>
        <w:spacing w:line="276" w:lineRule="auto"/>
        <w:ind w:left="2160" w:right="1440" w:hanging="720"/>
        <w:contextualSpacing/>
        <w:rPr>
          <w:rFonts w:eastAsiaTheme="minorHAnsi"/>
          <w:sz w:val="26"/>
          <w:szCs w:val="26"/>
        </w:rPr>
      </w:pPr>
      <w:r w:rsidRPr="00E9174E">
        <w:rPr>
          <w:rFonts w:eastAsiaTheme="minorHAnsi"/>
          <w:sz w:val="26"/>
          <w:szCs w:val="26"/>
        </w:rPr>
        <w:t xml:space="preserve">Review all internal arrearage reports to define the content and promote consistency among data elements for better analysis and reporting. </w:t>
      </w:r>
    </w:p>
    <w:p w14:paraId="0D7B8359" w14:textId="77777777" w:rsidR="00C31C4F" w:rsidRPr="00E9174E" w:rsidRDefault="00C31C4F" w:rsidP="00E9174E">
      <w:pPr>
        <w:widowControl/>
        <w:ind w:left="2160" w:right="1440" w:hanging="720"/>
        <w:contextualSpacing/>
        <w:rPr>
          <w:rFonts w:eastAsiaTheme="minorHAnsi"/>
          <w:sz w:val="26"/>
          <w:szCs w:val="26"/>
        </w:rPr>
      </w:pPr>
    </w:p>
    <w:p w14:paraId="566A9A4A" w14:textId="77777777" w:rsidR="00C31C4F" w:rsidRPr="00E9174E" w:rsidRDefault="00C31C4F" w:rsidP="00277ECF">
      <w:pPr>
        <w:widowControl/>
        <w:numPr>
          <w:ilvl w:val="0"/>
          <w:numId w:val="32"/>
        </w:numPr>
        <w:spacing w:line="276" w:lineRule="auto"/>
        <w:ind w:left="2160" w:right="1440" w:hanging="720"/>
        <w:contextualSpacing/>
        <w:rPr>
          <w:rFonts w:eastAsiaTheme="minorHAnsi"/>
          <w:sz w:val="26"/>
          <w:szCs w:val="26"/>
        </w:rPr>
      </w:pPr>
      <w:r w:rsidRPr="00E9174E">
        <w:rPr>
          <w:rFonts w:eastAsiaTheme="minorHAnsi"/>
          <w:sz w:val="26"/>
          <w:szCs w:val="26"/>
        </w:rPr>
        <w:t xml:space="preserve">Develop and document an “Outreach Strategy and Communication” plan to increase enrollment in </w:t>
      </w:r>
      <w:r w:rsidRPr="00E9174E">
        <w:rPr>
          <w:rFonts w:eastAsiaTheme="minorHAnsi"/>
          <w:sz w:val="26"/>
          <w:szCs w:val="26"/>
        </w:rPr>
        <w:lastRenderedPageBreak/>
        <w:t xml:space="preserve">universal service programs, including CAP, with input from its USAC. </w:t>
      </w:r>
    </w:p>
    <w:p w14:paraId="52ADE21F" w14:textId="77777777" w:rsidR="00C31C4F" w:rsidRPr="00E9174E" w:rsidRDefault="00C31C4F" w:rsidP="00E9174E">
      <w:pPr>
        <w:widowControl/>
        <w:spacing w:line="360" w:lineRule="auto"/>
        <w:ind w:left="1800" w:right="1440"/>
        <w:contextualSpacing/>
        <w:rPr>
          <w:rFonts w:eastAsiaTheme="minorHAnsi"/>
          <w:sz w:val="26"/>
          <w:szCs w:val="26"/>
        </w:rPr>
      </w:pPr>
    </w:p>
    <w:p w14:paraId="73C8A5E9" w14:textId="5CE45833" w:rsidR="00C31C4F" w:rsidRPr="00E9174E" w:rsidRDefault="00C31C4F" w:rsidP="00E9174E">
      <w:pPr>
        <w:widowControl/>
        <w:spacing w:line="360" w:lineRule="auto"/>
        <w:contextualSpacing/>
        <w:rPr>
          <w:rFonts w:eastAsiaTheme="minorHAnsi"/>
          <w:sz w:val="26"/>
          <w:szCs w:val="26"/>
        </w:rPr>
      </w:pPr>
      <w:r w:rsidRPr="00E9174E">
        <w:rPr>
          <w:rFonts w:eastAsiaTheme="minorHAnsi"/>
          <w:sz w:val="26"/>
          <w:szCs w:val="26"/>
        </w:rPr>
        <w:t xml:space="preserve">CG R. Exc. at 12-13 (citing </w:t>
      </w:r>
      <w:r w:rsidRPr="00E9174E">
        <w:rPr>
          <w:rFonts w:eastAsiaTheme="minorHAnsi"/>
          <w:i/>
          <w:iCs/>
          <w:sz w:val="26"/>
          <w:szCs w:val="26"/>
        </w:rPr>
        <w:t xml:space="preserve">June 29, 2020 Implementation Plan </w:t>
      </w:r>
      <w:r w:rsidRPr="00E9174E">
        <w:rPr>
          <w:rFonts w:eastAsiaTheme="minorHAnsi"/>
          <w:sz w:val="26"/>
          <w:szCs w:val="26"/>
        </w:rPr>
        <w:t xml:space="preserve">at 16-17).  Columbia submits that it is currently in the process of executing the action items identified above, including the development of an Outreach Strategy and Communication plan.  According to Columbia, its USAC members conducted a detailed review of the Outreach Plan in April 2020, and Columbia revised the Outreach Plan based on feedback from the USAC.  CG R. Exc. at 13.  </w:t>
      </w:r>
    </w:p>
    <w:p w14:paraId="128B038E" w14:textId="32374BB5" w:rsidR="004A3375" w:rsidRPr="00E9174E" w:rsidRDefault="004A3375" w:rsidP="00E9174E">
      <w:pPr>
        <w:widowControl/>
        <w:spacing w:line="360" w:lineRule="auto"/>
        <w:ind w:firstLine="1440"/>
        <w:contextualSpacing/>
        <w:rPr>
          <w:rFonts w:eastAsiaTheme="minorHAnsi"/>
          <w:sz w:val="26"/>
          <w:szCs w:val="26"/>
        </w:rPr>
      </w:pPr>
    </w:p>
    <w:p w14:paraId="7E319267" w14:textId="77777777" w:rsidR="001C48F5" w:rsidRPr="00E9174E" w:rsidRDefault="001C48F5" w:rsidP="00E9174E">
      <w:pPr>
        <w:widowControl/>
        <w:spacing w:line="360" w:lineRule="auto"/>
        <w:ind w:firstLine="1440"/>
        <w:contextualSpacing/>
        <w:rPr>
          <w:rFonts w:eastAsiaTheme="minorHAnsi"/>
          <w:sz w:val="26"/>
          <w:szCs w:val="26"/>
        </w:rPr>
      </w:pPr>
      <w:r w:rsidRPr="00E9174E">
        <w:rPr>
          <w:rFonts w:eastAsiaTheme="minorHAnsi"/>
          <w:sz w:val="26"/>
          <w:szCs w:val="26"/>
        </w:rPr>
        <w:t xml:space="preserve">In its Exception No. 3, CAUSE-PA argues that the ALJ erred in recommending that there is no need to change Columbia’s outreach initiatives at this time.  CAUSE-PA Exc. at 12.  CAUSE-PA avers that the Commission should follow its recommendation and order Columbia to develop a plan to reach 50% CAP participation by 2025.  </w:t>
      </w:r>
      <w:r w:rsidRPr="00E9174E">
        <w:rPr>
          <w:rFonts w:eastAsiaTheme="minorHAnsi"/>
          <w:i/>
          <w:iCs/>
          <w:sz w:val="26"/>
          <w:szCs w:val="26"/>
        </w:rPr>
        <w:t>Id</w:t>
      </w:r>
      <w:r w:rsidRPr="00E9174E">
        <w:rPr>
          <w:rFonts w:eastAsiaTheme="minorHAnsi"/>
          <w:sz w:val="26"/>
          <w:szCs w:val="26"/>
        </w:rPr>
        <w:t>. at 13 (citing CAUSE-PA M.B. at 20-24).  CAUSE-PA states that the ALJ does not provide a reason for denying CAUSE-PA’s recommendation.  CAUSE-PA notes that improved outreach is critically important regardless of whether a rate increase is approved, but it is even more important if rates are increased.  CAUSE-PA Exc. at 13.</w:t>
      </w:r>
    </w:p>
    <w:p w14:paraId="4ECA6EFB" w14:textId="77777777" w:rsidR="001C48F5" w:rsidRPr="00E9174E" w:rsidRDefault="001C48F5" w:rsidP="00E9174E">
      <w:pPr>
        <w:widowControl/>
        <w:spacing w:line="360" w:lineRule="auto"/>
        <w:ind w:firstLine="720"/>
        <w:contextualSpacing/>
        <w:rPr>
          <w:rFonts w:eastAsiaTheme="minorHAnsi"/>
          <w:sz w:val="26"/>
          <w:szCs w:val="26"/>
        </w:rPr>
      </w:pPr>
    </w:p>
    <w:p w14:paraId="47106CDF" w14:textId="77777777" w:rsidR="001C48F5" w:rsidRPr="00E9174E" w:rsidRDefault="001C48F5" w:rsidP="00E9174E">
      <w:pPr>
        <w:widowControl/>
        <w:spacing w:line="360" w:lineRule="auto"/>
        <w:ind w:firstLine="1440"/>
        <w:contextualSpacing/>
        <w:rPr>
          <w:rFonts w:eastAsiaTheme="minorHAnsi"/>
          <w:sz w:val="26"/>
          <w:szCs w:val="26"/>
        </w:rPr>
      </w:pPr>
      <w:r w:rsidRPr="00E9174E">
        <w:rPr>
          <w:rFonts w:eastAsiaTheme="minorHAnsi"/>
          <w:sz w:val="26"/>
          <w:szCs w:val="26"/>
        </w:rPr>
        <w:t xml:space="preserve">In support of its position, CAUSE-PA notes that its witness Mr. Miller testified that Columbia’s CAP serves roughly one in three </w:t>
      </w:r>
      <w:r w:rsidRPr="00E9174E">
        <w:rPr>
          <w:rFonts w:eastAsiaTheme="minorHAnsi"/>
          <w:iCs/>
          <w:sz w:val="26"/>
          <w:szCs w:val="26"/>
        </w:rPr>
        <w:t>confirmed</w:t>
      </w:r>
      <w:r w:rsidRPr="00E9174E">
        <w:rPr>
          <w:rFonts w:eastAsiaTheme="minorHAnsi"/>
          <w:sz w:val="26"/>
          <w:szCs w:val="26"/>
        </w:rPr>
        <w:t xml:space="preserve"> low-income customers in its service territory, which is just a fraction of those </w:t>
      </w:r>
      <w:r w:rsidRPr="00E9174E">
        <w:rPr>
          <w:rFonts w:eastAsiaTheme="minorHAnsi"/>
          <w:iCs/>
          <w:sz w:val="26"/>
          <w:szCs w:val="26"/>
        </w:rPr>
        <w:t xml:space="preserve">estimated </w:t>
      </w:r>
      <w:r w:rsidRPr="00E9174E">
        <w:rPr>
          <w:rFonts w:eastAsiaTheme="minorHAnsi"/>
          <w:sz w:val="26"/>
          <w:szCs w:val="26"/>
        </w:rPr>
        <w:t xml:space="preserve">to be eligible for the program.  </w:t>
      </w:r>
      <w:r w:rsidRPr="00E9174E">
        <w:rPr>
          <w:rFonts w:eastAsiaTheme="minorHAnsi"/>
          <w:i/>
          <w:iCs/>
          <w:sz w:val="26"/>
          <w:szCs w:val="26"/>
        </w:rPr>
        <w:t>Id</w:t>
      </w:r>
      <w:r w:rsidRPr="00E9174E">
        <w:rPr>
          <w:rFonts w:eastAsiaTheme="minorHAnsi"/>
          <w:sz w:val="26"/>
          <w:szCs w:val="26"/>
        </w:rPr>
        <w:t xml:space="preserve">. (citing CAUSE-PA St. 1 at 23).  Mr. Miller also testified that Columbia’s CAP participation rate has remained stagnant over the last decade and throughout 2020, despite the pandemic and unprecedented economic crisis.  CAUSE-PA Exc. at 13 (citing CAUSE-PA St. 1 at 23-25.)  Further, Mr. Miller explained that improving CAP participation will help the Company reduce its disproportionately high number of payment troubled low-income customers, and the amount of debt that they carry.  CAUSE-PA Exc. at 13-14 (citing CAUSE-PA St. 1 at 23-25).  </w:t>
      </w:r>
    </w:p>
    <w:p w14:paraId="5B24C0CD" w14:textId="77777777" w:rsidR="001C48F5" w:rsidRPr="00E9174E" w:rsidRDefault="001C48F5" w:rsidP="00E9174E">
      <w:pPr>
        <w:widowControl/>
        <w:spacing w:line="360" w:lineRule="auto"/>
        <w:ind w:firstLine="1440"/>
        <w:contextualSpacing/>
        <w:rPr>
          <w:rFonts w:eastAsiaTheme="minorHAnsi"/>
          <w:sz w:val="26"/>
          <w:szCs w:val="26"/>
        </w:rPr>
      </w:pPr>
      <w:r w:rsidRPr="00E9174E">
        <w:rPr>
          <w:rFonts w:eastAsiaTheme="minorHAnsi"/>
          <w:sz w:val="26"/>
          <w:szCs w:val="26"/>
        </w:rPr>
        <w:lastRenderedPageBreak/>
        <w:t>In response, Columbia states that its existing outreach and enrollment levels are successful.  Columbia states that there is no limit on the number of eligible customers who may enroll in the Company’s CAP.  Columbia asserts that it engages in extensive outreach to its low-income customers through social media, targeted outbound calls and e-mails to customers, bill inserts and customer newsletters, and that it promotes CAP enrollment through everyday customer interaction, including community-based outreach efforts as explained above.  Columbia avers that whenever it is in contact with a customer regarding payment difficulties, CAP is explored as an option, and the Company’s call center scripting states that CAP is the best option for low-income customers.  Columbia submits that all identified low-income customers who need assistance with their gas bill are offered C</w:t>
      </w:r>
      <w:bookmarkStart w:id="350" w:name="_BA_Cite_EAF4C8_000185"/>
      <w:bookmarkEnd w:id="350"/>
      <w:r w:rsidRPr="00E9174E">
        <w:rPr>
          <w:rFonts w:eastAsiaTheme="minorHAnsi"/>
          <w:sz w:val="26"/>
          <w:szCs w:val="26"/>
        </w:rPr>
        <w:t xml:space="preserve">AP.  CG R. Exc. at 14 (citing CG M.B. at 102-04; CG R.B. at 64-66). </w:t>
      </w:r>
    </w:p>
    <w:p w14:paraId="2C056C50" w14:textId="77777777" w:rsidR="001C48F5" w:rsidRPr="00E9174E" w:rsidRDefault="001C48F5" w:rsidP="00E9174E">
      <w:pPr>
        <w:widowControl/>
        <w:spacing w:line="360" w:lineRule="auto"/>
        <w:ind w:firstLine="720"/>
        <w:contextualSpacing/>
        <w:rPr>
          <w:rFonts w:eastAsiaTheme="minorHAnsi"/>
          <w:sz w:val="26"/>
          <w:szCs w:val="26"/>
        </w:rPr>
      </w:pPr>
    </w:p>
    <w:p w14:paraId="67190BDB" w14:textId="77777777" w:rsidR="001C48F5" w:rsidRPr="00E9174E" w:rsidRDefault="001C48F5" w:rsidP="00E9174E">
      <w:pPr>
        <w:widowControl/>
        <w:spacing w:line="360" w:lineRule="auto"/>
        <w:ind w:firstLine="1440"/>
        <w:contextualSpacing/>
        <w:rPr>
          <w:rFonts w:eastAsiaTheme="minorHAnsi"/>
          <w:sz w:val="26"/>
          <w:szCs w:val="26"/>
        </w:rPr>
      </w:pPr>
      <w:r w:rsidRPr="00E9174E">
        <w:rPr>
          <w:rFonts w:eastAsiaTheme="minorHAnsi"/>
          <w:sz w:val="26"/>
          <w:szCs w:val="26"/>
        </w:rPr>
        <w:t xml:space="preserve">According to Columbia, its extensive outreach efforts have resulted in the Company outperforming other gas utilities in Pennsylvania in CAP participation. Columbia states that in 2017 and 2018, Columbia’s CAP participation rate was the second highest according to the Commission’s 2018 Universal Service Programs &amp; Collections Performance Report.  Columbia submits that only one gas utility has reached 50% of confirmed low-income customer participation in the last three years and, unlike Columbia, that utility only counts customers as confirmed low-income if there is a documented income verification on file.  </w:t>
      </w:r>
      <w:r w:rsidRPr="00E9174E">
        <w:rPr>
          <w:rFonts w:eastAsiaTheme="minorHAnsi"/>
          <w:i/>
          <w:iCs/>
          <w:sz w:val="26"/>
          <w:szCs w:val="26"/>
        </w:rPr>
        <w:t>Id</w:t>
      </w:r>
      <w:r w:rsidRPr="00E9174E">
        <w:rPr>
          <w:rFonts w:eastAsiaTheme="minorHAnsi"/>
          <w:sz w:val="26"/>
          <w:szCs w:val="26"/>
        </w:rPr>
        <w:t>.</w:t>
      </w:r>
      <w:r w:rsidRPr="00E9174E">
        <w:rPr>
          <w:rFonts w:eastAsiaTheme="minorHAnsi"/>
          <w:sz w:val="26"/>
          <w:szCs w:val="26"/>
          <w:vertAlign w:val="superscript"/>
        </w:rPr>
        <w:footnoteReference w:id="46"/>
      </w:r>
      <w:r w:rsidRPr="00E9174E">
        <w:rPr>
          <w:rFonts w:eastAsiaTheme="minorHAnsi"/>
          <w:sz w:val="26"/>
          <w:szCs w:val="26"/>
        </w:rPr>
        <w:t xml:space="preserve"> </w:t>
      </w:r>
    </w:p>
    <w:p w14:paraId="38861449" w14:textId="77777777" w:rsidR="001C48F5" w:rsidRPr="00E9174E" w:rsidRDefault="001C48F5" w:rsidP="00E9174E">
      <w:pPr>
        <w:widowControl/>
        <w:spacing w:line="360" w:lineRule="auto"/>
        <w:ind w:firstLine="1440"/>
        <w:contextualSpacing/>
        <w:rPr>
          <w:rFonts w:eastAsiaTheme="minorHAnsi"/>
          <w:sz w:val="26"/>
          <w:szCs w:val="26"/>
        </w:rPr>
      </w:pPr>
    </w:p>
    <w:p w14:paraId="0E603201" w14:textId="3BA7D9EB" w:rsidR="001C48F5" w:rsidRPr="00E9174E" w:rsidRDefault="001C48F5" w:rsidP="00E9174E">
      <w:pPr>
        <w:widowControl/>
        <w:spacing w:line="360" w:lineRule="auto"/>
        <w:ind w:firstLine="1440"/>
        <w:contextualSpacing/>
        <w:rPr>
          <w:rFonts w:eastAsiaTheme="minorHAnsi"/>
          <w:sz w:val="26"/>
          <w:szCs w:val="26"/>
        </w:rPr>
      </w:pPr>
      <w:r w:rsidRPr="00E9174E">
        <w:rPr>
          <w:rFonts w:eastAsiaTheme="minorHAnsi"/>
          <w:sz w:val="26"/>
          <w:szCs w:val="26"/>
        </w:rPr>
        <w:t xml:space="preserve">Further, Columbia argues that CAUSE-PA suggests an inappropriate metric for measuring CAP enrollment.  Columbia states that CAP enrollment should not be evaluated based on the total number of enrolled CAP customers compared to the total number of confirmed low-income customers, because the confirmed low-income count is </w:t>
      </w:r>
      <w:r w:rsidRPr="00E9174E">
        <w:rPr>
          <w:rFonts w:eastAsiaTheme="minorHAnsi"/>
          <w:sz w:val="26"/>
          <w:szCs w:val="26"/>
        </w:rPr>
        <w:lastRenderedPageBreak/>
        <w:t>not a true reflection of customers eligible for CAP as not all self-declared low-income customers qualify for CAP based on documented income.  Columbia avers that the reported number of “confirmed” low-income customers includes customers who self-declare their income, and it is not uncommon for a customer to report their income but refuse CAP participation when they are required to provide income verification.  Columbia explains that the self-declared income the customer provided remains “confirmed” low income even though the customer has refused to provide supporting documentation and is not enrolled in CAP.  Columbia continues that many confirmed low-income customers are able to afford their bill through other assistance programs, such as LIHEAP, and CAP is not necessary.  For these reasons, Columbia believes that an evaluation of the Company’s outreach efforts should be based on the activities that work toward the result of increased CAP participation, not the end result of enrollment.  Columbia also points out that the Commission recently addressed the Company’s projected CAP enrollment levels as part of its review of Columbia’s current USECP proceeding and determined that Columbia’s projected CAP enrollment levels were reasonable.</w:t>
      </w:r>
      <w:r w:rsidRPr="00E9174E">
        <w:rPr>
          <w:rFonts w:eastAsiaTheme="minorHAnsi"/>
          <w:sz w:val="26"/>
          <w:szCs w:val="26"/>
          <w:vertAlign w:val="superscript"/>
        </w:rPr>
        <w:footnoteReference w:id="47"/>
      </w:r>
      <w:r w:rsidRPr="00E9174E">
        <w:rPr>
          <w:rFonts w:eastAsiaTheme="minorHAnsi"/>
          <w:sz w:val="26"/>
          <w:szCs w:val="26"/>
        </w:rPr>
        <w:t xml:space="preserve">  </w:t>
      </w:r>
      <w:r w:rsidRPr="00E9174E">
        <w:rPr>
          <w:rFonts w:eastAsiaTheme="minorHAnsi"/>
          <w:i/>
          <w:iCs/>
          <w:sz w:val="26"/>
          <w:szCs w:val="26"/>
        </w:rPr>
        <w:t xml:space="preserve">Id. </w:t>
      </w:r>
      <w:r w:rsidRPr="00E9174E">
        <w:rPr>
          <w:rFonts w:eastAsiaTheme="minorHAnsi"/>
          <w:sz w:val="26"/>
          <w:szCs w:val="26"/>
        </w:rPr>
        <w:t>at 15</w:t>
      </w:r>
      <w:r w:rsidR="000A26D7" w:rsidRPr="00E9174E">
        <w:rPr>
          <w:rFonts w:eastAsiaTheme="minorHAnsi"/>
          <w:sz w:val="26"/>
          <w:szCs w:val="26"/>
        </w:rPr>
        <w:t>.</w:t>
      </w:r>
    </w:p>
    <w:p w14:paraId="06E3D118" w14:textId="77777777" w:rsidR="004D4BA1" w:rsidRPr="00E9174E" w:rsidRDefault="004D4BA1" w:rsidP="00E9174E">
      <w:pPr>
        <w:widowControl/>
        <w:spacing w:line="360" w:lineRule="auto"/>
        <w:ind w:firstLine="1440"/>
        <w:contextualSpacing/>
        <w:rPr>
          <w:rFonts w:eastAsiaTheme="minorHAnsi"/>
          <w:sz w:val="26"/>
          <w:szCs w:val="26"/>
        </w:rPr>
      </w:pPr>
    </w:p>
    <w:p w14:paraId="13CE42C9" w14:textId="66A23630" w:rsidR="00131763" w:rsidRPr="00E9174E" w:rsidRDefault="00131763" w:rsidP="00277ECF">
      <w:pPr>
        <w:pStyle w:val="Heading4"/>
        <w:numPr>
          <w:ilvl w:val="0"/>
          <w:numId w:val="43"/>
        </w:numPr>
        <w:ind w:left="2160" w:hanging="720"/>
        <w:rPr>
          <w:rFonts w:eastAsiaTheme="minorHAnsi"/>
        </w:rPr>
      </w:pPr>
      <w:bookmarkStart w:id="351" w:name="_Toc63764572"/>
      <w:r w:rsidRPr="00E9174E">
        <w:rPr>
          <w:rFonts w:eastAsiaTheme="minorHAnsi"/>
        </w:rPr>
        <w:t>Disposition</w:t>
      </w:r>
      <w:bookmarkEnd w:id="351"/>
    </w:p>
    <w:p w14:paraId="46842A57" w14:textId="4C186C08" w:rsidR="00131763" w:rsidRPr="00E9174E" w:rsidRDefault="00131763" w:rsidP="00E9174E">
      <w:pPr>
        <w:keepNext/>
        <w:keepLines/>
        <w:widowControl/>
        <w:spacing w:line="360" w:lineRule="auto"/>
        <w:ind w:firstLine="1440"/>
        <w:contextualSpacing/>
        <w:rPr>
          <w:rFonts w:eastAsiaTheme="minorHAnsi"/>
          <w:sz w:val="26"/>
          <w:szCs w:val="26"/>
        </w:rPr>
      </w:pPr>
    </w:p>
    <w:p w14:paraId="47B64688" w14:textId="77777777" w:rsidR="007E1AB3" w:rsidRPr="00E9174E" w:rsidRDefault="007E1AB3" w:rsidP="00E9174E">
      <w:pPr>
        <w:widowControl/>
        <w:spacing w:line="360" w:lineRule="auto"/>
        <w:ind w:firstLine="1440"/>
        <w:contextualSpacing/>
        <w:rPr>
          <w:rFonts w:eastAsiaTheme="minorHAnsi"/>
          <w:color w:val="000000"/>
          <w:sz w:val="26"/>
          <w:szCs w:val="26"/>
        </w:rPr>
      </w:pPr>
      <w:r w:rsidRPr="00E9174E">
        <w:rPr>
          <w:rFonts w:eastAsiaTheme="minorHAnsi"/>
          <w:color w:val="000000"/>
          <w:sz w:val="26"/>
          <w:szCs w:val="26"/>
        </w:rPr>
        <w:t xml:space="preserve">Upon review, we agree with the recommendation of the ALJ that </w:t>
      </w:r>
      <w:r w:rsidRPr="00E9174E">
        <w:rPr>
          <w:rFonts w:eastAsiaTheme="minorHAnsi"/>
          <w:sz w:val="26"/>
          <w:szCs w:val="26"/>
        </w:rPr>
        <w:t>there is no need to change Columbia’s outreach initiatives at this time</w:t>
      </w:r>
      <w:r w:rsidRPr="00E9174E">
        <w:rPr>
          <w:rFonts w:eastAsiaTheme="minorHAnsi"/>
          <w:color w:val="000000"/>
          <w:sz w:val="26"/>
          <w:szCs w:val="26"/>
        </w:rPr>
        <w:t>.  Accordingly, we shall deny the Exceptions of the OCA and CAUSE-PA on this issue.</w:t>
      </w:r>
    </w:p>
    <w:p w14:paraId="36BC9FF4" w14:textId="77777777" w:rsidR="007E1AB3" w:rsidRPr="00E9174E" w:rsidRDefault="007E1AB3" w:rsidP="00E9174E">
      <w:pPr>
        <w:widowControl/>
        <w:spacing w:line="360" w:lineRule="auto"/>
        <w:ind w:firstLine="1440"/>
        <w:contextualSpacing/>
        <w:rPr>
          <w:rFonts w:eastAsiaTheme="minorHAnsi"/>
          <w:color w:val="000000"/>
          <w:sz w:val="26"/>
          <w:szCs w:val="26"/>
        </w:rPr>
      </w:pPr>
    </w:p>
    <w:p w14:paraId="7D513797" w14:textId="4307BDDF" w:rsidR="007E1AB3" w:rsidRPr="00E9174E" w:rsidRDefault="007E1AB3" w:rsidP="00E9174E">
      <w:pPr>
        <w:widowControl/>
        <w:spacing w:line="360" w:lineRule="auto"/>
        <w:ind w:firstLine="1440"/>
        <w:contextualSpacing/>
        <w:rPr>
          <w:rFonts w:eastAsiaTheme="minorHAnsi"/>
          <w:color w:val="000000"/>
          <w:sz w:val="26"/>
          <w:szCs w:val="26"/>
        </w:rPr>
      </w:pPr>
      <w:r w:rsidRPr="00E9174E">
        <w:rPr>
          <w:rFonts w:eastAsiaTheme="minorHAnsi"/>
          <w:color w:val="000000"/>
          <w:sz w:val="26"/>
          <w:szCs w:val="26"/>
        </w:rPr>
        <w:t xml:space="preserve">However, we do want to reconfirm that Columbia is developing and implementing all reasonable strategies to both increase its customer outreach efforts and CAP participation levels in order to reduce arrearage levels as recommended in the </w:t>
      </w:r>
      <w:r w:rsidRPr="00E9174E">
        <w:rPr>
          <w:rFonts w:eastAsiaTheme="minorHAnsi"/>
          <w:color w:val="000000"/>
          <w:sz w:val="26"/>
          <w:szCs w:val="26"/>
        </w:rPr>
        <w:lastRenderedPageBreak/>
        <w:t xml:space="preserve">Company’s most recent Management Audit.  We take notice of Columbia’s statements in this matter that it has already put into practice all of the OCA’s recommendations to increase outreach and expand CAP enrollment and commend the Company for these efforts.  But in acknowledging these efforts, consistent with the Management Audit recommendations, we expect the Company to continue working with its USAC </w:t>
      </w:r>
      <w:r w:rsidRPr="00E9174E">
        <w:rPr>
          <w:rFonts w:eastAsiaTheme="minorHAnsi"/>
          <w:sz w:val="26"/>
          <w:szCs w:val="26"/>
        </w:rPr>
        <w:t xml:space="preserve">on its Outreach Strategy and Communication Plan going forward.  These continuing efforts should include examining current outreach strategies for effectiveness and developing new outreach efforts to improve CAP participation levels even more, which, in turn, will likely reduce future arrearage levels.  Further, the Company needs to determine whether it has exhausted all grassroots community-based avenues to identify new low-income customers.  For example, besides the community-based organizations Columbia already is working with, are there other local organizations it can partner with, such as food banks, schools, Head Start or other preschool programs to implement more fully its outreach strategies?  We expect Columbia will address these additional outreach efforts and corresponding results in </w:t>
      </w:r>
      <w:r w:rsidR="00DE4EFC" w:rsidRPr="00E9174E">
        <w:rPr>
          <w:rFonts w:eastAsiaTheme="minorHAnsi"/>
          <w:sz w:val="26"/>
          <w:szCs w:val="26"/>
        </w:rPr>
        <w:t>its</w:t>
      </w:r>
      <w:r w:rsidRPr="00E9174E">
        <w:rPr>
          <w:rFonts w:eastAsiaTheme="minorHAnsi"/>
          <w:sz w:val="26"/>
          <w:szCs w:val="26"/>
        </w:rPr>
        <w:t xml:space="preserve"> upcoming annual Management Audit Progress Reports due in 2021 and 2022.  </w:t>
      </w:r>
    </w:p>
    <w:p w14:paraId="2E326B8A" w14:textId="77777777" w:rsidR="00131763" w:rsidRPr="00E9174E" w:rsidRDefault="00131763" w:rsidP="00E9174E">
      <w:pPr>
        <w:widowControl/>
        <w:spacing w:line="360" w:lineRule="auto"/>
        <w:ind w:firstLine="1440"/>
        <w:contextualSpacing/>
        <w:rPr>
          <w:rFonts w:eastAsiaTheme="minorHAnsi"/>
          <w:sz w:val="26"/>
          <w:szCs w:val="26"/>
        </w:rPr>
      </w:pPr>
    </w:p>
    <w:p w14:paraId="5A5E62A8" w14:textId="3A9E7FF9" w:rsidR="00455B4B" w:rsidRPr="00E9174E" w:rsidRDefault="00455B4B" w:rsidP="00277ECF">
      <w:pPr>
        <w:pStyle w:val="Heading3"/>
        <w:numPr>
          <w:ilvl w:val="0"/>
          <w:numId w:val="41"/>
        </w:numPr>
        <w:ind w:left="1440" w:hanging="720"/>
        <w:rPr>
          <w:rFonts w:eastAsiaTheme="minorHAnsi"/>
        </w:rPr>
      </w:pPr>
      <w:bookmarkStart w:id="352" w:name="_Toc63764573"/>
      <w:r w:rsidRPr="00E9174E">
        <w:rPr>
          <w:rFonts w:eastAsiaTheme="minorHAnsi"/>
        </w:rPr>
        <w:t>Health and Safety Pilot</w:t>
      </w:r>
      <w:bookmarkEnd w:id="352"/>
    </w:p>
    <w:p w14:paraId="71FBB1BA" w14:textId="77777777" w:rsidR="00455B4B" w:rsidRPr="00E9174E" w:rsidRDefault="00455B4B" w:rsidP="00E9174E">
      <w:pPr>
        <w:keepNext/>
        <w:keepLines/>
        <w:widowControl/>
        <w:tabs>
          <w:tab w:val="left" w:pos="360"/>
        </w:tabs>
        <w:spacing w:line="360" w:lineRule="auto"/>
        <w:contextualSpacing/>
        <w:rPr>
          <w:rFonts w:eastAsiaTheme="minorHAnsi"/>
          <w:sz w:val="26"/>
          <w:szCs w:val="26"/>
        </w:rPr>
      </w:pPr>
    </w:p>
    <w:p w14:paraId="5FDE1F95" w14:textId="77777777" w:rsidR="00455B4B" w:rsidRPr="00E9174E" w:rsidRDefault="00455B4B" w:rsidP="00277ECF">
      <w:pPr>
        <w:pStyle w:val="Heading4"/>
        <w:numPr>
          <w:ilvl w:val="0"/>
          <w:numId w:val="44"/>
        </w:numPr>
        <w:ind w:left="2160" w:hanging="720"/>
        <w:rPr>
          <w:rFonts w:eastAsiaTheme="minorHAnsi"/>
        </w:rPr>
      </w:pPr>
      <w:bookmarkStart w:id="353" w:name="_Toc63764574"/>
      <w:r w:rsidRPr="00E9174E">
        <w:t>Positions</w:t>
      </w:r>
      <w:r w:rsidRPr="00E9174E">
        <w:rPr>
          <w:rFonts w:eastAsiaTheme="minorHAnsi"/>
        </w:rPr>
        <w:t xml:space="preserve"> of the Parties</w:t>
      </w:r>
      <w:bookmarkEnd w:id="353"/>
      <w:r w:rsidRPr="00E9174E">
        <w:rPr>
          <w:rFonts w:eastAsiaTheme="minorHAnsi"/>
        </w:rPr>
        <w:t xml:space="preserve"> </w:t>
      </w:r>
    </w:p>
    <w:p w14:paraId="676E9070" w14:textId="77777777" w:rsidR="00455B4B" w:rsidRPr="00E9174E" w:rsidRDefault="00455B4B" w:rsidP="00E9174E">
      <w:pPr>
        <w:keepNext/>
        <w:keepLines/>
        <w:widowControl/>
        <w:tabs>
          <w:tab w:val="left" w:pos="360"/>
        </w:tabs>
        <w:spacing w:line="360" w:lineRule="auto"/>
        <w:contextualSpacing/>
        <w:rPr>
          <w:rFonts w:eastAsiaTheme="minorHAnsi"/>
          <w:sz w:val="26"/>
          <w:szCs w:val="26"/>
        </w:rPr>
      </w:pPr>
    </w:p>
    <w:p w14:paraId="17A7F574" w14:textId="77777777" w:rsidR="00455B4B" w:rsidRPr="00E9174E" w:rsidRDefault="00455B4B" w:rsidP="00E9174E">
      <w:pPr>
        <w:widowControl/>
        <w:spacing w:line="360" w:lineRule="auto"/>
        <w:ind w:firstLine="1440"/>
        <w:contextualSpacing/>
        <w:rPr>
          <w:rFonts w:eastAsiaTheme="minorHAnsi"/>
          <w:sz w:val="26"/>
          <w:szCs w:val="26"/>
        </w:rPr>
      </w:pPr>
      <w:r w:rsidRPr="00E9174E">
        <w:rPr>
          <w:rFonts w:eastAsiaTheme="minorHAnsi"/>
          <w:sz w:val="26"/>
          <w:szCs w:val="26"/>
        </w:rPr>
        <w:t xml:space="preserve">CAUSE-PA recommended Columbia extend the timeframe and increase the budget for its </w:t>
      </w:r>
      <w:bookmarkStart w:id="354" w:name="_Hlk63281746"/>
      <w:r w:rsidR="009A7648" w:rsidRPr="00E9174E">
        <w:rPr>
          <w:rFonts w:eastAsiaTheme="minorHAnsi"/>
          <w:sz w:val="26"/>
          <w:szCs w:val="26"/>
        </w:rPr>
        <w:t>Low Income Usage Reduction Progra</w:t>
      </w:r>
      <w:r w:rsidR="00131BF7" w:rsidRPr="00E9174E">
        <w:rPr>
          <w:rFonts w:eastAsiaTheme="minorHAnsi"/>
          <w:sz w:val="26"/>
          <w:szCs w:val="26"/>
        </w:rPr>
        <w:t>m</w:t>
      </w:r>
      <w:r w:rsidRPr="00E9174E">
        <w:rPr>
          <w:rFonts w:eastAsiaTheme="minorHAnsi"/>
          <w:sz w:val="26"/>
          <w:szCs w:val="26"/>
        </w:rPr>
        <w:t xml:space="preserve"> </w:t>
      </w:r>
      <w:bookmarkEnd w:id="354"/>
      <w:r w:rsidR="00131BF7" w:rsidRPr="00E9174E">
        <w:rPr>
          <w:rFonts w:eastAsiaTheme="minorHAnsi"/>
          <w:sz w:val="26"/>
          <w:szCs w:val="26"/>
        </w:rPr>
        <w:t>(</w:t>
      </w:r>
      <w:bookmarkStart w:id="355" w:name="_Hlk63281729"/>
      <w:r w:rsidRPr="00E9174E">
        <w:rPr>
          <w:rFonts w:eastAsiaTheme="minorHAnsi"/>
          <w:sz w:val="26"/>
          <w:szCs w:val="26"/>
        </w:rPr>
        <w:t>LIURP</w:t>
      </w:r>
      <w:bookmarkEnd w:id="355"/>
      <w:r w:rsidR="00131BF7" w:rsidRPr="00E9174E">
        <w:rPr>
          <w:rFonts w:eastAsiaTheme="minorHAnsi"/>
          <w:sz w:val="26"/>
          <w:szCs w:val="26"/>
        </w:rPr>
        <w:t>)</w:t>
      </w:r>
      <w:r w:rsidRPr="00E9174E">
        <w:rPr>
          <w:rFonts w:eastAsiaTheme="minorHAnsi"/>
          <w:sz w:val="26"/>
          <w:szCs w:val="26"/>
        </w:rPr>
        <w:t xml:space="preserve"> Health and Safety Pilot, which helps high usage, low-income customers, who would not otherwise be able to access LIURP services due to health and safety issues, to reduce their usage and their bill over the longer term.  CAUSE-PA M.B. at 24 (citing CAUSE-PA St. 1 at 29-32).  CAUSE-PA noted Columbia was willing to extend the pilot into 2023 to allow for a full two years of implementation (CAUSE-PA St. 13-R at 19), but also noted that while extending the program to make up for time lost to COVID-19 would certainly be </w:t>
      </w:r>
      <w:r w:rsidRPr="00E9174E">
        <w:rPr>
          <w:rFonts w:eastAsiaTheme="minorHAnsi"/>
          <w:sz w:val="26"/>
          <w:szCs w:val="26"/>
        </w:rPr>
        <w:lastRenderedPageBreak/>
        <w:t xml:space="preserve">beneficial, additional funding is necessary to the success of the Pilot to ensure that it is adequately budgeted to serve the identified need and help more high usage, low-income households achieve long-term bill reduction.  CAUSE-PA M.B. at 25.   </w:t>
      </w:r>
    </w:p>
    <w:p w14:paraId="524ADCBE" w14:textId="77777777" w:rsidR="00DB6185" w:rsidRPr="00E9174E" w:rsidRDefault="00DB6185" w:rsidP="00E9174E">
      <w:pPr>
        <w:widowControl/>
        <w:spacing w:line="360" w:lineRule="auto"/>
        <w:contextualSpacing/>
        <w:rPr>
          <w:rFonts w:eastAsiaTheme="minorHAnsi"/>
          <w:sz w:val="26"/>
          <w:szCs w:val="26"/>
        </w:rPr>
      </w:pPr>
    </w:p>
    <w:p w14:paraId="4932C59B" w14:textId="5FA8301E" w:rsidR="00455B4B" w:rsidRPr="00E9174E" w:rsidRDefault="00455B4B" w:rsidP="00E9174E">
      <w:pPr>
        <w:widowControl/>
        <w:spacing w:line="360" w:lineRule="auto"/>
        <w:ind w:firstLine="1440"/>
        <w:contextualSpacing/>
        <w:rPr>
          <w:rFonts w:eastAsiaTheme="minorHAnsi"/>
          <w:sz w:val="26"/>
          <w:szCs w:val="26"/>
        </w:rPr>
      </w:pPr>
      <w:r w:rsidRPr="00E9174E">
        <w:rPr>
          <w:rFonts w:eastAsiaTheme="minorHAnsi"/>
          <w:sz w:val="26"/>
          <w:szCs w:val="26"/>
        </w:rPr>
        <w:t>Columbia responded that the Health and Safety Pilot was designed as a pilot program to test whether the program is beneficial, and the pilot is in its first year.  Columbia averred that funding for the pilot should not be changed until the effectiveness of the program can be evaluated.  CG M.B. at 110-11; C</w:t>
      </w:r>
      <w:bookmarkStart w:id="356" w:name="_BA_Cite_EAF4C8_000217"/>
      <w:bookmarkEnd w:id="356"/>
      <w:r w:rsidRPr="00E9174E">
        <w:rPr>
          <w:rFonts w:eastAsiaTheme="minorHAnsi"/>
          <w:sz w:val="26"/>
          <w:szCs w:val="26"/>
        </w:rPr>
        <w:t xml:space="preserve">G St. 13-R at 19.     </w:t>
      </w:r>
    </w:p>
    <w:p w14:paraId="3BD3A825" w14:textId="77777777" w:rsidR="00455B4B" w:rsidRPr="00E9174E" w:rsidRDefault="00455B4B" w:rsidP="00E9174E">
      <w:pPr>
        <w:widowControl/>
        <w:tabs>
          <w:tab w:val="left" w:pos="360"/>
        </w:tabs>
        <w:spacing w:line="360" w:lineRule="auto"/>
        <w:contextualSpacing/>
        <w:rPr>
          <w:rFonts w:eastAsiaTheme="minorHAnsi"/>
          <w:sz w:val="26"/>
          <w:szCs w:val="26"/>
        </w:rPr>
      </w:pPr>
    </w:p>
    <w:p w14:paraId="41E66F4E" w14:textId="77777777" w:rsidR="00455B4B" w:rsidRPr="00E9174E" w:rsidRDefault="00455B4B" w:rsidP="00277ECF">
      <w:pPr>
        <w:pStyle w:val="Heading4"/>
        <w:numPr>
          <w:ilvl w:val="0"/>
          <w:numId w:val="43"/>
        </w:numPr>
        <w:ind w:left="2160" w:hanging="720"/>
        <w:rPr>
          <w:rFonts w:eastAsiaTheme="minorHAnsi"/>
        </w:rPr>
      </w:pPr>
      <w:bookmarkStart w:id="357" w:name="_Toc63764575"/>
      <w:r w:rsidRPr="00E9174E">
        <w:t>Recommended</w:t>
      </w:r>
      <w:r w:rsidRPr="00E9174E">
        <w:rPr>
          <w:rFonts w:eastAsiaTheme="minorHAnsi"/>
        </w:rPr>
        <w:t xml:space="preserve"> Decision</w:t>
      </w:r>
      <w:bookmarkEnd w:id="357"/>
    </w:p>
    <w:p w14:paraId="4048D156" w14:textId="77777777" w:rsidR="00455B4B" w:rsidRPr="00E9174E" w:rsidRDefault="00455B4B" w:rsidP="00E9174E">
      <w:pPr>
        <w:keepNext/>
        <w:keepLines/>
        <w:widowControl/>
        <w:spacing w:line="360" w:lineRule="auto"/>
        <w:contextualSpacing/>
        <w:rPr>
          <w:rFonts w:eastAsia="Calibri"/>
          <w:sz w:val="26"/>
          <w:szCs w:val="26"/>
        </w:rPr>
      </w:pPr>
    </w:p>
    <w:p w14:paraId="4493AD74" w14:textId="77777777" w:rsidR="00455B4B" w:rsidRPr="00E9174E" w:rsidRDefault="00455B4B" w:rsidP="00E9174E">
      <w:pPr>
        <w:widowControl/>
        <w:spacing w:line="360" w:lineRule="auto"/>
        <w:ind w:firstLine="1440"/>
        <w:contextualSpacing/>
        <w:rPr>
          <w:rFonts w:eastAsia="Calibri"/>
          <w:sz w:val="26"/>
          <w:szCs w:val="26"/>
        </w:rPr>
      </w:pPr>
      <w:r w:rsidRPr="00E9174E">
        <w:rPr>
          <w:rFonts w:eastAsia="Calibri"/>
          <w:sz w:val="26"/>
          <w:szCs w:val="26"/>
        </w:rPr>
        <w:t xml:space="preserve">The ALJ found reasonable Columbia’s explanation that </w:t>
      </w:r>
      <w:r w:rsidRPr="00E9174E">
        <w:rPr>
          <w:rFonts w:eastAsiaTheme="minorHAnsi"/>
          <w:sz w:val="26"/>
          <w:szCs w:val="26"/>
        </w:rPr>
        <w:t>funding for the pilot should not be changed until the effectiveness of the program can be evaluated</w:t>
      </w:r>
      <w:r w:rsidRPr="00E9174E">
        <w:rPr>
          <w:rFonts w:eastAsia="Calibri"/>
          <w:sz w:val="26"/>
          <w:szCs w:val="26"/>
        </w:rPr>
        <w:t xml:space="preserve">.  The ALJ determined that </w:t>
      </w:r>
      <w:r w:rsidRPr="00E9174E">
        <w:rPr>
          <w:rFonts w:eastAsiaTheme="minorHAnsi"/>
          <w:sz w:val="26"/>
          <w:szCs w:val="26"/>
        </w:rPr>
        <w:t xml:space="preserve">if the Commission grants Columbia’s request to consider all the elements in its base rate increase request, the Commission should not make any changes to Columbia’s Health and Safety Pilot program at this time.  R.D. at 241.  </w:t>
      </w:r>
    </w:p>
    <w:p w14:paraId="7072137A" w14:textId="77777777" w:rsidR="00455B4B" w:rsidRPr="00E9174E" w:rsidRDefault="00455B4B" w:rsidP="00E9174E">
      <w:pPr>
        <w:widowControl/>
        <w:tabs>
          <w:tab w:val="left" w:pos="360"/>
        </w:tabs>
        <w:spacing w:line="360" w:lineRule="auto"/>
        <w:contextualSpacing/>
        <w:rPr>
          <w:rFonts w:eastAsiaTheme="minorHAnsi"/>
          <w:sz w:val="26"/>
          <w:szCs w:val="26"/>
        </w:rPr>
      </w:pPr>
    </w:p>
    <w:p w14:paraId="63623571" w14:textId="023337B7" w:rsidR="00455B4B" w:rsidRPr="00E9174E" w:rsidRDefault="00455B4B" w:rsidP="00277ECF">
      <w:pPr>
        <w:pStyle w:val="Heading4"/>
        <w:numPr>
          <w:ilvl w:val="0"/>
          <w:numId w:val="43"/>
        </w:numPr>
        <w:ind w:left="2160" w:hanging="720"/>
        <w:rPr>
          <w:rFonts w:eastAsiaTheme="minorHAnsi"/>
        </w:rPr>
      </w:pPr>
      <w:bookmarkStart w:id="358" w:name="_Toc63764576"/>
      <w:r w:rsidRPr="00E9174E">
        <w:rPr>
          <w:rFonts w:eastAsiaTheme="minorHAnsi"/>
        </w:rPr>
        <w:t>Disposition</w:t>
      </w:r>
      <w:bookmarkEnd w:id="358"/>
    </w:p>
    <w:p w14:paraId="49A90F49" w14:textId="77777777" w:rsidR="00455B4B" w:rsidRPr="00E9174E" w:rsidRDefault="00455B4B" w:rsidP="00E9174E">
      <w:pPr>
        <w:widowControl/>
        <w:tabs>
          <w:tab w:val="left" w:pos="360"/>
        </w:tabs>
        <w:spacing w:line="360" w:lineRule="auto"/>
        <w:contextualSpacing/>
        <w:rPr>
          <w:rFonts w:eastAsiaTheme="minorHAnsi"/>
          <w:sz w:val="26"/>
          <w:szCs w:val="26"/>
        </w:rPr>
      </w:pPr>
    </w:p>
    <w:p w14:paraId="75BC3830" w14:textId="77777777" w:rsidR="00455B4B" w:rsidRPr="00E9174E" w:rsidRDefault="00455B4B" w:rsidP="00E9174E">
      <w:pPr>
        <w:widowControl/>
        <w:spacing w:line="360" w:lineRule="auto"/>
        <w:ind w:firstLine="1440"/>
        <w:contextualSpacing/>
        <w:rPr>
          <w:sz w:val="26"/>
          <w:szCs w:val="26"/>
        </w:rPr>
      </w:pPr>
      <w:r w:rsidRPr="00E9174E">
        <w:rPr>
          <w:sz w:val="26"/>
          <w:szCs w:val="26"/>
        </w:rPr>
        <w:t>No Party filed Exceptions objecting to the ALJ’s recommendation on this issue.  We find that the ALJ’s recommendation is supported by ample record evidence and is just and reasonable.  Accordingly, we shall adopt it without further comment.</w:t>
      </w:r>
    </w:p>
    <w:p w14:paraId="50C46D04" w14:textId="77777777" w:rsidR="00455B4B" w:rsidRPr="00E9174E" w:rsidRDefault="00455B4B" w:rsidP="00E9174E">
      <w:pPr>
        <w:widowControl/>
        <w:tabs>
          <w:tab w:val="left" w:pos="360"/>
        </w:tabs>
        <w:spacing w:line="360" w:lineRule="auto"/>
        <w:contextualSpacing/>
        <w:rPr>
          <w:rFonts w:eastAsiaTheme="minorHAnsi"/>
          <w:sz w:val="26"/>
          <w:szCs w:val="26"/>
        </w:rPr>
      </w:pPr>
    </w:p>
    <w:p w14:paraId="1A971BBB" w14:textId="77777777" w:rsidR="00455B4B" w:rsidRPr="00E9174E" w:rsidRDefault="00455B4B" w:rsidP="00277ECF">
      <w:pPr>
        <w:pStyle w:val="Heading3"/>
        <w:numPr>
          <w:ilvl w:val="0"/>
          <w:numId w:val="41"/>
        </w:numPr>
        <w:ind w:left="1440" w:hanging="720"/>
        <w:rPr>
          <w:rFonts w:eastAsiaTheme="minorHAnsi"/>
        </w:rPr>
      </w:pPr>
      <w:bookmarkStart w:id="359" w:name="_Toc63764577"/>
      <w:r w:rsidRPr="00E9174E">
        <w:rPr>
          <w:rFonts w:eastAsiaTheme="minorHAnsi"/>
        </w:rPr>
        <w:t>LIURP</w:t>
      </w:r>
      <w:bookmarkEnd w:id="359"/>
    </w:p>
    <w:p w14:paraId="320F9047" w14:textId="77777777" w:rsidR="00455B4B" w:rsidRPr="00E9174E" w:rsidRDefault="00455B4B" w:rsidP="00E9174E">
      <w:pPr>
        <w:keepNext/>
        <w:keepLines/>
        <w:widowControl/>
        <w:tabs>
          <w:tab w:val="left" w:pos="360"/>
        </w:tabs>
        <w:spacing w:line="360" w:lineRule="auto"/>
        <w:contextualSpacing/>
        <w:rPr>
          <w:rFonts w:eastAsiaTheme="minorHAnsi"/>
          <w:b/>
          <w:bCs/>
          <w:sz w:val="26"/>
          <w:szCs w:val="26"/>
        </w:rPr>
      </w:pPr>
    </w:p>
    <w:p w14:paraId="1A1EC83D" w14:textId="77777777" w:rsidR="00455B4B" w:rsidRPr="00E9174E" w:rsidRDefault="00455B4B" w:rsidP="00277ECF">
      <w:pPr>
        <w:pStyle w:val="Heading4"/>
        <w:numPr>
          <w:ilvl w:val="0"/>
          <w:numId w:val="42"/>
        </w:numPr>
        <w:ind w:left="2160" w:hanging="720"/>
        <w:rPr>
          <w:rFonts w:eastAsiaTheme="minorHAnsi"/>
        </w:rPr>
      </w:pPr>
      <w:bookmarkStart w:id="360" w:name="_Toc63764578"/>
      <w:r w:rsidRPr="00E9174E">
        <w:t>Positions</w:t>
      </w:r>
      <w:r w:rsidRPr="00E9174E">
        <w:rPr>
          <w:rFonts w:eastAsiaTheme="minorHAnsi"/>
        </w:rPr>
        <w:t xml:space="preserve"> of the Parties</w:t>
      </w:r>
      <w:bookmarkEnd w:id="360"/>
    </w:p>
    <w:p w14:paraId="29F49AD6" w14:textId="77777777" w:rsidR="00455B4B" w:rsidRPr="00E9174E" w:rsidRDefault="00455B4B" w:rsidP="00E9174E">
      <w:pPr>
        <w:keepNext/>
        <w:keepLines/>
        <w:widowControl/>
        <w:tabs>
          <w:tab w:val="left" w:pos="360"/>
        </w:tabs>
        <w:spacing w:line="360" w:lineRule="auto"/>
        <w:contextualSpacing/>
        <w:rPr>
          <w:rFonts w:eastAsiaTheme="minorHAnsi"/>
          <w:sz w:val="26"/>
          <w:szCs w:val="26"/>
        </w:rPr>
      </w:pPr>
      <w:r w:rsidRPr="00E9174E">
        <w:rPr>
          <w:rFonts w:eastAsiaTheme="minorHAnsi"/>
          <w:sz w:val="26"/>
          <w:szCs w:val="26"/>
        </w:rPr>
        <w:t xml:space="preserve"> </w:t>
      </w:r>
    </w:p>
    <w:p w14:paraId="27E4D2F1" w14:textId="31075485" w:rsidR="00455B4B" w:rsidRPr="00E9174E" w:rsidRDefault="00455B4B" w:rsidP="00E9174E">
      <w:pPr>
        <w:widowControl/>
        <w:suppressAutoHyphens/>
        <w:autoSpaceDE w:val="0"/>
        <w:autoSpaceDN w:val="0"/>
        <w:adjustRightInd w:val="0"/>
        <w:spacing w:line="360" w:lineRule="auto"/>
        <w:ind w:firstLine="1440"/>
        <w:contextualSpacing/>
        <w:rPr>
          <w:rFonts w:eastAsiaTheme="minorHAnsi"/>
          <w:sz w:val="26"/>
          <w:szCs w:val="26"/>
        </w:rPr>
      </w:pPr>
      <w:r w:rsidRPr="00E9174E">
        <w:rPr>
          <w:rFonts w:eastAsiaTheme="minorHAnsi"/>
          <w:sz w:val="26"/>
          <w:szCs w:val="26"/>
        </w:rPr>
        <w:t xml:space="preserve">CAAP recommended that, should the Commission grant a rate increase, the number of customers Columbia serves annually should be increased from the targeted </w:t>
      </w:r>
      <w:r w:rsidRPr="00E9174E">
        <w:rPr>
          <w:rFonts w:eastAsiaTheme="minorHAnsi"/>
          <w:sz w:val="26"/>
          <w:szCs w:val="26"/>
        </w:rPr>
        <w:lastRenderedPageBreak/>
        <w:t xml:space="preserve">540 to 600.  In addition, with an average LIURP cost of approximately $7,000, CAAP recommended an additional annual LIURP funding of $420,000, beginning in the 2022 program year.  CAAP M.B. at 8; CAAP St. 1 at 5.  </w:t>
      </w:r>
    </w:p>
    <w:p w14:paraId="107D412B" w14:textId="77777777" w:rsidR="00455B4B" w:rsidRPr="00E9174E" w:rsidRDefault="00455B4B" w:rsidP="00E9174E">
      <w:pPr>
        <w:widowControl/>
        <w:tabs>
          <w:tab w:val="left" w:pos="720"/>
          <w:tab w:val="left" w:pos="1440"/>
          <w:tab w:val="right" w:leader="dot" w:pos="9360"/>
        </w:tabs>
        <w:spacing w:line="360" w:lineRule="auto"/>
        <w:contextualSpacing/>
        <w:rPr>
          <w:rFonts w:eastAsiaTheme="minorHAnsi"/>
          <w:sz w:val="26"/>
          <w:szCs w:val="26"/>
        </w:rPr>
      </w:pPr>
    </w:p>
    <w:p w14:paraId="3039CB64" w14:textId="28DE1EB9" w:rsidR="00455B4B" w:rsidRPr="00E9174E" w:rsidRDefault="00455B4B" w:rsidP="00E9174E">
      <w:pPr>
        <w:widowControl/>
        <w:tabs>
          <w:tab w:val="right" w:leader="dot" w:pos="9360"/>
        </w:tabs>
        <w:spacing w:line="360" w:lineRule="auto"/>
        <w:ind w:firstLine="1440"/>
        <w:contextualSpacing/>
        <w:rPr>
          <w:rFonts w:eastAsiaTheme="minorHAnsi"/>
          <w:sz w:val="26"/>
          <w:szCs w:val="26"/>
        </w:rPr>
      </w:pPr>
      <w:r w:rsidRPr="00E9174E">
        <w:rPr>
          <w:rFonts w:eastAsiaTheme="minorHAnsi"/>
          <w:sz w:val="26"/>
          <w:szCs w:val="26"/>
        </w:rPr>
        <w:t xml:space="preserve">CAUSE-PA agreed with CAAP that the Commission should require Columbia to increase its LIURP budget and, if this increase causes additional rollover, Columbia should make efforts to ramp up the program to ensure the program is meeting the identified need for services.  CAUSE-PA M.B. at 27.  </w:t>
      </w:r>
    </w:p>
    <w:p w14:paraId="343C7AB8" w14:textId="77777777" w:rsidR="00455B4B" w:rsidRPr="00E9174E" w:rsidRDefault="00455B4B" w:rsidP="00E9174E">
      <w:pPr>
        <w:widowControl/>
        <w:tabs>
          <w:tab w:val="left" w:pos="720"/>
          <w:tab w:val="left" w:pos="1440"/>
          <w:tab w:val="right" w:leader="dot" w:pos="9360"/>
        </w:tabs>
        <w:spacing w:line="360" w:lineRule="auto"/>
        <w:contextualSpacing/>
        <w:rPr>
          <w:rFonts w:eastAsiaTheme="minorHAnsi"/>
          <w:sz w:val="26"/>
          <w:szCs w:val="26"/>
        </w:rPr>
      </w:pPr>
    </w:p>
    <w:p w14:paraId="0F3CB1F3" w14:textId="299F5AD8" w:rsidR="00455B4B" w:rsidRDefault="00455B4B" w:rsidP="00E9174E">
      <w:pPr>
        <w:widowControl/>
        <w:spacing w:line="360" w:lineRule="auto"/>
        <w:ind w:firstLine="1440"/>
        <w:contextualSpacing/>
        <w:rPr>
          <w:rFonts w:eastAsiaTheme="minorHAnsi"/>
          <w:sz w:val="26"/>
          <w:szCs w:val="26"/>
        </w:rPr>
      </w:pPr>
      <w:r w:rsidRPr="00E9174E">
        <w:rPr>
          <w:rFonts w:eastAsiaTheme="minorHAnsi"/>
          <w:sz w:val="26"/>
          <w:szCs w:val="26"/>
        </w:rPr>
        <w:t>Columbia stated that it does not dispute the importance of LIURP but argues against CAAP’s suggestion to increase the LIURP budget by $420,000 annually, contending that LIURP is over-funded.  Columbia cites to its testimony concerning the LIURP carry-over funding from year to year.  CG M.B. at 111; C</w:t>
      </w:r>
      <w:bookmarkStart w:id="361" w:name="_BA_Cite_EAF4C8_000221"/>
      <w:bookmarkEnd w:id="361"/>
      <w:r w:rsidRPr="00E9174E">
        <w:rPr>
          <w:rFonts w:eastAsiaTheme="minorHAnsi"/>
          <w:sz w:val="26"/>
          <w:szCs w:val="26"/>
        </w:rPr>
        <w:t>G St. 13-R at 21-22.</w:t>
      </w:r>
    </w:p>
    <w:p w14:paraId="616CEC08" w14:textId="77777777" w:rsidR="00E8160D" w:rsidRPr="00E9174E" w:rsidRDefault="00E8160D" w:rsidP="00E9174E">
      <w:pPr>
        <w:widowControl/>
        <w:spacing w:line="360" w:lineRule="auto"/>
        <w:ind w:firstLine="1440"/>
        <w:contextualSpacing/>
        <w:rPr>
          <w:rFonts w:eastAsiaTheme="minorHAnsi"/>
          <w:sz w:val="26"/>
          <w:szCs w:val="26"/>
        </w:rPr>
      </w:pPr>
    </w:p>
    <w:p w14:paraId="2683673C" w14:textId="358DBCCA" w:rsidR="00455B4B" w:rsidRPr="00E9174E" w:rsidRDefault="00455B4B" w:rsidP="00277ECF">
      <w:pPr>
        <w:pStyle w:val="Heading4"/>
        <w:numPr>
          <w:ilvl w:val="0"/>
          <w:numId w:val="43"/>
        </w:numPr>
        <w:ind w:left="2160" w:hanging="720"/>
        <w:rPr>
          <w:rFonts w:eastAsiaTheme="minorHAnsi"/>
        </w:rPr>
      </w:pPr>
      <w:bookmarkStart w:id="362" w:name="_Toc63764579"/>
      <w:r w:rsidRPr="00E9174E">
        <w:t>Recommended</w:t>
      </w:r>
      <w:r w:rsidRPr="00E9174E">
        <w:rPr>
          <w:rFonts w:eastAsiaTheme="minorHAnsi"/>
        </w:rPr>
        <w:t xml:space="preserve"> Decision</w:t>
      </w:r>
      <w:bookmarkEnd w:id="362"/>
    </w:p>
    <w:p w14:paraId="1A1C25DE" w14:textId="77777777" w:rsidR="00455B4B" w:rsidRPr="00E9174E" w:rsidRDefault="00455B4B" w:rsidP="00E9174E">
      <w:pPr>
        <w:keepNext/>
        <w:keepLines/>
        <w:widowControl/>
        <w:tabs>
          <w:tab w:val="left" w:pos="360"/>
        </w:tabs>
        <w:spacing w:line="360" w:lineRule="auto"/>
        <w:contextualSpacing/>
        <w:rPr>
          <w:rFonts w:eastAsiaTheme="minorHAnsi"/>
          <w:b/>
          <w:bCs/>
          <w:sz w:val="26"/>
          <w:szCs w:val="26"/>
        </w:rPr>
      </w:pPr>
    </w:p>
    <w:p w14:paraId="44E56A8C" w14:textId="77777777" w:rsidR="00455B4B" w:rsidRPr="00E9174E" w:rsidRDefault="00455B4B" w:rsidP="00E9174E">
      <w:pPr>
        <w:widowControl/>
        <w:spacing w:line="360" w:lineRule="auto"/>
        <w:ind w:firstLine="1440"/>
        <w:contextualSpacing/>
        <w:rPr>
          <w:rFonts w:eastAsia="Calibri"/>
          <w:sz w:val="26"/>
          <w:szCs w:val="26"/>
        </w:rPr>
      </w:pPr>
      <w:r w:rsidRPr="00E9174E">
        <w:rPr>
          <w:rFonts w:eastAsiaTheme="minorHAnsi"/>
          <w:sz w:val="26"/>
          <w:szCs w:val="26"/>
        </w:rPr>
        <w:t>The ALJ determined that if the Commission grants Columbia’s request to consider all the elements in its base rate increase request, the Commission should not make any changes to Columbia’s LIURP program at this time</w:t>
      </w:r>
      <w:r w:rsidRPr="00E9174E">
        <w:rPr>
          <w:rFonts w:eastAsia="Calibri"/>
          <w:sz w:val="26"/>
          <w:szCs w:val="26"/>
        </w:rPr>
        <w:t>.  R.D. at 242.</w:t>
      </w:r>
    </w:p>
    <w:p w14:paraId="30355FD7" w14:textId="77777777" w:rsidR="00455B4B" w:rsidRPr="00E9174E" w:rsidRDefault="00455B4B" w:rsidP="00E9174E">
      <w:pPr>
        <w:widowControl/>
        <w:tabs>
          <w:tab w:val="left" w:pos="360"/>
        </w:tabs>
        <w:spacing w:line="360" w:lineRule="auto"/>
        <w:contextualSpacing/>
        <w:rPr>
          <w:rFonts w:eastAsiaTheme="minorHAnsi"/>
          <w:sz w:val="26"/>
          <w:szCs w:val="26"/>
        </w:rPr>
      </w:pPr>
    </w:p>
    <w:p w14:paraId="0AAA92ED" w14:textId="77777777" w:rsidR="00455B4B" w:rsidRPr="00E9174E" w:rsidRDefault="00455B4B" w:rsidP="00277ECF">
      <w:pPr>
        <w:pStyle w:val="Heading4"/>
        <w:numPr>
          <w:ilvl w:val="0"/>
          <w:numId w:val="43"/>
        </w:numPr>
        <w:ind w:left="2160" w:hanging="720"/>
        <w:rPr>
          <w:rFonts w:eastAsiaTheme="minorHAnsi"/>
        </w:rPr>
      </w:pPr>
      <w:bookmarkStart w:id="363" w:name="_Toc63764580"/>
      <w:r w:rsidRPr="00E9174E">
        <w:t>Disposition</w:t>
      </w:r>
      <w:bookmarkEnd w:id="363"/>
      <w:r w:rsidRPr="00E9174E">
        <w:rPr>
          <w:rFonts w:eastAsiaTheme="minorHAnsi"/>
        </w:rPr>
        <w:t xml:space="preserve"> </w:t>
      </w:r>
    </w:p>
    <w:p w14:paraId="4CD33D14" w14:textId="77777777" w:rsidR="00455B4B" w:rsidRPr="00E9174E" w:rsidRDefault="00455B4B" w:rsidP="00E9174E">
      <w:pPr>
        <w:keepNext/>
        <w:keepLines/>
        <w:widowControl/>
        <w:tabs>
          <w:tab w:val="left" w:pos="360"/>
        </w:tabs>
        <w:spacing w:line="360" w:lineRule="auto"/>
        <w:contextualSpacing/>
        <w:rPr>
          <w:rFonts w:eastAsiaTheme="minorHAnsi"/>
          <w:b/>
          <w:bCs/>
          <w:sz w:val="26"/>
          <w:szCs w:val="26"/>
        </w:rPr>
      </w:pPr>
    </w:p>
    <w:p w14:paraId="5EDAFDD5" w14:textId="77777777" w:rsidR="00455B4B" w:rsidRPr="00E9174E" w:rsidRDefault="00455B4B" w:rsidP="00E9174E">
      <w:pPr>
        <w:widowControl/>
        <w:spacing w:line="360" w:lineRule="auto"/>
        <w:ind w:firstLine="1440"/>
        <w:contextualSpacing/>
        <w:rPr>
          <w:sz w:val="26"/>
          <w:szCs w:val="26"/>
        </w:rPr>
      </w:pPr>
      <w:r w:rsidRPr="00E9174E">
        <w:rPr>
          <w:sz w:val="26"/>
          <w:szCs w:val="26"/>
        </w:rPr>
        <w:t>No Party filed Exceptions objecting to the ALJ’s recommendation on this issue.  We find that the ALJ’s recommendation is supported by ample record evidence and is just and reasonable.  Accordingly, we shall adopt it without further comment.</w:t>
      </w:r>
    </w:p>
    <w:p w14:paraId="1248BEDB" w14:textId="553D3211" w:rsidR="00455B4B" w:rsidRPr="00E9174E" w:rsidRDefault="00455B4B" w:rsidP="00E9174E">
      <w:pPr>
        <w:widowControl/>
        <w:tabs>
          <w:tab w:val="left" w:pos="360"/>
        </w:tabs>
        <w:spacing w:line="360" w:lineRule="auto"/>
        <w:contextualSpacing/>
        <w:rPr>
          <w:rFonts w:eastAsiaTheme="minorHAnsi"/>
          <w:sz w:val="26"/>
          <w:szCs w:val="26"/>
        </w:rPr>
      </w:pPr>
    </w:p>
    <w:p w14:paraId="0BCE8F4F" w14:textId="77777777" w:rsidR="00455B4B" w:rsidRPr="00E9174E" w:rsidRDefault="00455B4B" w:rsidP="00277ECF">
      <w:pPr>
        <w:pStyle w:val="Heading3"/>
        <w:numPr>
          <w:ilvl w:val="0"/>
          <w:numId w:val="41"/>
        </w:numPr>
        <w:ind w:left="1440" w:hanging="720"/>
        <w:rPr>
          <w:rFonts w:eastAsiaTheme="minorHAnsi"/>
        </w:rPr>
      </w:pPr>
      <w:bookmarkStart w:id="364" w:name="_Toc63764581"/>
      <w:r w:rsidRPr="00E9174E">
        <w:rPr>
          <w:rFonts w:eastAsiaTheme="minorHAnsi"/>
        </w:rPr>
        <w:lastRenderedPageBreak/>
        <w:t>Hardship Fund</w:t>
      </w:r>
      <w:bookmarkEnd w:id="364"/>
    </w:p>
    <w:p w14:paraId="0E5C8293" w14:textId="77777777" w:rsidR="00455B4B" w:rsidRPr="00E9174E" w:rsidRDefault="00455B4B" w:rsidP="00E9174E">
      <w:pPr>
        <w:keepNext/>
        <w:keepLines/>
        <w:widowControl/>
        <w:tabs>
          <w:tab w:val="left" w:pos="360"/>
        </w:tabs>
        <w:spacing w:line="360" w:lineRule="auto"/>
        <w:contextualSpacing/>
        <w:rPr>
          <w:rFonts w:eastAsiaTheme="minorHAnsi"/>
          <w:sz w:val="26"/>
          <w:szCs w:val="26"/>
        </w:rPr>
      </w:pPr>
    </w:p>
    <w:p w14:paraId="0E09EFB6" w14:textId="2A643859" w:rsidR="00455B4B" w:rsidRPr="00E9174E" w:rsidRDefault="00455B4B" w:rsidP="00277ECF">
      <w:pPr>
        <w:pStyle w:val="Heading4"/>
        <w:numPr>
          <w:ilvl w:val="0"/>
          <w:numId w:val="45"/>
        </w:numPr>
        <w:ind w:left="2160" w:hanging="720"/>
        <w:rPr>
          <w:rFonts w:eastAsiaTheme="minorHAnsi"/>
        </w:rPr>
      </w:pPr>
      <w:bookmarkStart w:id="365" w:name="_Toc63764582"/>
      <w:r w:rsidRPr="00E9174E">
        <w:t>Positions</w:t>
      </w:r>
      <w:r w:rsidRPr="00E9174E">
        <w:rPr>
          <w:rFonts w:eastAsiaTheme="minorHAnsi"/>
        </w:rPr>
        <w:t xml:space="preserve"> of the Parties</w:t>
      </w:r>
      <w:bookmarkEnd w:id="365"/>
      <w:r w:rsidRPr="00E9174E">
        <w:rPr>
          <w:rFonts w:eastAsiaTheme="minorHAnsi"/>
        </w:rPr>
        <w:t xml:space="preserve"> </w:t>
      </w:r>
    </w:p>
    <w:p w14:paraId="2E3DD656" w14:textId="23356A51" w:rsidR="00455B4B" w:rsidRPr="00E9174E" w:rsidRDefault="00455B4B" w:rsidP="00E9174E">
      <w:pPr>
        <w:keepNext/>
        <w:keepLines/>
        <w:widowControl/>
        <w:tabs>
          <w:tab w:val="left" w:pos="-720"/>
          <w:tab w:val="left" w:pos="0"/>
        </w:tabs>
        <w:suppressAutoHyphens/>
        <w:spacing w:line="360" w:lineRule="auto"/>
        <w:contextualSpacing/>
        <w:rPr>
          <w:rFonts w:eastAsiaTheme="minorHAnsi"/>
          <w:sz w:val="26"/>
          <w:szCs w:val="26"/>
        </w:rPr>
      </w:pPr>
    </w:p>
    <w:p w14:paraId="15546415" w14:textId="5B024A4A" w:rsidR="00455B4B" w:rsidRPr="00E9174E" w:rsidRDefault="00455B4B" w:rsidP="00E9174E">
      <w:pPr>
        <w:widowControl/>
        <w:tabs>
          <w:tab w:val="left" w:pos="-720"/>
        </w:tabs>
        <w:suppressAutoHyphens/>
        <w:spacing w:line="360" w:lineRule="auto"/>
        <w:ind w:firstLine="1440"/>
        <w:contextualSpacing/>
        <w:rPr>
          <w:rFonts w:eastAsiaTheme="minorHAnsi"/>
          <w:sz w:val="26"/>
          <w:szCs w:val="26"/>
        </w:rPr>
      </w:pPr>
      <w:r w:rsidRPr="00E9174E">
        <w:rPr>
          <w:rFonts w:eastAsiaTheme="minorHAnsi"/>
          <w:sz w:val="26"/>
          <w:szCs w:val="26"/>
        </w:rPr>
        <w:t xml:space="preserve">CAAP proposed the Company’s </w:t>
      </w:r>
      <w:r w:rsidR="000E4052" w:rsidRPr="00E9174E">
        <w:rPr>
          <w:rFonts w:eastAsiaTheme="minorHAnsi"/>
          <w:sz w:val="26"/>
          <w:szCs w:val="26"/>
        </w:rPr>
        <w:t>H</w:t>
      </w:r>
      <w:r w:rsidRPr="00E9174E">
        <w:rPr>
          <w:rFonts w:eastAsiaTheme="minorHAnsi"/>
          <w:sz w:val="26"/>
          <w:szCs w:val="26"/>
        </w:rPr>
        <w:t xml:space="preserve">ardship </w:t>
      </w:r>
      <w:r w:rsidR="000E4052" w:rsidRPr="00E9174E">
        <w:rPr>
          <w:rFonts w:eastAsiaTheme="minorHAnsi"/>
          <w:sz w:val="26"/>
          <w:szCs w:val="26"/>
        </w:rPr>
        <w:t>F</w:t>
      </w:r>
      <w:r w:rsidRPr="00E9174E">
        <w:rPr>
          <w:rFonts w:eastAsiaTheme="minorHAnsi"/>
          <w:sz w:val="26"/>
          <w:szCs w:val="26"/>
        </w:rPr>
        <w:t xml:space="preserve">und be increased from $675,000 to $800,000 annually, with the Company contributing what is necessary to reach that funding level after customer contributions.  CAAP also recommended hardship funding be distributed in accordance with the percentage of low-income customers in the counties the Company serves.  CAAP M.B. at 8.  </w:t>
      </w:r>
    </w:p>
    <w:p w14:paraId="61902E01" w14:textId="77777777" w:rsidR="00455B4B" w:rsidRPr="00E9174E" w:rsidRDefault="00455B4B" w:rsidP="00E9174E">
      <w:pPr>
        <w:widowControl/>
        <w:spacing w:line="360" w:lineRule="auto"/>
        <w:contextualSpacing/>
        <w:rPr>
          <w:rFonts w:eastAsiaTheme="minorHAnsi"/>
          <w:sz w:val="26"/>
          <w:szCs w:val="26"/>
        </w:rPr>
      </w:pPr>
    </w:p>
    <w:p w14:paraId="7341B4ED" w14:textId="77777777" w:rsidR="00455B4B" w:rsidRPr="00E9174E" w:rsidRDefault="00455B4B" w:rsidP="00E9174E">
      <w:pPr>
        <w:widowControl/>
        <w:spacing w:line="360" w:lineRule="auto"/>
        <w:ind w:firstLine="1440"/>
        <w:contextualSpacing/>
        <w:rPr>
          <w:rFonts w:eastAsiaTheme="minorHAnsi"/>
          <w:sz w:val="26"/>
          <w:szCs w:val="26"/>
        </w:rPr>
      </w:pPr>
      <w:r w:rsidRPr="00E9174E">
        <w:rPr>
          <w:rFonts w:eastAsiaTheme="minorHAnsi"/>
          <w:sz w:val="26"/>
          <w:szCs w:val="26"/>
        </w:rPr>
        <w:t xml:space="preserve">CAUSE-PA agreed with CAAP and recommended the Commission require Columbia to increase its Hardship Fund to $800,000 annually, with the Company contributing any amount necessary after customer contributions.  CAUSE-PA M.B. at 27.  CAUSE-PA reasoned that increased Hardship Funds will help low-income customers avoid terminations, which will be vital once the current COVID-19 termination moratorium expires.  </w:t>
      </w:r>
      <w:r w:rsidRPr="00E9174E">
        <w:rPr>
          <w:rFonts w:eastAsiaTheme="minorHAnsi"/>
          <w:i/>
          <w:iCs/>
          <w:sz w:val="26"/>
          <w:szCs w:val="26"/>
        </w:rPr>
        <w:t>Id</w:t>
      </w:r>
      <w:r w:rsidRPr="00E9174E">
        <w:rPr>
          <w:rFonts w:eastAsiaTheme="minorHAnsi"/>
          <w:sz w:val="26"/>
          <w:szCs w:val="26"/>
        </w:rPr>
        <w:t>. (citing CAUSE-PA St. 1 at 17-18).</w:t>
      </w:r>
    </w:p>
    <w:p w14:paraId="3AC6DCC3" w14:textId="77777777" w:rsidR="00455B4B" w:rsidRPr="00E9174E" w:rsidRDefault="00455B4B" w:rsidP="00E9174E">
      <w:pPr>
        <w:widowControl/>
        <w:tabs>
          <w:tab w:val="left" w:pos="360"/>
        </w:tabs>
        <w:spacing w:line="360" w:lineRule="auto"/>
        <w:contextualSpacing/>
        <w:rPr>
          <w:rFonts w:eastAsiaTheme="minorHAnsi"/>
          <w:sz w:val="26"/>
          <w:szCs w:val="26"/>
        </w:rPr>
      </w:pPr>
    </w:p>
    <w:p w14:paraId="7A0FF7A2" w14:textId="32AC3A43" w:rsidR="00455B4B" w:rsidRPr="00E9174E" w:rsidRDefault="00455B4B" w:rsidP="00E9174E">
      <w:pPr>
        <w:widowControl/>
        <w:spacing w:line="360" w:lineRule="auto"/>
        <w:ind w:firstLine="1440"/>
        <w:contextualSpacing/>
        <w:rPr>
          <w:rFonts w:eastAsiaTheme="minorHAnsi"/>
          <w:sz w:val="26"/>
          <w:szCs w:val="26"/>
        </w:rPr>
      </w:pPr>
      <w:r w:rsidRPr="00E9174E">
        <w:rPr>
          <w:rFonts w:eastAsiaTheme="minorHAnsi"/>
          <w:sz w:val="26"/>
          <w:szCs w:val="26"/>
        </w:rPr>
        <w:t>Columbia discussed all of the resources used to provide Hardship Fund funding, including shareholder contributions, customer and Company sponsored fundraising, and pipeline penalty credits and refund proceeds, and explained it currently has a surplus in its Hardship Fund balance of more than $700,000.  Columbia noted that CAAP did not dispute that existing funding levels are more than sufficient, and Columbia suggested CAAP’s proposal should be rejected.  The Company argued that the Hardship Fund is adequately funded and capable of serving the customers who qualify for Hardship Fund grants under the existing guidelines.  CG M.B. at 112-13; CG St. 13-R at</w:t>
      </w:r>
      <w:r w:rsidR="00E8160D">
        <w:rPr>
          <w:rFonts w:eastAsiaTheme="minorHAnsi"/>
          <w:sz w:val="26"/>
          <w:szCs w:val="26"/>
        </w:rPr>
        <w:t> </w:t>
      </w:r>
      <w:r w:rsidRPr="00E9174E">
        <w:rPr>
          <w:rFonts w:eastAsiaTheme="minorHAnsi"/>
          <w:sz w:val="26"/>
          <w:szCs w:val="26"/>
        </w:rPr>
        <w:t xml:space="preserve">22-23.  </w:t>
      </w:r>
    </w:p>
    <w:p w14:paraId="519BF70A" w14:textId="77777777" w:rsidR="00455B4B" w:rsidRPr="00E9174E" w:rsidRDefault="00455B4B" w:rsidP="00E9174E">
      <w:pPr>
        <w:widowControl/>
        <w:tabs>
          <w:tab w:val="left" w:pos="360"/>
        </w:tabs>
        <w:spacing w:line="360" w:lineRule="auto"/>
        <w:contextualSpacing/>
        <w:rPr>
          <w:rFonts w:eastAsiaTheme="minorHAnsi"/>
          <w:sz w:val="26"/>
          <w:szCs w:val="26"/>
        </w:rPr>
      </w:pPr>
    </w:p>
    <w:p w14:paraId="676117C4" w14:textId="77777777" w:rsidR="00455B4B" w:rsidRPr="00E9174E" w:rsidRDefault="00455B4B" w:rsidP="00E8160D">
      <w:pPr>
        <w:pStyle w:val="Heading4"/>
        <w:ind w:left="2160" w:hanging="720"/>
        <w:rPr>
          <w:rFonts w:eastAsiaTheme="minorHAnsi"/>
        </w:rPr>
      </w:pPr>
      <w:bookmarkStart w:id="366" w:name="_Toc63764583"/>
      <w:r w:rsidRPr="00E9174E">
        <w:lastRenderedPageBreak/>
        <w:t>Recommended</w:t>
      </w:r>
      <w:r w:rsidRPr="00E9174E">
        <w:rPr>
          <w:rFonts w:eastAsiaTheme="minorHAnsi"/>
        </w:rPr>
        <w:t xml:space="preserve"> Decision</w:t>
      </w:r>
      <w:bookmarkEnd w:id="366"/>
    </w:p>
    <w:p w14:paraId="12D9B1F1" w14:textId="77777777" w:rsidR="00455B4B" w:rsidRPr="00E9174E" w:rsidRDefault="00455B4B" w:rsidP="00E9174E">
      <w:pPr>
        <w:keepNext/>
        <w:keepLines/>
        <w:widowControl/>
        <w:spacing w:line="360" w:lineRule="auto"/>
        <w:contextualSpacing/>
        <w:rPr>
          <w:rFonts w:eastAsiaTheme="minorHAnsi"/>
          <w:sz w:val="26"/>
          <w:szCs w:val="26"/>
        </w:rPr>
      </w:pPr>
    </w:p>
    <w:p w14:paraId="448C2811" w14:textId="0A615449" w:rsidR="00455B4B" w:rsidRPr="00E9174E" w:rsidRDefault="00455B4B" w:rsidP="00E9174E">
      <w:pPr>
        <w:widowControl/>
        <w:spacing w:line="360" w:lineRule="auto"/>
        <w:ind w:firstLine="1440"/>
        <w:contextualSpacing/>
        <w:rPr>
          <w:rFonts w:eastAsiaTheme="minorHAnsi"/>
          <w:sz w:val="26"/>
          <w:szCs w:val="26"/>
        </w:rPr>
      </w:pPr>
      <w:r w:rsidRPr="00E9174E">
        <w:rPr>
          <w:rFonts w:eastAsiaTheme="minorHAnsi"/>
          <w:sz w:val="26"/>
          <w:szCs w:val="26"/>
        </w:rPr>
        <w:t xml:space="preserve">The ALJ found that if the Commission grants Columbia’s request to consider all the elements in its base rate increase request, the Commission should not make any changes to the Hardship Fund at this time.  The ALJ also directed Columbia to explain in its next base rate proceeding what efforts it has taken to serve as many low-income customers as possible.  R.D. at 243-244. </w:t>
      </w:r>
    </w:p>
    <w:p w14:paraId="4FE9F2E2" w14:textId="77777777" w:rsidR="00455B4B" w:rsidRPr="00E9174E" w:rsidRDefault="00455B4B" w:rsidP="00E9174E">
      <w:pPr>
        <w:widowControl/>
        <w:spacing w:line="360" w:lineRule="auto"/>
        <w:contextualSpacing/>
        <w:rPr>
          <w:rFonts w:eastAsiaTheme="minorHAnsi"/>
          <w:sz w:val="26"/>
          <w:szCs w:val="26"/>
        </w:rPr>
      </w:pPr>
    </w:p>
    <w:p w14:paraId="5D17B8B8" w14:textId="77777777" w:rsidR="00455B4B" w:rsidRPr="00E9174E" w:rsidRDefault="00455B4B" w:rsidP="00E8160D">
      <w:pPr>
        <w:pStyle w:val="Heading4"/>
        <w:ind w:left="2160" w:hanging="720"/>
        <w:rPr>
          <w:rFonts w:eastAsiaTheme="minorHAnsi"/>
        </w:rPr>
      </w:pPr>
      <w:bookmarkStart w:id="367" w:name="_Toc63764584"/>
      <w:r w:rsidRPr="00E9174E">
        <w:t>Disposition</w:t>
      </w:r>
      <w:bookmarkEnd w:id="367"/>
    </w:p>
    <w:p w14:paraId="721644E8" w14:textId="77777777" w:rsidR="00455B4B" w:rsidRPr="00E9174E" w:rsidRDefault="00455B4B" w:rsidP="00E9174E">
      <w:pPr>
        <w:keepNext/>
        <w:keepLines/>
        <w:widowControl/>
        <w:spacing w:line="360" w:lineRule="auto"/>
        <w:contextualSpacing/>
        <w:rPr>
          <w:rFonts w:eastAsiaTheme="minorHAnsi"/>
          <w:b/>
          <w:bCs/>
          <w:sz w:val="26"/>
          <w:szCs w:val="26"/>
        </w:rPr>
      </w:pPr>
    </w:p>
    <w:p w14:paraId="5B5E5EDB" w14:textId="407EDBEF" w:rsidR="00455B4B" w:rsidRPr="00E9174E" w:rsidRDefault="00455B4B" w:rsidP="00E9174E">
      <w:pPr>
        <w:widowControl/>
        <w:spacing w:line="360" w:lineRule="auto"/>
        <w:ind w:firstLine="1440"/>
        <w:contextualSpacing/>
        <w:rPr>
          <w:rFonts w:eastAsiaTheme="minorHAnsi"/>
          <w:sz w:val="26"/>
          <w:szCs w:val="26"/>
        </w:rPr>
      </w:pPr>
      <w:r w:rsidRPr="00E9174E">
        <w:rPr>
          <w:sz w:val="26"/>
          <w:szCs w:val="26"/>
        </w:rPr>
        <w:t xml:space="preserve">No Party filed Exceptions objecting to the ALJ’s recommendation on this issue.  We shall adopt the ALJ’s recommendation, finding that the recommendation is supported by ample record evidence and is just and reasonable.  As the evidence indicates that Columbia has a surplus in its Hardship Fund, we agree that the Company should conduct outreach efforts to ensure as many eligible, low-income customers as possible receive this funding, which is intended to provide cash assistance to customers to reduce arrears, reconnect service, or stay a termination of service.  </w:t>
      </w:r>
      <w:r w:rsidRPr="00E9174E">
        <w:rPr>
          <w:i/>
          <w:iCs/>
          <w:sz w:val="26"/>
          <w:szCs w:val="26"/>
        </w:rPr>
        <w:t>See</w:t>
      </w:r>
      <w:r w:rsidRPr="00E9174E">
        <w:rPr>
          <w:sz w:val="26"/>
          <w:szCs w:val="26"/>
        </w:rPr>
        <w:t xml:space="preserve"> CG St. 13 at 2.  Accordingly, we direct Columbia to </w:t>
      </w:r>
      <w:r w:rsidRPr="00E9174E">
        <w:rPr>
          <w:rFonts w:eastAsiaTheme="minorHAnsi"/>
          <w:sz w:val="26"/>
          <w:szCs w:val="26"/>
        </w:rPr>
        <w:t xml:space="preserve">explain in its next base rate proceeding the efforts it has taken to provide Hardship Funds to as many eligible, low-income customers as possible.  </w:t>
      </w:r>
    </w:p>
    <w:p w14:paraId="4E69EB06" w14:textId="77777777" w:rsidR="00455B4B" w:rsidRPr="00E9174E" w:rsidRDefault="00455B4B" w:rsidP="00E9174E">
      <w:pPr>
        <w:widowControl/>
        <w:tabs>
          <w:tab w:val="left" w:pos="360"/>
        </w:tabs>
        <w:spacing w:line="360" w:lineRule="auto"/>
        <w:contextualSpacing/>
        <w:rPr>
          <w:rFonts w:eastAsiaTheme="minorHAnsi"/>
          <w:sz w:val="26"/>
          <w:szCs w:val="26"/>
        </w:rPr>
      </w:pPr>
    </w:p>
    <w:p w14:paraId="506A1B7F" w14:textId="6BFF9220" w:rsidR="00455B4B" w:rsidRPr="00E9174E" w:rsidRDefault="00455B4B" w:rsidP="00F94A24">
      <w:pPr>
        <w:pStyle w:val="Heading2"/>
        <w:numPr>
          <w:ilvl w:val="0"/>
          <w:numId w:val="87"/>
        </w:numPr>
        <w:ind w:hanging="720"/>
      </w:pPr>
      <w:bookmarkStart w:id="368" w:name="_Toc63764585"/>
      <w:r w:rsidRPr="00F94A24">
        <w:t>Pipeline</w:t>
      </w:r>
      <w:r w:rsidRPr="00E9174E">
        <w:t xml:space="preserve"> Replacement Issues</w:t>
      </w:r>
      <w:bookmarkEnd w:id="368"/>
    </w:p>
    <w:p w14:paraId="11ADBA92" w14:textId="77777777" w:rsidR="00455B4B" w:rsidRPr="00E9174E" w:rsidRDefault="00455B4B" w:rsidP="00E9174E">
      <w:pPr>
        <w:keepNext/>
        <w:keepLines/>
        <w:widowControl/>
        <w:tabs>
          <w:tab w:val="left" w:pos="360"/>
        </w:tabs>
        <w:spacing w:line="360" w:lineRule="auto"/>
        <w:contextualSpacing/>
        <w:rPr>
          <w:rFonts w:eastAsiaTheme="minorHAnsi"/>
          <w:b/>
          <w:bCs/>
          <w:sz w:val="26"/>
          <w:szCs w:val="26"/>
        </w:rPr>
      </w:pPr>
    </w:p>
    <w:p w14:paraId="50DB27F0" w14:textId="7E76C176" w:rsidR="00455B4B" w:rsidRPr="00E9174E" w:rsidRDefault="00455B4B" w:rsidP="00277ECF">
      <w:pPr>
        <w:pStyle w:val="Heading3"/>
        <w:numPr>
          <w:ilvl w:val="0"/>
          <w:numId w:val="28"/>
        </w:numPr>
        <w:ind w:left="1440" w:hanging="720"/>
        <w:rPr>
          <w:rFonts w:eastAsiaTheme="minorHAnsi"/>
        </w:rPr>
      </w:pPr>
      <w:bookmarkStart w:id="369" w:name="_Toc63764586"/>
      <w:r w:rsidRPr="00E9174E">
        <w:t>Distribution</w:t>
      </w:r>
      <w:r w:rsidRPr="00E9174E">
        <w:rPr>
          <w:rFonts w:eastAsiaTheme="minorHAnsi"/>
        </w:rPr>
        <w:t xml:space="preserve"> Integrity Management Program</w:t>
      </w:r>
      <w:bookmarkEnd w:id="369"/>
      <w:r w:rsidRPr="00E9174E">
        <w:rPr>
          <w:rFonts w:eastAsiaTheme="minorHAnsi"/>
        </w:rPr>
        <w:t xml:space="preserve"> </w:t>
      </w:r>
    </w:p>
    <w:p w14:paraId="0298052C" w14:textId="77777777" w:rsidR="00455B4B" w:rsidRPr="00E9174E" w:rsidRDefault="00455B4B" w:rsidP="00E9174E">
      <w:pPr>
        <w:keepNext/>
        <w:keepLines/>
        <w:widowControl/>
        <w:spacing w:line="360" w:lineRule="auto"/>
        <w:contextualSpacing/>
        <w:rPr>
          <w:rFonts w:eastAsiaTheme="minorHAnsi"/>
          <w:sz w:val="26"/>
          <w:szCs w:val="26"/>
        </w:rPr>
      </w:pPr>
    </w:p>
    <w:p w14:paraId="1D0B1A71" w14:textId="62B03631" w:rsidR="00455B4B" w:rsidRPr="00AD7242" w:rsidRDefault="00455B4B" w:rsidP="00277ECF">
      <w:pPr>
        <w:pStyle w:val="Heading4"/>
        <w:numPr>
          <w:ilvl w:val="0"/>
          <w:numId w:val="60"/>
        </w:numPr>
        <w:ind w:left="2160" w:hanging="720"/>
        <w:rPr>
          <w:rFonts w:eastAsiaTheme="minorHAnsi"/>
        </w:rPr>
      </w:pPr>
      <w:bookmarkStart w:id="370" w:name="_Toc63764587"/>
      <w:r w:rsidRPr="00E9174E">
        <w:t>Positions</w:t>
      </w:r>
      <w:r w:rsidRPr="00AD7242">
        <w:rPr>
          <w:rFonts w:eastAsiaTheme="minorHAnsi"/>
        </w:rPr>
        <w:t xml:space="preserve"> of the Parties</w:t>
      </w:r>
      <w:bookmarkEnd w:id="370"/>
    </w:p>
    <w:p w14:paraId="4E021008" w14:textId="77777777" w:rsidR="00455B4B" w:rsidRPr="00E9174E" w:rsidRDefault="00455B4B" w:rsidP="00E9174E">
      <w:pPr>
        <w:keepNext/>
        <w:keepLines/>
        <w:widowControl/>
        <w:spacing w:line="360" w:lineRule="auto"/>
        <w:contextualSpacing/>
        <w:rPr>
          <w:rFonts w:eastAsiaTheme="minorHAnsi"/>
          <w:sz w:val="26"/>
          <w:szCs w:val="26"/>
        </w:rPr>
      </w:pPr>
      <w:bookmarkStart w:id="371" w:name="_Hlk50983628"/>
    </w:p>
    <w:p w14:paraId="402DEF7A" w14:textId="6EEE803F" w:rsidR="00455B4B" w:rsidRPr="00E9174E" w:rsidRDefault="00455B4B" w:rsidP="00E9174E">
      <w:pPr>
        <w:widowControl/>
        <w:spacing w:line="360" w:lineRule="auto"/>
        <w:ind w:firstLine="1440"/>
        <w:contextualSpacing/>
        <w:rPr>
          <w:rFonts w:eastAsiaTheme="minorHAnsi"/>
          <w:sz w:val="26"/>
          <w:szCs w:val="26"/>
        </w:rPr>
      </w:pPr>
      <w:r w:rsidRPr="00E9174E">
        <w:rPr>
          <w:rFonts w:eastAsiaTheme="minorHAnsi"/>
          <w:sz w:val="26"/>
          <w:szCs w:val="26"/>
        </w:rPr>
        <w:t xml:space="preserve">I&amp;E recommended that Columbia amend its </w:t>
      </w:r>
      <w:bookmarkEnd w:id="371"/>
      <w:r w:rsidRPr="00E9174E">
        <w:rPr>
          <w:rFonts w:eastAsiaTheme="minorHAnsi"/>
          <w:sz w:val="26"/>
          <w:szCs w:val="26"/>
        </w:rPr>
        <w:t xml:space="preserve">DIMP to explain its method of using two inputs to generate one DIMP risk score and present proof of the update to </w:t>
      </w:r>
      <w:r w:rsidRPr="00E9174E">
        <w:rPr>
          <w:rFonts w:eastAsiaTheme="minorHAnsi"/>
          <w:sz w:val="26"/>
          <w:szCs w:val="26"/>
        </w:rPr>
        <w:lastRenderedPageBreak/>
        <w:t>I&amp;E’s Pipeline Safety at the conclusion of this proceeding.  I&amp;E M.B. at 71; I&amp;E St. 5</w:t>
      </w:r>
      <w:r w:rsidR="00AD7242">
        <w:rPr>
          <w:rFonts w:eastAsiaTheme="minorHAnsi"/>
          <w:sz w:val="26"/>
          <w:szCs w:val="26"/>
        </w:rPr>
        <w:noBreakHyphen/>
      </w:r>
      <w:r w:rsidRPr="00E9174E">
        <w:rPr>
          <w:rFonts w:eastAsiaTheme="minorHAnsi"/>
          <w:sz w:val="26"/>
          <w:szCs w:val="26"/>
        </w:rPr>
        <w:t xml:space="preserve">SR at 5.  I&amp;E additionally recommended that Columbia update Section 7.1.2.2 of its DIMP to reflect the inclusion of all historical data including leakage history, third-party damages, external corrosion, over pressure, cast iron, cross </w:t>
      </w:r>
      <w:proofErr w:type="spellStart"/>
      <w:r w:rsidRPr="00E9174E">
        <w:rPr>
          <w:rFonts w:eastAsiaTheme="minorHAnsi"/>
          <w:sz w:val="26"/>
          <w:szCs w:val="26"/>
        </w:rPr>
        <w:t>bores</w:t>
      </w:r>
      <w:proofErr w:type="spellEnd"/>
      <w:r w:rsidRPr="00E9174E">
        <w:rPr>
          <w:rFonts w:eastAsiaTheme="minorHAnsi"/>
          <w:sz w:val="26"/>
          <w:szCs w:val="26"/>
        </w:rPr>
        <w:t xml:space="preserve"> and field assembled risers in the evaluation of its risks and present the revision to I&amp;E’s Pipeline Safety at the conclusion of this proceeding.  I&amp;E M.B. at 72-73.  </w:t>
      </w:r>
    </w:p>
    <w:p w14:paraId="3D48FCBA" w14:textId="77777777" w:rsidR="00455B4B" w:rsidRPr="00E9174E" w:rsidRDefault="00455B4B" w:rsidP="00E9174E">
      <w:pPr>
        <w:widowControl/>
        <w:spacing w:line="360" w:lineRule="auto"/>
        <w:contextualSpacing/>
        <w:rPr>
          <w:sz w:val="26"/>
          <w:szCs w:val="26"/>
        </w:rPr>
      </w:pPr>
    </w:p>
    <w:p w14:paraId="34144A81" w14:textId="72BA6861" w:rsidR="00455B4B" w:rsidRPr="00E9174E" w:rsidRDefault="00455B4B" w:rsidP="00E9174E">
      <w:pPr>
        <w:widowControl/>
        <w:spacing w:line="360" w:lineRule="auto"/>
        <w:ind w:firstLine="1440"/>
        <w:contextualSpacing/>
        <w:rPr>
          <w:sz w:val="26"/>
          <w:szCs w:val="26"/>
        </w:rPr>
      </w:pPr>
      <w:r w:rsidRPr="00E9174E">
        <w:rPr>
          <w:sz w:val="26"/>
          <w:szCs w:val="26"/>
        </w:rPr>
        <w:t xml:space="preserve">The Company did not oppose I&amp;E’s proposal to amend its DIMP to explain the process of using quantitative risk scores and its </w:t>
      </w:r>
      <w:bookmarkStart w:id="372" w:name="_Hlk63281853"/>
      <w:r w:rsidRPr="00E9174E">
        <w:rPr>
          <w:sz w:val="26"/>
          <w:szCs w:val="26"/>
        </w:rPr>
        <w:t>Subject Matter Experts</w:t>
      </w:r>
      <w:bookmarkEnd w:id="372"/>
      <w:r w:rsidRPr="00E9174E">
        <w:rPr>
          <w:sz w:val="26"/>
          <w:szCs w:val="26"/>
        </w:rPr>
        <w:t>’ (</w:t>
      </w:r>
      <w:bookmarkStart w:id="373" w:name="_Hlk63281832"/>
      <w:r w:rsidRPr="00E9174E">
        <w:rPr>
          <w:sz w:val="26"/>
          <w:szCs w:val="26"/>
        </w:rPr>
        <w:t>SME</w:t>
      </w:r>
      <w:bookmarkEnd w:id="373"/>
      <w:r w:rsidRPr="00E9174E">
        <w:rPr>
          <w:sz w:val="26"/>
          <w:szCs w:val="26"/>
        </w:rPr>
        <w:t>) input to derive a quantitative risk evaluation that is used to determine the High-Medium-Low risk level for each asset-threat combination published in the DIMP.  Columbia pointed out its quantitative data is calculated numerically from leakage rates, damage data, and other sources.  CG St. 7-R at 3-4.  The SMEs further review the asset-threat combinations and develop probability and consequence scores using a numerical risk matrix.  CG St. 7</w:t>
      </w:r>
      <w:r w:rsidR="00AD7242">
        <w:rPr>
          <w:sz w:val="26"/>
          <w:szCs w:val="26"/>
        </w:rPr>
        <w:noBreakHyphen/>
      </w:r>
      <w:r w:rsidRPr="00E9174E">
        <w:rPr>
          <w:sz w:val="26"/>
          <w:szCs w:val="26"/>
        </w:rPr>
        <w:t xml:space="preserve">R at 6, CG </w:t>
      </w:r>
      <w:proofErr w:type="spellStart"/>
      <w:r w:rsidRPr="00E9174E">
        <w:rPr>
          <w:sz w:val="26"/>
          <w:szCs w:val="26"/>
        </w:rPr>
        <w:t>E</w:t>
      </w:r>
      <w:bookmarkStart w:id="374" w:name="_BA_Cite_EAF4C8_001313"/>
      <w:bookmarkEnd w:id="374"/>
      <w:r w:rsidRPr="00E9174E">
        <w:rPr>
          <w:sz w:val="26"/>
          <w:szCs w:val="26"/>
        </w:rPr>
        <w:t>xh</w:t>
      </w:r>
      <w:proofErr w:type="spellEnd"/>
      <w:r w:rsidRPr="00E9174E">
        <w:rPr>
          <w:sz w:val="26"/>
          <w:szCs w:val="26"/>
        </w:rPr>
        <w:t xml:space="preserve">. MJD-2R.  These scores ultimately establish the published risk level.  However, Columbia did not propose to change the DIMP to show risk scores, but instead will continue to show the High-Medium-Low characterizations of risk to impress upon all SMEs the importance of treating all High risks as urgent items.  Additionally, Columbia asserted the pre-2016 leakage data was not reliable for trending purposes as a result of changes to data collection and quality assurance processes.  Thus, Columbia contended that DIMP evaluations should not be distorted by data uncertainty, and Columbia opposed the recommendation to use “all available historical data” including pre-2016 leakage history.  CG M.B. at 116.  </w:t>
      </w:r>
    </w:p>
    <w:p w14:paraId="097B1607" w14:textId="77777777" w:rsidR="00455B4B" w:rsidRPr="00E9174E" w:rsidRDefault="00455B4B" w:rsidP="00E9174E">
      <w:pPr>
        <w:widowControl/>
        <w:tabs>
          <w:tab w:val="left" w:pos="360"/>
        </w:tabs>
        <w:spacing w:line="360" w:lineRule="auto"/>
        <w:contextualSpacing/>
        <w:rPr>
          <w:rFonts w:eastAsiaTheme="minorHAnsi"/>
          <w:sz w:val="26"/>
          <w:szCs w:val="26"/>
        </w:rPr>
      </w:pPr>
    </w:p>
    <w:p w14:paraId="5208B1E1" w14:textId="77777777" w:rsidR="00455B4B" w:rsidRPr="00E9174E" w:rsidRDefault="00455B4B" w:rsidP="00997099">
      <w:pPr>
        <w:pStyle w:val="Heading4"/>
        <w:ind w:left="2160" w:hanging="720"/>
        <w:rPr>
          <w:rFonts w:eastAsiaTheme="minorHAnsi"/>
        </w:rPr>
      </w:pPr>
      <w:bookmarkStart w:id="375" w:name="_Toc63764588"/>
      <w:r w:rsidRPr="00E9174E">
        <w:rPr>
          <w:rFonts w:eastAsiaTheme="minorHAnsi"/>
        </w:rPr>
        <w:t>Recommended Decision</w:t>
      </w:r>
      <w:bookmarkEnd w:id="375"/>
    </w:p>
    <w:p w14:paraId="329CEC71" w14:textId="77777777" w:rsidR="00455B4B" w:rsidRPr="00E9174E" w:rsidRDefault="00455B4B" w:rsidP="00E9174E">
      <w:pPr>
        <w:keepNext/>
        <w:keepLines/>
        <w:widowControl/>
        <w:spacing w:line="360" w:lineRule="auto"/>
        <w:contextualSpacing/>
        <w:rPr>
          <w:rFonts w:eastAsiaTheme="minorHAnsi"/>
          <w:sz w:val="26"/>
          <w:szCs w:val="26"/>
        </w:rPr>
      </w:pPr>
    </w:p>
    <w:p w14:paraId="49276D83" w14:textId="32C61093" w:rsidR="00455B4B" w:rsidRPr="00E9174E" w:rsidRDefault="00455B4B" w:rsidP="00E9174E">
      <w:pPr>
        <w:widowControl/>
        <w:spacing w:line="360" w:lineRule="auto"/>
        <w:ind w:firstLine="1440"/>
        <w:contextualSpacing/>
        <w:rPr>
          <w:rFonts w:eastAsiaTheme="minorHAnsi"/>
          <w:sz w:val="26"/>
          <w:szCs w:val="26"/>
        </w:rPr>
      </w:pPr>
      <w:r w:rsidRPr="00E9174E">
        <w:rPr>
          <w:rFonts w:eastAsiaTheme="minorHAnsi"/>
          <w:sz w:val="26"/>
          <w:szCs w:val="26"/>
        </w:rPr>
        <w:t xml:space="preserve">The ALJ agreed with I&amp;E that Columbia needs to clarify how it uses two different mechanisms </w:t>
      </w:r>
      <w:r w:rsidR="00C92FA2" w:rsidRPr="00E9174E">
        <w:rPr>
          <w:rFonts w:eastAsiaTheme="minorHAnsi"/>
          <w:sz w:val="26"/>
          <w:szCs w:val="26"/>
        </w:rPr>
        <w:t>(</w:t>
      </w:r>
      <w:r w:rsidRPr="00E9174E">
        <w:rPr>
          <w:rFonts w:eastAsiaTheme="minorHAnsi"/>
          <w:sz w:val="26"/>
          <w:szCs w:val="26"/>
        </w:rPr>
        <w:t>DIMP and its newly implemented SMS</w:t>
      </w:r>
      <w:r w:rsidR="00C92FA2" w:rsidRPr="00E9174E">
        <w:rPr>
          <w:rFonts w:eastAsiaTheme="minorHAnsi"/>
          <w:sz w:val="26"/>
          <w:szCs w:val="26"/>
        </w:rPr>
        <w:t>)</w:t>
      </w:r>
      <w:r w:rsidRPr="00E9174E">
        <w:rPr>
          <w:rFonts w:eastAsiaTheme="minorHAnsi"/>
          <w:sz w:val="26"/>
          <w:szCs w:val="26"/>
        </w:rPr>
        <w:t xml:space="preserve"> and present proof of the update to I&amp;E’s Pipeline Safety at the conclusion of this proceeding.  R.D. at 244.  The </w:t>
      </w:r>
      <w:r w:rsidRPr="00E9174E">
        <w:rPr>
          <w:rFonts w:eastAsiaTheme="minorHAnsi"/>
          <w:sz w:val="26"/>
          <w:szCs w:val="26"/>
        </w:rPr>
        <w:lastRenderedPageBreak/>
        <w:t>ALJ stated that the Company made several process changes in 2016 regarding the collection of leakage data and the leakage data quality assurance/quality control processes</w:t>
      </w:r>
      <w:r w:rsidR="002E497E" w:rsidRPr="00E9174E">
        <w:rPr>
          <w:rFonts w:eastAsiaTheme="minorHAnsi"/>
          <w:sz w:val="26"/>
          <w:szCs w:val="26"/>
        </w:rPr>
        <w:t>.  The ALJ also stated that</w:t>
      </w:r>
      <w:r w:rsidRPr="00E9174E">
        <w:rPr>
          <w:rFonts w:eastAsiaTheme="minorHAnsi"/>
          <w:sz w:val="26"/>
          <w:szCs w:val="26"/>
        </w:rPr>
        <w:t xml:space="preserve"> the </w:t>
      </w:r>
      <w:r w:rsidR="002E497E" w:rsidRPr="00E9174E">
        <w:rPr>
          <w:rFonts w:eastAsiaTheme="minorHAnsi"/>
          <w:sz w:val="26"/>
          <w:szCs w:val="26"/>
        </w:rPr>
        <w:t xml:space="preserve">process </w:t>
      </w:r>
      <w:r w:rsidRPr="00E9174E">
        <w:rPr>
          <w:rFonts w:eastAsiaTheme="minorHAnsi"/>
          <w:sz w:val="26"/>
          <w:szCs w:val="26"/>
        </w:rPr>
        <w:t xml:space="preserve">changes </w:t>
      </w:r>
      <w:r w:rsidR="00EE5A5D" w:rsidRPr="00E9174E">
        <w:rPr>
          <w:rFonts w:eastAsiaTheme="minorHAnsi"/>
          <w:sz w:val="26"/>
          <w:szCs w:val="26"/>
        </w:rPr>
        <w:t>the Company</w:t>
      </w:r>
      <w:r w:rsidRPr="00E9174E">
        <w:rPr>
          <w:rFonts w:eastAsiaTheme="minorHAnsi"/>
          <w:sz w:val="26"/>
          <w:szCs w:val="26"/>
        </w:rPr>
        <w:t xml:space="preserve"> </w:t>
      </w:r>
      <w:r w:rsidR="00EE5A5D" w:rsidRPr="00E9174E">
        <w:rPr>
          <w:rFonts w:eastAsiaTheme="minorHAnsi"/>
          <w:sz w:val="26"/>
          <w:szCs w:val="26"/>
        </w:rPr>
        <w:t>made</w:t>
      </w:r>
      <w:r w:rsidRPr="00E9174E">
        <w:rPr>
          <w:rFonts w:eastAsiaTheme="minorHAnsi"/>
          <w:sz w:val="26"/>
          <w:szCs w:val="26"/>
        </w:rPr>
        <w:t xml:space="preserve"> in 2016 cover leakage data only, however, in addition to leakage, high risks to Columbia’s system include third-party damages, external corrosion, over pressure, cast iron, cross </w:t>
      </w:r>
      <w:proofErr w:type="spellStart"/>
      <w:r w:rsidRPr="00E9174E">
        <w:rPr>
          <w:rFonts w:eastAsiaTheme="minorHAnsi"/>
          <w:sz w:val="26"/>
          <w:szCs w:val="26"/>
        </w:rPr>
        <w:t>bores</w:t>
      </w:r>
      <w:proofErr w:type="spellEnd"/>
      <w:r w:rsidRPr="00E9174E">
        <w:rPr>
          <w:rFonts w:eastAsiaTheme="minorHAnsi"/>
          <w:sz w:val="26"/>
          <w:szCs w:val="26"/>
        </w:rPr>
        <w:t xml:space="preserve"> and field assembled risers.  R.D. at 245.  </w:t>
      </w:r>
    </w:p>
    <w:p w14:paraId="08A118DA" w14:textId="77777777" w:rsidR="00455B4B" w:rsidRPr="00E9174E" w:rsidRDefault="00455B4B" w:rsidP="00E9174E">
      <w:pPr>
        <w:widowControl/>
        <w:spacing w:line="360" w:lineRule="auto"/>
        <w:contextualSpacing/>
        <w:rPr>
          <w:rFonts w:eastAsiaTheme="minorHAnsi"/>
          <w:sz w:val="26"/>
          <w:szCs w:val="26"/>
        </w:rPr>
      </w:pPr>
    </w:p>
    <w:p w14:paraId="27432A01" w14:textId="764AC086" w:rsidR="00455B4B" w:rsidRPr="00E9174E" w:rsidRDefault="00455B4B" w:rsidP="00E9174E">
      <w:pPr>
        <w:widowControl/>
        <w:spacing w:line="360" w:lineRule="auto"/>
        <w:ind w:firstLine="1440"/>
        <w:contextualSpacing/>
        <w:rPr>
          <w:rFonts w:eastAsia="Calibri"/>
          <w:sz w:val="26"/>
          <w:szCs w:val="26"/>
        </w:rPr>
      </w:pPr>
      <w:r w:rsidRPr="00E9174E">
        <w:rPr>
          <w:rFonts w:eastAsiaTheme="minorHAnsi"/>
          <w:sz w:val="26"/>
          <w:szCs w:val="26"/>
        </w:rPr>
        <w:t xml:space="preserve">The ALJ determined that if the Commission grants Columbia’s request to consider all the elements in its base rate increase request, the Commission should require Columbia to </w:t>
      </w:r>
      <w:bookmarkStart w:id="376" w:name="_Hlk62490770"/>
      <w:r w:rsidRPr="00E9174E">
        <w:rPr>
          <w:rFonts w:eastAsiaTheme="minorHAnsi"/>
          <w:sz w:val="26"/>
          <w:szCs w:val="26"/>
        </w:rPr>
        <w:t>update Section 7.1.2.2 of its DIMP to reflect the inclusion of all historical data in the evaluation of risks.</w:t>
      </w:r>
      <w:bookmarkEnd w:id="376"/>
      <w:r w:rsidRPr="00E9174E">
        <w:rPr>
          <w:rFonts w:eastAsiaTheme="minorHAnsi"/>
          <w:sz w:val="26"/>
          <w:szCs w:val="26"/>
        </w:rPr>
        <w:t xml:space="preserve">  The ALJ reasoned that the use of all available historical data prior to 2016 will give Columbia and the Commission an opportunity to better evaluate trends and changes in risks to its system.  The ALJ also recommended the Commission require Columbia to amend its DIMP to explain the process of using quantitative risk scores and SME input to derive a quantitative risk evaluation</w:t>
      </w:r>
      <w:r w:rsidRPr="00E9174E">
        <w:rPr>
          <w:rFonts w:eastAsia="Calibri"/>
          <w:sz w:val="26"/>
          <w:szCs w:val="26"/>
        </w:rPr>
        <w:t xml:space="preserve">.  </w:t>
      </w:r>
      <w:r w:rsidRPr="00E9174E">
        <w:rPr>
          <w:rFonts w:eastAsia="Calibri"/>
          <w:i/>
          <w:iCs/>
          <w:sz w:val="26"/>
          <w:szCs w:val="26"/>
        </w:rPr>
        <w:t>Id</w:t>
      </w:r>
      <w:r w:rsidRPr="00E9174E">
        <w:rPr>
          <w:rFonts w:eastAsia="Calibri"/>
          <w:sz w:val="26"/>
          <w:szCs w:val="26"/>
        </w:rPr>
        <w:t xml:space="preserve">. </w:t>
      </w:r>
    </w:p>
    <w:p w14:paraId="1A890DB7" w14:textId="77777777" w:rsidR="00455B4B" w:rsidRPr="00E9174E" w:rsidRDefault="00455B4B" w:rsidP="00E9174E">
      <w:pPr>
        <w:widowControl/>
        <w:spacing w:line="360" w:lineRule="auto"/>
        <w:contextualSpacing/>
        <w:rPr>
          <w:rFonts w:eastAsiaTheme="minorHAnsi"/>
          <w:sz w:val="26"/>
          <w:szCs w:val="26"/>
        </w:rPr>
      </w:pPr>
    </w:p>
    <w:p w14:paraId="16DFE147" w14:textId="77777777" w:rsidR="00455B4B" w:rsidRPr="00E9174E" w:rsidRDefault="00455B4B" w:rsidP="00997099">
      <w:pPr>
        <w:pStyle w:val="Heading4"/>
        <w:ind w:left="2160" w:hanging="720"/>
        <w:rPr>
          <w:rFonts w:eastAsiaTheme="minorHAnsi"/>
        </w:rPr>
      </w:pPr>
      <w:bookmarkStart w:id="377" w:name="_Toc63764589"/>
      <w:r w:rsidRPr="00E9174E">
        <w:rPr>
          <w:rFonts w:eastAsiaTheme="minorHAnsi"/>
        </w:rPr>
        <w:t>Disposition</w:t>
      </w:r>
      <w:bookmarkEnd w:id="377"/>
    </w:p>
    <w:p w14:paraId="25D21253" w14:textId="77777777" w:rsidR="00455B4B" w:rsidRPr="00E9174E" w:rsidRDefault="00455B4B" w:rsidP="00E9174E">
      <w:pPr>
        <w:keepNext/>
        <w:keepLines/>
        <w:widowControl/>
        <w:tabs>
          <w:tab w:val="left" w:pos="360"/>
        </w:tabs>
        <w:spacing w:line="360" w:lineRule="auto"/>
        <w:contextualSpacing/>
        <w:rPr>
          <w:rFonts w:eastAsiaTheme="minorHAnsi"/>
          <w:sz w:val="26"/>
          <w:szCs w:val="26"/>
        </w:rPr>
      </w:pPr>
      <w:r w:rsidRPr="00E9174E">
        <w:rPr>
          <w:rFonts w:eastAsiaTheme="minorHAnsi"/>
          <w:sz w:val="26"/>
          <w:szCs w:val="26"/>
        </w:rPr>
        <w:tab/>
      </w:r>
    </w:p>
    <w:p w14:paraId="0715B01B" w14:textId="5DC8328B" w:rsidR="00455B4B" w:rsidRPr="00E9174E" w:rsidRDefault="00455B4B" w:rsidP="00E9174E">
      <w:pPr>
        <w:widowControl/>
        <w:spacing w:line="360" w:lineRule="auto"/>
        <w:ind w:firstLine="1440"/>
        <w:contextualSpacing/>
        <w:rPr>
          <w:rFonts w:eastAsiaTheme="minorHAnsi"/>
          <w:sz w:val="26"/>
          <w:szCs w:val="26"/>
        </w:rPr>
      </w:pPr>
      <w:bookmarkStart w:id="378" w:name="_Hlk62491296"/>
      <w:r w:rsidRPr="00E9174E">
        <w:rPr>
          <w:rFonts w:eastAsiaTheme="minorHAnsi"/>
          <w:sz w:val="26"/>
          <w:szCs w:val="26"/>
        </w:rPr>
        <w:t>N</w:t>
      </w:r>
      <w:r w:rsidRPr="00E9174E">
        <w:rPr>
          <w:sz w:val="26"/>
          <w:szCs w:val="26"/>
        </w:rPr>
        <w:t>o Party filed Exceptions objecting to the ALJ’s recommendation on this issue.  We shall adopt the ALJ’s recommendation, finding that the recommendation is supported by ample record evidence and is just and reasonable.</w:t>
      </w:r>
      <w:bookmarkEnd w:id="378"/>
      <w:r w:rsidRPr="00E9174E">
        <w:rPr>
          <w:sz w:val="26"/>
          <w:szCs w:val="26"/>
        </w:rPr>
        <w:t xml:space="preserve">  Accordingly, we shall direct that Columbia: </w:t>
      </w:r>
      <w:r w:rsidR="0030083A" w:rsidRPr="00E9174E">
        <w:rPr>
          <w:sz w:val="26"/>
          <w:szCs w:val="26"/>
        </w:rPr>
        <w:t xml:space="preserve"> </w:t>
      </w:r>
      <w:r w:rsidRPr="00E9174E">
        <w:rPr>
          <w:sz w:val="26"/>
          <w:szCs w:val="26"/>
        </w:rPr>
        <w:t>(1) amend</w:t>
      </w:r>
      <w:r w:rsidRPr="00E9174E">
        <w:rPr>
          <w:rFonts w:eastAsiaTheme="minorHAnsi"/>
          <w:sz w:val="26"/>
          <w:szCs w:val="26"/>
        </w:rPr>
        <w:t xml:space="preserve"> Section 7.1.2.2 of its DIMP to reflect the inclusion of all historical data in the evaluation of risks;</w:t>
      </w:r>
      <w:r w:rsidRPr="00E9174E">
        <w:rPr>
          <w:sz w:val="26"/>
          <w:szCs w:val="26"/>
        </w:rPr>
        <w:t xml:space="preserve"> (2) amend its DIMP to explain its method of using two inputs to generate one DIMP risk score; and (3) present proof of these amendments to I&amp;E’s Pipeline Safety within thirty days of the entry of this Opinion and Order.  </w:t>
      </w:r>
    </w:p>
    <w:p w14:paraId="6611A6E4" w14:textId="77777777" w:rsidR="00455B4B" w:rsidRPr="00E9174E" w:rsidRDefault="00455B4B" w:rsidP="00E9174E">
      <w:pPr>
        <w:widowControl/>
        <w:tabs>
          <w:tab w:val="left" w:pos="360"/>
        </w:tabs>
        <w:spacing w:line="360" w:lineRule="auto"/>
        <w:contextualSpacing/>
        <w:rPr>
          <w:rFonts w:eastAsiaTheme="minorHAnsi"/>
          <w:sz w:val="26"/>
          <w:szCs w:val="26"/>
        </w:rPr>
      </w:pPr>
    </w:p>
    <w:p w14:paraId="4E3C63AD" w14:textId="2ECB340E" w:rsidR="00455B4B" w:rsidRPr="00E9174E" w:rsidRDefault="00455B4B" w:rsidP="00277ECF">
      <w:pPr>
        <w:pStyle w:val="Heading3"/>
        <w:numPr>
          <w:ilvl w:val="0"/>
          <w:numId w:val="28"/>
        </w:numPr>
        <w:ind w:left="1440" w:hanging="720"/>
        <w:rPr>
          <w:rFonts w:eastAsiaTheme="minorHAnsi"/>
        </w:rPr>
      </w:pPr>
      <w:bookmarkStart w:id="379" w:name="_Toc63764590"/>
      <w:r w:rsidRPr="00E9174E">
        <w:lastRenderedPageBreak/>
        <w:t>Pipeline</w:t>
      </w:r>
      <w:r w:rsidRPr="00E9174E">
        <w:rPr>
          <w:rFonts w:eastAsiaTheme="minorHAnsi"/>
        </w:rPr>
        <w:t xml:space="preserve"> Replacement</w:t>
      </w:r>
      <w:bookmarkEnd w:id="379"/>
    </w:p>
    <w:p w14:paraId="7DC8BE6F" w14:textId="77777777" w:rsidR="00455B4B" w:rsidRPr="00E9174E" w:rsidRDefault="00455B4B" w:rsidP="00E9174E">
      <w:pPr>
        <w:keepNext/>
        <w:keepLines/>
        <w:widowControl/>
        <w:tabs>
          <w:tab w:val="left" w:pos="360"/>
        </w:tabs>
        <w:spacing w:line="360" w:lineRule="auto"/>
        <w:contextualSpacing/>
        <w:rPr>
          <w:rFonts w:eastAsiaTheme="minorHAnsi"/>
          <w:sz w:val="26"/>
          <w:szCs w:val="26"/>
        </w:rPr>
      </w:pPr>
    </w:p>
    <w:p w14:paraId="193E9952" w14:textId="77777777" w:rsidR="00455B4B" w:rsidRPr="00997099" w:rsidRDefault="00455B4B" w:rsidP="00277ECF">
      <w:pPr>
        <w:pStyle w:val="Heading4"/>
        <w:numPr>
          <w:ilvl w:val="0"/>
          <w:numId w:val="61"/>
        </w:numPr>
        <w:ind w:left="2160" w:hanging="720"/>
        <w:rPr>
          <w:rFonts w:eastAsiaTheme="minorHAnsi"/>
        </w:rPr>
      </w:pPr>
      <w:bookmarkStart w:id="380" w:name="_Toc63764591"/>
      <w:r w:rsidRPr="00997099">
        <w:rPr>
          <w:rFonts w:eastAsiaTheme="minorHAnsi"/>
        </w:rPr>
        <w:t>Positions of the Parties</w:t>
      </w:r>
      <w:bookmarkEnd w:id="380"/>
      <w:r w:rsidRPr="00997099">
        <w:rPr>
          <w:rFonts w:eastAsiaTheme="minorHAnsi"/>
        </w:rPr>
        <w:t xml:space="preserve"> </w:t>
      </w:r>
    </w:p>
    <w:p w14:paraId="118C8EF9" w14:textId="77777777" w:rsidR="00455B4B" w:rsidRPr="00E9174E" w:rsidRDefault="00455B4B" w:rsidP="00E9174E">
      <w:pPr>
        <w:keepNext/>
        <w:keepLines/>
        <w:widowControl/>
        <w:spacing w:line="360" w:lineRule="auto"/>
        <w:contextualSpacing/>
        <w:rPr>
          <w:rFonts w:eastAsiaTheme="minorHAnsi"/>
          <w:sz w:val="26"/>
          <w:szCs w:val="26"/>
        </w:rPr>
      </w:pPr>
    </w:p>
    <w:p w14:paraId="58559210" w14:textId="77777777" w:rsidR="00455B4B" w:rsidRPr="00E9174E" w:rsidRDefault="00455B4B" w:rsidP="00E9174E">
      <w:pPr>
        <w:widowControl/>
        <w:spacing w:line="360" w:lineRule="auto"/>
        <w:ind w:firstLine="1440"/>
        <w:contextualSpacing/>
        <w:rPr>
          <w:rFonts w:eastAsiaTheme="minorHAnsi"/>
          <w:sz w:val="26"/>
          <w:szCs w:val="26"/>
        </w:rPr>
      </w:pPr>
      <w:r w:rsidRPr="00E9174E">
        <w:rPr>
          <w:rFonts w:eastAsiaTheme="minorHAnsi"/>
          <w:sz w:val="26"/>
          <w:szCs w:val="26"/>
        </w:rPr>
        <w:t>I&amp;E proposed that Columbia increase its pipe replacement so that the 2029 priority pipe replacement goal, as stated in the Company’s most recent LTIIP, will be met.  I&amp;E M.B. at 73; I&amp;E St. 4-SR at 10.  I&amp;E disagreed with the Company’s argument that these issues are better addressed in an LTIIP proceeding.  I&amp;E averred that it represents the public interest in rate proceedings and its Pipeline Safety’s goal through intervention in rate cases is to bring to light safety impacts with the interconnection and related effects between risk calculations, assets replacement and mitigation, costs, LTIIPs and risk factor indicators, such as incidents and leaks.  Increase in risk leads to further examination of all available information.  According to I&amp;E, this information can include a company’s DIMP, annual reports filed with the Pipeline and Hazardous Materials Safety Administration, the company’s LTIIP, and information gained during the course of a base rate proceeding.  All information is analyzed, and appropriate recommendations can be made in a base rate proceeding.  I&amp;E M.B. at 75-76; I&amp;E St. 4-SR at 5.</w:t>
      </w:r>
    </w:p>
    <w:p w14:paraId="65D16513" w14:textId="77777777" w:rsidR="00455B4B" w:rsidRPr="00E9174E" w:rsidRDefault="00455B4B" w:rsidP="00E9174E">
      <w:pPr>
        <w:widowControl/>
        <w:spacing w:line="360" w:lineRule="auto"/>
        <w:contextualSpacing/>
        <w:rPr>
          <w:rFonts w:eastAsiaTheme="minorHAnsi"/>
          <w:sz w:val="26"/>
          <w:szCs w:val="26"/>
        </w:rPr>
      </w:pPr>
    </w:p>
    <w:p w14:paraId="2D1F6E02" w14:textId="6612972D" w:rsidR="00455B4B" w:rsidRPr="00E9174E" w:rsidRDefault="00455B4B" w:rsidP="00E9174E">
      <w:pPr>
        <w:widowControl/>
        <w:spacing w:line="360" w:lineRule="auto"/>
        <w:ind w:firstLine="1440"/>
        <w:contextualSpacing/>
        <w:rPr>
          <w:rFonts w:eastAsiaTheme="minorHAnsi"/>
          <w:sz w:val="26"/>
          <w:szCs w:val="26"/>
        </w:rPr>
      </w:pPr>
      <w:r w:rsidRPr="00E9174E">
        <w:rPr>
          <w:rFonts w:eastAsiaTheme="minorHAnsi"/>
          <w:sz w:val="26"/>
          <w:szCs w:val="26"/>
        </w:rPr>
        <w:t xml:space="preserve">The Company contended a generic order to increase pipeline replacement efforts in this proceeding should not be issued to modify the specific pipeline replacement goals established through its LTIIP.  Columbia stated that I&amp;E failed to provide any explanation regarding why a generic declaration in a base rate proceeding is better than the approval of specific plans in an LTIIP proceeding.  Columbia also stated that nothing prevents I&amp;E from presenting objections, concerns, and information in the open mid-term LTIIP review process and making recommendations to change the LTIIP.  Further, Columbia asserted that its currently approved LTIIP already provides for increasing footage of main replacement.  CG M.B. at 119.  </w:t>
      </w:r>
    </w:p>
    <w:p w14:paraId="29CC0FFB" w14:textId="77777777" w:rsidR="00455B4B" w:rsidRPr="00E9174E" w:rsidRDefault="00455B4B" w:rsidP="00E9174E">
      <w:pPr>
        <w:widowControl/>
        <w:tabs>
          <w:tab w:val="left" w:pos="360"/>
        </w:tabs>
        <w:spacing w:line="360" w:lineRule="auto"/>
        <w:contextualSpacing/>
        <w:rPr>
          <w:rFonts w:eastAsiaTheme="minorHAnsi"/>
          <w:sz w:val="26"/>
          <w:szCs w:val="26"/>
        </w:rPr>
      </w:pPr>
    </w:p>
    <w:p w14:paraId="148DCE14" w14:textId="0E9EA57C" w:rsidR="00455B4B" w:rsidRPr="00E9174E" w:rsidRDefault="00455B4B" w:rsidP="00997099">
      <w:pPr>
        <w:pStyle w:val="Heading4"/>
        <w:ind w:left="2160" w:hanging="720"/>
        <w:rPr>
          <w:rFonts w:eastAsiaTheme="minorHAnsi"/>
        </w:rPr>
      </w:pPr>
      <w:bookmarkStart w:id="381" w:name="_Toc63764592"/>
      <w:r w:rsidRPr="00E9174E">
        <w:rPr>
          <w:rFonts w:eastAsiaTheme="minorHAnsi"/>
        </w:rPr>
        <w:lastRenderedPageBreak/>
        <w:t>Recommended Decision</w:t>
      </w:r>
      <w:bookmarkEnd w:id="381"/>
    </w:p>
    <w:p w14:paraId="1F278A18" w14:textId="77777777" w:rsidR="00455B4B" w:rsidRPr="00E9174E" w:rsidRDefault="00455B4B" w:rsidP="00E9174E">
      <w:pPr>
        <w:keepNext/>
        <w:keepLines/>
        <w:widowControl/>
        <w:tabs>
          <w:tab w:val="left" w:pos="360"/>
        </w:tabs>
        <w:spacing w:line="360" w:lineRule="auto"/>
        <w:contextualSpacing/>
        <w:rPr>
          <w:rFonts w:eastAsiaTheme="minorHAnsi"/>
          <w:b/>
          <w:bCs/>
          <w:sz w:val="26"/>
          <w:szCs w:val="26"/>
        </w:rPr>
      </w:pPr>
    </w:p>
    <w:p w14:paraId="7888A215" w14:textId="7B2FE80B" w:rsidR="00455B4B" w:rsidRPr="00E9174E" w:rsidRDefault="00455B4B" w:rsidP="00E9174E">
      <w:pPr>
        <w:widowControl/>
        <w:spacing w:line="360" w:lineRule="auto"/>
        <w:ind w:firstLine="1440"/>
        <w:contextualSpacing/>
        <w:rPr>
          <w:rFonts w:eastAsia="Calibri"/>
          <w:sz w:val="26"/>
          <w:szCs w:val="26"/>
        </w:rPr>
      </w:pPr>
      <w:r w:rsidRPr="00E9174E">
        <w:rPr>
          <w:rFonts w:eastAsiaTheme="minorHAnsi"/>
          <w:sz w:val="26"/>
          <w:szCs w:val="26"/>
        </w:rPr>
        <w:t>The ALJ noted that, after the hearing record closed in this proceeding, the Commission finished its periodic review of Columbia’s LTIIP.  The ALJ explained that the Commission determined that Columbia’s infrastructure replacements substantially met the Company’s original goals and</w:t>
      </w:r>
      <w:r w:rsidR="00814969" w:rsidRPr="00E9174E">
        <w:rPr>
          <w:rFonts w:eastAsiaTheme="minorHAnsi"/>
          <w:sz w:val="26"/>
          <w:szCs w:val="26"/>
        </w:rPr>
        <w:t>,</w:t>
      </w:r>
      <w:r w:rsidRPr="00E9174E">
        <w:rPr>
          <w:rFonts w:eastAsiaTheme="minorHAnsi"/>
          <w:sz w:val="26"/>
          <w:szCs w:val="26"/>
        </w:rPr>
        <w:t xml:space="preserve"> while Columbia’s service line replacements are slightly behind its planned schedule, a revision to the Company’s plan was not required.  R.D. at 246 (citing </w:t>
      </w:r>
      <w:r w:rsidRPr="00E9174E">
        <w:rPr>
          <w:rFonts w:eastAsiaTheme="minorHAnsi"/>
          <w:i/>
          <w:iCs/>
          <w:sz w:val="26"/>
          <w:szCs w:val="26"/>
        </w:rPr>
        <w:t>Periodic Review of Columbia Gas of Pennsylvania, Inc.’s Long-Term Infrastructure Improvement Plan</w:t>
      </w:r>
      <w:r w:rsidRPr="00E9174E">
        <w:rPr>
          <w:rFonts w:eastAsiaTheme="minorHAnsi"/>
          <w:sz w:val="26"/>
          <w:szCs w:val="26"/>
        </w:rPr>
        <w:t>,</w:t>
      </w:r>
      <w:r w:rsidRPr="00E9174E">
        <w:rPr>
          <w:rFonts w:eastAsiaTheme="minorHAnsi"/>
          <w:i/>
          <w:iCs/>
          <w:sz w:val="26"/>
          <w:szCs w:val="26"/>
        </w:rPr>
        <w:t xml:space="preserve"> </w:t>
      </w:r>
      <w:r w:rsidRPr="00E9174E">
        <w:rPr>
          <w:rFonts w:eastAsiaTheme="minorHAnsi"/>
          <w:sz w:val="26"/>
          <w:szCs w:val="26"/>
        </w:rPr>
        <w:t>Docket No. M-2020-3019723 (Order entered November 19, 2020)</w:t>
      </w:r>
      <w:r w:rsidR="003643DC" w:rsidRPr="00E9174E">
        <w:rPr>
          <w:rFonts w:eastAsiaTheme="minorHAnsi"/>
          <w:sz w:val="26"/>
          <w:szCs w:val="26"/>
        </w:rPr>
        <w:t>)</w:t>
      </w:r>
      <w:r w:rsidRPr="00E9174E">
        <w:rPr>
          <w:rFonts w:eastAsiaTheme="minorHAnsi"/>
          <w:sz w:val="26"/>
          <w:szCs w:val="26"/>
        </w:rPr>
        <w:t>.  The ALJ, therefore, concluded that</w:t>
      </w:r>
      <w:r w:rsidR="00814969" w:rsidRPr="00E9174E">
        <w:rPr>
          <w:rFonts w:eastAsiaTheme="minorHAnsi"/>
          <w:sz w:val="26"/>
          <w:szCs w:val="26"/>
        </w:rPr>
        <w:t>,</w:t>
      </w:r>
      <w:r w:rsidRPr="00E9174E">
        <w:rPr>
          <w:rFonts w:eastAsiaTheme="minorHAnsi"/>
          <w:sz w:val="26"/>
          <w:szCs w:val="26"/>
        </w:rPr>
        <w:t xml:space="preserve"> if the Commission grants Columbia’s request to consider all the elements in its base rate increase request, the Commission should not make changes to the Company’s current LTIIP, as Columbia appears to be on track to meet its current LTIIP and long-term goals in a cost-effective manner</w:t>
      </w:r>
      <w:r w:rsidRPr="00E9174E">
        <w:rPr>
          <w:rFonts w:eastAsia="Calibri"/>
          <w:sz w:val="26"/>
          <w:szCs w:val="26"/>
        </w:rPr>
        <w:t>.  R.D. at 246.</w:t>
      </w:r>
    </w:p>
    <w:p w14:paraId="2CBEFAF6" w14:textId="77777777" w:rsidR="00455B4B" w:rsidRPr="00E9174E" w:rsidRDefault="00455B4B" w:rsidP="00E9174E">
      <w:pPr>
        <w:widowControl/>
        <w:spacing w:line="360" w:lineRule="auto"/>
        <w:contextualSpacing/>
        <w:rPr>
          <w:rFonts w:eastAsia="Calibri"/>
          <w:sz w:val="26"/>
          <w:szCs w:val="26"/>
        </w:rPr>
      </w:pPr>
    </w:p>
    <w:p w14:paraId="311FEB04" w14:textId="77777777" w:rsidR="00455B4B" w:rsidRPr="00E9174E" w:rsidRDefault="00455B4B" w:rsidP="00997099">
      <w:pPr>
        <w:pStyle w:val="Heading4"/>
        <w:ind w:left="2160" w:hanging="720"/>
        <w:rPr>
          <w:rFonts w:eastAsiaTheme="minorHAnsi"/>
        </w:rPr>
      </w:pPr>
      <w:bookmarkStart w:id="382" w:name="_Toc63764593"/>
      <w:r w:rsidRPr="00E9174E">
        <w:rPr>
          <w:rFonts w:eastAsiaTheme="minorHAnsi"/>
        </w:rPr>
        <w:t>Disposition</w:t>
      </w:r>
      <w:bookmarkEnd w:id="382"/>
    </w:p>
    <w:p w14:paraId="3087CFD2" w14:textId="77777777" w:rsidR="00455B4B" w:rsidRPr="00E9174E" w:rsidRDefault="00455B4B" w:rsidP="00E9174E">
      <w:pPr>
        <w:keepNext/>
        <w:keepLines/>
        <w:widowControl/>
        <w:tabs>
          <w:tab w:val="left" w:pos="360"/>
        </w:tabs>
        <w:spacing w:line="360" w:lineRule="auto"/>
        <w:contextualSpacing/>
        <w:rPr>
          <w:rFonts w:eastAsiaTheme="minorHAnsi"/>
          <w:b/>
          <w:bCs/>
          <w:sz w:val="26"/>
          <w:szCs w:val="26"/>
        </w:rPr>
      </w:pPr>
    </w:p>
    <w:p w14:paraId="653C7D2F" w14:textId="77777777" w:rsidR="00455B4B" w:rsidRPr="00E9174E" w:rsidRDefault="00455B4B" w:rsidP="00E9174E">
      <w:pPr>
        <w:widowControl/>
        <w:spacing w:line="360" w:lineRule="auto"/>
        <w:ind w:firstLine="1440"/>
        <w:contextualSpacing/>
        <w:rPr>
          <w:sz w:val="26"/>
          <w:szCs w:val="26"/>
        </w:rPr>
      </w:pPr>
      <w:r w:rsidRPr="00E9174E">
        <w:rPr>
          <w:sz w:val="26"/>
          <w:szCs w:val="26"/>
        </w:rPr>
        <w:t>No Party filed Exceptions objecting to the ALJ’s recommendation on this issue.  We find that the ALJ’s recommendation is supported by ample record evidence and is just and reasonable.  Accordingly, we shall adopt it without further comment.</w:t>
      </w:r>
    </w:p>
    <w:p w14:paraId="5C9B625E" w14:textId="77777777" w:rsidR="00455B4B" w:rsidRPr="00E9174E" w:rsidRDefault="00455B4B" w:rsidP="00E9174E">
      <w:pPr>
        <w:widowControl/>
        <w:tabs>
          <w:tab w:val="left" w:pos="360"/>
        </w:tabs>
        <w:spacing w:line="360" w:lineRule="auto"/>
        <w:contextualSpacing/>
        <w:rPr>
          <w:rFonts w:eastAsiaTheme="minorHAnsi"/>
          <w:sz w:val="26"/>
          <w:szCs w:val="26"/>
        </w:rPr>
      </w:pPr>
    </w:p>
    <w:p w14:paraId="5019985F" w14:textId="5F3473C8" w:rsidR="00455B4B" w:rsidRPr="00E9174E" w:rsidRDefault="00455B4B" w:rsidP="00277ECF">
      <w:pPr>
        <w:pStyle w:val="Heading3"/>
        <w:numPr>
          <w:ilvl w:val="0"/>
          <w:numId w:val="28"/>
        </w:numPr>
        <w:ind w:left="1440" w:hanging="720"/>
        <w:rPr>
          <w:rFonts w:eastAsiaTheme="minorHAnsi"/>
        </w:rPr>
      </w:pPr>
      <w:bookmarkStart w:id="383" w:name="_Toc63764594"/>
      <w:r w:rsidRPr="00E9174E">
        <w:t>Pipeline</w:t>
      </w:r>
      <w:r w:rsidRPr="00E9174E">
        <w:rPr>
          <w:rFonts w:eastAsiaTheme="minorHAnsi"/>
        </w:rPr>
        <w:t xml:space="preserve"> Replacement Costs</w:t>
      </w:r>
      <w:bookmarkEnd w:id="383"/>
    </w:p>
    <w:p w14:paraId="00F767C1" w14:textId="77777777" w:rsidR="00455B4B" w:rsidRPr="00E9174E" w:rsidRDefault="00455B4B" w:rsidP="00E9174E">
      <w:pPr>
        <w:keepNext/>
        <w:keepLines/>
        <w:widowControl/>
        <w:tabs>
          <w:tab w:val="left" w:pos="360"/>
        </w:tabs>
        <w:spacing w:line="360" w:lineRule="auto"/>
        <w:contextualSpacing/>
        <w:rPr>
          <w:rFonts w:eastAsiaTheme="minorHAnsi"/>
          <w:sz w:val="26"/>
          <w:szCs w:val="26"/>
        </w:rPr>
      </w:pPr>
    </w:p>
    <w:p w14:paraId="2E541887" w14:textId="77777777" w:rsidR="00455B4B" w:rsidRPr="00997099" w:rsidRDefault="00455B4B" w:rsidP="00277ECF">
      <w:pPr>
        <w:pStyle w:val="Heading4"/>
        <w:numPr>
          <w:ilvl w:val="0"/>
          <w:numId w:val="62"/>
        </w:numPr>
        <w:ind w:left="2160" w:hanging="720"/>
        <w:rPr>
          <w:rFonts w:eastAsiaTheme="minorHAnsi"/>
        </w:rPr>
      </w:pPr>
      <w:bookmarkStart w:id="384" w:name="_Toc63764595"/>
      <w:r w:rsidRPr="00997099">
        <w:rPr>
          <w:rFonts w:eastAsiaTheme="minorHAnsi"/>
        </w:rPr>
        <w:t>Positions of the Parties</w:t>
      </w:r>
      <w:bookmarkEnd w:id="384"/>
      <w:r w:rsidRPr="00997099">
        <w:rPr>
          <w:rFonts w:eastAsiaTheme="minorHAnsi"/>
        </w:rPr>
        <w:t xml:space="preserve"> </w:t>
      </w:r>
    </w:p>
    <w:p w14:paraId="6B3DBC79" w14:textId="77777777" w:rsidR="00455B4B" w:rsidRPr="00E9174E" w:rsidRDefault="00455B4B" w:rsidP="00E9174E">
      <w:pPr>
        <w:keepNext/>
        <w:keepLines/>
        <w:widowControl/>
        <w:spacing w:line="360" w:lineRule="auto"/>
        <w:contextualSpacing/>
        <w:rPr>
          <w:rFonts w:eastAsiaTheme="minorHAnsi"/>
          <w:sz w:val="26"/>
          <w:szCs w:val="26"/>
        </w:rPr>
      </w:pPr>
    </w:p>
    <w:p w14:paraId="3A745399" w14:textId="127174BF" w:rsidR="00455B4B" w:rsidRPr="00E9174E" w:rsidRDefault="00455B4B" w:rsidP="00E9174E">
      <w:pPr>
        <w:widowControl/>
        <w:spacing w:line="360" w:lineRule="auto"/>
        <w:ind w:firstLine="1440"/>
        <w:contextualSpacing/>
        <w:rPr>
          <w:rFonts w:eastAsiaTheme="minorHAnsi"/>
          <w:sz w:val="26"/>
          <w:szCs w:val="26"/>
        </w:rPr>
      </w:pPr>
      <w:r w:rsidRPr="00E9174E">
        <w:rPr>
          <w:rFonts w:eastAsiaTheme="minorHAnsi"/>
          <w:sz w:val="26"/>
          <w:szCs w:val="26"/>
        </w:rPr>
        <w:t xml:space="preserve">I&amp;E recommended that Columbia draft a cost reduction plan to be submitted to I&amp;E’s Pipeline Safety Division within sixty days of the entry of this Opinion and Order.  I&amp;E indicated that plan should outline Columbia’s proposed cost containment measures and those reduction measures should be reflected in an update to the </w:t>
      </w:r>
      <w:r w:rsidRPr="00E9174E">
        <w:rPr>
          <w:rFonts w:eastAsiaTheme="minorHAnsi"/>
          <w:sz w:val="26"/>
          <w:szCs w:val="26"/>
        </w:rPr>
        <w:lastRenderedPageBreak/>
        <w:t>Company’s LTIIP.  I&amp;E stated that Columbia must make an effort to negotiate better contracts and coordinate projects with other utility companies and local governments to keep costs down and to itemize expenses on pipeline replacement projects.  I&amp;E M.B. at</w:t>
      </w:r>
      <w:r w:rsidR="00997099">
        <w:rPr>
          <w:rFonts w:eastAsiaTheme="minorHAnsi"/>
          <w:sz w:val="26"/>
          <w:szCs w:val="26"/>
        </w:rPr>
        <w:t> </w:t>
      </w:r>
      <w:r w:rsidRPr="00E9174E">
        <w:rPr>
          <w:rFonts w:eastAsiaTheme="minorHAnsi"/>
          <w:sz w:val="26"/>
          <w:szCs w:val="26"/>
        </w:rPr>
        <w:t xml:space="preserve">77; I&amp;E St. 4 at 18-19.  I&amp;E noted that the Company is implementing I&amp;E’s recommendations as part of the Company’s existing process to plan and execute pipeline replacement projects and that the Company is already working to reduce restoration costs by carrying out I&amp;E’s recommendations.  I&amp;E stated it </w:t>
      </w:r>
      <w:r w:rsidRPr="00E9174E">
        <w:rPr>
          <w:rFonts w:eastAsiaTheme="minorHAnsi"/>
          <w:bCs/>
          <w:sz w:val="26"/>
          <w:szCs w:val="26"/>
        </w:rPr>
        <w:t xml:space="preserve">recognized the Company is making efforts to reduce replacement costs but remains concerned that those costs are increasing.  Accordingly, I&amp;E proposed, until the conclusion of the Company’s next base rate proceeding, Columbia and I&amp;E’s Pipeline Safety Division meet annually for a status update of those efforts when I&amp;E’s Pipeline Safety would like to discuss replacement cost reduction strategies and best practices the Company is using to reduce all costs.  I&amp;E M.B. at 79; I&amp;E St. 4-SR at 10.  </w:t>
      </w:r>
    </w:p>
    <w:p w14:paraId="1BB7EA87" w14:textId="77777777" w:rsidR="00455B4B" w:rsidRPr="00E9174E" w:rsidRDefault="00455B4B" w:rsidP="00E9174E">
      <w:pPr>
        <w:widowControl/>
        <w:tabs>
          <w:tab w:val="left" w:pos="360"/>
        </w:tabs>
        <w:spacing w:line="360" w:lineRule="auto"/>
        <w:contextualSpacing/>
        <w:rPr>
          <w:rFonts w:eastAsiaTheme="minorHAnsi"/>
          <w:sz w:val="26"/>
          <w:szCs w:val="26"/>
        </w:rPr>
      </w:pPr>
    </w:p>
    <w:p w14:paraId="79ACFDA1" w14:textId="66DFEA4F" w:rsidR="00455B4B" w:rsidRPr="00E9174E" w:rsidRDefault="00455B4B" w:rsidP="00E9174E">
      <w:pPr>
        <w:widowControl/>
        <w:spacing w:line="360" w:lineRule="auto"/>
        <w:ind w:firstLine="1440"/>
        <w:contextualSpacing/>
        <w:rPr>
          <w:rFonts w:eastAsiaTheme="minorHAnsi"/>
          <w:sz w:val="26"/>
          <w:szCs w:val="26"/>
        </w:rPr>
      </w:pPr>
      <w:r w:rsidRPr="00E9174E">
        <w:rPr>
          <w:rFonts w:eastAsiaTheme="minorHAnsi"/>
          <w:sz w:val="26"/>
          <w:szCs w:val="26"/>
        </w:rPr>
        <w:t>Columbia did not oppose I&amp;E’s revised recommendation that Columbia meet annually with I&amp;E’s Pipeline Safety Division for a status update on cost control efforts.  CG M.B. at 122-123; CG St. 14-R at 9-10.</w:t>
      </w:r>
    </w:p>
    <w:p w14:paraId="7C8AF95A" w14:textId="77777777" w:rsidR="00455B4B" w:rsidRPr="00E9174E" w:rsidRDefault="00455B4B" w:rsidP="00E9174E">
      <w:pPr>
        <w:widowControl/>
        <w:tabs>
          <w:tab w:val="left" w:pos="360"/>
        </w:tabs>
        <w:spacing w:line="360" w:lineRule="auto"/>
        <w:contextualSpacing/>
        <w:rPr>
          <w:rFonts w:eastAsiaTheme="minorHAnsi"/>
          <w:sz w:val="26"/>
          <w:szCs w:val="26"/>
        </w:rPr>
      </w:pPr>
    </w:p>
    <w:p w14:paraId="7A8CF93D" w14:textId="77777777" w:rsidR="00455B4B" w:rsidRPr="00E9174E" w:rsidRDefault="00455B4B" w:rsidP="00997099">
      <w:pPr>
        <w:pStyle w:val="Heading4"/>
        <w:ind w:left="2160" w:hanging="720"/>
        <w:rPr>
          <w:rFonts w:eastAsiaTheme="minorHAnsi"/>
        </w:rPr>
      </w:pPr>
      <w:bookmarkStart w:id="385" w:name="_Toc63764596"/>
      <w:r w:rsidRPr="00E9174E">
        <w:rPr>
          <w:rFonts w:eastAsiaTheme="minorHAnsi"/>
        </w:rPr>
        <w:t>Recommended Decision</w:t>
      </w:r>
      <w:bookmarkEnd w:id="385"/>
    </w:p>
    <w:p w14:paraId="0D4289A2" w14:textId="77777777" w:rsidR="00455B4B" w:rsidRPr="00E9174E" w:rsidRDefault="00455B4B" w:rsidP="00E9174E">
      <w:pPr>
        <w:keepNext/>
        <w:keepLines/>
        <w:widowControl/>
        <w:spacing w:line="360" w:lineRule="auto"/>
        <w:contextualSpacing/>
        <w:rPr>
          <w:rFonts w:eastAsiaTheme="minorHAnsi"/>
          <w:sz w:val="26"/>
          <w:szCs w:val="26"/>
        </w:rPr>
      </w:pPr>
    </w:p>
    <w:p w14:paraId="4CA6B1B1" w14:textId="5E52C2D9" w:rsidR="00455B4B" w:rsidRPr="00E9174E" w:rsidRDefault="00455B4B" w:rsidP="00E9174E">
      <w:pPr>
        <w:widowControl/>
        <w:spacing w:line="360" w:lineRule="auto"/>
        <w:ind w:firstLine="1440"/>
        <w:contextualSpacing/>
        <w:rPr>
          <w:rFonts w:eastAsiaTheme="minorHAnsi"/>
          <w:sz w:val="26"/>
          <w:szCs w:val="26"/>
        </w:rPr>
      </w:pPr>
      <w:r w:rsidRPr="00E9174E">
        <w:rPr>
          <w:rFonts w:eastAsiaTheme="minorHAnsi"/>
          <w:sz w:val="26"/>
          <w:szCs w:val="26"/>
        </w:rPr>
        <w:t xml:space="preserve">The ALJ noted that after the hearing record closed in this proceeding, the Commission finished its periodic review of Columbia’s LTIIP and found that the Company’s “level of spending is 8.3% ($42 million) less than the levels projected in Columbia’s LTIIP.  Columbia replaced nearly the amount of main planned, while spending approximately 8% less than planned, based on original estimates.”  R.D. at 247 (citing </w:t>
      </w:r>
      <w:r w:rsidRPr="00E9174E">
        <w:rPr>
          <w:rFonts w:eastAsiaTheme="minorHAnsi"/>
          <w:i/>
          <w:iCs/>
          <w:sz w:val="26"/>
          <w:szCs w:val="26"/>
        </w:rPr>
        <w:t>Periodic Review of Columbia Gas of Pennsylvania, Inc.’s Long-Term Infrastructure Improvement Plan</w:t>
      </w:r>
      <w:r w:rsidRPr="00E9174E">
        <w:rPr>
          <w:rFonts w:eastAsiaTheme="minorHAnsi"/>
          <w:sz w:val="26"/>
          <w:szCs w:val="26"/>
        </w:rPr>
        <w:t>, Docket No. M-2020-3019723, at 6 (Order entered November 19, 2020)</w:t>
      </w:r>
      <w:r w:rsidR="000661C7" w:rsidRPr="00E9174E">
        <w:rPr>
          <w:rFonts w:eastAsiaTheme="minorHAnsi"/>
          <w:sz w:val="26"/>
          <w:szCs w:val="26"/>
        </w:rPr>
        <w:t>)</w:t>
      </w:r>
      <w:r w:rsidRPr="00E9174E">
        <w:rPr>
          <w:rFonts w:eastAsiaTheme="minorHAnsi"/>
          <w:sz w:val="26"/>
          <w:szCs w:val="26"/>
        </w:rPr>
        <w:t>.  Accordingly, the ALJ concluded that</w:t>
      </w:r>
      <w:r w:rsidR="00FD5DA1" w:rsidRPr="00E9174E">
        <w:rPr>
          <w:rFonts w:eastAsiaTheme="minorHAnsi"/>
          <w:sz w:val="26"/>
          <w:szCs w:val="26"/>
        </w:rPr>
        <w:t>,</w:t>
      </w:r>
      <w:r w:rsidRPr="00E9174E">
        <w:rPr>
          <w:rFonts w:eastAsiaTheme="minorHAnsi"/>
          <w:sz w:val="26"/>
          <w:szCs w:val="26"/>
        </w:rPr>
        <w:t xml:space="preserve"> if the Commission grants Columbia’s request to consider all the elements in its base rate increase request, then </w:t>
      </w:r>
      <w:r w:rsidRPr="00E9174E">
        <w:rPr>
          <w:rFonts w:eastAsiaTheme="minorHAnsi"/>
          <w:sz w:val="26"/>
          <w:szCs w:val="26"/>
        </w:rPr>
        <w:lastRenderedPageBreak/>
        <w:t xml:space="preserve">there is no need for a revision in this proceeding but, based on the agreement of Columbia and I&amp;E, Columbia will meet annually with I&amp;E’s Pipeline Safety Division to provide a status update on cost control efforts.  R.D. at 247.  </w:t>
      </w:r>
    </w:p>
    <w:p w14:paraId="31FBA2BA" w14:textId="77777777" w:rsidR="00455B4B" w:rsidRPr="00E9174E" w:rsidRDefault="00455B4B" w:rsidP="00E9174E">
      <w:pPr>
        <w:widowControl/>
        <w:tabs>
          <w:tab w:val="left" w:pos="360"/>
        </w:tabs>
        <w:spacing w:line="360" w:lineRule="auto"/>
        <w:contextualSpacing/>
        <w:rPr>
          <w:rFonts w:eastAsiaTheme="minorHAnsi"/>
          <w:sz w:val="26"/>
          <w:szCs w:val="26"/>
        </w:rPr>
      </w:pPr>
    </w:p>
    <w:p w14:paraId="1D9E81BB" w14:textId="77777777" w:rsidR="00455B4B" w:rsidRPr="00E9174E" w:rsidRDefault="00455B4B" w:rsidP="00997099">
      <w:pPr>
        <w:pStyle w:val="Heading4"/>
        <w:ind w:left="2160" w:hanging="720"/>
        <w:rPr>
          <w:rFonts w:eastAsiaTheme="minorHAnsi"/>
        </w:rPr>
      </w:pPr>
      <w:bookmarkStart w:id="386" w:name="_Toc63764597"/>
      <w:r w:rsidRPr="00E9174E">
        <w:rPr>
          <w:rFonts w:eastAsiaTheme="minorHAnsi"/>
        </w:rPr>
        <w:t>Disposition</w:t>
      </w:r>
      <w:bookmarkEnd w:id="386"/>
    </w:p>
    <w:p w14:paraId="64E39356" w14:textId="77777777" w:rsidR="00455B4B" w:rsidRPr="00E9174E" w:rsidRDefault="00455B4B" w:rsidP="00E9174E">
      <w:pPr>
        <w:keepNext/>
        <w:keepLines/>
        <w:widowControl/>
        <w:spacing w:line="360" w:lineRule="auto"/>
        <w:contextualSpacing/>
        <w:rPr>
          <w:sz w:val="26"/>
          <w:szCs w:val="26"/>
        </w:rPr>
      </w:pPr>
    </w:p>
    <w:p w14:paraId="0998311F" w14:textId="77777777" w:rsidR="00455B4B" w:rsidRPr="00E9174E" w:rsidRDefault="00455B4B" w:rsidP="00E9174E">
      <w:pPr>
        <w:widowControl/>
        <w:spacing w:line="360" w:lineRule="auto"/>
        <w:ind w:firstLine="1440"/>
        <w:contextualSpacing/>
        <w:rPr>
          <w:sz w:val="26"/>
          <w:szCs w:val="26"/>
        </w:rPr>
      </w:pPr>
      <w:r w:rsidRPr="00E9174E">
        <w:rPr>
          <w:sz w:val="26"/>
          <w:szCs w:val="26"/>
        </w:rPr>
        <w:t xml:space="preserve">No Party filed Exceptions objecting to the ALJ’s recommendation on this issue.  We find that the ALJ’s recommendation is supported by ample record evidence and is just and reasonable.  Therefore, consistent with the agreement between I&amp;E and Columbia, </w:t>
      </w:r>
      <w:r w:rsidRPr="00E9174E">
        <w:rPr>
          <w:rFonts w:eastAsiaTheme="minorHAnsi"/>
          <w:sz w:val="26"/>
          <w:szCs w:val="26"/>
        </w:rPr>
        <w:t>Columbia will meet annually with I&amp;E’s Pipeline Safety Division to provide a status update on pipeline replacement cost control efforts.</w:t>
      </w:r>
    </w:p>
    <w:p w14:paraId="2EA134CD" w14:textId="77777777" w:rsidR="00455B4B" w:rsidRPr="00E9174E" w:rsidRDefault="00455B4B" w:rsidP="00E9174E">
      <w:pPr>
        <w:widowControl/>
        <w:tabs>
          <w:tab w:val="left" w:pos="360"/>
        </w:tabs>
        <w:spacing w:line="360" w:lineRule="auto"/>
        <w:contextualSpacing/>
        <w:rPr>
          <w:rFonts w:eastAsiaTheme="minorHAnsi"/>
          <w:sz w:val="26"/>
          <w:szCs w:val="26"/>
        </w:rPr>
      </w:pPr>
    </w:p>
    <w:p w14:paraId="79735B56" w14:textId="42508788" w:rsidR="00455B4B" w:rsidRPr="00E9174E" w:rsidRDefault="00455B4B" w:rsidP="00277ECF">
      <w:pPr>
        <w:pStyle w:val="Heading3"/>
        <w:numPr>
          <w:ilvl w:val="0"/>
          <w:numId w:val="28"/>
        </w:numPr>
        <w:ind w:left="1440" w:hanging="720"/>
        <w:rPr>
          <w:rFonts w:eastAsiaTheme="minorHAnsi"/>
        </w:rPr>
      </w:pPr>
      <w:bookmarkStart w:id="387" w:name="_Toc63764598"/>
      <w:r w:rsidRPr="00E9174E">
        <w:rPr>
          <w:rFonts w:eastAsiaTheme="minorHAnsi"/>
        </w:rPr>
        <w:t>Risk Reduction</w:t>
      </w:r>
      <w:bookmarkEnd w:id="387"/>
    </w:p>
    <w:p w14:paraId="5983DB4A" w14:textId="77777777" w:rsidR="00455B4B" w:rsidRPr="00E9174E" w:rsidRDefault="00455B4B" w:rsidP="00E9174E">
      <w:pPr>
        <w:keepNext/>
        <w:keepLines/>
        <w:widowControl/>
        <w:spacing w:line="360" w:lineRule="auto"/>
        <w:contextualSpacing/>
        <w:rPr>
          <w:rFonts w:eastAsiaTheme="minorHAnsi"/>
          <w:sz w:val="26"/>
          <w:szCs w:val="26"/>
        </w:rPr>
      </w:pPr>
    </w:p>
    <w:p w14:paraId="32809933" w14:textId="77777777" w:rsidR="00455B4B" w:rsidRPr="00997099" w:rsidRDefault="00455B4B" w:rsidP="00277ECF">
      <w:pPr>
        <w:pStyle w:val="Heading4"/>
        <w:numPr>
          <w:ilvl w:val="0"/>
          <w:numId w:val="63"/>
        </w:numPr>
        <w:ind w:left="2160" w:hanging="720"/>
        <w:rPr>
          <w:rFonts w:eastAsiaTheme="minorHAnsi"/>
        </w:rPr>
      </w:pPr>
      <w:bookmarkStart w:id="388" w:name="_Toc63764599"/>
      <w:r w:rsidRPr="00997099">
        <w:rPr>
          <w:rFonts w:eastAsiaTheme="minorHAnsi"/>
        </w:rPr>
        <w:t>Positions of the Parties</w:t>
      </w:r>
      <w:bookmarkEnd w:id="388"/>
    </w:p>
    <w:p w14:paraId="0A8201E9" w14:textId="77777777" w:rsidR="00455B4B" w:rsidRPr="00E9174E" w:rsidRDefault="00455B4B" w:rsidP="00E9174E">
      <w:pPr>
        <w:keepNext/>
        <w:keepLines/>
        <w:widowControl/>
        <w:spacing w:line="360" w:lineRule="auto"/>
        <w:contextualSpacing/>
        <w:rPr>
          <w:rFonts w:eastAsiaTheme="minorHAnsi"/>
          <w:sz w:val="26"/>
          <w:szCs w:val="26"/>
        </w:rPr>
      </w:pPr>
    </w:p>
    <w:p w14:paraId="38900CF4" w14:textId="6210F95A" w:rsidR="00455B4B" w:rsidRPr="00E9174E" w:rsidRDefault="00455B4B" w:rsidP="00E9174E">
      <w:pPr>
        <w:widowControl/>
        <w:spacing w:line="360" w:lineRule="auto"/>
        <w:ind w:firstLine="1440"/>
        <w:contextualSpacing/>
        <w:rPr>
          <w:rFonts w:eastAsiaTheme="minorHAnsi"/>
          <w:sz w:val="26"/>
          <w:szCs w:val="26"/>
        </w:rPr>
      </w:pPr>
      <w:r w:rsidRPr="00E9174E">
        <w:rPr>
          <w:rFonts w:eastAsiaTheme="minorHAnsi"/>
          <w:sz w:val="26"/>
          <w:szCs w:val="26"/>
        </w:rPr>
        <w:t xml:space="preserve">I&amp;E agreed that Columbia tracks the progress of its risk reduction program by gauging several key risk factors, including </w:t>
      </w:r>
      <w:r w:rsidR="00FA7BB8" w:rsidRPr="00E9174E">
        <w:rPr>
          <w:rFonts w:eastAsiaTheme="minorHAnsi"/>
          <w:sz w:val="26"/>
          <w:szCs w:val="26"/>
        </w:rPr>
        <w:t>O</w:t>
      </w:r>
      <w:r w:rsidRPr="00E9174E">
        <w:rPr>
          <w:rFonts w:eastAsiaTheme="minorHAnsi"/>
          <w:sz w:val="26"/>
          <w:szCs w:val="26"/>
        </w:rPr>
        <w:t xml:space="preserve">pen </w:t>
      </w:r>
      <w:r w:rsidR="00FA7BB8" w:rsidRPr="00E9174E">
        <w:rPr>
          <w:rFonts w:eastAsiaTheme="minorHAnsi"/>
          <w:sz w:val="26"/>
          <w:szCs w:val="26"/>
        </w:rPr>
        <w:t>G</w:t>
      </w:r>
      <w:r w:rsidRPr="00E9174E">
        <w:rPr>
          <w:rFonts w:eastAsiaTheme="minorHAnsi"/>
          <w:sz w:val="26"/>
          <w:szCs w:val="26"/>
        </w:rPr>
        <w:t xml:space="preserve">rade 2 leaks and the inventory of bare steel and cast-iron pipes in its system.  I&amp;E </w:t>
      </w:r>
      <w:proofErr w:type="spellStart"/>
      <w:r w:rsidRPr="00E9174E">
        <w:rPr>
          <w:rFonts w:eastAsiaTheme="minorHAnsi"/>
          <w:sz w:val="26"/>
          <w:szCs w:val="26"/>
        </w:rPr>
        <w:t>Exh</w:t>
      </w:r>
      <w:proofErr w:type="spellEnd"/>
      <w:r w:rsidRPr="00E9174E">
        <w:rPr>
          <w:rFonts w:eastAsiaTheme="minorHAnsi"/>
          <w:sz w:val="26"/>
          <w:szCs w:val="26"/>
        </w:rPr>
        <w:t xml:space="preserve">. 5, Sch. 9 at 1.  I&amp;E stated that Columbia reduced its open grade 2 leaks by 64.14% from 2015 to 2019, when the Company had 937 open grade 2 leaks in 2015 and 336 open grade 2 leaks in 2019.  However, I&amp;E contended that from 2017 to 2019, other risk indicators have risen, thus outweighing Columbia’s risk reduction efforts.  According to I&amp;E, these risk indicators include the number of newly found leaks, excavation damages per thousand tickets, poor </w:t>
      </w:r>
      <w:r w:rsidR="00FD5DA1" w:rsidRPr="00E9174E">
        <w:rPr>
          <w:rFonts w:eastAsiaTheme="minorHAnsi"/>
          <w:sz w:val="26"/>
          <w:szCs w:val="26"/>
        </w:rPr>
        <w:t>record-</w:t>
      </w:r>
      <w:r w:rsidRPr="00E9174E">
        <w:rPr>
          <w:rFonts w:eastAsiaTheme="minorHAnsi"/>
          <w:sz w:val="26"/>
          <w:szCs w:val="26"/>
        </w:rPr>
        <w:t xml:space="preserve">related damages, non-reportable incidents due to poor records, and failures of field-assembled risers on Columbia-owned service lines.  I&amp;E M.B. at 80; I&amp;E St. 5 at 6. </w:t>
      </w:r>
      <w:r w:rsidR="00635915" w:rsidRPr="00E9174E">
        <w:rPr>
          <w:rFonts w:eastAsiaTheme="minorHAnsi"/>
          <w:sz w:val="26"/>
          <w:szCs w:val="26"/>
        </w:rPr>
        <w:t xml:space="preserve"> </w:t>
      </w:r>
      <w:r w:rsidRPr="00E9174E">
        <w:rPr>
          <w:rFonts w:eastAsiaTheme="minorHAnsi"/>
          <w:sz w:val="26"/>
          <w:szCs w:val="26"/>
        </w:rPr>
        <w:t xml:space="preserve">As a result, I&amp;E recommended that Columbia perform a root cause analysis due to the increase in other risk indicators and determine why the number of leaks found does not correlate with the amount of pipeline replacement for the past four years.  I&amp;E M.B. at </w:t>
      </w:r>
      <w:r w:rsidRPr="00E9174E">
        <w:rPr>
          <w:rFonts w:eastAsiaTheme="minorHAnsi"/>
          <w:sz w:val="26"/>
          <w:szCs w:val="26"/>
        </w:rPr>
        <w:lastRenderedPageBreak/>
        <w:t xml:space="preserve">80-81; I&amp;E St. 5-SR at 8.  I&amp;E also recommended that Columbia present the results of this analysis to I&amp;E’s Pipeline Safety, which should include any corrective actions the Company takes, no later than September 30, 2021.  Further, I&amp;E recommended the Company continue its leakage reduction program.  I&amp;E M.B. at 81; I&amp;E St. 5 at 12-13.  </w:t>
      </w:r>
    </w:p>
    <w:p w14:paraId="094DC728" w14:textId="77777777" w:rsidR="00455B4B" w:rsidRPr="00E9174E" w:rsidRDefault="00455B4B" w:rsidP="00E9174E">
      <w:pPr>
        <w:widowControl/>
        <w:spacing w:line="360" w:lineRule="auto"/>
        <w:contextualSpacing/>
        <w:rPr>
          <w:sz w:val="26"/>
          <w:szCs w:val="26"/>
        </w:rPr>
      </w:pPr>
    </w:p>
    <w:p w14:paraId="07DE0D32" w14:textId="353EDD53" w:rsidR="00455B4B" w:rsidRPr="00E9174E" w:rsidRDefault="00455B4B" w:rsidP="00E9174E">
      <w:pPr>
        <w:widowControl/>
        <w:spacing w:line="360" w:lineRule="auto"/>
        <w:ind w:firstLine="1440"/>
        <w:contextualSpacing/>
        <w:rPr>
          <w:rFonts w:eastAsiaTheme="minorHAnsi"/>
          <w:sz w:val="26"/>
          <w:szCs w:val="26"/>
        </w:rPr>
      </w:pPr>
      <w:r w:rsidRPr="00E9174E">
        <w:rPr>
          <w:rFonts w:eastAsiaTheme="minorHAnsi"/>
          <w:sz w:val="26"/>
          <w:szCs w:val="26"/>
        </w:rPr>
        <w:t>Additionally, due to the increase in failed field-assembled risers, I&amp;E recommended the Company complete updating its records, which would allow Columbia to identify the locations of all field-assembled risers including those on customer-owned service lines.  I&amp;E also recommended Columbia complete the inspection of all field-assembled risers in the Company’s system as soon as possible and develop a plan to replace all of the field-assembled risers in its system, including those on customer-owned service lines.  I&amp;E St. 5-SR at 11.  Further, to reduce risks involving excavation damages, which include mapping errors, poor records, unmarked facilities, I&amp;E recommended the Company finish updating its maps and records.  I&amp;E St. 5-SR at 12.</w:t>
      </w:r>
    </w:p>
    <w:p w14:paraId="01ACABC2" w14:textId="77777777" w:rsidR="00071C4B" w:rsidRPr="00E9174E" w:rsidRDefault="00071C4B" w:rsidP="00E9174E">
      <w:pPr>
        <w:widowControl/>
        <w:spacing w:line="360" w:lineRule="auto"/>
        <w:contextualSpacing/>
        <w:rPr>
          <w:sz w:val="26"/>
          <w:szCs w:val="26"/>
        </w:rPr>
      </w:pPr>
    </w:p>
    <w:p w14:paraId="6CACEB76" w14:textId="1000BD95" w:rsidR="00455B4B" w:rsidRPr="00E9174E" w:rsidRDefault="00455B4B" w:rsidP="00E9174E">
      <w:pPr>
        <w:widowControl/>
        <w:spacing w:line="360" w:lineRule="auto"/>
        <w:ind w:firstLine="1440"/>
        <w:contextualSpacing/>
        <w:rPr>
          <w:sz w:val="26"/>
          <w:szCs w:val="26"/>
        </w:rPr>
      </w:pPr>
      <w:r w:rsidRPr="00E9174E">
        <w:rPr>
          <w:sz w:val="26"/>
          <w:szCs w:val="26"/>
        </w:rPr>
        <w:t>Columbia opposed as premature I&amp;E’s recommendation that it undertake a formal root cause analysis to determine why total leaks found have increased by 8.5% from 2017-2019, in the context of ongoing replacement of at-risk pipe.  Columbia argued that a formal root cause analysis was premature because:</w:t>
      </w:r>
      <w:r w:rsidR="00566A1C" w:rsidRPr="00E9174E">
        <w:rPr>
          <w:sz w:val="26"/>
          <w:szCs w:val="26"/>
        </w:rPr>
        <w:t xml:space="preserve"> </w:t>
      </w:r>
      <w:r w:rsidRPr="00E9174E">
        <w:rPr>
          <w:sz w:val="26"/>
          <w:szCs w:val="26"/>
        </w:rPr>
        <w:t xml:space="preserve"> (1) leaks found have decreased 15.6% from 2015-2019; (2) leaks do not reduce in lock step with pipe replacement, as remaining pipe ages and becomes more susceptible to leaking; (3) Columbia increased pipes surveyed annually by 13.8% from 2017 through 2019, which can contribute to discovery of the 8.5% higher leaks found during that period of time; and (4) additional data can determine if this is a potential problem or a short-term phenomenon.  CG M.B. at 123-24.  </w:t>
      </w:r>
    </w:p>
    <w:p w14:paraId="40D205D4" w14:textId="77777777" w:rsidR="00455B4B" w:rsidRPr="00E9174E" w:rsidRDefault="00455B4B" w:rsidP="00E9174E">
      <w:pPr>
        <w:widowControl/>
        <w:spacing w:line="360" w:lineRule="auto"/>
        <w:contextualSpacing/>
        <w:rPr>
          <w:sz w:val="26"/>
          <w:szCs w:val="26"/>
        </w:rPr>
      </w:pPr>
    </w:p>
    <w:p w14:paraId="54366883" w14:textId="77777777" w:rsidR="00455B4B" w:rsidRPr="00E9174E" w:rsidRDefault="00455B4B" w:rsidP="00E9174E">
      <w:pPr>
        <w:widowControl/>
        <w:spacing w:line="360" w:lineRule="auto"/>
        <w:ind w:firstLine="1440"/>
        <w:contextualSpacing/>
        <w:rPr>
          <w:sz w:val="26"/>
          <w:szCs w:val="26"/>
        </w:rPr>
      </w:pPr>
      <w:r w:rsidRPr="00E9174E">
        <w:rPr>
          <w:sz w:val="26"/>
          <w:szCs w:val="26"/>
        </w:rPr>
        <w:t>Columbia agreed with I&amp;E’s recommendations to identify and develop a plan to replace field-assembled risers</w:t>
      </w:r>
      <w:bookmarkStart w:id="389" w:name="_BA_Cite_EAF4C8_001381"/>
      <w:bookmarkEnd w:id="389"/>
      <w:r w:rsidRPr="00E9174E">
        <w:rPr>
          <w:sz w:val="26"/>
          <w:szCs w:val="26"/>
        </w:rPr>
        <w:t xml:space="preserve">.  Columbia also agreed to continue and complete </w:t>
      </w:r>
      <w:r w:rsidRPr="00E9174E">
        <w:rPr>
          <w:sz w:val="26"/>
          <w:szCs w:val="26"/>
        </w:rPr>
        <w:lastRenderedPageBreak/>
        <w:t xml:space="preserve">updating maps and records as quickly as possible. </w:t>
      </w:r>
      <w:r w:rsidR="001C5FAA" w:rsidRPr="00E9174E">
        <w:rPr>
          <w:sz w:val="26"/>
          <w:szCs w:val="26"/>
        </w:rPr>
        <w:t xml:space="preserve"> </w:t>
      </w:r>
      <w:r w:rsidRPr="00E9174E">
        <w:rPr>
          <w:sz w:val="26"/>
          <w:szCs w:val="26"/>
        </w:rPr>
        <w:t xml:space="preserve">Columbia stated it will keep I&amp;E apprised of its progress.  CG St. 7-R at 15. </w:t>
      </w:r>
    </w:p>
    <w:p w14:paraId="465442E8" w14:textId="77777777" w:rsidR="00455B4B" w:rsidRPr="00E9174E" w:rsidRDefault="00455B4B" w:rsidP="00E9174E">
      <w:pPr>
        <w:widowControl/>
        <w:spacing w:line="360" w:lineRule="auto"/>
        <w:contextualSpacing/>
        <w:rPr>
          <w:sz w:val="26"/>
          <w:szCs w:val="26"/>
        </w:rPr>
      </w:pPr>
    </w:p>
    <w:p w14:paraId="2997858A" w14:textId="77777777" w:rsidR="00455B4B" w:rsidRPr="00E9174E" w:rsidRDefault="00455B4B" w:rsidP="00997099">
      <w:pPr>
        <w:pStyle w:val="Heading4"/>
        <w:ind w:left="2160" w:hanging="720"/>
        <w:rPr>
          <w:rFonts w:eastAsiaTheme="minorHAnsi"/>
        </w:rPr>
      </w:pPr>
      <w:bookmarkStart w:id="390" w:name="_Toc63764600"/>
      <w:r w:rsidRPr="00E9174E">
        <w:rPr>
          <w:rFonts w:eastAsiaTheme="minorHAnsi"/>
        </w:rPr>
        <w:t>Recommended Decision</w:t>
      </w:r>
      <w:bookmarkEnd w:id="390"/>
      <w:r w:rsidRPr="00E9174E">
        <w:rPr>
          <w:rFonts w:eastAsiaTheme="minorHAnsi"/>
        </w:rPr>
        <w:t xml:space="preserve"> </w:t>
      </w:r>
    </w:p>
    <w:p w14:paraId="34EACF02" w14:textId="77777777" w:rsidR="00455B4B" w:rsidRPr="00E9174E" w:rsidRDefault="00455B4B" w:rsidP="00E9174E">
      <w:pPr>
        <w:keepNext/>
        <w:keepLines/>
        <w:widowControl/>
        <w:spacing w:line="360" w:lineRule="auto"/>
        <w:contextualSpacing/>
        <w:rPr>
          <w:rFonts w:eastAsiaTheme="minorHAnsi"/>
          <w:sz w:val="26"/>
          <w:szCs w:val="26"/>
        </w:rPr>
      </w:pPr>
    </w:p>
    <w:p w14:paraId="2F144B55" w14:textId="77777777" w:rsidR="00455B4B" w:rsidRPr="00E9174E" w:rsidRDefault="00455B4B" w:rsidP="00E9174E">
      <w:pPr>
        <w:widowControl/>
        <w:spacing w:line="360" w:lineRule="auto"/>
        <w:ind w:left="90" w:firstLine="1350"/>
        <w:contextualSpacing/>
        <w:rPr>
          <w:sz w:val="26"/>
          <w:szCs w:val="26"/>
        </w:rPr>
      </w:pPr>
      <w:r w:rsidRPr="00E9174E">
        <w:rPr>
          <w:sz w:val="26"/>
          <w:szCs w:val="26"/>
        </w:rPr>
        <w:t xml:space="preserve">The ALJ agreed that a root cause analysis will help the Company to determine whether it targets the right segments during replacement projects.  The ALJ observed that Columbia has already performed its own risk assessment in accordance with its DIMP, but a root cause analysis is generally accepted in the industry and provides the amount of detail necessary to pinpoint the exact cause or causes of leakage increases.  R.D. at 248 (citing I&amp;E St. 5-SR at 9-10). </w:t>
      </w:r>
      <w:r w:rsidRPr="00E9174E" w:rsidDel="0053139A">
        <w:rPr>
          <w:sz w:val="26"/>
          <w:szCs w:val="26"/>
        </w:rPr>
        <w:t xml:space="preserve"> </w:t>
      </w:r>
      <w:r w:rsidRPr="00E9174E">
        <w:rPr>
          <w:sz w:val="26"/>
          <w:szCs w:val="26"/>
        </w:rPr>
        <w:t>The root cause analysis would be helpful for the Company, as would updating its records on and completing inspections on all field-assembled risers.  The ALJ agreed with I&amp;E that the Company should know the location and condition of these field-assembled risers, including those on customer-owned service lines.  R.D. at 248.  The ALJ noted that I&amp;E made these suggestions, and Columbia agreed to identify and develop a plan to replace field-assembled risers, to complete updating of maps and records as quickly as possible, and to keep I&amp;E’s Pipeline Safety apprised of its progress.</w:t>
      </w:r>
    </w:p>
    <w:p w14:paraId="389AB9EC" w14:textId="77777777" w:rsidR="00455B4B" w:rsidRPr="00E9174E" w:rsidRDefault="00455B4B" w:rsidP="00E9174E">
      <w:pPr>
        <w:widowControl/>
        <w:spacing w:line="360" w:lineRule="auto"/>
        <w:contextualSpacing/>
        <w:rPr>
          <w:rFonts w:eastAsiaTheme="minorHAnsi"/>
          <w:sz w:val="26"/>
          <w:szCs w:val="26"/>
        </w:rPr>
      </w:pPr>
    </w:p>
    <w:p w14:paraId="22DB557F" w14:textId="3D0E4C06" w:rsidR="00455B4B" w:rsidRPr="00E9174E" w:rsidRDefault="00455B4B" w:rsidP="00E9174E">
      <w:pPr>
        <w:widowControl/>
        <w:spacing w:line="360" w:lineRule="auto"/>
        <w:ind w:firstLine="1440"/>
        <w:contextualSpacing/>
        <w:rPr>
          <w:rFonts w:eastAsia="Calibri"/>
          <w:sz w:val="26"/>
          <w:szCs w:val="26"/>
        </w:rPr>
      </w:pPr>
      <w:r w:rsidRPr="00E9174E">
        <w:rPr>
          <w:rFonts w:eastAsiaTheme="minorHAnsi"/>
          <w:sz w:val="26"/>
          <w:szCs w:val="26"/>
        </w:rPr>
        <w:t>The ALJ determined that</w:t>
      </w:r>
      <w:r w:rsidR="00A11235" w:rsidRPr="00E9174E">
        <w:rPr>
          <w:rFonts w:eastAsiaTheme="minorHAnsi"/>
          <w:sz w:val="26"/>
          <w:szCs w:val="26"/>
        </w:rPr>
        <w:t>,</w:t>
      </w:r>
      <w:r w:rsidRPr="00E9174E">
        <w:rPr>
          <w:rFonts w:eastAsiaTheme="minorHAnsi"/>
          <w:sz w:val="26"/>
          <w:szCs w:val="26"/>
        </w:rPr>
        <w:t xml:space="preserve"> if the Commission grants Columbia’s request to consider all the elements in its base rate increase request, the Commission should require Columbia to present the results of its root cause analysis to I&amp;E’s Pipeline Safety, which should include any corrective actions the Company takes, no later than September</w:t>
      </w:r>
      <w:r w:rsidR="00997099">
        <w:rPr>
          <w:rFonts w:eastAsiaTheme="minorHAnsi"/>
          <w:sz w:val="26"/>
          <w:szCs w:val="26"/>
        </w:rPr>
        <w:t> </w:t>
      </w:r>
      <w:r w:rsidRPr="00E9174E">
        <w:rPr>
          <w:rFonts w:eastAsiaTheme="minorHAnsi"/>
          <w:sz w:val="26"/>
          <w:szCs w:val="26"/>
        </w:rPr>
        <w:t>30,</w:t>
      </w:r>
      <w:r w:rsidR="00997099">
        <w:rPr>
          <w:rFonts w:eastAsiaTheme="minorHAnsi"/>
          <w:sz w:val="26"/>
          <w:szCs w:val="26"/>
        </w:rPr>
        <w:t> </w:t>
      </w:r>
      <w:r w:rsidRPr="00E9174E">
        <w:rPr>
          <w:rFonts w:eastAsiaTheme="minorHAnsi"/>
          <w:sz w:val="26"/>
          <w:szCs w:val="26"/>
        </w:rPr>
        <w:t xml:space="preserve">2021.  </w:t>
      </w:r>
      <w:bookmarkStart w:id="391" w:name="_Hlk62492375"/>
      <w:r w:rsidRPr="00E9174E">
        <w:rPr>
          <w:rFonts w:eastAsiaTheme="minorHAnsi"/>
          <w:sz w:val="26"/>
          <w:szCs w:val="26"/>
        </w:rPr>
        <w:t>In addition, the ALJ recommended that Columbia update its records on and complete inspections on all field-assembled risers, including those on customer-owned service lines, develop a plan to replace field-assembled risers, complete updating its maps and records as quickly as possible, and keep I&amp;E’s Pipeline Safety apprised of its progress</w:t>
      </w:r>
      <w:bookmarkEnd w:id="391"/>
      <w:r w:rsidRPr="00E9174E">
        <w:rPr>
          <w:rFonts w:eastAsia="Calibri"/>
          <w:sz w:val="26"/>
          <w:szCs w:val="26"/>
        </w:rPr>
        <w:t xml:space="preserve">.  R.D. at 249.  </w:t>
      </w:r>
    </w:p>
    <w:p w14:paraId="536BBCE8" w14:textId="77777777" w:rsidR="00455B4B" w:rsidRPr="00E9174E" w:rsidRDefault="00455B4B" w:rsidP="00E9174E">
      <w:pPr>
        <w:widowControl/>
        <w:spacing w:line="360" w:lineRule="auto"/>
        <w:contextualSpacing/>
        <w:rPr>
          <w:rFonts w:eastAsiaTheme="minorHAnsi"/>
          <w:sz w:val="26"/>
          <w:szCs w:val="26"/>
        </w:rPr>
      </w:pPr>
    </w:p>
    <w:p w14:paraId="673AECF7" w14:textId="77777777" w:rsidR="00455B4B" w:rsidRPr="00E9174E" w:rsidRDefault="00455B4B" w:rsidP="00997099">
      <w:pPr>
        <w:pStyle w:val="Heading4"/>
        <w:ind w:left="2160" w:hanging="720"/>
        <w:rPr>
          <w:rFonts w:eastAsiaTheme="minorHAnsi"/>
        </w:rPr>
      </w:pPr>
      <w:bookmarkStart w:id="392" w:name="_Toc63764601"/>
      <w:r w:rsidRPr="00E9174E">
        <w:rPr>
          <w:rFonts w:eastAsiaTheme="minorHAnsi"/>
        </w:rPr>
        <w:lastRenderedPageBreak/>
        <w:t>Disposition</w:t>
      </w:r>
      <w:bookmarkEnd w:id="392"/>
    </w:p>
    <w:p w14:paraId="5AA1B405" w14:textId="77777777" w:rsidR="00455B4B" w:rsidRPr="00E9174E" w:rsidRDefault="00455B4B" w:rsidP="00E9174E">
      <w:pPr>
        <w:keepNext/>
        <w:keepLines/>
        <w:widowControl/>
        <w:spacing w:line="360" w:lineRule="auto"/>
        <w:contextualSpacing/>
        <w:rPr>
          <w:sz w:val="26"/>
          <w:szCs w:val="26"/>
        </w:rPr>
      </w:pPr>
    </w:p>
    <w:p w14:paraId="0883FA10" w14:textId="7E2E5587" w:rsidR="00455B4B" w:rsidRDefault="00455B4B" w:rsidP="00E9174E">
      <w:pPr>
        <w:widowControl/>
        <w:spacing w:line="360" w:lineRule="auto"/>
        <w:ind w:firstLine="1440"/>
        <w:contextualSpacing/>
        <w:rPr>
          <w:sz w:val="26"/>
          <w:szCs w:val="26"/>
        </w:rPr>
      </w:pPr>
      <w:r w:rsidRPr="00E9174E">
        <w:rPr>
          <w:sz w:val="26"/>
          <w:szCs w:val="26"/>
        </w:rPr>
        <w:t>No Party filed Exceptions objecting to the ALJ’s recommendation on this issue.  We find that the ALJ’s recommendation is supported by ample record evidence and is just and reasonable.  Accordingly, we direct that Columbia:</w:t>
      </w:r>
      <w:r w:rsidR="007F5CDC" w:rsidRPr="00E9174E">
        <w:rPr>
          <w:sz w:val="26"/>
          <w:szCs w:val="26"/>
        </w:rPr>
        <w:t xml:space="preserve"> </w:t>
      </w:r>
      <w:r w:rsidRPr="00E9174E">
        <w:rPr>
          <w:sz w:val="26"/>
          <w:szCs w:val="26"/>
        </w:rPr>
        <w:t xml:space="preserve"> (1) perform a root cause analysis to determine why the number of leaks found does not correlate with the amount of pipeline replacement for the past four years; and (2) present to I&amp;E’s Pipeline Safety the results of the root cause analysis, including any corrective actions the Company takes, no later than September 30, 2021.  We additionally direct t</w:t>
      </w:r>
      <w:r w:rsidRPr="00E9174E">
        <w:rPr>
          <w:rFonts w:eastAsiaTheme="minorHAnsi"/>
          <w:sz w:val="26"/>
          <w:szCs w:val="26"/>
        </w:rPr>
        <w:t>hat Columbia</w:t>
      </w:r>
      <w:r w:rsidR="00A11235" w:rsidRPr="00E9174E">
        <w:rPr>
          <w:rFonts w:eastAsiaTheme="minorHAnsi"/>
          <w:sz w:val="26"/>
          <w:szCs w:val="26"/>
        </w:rPr>
        <w:t>:</w:t>
      </w:r>
      <w:r w:rsidR="003532B6" w:rsidRPr="00E9174E">
        <w:rPr>
          <w:rFonts w:eastAsiaTheme="minorHAnsi"/>
          <w:sz w:val="26"/>
          <w:szCs w:val="26"/>
        </w:rPr>
        <w:t xml:space="preserve"> </w:t>
      </w:r>
      <w:r w:rsidRPr="00E9174E">
        <w:rPr>
          <w:rFonts w:eastAsiaTheme="minorHAnsi"/>
          <w:sz w:val="26"/>
          <w:szCs w:val="26"/>
        </w:rPr>
        <w:t xml:space="preserve"> (1) update its records on and complete inspections on all field-assembled risers, including those on customer-owned service lines; (2) develop a plan to replace all field-assembled risers in its system; (3) complete updating its maps and records as quickly as possible; and (4) keep I&amp;E’s Pipeline Safety apprised of its progress on these items.</w:t>
      </w:r>
      <w:r w:rsidRPr="00E9174E">
        <w:rPr>
          <w:sz w:val="26"/>
          <w:szCs w:val="26"/>
        </w:rPr>
        <w:t xml:space="preserve">  </w:t>
      </w:r>
    </w:p>
    <w:p w14:paraId="529424A3" w14:textId="77777777" w:rsidR="00997099" w:rsidRPr="00E9174E" w:rsidRDefault="00997099" w:rsidP="00E9174E">
      <w:pPr>
        <w:widowControl/>
        <w:spacing w:line="360" w:lineRule="auto"/>
        <w:ind w:firstLine="1440"/>
        <w:contextualSpacing/>
        <w:rPr>
          <w:rFonts w:eastAsiaTheme="minorHAnsi"/>
          <w:sz w:val="26"/>
          <w:szCs w:val="26"/>
        </w:rPr>
      </w:pPr>
    </w:p>
    <w:p w14:paraId="1BD2771C" w14:textId="1D6303CD" w:rsidR="00A8096B" w:rsidRPr="00E9174E" w:rsidRDefault="00A8096B" w:rsidP="00E9174E">
      <w:pPr>
        <w:pStyle w:val="Heading1"/>
      </w:pPr>
      <w:bookmarkStart w:id="393" w:name="_Toc61011369"/>
      <w:bookmarkStart w:id="394" w:name="_Toc63764602"/>
      <w:r w:rsidRPr="00E9174E">
        <w:t>Rate Structure</w:t>
      </w:r>
      <w:bookmarkEnd w:id="393"/>
      <w:bookmarkEnd w:id="394"/>
    </w:p>
    <w:p w14:paraId="74302630" w14:textId="77777777" w:rsidR="00A8096B" w:rsidRPr="00E9174E" w:rsidRDefault="00A8096B" w:rsidP="00E9174E">
      <w:pPr>
        <w:keepNext/>
        <w:keepLines/>
        <w:widowControl/>
        <w:spacing w:line="360" w:lineRule="auto"/>
        <w:contextualSpacing/>
        <w:rPr>
          <w:sz w:val="26"/>
          <w:szCs w:val="26"/>
        </w:rPr>
      </w:pPr>
    </w:p>
    <w:p w14:paraId="76360867" w14:textId="1BAF206B" w:rsidR="00A8096B" w:rsidRPr="00E9174E" w:rsidRDefault="00A8096B" w:rsidP="00E9174E">
      <w:pPr>
        <w:widowControl/>
        <w:spacing w:line="360" w:lineRule="auto"/>
        <w:ind w:firstLine="1440"/>
        <w:contextualSpacing/>
        <w:rPr>
          <w:rFonts w:eastAsiaTheme="minorHAnsi"/>
          <w:sz w:val="26"/>
          <w:szCs w:val="26"/>
        </w:rPr>
      </w:pPr>
      <w:r w:rsidRPr="00E9174E">
        <w:rPr>
          <w:rFonts w:eastAsiaTheme="minorHAnsi"/>
          <w:sz w:val="26"/>
          <w:szCs w:val="26"/>
        </w:rPr>
        <w:t xml:space="preserve">This section of the Opinion and Order addresses the ALJ’s contested recommendations pertaining to cost of service, revenue allocation, and rate design.  When a utility files for a rate increase and the proposed increase exceeds $1 million, the utility must include with its filing an allocated class cost-of-service study (ACCOSS or ACCOS Study) in which it assigns to each customer class a rate, based upon operating costs that it incurred in providing that service.  52 Pa. Code § 53.53; </w:t>
      </w:r>
      <w:r w:rsidRPr="00E9174E">
        <w:rPr>
          <w:rFonts w:eastAsiaTheme="minorHAnsi"/>
          <w:i/>
          <w:sz w:val="26"/>
          <w:szCs w:val="26"/>
        </w:rPr>
        <w:t>Lloyd v. Pa. PUC</w:t>
      </w:r>
      <w:r w:rsidRPr="00997099">
        <w:rPr>
          <w:rFonts w:eastAsiaTheme="minorHAnsi"/>
          <w:iCs/>
          <w:sz w:val="26"/>
          <w:szCs w:val="26"/>
        </w:rPr>
        <w:t>,</w:t>
      </w:r>
      <w:r w:rsidRPr="00E9174E">
        <w:rPr>
          <w:rFonts w:eastAsiaTheme="minorHAnsi"/>
          <w:i/>
          <w:sz w:val="26"/>
          <w:szCs w:val="26"/>
        </w:rPr>
        <w:t xml:space="preserve"> </w:t>
      </w:r>
      <w:r w:rsidRPr="00E9174E">
        <w:rPr>
          <w:rFonts w:eastAsiaTheme="minorHAnsi"/>
          <w:sz w:val="26"/>
          <w:szCs w:val="26"/>
        </w:rPr>
        <w:t>904 A.2d 1010, 1015 (Pa. Cmwlth. 2006) (</w:t>
      </w:r>
      <w:r w:rsidRPr="00E9174E">
        <w:rPr>
          <w:rFonts w:eastAsiaTheme="minorHAnsi"/>
          <w:i/>
          <w:sz w:val="26"/>
          <w:szCs w:val="26"/>
        </w:rPr>
        <w:t>Lloyd</w:t>
      </w:r>
      <w:r w:rsidRPr="00E9174E">
        <w:rPr>
          <w:rFonts w:eastAsiaTheme="minorHAnsi"/>
          <w:sz w:val="26"/>
          <w:szCs w:val="26"/>
        </w:rPr>
        <w:t xml:space="preserve">).  Cost allocation studies require a considerable amount of judgment and are described as more of an accounting/engineering art rather than </w:t>
      </w:r>
      <w:r w:rsidR="001D7956" w:rsidRPr="00E9174E">
        <w:rPr>
          <w:rFonts w:eastAsiaTheme="minorHAnsi"/>
          <w:sz w:val="26"/>
          <w:szCs w:val="26"/>
        </w:rPr>
        <w:t xml:space="preserve">a </w:t>
      </w:r>
      <w:r w:rsidRPr="00E9174E">
        <w:rPr>
          <w:rFonts w:eastAsiaTheme="minorHAnsi"/>
          <w:sz w:val="26"/>
          <w:szCs w:val="26"/>
        </w:rPr>
        <w:t xml:space="preserve">science.  </w:t>
      </w:r>
      <w:r w:rsidRPr="00E9174E">
        <w:rPr>
          <w:rFonts w:eastAsiaTheme="minorHAnsi"/>
          <w:i/>
          <w:iCs/>
          <w:sz w:val="26"/>
          <w:szCs w:val="26"/>
        </w:rPr>
        <w:t xml:space="preserve">Application of Metropolitan Edison Co., </w:t>
      </w:r>
      <w:r w:rsidRPr="00E9174E">
        <w:rPr>
          <w:rFonts w:eastAsiaTheme="minorHAnsi"/>
          <w:sz w:val="26"/>
          <w:szCs w:val="26"/>
        </w:rPr>
        <w:t xml:space="preserve">R-00974008 (Order dated June 30, 1998); </w:t>
      </w:r>
      <w:r w:rsidRPr="00E9174E">
        <w:rPr>
          <w:rFonts w:eastAsiaTheme="minorHAnsi"/>
          <w:i/>
          <w:iCs/>
          <w:sz w:val="26"/>
          <w:szCs w:val="26"/>
        </w:rPr>
        <w:t xml:space="preserve">Pa. PUC v. Pennsylvania Power &amp; Light Co., </w:t>
      </w:r>
      <w:r w:rsidRPr="00E9174E">
        <w:rPr>
          <w:rFonts w:eastAsiaTheme="minorHAnsi"/>
          <w:sz w:val="26"/>
          <w:szCs w:val="26"/>
        </w:rPr>
        <w:t xml:space="preserve">55 PUR 4th 185 (Order dated Aug. 19, 1983).  Public utility rates should enable the utility to recover its cost of service and should allocate this cost among its customers.  These rates are </w:t>
      </w:r>
      <w:r w:rsidRPr="00E9174E">
        <w:rPr>
          <w:rFonts w:eastAsiaTheme="minorHAnsi"/>
          <w:sz w:val="26"/>
          <w:szCs w:val="26"/>
        </w:rPr>
        <w:lastRenderedPageBreak/>
        <w:t xml:space="preserve">required by statute to be just and reasonable and non-discriminatory.  66 Pa. C.S. </w:t>
      </w:r>
      <w:r w:rsidR="00A11235" w:rsidRPr="00E9174E">
        <w:rPr>
          <w:rFonts w:eastAsiaTheme="minorHAnsi"/>
          <w:sz w:val="26"/>
          <w:szCs w:val="26"/>
        </w:rPr>
        <w:t>§§ </w:t>
      </w:r>
      <w:r w:rsidRPr="00E9174E">
        <w:rPr>
          <w:rFonts w:eastAsiaTheme="minorHAnsi"/>
          <w:sz w:val="26"/>
          <w:szCs w:val="26"/>
        </w:rPr>
        <w:t xml:space="preserve">1301, 1304.  </w:t>
      </w:r>
    </w:p>
    <w:p w14:paraId="11ED591F" w14:textId="77777777" w:rsidR="00A8096B" w:rsidRPr="00E9174E" w:rsidRDefault="00A8096B" w:rsidP="00E9174E">
      <w:pPr>
        <w:widowControl/>
        <w:spacing w:line="360" w:lineRule="auto"/>
        <w:ind w:firstLine="1440"/>
        <w:contextualSpacing/>
        <w:rPr>
          <w:rFonts w:eastAsiaTheme="minorHAnsi"/>
          <w:sz w:val="26"/>
          <w:szCs w:val="26"/>
        </w:rPr>
      </w:pPr>
    </w:p>
    <w:p w14:paraId="5980BDEC" w14:textId="7B2EB013" w:rsidR="00A8096B" w:rsidRPr="00E9174E" w:rsidRDefault="00A8096B" w:rsidP="00E9174E">
      <w:pPr>
        <w:widowControl/>
        <w:spacing w:line="360" w:lineRule="auto"/>
        <w:ind w:firstLine="1440"/>
        <w:contextualSpacing/>
        <w:rPr>
          <w:rFonts w:eastAsiaTheme="minorHAnsi"/>
          <w:sz w:val="26"/>
          <w:szCs w:val="26"/>
        </w:rPr>
      </w:pPr>
      <w:r w:rsidRPr="00E9174E">
        <w:rPr>
          <w:rFonts w:eastAsiaTheme="minorHAnsi"/>
          <w:sz w:val="26"/>
          <w:szCs w:val="26"/>
        </w:rPr>
        <w:t xml:space="preserve">In this proceeding, there are seven different rate classes </w:t>
      </w:r>
      <w:r w:rsidR="00A11235" w:rsidRPr="00E9174E">
        <w:rPr>
          <w:rFonts w:eastAsiaTheme="minorHAnsi"/>
          <w:sz w:val="26"/>
          <w:szCs w:val="26"/>
        </w:rPr>
        <w:t xml:space="preserve">to which </w:t>
      </w:r>
      <w:r w:rsidRPr="00E9174E">
        <w:rPr>
          <w:rFonts w:eastAsiaTheme="minorHAnsi"/>
          <w:sz w:val="26"/>
          <w:szCs w:val="26"/>
        </w:rPr>
        <w:t xml:space="preserve">Columbia </w:t>
      </w:r>
      <w:r w:rsidR="00A11235" w:rsidRPr="00E9174E">
        <w:rPr>
          <w:rFonts w:eastAsiaTheme="minorHAnsi"/>
          <w:sz w:val="26"/>
          <w:szCs w:val="26"/>
        </w:rPr>
        <w:t>would assign</w:t>
      </w:r>
      <w:r w:rsidRPr="00E9174E">
        <w:rPr>
          <w:rFonts w:eastAsiaTheme="minorHAnsi"/>
          <w:sz w:val="26"/>
          <w:szCs w:val="26"/>
        </w:rPr>
        <w:t xml:space="preserve"> costs:</w:t>
      </w:r>
    </w:p>
    <w:p w14:paraId="6B39A164" w14:textId="77777777" w:rsidR="00B24425" w:rsidRPr="00E9174E" w:rsidRDefault="00B24425" w:rsidP="00997099">
      <w:pPr>
        <w:widowControl/>
        <w:ind w:firstLine="1440"/>
        <w:contextualSpacing/>
        <w:rPr>
          <w:rFonts w:eastAsiaTheme="minorHAnsi"/>
          <w:sz w:val="26"/>
          <w:szCs w:val="26"/>
        </w:rPr>
      </w:pPr>
    </w:p>
    <w:p w14:paraId="3B02E166" w14:textId="62CBFCFF" w:rsidR="00A8096B" w:rsidRPr="00E9174E" w:rsidRDefault="00A8096B" w:rsidP="00D155BD">
      <w:pPr>
        <w:widowControl/>
        <w:numPr>
          <w:ilvl w:val="0"/>
          <w:numId w:val="9"/>
        </w:numPr>
        <w:ind w:left="2160" w:right="1440" w:hanging="720"/>
        <w:contextualSpacing/>
        <w:rPr>
          <w:rFonts w:eastAsiaTheme="minorHAnsi"/>
          <w:sz w:val="26"/>
          <w:szCs w:val="26"/>
        </w:rPr>
      </w:pPr>
      <w:r w:rsidRPr="00E9174E">
        <w:rPr>
          <w:rFonts w:eastAsiaTheme="minorHAnsi"/>
          <w:sz w:val="26"/>
          <w:szCs w:val="26"/>
        </w:rPr>
        <w:t>Residential Sales Service and Residential Distribution Service (RSS/RDS</w:t>
      </w:r>
      <w:proofErr w:type="gramStart"/>
      <w:r w:rsidRPr="00E9174E">
        <w:rPr>
          <w:rFonts w:eastAsiaTheme="minorHAnsi"/>
          <w:sz w:val="26"/>
          <w:szCs w:val="26"/>
        </w:rPr>
        <w:t>);</w:t>
      </w:r>
      <w:proofErr w:type="gramEnd"/>
    </w:p>
    <w:p w14:paraId="46B59B20" w14:textId="77777777" w:rsidR="00256C54" w:rsidRPr="00E9174E" w:rsidRDefault="00256C54" w:rsidP="00E9174E">
      <w:pPr>
        <w:widowControl/>
        <w:ind w:left="2160" w:right="1440"/>
        <w:contextualSpacing/>
        <w:rPr>
          <w:rFonts w:eastAsiaTheme="minorHAnsi"/>
          <w:sz w:val="26"/>
          <w:szCs w:val="26"/>
        </w:rPr>
      </w:pPr>
    </w:p>
    <w:p w14:paraId="0F28F656" w14:textId="555FAA38" w:rsidR="00256C54" w:rsidRPr="00E9174E" w:rsidRDefault="00A8096B" w:rsidP="00D155BD">
      <w:pPr>
        <w:widowControl/>
        <w:numPr>
          <w:ilvl w:val="0"/>
          <w:numId w:val="9"/>
        </w:numPr>
        <w:ind w:left="2160" w:right="1440" w:hanging="720"/>
        <w:contextualSpacing/>
        <w:rPr>
          <w:rFonts w:eastAsiaTheme="minorHAnsi"/>
          <w:sz w:val="26"/>
          <w:szCs w:val="26"/>
        </w:rPr>
      </w:pPr>
      <w:r w:rsidRPr="00E9174E">
        <w:rPr>
          <w:rFonts w:eastAsiaTheme="minorHAnsi"/>
          <w:sz w:val="26"/>
          <w:szCs w:val="26"/>
        </w:rPr>
        <w:t>Low-volume Small General Sales Service, Small Commercial Distribution Service, Small General Distribution Service (SGSS1/SCD1/SGDS1</w:t>
      </w:r>
      <w:proofErr w:type="gramStart"/>
      <w:r w:rsidRPr="00E9174E">
        <w:rPr>
          <w:rFonts w:eastAsiaTheme="minorHAnsi"/>
          <w:sz w:val="26"/>
          <w:szCs w:val="26"/>
        </w:rPr>
        <w:t>);</w:t>
      </w:r>
      <w:proofErr w:type="gramEnd"/>
    </w:p>
    <w:p w14:paraId="4F0508A1" w14:textId="77777777" w:rsidR="00256C54" w:rsidRPr="00E9174E" w:rsidRDefault="00256C54" w:rsidP="00E9174E">
      <w:pPr>
        <w:widowControl/>
        <w:ind w:left="2160" w:right="1440"/>
        <w:contextualSpacing/>
        <w:rPr>
          <w:rFonts w:eastAsiaTheme="minorHAnsi"/>
          <w:sz w:val="26"/>
          <w:szCs w:val="26"/>
        </w:rPr>
      </w:pPr>
    </w:p>
    <w:p w14:paraId="7496F416" w14:textId="317EFFA9" w:rsidR="00A8096B" w:rsidRPr="00E9174E" w:rsidRDefault="00A8096B" w:rsidP="00D155BD">
      <w:pPr>
        <w:widowControl/>
        <w:numPr>
          <w:ilvl w:val="0"/>
          <w:numId w:val="9"/>
        </w:numPr>
        <w:ind w:left="2160" w:right="1440" w:hanging="720"/>
        <w:contextualSpacing/>
        <w:rPr>
          <w:rFonts w:eastAsiaTheme="minorHAnsi"/>
          <w:sz w:val="26"/>
          <w:szCs w:val="26"/>
        </w:rPr>
      </w:pPr>
      <w:r w:rsidRPr="00E9174E">
        <w:rPr>
          <w:rFonts w:eastAsiaTheme="minorHAnsi"/>
          <w:sz w:val="26"/>
          <w:szCs w:val="26"/>
        </w:rPr>
        <w:t>High-volume Small General Sales Service, Small Commercial Distribution Service, and Small General Distribution Service (SGSS2/SCD2/SGDS2</w:t>
      </w:r>
      <w:proofErr w:type="gramStart"/>
      <w:r w:rsidRPr="00E9174E">
        <w:rPr>
          <w:rFonts w:eastAsiaTheme="minorHAnsi"/>
          <w:sz w:val="26"/>
          <w:szCs w:val="26"/>
        </w:rPr>
        <w:t>);</w:t>
      </w:r>
      <w:proofErr w:type="gramEnd"/>
    </w:p>
    <w:p w14:paraId="7022B5A2" w14:textId="77777777" w:rsidR="00256C54" w:rsidRPr="00E9174E" w:rsidRDefault="00256C54" w:rsidP="00E9174E">
      <w:pPr>
        <w:widowControl/>
        <w:ind w:left="2160" w:right="1440"/>
        <w:contextualSpacing/>
        <w:rPr>
          <w:rFonts w:eastAsiaTheme="minorHAnsi"/>
          <w:sz w:val="26"/>
          <w:szCs w:val="26"/>
        </w:rPr>
      </w:pPr>
    </w:p>
    <w:p w14:paraId="5E1EE8B3" w14:textId="7E9EED60" w:rsidR="00A8096B" w:rsidRPr="00E9174E" w:rsidRDefault="00A8096B" w:rsidP="00D155BD">
      <w:pPr>
        <w:widowControl/>
        <w:numPr>
          <w:ilvl w:val="0"/>
          <w:numId w:val="9"/>
        </w:numPr>
        <w:ind w:left="2160" w:right="1440" w:hanging="720"/>
        <w:contextualSpacing/>
        <w:rPr>
          <w:rFonts w:eastAsiaTheme="minorHAnsi"/>
          <w:sz w:val="26"/>
          <w:szCs w:val="26"/>
        </w:rPr>
      </w:pPr>
      <w:r w:rsidRPr="00E9174E">
        <w:rPr>
          <w:rFonts w:eastAsiaTheme="minorHAnsi"/>
          <w:sz w:val="26"/>
          <w:szCs w:val="26"/>
        </w:rPr>
        <w:t>Small Distribution Service and low-volume Large General Sales Service (SDS/LGSS</w:t>
      </w:r>
      <w:proofErr w:type="gramStart"/>
      <w:r w:rsidRPr="00E9174E">
        <w:rPr>
          <w:rFonts w:eastAsiaTheme="minorHAnsi"/>
          <w:sz w:val="26"/>
          <w:szCs w:val="26"/>
        </w:rPr>
        <w:t>);</w:t>
      </w:r>
      <w:proofErr w:type="gramEnd"/>
    </w:p>
    <w:p w14:paraId="182DD4BD" w14:textId="77777777" w:rsidR="00256C54" w:rsidRPr="00E9174E" w:rsidRDefault="00256C54" w:rsidP="00E9174E">
      <w:pPr>
        <w:pStyle w:val="ListParagraph"/>
        <w:rPr>
          <w:rFonts w:eastAsiaTheme="minorHAnsi"/>
          <w:sz w:val="26"/>
          <w:szCs w:val="26"/>
        </w:rPr>
      </w:pPr>
    </w:p>
    <w:p w14:paraId="62D20CD7" w14:textId="31471574" w:rsidR="00A8096B" w:rsidRPr="00E9174E" w:rsidRDefault="00A8096B" w:rsidP="00D155BD">
      <w:pPr>
        <w:widowControl/>
        <w:numPr>
          <w:ilvl w:val="0"/>
          <w:numId w:val="9"/>
        </w:numPr>
        <w:ind w:left="2160" w:right="1440" w:hanging="720"/>
        <w:contextualSpacing/>
        <w:rPr>
          <w:rFonts w:eastAsiaTheme="minorHAnsi"/>
          <w:sz w:val="26"/>
          <w:szCs w:val="26"/>
        </w:rPr>
      </w:pPr>
      <w:r w:rsidRPr="00E9174E">
        <w:rPr>
          <w:rFonts w:eastAsiaTheme="minorHAnsi"/>
          <w:sz w:val="26"/>
          <w:szCs w:val="26"/>
        </w:rPr>
        <w:t>Large Distribution Service and high-volume Large General Sales Service (LDS/LGSS</w:t>
      </w:r>
      <w:proofErr w:type="gramStart"/>
      <w:r w:rsidRPr="00E9174E">
        <w:rPr>
          <w:rFonts w:eastAsiaTheme="minorHAnsi"/>
          <w:sz w:val="26"/>
          <w:szCs w:val="26"/>
        </w:rPr>
        <w:t>)</w:t>
      </w:r>
      <w:r w:rsidR="00852FF6" w:rsidRPr="00E9174E">
        <w:rPr>
          <w:rFonts w:eastAsiaTheme="minorHAnsi"/>
          <w:sz w:val="26"/>
          <w:szCs w:val="26"/>
        </w:rPr>
        <w:t>;</w:t>
      </w:r>
      <w:proofErr w:type="gramEnd"/>
    </w:p>
    <w:p w14:paraId="0F0EBEDD" w14:textId="77777777" w:rsidR="00256C54" w:rsidRPr="00E9174E" w:rsidRDefault="00256C54" w:rsidP="00E9174E">
      <w:pPr>
        <w:widowControl/>
        <w:ind w:left="2160" w:right="1440"/>
        <w:contextualSpacing/>
        <w:rPr>
          <w:rFonts w:eastAsiaTheme="minorHAnsi"/>
          <w:sz w:val="26"/>
          <w:szCs w:val="26"/>
        </w:rPr>
      </w:pPr>
    </w:p>
    <w:p w14:paraId="7726B2FD" w14:textId="566B784E" w:rsidR="00256C54" w:rsidRPr="00E9174E" w:rsidRDefault="00A8096B" w:rsidP="00D155BD">
      <w:pPr>
        <w:widowControl/>
        <w:numPr>
          <w:ilvl w:val="0"/>
          <w:numId w:val="9"/>
        </w:numPr>
        <w:ind w:left="2160" w:right="1440" w:hanging="720"/>
        <w:contextualSpacing/>
        <w:rPr>
          <w:rFonts w:eastAsiaTheme="minorHAnsi"/>
          <w:sz w:val="26"/>
          <w:szCs w:val="26"/>
        </w:rPr>
      </w:pPr>
      <w:r w:rsidRPr="00E9174E">
        <w:rPr>
          <w:rFonts w:eastAsiaTheme="minorHAnsi"/>
          <w:sz w:val="26"/>
          <w:szCs w:val="26"/>
        </w:rPr>
        <w:t>Main Line Sales Service and Main Line Distribution Service (MLS/MLDS);</w:t>
      </w:r>
      <w:r w:rsidRPr="00E9174E">
        <w:rPr>
          <w:rFonts w:eastAsiaTheme="minorHAnsi"/>
          <w:sz w:val="26"/>
          <w:szCs w:val="26"/>
          <w:vertAlign w:val="superscript"/>
        </w:rPr>
        <w:footnoteReference w:id="48"/>
      </w:r>
      <w:r w:rsidRPr="00E9174E">
        <w:rPr>
          <w:rFonts w:eastAsiaTheme="minorHAnsi"/>
          <w:sz w:val="26"/>
          <w:szCs w:val="26"/>
        </w:rPr>
        <w:t xml:space="preserve"> and </w:t>
      </w:r>
    </w:p>
    <w:p w14:paraId="3D5814E7" w14:textId="77777777" w:rsidR="00256C54" w:rsidRPr="00E9174E" w:rsidRDefault="00256C54" w:rsidP="00E9174E">
      <w:pPr>
        <w:widowControl/>
        <w:ind w:left="2160" w:right="1440"/>
        <w:contextualSpacing/>
        <w:rPr>
          <w:rFonts w:eastAsiaTheme="minorHAnsi"/>
          <w:sz w:val="26"/>
          <w:szCs w:val="26"/>
        </w:rPr>
      </w:pPr>
    </w:p>
    <w:p w14:paraId="4E1C1231" w14:textId="77777777" w:rsidR="00A8096B" w:rsidRPr="00E9174E" w:rsidRDefault="00A8096B" w:rsidP="00D155BD">
      <w:pPr>
        <w:widowControl/>
        <w:numPr>
          <w:ilvl w:val="0"/>
          <w:numId w:val="9"/>
        </w:numPr>
        <w:ind w:left="2160" w:right="1440" w:hanging="720"/>
        <w:contextualSpacing/>
        <w:rPr>
          <w:rFonts w:eastAsiaTheme="minorHAnsi"/>
          <w:sz w:val="26"/>
          <w:szCs w:val="26"/>
        </w:rPr>
      </w:pPr>
      <w:r w:rsidRPr="00E9174E">
        <w:rPr>
          <w:rFonts w:eastAsiaTheme="minorHAnsi"/>
          <w:sz w:val="26"/>
          <w:szCs w:val="26"/>
        </w:rPr>
        <w:t>Flexible Rate Provisions and Negotiated Contract Service (Flex).</w:t>
      </w:r>
    </w:p>
    <w:p w14:paraId="25F2B4D3" w14:textId="77777777" w:rsidR="00A8096B" w:rsidRPr="00E9174E" w:rsidRDefault="00A8096B" w:rsidP="00997099">
      <w:pPr>
        <w:widowControl/>
        <w:spacing w:line="480" w:lineRule="auto"/>
        <w:contextualSpacing/>
        <w:rPr>
          <w:sz w:val="26"/>
          <w:szCs w:val="26"/>
        </w:rPr>
      </w:pPr>
    </w:p>
    <w:p w14:paraId="6B0FC004" w14:textId="29402B30" w:rsidR="00A8096B" w:rsidRPr="00E9174E" w:rsidRDefault="00A8096B" w:rsidP="00F94A24">
      <w:pPr>
        <w:pStyle w:val="Heading2"/>
        <w:numPr>
          <w:ilvl w:val="0"/>
          <w:numId w:val="88"/>
        </w:numPr>
        <w:ind w:hanging="720"/>
      </w:pPr>
      <w:bookmarkStart w:id="395" w:name="_Toc61011370"/>
      <w:bookmarkStart w:id="396" w:name="_Toc63764603"/>
      <w:bookmarkStart w:id="397" w:name="_Hlk35848145"/>
      <w:r w:rsidRPr="00997099">
        <w:rPr>
          <w:rFonts w:eastAsiaTheme="majorEastAsia"/>
        </w:rPr>
        <w:t>Allocated</w:t>
      </w:r>
      <w:r w:rsidRPr="00E9174E">
        <w:t xml:space="preserve"> Class Cost of Service Study</w:t>
      </w:r>
      <w:bookmarkEnd w:id="395"/>
      <w:r w:rsidR="00F31CD3" w:rsidRPr="00E9174E">
        <w:t xml:space="preserve"> (</w:t>
      </w:r>
      <w:bookmarkStart w:id="398" w:name="_Hlk63282027"/>
      <w:r w:rsidR="00F31CD3" w:rsidRPr="00E9174E">
        <w:t>ACCOSS</w:t>
      </w:r>
      <w:bookmarkEnd w:id="398"/>
      <w:r w:rsidR="00F31CD3" w:rsidRPr="00E9174E">
        <w:t>)</w:t>
      </w:r>
      <w:bookmarkEnd w:id="396"/>
    </w:p>
    <w:bookmarkEnd w:id="397"/>
    <w:p w14:paraId="56465097" w14:textId="77777777" w:rsidR="00A8096B" w:rsidRPr="00E9174E" w:rsidRDefault="00A8096B" w:rsidP="00E9174E">
      <w:pPr>
        <w:keepNext/>
        <w:keepLines/>
        <w:widowControl/>
        <w:spacing w:line="360" w:lineRule="auto"/>
        <w:contextualSpacing/>
        <w:rPr>
          <w:sz w:val="26"/>
          <w:szCs w:val="26"/>
        </w:rPr>
      </w:pPr>
    </w:p>
    <w:p w14:paraId="628E8380" w14:textId="77777777" w:rsidR="00A8096B" w:rsidRPr="00E9174E" w:rsidRDefault="00A8096B" w:rsidP="00E9174E">
      <w:pPr>
        <w:widowControl/>
        <w:spacing w:line="360" w:lineRule="auto"/>
        <w:ind w:firstLine="1440"/>
        <w:contextualSpacing/>
        <w:rPr>
          <w:sz w:val="26"/>
          <w:szCs w:val="26"/>
        </w:rPr>
      </w:pPr>
      <w:r w:rsidRPr="00E9174E">
        <w:rPr>
          <w:sz w:val="26"/>
          <w:szCs w:val="26"/>
        </w:rPr>
        <w:t xml:space="preserve">An ACCOSS is a benchmark for evaluating customer class cost responsibility with the fundamental purpose of aiding in the accurate and reasonable design of rates by identifying all the capital and operating costs incurred by the utility in </w:t>
      </w:r>
      <w:r w:rsidRPr="00E9174E">
        <w:rPr>
          <w:sz w:val="26"/>
          <w:szCs w:val="26"/>
        </w:rPr>
        <w:lastRenderedPageBreak/>
        <w:t>serving its customers, and then directly assigning or allocating these costs to each individual rate class based on established principles of cost-causation.</w:t>
      </w:r>
    </w:p>
    <w:p w14:paraId="1057ACC1" w14:textId="77777777" w:rsidR="00A8096B" w:rsidRPr="00E9174E" w:rsidRDefault="00A8096B" w:rsidP="00E9174E">
      <w:pPr>
        <w:widowControl/>
        <w:spacing w:line="360" w:lineRule="auto"/>
        <w:contextualSpacing/>
        <w:rPr>
          <w:sz w:val="26"/>
          <w:szCs w:val="26"/>
        </w:rPr>
      </w:pPr>
    </w:p>
    <w:p w14:paraId="0E8B2722" w14:textId="77777777" w:rsidR="00A8096B" w:rsidRPr="00E9174E" w:rsidRDefault="00A8096B" w:rsidP="00E9174E">
      <w:pPr>
        <w:widowControl/>
        <w:spacing w:line="360" w:lineRule="auto"/>
        <w:ind w:firstLine="1440"/>
        <w:contextualSpacing/>
        <w:rPr>
          <w:sz w:val="26"/>
          <w:szCs w:val="26"/>
        </w:rPr>
      </w:pPr>
      <w:r w:rsidRPr="00E9174E">
        <w:rPr>
          <w:sz w:val="26"/>
          <w:szCs w:val="26"/>
        </w:rPr>
        <w:t xml:space="preserve">Columbia prepared and presented three ACCOSSs in its filing sponsored by Columbia witness Mr. Chad </w:t>
      </w:r>
      <w:proofErr w:type="spellStart"/>
      <w:r w:rsidRPr="00E9174E">
        <w:rPr>
          <w:sz w:val="26"/>
          <w:szCs w:val="26"/>
        </w:rPr>
        <w:t>Notestone</w:t>
      </w:r>
      <w:proofErr w:type="spellEnd"/>
      <w:r w:rsidRPr="00E9174E">
        <w:rPr>
          <w:sz w:val="26"/>
          <w:szCs w:val="26"/>
        </w:rPr>
        <w:t>, as he described on page 3 of Columbia Statement No. 11.  A brief description of each of the three studies is discussed below:</w:t>
      </w:r>
    </w:p>
    <w:p w14:paraId="0B68ED9D" w14:textId="77777777" w:rsidR="00A8096B" w:rsidRPr="00E9174E" w:rsidRDefault="00A8096B" w:rsidP="00997099">
      <w:pPr>
        <w:widowControl/>
        <w:ind w:firstLine="1440"/>
        <w:contextualSpacing/>
        <w:rPr>
          <w:sz w:val="26"/>
          <w:szCs w:val="26"/>
        </w:rPr>
      </w:pPr>
    </w:p>
    <w:p w14:paraId="53706498" w14:textId="4925CCB3" w:rsidR="00A8096B" w:rsidRPr="00E9174E" w:rsidRDefault="00A8096B" w:rsidP="00E9174E">
      <w:pPr>
        <w:widowControl/>
        <w:autoSpaceDE w:val="0"/>
        <w:autoSpaceDN w:val="0"/>
        <w:adjustRightInd w:val="0"/>
        <w:ind w:left="2160" w:hanging="720"/>
        <w:contextualSpacing/>
        <w:rPr>
          <w:rFonts w:eastAsia="Calibri"/>
          <w:b/>
          <w:bCs/>
          <w:sz w:val="26"/>
          <w:szCs w:val="26"/>
        </w:rPr>
      </w:pPr>
      <w:r w:rsidRPr="00E9174E">
        <w:rPr>
          <w:rFonts w:eastAsia="Calibri"/>
          <w:sz w:val="26"/>
          <w:szCs w:val="26"/>
        </w:rPr>
        <w:t>1.</w:t>
      </w:r>
      <w:r w:rsidRPr="00E9174E">
        <w:rPr>
          <w:rFonts w:eastAsia="Calibri"/>
          <w:sz w:val="26"/>
          <w:szCs w:val="26"/>
        </w:rPr>
        <w:tab/>
      </w:r>
      <w:r w:rsidRPr="00E9174E">
        <w:rPr>
          <w:rFonts w:eastAsia="Calibri"/>
          <w:sz w:val="26"/>
          <w:szCs w:val="26"/>
          <w:u w:val="single"/>
        </w:rPr>
        <w:t>Customer-Demand Study</w:t>
      </w:r>
      <w:r w:rsidR="001A49A4" w:rsidRPr="00E9174E">
        <w:rPr>
          <w:rFonts w:eastAsia="Calibri"/>
          <w:sz w:val="26"/>
          <w:szCs w:val="26"/>
          <w:u w:val="single"/>
        </w:rPr>
        <w:t xml:space="preserve"> (Customer-Demand ACCOSS)</w:t>
      </w:r>
      <w:r w:rsidRPr="00E9174E">
        <w:rPr>
          <w:rFonts w:eastAsia="Calibri"/>
          <w:sz w:val="26"/>
          <w:szCs w:val="26"/>
        </w:rPr>
        <w:t>:  The Customer-Demand Study weights the allocation of mains using a factor based on the number of customers (“Customer”) and the Company’s peak day design (“Demand”).  This method recognizes the customer number component of mains.</w:t>
      </w:r>
      <w:r w:rsidRPr="00E9174E">
        <w:rPr>
          <w:rFonts w:eastAsia="Calibri"/>
          <w:sz w:val="26"/>
          <w:szCs w:val="26"/>
          <w:vertAlign w:val="superscript"/>
        </w:rPr>
        <w:t>,</w:t>
      </w:r>
      <w:r w:rsidRPr="00E9174E">
        <w:rPr>
          <w:rFonts w:eastAsia="Calibri"/>
          <w:sz w:val="26"/>
          <w:szCs w:val="26"/>
          <w:vertAlign w:val="superscript"/>
        </w:rPr>
        <w:footnoteReference w:id="49"/>
      </w:r>
      <w:r w:rsidRPr="00E9174E">
        <w:rPr>
          <w:rFonts w:eastAsia="Calibri"/>
          <w:sz w:val="26"/>
          <w:szCs w:val="26"/>
        </w:rPr>
        <w:t xml:space="preserve"> </w:t>
      </w:r>
    </w:p>
    <w:p w14:paraId="19CFFCC7" w14:textId="77777777" w:rsidR="00A8096B" w:rsidRPr="00E9174E" w:rsidRDefault="00A8096B" w:rsidP="00E9174E">
      <w:pPr>
        <w:widowControl/>
        <w:autoSpaceDE w:val="0"/>
        <w:autoSpaceDN w:val="0"/>
        <w:adjustRightInd w:val="0"/>
        <w:spacing w:line="360" w:lineRule="auto"/>
        <w:ind w:left="2160"/>
        <w:contextualSpacing/>
        <w:rPr>
          <w:rFonts w:eastAsia="Calibri"/>
          <w:sz w:val="26"/>
          <w:szCs w:val="26"/>
        </w:rPr>
      </w:pPr>
    </w:p>
    <w:p w14:paraId="5B2124CD" w14:textId="77777777" w:rsidR="00A8096B" w:rsidRPr="00E9174E" w:rsidRDefault="00A8096B" w:rsidP="00E9174E">
      <w:pPr>
        <w:widowControl/>
        <w:autoSpaceDE w:val="0"/>
        <w:autoSpaceDN w:val="0"/>
        <w:adjustRightInd w:val="0"/>
        <w:ind w:left="2160" w:hanging="720"/>
        <w:contextualSpacing/>
        <w:rPr>
          <w:rFonts w:eastAsia="Calibri"/>
          <w:sz w:val="26"/>
          <w:szCs w:val="26"/>
        </w:rPr>
      </w:pPr>
      <w:r w:rsidRPr="00E9174E">
        <w:rPr>
          <w:rFonts w:eastAsia="Calibri"/>
          <w:sz w:val="26"/>
          <w:szCs w:val="26"/>
        </w:rPr>
        <w:t>2.</w:t>
      </w:r>
      <w:r w:rsidRPr="00E9174E">
        <w:rPr>
          <w:rFonts w:eastAsia="Calibri"/>
          <w:sz w:val="26"/>
          <w:szCs w:val="26"/>
        </w:rPr>
        <w:tab/>
      </w:r>
      <w:r w:rsidRPr="00E9174E">
        <w:rPr>
          <w:rFonts w:eastAsia="Calibri"/>
          <w:sz w:val="26"/>
          <w:szCs w:val="26"/>
          <w:u w:val="single"/>
        </w:rPr>
        <w:t>Peak &amp; Average Study (P&amp;A ACCOSS)</w:t>
      </w:r>
      <w:r w:rsidRPr="00E9174E">
        <w:rPr>
          <w:rFonts w:eastAsia="Calibri"/>
          <w:sz w:val="26"/>
          <w:szCs w:val="26"/>
        </w:rPr>
        <w:t>:  The Peak &amp; Average Study assigns the allocation of mains using a weighting factor of 50% to the Company’s peak design day (“Peak”) and 50% to the Company’s throughput (“Average”).</w:t>
      </w:r>
      <w:r w:rsidRPr="00E9174E">
        <w:rPr>
          <w:rFonts w:eastAsia="Calibri"/>
          <w:sz w:val="26"/>
          <w:szCs w:val="26"/>
          <w:vertAlign w:val="superscript"/>
        </w:rPr>
        <w:footnoteReference w:id="50"/>
      </w:r>
    </w:p>
    <w:p w14:paraId="218DA364" w14:textId="77777777" w:rsidR="00A8096B" w:rsidRPr="00E9174E" w:rsidRDefault="00A8096B" w:rsidP="00E9174E">
      <w:pPr>
        <w:widowControl/>
        <w:autoSpaceDE w:val="0"/>
        <w:autoSpaceDN w:val="0"/>
        <w:adjustRightInd w:val="0"/>
        <w:ind w:left="2160"/>
        <w:contextualSpacing/>
        <w:rPr>
          <w:rFonts w:eastAsia="Calibri"/>
          <w:sz w:val="26"/>
          <w:szCs w:val="26"/>
        </w:rPr>
      </w:pPr>
    </w:p>
    <w:p w14:paraId="51C201C7" w14:textId="77777777" w:rsidR="00A8096B" w:rsidRPr="00E9174E" w:rsidRDefault="00A8096B" w:rsidP="00E9174E">
      <w:pPr>
        <w:widowControl/>
        <w:autoSpaceDE w:val="0"/>
        <w:autoSpaceDN w:val="0"/>
        <w:adjustRightInd w:val="0"/>
        <w:ind w:left="2160" w:hanging="720"/>
        <w:contextualSpacing/>
        <w:rPr>
          <w:rFonts w:eastAsia="Calibri"/>
          <w:sz w:val="26"/>
          <w:szCs w:val="26"/>
        </w:rPr>
      </w:pPr>
      <w:r w:rsidRPr="00E9174E">
        <w:rPr>
          <w:rFonts w:eastAsia="Calibri"/>
          <w:sz w:val="26"/>
          <w:szCs w:val="26"/>
        </w:rPr>
        <w:t>3.</w:t>
      </w:r>
      <w:r w:rsidRPr="00E9174E">
        <w:rPr>
          <w:rFonts w:eastAsia="Calibri"/>
          <w:sz w:val="26"/>
          <w:szCs w:val="26"/>
        </w:rPr>
        <w:tab/>
      </w:r>
      <w:r w:rsidRPr="00E9174E">
        <w:rPr>
          <w:rFonts w:eastAsia="Calibri"/>
          <w:sz w:val="26"/>
          <w:szCs w:val="26"/>
          <w:u w:val="single"/>
        </w:rPr>
        <w:t>Average Study (Average ACCOSS):</w:t>
      </w:r>
      <w:r w:rsidRPr="00E9174E">
        <w:rPr>
          <w:rFonts w:eastAsia="Calibri"/>
          <w:sz w:val="26"/>
          <w:szCs w:val="26"/>
        </w:rPr>
        <w:t xml:space="preserve">  The Average Study is an average of the Customer-Demand Study and the Peak &amp; Average Study and gives equal weight (50%/50%) to both methods.</w:t>
      </w:r>
      <w:r w:rsidRPr="00E9174E">
        <w:rPr>
          <w:rFonts w:eastAsia="Calibri"/>
          <w:sz w:val="26"/>
          <w:szCs w:val="26"/>
          <w:vertAlign w:val="superscript"/>
        </w:rPr>
        <w:footnoteReference w:id="51"/>
      </w:r>
    </w:p>
    <w:p w14:paraId="1ACB0FF4" w14:textId="77777777" w:rsidR="00A8096B" w:rsidRPr="00E9174E" w:rsidRDefault="00A8096B" w:rsidP="00997099">
      <w:pPr>
        <w:widowControl/>
        <w:spacing w:line="480" w:lineRule="auto"/>
        <w:ind w:firstLine="1440"/>
        <w:contextualSpacing/>
        <w:rPr>
          <w:sz w:val="26"/>
          <w:szCs w:val="26"/>
        </w:rPr>
      </w:pPr>
    </w:p>
    <w:p w14:paraId="7B2FC340" w14:textId="673D6E37" w:rsidR="00A8096B" w:rsidRPr="00E9174E" w:rsidRDefault="00A8096B" w:rsidP="00E9174E">
      <w:pPr>
        <w:widowControl/>
        <w:spacing w:line="360" w:lineRule="auto"/>
        <w:ind w:firstLine="1440"/>
        <w:contextualSpacing/>
        <w:rPr>
          <w:rFonts w:eastAsiaTheme="minorHAnsi"/>
          <w:sz w:val="26"/>
          <w:szCs w:val="26"/>
        </w:rPr>
      </w:pPr>
      <w:r w:rsidRPr="00E9174E">
        <w:rPr>
          <w:sz w:val="26"/>
          <w:szCs w:val="26"/>
        </w:rPr>
        <w:t xml:space="preserve">Columbia Exhibits CEN-1 through CEN-3, attached to Columbia Statement No. 11, show the development of the allocation factors used in performing the functionalization, classification, and class allocation procedures within each of its ACCOSSs.  Utilizing its preferred study, its Average ACCOSS, Columbia quantified the revenue deficiency based on operating costs and revenues, as adjusted for the FPFTY.  CG </w:t>
      </w:r>
      <w:proofErr w:type="spellStart"/>
      <w:r w:rsidRPr="00E9174E">
        <w:rPr>
          <w:sz w:val="26"/>
          <w:szCs w:val="26"/>
        </w:rPr>
        <w:t>Exh</w:t>
      </w:r>
      <w:proofErr w:type="spellEnd"/>
      <w:r w:rsidRPr="00E9174E">
        <w:rPr>
          <w:sz w:val="26"/>
          <w:szCs w:val="26"/>
        </w:rPr>
        <w:t xml:space="preserve">. 111, Sch. 3 at 1-2, 6.  Despite having updated its overall rate of return, budget billing modification costs, labor expense, and the 2020 Merit Increase Program claims in </w:t>
      </w:r>
      <w:r w:rsidRPr="00E9174E">
        <w:rPr>
          <w:sz w:val="26"/>
          <w:szCs w:val="26"/>
        </w:rPr>
        <w:lastRenderedPageBreak/>
        <w:t xml:space="preserve">rebuttal testimony, as previously indicated, the Company’s ACCOSSs reflect its as-filed overall rate of return of 7.98%, as well as its as-filed expense claims.  The Company’s revised revenue increase request of </w:t>
      </w:r>
      <w:r w:rsidRPr="00E9174E">
        <w:rPr>
          <w:rFonts w:eastAsiaTheme="minorHAnsi"/>
          <w:sz w:val="26"/>
          <w:szCs w:val="26"/>
        </w:rPr>
        <w:t>$100,366,797 reflected its revisions, as well as the resulting updated amounts for uncollectible expense on additional revenue requirement, late payment fees, taxes other than income (related to Columbia’s labor adjustments) and income taxes.  CG St. 4-R at 6.  However, Columbia has not revised its ACCOSSs (CG</w:t>
      </w:r>
      <w:r w:rsidR="00997099">
        <w:rPr>
          <w:rFonts w:eastAsiaTheme="minorHAnsi"/>
          <w:sz w:val="26"/>
          <w:szCs w:val="26"/>
        </w:rPr>
        <w:t> </w:t>
      </w:r>
      <w:proofErr w:type="spellStart"/>
      <w:r w:rsidRPr="00E9174E">
        <w:rPr>
          <w:rFonts w:eastAsiaTheme="minorHAnsi"/>
          <w:sz w:val="26"/>
          <w:szCs w:val="26"/>
        </w:rPr>
        <w:t>Exh</w:t>
      </w:r>
      <w:proofErr w:type="spellEnd"/>
      <w:r w:rsidRPr="00E9174E">
        <w:rPr>
          <w:rFonts w:eastAsiaTheme="minorHAnsi"/>
          <w:sz w:val="26"/>
          <w:szCs w:val="26"/>
        </w:rPr>
        <w:t xml:space="preserve">. 111, </w:t>
      </w:r>
      <w:proofErr w:type="spellStart"/>
      <w:r w:rsidRPr="00E9174E">
        <w:rPr>
          <w:rFonts w:eastAsiaTheme="minorHAnsi"/>
          <w:sz w:val="26"/>
          <w:szCs w:val="26"/>
        </w:rPr>
        <w:t>Schs</w:t>
      </w:r>
      <w:proofErr w:type="spellEnd"/>
      <w:r w:rsidRPr="00E9174E">
        <w:rPr>
          <w:rFonts w:eastAsiaTheme="minorHAnsi"/>
          <w:sz w:val="26"/>
          <w:szCs w:val="26"/>
        </w:rPr>
        <w:t xml:space="preserve">. 1-3), proposed revenue allocation (CG </w:t>
      </w:r>
      <w:proofErr w:type="spellStart"/>
      <w:r w:rsidRPr="00E9174E">
        <w:rPr>
          <w:rFonts w:eastAsiaTheme="minorHAnsi"/>
          <w:sz w:val="26"/>
          <w:szCs w:val="26"/>
        </w:rPr>
        <w:t>Exh</w:t>
      </w:r>
      <w:proofErr w:type="spellEnd"/>
      <w:r w:rsidRPr="00E9174E">
        <w:rPr>
          <w:rFonts w:eastAsiaTheme="minorHAnsi"/>
          <w:sz w:val="26"/>
          <w:szCs w:val="26"/>
        </w:rPr>
        <w:t xml:space="preserve">. 103, Sch. 8), or requested rates (CG </w:t>
      </w:r>
      <w:proofErr w:type="spellStart"/>
      <w:r w:rsidRPr="00E9174E">
        <w:rPr>
          <w:rFonts w:eastAsiaTheme="minorHAnsi"/>
          <w:sz w:val="26"/>
          <w:szCs w:val="26"/>
        </w:rPr>
        <w:t>Exh</w:t>
      </w:r>
      <w:proofErr w:type="spellEnd"/>
      <w:r w:rsidRPr="00E9174E">
        <w:rPr>
          <w:rFonts w:eastAsiaTheme="minorHAnsi"/>
          <w:sz w:val="26"/>
          <w:szCs w:val="26"/>
        </w:rPr>
        <w:t>. 103, Sch. 7) to be reflective of its revised revenue increase request.</w:t>
      </w:r>
    </w:p>
    <w:p w14:paraId="7262769E" w14:textId="77777777" w:rsidR="00A8096B" w:rsidRPr="00E9174E" w:rsidRDefault="00A8096B" w:rsidP="00E9174E">
      <w:pPr>
        <w:widowControl/>
        <w:spacing w:line="360" w:lineRule="auto"/>
        <w:ind w:firstLine="1440"/>
        <w:contextualSpacing/>
        <w:rPr>
          <w:rFonts w:eastAsiaTheme="minorHAnsi"/>
          <w:sz w:val="26"/>
          <w:szCs w:val="26"/>
        </w:rPr>
      </w:pPr>
    </w:p>
    <w:p w14:paraId="466D7BB7" w14:textId="20F808AB" w:rsidR="00A8096B" w:rsidRPr="00E9174E" w:rsidRDefault="00A8096B" w:rsidP="00E9174E">
      <w:pPr>
        <w:widowControl/>
        <w:spacing w:line="360" w:lineRule="auto"/>
        <w:ind w:firstLine="1440"/>
        <w:contextualSpacing/>
        <w:rPr>
          <w:sz w:val="26"/>
          <w:szCs w:val="26"/>
        </w:rPr>
      </w:pPr>
      <w:r w:rsidRPr="00E9174E">
        <w:rPr>
          <w:rFonts w:eastAsiaTheme="minorHAnsi"/>
          <w:sz w:val="26"/>
          <w:szCs w:val="26"/>
        </w:rPr>
        <w:t xml:space="preserve">Nevertheless, the Company’s three ACCOSSs provided class revenues at proposed rates based upon the Company’s attempt to move all classes toward an equalized rate of return (all classes’ revenue produce the proposed overall rate of return (7.98%), which can be used as a rough target for apportioning class revenue increases.  CG </w:t>
      </w:r>
      <w:proofErr w:type="spellStart"/>
      <w:r w:rsidRPr="00E9174E">
        <w:rPr>
          <w:rFonts w:eastAsiaTheme="minorHAnsi"/>
          <w:sz w:val="26"/>
          <w:szCs w:val="26"/>
        </w:rPr>
        <w:t>Exh</w:t>
      </w:r>
      <w:proofErr w:type="spellEnd"/>
      <w:r w:rsidRPr="00E9174E">
        <w:rPr>
          <w:rFonts w:eastAsiaTheme="minorHAnsi"/>
          <w:sz w:val="26"/>
          <w:szCs w:val="26"/>
        </w:rPr>
        <w:t xml:space="preserve">. 111, Sch. 1, p. 1, line 13; CG </w:t>
      </w:r>
      <w:proofErr w:type="spellStart"/>
      <w:r w:rsidRPr="00E9174E">
        <w:rPr>
          <w:rFonts w:eastAsiaTheme="minorHAnsi"/>
          <w:sz w:val="26"/>
          <w:szCs w:val="26"/>
        </w:rPr>
        <w:t>Exh</w:t>
      </w:r>
      <w:proofErr w:type="spellEnd"/>
      <w:r w:rsidRPr="00E9174E">
        <w:rPr>
          <w:rFonts w:eastAsiaTheme="minorHAnsi"/>
          <w:sz w:val="26"/>
          <w:szCs w:val="26"/>
        </w:rPr>
        <w:t xml:space="preserve">. 111, Sch. 2, p. 1, line 13; CG </w:t>
      </w:r>
      <w:proofErr w:type="spellStart"/>
      <w:r w:rsidRPr="00E9174E">
        <w:rPr>
          <w:rFonts w:eastAsiaTheme="minorHAnsi"/>
          <w:sz w:val="26"/>
          <w:szCs w:val="26"/>
        </w:rPr>
        <w:t>Exh</w:t>
      </w:r>
      <w:proofErr w:type="spellEnd"/>
      <w:r w:rsidRPr="00E9174E">
        <w:rPr>
          <w:rFonts w:eastAsiaTheme="minorHAnsi"/>
          <w:sz w:val="26"/>
          <w:szCs w:val="26"/>
        </w:rPr>
        <w:t>. 111, Sch.</w:t>
      </w:r>
      <w:r w:rsidR="00997099">
        <w:rPr>
          <w:rFonts w:eastAsiaTheme="minorHAnsi"/>
          <w:sz w:val="26"/>
          <w:szCs w:val="26"/>
        </w:rPr>
        <w:t> </w:t>
      </w:r>
      <w:r w:rsidRPr="00E9174E">
        <w:rPr>
          <w:rFonts w:eastAsiaTheme="minorHAnsi"/>
          <w:sz w:val="26"/>
          <w:szCs w:val="26"/>
        </w:rPr>
        <w:t xml:space="preserve">3, p. 1, line 13.  </w:t>
      </w:r>
      <w:r w:rsidRPr="00E9174E">
        <w:rPr>
          <w:sz w:val="26"/>
          <w:szCs w:val="26"/>
        </w:rPr>
        <w:t xml:space="preserve">The results of such studies can be utilized to determine the relative cost of service for each class and help determine the individual class revenue requirements and, to the extent a particular class is above or below the system average rate of return, show the additional revenues each class is to receive or conversely the additional revenues that each class is to contribute to the Company’s overall revenues.  In addition to the relative provision of revenues, relative rates of return are also provided which shows how the rate of return for each class compares to the system average rate of return, indicating if each class is either under-paying or over-paying its allocated cost of service.  </w:t>
      </w:r>
      <w:r w:rsidRPr="00E9174E">
        <w:rPr>
          <w:rFonts w:eastAsiaTheme="minorHAnsi"/>
          <w:sz w:val="26"/>
          <w:szCs w:val="26"/>
        </w:rPr>
        <w:t xml:space="preserve">CG </w:t>
      </w:r>
      <w:proofErr w:type="spellStart"/>
      <w:r w:rsidRPr="00E9174E">
        <w:rPr>
          <w:rFonts w:eastAsiaTheme="minorHAnsi"/>
          <w:sz w:val="26"/>
          <w:szCs w:val="26"/>
        </w:rPr>
        <w:t>Exh</w:t>
      </w:r>
      <w:proofErr w:type="spellEnd"/>
      <w:r w:rsidRPr="00E9174E">
        <w:rPr>
          <w:rFonts w:eastAsiaTheme="minorHAnsi"/>
          <w:sz w:val="26"/>
          <w:szCs w:val="26"/>
        </w:rPr>
        <w:t xml:space="preserve">. 111, Sch. 1, p. 1-2, line 14; CG </w:t>
      </w:r>
      <w:proofErr w:type="spellStart"/>
      <w:r w:rsidRPr="00E9174E">
        <w:rPr>
          <w:rFonts w:eastAsiaTheme="minorHAnsi"/>
          <w:sz w:val="26"/>
          <w:szCs w:val="26"/>
        </w:rPr>
        <w:t>Exh</w:t>
      </w:r>
      <w:proofErr w:type="spellEnd"/>
      <w:r w:rsidRPr="00E9174E">
        <w:rPr>
          <w:rFonts w:eastAsiaTheme="minorHAnsi"/>
          <w:sz w:val="26"/>
          <w:szCs w:val="26"/>
        </w:rPr>
        <w:t>. 111, Sch. 2, p. 1-2, line 14; CG</w:t>
      </w:r>
      <w:r w:rsidR="00997099">
        <w:rPr>
          <w:rFonts w:eastAsiaTheme="minorHAnsi"/>
          <w:sz w:val="26"/>
          <w:szCs w:val="26"/>
        </w:rPr>
        <w:t> </w:t>
      </w:r>
      <w:proofErr w:type="spellStart"/>
      <w:r w:rsidRPr="00E9174E">
        <w:rPr>
          <w:rFonts w:eastAsiaTheme="minorHAnsi"/>
          <w:sz w:val="26"/>
          <w:szCs w:val="26"/>
        </w:rPr>
        <w:t>Exh</w:t>
      </w:r>
      <w:proofErr w:type="spellEnd"/>
      <w:r w:rsidRPr="00E9174E">
        <w:rPr>
          <w:rFonts w:eastAsiaTheme="minorHAnsi"/>
          <w:sz w:val="26"/>
          <w:szCs w:val="26"/>
        </w:rPr>
        <w:t xml:space="preserve">. 111, Sch. 3, p. 1-2, line 14.  </w:t>
      </w:r>
      <w:r w:rsidRPr="00E9174E">
        <w:rPr>
          <w:sz w:val="26"/>
          <w:szCs w:val="26"/>
        </w:rPr>
        <w:t xml:space="preserve">This information is then used to determine the manner in which the proposed revenue increase should be allocated among the various rate classes with the goal of moving each rate class to towards the system average rate of return.  The results at equalized rates of return do not necessarily dictate the exact levels of class revenues proposed.  As the ALJ indicated, the proposed class revenues may </w:t>
      </w:r>
      <w:r w:rsidRPr="00E9174E">
        <w:rPr>
          <w:sz w:val="26"/>
          <w:szCs w:val="26"/>
        </w:rPr>
        <w:lastRenderedPageBreak/>
        <w:t xml:space="preserve">depart from the equalized rates of return in order to recognize a number of factors, including such things as gradualism, to provide for the total revenue requirement, public acceptability and feasibility of application, and fairly apportion the total cost of service among the various customer classes.  R.D. at 395.  However, as the ALJ noted throughout her discussion and analysis, several of the parties point to </w:t>
      </w:r>
      <w:r w:rsidRPr="00E9174E">
        <w:rPr>
          <w:i/>
          <w:iCs/>
          <w:sz w:val="26"/>
          <w:szCs w:val="26"/>
        </w:rPr>
        <w:t>Lloyd</w:t>
      </w:r>
      <w:r w:rsidRPr="00E9174E">
        <w:rPr>
          <w:sz w:val="26"/>
          <w:szCs w:val="26"/>
        </w:rPr>
        <w:t>, wherein the Commonwealth Court determined that cost of service is the “polestar” of ratemaking.  R.D. at 359, 371, 384-385, 387, 390.</w:t>
      </w:r>
    </w:p>
    <w:p w14:paraId="7130001B" w14:textId="77777777" w:rsidR="00A8096B" w:rsidRPr="00E9174E" w:rsidRDefault="00A8096B" w:rsidP="00E9174E">
      <w:pPr>
        <w:widowControl/>
        <w:spacing w:line="360" w:lineRule="auto"/>
        <w:ind w:firstLine="1440"/>
        <w:contextualSpacing/>
        <w:rPr>
          <w:sz w:val="26"/>
          <w:szCs w:val="26"/>
        </w:rPr>
      </w:pPr>
    </w:p>
    <w:p w14:paraId="598109D6" w14:textId="1B18ADE0" w:rsidR="00A8096B" w:rsidRPr="00E9174E" w:rsidRDefault="00A8096B" w:rsidP="00277ECF">
      <w:pPr>
        <w:pStyle w:val="Heading3"/>
        <w:numPr>
          <w:ilvl w:val="0"/>
          <w:numId w:val="29"/>
        </w:numPr>
        <w:ind w:left="1440" w:hanging="720"/>
      </w:pPr>
      <w:bookmarkStart w:id="400" w:name="_Toc61011371"/>
      <w:bookmarkStart w:id="401" w:name="_Toc63764604"/>
      <w:bookmarkStart w:id="402" w:name="_Hlk35848179"/>
      <w:r w:rsidRPr="00E9174E">
        <w:t>Positions of the Parties</w:t>
      </w:r>
      <w:bookmarkEnd w:id="400"/>
      <w:bookmarkEnd w:id="401"/>
    </w:p>
    <w:p w14:paraId="466344A9" w14:textId="77777777" w:rsidR="00A8096B" w:rsidRPr="00E9174E" w:rsidRDefault="00A8096B" w:rsidP="00E9174E">
      <w:pPr>
        <w:keepNext/>
        <w:keepLines/>
        <w:widowControl/>
        <w:spacing w:line="360" w:lineRule="auto"/>
        <w:ind w:firstLine="1440"/>
        <w:contextualSpacing/>
        <w:rPr>
          <w:sz w:val="26"/>
          <w:szCs w:val="26"/>
        </w:rPr>
      </w:pPr>
    </w:p>
    <w:p w14:paraId="694DF324" w14:textId="0FC8DAF4" w:rsidR="00A8096B" w:rsidRPr="00E9174E" w:rsidRDefault="00A8096B" w:rsidP="00E9174E">
      <w:pPr>
        <w:widowControl/>
        <w:spacing w:line="360" w:lineRule="auto"/>
        <w:ind w:firstLine="1440"/>
        <w:contextualSpacing/>
        <w:rPr>
          <w:sz w:val="26"/>
          <w:szCs w:val="26"/>
        </w:rPr>
      </w:pPr>
      <w:r w:rsidRPr="00E9174E">
        <w:rPr>
          <w:sz w:val="26"/>
          <w:szCs w:val="26"/>
        </w:rPr>
        <w:t xml:space="preserve">As previously indicated, </w:t>
      </w:r>
      <w:r w:rsidR="004E1B9C" w:rsidRPr="00E9174E">
        <w:rPr>
          <w:sz w:val="26"/>
          <w:szCs w:val="26"/>
        </w:rPr>
        <w:t xml:space="preserve">Mr. </w:t>
      </w:r>
      <w:proofErr w:type="spellStart"/>
      <w:r w:rsidRPr="00E9174E">
        <w:rPr>
          <w:sz w:val="26"/>
          <w:szCs w:val="26"/>
        </w:rPr>
        <w:t>Notestone</w:t>
      </w:r>
      <w:proofErr w:type="spellEnd"/>
      <w:r w:rsidRPr="00E9174E">
        <w:rPr>
          <w:sz w:val="26"/>
          <w:szCs w:val="26"/>
        </w:rPr>
        <w:t xml:space="preserve"> testified on behalf of Columbia regarding the Company’s ACCOSSs, arguing that its Average ACCOSS with an equal weighting of the Customer-Demand and the P&amp;A AC</w:t>
      </w:r>
      <w:r w:rsidR="000E1E36" w:rsidRPr="00E9174E">
        <w:rPr>
          <w:sz w:val="26"/>
          <w:szCs w:val="26"/>
        </w:rPr>
        <w:t>C</w:t>
      </w:r>
      <w:r w:rsidRPr="00E9174E">
        <w:rPr>
          <w:sz w:val="26"/>
          <w:szCs w:val="26"/>
        </w:rPr>
        <w:t>OSSs provides the most appropriate basis upon which to allocate revenue.  CG St. 11 at 3.  The results of Columbia’s three ACCOS</w:t>
      </w:r>
      <w:r w:rsidR="00D6744C" w:rsidRPr="00E9174E">
        <w:rPr>
          <w:sz w:val="26"/>
          <w:szCs w:val="26"/>
        </w:rPr>
        <w:t>S</w:t>
      </w:r>
      <w:r w:rsidR="00E36D44" w:rsidRPr="00E9174E">
        <w:rPr>
          <w:sz w:val="26"/>
          <w:szCs w:val="26"/>
        </w:rPr>
        <w:t>s</w:t>
      </w:r>
      <w:r w:rsidRPr="00E9174E">
        <w:rPr>
          <w:sz w:val="26"/>
          <w:szCs w:val="26"/>
        </w:rPr>
        <w:t xml:space="preserve"> are included in Appendix “A” to its Main Brief.  CG M.B., Appendix A.</w:t>
      </w:r>
    </w:p>
    <w:p w14:paraId="6E758D8F" w14:textId="77777777" w:rsidR="00A8096B" w:rsidRPr="00E9174E" w:rsidRDefault="00A8096B" w:rsidP="00E9174E">
      <w:pPr>
        <w:widowControl/>
        <w:spacing w:line="360" w:lineRule="auto"/>
        <w:ind w:firstLine="1440"/>
        <w:contextualSpacing/>
        <w:rPr>
          <w:sz w:val="26"/>
          <w:szCs w:val="26"/>
        </w:rPr>
      </w:pPr>
    </w:p>
    <w:p w14:paraId="2EC48CDA" w14:textId="5F3AE633" w:rsidR="00A8096B" w:rsidRPr="00E9174E" w:rsidRDefault="00A8096B" w:rsidP="00E9174E">
      <w:pPr>
        <w:widowControl/>
        <w:spacing w:line="360" w:lineRule="auto"/>
        <w:ind w:firstLine="1440"/>
        <w:contextualSpacing/>
        <w:rPr>
          <w:sz w:val="26"/>
          <w:szCs w:val="26"/>
        </w:rPr>
      </w:pPr>
      <w:r w:rsidRPr="00E9174E">
        <w:rPr>
          <w:sz w:val="26"/>
          <w:szCs w:val="26"/>
        </w:rPr>
        <w:t>According to the Company, since the cost of mains represents the majority of plant costs for a gas utility, mains allocation has a critical effect on the assignment of costs of service to the customer classes.  CG St. 11 at 13-14.  Before allocating mains to the rate classes in its ACCOS</w:t>
      </w:r>
      <w:r w:rsidR="00D6744C" w:rsidRPr="00E9174E">
        <w:rPr>
          <w:sz w:val="26"/>
          <w:szCs w:val="26"/>
        </w:rPr>
        <w:t>S</w:t>
      </w:r>
      <w:r w:rsidRPr="00E9174E">
        <w:rPr>
          <w:sz w:val="26"/>
          <w:szCs w:val="26"/>
        </w:rPr>
        <w:t>, Columbia first identified and directly assigned the actual inventory of distribution mains for the MLS/MLDS rate class, as these customers are served directly from or in close proximity to an interstate pipeline.  CG St. 11 at 8, 13.  Columbia separated low-pressure and two-inch mains and allocated those mains only to the Residential and SGS/SGDS class since the remaining rate classes are not physically served from and do not benefit from those systems.  CG St. 11 at 7.  Columbia performed a detailed analysis of its intermediate-pressure, medium-</w:t>
      </w:r>
      <w:proofErr w:type="gramStart"/>
      <w:r w:rsidRPr="00E9174E">
        <w:rPr>
          <w:sz w:val="26"/>
          <w:szCs w:val="26"/>
        </w:rPr>
        <w:t>pressure</w:t>
      </w:r>
      <w:proofErr w:type="gramEnd"/>
      <w:r w:rsidRPr="00E9174E">
        <w:rPr>
          <w:sz w:val="26"/>
          <w:szCs w:val="26"/>
        </w:rPr>
        <w:t xml:space="preserve"> and high-pressure systems in order to allocate the cost of those systems to the customers who use them.  </w:t>
      </w:r>
      <w:r w:rsidRPr="00E9174E">
        <w:rPr>
          <w:sz w:val="26"/>
          <w:szCs w:val="26"/>
        </w:rPr>
        <w:lastRenderedPageBreak/>
        <w:t>Columbia then allocated each of the non-transmission categories using the Customer-Demand method and a P&amp;A method.  CG St. 11 at 8.</w:t>
      </w:r>
    </w:p>
    <w:p w14:paraId="455C623C" w14:textId="77777777" w:rsidR="00A8096B" w:rsidRPr="00E9174E" w:rsidRDefault="00A8096B" w:rsidP="00E9174E">
      <w:pPr>
        <w:widowControl/>
        <w:spacing w:line="360" w:lineRule="auto"/>
        <w:contextualSpacing/>
        <w:rPr>
          <w:sz w:val="26"/>
          <w:szCs w:val="26"/>
        </w:rPr>
      </w:pPr>
    </w:p>
    <w:p w14:paraId="043165E0" w14:textId="77777777" w:rsidR="00A8096B" w:rsidRPr="00E9174E" w:rsidRDefault="00A8096B" w:rsidP="00E9174E">
      <w:pPr>
        <w:widowControl/>
        <w:spacing w:line="360" w:lineRule="auto"/>
        <w:ind w:firstLine="1440"/>
        <w:contextualSpacing/>
        <w:rPr>
          <w:sz w:val="26"/>
          <w:szCs w:val="26"/>
        </w:rPr>
      </w:pPr>
      <w:r w:rsidRPr="00E9174E">
        <w:rPr>
          <w:sz w:val="26"/>
          <w:szCs w:val="26"/>
        </w:rPr>
        <w:t xml:space="preserve">As I&amp;E explained, Columbia’s two cost of service studies (Customer-Demand and P&amp;A ACCOSSs) differ in that each study utilizes a different approach to the allocation of distribution mains investment.  In the </w:t>
      </w:r>
      <w:r w:rsidRPr="00E9174E">
        <w:rPr>
          <w:bCs/>
          <w:sz w:val="26"/>
          <w:szCs w:val="26"/>
        </w:rPr>
        <w:t>Customer-Demand study</w:t>
      </w:r>
      <w:r w:rsidRPr="00E9174E">
        <w:rPr>
          <w:sz w:val="26"/>
          <w:szCs w:val="26"/>
        </w:rPr>
        <w:t>, distribution mains investment is allocated based partially on the design day demands of each of the customer classes served by Columbia, and partially on the number of customers in each class.  The P&amp;A study, however, allocates distribution mains investment to classes based partially on contributions to peak day demand and partially on annual, or average daily, demands.  I&amp;E M.B. at 87.  Columbia argued that a single ACCOSS should not form the basis of a rate design and contended that it is a combination of the cost to extend a distribution main (customer component) and the cost of the diameter of the pipe to serve customers at design day temperatures (demand component) that determines the causation of the cost of the main, and not the service received by its customers during all other times of the year (throughput).  Therefore, Columbia asserted that to simply choose an allocation method that either fully ignores annual throughput or completely ignores the customer component should not be seriously considered as fair and reasonable.  CG M.B. at 129-136; CG R.B. at 81-87.  As such, Columbia is of the opinion that the Average ACCOSS, which gives equal weight to its Customer-Demand and P&amp;A ACCOSSs, provides a set of returns fairer than either of the first two studies and that can be used as an appropriate benchmark in revenue allocation.  CG St. 11 at 3.</w:t>
      </w:r>
    </w:p>
    <w:p w14:paraId="761E0030" w14:textId="77777777" w:rsidR="00A8096B" w:rsidRPr="00E9174E" w:rsidRDefault="00A8096B" w:rsidP="00E9174E">
      <w:pPr>
        <w:widowControl/>
        <w:spacing w:line="360" w:lineRule="auto"/>
        <w:ind w:firstLine="1440"/>
        <w:contextualSpacing/>
        <w:rPr>
          <w:sz w:val="26"/>
          <w:szCs w:val="26"/>
        </w:rPr>
      </w:pPr>
    </w:p>
    <w:p w14:paraId="77FA2C04" w14:textId="77777777" w:rsidR="00A8096B" w:rsidRPr="00E9174E" w:rsidRDefault="00A8096B" w:rsidP="00E9174E">
      <w:pPr>
        <w:widowControl/>
        <w:spacing w:line="360" w:lineRule="auto"/>
        <w:ind w:firstLine="1440"/>
        <w:contextualSpacing/>
        <w:rPr>
          <w:sz w:val="26"/>
          <w:szCs w:val="26"/>
        </w:rPr>
      </w:pPr>
      <w:r w:rsidRPr="00E9174E">
        <w:rPr>
          <w:sz w:val="26"/>
          <w:szCs w:val="26"/>
        </w:rPr>
        <w:t xml:space="preserve">With the exception of PSU, which agreed with Columbia that the Company’s Average ACCOSS most fairly balances the interests of all customers, the remaining Parties had differing views on the ACCOSS that should be adopted in this </w:t>
      </w:r>
      <w:r w:rsidRPr="00E9174E">
        <w:rPr>
          <w:sz w:val="26"/>
          <w:szCs w:val="26"/>
        </w:rPr>
        <w:lastRenderedPageBreak/>
        <w:t>matter.</w:t>
      </w:r>
      <w:r w:rsidRPr="00E9174E">
        <w:rPr>
          <w:sz w:val="26"/>
          <w:szCs w:val="26"/>
          <w:vertAlign w:val="superscript"/>
        </w:rPr>
        <w:footnoteReference w:id="52"/>
      </w:r>
      <w:r w:rsidRPr="00E9174E">
        <w:rPr>
          <w:sz w:val="26"/>
          <w:szCs w:val="26"/>
        </w:rPr>
        <w:t xml:space="preserve">  PSU M.B. at 5.  I&amp;E recommended that the Commission rely on the Company’s P&amp;A ACCOSS, without modification because it believes the Company’s Customer-Demand ACCOSS is flawed in that it violates Commission precedent by allocating a percentage of the distribution mains as a customer cost rather than allocating the mains investment costs using both annual and peak demands.  I&amp;E St. 3 at 14, 17; I&amp;E M.B. at 85-95.</w:t>
      </w:r>
    </w:p>
    <w:p w14:paraId="53779BF3" w14:textId="77777777" w:rsidR="00A8096B" w:rsidRPr="00E9174E" w:rsidRDefault="00A8096B" w:rsidP="00E9174E">
      <w:pPr>
        <w:widowControl/>
        <w:spacing w:line="360" w:lineRule="auto"/>
        <w:ind w:firstLine="1440"/>
        <w:contextualSpacing/>
        <w:rPr>
          <w:sz w:val="26"/>
          <w:szCs w:val="26"/>
        </w:rPr>
      </w:pPr>
    </w:p>
    <w:p w14:paraId="2EA694EB" w14:textId="77777777" w:rsidR="00A8096B" w:rsidRPr="00E9174E" w:rsidRDefault="00A8096B" w:rsidP="00E9174E">
      <w:pPr>
        <w:widowControl/>
        <w:spacing w:line="360" w:lineRule="auto"/>
        <w:ind w:firstLine="1440"/>
        <w:contextualSpacing/>
        <w:rPr>
          <w:sz w:val="26"/>
          <w:szCs w:val="26"/>
        </w:rPr>
      </w:pPr>
      <w:r w:rsidRPr="00E9174E">
        <w:rPr>
          <w:sz w:val="26"/>
          <w:szCs w:val="26"/>
        </w:rPr>
        <w:t>I&amp;E Witness Mr. Ethan Cline disagreed with Columbia’s Customer-Demand ACCOSS,</w:t>
      </w:r>
      <w:r w:rsidRPr="00E9174E">
        <w:rPr>
          <w:sz w:val="26"/>
          <w:szCs w:val="26"/>
          <w:vertAlign w:val="superscript"/>
        </w:rPr>
        <w:footnoteReference w:id="53"/>
      </w:r>
      <w:r w:rsidRPr="00E9174E">
        <w:rPr>
          <w:sz w:val="26"/>
          <w:szCs w:val="26"/>
        </w:rPr>
        <w:t xml:space="preserve"> which classifies distributions mains as partially customer-related and partially demand-related, because the customer portion of mains is allocated to the various customer classes based on the total number of customers, while the demand portions of mains is allocated to classes based on peak day contributions or demand.  I&amp;E cited to prior Commission Orders, one in National Fuel Gas Distribution Company’s 1994 base rate proceeding,</w:t>
      </w:r>
      <w:r w:rsidRPr="00E9174E">
        <w:rPr>
          <w:sz w:val="26"/>
          <w:szCs w:val="26"/>
          <w:vertAlign w:val="superscript"/>
        </w:rPr>
        <w:footnoteReference w:id="54"/>
      </w:r>
      <w:r w:rsidRPr="00E9174E">
        <w:rPr>
          <w:sz w:val="26"/>
          <w:szCs w:val="26"/>
        </w:rPr>
        <w:t xml:space="preserve"> and another in Philadelphia Gas Works rate proceeding at Docket No. R</w:t>
      </w:r>
      <w:r w:rsidRPr="00E9174E">
        <w:rPr>
          <w:sz w:val="26"/>
          <w:szCs w:val="26"/>
        </w:rPr>
        <w:noBreakHyphen/>
        <w:t>00061931</w:t>
      </w:r>
      <w:r w:rsidRPr="00E9174E">
        <w:rPr>
          <w:sz w:val="26"/>
          <w:szCs w:val="26"/>
          <w:vertAlign w:val="superscript"/>
        </w:rPr>
        <w:footnoteReference w:id="55"/>
      </w:r>
      <w:r w:rsidRPr="00E9174E">
        <w:rPr>
          <w:sz w:val="26"/>
          <w:szCs w:val="26"/>
        </w:rPr>
        <w:t xml:space="preserve"> where the Commission has rejected the Customer-Demand methodology because it allocated a percentage of the distribution mains as a customer cost rather than allocating the mains investment costs using both annual and peak demands.  I&amp;E St. 3 at 14, 17.</w:t>
      </w:r>
    </w:p>
    <w:p w14:paraId="47ABB477" w14:textId="77777777" w:rsidR="00A8096B" w:rsidRPr="00E9174E" w:rsidRDefault="00A8096B" w:rsidP="00E9174E">
      <w:pPr>
        <w:widowControl/>
        <w:spacing w:line="360" w:lineRule="auto"/>
        <w:ind w:firstLine="1440"/>
        <w:contextualSpacing/>
        <w:rPr>
          <w:sz w:val="26"/>
          <w:szCs w:val="26"/>
        </w:rPr>
      </w:pPr>
    </w:p>
    <w:p w14:paraId="213722CE" w14:textId="77777777" w:rsidR="00A8096B" w:rsidRPr="00E9174E" w:rsidRDefault="00A8096B" w:rsidP="00E9174E">
      <w:pPr>
        <w:widowControl/>
        <w:autoSpaceDE w:val="0"/>
        <w:autoSpaceDN w:val="0"/>
        <w:adjustRightInd w:val="0"/>
        <w:spacing w:line="360" w:lineRule="auto"/>
        <w:ind w:firstLine="1440"/>
        <w:contextualSpacing/>
        <w:rPr>
          <w:rFonts w:eastAsiaTheme="minorHAnsi"/>
          <w:color w:val="000000"/>
          <w:sz w:val="26"/>
          <w:szCs w:val="26"/>
        </w:rPr>
      </w:pPr>
      <w:r w:rsidRPr="00E9174E">
        <w:rPr>
          <w:rFonts w:eastAsiaTheme="minorHAnsi"/>
          <w:color w:val="000000"/>
          <w:sz w:val="26"/>
          <w:szCs w:val="26"/>
        </w:rPr>
        <w:lastRenderedPageBreak/>
        <w:t>However, I&amp;E views Columbia’s P&amp;A ACCOSS more favorably than the Customer-Demand ACCOSS and recommended its adoption in this proceeding.  In support of its position, I&amp;E stated that the Commission accepted similar P&amp;A ACCOSSs in previous cases because it allocates distribution mains to classes partially on contributions to peak day demand and partially on annual consumption (average demand).  I&amp;E St. 3 at 14, 16; CG St. 11 at 12.  In this regard, I&amp;E cited to the National Fuel Gas Distribution Company 1994 base proceeding</w:t>
      </w:r>
      <w:r w:rsidRPr="00E9174E">
        <w:rPr>
          <w:rFonts w:eastAsiaTheme="minorHAnsi"/>
          <w:color w:val="000000"/>
          <w:sz w:val="26"/>
          <w:szCs w:val="26"/>
          <w:vertAlign w:val="superscript"/>
        </w:rPr>
        <w:footnoteReference w:id="56"/>
      </w:r>
      <w:r w:rsidRPr="00E9174E">
        <w:rPr>
          <w:rFonts w:eastAsiaTheme="minorHAnsi"/>
          <w:color w:val="000000"/>
          <w:sz w:val="26"/>
          <w:szCs w:val="26"/>
        </w:rPr>
        <w:t xml:space="preserve"> in which the Commission recognized that distribution mains are built on the basis of year-round demands as well as peak demands and that “[t]he Peak and Average method that allocates mains equally is a sound and reasonable method of cost allocation and should remain intact.”</w:t>
      </w:r>
      <w:r w:rsidRPr="00E9174E">
        <w:rPr>
          <w:rFonts w:eastAsiaTheme="minorHAnsi"/>
          <w:color w:val="000000"/>
          <w:sz w:val="26"/>
          <w:szCs w:val="26"/>
          <w:vertAlign w:val="superscript"/>
        </w:rPr>
        <w:footnoteReference w:id="57"/>
      </w:r>
      <w:r w:rsidRPr="00E9174E">
        <w:rPr>
          <w:rFonts w:eastAsiaTheme="minorHAnsi"/>
          <w:color w:val="000000"/>
          <w:sz w:val="26"/>
          <w:szCs w:val="26"/>
        </w:rPr>
        <w:t xml:space="preserve"> </w:t>
      </w:r>
    </w:p>
    <w:p w14:paraId="5B3F100D" w14:textId="77777777" w:rsidR="00A8096B" w:rsidRPr="00E9174E" w:rsidRDefault="00A8096B" w:rsidP="00E9174E">
      <w:pPr>
        <w:widowControl/>
        <w:spacing w:line="360" w:lineRule="auto"/>
        <w:contextualSpacing/>
        <w:rPr>
          <w:sz w:val="26"/>
          <w:szCs w:val="26"/>
        </w:rPr>
      </w:pPr>
    </w:p>
    <w:p w14:paraId="1D57AD0C" w14:textId="7560320F" w:rsidR="00A8096B" w:rsidRPr="00E9174E" w:rsidRDefault="00A8096B" w:rsidP="00E9174E">
      <w:pPr>
        <w:widowControl/>
        <w:spacing w:line="360" w:lineRule="auto"/>
        <w:ind w:firstLine="1440"/>
        <w:contextualSpacing/>
        <w:rPr>
          <w:sz w:val="26"/>
          <w:szCs w:val="26"/>
        </w:rPr>
      </w:pPr>
      <w:r w:rsidRPr="00E9174E">
        <w:rPr>
          <w:sz w:val="26"/>
          <w:szCs w:val="26"/>
        </w:rPr>
        <w:t>The OCA and CAUSE-PA agreed with I&amp;E that neither Columbia’s Customer-Demand ACCOSS nor the Average ACCOSS should be used to guide revenue allocation in this proceeding.</w:t>
      </w:r>
      <w:r w:rsidRPr="00E9174E">
        <w:rPr>
          <w:sz w:val="26"/>
          <w:szCs w:val="26"/>
          <w:vertAlign w:val="superscript"/>
        </w:rPr>
        <w:t xml:space="preserve"> </w:t>
      </w:r>
      <w:r w:rsidRPr="00E9174E">
        <w:rPr>
          <w:sz w:val="26"/>
          <w:szCs w:val="26"/>
          <w:vertAlign w:val="superscript"/>
        </w:rPr>
        <w:footnoteReference w:id="58"/>
      </w:r>
      <w:r w:rsidRPr="00E9174E">
        <w:rPr>
          <w:sz w:val="26"/>
          <w:szCs w:val="26"/>
        </w:rPr>
        <w:t xml:space="preserve">  The OCA advocated that its modified version of the Company’s P&amp;A ACCOSS should be used.  OCA M.B. at 133.  </w:t>
      </w:r>
    </w:p>
    <w:p w14:paraId="066D63F6" w14:textId="77777777" w:rsidR="006F2205" w:rsidRPr="00E9174E" w:rsidRDefault="006F2205" w:rsidP="00E9174E">
      <w:pPr>
        <w:widowControl/>
        <w:spacing w:line="360" w:lineRule="auto"/>
        <w:ind w:firstLine="1440"/>
        <w:contextualSpacing/>
        <w:rPr>
          <w:sz w:val="26"/>
          <w:szCs w:val="26"/>
        </w:rPr>
      </w:pPr>
    </w:p>
    <w:p w14:paraId="7227C9E1" w14:textId="79368010" w:rsidR="00A8096B" w:rsidRPr="00E9174E" w:rsidRDefault="00A8096B" w:rsidP="00E9174E">
      <w:pPr>
        <w:widowControl/>
        <w:autoSpaceDE w:val="0"/>
        <w:autoSpaceDN w:val="0"/>
        <w:adjustRightInd w:val="0"/>
        <w:spacing w:line="360" w:lineRule="auto"/>
        <w:ind w:firstLine="1440"/>
        <w:contextualSpacing/>
        <w:rPr>
          <w:sz w:val="26"/>
          <w:szCs w:val="26"/>
        </w:rPr>
      </w:pPr>
      <w:r w:rsidRPr="00E9174E">
        <w:rPr>
          <w:color w:val="000000"/>
          <w:sz w:val="26"/>
          <w:szCs w:val="26"/>
        </w:rPr>
        <w:t xml:space="preserve">In regard to the Customer-Demand ACCOSS, OCA Witness Mr. Jerome </w:t>
      </w:r>
      <w:proofErr w:type="spellStart"/>
      <w:r w:rsidRPr="00E9174E">
        <w:rPr>
          <w:color w:val="000000"/>
          <w:sz w:val="26"/>
          <w:szCs w:val="26"/>
        </w:rPr>
        <w:t>Mierzwa</w:t>
      </w:r>
      <w:proofErr w:type="spellEnd"/>
      <w:r w:rsidRPr="00E9174E">
        <w:rPr>
          <w:color w:val="000000"/>
          <w:sz w:val="26"/>
          <w:szCs w:val="26"/>
        </w:rPr>
        <w:t xml:space="preserve"> submitted testimony in which he argued that the Customer-Demand ACCOS</w:t>
      </w:r>
      <w:r w:rsidR="00DE657B" w:rsidRPr="00E9174E">
        <w:rPr>
          <w:color w:val="000000"/>
          <w:sz w:val="26"/>
          <w:szCs w:val="26"/>
        </w:rPr>
        <w:t>S</w:t>
      </w:r>
      <w:r w:rsidRPr="00E9174E">
        <w:rPr>
          <w:color w:val="000000"/>
          <w:sz w:val="26"/>
          <w:szCs w:val="26"/>
        </w:rPr>
        <w:t xml:space="preserve"> should be rejected on the premise that di</w:t>
      </w:r>
      <w:r w:rsidRPr="00E9174E">
        <w:rPr>
          <w:sz w:val="26"/>
          <w:szCs w:val="26"/>
        </w:rPr>
        <w:t>stribution mains exist to deliver annual requirements and are sized to provide for peak requirements.</w:t>
      </w:r>
      <w:r w:rsidRPr="00E9174E">
        <w:rPr>
          <w:sz w:val="26"/>
          <w:szCs w:val="26"/>
          <w:vertAlign w:val="superscript"/>
        </w:rPr>
        <w:footnoteReference w:id="59"/>
      </w:r>
      <w:r w:rsidRPr="00E9174E">
        <w:rPr>
          <w:sz w:val="26"/>
          <w:szCs w:val="26"/>
        </w:rPr>
        <w:t xml:space="preserve">  Mr. </w:t>
      </w:r>
      <w:proofErr w:type="spellStart"/>
      <w:r w:rsidRPr="00E9174E">
        <w:rPr>
          <w:sz w:val="26"/>
          <w:szCs w:val="26"/>
        </w:rPr>
        <w:t>Mierzwa</w:t>
      </w:r>
      <w:proofErr w:type="spellEnd"/>
      <w:r w:rsidRPr="00E9174E">
        <w:rPr>
          <w:sz w:val="26"/>
          <w:szCs w:val="26"/>
        </w:rPr>
        <w:t xml:space="preserve"> also cited </w:t>
      </w:r>
      <w:r w:rsidRPr="00E9174E">
        <w:rPr>
          <w:i/>
          <w:iCs/>
          <w:sz w:val="26"/>
          <w:szCs w:val="26"/>
        </w:rPr>
        <w:t xml:space="preserve">NFGD </w:t>
      </w:r>
      <w:r w:rsidRPr="00E9174E">
        <w:rPr>
          <w:sz w:val="26"/>
          <w:szCs w:val="26"/>
        </w:rPr>
        <w:t xml:space="preserve">as precedent as to why the Customer-Demand </w:t>
      </w:r>
      <w:r w:rsidR="00DE657B" w:rsidRPr="00E9174E">
        <w:rPr>
          <w:sz w:val="26"/>
          <w:szCs w:val="26"/>
        </w:rPr>
        <w:t>ACCOSS</w:t>
      </w:r>
      <w:r w:rsidRPr="00E9174E">
        <w:rPr>
          <w:sz w:val="26"/>
          <w:szCs w:val="26"/>
        </w:rPr>
        <w:t xml:space="preserve"> is not relevant here.  OCA St. 4 at 25.  In addition, Mr. </w:t>
      </w:r>
      <w:proofErr w:type="spellStart"/>
      <w:r w:rsidRPr="00E9174E">
        <w:rPr>
          <w:sz w:val="26"/>
          <w:szCs w:val="26"/>
        </w:rPr>
        <w:t>Mierzwa</w:t>
      </w:r>
      <w:proofErr w:type="spellEnd"/>
      <w:r w:rsidRPr="00E9174E">
        <w:rPr>
          <w:sz w:val="26"/>
          <w:szCs w:val="26"/>
        </w:rPr>
        <w:t xml:space="preserve"> added:</w:t>
      </w:r>
    </w:p>
    <w:p w14:paraId="7B78B705" w14:textId="77777777" w:rsidR="00A8096B" w:rsidRPr="00E9174E" w:rsidRDefault="00A8096B" w:rsidP="00E9174E">
      <w:pPr>
        <w:widowControl/>
        <w:autoSpaceDE w:val="0"/>
        <w:autoSpaceDN w:val="0"/>
        <w:adjustRightInd w:val="0"/>
        <w:spacing w:line="360" w:lineRule="auto"/>
        <w:contextualSpacing/>
        <w:rPr>
          <w:sz w:val="26"/>
          <w:szCs w:val="26"/>
        </w:rPr>
      </w:pPr>
    </w:p>
    <w:p w14:paraId="61122570" w14:textId="77777777" w:rsidR="00A8096B" w:rsidRPr="00E9174E" w:rsidRDefault="00A8096B" w:rsidP="00E9174E">
      <w:pPr>
        <w:widowControl/>
        <w:autoSpaceDE w:val="0"/>
        <w:autoSpaceDN w:val="0"/>
        <w:adjustRightInd w:val="0"/>
        <w:ind w:left="1440" w:right="1440"/>
        <w:contextualSpacing/>
        <w:rPr>
          <w:sz w:val="26"/>
          <w:szCs w:val="26"/>
        </w:rPr>
      </w:pPr>
      <w:r w:rsidRPr="00E9174E">
        <w:rPr>
          <w:sz w:val="26"/>
          <w:szCs w:val="26"/>
        </w:rPr>
        <w:lastRenderedPageBreak/>
        <w:t>[I]t is incorrect to consider distribution mains as being customer related.  This is because mains investment is undertaken when annual gas consumption is high enough to warrant the investment, and mains are sized to meet expected demand levels, independent of the number of customers.  In addition, CPA’s [Columbia’s] allocation of 50 percent of its distribution mains cost on the basis of number of customers, combined with its failure to consider the demands that can be met with that investment when it allocates the remainder of its mains costs on a demand basis, is improper.</w:t>
      </w:r>
    </w:p>
    <w:p w14:paraId="153E542A" w14:textId="77777777" w:rsidR="00A8096B" w:rsidRPr="00E9174E" w:rsidRDefault="00A8096B" w:rsidP="00997099">
      <w:pPr>
        <w:widowControl/>
        <w:autoSpaceDE w:val="0"/>
        <w:autoSpaceDN w:val="0"/>
        <w:adjustRightInd w:val="0"/>
        <w:spacing w:line="360" w:lineRule="auto"/>
        <w:ind w:left="1440" w:right="1440"/>
        <w:contextualSpacing/>
        <w:rPr>
          <w:sz w:val="26"/>
          <w:szCs w:val="26"/>
        </w:rPr>
      </w:pPr>
    </w:p>
    <w:p w14:paraId="132F7A32" w14:textId="77777777" w:rsidR="00A8096B" w:rsidRPr="00E9174E" w:rsidRDefault="00A8096B" w:rsidP="00E9174E">
      <w:pPr>
        <w:widowControl/>
        <w:autoSpaceDE w:val="0"/>
        <w:autoSpaceDN w:val="0"/>
        <w:adjustRightInd w:val="0"/>
        <w:spacing w:line="360" w:lineRule="auto"/>
        <w:contextualSpacing/>
        <w:rPr>
          <w:sz w:val="26"/>
          <w:szCs w:val="26"/>
        </w:rPr>
      </w:pPr>
      <w:r w:rsidRPr="00E9174E">
        <w:rPr>
          <w:sz w:val="26"/>
          <w:szCs w:val="26"/>
        </w:rPr>
        <w:t>OCA St. 4 at 16.</w:t>
      </w:r>
    </w:p>
    <w:p w14:paraId="1F6F86B7" w14:textId="77777777" w:rsidR="00A8096B" w:rsidRPr="00E9174E" w:rsidRDefault="00A8096B" w:rsidP="00E9174E">
      <w:pPr>
        <w:widowControl/>
        <w:autoSpaceDE w:val="0"/>
        <w:autoSpaceDN w:val="0"/>
        <w:adjustRightInd w:val="0"/>
        <w:spacing w:line="360" w:lineRule="auto"/>
        <w:contextualSpacing/>
        <w:rPr>
          <w:sz w:val="26"/>
          <w:szCs w:val="26"/>
        </w:rPr>
      </w:pPr>
    </w:p>
    <w:p w14:paraId="148FD6F3" w14:textId="27CD753C" w:rsidR="00A8096B" w:rsidRPr="00E9174E" w:rsidRDefault="00A8096B" w:rsidP="00E9174E">
      <w:pPr>
        <w:widowControl/>
        <w:autoSpaceDE w:val="0"/>
        <w:autoSpaceDN w:val="0"/>
        <w:adjustRightInd w:val="0"/>
        <w:spacing w:line="360" w:lineRule="auto"/>
        <w:ind w:firstLine="1440"/>
        <w:contextualSpacing/>
        <w:rPr>
          <w:sz w:val="26"/>
          <w:szCs w:val="26"/>
        </w:rPr>
      </w:pPr>
      <w:r w:rsidRPr="00E9174E">
        <w:rPr>
          <w:sz w:val="26"/>
          <w:szCs w:val="26"/>
        </w:rPr>
        <w:t xml:space="preserve">Next, Mr. </w:t>
      </w:r>
      <w:proofErr w:type="spellStart"/>
      <w:r w:rsidRPr="00E9174E">
        <w:rPr>
          <w:sz w:val="26"/>
          <w:szCs w:val="26"/>
        </w:rPr>
        <w:t>Mierzwa</w:t>
      </w:r>
      <w:proofErr w:type="spellEnd"/>
      <w:r w:rsidRPr="00E9174E">
        <w:rPr>
          <w:sz w:val="26"/>
          <w:szCs w:val="26"/>
        </w:rPr>
        <w:t xml:space="preserve"> addressed the Company’s P&amp;A ACCOSS.  Mr. </w:t>
      </w:r>
      <w:proofErr w:type="spellStart"/>
      <w:r w:rsidRPr="00E9174E">
        <w:rPr>
          <w:sz w:val="26"/>
          <w:szCs w:val="26"/>
        </w:rPr>
        <w:t>Mierzwa</w:t>
      </w:r>
      <w:proofErr w:type="spellEnd"/>
      <w:r w:rsidRPr="00E9174E">
        <w:rPr>
          <w:sz w:val="26"/>
          <w:szCs w:val="26"/>
        </w:rPr>
        <w:t xml:space="preserve"> opined that </w:t>
      </w:r>
      <w:r w:rsidRPr="00E9174E">
        <w:rPr>
          <w:color w:val="000000"/>
          <w:sz w:val="26"/>
          <w:szCs w:val="26"/>
        </w:rPr>
        <w:t>since distribution mains exist to deliver annual requirements and are sized to provide for peak requirements, it is proper to allocate distribution mains costs on the basis of peak and average demands, consistent with established Commission precedent.</w:t>
      </w:r>
      <w:r w:rsidRPr="00E9174E">
        <w:rPr>
          <w:color w:val="000000"/>
          <w:sz w:val="26"/>
          <w:szCs w:val="26"/>
          <w:vertAlign w:val="superscript"/>
        </w:rPr>
        <w:footnoteReference w:id="60"/>
      </w:r>
      <w:r w:rsidRPr="00E9174E">
        <w:rPr>
          <w:color w:val="000000"/>
          <w:sz w:val="26"/>
          <w:szCs w:val="26"/>
        </w:rPr>
        <w:t xml:space="preserve">  However, Mr. </w:t>
      </w:r>
      <w:proofErr w:type="spellStart"/>
      <w:r w:rsidRPr="00E9174E">
        <w:rPr>
          <w:color w:val="000000"/>
          <w:sz w:val="26"/>
          <w:szCs w:val="26"/>
        </w:rPr>
        <w:t>Mierzwa</w:t>
      </w:r>
      <w:proofErr w:type="spellEnd"/>
      <w:r w:rsidRPr="00E9174E">
        <w:rPr>
          <w:color w:val="000000"/>
          <w:sz w:val="26"/>
          <w:szCs w:val="26"/>
        </w:rPr>
        <w:t xml:space="preserve"> argued that </w:t>
      </w:r>
      <w:r w:rsidRPr="00E9174E">
        <w:rPr>
          <w:sz w:val="26"/>
          <w:szCs w:val="26"/>
        </w:rPr>
        <w:t xml:space="preserve">the Company’s separation of mains investment by operating pressure should be removed, primarily due to its use of original cost instead of net investment in the development of its allocation factors for each of the distribution mains categories.  More specifically, Mr. </w:t>
      </w:r>
      <w:proofErr w:type="spellStart"/>
      <w:r w:rsidRPr="00E9174E">
        <w:rPr>
          <w:sz w:val="26"/>
          <w:szCs w:val="26"/>
        </w:rPr>
        <w:t>Mierzwa</w:t>
      </w:r>
      <w:proofErr w:type="spellEnd"/>
      <w:r w:rsidRPr="00E9174E">
        <w:rPr>
          <w:sz w:val="26"/>
          <w:szCs w:val="26"/>
        </w:rPr>
        <w:t xml:space="preserve"> challenged the Company’s separation of mains by pressure group in the study because the allocation uses original cost and not net investment.  Mr. </w:t>
      </w:r>
      <w:proofErr w:type="spellStart"/>
      <w:r w:rsidRPr="00E9174E">
        <w:rPr>
          <w:sz w:val="26"/>
          <w:szCs w:val="26"/>
        </w:rPr>
        <w:t>Mierzwa</w:t>
      </w:r>
      <w:proofErr w:type="spellEnd"/>
      <w:r w:rsidRPr="00E9174E">
        <w:rPr>
          <w:sz w:val="26"/>
          <w:szCs w:val="26"/>
        </w:rPr>
        <w:t xml:space="preserve"> asserted that the separation of pressure groups based on gross plant investment does not take into account the age of the pipe, and low-pressure pipe is generally older and, therefore, more depreciated than regulated pressure pipe.  Mr. </w:t>
      </w:r>
      <w:proofErr w:type="spellStart"/>
      <w:r w:rsidRPr="00E9174E">
        <w:rPr>
          <w:sz w:val="26"/>
          <w:szCs w:val="26"/>
        </w:rPr>
        <w:t>Mierzwa</w:t>
      </w:r>
      <w:proofErr w:type="spellEnd"/>
      <w:r w:rsidRPr="00E9174E">
        <w:rPr>
          <w:sz w:val="26"/>
          <w:szCs w:val="26"/>
        </w:rPr>
        <w:t xml:space="preserve"> contended that because 53% of the low-pressure system is constructed of steel, and because steel pipe is generally older and, therefore, more depreciated than plastic pipe, customers served off low pressure pipe should be assigned less net investment than regulated pressure customers.</w:t>
      </w:r>
      <w:r w:rsidRPr="00E9174E">
        <w:rPr>
          <w:sz w:val="26"/>
          <w:szCs w:val="26"/>
          <w:vertAlign w:val="superscript"/>
        </w:rPr>
        <w:footnoteReference w:id="61"/>
      </w:r>
      <w:r w:rsidRPr="00E9174E">
        <w:rPr>
          <w:sz w:val="26"/>
          <w:szCs w:val="26"/>
        </w:rPr>
        <w:t xml:space="preserve">  </w:t>
      </w:r>
    </w:p>
    <w:p w14:paraId="6D35F227" w14:textId="77777777" w:rsidR="00A8096B" w:rsidRPr="00E9174E" w:rsidRDefault="00A8096B" w:rsidP="00E9174E">
      <w:pPr>
        <w:widowControl/>
        <w:autoSpaceDE w:val="0"/>
        <w:autoSpaceDN w:val="0"/>
        <w:adjustRightInd w:val="0"/>
        <w:spacing w:line="360" w:lineRule="auto"/>
        <w:contextualSpacing/>
        <w:rPr>
          <w:sz w:val="26"/>
          <w:szCs w:val="26"/>
        </w:rPr>
      </w:pPr>
    </w:p>
    <w:p w14:paraId="4997C61E" w14:textId="3ADBE2DE" w:rsidR="00A8096B" w:rsidRPr="00E9174E" w:rsidRDefault="00A8096B" w:rsidP="00E9174E">
      <w:pPr>
        <w:widowControl/>
        <w:autoSpaceDE w:val="0"/>
        <w:autoSpaceDN w:val="0"/>
        <w:adjustRightInd w:val="0"/>
        <w:spacing w:line="360" w:lineRule="auto"/>
        <w:ind w:firstLine="1440"/>
        <w:contextualSpacing/>
        <w:rPr>
          <w:sz w:val="26"/>
          <w:szCs w:val="26"/>
        </w:rPr>
      </w:pPr>
      <w:r w:rsidRPr="00E9174E">
        <w:rPr>
          <w:sz w:val="26"/>
          <w:szCs w:val="26"/>
        </w:rPr>
        <w:lastRenderedPageBreak/>
        <w:t xml:space="preserve">In order to correct the above-stated flaws, Mr. </w:t>
      </w:r>
      <w:proofErr w:type="spellStart"/>
      <w:r w:rsidRPr="00E9174E">
        <w:rPr>
          <w:sz w:val="26"/>
          <w:szCs w:val="26"/>
        </w:rPr>
        <w:t>Mierzwa</w:t>
      </w:r>
      <w:proofErr w:type="spellEnd"/>
      <w:r w:rsidRPr="00E9174E">
        <w:rPr>
          <w:sz w:val="26"/>
          <w:szCs w:val="26"/>
        </w:rPr>
        <w:t xml:space="preserve"> proffered a modified version of the Company’s P&amp;A ACCOS</w:t>
      </w:r>
      <w:r w:rsidR="00ED6199" w:rsidRPr="00E9174E">
        <w:rPr>
          <w:sz w:val="26"/>
          <w:szCs w:val="26"/>
        </w:rPr>
        <w:t>S</w:t>
      </w:r>
      <w:r w:rsidRPr="00E9174E">
        <w:rPr>
          <w:sz w:val="26"/>
          <w:szCs w:val="26"/>
        </w:rPr>
        <w:t xml:space="preserve"> as follows:</w:t>
      </w:r>
    </w:p>
    <w:p w14:paraId="5E9841CA" w14:textId="77777777" w:rsidR="00A8096B" w:rsidRPr="00E9174E" w:rsidRDefault="00A8096B" w:rsidP="00E9174E">
      <w:pPr>
        <w:widowControl/>
        <w:autoSpaceDE w:val="0"/>
        <w:autoSpaceDN w:val="0"/>
        <w:adjustRightInd w:val="0"/>
        <w:contextualSpacing/>
        <w:rPr>
          <w:sz w:val="26"/>
          <w:szCs w:val="26"/>
        </w:rPr>
      </w:pPr>
    </w:p>
    <w:p w14:paraId="1220DADF" w14:textId="77777777" w:rsidR="00A8096B" w:rsidRPr="00E9174E" w:rsidRDefault="00A8096B" w:rsidP="00E9174E">
      <w:pPr>
        <w:widowControl/>
        <w:autoSpaceDE w:val="0"/>
        <w:autoSpaceDN w:val="0"/>
        <w:adjustRightInd w:val="0"/>
        <w:ind w:left="1440" w:right="1440"/>
        <w:contextualSpacing/>
        <w:rPr>
          <w:sz w:val="26"/>
          <w:szCs w:val="26"/>
        </w:rPr>
      </w:pPr>
      <w:r w:rsidRPr="00E9174E">
        <w:rPr>
          <w:sz w:val="26"/>
          <w:szCs w:val="26"/>
        </w:rPr>
        <w:t>Schedule JDM-1 [attached to OCA St. 4] presents the results of the OCA’s Peak &amp; Average ACOS Study that eliminates the separate assignment of distribution mains to categories and assigns the costs associated with major account representatives to the appropriate classes.  This study provides a reasonable indication of the cost of service for each rate class.  Table 5 [on p. 30 of OCA St. 4] provides a summary of the OCA’s Peak &amp; Average Study at present rates.</w:t>
      </w:r>
    </w:p>
    <w:p w14:paraId="1179537D" w14:textId="77777777" w:rsidR="00A8096B" w:rsidRPr="00E9174E" w:rsidRDefault="00A8096B" w:rsidP="00997099">
      <w:pPr>
        <w:widowControl/>
        <w:autoSpaceDE w:val="0"/>
        <w:autoSpaceDN w:val="0"/>
        <w:adjustRightInd w:val="0"/>
        <w:spacing w:line="360" w:lineRule="auto"/>
        <w:ind w:left="1440" w:right="1440"/>
        <w:contextualSpacing/>
        <w:rPr>
          <w:sz w:val="26"/>
          <w:szCs w:val="26"/>
        </w:rPr>
      </w:pPr>
    </w:p>
    <w:p w14:paraId="57C493A5" w14:textId="77777777" w:rsidR="00A8096B" w:rsidRPr="00E9174E" w:rsidRDefault="00A8096B" w:rsidP="00E9174E">
      <w:pPr>
        <w:widowControl/>
        <w:tabs>
          <w:tab w:val="left" w:pos="720"/>
          <w:tab w:val="left" w:pos="1440"/>
          <w:tab w:val="left" w:pos="2160"/>
          <w:tab w:val="right" w:leader="dot" w:pos="9360"/>
        </w:tabs>
        <w:spacing w:line="360" w:lineRule="auto"/>
        <w:contextualSpacing/>
        <w:rPr>
          <w:sz w:val="26"/>
          <w:szCs w:val="26"/>
        </w:rPr>
      </w:pPr>
      <w:r w:rsidRPr="00E9174E">
        <w:rPr>
          <w:sz w:val="26"/>
          <w:szCs w:val="26"/>
        </w:rPr>
        <w:t>OCA St. 4 at 29-30; OCA M.B. at 153.</w:t>
      </w:r>
    </w:p>
    <w:p w14:paraId="2B60FE3B" w14:textId="77777777" w:rsidR="00A8096B" w:rsidRPr="00E9174E" w:rsidRDefault="00A8096B" w:rsidP="00E9174E">
      <w:pPr>
        <w:widowControl/>
        <w:spacing w:line="360" w:lineRule="auto"/>
        <w:contextualSpacing/>
        <w:rPr>
          <w:sz w:val="26"/>
          <w:szCs w:val="26"/>
        </w:rPr>
      </w:pPr>
    </w:p>
    <w:p w14:paraId="4305D661" w14:textId="629AEEFE" w:rsidR="00A8096B" w:rsidRPr="00E9174E" w:rsidRDefault="00A8096B" w:rsidP="00E9174E">
      <w:pPr>
        <w:widowControl/>
        <w:spacing w:line="360" w:lineRule="auto"/>
        <w:ind w:firstLine="1440"/>
        <w:contextualSpacing/>
        <w:rPr>
          <w:sz w:val="26"/>
          <w:szCs w:val="26"/>
        </w:rPr>
      </w:pPr>
      <w:r w:rsidRPr="00E9174E">
        <w:rPr>
          <w:sz w:val="26"/>
          <w:szCs w:val="26"/>
        </w:rPr>
        <w:t xml:space="preserve">The OSBA argued for a modified version of Columbia’s Average ACCOSS, where instead of an equal (50%/50%) weighting of the Company’s Customer-Demand and P&amp;A </w:t>
      </w:r>
      <w:r w:rsidR="00ED6199" w:rsidRPr="00E9174E">
        <w:rPr>
          <w:sz w:val="26"/>
          <w:szCs w:val="26"/>
        </w:rPr>
        <w:t>ACCOSSs</w:t>
      </w:r>
      <w:r w:rsidRPr="00E9174E">
        <w:rPr>
          <w:sz w:val="26"/>
          <w:szCs w:val="26"/>
        </w:rPr>
        <w:t>, the OSBA recommended a 75% weighting be assigned to the P&amp;A ACCOSS and a 25% weighting be assigned to the Customer-Demand study.  OSBA M.B. at 14.  The OSBA asserted that Columbia’s proposed revenue allocation under the Average ACCOSS is not fully consistent with its own proposed cost of service methodology, particularly where small and medium businesses are concerned.  OSBA Witness Mr. Knecht created Table IEc-2 to demonstrate that the Company’s decision to us</w:t>
      </w:r>
      <w:r w:rsidR="006D536E" w:rsidRPr="00E9174E">
        <w:rPr>
          <w:sz w:val="26"/>
          <w:szCs w:val="26"/>
        </w:rPr>
        <w:t>e</w:t>
      </w:r>
      <w:r w:rsidRPr="00E9174E">
        <w:rPr>
          <w:sz w:val="26"/>
          <w:szCs w:val="26"/>
        </w:rPr>
        <w:t xml:space="preserve"> a 50%/50% average of its ACCOSSs is arbitrary based on how widely the results vary across Columbia’s ACCOS</w:t>
      </w:r>
      <w:r w:rsidR="005A1399" w:rsidRPr="00E9174E">
        <w:rPr>
          <w:sz w:val="26"/>
          <w:szCs w:val="26"/>
        </w:rPr>
        <w:t>Ss</w:t>
      </w:r>
      <w:r w:rsidRPr="00E9174E">
        <w:rPr>
          <w:sz w:val="26"/>
          <w:szCs w:val="26"/>
        </w:rPr>
        <w:t>.</w:t>
      </w:r>
      <w:r w:rsidRPr="00E9174E">
        <w:rPr>
          <w:sz w:val="26"/>
          <w:szCs w:val="26"/>
          <w:vertAlign w:val="superscript"/>
        </w:rPr>
        <w:footnoteReference w:id="62"/>
      </w:r>
      <w:r w:rsidRPr="00E9174E">
        <w:rPr>
          <w:sz w:val="26"/>
          <w:szCs w:val="26"/>
        </w:rPr>
        <w:t xml:space="preserve">  He further contended that the Company was unclear with regard to a cost allocation methodology and failed to offer a revenue </w:t>
      </w:r>
      <w:r w:rsidRPr="00E9174E">
        <w:rPr>
          <w:sz w:val="26"/>
          <w:szCs w:val="26"/>
        </w:rPr>
        <w:lastRenderedPageBreak/>
        <w:t>allocation consistent with its own ACCOS</w:t>
      </w:r>
      <w:r w:rsidR="005A1399" w:rsidRPr="00E9174E">
        <w:rPr>
          <w:sz w:val="26"/>
          <w:szCs w:val="26"/>
        </w:rPr>
        <w:t>Ss</w:t>
      </w:r>
      <w:r w:rsidRPr="00E9174E">
        <w:rPr>
          <w:sz w:val="26"/>
          <w:szCs w:val="26"/>
        </w:rPr>
        <w:t>.</w:t>
      </w:r>
      <w:r w:rsidRPr="00E9174E">
        <w:rPr>
          <w:sz w:val="26"/>
          <w:szCs w:val="26"/>
          <w:vertAlign w:val="superscript"/>
        </w:rPr>
        <w:footnoteReference w:id="63"/>
      </w:r>
      <w:r w:rsidRPr="00E9174E">
        <w:rPr>
          <w:sz w:val="26"/>
          <w:szCs w:val="26"/>
        </w:rPr>
        <w:t xml:space="preserve">  For these reasons, Mr. Knecht developed a 75%/25% weighting of the Company’s P&amp;A and Customer-Demand ACCOS</w:t>
      </w:r>
      <w:r w:rsidR="005A1399" w:rsidRPr="00E9174E">
        <w:rPr>
          <w:sz w:val="26"/>
          <w:szCs w:val="26"/>
        </w:rPr>
        <w:t>Ss</w:t>
      </w:r>
      <w:r w:rsidRPr="00E9174E">
        <w:rPr>
          <w:sz w:val="26"/>
          <w:szCs w:val="26"/>
        </w:rPr>
        <w:t>.</w:t>
      </w:r>
      <w:r w:rsidRPr="00E9174E">
        <w:rPr>
          <w:sz w:val="26"/>
          <w:szCs w:val="26"/>
          <w:vertAlign w:val="superscript"/>
        </w:rPr>
        <w:footnoteReference w:id="64"/>
      </w:r>
    </w:p>
    <w:p w14:paraId="51FE22E0" w14:textId="77777777" w:rsidR="00A8096B" w:rsidRPr="00E9174E" w:rsidRDefault="00A8096B" w:rsidP="00E9174E">
      <w:pPr>
        <w:widowControl/>
        <w:spacing w:line="360" w:lineRule="auto"/>
        <w:contextualSpacing/>
        <w:rPr>
          <w:sz w:val="26"/>
          <w:szCs w:val="26"/>
        </w:rPr>
      </w:pPr>
    </w:p>
    <w:p w14:paraId="1D8CCAD6" w14:textId="71391B0D" w:rsidR="00A8096B" w:rsidRPr="00E9174E" w:rsidRDefault="00A8096B" w:rsidP="00E9174E">
      <w:pPr>
        <w:widowControl/>
        <w:autoSpaceDE w:val="0"/>
        <w:autoSpaceDN w:val="0"/>
        <w:adjustRightInd w:val="0"/>
        <w:spacing w:line="360" w:lineRule="auto"/>
        <w:ind w:firstLine="1440"/>
        <w:contextualSpacing/>
        <w:rPr>
          <w:sz w:val="26"/>
          <w:szCs w:val="26"/>
        </w:rPr>
      </w:pPr>
      <w:r w:rsidRPr="00E9174E">
        <w:rPr>
          <w:sz w:val="26"/>
          <w:szCs w:val="26"/>
        </w:rPr>
        <w:t>CII supported the Company’s Customer-Demand study, and in the alternative, Columbia’s Average ACCOSS.  CII M.B. at 10.  CII advocated that the most appropriate study for revenue allocation guidance in this proceeding is one in which mains are allocated based on the number of customers because there is a clear and direct relationship between the number of customers and the need for more pipeline extensions.  CII M.B. at 10-15.  Additionally, CII opined that the exclusive use of Columbia’s P&amp;A ACCOS</w:t>
      </w:r>
      <w:r w:rsidR="00B64987" w:rsidRPr="00E9174E">
        <w:rPr>
          <w:sz w:val="26"/>
          <w:szCs w:val="26"/>
        </w:rPr>
        <w:t>S</w:t>
      </w:r>
      <w:r w:rsidRPr="00E9174E">
        <w:rPr>
          <w:sz w:val="26"/>
          <w:szCs w:val="26"/>
        </w:rPr>
        <w:t xml:space="preserve"> has not been demonstrated to be just and reasonable or consistent with Commission precedent.  According to CII, the exclusive use of the P&amp;A ACCOS</w:t>
      </w:r>
      <w:r w:rsidR="00B64987" w:rsidRPr="00E9174E">
        <w:rPr>
          <w:sz w:val="26"/>
          <w:szCs w:val="26"/>
        </w:rPr>
        <w:t>S</w:t>
      </w:r>
      <w:r w:rsidRPr="00E9174E">
        <w:rPr>
          <w:sz w:val="26"/>
          <w:szCs w:val="26"/>
        </w:rPr>
        <w:t xml:space="preserve"> (and its omission of the direct relationship between the number of customers and pipeline usage) would unfairly discriminate against higher load customers.  For those same reasons, CII contends that any request to provide greater weight to the P&amp;A ACCOS</w:t>
      </w:r>
      <w:r w:rsidR="00B64987" w:rsidRPr="00E9174E">
        <w:rPr>
          <w:sz w:val="26"/>
          <w:szCs w:val="26"/>
        </w:rPr>
        <w:t>S</w:t>
      </w:r>
      <w:r w:rsidRPr="00E9174E">
        <w:rPr>
          <w:sz w:val="26"/>
          <w:szCs w:val="26"/>
        </w:rPr>
        <w:t xml:space="preserve"> should be rejected.  Conversely, CII believes the Customer-Demand ACCOS</w:t>
      </w:r>
      <w:r w:rsidR="00B64987" w:rsidRPr="00E9174E">
        <w:rPr>
          <w:sz w:val="26"/>
          <w:szCs w:val="26"/>
        </w:rPr>
        <w:t>S</w:t>
      </w:r>
      <w:r w:rsidRPr="00E9174E">
        <w:rPr>
          <w:sz w:val="26"/>
          <w:szCs w:val="26"/>
        </w:rPr>
        <w:t xml:space="preserve"> accurately captures cost of service components and could be utilized on its own merits or provided greater weight in comparison to the P&amp;A ACCOS</w:t>
      </w:r>
      <w:r w:rsidR="00B64987" w:rsidRPr="00E9174E">
        <w:rPr>
          <w:sz w:val="26"/>
          <w:szCs w:val="26"/>
        </w:rPr>
        <w:t>S</w:t>
      </w:r>
      <w:r w:rsidRPr="00E9174E">
        <w:rPr>
          <w:sz w:val="26"/>
          <w:szCs w:val="26"/>
        </w:rPr>
        <w:t>.  Alternatively, if the Commission has concerns with either the P&amp;A or Customer-Demand ACCOS</w:t>
      </w:r>
      <w:r w:rsidR="00C36015" w:rsidRPr="00E9174E">
        <w:rPr>
          <w:sz w:val="26"/>
          <w:szCs w:val="26"/>
        </w:rPr>
        <w:t>Ss</w:t>
      </w:r>
      <w:r w:rsidRPr="00E9174E">
        <w:rPr>
          <w:sz w:val="26"/>
          <w:szCs w:val="26"/>
        </w:rPr>
        <w:t xml:space="preserve"> then the Commission should accept Columbia’s Average ACCOS</w:t>
      </w:r>
      <w:r w:rsidR="00C36015" w:rsidRPr="00E9174E">
        <w:rPr>
          <w:sz w:val="26"/>
          <w:szCs w:val="26"/>
        </w:rPr>
        <w:t>S</w:t>
      </w:r>
      <w:r w:rsidRPr="00E9174E">
        <w:rPr>
          <w:sz w:val="26"/>
          <w:szCs w:val="26"/>
        </w:rPr>
        <w:t>, without modification, as just and reasonable.  CII M.B. at 14-15; R.D. at 381-382.</w:t>
      </w:r>
    </w:p>
    <w:p w14:paraId="3D4E36F4" w14:textId="77777777" w:rsidR="00A8096B" w:rsidRPr="00E9174E" w:rsidRDefault="00A8096B" w:rsidP="00E9174E">
      <w:pPr>
        <w:widowControl/>
        <w:spacing w:line="360" w:lineRule="auto"/>
        <w:contextualSpacing/>
        <w:rPr>
          <w:sz w:val="26"/>
          <w:szCs w:val="26"/>
        </w:rPr>
      </w:pPr>
    </w:p>
    <w:p w14:paraId="7C9F05DB" w14:textId="5F6E4600" w:rsidR="00A8096B" w:rsidRPr="00E9174E" w:rsidRDefault="00A8096B" w:rsidP="00277ECF">
      <w:pPr>
        <w:pStyle w:val="Heading3"/>
        <w:numPr>
          <w:ilvl w:val="0"/>
          <w:numId w:val="29"/>
        </w:numPr>
        <w:ind w:left="1440" w:hanging="720"/>
      </w:pPr>
      <w:bookmarkStart w:id="403" w:name="_Toc61011372"/>
      <w:bookmarkStart w:id="404" w:name="_Toc63764605"/>
      <w:r w:rsidRPr="00E9174E">
        <w:lastRenderedPageBreak/>
        <w:t>Recommended Decision</w:t>
      </w:r>
      <w:bookmarkEnd w:id="403"/>
      <w:bookmarkEnd w:id="404"/>
    </w:p>
    <w:p w14:paraId="7BB08CE1" w14:textId="77777777" w:rsidR="00A8096B" w:rsidRPr="00E9174E" w:rsidRDefault="00A8096B" w:rsidP="00E9174E">
      <w:pPr>
        <w:keepNext/>
        <w:keepLines/>
        <w:widowControl/>
        <w:spacing w:line="360" w:lineRule="auto"/>
        <w:ind w:firstLine="1440"/>
        <w:contextualSpacing/>
        <w:rPr>
          <w:sz w:val="26"/>
          <w:szCs w:val="26"/>
        </w:rPr>
      </w:pPr>
    </w:p>
    <w:p w14:paraId="3F198A5A" w14:textId="34FFF718" w:rsidR="00A8096B" w:rsidRPr="00E9174E" w:rsidRDefault="00A8096B" w:rsidP="00E9174E">
      <w:pPr>
        <w:widowControl/>
        <w:spacing w:line="360" w:lineRule="auto"/>
        <w:ind w:firstLine="1440"/>
        <w:contextualSpacing/>
        <w:rPr>
          <w:rFonts w:eastAsia="Calibri"/>
          <w:sz w:val="26"/>
          <w:szCs w:val="26"/>
        </w:rPr>
      </w:pPr>
      <w:r w:rsidRPr="00E9174E">
        <w:rPr>
          <w:sz w:val="26"/>
          <w:szCs w:val="26"/>
        </w:rPr>
        <w:t>The ALJ recommended that the OCA’s P&amp;A ACCOS</w:t>
      </w:r>
      <w:r w:rsidR="00C36015" w:rsidRPr="00E9174E">
        <w:rPr>
          <w:sz w:val="26"/>
          <w:szCs w:val="26"/>
        </w:rPr>
        <w:t>S</w:t>
      </w:r>
      <w:r w:rsidRPr="00E9174E">
        <w:rPr>
          <w:sz w:val="26"/>
          <w:szCs w:val="26"/>
          <w:vertAlign w:val="superscript"/>
        </w:rPr>
        <w:footnoteReference w:id="65"/>
      </w:r>
      <w:r w:rsidRPr="00E9174E">
        <w:rPr>
          <w:sz w:val="26"/>
          <w:szCs w:val="26"/>
        </w:rPr>
        <w:t xml:space="preserve"> be used for the allocation of the revenue increase in this base rate proceeding.</w:t>
      </w:r>
      <w:r w:rsidRPr="00E9174E">
        <w:rPr>
          <w:sz w:val="26"/>
          <w:szCs w:val="26"/>
          <w:vertAlign w:val="superscript"/>
        </w:rPr>
        <w:footnoteReference w:id="66"/>
      </w:r>
      <w:r w:rsidRPr="00E9174E">
        <w:rPr>
          <w:sz w:val="26"/>
          <w:szCs w:val="26"/>
        </w:rPr>
        <w:t xml:space="preserve">  </w:t>
      </w:r>
      <w:r w:rsidRPr="00E9174E">
        <w:rPr>
          <w:rFonts w:eastAsia="Calibri"/>
          <w:sz w:val="26"/>
          <w:szCs w:val="26"/>
        </w:rPr>
        <w:t>In support of her recommendation, the ALJ stated:</w:t>
      </w:r>
    </w:p>
    <w:p w14:paraId="51DD66DA" w14:textId="77777777" w:rsidR="00A8096B" w:rsidRPr="00E9174E" w:rsidRDefault="00A8096B" w:rsidP="00E9174E">
      <w:pPr>
        <w:widowControl/>
        <w:contextualSpacing/>
        <w:rPr>
          <w:rFonts w:eastAsia="Calibri"/>
          <w:sz w:val="26"/>
          <w:szCs w:val="26"/>
        </w:rPr>
      </w:pPr>
    </w:p>
    <w:p w14:paraId="35BF8FF7" w14:textId="6006DF73" w:rsidR="00A8096B" w:rsidRPr="00E9174E" w:rsidRDefault="00A8096B" w:rsidP="00E9174E">
      <w:pPr>
        <w:widowControl/>
        <w:ind w:left="1440" w:right="1440"/>
        <w:contextualSpacing/>
        <w:rPr>
          <w:rFonts w:eastAsia="Calibri"/>
          <w:sz w:val="26"/>
          <w:szCs w:val="26"/>
        </w:rPr>
      </w:pPr>
      <w:r w:rsidRPr="00E9174E">
        <w:rPr>
          <w:rFonts w:eastAsia="Calibri"/>
          <w:sz w:val="26"/>
          <w:szCs w:val="26"/>
        </w:rPr>
        <w:tab/>
        <w:t>The ALJ accept</w:t>
      </w:r>
      <w:r w:rsidR="001D7300" w:rsidRPr="00E9174E">
        <w:rPr>
          <w:rFonts w:eastAsia="Calibri"/>
          <w:sz w:val="26"/>
          <w:szCs w:val="26"/>
        </w:rPr>
        <w:t>s</w:t>
      </w:r>
      <w:r w:rsidRPr="00E9174E">
        <w:rPr>
          <w:rFonts w:eastAsia="Calibri"/>
          <w:sz w:val="26"/>
          <w:szCs w:val="26"/>
        </w:rPr>
        <w:t xml:space="preserve"> the OCA’s Peak &amp; Average ACOSS (seen in its </w:t>
      </w:r>
      <w:bookmarkStart w:id="405" w:name="_Hlk62222239"/>
      <w:r w:rsidRPr="00E9174E">
        <w:rPr>
          <w:rFonts w:eastAsia="Calibri"/>
          <w:sz w:val="26"/>
          <w:szCs w:val="26"/>
        </w:rPr>
        <w:t>Table 5 attached to Schedule JDM-1</w:t>
      </w:r>
      <w:bookmarkEnd w:id="405"/>
      <w:r w:rsidRPr="00E9174E">
        <w:rPr>
          <w:rFonts w:eastAsia="Calibri"/>
          <w:sz w:val="26"/>
          <w:szCs w:val="26"/>
        </w:rPr>
        <w:t>) as the most reasonable of the COSS alternatives provided by Columbia Gas and the parties.  Especially noteworthy is that the Peak &amp; Average method, when using the Company’s or using OCA’s COSS, shows that currently the Residential class overpays for its cost of service.  In addition to supporting its COSS, OCA also created a separate COSS (in order to verify the strength of the Peak &amp; Average COSS) which used an ACOS allocating mains investment using the Proportional Responsibility (PR) method.  The PR method allocates distribution mains investments based on a recognition that capacity has some value each month, although that value diminishes over the summer with its lower demands.</w:t>
      </w:r>
      <w:r w:rsidRPr="00E9174E">
        <w:rPr>
          <w:rFonts w:eastAsia="Calibri"/>
          <w:sz w:val="26"/>
          <w:szCs w:val="26"/>
          <w:vertAlign w:val="superscript"/>
        </w:rPr>
        <w:t>34</w:t>
      </w:r>
      <w:r w:rsidRPr="00E9174E">
        <w:rPr>
          <w:rFonts w:eastAsia="Calibri"/>
          <w:sz w:val="26"/>
          <w:szCs w:val="26"/>
        </w:rPr>
        <w:t xml:space="preserve">  The results from the separate COSS were very similar to OCA’s Peak &amp; Average COSS and verify the results are more reasonable and appropriate than the COSSs used by Columbia Gas.</w:t>
      </w:r>
    </w:p>
    <w:p w14:paraId="1102B73F" w14:textId="77777777" w:rsidR="00A8096B" w:rsidRPr="00E9174E" w:rsidRDefault="00A8096B" w:rsidP="00E9174E">
      <w:pPr>
        <w:widowControl/>
        <w:ind w:left="1440" w:right="1440"/>
        <w:contextualSpacing/>
        <w:rPr>
          <w:rFonts w:eastAsia="Calibri"/>
          <w:sz w:val="26"/>
          <w:szCs w:val="26"/>
        </w:rPr>
      </w:pPr>
      <w:r w:rsidRPr="00E9174E">
        <w:rPr>
          <w:rFonts w:eastAsia="Calibri"/>
          <w:sz w:val="26"/>
          <w:szCs w:val="26"/>
        </w:rPr>
        <w:t>________________</w:t>
      </w:r>
    </w:p>
    <w:p w14:paraId="303CAE6D" w14:textId="77777777" w:rsidR="00A8096B" w:rsidRPr="00E9174E" w:rsidRDefault="00A8096B" w:rsidP="00E9174E">
      <w:pPr>
        <w:widowControl/>
        <w:ind w:left="1440" w:right="1440"/>
        <w:contextualSpacing/>
        <w:rPr>
          <w:rFonts w:eastAsia="Calibri"/>
          <w:sz w:val="26"/>
          <w:szCs w:val="26"/>
        </w:rPr>
      </w:pPr>
      <w:r w:rsidRPr="00E9174E">
        <w:rPr>
          <w:rFonts w:eastAsia="Calibri"/>
          <w:sz w:val="26"/>
          <w:szCs w:val="26"/>
          <w:vertAlign w:val="superscript"/>
        </w:rPr>
        <w:t>34</w:t>
      </w:r>
      <w:r w:rsidRPr="00E9174E">
        <w:rPr>
          <w:rFonts w:eastAsia="Calibri"/>
          <w:sz w:val="26"/>
          <w:szCs w:val="26"/>
        </w:rPr>
        <w:t xml:space="preserve">  OCA St. 4 at 30-31.  OCA noted Columbia’s sister company, Columbia Gas of Massachusetts, used the same PR method in its ACOS study in that utility’s most recent base rate proceeding.</w:t>
      </w:r>
    </w:p>
    <w:p w14:paraId="22FC4A77" w14:textId="77777777" w:rsidR="00A8096B" w:rsidRPr="00E9174E" w:rsidRDefault="00A8096B" w:rsidP="00E9174E">
      <w:pPr>
        <w:widowControl/>
        <w:ind w:left="1440" w:right="1440"/>
        <w:contextualSpacing/>
        <w:rPr>
          <w:rFonts w:eastAsia="Calibri"/>
          <w:sz w:val="26"/>
          <w:szCs w:val="26"/>
        </w:rPr>
      </w:pPr>
    </w:p>
    <w:p w14:paraId="43C179EB" w14:textId="77777777" w:rsidR="00A8096B" w:rsidRPr="00E9174E" w:rsidRDefault="00A8096B" w:rsidP="00E9174E">
      <w:pPr>
        <w:widowControl/>
        <w:ind w:left="1440" w:right="1440"/>
        <w:contextualSpacing/>
        <w:rPr>
          <w:rFonts w:eastAsia="Calibri"/>
          <w:sz w:val="26"/>
          <w:szCs w:val="26"/>
        </w:rPr>
      </w:pPr>
    </w:p>
    <w:p w14:paraId="706EF92C" w14:textId="0A17480D" w:rsidR="00A8096B" w:rsidRPr="00E9174E" w:rsidRDefault="00A8096B" w:rsidP="00E9174E">
      <w:pPr>
        <w:widowControl/>
        <w:spacing w:line="360" w:lineRule="auto"/>
        <w:contextualSpacing/>
        <w:rPr>
          <w:rFonts w:eastAsia="Calibri"/>
          <w:sz w:val="26"/>
          <w:szCs w:val="26"/>
        </w:rPr>
      </w:pPr>
      <w:r w:rsidRPr="00E9174E">
        <w:rPr>
          <w:rFonts w:eastAsia="Calibri"/>
          <w:sz w:val="26"/>
          <w:szCs w:val="26"/>
        </w:rPr>
        <w:t>R.D. at 394-395.  Thus, the ALJ opined that the OCA’s P&amp;A ACCOS</w:t>
      </w:r>
      <w:r w:rsidR="00C36015" w:rsidRPr="00E9174E">
        <w:rPr>
          <w:rFonts w:eastAsia="Calibri"/>
          <w:sz w:val="26"/>
          <w:szCs w:val="26"/>
        </w:rPr>
        <w:t>S</w:t>
      </w:r>
      <w:r w:rsidRPr="00E9174E">
        <w:rPr>
          <w:rFonts w:eastAsia="Calibri"/>
          <w:sz w:val="26"/>
          <w:szCs w:val="26"/>
        </w:rPr>
        <w:t xml:space="preserve"> should be adopted because: </w:t>
      </w:r>
      <w:r w:rsidR="007024DA" w:rsidRPr="00E9174E">
        <w:rPr>
          <w:rFonts w:eastAsia="Calibri"/>
          <w:sz w:val="26"/>
          <w:szCs w:val="26"/>
        </w:rPr>
        <w:t xml:space="preserve"> </w:t>
      </w:r>
      <w:r w:rsidRPr="00E9174E">
        <w:rPr>
          <w:rFonts w:eastAsia="Calibri"/>
          <w:sz w:val="26"/>
          <w:szCs w:val="26"/>
        </w:rPr>
        <w:t>(1) the OCA presented the most persuasive arguments and depth of evidence in support of its study compared to others; (2) the OCA’s P&amp;A ACCOS</w:t>
      </w:r>
      <w:r w:rsidR="00C36015" w:rsidRPr="00E9174E">
        <w:rPr>
          <w:rFonts w:eastAsia="Calibri"/>
          <w:sz w:val="26"/>
          <w:szCs w:val="26"/>
        </w:rPr>
        <w:t>S</w:t>
      </w:r>
      <w:r w:rsidRPr="00E9174E">
        <w:rPr>
          <w:rFonts w:eastAsia="Calibri"/>
          <w:sz w:val="26"/>
          <w:szCs w:val="26"/>
        </w:rPr>
        <w:t xml:space="preserve"> corrects the errors in the Company’s ACCOS</w:t>
      </w:r>
      <w:r w:rsidR="00C36015" w:rsidRPr="00E9174E">
        <w:rPr>
          <w:rFonts w:eastAsia="Calibri"/>
          <w:sz w:val="26"/>
          <w:szCs w:val="26"/>
        </w:rPr>
        <w:t>S</w:t>
      </w:r>
      <w:r w:rsidRPr="00E9174E">
        <w:rPr>
          <w:rFonts w:eastAsia="Calibri"/>
          <w:sz w:val="26"/>
          <w:szCs w:val="26"/>
        </w:rPr>
        <w:t>; and (3) the OCA’s P&amp;A ACCOS</w:t>
      </w:r>
      <w:r w:rsidR="00C36015" w:rsidRPr="00E9174E">
        <w:rPr>
          <w:rFonts w:eastAsia="Calibri"/>
          <w:sz w:val="26"/>
          <w:szCs w:val="26"/>
        </w:rPr>
        <w:t>S</w:t>
      </w:r>
      <w:r w:rsidRPr="00E9174E">
        <w:rPr>
          <w:rFonts w:eastAsia="Calibri"/>
          <w:sz w:val="26"/>
          <w:szCs w:val="26"/>
        </w:rPr>
        <w:t xml:space="preserve"> </w:t>
      </w:r>
      <w:r w:rsidRPr="00E9174E">
        <w:rPr>
          <w:rFonts w:eastAsia="Calibri"/>
          <w:sz w:val="26"/>
          <w:szCs w:val="26"/>
        </w:rPr>
        <w:lastRenderedPageBreak/>
        <w:t>provides a useful guide to allocate distribution of the revenue increase in this proceeding consistent with precedent.</w:t>
      </w:r>
      <w:r w:rsidRPr="00E9174E">
        <w:rPr>
          <w:rFonts w:eastAsia="Calibri"/>
          <w:sz w:val="26"/>
          <w:szCs w:val="26"/>
          <w:vertAlign w:val="superscript"/>
        </w:rPr>
        <w:footnoteReference w:id="67"/>
      </w:r>
    </w:p>
    <w:p w14:paraId="6C59EDCA" w14:textId="77777777" w:rsidR="00A8096B" w:rsidRPr="00E9174E" w:rsidRDefault="00A8096B" w:rsidP="00E9174E">
      <w:pPr>
        <w:widowControl/>
        <w:spacing w:line="360" w:lineRule="auto"/>
        <w:contextualSpacing/>
        <w:rPr>
          <w:sz w:val="26"/>
          <w:szCs w:val="26"/>
        </w:rPr>
      </w:pPr>
    </w:p>
    <w:p w14:paraId="5104524C" w14:textId="1CB87D4C" w:rsidR="00A8096B" w:rsidRPr="00E9174E" w:rsidRDefault="00A8096B" w:rsidP="00277ECF">
      <w:pPr>
        <w:pStyle w:val="Heading3"/>
        <w:numPr>
          <w:ilvl w:val="0"/>
          <w:numId w:val="29"/>
        </w:numPr>
        <w:ind w:left="1440" w:hanging="720"/>
      </w:pPr>
      <w:bookmarkStart w:id="407" w:name="_Toc63764606"/>
      <w:bookmarkStart w:id="408" w:name="_Toc61011373"/>
      <w:r w:rsidRPr="00E9174E">
        <w:t>Exceptions and Replies</w:t>
      </w:r>
      <w:bookmarkEnd w:id="407"/>
      <w:r w:rsidRPr="00E9174E">
        <w:t xml:space="preserve"> </w:t>
      </w:r>
      <w:bookmarkEnd w:id="408"/>
    </w:p>
    <w:p w14:paraId="2DD60773" w14:textId="77777777" w:rsidR="00A8096B" w:rsidRPr="00E9174E" w:rsidRDefault="00A8096B" w:rsidP="00E9174E">
      <w:pPr>
        <w:keepNext/>
        <w:keepLines/>
        <w:widowControl/>
        <w:spacing w:line="360" w:lineRule="auto"/>
        <w:contextualSpacing/>
        <w:rPr>
          <w:sz w:val="26"/>
          <w:szCs w:val="26"/>
        </w:rPr>
      </w:pPr>
    </w:p>
    <w:p w14:paraId="06E89874" w14:textId="2B9ED5C0" w:rsidR="00A8096B" w:rsidRPr="00E9174E" w:rsidRDefault="00A8096B" w:rsidP="00277ECF">
      <w:pPr>
        <w:pStyle w:val="Heading4"/>
        <w:numPr>
          <w:ilvl w:val="0"/>
          <w:numId w:val="65"/>
        </w:numPr>
        <w:ind w:left="2160" w:hanging="720"/>
      </w:pPr>
      <w:bookmarkStart w:id="409" w:name="_Toc63764607"/>
      <w:r w:rsidRPr="00E9174E">
        <w:t>Columbia Exceptions Nos. 18 &amp; 19</w:t>
      </w:r>
      <w:bookmarkEnd w:id="409"/>
      <w:r w:rsidRPr="00E9174E">
        <w:t xml:space="preserve"> </w:t>
      </w:r>
    </w:p>
    <w:p w14:paraId="242D4D2B" w14:textId="77777777" w:rsidR="00A8096B" w:rsidRPr="00E9174E" w:rsidRDefault="00A8096B" w:rsidP="00E9174E">
      <w:pPr>
        <w:keepNext/>
        <w:keepLines/>
        <w:widowControl/>
        <w:spacing w:line="360" w:lineRule="auto"/>
        <w:contextualSpacing/>
        <w:rPr>
          <w:sz w:val="26"/>
          <w:szCs w:val="26"/>
        </w:rPr>
      </w:pPr>
    </w:p>
    <w:p w14:paraId="78F638D8" w14:textId="586F93F3" w:rsidR="00A8096B" w:rsidRPr="00E9174E" w:rsidRDefault="00A8096B" w:rsidP="00E9174E">
      <w:pPr>
        <w:widowControl/>
        <w:spacing w:line="360" w:lineRule="auto"/>
        <w:ind w:firstLine="1440"/>
        <w:contextualSpacing/>
        <w:rPr>
          <w:sz w:val="26"/>
          <w:szCs w:val="26"/>
        </w:rPr>
      </w:pPr>
      <w:r w:rsidRPr="00E9174E">
        <w:rPr>
          <w:sz w:val="26"/>
          <w:szCs w:val="26"/>
        </w:rPr>
        <w:t>In its Exception No. 18, Columbia argues that the ALJ erred in selecting the OCA’s P&amp;A ACCOS</w:t>
      </w:r>
      <w:r w:rsidR="007C5C30" w:rsidRPr="00E9174E">
        <w:rPr>
          <w:sz w:val="26"/>
          <w:szCs w:val="26"/>
        </w:rPr>
        <w:t>S</w:t>
      </w:r>
      <w:r w:rsidRPr="00E9174E">
        <w:rPr>
          <w:sz w:val="26"/>
          <w:szCs w:val="26"/>
        </w:rPr>
        <w:t xml:space="preserve"> as the preferred method for allocating revenue because it claims the OCA’s P&amp;A ACCOS</w:t>
      </w:r>
      <w:r w:rsidR="009D5713" w:rsidRPr="00E9174E">
        <w:rPr>
          <w:sz w:val="26"/>
          <w:szCs w:val="26"/>
        </w:rPr>
        <w:t>S</w:t>
      </w:r>
      <w:r w:rsidRPr="00E9174E">
        <w:rPr>
          <w:sz w:val="26"/>
          <w:szCs w:val="26"/>
        </w:rPr>
        <w:t xml:space="preserve"> is not an accurate reflection of the Company’s cost to serve each customer class.  CG Exc. at 29 (citing R.D. at 394-395).</w:t>
      </w:r>
    </w:p>
    <w:p w14:paraId="18EFA896" w14:textId="77777777" w:rsidR="00A8096B" w:rsidRPr="00E9174E" w:rsidRDefault="00A8096B" w:rsidP="00E9174E">
      <w:pPr>
        <w:widowControl/>
        <w:spacing w:line="360" w:lineRule="auto"/>
        <w:contextualSpacing/>
        <w:rPr>
          <w:sz w:val="26"/>
          <w:szCs w:val="26"/>
        </w:rPr>
      </w:pPr>
    </w:p>
    <w:p w14:paraId="3D234E8B" w14:textId="0EE62F05" w:rsidR="00A8096B" w:rsidRPr="00E9174E" w:rsidRDefault="00A8096B" w:rsidP="00E9174E">
      <w:pPr>
        <w:widowControl/>
        <w:spacing w:line="360" w:lineRule="auto"/>
        <w:ind w:firstLine="1440"/>
        <w:contextualSpacing/>
        <w:rPr>
          <w:sz w:val="26"/>
          <w:szCs w:val="26"/>
        </w:rPr>
      </w:pPr>
      <w:r w:rsidRPr="00E9174E">
        <w:rPr>
          <w:sz w:val="26"/>
          <w:szCs w:val="26"/>
        </w:rPr>
        <w:t>Columbia opines that the ALJ’s decision was based on the desired result of minimizing a rate increase to the Residential customer class without evaluating whether the other ACCOS</w:t>
      </w:r>
      <w:r w:rsidR="009D5713" w:rsidRPr="00E9174E">
        <w:rPr>
          <w:sz w:val="26"/>
          <w:szCs w:val="26"/>
        </w:rPr>
        <w:t>Ss</w:t>
      </w:r>
      <w:r w:rsidRPr="00E9174E">
        <w:rPr>
          <w:sz w:val="26"/>
          <w:szCs w:val="26"/>
        </w:rPr>
        <w:t xml:space="preserve"> proposed in this proceeding accurately represent the cost to serve each class.  Columbia contends that the ALJ selected the OCA’s P&amp;A ACCOS</w:t>
      </w:r>
      <w:r w:rsidR="009D5713" w:rsidRPr="00E9174E">
        <w:rPr>
          <w:sz w:val="26"/>
          <w:szCs w:val="26"/>
        </w:rPr>
        <w:t>S</w:t>
      </w:r>
      <w:r w:rsidRPr="00E9174E">
        <w:rPr>
          <w:sz w:val="26"/>
          <w:szCs w:val="26"/>
        </w:rPr>
        <w:t xml:space="preserve"> because it shows that the Residential class is overpaying for its cost of service and would provide less of an increase to the Residential class.  CG Exc. at 29 (citing R.D. at 394).  However, Columbia avers that the Recommended Decision does not acknowledge that the ACCOS</w:t>
      </w:r>
      <w:r w:rsidR="00896DA6" w:rsidRPr="00E9174E">
        <w:rPr>
          <w:sz w:val="26"/>
          <w:szCs w:val="26"/>
        </w:rPr>
        <w:t>S</w:t>
      </w:r>
      <w:r w:rsidRPr="00E9174E">
        <w:rPr>
          <w:sz w:val="26"/>
          <w:szCs w:val="26"/>
        </w:rPr>
        <w:t xml:space="preserve"> it presented demonstrates that the Residential class is under-contributing, and therefore, should be allocated a greater portion of the total revenue increase.  CG Exc. at</w:t>
      </w:r>
      <w:r w:rsidR="00C05102">
        <w:rPr>
          <w:sz w:val="26"/>
          <w:szCs w:val="26"/>
        </w:rPr>
        <w:t> </w:t>
      </w:r>
      <w:r w:rsidRPr="00E9174E">
        <w:rPr>
          <w:sz w:val="26"/>
          <w:szCs w:val="26"/>
        </w:rPr>
        <w:t>29 (citing CG M.B. at 183).</w:t>
      </w:r>
    </w:p>
    <w:p w14:paraId="3B91B0BB" w14:textId="6B854C3C" w:rsidR="00A8096B" w:rsidRPr="00E9174E" w:rsidRDefault="00A8096B" w:rsidP="00E9174E">
      <w:pPr>
        <w:widowControl/>
        <w:spacing w:line="360" w:lineRule="auto"/>
        <w:ind w:firstLine="1440"/>
        <w:contextualSpacing/>
        <w:rPr>
          <w:sz w:val="26"/>
          <w:szCs w:val="26"/>
        </w:rPr>
      </w:pPr>
      <w:bookmarkStart w:id="410" w:name="_Hlk62058236"/>
      <w:r w:rsidRPr="00E9174E">
        <w:rPr>
          <w:sz w:val="26"/>
          <w:szCs w:val="26"/>
        </w:rPr>
        <w:lastRenderedPageBreak/>
        <w:t xml:space="preserve">Columbia submits that it addressed the many problems with the OCA’s </w:t>
      </w:r>
      <w:bookmarkStart w:id="411" w:name="_Hlk62062464"/>
      <w:r w:rsidRPr="00E9174E">
        <w:rPr>
          <w:sz w:val="26"/>
          <w:szCs w:val="26"/>
        </w:rPr>
        <w:t>P&amp;A ACCOS</w:t>
      </w:r>
      <w:r w:rsidR="00896DA6" w:rsidRPr="00E9174E">
        <w:rPr>
          <w:sz w:val="26"/>
          <w:szCs w:val="26"/>
        </w:rPr>
        <w:t>S</w:t>
      </w:r>
      <w:bookmarkEnd w:id="411"/>
      <w:r w:rsidRPr="00E9174E">
        <w:rPr>
          <w:sz w:val="26"/>
          <w:szCs w:val="26"/>
        </w:rPr>
        <w:t xml:space="preserve"> on pages 131 through 136 of its Main Brief, but the ALJ appears to have overlooked Columbia’s concerns.  CG Exc. at 29.  Columbia addresses several of its concerns that it believes the ALJ either ignored or did not adequately consider in the Recommended Decision.  They include:</w:t>
      </w:r>
      <w:r w:rsidR="00D87CF1" w:rsidRPr="00E9174E">
        <w:rPr>
          <w:sz w:val="26"/>
          <w:szCs w:val="26"/>
        </w:rPr>
        <w:t xml:space="preserve"> </w:t>
      </w:r>
      <w:r w:rsidRPr="00E9174E">
        <w:rPr>
          <w:sz w:val="26"/>
          <w:szCs w:val="26"/>
        </w:rPr>
        <w:t xml:space="preserve"> (1) the absence of a customer component to mains in the OCA’s P&amp;A ACCOS</w:t>
      </w:r>
      <w:r w:rsidR="00896DA6" w:rsidRPr="00E9174E">
        <w:rPr>
          <w:sz w:val="26"/>
          <w:szCs w:val="26"/>
        </w:rPr>
        <w:t>S</w:t>
      </w:r>
      <w:r w:rsidRPr="00E9174E">
        <w:rPr>
          <w:sz w:val="26"/>
          <w:szCs w:val="26"/>
        </w:rPr>
        <w:t>;</w:t>
      </w:r>
      <w:r w:rsidRPr="00E9174E">
        <w:rPr>
          <w:sz w:val="26"/>
          <w:szCs w:val="26"/>
          <w:vertAlign w:val="superscript"/>
        </w:rPr>
        <w:footnoteReference w:id="68"/>
      </w:r>
      <w:r w:rsidRPr="00E9174E">
        <w:rPr>
          <w:sz w:val="26"/>
          <w:szCs w:val="26"/>
        </w:rPr>
        <w:t xml:space="preserve"> (2) recent precedent in which the Commission has determined that a proper ACCOS</w:t>
      </w:r>
      <w:r w:rsidR="00896DA6" w:rsidRPr="00E9174E">
        <w:rPr>
          <w:sz w:val="26"/>
          <w:szCs w:val="26"/>
        </w:rPr>
        <w:t>S</w:t>
      </w:r>
      <w:r w:rsidRPr="00E9174E">
        <w:rPr>
          <w:sz w:val="26"/>
          <w:szCs w:val="26"/>
        </w:rPr>
        <w:t xml:space="preserve"> should recognize both a customer component and a peak demand component of distribution plant;</w:t>
      </w:r>
      <w:r w:rsidRPr="00E9174E">
        <w:rPr>
          <w:sz w:val="26"/>
          <w:szCs w:val="26"/>
          <w:vertAlign w:val="superscript"/>
        </w:rPr>
        <w:footnoteReference w:id="69"/>
      </w:r>
      <w:r w:rsidRPr="00E9174E">
        <w:rPr>
          <w:sz w:val="26"/>
          <w:szCs w:val="26"/>
        </w:rPr>
        <w:t xml:space="preserve"> (3) the absence of the assignment of distribution mains into separate categories by pressure group in the OCA’s P&amp;A ACCOS</w:t>
      </w:r>
      <w:r w:rsidR="00896DA6" w:rsidRPr="00E9174E">
        <w:rPr>
          <w:sz w:val="26"/>
          <w:szCs w:val="26"/>
        </w:rPr>
        <w:t>S</w:t>
      </w:r>
      <w:r w:rsidRPr="00E9174E">
        <w:rPr>
          <w:sz w:val="26"/>
          <w:szCs w:val="26"/>
        </w:rPr>
        <w:t>;</w:t>
      </w:r>
      <w:r w:rsidRPr="00E9174E">
        <w:rPr>
          <w:sz w:val="26"/>
          <w:szCs w:val="26"/>
          <w:vertAlign w:val="superscript"/>
        </w:rPr>
        <w:footnoteReference w:id="70"/>
      </w:r>
      <w:r w:rsidRPr="00E9174E">
        <w:rPr>
          <w:sz w:val="26"/>
          <w:szCs w:val="26"/>
        </w:rPr>
        <w:t xml:space="preserve"> and (4) the accuracy of the finding that the Proportional Responsibility method confirms the reasonableness of </w:t>
      </w:r>
      <w:r w:rsidR="00AD76D7" w:rsidRPr="00E9174E">
        <w:rPr>
          <w:sz w:val="26"/>
          <w:szCs w:val="26"/>
        </w:rPr>
        <w:t xml:space="preserve">the </w:t>
      </w:r>
      <w:r w:rsidRPr="00E9174E">
        <w:rPr>
          <w:sz w:val="26"/>
          <w:szCs w:val="26"/>
        </w:rPr>
        <w:t>OCA’s P&amp;A ACCOS</w:t>
      </w:r>
      <w:r w:rsidR="00896DA6" w:rsidRPr="00E9174E">
        <w:rPr>
          <w:sz w:val="26"/>
          <w:szCs w:val="26"/>
        </w:rPr>
        <w:t>S</w:t>
      </w:r>
      <w:r w:rsidRPr="00E9174E">
        <w:rPr>
          <w:sz w:val="26"/>
          <w:szCs w:val="26"/>
        </w:rPr>
        <w:t>.</w:t>
      </w:r>
      <w:r w:rsidRPr="00E9174E">
        <w:rPr>
          <w:sz w:val="26"/>
          <w:szCs w:val="26"/>
          <w:vertAlign w:val="superscript"/>
        </w:rPr>
        <w:footnoteReference w:id="71"/>
      </w:r>
    </w:p>
    <w:bookmarkEnd w:id="410"/>
    <w:p w14:paraId="5F35CBF3" w14:textId="77777777" w:rsidR="00A8096B" w:rsidRPr="00E9174E" w:rsidRDefault="00A8096B" w:rsidP="00E9174E">
      <w:pPr>
        <w:widowControl/>
        <w:spacing w:line="360" w:lineRule="auto"/>
        <w:contextualSpacing/>
        <w:jc w:val="both"/>
        <w:rPr>
          <w:sz w:val="26"/>
          <w:szCs w:val="26"/>
        </w:rPr>
      </w:pPr>
    </w:p>
    <w:p w14:paraId="2DDE1733" w14:textId="3F55C661" w:rsidR="00A8096B" w:rsidRPr="00E9174E" w:rsidRDefault="00A8096B" w:rsidP="00E9174E">
      <w:pPr>
        <w:widowControl/>
        <w:spacing w:line="360" w:lineRule="auto"/>
        <w:ind w:firstLine="1440"/>
        <w:contextualSpacing/>
        <w:rPr>
          <w:sz w:val="26"/>
          <w:szCs w:val="26"/>
        </w:rPr>
      </w:pPr>
      <w:r w:rsidRPr="00E9174E">
        <w:rPr>
          <w:sz w:val="26"/>
          <w:szCs w:val="26"/>
        </w:rPr>
        <w:t>With regard to Columbia’s first concern, Columbia submits that the absence of a customer component in the OCA’s study excludes a major driver of distribution mains investment (</w:t>
      </w:r>
      <w:r w:rsidRPr="00E9174E">
        <w:rPr>
          <w:i/>
          <w:iCs/>
          <w:sz w:val="26"/>
          <w:szCs w:val="26"/>
        </w:rPr>
        <w:t>i.e.</w:t>
      </w:r>
      <w:r w:rsidRPr="00E9174E">
        <w:rPr>
          <w:sz w:val="26"/>
          <w:szCs w:val="26"/>
        </w:rPr>
        <w:t>, the cost to extend a distribution main to a new customer) and therefore, is not as reflective of the Company’s actual cost of service.  CG</w:t>
      </w:r>
      <w:r w:rsidR="003806D0">
        <w:rPr>
          <w:sz w:val="26"/>
          <w:szCs w:val="26"/>
        </w:rPr>
        <w:t> </w:t>
      </w:r>
      <w:r w:rsidRPr="00E9174E">
        <w:rPr>
          <w:sz w:val="26"/>
          <w:szCs w:val="26"/>
        </w:rPr>
        <w:t>Exc. at 29 (citing CG M.B. at 131-36).</w:t>
      </w:r>
    </w:p>
    <w:p w14:paraId="3C2CC4E9" w14:textId="77777777" w:rsidR="00A8096B" w:rsidRPr="00E9174E" w:rsidRDefault="00A8096B" w:rsidP="00E9174E">
      <w:pPr>
        <w:widowControl/>
        <w:spacing w:line="360" w:lineRule="auto"/>
        <w:contextualSpacing/>
        <w:jc w:val="both"/>
        <w:rPr>
          <w:sz w:val="26"/>
          <w:szCs w:val="26"/>
        </w:rPr>
      </w:pPr>
    </w:p>
    <w:p w14:paraId="1C8B0021" w14:textId="28208F89" w:rsidR="00A8096B" w:rsidRPr="00E9174E" w:rsidRDefault="00A8096B" w:rsidP="00E9174E">
      <w:pPr>
        <w:widowControl/>
        <w:spacing w:line="360" w:lineRule="auto"/>
        <w:ind w:firstLine="1440"/>
        <w:contextualSpacing/>
        <w:rPr>
          <w:sz w:val="26"/>
          <w:szCs w:val="26"/>
        </w:rPr>
      </w:pPr>
      <w:r w:rsidRPr="00E9174E">
        <w:rPr>
          <w:sz w:val="26"/>
          <w:szCs w:val="26"/>
        </w:rPr>
        <w:t xml:space="preserve">With regard to Columbia’s second concern, Columbia submits that recent Commission precedent, which was ignored by the ALJ, has determined that a proper ACCOSS should recognize both a customer component and a peak demand component of </w:t>
      </w:r>
      <w:r w:rsidRPr="00E9174E">
        <w:rPr>
          <w:sz w:val="26"/>
          <w:szCs w:val="26"/>
        </w:rPr>
        <w:lastRenderedPageBreak/>
        <w:t>distribution plant.</w:t>
      </w:r>
      <w:r w:rsidRPr="00E9174E">
        <w:rPr>
          <w:sz w:val="26"/>
          <w:szCs w:val="26"/>
          <w:vertAlign w:val="superscript"/>
        </w:rPr>
        <w:footnoteReference w:id="72"/>
      </w:r>
      <w:r w:rsidRPr="00E9174E">
        <w:rPr>
          <w:sz w:val="26"/>
          <w:szCs w:val="26"/>
        </w:rPr>
        <w:t xml:space="preserve">  Columbia avers that the ALJ’s selection of the OCA’s P&amp;A ACCOS</w:t>
      </w:r>
      <w:r w:rsidR="00B21EC2" w:rsidRPr="00E9174E">
        <w:rPr>
          <w:sz w:val="26"/>
          <w:szCs w:val="26"/>
        </w:rPr>
        <w:t>S</w:t>
      </w:r>
      <w:r w:rsidRPr="00E9174E">
        <w:rPr>
          <w:sz w:val="26"/>
          <w:szCs w:val="26"/>
        </w:rPr>
        <w:t xml:space="preserve"> is not supported by Commission precedent because the customer component is missing from the OCA’s P&amp;A ACCOS</w:t>
      </w:r>
      <w:r w:rsidR="00B21EC2" w:rsidRPr="00E9174E">
        <w:rPr>
          <w:sz w:val="26"/>
          <w:szCs w:val="26"/>
        </w:rPr>
        <w:t>S</w:t>
      </w:r>
      <w:r w:rsidRPr="00E9174E">
        <w:rPr>
          <w:sz w:val="26"/>
          <w:szCs w:val="26"/>
        </w:rPr>
        <w:t>.  CG Exc. at 29-30 (citing CG M.B. at 131-36).</w:t>
      </w:r>
    </w:p>
    <w:p w14:paraId="1B90B188" w14:textId="77777777" w:rsidR="00A8096B" w:rsidRPr="00E9174E" w:rsidRDefault="00A8096B" w:rsidP="00E9174E">
      <w:pPr>
        <w:widowControl/>
        <w:spacing w:line="360" w:lineRule="auto"/>
        <w:contextualSpacing/>
        <w:jc w:val="both"/>
        <w:rPr>
          <w:sz w:val="26"/>
          <w:szCs w:val="26"/>
        </w:rPr>
      </w:pPr>
    </w:p>
    <w:p w14:paraId="18F76315" w14:textId="7F3C0972" w:rsidR="00A8096B" w:rsidRPr="00E9174E" w:rsidRDefault="00A8096B" w:rsidP="00E9174E">
      <w:pPr>
        <w:widowControl/>
        <w:spacing w:line="360" w:lineRule="auto"/>
        <w:ind w:firstLine="1440"/>
        <w:contextualSpacing/>
        <w:rPr>
          <w:sz w:val="26"/>
          <w:szCs w:val="26"/>
        </w:rPr>
      </w:pPr>
      <w:r w:rsidRPr="00E9174E">
        <w:rPr>
          <w:sz w:val="26"/>
          <w:szCs w:val="26"/>
        </w:rPr>
        <w:t>With regard to Columbia’s third concern, Columbia submits that (1) the OCA’s P&amp;A ACCOS</w:t>
      </w:r>
      <w:r w:rsidR="00B21EC2" w:rsidRPr="00E9174E">
        <w:rPr>
          <w:sz w:val="26"/>
          <w:szCs w:val="26"/>
        </w:rPr>
        <w:t>S</w:t>
      </w:r>
      <w:r w:rsidRPr="00E9174E">
        <w:rPr>
          <w:sz w:val="26"/>
          <w:szCs w:val="26"/>
        </w:rPr>
        <w:t xml:space="preserve"> does not assign distribution mains into separate categories by pressure group; </w:t>
      </w:r>
      <w:r w:rsidR="00CC1289" w:rsidRPr="00E9174E">
        <w:rPr>
          <w:sz w:val="26"/>
          <w:szCs w:val="26"/>
        </w:rPr>
        <w:t xml:space="preserve">and </w:t>
      </w:r>
      <w:r w:rsidRPr="00E9174E">
        <w:rPr>
          <w:sz w:val="26"/>
          <w:szCs w:val="26"/>
        </w:rPr>
        <w:t>(2) the OCA was the only Party that challenged Columbia’s proposed separation of mains by pressure group</w:t>
      </w:r>
      <w:r w:rsidR="009E7696" w:rsidRPr="00E9174E">
        <w:rPr>
          <w:sz w:val="26"/>
          <w:szCs w:val="26"/>
        </w:rPr>
        <w:t xml:space="preserve">. </w:t>
      </w:r>
      <w:r w:rsidRPr="00E9174E">
        <w:rPr>
          <w:sz w:val="26"/>
          <w:szCs w:val="26"/>
        </w:rPr>
        <w:t xml:space="preserve"> I&amp;E, CII, the OSBA, and PSU supported Columbia’s assignment of mains to separate pressure groups because doing so more accurately identifies the mains being used to serve specific customers</w:t>
      </w:r>
      <w:r w:rsidR="000010D8" w:rsidRPr="00E9174E">
        <w:rPr>
          <w:sz w:val="26"/>
          <w:szCs w:val="26"/>
        </w:rPr>
        <w:t>.  Additionally, using pressure groups</w:t>
      </w:r>
      <w:r w:rsidRPr="00E9174E">
        <w:rPr>
          <w:sz w:val="26"/>
          <w:szCs w:val="26"/>
        </w:rPr>
        <w:t xml:space="preserve"> more accurately assigns mains when determining revenue responsibility for each rate class.  Columbia states that the ALJ did not address why she recommended adoption of the OCA’s preference not to separate mains by pressure group over the positions of all the other Parties.</w:t>
      </w:r>
      <w:r w:rsidRPr="00E9174E">
        <w:rPr>
          <w:sz w:val="26"/>
          <w:szCs w:val="26"/>
          <w:vertAlign w:val="superscript"/>
        </w:rPr>
        <w:t xml:space="preserve"> </w:t>
      </w:r>
      <w:r w:rsidRPr="00E9174E">
        <w:rPr>
          <w:sz w:val="26"/>
          <w:szCs w:val="26"/>
        </w:rPr>
        <w:t xml:space="preserve">  CG Exc. at 30 (citing I&amp;E M.B. at 92; CII</w:t>
      </w:r>
      <w:r w:rsidR="003806D0">
        <w:rPr>
          <w:sz w:val="26"/>
          <w:szCs w:val="26"/>
        </w:rPr>
        <w:t> </w:t>
      </w:r>
      <w:r w:rsidRPr="00E9174E">
        <w:rPr>
          <w:sz w:val="26"/>
          <w:szCs w:val="26"/>
        </w:rPr>
        <w:t>M.B. at 12-13; PSU M.B. at 7; OSBA St. 1 at 15).</w:t>
      </w:r>
    </w:p>
    <w:p w14:paraId="65A0EAB4" w14:textId="77777777" w:rsidR="00A8096B" w:rsidRPr="00E9174E" w:rsidRDefault="00A8096B" w:rsidP="00E9174E">
      <w:pPr>
        <w:widowControl/>
        <w:spacing w:line="360" w:lineRule="auto"/>
        <w:contextualSpacing/>
        <w:jc w:val="both"/>
        <w:rPr>
          <w:sz w:val="26"/>
          <w:szCs w:val="26"/>
        </w:rPr>
      </w:pPr>
    </w:p>
    <w:p w14:paraId="6958DF91" w14:textId="2FD7C9CC" w:rsidR="00A8096B" w:rsidRPr="00E9174E" w:rsidRDefault="00A8096B" w:rsidP="00E9174E">
      <w:pPr>
        <w:widowControl/>
        <w:spacing w:line="360" w:lineRule="auto"/>
        <w:ind w:firstLine="1440"/>
        <w:contextualSpacing/>
        <w:rPr>
          <w:sz w:val="26"/>
          <w:szCs w:val="26"/>
        </w:rPr>
      </w:pPr>
      <w:r w:rsidRPr="00E9174E">
        <w:rPr>
          <w:sz w:val="26"/>
          <w:szCs w:val="26"/>
        </w:rPr>
        <w:t>With regard to Columbia’s fourth concern, Columbia claims that the ALJ’s recommendation to select the OCA’s P&amp;A ACCOS</w:t>
      </w:r>
      <w:r w:rsidR="0056763F" w:rsidRPr="00E9174E">
        <w:rPr>
          <w:sz w:val="26"/>
          <w:szCs w:val="26"/>
        </w:rPr>
        <w:t>S</w:t>
      </w:r>
      <w:r w:rsidRPr="00E9174E">
        <w:rPr>
          <w:sz w:val="26"/>
          <w:szCs w:val="26"/>
        </w:rPr>
        <w:t xml:space="preserve"> for revenue allocation is based on the erroneous finding that the Proportional Responsibility method confirms the reasonableness of the OCA’s P&amp;A ACCOS</w:t>
      </w:r>
      <w:r w:rsidR="0056763F" w:rsidRPr="00E9174E">
        <w:rPr>
          <w:sz w:val="26"/>
          <w:szCs w:val="26"/>
        </w:rPr>
        <w:t>S</w:t>
      </w:r>
      <w:r w:rsidRPr="00E9174E">
        <w:rPr>
          <w:sz w:val="26"/>
          <w:szCs w:val="26"/>
        </w:rPr>
        <w:t xml:space="preserve">.  CG Exc. at 30 (citing R.D. at 394-395).  Columbia refers to pages 83-84 of its Reply Brief, in which it explains that the </w:t>
      </w:r>
      <w:bookmarkStart w:id="415" w:name="_Hlk61352206"/>
      <w:r w:rsidRPr="00E9174E">
        <w:rPr>
          <w:sz w:val="26"/>
          <w:szCs w:val="26"/>
        </w:rPr>
        <w:t xml:space="preserve">Proportional Responsibility </w:t>
      </w:r>
      <w:bookmarkEnd w:id="415"/>
      <w:r w:rsidRPr="00E9174E">
        <w:rPr>
          <w:sz w:val="26"/>
          <w:szCs w:val="26"/>
        </w:rPr>
        <w:t>method does not independently verify the results of the OCA’s P&amp;A ACCOS</w:t>
      </w:r>
      <w:r w:rsidR="0056763F" w:rsidRPr="00E9174E">
        <w:rPr>
          <w:sz w:val="26"/>
          <w:szCs w:val="26"/>
        </w:rPr>
        <w:t>S</w:t>
      </w:r>
      <w:r w:rsidRPr="00E9174E">
        <w:rPr>
          <w:sz w:val="26"/>
          <w:szCs w:val="26"/>
        </w:rPr>
        <w:t xml:space="preserve"> because both methods are based on the same incomplete metrics, </w:t>
      </w:r>
      <w:r w:rsidRPr="00E9174E">
        <w:rPr>
          <w:i/>
          <w:iCs/>
          <w:sz w:val="26"/>
          <w:szCs w:val="26"/>
        </w:rPr>
        <w:t>i.e.</w:t>
      </w:r>
      <w:r w:rsidRPr="003806D0">
        <w:rPr>
          <w:sz w:val="26"/>
          <w:szCs w:val="26"/>
        </w:rPr>
        <w:t>,</w:t>
      </w:r>
      <w:r w:rsidRPr="00E9174E">
        <w:rPr>
          <w:i/>
          <w:iCs/>
          <w:sz w:val="26"/>
          <w:szCs w:val="26"/>
        </w:rPr>
        <w:t xml:space="preserve"> </w:t>
      </w:r>
      <w:r w:rsidRPr="00E9174E">
        <w:rPr>
          <w:sz w:val="26"/>
          <w:szCs w:val="26"/>
        </w:rPr>
        <w:t xml:space="preserve">average throughput and design day usage (Peak &amp; Average) and monthly throughput weighted to account for design day usage (Proportional Responsibility method).  Finally, Columbia notes that the Proportional Responsibility method is an allocation methodology </w:t>
      </w:r>
      <w:r w:rsidRPr="00E9174E">
        <w:rPr>
          <w:sz w:val="26"/>
          <w:szCs w:val="26"/>
        </w:rPr>
        <w:lastRenderedPageBreak/>
        <w:t>unique to Massachusetts and has never been adopted in Pennsylvania.  CG Exc. at 30; R</w:t>
      </w:r>
      <w:r w:rsidR="001E53F0">
        <w:rPr>
          <w:sz w:val="26"/>
          <w:szCs w:val="26"/>
        </w:rPr>
        <w:t>.</w:t>
      </w:r>
      <w:r w:rsidRPr="00E9174E">
        <w:rPr>
          <w:sz w:val="26"/>
          <w:szCs w:val="26"/>
        </w:rPr>
        <w:t>D</w:t>
      </w:r>
      <w:r w:rsidR="001E53F0">
        <w:rPr>
          <w:sz w:val="26"/>
          <w:szCs w:val="26"/>
        </w:rPr>
        <w:t>.</w:t>
      </w:r>
      <w:r w:rsidRPr="00E9174E">
        <w:rPr>
          <w:sz w:val="26"/>
          <w:szCs w:val="26"/>
        </w:rPr>
        <w:t xml:space="preserve"> at 394-395; CG R.B. at 86-84.</w:t>
      </w:r>
    </w:p>
    <w:p w14:paraId="1185B843" w14:textId="77777777" w:rsidR="00A8096B" w:rsidRPr="00E9174E" w:rsidRDefault="00A8096B" w:rsidP="00E9174E">
      <w:pPr>
        <w:widowControl/>
        <w:spacing w:line="360" w:lineRule="auto"/>
        <w:contextualSpacing/>
        <w:jc w:val="both"/>
        <w:rPr>
          <w:sz w:val="26"/>
          <w:szCs w:val="26"/>
        </w:rPr>
      </w:pPr>
    </w:p>
    <w:p w14:paraId="51FA9C1C" w14:textId="3E5E15CE" w:rsidR="00A8096B" w:rsidRDefault="00A8096B" w:rsidP="00E9174E">
      <w:pPr>
        <w:widowControl/>
        <w:spacing w:line="360" w:lineRule="auto"/>
        <w:ind w:firstLine="1440"/>
        <w:contextualSpacing/>
        <w:rPr>
          <w:sz w:val="26"/>
          <w:szCs w:val="26"/>
        </w:rPr>
      </w:pPr>
      <w:r w:rsidRPr="00E9174E">
        <w:rPr>
          <w:sz w:val="26"/>
          <w:szCs w:val="26"/>
        </w:rPr>
        <w:t xml:space="preserve">In its Exception No. 19, which is closely intertwined with its Exception No. 18, Columbia argues that the ALJ incorrectly rejected the Company’s Average ACCOS Study.  CG Exc. at 31 (citing R.D. at 394).  Columbia opines that in reaching her conclusion on which ACCOSS should be approved, the ALJ stated, “Columbia Gas’ Customer/Demand </w:t>
      </w:r>
      <w:r w:rsidR="0056763F" w:rsidRPr="00E9174E">
        <w:rPr>
          <w:sz w:val="26"/>
          <w:szCs w:val="26"/>
        </w:rPr>
        <w:t>AC</w:t>
      </w:r>
      <w:r w:rsidRPr="00E9174E">
        <w:rPr>
          <w:sz w:val="26"/>
          <w:szCs w:val="26"/>
        </w:rPr>
        <w:t xml:space="preserve">COSS would be the preferred method, but it contains serious flaws that skews its reliability and makes it unsuitable for use </w:t>
      </w:r>
      <w:r w:rsidRPr="00E9174E">
        <w:rPr>
          <w:b/>
          <w:bCs/>
          <w:sz w:val="26"/>
          <w:szCs w:val="26"/>
          <w:u w:val="single"/>
        </w:rPr>
        <w:t>at this time and with this NGDC.</w:t>
      </w:r>
      <w:r w:rsidRPr="00E9174E">
        <w:rPr>
          <w:sz w:val="26"/>
          <w:szCs w:val="26"/>
        </w:rPr>
        <w:t>”  CG Exc. at 31 (citing R.D. at 394) (emphasis added by Columbia).  Columbia maintains that rather than selecting the ACCOSS that most accurately reflects the cost to serve each class, the ALJ improperly based her recommendation on achieving an outcome to shift cost recovery to commercial and industrial customers that she perceived as appropriate given the timing of the Company’s requested revenue increase during the COVID-19 Pandemic.  CG Exc. at 31.</w:t>
      </w:r>
    </w:p>
    <w:p w14:paraId="3A7748F7" w14:textId="77777777" w:rsidR="00CC0DEC" w:rsidRPr="00E9174E" w:rsidRDefault="00CC0DEC" w:rsidP="00E9174E">
      <w:pPr>
        <w:widowControl/>
        <w:spacing w:line="360" w:lineRule="auto"/>
        <w:ind w:firstLine="1440"/>
        <w:contextualSpacing/>
        <w:rPr>
          <w:sz w:val="26"/>
          <w:szCs w:val="26"/>
        </w:rPr>
      </w:pPr>
    </w:p>
    <w:p w14:paraId="3F3939CA" w14:textId="71C13F8A" w:rsidR="00A8096B" w:rsidRPr="00E9174E" w:rsidRDefault="00A8096B" w:rsidP="00E9174E">
      <w:pPr>
        <w:widowControl/>
        <w:spacing w:line="360" w:lineRule="auto"/>
        <w:ind w:firstLine="1440"/>
        <w:contextualSpacing/>
        <w:rPr>
          <w:sz w:val="26"/>
          <w:szCs w:val="26"/>
        </w:rPr>
      </w:pPr>
      <w:r w:rsidRPr="00E9174E">
        <w:rPr>
          <w:sz w:val="26"/>
          <w:szCs w:val="26"/>
        </w:rPr>
        <w:t>Columbia disagrees with the ALJ’s reasoning and contends that, without conducting any analysis of the Company’s study, the ALJ merely accepted the OCA’s argument that the Average ACCOS</w:t>
      </w:r>
      <w:r w:rsidR="0056763F" w:rsidRPr="00E9174E">
        <w:rPr>
          <w:sz w:val="26"/>
          <w:szCs w:val="26"/>
        </w:rPr>
        <w:t>S</w:t>
      </w:r>
      <w:r w:rsidRPr="00E9174E">
        <w:rPr>
          <w:sz w:val="26"/>
          <w:szCs w:val="26"/>
        </w:rPr>
        <w:t xml:space="preserve"> is flawed.  Columbia asserts that its proposed Average ACCOS</w:t>
      </w:r>
      <w:r w:rsidR="0056763F" w:rsidRPr="00E9174E">
        <w:rPr>
          <w:sz w:val="26"/>
          <w:szCs w:val="26"/>
        </w:rPr>
        <w:t>S</w:t>
      </w:r>
      <w:r w:rsidRPr="00E9174E">
        <w:rPr>
          <w:sz w:val="26"/>
          <w:szCs w:val="26"/>
        </w:rPr>
        <w:t xml:space="preserve"> is not unreasonable because it most fairly and accurately represents Columbia’s cost to serve the customer classes and balances the two most often used cost allocation methods – Peak &amp; Average and Customer-Demand.  CG Exc. at 31 (citing CG M.B. at 127-31).</w:t>
      </w:r>
    </w:p>
    <w:p w14:paraId="1DAF92C3" w14:textId="77777777" w:rsidR="00830022" w:rsidRPr="00E9174E" w:rsidRDefault="00830022" w:rsidP="00E9174E">
      <w:pPr>
        <w:widowControl/>
        <w:spacing w:line="360" w:lineRule="auto"/>
        <w:ind w:firstLine="1440"/>
        <w:contextualSpacing/>
        <w:rPr>
          <w:sz w:val="26"/>
          <w:szCs w:val="26"/>
        </w:rPr>
      </w:pPr>
    </w:p>
    <w:p w14:paraId="47966052" w14:textId="2833AB13" w:rsidR="00A8096B" w:rsidRPr="00E9174E" w:rsidRDefault="00A8096B" w:rsidP="00E9174E">
      <w:pPr>
        <w:widowControl/>
        <w:spacing w:line="360" w:lineRule="auto"/>
        <w:ind w:firstLine="1440"/>
        <w:contextualSpacing/>
        <w:rPr>
          <w:sz w:val="26"/>
          <w:szCs w:val="26"/>
        </w:rPr>
      </w:pPr>
      <w:r w:rsidRPr="00E9174E">
        <w:rPr>
          <w:sz w:val="26"/>
          <w:szCs w:val="26"/>
        </w:rPr>
        <w:t>In light of the above and for the reasons set forth in its Main Brief and Reply Brief, Columbia requests that the Commission reject the ALJ’s conclusion that its Average ACCOSS is unreasonable and adopt the Average ACCOSS as the basis for allocating the approved revenue increase.  CG Exc. at 32 (citing CG M.B. at 127-136; CG R.B. at 79-87).</w:t>
      </w:r>
    </w:p>
    <w:p w14:paraId="0B6986A2" w14:textId="7336BE07" w:rsidR="00A8096B" w:rsidRPr="00E9174E" w:rsidRDefault="00A8096B" w:rsidP="00CC0DEC">
      <w:pPr>
        <w:pStyle w:val="Heading4"/>
        <w:ind w:left="2160" w:hanging="720"/>
      </w:pPr>
      <w:bookmarkStart w:id="416" w:name="_Toc63764608"/>
      <w:r w:rsidRPr="00E9174E">
        <w:lastRenderedPageBreak/>
        <w:t>OSBA Exception No. 1</w:t>
      </w:r>
      <w:bookmarkEnd w:id="416"/>
      <w:r w:rsidRPr="00E9174E">
        <w:t xml:space="preserve"> </w:t>
      </w:r>
    </w:p>
    <w:p w14:paraId="7DA9AC9D" w14:textId="77777777" w:rsidR="00D424AA" w:rsidRPr="00E9174E" w:rsidRDefault="00D424AA" w:rsidP="00E9174E">
      <w:pPr>
        <w:keepNext/>
        <w:keepLines/>
        <w:widowControl/>
        <w:kinsoku w:val="0"/>
        <w:overflowPunct w:val="0"/>
        <w:spacing w:line="360" w:lineRule="auto"/>
        <w:ind w:right="144" w:firstLine="720"/>
        <w:contextualSpacing/>
        <w:textAlignment w:val="baseline"/>
        <w:rPr>
          <w:sz w:val="26"/>
          <w:szCs w:val="26"/>
        </w:rPr>
      </w:pPr>
    </w:p>
    <w:p w14:paraId="4E329BC1" w14:textId="620398ED" w:rsidR="00A8096B" w:rsidRPr="00E9174E" w:rsidRDefault="00A8096B" w:rsidP="00E9174E">
      <w:pPr>
        <w:widowControl/>
        <w:kinsoku w:val="0"/>
        <w:overflowPunct w:val="0"/>
        <w:spacing w:line="360" w:lineRule="auto"/>
        <w:ind w:right="144" w:firstLine="1440"/>
        <w:contextualSpacing/>
        <w:textAlignment w:val="baseline"/>
        <w:rPr>
          <w:sz w:val="26"/>
          <w:szCs w:val="26"/>
        </w:rPr>
      </w:pPr>
      <w:r w:rsidRPr="00E9174E">
        <w:rPr>
          <w:sz w:val="26"/>
          <w:szCs w:val="26"/>
        </w:rPr>
        <w:t>The OSBA filed its Exception No. 1 in this matter because it also disagrees with the OCA’s P&amp;A ACCOSS proposal in that its adoption is not without consequences.  OSBA Exc. at 2 (citing R.D. at 394-395).  For the reasons that follow, the OSBA submits that the Commission should reject the ALJ’s recommendation to use the OCA’s method and adopt the OSBA’s recommended ACCOS</w:t>
      </w:r>
      <w:r w:rsidR="00131992" w:rsidRPr="00E9174E">
        <w:rPr>
          <w:sz w:val="26"/>
          <w:szCs w:val="26"/>
        </w:rPr>
        <w:t>S</w:t>
      </w:r>
      <w:r w:rsidRPr="00E9174E">
        <w:rPr>
          <w:sz w:val="26"/>
          <w:szCs w:val="26"/>
        </w:rPr>
        <w:t xml:space="preserve"> with the conditions set forth in its Main and Reply Briefs</w:t>
      </w:r>
      <w:bookmarkStart w:id="417" w:name="_Hlk62059852"/>
      <w:r w:rsidRPr="00E9174E">
        <w:rPr>
          <w:sz w:val="26"/>
          <w:szCs w:val="26"/>
        </w:rPr>
        <w:t xml:space="preserve"> because the OCA’s P&amp;A ACCOSS is “simply too favorable to the small customer classes at the expense of Columbia’s larger customer classes.</w:t>
      </w:r>
      <w:bookmarkEnd w:id="417"/>
      <w:r w:rsidRPr="00E9174E">
        <w:rPr>
          <w:sz w:val="26"/>
          <w:szCs w:val="26"/>
        </w:rPr>
        <w:t>”  OSBA Exc. at 5 (citing OSBA M.B. at 11-15; OSBA R.B. at 9-22).</w:t>
      </w:r>
    </w:p>
    <w:p w14:paraId="068E158E" w14:textId="77777777" w:rsidR="00A8096B" w:rsidRPr="00E9174E" w:rsidRDefault="00A8096B" w:rsidP="00E9174E">
      <w:pPr>
        <w:widowControl/>
        <w:spacing w:line="360" w:lineRule="auto"/>
        <w:contextualSpacing/>
        <w:rPr>
          <w:sz w:val="26"/>
          <w:szCs w:val="26"/>
        </w:rPr>
      </w:pPr>
    </w:p>
    <w:p w14:paraId="13DDA548" w14:textId="6FD6BDB8" w:rsidR="00A8096B" w:rsidRPr="00E9174E" w:rsidRDefault="00A8096B" w:rsidP="00E9174E">
      <w:pPr>
        <w:widowControl/>
        <w:spacing w:line="360" w:lineRule="auto"/>
        <w:ind w:firstLine="1440"/>
        <w:contextualSpacing/>
        <w:rPr>
          <w:sz w:val="26"/>
          <w:szCs w:val="26"/>
        </w:rPr>
      </w:pPr>
      <w:r w:rsidRPr="00E9174E">
        <w:rPr>
          <w:sz w:val="26"/>
          <w:szCs w:val="26"/>
        </w:rPr>
        <w:t xml:space="preserve">The OSBA explains that the ALJ’s reasoning for selecting the OCA’s P&amp;A ACCOSS was based on the following three factors: </w:t>
      </w:r>
      <w:r w:rsidR="00700005" w:rsidRPr="00E9174E">
        <w:rPr>
          <w:sz w:val="26"/>
          <w:szCs w:val="26"/>
        </w:rPr>
        <w:t xml:space="preserve"> </w:t>
      </w:r>
      <w:r w:rsidRPr="00E9174E">
        <w:rPr>
          <w:sz w:val="26"/>
          <w:szCs w:val="26"/>
        </w:rPr>
        <w:t>(1) Columbia’s Customer-Demand ACCOSS contained serious flaws that the OCA’s P&amp;A ACCOSS corrected; (2) the P&amp;A ACCOSS, whether following the Company’s or the OCA’s methodology, consistently demonstrated that the Company’s residential customer class was overpaying for its cost of service; and (3) the OCA created a Proportional Responsibility ACCOS</w:t>
      </w:r>
      <w:r w:rsidR="00131992" w:rsidRPr="00E9174E">
        <w:rPr>
          <w:sz w:val="26"/>
          <w:szCs w:val="26"/>
        </w:rPr>
        <w:t>S</w:t>
      </w:r>
      <w:r w:rsidRPr="00E9174E">
        <w:rPr>
          <w:sz w:val="26"/>
          <w:szCs w:val="26"/>
        </w:rPr>
        <w:t xml:space="preserve"> that verified the results of the OCA’s P&amp;A ACCOSS.  OSBA Exc. at 2.</w:t>
      </w:r>
    </w:p>
    <w:p w14:paraId="391A7394" w14:textId="77777777" w:rsidR="00A8096B" w:rsidRPr="00E9174E" w:rsidRDefault="00A8096B" w:rsidP="00E9174E">
      <w:pPr>
        <w:widowControl/>
        <w:spacing w:line="360" w:lineRule="auto"/>
        <w:contextualSpacing/>
        <w:rPr>
          <w:sz w:val="26"/>
          <w:szCs w:val="26"/>
        </w:rPr>
      </w:pPr>
    </w:p>
    <w:p w14:paraId="46D0C5FD" w14:textId="5BF9FCC3" w:rsidR="00A8096B" w:rsidRPr="00E9174E" w:rsidRDefault="00A8096B" w:rsidP="00E9174E">
      <w:pPr>
        <w:widowControl/>
        <w:spacing w:line="360" w:lineRule="auto"/>
        <w:ind w:firstLine="1440"/>
        <w:contextualSpacing/>
        <w:rPr>
          <w:sz w:val="26"/>
          <w:szCs w:val="26"/>
        </w:rPr>
      </w:pPr>
      <w:r w:rsidRPr="00E9174E">
        <w:rPr>
          <w:sz w:val="26"/>
          <w:szCs w:val="26"/>
        </w:rPr>
        <w:t>The OSBA notes that the ALJ acknowledged, and the OSBA agrees, that the P&amp;A ACCOSS is most favorable to Columbia’s smallest customer classes.  As such, the OSBA opines that the ALJ appears to have decided that the best cost allocation method is one which produces the best result for the residential customer class.  It is unclear to the OSBA as to why the study most beneficial to the residential customer class would justify the ALJ’s choice, especially in consideration of past practice and Commission precedent that where the appropriate cost allocation methodology is the one that best reflects how costs are actually caused on the distribution system.  The OSBA asserts that this has been addressed in detail in the OSBA’s and other Parties’ briefs, but it appears to have been disregarded by the ALJ.  OSBA Exc. at 3.</w:t>
      </w:r>
    </w:p>
    <w:p w14:paraId="3B52A226" w14:textId="77777777" w:rsidR="00A8096B" w:rsidRPr="00E9174E" w:rsidRDefault="00A8096B" w:rsidP="00E9174E">
      <w:pPr>
        <w:widowControl/>
        <w:kinsoku w:val="0"/>
        <w:overflowPunct w:val="0"/>
        <w:spacing w:line="360" w:lineRule="auto"/>
        <w:ind w:firstLine="1440"/>
        <w:contextualSpacing/>
        <w:textAlignment w:val="baseline"/>
        <w:rPr>
          <w:rFonts w:eastAsiaTheme="minorEastAsia"/>
          <w:sz w:val="26"/>
          <w:szCs w:val="26"/>
        </w:rPr>
      </w:pPr>
      <w:r w:rsidRPr="00E9174E">
        <w:rPr>
          <w:sz w:val="26"/>
          <w:szCs w:val="26"/>
        </w:rPr>
        <w:lastRenderedPageBreak/>
        <w:t xml:space="preserve">The OSBA avers that if the Commission adopts the OCA’s P&amp;A ACCOSS, the customer classes with larger customers, including both medium commercial and large industrial customers, will face sustained large increases.  According to the OSBA’s witness, Mr. Knecht, </w:t>
      </w:r>
      <w:r w:rsidRPr="00E9174E">
        <w:rPr>
          <w:rFonts w:eastAsiaTheme="minorEastAsia"/>
          <w:sz w:val="26"/>
          <w:szCs w:val="26"/>
        </w:rPr>
        <w:t xml:space="preserve">the LDS/LGSS rate class would require a 108.8 percent rate increase to move rates into line with allocated costs </w:t>
      </w:r>
      <w:r w:rsidRPr="00E9174E">
        <w:rPr>
          <w:sz w:val="26"/>
          <w:szCs w:val="26"/>
        </w:rPr>
        <w:t xml:space="preserve">under </w:t>
      </w:r>
      <w:r w:rsidRPr="00E9174E">
        <w:rPr>
          <w:rFonts w:eastAsiaTheme="minorEastAsia"/>
          <w:sz w:val="26"/>
          <w:szCs w:val="26"/>
        </w:rPr>
        <w:t xml:space="preserve">the Company’s P&amp;A allocation method.  </w:t>
      </w:r>
      <w:r w:rsidRPr="00E9174E">
        <w:rPr>
          <w:sz w:val="26"/>
          <w:szCs w:val="26"/>
        </w:rPr>
        <w:t xml:space="preserve">OSBA Exc. at 3 (citing </w:t>
      </w:r>
      <w:r w:rsidRPr="00E9174E">
        <w:rPr>
          <w:rFonts w:eastAsiaTheme="minorEastAsia"/>
          <w:sz w:val="26"/>
          <w:szCs w:val="26"/>
        </w:rPr>
        <w:t xml:space="preserve">OSBA St. 1 at 21, Table IEc-2).  The OSBA asserts that the OCA’s </w:t>
      </w:r>
      <w:r w:rsidRPr="00E9174E">
        <w:rPr>
          <w:sz w:val="26"/>
          <w:szCs w:val="26"/>
        </w:rPr>
        <w:t>P&amp;A ACCOSS</w:t>
      </w:r>
      <w:r w:rsidRPr="00E9174E">
        <w:rPr>
          <w:rFonts w:eastAsiaTheme="minorEastAsia"/>
          <w:sz w:val="26"/>
          <w:szCs w:val="26"/>
        </w:rPr>
        <w:t xml:space="preserve"> approach would assign even </w:t>
      </w:r>
      <w:r w:rsidRPr="00E9174E">
        <w:rPr>
          <w:rFonts w:eastAsiaTheme="minorEastAsia"/>
          <w:i/>
          <w:iCs/>
          <w:sz w:val="26"/>
          <w:szCs w:val="26"/>
        </w:rPr>
        <w:t xml:space="preserve">more </w:t>
      </w:r>
      <w:r w:rsidRPr="00E9174E">
        <w:rPr>
          <w:rFonts w:eastAsiaTheme="minorEastAsia"/>
          <w:sz w:val="26"/>
          <w:szCs w:val="26"/>
        </w:rPr>
        <w:t>costs to that class.  In support of this statement, the OSBA references Columbia’s exhibits where the LDS/LGSS class’ rate of return, at current rates, is 0.404% in the Company’s P&amp;A ACCOSS at Exhibit 111, Schedule 2, page 2, and is -0.803% in the OCA’s P&amp;A ACCOSS at Schedule JDM</w:t>
      </w:r>
      <w:r w:rsidRPr="00E9174E">
        <w:rPr>
          <w:rFonts w:eastAsiaTheme="minorEastAsia"/>
          <w:sz w:val="26"/>
          <w:szCs w:val="26"/>
        </w:rPr>
        <w:noBreakHyphen/>
        <w:t>3.  The OSBA is concerned that the small and medium businesses will suffer the most in future years if the OCA’s approach is adopted because residential increases will be based on lower rates and the Company’s industrial customers will flex their political muscle to obtain negotiated rates.  OSBA Exc. at 4.</w:t>
      </w:r>
    </w:p>
    <w:p w14:paraId="6C23554F" w14:textId="77777777" w:rsidR="00A8096B" w:rsidRPr="00E9174E" w:rsidRDefault="00A8096B" w:rsidP="00E9174E">
      <w:pPr>
        <w:widowControl/>
        <w:kinsoku w:val="0"/>
        <w:overflowPunct w:val="0"/>
        <w:spacing w:line="360" w:lineRule="auto"/>
        <w:ind w:left="72" w:right="72" w:firstLine="648"/>
        <w:contextualSpacing/>
        <w:textAlignment w:val="baseline"/>
        <w:rPr>
          <w:sz w:val="26"/>
          <w:szCs w:val="26"/>
        </w:rPr>
      </w:pPr>
    </w:p>
    <w:p w14:paraId="228C98CF" w14:textId="4CECBD41" w:rsidR="00A8096B" w:rsidRPr="00E9174E" w:rsidRDefault="00A8096B" w:rsidP="00E9174E">
      <w:pPr>
        <w:widowControl/>
        <w:kinsoku w:val="0"/>
        <w:overflowPunct w:val="0"/>
        <w:spacing w:line="360" w:lineRule="auto"/>
        <w:ind w:firstLine="1440"/>
        <w:contextualSpacing/>
        <w:textAlignment w:val="baseline"/>
        <w:rPr>
          <w:sz w:val="26"/>
          <w:szCs w:val="26"/>
        </w:rPr>
      </w:pPr>
      <w:r w:rsidRPr="00E9174E">
        <w:rPr>
          <w:rFonts w:eastAsiaTheme="minorEastAsia"/>
          <w:sz w:val="26"/>
          <w:szCs w:val="26"/>
        </w:rPr>
        <w:t>Next, the OSBA notes that its witness, Mr. Knecht, submitted testimony, in which he cited two Commission Orders from 2007 to show that the most recent Commission precedent supports the use of an Average &amp; Excess (A&amp;E) ACCOS</w:t>
      </w:r>
      <w:r w:rsidR="00B2079B" w:rsidRPr="00E9174E">
        <w:rPr>
          <w:rFonts w:eastAsiaTheme="minorEastAsia"/>
          <w:sz w:val="26"/>
          <w:szCs w:val="26"/>
        </w:rPr>
        <w:t>S</w:t>
      </w:r>
      <w:r w:rsidRPr="00E9174E">
        <w:rPr>
          <w:rFonts w:eastAsiaTheme="minorEastAsia"/>
          <w:sz w:val="26"/>
          <w:szCs w:val="26"/>
          <w:vertAlign w:val="superscript"/>
        </w:rPr>
        <w:footnoteReference w:id="73"/>
      </w:r>
      <w:r w:rsidRPr="00E9174E">
        <w:rPr>
          <w:rFonts w:eastAsiaTheme="minorEastAsia"/>
          <w:sz w:val="26"/>
          <w:szCs w:val="26"/>
        </w:rPr>
        <w:t xml:space="preserve"> and </w:t>
      </w:r>
      <w:r w:rsidRPr="00E9174E">
        <w:rPr>
          <w:rFonts w:eastAsiaTheme="minorEastAsia"/>
          <w:sz w:val="26"/>
          <w:szCs w:val="26"/>
        </w:rPr>
        <w:lastRenderedPageBreak/>
        <w:t>not the P&amp;A ACCOS</w:t>
      </w:r>
      <w:r w:rsidR="00B2079B" w:rsidRPr="00E9174E">
        <w:rPr>
          <w:rFonts w:eastAsiaTheme="minorEastAsia"/>
          <w:sz w:val="26"/>
          <w:szCs w:val="26"/>
        </w:rPr>
        <w:t>S</w:t>
      </w:r>
      <w:r w:rsidRPr="00E9174E">
        <w:rPr>
          <w:rFonts w:eastAsiaTheme="minorEastAsia"/>
          <w:sz w:val="26"/>
          <w:szCs w:val="26"/>
        </w:rPr>
        <w:t>.</w:t>
      </w:r>
      <w:r w:rsidRPr="00E9174E">
        <w:rPr>
          <w:rFonts w:eastAsiaTheme="minorEastAsia"/>
          <w:sz w:val="26"/>
          <w:szCs w:val="26"/>
          <w:vertAlign w:val="superscript"/>
        </w:rPr>
        <w:t xml:space="preserve"> </w:t>
      </w:r>
      <w:r w:rsidRPr="00E9174E">
        <w:rPr>
          <w:rFonts w:eastAsiaTheme="minorEastAsia"/>
          <w:sz w:val="26"/>
          <w:szCs w:val="26"/>
          <w:vertAlign w:val="superscript"/>
        </w:rPr>
        <w:footnoteReference w:id="74"/>
      </w:r>
      <w:r w:rsidRPr="00E9174E">
        <w:rPr>
          <w:rFonts w:eastAsiaTheme="minorEastAsia"/>
          <w:sz w:val="26"/>
          <w:szCs w:val="26"/>
        </w:rPr>
        <w:t xml:space="preserve">  </w:t>
      </w:r>
      <w:r w:rsidRPr="00E9174E">
        <w:rPr>
          <w:sz w:val="26"/>
          <w:szCs w:val="26"/>
        </w:rPr>
        <w:t>OSBA Exc. at 4-5.</w:t>
      </w:r>
      <w:r w:rsidRPr="00E9174E">
        <w:rPr>
          <w:rFonts w:eastAsiaTheme="minorEastAsia"/>
          <w:sz w:val="26"/>
          <w:szCs w:val="26"/>
        </w:rPr>
        <w:t xml:space="preserve">  Thus, the OSBA </w:t>
      </w:r>
      <w:r w:rsidRPr="00E9174E">
        <w:rPr>
          <w:sz w:val="26"/>
          <w:szCs w:val="26"/>
        </w:rPr>
        <w:t xml:space="preserve">cautions </w:t>
      </w:r>
      <w:bookmarkStart w:id="419" w:name="_Hlk62064386"/>
      <w:r w:rsidRPr="00E9174E">
        <w:rPr>
          <w:sz w:val="26"/>
          <w:szCs w:val="26"/>
        </w:rPr>
        <w:t>that the ALJ and the Commission cannot automatically conclude that using a Peak &amp; Average method in this proceeding is consistent with the recent precedent for an A&amp;E approach.</w:t>
      </w:r>
      <w:bookmarkEnd w:id="419"/>
      <w:r w:rsidRPr="00E9174E">
        <w:rPr>
          <w:sz w:val="26"/>
          <w:szCs w:val="26"/>
        </w:rPr>
        <w:t xml:space="preserve">  </w:t>
      </w:r>
      <w:r w:rsidRPr="00E9174E">
        <w:rPr>
          <w:i/>
          <w:iCs/>
          <w:sz w:val="26"/>
          <w:szCs w:val="26"/>
        </w:rPr>
        <w:t>Id</w:t>
      </w:r>
      <w:r w:rsidRPr="00E9174E">
        <w:rPr>
          <w:sz w:val="26"/>
          <w:szCs w:val="26"/>
        </w:rPr>
        <w:t>. at 5 (citing OSBA R.B, at 14, n.13).</w:t>
      </w:r>
    </w:p>
    <w:p w14:paraId="06CF0044" w14:textId="77777777" w:rsidR="00A8096B" w:rsidRPr="00E9174E" w:rsidRDefault="00A8096B" w:rsidP="00E9174E">
      <w:pPr>
        <w:widowControl/>
        <w:kinsoku w:val="0"/>
        <w:overflowPunct w:val="0"/>
        <w:spacing w:line="360" w:lineRule="auto"/>
        <w:contextualSpacing/>
        <w:textAlignment w:val="baseline"/>
        <w:rPr>
          <w:rFonts w:eastAsiaTheme="minorEastAsia"/>
          <w:sz w:val="26"/>
          <w:szCs w:val="26"/>
        </w:rPr>
      </w:pPr>
    </w:p>
    <w:p w14:paraId="4E49D39F" w14:textId="77777777" w:rsidR="00A8096B" w:rsidRPr="00E9174E" w:rsidRDefault="00A8096B" w:rsidP="00E9174E">
      <w:pPr>
        <w:widowControl/>
        <w:kinsoku w:val="0"/>
        <w:overflowPunct w:val="0"/>
        <w:spacing w:line="360" w:lineRule="auto"/>
        <w:ind w:firstLine="1440"/>
        <w:contextualSpacing/>
        <w:textAlignment w:val="baseline"/>
        <w:rPr>
          <w:rFonts w:eastAsiaTheme="minorEastAsia"/>
          <w:sz w:val="26"/>
          <w:szCs w:val="26"/>
        </w:rPr>
      </w:pPr>
      <w:r w:rsidRPr="00E9174E">
        <w:rPr>
          <w:rFonts w:eastAsiaTheme="minorEastAsia"/>
          <w:sz w:val="26"/>
          <w:szCs w:val="26"/>
        </w:rPr>
        <w:t xml:space="preserve">The OSBA also submits that the Proportional Responsibility method used by the OCA in this proceeding is misplaced.  The OSBA notes that the Proportional Responsibility method is not used by any gas distribution utility in Pennsylvania, and it was advanced by the OCA only because a former Columbia affiliate in Massachusetts uses that method, per the requirement of the Massachusetts regulator.  The OSBA avers that it is another method “which tries to hide the fact that gas distribution systems need to be constructed to meet design day peak demand as well as to interconnect all of the customers, while trying to pretend that average demand has some influence on the overall size and length of the mains.”  </w:t>
      </w:r>
      <w:r w:rsidRPr="00E9174E">
        <w:rPr>
          <w:sz w:val="26"/>
          <w:szCs w:val="26"/>
        </w:rPr>
        <w:t xml:space="preserve">OSBA Exc. at 5 (citing </w:t>
      </w:r>
      <w:r w:rsidRPr="00E9174E">
        <w:rPr>
          <w:rFonts w:eastAsiaTheme="minorEastAsia"/>
          <w:sz w:val="26"/>
          <w:szCs w:val="26"/>
        </w:rPr>
        <w:t>CG St. 11-R at 26-27).</w:t>
      </w:r>
    </w:p>
    <w:p w14:paraId="014846F8" w14:textId="77777777" w:rsidR="00A8096B" w:rsidRPr="00E9174E" w:rsidRDefault="00A8096B" w:rsidP="00E9174E">
      <w:pPr>
        <w:widowControl/>
        <w:kinsoku w:val="0"/>
        <w:overflowPunct w:val="0"/>
        <w:spacing w:line="360" w:lineRule="auto"/>
        <w:ind w:firstLine="1440"/>
        <w:contextualSpacing/>
        <w:textAlignment w:val="baseline"/>
        <w:rPr>
          <w:rFonts w:eastAsiaTheme="minorEastAsia"/>
          <w:sz w:val="26"/>
          <w:szCs w:val="26"/>
        </w:rPr>
      </w:pPr>
    </w:p>
    <w:p w14:paraId="4CD74127" w14:textId="5ECB308B" w:rsidR="00A8096B" w:rsidRPr="00E9174E" w:rsidRDefault="00A8096B" w:rsidP="00E9174E">
      <w:pPr>
        <w:widowControl/>
        <w:kinsoku w:val="0"/>
        <w:overflowPunct w:val="0"/>
        <w:spacing w:line="360" w:lineRule="auto"/>
        <w:ind w:firstLine="1440"/>
        <w:contextualSpacing/>
        <w:textAlignment w:val="baseline"/>
        <w:rPr>
          <w:rFonts w:eastAsiaTheme="minorEastAsia"/>
          <w:sz w:val="26"/>
          <w:szCs w:val="26"/>
        </w:rPr>
      </w:pPr>
      <w:r w:rsidRPr="00E9174E">
        <w:rPr>
          <w:rFonts w:eastAsiaTheme="minorEastAsia"/>
          <w:sz w:val="26"/>
          <w:szCs w:val="26"/>
        </w:rPr>
        <w:t xml:space="preserve">In concluding its Exceptions, the OSBA requests that the Commission make a determination that the OCA’s </w:t>
      </w:r>
      <w:r w:rsidR="007F0451" w:rsidRPr="00E9174E">
        <w:rPr>
          <w:rFonts w:eastAsiaTheme="minorEastAsia"/>
          <w:sz w:val="26"/>
          <w:szCs w:val="26"/>
        </w:rPr>
        <w:t>Peak</w:t>
      </w:r>
      <w:r w:rsidR="00C43AC5" w:rsidRPr="00E9174E">
        <w:rPr>
          <w:rFonts w:eastAsiaTheme="minorEastAsia"/>
          <w:sz w:val="26"/>
          <w:szCs w:val="26"/>
        </w:rPr>
        <w:t xml:space="preserve"> &amp; Average (</w:t>
      </w:r>
      <w:r w:rsidRPr="00E9174E">
        <w:rPr>
          <w:rFonts w:eastAsiaTheme="minorEastAsia"/>
          <w:sz w:val="26"/>
          <w:szCs w:val="26"/>
        </w:rPr>
        <w:t>P&amp;A</w:t>
      </w:r>
      <w:r w:rsidR="00C43AC5" w:rsidRPr="00E9174E">
        <w:rPr>
          <w:rFonts w:eastAsiaTheme="minorEastAsia"/>
          <w:sz w:val="26"/>
          <w:szCs w:val="26"/>
        </w:rPr>
        <w:t>)</w:t>
      </w:r>
      <w:r w:rsidRPr="00E9174E">
        <w:rPr>
          <w:rFonts w:eastAsiaTheme="minorEastAsia"/>
          <w:sz w:val="26"/>
          <w:szCs w:val="26"/>
        </w:rPr>
        <w:t xml:space="preserve"> ACCOSS is not just and </w:t>
      </w:r>
      <w:r w:rsidRPr="00E9174E">
        <w:rPr>
          <w:rFonts w:eastAsiaTheme="minorEastAsia"/>
          <w:sz w:val="26"/>
          <w:szCs w:val="26"/>
        </w:rPr>
        <w:lastRenderedPageBreak/>
        <w:t>reasonable.  In its place, the OSBA recommends that the Commission adopt its Witness Mr. Knecht’s 75/25 ACCOSS based on 75% of the Company’s P&amp;A method and 25% of the Company’s Customer-Demand method because this provides a closer approximation to present precedential A&amp;E approach and that the Company’s 50/50 Average ACCOSS and the 75/25 weighting methods then be used to develop the revenue allocation recommendations.</w:t>
      </w:r>
      <w:r w:rsidRPr="00E9174E">
        <w:rPr>
          <w:rFonts w:eastAsiaTheme="minorEastAsia"/>
          <w:sz w:val="26"/>
          <w:szCs w:val="26"/>
          <w:vertAlign w:val="superscript"/>
        </w:rPr>
        <w:t xml:space="preserve"> </w:t>
      </w:r>
      <w:r w:rsidRPr="00E9174E">
        <w:rPr>
          <w:rFonts w:eastAsiaTheme="minorEastAsia"/>
          <w:sz w:val="26"/>
          <w:szCs w:val="26"/>
          <w:vertAlign w:val="superscript"/>
        </w:rPr>
        <w:footnoteReference w:id="75"/>
      </w:r>
      <w:r w:rsidRPr="00E9174E">
        <w:rPr>
          <w:rFonts w:eastAsiaTheme="minorEastAsia"/>
          <w:sz w:val="26"/>
          <w:szCs w:val="26"/>
        </w:rPr>
        <w:t xml:space="preserve">  </w:t>
      </w:r>
      <w:r w:rsidRPr="00E9174E">
        <w:rPr>
          <w:sz w:val="26"/>
          <w:szCs w:val="26"/>
        </w:rPr>
        <w:t xml:space="preserve">OSBA Exc. at 6 (citing OSBA M.B. at 14-15).  </w:t>
      </w:r>
      <w:r w:rsidRPr="00E9174E">
        <w:rPr>
          <w:rFonts w:eastAsiaTheme="minorEastAsia"/>
          <w:sz w:val="26"/>
          <w:szCs w:val="26"/>
        </w:rPr>
        <w:t>In the alternative, if the Company’s ACCOS</w:t>
      </w:r>
      <w:r w:rsidR="009E525C" w:rsidRPr="00E9174E">
        <w:rPr>
          <w:rFonts w:eastAsiaTheme="minorEastAsia"/>
          <w:sz w:val="26"/>
          <w:szCs w:val="26"/>
        </w:rPr>
        <w:t>S</w:t>
      </w:r>
      <w:r w:rsidRPr="00E9174E">
        <w:rPr>
          <w:rFonts w:eastAsiaTheme="minorEastAsia"/>
          <w:sz w:val="26"/>
          <w:szCs w:val="26"/>
        </w:rPr>
        <w:t xml:space="preserve"> methodology is approved, the OSBA recommends the Commission adopt the OSBA’s revenue allocation proposal based on a 50/50 ACCOS</w:t>
      </w:r>
      <w:r w:rsidR="009E525C" w:rsidRPr="00E9174E">
        <w:rPr>
          <w:rFonts w:eastAsiaTheme="minorEastAsia"/>
          <w:sz w:val="26"/>
          <w:szCs w:val="26"/>
        </w:rPr>
        <w:t>S</w:t>
      </w:r>
      <w:r w:rsidRPr="00E9174E">
        <w:rPr>
          <w:rFonts w:eastAsiaTheme="minorEastAsia"/>
          <w:sz w:val="26"/>
          <w:szCs w:val="26"/>
        </w:rPr>
        <w:t xml:space="preserve"> weighting.</w:t>
      </w:r>
      <w:r w:rsidRPr="00E9174E">
        <w:rPr>
          <w:rFonts w:eastAsiaTheme="minorEastAsia"/>
          <w:sz w:val="26"/>
          <w:szCs w:val="26"/>
          <w:vertAlign w:val="superscript"/>
        </w:rPr>
        <w:footnoteReference w:id="76"/>
      </w:r>
    </w:p>
    <w:p w14:paraId="78EB63AF" w14:textId="77777777" w:rsidR="00A8096B" w:rsidRPr="00E9174E" w:rsidRDefault="00A8096B" w:rsidP="00E9174E">
      <w:pPr>
        <w:widowControl/>
        <w:kinsoku w:val="0"/>
        <w:overflowPunct w:val="0"/>
        <w:spacing w:line="360" w:lineRule="auto"/>
        <w:contextualSpacing/>
        <w:textAlignment w:val="baseline"/>
        <w:rPr>
          <w:rFonts w:eastAsiaTheme="minorEastAsia"/>
          <w:sz w:val="26"/>
          <w:szCs w:val="26"/>
        </w:rPr>
      </w:pPr>
    </w:p>
    <w:p w14:paraId="795C392A" w14:textId="4B8A91EC" w:rsidR="00A8096B" w:rsidRPr="00E9174E" w:rsidRDefault="00A8096B" w:rsidP="008B183A">
      <w:pPr>
        <w:pStyle w:val="Heading4"/>
        <w:ind w:left="2160" w:hanging="720"/>
        <w:rPr>
          <w:rFonts w:eastAsiaTheme="minorEastAsia"/>
        </w:rPr>
      </w:pPr>
      <w:bookmarkStart w:id="420" w:name="_Toc63764609"/>
      <w:r w:rsidRPr="00E9174E">
        <w:rPr>
          <w:rFonts w:eastAsiaTheme="minorEastAsia"/>
        </w:rPr>
        <w:t>PSU Exception No. 1</w:t>
      </w:r>
      <w:bookmarkEnd w:id="420"/>
      <w:r w:rsidRPr="00E9174E">
        <w:rPr>
          <w:rFonts w:eastAsiaTheme="minorEastAsia"/>
        </w:rPr>
        <w:t xml:space="preserve"> </w:t>
      </w:r>
    </w:p>
    <w:p w14:paraId="620A058E" w14:textId="77777777" w:rsidR="00A8096B" w:rsidRPr="00E9174E" w:rsidRDefault="00A8096B" w:rsidP="00E9174E">
      <w:pPr>
        <w:keepNext/>
        <w:keepLines/>
        <w:widowControl/>
        <w:kinsoku w:val="0"/>
        <w:overflowPunct w:val="0"/>
        <w:spacing w:line="360" w:lineRule="auto"/>
        <w:contextualSpacing/>
        <w:textAlignment w:val="baseline"/>
        <w:rPr>
          <w:rFonts w:eastAsiaTheme="minorEastAsia"/>
          <w:sz w:val="26"/>
          <w:szCs w:val="26"/>
        </w:rPr>
      </w:pPr>
    </w:p>
    <w:p w14:paraId="3583F7D2" w14:textId="1895F29E" w:rsidR="00A8096B" w:rsidRPr="00E9174E" w:rsidRDefault="00A8096B" w:rsidP="00E9174E">
      <w:pPr>
        <w:widowControl/>
        <w:kinsoku w:val="0"/>
        <w:overflowPunct w:val="0"/>
        <w:spacing w:line="360" w:lineRule="auto"/>
        <w:ind w:firstLine="1440"/>
        <w:contextualSpacing/>
        <w:textAlignment w:val="baseline"/>
        <w:rPr>
          <w:rFonts w:eastAsiaTheme="minorEastAsia"/>
          <w:i/>
          <w:iCs/>
          <w:sz w:val="26"/>
          <w:szCs w:val="26"/>
        </w:rPr>
      </w:pPr>
      <w:r w:rsidRPr="00E9174E">
        <w:rPr>
          <w:rFonts w:eastAsiaTheme="minorEastAsia"/>
          <w:sz w:val="26"/>
          <w:szCs w:val="26"/>
        </w:rPr>
        <w:t xml:space="preserve">PSU filed Exceptions objecting to the ALJ’s recommendation to adopt the OCA’s P&amp;A ACCOSS because it is an unbalanced approach that subsidizes the residential class.  </w:t>
      </w:r>
      <w:r w:rsidRPr="00E9174E">
        <w:rPr>
          <w:sz w:val="26"/>
          <w:szCs w:val="26"/>
        </w:rPr>
        <w:t>PSU Exc. at 2-8.</w:t>
      </w:r>
      <w:r w:rsidRPr="00E9174E">
        <w:rPr>
          <w:rFonts w:eastAsiaTheme="minorEastAsia"/>
          <w:sz w:val="26"/>
          <w:szCs w:val="26"/>
        </w:rPr>
        <w:t xml:space="preserve">  PSU submits that </w:t>
      </w:r>
      <w:r w:rsidRPr="00E9174E">
        <w:rPr>
          <w:sz w:val="26"/>
          <w:szCs w:val="26"/>
        </w:rPr>
        <w:t xml:space="preserve">the evidence in this case shows that Columbia’s averaging of both of its P&amp;A ACCOSS and Customer-Demand ACCOSS methods was the most balanced and fair approach to the allocation of costs, whereas the OCA’s P&amp;A ACCOSS is biased in favor of the residential class and leads to substantial subsidization of residential main costs in violation of </w:t>
      </w:r>
      <w:r w:rsidRPr="00E9174E">
        <w:rPr>
          <w:i/>
          <w:iCs/>
          <w:sz w:val="26"/>
          <w:szCs w:val="26"/>
        </w:rPr>
        <w:t>Lloyd.  Id</w:t>
      </w:r>
      <w:r w:rsidRPr="00E9174E">
        <w:rPr>
          <w:sz w:val="26"/>
          <w:szCs w:val="26"/>
        </w:rPr>
        <w:t>. at 2.</w:t>
      </w:r>
    </w:p>
    <w:p w14:paraId="22C707F6" w14:textId="77777777" w:rsidR="00A8096B" w:rsidRPr="00E9174E" w:rsidRDefault="00A8096B" w:rsidP="00E9174E">
      <w:pPr>
        <w:widowControl/>
        <w:kinsoku w:val="0"/>
        <w:overflowPunct w:val="0"/>
        <w:spacing w:line="360" w:lineRule="auto"/>
        <w:contextualSpacing/>
        <w:textAlignment w:val="baseline"/>
        <w:rPr>
          <w:rFonts w:eastAsiaTheme="minorEastAsia"/>
          <w:i/>
          <w:iCs/>
          <w:sz w:val="26"/>
          <w:szCs w:val="26"/>
        </w:rPr>
      </w:pPr>
    </w:p>
    <w:p w14:paraId="48892595" w14:textId="6A8A61EA" w:rsidR="00A8096B" w:rsidRPr="00E9174E" w:rsidRDefault="00A8096B" w:rsidP="00E9174E">
      <w:pPr>
        <w:widowControl/>
        <w:kinsoku w:val="0"/>
        <w:overflowPunct w:val="0"/>
        <w:spacing w:line="360" w:lineRule="auto"/>
        <w:ind w:firstLine="1440"/>
        <w:contextualSpacing/>
        <w:textAlignment w:val="baseline"/>
        <w:rPr>
          <w:sz w:val="26"/>
          <w:szCs w:val="26"/>
        </w:rPr>
      </w:pPr>
      <w:r w:rsidRPr="00E9174E">
        <w:rPr>
          <w:rFonts w:eastAsiaTheme="minorEastAsia"/>
          <w:sz w:val="26"/>
          <w:szCs w:val="26"/>
        </w:rPr>
        <w:t xml:space="preserve">PSU asserts that the ALJ </w:t>
      </w:r>
      <w:r w:rsidRPr="00E9174E">
        <w:rPr>
          <w:sz w:val="26"/>
          <w:szCs w:val="26"/>
        </w:rPr>
        <w:t xml:space="preserve">incorrectly found that the OCA’s P&amp;A ACCOSS allocated the costs of mains in the most appropriate, sound, and reasonable method for cost allocation in adopting a 50 percent distribution main system costs allocation on the </w:t>
      </w:r>
      <w:r w:rsidRPr="00E9174E">
        <w:rPr>
          <w:sz w:val="26"/>
          <w:szCs w:val="26"/>
        </w:rPr>
        <w:lastRenderedPageBreak/>
        <w:t>basis of peak demands and the remaining 50 percent of the Company’s distribution main costs allocated on annual, or average, demands.  PSU Exc. at 2 (citing R.D. at 394-395).</w:t>
      </w:r>
    </w:p>
    <w:p w14:paraId="5073AE54" w14:textId="77777777" w:rsidR="00A8096B" w:rsidRPr="00E9174E" w:rsidRDefault="00A8096B" w:rsidP="00E9174E">
      <w:pPr>
        <w:widowControl/>
        <w:kinsoku w:val="0"/>
        <w:overflowPunct w:val="0"/>
        <w:spacing w:line="360" w:lineRule="auto"/>
        <w:contextualSpacing/>
        <w:textAlignment w:val="baseline"/>
        <w:rPr>
          <w:sz w:val="26"/>
          <w:szCs w:val="26"/>
        </w:rPr>
      </w:pPr>
    </w:p>
    <w:p w14:paraId="00F3A742" w14:textId="47947E75" w:rsidR="00A8096B" w:rsidRPr="00E9174E" w:rsidRDefault="00A8096B" w:rsidP="00E9174E">
      <w:pPr>
        <w:widowControl/>
        <w:kinsoku w:val="0"/>
        <w:overflowPunct w:val="0"/>
        <w:spacing w:line="360" w:lineRule="auto"/>
        <w:ind w:firstLine="1440"/>
        <w:contextualSpacing/>
        <w:textAlignment w:val="baseline"/>
        <w:rPr>
          <w:rFonts w:eastAsiaTheme="minorEastAsia"/>
          <w:sz w:val="26"/>
          <w:szCs w:val="26"/>
        </w:rPr>
      </w:pPr>
      <w:r w:rsidRPr="00E9174E">
        <w:rPr>
          <w:sz w:val="26"/>
          <w:szCs w:val="26"/>
        </w:rPr>
        <w:t>PSU opines that the OCA’s P&amp;A ACCOSS significantly subsidizes the rates of the residential class because it does not reasonably allocate the cost of distribution mains in that it ignores the fact that distribution main costs are customer-driven expenses thereby failing to take into account the number of customers for which a main must be sized to meet their demands.  Furthermore, PSU contends that the ALJ’s recommendation ignores the evidentiary record discussing characteristics of Columbia’s suburban and rural service territory.  PSU Exc. at 1 (citing PSU St. 1-R at 7:4-9:9).</w:t>
      </w:r>
    </w:p>
    <w:p w14:paraId="1E64412E" w14:textId="77777777" w:rsidR="00A8096B" w:rsidRPr="00E9174E" w:rsidRDefault="00A8096B" w:rsidP="00E9174E">
      <w:pPr>
        <w:widowControl/>
        <w:kinsoku w:val="0"/>
        <w:overflowPunct w:val="0"/>
        <w:spacing w:line="360" w:lineRule="auto"/>
        <w:contextualSpacing/>
        <w:textAlignment w:val="baseline"/>
        <w:rPr>
          <w:rFonts w:eastAsiaTheme="minorEastAsia"/>
          <w:sz w:val="26"/>
          <w:szCs w:val="26"/>
        </w:rPr>
      </w:pPr>
    </w:p>
    <w:p w14:paraId="07255004" w14:textId="6EAF266F" w:rsidR="00A8096B" w:rsidRPr="00E9174E" w:rsidRDefault="00A8096B" w:rsidP="00E9174E">
      <w:pPr>
        <w:widowControl/>
        <w:kinsoku w:val="0"/>
        <w:overflowPunct w:val="0"/>
        <w:spacing w:line="360" w:lineRule="auto"/>
        <w:ind w:firstLine="1440"/>
        <w:contextualSpacing/>
        <w:textAlignment w:val="baseline"/>
        <w:rPr>
          <w:sz w:val="26"/>
          <w:szCs w:val="26"/>
        </w:rPr>
      </w:pPr>
      <w:r w:rsidRPr="00E9174E">
        <w:rPr>
          <w:rFonts w:eastAsiaTheme="minorEastAsia"/>
          <w:sz w:val="26"/>
          <w:szCs w:val="26"/>
        </w:rPr>
        <w:t xml:space="preserve">PSU cites to Table 8 of the Recommended Decision to illustrate its argument that the </w:t>
      </w:r>
      <w:r w:rsidRPr="00E9174E">
        <w:rPr>
          <w:sz w:val="26"/>
          <w:szCs w:val="26"/>
        </w:rPr>
        <w:t>resulting lop-sided rate structure would heavily subsidize the residential class at the expense of other rate classes.  PSU Exc. at 1 (citing CG St. 11 at</w:t>
      </w:r>
      <w:r w:rsidR="00DE6A9F">
        <w:rPr>
          <w:sz w:val="26"/>
          <w:szCs w:val="26"/>
        </w:rPr>
        <w:t> </w:t>
      </w:r>
      <w:r w:rsidRPr="00E9174E">
        <w:rPr>
          <w:sz w:val="26"/>
          <w:szCs w:val="26"/>
        </w:rPr>
        <w:t xml:space="preserve">3).  PSU explains that Table 8 of the Recommended Decision illustrates that the increase to the residential classes (RSS/RDS) is 21.4%, while the increase to the small and large industrial classes (SDS/LGSS and LDS/LGSS) is 36.0%.  PSU submits that the approximately 15% disparity in the proposed revenue distribution is extreme and demonstrates the flaws in adopting the OCA’s P&amp;A ACCOSS.  PSU Exc. at 3.  PSU believes the resulting residential subsidization from </w:t>
      </w:r>
      <w:r w:rsidR="00AC7CF5" w:rsidRPr="00E9174E">
        <w:rPr>
          <w:sz w:val="26"/>
          <w:szCs w:val="26"/>
        </w:rPr>
        <w:t>the</w:t>
      </w:r>
      <w:r w:rsidRPr="00E9174E">
        <w:rPr>
          <w:sz w:val="26"/>
          <w:szCs w:val="26"/>
        </w:rPr>
        <w:t xml:space="preserve"> OCA’s proposal violates the principles of </w:t>
      </w:r>
      <w:r w:rsidRPr="00E9174E">
        <w:rPr>
          <w:i/>
          <w:iCs/>
          <w:sz w:val="26"/>
          <w:szCs w:val="26"/>
        </w:rPr>
        <w:t>Lloyd</w:t>
      </w:r>
      <w:r w:rsidRPr="00E9174E">
        <w:rPr>
          <w:sz w:val="26"/>
          <w:szCs w:val="26"/>
        </w:rPr>
        <w:t>, which held that cross subsidies in existence from commercial and industrial classes may not be increased but should decrease over time.  PSU Exc. at 4.  PSU maintains that rather than considering adopting the Company’s Average ACCOSS, which would result in a revenue allocation proposal that is a balanced approach and fairly weighs the interests of residential customers and industrial class customers such as PSU, the ALJ adopted the OCA’s P&amp;A methodology which results in the residential rate class not paying for their fair share of mains and increasing cross-class subsidization.</w:t>
      </w:r>
    </w:p>
    <w:p w14:paraId="3D7B6150" w14:textId="77777777" w:rsidR="00A8096B" w:rsidRPr="00E9174E" w:rsidRDefault="00A8096B" w:rsidP="00E9174E">
      <w:pPr>
        <w:widowControl/>
        <w:kinsoku w:val="0"/>
        <w:overflowPunct w:val="0"/>
        <w:spacing w:line="360" w:lineRule="auto"/>
        <w:contextualSpacing/>
        <w:textAlignment w:val="baseline"/>
        <w:rPr>
          <w:sz w:val="26"/>
          <w:szCs w:val="26"/>
        </w:rPr>
      </w:pPr>
    </w:p>
    <w:p w14:paraId="41511091" w14:textId="490F9B47" w:rsidR="00A8096B" w:rsidRPr="00E9174E" w:rsidRDefault="00A8096B" w:rsidP="00E9174E">
      <w:pPr>
        <w:widowControl/>
        <w:kinsoku w:val="0"/>
        <w:overflowPunct w:val="0"/>
        <w:spacing w:line="360" w:lineRule="auto"/>
        <w:ind w:firstLine="1440"/>
        <w:contextualSpacing/>
        <w:textAlignment w:val="baseline"/>
        <w:rPr>
          <w:i/>
          <w:iCs/>
          <w:sz w:val="26"/>
          <w:szCs w:val="26"/>
        </w:rPr>
      </w:pPr>
      <w:r w:rsidRPr="00E9174E">
        <w:rPr>
          <w:sz w:val="26"/>
          <w:szCs w:val="26"/>
        </w:rPr>
        <w:lastRenderedPageBreak/>
        <w:t xml:space="preserve">PSU further asserts that the ALJ’s recommendation to adopt the OCA’s P&amp;A ACCOSS is flawed because she failed to address pertinent issues raised by PSU witness Mr. </w:t>
      </w:r>
      <w:r w:rsidR="00EE23A7" w:rsidRPr="00E9174E">
        <w:rPr>
          <w:sz w:val="26"/>
          <w:szCs w:val="26"/>
        </w:rPr>
        <w:t xml:space="preserve">J. </w:t>
      </w:r>
      <w:r w:rsidRPr="00E9174E">
        <w:rPr>
          <w:sz w:val="26"/>
          <w:szCs w:val="26"/>
        </w:rPr>
        <w:t xml:space="preserve">Crist on why the costs of mains must be allocated based on the number of customers served and whether piping should be designed to meet average demand rather than peak demand.  PSU Exc. at 4 (citing PSU M.B. at 7-10; PSU St. 1-R at 7-10).  Nor did the recommendation address the gross over-allocation evidence on mains costs by Columbia’s Witness Mr. </w:t>
      </w:r>
      <w:proofErr w:type="spellStart"/>
      <w:r w:rsidRPr="00E9174E">
        <w:rPr>
          <w:sz w:val="26"/>
          <w:szCs w:val="26"/>
        </w:rPr>
        <w:t>Notestone</w:t>
      </w:r>
      <w:proofErr w:type="spellEnd"/>
      <w:r w:rsidRPr="00E9174E">
        <w:rPr>
          <w:sz w:val="26"/>
          <w:szCs w:val="26"/>
        </w:rPr>
        <w:t xml:space="preserve"> who testified that the OCA’s P&amp;A ACCOSS </w:t>
      </w:r>
      <w:r w:rsidRPr="00E9174E">
        <w:rPr>
          <w:b/>
          <w:bCs/>
          <w:i/>
          <w:iCs/>
          <w:sz w:val="26"/>
          <w:szCs w:val="26"/>
        </w:rPr>
        <w:t xml:space="preserve">grossly over allocates mains costs </w:t>
      </w:r>
      <w:r w:rsidRPr="00E9174E">
        <w:rPr>
          <w:sz w:val="26"/>
          <w:szCs w:val="26"/>
        </w:rPr>
        <w:t>by assigning over 68 miles of pipe on average to nine of the ten largest customers.  PSU Exc. at 5 (citing CG St. 11-R at 9-10).</w:t>
      </w:r>
    </w:p>
    <w:p w14:paraId="5DF56C61" w14:textId="77777777" w:rsidR="00A8096B" w:rsidRPr="00E9174E" w:rsidRDefault="00A8096B" w:rsidP="00E9174E">
      <w:pPr>
        <w:widowControl/>
        <w:kinsoku w:val="0"/>
        <w:overflowPunct w:val="0"/>
        <w:spacing w:line="360" w:lineRule="auto"/>
        <w:contextualSpacing/>
        <w:textAlignment w:val="baseline"/>
        <w:rPr>
          <w:sz w:val="26"/>
          <w:szCs w:val="26"/>
        </w:rPr>
      </w:pPr>
    </w:p>
    <w:p w14:paraId="2B4BC00C" w14:textId="2A62BB29" w:rsidR="00A8096B" w:rsidRPr="00E9174E" w:rsidRDefault="00A8096B" w:rsidP="00E9174E">
      <w:pPr>
        <w:widowControl/>
        <w:kinsoku w:val="0"/>
        <w:overflowPunct w:val="0"/>
        <w:spacing w:line="360" w:lineRule="auto"/>
        <w:ind w:firstLine="1440"/>
        <w:contextualSpacing/>
        <w:textAlignment w:val="baseline"/>
        <w:rPr>
          <w:sz w:val="26"/>
          <w:szCs w:val="26"/>
        </w:rPr>
      </w:pPr>
      <w:r w:rsidRPr="00E9174E">
        <w:rPr>
          <w:sz w:val="26"/>
          <w:szCs w:val="26"/>
        </w:rPr>
        <w:t>In support of its position on why the Commission should adopt Columbia’s Average ACCOSS, PSU opines that the Company’s Average ACCOSS is a balanced and fair cost of service study on which to base revenue allocation because it equally weighs the Company’s Customer-Demand ACCOSS, which generally favors industrial class customers, and the Company’s P&amp;A ACCOS</w:t>
      </w:r>
      <w:r w:rsidR="00821576" w:rsidRPr="00E9174E">
        <w:rPr>
          <w:sz w:val="26"/>
          <w:szCs w:val="26"/>
        </w:rPr>
        <w:t>S</w:t>
      </w:r>
      <w:r w:rsidRPr="00E9174E">
        <w:rPr>
          <w:sz w:val="26"/>
          <w:szCs w:val="26"/>
        </w:rPr>
        <w:t xml:space="preserve">, which generally favors the residential class.  PSU Exc. at 5 (citing CG St. 11 at 3-11).  Despite testimony dismissing the Customer-Demand ACCOSS, PSU contends that it is a valid, </w:t>
      </w:r>
      <w:r w:rsidR="00607C60" w:rsidRPr="00E9174E">
        <w:rPr>
          <w:sz w:val="26"/>
          <w:szCs w:val="26"/>
        </w:rPr>
        <w:t xml:space="preserve">National Association of Regulatory </w:t>
      </w:r>
      <w:r w:rsidR="007303EF" w:rsidRPr="00E9174E">
        <w:rPr>
          <w:sz w:val="26"/>
          <w:szCs w:val="26"/>
        </w:rPr>
        <w:t>Utility Commissioners (</w:t>
      </w:r>
      <w:r w:rsidRPr="00E9174E">
        <w:rPr>
          <w:sz w:val="26"/>
          <w:szCs w:val="26"/>
        </w:rPr>
        <w:t>NARUC</w:t>
      </w:r>
      <w:r w:rsidR="007303EF" w:rsidRPr="00E9174E">
        <w:rPr>
          <w:sz w:val="26"/>
          <w:szCs w:val="26"/>
        </w:rPr>
        <w:t>)</w:t>
      </w:r>
      <w:r w:rsidRPr="00E9174E">
        <w:rPr>
          <w:sz w:val="26"/>
          <w:szCs w:val="26"/>
        </w:rPr>
        <w:t xml:space="preserve"> recognized methodology and cannot be dismissed or ignored.  PSU Exc. at 5 (citing PSU St. 1-R at 6-9).  PSU asserts that in rejecting the Customer-Demand ACCOSS, the ALJ “incorrectly found that the Company’s studies contained flaws, appearing to adopt the OCA’s position regarding the allocations of mains based on average throughput and entirely disregarding the customer component related costs in distribution mains allocation that the OCA incorrectly alleges skew the results of the Company’s Average Study.”  PSU Exc. at 5 (citing R.D. at 309).  Accordingly, PSU claims the ALJ ignored the long-standing basis under </w:t>
      </w:r>
      <w:r w:rsidRPr="00E9174E">
        <w:rPr>
          <w:i/>
          <w:iCs/>
          <w:sz w:val="26"/>
          <w:szCs w:val="26"/>
        </w:rPr>
        <w:t xml:space="preserve">Lloyd </w:t>
      </w:r>
      <w:r w:rsidRPr="00E9174E">
        <w:rPr>
          <w:sz w:val="26"/>
          <w:szCs w:val="26"/>
        </w:rPr>
        <w:t xml:space="preserve">for balancing the interest of all rate classes under established rate making principles.  PSU Exc. at 5-6.  </w:t>
      </w:r>
    </w:p>
    <w:p w14:paraId="2B4915EC" w14:textId="77777777" w:rsidR="009704BB" w:rsidRPr="00E9174E" w:rsidRDefault="009704BB" w:rsidP="00E9174E">
      <w:pPr>
        <w:widowControl/>
        <w:kinsoku w:val="0"/>
        <w:overflowPunct w:val="0"/>
        <w:spacing w:line="360" w:lineRule="auto"/>
        <w:ind w:firstLine="1440"/>
        <w:contextualSpacing/>
        <w:textAlignment w:val="baseline"/>
        <w:rPr>
          <w:sz w:val="26"/>
          <w:szCs w:val="26"/>
        </w:rPr>
      </w:pPr>
    </w:p>
    <w:p w14:paraId="45983778" w14:textId="6827A3E7" w:rsidR="00A8096B" w:rsidRPr="00E9174E" w:rsidRDefault="00A8096B" w:rsidP="00E9174E">
      <w:pPr>
        <w:widowControl/>
        <w:kinsoku w:val="0"/>
        <w:overflowPunct w:val="0"/>
        <w:spacing w:line="360" w:lineRule="auto"/>
        <w:ind w:firstLine="1440"/>
        <w:contextualSpacing/>
        <w:textAlignment w:val="baseline"/>
        <w:rPr>
          <w:sz w:val="26"/>
          <w:szCs w:val="26"/>
        </w:rPr>
      </w:pPr>
      <w:r w:rsidRPr="00E9174E">
        <w:rPr>
          <w:sz w:val="26"/>
          <w:szCs w:val="26"/>
        </w:rPr>
        <w:lastRenderedPageBreak/>
        <w:t>PSU also opines that the ALJ’s choice of the OCA’s P&amp;A ACCOSS is not relevant to how Columbia incurs cost to provide service.  PSU provides an elucidation of the paramount underlying disagreement concerning the various cost of service studies and methodologies in this proceeding:</w:t>
      </w:r>
    </w:p>
    <w:p w14:paraId="7B94D034" w14:textId="77777777" w:rsidR="00A8096B" w:rsidRPr="00E9174E" w:rsidRDefault="00A8096B" w:rsidP="00DE6A9F">
      <w:pPr>
        <w:widowControl/>
        <w:kinsoku w:val="0"/>
        <w:overflowPunct w:val="0"/>
        <w:contextualSpacing/>
        <w:textAlignment w:val="baseline"/>
        <w:rPr>
          <w:sz w:val="26"/>
          <w:szCs w:val="26"/>
        </w:rPr>
      </w:pPr>
    </w:p>
    <w:p w14:paraId="17046463" w14:textId="57890464" w:rsidR="00A8096B" w:rsidRPr="00E9174E" w:rsidRDefault="00A8096B" w:rsidP="00E9174E">
      <w:pPr>
        <w:widowControl/>
        <w:kinsoku w:val="0"/>
        <w:overflowPunct w:val="0"/>
        <w:ind w:left="1440" w:right="1440"/>
        <w:contextualSpacing/>
        <w:textAlignment w:val="baseline"/>
        <w:rPr>
          <w:sz w:val="26"/>
          <w:szCs w:val="26"/>
        </w:rPr>
      </w:pPr>
      <w:r w:rsidRPr="00E9174E">
        <w:rPr>
          <w:sz w:val="26"/>
          <w:szCs w:val="26"/>
        </w:rPr>
        <w:t>The core issue driving the dispute between cost of service methodologies is the treatment of main costs.  Mains and services account for approximately 87% of the Company’s gross plan investment and approximately 56% of O&amp;M expenses.  Thus, allocation of these items significantly influences the outcome of the cost of service studies.  “With all three studies, the allocation of costs is essentially the same, with the exception of the allocation of mains.”  The dispute centers on whether the costs of these mains should be allocated based on the number of customers and the peak day demand or the peak day design and the average throughput or a mix of the two.</w:t>
      </w:r>
    </w:p>
    <w:p w14:paraId="78BF0D2A" w14:textId="77777777" w:rsidR="00DE6A9F" w:rsidRDefault="00DE6A9F" w:rsidP="00E9174E">
      <w:pPr>
        <w:widowControl/>
        <w:kinsoku w:val="0"/>
        <w:overflowPunct w:val="0"/>
        <w:spacing w:line="360" w:lineRule="auto"/>
        <w:contextualSpacing/>
        <w:textAlignment w:val="baseline"/>
        <w:rPr>
          <w:sz w:val="26"/>
          <w:szCs w:val="26"/>
        </w:rPr>
      </w:pPr>
    </w:p>
    <w:p w14:paraId="3D780D69" w14:textId="0640A322" w:rsidR="00A8096B" w:rsidRPr="00E9174E" w:rsidRDefault="00A8096B" w:rsidP="00E9174E">
      <w:pPr>
        <w:widowControl/>
        <w:kinsoku w:val="0"/>
        <w:overflowPunct w:val="0"/>
        <w:spacing w:line="360" w:lineRule="auto"/>
        <w:contextualSpacing/>
        <w:textAlignment w:val="baseline"/>
        <w:rPr>
          <w:sz w:val="26"/>
          <w:szCs w:val="26"/>
        </w:rPr>
      </w:pPr>
      <w:r w:rsidRPr="00E9174E">
        <w:rPr>
          <w:sz w:val="26"/>
          <w:szCs w:val="26"/>
        </w:rPr>
        <w:t>PSU Exc. at 6</w:t>
      </w:r>
      <w:r w:rsidR="000D22A7" w:rsidRPr="00E9174E">
        <w:rPr>
          <w:sz w:val="26"/>
          <w:szCs w:val="26"/>
        </w:rPr>
        <w:t xml:space="preserve"> (</w:t>
      </w:r>
      <w:r w:rsidR="00447933" w:rsidRPr="00E9174E">
        <w:rPr>
          <w:sz w:val="26"/>
          <w:szCs w:val="26"/>
        </w:rPr>
        <w:t>citing CG St. 11 at 13; CG St. 11-R at 30)</w:t>
      </w:r>
      <w:r w:rsidRPr="00E9174E">
        <w:rPr>
          <w:sz w:val="26"/>
          <w:szCs w:val="26"/>
        </w:rPr>
        <w:t xml:space="preserve">.  PSU then quotes from Columbia Witness Mr. </w:t>
      </w:r>
      <w:proofErr w:type="spellStart"/>
      <w:r w:rsidRPr="00E9174E">
        <w:rPr>
          <w:sz w:val="26"/>
          <w:szCs w:val="26"/>
        </w:rPr>
        <w:t>Notestone’s</w:t>
      </w:r>
      <w:proofErr w:type="spellEnd"/>
      <w:r w:rsidRPr="00E9174E">
        <w:rPr>
          <w:sz w:val="26"/>
          <w:szCs w:val="26"/>
        </w:rPr>
        <w:t xml:space="preserve"> Rebuttal Testimony on weighting factors used in the Company’s Customer-Demand ACCOSS and P&amp;A ACCOSS:</w:t>
      </w:r>
    </w:p>
    <w:p w14:paraId="41A74B16" w14:textId="77777777" w:rsidR="00A8096B" w:rsidRPr="00E9174E" w:rsidRDefault="00A8096B" w:rsidP="00DE78B9">
      <w:pPr>
        <w:widowControl/>
        <w:kinsoku w:val="0"/>
        <w:overflowPunct w:val="0"/>
        <w:contextualSpacing/>
        <w:textAlignment w:val="baseline"/>
        <w:rPr>
          <w:sz w:val="26"/>
          <w:szCs w:val="26"/>
        </w:rPr>
      </w:pPr>
    </w:p>
    <w:p w14:paraId="49F871F2" w14:textId="77777777" w:rsidR="00A8096B" w:rsidRPr="00E9174E" w:rsidRDefault="00A8096B" w:rsidP="00E9174E">
      <w:pPr>
        <w:widowControl/>
        <w:kinsoku w:val="0"/>
        <w:overflowPunct w:val="0"/>
        <w:spacing w:line="275" w:lineRule="exact"/>
        <w:ind w:left="1440" w:right="1440"/>
        <w:contextualSpacing/>
        <w:jc w:val="both"/>
        <w:textAlignment w:val="baseline"/>
        <w:rPr>
          <w:rFonts w:eastAsiaTheme="minorEastAsia"/>
          <w:sz w:val="26"/>
          <w:szCs w:val="26"/>
        </w:rPr>
      </w:pPr>
      <w:r w:rsidRPr="00E9174E">
        <w:rPr>
          <w:rFonts w:eastAsiaTheme="minorEastAsia"/>
          <w:sz w:val="26"/>
          <w:szCs w:val="26"/>
        </w:rPr>
        <w:t>The Customer/Demand Study weights the allocation of mains using a factor based on the number of customers (Customer) and the company’s peak day design (Demand). This method recognizes the customer number component of mains.</w:t>
      </w:r>
    </w:p>
    <w:p w14:paraId="5B381A6B" w14:textId="77777777" w:rsidR="00A8096B" w:rsidRPr="00E9174E" w:rsidRDefault="00A8096B" w:rsidP="00E9174E">
      <w:pPr>
        <w:widowControl/>
        <w:kinsoku w:val="0"/>
        <w:overflowPunct w:val="0"/>
        <w:spacing w:line="275" w:lineRule="exact"/>
        <w:ind w:left="1440" w:right="1440"/>
        <w:contextualSpacing/>
        <w:jc w:val="both"/>
        <w:textAlignment w:val="baseline"/>
        <w:rPr>
          <w:rFonts w:eastAsiaTheme="minorEastAsia"/>
          <w:sz w:val="26"/>
          <w:szCs w:val="26"/>
        </w:rPr>
      </w:pPr>
    </w:p>
    <w:p w14:paraId="125A5BFB" w14:textId="77777777" w:rsidR="00A8096B" w:rsidRPr="00E9174E" w:rsidRDefault="00A8096B" w:rsidP="00E9174E">
      <w:pPr>
        <w:widowControl/>
        <w:kinsoku w:val="0"/>
        <w:overflowPunct w:val="0"/>
        <w:spacing w:line="276" w:lineRule="exact"/>
        <w:ind w:left="1440" w:right="1440"/>
        <w:contextualSpacing/>
        <w:textAlignment w:val="baseline"/>
        <w:rPr>
          <w:rFonts w:eastAsiaTheme="minorEastAsia"/>
          <w:sz w:val="26"/>
          <w:szCs w:val="26"/>
        </w:rPr>
      </w:pPr>
      <w:r w:rsidRPr="00E9174E">
        <w:rPr>
          <w:rFonts w:eastAsiaTheme="minorEastAsia"/>
          <w:sz w:val="26"/>
          <w:szCs w:val="26"/>
        </w:rPr>
        <w:t>In the Peak &amp; Average Study, the allocation of mains uses a factor weighting 50% to the Company’s peak day design (Peak), and 50% to the Company’s throughput (Average).</w:t>
      </w:r>
    </w:p>
    <w:p w14:paraId="2F876F3F" w14:textId="77777777" w:rsidR="00A8096B" w:rsidRPr="00E9174E" w:rsidRDefault="00A8096B" w:rsidP="00E9174E">
      <w:pPr>
        <w:widowControl/>
        <w:kinsoku w:val="0"/>
        <w:overflowPunct w:val="0"/>
        <w:spacing w:line="276" w:lineRule="exact"/>
        <w:ind w:left="1440" w:right="1440"/>
        <w:contextualSpacing/>
        <w:jc w:val="both"/>
        <w:textAlignment w:val="baseline"/>
        <w:rPr>
          <w:rFonts w:eastAsiaTheme="minorEastAsia"/>
          <w:sz w:val="26"/>
          <w:szCs w:val="26"/>
        </w:rPr>
      </w:pPr>
    </w:p>
    <w:p w14:paraId="79C38D2A" w14:textId="160D187B" w:rsidR="00A8096B" w:rsidRPr="00E9174E" w:rsidRDefault="00A8096B" w:rsidP="00E9174E">
      <w:pPr>
        <w:widowControl/>
        <w:kinsoku w:val="0"/>
        <w:overflowPunct w:val="0"/>
        <w:spacing w:line="274" w:lineRule="exact"/>
        <w:ind w:left="1440" w:right="1440"/>
        <w:contextualSpacing/>
        <w:jc w:val="both"/>
        <w:textAlignment w:val="baseline"/>
        <w:rPr>
          <w:rFonts w:eastAsiaTheme="minorEastAsia"/>
          <w:sz w:val="26"/>
          <w:szCs w:val="26"/>
          <w:vertAlign w:val="superscript"/>
        </w:rPr>
      </w:pPr>
      <w:r w:rsidRPr="00E9174E">
        <w:rPr>
          <w:rFonts w:eastAsiaTheme="minorEastAsia"/>
          <w:sz w:val="26"/>
          <w:szCs w:val="26"/>
        </w:rPr>
        <w:t>As stated above, the Average Study gives equal weight to the Customer/Demand and the Peak &amp; Average methods.</w:t>
      </w:r>
    </w:p>
    <w:p w14:paraId="36E55A63" w14:textId="77777777" w:rsidR="00DE78B9" w:rsidRDefault="00DE78B9" w:rsidP="00E9174E">
      <w:pPr>
        <w:widowControl/>
        <w:kinsoku w:val="0"/>
        <w:overflowPunct w:val="0"/>
        <w:spacing w:line="360" w:lineRule="auto"/>
        <w:contextualSpacing/>
        <w:textAlignment w:val="baseline"/>
        <w:rPr>
          <w:sz w:val="26"/>
          <w:szCs w:val="26"/>
        </w:rPr>
      </w:pPr>
    </w:p>
    <w:p w14:paraId="772A66E4" w14:textId="24D0C0F7" w:rsidR="00A8096B" w:rsidRPr="00E9174E" w:rsidRDefault="00A8096B" w:rsidP="00E9174E">
      <w:pPr>
        <w:widowControl/>
        <w:kinsoku w:val="0"/>
        <w:overflowPunct w:val="0"/>
        <w:spacing w:line="360" w:lineRule="auto"/>
        <w:contextualSpacing/>
        <w:textAlignment w:val="baseline"/>
        <w:rPr>
          <w:rFonts w:eastAsiaTheme="minorEastAsia"/>
          <w:sz w:val="26"/>
          <w:szCs w:val="26"/>
        </w:rPr>
      </w:pPr>
      <w:r w:rsidRPr="00E9174E">
        <w:rPr>
          <w:sz w:val="26"/>
          <w:szCs w:val="26"/>
        </w:rPr>
        <w:t xml:space="preserve">PSU Exc. at 7 (citing CG St. 11-R at 3).  Since 50% of mains costs in the </w:t>
      </w:r>
      <w:r w:rsidRPr="00E9174E">
        <w:rPr>
          <w:rFonts w:eastAsiaTheme="minorEastAsia"/>
          <w:sz w:val="26"/>
          <w:szCs w:val="26"/>
        </w:rPr>
        <w:t xml:space="preserve">P&amp;A ACCOSS is based on throughput, PSU maintains that the results of the ALJ’s recommendation are not reflective of how Columbia incurs costs to provide service.  </w:t>
      </w:r>
      <w:bookmarkStart w:id="421" w:name="_Hlk61398149"/>
      <w:r w:rsidRPr="00E9174E">
        <w:rPr>
          <w:sz w:val="26"/>
          <w:szCs w:val="26"/>
        </w:rPr>
        <w:t>PSU Exc. at 7 (citing CG</w:t>
      </w:r>
      <w:r w:rsidR="00DE78B9">
        <w:rPr>
          <w:sz w:val="26"/>
          <w:szCs w:val="26"/>
        </w:rPr>
        <w:t> </w:t>
      </w:r>
      <w:r w:rsidRPr="00E9174E">
        <w:rPr>
          <w:sz w:val="26"/>
          <w:szCs w:val="26"/>
        </w:rPr>
        <w:t>St. 11-R at 19).</w:t>
      </w:r>
      <w:bookmarkEnd w:id="421"/>
    </w:p>
    <w:p w14:paraId="6F6D84CA" w14:textId="72E214D3" w:rsidR="00A8096B" w:rsidRPr="00E9174E" w:rsidRDefault="00A8096B" w:rsidP="00E9174E">
      <w:pPr>
        <w:widowControl/>
        <w:kinsoku w:val="0"/>
        <w:overflowPunct w:val="0"/>
        <w:spacing w:line="360" w:lineRule="auto"/>
        <w:ind w:firstLine="1440"/>
        <w:contextualSpacing/>
        <w:textAlignment w:val="baseline"/>
        <w:rPr>
          <w:sz w:val="26"/>
          <w:szCs w:val="26"/>
        </w:rPr>
      </w:pPr>
      <w:r w:rsidRPr="00E9174E">
        <w:rPr>
          <w:rFonts w:eastAsiaTheme="minorEastAsia"/>
          <w:sz w:val="26"/>
          <w:szCs w:val="26"/>
        </w:rPr>
        <w:lastRenderedPageBreak/>
        <w:t xml:space="preserve">In light of the above, PSU concludes that the evidentiary record clearly shows the benefits of the Company’s Average ACCOSS in that </w:t>
      </w:r>
      <w:r w:rsidRPr="00E9174E">
        <w:rPr>
          <w:sz w:val="26"/>
          <w:szCs w:val="26"/>
        </w:rPr>
        <w:t xml:space="preserve">it provides equal weight to the industry class which favors the Customer-Demand ACCOSS and the residential class which favors the P&amp;A ACCOSS.  Accordingly, PSU submits that the result produces the most appropriate and reasonable cost allocation without creating additional cross-class subsidization in violation of </w:t>
      </w:r>
      <w:r w:rsidRPr="00E9174E">
        <w:rPr>
          <w:i/>
          <w:iCs/>
          <w:sz w:val="26"/>
          <w:szCs w:val="26"/>
        </w:rPr>
        <w:t xml:space="preserve">Lloyd </w:t>
      </w:r>
      <w:r w:rsidRPr="00E9174E">
        <w:rPr>
          <w:sz w:val="26"/>
          <w:szCs w:val="26"/>
        </w:rPr>
        <w:t>and without forcing one rate class to pay rates at higher than balanced cost-of-service principles.  PSU Exc. at 8.  Therefore, PSU requests that the Commission reject the OCA’s P&amp;A ACCOSS that was recommended by the ALJ and adopt Columbia’s Average ACCOSS for the revenue allocation purposes in this proceeding.  PSU Exc. at 9.</w:t>
      </w:r>
    </w:p>
    <w:p w14:paraId="578C3E4E" w14:textId="77777777" w:rsidR="00A8096B" w:rsidRPr="00E9174E" w:rsidRDefault="00A8096B" w:rsidP="00E9174E">
      <w:pPr>
        <w:widowControl/>
        <w:kinsoku w:val="0"/>
        <w:overflowPunct w:val="0"/>
        <w:spacing w:line="360" w:lineRule="auto"/>
        <w:contextualSpacing/>
        <w:textAlignment w:val="baseline"/>
        <w:rPr>
          <w:sz w:val="26"/>
          <w:szCs w:val="26"/>
        </w:rPr>
      </w:pPr>
    </w:p>
    <w:p w14:paraId="3A3F192B" w14:textId="271E2E3D" w:rsidR="00A8096B" w:rsidRPr="00E9174E" w:rsidRDefault="00A8096B" w:rsidP="00DE78B9">
      <w:pPr>
        <w:pStyle w:val="Heading4"/>
        <w:ind w:left="2160" w:hanging="720"/>
        <w:rPr>
          <w:rFonts w:eastAsiaTheme="minorEastAsia"/>
        </w:rPr>
      </w:pPr>
      <w:bookmarkStart w:id="422" w:name="_Toc63764610"/>
      <w:r w:rsidRPr="00E9174E">
        <w:t>Replies to Exceptions</w:t>
      </w:r>
      <w:bookmarkEnd w:id="422"/>
    </w:p>
    <w:p w14:paraId="21B55081" w14:textId="77777777" w:rsidR="00A8096B" w:rsidRPr="00E9174E" w:rsidRDefault="00A8096B" w:rsidP="00E9174E">
      <w:pPr>
        <w:keepNext/>
        <w:keepLines/>
        <w:widowControl/>
        <w:spacing w:line="360" w:lineRule="auto"/>
        <w:ind w:firstLine="1440"/>
        <w:contextualSpacing/>
        <w:rPr>
          <w:sz w:val="26"/>
          <w:szCs w:val="26"/>
        </w:rPr>
      </w:pPr>
    </w:p>
    <w:p w14:paraId="43DE1C16" w14:textId="28B2D0BD" w:rsidR="00A8096B" w:rsidRPr="00E9174E" w:rsidRDefault="00A8096B" w:rsidP="00E9174E">
      <w:pPr>
        <w:widowControl/>
        <w:kinsoku w:val="0"/>
        <w:overflowPunct w:val="0"/>
        <w:spacing w:line="360" w:lineRule="auto"/>
        <w:ind w:firstLine="1440"/>
        <w:contextualSpacing/>
        <w:textAlignment w:val="baseline"/>
        <w:rPr>
          <w:sz w:val="26"/>
          <w:szCs w:val="26"/>
        </w:rPr>
      </w:pPr>
      <w:r w:rsidRPr="00E9174E">
        <w:rPr>
          <w:sz w:val="26"/>
          <w:szCs w:val="26"/>
        </w:rPr>
        <w:t>The OCA, I&amp;E and PSU each filed Replies to Exceptions in this proceeding, regarding this matter.</w:t>
      </w:r>
      <w:r w:rsidRPr="00E9174E">
        <w:rPr>
          <w:sz w:val="26"/>
          <w:szCs w:val="26"/>
          <w:vertAlign w:val="superscript"/>
        </w:rPr>
        <w:footnoteReference w:id="77"/>
      </w:r>
    </w:p>
    <w:p w14:paraId="3AE84CD0" w14:textId="77777777" w:rsidR="00A8096B" w:rsidRPr="00E9174E" w:rsidRDefault="00A8096B" w:rsidP="00E9174E">
      <w:pPr>
        <w:widowControl/>
        <w:kinsoku w:val="0"/>
        <w:overflowPunct w:val="0"/>
        <w:spacing w:line="360" w:lineRule="auto"/>
        <w:contextualSpacing/>
        <w:textAlignment w:val="baseline"/>
        <w:rPr>
          <w:sz w:val="26"/>
          <w:szCs w:val="26"/>
        </w:rPr>
      </w:pPr>
    </w:p>
    <w:p w14:paraId="7CD792B6" w14:textId="6D45B720" w:rsidR="00A8096B" w:rsidRPr="00E9174E" w:rsidRDefault="00A8096B" w:rsidP="00DE78B9">
      <w:pPr>
        <w:widowControl/>
        <w:kinsoku w:val="0"/>
        <w:overflowPunct w:val="0"/>
        <w:spacing w:line="360" w:lineRule="auto"/>
        <w:ind w:firstLine="1440"/>
        <w:contextualSpacing/>
        <w:textAlignment w:val="baseline"/>
        <w:rPr>
          <w:sz w:val="26"/>
          <w:szCs w:val="26"/>
        </w:rPr>
      </w:pPr>
      <w:bookmarkStart w:id="423" w:name="_Hlk62121558"/>
      <w:r w:rsidRPr="00E9174E">
        <w:rPr>
          <w:sz w:val="26"/>
          <w:szCs w:val="26"/>
        </w:rPr>
        <w:t xml:space="preserve">In its Replies, the </w:t>
      </w:r>
      <w:bookmarkStart w:id="424" w:name="_Hlk62121386"/>
      <w:r w:rsidRPr="00E9174E">
        <w:rPr>
          <w:sz w:val="26"/>
          <w:szCs w:val="26"/>
        </w:rPr>
        <w:t>OCA notes that Columbia, the OSBA, and PSU all argued that the Company’s Average ACCOSS, in some fashion</w:t>
      </w:r>
      <w:bookmarkEnd w:id="424"/>
      <w:r w:rsidRPr="00E9174E">
        <w:rPr>
          <w:sz w:val="26"/>
          <w:szCs w:val="26"/>
        </w:rPr>
        <w:t>, should be used to arrive at the ACCOSS that the Commission should approve here.  However, the OCA asserts that the Company’s Average ACCOSS employs a method that previously has been rejected by the Commission because it contains a 50% weighting from the Company’s Customer-Demand ACCOSS, which allocates a portion of mains costs based on the number of customers.</w:t>
      </w:r>
      <w:r w:rsidRPr="00E9174E">
        <w:rPr>
          <w:sz w:val="26"/>
          <w:szCs w:val="26"/>
          <w:vertAlign w:val="superscript"/>
        </w:rPr>
        <w:footnoteReference w:id="78"/>
      </w:r>
      <w:r w:rsidRPr="00E9174E">
        <w:rPr>
          <w:sz w:val="26"/>
          <w:szCs w:val="26"/>
        </w:rPr>
        <w:t xml:space="preserve"> </w:t>
      </w:r>
      <w:bookmarkEnd w:id="423"/>
      <w:r w:rsidRPr="00E9174E">
        <w:rPr>
          <w:sz w:val="26"/>
          <w:szCs w:val="26"/>
        </w:rPr>
        <w:t xml:space="preserve"> Conversely, the OCA argues that, as noted by ALJ Dunderdale in her Recommended Decision in footnote 656 on page 394, the Peak &amp; Average method consistently has been accepted by the Commission for the allocation of distribution mains costs for NGDCs.  Therefore, the OCA asserts that any ACCOSS method or argument </w:t>
      </w:r>
      <w:r w:rsidRPr="00E9174E">
        <w:rPr>
          <w:sz w:val="26"/>
          <w:szCs w:val="26"/>
        </w:rPr>
        <w:lastRenderedPageBreak/>
        <w:t>proffered in this proceeding that includes a customer component for mains is unsupported by Commission precedent and must be rejected.  OCA R. Exc. at 18-19.</w:t>
      </w:r>
    </w:p>
    <w:p w14:paraId="5E63F082" w14:textId="77777777" w:rsidR="00702B10" w:rsidRPr="00E9174E" w:rsidRDefault="00702B10" w:rsidP="00DE78B9">
      <w:pPr>
        <w:widowControl/>
        <w:autoSpaceDE w:val="0"/>
        <w:autoSpaceDN w:val="0"/>
        <w:adjustRightInd w:val="0"/>
        <w:spacing w:line="360" w:lineRule="auto"/>
        <w:contextualSpacing/>
        <w:rPr>
          <w:sz w:val="26"/>
          <w:szCs w:val="26"/>
        </w:rPr>
      </w:pPr>
      <w:bookmarkStart w:id="425" w:name="_Hlk62121666"/>
    </w:p>
    <w:p w14:paraId="0E3B3F54" w14:textId="2147E68A" w:rsidR="00A8096B" w:rsidRPr="00E9174E" w:rsidRDefault="00A8096B" w:rsidP="00DE78B9">
      <w:pPr>
        <w:widowControl/>
        <w:autoSpaceDE w:val="0"/>
        <w:autoSpaceDN w:val="0"/>
        <w:adjustRightInd w:val="0"/>
        <w:spacing w:line="360" w:lineRule="auto"/>
        <w:ind w:firstLine="1440"/>
        <w:contextualSpacing/>
        <w:rPr>
          <w:sz w:val="26"/>
          <w:szCs w:val="26"/>
        </w:rPr>
      </w:pPr>
      <w:r w:rsidRPr="00E9174E">
        <w:rPr>
          <w:sz w:val="26"/>
          <w:szCs w:val="26"/>
        </w:rPr>
        <w:t xml:space="preserve">I&amp;E also filed Replies to the Exceptions filed by Columbia, the OSBA, and PSU, </w:t>
      </w:r>
      <w:bookmarkStart w:id="426" w:name="_Hlk62121623"/>
      <w:r w:rsidRPr="00E9174E">
        <w:rPr>
          <w:sz w:val="26"/>
          <w:szCs w:val="26"/>
        </w:rPr>
        <w:t>all of whom supported the Company’s Average ACCOSS and rejected the OCA’s P</w:t>
      </w:r>
      <w:bookmarkEnd w:id="426"/>
      <w:r w:rsidRPr="00E9174E">
        <w:rPr>
          <w:sz w:val="26"/>
          <w:szCs w:val="26"/>
        </w:rPr>
        <w:t>&amp;A ACCOSS.</w:t>
      </w:r>
      <w:r w:rsidRPr="00E9174E">
        <w:rPr>
          <w:sz w:val="26"/>
          <w:szCs w:val="26"/>
          <w:vertAlign w:val="superscript"/>
        </w:rPr>
        <w:t xml:space="preserve"> </w:t>
      </w:r>
      <w:r w:rsidRPr="00E9174E">
        <w:rPr>
          <w:sz w:val="26"/>
          <w:szCs w:val="26"/>
        </w:rPr>
        <w:t xml:space="preserve">  I&amp;E R. Exc. at 4-6. </w:t>
      </w:r>
      <w:bookmarkEnd w:id="425"/>
      <w:r w:rsidRPr="00E9174E">
        <w:rPr>
          <w:sz w:val="26"/>
          <w:szCs w:val="26"/>
        </w:rPr>
        <w:t xml:space="preserve"> I&amp;E submits that the ALJ appropriately adopted the OCA’s P&amp;A ACCOSS because it is consistent with Commission precedent because it properly assigns mains investment by the throughput and not by customers.  I&amp;E R. Exc. at 5-6 (citing I&amp;E M.B. at 92).  Accordingly, I&amp;E also submits that the ALJ properly rejected Columbia’s Average ACCOSS because it classifies distribution mains as partially customer related and partially demand related.  I&amp;E R. Exc. at 4.  </w:t>
      </w:r>
    </w:p>
    <w:p w14:paraId="11F932B0" w14:textId="77777777" w:rsidR="00A8096B" w:rsidRPr="00E9174E" w:rsidRDefault="00A8096B" w:rsidP="00DE78B9">
      <w:pPr>
        <w:widowControl/>
        <w:autoSpaceDE w:val="0"/>
        <w:autoSpaceDN w:val="0"/>
        <w:adjustRightInd w:val="0"/>
        <w:spacing w:line="360" w:lineRule="auto"/>
        <w:contextualSpacing/>
        <w:rPr>
          <w:rFonts w:eastAsia="TimesNewRomanPSMT"/>
          <w:sz w:val="26"/>
          <w:szCs w:val="26"/>
        </w:rPr>
      </w:pPr>
    </w:p>
    <w:p w14:paraId="201A541E" w14:textId="72A7E865" w:rsidR="00A8096B" w:rsidRPr="00E9174E" w:rsidRDefault="00A8096B" w:rsidP="00DE78B9">
      <w:pPr>
        <w:widowControl/>
        <w:autoSpaceDE w:val="0"/>
        <w:autoSpaceDN w:val="0"/>
        <w:adjustRightInd w:val="0"/>
        <w:spacing w:line="360" w:lineRule="auto"/>
        <w:ind w:firstLine="1440"/>
        <w:contextualSpacing/>
        <w:rPr>
          <w:sz w:val="26"/>
          <w:szCs w:val="26"/>
        </w:rPr>
      </w:pPr>
      <w:r w:rsidRPr="00E9174E">
        <w:rPr>
          <w:sz w:val="26"/>
          <w:szCs w:val="26"/>
        </w:rPr>
        <w:t xml:space="preserve">In response to the OSBA’s Exception, in which it argued that the </w:t>
      </w:r>
      <w:r w:rsidRPr="00E9174E">
        <w:rPr>
          <w:i/>
          <w:iCs/>
          <w:sz w:val="26"/>
          <w:szCs w:val="26"/>
        </w:rPr>
        <w:t>2007 PPL Gas Order</w:t>
      </w:r>
      <w:r w:rsidRPr="00E9174E">
        <w:rPr>
          <w:sz w:val="26"/>
          <w:szCs w:val="26"/>
        </w:rPr>
        <w:t xml:space="preserve"> serves as precedent for the Commission to adopt the Company’s Average ACCOSS because it is most like the A&amp;E ACCOSS adopted in the </w:t>
      </w:r>
      <w:r w:rsidRPr="00E9174E">
        <w:rPr>
          <w:i/>
          <w:iCs/>
          <w:sz w:val="26"/>
          <w:szCs w:val="26"/>
        </w:rPr>
        <w:t>2007 PPL Gas Order</w:t>
      </w:r>
      <w:r w:rsidRPr="00E9174E">
        <w:rPr>
          <w:sz w:val="26"/>
          <w:szCs w:val="26"/>
        </w:rPr>
        <w:t>, I&amp;E replies that the A&amp;E ACCOSS in that case is not at issue here and should not be considered.  I&amp;E submits that as pointed out in its Main Brief, there is Commission precedent for the adoption of the Peak &amp; Average method in the 1994 NFG base rate case.</w:t>
      </w:r>
      <w:r w:rsidRPr="00E9174E">
        <w:rPr>
          <w:sz w:val="26"/>
          <w:szCs w:val="26"/>
          <w:vertAlign w:val="superscript"/>
        </w:rPr>
        <w:footnoteReference w:id="79"/>
      </w:r>
      <w:r w:rsidRPr="00E9174E">
        <w:rPr>
          <w:sz w:val="26"/>
          <w:szCs w:val="26"/>
        </w:rPr>
        <w:t xml:space="preserve">  Accordingly, I&amp;E is of the opinion that since the OSBA failed to support its position with Commission precedent, the Company’s Average ACCOSS should be rejected and the OCA’s P&amp;A ACCOSS should be adopted because it is supported by Commission precedent.</w:t>
      </w:r>
      <w:r w:rsidRPr="00E9174E">
        <w:rPr>
          <w:sz w:val="26"/>
          <w:szCs w:val="26"/>
          <w:vertAlign w:val="superscript"/>
        </w:rPr>
        <w:footnoteReference w:id="80"/>
      </w:r>
      <w:r w:rsidRPr="00E9174E">
        <w:rPr>
          <w:sz w:val="26"/>
          <w:szCs w:val="26"/>
        </w:rPr>
        <w:t xml:space="preserve">  I&amp;E R. Exc. at 5.</w:t>
      </w:r>
    </w:p>
    <w:p w14:paraId="2D19D5FF" w14:textId="77777777" w:rsidR="00A8096B" w:rsidRPr="00E9174E" w:rsidRDefault="00A8096B" w:rsidP="00E9174E">
      <w:pPr>
        <w:widowControl/>
        <w:autoSpaceDE w:val="0"/>
        <w:autoSpaceDN w:val="0"/>
        <w:adjustRightInd w:val="0"/>
        <w:spacing w:line="360" w:lineRule="auto"/>
        <w:contextualSpacing/>
        <w:rPr>
          <w:sz w:val="26"/>
          <w:szCs w:val="26"/>
        </w:rPr>
      </w:pPr>
    </w:p>
    <w:p w14:paraId="53335BF8" w14:textId="2BBECFC3" w:rsidR="00A8096B" w:rsidRPr="00E9174E" w:rsidRDefault="00A8096B" w:rsidP="00E9174E">
      <w:pPr>
        <w:widowControl/>
        <w:autoSpaceDE w:val="0"/>
        <w:autoSpaceDN w:val="0"/>
        <w:adjustRightInd w:val="0"/>
        <w:spacing w:line="360" w:lineRule="auto"/>
        <w:ind w:firstLine="1440"/>
        <w:contextualSpacing/>
        <w:rPr>
          <w:sz w:val="26"/>
          <w:szCs w:val="26"/>
        </w:rPr>
      </w:pPr>
      <w:r w:rsidRPr="00E9174E">
        <w:rPr>
          <w:sz w:val="26"/>
          <w:szCs w:val="26"/>
        </w:rPr>
        <w:t>Next, I&amp;E addresses PSU’s assertion in its Exceptions that the Company’s Average ACCOSS is a more balanced and fair cost of service study than the OCA’</w:t>
      </w:r>
      <w:r w:rsidR="000359E2" w:rsidRPr="00E9174E">
        <w:rPr>
          <w:sz w:val="26"/>
          <w:szCs w:val="26"/>
        </w:rPr>
        <w:t>s</w:t>
      </w:r>
      <w:r w:rsidRPr="00E9174E">
        <w:rPr>
          <w:sz w:val="26"/>
          <w:szCs w:val="26"/>
        </w:rPr>
        <w:t xml:space="preserve"> P&amp;A </w:t>
      </w:r>
      <w:r w:rsidRPr="00E9174E">
        <w:rPr>
          <w:sz w:val="26"/>
          <w:szCs w:val="26"/>
        </w:rPr>
        <w:lastRenderedPageBreak/>
        <w:t>ACCOSS because it equally weighs both the Company’s P&amp;A and Customer-Demand ACCOS</w:t>
      </w:r>
      <w:r w:rsidR="0048091D" w:rsidRPr="00E9174E">
        <w:rPr>
          <w:sz w:val="26"/>
          <w:szCs w:val="26"/>
        </w:rPr>
        <w:t>Ss</w:t>
      </w:r>
      <w:r w:rsidRPr="00E9174E">
        <w:rPr>
          <w:sz w:val="26"/>
          <w:szCs w:val="26"/>
        </w:rPr>
        <w:t xml:space="preserve"> among the residential class and industrial class customers compared to the OCA’s P&amp;A ACCOSS, which PSU characterizes as a “lop-sided” rate structure that heavily subsidizes the residential class at the expense of other classes.  I&amp;E R. Exc. at 5 (citing PSU Exc. at 3; CG St. 11 at 3).  I&amp;E replies that it disagrees with PSU and asserts that it is reasonable for the Commission to examine alternative methods for cost allocation but</w:t>
      </w:r>
      <w:r w:rsidR="00F27C0C" w:rsidRPr="00E9174E">
        <w:rPr>
          <w:sz w:val="26"/>
          <w:szCs w:val="26"/>
        </w:rPr>
        <w:t>,</w:t>
      </w:r>
      <w:r w:rsidRPr="00E9174E">
        <w:rPr>
          <w:sz w:val="26"/>
          <w:szCs w:val="26"/>
        </w:rPr>
        <w:t xml:space="preserve"> based on I&amp;E’s analysis of the three allocated cost of service studies provided by the Company, I&amp;E believed it was within the public interest to recommend the P&amp;A ACCOSS.  I&amp;E R. Exc. at 5.  While the Company, the OSBA, and PSU disagreed with the use of the P&amp;A ACCOSS, I&amp;E notes that it pointed out in its Main Brief that it is reasonable for the Commission to examine alternative methods for cost allocation, and that based on the studies proffered in this case, I&amp;E remains of the opinion that, in general, any system must be designed to handle peak usage and year-long usage, and although mains serve customers, the type of an investment is properly determined by the throughput.  I&amp;E R. Exc. at 4-6 (citing I&amp;E M.B. at 91-92).  Therefore, I&amp;E believes it is in the public interest that the Commission adopt the ALJ’s recommendation to use the OCA’s P&amp;A ACCOSS to allocate the final revenue increases among different customer classes.  I&amp;E R. Exc. at 6. </w:t>
      </w:r>
    </w:p>
    <w:p w14:paraId="745C2C1B" w14:textId="77777777" w:rsidR="00A8096B" w:rsidRPr="00E9174E" w:rsidRDefault="00A8096B" w:rsidP="00E9174E">
      <w:pPr>
        <w:widowControl/>
        <w:spacing w:line="360" w:lineRule="auto"/>
        <w:contextualSpacing/>
        <w:rPr>
          <w:sz w:val="26"/>
          <w:szCs w:val="26"/>
        </w:rPr>
      </w:pPr>
    </w:p>
    <w:p w14:paraId="0F15010C" w14:textId="09891586" w:rsidR="00A8096B" w:rsidRPr="00E9174E" w:rsidRDefault="00A8096B" w:rsidP="00277ECF">
      <w:pPr>
        <w:pStyle w:val="Heading3"/>
        <w:numPr>
          <w:ilvl w:val="0"/>
          <w:numId w:val="29"/>
        </w:numPr>
        <w:ind w:left="1440" w:hanging="720"/>
      </w:pPr>
      <w:bookmarkStart w:id="427" w:name="_Toc61011374"/>
      <w:bookmarkStart w:id="428" w:name="_Toc63764611"/>
      <w:r w:rsidRPr="00E9174E">
        <w:t>Disposition</w:t>
      </w:r>
      <w:bookmarkEnd w:id="427"/>
      <w:bookmarkEnd w:id="428"/>
    </w:p>
    <w:p w14:paraId="33D5D8F1" w14:textId="77777777" w:rsidR="00A8096B" w:rsidRPr="00E9174E" w:rsidRDefault="00A8096B" w:rsidP="00E9174E">
      <w:pPr>
        <w:keepNext/>
        <w:keepLines/>
        <w:widowControl/>
        <w:spacing w:line="360" w:lineRule="auto"/>
        <w:ind w:left="2160" w:hanging="720"/>
        <w:contextualSpacing/>
        <w:rPr>
          <w:b/>
          <w:bCs/>
          <w:sz w:val="26"/>
          <w:szCs w:val="26"/>
        </w:rPr>
      </w:pPr>
    </w:p>
    <w:p w14:paraId="2DF05624" w14:textId="77777777" w:rsidR="00A8096B" w:rsidRPr="00E9174E" w:rsidRDefault="00A8096B" w:rsidP="00E9174E">
      <w:pPr>
        <w:widowControl/>
        <w:spacing w:line="360" w:lineRule="auto"/>
        <w:ind w:firstLine="1440"/>
        <w:contextualSpacing/>
        <w:rPr>
          <w:sz w:val="26"/>
          <w:szCs w:val="26"/>
        </w:rPr>
      </w:pPr>
      <w:r w:rsidRPr="00E9174E">
        <w:rPr>
          <w:sz w:val="26"/>
          <w:szCs w:val="26"/>
        </w:rPr>
        <w:t>Upon our review of the record in this proceeding and the Exceptions and Replies to Exceptions, we are not persuaded to reverse the ALJ’s Recommended Decision that adopted the OCA’s P&amp;A ACCOSS and methodology in this proceeding.  R.D. at 394-395.</w:t>
      </w:r>
    </w:p>
    <w:p w14:paraId="78256C94" w14:textId="77777777" w:rsidR="00A8096B" w:rsidRPr="00E9174E" w:rsidRDefault="00A8096B" w:rsidP="00E9174E">
      <w:pPr>
        <w:widowControl/>
        <w:spacing w:line="360" w:lineRule="auto"/>
        <w:contextualSpacing/>
        <w:rPr>
          <w:sz w:val="26"/>
          <w:szCs w:val="26"/>
        </w:rPr>
      </w:pPr>
    </w:p>
    <w:p w14:paraId="4EC3713C" w14:textId="603C2BC4" w:rsidR="00A8096B" w:rsidRPr="00E9174E" w:rsidRDefault="00A8096B" w:rsidP="00E9174E">
      <w:pPr>
        <w:widowControl/>
        <w:spacing w:line="360" w:lineRule="auto"/>
        <w:ind w:firstLine="1440"/>
        <w:contextualSpacing/>
        <w:rPr>
          <w:sz w:val="26"/>
          <w:szCs w:val="26"/>
        </w:rPr>
      </w:pPr>
      <w:r w:rsidRPr="00E9174E">
        <w:rPr>
          <w:sz w:val="26"/>
          <w:szCs w:val="26"/>
        </w:rPr>
        <w:t>PSU provided an accurate description on the crux of the dispute in selecting the appropriate ACCOS</w:t>
      </w:r>
      <w:r w:rsidR="0048091D" w:rsidRPr="00E9174E">
        <w:rPr>
          <w:sz w:val="26"/>
          <w:szCs w:val="26"/>
        </w:rPr>
        <w:t>S</w:t>
      </w:r>
      <w:r w:rsidRPr="00E9174E">
        <w:rPr>
          <w:sz w:val="26"/>
          <w:szCs w:val="26"/>
        </w:rPr>
        <w:t xml:space="preserve"> in this proceeding:</w:t>
      </w:r>
    </w:p>
    <w:p w14:paraId="3ADBF439" w14:textId="77777777" w:rsidR="00A8096B" w:rsidRPr="00E9174E" w:rsidRDefault="00A8096B" w:rsidP="00E9174E">
      <w:pPr>
        <w:widowControl/>
        <w:spacing w:line="360" w:lineRule="auto"/>
        <w:contextualSpacing/>
        <w:rPr>
          <w:sz w:val="26"/>
          <w:szCs w:val="26"/>
        </w:rPr>
      </w:pPr>
    </w:p>
    <w:p w14:paraId="2334F7FD" w14:textId="77777777" w:rsidR="00A8096B" w:rsidRPr="00E9174E" w:rsidRDefault="00A8096B" w:rsidP="00E9174E">
      <w:pPr>
        <w:widowControl/>
        <w:autoSpaceDE w:val="0"/>
        <w:autoSpaceDN w:val="0"/>
        <w:adjustRightInd w:val="0"/>
        <w:ind w:left="1440" w:right="1440"/>
        <w:contextualSpacing/>
        <w:rPr>
          <w:rFonts w:eastAsiaTheme="minorHAnsi"/>
          <w:color w:val="000000"/>
          <w:sz w:val="26"/>
          <w:szCs w:val="26"/>
        </w:rPr>
      </w:pPr>
      <w:r w:rsidRPr="00E9174E">
        <w:rPr>
          <w:rFonts w:eastAsiaTheme="minorHAnsi"/>
          <w:color w:val="000000"/>
          <w:sz w:val="26"/>
          <w:szCs w:val="26"/>
        </w:rPr>
        <w:lastRenderedPageBreak/>
        <w:t>The dispute centers on whether the costs of these mains should be allocated based on</w:t>
      </w:r>
      <w:r w:rsidRPr="00E9174E">
        <w:rPr>
          <w:rFonts w:eastAsiaTheme="minorHAnsi"/>
          <w:b/>
          <w:bCs/>
          <w:i/>
          <w:iCs/>
          <w:color w:val="000000"/>
          <w:sz w:val="26"/>
          <w:szCs w:val="26"/>
        </w:rPr>
        <w:t xml:space="preserve"> the number of customers and the peak day demand</w:t>
      </w:r>
      <w:r w:rsidRPr="00E9174E">
        <w:rPr>
          <w:rFonts w:eastAsiaTheme="minorHAnsi"/>
          <w:color w:val="000000"/>
          <w:sz w:val="26"/>
          <w:szCs w:val="26"/>
        </w:rPr>
        <w:t xml:space="preserve"> or </w:t>
      </w:r>
      <w:r w:rsidRPr="00E9174E">
        <w:rPr>
          <w:rFonts w:eastAsiaTheme="minorHAnsi"/>
          <w:b/>
          <w:bCs/>
          <w:i/>
          <w:iCs/>
          <w:color w:val="000000"/>
          <w:sz w:val="26"/>
          <w:szCs w:val="26"/>
        </w:rPr>
        <w:t>the peak day design and the average throughput</w:t>
      </w:r>
      <w:r w:rsidRPr="00E9174E">
        <w:rPr>
          <w:rFonts w:eastAsiaTheme="minorHAnsi"/>
          <w:color w:val="000000"/>
          <w:sz w:val="26"/>
          <w:szCs w:val="26"/>
        </w:rPr>
        <w:t xml:space="preserve"> or </w:t>
      </w:r>
      <w:r w:rsidRPr="00E9174E">
        <w:rPr>
          <w:rFonts w:eastAsiaTheme="minorHAnsi"/>
          <w:b/>
          <w:bCs/>
          <w:i/>
          <w:iCs/>
          <w:color w:val="000000"/>
          <w:sz w:val="26"/>
          <w:szCs w:val="26"/>
        </w:rPr>
        <w:t>a mix of the two</w:t>
      </w:r>
      <w:r w:rsidRPr="00E9174E">
        <w:rPr>
          <w:rFonts w:eastAsiaTheme="minorHAnsi"/>
          <w:color w:val="000000"/>
          <w:sz w:val="26"/>
          <w:szCs w:val="26"/>
        </w:rPr>
        <w:t>.</w:t>
      </w:r>
    </w:p>
    <w:p w14:paraId="421A711D" w14:textId="77777777" w:rsidR="00A8096B" w:rsidRPr="00E9174E" w:rsidRDefault="00A8096B" w:rsidP="00E9174E">
      <w:pPr>
        <w:widowControl/>
        <w:autoSpaceDE w:val="0"/>
        <w:autoSpaceDN w:val="0"/>
        <w:adjustRightInd w:val="0"/>
        <w:contextualSpacing/>
        <w:rPr>
          <w:rFonts w:eastAsiaTheme="minorHAnsi"/>
          <w:color w:val="000000"/>
          <w:sz w:val="26"/>
          <w:szCs w:val="26"/>
        </w:rPr>
      </w:pPr>
    </w:p>
    <w:p w14:paraId="0B7234F6" w14:textId="77777777" w:rsidR="00A8096B" w:rsidRPr="00E9174E" w:rsidRDefault="00A8096B" w:rsidP="00E9174E">
      <w:pPr>
        <w:widowControl/>
        <w:ind w:left="2160" w:right="2160"/>
        <w:contextualSpacing/>
        <w:rPr>
          <w:sz w:val="26"/>
          <w:szCs w:val="26"/>
        </w:rPr>
      </w:pPr>
      <w:r w:rsidRPr="00E9174E">
        <w:rPr>
          <w:sz w:val="26"/>
          <w:szCs w:val="26"/>
        </w:rPr>
        <w:t>The Customer/Demand Study weights the allocation of mains using a factor based on the number of customers (Customer) and the company’s peak day design (Demand).  This method recognizes the customer number component of mains.</w:t>
      </w:r>
    </w:p>
    <w:p w14:paraId="37668986" w14:textId="77777777" w:rsidR="00A8096B" w:rsidRPr="00E9174E" w:rsidRDefault="00A8096B" w:rsidP="00E9174E">
      <w:pPr>
        <w:widowControl/>
        <w:ind w:left="2160" w:right="2160"/>
        <w:contextualSpacing/>
        <w:rPr>
          <w:sz w:val="26"/>
          <w:szCs w:val="26"/>
        </w:rPr>
      </w:pPr>
    </w:p>
    <w:p w14:paraId="73B6B072" w14:textId="77777777" w:rsidR="00A8096B" w:rsidRPr="00E9174E" w:rsidRDefault="00A8096B" w:rsidP="00E9174E">
      <w:pPr>
        <w:widowControl/>
        <w:ind w:left="2160" w:right="2160"/>
        <w:contextualSpacing/>
        <w:rPr>
          <w:sz w:val="26"/>
          <w:szCs w:val="26"/>
        </w:rPr>
      </w:pPr>
      <w:r w:rsidRPr="00E9174E">
        <w:rPr>
          <w:sz w:val="26"/>
          <w:szCs w:val="26"/>
        </w:rPr>
        <w:t xml:space="preserve">In the Peak &amp; Average Study, the allocation of mains uses a factor weighting 50% to the Company’s peak day design (Peak), and 50% to the Company’s throughput (Average). </w:t>
      </w:r>
    </w:p>
    <w:p w14:paraId="429BEC4A" w14:textId="77777777" w:rsidR="00A8096B" w:rsidRPr="00E9174E" w:rsidRDefault="00A8096B" w:rsidP="00E9174E">
      <w:pPr>
        <w:widowControl/>
        <w:ind w:left="2160" w:right="2160"/>
        <w:contextualSpacing/>
        <w:rPr>
          <w:sz w:val="26"/>
          <w:szCs w:val="26"/>
        </w:rPr>
      </w:pPr>
    </w:p>
    <w:p w14:paraId="72C4BBDB" w14:textId="77777777" w:rsidR="00A8096B" w:rsidRPr="00E9174E" w:rsidRDefault="00A8096B" w:rsidP="00E9174E">
      <w:pPr>
        <w:widowControl/>
        <w:ind w:left="2160" w:right="2160"/>
        <w:contextualSpacing/>
        <w:rPr>
          <w:sz w:val="26"/>
          <w:szCs w:val="26"/>
        </w:rPr>
      </w:pPr>
      <w:r w:rsidRPr="00E9174E">
        <w:rPr>
          <w:sz w:val="26"/>
          <w:szCs w:val="26"/>
        </w:rPr>
        <w:t>As stated above, the Average Study gives equal weight to the Customer/Demand and the Peak &amp; Average methods.</w:t>
      </w:r>
      <w:r w:rsidRPr="00E9174E">
        <w:rPr>
          <w:sz w:val="26"/>
          <w:szCs w:val="26"/>
          <w:vertAlign w:val="superscript"/>
        </w:rPr>
        <w:t xml:space="preserve"> 14 </w:t>
      </w:r>
      <w:r w:rsidRPr="00E9174E">
        <w:rPr>
          <w:sz w:val="26"/>
          <w:szCs w:val="26"/>
        </w:rPr>
        <w:t>[Footnote omitted]</w:t>
      </w:r>
    </w:p>
    <w:p w14:paraId="245B4D0B" w14:textId="77777777" w:rsidR="00A8096B" w:rsidRPr="00E9174E" w:rsidRDefault="00A8096B" w:rsidP="00DE78B9">
      <w:pPr>
        <w:widowControl/>
        <w:spacing w:line="360" w:lineRule="auto"/>
        <w:ind w:left="2160" w:right="2160"/>
        <w:contextualSpacing/>
        <w:rPr>
          <w:sz w:val="26"/>
          <w:szCs w:val="26"/>
        </w:rPr>
      </w:pPr>
    </w:p>
    <w:p w14:paraId="5DA76C2C" w14:textId="77777777" w:rsidR="00A8096B" w:rsidRPr="00E9174E" w:rsidRDefault="00A8096B" w:rsidP="00DE78B9">
      <w:pPr>
        <w:widowControl/>
        <w:spacing w:line="360" w:lineRule="auto"/>
        <w:contextualSpacing/>
        <w:rPr>
          <w:sz w:val="26"/>
          <w:szCs w:val="26"/>
        </w:rPr>
      </w:pPr>
      <w:r w:rsidRPr="00E9174E">
        <w:rPr>
          <w:sz w:val="26"/>
          <w:szCs w:val="26"/>
        </w:rPr>
        <w:t>PSU M.B. at 6-7 (emphasis added).</w:t>
      </w:r>
    </w:p>
    <w:p w14:paraId="7AEDBFA7" w14:textId="77777777" w:rsidR="00A8096B" w:rsidRPr="00E9174E" w:rsidRDefault="00A8096B" w:rsidP="00DE78B9">
      <w:pPr>
        <w:widowControl/>
        <w:spacing w:line="360" w:lineRule="auto"/>
        <w:contextualSpacing/>
        <w:rPr>
          <w:sz w:val="26"/>
          <w:szCs w:val="26"/>
        </w:rPr>
      </w:pPr>
    </w:p>
    <w:p w14:paraId="0DDE6A8C" w14:textId="7B7F65B2" w:rsidR="00A8096B" w:rsidRPr="00E9174E" w:rsidRDefault="00A8096B" w:rsidP="00DE78B9">
      <w:pPr>
        <w:widowControl/>
        <w:spacing w:line="360" w:lineRule="auto"/>
        <w:ind w:firstLine="1440"/>
        <w:contextualSpacing/>
        <w:rPr>
          <w:sz w:val="26"/>
          <w:szCs w:val="26"/>
        </w:rPr>
      </w:pPr>
      <w:r w:rsidRPr="00E9174E">
        <w:rPr>
          <w:sz w:val="26"/>
          <w:szCs w:val="26"/>
        </w:rPr>
        <w:t>In their Exceptions, Columbia, the OSBA, and PSU each support the adoption of ACCOS</w:t>
      </w:r>
      <w:r w:rsidR="0048091D" w:rsidRPr="00E9174E">
        <w:rPr>
          <w:sz w:val="26"/>
          <w:szCs w:val="26"/>
        </w:rPr>
        <w:t>Ss</w:t>
      </w:r>
      <w:r w:rsidRPr="00E9174E">
        <w:rPr>
          <w:sz w:val="26"/>
          <w:szCs w:val="26"/>
        </w:rPr>
        <w:t xml:space="preserve"> based on a weighting of the Company’s P&amp;A ACCOSS and Customer-Demand ACCOSS.</w:t>
      </w:r>
      <w:r w:rsidRPr="00E9174E">
        <w:rPr>
          <w:sz w:val="26"/>
          <w:szCs w:val="26"/>
          <w:vertAlign w:val="superscript"/>
        </w:rPr>
        <w:footnoteReference w:id="81"/>
      </w:r>
      <w:r w:rsidRPr="00E9174E">
        <w:rPr>
          <w:sz w:val="26"/>
          <w:szCs w:val="26"/>
        </w:rPr>
        <w:t xml:space="preserve">  On the other hand, I&amp;E and the OCA each supported the OCA’s P&amp;A ACCOSS.</w:t>
      </w:r>
      <w:r w:rsidRPr="00E9174E">
        <w:rPr>
          <w:sz w:val="26"/>
          <w:szCs w:val="26"/>
          <w:vertAlign w:val="superscript"/>
        </w:rPr>
        <w:footnoteReference w:id="82"/>
      </w:r>
      <w:r w:rsidRPr="00E9174E">
        <w:rPr>
          <w:sz w:val="26"/>
          <w:szCs w:val="26"/>
        </w:rPr>
        <w:t xml:space="preserve">  Importantly, the weightings of the 50%/50% Average </w:t>
      </w:r>
      <w:r w:rsidRPr="00E9174E">
        <w:rPr>
          <w:sz w:val="26"/>
          <w:szCs w:val="26"/>
        </w:rPr>
        <w:lastRenderedPageBreak/>
        <w:t xml:space="preserve">ACCOSS and the OSBA’s 75%/25% Study rely, in part, on the Customer-Demand ACCOSS.  The Customer-Demand ACCOSS is the actual point of conflict here because it allocates distribution mains investments partially based on the number of customers and partially based on design day demands.  </w:t>
      </w:r>
      <w:r w:rsidRPr="00E9174E">
        <w:rPr>
          <w:i/>
          <w:iCs/>
          <w:sz w:val="26"/>
          <w:szCs w:val="26"/>
        </w:rPr>
        <w:t>See</w:t>
      </w:r>
      <w:r w:rsidRPr="00E9174E">
        <w:rPr>
          <w:sz w:val="26"/>
          <w:szCs w:val="26"/>
        </w:rPr>
        <w:t xml:space="preserve"> OCA St. 4 at 3-4.  The other underlying study, the P&amp;A ACCOSS, allocates mains investments based on 50% of the design day demands and 50% of annual, or average daily, demands of the customers in each class that are served by each of the categories of distribution mains.  </w:t>
      </w:r>
      <w:r w:rsidRPr="00E9174E">
        <w:rPr>
          <w:i/>
          <w:iCs/>
          <w:sz w:val="26"/>
          <w:szCs w:val="26"/>
        </w:rPr>
        <w:t>See</w:t>
      </w:r>
      <w:r w:rsidRPr="00E9174E">
        <w:rPr>
          <w:sz w:val="26"/>
          <w:szCs w:val="26"/>
        </w:rPr>
        <w:t xml:space="preserve"> OCA St. 4 at 6-7.  For ease of reference, hereinafter, in this Opinion and Order, we shall designate those studies that incorporate some fashion of customer costs in their design as the “Contested Studies.”  Thus, the Contested Studies at issue here are: </w:t>
      </w:r>
      <w:r w:rsidR="00342938" w:rsidRPr="00E9174E">
        <w:rPr>
          <w:sz w:val="26"/>
          <w:szCs w:val="26"/>
        </w:rPr>
        <w:t xml:space="preserve"> </w:t>
      </w:r>
      <w:r w:rsidRPr="00E9174E">
        <w:rPr>
          <w:sz w:val="26"/>
          <w:szCs w:val="26"/>
        </w:rPr>
        <w:t xml:space="preserve">(1) the Company’s Customer-Demand ACCOSS; (2) the Company’s 50%/50% Average ACCOSS; and (3) the OSBA’s 75%/25% ACCOSS. </w:t>
      </w:r>
    </w:p>
    <w:p w14:paraId="28AA4085" w14:textId="77777777" w:rsidR="00A8096B" w:rsidRPr="00E9174E" w:rsidRDefault="00A8096B" w:rsidP="00E9174E">
      <w:pPr>
        <w:widowControl/>
        <w:spacing w:line="360" w:lineRule="auto"/>
        <w:contextualSpacing/>
        <w:rPr>
          <w:sz w:val="26"/>
          <w:szCs w:val="26"/>
        </w:rPr>
      </w:pPr>
    </w:p>
    <w:p w14:paraId="267A08FB" w14:textId="3AA6EDCC" w:rsidR="00A8096B" w:rsidRPr="00E9174E" w:rsidRDefault="00A8096B" w:rsidP="00E9174E">
      <w:pPr>
        <w:widowControl/>
        <w:spacing w:line="360" w:lineRule="auto"/>
        <w:ind w:firstLine="1440"/>
        <w:contextualSpacing/>
        <w:rPr>
          <w:sz w:val="26"/>
          <w:szCs w:val="26"/>
        </w:rPr>
      </w:pPr>
      <w:r w:rsidRPr="00E9174E">
        <w:rPr>
          <w:sz w:val="26"/>
          <w:szCs w:val="26"/>
        </w:rPr>
        <w:t xml:space="preserve">We have thoroughly reviewed the respective advocates’ arguments in support of each of the studies before us.  </w:t>
      </w:r>
      <w:r w:rsidR="004F0AE1" w:rsidRPr="00E9174E">
        <w:rPr>
          <w:sz w:val="26"/>
          <w:szCs w:val="26"/>
        </w:rPr>
        <w:t>B</w:t>
      </w:r>
      <w:r w:rsidRPr="00E9174E">
        <w:rPr>
          <w:sz w:val="26"/>
          <w:szCs w:val="26"/>
        </w:rPr>
        <w:t>ased on our prior determinations on our preferred ACCOS</w:t>
      </w:r>
      <w:r w:rsidR="003C1A06" w:rsidRPr="00E9174E">
        <w:rPr>
          <w:sz w:val="26"/>
          <w:szCs w:val="26"/>
        </w:rPr>
        <w:t>S</w:t>
      </w:r>
      <w:r w:rsidRPr="00E9174E">
        <w:rPr>
          <w:sz w:val="26"/>
          <w:szCs w:val="26"/>
        </w:rPr>
        <w:t xml:space="preserve"> in natural gas proceedings, we believe that the P&amp;A ACCOSS is best suited in this proceeding.  In addressing the Parties’ Exceptions, we have reviewed the prior Commission Orders that have been submitted by the Parties in support of their views of Commission precedent in the discussion that follows.</w:t>
      </w:r>
    </w:p>
    <w:p w14:paraId="32B756C8" w14:textId="77777777" w:rsidR="00A8096B" w:rsidRPr="00E9174E" w:rsidRDefault="00A8096B" w:rsidP="00E9174E">
      <w:pPr>
        <w:widowControl/>
        <w:spacing w:line="360" w:lineRule="auto"/>
        <w:contextualSpacing/>
        <w:rPr>
          <w:sz w:val="26"/>
          <w:szCs w:val="26"/>
        </w:rPr>
      </w:pPr>
    </w:p>
    <w:p w14:paraId="3E890914" w14:textId="00D7EC61" w:rsidR="00A8096B" w:rsidRPr="00E9174E" w:rsidRDefault="00A8096B" w:rsidP="00E9174E">
      <w:pPr>
        <w:widowControl/>
        <w:spacing w:line="360" w:lineRule="auto"/>
        <w:ind w:firstLine="1440"/>
        <w:contextualSpacing/>
        <w:rPr>
          <w:sz w:val="26"/>
          <w:szCs w:val="26"/>
        </w:rPr>
      </w:pPr>
      <w:r w:rsidRPr="00E9174E">
        <w:rPr>
          <w:sz w:val="26"/>
          <w:szCs w:val="26"/>
        </w:rPr>
        <w:t>In its Exceptions, Columbia cited to two PPL base rate proceedings in which it averred that the Commission determined that a proper ACCOS</w:t>
      </w:r>
      <w:r w:rsidR="003F14B3" w:rsidRPr="00E9174E">
        <w:rPr>
          <w:sz w:val="26"/>
          <w:szCs w:val="26"/>
        </w:rPr>
        <w:t>S</w:t>
      </w:r>
      <w:r w:rsidRPr="00E9174E">
        <w:rPr>
          <w:sz w:val="26"/>
          <w:szCs w:val="26"/>
        </w:rPr>
        <w:t xml:space="preserve"> should recognize both a customer component and a peak demand component of distribution plant.</w:t>
      </w:r>
      <w:r w:rsidRPr="00E9174E">
        <w:rPr>
          <w:sz w:val="26"/>
          <w:szCs w:val="26"/>
          <w:vertAlign w:val="superscript"/>
        </w:rPr>
        <w:footnoteReference w:id="83"/>
      </w:r>
      <w:r w:rsidRPr="00E9174E">
        <w:rPr>
          <w:sz w:val="26"/>
          <w:szCs w:val="26"/>
        </w:rPr>
        <w:t xml:space="preserve"> </w:t>
      </w:r>
      <w:r w:rsidR="00287C66" w:rsidRPr="00E9174E">
        <w:rPr>
          <w:sz w:val="26"/>
          <w:szCs w:val="26"/>
        </w:rPr>
        <w:t xml:space="preserve"> </w:t>
      </w:r>
      <w:r w:rsidRPr="00E9174E">
        <w:rPr>
          <w:sz w:val="26"/>
          <w:szCs w:val="26"/>
        </w:rPr>
        <w:t>CG Exc. at 29.  The OSBA cites to two gas cases involving PPL Gas and Philadelphia Gas Works from 2007 in which it argued that the present Commission precedent uses the Average &amp; Excess ACCOS</w:t>
      </w:r>
      <w:r w:rsidR="003F18E6" w:rsidRPr="00E9174E">
        <w:rPr>
          <w:sz w:val="26"/>
          <w:szCs w:val="26"/>
        </w:rPr>
        <w:t>S</w:t>
      </w:r>
      <w:r w:rsidRPr="00E9174E">
        <w:rPr>
          <w:sz w:val="26"/>
          <w:szCs w:val="26"/>
        </w:rPr>
        <w:t>.</w:t>
      </w:r>
      <w:r w:rsidRPr="00E9174E">
        <w:rPr>
          <w:sz w:val="26"/>
          <w:szCs w:val="26"/>
          <w:vertAlign w:val="superscript"/>
        </w:rPr>
        <w:footnoteReference w:id="84"/>
      </w:r>
      <w:r w:rsidRPr="00E9174E">
        <w:rPr>
          <w:sz w:val="26"/>
          <w:szCs w:val="26"/>
        </w:rPr>
        <w:t xml:space="preserve">  OSBA Exc. at 4.</w:t>
      </w:r>
    </w:p>
    <w:p w14:paraId="4526506A" w14:textId="2C127883" w:rsidR="00A8096B" w:rsidRPr="00E9174E" w:rsidRDefault="00A8096B" w:rsidP="00E9174E">
      <w:pPr>
        <w:widowControl/>
        <w:spacing w:line="360" w:lineRule="auto"/>
        <w:ind w:firstLine="1440"/>
        <w:contextualSpacing/>
        <w:rPr>
          <w:sz w:val="26"/>
          <w:szCs w:val="26"/>
        </w:rPr>
      </w:pPr>
      <w:r w:rsidRPr="00E9174E">
        <w:rPr>
          <w:sz w:val="26"/>
          <w:szCs w:val="26"/>
        </w:rPr>
        <w:lastRenderedPageBreak/>
        <w:t>On the other hand, in their replies to the Company’s and the OSBA’s Exceptions, I&amp;E and the OCA argued that the Commission’s precedent does not support the inclusion of a customer cost component in ACCOS Studies.  I&amp;E R. Exc. at 5; OCA</w:t>
      </w:r>
      <w:r w:rsidR="00DE78B9">
        <w:rPr>
          <w:sz w:val="26"/>
          <w:szCs w:val="26"/>
        </w:rPr>
        <w:t> </w:t>
      </w:r>
      <w:r w:rsidRPr="00E9174E">
        <w:rPr>
          <w:sz w:val="26"/>
          <w:szCs w:val="26"/>
        </w:rPr>
        <w:t>R. Exc. at 18.  I&amp;E and the OCA both cite to a 1994 rate proceeding involving National Fuel Gas Distribution Company (</w:t>
      </w:r>
      <w:r w:rsidRPr="00E9174E">
        <w:rPr>
          <w:i/>
          <w:iCs/>
          <w:sz w:val="26"/>
          <w:szCs w:val="26"/>
        </w:rPr>
        <w:t>NFGD 1994</w:t>
      </w:r>
      <w:r w:rsidRPr="00E9174E">
        <w:rPr>
          <w:sz w:val="26"/>
          <w:szCs w:val="26"/>
        </w:rPr>
        <w:t>) in which the Commission previously adopted the Peak &amp; Average method.</w:t>
      </w:r>
      <w:r w:rsidRPr="00E9174E">
        <w:rPr>
          <w:sz w:val="26"/>
          <w:szCs w:val="26"/>
          <w:vertAlign w:val="superscript"/>
        </w:rPr>
        <w:footnoteReference w:id="85"/>
      </w:r>
      <w:r w:rsidRPr="00E9174E">
        <w:rPr>
          <w:sz w:val="26"/>
          <w:szCs w:val="26"/>
        </w:rPr>
        <w:t xml:space="preserve">  We also note that the ALJ based her recommendation </w:t>
      </w:r>
      <w:r w:rsidR="003C1A06" w:rsidRPr="00E9174E">
        <w:rPr>
          <w:sz w:val="26"/>
          <w:szCs w:val="26"/>
        </w:rPr>
        <w:t>on</w:t>
      </w:r>
      <w:r w:rsidRPr="00E9174E">
        <w:rPr>
          <w:sz w:val="26"/>
          <w:szCs w:val="26"/>
        </w:rPr>
        <w:t xml:space="preserve"> the </w:t>
      </w:r>
      <w:r w:rsidRPr="00E9174E">
        <w:rPr>
          <w:i/>
          <w:iCs/>
          <w:sz w:val="26"/>
          <w:szCs w:val="26"/>
        </w:rPr>
        <w:t>NFGD 1994</w:t>
      </w:r>
      <w:r w:rsidRPr="00E9174E">
        <w:rPr>
          <w:sz w:val="26"/>
          <w:szCs w:val="26"/>
        </w:rPr>
        <w:t xml:space="preserve"> case.</w:t>
      </w:r>
      <w:r w:rsidRPr="00E9174E">
        <w:rPr>
          <w:sz w:val="26"/>
          <w:szCs w:val="26"/>
          <w:vertAlign w:val="superscript"/>
        </w:rPr>
        <w:t xml:space="preserve"> </w:t>
      </w:r>
      <w:r w:rsidRPr="00E9174E">
        <w:rPr>
          <w:sz w:val="26"/>
          <w:szCs w:val="26"/>
          <w:vertAlign w:val="superscript"/>
        </w:rPr>
        <w:footnoteReference w:id="86"/>
      </w:r>
      <w:r w:rsidRPr="00E9174E">
        <w:rPr>
          <w:sz w:val="26"/>
          <w:szCs w:val="26"/>
        </w:rPr>
        <w:t xml:space="preserve">  In addition, in its Main Brief, I&amp;E cites to the </w:t>
      </w:r>
      <w:r w:rsidRPr="00E9174E">
        <w:rPr>
          <w:i/>
          <w:iCs/>
          <w:sz w:val="26"/>
          <w:szCs w:val="26"/>
        </w:rPr>
        <w:t>2007 PGW Order</w:t>
      </w:r>
      <w:r w:rsidRPr="00E9174E">
        <w:rPr>
          <w:sz w:val="26"/>
          <w:szCs w:val="26"/>
        </w:rPr>
        <w:t xml:space="preserve"> in which we ruled that the allocation of distribution mains investment costs should be done using both annual and peak demands.</w:t>
      </w:r>
      <w:r w:rsidRPr="00E9174E">
        <w:rPr>
          <w:sz w:val="26"/>
          <w:szCs w:val="26"/>
          <w:vertAlign w:val="superscript"/>
        </w:rPr>
        <w:footnoteReference w:id="87"/>
      </w:r>
    </w:p>
    <w:p w14:paraId="69E7C201" w14:textId="77777777" w:rsidR="00A8096B" w:rsidRPr="00E9174E" w:rsidRDefault="00A8096B" w:rsidP="00E9174E">
      <w:pPr>
        <w:widowControl/>
        <w:spacing w:line="360" w:lineRule="auto"/>
        <w:contextualSpacing/>
        <w:rPr>
          <w:sz w:val="26"/>
          <w:szCs w:val="26"/>
        </w:rPr>
      </w:pPr>
    </w:p>
    <w:p w14:paraId="7B0A95D9" w14:textId="5AD89201" w:rsidR="00A8096B" w:rsidRPr="00E9174E" w:rsidRDefault="00A8096B" w:rsidP="00E9174E">
      <w:pPr>
        <w:widowControl/>
        <w:autoSpaceDE w:val="0"/>
        <w:autoSpaceDN w:val="0"/>
        <w:adjustRightInd w:val="0"/>
        <w:spacing w:line="360" w:lineRule="auto"/>
        <w:ind w:firstLine="1440"/>
        <w:contextualSpacing/>
        <w:rPr>
          <w:sz w:val="26"/>
          <w:szCs w:val="26"/>
        </w:rPr>
      </w:pPr>
      <w:r w:rsidRPr="00E9174E">
        <w:rPr>
          <w:sz w:val="26"/>
          <w:szCs w:val="26"/>
        </w:rPr>
        <w:t xml:space="preserve">Based on our review of the Orders proffered by the Parties, regarding the OSBA’s position, we find that the Average &amp; Excess is of no significance here in that none of the Parties have submitted this type of methodology for our consideration.  Next, we reviewed the </w:t>
      </w:r>
      <w:r w:rsidRPr="00E9174E">
        <w:rPr>
          <w:i/>
          <w:iCs/>
          <w:sz w:val="26"/>
          <w:szCs w:val="26"/>
        </w:rPr>
        <w:t>2012 PPL Order</w:t>
      </w:r>
      <w:r w:rsidRPr="00E9174E">
        <w:rPr>
          <w:sz w:val="26"/>
          <w:szCs w:val="26"/>
        </w:rPr>
        <w:t xml:space="preserve"> and the </w:t>
      </w:r>
      <w:r w:rsidRPr="00E9174E">
        <w:rPr>
          <w:i/>
          <w:iCs/>
          <w:sz w:val="26"/>
          <w:szCs w:val="26"/>
        </w:rPr>
        <w:t>2010 PPL Order</w:t>
      </w:r>
      <w:r w:rsidRPr="00E9174E">
        <w:rPr>
          <w:sz w:val="26"/>
          <w:szCs w:val="26"/>
        </w:rPr>
        <w:t xml:space="preserve"> that were proffered by the Company in conjunction with </w:t>
      </w:r>
      <w:r w:rsidRPr="00E9174E">
        <w:rPr>
          <w:i/>
          <w:iCs/>
          <w:sz w:val="26"/>
          <w:szCs w:val="26"/>
        </w:rPr>
        <w:t xml:space="preserve">NFGD 1994. </w:t>
      </w:r>
      <w:r w:rsidRPr="00E9174E">
        <w:rPr>
          <w:sz w:val="26"/>
          <w:szCs w:val="26"/>
        </w:rPr>
        <w:t xml:space="preserve"> Although it is true that we approved an ACCOS</w:t>
      </w:r>
      <w:r w:rsidR="003F14B3" w:rsidRPr="00E9174E">
        <w:rPr>
          <w:sz w:val="26"/>
          <w:szCs w:val="26"/>
        </w:rPr>
        <w:t>S</w:t>
      </w:r>
      <w:r w:rsidRPr="00E9174E">
        <w:rPr>
          <w:sz w:val="26"/>
          <w:szCs w:val="26"/>
        </w:rPr>
        <w:t xml:space="preserve"> in these PPL Electric proceedings that included both a customer component and a peak demand component of distribution plant, we are not persuaded that it is appropriate in this natural gas proceeding.  As the OCA noted in its Main Brief, comparing an </w:t>
      </w:r>
      <w:bookmarkStart w:id="430" w:name="_Hlk63283057"/>
      <w:r w:rsidRPr="00E9174E">
        <w:rPr>
          <w:sz w:val="26"/>
          <w:szCs w:val="26"/>
        </w:rPr>
        <w:t>electric distribution company</w:t>
      </w:r>
      <w:bookmarkEnd w:id="430"/>
      <w:r w:rsidRPr="00E9174E">
        <w:rPr>
          <w:sz w:val="26"/>
          <w:szCs w:val="26"/>
        </w:rPr>
        <w:t xml:space="preserve"> (</w:t>
      </w:r>
      <w:bookmarkStart w:id="431" w:name="_Hlk63283040"/>
      <w:r w:rsidRPr="00E9174E">
        <w:rPr>
          <w:sz w:val="26"/>
          <w:szCs w:val="26"/>
        </w:rPr>
        <w:t>EDC</w:t>
      </w:r>
      <w:bookmarkEnd w:id="431"/>
      <w:r w:rsidRPr="00E9174E">
        <w:rPr>
          <w:sz w:val="26"/>
          <w:szCs w:val="26"/>
        </w:rPr>
        <w:t xml:space="preserve">) with a natural gas distribution </w:t>
      </w:r>
      <w:r w:rsidRPr="00E9174E">
        <w:rPr>
          <w:sz w:val="26"/>
          <w:szCs w:val="26"/>
        </w:rPr>
        <w:lastRenderedPageBreak/>
        <w:t>company (NGDC) “is an apples-to-oranges comparison, [because] cost causation for EDCs and NGDCs are different.”</w:t>
      </w:r>
      <w:r w:rsidRPr="00E9174E">
        <w:rPr>
          <w:sz w:val="26"/>
          <w:szCs w:val="26"/>
          <w:vertAlign w:val="superscript"/>
        </w:rPr>
        <w:footnoteReference w:id="88"/>
      </w:r>
    </w:p>
    <w:p w14:paraId="60239ED7" w14:textId="77777777" w:rsidR="00A8096B" w:rsidRPr="00E9174E" w:rsidRDefault="00A8096B" w:rsidP="00E9174E">
      <w:pPr>
        <w:widowControl/>
        <w:spacing w:line="360" w:lineRule="auto"/>
        <w:contextualSpacing/>
        <w:rPr>
          <w:sz w:val="26"/>
          <w:szCs w:val="26"/>
        </w:rPr>
      </w:pPr>
    </w:p>
    <w:p w14:paraId="5191856E" w14:textId="19B19639" w:rsidR="00A8096B" w:rsidRPr="00E9174E" w:rsidRDefault="00A8096B" w:rsidP="00E9174E">
      <w:pPr>
        <w:widowControl/>
        <w:autoSpaceDE w:val="0"/>
        <w:autoSpaceDN w:val="0"/>
        <w:adjustRightInd w:val="0"/>
        <w:spacing w:line="360" w:lineRule="auto"/>
        <w:ind w:firstLine="1440"/>
        <w:contextualSpacing/>
        <w:rPr>
          <w:sz w:val="26"/>
          <w:szCs w:val="26"/>
        </w:rPr>
      </w:pPr>
      <w:r w:rsidRPr="00E9174E">
        <w:rPr>
          <w:sz w:val="26"/>
          <w:szCs w:val="26"/>
        </w:rPr>
        <w:t>Based on our review of the record, and as noted by the ALJ, we have consistently used the Peak &amp; Average methodology for the allocation costs for NGDCs.  In this regard, we find that the Customer-Demand method and the Average ACCOS</w:t>
      </w:r>
      <w:r w:rsidR="000F3254" w:rsidRPr="00E9174E">
        <w:rPr>
          <w:sz w:val="26"/>
          <w:szCs w:val="26"/>
        </w:rPr>
        <w:t>S,</w:t>
      </w:r>
      <w:r w:rsidRPr="00E9174E">
        <w:rPr>
          <w:sz w:val="26"/>
          <w:szCs w:val="26"/>
        </w:rPr>
        <w:t xml:space="preserve"> which depends on the Customer-Demand methodology</w:t>
      </w:r>
      <w:r w:rsidR="000F3254" w:rsidRPr="00E9174E">
        <w:rPr>
          <w:sz w:val="26"/>
          <w:szCs w:val="26"/>
        </w:rPr>
        <w:t>,</w:t>
      </w:r>
      <w:r w:rsidRPr="00E9174E">
        <w:rPr>
          <w:sz w:val="26"/>
          <w:szCs w:val="26"/>
        </w:rPr>
        <w:t xml:space="preserve"> would be inconsistent with Commission precedent and generally accepted principles for NGDCs because they both contain customer cost components.</w:t>
      </w:r>
    </w:p>
    <w:p w14:paraId="56B8B94E" w14:textId="77777777" w:rsidR="00A8096B" w:rsidRPr="00E9174E" w:rsidRDefault="00A8096B" w:rsidP="00E9174E">
      <w:pPr>
        <w:widowControl/>
        <w:autoSpaceDE w:val="0"/>
        <w:autoSpaceDN w:val="0"/>
        <w:adjustRightInd w:val="0"/>
        <w:spacing w:line="360" w:lineRule="auto"/>
        <w:contextualSpacing/>
        <w:rPr>
          <w:sz w:val="26"/>
          <w:szCs w:val="26"/>
        </w:rPr>
      </w:pPr>
    </w:p>
    <w:p w14:paraId="07A9D834" w14:textId="28C8F3BF" w:rsidR="00A8096B" w:rsidRPr="00E9174E" w:rsidRDefault="00A8096B" w:rsidP="00E9174E">
      <w:pPr>
        <w:widowControl/>
        <w:autoSpaceDE w:val="0"/>
        <w:autoSpaceDN w:val="0"/>
        <w:adjustRightInd w:val="0"/>
        <w:spacing w:line="360" w:lineRule="auto"/>
        <w:ind w:firstLine="1440"/>
        <w:contextualSpacing/>
        <w:rPr>
          <w:sz w:val="26"/>
          <w:szCs w:val="26"/>
        </w:rPr>
      </w:pPr>
      <w:r w:rsidRPr="00E9174E">
        <w:rPr>
          <w:sz w:val="26"/>
          <w:szCs w:val="26"/>
        </w:rPr>
        <w:t xml:space="preserve">We are persuaded by the arguments presented by </w:t>
      </w:r>
      <w:r w:rsidR="000F3254" w:rsidRPr="00E9174E">
        <w:rPr>
          <w:sz w:val="26"/>
          <w:szCs w:val="26"/>
        </w:rPr>
        <w:t xml:space="preserve">the </w:t>
      </w:r>
      <w:r w:rsidRPr="00E9174E">
        <w:rPr>
          <w:sz w:val="26"/>
          <w:szCs w:val="26"/>
        </w:rPr>
        <w:t xml:space="preserve">OCA’s witness, Mr. </w:t>
      </w:r>
      <w:proofErr w:type="spellStart"/>
      <w:r w:rsidRPr="00E9174E">
        <w:rPr>
          <w:sz w:val="26"/>
          <w:szCs w:val="26"/>
        </w:rPr>
        <w:t>Mierzwa</w:t>
      </w:r>
      <w:proofErr w:type="spellEnd"/>
      <w:r w:rsidRPr="00E9174E">
        <w:rPr>
          <w:sz w:val="26"/>
          <w:szCs w:val="26"/>
        </w:rPr>
        <w:t xml:space="preserve">, on pages 6-7 of </w:t>
      </w:r>
      <w:r w:rsidR="00711E70" w:rsidRPr="00E9174E">
        <w:rPr>
          <w:sz w:val="26"/>
          <w:szCs w:val="26"/>
        </w:rPr>
        <w:t xml:space="preserve">the </w:t>
      </w:r>
      <w:r w:rsidRPr="00E9174E">
        <w:rPr>
          <w:sz w:val="26"/>
          <w:szCs w:val="26"/>
        </w:rPr>
        <w:t>OCA</w:t>
      </w:r>
      <w:r w:rsidR="00711E70" w:rsidRPr="00E9174E">
        <w:rPr>
          <w:sz w:val="26"/>
          <w:szCs w:val="26"/>
        </w:rPr>
        <w:t>’s</w:t>
      </w:r>
      <w:r w:rsidRPr="00E9174E">
        <w:rPr>
          <w:sz w:val="26"/>
          <w:szCs w:val="26"/>
        </w:rPr>
        <w:t xml:space="preserve"> Statement No. 4, and in the OCA’s Main Brief on pages 139-145, which we adopt herein, by reference, where he describes the faults of adopting the Customer-Demand ACCOSS.  In </w:t>
      </w:r>
      <w:r w:rsidR="00711E70" w:rsidRPr="00E9174E">
        <w:rPr>
          <w:sz w:val="26"/>
          <w:szCs w:val="26"/>
        </w:rPr>
        <w:t xml:space="preserve">the </w:t>
      </w:r>
      <w:r w:rsidRPr="00E9174E">
        <w:rPr>
          <w:sz w:val="26"/>
          <w:szCs w:val="26"/>
        </w:rPr>
        <w:t>OCA</w:t>
      </w:r>
      <w:r w:rsidR="00711E70" w:rsidRPr="00E9174E">
        <w:rPr>
          <w:sz w:val="26"/>
          <w:szCs w:val="26"/>
        </w:rPr>
        <w:t>’s</w:t>
      </w:r>
      <w:r w:rsidRPr="00E9174E">
        <w:rPr>
          <w:sz w:val="26"/>
          <w:szCs w:val="26"/>
        </w:rPr>
        <w:t xml:space="preserve"> Statement No. 4, Mr. </w:t>
      </w:r>
      <w:proofErr w:type="spellStart"/>
      <w:r w:rsidRPr="00E9174E">
        <w:rPr>
          <w:sz w:val="26"/>
          <w:szCs w:val="26"/>
        </w:rPr>
        <w:t>Mierzwa</w:t>
      </w:r>
      <w:proofErr w:type="spellEnd"/>
      <w:r w:rsidRPr="00E9174E">
        <w:rPr>
          <w:sz w:val="26"/>
          <w:szCs w:val="26"/>
        </w:rPr>
        <w:t xml:space="preserve"> explained that under the Customer-Demand method, “the distribution mains investment assigned to each category is allocated to rate class </w:t>
      </w:r>
      <w:r w:rsidRPr="00E9174E">
        <w:rPr>
          <w:b/>
          <w:bCs/>
          <w:sz w:val="26"/>
          <w:szCs w:val="26"/>
        </w:rPr>
        <w:t>partially based on the number of customers</w:t>
      </w:r>
      <w:r w:rsidRPr="00E9174E">
        <w:rPr>
          <w:sz w:val="26"/>
          <w:szCs w:val="26"/>
        </w:rPr>
        <w:t xml:space="preserve"> and partially based on the design day demands of the customers in each rate class that are served by each of the categories of distribution mains …</w:t>
      </w:r>
      <w:r w:rsidR="00275FD2" w:rsidRPr="00E9174E">
        <w:rPr>
          <w:sz w:val="26"/>
          <w:szCs w:val="26"/>
        </w:rPr>
        <w:t>.</w:t>
      </w:r>
      <w:r w:rsidRPr="00E9174E">
        <w:rPr>
          <w:sz w:val="26"/>
          <w:szCs w:val="26"/>
        </w:rPr>
        <w:t>”  OCA St. 4 at 6-7 (</w:t>
      </w:r>
      <w:r w:rsidR="00711E70" w:rsidRPr="00E9174E">
        <w:rPr>
          <w:sz w:val="26"/>
          <w:szCs w:val="26"/>
        </w:rPr>
        <w:t>e</w:t>
      </w:r>
      <w:r w:rsidRPr="00E9174E">
        <w:rPr>
          <w:sz w:val="26"/>
          <w:szCs w:val="26"/>
        </w:rPr>
        <w:t xml:space="preserve">mphasis added).  In the OCA’s Main Brief, Mr. </w:t>
      </w:r>
      <w:proofErr w:type="spellStart"/>
      <w:r w:rsidRPr="00E9174E">
        <w:rPr>
          <w:sz w:val="26"/>
          <w:szCs w:val="26"/>
        </w:rPr>
        <w:t>Mierzwa</w:t>
      </w:r>
      <w:proofErr w:type="spellEnd"/>
      <w:r w:rsidRPr="00E9174E">
        <w:rPr>
          <w:sz w:val="26"/>
          <w:szCs w:val="26"/>
        </w:rPr>
        <w:t xml:space="preserve"> pointed out that the Customer-Demand ACCOS</w:t>
      </w:r>
      <w:r w:rsidR="00B56EF3" w:rsidRPr="00E9174E">
        <w:rPr>
          <w:sz w:val="26"/>
          <w:szCs w:val="26"/>
        </w:rPr>
        <w:t>S</w:t>
      </w:r>
      <w:r w:rsidRPr="00E9174E">
        <w:rPr>
          <w:sz w:val="26"/>
          <w:szCs w:val="26"/>
        </w:rPr>
        <w:t xml:space="preserve"> uses “a minimum system approach where the entire distribution mains system is hypothetically comprised of only 2-inch pipe.”  Mr. </w:t>
      </w:r>
      <w:proofErr w:type="spellStart"/>
      <w:r w:rsidRPr="00E9174E">
        <w:rPr>
          <w:sz w:val="26"/>
          <w:szCs w:val="26"/>
        </w:rPr>
        <w:t>Mierzwa</w:t>
      </w:r>
      <w:proofErr w:type="spellEnd"/>
      <w:r w:rsidRPr="00E9174E">
        <w:rPr>
          <w:sz w:val="26"/>
          <w:szCs w:val="26"/>
        </w:rPr>
        <w:t xml:space="preserve"> continued that, “[t]he goal of such a study is to attempt to assign costs based on merely connecting customers to the system, as opposed to supplying gas to customers – which is how the distribution system actually works on a day-to-day basis.”  OCA M.B. at 140.</w:t>
      </w:r>
    </w:p>
    <w:p w14:paraId="13E0D171" w14:textId="77777777" w:rsidR="00B56EF3" w:rsidRPr="00E9174E" w:rsidRDefault="00B56EF3" w:rsidP="00E9174E">
      <w:pPr>
        <w:widowControl/>
        <w:autoSpaceDE w:val="0"/>
        <w:autoSpaceDN w:val="0"/>
        <w:adjustRightInd w:val="0"/>
        <w:spacing w:line="360" w:lineRule="auto"/>
        <w:ind w:firstLine="1440"/>
        <w:contextualSpacing/>
        <w:rPr>
          <w:sz w:val="26"/>
          <w:szCs w:val="26"/>
        </w:rPr>
      </w:pPr>
    </w:p>
    <w:p w14:paraId="0FB107B1" w14:textId="6B96E01A" w:rsidR="00A8096B" w:rsidRPr="00E9174E" w:rsidRDefault="00A8096B" w:rsidP="00E9174E">
      <w:pPr>
        <w:widowControl/>
        <w:autoSpaceDE w:val="0"/>
        <w:autoSpaceDN w:val="0"/>
        <w:adjustRightInd w:val="0"/>
        <w:spacing w:line="360" w:lineRule="auto"/>
        <w:ind w:firstLine="1440"/>
        <w:contextualSpacing/>
        <w:rPr>
          <w:sz w:val="26"/>
          <w:szCs w:val="26"/>
        </w:rPr>
      </w:pPr>
      <w:r w:rsidRPr="00E9174E">
        <w:rPr>
          <w:sz w:val="26"/>
          <w:szCs w:val="26"/>
        </w:rPr>
        <w:t xml:space="preserve">We note that this is virtually the same OCA argument we relied upon in </w:t>
      </w:r>
      <w:r w:rsidRPr="00E9174E">
        <w:rPr>
          <w:i/>
          <w:iCs/>
          <w:sz w:val="26"/>
          <w:szCs w:val="26"/>
        </w:rPr>
        <w:t>NFGD 1994</w:t>
      </w:r>
      <w:r w:rsidR="00711E70" w:rsidRPr="00051382">
        <w:rPr>
          <w:sz w:val="26"/>
          <w:szCs w:val="26"/>
        </w:rPr>
        <w:t>,</w:t>
      </w:r>
      <w:r w:rsidRPr="00051382">
        <w:rPr>
          <w:sz w:val="26"/>
          <w:szCs w:val="26"/>
        </w:rPr>
        <w:t xml:space="preserve"> </w:t>
      </w:r>
      <w:r w:rsidRPr="00E9174E">
        <w:rPr>
          <w:sz w:val="26"/>
          <w:szCs w:val="26"/>
        </w:rPr>
        <w:t xml:space="preserve">where we rejected NFGD’s minimum system approach in that proceeding.  </w:t>
      </w:r>
      <w:r w:rsidRPr="00E9174E">
        <w:rPr>
          <w:sz w:val="26"/>
          <w:szCs w:val="26"/>
        </w:rPr>
        <w:lastRenderedPageBreak/>
        <w:t xml:space="preserve">In </w:t>
      </w:r>
      <w:r w:rsidRPr="00E9174E">
        <w:rPr>
          <w:i/>
          <w:iCs/>
          <w:sz w:val="26"/>
          <w:szCs w:val="26"/>
        </w:rPr>
        <w:t>NFGD 1994</w:t>
      </w:r>
      <w:r w:rsidRPr="00E9174E">
        <w:rPr>
          <w:sz w:val="26"/>
          <w:szCs w:val="26"/>
        </w:rPr>
        <w:t xml:space="preserve">, the OCA argued that NFGD’s preferred study is based on present engineering design with regard to the physical movement of gas, and thus, ignores the fact that distribution systems are an integrated network created over time to serve present and future loads.  </w:t>
      </w:r>
    </w:p>
    <w:p w14:paraId="1580C335" w14:textId="77777777" w:rsidR="00A8096B" w:rsidRPr="00E9174E" w:rsidRDefault="00A8096B" w:rsidP="00E9174E">
      <w:pPr>
        <w:widowControl/>
        <w:autoSpaceDE w:val="0"/>
        <w:autoSpaceDN w:val="0"/>
        <w:adjustRightInd w:val="0"/>
        <w:spacing w:line="360" w:lineRule="auto"/>
        <w:contextualSpacing/>
        <w:rPr>
          <w:sz w:val="26"/>
          <w:szCs w:val="26"/>
        </w:rPr>
      </w:pPr>
    </w:p>
    <w:p w14:paraId="07CD7AAF" w14:textId="7669A104" w:rsidR="00A8096B" w:rsidRPr="00E9174E" w:rsidRDefault="00A8096B" w:rsidP="00E9174E">
      <w:pPr>
        <w:widowControl/>
        <w:autoSpaceDE w:val="0"/>
        <w:autoSpaceDN w:val="0"/>
        <w:adjustRightInd w:val="0"/>
        <w:spacing w:line="360" w:lineRule="auto"/>
        <w:ind w:firstLine="1440"/>
        <w:contextualSpacing/>
        <w:rPr>
          <w:sz w:val="26"/>
          <w:szCs w:val="26"/>
        </w:rPr>
      </w:pPr>
      <w:r w:rsidRPr="00E9174E">
        <w:rPr>
          <w:sz w:val="26"/>
          <w:szCs w:val="26"/>
        </w:rPr>
        <w:t xml:space="preserve">In support of our decision in this proceeding, we believe it is worth repeating an excerpt from our Opinion and Order in </w:t>
      </w:r>
      <w:r w:rsidRPr="00E9174E">
        <w:rPr>
          <w:i/>
          <w:iCs/>
          <w:sz w:val="26"/>
          <w:szCs w:val="26"/>
        </w:rPr>
        <w:t>NFGD 1994</w:t>
      </w:r>
      <w:r w:rsidRPr="00E9174E">
        <w:rPr>
          <w:sz w:val="26"/>
          <w:szCs w:val="26"/>
        </w:rPr>
        <w:t xml:space="preserve"> where we relied upon the OCA’s arguments as our premise to reject the Company’s proposed minimum system study that allocated a portion of mains costs based on the number of customers:</w:t>
      </w:r>
    </w:p>
    <w:p w14:paraId="70E8486A" w14:textId="77777777" w:rsidR="00A8096B" w:rsidRPr="00E9174E" w:rsidRDefault="00A8096B" w:rsidP="00051382">
      <w:pPr>
        <w:widowControl/>
        <w:contextualSpacing/>
        <w:rPr>
          <w:sz w:val="26"/>
          <w:szCs w:val="26"/>
        </w:rPr>
      </w:pPr>
    </w:p>
    <w:p w14:paraId="1A2EF73B" w14:textId="4DA9757E" w:rsidR="00A8096B" w:rsidRPr="00E9174E" w:rsidRDefault="00A8096B" w:rsidP="00E9174E">
      <w:pPr>
        <w:widowControl/>
        <w:autoSpaceDE w:val="0"/>
        <w:autoSpaceDN w:val="0"/>
        <w:adjustRightInd w:val="0"/>
        <w:ind w:left="1440" w:right="1440"/>
        <w:contextualSpacing/>
        <w:rPr>
          <w:sz w:val="26"/>
          <w:szCs w:val="26"/>
        </w:rPr>
      </w:pPr>
      <w:r w:rsidRPr="00E9174E">
        <w:rPr>
          <w:sz w:val="26"/>
          <w:szCs w:val="26"/>
        </w:rPr>
        <w:t>The OCA opposes NFG’s separated mains cost of service study for essentially the same reasons as does OTS</w:t>
      </w:r>
      <w:r w:rsidR="00FA21C6" w:rsidRPr="00E9174E">
        <w:rPr>
          <w:sz w:val="26"/>
          <w:szCs w:val="26"/>
        </w:rPr>
        <w:t xml:space="preserve"> [Office of Trial Staff]</w:t>
      </w:r>
      <w:r w:rsidRPr="00E9174E">
        <w:rPr>
          <w:sz w:val="26"/>
          <w:szCs w:val="26"/>
        </w:rPr>
        <w:t>.  OCA contends that NFG’s preferred study is based on present engineering design with regard to the physical movement of gas, and thus, ignores the fact that distribution systems are created over time to serve present and future loads. [Citations omitted] Specifically, the OCA states as follows:</w:t>
      </w:r>
    </w:p>
    <w:p w14:paraId="16CF5B7E" w14:textId="77777777" w:rsidR="00A8096B" w:rsidRPr="00E9174E" w:rsidRDefault="00A8096B" w:rsidP="00E9174E">
      <w:pPr>
        <w:widowControl/>
        <w:autoSpaceDE w:val="0"/>
        <w:autoSpaceDN w:val="0"/>
        <w:adjustRightInd w:val="0"/>
        <w:contextualSpacing/>
        <w:rPr>
          <w:sz w:val="26"/>
          <w:szCs w:val="26"/>
        </w:rPr>
      </w:pPr>
    </w:p>
    <w:p w14:paraId="2BF5A812" w14:textId="77777777" w:rsidR="00A8096B" w:rsidRPr="00E9174E" w:rsidRDefault="00A8096B" w:rsidP="00E9174E">
      <w:pPr>
        <w:widowControl/>
        <w:autoSpaceDE w:val="0"/>
        <w:autoSpaceDN w:val="0"/>
        <w:adjustRightInd w:val="0"/>
        <w:ind w:left="1872" w:right="1872"/>
        <w:contextualSpacing/>
        <w:rPr>
          <w:sz w:val="26"/>
          <w:szCs w:val="26"/>
        </w:rPr>
      </w:pPr>
      <w:r w:rsidRPr="00E9174E">
        <w:rPr>
          <w:sz w:val="26"/>
          <w:szCs w:val="26"/>
        </w:rPr>
        <w:t xml:space="preserve">NFGD’s small mains adjustment should be rejected because it fails to recognize that Distribution’s system is integrated both for operating and planning purposes.  As an integrated system, Distribution will continue to change over time based upon the needs and revenues of both large and small customers. Thus, allocating distribution mains on the basis of size is not reasonable because the system was developed over time to serve accumulated loads and not to serve particular customers and their needs.  As Mr. </w:t>
      </w:r>
      <w:proofErr w:type="spellStart"/>
      <w:r w:rsidRPr="00E9174E">
        <w:rPr>
          <w:sz w:val="26"/>
          <w:szCs w:val="26"/>
        </w:rPr>
        <w:t>Ruback</w:t>
      </w:r>
      <w:proofErr w:type="spellEnd"/>
      <w:r w:rsidRPr="00E9174E">
        <w:rPr>
          <w:sz w:val="26"/>
          <w:szCs w:val="26"/>
        </w:rPr>
        <w:t xml:space="preserve"> testified:</w:t>
      </w:r>
    </w:p>
    <w:p w14:paraId="0A3D9654" w14:textId="77777777" w:rsidR="00A8096B" w:rsidRPr="00E9174E" w:rsidRDefault="00A8096B" w:rsidP="00E9174E">
      <w:pPr>
        <w:widowControl/>
        <w:autoSpaceDE w:val="0"/>
        <w:autoSpaceDN w:val="0"/>
        <w:adjustRightInd w:val="0"/>
        <w:contextualSpacing/>
        <w:rPr>
          <w:sz w:val="26"/>
          <w:szCs w:val="26"/>
        </w:rPr>
      </w:pPr>
    </w:p>
    <w:p w14:paraId="77BCDB8B" w14:textId="77777777" w:rsidR="00A8096B" w:rsidRPr="00E9174E" w:rsidRDefault="00A8096B" w:rsidP="00E9174E">
      <w:pPr>
        <w:widowControl/>
        <w:autoSpaceDE w:val="0"/>
        <w:autoSpaceDN w:val="0"/>
        <w:adjustRightInd w:val="0"/>
        <w:ind w:left="2304" w:right="2304"/>
        <w:contextualSpacing/>
        <w:rPr>
          <w:sz w:val="26"/>
          <w:szCs w:val="26"/>
        </w:rPr>
      </w:pPr>
      <w:r w:rsidRPr="00E9174E">
        <w:rPr>
          <w:sz w:val="26"/>
          <w:szCs w:val="26"/>
        </w:rPr>
        <w:t xml:space="preserve">Distribution systems were not built according to a master design adopted at the formation of a retail distribution company.  Rather, distribution systems are a series of improvements built upon each other and projects that are not cost effective at one point in time can become cost effective if </w:t>
      </w:r>
      <w:r w:rsidRPr="00E9174E">
        <w:rPr>
          <w:sz w:val="26"/>
          <w:szCs w:val="26"/>
        </w:rPr>
        <w:lastRenderedPageBreak/>
        <w:t xml:space="preserve">new facilities are built for loads that are cost justified. </w:t>
      </w:r>
    </w:p>
    <w:p w14:paraId="233F6B31" w14:textId="77777777" w:rsidR="00A8096B" w:rsidRPr="00E9174E" w:rsidRDefault="00A8096B" w:rsidP="00E9174E">
      <w:pPr>
        <w:widowControl/>
        <w:autoSpaceDE w:val="0"/>
        <w:autoSpaceDN w:val="0"/>
        <w:adjustRightInd w:val="0"/>
        <w:ind w:left="2304" w:right="2304"/>
        <w:contextualSpacing/>
        <w:rPr>
          <w:sz w:val="26"/>
          <w:szCs w:val="26"/>
        </w:rPr>
      </w:pPr>
    </w:p>
    <w:p w14:paraId="53000ED7" w14:textId="77777777" w:rsidR="00A8096B" w:rsidRPr="00E9174E" w:rsidRDefault="00A8096B" w:rsidP="00E9174E">
      <w:pPr>
        <w:widowControl/>
        <w:autoSpaceDE w:val="0"/>
        <w:autoSpaceDN w:val="0"/>
        <w:adjustRightInd w:val="0"/>
        <w:ind w:left="2304" w:right="2304"/>
        <w:contextualSpacing/>
        <w:jc w:val="center"/>
        <w:rPr>
          <w:sz w:val="26"/>
          <w:szCs w:val="26"/>
        </w:rPr>
      </w:pPr>
      <w:r w:rsidRPr="00E9174E">
        <w:rPr>
          <w:sz w:val="26"/>
          <w:szCs w:val="26"/>
        </w:rPr>
        <w:t>* * *</w:t>
      </w:r>
    </w:p>
    <w:p w14:paraId="4446385B" w14:textId="77777777" w:rsidR="00A8096B" w:rsidRPr="00E9174E" w:rsidRDefault="00A8096B" w:rsidP="00E9174E">
      <w:pPr>
        <w:widowControl/>
        <w:autoSpaceDE w:val="0"/>
        <w:autoSpaceDN w:val="0"/>
        <w:adjustRightInd w:val="0"/>
        <w:ind w:left="2304" w:right="2304"/>
        <w:contextualSpacing/>
        <w:rPr>
          <w:sz w:val="26"/>
          <w:szCs w:val="26"/>
        </w:rPr>
      </w:pPr>
    </w:p>
    <w:p w14:paraId="54ECC443" w14:textId="77777777" w:rsidR="00A8096B" w:rsidRPr="00E9174E" w:rsidRDefault="00A8096B" w:rsidP="00E9174E">
      <w:pPr>
        <w:widowControl/>
        <w:autoSpaceDE w:val="0"/>
        <w:autoSpaceDN w:val="0"/>
        <w:adjustRightInd w:val="0"/>
        <w:ind w:left="2304" w:right="2304"/>
        <w:contextualSpacing/>
        <w:rPr>
          <w:sz w:val="26"/>
          <w:szCs w:val="26"/>
        </w:rPr>
      </w:pPr>
      <w:r w:rsidRPr="00E9174E">
        <w:rPr>
          <w:sz w:val="26"/>
          <w:szCs w:val="26"/>
        </w:rPr>
        <w:t>The effect of the small mains adjustment is to allocate fewer costs to large customers because their services are connected to larger mains when the larger mains would not exist but for previous improvements or facilities made possible because of the revenue from all classes. . . . It would be a complete irony for small customers to be allocated more costs when their combined load may have justified the large mains from which the large customers attach their services.</w:t>
      </w:r>
    </w:p>
    <w:p w14:paraId="117FAFBC" w14:textId="77777777" w:rsidR="00A8096B" w:rsidRPr="00E9174E" w:rsidRDefault="00A8096B" w:rsidP="00051382">
      <w:pPr>
        <w:widowControl/>
        <w:autoSpaceDE w:val="0"/>
        <w:autoSpaceDN w:val="0"/>
        <w:adjustRightInd w:val="0"/>
        <w:spacing w:line="360" w:lineRule="auto"/>
        <w:ind w:left="2304" w:right="2304"/>
        <w:contextualSpacing/>
        <w:rPr>
          <w:sz w:val="26"/>
          <w:szCs w:val="26"/>
        </w:rPr>
      </w:pPr>
    </w:p>
    <w:p w14:paraId="6A858713" w14:textId="585DF24B" w:rsidR="00A8096B" w:rsidRPr="00E9174E" w:rsidRDefault="00A8096B" w:rsidP="00051382">
      <w:pPr>
        <w:widowControl/>
        <w:autoSpaceDE w:val="0"/>
        <w:autoSpaceDN w:val="0"/>
        <w:adjustRightInd w:val="0"/>
        <w:spacing w:line="360" w:lineRule="auto"/>
        <w:contextualSpacing/>
        <w:rPr>
          <w:sz w:val="26"/>
          <w:szCs w:val="26"/>
        </w:rPr>
      </w:pPr>
      <w:r w:rsidRPr="00E9174E">
        <w:rPr>
          <w:sz w:val="26"/>
          <w:szCs w:val="26"/>
        </w:rPr>
        <w:t>1994 Pa. PUC LEXIS 134; 83 Pa. P</w:t>
      </w:r>
      <w:r w:rsidR="00E1505C" w:rsidRPr="00E9174E">
        <w:rPr>
          <w:sz w:val="26"/>
          <w:szCs w:val="26"/>
        </w:rPr>
        <w:t>.</w:t>
      </w:r>
      <w:r w:rsidRPr="00E9174E">
        <w:rPr>
          <w:sz w:val="26"/>
          <w:szCs w:val="26"/>
        </w:rPr>
        <w:t>U</w:t>
      </w:r>
      <w:r w:rsidR="00E1505C" w:rsidRPr="00E9174E">
        <w:rPr>
          <w:sz w:val="26"/>
          <w:szCs w:val="26"/>
        </w:rPr>
        <w:t>.</w:t>
      </w:r>
      <w:r w:rsidRPr="00E9174E">
        <w:rPr>
          <w:sz w:val="26"/>
          <w:szCs w:val="26"/>
        </w:rPr>
        <w:t>C</w:t>
      </w:r>
      <w:r w:rsidR="00E1505C" w:rsidRPr="00E9174E">
        <w:rPr>
          <w:sz w:val="26"/>
          <w:szCs w:val="26"/>
        </w:rPr>
        <w:t>.</w:t>
      </w:r>
      <w:r w:rsidRPr="00E9174E">
        <w:rPr>
          <w:sz w:val="26"/>
          <w:szCs w:val="26"/>
        </w:rPr>
        <w:t xml:space="preserve"> 262</w:t>
      </w:r>
      <w:r w:rsidR="00E1505C" w:rsidRPr="00E9174E">
        <w:rPr>
          <w:sz w:val="26"/>
          <w:szCs w:val="26"/>
        </w:rPr>
        <w:t xml:space="preserve"> at</w:t>
      </w:r>
      <w:r w:rsidRPr="00E9174E">
        <w:rPr>
          <w:sz w:val="26"/>
          <w:szCs w:val="26"/>
        </w:rPr>
        <w:t xml:space="preserve"> 91-92 (Docket No. R-00942991)</w:t>
      </w:r>
      <w:r w:rsidR="008425C9" w:rsidRPr="00E9174E">
        <w:rPr>
          <w:sz w:val="26"/>
          <w:szCs w:val="26"/>
        </w:rPr>
        <w:t>.</w:t>
      </w:r>
    </w:p>
    <w:p w14:paraId="1F9BE48E" w14:textId="77777777" w:rsidR="00A8096B" w:rsidRPr="00E9174E" w:rsidRDefault="00A8096B" w:rsidP="00051382">
      <w:pPr>
        <w:widowControl/>
        <w:spacing w:line="360" w:lineRule="auto"/>
        <w:contextualSpacing/>
        <w:rPr>
          <w:sz w:val="26"/>
          <w:szCs w:val="26"/>
        </w:rPr>
      </w:pPr>
    </w:p>
    <w:p w14:paraId="3A9BF0B5" w14:textId="2601093A" w:rsidR="00A8096B" w:rsidRPr="00E9174E" w:rsidRDefault="00A8096B" w:rsidP="00051382">
      <w:pPr>
        <w:widowControl/>
        <w:spacing w:line="360" w:lineRule="auto"/>
        <w:ind w:firstLine="1440"/>
        <w:contextualSpacing/>
        <w:rPr>
          <w:sz w:val="26"/>
          <w:szCs w:val="26"/>
        </w:rPr>
      </w:pPr>
      <w:r w:rsidRPr="00E9174E">
        <w:rPr>
          <w:sz w:val="26"/>
          <w:szCs w:val="26"/>
        </w:rPr>
        <w:t>In light of the above, we remain of the opinion that although mains serve customers, it is the throughput that determines the type of main investment because it is the load that determines the main investment, not the number of customers served.  The existence of one customer, five customers, or ten customers does not determine the amount of mains investment.  Mains investment is driven by the loads placed upon it, not by the number of customers served.</w:t>
      </w:r>
    </w:p>
    <w:p w14:paraId="0B6E106C" w14:textId="77777777" w:rsidR="00A8096B" w:rsidRPr="00E9174E" w:rsidRDefault="00A8096B" w:rsidP="00051382">
      <w:pPr>
        <w:widowControl/>
        <w:spacing w:line="360" w:lineRule="auto"/>
        <w:contextualSpacing/>
        <w:rPr>
          <w:sz w:val="26"/>
          <w:szCs w:val="26"/>
        </w:rPr>
      </w:pPr>
    </w:p>
    <w:p w14:paraId="1878A959" w14:textId="5544FA24" w:rsidR="00A8096B" w:rsidRPr="00E9174E" w:rsidRDefault="00A8096B" w:rsidP="00051382">
      <w:pPr>
        <w:widowControl/>
        <w:spacing w:line="360" w:lineRule="auto"/>
        <w:ind w:firstLine="1440"/>
        <w:contextualSpacing/>
        <w:rPr>
          <w:sz w:val="26"/>
          <w:szCs w:val="26"/>
        </w:rPr>
      </w:pPr>
      <w:r w:rsidRPr="00E9174E">
        <w:rPr>
          <w:sz w:val="26"/>
          <w:szCs w:val="26"/>
        </w:rPr>
        <w:t xml:space="preserve">Furthermore, distribution mains exist and are related to both annual demands and peak demands.  Both annual and peak demands must be recognized in the allocation of distribution mains cost if the allocation is to be in accord with the principle of cost-causality.  It is not reasonable to allocate distribution mains investment based solely on design peak day demands as in Columbia’s Customer-Demand ACCOSS.  The basic reason Columbia invests in its distribution system is to meet the annual demands for gas by customers.  Additionally, a portion of the total cost of distribution service is </w:t>
      </w:r>
      <w:r w:rsidRPr="00E9174E">
        <w:rPr>
          <w:sz w:val="26"/>
          <w:szCs w:val="26"/>
        </w:rPr>
        <w:lastRenderedPageBreak/>
        <w:t>related to installing a system with enough throughput capacity to meet design peak demands in excess of annual demands.</w:t>
      </w:r>
    </w:p>
    <w:p w14:paraId="680571F4" w14:textId="77777777" w:rsidR="00A8096B" w:rsidRPr="00E9174E" w:rsidRDefault="00A8096B" w:rsidP="00E9174E">
      <w:pPr>
        <w:widowControl/>
        <w:spacing w:line="360" w:lineRule="auto"/>
        <w:contextualSpacing/>
        <w:rPr>
          <w:sz w:val="26"/>
          <w:szCs w:val="26"/>
        </w:rPr>
      </w:pPr>
    </w:p>
    <w:p w14:paraId="33F18771" w14:textId="18917415" w:rsidR="00A8096B" w:rsidRPr="00E9174E" w:rsidRDefault="00A8096B" w:rsidP="00E9174E">
      <w:pPr>
        <w:widowControl/>
        <w:spacing w:line="360" w:lineRule="auto"/>
        <w:ind w:firstLine="1440"/>
        <w:contextualSpacing/>
        <w:rPr>
          <w:sz w:val="26"/>
          <w:szCs w:val="26"/>
        </w:rPr>
      </w:pPr>
      <w:r w:rsidRPr="00E9174E">
        <w:rPr>
          <w:sz w:val="26"/>
          <w:szCs w:val="26"/>
        </w:rPr>
        <w:t>In this proceeding, the Company presented two customer cost analyses, one that included the cost of mains, and one that excluded the cost of mains.  This was done to acknowledge the Commission’s preference that no portion of fixed costs or depreciation expense associated with mains should be allocated to the customer cost function.  Therefore, the acknowledgement that mains are not customer costs in the sub-set of costs known as the customer cost analysis (presented in CG Exh.111, Sch. 1), supports the idea that the allocation of mains should not be based on the number of customers.</w:t>
      </w:r>
    </w:p>
    <w:p w14:paraId="53E5BFCF" w14:textId="77777777" w:rsidR="00A8096B" w:rsidRPr="00E9174E" w:rsidRDefault="00A8096B" w:rsidP="00E9174E">
      <w:pPr>
        <w:widowControl/>
        <w:spacing w:line="360" w:lineRule="auto"/>
        <w:contextualSpacing/>
        <w:rPr>
          <w:sz w:val="26"/>
          <w:szCs w:val="26"/>
        </w:rPr>
      </w:pPr>
    </w:p>
    <w:p w14:paraId="2FFC4629" w14:textId="155A7D24" w:rsidR="00A8096B" w:rsidRPr="00E9174E" w:rsidRDefault="00A8096B" w:rsidP="00E9174E">
      <w:pPr>
        <w:widowControl/>
        <w:spacing w:line="360" w:lineRule="auto"/>
        <w:ind w:firstLine="1440"/>
        <w:contextualSpacing/>
        <w:rPr>
          <w:sz w:val="26"/>
          <w:szCs w:val="26"/>
        </w:rPr>
      </w:pPr>
      <w:r w:rsidRPr="00E9174E">
        <w:rPr>
          <w:sz w:val="26"/>
          <w:szCs w:val="26"/>
        </w:rPr>
        <w:t xml:space="preserve">For all </w:t>
      </w:r>
      <w:r w:rsidR="00275FD2" w:rsidRPr="00E9174E">
        <w:rPr>
          <w:sz w:val="26"/>
          <w:szCs w:val="26"/>
        </w:rPr>
        <w:t>these</w:t>
      </w:r>
      <w:r w:rsidRPr="00E9174E">
        <w:rPr>
          <w:sz w:val="26"/>
          <w:szCs w:val="26"/>
        </w:rPr>
        <w:t xml:space="preserve"> reasons, we find that the Peak &amp; Average allocation methodology is the most appropriate allocation methodology to use in this proceeding because it is based on the premise of load-based investment.  Accordingly, we shall deny Columbia’s Exception</w:t>
      </w:r>
      <w:r w:rsidR="008425C9" w:rsidRPr="00E9174E">
        <w:rPr>
          <w:sz w:val="26"/>
          <w:szCs w:val="26"/>
        </w:rPr>
        <w:t>s</w:t>
      </w:r>
      <w:r w:rsidRPr="00E9174E">
        <w:rPr>
          <w:sz w:val="26"/>
          <w:szCs w:val="26"/>
        </w:rPr>
        <w:t xml:space="preserve"> Nos. 18 and 19, and the OSBA’s Exception No. 1, and PSU’s Exception No. 1 as they relate to their respective AC</w:t>
      </w:r>
      <w:r w:rsidR="007F1EB6" w:rsidRPr="00E9174E">
        <w:rPr>
          <w:sz w:val="26"/>
          <w:szCs w:val="26"/>
        </w:rPr>
        <w:t>C</w:t>
      </w:r>
      <w:r w:rsidRPr="00E9174E">
        <w:rPr>
          <w:sz w:val="26"/>
          <w:szCs w:val="26"/>
        </w:rPr>
        <w:t xml:space="preserve">OSS arguments and adopt the OCA’s P&amp;A ACCOSS as proffered by OCA Witness Mr. </w:t>
      </w:r>
      <w:proofErr w:type="spellStart"/>
      <w:r w:rsidRPr="00E9174E">
        <w:rPr>
          <w:sz w:val="26"/>
          <w:szCs w:val="26"/>
        </w:rPr>
        <w:t>Mierzwa</w:t>
      </w:r>
      <w:proofErr w:type="spellEnd"/>
      <w:r w:rsidRPr="00E9174E">
        <w:rPr>
          <w:sz w:val="26"/>
          <w:szCs w:val="26"/>
        </w:rPr>
        <w:t xml:space="preserve"> in OCA Statement No. 4, at 5</w:t>
      </w:r>
      <w:r w:rsidRPr="00E9174E">
        <w:rPr>
          <w:sz w:val="26"/>
          <w:szCs w:val="26"/>
        </w:rPr>
        <w:noBreakHyphen/>
        <w:t>33, and the OCA’s Main Brief, at 150-155.</w:t>
      </w:r>
    </w:p>
    <w:p w14:paraId="3AC624E9" w14:textId="77777777" w:rsidR="00582F1C" w:rsidRPr="00E9174E" w:rsidRDefault="00582F1C" w:rsidP="00E9174E">
      <w:pPr>
        <w:widowControl/>
        <w:spacing w:line="360" w:lineRule="auto"/>
        <w:ind w:firstLine="1440"/>
        <w:contextualSpacing/>
        <w:rPr>
          <w:sz w:val="26"/>
          <w:szCs w:val="26"/>
        </w:rPr>
      </w:pPr>
    </w:p>
    <w:p w14:paraId="755590F2" w14:textId="13109430" w:rsidR="00A8096B" w:rsidRPr="00E9174E" w:rsidRDefault="00A8096B" w:rsidP="00F94A24">
      <w:pPr>
        <w:pStyle w:val="Heading2"/>
        <w:numPr>
          <w:ilvl w:val="0"/>
          <w:numId w:val="88"/>
        </w:numPr>
        <w:ind w:hanging="720"/>
      </w:pPr>
      <w:bookmarkStart w:id="432" w:name="_Hlk35848236"/>
      <w:bookmarkStart w:id="433" w:name="_Toc61011375"/>
      <w:bookmarkStart w:id="434" w:name="_Toc63764612"/>
      <w:bookmarkStart w:id="435" w:name="_Hlk59619419"/>
      <w:bookmarkEnd w:id="402"/>
      <w:r w:rsidRPr="00E9174E">
        <w:t>Revenue Allocation</w:t>
      </w:r>
      <w:bookmarkEnd w:id="432"/>
      <w:bookmarkEnd w:id="433"/>
      <w:bookmarkEnd w:id="434"/>
    </w:p>
    <w:p w14:paraId="6EA68427" w14:textId="77777777" w:rsidR="00A8096B" w:rsidRPr="00E9174E" w:rsidRDefault="00A8096B" w:rsidP="00E9174E">
      <w:pPr>
        <w:keepNext/>
        <w:keepLines/>
        <w:widowControl/>
        <w:spacing w:line="360" w:lineRule="auto"/>
        <w:contextualSpacing/>
        <w:rPr>
          <w:sz w:val="26"/>
          <w:szCs w:val="26"/>
        </w:rPr>
      </w:pPr>
    </w:p>
    <w:p w14:paraId="0528D045" w14:textId="78E08FFA" w:rsidR="00A8096B" w:rsidRPr="00E9174E" w:rsidRDefault="00B2754B" w:rsidP="001A2194">
      <w:pPr>
        <w:pStyle w:val="Heading3"/>
        <w:ind w:left="1440"/>
      </w:pPr>
      <w:bookmarkStart w:id="436" w:name="_Toc63764613"/>
      <w:r w:rsidRPr="00E9174E">
        <w:t>1.</w:t>
      </w:r>
      <w:r w:rsidRPr="00E9174E">
        <w:tab/>
      </w:r>
      <w:r w:rsidR="00A8096B" w:rsidRPr="00E9174E">
        <w:t>Proposed Revenue Allocation and Alternatives</w:t>
      </w:r>
      <w:bookmarkEnd w:id="436"/>
    </w:p>
    <w:p w14:paraId="09CAA38A" w14:textId="77777777" w:rsidR="00A8096B" w:rsidRPr="00E9174E" w:rsidRDefault="00A8096B" w:rsidP="00E9174E">
      <w:pPr>
        <w:keepNext/>
        <w:keepLines/>
        <w:widowControl/>
        <w:spacing w:line="360" w:lineRule="auto"/>
        <w:contextualSpacing/>
        <w:rPr>
          <w:sz w:val="26"/>
          <w:szCs w:val="26"/>
        </w:rPr>
      </w:pPr>
    </w:p>
    <w:p w14:paraId="3DF088A6" w14:textId="2DC10599" w:rsidR="00A8096B" w:rsidRPr="00E9174E" w:rsidRDefault="00A8096B" w:rsidP="00277ECF">
      <w:pPr>
        <w:pStyle w:val="Heading4"/>
        <w:numPr>
          <w:ilvl w:val="0"/>
          <w:numId w:val="66"/>
        </w:numPr>
        <w:ind w:left="2160" w:hanging="720"/>
      </w:pPr>
      <w:bookmarkStart w:id="437" w:name="_Toc61011376"/>
      <w:bookmarkStart w:id="438" w:name="_Toc63764614"/>
      <w:bookmarkStart w:id="439" w:name="_Hlk35848339"/>
      <w:r w:rsidRPr="00E9174E">
        <w:t>Positions of the Parties</w:t>
      </w:r>
      <w:bookmarkEnd w:id="437"/>
      <w:bookmarkEnd w:id="438"/>
    </w:p>
    <w:p w14:paraId="4FB725E4" w14:textId="77777777" w:rsidR="00A8096B" w:rsidRPr="00E9174E" w:rsidRDefault="00A8096B" w:rsidP="00E9174E">
      <w:pPr>
        <w:keepNext/>
        <w:keepLines/>
        <w:widowControl/>
        <w:spacing w:line="360" w:lineRule="auto"/>
        <w:contextualSpacing/>
        <w:rPr>
          <w:sz w:val="26"/>
          <w:szCs w:val="26"/>
        </w:rPr>
      </w:pPr>
    </w:p>
    <w:p w14:paraId="403570A6" w14:textId="77777777" w:rsidR="00A8096B" w:rsidRPr="00E9174E" w:rsidRDefault="00A8096B" w:rsidP="00E9174E">
      <w:pPr>
        <w:widowControl/>
        <w:spacing w:line="360" w:lineRule="auto"/>
        <w:ind w:firstLine="1440"/>
        <w:contextualSpacing/>
        <w:rPr>
          <w:sz w:val="26"/>
          <w:szCs w:val="26"/>
        </w:rPr>
      </w:pPr>
      <w:r w:rsidRPr="00E9174E">
        <w:rPr>
          <w:sz w:val="26"/>
          <w:szCs w:val="26"/>
        </w:rPr>
        <w:t xml:space="preserve">Columbia submitted that under </w:t>
      </w:r>
      <w:r w:rsidRPr="00E9174E">
        <w:rPr>
          <w:i/>
          <w:sz w:val="26"/>
          <w:szCs w:val="26"/>
        </w:rPr>
        <w:t>Lloyd, supra,</w:t>
      </w:r>
      <w:r w:rsidRPr="00E9174E">
        <w:rPr>
          <w:sz w:val="26"/>
          <w:szCs w:val="26"/>
        </w:rPr>
        <w:t xml:space="preserve"> cost of service is the “polestar” of utility rates and a proposed revenue allocation will only be found to be reasonable where it moves distribution rates for each class closer to the full cost of </w:t>
      </w:r>
      <w:r w:rsidRPr="00E9174E">
        <w:rPr>
          <w:sz w:val="26"/>
          <w:szCs w:val="26"/>
        </w:rPr>
        <w:lastRenderedPageBreak/>
        <w:t xml:space="preserve">providing service.  CG M.B. at 127-128.  Therefore, regarding revenue allocation, Columbia submitted that it prioritized cost of service principles, while reflecting gradualism.  CG R.B. at 90.  Specifically, Columbia based the reasonableness of its proposed revenue allocation on the progress made by each rate class toward the system average rate of return, with no class receiving an increase significantly higher than the system average, meeting the goals of moving each class closer toward their respective costs of service, while mitigating extreme impacts.  CG St. 3 at 31-35.  </w:t>
      </w:r>
    </w:p>
    <w:p w14:paraId="5D2F5B75" w14:textId="77777777" w:rsidR="00A8096B" w:rsidRPr="00E9174E" w:rsidRDefault="00A8096B" w:rsidP="00E9174E">
      <w:pPr>
        <w:widowControl/>
        <w:spacing w:line="360" w:lineRule="auto"/>
        <w:ind w:firstLine="1440"/>
        <w:contextualSpacing/>
        <w:rPr>
          <w:sz w:val="26"/>
          <w:szCs w:val="26"/>
        </w:rPr>
      </w:pPr>
    </w:p>
    <w:p w14:paraId="7CD47875" w14:textId="6A677C5B" w:rsidR="00A8096B" w:rsidRPr="00E9174E" w:rsidRDefault="00A8096B" w:rsidP="00E9174E">
      <w:pPr>
        <w:widowControl/>
        <w:spacing w:line="360" w:lineRule="auto"/>
        <w:ind w:firstLine="1440"/>
        <w:contextualSpacing/>
        <w:rPr>
          <w:sz w:val="26"/>
          <w:szCs w:val="26"/>
        </w:rPr>
      </w:pPr>
      <w:r w:rsidRPr="00E9174E">
        <w:rPr>
          <w:sz w:val="26"/>
          <w:szCs w:val="26"/>
        </w:rPr>
        <w:t>As discussed above, Columbia selected its Average ACCOSS to guide its revenue allocation and rate design process.  Columbia witness Melissa J. Bell explained how this ACCOSS was utilized in apportioning the requested increase among the classes with the intention of moving each rate class toward parity with the system average rate of return.</w:t>
      </w:r>
      <w:r w:rsidRPr="00E9174E">
        <w:rPr>
          <w:sz w:val="26"/>
          <w:szCs w:val="26"/>
          <w:vertAlign w:val="superscript"/>
        </w:rPr>
        <w:footnoteReference w:id="89"/>
      </w:r>
      <w:r w:rsidRPr="00E9174E">
        <w:rPr>
          <w:sz w:val="26"/>
          <w:szCs w:val="26"/>
        </w:rPr>
        <w:t xml:space="preserve">  The elimination of any increase for the MLS/MLDS rate class is the Company’s effort to lower the relative rate of return for this class, which, according to the Company’s ACCOSSs, is currently generating revenue that is greater than its cost to serve.  Additionally, as shown below, any increase to Flex, above what would be collected through the increased customer charges to SGSS2/SCD2/SGDS2, SDS/LGSS, and LDS/LGSS customer classes, was also shifted to all other rate classes.</w:t>
      </w:r>
      <w:r w:rsidRPr="00E9174E">
        <w:rPr>
          <w:sz w:val="26"/>
          <w:szCs w:val="26"/>
          <w:vertAlign w:val="superscript"/>
        </w:rPr>
        <w:footnoteReference w:id="90"/>
      </w:r>
    </w:p>
    <w:p w14:paraId="7E1E225A" w14:textId="77777777" w:rsidR="00A8096B" w:rsidRPr="00E9174E" w:rsidRDefault="00A8096B" w:rsidP="00E9174E">
      <w:pPr>
        <w:widowControl/>
        <w:spacing w:line="360" w:lineRule="auto"/>
        <w:ind w:firstLine="1440"/>
        <w:contextualSpacing/>
        <w:rPr>
          <w:sz w:val="26"/>
          <w:szCs w:val="26"/>
        </w:rPr>
      </w:pPr>
    </w:p>
    <w:tbl>
      <w:tblPr>
        <w:tblW w:w="8753" w:type="dxa"/>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1800"/>
        <w:gridCol w:w="1980"/>
        <w:gridCol w:w="1710"/>
        <w:gridCol w:w="1463"/>
      </w:tblGrid>
      <w:tr w:rsidR="00A8096B" w:rsidRPr="00E9174E" w14:paraId="03BCD588" w14:textId="77777777" w:rsidTr="00CC66FD">
        <w:trPr>
          <w:trHeight w:val="548"/>
        </w:trPr>
        <w:tc>
          <w:tcPr>
            <w:tcW w:w="8753" w:type="dxa"/>
            <w:gridSpan w:val="5"/>
            <w:tcBorders>
              <w:bottom w:val="single" w:sz="4" w:space="0" w:color="auto"/>
            </w:tcBorders>
            <w:vAlign w:val="center"/>
          </w:tcPr>
          <w:p w14:paraId="6518CEA7" w14:textId="77777777" w:rsidR="00A8096B" w:rsidRPr="00E9174E" w:rsidRDefault="00A8096B" w:rsidP="00E9174E">
            <w:pPr>
              <w:keepNext/>
              <w:keepLines/>
              <w:widowControl/>
              <w:ind w:left="360"/>
              <w:contextualSpacing/>
              <w:jc w:val="center"/>
              <w:rPr>
                <w:b/>
                <w:sz w:val="26"/>
                <w:szCs w:val="26"/>
              </w:rPr>
            </w:pPr>
            <w:bookmarkStart w:id="440" w:name="_Hlk61338154"/>
            <w:r w:rsidRPr="00E9174E">
              <w:rPr>
                <w:b/>
                <w:sz w:val="26"/>
                <w:szCs w:val="26"/>
              </w:rPr>
              <w:lastRenderedPageBreak/>
              <w:t>Columbia’s Proposed Revenue Distribution</w:t>
            </w:r>
          </w:p>
        </w:tc>
      </w:tr>
      <w:tr w:rsidR="00A8096B" w:rsidRPr="00E9174E" w14:paraId="61B7C19A" w14:textId="77777777" w:rsidTr="00CC66FD">
        <w:trPr>
          <w:trHeight w:val="503"/>
        </w:trPr>
        <w:tc>
          <w:tcPr>
            <w:tcW w:w="1800" w:type="dxa"/>
            <w:tcBorders>
              <w:bottom w:val="single" w:sz="4" w:space="0" w:color="auto"/>
            </w:tcBorders>
            <w:vAlign w:val="bottom"/>
          </w:tcPr>
          <w:p w14:paraId="7E58755B" w14:textId="77777777" w:rsidR="00A8096B" w:rsidRPr="00E9174E" w:rsidRDefault="00A8096B" w:rsidP="00E9174E">
            <w:pPr>
              <w:keepNext/>
              <w:keepLines/>
              <w:widowControl/>
              <w:contextualSpacing/>
              <w:rPr>
                <w:b/>
                <w:sz w:val="26"/>
                <w:szCs w:val="26"/>
              </w:rPr>
            </w:pPr>
            <w:r w:rsidRPr="00E9174E">
              <w:rPr>
                <w:b/>
                <w:sz w:val="26"/>
                <w:szCs w:val="26"/>
              </w:rPr>
              <w:t>Class</w:t>
            </w:r>
          </w:p>
        </w:tc>
        <w:tc>
          <w:tcPr>
            <w:tcW w:w="1800" w:type="dxa"/>
            <w:tcBorders>
              <w:bottom w:val="single" w:sz="4" w:space="0" w:color="auto"/>
            </w:tcBorders>
            <w:vAlign w:val="bottom"/>
          </w:tcPr>
          <w:p w14:paraId="229B11AE" w14:textId="77777777" w:rsidR="00A8096B" w:rsidRPr="00E9174E" w:rsidRDefault="00A8096B" w:rsidP="00E9174E">
            <w:pPr>
              <w:keepNext/>
              <w:keepLines/>
              <w:widowControl/>
              <w:contextualSpacing/>
              <w:jc w:val="center"/>
              <w:rPr>
                <w:b/>
                <w:sz w:val="26"/>
                <w:szCs w:val="26"/>
              </w:rPr>
            </w:pPr>
            <w:r w:rsidRPr="00E9174E">
              <w:rPr>
                <w:b/>
                <w:sz w:val="26"/>
                <w:szCs w:val="26"/>
              </w:rPr>
              <w:t>Present Rates</w:t>
            </w:r>
          </w:p>
        </w:tc>
        <w:tc>
          <w:tcPr>
            <w:tcW w:w="1980" w:type="dxa"/>
            <w:tcBorders>
              <w:bottom w:val="single" w:sz="4" w:space="0" w:color="auto"/>
            </w:tcBorders>
            <w:vAlign w:val="bottom"/>
          </w:tcPr>
          <w:p w14:paraId="32021029" w14:textId="77777777" w:rsidR="00A8096B" w:rsidRPr="00E9174E" w:rsidRDefault="00A8096B" w:rsidP="00E9174E">
            <w:pPr>
              <w:keepNext/>
              <w:keepLines/>
              <w:widowControl/>
              <w:contextualSpacing/>
              <w:jc w:val="center"/>
              <w:rPr>
                <w:b/>
                <w:sz w:val="26"/>
                <w:szCs w:val="26"/>
              </w:rPr>
            </w:pPr>
            <w:r w:rsidRPr="00E9174E">
              <w:rPr>
                <w:b/>
                <w:sz w:val="26"/>
                <w:szCs w:val="26"/>
              </w:rPr>
              <w:t>Proposed Rates</w:t>
            </w:r>
          </w:p>
        </w:tc>
        <w:tc>
          <w:tcPr>
            <w:tcW w:w="1710" w:type="dxa"/>
            <w:tcBorders>
              <w:bottom w:val="single" w:sz="4" w:space="0" w:color="auto"/>
            </w:tcBorders>
            <w:vAlign w:val="bottom"/>
          </w:tcPr>
          <w:p w14:paraId="1432C778" w14:textId="77777777" w:rsidR="00A8096B" w:rsidRPr="00E9174E" w:rsidRDefault="00A8096B" w:rsidP="00E9174E">
            <w:pPr>
              <w:keepNext/>
              <w:keepLines/>
              <w:widowControl/>
              <w:contextualSpacing/>
              <w:jc w:val="center"/>
              <w:rPr>
                <w:b/>
                <w:sz w:val="26"/>
                <w:szCs w:val="26"/>
              </w:rPr>
            </w:pPr>
            <w:r w:rsidRPr="00E9174E">
              <w:rPr>
                <w:b/>
                <w:sz w:val="26"/>
                <w:szCs w:val="26"/>
              </w:rPr>
              <w:t>Increase</w:t>
            </w:r>
          </w:p>
        </w:tc>
        <w:tc>
          <w:tcPr>
            <w:tcW w:w="1463" w:type="dxa"/>
            <w:tcBorders>
              <w:bottom w:val="single" w:sz="4" w:space="0" w:color="auto"/>
            </w:tcBorders>
            <w:vAlign w:val="bottom"/>
          </w:tcPr>
          <w:p w14:paraId="7B1B0083" w14:textId="77777777" w:rsidR="00A8096B" w:rsidRPr="00E9174E" w:rsidRDefault="00A8096B" w:rsidP="00E9174E">
            <w:pPr>
              <w:keepNext/>
              <w:keepLines/>
              <w:widowControl/>
              <w:contextualSpacing/>
              <w:jc w:val="center"/>
              <w:rPr>
                <w:b/>
                <w:sz w:val="26"/>
                <w:szCs w:val="26"/>
              </w:rPr>
            </w:pPr>
            <w:r w:rsidRPr="00E9174E">
              <w:rPr>
                <w:b/>
                <w:sz w:val="26"/>
                <w:szCs w:val="26"/>
              </w:rPr>
              <w:t>Increase</w:t>
            </w:r>
          </w:p>
          <w:p w14:paraId="55EF8B16" w14:textId="77777777" w:rsidR="00A8096B" w:rsidRPr="00E9174E" w:rsidRDefault="00A8096B" w:rsidP="00E9174E">
            <w:pPr>
              <w:keepNext/>
              <w:keepLines/>
              <w:widowControl/>
              <w:contextualSpacing/>
              <w:jc w:val="center"/>
              <w:rPr>
                <w:b/>
                <w:sz w:val="26"/>
                <w:szCs w:val="26"/>
              </w:rPr>
            </w:pPr>
            <w:r w:rsidRPr="00E9174E">
              <w:rPr>
                <w:b/>
                <w:sz w:val="26"/>
                <w:szCs w:val="26"/>
              </w:rPr>
              <w:t>Percent</w:t>
            </w:r>
          </w:p>
        </w:tc>
      </w:tr>
      <w:tr w:rsidR="00A8096B" w:rsidRPr="00E9174E" w14:paraId="6A7877D2" w14:textId="77777777" w:rsidTr="00CC66FD">
        <w:trPr>
          <w:trHeight w:val="422"/>
        </w:trPr>
        <w:tc>
          <w:tcPr>
            <w:tcW w:w="1800" w:type="dxa"/>
            <w:tcBorders>
              <w:top w:val="single" w:sz="4" w:space="0" w:color="auto"/>
              <w:left w:val="single" w:sz="4" w:space="0" w:color="auto"/>
              <w:bottom w:val="nil"/>
              <w:right w:val="single" w:sz="4" w:space="0" w:color="auto"/>
            </w:tcBorders>
            <w:vAlign w:val="bottom"/>
          </w:tcPr>
          <w:p w14:paraId="618B1F63" w14:textId="77777777" w:rsidR="00A8096B" w:rsidRPr="00E9174E" w:rsidRDefault="00A8096B" w:rsidP="00E9174E">
            <w:pPr>
              <w:keepNext/>
              <w:keepLines/>
              <w:widowControl/>
              <w:contextualSpacing/>
              <w:rPr>
                <w:sz w:val="26"/>
                <w:szCs w:val="26"/>
              </w:rPr>
            </w:pPr>
            <w:r w:rsidRPr="00E9174E">
              <w:rPr>
                <w:sz w:val="26"/>
                <w:szCs w:val="26"/>
              </w:rPr>
              <w:t>RSS/RDS</w:t>
            </w:r>
          </w:p>
        </w:tc>
        <w:tc>
          <w:tcPr>
            <w:tcW w:w="1800" w:type="dxa"/>
            <w:tcBorders>
              <w:top w:val="single" w:sz="4" w:space="0" w:color="auto"/>
              <w:left w:val="single" w:sz="4" w:space="0" w:color="auto"/>
              <w:bottom w:val="nil"/>
              <w:right w:val="single" w:sz="4" w:space="0" w:color="auto"/>
            </w:tcBorders>
            <w:vAlign w:val="bottom"/>
          </w:tcPr>
          <w:p w14:paraId="31400F21" w14:textId="77777777" w:rsidR="00A8096B" w:rsidRPr="00E9174E" w:rsidRDefault="00A8096B" w:rsidP="00E9174E">
            <w:pPr>
              <w:keepNext/>
              <w:keepLines/>
              <w:widowControl/>
              <w:contextualSpacing/>
              <w:rPr>
                <w:sz w:val="26"/>
                <w:szCs w:val="26"/>
              </w:rPr>
            </w:pPr>
            <w:r w:rsidRPr="00E9174E">
              <w:rPr>
                <w:sz w:val="26"/>
                <w:szCs w:val="26"/>
              </w:rPr>
              <w:t>$292,185,976</w:t>
            </w:r>
          </w:p>
        </w:tc>
        <w:tc>
          <w:tcPr>
            <w:tcW w:w="1980" w:type="dxa"/>
            <w:tcBorders>
              <w:top w:val="single" w:sz="4" w:space="0" w:color="auto"/>
              <w:left w:val="single" w:sz="4" w:space="0" w:color="auto"/>
              <w:bottom w:val="nil"/>
              <w:right w:val="single" w:sz="4" w:space="0" w:color="auto"/>
            </w:tcBorders>
            <w:vAlign w:val="bottom"/>
          </w:tcPr>
          <w:p w14:paraId="019129A0" w14:textId="77777777" w:rsidR="00A8096B" w:rsidRPr="00E9174E" w:rsidRDefault="00A8096B" w:rsidP="00E9174E">
            <w:pPr>
              <w:keepNext/>
              <w:keepLines/>
              <w:widowControl/>
              <w:contextualSpacing/>
              <w:rPr>
                <w:sz w:val="26"/>
                <w:szCs w:val="26"/>
              </w:rPr>
            </w:pPr>
            <w:r w:rsidRPr="00E9174E">
              <w:rPr>
                <w:sz w:val="26"/>
                <w:szCs w:val="26"/>
              </w:rPr>
              <w:t>$366,175,904</w:t>
            </w:r>
          </w:p>
        </w:tc>
        <w:tc>
          <w:tcPr>
            <w:tcW w:w="1710" w:type="dxa"/>
            <w:tcBorders>
              <w:top w:val="single" w:sz="4" w:space="0" w:color="auto"/>
              <w:left w:val="single" w:sz="4" w:space="0" w:color="auto"/>
              <w:bottom w:val="nil"/>
              <w:right w:val="single" w:sz="4" w:space="0" w:color="auto"/>
            </w:tcBorders>
            <w:vAlign w:val="bottom"/>
          </w:tcPr>
          <w:p w14:paraId="38F6A14A" w14:textId="77777777" w:rsidR="00A8096B" w:rsidRPr="00E9174E" w:rsidRDefault="00A8096B" w:rsidP="00E9174E">
            <w:pPr>
              <w:keepNext/>
              <w:keepLines/>
              <w:widowControl/>
              <w:contextualSpacing/>
              <w:rPr>
                <w:sz w:val="26"/>
                <w:szCs w:val="26"/>
              </w:rPr>
            </w:pPr>
            <w:r w:rsidRPr="00E9174E">
              <w:rPr>
                <w:sz w:val="26"/>
                <w:szCs w:val="26"/>
              </w:rPr>
              <w:t>$73,989,928</w:t>
            </w:r>
          </w:p>
        </w:tc>
        <w:tc>
          <w:tcPr>
            <w:tcW w:w="1463" w:type="dxa"/>
            <w:tcBorders>
              <w:top w:val="single" w:sz="4" w:space="0" w:color="auto"/>
              <w:left w:val="single" w:sz="4" w:space="0" w:color="auto"/>
              <w:bottom w:val="nil"/>
              <w:right w:val="single" w:sz="4" w:space="0" w:color="auto"/>
            </w:tcBorders>
            <w:vAlign w:val="bottom"/>
          </w:tcPr>
          <w:p w14:paraId="68965645" w14:textId="77777777" w:rsidR="00A8096B" w:rsidRPr="00E9174E" w:rsidRDefault="00A8096B" w:rsidP="00E9174E">
            <w:pPr>
              <w:keepNext/>
              <w:keepLines/>
              <w:widowControl/>
              <w:contextualSpacing/>
              <w:jc w:val="center"/>
              <w:rPr>
                <w:sz w:val="26"/>
                <w:szCs w:val="26"/>
              </w:rPr>
            </w:pPr>
            <w:r w:rsidRPr="00E9174E">
              <w:rPr>
                <w:sz w:val="26"/>
                <w:szCs w:val="26"/>
              </w:rPr>
              <w:t>25.3%</w:t>
            </w:r>
          </w:p>
        </w:tc>
      </w:tr>
      <w:tr w:rsidR="00A8096B" w:rsidRPr="00E9174E" w14:paraId="20DFAF49" w14:textId="77777777" w:rsidTr="00CC66FD">
        <w:trPr>
          <w:trHeight w:val="207"/>
        </w:trPr>
        <w:tc>
          <w:tcPr>
            <w:tcW w:w="1800" w:type="dxa"/>
            <w:tcBorders>
              <w:top w:val="nil"/>
              <w:left w:val="single" w:sz="4" w:space="0" w:color="auto"/>
              <w:bottom w:val="nil"/>
              <w:right w:val="single" w:sz="4" w:space="0" w:color="auto"/>
            </w:tcBorders>
            <w:vAlign w:val="bottom"/>
          </w:tcPr>
          <w:p w14:paraId="2A999C91" w14:textId="77777777" w:rsidR="00A8096B" w:rsidRPr="00E9174E" w:rsidRDefault="00A8096B" w:rsidP="00E9174E">
            <w:pPr>
              <w:keepNext/>
              <w:keepLines/>
              <w:widowControl/>
              <w:contextualSpacing/>
              <w:rPr>
                <w:sz w:val="26"/>
                <w:szCs w:val="26"/>
              </w:rPr>
            </w:pPr>
          </w:p>
        </w:tc>
        <w:tc>
          <w:tcPr>
            <w:tcW w:w="1800" w:type="dxa"/>
            <w:tcBorders>
              <w:top w:val="nil"/>
              <w:left w:val="single" w:sz="4" w:space="0" w:color="auto"/>
              <w:bottom w:val="nil"/>
              <w:right w:val="single" w:sz="4" w:space="0" w:color="auto"/>
            </w:tcBorders>
            <w:vAlign w:val="bottom"/>
          </w:tcPr>
          <w:p w14:paraId="62182204" w14:textId="77777777" w:rsidR="00A8096B" w:rsidRPr="00E9174E" w:rsidRDefault="00A8096B" w:rsidP="00E9174E">
            <w:pPr>
              <w:keepNext/>
              <w:keepLines/>
              <w:widowControl/>
              <w:contextualSpacing/>
              <w:rPr>
                <w:sz w:val="26"/>
                <w:szCs w:val="26"/>
              </w:rPr>
            </w:pPr>
          </w:p>
        </w:tc>
        <w:tc>
          <w:tcPr>
            <w:tcW w:w="1980" w:type="dxa"/>
            <w:tcBorders>
              <w:top w:val="nil"/>
              <w:left w:val="single" w:sz="4" w:space="0" w:color="auto"/>
              <w:bottom w:val="nil"/>
              <w:right w:val="single" w:sz="4" w:space="0" w:color="auto"/>
            </w:tcBorders>
            <w:vAlign w:val="bottom"/>
          </w:tcPr>
          <w:p w14:paraId="52DDEE43" w14:textId="77777777" w:rsidR="00A8096B" w:rsidRPr="00E9174E" w:rsidRDefault="00A8096B" w:rsidP="00E9174E">
            <w:pPr>
              <w:keepNext/>
              <w:keepLines/>
              <w:widowControl/>
              <w:contextualSpacing/>
              <w:rPr>
                <w:sz w:val="26"/>
                <w:szCs w:val="26"/>
              </w:rPr>
            </w:pPr>
          </w:p>
        </w:tc>
        <w:tc>
          <w:tcPr>
            <w:tcW w:w="1710" w:type="dxa"/>
            <w:tcBorders>
              <w:top w:val="nil"/>
              <w:left w:val="single" w:sz="4" w:space="0" w:color="auto"/>
              <w:bottom w:val="nil"/>
              <w:right w:val="single" w:sz="4" w:space="0" w:color="auto"/>
            </w:tcBorders>
            <w:vAlign w:val="bottom"/>
          </w:tcPr>
          <w:p w14:paraId="270A4F04" w14:textId="77777777" w:rsidR="00A8096B" w:rsidRPr="00E9174E" w:rsidRDefault="00A8096B" w:rsidP="00E9174E">
            <w:pPr>
              <w:keepNext/>
              <w:keepLines/>
              <w:widowControl/>
              <w:contextualSpacing/>
              <w:rPr>
                <w:sz w:val="26"/>
                <w:szCs w:val="26"/>
              </w:rPr>
            </w:pPr>
          </w:p>
        </w:tc>
        <w:tc>
          <w:tcPr>
            <w:tcW w:w="1463" w:type="dxa"/>
            <w:tcBorders>
              <w:top w:val="nil"/>
              <w:left w:val="single" w:sz="4" w:space="0" w:color="auto"/>
              <w:bottom w:val="nil"/>
              <w:right w:val="single" w:sz="4" w:space="0" w:color="auto"/>
            </w:tcBorders>
            <w:vAlign w:val="bottom"/>
          </w:tcPr>
          <w:p w14:paraId="51861BA7" w14:textId="77777777" w:rsidR="00A8096B" w:rsidRPr="00E9174E" w:rsidRDefault="00A8096B" w:rsidP="00E9174E">
            <w:pPr>
              <w:keepNext/>
              <w:keepLines/>
              <w:widowControl/>
              <w:contextualSpacing/>
              <w:jc w:val="center"/>
              <w:rPr>
                <w:sz w:val="26"/>
                <w:szCs w:val="26"/>
              </w:rPr>
            </w:pPr>
          </w:p>
        </w:tc>
      </w:tr>
      <w:tr w:rsidR="00A8096B" w:rsidRPr="00E9174E" w14:paraId="63D9D53D" w14:textId="77777777" w:rsidTr="00CC66FD">
        <w:trPr>
          <w:trHeight w:val="450"/>
        </w:trPr>
        <w:tc>
          <w:tcPr>
            <w:tcW w:w="1800" w:type="dxa"/>
            <w:tcBorders>
              <w:top w:val="nil"/>
              <w:left w:val="single" w:sz="4" w:space="0" w:color="auto"/>
              <w:bottom w:val="nil"/>
              <w:right w:val="single" w:sz="4" w:space="0" w:color="auto"/>
            </w:tcBorders>
            <w:vAlign w:val="bottom"/>
          </w:tcPr>
          <w:p w14:paraId="40544049" w14:textId="77777777" w:rsidR="00A8096B" w:rsidRPr="00E9174E" w:rsidRDefault="00A8096B" w:rsidP="00E9174E">
            <w:pPr>
              <w:keepNext/>
              <w:keepLines/>
              <w:widowControl/>
              <w:contextualSpacing/>
              <w:rPr>
                <w:sz w:val="26"/>
                <w:szCs w:val="26"/>
              </w:rPr>
            </w:pPr>
            <w:r w:rsidRPr="00E9174E">
              <w:rPr>
                <w:sz w:val="26"/>
                <w:szCs w:val="26"/>
              </w:rPr>
              <w:t>SGSS1/SCD1/SGDS1</w:t>
            </w:r>
          </w:p>
        </w:tc>
        <w:tc>
          <w:tcPr>
            <w:tcW w:w="1800" w:type="dxa"/>
            <w:tcBorders>
              <w:top w:val="nil"/>
              <w:left w:val="single" w:sz="4" w:space="0" w:color="auto"/>
              <w:bottom w:val="nil"/>
              <w:right w:val="single" w:sz="4" w:space="0" w:color="auto"/>
            </w:tcBorders>
            <w:vAlign w:val="bottom"/>
          </w:tcPr>
          <w:p w14:paraId="7B331645" w14:textId="77777777" w:rsidR="00A8096B" w:rsidRPr="00E9174E" w:rsidRDefault="00A8096B" w:rsidP="00E9174E">
            <w:pPr>
              <w:keepNext/>
              <w:keepLines/>
              <w:widowControl/>
              <w:contextualSpacing/>
              <w:rPr>
                <w:sz w:val="26"/>
                <w:szCs w:val="26"/>
              </w:rPr>
            </w:pPr>
            <w:r w:rsidRPr="00E9174E">
              <w:rPr>
                <w:sz w:val="26"/>
                <w:szCs w:val="26"/>
              </w:rPr>
              <w:t>$33,641,932</w:t>
            </w:r>
          </w:p>
        </w:tc>
        <w:tc>
          <w:tcPr>
            <w:tcW w:w="1980" w:type="dxa"/>
            <w:tcBorders>
              <w:top w:val="nil"/>
              <w:left w:val="single" w:sz="4" w:space="0" w:color="auto"/>
              <w:bottom w:val="nil"/>
              <w:right w:val="single" w:sz="4" w:space="0" w:color="auto"/>
            </w:tcBorders>
            <w:vAlign w:val="bottom"/>
          </w:tcPr>
          <w:p w14:paraId="71EA4887" w14:textId="77777777" w:rsidR="00A8096B" w:rsidRPr="00E9174E" w:rsidRDefault="00A8096B" w:rsidP="00E9174E">
            <w:pPr>
              <w:keepNext/>
              <w:keepLines/>
              <w:widowControl/>
              <w:contextualSpacing/>
              <w:rPr>
                <w:sz w:val="26"/>
                <w:szCs w:val="26"/>
              </w:rPr>
            </w:pPr>
            <w:r w:rsidRPr="00E9174E">
              <w:rPr>
                <w:sz w:val="26"/>
                <w:szCs w:val="26"/>
              </w:rPr>
              <w:t>$42,257,254</w:t>
            </w:r>
          </w:p>
        </w:tc>
        <w:tc>
          <w:tcPr>
            <w:tcW w:w="1710" w:type="dxa"/>
            <w:tcBorders>
              <w:top w:val="nil"/>
              <w:left w:val="single" w:sz="4" w:space="0" w:color="auto"/>
              <w:bottom w:val="nil"/>
              <w:right w:val="single" w:sz="4" w:space="0" w:color="auto"/>
            </w:tcBorders>
            <w:vAlign w:val="bottom"/>
          </w:tcPr>
          <w:p w14:paraId="43ED5FCC" w14:textId="77777777" w:rsidR="00A8096B" w:rsidRPr="00E9174E" w:rsidRDefault="00A8096B" w:rsidP="00E9174E">
            <w:pPr>
              <w:keepNext/>
              <w:keepLines/>
              <w:widowControl/>
              <w:contextualSpacing/>
              <w:rPr>
                <w:sz w:val="26"/>
                <w:szCs w:val="26"/>
              </w:rPr>
            </w:pPr>
            <w:r w:rsidRPr="00E9174E">
              <w:rPr>
                <w:sz w:val="26"/>
                <w:szCs w:val="26"/>
              </w:rPr>
              <w:t>$8,615,322</w:t>
            </w:r>
          </w:p>
        </w:tc>
        <w:tc>
          <w:tcPr>
            <w:tcW w:w="1463" w:type="dxa"/>
            <w:tcBorders>
              <w:top w:val="nil"/>
              <w:left w:val="single" w:sz="4" w:space="0" w:color="auto"/>
              <w:bottom w:val="nil"/>
              <w:right w:val="single" w:sz="4" w:space="0" w:color="auto"/>
            </w:tcBorders>
            <w:vAlign w:val="bottom"/>
          </w:tcPr>
          <w:p w14:paraId="0480FF96" w14:textId="77777777" w:rsidR="00A8096B" w:rsidRPr="00E9174E" w:rsidRDefault="00A8096B" w:rsidP="00E9174E">
            <w:pPr>
              <w:keepNext/>
              <w:keepLines/>
              <w:widowControl/>
              <w:contextualSpacing/>
              <w:jc w:val="center"/>
              <w:rPr>
                <w:sz w:val="26"/>
                <w:szCs w:val="26"/>
              </w:rPr>
            </w:pPr>
            <w:r w:rsidRPr="00E9174E">
              <w:rPr>
                <w:sz w:val="26"/>
                <w:szCs w:val="26"/>
              </w:rPr>
              <w:t>25.6%</w:t>
            </w:r>
          </w:p>
        </w:tc>
      </w:tr>
      <w:tr w:rsidR="00A8096B" w:rsidRPr="00E9174E" w14:paraId="7E58B944" w14:textId="77777777" w:rsidTr="00CC66FD">
        <w:trPr>
          <w:trHeight w:val="198"/>
        </w:trPr>
        <w:tc>
          <w:tcPr>
            <w:tcW w:w="1800" w:type="dxa"/>
            <w:tcBorders>
              <w:top w:val="nil"/>
              <w:left w:val="single" w:sz="4" w:space="0" w:color="auto"/>
              <w:bottom w:val="nil"/>
              <w:right w:val="single" w:sz="4" w:space="0" w:color="auto"/>
            </w:tcBorders>
            <w:vAlign w:val="bottom"/>
          </w:tcPr>
          <w:p w14:paraId="36D66465" w14:textId="77777777" w:rsidR="00A8096B" w:rsidRPr="00E9174E" w:rsidRDefault="00A8096B" w:rsidP="00E9174E">
            <w:pPr>
              <w:keepNext/>
              <w:keepLines/>
              <w:widowControl/>
              <w:contextualSpacing/>
              <w:rPr>
                <w:sz w:val="26"/>
                <w:szCs w:val="26"/>
              </w:rPr>
            </w:pPr>
          </w:p>
        </w:tc>
        <w:tc>
          <w:tcPr>
            <w:tcW w:w="1800" w:type="dxa"/>
            <w:tcBorders>
              <w:top w:val="nil"/>
              <w:left w:val="single" w:sz="4" w:space="0" w:color="auto"/>
              <w:bottom w:val="nil"/>
              <w:right w:val="single" w:sz="4" w:space="0" w:color="auto"/>
            </w:tcBorders>
            <w:vAlign w:val="bottom"/>
          </w:tcPr>
          <w:p w14:paraId="59D64B5C" w14:textId="77777777" w:rsidR="00A8096B" w:rsidRPr="00E9174E" w:rsidRDefault="00A8096B" w:rsidP="00E9174E">
            <w:pPr>
              <w:keepNext/>
              <w:keepLines/>
              <w:widowControl/>
              <w:contextualSpacing/>
              <w:rPr>
                <w:sz w:val="26"/>
                <w:szCs w:val="26"/>
              </w:rPr>
            </w:pPr>
          </w:p>
        </w:tc>
        <w:tc>
          <w:tcPr>
            <w:tcW w:w="1980" w:type="dxa"/>
            <w:tcBorders>
              <w:top w:val="nil"/>
              <w:left w:val="single" w:sz="4" w:space="0" w:color="auto"/>
              <w:bottom w:val="nil"/>
              <w:right w:val="single" w:sz="4" w:space="0" w:color="auto"/>
            </w:tcBorders>
            <w:vAlign w:val="bottom"/>
          </w:tcPr>
          <w:p w14:paraId="0D15EC01" w14:textId="77777777" w:rsidR="00A8096B" w:rsidRPr="00E9174E" w:rsidRDefault="00A8096B" w:rsidP="00E9174E">
            <w:pPr>
              <w:keepNext/>
              <w:keepLines/>
              <w:widowControl/>
              <w:contextualSpacing/>
              <w:rPr>
                <w:sz w:val="26"/>
                <w:szCs w:val="26"/>
              </w:rPr>
            </w:pPr>
          </w:p>
        </w:tc>
        <w:tc>
          <w:tcPr>
            <w:tcW w:w="1710" w:type="dxa"/>
            <w:tcBorders>
              <w:top w:val="nil"/>
              <w:left w:val="single" w:sz="4" w:space="0" w:color="auto"/>
              <w:bottom w:val="nil"/>
              <w:right w:val="single" w:sz="4" w:space="0" w:color="auto"/>
            </w:tcBorders>
            <w:vAlign w:val="bottom"/>
          </w:tcPr>
          <w:p w14:paraId="1D0BA534" w14:textId="77777777" w:rsidR="00A8096B" w:rsidRPr="00E9174E" w:rsidRDefault="00A8096B" w:rsidP="00E9174E">
            <w:pPr>
              <w:keepNext/>
              <w:keepLines/>
              <w:widowControl/>
              <w:contextualSpacing/>
              <w:rPr>
                <w:sz w:val="26"/>
                <w:szCs w:val="26"/>
              </w:rPr>
            </w:pPr>
          </w:p>
        </w:tc>
        <w:tc>
          <w:tcPr>
            <w:tcW w:w="1463" w:type="dxa"/>
            <w:tcBorders>
              <w:top w:val="nil"/>
              <w:left w:val="single" w:sz="4" w:space="0" w:color="auto"/>
              <w:bottom w:val="nil"/>
              <w:right w:val="single" w:sz="4" w:space="0" w:color="auto"/>
            </w:tcBorders>
            <w:vAlign w:val="bottom"/>
          </w:tcPr>
          <w:p w14:paraId="62CD7044" w14:textId="77777777" w:rsidR="00A8096B" w:rsidRPr="00E9174E" w:rsidRDefault="00A8096B" w:rsidP="00E9174E">
            <w:pPr>
              <w:keepNext/>
              <w:keepLines/>
              <w:widowControl/>
              <w:contextualSpacing/>
              <w:jc w:val="center"/>
              <w:rPr>
                <w:sz w:val="26"/>
                <w:szCs w:val="26"/>
              </w:rPr>
            </w:pPr>
          </w:p>
        </w:tc>
      </w:tr>
      <w:tr w:rsidR="00A8096B" w:rsidRPr="00E9174E" w14:paraId="22854491" w14:textId="77777777" w:rsidTr="00CC66FD">
        <w:trPr>
          <w:trHeight w:val="540"/>
        </w:trPr>
        <w:tc>
          <w:tcPr>
            <w:tcW w:w="1800" w:type="dxa"/>
            <w:tcBorders>
              <w:top w:val="nil"/>
              <w:left w:val="single" w:sz="4" w:space="0" w:color="auto"/>
              <w:bottom w:val="nil"/>
              <w:right w:val="single" w:sz="4" w:space="0" w:color="auto"/>
            </w:tcBorders>
            <w:vAlign w:val="bottom"/>
          </w:tcPr>
          <w:p w14:paraId="2CC85A5E" w14:textId="77777777" w:rsidR="00A8096B" w:rsidRPr="00E9174E" w:rsidRDefault="00A8096B" w:rsidP="00E9174E">
            <w:pPr>
              <w:keepNext/>
              <w:keepLines/>
              <w:widowControl/>
              <w:contextualSpacing/>
              <w:rPr>
                <w:sz w:val="26"/>
                <w:szCs w:val="26"/>
              </w:rPr>
            </w:pPr>
            <w:r w:rsidRPr="00E9174E">
              <w:rPr>
                <w:sz w:val="26"/>
                <w:szCs w:val="26"/>
              </w:rPr>
              <w:t>SGSS2/SCD2/SGDS2</w:t>
            </w:r>
          </w:p>
        </w:tc>
        <w:tc>
          <w:tcPr>
            <w:tcW w:w="1800" w:type="dxa"/>
            <w:tcBorders>
              <w:top w:val="nil"/>
              <w:left w:val="single" w:sz="4" w:space="0" w:color="auto"/>
              <w:bottom w:val="nil"/>
              <w:right w:val="single" w:sz="4" w:space="0" w:color="auto"/>
            </w:tcBorders>
            <w:vAlign w:val="bottom"/>
          </w:tcPr>
          <w:p w14:paraId="1D3F9AF2" w14:textId="77777777" w:rsidR="00A8096B" w:rsidRPr="00E9174E" w:rsidRDefault="00A8096B" w:rsidP="00E9174E">
            <w:pPr>
              <w:keepNext/>
              <w:keepLines/>
              <w:widowControl/>
              <w:contextualSpacing/>
              <w:rPr>
                <w:sz w:val="26"/>
                <w:szCs w:val="26"/>
              </w:rPr>
            </w:pPr>
            <w:r w:rsidRPr="00E9174E">
              <w:rPr>
                <w:sz w:val="26"/>
                <w:szCs w:val="26"/>
              </w:rPr>
              <w:t>$38,608,596</w:t>
            </w:r>
          </w:p>
        </w:tc>
        <w:tc>
          <w:tcPr>
            <w:tcW w:w="1980" w:type="dxa"/>
            <w:tcBorders>
              <w:top w:val="nil"/>
              <w:left w:val="single" w:sz="4" w:space="0" w:color="auto"/>
              <w:bottom w:val="nil"/>
              <w:right w:val="single" w:sz="4" w:space="0" w:color="auto"/>
            </w:tcBorders>
            <w:vAlign w:val="bottom"/>
          </w:tcPr>
          <w:p w14:paraId="2C2804BD" w14:textId="77777777" w:rsidR="00A8096B" w:rsidRPr="00E9174E" w:rsidRDefault="00A8096B" w:rsidP="00E9174E">
            <w:pPr>
              <w:keepNext/>
              <w:keepLines/>
              <w:widowControl/>
              <w:contextualSpacing/>
              <w:rPr>
                <w:sz w:val="26"/>
                <w:szCs w:val="26"/>
              </w:rPr>
            </w:pPr>
            <w:r w:rsidRPr="00E9174E">
              <w:rPr>
                <w:sz w:val="26"/>
                <w:szCs w:val="26"/>
              </w:rPr>
              <w:t>$48,498,186</w:t>
            </w:r>
          </w:p>
        </w:tc>
        <w:tc>
          <w:tcPr>
            <w:tcW w:w="1710" w:type="dxa"/>
            <w:tcBorders>
              <w:top w:val="nil"/>
              <w:left w:val="single" w:sz="4" w:space="0" w:color="auto"/>
              <w:bottom w:val="nil"/>
              <w:right w:val="single" w:sz="4" w:space="0" w:color="auto"/>
            </w:tcBorders>
            <w:vAlign w:val="bottom"/>
          </w:tcPr>
          <w:p w14:paraId="164AA3CD" w14:textId="77777777" w:rsidR="00A8096B" w:rsidRPr="00E9174E" w:rsidRDefault="00A8096B" w:rsidP="00E9174E">
            <w:pPr>
              <w:keepNext/>
              <w:keepLines/>
              <w:widowControl/>
              <w:contextualSpacing/>
              <w:rPr>
                <w:sz w:val="26"/>
                <w:szCs w:val="26"/>
              </w:rPr>
            </w:pPr>
            <w:r w:rsidRPr="00E9174E">
              <w:rPr>
                <w:sz w:val="26"/>
                <w:szCs w:val="26"/>
              </w:rPr>
              <w:t>$9,889,590</w:t>
            </w:r>
          </w:p>
        </w:tc>
        <w:tc>
          <w:tcPr>
            <w:tcW w:w="1463" w:type="dxa"/>
            <w:tcBorders>
              <w:top w:val="nil"/>
              <w:left w:val="single" w:sz="4" w:space="0" w:color="auto"/>
              <w:bottom w:val="nil"/>
              <w:right w:val="single" w:sz="4" w:space="0" w:color="auto"/>
            </w:tcBorders>
            <w:vAlign w:val="bottom"/>
          </w:tcPr>
          <w:p w14:paraId="487A9A7B" w14:textId="77777777" w:rsidR="00A8096B" w:rsidRPr="00E9174E" w:rsidRDefault="00A8096B" w:rsidP="00E9174E">
            <w:pPr>
              <w:keepNext/>
              <w:keepLines/>
              <w:widowControl/>
              <w:contextualSpacing/>
              <w:jc w:val="center"/>
              <w:rPr>
                <w:sz w:val="26"/>
                <w:szCs w:val="26"/>
              </w:rPr>
            </w:pPr>
            <w:r w:rsidRPr="00E9174E">
              <w:rPr>
                <w:sz w:val="26"/>
                <w:szCs w:val="26"/>
              </w:rPr>
              <w:t>25.6%</w:t>
            </w:r>
          </w:p>
        </w:tc>
      </w:tr>
      <w:tr w:rsidR="00A8096B" w:rsidRPr="00E9174E" w14:paraId="6A29843B" w14:textId="77777777" w:rsidTr="00CC66FD">
        <w:trPr>
          <w:trHeight w:val="162"/>
        </w:trPr>
        <w:tc>
          <w:tcPr>
            <w:tcW w:w="1800" w:type="dxa"/>
            <w:tcBorders>
              <w:top w:val="nil"/>
              <w:left w:val="single" w:sz="4" w:space="0" w:color="auto"/>
              <w:bottom w:val="nil"/>
              <w:right w:val="single" w:sz="4" w:space="0" w:color="auto"/>
            </w:tcBorders>
            <w:vAlign w:val="bottom"/>
          </w:tcPr>
          <w:p w14:paraId="6DA42705" w14:textId="77777777" w:rsidR="00A8096B" w:rsidRPr="00E9174E" w:rsidRDefault="00A8096B" w:rsidP="00E9174E">
            <w:pPr>
              <w:keepNext/>
              <w:keepLines/>
              <w:widowControl/>
              <w:contextualSpacing/>
              <w:rPr>
                <w:sz w:val="26"/>
                <w:szCs w:val="26"/>
              </w:rPr>
            </w:pPr>
          </w:p>
        </w:tc>
        <w:tc>
          <w:tcPr>
            <w:tcW w:w="1800" w:type="dxa"/>
            <w:tcBorders>
              <w:top w:val="nil"/>
              <w:left w:val="single" w:sz="4" w:space="0" w:color="auto"/>
              <w:bottom w:val="nil"/>
              <w:right w:val="single" w:sz="4" w:space="0" w:color="auto"/>
            </w:tcBorders>
            <w:vAlign w:val="bottom"/>
          </w:tcPr>
          <w:p w14:paraId="4D79DB6F" w14:textId="77777777" w:rsidR="00A8096B" w:rsidRPr="00E9174E" w:rsidRDefault="00A8096B" w:rsidP="00E9174E">
            <w:pPr>
              <w:keepNext/>
              <w:keepLines/>
              <w:widowControl/>
              <w:contextualSpacing/>
              <w:rPr>
                <w:sz w:val="26"/>
                <w:szCs w:val="26"/>
              </w:rPr>
            </w:pPr>
          </w:p>
        </w:tc>
        <w:tc>
          <w:tcPr>
            <w:tcW w:w="1980" w:type="dxa"/>
            <w:tcBorders>
              <w:top w:val="nil"/>
              <w:left w:val="single" w:sz="4" w:space="0" w:color="auto"/>
              <w:bottom w:val="nil"/>
              <w:right w:val="single" w:sz="4" w:space="0" w:color="auto"/>
            </w:tcBorders>
            <w:vAlign w:val="bottom"/>
          </w:tcPr>
          <w:p w14:paraId="56E40B76" w14:textId="77777777" w:rsidR="00A8096B" w:rsidRPr="00E9174E" w:rsidRDefault="00A8096B" w:rsidP="00E9174E">
            <w:pPr>
              <w:keepNext/>
              <w:keepLines/>
              <w:widowControl/>
              <w:contextualSpacing/>
              <w:rPr>
                <w:sz w:val="26"/>
                <w:szCs w:val="26"/>
              </w:rPr>
            </w:pPr>
          </w:p>
        </w:tc>
        <w:tc>
          <w:tcPr>
            <w:tcW w:w="1710" w:type="dxa"/>
            <w:tcBorders>
              <w:top w:val="nil"/>
              <w:left w:val="single" w:sz="4" w:space="0" w:color="auto"/>
              <w:bottom w:val="nil"/>
              <w:right w:val="single" w:sz="4" w:space="0" w:color="auto"/>
            </w:tcBorders>
            <w:vAlign w:val="bottom"/>
          </w:tcPr>
          <w:p w14:paraId="05989B6B" w14:textId="77777777" w:rsidR="00A8096B" w:rsidRPr="00E9174E" w:rsidRDefault="00A8096B" w:rsidP="00E9174E">
            <w:pPr>
              <w:keepNext/>
              <w:keepLines/>
              <w:widowControl/>
              <w:contextualSpacing/>
              <w:rPr>
                <w:sz w:val="26"/>
                <w:szCs w:val="26"/>
              </w:rPr>
            </w:pPr>
          </w:p>
        </w:tc>
        <w:tc>
          <w:tcPr>
            <w:tcW w:w="1463" w:type="dxa"/>
            <w:tcBorders>
              <w:top w:val="nil"/>
              <w:left w:val="single" w:sz="4" w:space="0" w:color="auto"/>
              <w:bottom w:val="nil"/>
              <w:right w:val="single" w:sz="4" w:space="0" w:color="auto"/>
            </w:tcBorders>
            <w:vAlign w:val="bottom"/>
          </w:tcPr>
          <w:p w14:paraId="4A8EFA6A" w14:textId="77777777" w:rsidR="00A8096B" w:rsidRPr="00E9174E" w:rsidRDefault="00A8096B" w:rsidP="00E9174E">
            <w:pPr>
              <w:keepNext/>
              <w:keepLines/>
              <w:widowControl/>
              <w:contextualSpacing/>
              <w:jc w:val="center"/>
              <w:rPr>
                <w:sz w:val="26"/>
                <w:szCs w:val="26"/>
              </w:rPr>
            </w:pPr>
          </w:p>
        </w:tc>
      </w:tr>
      <w:tr w:rsidR="00A8096B" w:rsidRPr="00E9174E" w14:paraId="45D5EA16" w14:textId="77777777" w:rsidTr="00CC66FD">
        <w:trPr>
          <w:trHeight w:val="270"/>
        </w:trPr>
        <w:tc>
          <w:tcPr>
            <w:tcW w:w="1800" w:type="dxa"/>
            <w:tcBorders>
              <w:top w:val="nil"/>
              <w:left w:val="single" w:sz="4" w:space="0" w:color="auto"/>
              <w:bottom w:val="nil"/>
              <w:right w:val="single" w:sz="4" w:space="0" w:color="auto"/>
            </w:tcBorders>
            <w:vAlign w:val="bottom"/>
          </w:tcPr>
          <w:p w14:paraId="55C2AF76" w14:textId="77777777" w:rsidR="00A8096B" w:rsidRPr="00E9174E" w:rsidRDefault="00A8096B" w:rsidP="00E9174E">
            <w:pPr>
              <w:keepNext/>
              <w:keepLines/>
              <w:widowControl/>
              <w:contextualSpacing/>
              <w:rPr>
                <w:sz w:val="26"/>
                <w:szCs w:val="26"/>
              </w:rPr>
            </w:pPr>
            <w:r w:rsidRPr="00E9174E">
              <w:rPr>
                <w:sz w:val="26"/>
                <w:szCs w:val="26"/>
              </w:rPr>
              <w:t>SDS/LGSS</w:t>
            </w:r>
          </w:p>
        </w:tc>
        <w:tc>
          <w:tcPr>
            <w:tcW w:w="1800" w:type="dxa"/>
            <w:tcBorders>
              <w:top w:val="nil"/>
              <w:left w:val="single" w:sz="4" w:space="0" w:color="auto"/>
              <w:bottom w:val="nil"/>
              <w:right w:val="single" w:sz="4" w:space="0" w:color="auto"/>
            </w:tcBorders>
            <w:vAlign w:val="bottom"/>
          </w:tcPr>
          <w:p w14:paraId="28D22E84" w14:textId="77777777" w:rsidR="00A8096B" w:rsidRPr="00E9174E" w:rsidRDefault="00A8096B" w:rsidP="00E9174E">
            <w:pPr>
              <w:keepNext/>
              <w:keepLines/>
              <w:widowControl/>
              <w:contextualSpacing/>
              <w:rPr>
                <w:sz w:val="26"/>
                <w:szCs w:val="26"/>
              </w:rPr>
            </w:pPr>
            <w:r w:rsidRPr="00E9174E">
              <w:rPr>
                <w:sz w:val="26"/>
                <w:szCs w:val="26"/>
              </w:rPr>
              <w:t>$21,768,524</w:t>
            </w:r>
          </w:p>
        </w:tc>
        <w:tc>
          <w:tcPr>
            <w:tcW w:w="1980" w:type="dxa"/>
            <w:tcBorders>
              <w:top w:val="nil"/>
              <w:left w:val="single" w:sz="4" w:space="0" w:color="auto"/>
              <w:bottom w:val="nil"/>
              <w:right w:val="single" w:sz="4" w:space="0" w:color="auto"/>
            </w:tcBorders>
            <w:vAlign w:val="bottom"/>
          </w:tcPr>
          <w:p w14:paraId="224F3FF8" w14:textId="77777777" w:rsidR="00A8096B" w:rsidRPr="00E9174E" w:rsidRDefault="00A8096B" w:rsidP="00E9174E">
            <w:pPr>
              <w:keepNext/>
              <w:keepLines/>
              <w:widowControl/>
              <w:contextualSpacing/>
              <w:rPr>
                <w:sz w:val="26"/>
                <w:szCs w:val="26"/>
              </w:rPr>
            </w:pPr>
            <w:r w:rsidRPr="00E9174E">
              <w:rPr>
                <w:sz w:val="26"/>
                <w:szCs w:val="26"/>
              </w:rPr>
              <w:t>$27,490,845</w:t>
            </w:r>
          </w:p>
        </w:tc>
        <w:tc>
          <w:tcPr>
            <w:tcW w:w="1710" w:type="dxa"/>
            <w:tcBorders>
              <w:top w:val="nil"/>
              <w:left w:val="single" w:sz="4" w:space="0" w:color="auto"/>
              <w:bottom w:val="nil"/>
              <w:right w:val="single" w:sz="4" w:space="0" w:color="auto"/>
            </w:tcBorders>
            <w:vAlign w:val="bottom"/>
          </w:tcPr>
          <w:p w14:paraId="5555C18B" w14:textId="77777777" w:rsidR="00A8096B" w:rsidRPr="00E9174E" w:rsidRDefault="00A8096B" w:rsidP="00E9174E">
            <w:pPr>
              <w:keepNext/>
              <w:keepLines/>
              <w:widowControl/>
              <w:contextualSpacing/>
              <w:rPr>
                <w:sz w:val="26"/>
                <w:szCs w:val="26"/>
              </w:rPr>
            </w:pPr>
            <w:r w:rsidRPr="00E9174E">
              <w:rPr>
                <w:sz w:val="26"/>
                <w:szCs w:val="26"/>
              </w:rPr>
              <w:t>$5,722,321</w:t>
            </w:r>
          </w:p>
        </w:tc>
        <w:tc>
          <w:tcPr>
            <w:tcW w:w="1463" w:type="dxa"/>
            <w:tcBorders>
              <w:top w:val="nil"/>
              <w:left w:val="single" w:sz="4" w:space="0" w:color="auto"/>
              <w:bottom w:val="nil"/>
              <w:right w:val="single" w:sz="4" w:space="0" w:color="auto"/>
            </w:tcBorders>
            <w:vAlign w:val="bottom"/>
          </w:tcPr>
          <w:p w14:paraId="55EED107" w14:textId="77777777" w:rsidR="00A8096B" w:rsidRPr="00E9174E" w:rsidRDefault="00A8096B" w:rsidP="00E9174E">
            <w:pPr>
              <w:keepNext/>
              <w:keepLines/>
              <w:widowControl/>
              <w:contextualSpacing/>
              <w:jc w:val="center"/>
              <w:rPr>
                <w:sz w:val="26"/>
                <w:szCs w:val="26"/>
              </w:rPr>
            </w:pPr>
            <w:r w:rsidRPr="00E9174E">
              <w:rPr>
                <w:sz w:val="26"/>
                <w:szCs w:val="26"/>
              </w:rPr>
              <w:t>26.3%</w:t>
            </w:r>
          </w:p>
        </w:tc>
      </w:tr>
      <w:tr w:rsidR="00A8096B" w:rsidRPr="00E9174E" w14:paraId="50F37B5B" w14:textId="77777777" w:rsidTr="00CC66FD">
        <w:trPr>
          <w:trHeight w:val="135"/>
        </w:trPr>
        <w:tc>
          <w:tcPr>
            <w:tcW w:w="1800" w:type="dxa"/>
            <w:tcBorders>
              <w:top w:val="nil"/>
              <w:left w:val="single" w:sz="4" w:space="0" w:color="auto"/>
              <w:bottom w:val="nil"/>
              <w:right w:val="single" w:sz="4" w:space="0" w:color="auto"/>
            </w:tcBorders>
            <w:vAlign w:val="bottom"/>
          </w:tcPr>
          <w:p w14:paraId="3A822117" w14:textId="77777777" w:rsidR="00A8096B" w:rsidRPr="00E9174E" w:rsidRDefault="00A8096B" w:rsidP="00E9174E">
            <w:pPr>
              <w:keepNext/>
              <w:keepLines/>
              <w:widowControl/>
              <w:contextualSpacing/>
              <w:rPr>
                <w:sz w:val="26"/>
                <w:szCs w:val="26"/>
              </w:rPr>
            </w:pPr>
          </w:p>
        </w:tc>
        <w:tc>
          <w:tcPr>
            <w:tcW w:w="1800" w:type="dxa"/>
            <w:tcBorders>
              <w:top w:val="nil"/>
              <w:left w:val="single" w:sz="4" w:space="0" w:color="auto"/>
              <w:bottom w:val="nil"/>
              <w:right w:val="single" w:sz="4" w:space="0" w:color="auto"/>
            </w:tcBorders>
            <w:vAlign w:val="bottom"/>
          </w:tcPr>
          <w:p w14:paraId="2D3C33B1" w14:textId="77777777" w:rsidR="00A8096B" w:rsidRPr="00E9174E" w:rsidRDefault="00A8096B" w:rsidP="00E9174E">
            <w:pPr>
              <w:keepNext/>
              <w:keepLines/>
              <w:widowControl/>
              <w:contextualSpacing/>
              <w:rPr>
                <w:sz w:val="26"/>
                <w:szCs w:val="26"/>
              </w:rPr>
            </w:pPr>
          </w:p>
        </w:tc>
        <w:tc>
          <w:tcPr>
            <w:tcW w:w="1980" w:type="dxa"/>
            <w:tcBorders>
              <w:top w:val="nil"/>
              <w:left w:val="single" w:sz="4" w:space="0" w:color="auto"/>
              <w:bottom w:val="nil"/>
              <w:right w:val="single" w:sz="4" w:space="0" w:color="auto"/>
            </w:tcBorders>
            <w:vAlign w:val="bottom"/>
          </w:tcPr>
          <w:p w14:paraId="7997D9F3" w14:textId="77777777" w:rsidR="00A8096B" w:rsidRPr="00E9174E" w:rsidRDefault="00A8096B" w:rsidP="00E9174E">
            <w:pPr>
              <w:keepNext/>
              <w:keepLines/>
              <w:widowControl/>
              <w:contextualSpacing/>
              <w:rPr>
                <w:sz w:val="26"/>
                <w:szCs w:val="26"/>
              </w:rPr>
            </w:pPr>
          </w:p>
        </w:tc>
        <w:tc>
          <w:tcPr>
            <w:tcW w:w="1710" w:type="dxa"/>
            <w:tcBorders>
              <w:top w:val="nil"/>
              <w:left w:val="single" w:sz="4" w:space="0" w:color="auto"/>
              <w:bottom w:val="nil"/>
              <w:right w:val="single" w:sz="4" w:space="0" w:color="auto"/>
            </w:tcBorders>
            <w:vAlign w:val="bottom"/>
          </w:tcPr>
          <w:p w14:paraId="51913883" w14:textId="77777777" w:rsidR="00A8096B" w:rsidRPr="00E9174E" w:rsidRDefault="00A8096B" w:rsidP="00E9174E">
            <w:pPr>
              <w:keepNext/>
              <w:keepLines/>
              <w:widowControl/>
              <w:contextualSpacing/>
              <w:rPr>
                <w:sz w:val="26"/>
                <w:szCs w:val="26"/>
              </w:rPr>
            </w:pPr>
          </w:p>
        </w:tc>
        <w:tc>
          <w:tcPr>
            <w:tcW w:w="1463" w:type="dxa"/>
            <w:tcBorders>
              <w:top w:val="nil"/>
              <w:left w:val="single" w:sz="4" w:space="0" w:color="auto"/>
              <w:bottom w:val="nil"/>
              <w:right w:val="single" w:sz="4" w:space="0" w:color="auto"/>
            </w:tcBorders>
            <w:vAlign w:val="bottom"/>
          </w:tcPr>
          <w:p w14:paraId="4B31CF88" w14:textId="77777777" w:rsidR="00A8096B" w:rsidRPr="00E9174E" w:rsidRDefault="00A8096B" w:rsidP="00E9174E">
            <w:pPr>
              <w:keepNext/>
              <w:keepLines/>
              <w:widowControl/>
              <w:contextualSpacing/>
              <w:jc w:val="center"/>
              <w:rPr>
                <w:sz w:val="26"/>
                <w:szCs w:val="26"/>
              </w:rPr>
            </w:pPr>
          </w:p>
        </w:tc>
      </w:tr>
      <w:tr w:rsidR="00A8096B" w:rsidRPr="00E9174E" w14:paraId="695CC177" w14:textId="77777777" w:rsidTr="00CC66FD">
        <w:trPr>
          <w:trHeight w:val="80"/>
        </w:trPr>
        <w:tc>
          <w:tcPr>
            <w:tcW w:w="1800" w:type="dxa"/>
            <w:tcBorders>
              <w:top w:val="nil"/>
              <w:left w:val="single" w:sz="4" w:space="0" w:color="auto"/>
              <w:bottom w:val="nil"/>
              <w:right w:val="single" w:sz="4" w:space="0" w:color="auto"/>
            </w:tcBorders>
            <w:vAlign w:val="bottom"/>
          </w:tcPr>
          <w:p w14:paraId="27D041EE" w14:textId="77777777" w:rsidR="00A8096B" w:rsidRPr="00E9174E" w:rsidRDefault="00A8096B" w:rsidP="00E9174E">
            <w:pPr>
              <w:keepNext/>
              <w:keepLines/>
              <w:widowControl/>
              <w:contextualSpacing/>
              <w:rPr>
                <w:sz w:val="26"/>
                <w:szCs w:val="26"/>
              </w:rPr>
            </w:pPr>
            <w:r w:rsidRPr="00E9174E">
              <w:rPr>
                <w:sz w:val="26"/>
                <w:szCs w:val="26"/>
              </w:rPr>
              <w:t>LDS/LGSS</w:t>
            </w:r>
          </w:p>
        </w:tc>
        <w:tc>
          <w:tcPr>
            <w:tcW w:w="1800" w:type="dxa"/>
            <w:tcBorders>
              <w:top w:val="nil"/>
              <w:left w:val="single" w:sz="4" w:space="0" w:color="auto"/>
              <w:bottom w:val="nil"/>
              <w:right w:val="single" w:sz="4" w:space="0" w:color="auto"/>
            </w:tcBorders>
            <w:vAlign w:val="bottom"/>
          </w:tcPr>
          <w:p w14:paraId="7B7E0234" w14:textId="77777777" w:rsidR="00A8096B" w:rsidRPr="00E9174E" w:rsidRDefault="00A8096B" w:rsidP="00E9174E">
            <w:pPr>
              <w:keepNext/>
              <w:keepLines/>
              <w:widowControl/>
              <w:contextualSpacing/>
              <w:rPr>
                <w:sz w:val="26"/>
                <w:szCs w:val="26"/>
              </w:rPr>
            </w:pPr>
            <w:r w:rsidRPr="00E9174E">
              <w:rPr>
                <w:sz w:val="26"/>
                <w:szCs w:val="26"/>
              </w:rPr>
              <w:t>$15,319,132</w:t>
            </w:r>
          </w:p>
        </w:tc>
        <w:tc>
          <w:tcPr>
            <w:tcW w:w="1980" w:type="dxa"/>
            <w:tcBorders>
              <w:top w:val="nil"/>
              <w:left w:val="single" w:sz="4" w:space="0" w:color="auto"/>
              <w:bottom w:val="nil"/>
              <w:right w:val="single" w:sz="4" w:space="0" w:color="auto"/>
            </w:tcBorders>
            <w:vAlign w:val="bottom"/>
          </w:tcPr>
          <w:p w14:paraId="2C276E51" w14:textId="77777777" w:rsidR="00A8096B" w:rsidRPr="00E9174E" w:rsidRDefault="00A8096B" w:rsidP="00E9174E">
            <w:pPr>
              <w:keepNext/>
              <w:keepLines/>
              <w:widowControl/>
              <w:contextualSpacing/>
              <w:rPr>
                <w:sz w:val="26"/>
                <w:szCs w:val="26"/>
              </w:rPr>
            </w:pPr>
            <w:r w:rsidRPr="00E9174E">
              <w:rPr>
                <w:sz w:val="26"/>
                <w:szCs w:val="26"/>
              </w:rPr>
              <w:t>$19,486,818</w:t>
            </w:r>
          </w:p>
        </w:tc>
        <w:tc>
          <w:tcPr>
            <w:tcW w:w="1710" w:type="dxa"/>
            <w:tcBorders>
              <w:top w:val="nil"/>
              <w:left w:val="single" w:sz="4" w:space="0" w:color="auto"/>
              <w:bottom w:val="nil"/>
              <w:right w:val="single" w:sz="4" w:space="0" w:color="auto"/>
            </w:tcBorders>
            <w:vAlign w:val="bottom"/>
          </w:tcPr>
          <w:p w14:paraId="7FBFE2C7" w14:textId="77777777" w:rsidR="00A8096B" w:rsidRPr="00E9174E" w:rsidRDefault="00A8096B" w:rsidP="00E9174E">
            <w:pPr>
              <w:keepNext/>
              <w:keepLines/>
              <w:widowControl/>
              <w:contextualSpacing/>
              <w:rPr>
                <w:sz w:val="26"/>
                <w:szCs w:val="26"/>
              </w:rPr>
            </w:pPr>
            <w:r w:rsidRPr="00E9174E">
              <w:rPr>
                <w:sz w:val="26"/>
                <w:szCs w:val="26"/>
              </w:rPr>
              <w:t>$4,167,686</w:t>
            </w:r>
          </w:p>
        </w:tc>
        <w:tc>
          <w:tcPr>
            <w:tcW w:w="1463" w:type="dxa"/>
            <w:tcBorders>
              <w:top w:val="nil"/>
              <w:left w:val="single" w:sz="4" w:space="0" w:color="auto"/>
              <w:bottom w:val="nil"/>
              <w:right w:val="single" w:sz="4" w:space="0" w:color="auto"/>
            </w:tcBorders>
            <w:vAlign w:val="bottom"/>
          </w:tcPr>
          <w:p w14:paraId="7F6BE5D3" w14:textId="77777777" w:rsidR="00A8096B" w:rsidRPr="00E9174E" w:rsidRDefault="00A8096B" w:rsidP="00E9174E">
            <w:pPr>
              <w:keepNext/>
              <w:keepLines/>
              <w:widowControl/>
              <w:contextualSpacing/>
              <w:jc w:val="center"/>
              <w:rPr>
                <w:sz w:val="26"/>
                <w:szCs w:val="26"/>
              </w:rPr>
            </w:pPr>
            <w:r w:rsidRPr="00E9174E">
              <w:rPr>
                <w:sz w:val="26"/>
                <w:szCs w:val="26"/>
              </w:rPr>
              <w:t>27.2%</w:t>
            </w:r>
          </w:p>
        </w:tc>
      </w:tr>
      <w:tr w:rsidR="00A8096B" w:rsidRPr="00E9174E" w14:paraId="586269F5" w14:textId="77777777" w:rsidTr="00CC66FD">
        <w:trPr>
          <w:trHeight w:val="207"/>
        </w:trPr>
        <w:tc>
          <w:tcPr>
            <w:tcW w:w="1800" w:type="dxa"/>
            <w:tcBorders>
              <w:top w:val="nil"/>
              <w:left w:val="single" w:sz="4" w:space="0" w:color="auto"/>
              <w:bottom w:val="nil"/>
              <w:right w:val="single" w:sz="4" w:space="0" w:color="auto"/>
            </w:tcBorders>
            <w:vAlign w:val="bottom"/>
          </w:tcPr>
          <w:p w14:paraId="2676EF23" w14:textId="77777777" w:rsidR="00A8096B" w:rsidRPr="00E9174E" w:rsidRDefault="00A8096B" w:rsidP="00E9174E">
            <w:pPr>
              <w:keepNext/>
              <w:keepLines/>
              <w:widowControl/>
              <w:contextualSpacing/>
              <w:rPr>
                <w:sz w:val="26"/>
                <w:szCs w:val="26"/>
              </w:rPr>
            </w:pPr>
          </w:p>
        </w:tc>
        <w:tc>
          <w:tcPr>
            <w:tcW w:w="1800" w:type="dxa"/>
            <w:tcBorders>
              <w:top w:val="nil"/>
              <w:left w:val="single" w:sz="4" w:space="0" w:color="auto"/>
              <w:bottom w:val="nil"/>
              <w:right w:val="single" w:sz="4" w:space="0" w:color="auto"/>
            </w:tcBorders>
            <w:vAlign w:val="bottom"/>
          </w:tcPr>
          <w:p w14:paraId="3BC0E3B0" w14:textId="77777777" w:rsidR="00A8096B" w:rsidRPr="00E9174E" w:rsidRDefault="00A8096B" w:rsidP="00E9174E">
            <w:pPr>
              <w:keepNext/>
              <w:keepLines/>
              <w:widowControl/>
              <w:contextualSpacing/>
              <w:rPr>
                <w:sz w:val="26"/>
                <w:szCs w:val="26"/>
              </w:rPr>
            </w:pPr>
          </w:p>
        </w:tc>
        <w:tc>
          <w:tcPr>
            <w:tcW w:w="1980" w:type="dxa"/>
            <w:tcBorders>
              <w:top w:val="nil"/>
              <w:left w:val="single" w:sz="4" w:space="0" w:color="auto"/>
              <w:bottom w:val="nil"/>
              <w:right w:val="single" w:sz="4" w:space="0" w:color="auto"/>
            </w:tcBorders>
            <w:vAlign w:val="bottom"/>
          </w:tcPr>
          <w:p w14:paraId="71EBA5D6" w14:textId="77777777" w:rsidR="00A8096B" w:rsidRPr="00E9174E" w:rsidRDefault="00A8096B" w:rsidP="00E9174E">
            <w:pPr>
              <w:keepNext/>
              <w:keepLines/>
              <w:widowControl/>
              <w:contextualSpacing/>
              <w:rPr>
                <w:sz w:val="26"/>
                <w:szCs w:val="26"/>
              </w:rPr>
            </w:pPr>
          </w:p>
        </w:tc>
        <w:tc>
          <w:tcPr>
            <w:tcW w:w="1710" w:type="dxa"/>
            <w:tcBorders>
              <w:top w:val="nil"/>
              <w:left w:val="single" w:sz="4" w:space="0" w:color="auto"/>
              <w:bottom w:val="nil"/>
              <w:right w:val="single" w:sz="4" w:space="0" w:color="auto"/>
            </w:tcBorders>
            <w:vAlign w:val="bottom"/>
          </w:tcPr>
          <w:p w14:paraId="7845E6D8" w14:textId="77777777" w:rsidR="00A8096B" w:rsidRPr="00E9174E" w:rsidRDefault="00A8096B" w:rsidP="00E9174E">
            <w:pPr>
              <w:keepNext/>
              <w:keepLines/>
              <w:widowControl/>
              <w:contextualSpacing/>
              <w:rPr>
                <w:sz w:val="26"/>
                <w:szCs w:val="26"/>
              </w:rPr>
            </w:pPr>
          </w:p>
        </w:tc>
        <w:tc>
          <w:tcPr>
            <w:tcW w:w="1463" w:type="dxa"/>
            <w:tcBorders>
              <w:top w:val="nil"/>
              <w:left w:val="single" w:sz="4" w:space="0" w:color="auto"/>
              <w:bottom w:val="nil"/>
              <w:right w:val="single" w:sz="4" w:space="0" w:color="auto"/>
            </w:tcBorders>
            <w:vAlign w:val="bottom"/>
          </w:tcPr>
          <w:p w14:paraId="2CB5E016" w14:textId="77777777" w:rsidR="00A8096B" w:rsidRPr="00E9174E" w:rsidRDefault="00A8096B" w:rsidP="00E9174E">
            <w:pPr>
              <w:keepNext/>
              <w:keepLines/>
              <w:widowControl/>
              <w:contextualSpacing/>
              <w:jc w:val="center"/>
              <w:rPr>
                <w:sz w:val="26"/>
                <w:szCs w:val="26"/>
              </w:rPr>
            </w:pPr>
          </w:p>
        </w:tc>
      </w:tr>
      <w:tr w:rsidR="00A8096B" w:rsidRPr="00E9174E" w14:paraId="43B0F097" w14:textId="77777777" w:rsidTr="00CC66FD">
        <w:trPr>
          <w:trHeight w:val="153"/>
        </w:trPr>
        <w:tc>
          <w:tcPr>
            <w:tcW w:w="1800" w:type="dxa"/>
            <w:tcBorders>
              <w:top w:val="nil"/>
              <w:left w:val="single" w:sz="4" w:space="0" w:color="auto"/>
              <w:bottom w:val="nil"/>
              <w:right w:val="single" w:sz="4" w:space="0" w:color="auto"/>
            </w:tcBorders>
            <w:vAlign w:val="bottom"/>
          </w:tcPr>
          <w:p w14:paraId="5287BE29" w14:textId="77777777" w:rsidR="00A8096B" w:rsidRPr="00E9174E" w:rsidRDefault="00A8096B" w:rsidP="00E9174E">
            <w:pPr>
              <w:keepNext/>
              <w:keepLines/>
              <w:widowControl/>
              <w:contextualSpacing/>
              <w:rPr>
                <w:sz w:val="26"/>
                <w:szCs w:val="26"/>
              </w:rPr>
            </w:pPr>
            <w:r w:rsidRPr="00E9174E">
              <w:rPr>
                <w:sz w:val="26"/>
                <w:szCs w:val="26"/>
              </w:rPr>
              <w:t>MLS/MLDS</w:t>
            </w:r>
          </w:p>
        </w:tc>
        <w:tc>
          <w:tcPr>
            <w:tcW w:w="1800" w:type="dxa"/>
            <w:tcBorders>
              <w:top w:val="nil"/>
              <w:left w:val="single" w:sz="4" w:space="0" w:color="auto"/>
              <w:bottom w:val="nil"/>
              <w:right w:val="single" w:sz="4" w:space="0" w:color="auto"/>
            </w:tcBorders>
            <w:vAlign w:val="bottom"/>
          </w:tcPr>
          <w:p w14:paraId="3C9702C9" w14:textId="77777777" w:rsidR="00A8096B" w:rsidRPr="00E9174E" w:rsidRDefault="00A8096B" w:rsidP="00E9174E">
            <w:pPr>
              <w:keepNext/>
              <w:keepLines/>
              <w:widowControl/>
              <w:contextualSpacing/>
              <w:rPr>
                <w:sz w:val="26"/>
                <w:szCs w:val="26"/>
              </w:rPr>
            </w:pPr>
            <w:r w:rsidRPr="00E9174E">
              <w:rPr>
                <w:sz w:val="26"/>
                <w:szCs w:val="26"/>
              </w:rPr>
              <w:t>$550,482</w:t>
            </w:r>
          </w:p>
        </w:tc>
        <w:tc>
          <w:tcPr>
            <w:tcW w:w="1980" w:type="dxa"/>
            <w:tcBorders>
              <w:top w:val="nil"/>
              <w:left w:val="single" w:sz="4" w:space="0" w:color="auto"/>
              <w:bottom w:val="nil"/>
              <w:right w:val="single" w:sz="4" w:space="0" w:color="auto"/>
            </w:tcBorders>
            <w:vAlign w:val="bottom"/>
          </w:tcPr>
          <w:p w14:paraId="0852B556" w14:textId="77777777" w:rsidR="00A8096B" w:rsidRPr="00E9174E" w:rsidRDefault="00A8096B" w:rsidP="00E9174E">
            <w:pPr>
              <w:keepNext/>
              <w:keepLines/>
              <w:widowControl/>
              <w:contextualSpacing/>
              <w:rPr>
                <w:sz w:val="26"/>
                <w:szCs w:val="26"/>
              </w:rPr>
            </w:pPr>
            <w:r w:rsidRPr="00E9174E">
              <w:rPr>
                <w:sz w:val="26"/>
                <w:szCs w:val="26"/>
              </w:rPr>
              <w:t>$550,482</w:t>
            </w:r>
          </w:p>
        </w:tc>
        <w:tc>
          <w:tcPr>
            <w:tcW w:w="1710" w:type="dxa"/>
            <w:tcBorders>
              <w:top w:val="nil"/>
              <w:left w:val="single" w:sz="4" w:space="0" w:color="auto"/>
              <w:bottom w:val="nil"/>
              <w:right w:val="single" w:sz="4" w:space="0" w:color="auto"/>
            </w:tcBorders>
            <w:vAlign w:val="bottom"/>
          </w:tcPr>
          <w:p w14:paraId="68034F53" w14:textId="77777777" w:rsidR="00A8096B" w:rsidRPr="00E9174E" w:rsidRDefault="00A8096B" w:rsidP="00E9174E">
            <w:pPr>
              <w:keepNext/>
              <w:keepLines/>
              <w:widowControl/>
              <w:contextualSpacing/>
              <w:rPr>
                <w:sz w:val="26"/>
                <w:szCs w:val="26"/>
              </w:rPr>
            </w:pPr>
            <w:r w:rsidRPr="00E9174E">
              <w:rPr>
                <w:sz w:val="26"/>
                <w:szCs w:val="26"/>
              </w:rPr>
              <w:t>$0</w:t>
            </w:r>
          </w:p>
        </w:tc>
        <w:tc>
          <w:tcPr>
            <w:tcW w:w="1463" w:type="dxa"/>
            <w:tcBorders>
              <w:top w:val="nil"/>
              <w:left w:val="single" w:sz="4" w:space="0" w:color="auto"/>
              <w:bottom w:val="nil"/>
              <w:right w:val="single" w:sz="4" w:space="0" w:color="auto"/>
            </w:tcBorders>
            <w:vAlign w:val="bottom"/>
          </w:tcPr>
          <w:p w14:paraId="62070E00" w14:textId="77777777" w:rsidR="00A8096B" w:rsidRPr="00E9174E" w:rsidRDefault="00A8096B" w:rsidP="00E9174E">
            <w:pPr>
              <w:keepNext/>
              <w:keepLines/>
              <w:widowControl/>
              <w:contextualSpacing/>
              <w:jc w:val="center"/>
              <w:rPr>
                <w:sz w:val="26"/>
                <w:szCs w:val="26"/>
              </w:rPr>
            </w:pPr>
            <w:r w:rsidRPr="00E9174E">
              <w:rPr>
                <w:sz w:val="26"/>
                <w:szCs w:val="26"/>
              </w:rPr>
              <w:t>0.0%</w:t>
            </w:r>
          </w:p>
        </w:tc>
      </w:tr>
      <w:tr w:rsidR="00A8096B" w:rsidRPr="00E9174E" w14:paraId="4BC7F5FD" w14:textId="77777777" w:rsidTr="00CC66FD">
        <w:trPr>
          <w:trHeight w:val="270"/>
        </w:trPr>
        <w:tc>
          <w:tcPr>
            <w:tcW w:w="1800" w:type="dxa"/>
            <w:tcBorders>
              <w:top w:val="nil"/>
              <w:left w:val="single" w:sz="4" w:space="0" w:color="auto"/>
              <w:bottom w:val="nil"/>
              <w:right w:val="single" w:sz="4" w:space="0" w:color="auto"/>
            </w:tcBorders>
            <w:vAlign w:val="bottom"/>
          </w:tcPr>
          <w:p w14:paraId="760A9B7B" w14:textId="77777777" w:rsidR="00A8096B" w:rsidRPr="00E9174E" w:rsidRDefault="00A8096B" w:rsidP="00E9174E">
            <w:pPr>
              <w:keepNext/>
              <w:keepLines/>
              <w:widowControl/>
              <w:contextualSpacing/>
              <w:rPr>
                <w:sz w:val="26"/>
                <w:szCs w:val="26"/>
              </w:rPr>
            </w:pPr>
          </w:p>
        </w:tc>
        <w:tc>
          <w:tcPr>
            <w:tcW w:w="1800" w:type="dxa"/>
            <w:tcBorders>
              <w:top w:val="nil"/>
              <w:left w:val="single" w:sz="4" w:space="0" w:color="auto"/>
              <w:bottom w:val="nil"/>
              <w:right w:val="single" w:sz="4" w:space="0" w:color="auto"/>
            </w:tcBorders>
            <w:vAlign w:val="bottom"/>
          </w:tcPr>
          <w:p w14:paraId="0FFBBA98" w14:textId="77777777" w:rsidR="00A8096B" w:rsidRPr="00E9174E" w:rsidRDefault="00A8096B" w:rsidP="00E9174E">
            <w:pPr>
              <w:keepNext/>
              <w:keepLines/>
              <w:widowControl/>
              <w:contextualSpacing/>
              <w:rPr>
                <w:sz w:val="26"/>
                <w:szCs w:val="26"/>
              </w:rPr>
            </w:pPr>
          </w:p>
        </w:tc>
        <w:tc>
          <w:tcPr>
            <w:tcW w:w="1980" w:type="dxa"/>
            <w:tcBorders>
              <w:top w:val="nil"/>
              <w:left w:val="single" w:sz="4" w:space="0" w:color="auto"/>
              <w:bottom w:val="nil"/>
              <w:right w:val="single" w:sz="4" w:space="0" w:color="auto"/>
            </w:tcBorders>
            <w:vAlign w:val="bottom"/>
          </w:tcPr>
          <w:p w14:paraId="473204E7" w14:textId="77777777" w:rsidR="00A8096B" w:rsidRPr="00E9174E" w:rsidRDefault="00A8096B" w:rsidP="00E9174E">
            <w:pPr>
              <w:keepNext/>
              <w:keepLines/>
              <w:widowControl/>
              <w:contextualSpacing/>
              <w:rPr>
                <w:sz w:val="26"/>
                <w:szCs w:val="26"/>
              </w:rPr>
            </w:pPr>
          </w:p>
        </w:tc>
        <w:tc>
          <w:tcPr>
            <w:tcW w:w="1710" w:type="dxa"/>
            <w:tcBorders>
              <w:top w:val="nil"/>
              <w:left w:val="single" w:sz="4" w:space="0" w:color="auto"/>
              <w:bottom w:val="nil"/>
              <w:right w:val="single" w:sz="4" w:space="0" w:color="auto"/>
            </w:tcBorders>
            <w:vAlign w:val="bottom"/>
          </w:tcPr>
          <w:p w14:paraId="64F2E7C9" w14:textId="77777777" w:rsidR="00A8096B" w:rsidRPr="00E9174E" w:rsidRDefault="00A8096B" w:rsidP="00E9174E">
            <w:pPr>
              <w:keepNext/>
              <w:keepLines/>
              <w:widowControl/>
              <w:contextualSpacing/>
              <w:rPr>
                <w:sz w:val="26"/>
                <w:szCs w:val="26"/>
              </w:rPr>
            </w:pPr>
          </w:p>
        </w:tc>
        <w:tc>
          <w:tcPr>
            <w:tcW w:w="1463" w:type="dxa"/>
            <w:tcBorders>
              <w:top w:val="nil"/>
              <w:left w:val="single" w:sz="4" w:space="0" w:color="auto"/>
              <w:bottom w:val="nil"/>
              <w:right w:val="single" w:sz="4" w:space="0" w:color="auto"/>
            </w:tcBorders>
            <w:vAlign w:val="bottom"/>
          </w:tcPr>
          <w:p w14:paraId="55B2EA00" w14:textId="77777777" w:rsidR="00A8096B" w:rsidRPr="00E9174E" w:rsidRDefault="00A8096B" w:rsidP="00E9174E">
            <w:pPr>
              <w:keepNext/>
              <w:keepLines/>
              <w:widowControl/>
              <w:contextualSpacing/>
              <w:jc w:val="center"/>
              <w:rPr>
                <w:sz w:val="26"/>
                <w:szCs w:val="26"/>
              </w:rPr>
            </w:pPr>
          </w:p>
        </w:tc>
      </w:tr>
      <w:tr w:rsidR="00A8096B" w:rsidRPr="00E9174E" w14:paraId="3939900A" w14:textId="77777777" w:rsidTr="00CC66FD">
        <w:trPr>
          <w:trHeight w:val="90"/>
        </w:trPr>
        <w:tc>
          <w:tcPr>
            <w:tcW w:w="1800" w:type="dxa"/>
            <w:tcBorders>
              <w:top w:val="nil"/>
              <w:left w:val="single" w:sz="4" w:space="0" w:color="auto"/>
              <w:bottom w:val="single" w:sz="4" w:space="0" w:color="auto"/>
              <w:right w:val="single" w:sz="4" w:space="0" w:color="auto"/>
            </w:tcBorders>
            <w:vAlign w:val="bottom"/>
          </w:tcPr>
          <w:p w14:paraId="5134CBA4" w14:textId="77777777" w:rsidR="00A8096B" w:rsidRPr="00E9174E" w:rsidRDefault="00A8096B" w:rsidP="00E9174E">
            <w:pPr>
              <w:keepNext/>
              <w:keepLines/>
              <w:widowControl/>
              <w:contextualSpacing/>
              <w:rPr>
                <w:sz w:val="26"/>
                <w:szCs w:val="26"/>
              </w:rPr>
            </w:pPr>
            <w:r w:rsidRPr="00E9174E">
              <w:rPr>
                <w:sz w:val="26"/>
                <w:szCs w:val="26"/>
              </w:rPr>
              <w:t>Flex</w:t>
            </w:r>
          </w:p>
        </w:tc>
        <w:tc>
          <w:tcPr>
            <w:tcW w:w="1800" w:type="dxa"/>
            <w:tcBorders>
              <w:top w:val="nil"/>
              <w:left w:val="single" w:sz="4" w:space="0" w:color="auto"/>
              <w:bottom w:val="single" w:sz="4" w:space="0" w:color="auto"/>
            </w:tcBorders>
            <w:vAlign w:val="bottom"/>
          </w:tcPr>
          <w:p w14:paraId="71753F85" w14:textId="77777777" w:rsidR="00A8096B" w:rsidRPr="00E9174E" w:rsidRDefault="00A8096B" w:rsidP="00E9174E">
            <w:pPr>
              <w:keepNext/>
              <w:keepLines/>
              <w:widowControl/>
              <w:contextualSpacing/>
              <w:rPr>
                <w:sz w:val="26"/>
                <w:szCs w:val="26"/>
              </w:rPr>
            </w:pPr>
            <w:r w:rsidRPr="00E9174E">
              <w:rPr>
                <w:sz w:val="26"/>
                <w:szCs w:val="26"/>
              </w:rPr>
              <w:t>$4,877,848</w:t>
            </w:r>
          </w:p>
        </w:tc>
        <w:tc>
          <w:tcPr>
            <w:tcW w:w="1980" w:type="dxa"/>
            <w:tcBorders>
              <w:top w:val="nil"/>
              <w:bottom w:val="single" w:sz="4" w:space="0" w:color="auto"/>
            </w:tcBorders>
            <w:vAlign w:val="bottom"/>
          </w:tcPr>
          <w:p w14:paraId="3A12D591" w14:textId="77777777" w:rsidR="00A8096B" w:rsidRPr="00E9174E" w:rsidRDefault="00A8096B" w:rsidP="00E9174E">
            <w:pPr>
              <w:keepNext/>
              <w:keepLines/>
              <w:widowControl/>
              <w:contextualSpacing/>
              <w:rPr>
                <w:sz w:val="26"/>
                <w:szCs w:val="26"/>
              </w:rPr>
            </w:pPr>
            <w:r w:rsidRPr="00E9174E">
              <w:rPr>
                <w:sz w:val="26"/>
                <w:szCs w:val="26"/>
              </w:rPr>
              <w:t>$4,891,965</w:t>
            </w:r>
          </w:p>
        </w:tc>
        <w:tc>
          <w:tcPr>
            <w:tcW w:w="1710" w:type="dxa"/>
            <w:tcBorders>
              <w:top w:val="nil"/>
              <w:bottom w:val="single" w:sz="4" w:space="0" w:color="auto"/>
            </w:tcBorders>
            <w:vAlign w:val="bottom"/>
          </w:tcPr>
          <w:p w14:paraId="7F97E613" w14:textId="77777777" w:rsidR="00A8096B" w:rsidRPr="00E9174E" w:rsidRDefault="00A8096B" w:rsidP="00E9174E">
            <w:pPr>
              <w:keepNext/>
              <w:keepLines/>
              <w:widowControl/>
              <w:contextualSpacing/>
              <w:rPr>
                <w:sz w:val="26"/>
                <w:szCs w:val="26"/>
              </w:rPr>
            </w:pPr>
            <w:r w:rsidRPr="00E9174E">
              <w:rPr>
                <w:sz w:val="26"/>
                <w:szCs w:val="26"/>
              </w:rPr>
              <w:t>$14,117</w:t>
            </w:r>
          </w:p>
        </w:tc>
        <w:tc>
          <w:tcPr>
            <w:tcW w:w="1463" w:type="dxa"/>
            <w:tcBorders>
              <w:top w:val="nil"/>
              <w:bottom w:val="single" w:sz="4" w:space="0" w:color="auto"/>
            </w:tcBorders>
            <w:vAlign w:val="bottom"/>
          </w:tcPr>
          <w:p w14:paraId="01627545" w14:textId="77777777" w:rsidR="00A8096B" w:rsidRPr="00E9174E" w:rsidRDefault="00A8096B" w:rsidP="00E9174E">
            <w:pPr>
              <w:keepNext/>
              <w:keepLines/>
              <w:widowControl/>
              <w:contextualSpacing/>
              <w:jc w:val="center"/>
              <w:rPr>
                <w:sz w:val="26"/>
                <w:szCs w:val="26"/>
              </w:rPr>
            </w:pPr>
            <w:r w:rsidRPr="00E9174E">
              <w:rPr>
                <w:sz w:val="26"/>
                <w:szCs w:val="26"/>
              </w:rPr>
              <w:t>0.3%</w:t>
            </w:r>
          </w:p>
        </w:tc>
      </w:tr>
      <w:tr w:rsidR="00A8096B" w:rsidRPr="00E9174E" w14:paraId="0AE663D8" w14:textId="77777777" w:rsidTr="00CC66FD">
        <w:trPr>
          <w:trHeight w:val="503"/>
        </w:trPr>
        <w:tc>
          <w:tcPr>
            <w:tcW w:w="1800" w:type="dxa"/>
            <w:tcBorders>
              <w:top w:val="single" w:sz="4" w:space="0" w:color="auto"/>
              <w:bottom w:val="single" w:sz="4" w:space="0" w:color="auto"/>
            </w:tcBorders>
            <w:vAlign w:val="bottom"/>
          </w:tcPr>
          <w:p w14:paraId="70579D68" w14:textId="77777777" w:rsidR="00A8096B" w:rsidRPr="00E9174E" w:rsidRDefault="00A8096B" w:rsidP="00E9174E">
            <w:pPr>
              <w:keepNext/>
              <w:keepLines/>
              <w:widowControl/>
              <w:contextualSpacing/>
              <w:jc w:val="center"/>
              <w:rPr>
                <w:b/>
                <w:sz w:val="26"/>
                <w:szCs w:val="26"/>
              </w:rPr>
            </w:pPr>
            <w:r w:rsidRPr="00E9174E">
              <w:rPr>
                <w:b/>
                <w:sz w:val="26"/>
                <w:szCs w:val="26"/>
              </w:rPr>
              <w:t>Total</w:t>
            </w:r>
          </w:p>
        </w:tc>
        <w:tc>
          <w:tcPr>
            <w:tcW w:w="1800" w:type="dxa"/>
            <w:tcBorders>
              <w:bottom w:val="single" w:sz="4" w:space="0" w:color="auto"/>
            </w:tcBorders>
            <w:vAlign w:val="bottom"/>
          </w:tcPr>
          <w:p w14:paraId="6C3E98E9" w14:textId="77777777" w:rsidR="00A8096B" w:rsidRPr="00E9174E" w:rsidRDefault="00A8096B" w:rsidP="00E9174E">
            <w:pPr>
              <w:keepNext/>
              <w:keepLines/>
              <w:widowControl/>
              <w:contextualSpacing/>
              <w:rPr>
                <w:b/>
                <w:sz w:val="26"/>
                <w:szCs w:val="26"/>
              </w:rPr>
            </w:pPr>
            <w:r w:rsidRPr="00E9174E">
              <w:rPr>
                <w:b/>
                <w:sz w:val="26"/>
                <w:szCs w:val="26"/>
              </w:rPr>
              <w:t>$406,952,490</w:t>
            </w:r>
          </w:p>
        </w:tc>
        <w:tc>
          <w:tcPr>
            <w:tcW w:w="1980" w:type="dxa"/>
            <w:tcBorders>
              <w:bottom w:val="single" w:sz="4" w:space="0" w:color="auto"/>
            </w:tcBorders>
            <w:vAlign w:val="bottom"/>
          </w:tcPr>
          <w:p w14:paraId="387D25D8" w14:textId="77777777" w:rsidR="00A8096B" w:rsidRPr="00E9174E" w:rsidRDefault="00A8096B" w:rsidP="00E9174E">
            <w:pPr>
              <w:keepNext/>
              <w:keepLines/>
              <w:widowControl/>
              <w:contextualSpacing/>
              <w:rPr>
                <w:b/>
                <w:sz w:val="26"/>
                <w:szCs w:val="26"/>
              </w:rPr>
            </w:pPr>
            <w:r w:rsidRPr="00E9174E">
              <w:rPr>
                <w:b/>
                <w:sz w:val="26"/>
                <w:szCs w:val="26"/>
              </w:rPr>
              <w:t>$509,351,454</w:t>
            </w:r>
          </w:p>
        </w:tc>
        <w:tc>
          <w:tcPr>
            <w:tcW w:w="1710" w:type="dxa"/>
            <w:tcBorders>
              <w:bottom w:val="single" w:sz="4" w:space="0" w:color="auto"/>
            </w:tcBorders>
            <w:vAlign w:val="bottom"/>
          </w:tcPr>
          <w:p w14:paraId="3421AB68" w14:textId="77777777" w:rsidR="00A8096B" w:rsidRPr="00E9174E" w:rsidRDefault="00A8096B" w:rsidP="00E9174E">
            <w:pPr>
              <w:keepNext/>
              <w:keepLines/>
              <w:widowControl/>
              <w:contextualSpacing/>
              <w:rPr>
                <w:b/>
                <w:sz w:val="26"/>
                <w:szCs w:val="26"/>
              </w:rPr>
            </w:pPr>
            <w:r w:rsidRPr="00E9174E">
              <w:rPr>
                <w:b/>
                <w:sz w:val="26"/>
                <w:szCs w:val="26"/>
              </w:rPr>
              <w:t>$102,398,964</w:t>
            </w:r>
          </w:p>
        </w:tc>
        <w:tc>
          <w:tcPr>
            <w:tcW w:w="1463" w:type="dxa"/>
            <w:tcBorders>
              <w:bottom w:val="single" w:sz="4" w:space="0" w:color="auto"/>
            </w:tcBorders>
            <w:vAlign w:val="bottom"/>
          </w:tcPr>
          <w:p w14:paraId="0AB989C1" w14:textId="77777777" w:rsidR="00A8096B" w:rsidRPr="00E9174E" w:rsidRDefault="00A8096B" w:rsidP="00E9174E">
            <w:pPr>
              <w:keepNext/>
              <w:keepLines/>
              <w:widowControl/>
              <w:contextualSpacing/>
              <w:jc w:val="center"/>
              <w:rPr>
                <w:b/>
                <w:sz w:val="26"/>
                <w:szCs w:val="26"/>
              </w:rPr>
            </w:pPr>
            <w:r w:rsidRPr="00E9174E">
              <w:rPr>
                <w:b/>
                <w:sz w:val="26"/>
                <w:szCs w:val="26"/>
              </w:rPr>
              <w:t>25.2%</w:t>
            </w:r>
          </w:p>
        </w:tc>
      </w:tr>
      <w:bookmarkEnd w:id="440"/>
    </w:tbl>
    <w:p w14:paraId="439107D2" w14:textId="77777777" w:rsidR="00A8096B" w:rsidRPr="00E9174E" w:rsidRDefault="00A8096B" w:rsidP="00E9174E">
      <w:pPr>
        <w:widowControl/>
        <w:spacing w:line="360" w:lineRule="auto"/>
        <w:contextualSpacing/>
        <w:rPr>
          <w:sz w:val="26"/>
          <w:szCs w:val="26"/>
        </w:rPr>
      </w:pPr>
    </w:p>
    <w:p w14:paraId="2DE5DF87" w14:textId="4B7F818E" w:rsidR="00A8096B" w:rsidRPr="00E9174E" w:rsidRDefault="00A8096B" w:rsidP="00E9174E">
      <w:pPr>
        <w:widowControl/>
        <w:spacing w:line="360" w:lineRule="auto"/>
        <w:contextualSpacing/>
        <w:rPr>
          <w:sz w:val="26"/>
          <w:szCs w:val="26"/>
        </w:rPr>
      </w:pPr>
      <w:bookmarkStart w:id="441" w:name="_Hlk61263554"/>
      <w:bookmarkStart w:id="442" w:name="_Hlk61338546"/>
      <w:r w:rsidRPr="00E9174E">
        <w:rPr>
          <w:i/>
          <w:iCs/>
          <w:sz w:val="26"/>
          <w:szCs w:val="26"/>
        </w:rPr>
        <w:t>See</w:t>
      </w:r>
      <w:r w:rsidRPr="00E9174E">
        <w:rPr>
          <w:sz w:val="26"/>
          <w:szCs w:val="26"/>
        </w:rPr>
        <w:t xml:space="preserve"> CG </w:t>
      </w:r>
      <w:proofErr w:type="spellStart"/>
      <w:r w:rsidRPr="00E9174E">
        <w:rPr>
          <w:sz w:val="26"/>
          <w:szCs w:val="26"/>
        </w:rPr>
        <w:t>Exh</w:t>
      </w:r>
      <w:proofErr w:type="spellEnd"/>
      <w:r w:rsidRPr="00E9174E">
        <w:rPr>
          <w:sz w:val="26"/>
          <w:szCs w:val="26"/>
        </w:rPr>
        <w:t>. 103, Sch. 8</w:t>
      </w:r>
      <w:r w:rsidR="0028617D" w:rsidRPr="00E9174E">
        <w:rPr>
          <w:sz w:val="26"/>
          <w:szCs w:val="26"/>
        </w:rPr>
        <w:t xml:space="preserve"> at</w:t>
      </w:r>
      <w:r w:rsidRPr="00E9174E">
        <w:rPr>
          <w:sz w:val="26"/>
          <w:szCs w:val="26"/>
        </w:rPr>
        <w:t xml:space="preserve"> 4</w:t>
      </w:r>
      <w:bookmarkEnd w:id="441"/>
      <w:r w:rsidRPr="00E9174E">
        <w:rPr>
          <w:sz w:val="26"/>
          <w:szCs w:val="26"/>
        </w:rPr>
        <w:t>.</w:t>
      </w:r>
      <w:r w:rsidRPr="00E9174E">
        <w:rPr>
          <w:sz w:val="26"/>
          <w:szCs w:val="26"/>
          <w:vertAlign w:val="superscript"/>
        </w:rPr>
        <w:footnoteReference w:id="91"/>
      </w:r>
      <w:r w:rsidRPr="00E9174E">
        <w:rPr>
          <w:sz w:val="26"/>
          <w:szCs w:val="26"/>
        </w:rPr>
        <w:t xml:space="preserve"> </w:t>
      </w:r>
    </w:p>
    <w:bookmarkEnd w:id="442"/>
    <w:p w14:paraId="66BD0885" w14:textId="77777777" w:rsidR="00A8096B" w:rsidRPr="00E9174E" w:rsidRDefault="00A8096B" w:rsidP="00E9174E">
      <w:pPr>
        <w:widowControl/>
        <w:spacing w:line="360" w:lineRule="auto"/>
        <w:contextualSpacing/>
        <w:rPr>
          <w:sz w:val="26"/>
          <w:szCs w:val="26"/>
        </w:rPr>
      </w:pPr>
    </w:p>
    <w:p w14:paraId="7CFCC548" w14:textId="77777777" w:rsidR="00A8096B" w:rsidRPr="00E9174E" w:rsidRDefault="00A8096B" w:rsidP="00E9174E">
      <w:pPr>
        <w:widowControl/>
        <w:spacing w:line="360" w:lineRule="auto"/>
        <w:ind w:firstLine="1440"/>
        <w:contextualSpacing/>
        <w:rPr>
          <w:b/>
          <w:bCs/>
          <w:sz w:val="26"/>
          <w:szCs w:val="26"/>
        </w:rPr>
      </w:pPr>
      <w:r w:rsidRPr="00E9174E">
        <w:rPr>
          <w:rFonts w:eastAsiaTheme="minorHAnsi"/>
          <w:sz w:val="26"/>
          <w:szCs w:val="26"/>
        </w:rPr>
        <w:t>Columbia averred that its proposed revenue allocation among the individual rate classes, ranging from a zero increase for the MLS/MLDS rate class to a 27.2 percent increase for the LDS/LGSS rate class, is reasonable and properly moves the rates of return for all classes closer to the overall system average rate of return, as demonstrated by the following indexed relative rates of return by customer class at present and proposed rates:</w:t>
      </w:r>
    </w:p>
    <w:tbl>
      <w:tblPr>
        <w:tblW w:w="5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890"/>
        <w:gridCol w:w="1980"/>
      </w:tblGrid>
      <w:tr w:rsidR="00A8096B" w:rsidRPr="00E9174E" w14:paraId="7BAD7568" w14:textId="77777777" w:rsidTr="00CC66FD">
        <w:trPr>
          <w:trHeight w:val="503"/>
          <w:jc w:val="center"/>
        </w:trPr>
        <w:tc>
          <w:tcPr>
            <w:tcW w:w="5688" w:type="dxa"/>
            <w:gridSpan w:val="3"/>
            <w:tcBorders>
              <w:bottom w:val="single" w:sz="4" w:space="0" w:color="auto"/>
            </w:tcBorders>
            <w:vAlign w:val="center"/>
          </w:tcPr>
          <w:p w14:paraId="35B10973" w14:textId="77777777" w:rsidR="00A8096B" w:rsidRPr="00E9174E" w:rsidRDefault="00A8096B" w:rsidP="00E9174E">
            <w:pPr>
              <w:keepNext/>
              <w:keepLines/>
              <w:widowControl/>
              <w:contextualSpacing/>
              <w:jc w:val="center"/>
              <w:rPr>
                <w:b/>
                <w:sz w:val="26"/>
                <w:szCs w:val="26"/>
              </w:rPr>
            </w:pPr>
            <w:bookmarkStart w:id="443" w:name="_Hlk37070453"/>
            <w:r w:rsidRPr="00E9174E">
              <w:rPr>
                <w:b/>
                <w:sz w:val="26"/>
                <w:szCs w:val="26"/>
              </w:rPr>
              <w:lastRenderedPageBreak/>
              <w:t>Columbia’s Relative Rates of Return</w:t>
            </w:r>
          </w:p>
          <w:p w14:paraId="63C4458F" w14:textId="77777777" w:rsidR="00A8096B" w:rsidRPr="00E9174E" w:rsidRDefault="00A8096B" w:rsidP="00E9174E">
            <w:pPr>
              <w:keepNext/>
              <w:keepLines/>
              <w:widowControl/>
              <w:contextualSpacing/>
              <w:jc w:val="center"/>
              <w:rPr>
                <w:b/>
                <w:sz w:val="26"/>
                <w:szCs w:val="26"/>
              </w:rPr>
            </w:pPr>
            <w:r w:rsidRPr="00E9174E">
              <w:rPr>
                <w:b/>
                <w:sz w:val="26"/>
                <w:szCs w:val="26"/>
              </w:rPr>
              <w:t>(Average ACCOSS)</w:t>
            </w:r>
          </w:p>
        </w:tc>
      </w:tr>
      <w:tr w:rsidR="00A8096B" w:rsidRPr="00E9174E" w14:paraId="59CD8EF9" w14:textId="77777777" w:rsidTr="00CC66FD">
        <w:trPr>
          <w:trHeight w:val="503"/>
          <w:jc w:val="center"/>
        </w:trPr>
        <w:tc>
          <w:tcPr>
            <w:tcW w:w="1818" w:type="dxa"/>
            <w:tcBorders>
              <w:bottom w:val="single" w:sz="4" w:space="0" w:color="auto"/>
            </w:tcBorders>
            <w:vAlign w:val="bottom"/>
          </w:tcPr>
          <w:p w14:paraId="487E1DA7" w14:textId="77777777" w:rsidR="00A8096B" w:rsidRPr="00E9174E" w:rsidRDefault="00A8096B" w:rsidP="00E9174E">
            <w:pPr>
              <w:keepNext/>
              <w:keepLines/>
              <w:widowControl/>
              <w:contextualSpacing/>
              <w:rPr>
                <w:b/>
                <w:sz w:val="26"/>
                <w:szCs w:val="26"/>
              </w:rPr>
            </w:pPr>
            <w:r w:rsidRPr="00E9174E">
              <w:rPr>
                <w:b/>
                <w:sz w:val="26"/>
                <w:szCs w:val="26"/>
              </w:rPr>
              <w:t>Class</w:t>
            </w:r>
          </w:p>
        </w:tc>
        <w:tc>
          <w:tcPr>
            <w:tcW w:w="1890" w:type="dxa"/>
            <w:tcBorders>
              <w:bottom w:val="single" w:sz="4" w:space="0" w:color="auto"/>
            </w:tcBorders>
            <w:vAlign w:val="bottom"/>
          </w:tcPr>
          <w:p w14:paraId="294467B6" w14:textId="77777777" w:rsidR="00A8096B" w:rsidRPr="00E9174E" w:rsidRDefault="00A8096B" w:rsidP="00E9174E">
            <w:pPr>
              <w:keepNext/>
              <w:keepLines/>
              <w:widowControl/>
              <w:contextualSpacing/>
              <w:jc w:val="center"/>
              <w:rPr>
                <w:b/>
                <w:sz w:val="26"/>
                <w:szCs w:val="26"/>
              </w:rPr>
            </w:pPr>
            <w:r w:rsidRPr="00E9174E">
              <w:rPr>
                <w:b/>
                <w:sz w:val="26"/>
                <w:szCs w:val="26"/>
              </w:rPr>
              <w:t>Under</w:t>
            </w:r>
          </w:p>
          <w:p w14:paraId="404B7501" w14:textId="77777777" w:rsidR="00A8096B" w:rsidRPr="00E9174E" w:rsidRDefault="00A8096B" w:rsidP="00E9174E">
            <w:pPr>
              <w:keepNext/>
              <w:keepLines/>
              <w:widowControl/>
              <w:contextualSpacing/>
              <w:jc w:val="center"/>
              <w:rPr>
                <w:b/>
                <w:sz w:val="26"/>
                <w:szCs w:val="26"/>
              </w:rPr>
            </w:pPr>
            <w:r w:rsidRPr="00E9174E">
              <w:rPr>
                <w:b/>
                <w:sz w:val="26"/>
                <w:szCs w:val="26"/>
              </w:rPr>
              <w:t>Present Rates</w:t>
            </w:r>
          </w:p>
        </w:tc>
        <w:tc>
          <w:tcPr>
            <w:tcW w:w="1980" w:type="dxa"/>
            <w:tcBorders>
              <w:bottom w:val="single" w:sz="4" w:space="0" w:color="auto"/>
            </w:tcBorders>
            <w:vAlign w:val="bottom"/>
          </w:tcPr>
          <w:p w14:paraId="29D47092" w14:textId="77777777" w:rsidR="00A8096B" w:rsidRPr="00E9174E" w:rsidRDefault="00A8096B" w:rsidP="00E9174E">
            <w:pPr>
              <w:keepNext/>
              <w:keepLines/>
              <w:widowControl/>
              <w:contextualSpacing/>
              <w:jc w:val="center"/>
              <w:rPr>
                <w:b/>
                <w:sz w:val="26"/>
                <w:szCs w:val="26"/>
              </w:rPr>
            </w:pPr>
            <w:r w:rsidRPr="00E9174E">
              <w:rPr>
                <w:b/>
                <w:sz w:val="26"/>
                <w:szCs w:val="26"/>
              </w:rPr>
              <w:t>Under</w:t>
            </w:r>
          </w:p>
          <w:p w14:paraId="55EF5646" w14:textId="77777777" w:rsidR="00A8096B" w:rsidRPr="00E9174E" w:rsidRDefault="00A8096B" w:rsidP="00E9174E">
            <w:pPr>
              <w:keepNext/>
              <w:keepLines/>
              <w:widowControl/>
              <w:contextualSpacing/>
              <w:jc w:val="center"/>
              <w:rPr>
                <w:b/>
                <w:sz w:val="26"/>
                <w:szCs w:val="26"/>
              </w:rPr>
            </w:pPr>
            <w:r w:rsidRPr="00E9174E">
              <w:rPr>
                <w:b/>
                <w:sz w:val="26"/>
                <w:szCs w:val="26"/>
              </w:rPr>
              <w:t>Proposed Rates</w:t>
            </w:r>
          </w:p>
        </w:tc>
      </w:tr>
      <w:tr w:rsidR="00A8096B" w:rsidRPr="00E9174E" w14:paraId="3E934409" w14:textId="77777777" w:rsidTr="00CC66FD">
        <w:trPr>
          <w:trHeight w:val="422"/>
          <w:jc w:val="center"/>
        </w:trPr>
        <w:tc>
          <w:tcPr>
            <w:tcW w:w="1818" w:type="dxa"/>
            <w:tcBorders>
              <w:top w:val="single" w:sz="4" w:space="0" w:color="auto"/>
              <w:left w:val="single" w:sz="4" w:space="0" w:color="auto"/>
              <w:bottom w:val="nil"/>
              <w:right w:val="single" w:sz="4" w:space="0" w:color="auto"/>
            </w:tcBorders>
            <w:vAlign w:val="bottom"/>
          </w:tcPr>
          <w:p w14:paraId="3DF2D49A" w14:textId="77777777" w:rsidR="00A8096B" w:rsidRPr="00E9174E" w:rsidRDefault="00A8096B" w:rsidP="00E9174E">
            <w:pPr>
              <w:keepNext/>
              <w:keepLines/>
              <w:widowControl/>
              <w:contextualSpacing/>
              <w:rPr>
                <w:sz w:val="26"/>
                <w:szCs w:val="26"/>
              </w:rPr>
            </w:pPr>
            <w:r w:rsidRPr="00E9174E">
              <w:rPr>
                <w:sz w:val="26"/>
                <w:szCs w:val="26"/>
              </w:rPr>
              <w:t>RSS/RDS</w:t>
            </w:r>
          </w:p>
        </w:tc>
        <w:tc>
          <w:tcPr>
            <w:tcW w:w="1890" w:type="dxa"/>
            <w:tcBorders>
              <w:top w:val="single" w:sz="4" w:space="0" w:color="auto"/>
              <w:left w:val="single" w:sz="4" w:space="0" w:color="auto"/>
              <w:bottom w:val="nil"/>
              <w:right w:val="single" w:sz="4" w:space="0" w:color="auto"/>
            </w:tcBorders>
            <w:vAlign w:val="bottom"/>
          </w:tcPr>
          <w:p w14:paraId="27D2F23C" w14:textId="77777777" w:rsidR="00A8096B" w:rsidRPr="00E9174E" w:rsidRDefault="00A8096B" w:rsidP="00E9174E">
            <w:pPr>
              <w:keepNext/>
              <w:keepLines/>
              <w:widowControl/>
              <w:contextualSpacing/>
              <w:jc w:val="center"/>
              <w:rPr>
                <w:sz w:val="26"/>
                <w:szCs w:val="26"/>
              </w:rPr>
            </w:pPr>
            <w:r w:rsidRPr="00E9174E">
              <w:rPr>
                <w:sz w:val="26"/>
                <w:szCs w:val="26"/>
              </w:rPr>
              <w:t>0.97</w:t>
            </w:r>
          </w:p>
        </w:tc>
        <w:tc>
          <w:tcPr>
            <w:tcW w:w="1980" w:type="dxa"/>
            <w:tcBorders>
              <w:top w:val="single" w:sz="4" w:space="0" w:color="auto"/>
              <w:left w:val="single" w:sz="4" w:space="0" w:color="auto"/>
              <w:bottom w:val="nil"/>
              <w:right w:val="single" w:sz="4" w:space="0" w:color="auto"/>
            </w:tcBorders>
            <w:vAlign w:val="bottom"/>
          </w:tcPr>
          <w:p w14:paraId="62A3BCEA" w14:textId="77777777" w:rsidR="00A8096B" w:rsidRPr="00E9174E" w:rsidRDefault="00A8096B" w:rsidP="00E9174E">
            <w:pPr>
              <w:keepNext/>
              <w:keepLines/>
              <w:widowControl/>
              <w:contextualSpacing/>
              <w:jc w:val="center"/>
              <w:rPr>
                <w:sz w:val="26"/>
                <w:szCs w:val="26"/>
              </w:rPr>
            </w:pPr>
            <w:r w:rsidRPr="00E9174E">
              <w:rPr>
                <w:sz w:val="26"/>
                <w:szCs w:val="26"/>
              </w:rPr>
              <w:t>1.00</w:t>
            </w:r>
          </w:p>
        </w:tc>
      </w:tr>
      <w:tr w:rsidR="00A8096B" w:rsidRPr="00E9174E" w14:paraId="1FC975CE" w14:textId="77777777" w:rsidTr="00CC66FD">
        <w:trPr>
          <w:trHeight w:val="783"/>
          <w:jc w:val="center"/>
        </w:trPr>
        <w:tc>
          <w:tcPr>
            <w:tcW w:w="1818" w:type="dxa"/>
            <w:tcBorders>
              <w:top w:val="nil"/>
              <w:left w:val="single" w:sz="4" w:space="0" w:color="auto"/>
              <w:bottom w:val="nil"/>
              <w:right w:val="single" w:sz="4" w:space="0" w:color="auto"/>
            </w:tcBorders>
            <w:vAlign w:val="bottom"/>
          </w:tcPr>
          <w:p w14:paraId="32A5DDBE" w14:textId="77777777" w:rsidR="00A8096B" w:rsidRPr="00E9174E" w:rsidRDefault="00A8096B" w:rsidP="00E9174E">
            <w:pPr>
              <w:keepNext/>
              <w:keepLines/>
              <w:widowControl/>
              <w:contextualSpacing/>
              <w:rPr>
                <w:sz w:val="26"/>
                <w:szCs w:val="26"/>
              </w:rPr>
            </w:pPr>
            <w:r w:rsidRPr="00E9174E">
              <w:rPr>
                <w:sz w:val="26"/>
                <w:szCs w:val="26"/>
              </w:rPr>
              <w:t>SGSS1/SCD1/SGDS1</w:t>
            </w:r>
          </w:p>
        </w:tc>
        <w:tc>
          <w:tcPr>
            <w:tcW w:w="1890" w:type="dxa"/>
            <w:tcBorders>
              <w:top w:val="nil"/>
              <w:left w:val="single" w:sz="4" w:space="0" w:color="auto"/>
              <w:bottom w:val="nil"/>
              <w:right w:val="single" w:sz="4" w:space="0" w:color="auto"/>
            </w:tcBorders>
            <w:vAlign w:val="bottom"/>
          </w:tcPr>
          <w:p w14:paraId="20389F03" w14:textId="77777777" w:rsidR="00A8096B" w:rsidRPr="00E9174E" w:rsidRDefault="00A8096B" w:rsidP="00E9174E">
            <w:pPr>
              <w:keepNext/>
              <w:keepLines/>
              <w:widowControl/>
              <w:contextualSpacing/>
              <w:jc w:val="center"/>
              <w:rPr>
                <w:sz w:val="26"/>
                <w:szCs w:val="26"/>
              </w:rPr>
            </w:pPr>
            <w:r w:rsidRPr="00E9174E">
              <w:rPr>
                <w:sz w:val="26"/>
                <w:szCs w:val="26"/>
              </w:rPr>
              <w:t>1.04</w:t>
            </w:r>
          </w:p>
        </w:tc>
        <w:tc>
          <w:tcPr>
            <w:tcW w:w="1980" w:type="dxa"/>
            <w:tcBorders>
              <w:top w:val="nil"/>
              <w:left w:val="single" w:sz="4" w:space="0" w:color="auto"/>
              <w:bottom w:val="nil"/>
              <w:right w:val="single" w:sz="4" w:space="0" w:color="auto"/>
            </w:tcBorders>
            <w:vAlign w:val="bottom"/>
          </w:tcPr>
          <w:p w14:paraId="3738F987" w14:textId="77777777" w:rsidR="00A8096B" w:rsidRPr="00E9174E" w:rsidRDefault="00A8096B" w:rsidP="00E9174E">
            <w:pPr>
              <w:keepNext/>
              <w:keepLines/>
              <w:widowControl/>
              <w:contextualSpacing/>
              <w:jc w:val="center"/>
              <w:rPr>
                <w:sz w:val="26"/>
                <w:szCs w:val="26"/>
              </w:rPr>
            </w:pPr>
            <w:r w:rsidRPr="00E9174E">
              <w:rPr>
                <w:sz w:val="26"/>
                <w:szCs w:val="26"/>
              </w:rPr>
              <w:t>1.03</w:t>
            </w:r>
          </w:p>
        </w:tc>
      </w:tr>
      <w:tr w:rsidR="00A8096B" w:rsidRPr="00E9174E" w14:paraId="17365751" w14:textId="77777777" w:rsidTr="00CC66FD">
        <w:trPr>
          <w:trHeight w:val="810"/>
          <w:jc w:val="center"/>
        </w:trPr>
        <w:tc>
          <w:tcPr>
            <w:tcW w:w="1818" w:type="dxa"/>
            <w:tcBorders>
              <w:top w:val="nil"/>
              <w:left w:val="single" w:sz="4" w:space="0" w:color="auto"/>
              <w:bottom w:val="nil"/>
              <w:right w:val="single" w:sz="4" w:space="0" w:color="auto"/>
            </w:tcBorders>
            <w:vAlign w:val="bottom"/>
          </w:tcPr>
          <w:p w14:paraId="0EB91770" w14:textId="77777777" w:rsidR="00A8096B" w:rsidRPr="00E9174E" w:rsidRDefault="00A8096B" w:rsidP="00E9174E">
            <w:pPr>
              <w:keepNext/>
              <w:keepLines/>
              <w:widowControl/>
              <w:contextualSpacing/>
              <w:rPr>
                <w:sz w:val="26"/>
                <w:szCs w:val="26"/>
              </w:rPr>
            </w:pPr>
            <w:r w:rsidRPr="00E9174E">
              <w:rPr>
                <w:sz w:val="26"/>
                <w:szCs w:val="26"/>
              </w:rPr>
              <w:t>SGSS2/SCD2/SGDS2</w:t>
            </w:r>
          </w:p>
        </w:tc>
        <w:tc>
          <w:tcPr>
            <w:tcW w:w="1890" w:type="dxa"/>
            <w:tcBorders>
              <w:top w:val="nil"/>
              <w:left w:val="single" w:sz="4" w:space="0" w:color="auto"/>
              <w:bottom w:val="nil"/>
              <w:right w:val="single" w:sz="4" w:space="0" w:color="auto"/>
            </w:tcBorders>
            <w:vAlign w:val="bottom"/>
          </w:tcPr>
          <w:p w14:paraId="6DC4CE9E" w14:textId="77777777" w:rsidR="00A8096B" w:rsidRPr="00E9174E" w:rsidRDefault="00A8096B" w:rsidP="00E9174E">
            <w:pPr>
              <w:keepNext/>
              <w:keepLines/>
              <w:widowControl/>
              <w:contextualSpacing/>
              <w:jc w:val="center"/>
              <w:rPr>
                <w:sz w:val="26"/>
                <w:szCs w:val="26"/>
              </w:rPr>
            </w:pPr>
            <w:r w:rsidRPr="00E9174E">
              <w:rPr>
                <w:sz w:val="26"/>
                <w:szCs w:val="26"/>
              </w:rPr>
              <w:t>1.79</w:t>
            </w:r>
          </w:p>
        </w:tc>
        <w:tc>
          <w:tcPr>
            <w:tcW w:w="1980" w:type="dxa"/>
            <w:tcBorders>
              <w:top w:val="nil"/>
              <w:left w:val="single" w:sz="4" w:space="0" w:color="auto"/>
              <w:bottom w:val="nil"/>
              <w:right w:val="single" w:sz="4" w:space="0" w:color="auto"/>
            </w:tcBorders>
            <w:vAlign w:val="bottom"/>
          </w:tcPr>
          <w:p w14:paraId="323786AD" w14:textId="77777777" w:rsidR="00A8096B" w:rsidRPr="00E9174E" w:rsidRDefault="00A8096B" w:rsidP="00E9174E">
            <w:pPr>
              <w:keepNext/>
              <w:keepLines/>
              <w:widowControl/>
              <w:contextualSpacing/>
              <w:jc w:val="center"/>
              <w:rPr>
                <w:sz w:val="26"/>
                <w:szCs w:val="26"/>
              </w:rPr>
            </w:pPr>
            <w:r w:rsidRPr="00E9174E">
              <w:rPr>
                <w:sz w:val="26"/>
                <w:szCs w:val="26"/>
              </w:rPr>
              <w:t>1.55</w:t>
            </w:r>
          </w:p>
        </w:tc>
      </w:tr>
      <w:tr w:rsidR="00A8096B" w:rsidRPr="00E9174E" w14:paraId="447299BD" w14:textId="77777777" w:rsidTr="00CC66FD">
        <w:trPr>
          <w:trHeight w:val="450"/>
          <w:jc w:val="center"/>
        </w:trPr>
        <w:tc>
          <w:tcPr>
            <w:tcW w:w="1818" w:type="dxa"/>
            <w:tcBorders>
              <w:top w:val="nil"/>
              <w:left w:val="single" w:sz="4" w:space="0" w:color="auto"/>
              <w:bottom w:val="nil"/>
              <w:right w:val="single" w:sz="4" w:space="0" w:color="auto"/>
            </w:tcBorders>
            <w:vAlign w:val="bottom"/>
          </w:tcPr>
          <w:p w14:paraId="1AC0884F" w14:textId="77777777" w:rsidR="00A8096B" w:rsidRPr="00E9174E" w:rsidRDefault="00A8096B" w:rsidP="00E9174E">
            <w:pPr>
              <w:keepNext/>
              <w:keepLines/>
              <w:widowControl/>
              <w:contextualSpacing/>
              <w:rPr>
                <w:sz w:val="26"/>
                <w:szCs w:val="26"/>
              </w:rPr>
            </w:pPr>
            <w:r w:rsidRPr="00E9174E">
              <w:rPr>
                <w:sz w:val="26"/>
                <w:szCs w:val="26"/>
              </w:rPr>
              <w:t>SDS/LGSS</w:t>
            </w:r>
          </w:p>
        </w:tc>
        <w:tc>
          <w:tcPr>
            <w:tcW w:w="1890" w:type="dxa"/>
            <w:tcBorders>
              <w:top w:val="nil"/>
              <w:left w:val="single" w:sz="4" w:space="0" w:color="auto"/>
              <w:bottom w:val="nil"/>
              <w:right w:val="single" w:sz="4" w:space="0" w:color="auto"/>
            </w:tcBorders>
            <w:vAlign w:val="bottom"/>
          </w:tcPr>
          <w:p w14:paraId="6739F5EB" w14:textId="77777777" w:rsidR="00A8096B" w:rsidRPr="00E9174E" w:rsidRDefault="00A8096B" w:rsidP="00E9174E">
            <w:pPr>
              <w:keepNext/>
              <w:keepLines/>
              <w:widowControl/>
              <w:contextualSpacing/>
              <w:jc w:val="center"/>
              <w:rPr>
                <w:sz w:val="26"/>
                <w:szCs w:val="26"/>
              </w:rPr>
            </w:pPr>
            <w:r w:rsidRPr="00E9174E">
              <w:rPr>
                <w:sz w:val="26"/>
                <w:szCs w:val="26"/>
              </w:rPr>
              <w:t>1.72</w:t>
            </w:r>
          </w:p>
        </w:tc>
        <w:tc>
          <w:tcPr>
            <w:tcW w:w="1980" w:type="dxa"/>
            <w:tcBorders>
              <w:top w:val="nil"/>
              <w:left w:val="single" w:sz="4" w:space="0" w:color="auto"/>
              <w:bottom w:val="nil"/>
              <w:right w:val="single" w:sz="4" w:space="0" w:color="auto"/>
            </w:tcBorders>
            <w:vAlign w:val="bottom"/>
          </w:tcPr>
          <w:p w14:paraId="359C338E" w14:textId="77777777" w:rsidR="00A8096B" w:rsidRPr="00E9174E" w:rsidRDefault="00A8096B" w:rsidP="00E9174E">
            <w:pPr>
              <w:keepNext/>
              <w:keepLines/>
              <w:widowControl/>
              <w:contextualSpacing/>
              <w:jc w:val="center"/>
              <w:rPr>
                <w:sz w:val="26"/>
                <w:szCs w:val="26"/>
              </w:rPr>
            </w:pPr>
            <w:r w:rsidRPr="00E9174E">
              <w:rPr>
                <w:sz w:val="26"/>
                <w:szCs w:val="26"/>
              </w:rPr>
              <w:t>1.52</w:t>
            </w:r>
          </w:p>
        </w:tc>
      </w:tr>
      <w:tr w:rsidR="00A8096B" w:rsidRPr="00E9174E" w14:paraId="0CB1A63D" w14:textId="77777777" w:rsidTr="00CC66FD">
        <w:trPr>
          <w:trHeight w:val="450"/>
          <w:jc w:val="center"/>
        </w:trPr>
        <w:tc>
          <w:tcPr>
            <w:tcW w:w="1818" w:type="dxa"/>
            <w:tcBorders>
              <w:top w:val="nil"/>
              <w:left w:val="single" w:sz="4" w:space="0" w:color="auto"/>
              <w:bottom w:val="nil"/>
              <w:right w:val="single" w:sz="4" w:space="0" w:color="auto"/>
            </w:tcBorders>
            <w:vAlign w:val="bottom"/>
          </w:tcPr>
          <w:p w14:paraId="7B80C89D" w14:textId="77777777" w:rsidR="00A8096B" w:rsidRPr="00E9174E" w:rsidRDefault="00A8096B" w:rsidP="00E9174E">
            <w:pPr>
              <w:keepNext/>
              <w:keepLines/>
              <w:widowControl/>
              <w:contextualSpacing/>
              <w:rPr>
                <w:sz w:val="26"/>
                <w:szCs w:val="26"/>
              </w:rPr>
            </w:pPr>
            <w:r w:rsidRPr="00E9174E">
              <w:rPr>
                <w:sz w:val="26"/>
                <w:szCs w:val="26"/>
              </w:rPr>
              <w:t>LDS/LGSS</w:t>
            </w:r>
          </w:p>
        </w:tc>
        <w:tc>
          <w:tcPr>
            <w:tcW w:w="1890" w:type="dxa"/>
            <w:tcBorders>
              <w:top w:val="nil"/>
              <w:left w:val="single" w:sz="4" w:space="0" w:color="auto"/>
              <w:bottom w:val="nil"/>
              <w:right w:val="single" w:sz="4" w:space="0" w:color="auto"/>
            </w:tcBorders>
            <w:vAlign w:val="bottom"/>
          </w:tcPr>
          <w:p w14:paraId="169D30E4" w14:textId="77777777" w:rsidR="00A8096B" w:rsidRPr="00E9174E" w:rsidRDefault="00A8096B" w:rsidP="00E9174E">
            <w:pPr>
              <w:keepNext/>
              <w:keepLines/>
              <w:widowControl/>
              <w:contextualSpacing/>
              <w:jc w:val="center"/>
              <w:rPr>
                <w:sz w:val="26"/>
                <w:szCs w:val="26"/>
              </w:rPr>
            </w:pPr>
            <w:r w:rsidRPr="00E9174E">
              <w:rPr>
                <w:sz w:val="26"/>
                <w:szCs w:val="26"/>
              </w:rPr>
              <w:t>0.83</w:t>
            </w:r>
          </w:p>
        </w:tc>
        <w:tc>
          <w:tcPr>
            <w:tcW w:w="1980" w:type="dxa"/>
            <w:tcBorders>
              <w:top w:val="nil"/>
              <w:left w:val="single" w:sz="4" w:space="0" w:color="auto"/>
              <w:bottom w:val="nil"/>
              <w:right w:val="single" w:sz="4" w:space="0" w:color="auto"/>
            </w:tcBorders>
            <w:vAlign w:val="bottom"/>
          </w:tcPr>
          <w:p w14:paraId="27694610" w14:textId="77777777" w:rsidR="00A8096B" w:rsidRPr="00E9174E" w:rsidRDefault="00A8096B" w:rsidP="00E9174E">
            <w:pPr>
              <w:keepNext/>
              <w:keepLines/>
              <w:widowControl/>
              <w:contextualSpacing/>
              <w:jc w:val="center"/>
              <w:rPr>
                <w:sz w:val="26"/>
                <w:szCs w:val="26"/>
              </w:rPr>
            </w:pPr>
            <w:r w:rsidRPr="00E9174E">
              <w:rPr>
                <w:sz w:val="26"/>
                <w:szCs w:val="26"/>
              </w:rPr>
              <w:t>0.86</w:t>
            </w:r>
          </w:p>
        </w:tc>
      </w:tr>
      <w:tr w:rsidR="00A8096B" w:rsidRPr="00E9174E" w14:paraId="1A6DFB82" w14:textId="77777777" w:rsidTr="00CC66FD">
        <w:trPr>
          <w:trHeight w:val="450"/>
          <w:jc w:val="center"/>
        </w:trPr>
        <w:tc>
          <w:tcPr>
            <w:tcW w:w="1818" w:type="dxa"/>
            <w:tcBorders>
              <w:top w:val="nil"/>
              <w:left w:val="single" w:sz="4" w:space="0" w:color="auto"/>
              <w:bottom w:val="nil"/>
              <w:right w:val="single" w:sz="4" w:space="0" w:color="auto"/>
            </w:tcBorders>
            <w:vAlign w:val="bottom"/>
          </w:tcPr>
          <w:p w14:paraId="16431E25" w14:textId="77777777" w:rsidR="00A8096B" w:rsidRPr="00E9174E" w:rsidRDefault="00A8096B" w:rsidP="00E9174E">
            <w:pPr>
              <w:keepNext/>
              <w:keepLines/>
              <w:widowControl/>
              <w:contextualSpacing/>
              <w:rPr>
                <w:sz w:val="26"/>
                <w:szCs w:val="26"/>
              </w:rPr>
            </w:pPr>
            <w:r w:rsidRPr="00E9174E">
              <w:rPr>
                <w:sz w:val="26"/>
                <w:szCs w:val="26"/>
              </w:rPr>
              <w:t>MLS/MLDS</w:t>
            </w:r>
          </w:p>
        </w:tc>
        <w:tc>
          <w:tcPr>
            <w:tcW w:w="1890" w:type="dxa"/>
            <w:tcBorders>
              <w:top w:val="nil"/>
              <w:left w:val="single" w:sz="4" w:space="0" w:color="auto"/>
              <w:bottom w:val="nil"/>
              <w:right w:val="single" w:sz="4" w:space="0" w:color="auto"/>
            </w:tcBorders>
            <w:vAlign w:val="bottom"/>
          </w:tcPr>
          <w:p w14:paraId="27E83CD2" w14:textId="77777777" w:rsidR="00A8096B" w:rsidRPr="00E9174E" w:rsidRDefault="00A8096B" w:rsidP="00E9174E">
            <w:pPr>
              <w:keepNext/>
              <w:keepLines/>
              <w:widowControl/>
              <w:contextualSpacing/>
              <w:jc w:val="center"/>
              <w:rPr>
                <w:sz w:val="26"/>
                <w:szCs w:val="26"/>
              </w:rPr>
            </w:pPr>
            <w:r w:rsidRPr="00E9174E">
              <w:rPr>
                <w:sz w:val="26"/>
                <w:szCs w:val="26"/>
              </w:rPr>
              <w:t>16.75</w:t>
            </w:r>
          </w:p>
        </w:tc>
        <w:tc>
          <w:tcPr>
            <w:tcW w:w="1980" w:type="dxa"/>
            <w:tcBorders>
              <w:top w:val="nil"/>
              <w:left w:val="single" w:sz="4" w:space="0" w:color="auto"/>
              <w:bottom w:val="nil"/>
              <w:right w:val="single" w:sz="4" w:space="0" w:color="auto"/>
            </w:tcBorders>
            <w:vAlign w:val="bottom"/>
          </w:tcPr>
          <w:p w14:paraId="137213CB" w14:textId="77777777" w:rsidR="00A8096B" w:rsidRPr="00E9174E" w:rsidRDefault="00A8096B" w:rsidP="00E9174E">
            <w:pPr>
              <w:keepNext/>
              <w:keepLines/>
              <w:widowControl/>
              <w:contextualSpacing/>
              <w:jc w:val="center"/>
              <w:rPr>
                <w:sz w:val="26"/>
                <w:szCs w:val="26"/>
              </w:rPr>
            </w:pPr>
            <w:r w:rsidRPr="00E9174E">
              <w:rPr>
                <w:sz w:val="26"/>
                <w:szCs w:val="26"/>
              </w:rPr>
              <w:t>10.20</w:t>
            </w:r>
          </w:p>
        </w:tc>
      </w:tr>
      <w:tr w:rsidR="00A8096B" w:rsidRPr="00E9174E" w14:paraId="0070048C" w14:textId="77777777" w:rsidTr="00CC66FD">
        <w:trPr>
          <w:trHeight w:val="450"/>
          <w:jc w:val="center"/>
        </w:trPr>
        <w:tc>
          <w:tcPr>
            <w:tcW w:w="1818" w:type="dxa"/>
            <w:tcBorders>
              <w:top w:val="nil"/>
              <w:left w:val="single" w:sz="4" w:space="0" w:color="auto"/>
              <w:bottom w:val="single" w:sz="4" w:space="0" w:color="auto"/>
              <w:right w:val="single" w:sz="4" w:space="0" w:color="auto"/>
            </w:tcBorders>
            <w:vAlign w:val="bottom"/>
          </w:tcPr>
          <w:p w14:paraId="08567CE0" w14:textId="77777777" w:rsidR="00A8096B" w:rsidRPr="00E9174E" w:rsidRDefault="00A8096B" w:rsidP="00E9174E">
            <w:pPr>
              <w:keepNext/>
              <w:keepLines/>
              <w:widowControl/>
              <w:contextualSpacing/>
              <w:rPr>
                <w:sz w:val="26"/>
                <w:szCs w:val="26"/>
              </w:rPr>
            </w:pPr>
            <w:r w:rsidRPr="00E9174E">
              <w:rPr>
                <w:sz w:val="26"/>
                <w:szCs w:val="26"/>
              </w:rPr>
              <w:t>Flex</w:t>
            </w:r>
          </w:p>
        </w:tc>
        <w:tc>
          <w:tcPr>
            <w:tcW w:w="1890" w:type="dxa"/>
            <w:tcBorders>
              <w:top w:val="nil"/>
              <w:left w:val="single" w:sz="4" w:space="0" w:color="auto"/>
              <w:bottom w:val="single" w:sz="4" w:space="0" w:color="auto"/>
            </w:tcBorders>
            <w:vAlign w:val="bottom"/>
          </w:tcPr>
          <w:p w14:paraId="79015E42" w14:textId="77777777" w:rsidR="00A8096B" w:rsidRPr="00E9174E" w:rsidRDefault="00A8096B" w:rsidP="00E9174E">
            <w:pPr>
              <w:keepNext/>
              <w:keepLines/>
              <w:widowControl/>
              <w:contextualSpacing/>
              <w:jc w:val="center"/>
              <w:rPr>
                <w:sz w:val="26"/>
                <w:szCs w:val="26"/>
              </w:rPr>
            </w:pPr>
            <w:r w:rsidRPr="00E9174E">
              <w:rPr>
                <w:sz w:val="26"/>
                <w:szCs w:val="26"/>
              </w:rPr>
              <w:t>(0.67)</w:t>
            </w:r>
          </w:p>
        </w:tc>
        <w:tc>
          <w:tcPr>
            <w:tcW w:w="1980" w:type="dxa"/>
            <w:tcBorders>
              <w:top w:val="nil"/>
              <w:bottom w:val="single" w:sz="4" w:space="0" w:color="auto"/>
            </w:tcBorders>
            <w:vAlign w:val="bottom"/>
          </w:tcPr>
          <w:p w14:paraId="448A15B8" w14:textId="77777777" w:rsidR="00A8096B" w:rsidRPr="00E9174E" w:rsidRDefault="00A8096B" w:rsidP="00E9174E">
            <w:pPr>
              <w:keepNext/>
              <w:keepLines/>
              <w:widowControl/>
              <w:contextualSpacing/>
              <w:jc w:val="center"/>
              <w:rPr>
                <w:sz w:val="26"/>
                <w:szCs w:val="26"/>
              </w:rPr>
            </w:pPr>
            <w:r w:rsidRPr="00E9174E">
              <w:rPr>
                <w:sz w:val="26"/>
                <w:szCs w:val="26"/>
              </w:rPr>
              <w:t>(0.41)</w:t>
            </w:r>
          </w:p>
        </w:tc>
      </w:tr>
      <w:tr w:rsidR="00A8096B" w:rsidRPr="00E9174E" w14:paraId="5FC20CD7" w14:textId="77777777" w:rsidTr="00CC66FD">
        <w:trPr>
          <w:trHeight w:val="503"/>
          <w:jc w:val="center"/>
        </w:trPr>
        <w:tc>
          <w:tcPr>
            <w:tcW w:w="1818" w:type="dxa"/>
            <w:tcBorders>
              <w:top w:val="single" w:sz="4" w:space="0" w:color="auto"/>
              <w:bottom w:val="single" w:sz="4" w:space="0" w:color="auto"/>
            </w:tcBorders>
            <w:vAlign w:val="bottom"/>
          </w:tcPr>
          <w:p w14:paraId="646B1406" w14:textId="77777777" w:rsidR="00A8096B" w:rsidRPr="00E9174E" w:rsidRDefault="00A8096B" w:rsidP="00E9174E">
            <w:pPr>
              <w:keepNext/>
              <w:keepLines/>
              <w:widowControl/>
              <w:contextualSpacing/>
              <w:jc w:val="center"/>
              <w:rPr>
                <w:b/>
                <w:sz w:val="26"/>
                <w:szCs w:val="26"/>
              </w:rPr>
            </w:pPr>
            <w:r w:rsidRPr="00E9174E">
              <w:rPr>
                <w:b/>
                <w:sz w:val="26"/>
                <w:szCs w:val="26"/>
              </w:rPr>
              <w:t>Total</w:t>
            </w:r>
          </w:p>
        </w:tc>
        <w:tc>
          <w:tcPr>
            <w:tcW w:w="1890" w:type="dxa"/>
            <w:tcBorders>
              <w:bottom w:val="single" w:sz="4" w:space="0" w:color="auto"/>
            </w:tcBorders>
            <w:vAlign w:val="bottom"/>
          </w:tcPr>
          <w:p w14:paraId="7AEC079D" w14:textId="77777777" w:rsidR="00A8096B" w:rsidRPr="00E9174E" w:rsidRDefault="00A8096B" w:rsidP="00E9174E">
            <w:pPr>
              <w:keepNext/>
              <w:keepLines/>
              <w:widowControl/>
              <w:contextualSpacing/>
              <w:jc w:val="center"/>
              <w:rPr>
                <w:b/>
                <w:sz w:val="26"/>
                <w:szCs w:val="26"/>
              </w:rPr>
            </w:pPr>
            <w:r w:rsidRPr="00E9174E">
              <w:rPr>
                <w:b/>
                <w:sz w:val="26"/>
                <w:szCs w:val="26"/>
              </w:rPr>
              <w:t>1.00</w:t>
            </w:r>
          </w:p>
        </w:tc>
        <w:tc>
          <w:tcPr>
            <w:tcW w:w="1980" w:type="dxa"/>
            <w:tcBorders>
              <w:bottom w:val="single" w:sz="4" w:space="0" w:color="auto"/>
            </w:tcBorders>
            <w:vAlign w:val="bottom"/>
          </w:tcPr>
          <w:p w14:paraId="4BED0ABF" w14:textId="77777777" w:rsidR="00A8096B" w:rsidRPr="00E9174E" w:rsidRDefault="00A8096B" w:rsidP="00E9174E">
            <w:pPr>
              <w:keepNext/>
              <w:keepLines/>
              <w:widowControl/>
              <w:contextualSpacing/>
              <w:jc w:val="center"/>
              <w:rPr>
                <w:b/>
                <w:sz w:val="26"/>
                <w:szCs w:val="26"/>
              </w:rPr>
            </w:pPr>
            <w:r w:rsidRPr="00E9174E">
              <w:rPr>
                <w:b/>
                <w:sz w:val="26"/>
                <w:szCs w:val="26"/>
              </w:rPr>
              <w:t>1.00</w:t>
            </w:r>
          </w:p>
        </w:tc>
      </w:tr>
      <w:bookmarkEnd w:id="443"/>
    </w:tbl>
    <w:p w14:paraId="32736A93" w14:textId="77777777" w:rsidR="00A8096B" w:rsidRPr="00E9174E" w:rsidRDefault="00A8096B" w:rsidP="00E9174E">
      <w:pPr>
        <w:widowControl/>
        <w:spacing w:line="360" w:lineRule="auto"/>
        <w:ind w:firstLine="1440"/>
        <w:contextualSpacing/>
        <w:rPr>
          <w:sz w:val="26"/>
          <w:szCs w:val="26"/>
        </w:rPr>
      </w:pPr>
    </w:p>
    <w:p w14:paraId="10CC5469" w14:textId="6A2F49D7" w:rsidR="00A8096B" w:rsidRPr="00E9174E" w:rsidRDefault="00A8096B" w:rsidP="00E9174E">
      <w:pPr>
        <w:widowControl/>
        <w:spacing w:line="360" w:lineRule="auto"/>
        <w:contextualSpacing/>
        <w:rPr>
          <w:sz w:val="26"/>
          <w:szCs w:val="26"/>
        </w:rPr>
      </w:pPr>
      <w:r w:rsidRPr="00E9174E">
        <w:rPr>
          <w:i/>
          <w:iCs/>
          <w:sz w:val="26"/>
          <w:szCs w:val="26"/>
        </w:rPr>
        <w:t>See</w:t>
      </w:r>
      <w:r w:rsidRPr="00E9174E">
        <w:rPr>
          <w:sz w:val="26"/>
          <w:szCs w:val="26"/>
        </w:rPr>
        <w:t xml:space="preserve"> CG </w:t>
      </w:r>
      <w:proofErr w:type="spellStart"/>
      <w:r w:rsidRPr="00E9174E">
        <w:rPr>
          <w:sz w:val="26"/>
          <w:szCs w:val="26"/>
        </w:rPr>
        <w:t>Exh</w:t>
      </w:r>
      <w:proofErr w:type="spellEnd"/>
      <w:r w:rsidRPr="00E9174E">
        <w:rPr>
          <w:sz w:val="26"/>
          <w:szCs w:val="26"/>
        </w:rPr>
        <w:t>. 111, Sch. 3</w:t>
      </w:r>
      <w:r w:rsidR="00841EF5" w:rsidRPr="00E9174E">
        <w:rPr>
          <w:sz w:val="26"/>
          <w:szCs w:val="26"/>
        </w:rPr>
        <w:t xml:space="preserve"> at</w:t>
      </w:r>
      <w:r w:rsidRPr="00E9174E">
        <w:rPr>
          <w:sz w:val="26"/>
          <w:szCs w:val="26"/>
        </w:rPr>
        <w:t xml:space="preserve"> 1-2.  Columbia explained its effort to strike a balance between competing rate design goals of fairness and gradualism, contending the LDS/LGSS class remained below the system average rate of return, under the Average ACCOSS, even when allocated the highest percentage increase (27.2%) among the classes.  CG St. 3 at 34-35.  Additionally, Columbia explained that, to the exten</w:t>
      </w:r>
      <w:r w:rsidR="00354555" w:rsidRPr="00E9174E">
        <w:rPr>
          <w:sz w:val="26"/>
          <w:szCs w:val="26"/>
        </w:rPr>
        <w:t>t</w:t>
      </w:r>
      <w:r w:rsidRPr="00E9174E">
        <w:rPr>
          <w:sz w:val="26"/>
          <w:szCs w:val="26"/>
        </w:rPr>
        <w:t xml:space="preserve"> the allowed increase is less than that proposed by the Company, Columbia proposes to use its revenue allocation and rate design to scale back rates proportionally.  CG St. 3-R at 16. </w:t>
      </w:r>
    </w:p>
    <w:p w14:paraId="09CEECCE" w14:textId="77777777" w:rsidR="00A8096B" w:rsidRPr="00E9174E" w:rsidRDefault="00A8096B" w:rsidP="00E9174E">
      <w:pPr>
        <w:widowControl/>
        <w:spacing w:line="360" w:lineRule="auto"/>
        <w:ind w:firstLine="1440"/>
        <w:contextualSpacing/>
        <w:rPr>
          <w:sz w:val="26"/>
          <w:szCs w:val="26"/>
        </w:rPr>
      </w:pPr>
    </w:p>
    <w:p w14:paraId="625F5833" w14:textId="30FD81F4" w:rsidR="00A8096B" w:rsidRPr="00E9174E" w:rsidRDefault="00A8096B" w:rsidP="00E9174E">
      <w:pPr>
        <w:widowControl/>
        <w:spacing w:line="360" w:lineRule="auto"/>
        <w:ind w:firstLine="1440"/>
        <w:contextualSpacing/>
        <w:rPr>
          <w:sz w:val="26"/>
          <w:szCs w:val="26"/>
        </w:rPr>
      </w:pPr>
      <w:r w:rsidRPr="00E9174E">
        <w:rPr>
          <w:sz w:val="26"/>
          <w:szCs w:val="26"/>
        </w:rPr>
        <w:t xml:space="preserve">In their respective Briefs I&amp;E, the OCA, the OSBA, CII, and PSU each presented alternative and conflicting recommendations for how to allocate revenue to the various customer classes.  I&amp;E M.B. at 95; OCA M.B. at 155-158; OSBA M.B. at 15-19; CII M.B. at 15-17; PSU M.B. at 14.  However, the OCA and the OSBA are the only </w:t>
      </w:r>
      <w:r w:rsidRPr="00E9174E">
        <w:rPr>
          <w:sz w:val="26"/>
          <w:szCs w:val="26"/>
        </w:rPr>
        <w:lastRenderedPageBreak/>
        <w:t>Parties that presented their own proposed allocation of revenue to the rate classes.</w:t>
      </w:r>
      <w:r w:rsidRPr="00E9174E">
        <w:rPr>
          <w:sz w:val="26"/>
          <w:szCs w:val="26"/>
          <w:vertAlign w:val="superscript"/>
        </w:rPr>
        <w:footnoteReference w:id="92"/>
      </w:r>
      <w:r w:rsidRPr="00E9174E">
        <w:rPr>
          <w:sz w:val="26"/>
          <w:szCs w:val="26"/>
        </w:rPr>
        <w:t xml:space="preserve">  OCA St. 4 at 35; OSBA M.B. at 18.  </w:t>
      </w:r>
    </w:p>
    <w:p w14:paraId="7EC793A9" w14:textId="77777777" w:rsidR="00A8096B" w:rsidRPr="00E9174E" w:rsidRDefault="00A8096B" w:rsidP="00E9174E">
      <w:pPr>
        <w:widowControl/>
        <w:spacing w:line="360" w:lineRule="auto"/>
        <w:ind w:firstLine="1440"/>
        <w:contextualSpacing/>
        <w:rPr>
          <w:sz w:val="26"/>
          <w:szCs w:val="26"/>
        </w:rPr>
      </w:pPr>
    </w:p>
    <w:p w14:paraId="4978B341" w14:textId="2A223A55" w:rsidR="00A8096B" w:rsidRPr="00E9174E" w:rsidRDefault="00A8096B" w:rsidP="00E9174E">
      <w:pPr>
        <w:widowControl/>
        <w:spacing w:line="360" w:lineRule="auto"/>
        <w:ind w:firstLine="1440"/>
        <w:contextualSpacing/>
        <w:rPr>
          <w:sz w:val="26"/>
          <w:szCs w:val="26"/>
        </w:rPr>
      </w:pPr>
      <w:r w:rsidRPr="00E9174E">
        <w:rPr>
          <w:sz w:val="26"/>
          <w:szCs w:val="26"/>
        </w:rPr>
        <w:t>I&amp;E recommended that revenue be allocated in accordance with the Company’s P&amp;A ACCOSS.  I&amp;E St. 3 at 16.  However, in the event that the Commission grants less than the Company’s requested increase, I&amp;E recommended that all customer charges and usage rates that have been proposed</w:t>
      </w:r>
      <w:r w:rsidR="00812230" w:rsidRPr="00E9174E">
        <w:rPr>
          <w:sz w:val="26"/>
          <w:szCs w:val="26"/>
        </w:rPr>
        <w:t xml:space="preserve"> as</w:t>
      </w:r>
      <w:r w:rsidRPr="00E9174E">
        <w:rPr>
          <w:sz w:val="26"/>
          <w:szCs w:val="26"/>
        </w:rPr>
        <w:t xml:space="preserve"> an increase be scaled back proportionally based on the ACCOSS that is ultimately approved by the Commission.  I&amp;E St. 3 at 24.  </w:t>
      </w:r>
    </w:p>
    <w:p w14:paraId="36819E01" w14:textId="77777777" w:rsidR="00A8096B" w:rsidRPr="00E9174E" w:rsidRDefault="00A8096B" w:rsidP="00E9174E">
      <w:pPr>
        <w:widowControl/>
        <w:spacing w:line="360" w:lineRule="auto"/>
        <w:ind w:firstLine="1440"/>
        <w:contextualSpacing/>
        <w:rPr>
          <w:sz w:val="26"/>
          <w:szCs w:val="26"/>
        </w:rPr>
      </w:pPr>
    </w:p>
    <w:p w14:paraId="25975A97" w14:textId="77777777" w:rsidR="00A8096B" w:rsidRPr="00E9174E" w:rsidRDefault="00A8096B" w:rsidP="00E9174E">
      <w:pPr>
        <w:widowControl/>
        <w:spacing w:line="360" w:lineRule="auto"/>
        <w:ind w:firstLine="1440"/>
        <w:contextualSpacing/>
        <w:rPr>
          <w:sz w:val="26"/>
          <w:szCs w:val="26"/>
        </w:rPr>
      </w:pPr>
      <w:r w:rsidRPr="00E9174E">
        <w:rPr>
          <w:sz w:val="26"/>
          <w:szCs w:val="26"/>
        </w:rPr>
        <w:t xml:space="preserve">The OCA contended that Columbia’s proposed revenue allocation is unreasonable because it was guided by the results of its Average ACCOSS, which merely incorporated the unreliable results of the Company’s P&amp;A and Customer-Demand ACCOSSs due to the flaws of each identified by the OCA’s witness, Mr. Jerome D. </w:t>
      </w:r>
      <w:proofErr w:type="spellStart"/>
      <w:r w:rsidRPr="00E9174E">
        <w:rPr>
          <w:sz w:val="26"/>
          <w:szCs w:val="26"/>
        </w:rPr>
        <w:t>Mierzwa</w:t>
      </w:r>
      <w:proofErr w:type="spellEnd"/>
      <w:r w:rsidRPr="00E9174E">
        <w:rPr>
          <w:sz w:val="26"/>
          <w:szCs w:val="26"/>
        </w:rPr>
        <w:t xml:space="preserve">.  OCA St. 4 at 34.  In the alternative, the OCA argued that its P&amp;A ACCOSS should be used to allocate any revenue increase for the following reason:  </w:t>
      </w:r>
    </w:p>
    <w:p w14:paraId="3A7B1E9C" w14:textId="77777777" w:rsidR="00A8096B" w:rsidRPr="00E9174E" w:rsidRDefault="00A8096B" w:rsidP="001A2194">
      <w:pPr>
        <w:widowControl/>
        <w:ind w:firstLine="1440"/>
        <w:contextualSpacing/>
        <w:rPr>
          <w:sz w:val="26"/>
          <w:szCs w:val="26"/>
        </w:rPr>
      </w:pPr>
    </w:p>
    <w:p w14:paraId="205212A7" w14:textId="77777777" w:rsidR="00A8096B" w:rsidRPr="00E9174E" w:rsidRDefault="00A8096B" w:rsidP="00E9174E">
      <w:pPr>
        <w:widowControl/>
        <w:ind w:left="1440" w:right="1440"/>
        <w:contextualSpacing/>
        <w:rPr>
          <w:sz w:val="26"/>
          <w:szCs w:val="26"/>
        </w:rPr>
      </w:pPr>
      <w:r w:rsidRPr="00E9174E">
        <w:rPr>
          <w:sz w:val="26"/>
          <w:szCs w:val="26"/>
        </w:rPr>
        <w:t xml:space="preserve">First, I maintained the Company’s proposal for the distribution of the revenue increase to the MLDS and flex classes.  As indicated in Table 5, the indicated rates of return at present rates for the SDS/LGSS and LDS/LGSS classes were less than the system average return.  I assigned a 1.5 times system average increase to each class.  For the SGSS1/SCDS1/SGDS1, and SGSS2/SCD2/SGDS2 classes, I assigned an increase which was 1.25 times the system average increase.  This recognizes that at present rates the return for each of these classes is close to the system average return, and provides a contribution to offset the revenue </w:t>
      </w:r>
      <w:r w:rsidRPr="00E9174E">
        <w:rPr>
          <w:sz w:val="26"/>
          <w:szCs w:val="26"/>
        </w:rPr>
        <w:lastRenderedPageBreak/>
        <w:t>deficiency of the SDS/LGSS and LDS/LGSS classes whose increases were capped at 1.5 times the system average increase.  I assigned the remainder of CPA’s requested increase to the RSS/RDS class.</w:t>
      </w:r>
    </w:p>
    <w:p w14:paraId="07A24B31" w14:textId="77777777" w:rsidR="00A8096B" w:rsidRPr="00E9174E" w:rsidRDefault="00A8096B" w:rsidP="00E9174E">
      <w:pPr>
        <w:widowControl/>
        <w:spacing w:line="360" w:lineRule="auto"/>
        <w:contextualSpacing/>
        <w:rPr>
          <w:sz w:val="26"/>
          <w:szCs w:val="26"/>
        </w:rPr>
      </w:pPr>
    </w:p>
    <w:p w14:paraId="782B44F4" w14:textId="77777777" w:rsidR="00A8096B" w:rsidRPr="00E9174E" w:rsidRDefault="00A8096B" w:rsidP="00E9174E">
      <w:pPr>
        <w:widowControl/>
        <w:spacing w:line="360" w:lineRule="auto"/>
        <w:contextualSpacing/>
        <w:rPr>
          <w:sz w:val="26"/>
          <w:szCs w:val="26"/>
        </w:rPr>
      </w:pPr>
      <w:r w:rsidRPr="00E9174E">
        <w:rPr>
          <w:sz w:val="26"/>
          <w:szCs w:val="26"/>
        </w:rPr>
        <w:t xml:space="preserve">OCA St. 4 at 35-36.  </w:t>
      </w:r>
    </w:p>
    <w:p w14:paraId="2F0140A6" w14:textId="77777777" w:rsidR="00A8096B" w:rsidRPr="00E9174E" w:rsidRDefault="00A8096B" w:rsidP="00E9174E">
      <w:pPr>
        <w:widowControl/>
        <w:spacing w:line="360" w:lineRule="auto"/>
        <w:ind w:firstLine="1440"/>
        <w:contextualSpacing/>
        <w:rPr>
          <w:sz w:val="26"/>
          <w:szCs w:val="26"/>
        </w:rPr>
      </w:pPr>
    </w:p>
    <w:p w14:paraId="5E19EB75" w14:textId="77777777" w:rsidR="00A8096B" w:rsidRPr="00E9174E" w:rsidRDefault="00A8096B" w:rsidP="00E9174E">
      <w:pPr>
        <w:widowControl/>
        <w:spacing w:line="360" w:lineRule="auto"/>
        <w:ind w:firstLine="1440"/>
        <w:contextualSpacing/>
        <w:rPr>
          <w:sz w:val="26"/>
          <w:szCs w:val="26"/>
        </w:rPr>
      </w:pPr>
      <w:r w:rsidRPr="00E9174E">
        <w:rPr>
          <w:sz w:val="26"/>
          <w:szCs w:val="26"/>
        </w:rPr>
        <w:t xml:space="preserve">In place of Columbia’s proposed revenue distribution, the OCA presented its own proposal for revenue distribution shown below.  </w:t>
      </w:r>
    </w:p>
    <w:p w14:paraId="236AC877" w14:textId="77777777" w:rsidR="00A8096B" w:rsidRPr="00E9174E" w:rsidRDefault="00A8096B" w:rsidP="00E9174E">
      <w:pPr>
        <w:widowControl/>
        <w:spacing w:line="360" w:lineRule="auto"/>
        <w:ind w:firstLine="1440"/>
        <w:contextualSpacing/>
        <w:rPr>
          <w:sz w:val="26"/>
          <w:szCs w:val="26"/>
        </w:rPr>
      </w:pPr>
    </w:p>
    <w:tbl>
      <w:tblPr>
        <w:tblW w:w="8753" w:type="dxa"/>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1800"/>
        <w:gridCol w:w="1980"/>
        <w:gridCol w:w="1710"/>
        <w:gridCol w:w="1463"/>
      </w:tblGrid>
      <w:tr w:rsidR="00A8096B" w:rsidRPr="00E9174E" w14:paraId="5A2D9E94" w14:textId="77777777" w:rsidTr="00CC66FD">
        <w:trPr>
          <w:trHeight w:val="548"/>
        </w:trPr>
        <w:tc>
          <w:tcPr>
            <w:tcW w:w="8753" w:type="dxa"/>
            <w:gridSpan w:val="5"/>
            <w:tcBorders>
              <w:bottom w:val="single" w:sz="4" w:space="0" w:color="auto"/>
            </w:tcBorders>
            <w:vAlign w:val="center"/>
          </w:tcPr>
          <w:p w14:paraId="5299325B" w14:textId="77777777" w:rsidR="00A8096B" w:rsidRPr="00E9174E" w:rsidRDefault="00A8096B" w:rsidP="00E9174E">
            <w:pPr>
              <w:keepNext/>
              <w:keepLines/>
              <w:widowControl/>
              <w:ind w:left="360"/>
              <w:contextualSpacing/>
              <w:jc w:val="center"/>
              <w:rPr>
                <w:b/>
                <w:sz w:val="26"/>
                <w:szCs w:val="26"/>
              </w:rPr>
            </w:pPr>
            <w:r w:rsidRPr="00E9174E">
              <w:rPr>
                <w:b/>
                <w:sz w:val="26"/>
                <w:szCs w:val="26"/>
              </w:rPr>
              <w:t>OCA’s Proposed Revenue Distribution</w:t>
            </w:r>
          </w:p>
        </w:tc>
      </w:tr>
      <w:tr w:rsidR="00A8096B" w:rsidRPr="00E9174E" w14:paraId="1363DDD0" w14:textId="77777777" w:rsidTr="00CC66FD">
        <w:trPr>
          <w:trHeight w:val="503"/>
        </w:trPr>
        <w:tc>
          <w:tcPr>
            <w:tcW w:w="1800" w:type="dxa"/>
            <w:tcBorders>
              <w:bottom w:val="single" w:sz="4" w:space="0" w:color="auto"/>
            </w:tcBorders>
            <w:vAlign w:val="bottom"/>
          </w:tcPr>
          <w:p w14:paraId="23298595" w14:textId="77777777" w:rsidR="00A8096B" w:rsidRPr="00E9174E" w:rsidRDefault="00A8096B" w:rsidP="00E9174E">
            <w:pPr>
              <w:keepNext/>
              <w:keepLines/>
              <w:widowControl/>
              <w:contextualSpacing/>
              <w:rPr>
                <w:b/>
                <w:sz w:val="26"/>
                <w:szCs w:val="26"/>
              </w:rPr>
            </w:pPr>
            <w:r w:rsidRPr="00E9174E">
              <w:rPr>
                <w:b/>
                <w:sz w:val="26"/>
                <w:szCs w:val="26"/>
              </w:rPr>
              <w:t>Class</w:t>
            </w:r>
          </w:p>
        </w:tc>
        <w:tc>
          <w:tcPr>
            <w:tcW w:w="1800" w:type="dxa"/>
            <w:tcBorders>
              <w:bottom w:val="single" w:sz="4" w:space="0" w:color="auto"/>
            </w:tcBorders>
            <w:vAlign w:val="bottom"/>
          </w:tcPr>
          <w:p w14:paraId="0AF67B9A" w14:textId="77777777" w:rsidR="00A8096B" w:rsidRPr="00E9174E" w:rsidRDefault="00A8096B" w:rsidP="00E9174E">
            <w:pPr>
              <w:keepNext/>
              <w:keepLines/>
              <w:widowControl/>
              <w:contextualSpacing/>
              <w:jc w:val="center"/>
              <w:rPr>
                <w:b/>
                <w:sz w:val="26"/>
                <w:szCs w:val="26"/>
              </w:rPr>
            </w:pPr>
            <w:r w:rsidRPr="00E9174E">
              <w:rPr>
                <w:b/>
                <w:sz w:val="26"/>
                <w:szCs w:val="26"/>
              </w:rPr>
              <w:t>Present Rates</w:t>
            </w:r>
          </w:p>
        </w:tc>
        <w:tc>
          <w:tcPr>
            <w:tcW w:w="1980" w:type="dxa"/>
            <w:tcBorders>
              <w:bottom w:val="single" w:sz="4" w:space="0" w:color="auto"/>
            </w:tcBorders>
            <w:vAlign w:val="bottom"/>
          </w:tcPr>
          <w:p w14:paraId="2CF06796" w14:textId="77777777" w:rsidR="00A8096B" w:rsidRPr="00E9174E" w:rsidRDefault="00A8096B" w:rsidP="00E9174E">
            <w:pPr>
              <w:keepNext/>
              <w:keepLines/>
              <w:widowControl/>
              <w:contextualSpacing/>
              <w:jc w:val="center"/>
              <w:rPr>
                <w:b/>
                <w:sz w:val="26"/>
                <w:szCs w:val="26"/>
              </w:rPr>
            </w:pPr>
            <w:r w:rsidRPr="00E9174E">
              <w:rPr>
                <w:b/>
                <w:sz w:val="26"/>
                <w:szCs w:val="26"/>
              </w:rPr>
              <w:t>Proposed Rates</w:t>
            </w:r>
          </w:p>
        </w:tc>
        <w:tc>
          <w:tcPr>
            <w:tcW w:w="1710" w:type="dxa"/>
            <w:tcBorders>
              <w:bottom w:val="single" w:sz="4" w:space="0" w:color="auto"/>
            </w:tcBorders>
            <w:vAlign w:val="bottom"/>
          </w:tcPr>
          <w:p w14:paraId="1DC2B884" w14:textId="77777777" w:rsidR="00A8096B" w:rsidRPr="00E9174E" w:rsidRDefault="00A8096B" w:rsidP="00E9174E">
            <w:pPr>
              <w:keepNext/>
              <w:keepLines/>
              <w:widowControl/>
              <w:contextualSpacing/>
              <w:jc w:val="center"/>
              <w:rPr>
                <w:b/>
                <w:sz w:val="26"/>
                <w:szCs w:val="26"/>
              </w:rPr>
            </w:pPr>
            <w:r w:rsidRPr="00E9174E">
              <w:rPr>
                <w:b/>
                <w:sz w:val="26"/>
                <w:szCs w:val="26"/>
              </w:rPr>
              <w:t>Increase</w:t>
            </w:r>
          </w:p>
        </w:tc>
        <w:tc>
          <w:tcPr>
            <w:tcW w:w="1463" w:type="dxa"/>
            <w:tcBorders>
              <w:bottom w:val="single" w:sz="4" w:space="0" w:color="auto"/>
            </w:tcBorders>
            <w:vAlign w:val="bottom"/>
          </w:tcPr>
          <w:p w14:paraId="522D5D52" w14:textId="77777777" w:rsidR="00A8096B" w:rsidRPr="00E9174E" w:rsidRDefault="00A8096B" w:rsidP="00E9174E">
            <w:pPr>
              <w:keepNext/>
              <w:keepLines/>
              <w:widowControl/>
              <w:contextualSpacing/>
              <w:jc w:val="center"/>
              <w:rPr>
                <w:b/>
                <w:sz w:val="26"/>
                <w:szCs w:val="26"/>
              </w:rPr>
            </w:pPr>
            <w:r w:rsidRPr="00E9174E">
              <w:rPr>
                <w:b/>
                <w:sz w:val="26"/>
                <w:szCs w:val="26"/>
              </w:rPr>
              <w:t>Increase</w:t>
            </w:r>
          </w:p>
          <w:p w14:paraId="3161E390" w14:textId="77777777" w:rsidR="00A8096B" w:rsidRPr="00E9174E" w:rsidRDefault="00A8096B" w:rsidP="00E9174E">
            <w:pPr>
              <w:keepNext/>
              <w:keepLines/>
              <w:widowControl/>
              <w:contextualSpacing/>
              <w:jc w:val="center"/>
              <w:rPr>
                <w:b/>
                <w:sz w:val="26"/>
                <w:szCs w:val="26"/>
              </w:rPr>
            </w:pPr>
            <w:r w:rsidRPr="00E9174E">
              <w:rPr>
                <w:b/>
                <w:sz w:val="26"/>
                <w:szCs w:val="26"/>
              </w:rPr>
              <w:t>Percent</w:t>
            </w:r>
          </w:p>
        </w:tc>
      </w:tr>
      <w:tr w:rsidR="00A8096B" w:rsidRPr="00E9174E" w14:paraId="4161DA32" w14:textId="77777777" w:rsidTr="00CC66FD">
        <w:trPr>
          <w:trHeight w:val="422"/>
        </w:trPr>
        <w:tc>
          <w:tcPr>
            <w:tcW w:w="1800" w:type="dxa"/>
            <w:tcBorders>
              <w:top w:val="single" w:sz="4" w:space="0" w:color="auto"/>
              <w:left w:val="single" w:sz="4" w:space="0" w:color="auto"/>
              <w:bottom w:val="nil"/>
              <w:right w:val="single" w:sz="4" w:space="0" w:color="auto"/>
            </w:tcBorders>
            <w:vAlign w:val="bottom"/>
          </w:tcPr>
          <w:p w14:paraId="79412783" w14:textId="77777777" w:rsidR="00A8096B" w:rsidRPr="00E9174E" w:rsidRDefault="00A8096B" w:rsidP="00E9174E">
            <w:pPr>
              <w:keepNext/>
              <w:keepLines/>
              <w:widowControl/>
              <w:contextualSpacing/>
              <w:rPr>
                <w:sz w:val="26"/>
                <w:szCs w:val="26"/>
              </w:rPr>
            </w:pPr>
            <w:r w:rsidRPr="00E9174E">
              <w:rPr>
                <w:sz w:val="26"/>
                <w:szCs w:val="26"/>
              </w:rPr>
              <w:t>RSS/RDS</w:t>
            </w:r>
          </w:p>
        </w:tc>
        <w:tc>
          <w:tcPr>
            <w:tcW w:w="1800" w:type="dxa"/>
            <w:tcBorders>
              <w:top w:val="single" w:sz="4" w:space="0" w:color="auto"/>
              <w:left w:val="single" w:sz="4" w:space="0" w:color="auto"/>
              <w:bottom w:val="nil"/>
              <w:right w:val="single" w:sz="4" w:space="0" w:color="auto"/>
            </w:tcBorders>
            <w:vAlign w:val="bottom"/>
          </w:tcPr>
          <w:p w14:paraId="5395BA36" w14:textId="77777777" w:rsidR="00A8096B" w:rsidRPr="00E9174E" w:rsidRDefault="00A8096B" w:rsidP="00E9174E">
            <w:pPr>
              <w:keepNext/>
              <w:keepLines/>
              <w:widowControl/>
              <w:contextualSpacing/>
              <w:rPr>
                <w:sz w:val="26"/>
                <w:szCs w:val="26"/>
              </w:rPr>
            </w:pPr>
            <w:r w:rsidRPr="00E9174E">
              <w:rPr>
                <w:sz w:val="26"/>
                <w:szCs w:val="26"/>
              </w:rPr>
              <w:t>$292,185,976</w:t>
            </w:r>
          </w:p>
        </w:tc>
        <w:tc>
          <w:tcPr>
            <w:tcW w:w="1980" w:type="dxa"/>
            <w:tcBorders>
              <w:top w:val="single" w:sz="4" w:space="0" w:color="auto"/>
              <w:left w:val="single" w:sz="4" w:space="0" w:color="auto"/>
              <w:bottom w:val="nil"/>
              <w:right w:val="single" w:sz="4" w:space="0" w:color="auto"/>
            </w:tcBorders>
            <w:vAlign w:val="bottom"/>
          </w:tcPr>
          <w:p w14:paraId="32157991" w14:textId="77777777" w:rsidR="00A8096B" w:rsidRPr="00E9174E" w:rsidRDefault="00A8096B" w:rsidP="00E9174E">
            <w:pPr>
              <w:keepNext/>
              <w:keepLines/>
              <w:widowControl/>
              <w:contextualSpacing/>
              <w:rPr>
                <w:sz w:val="26"/>
                <w:szCs w:val="26"/>
              </w:rPr>
            </w:pPr>
            <w:r w:rsidRPr="00E9174E">
              <w:rPr>
                <w:sz w:val="26"/>
                <w:szCs w:val="26"/>
              </w:rPr>
              <w:t>$354,799,715</w:t>
            </w:r>
          </w:p>
        </w:tc>
        <w:tc>
          <w:tcPr>
            <w:tcW w:w="1710" w:type="dxa"/>
            <w:tcBorders>
              <w:top w:val="single" w:sz="4" w:space="0" w:color="auto"/>
              <w:left w:val="single" w:sz="4" w:space="0" w:color="auto"/>
              <w:bottom w:val="nil"/>
              <w:right w:val="single" w:sz="4" w:space="0" w:color="auto"/>
            </w:tcBorders>
            <w:vAlign w:val="bottom"/>
          </w:tcPr>
          <w:p w14:paraId="7CE5823E" w14:textId="77777777" w:rsidR="00A8096B" w:rsidRPr="00E9174E" w:rsidRDefault="00A8096B" w:rsidP="00E9174E">
            <w:pPr>
              <w:keepNext/>
              <w:keepLines/>
              <w:widowControl/>
              <w:contextualSpacing/>
              <w:rPr>
                <w:sz w:val="26"/>
                <w:szCs w:val="26"/>
              </w:rPr>
            </w:pPr>
            <w:r w:rsidRPr="00E9174E">
              <w:rPr>
                <w:sz w:val="26"/>
                <w:szCs w:val="26"/>
              </w:rPr>
              <w:t>$62,613,739</w:t>
            </w:r>
          </w:p>
        </w:tc>
        <w:tc>
          <w:tcPr>
            <w:tcW w:w="1463" w:type="dxa"/>
            <w:tcBorders>
              <w:top w:val="single" w:sz="4" w:space="0" w:color="auto"/>
              <w:left w:val="single" w:sz="4" w:space="0" w:color="auto"/>
              <w:bottom w:val="nil"/>
              <w:right w:val="single" w:sz="4" w:space="0" w:color="auto"/>
            </w:tcBorders>
            <w:vAlign w:val="bottom"/>
          </w:tcPr>
          <w:p w14:paraId="0BC28B2C" w14:textId="77777777" w:rsidR="00A8096B" w:rsidRPr="00E9174E" w:rsidRDefault="00A8096B" w:rsidP="00E9174E">
            <w:pPr>
              <w:keepNext/>
              <w:keepLines/>
              <w:widowControl/>
              <w:contextualSpacing/>
              <w:jc w:val="center"/>
              <w:rPr>
                <w:sz w:val="26"/>
                <w:szCs w:val="26"/>
              </w:rPr>
            </w:pPr>
            <w:r w:rsidRPr="00E9174E">
              <w:rPr>
                <w:sz w:val="26"/>
                <w:szCs w:val="26"/>
              </w:rPr>
              <w:t>21.4%</w:t>
            </w:r>
          </w:p>
        </w:tc>
      </w:tr>
      <w:tr w:rsidR="00A8096B" w:rsidRPr="00E9174E" w14:paraId="31334E35" w14:textId="77777777" w:rsidTr="00CC66FD">
        <w:trPr>
          <w:trHeight w:val="207"/>
        </w:trPr>
        <w:tc>
          <w:tcPr>
            <w:tcW w:w="1800" w:type="dxa"/>
            <w:tcBorders>
              <w:top w:val="nil"/>
              <w:left w:val="single" w:sz="4" w:space="0" w:color="auto"/>
              <w:bottom w:val="nil"/>
              <w:right w:val="single" w:sz="4" w:space="0" w:color="auto"/>
            </w:tcBorders>
            <w:vAlign w:val="bottom"/>
          </w:tcPr>
          <w:p w14:paraId="61FC8761" w14:textId="77777777" w:rsidR="00A8096B" w:rsidRPr="00E9174E" w:rsidRDefault="00A8096B" w:rsidP="00E9174E">
            <w:pPr>
              <w:keepNext/>
              <w:keepLines/>
              <w:widowControl/>
              <w:contextualSpacing/>
              <w:rPr>
                <w:sz w:val="26"/>
                <w:szCs w:val="26"/>
              </w:rPr>
            </w:pPr>
          </w:p>
        </w:tc>
        <w:tc>
          <w:tcPr>
            <w:tcW w:w="1800" w:type="dxa"/>
            <w:tcBorders>
              <w:top w:val="nil"/>
              <w:left w:val="single" w:sz="4" w:space="0" w:color="auto"/>
              <w:bottom w:val="nil"/>
              <w:right w:val="single" w:sz="4" w:space="0" w:color="auto"/>
            </w:tcBorders>
            <w:vAlign w:val="bottom"/>
          </w:tcPr>
          <w:p w14:paraId="2FE27E90" w14:textId="77777777" w:rsidR="00A8096B" w:rsidRPr="00E9174E" w:rsidRDefault="00A8096B" w:rsidP="00E9174E">
            <w:pPr>
              <w:keepNext/>
              <w:keepLines/>
              <w:widowControl/>
              <w:contextualSpacing/>
              <w:rPr>
                <w:sz w:val="26"/>
                <w:szCs w:val="26"/>
              </w:rPr>
            </w:pPr>
          </w:p>
        </w:tc>
        <w:tc>
          <w:tcPr>
            <w:tcW w:w="1980" w:type="dxa"/>
            <w:tcBorders>
              <w:top w:val="nil"/>
              <w:left w:val="single" w:sz="4" w:space="0" w:color="auto"/>
              <w:bottom w:val="nil"/>
              <w:right w:val="single" w:sz="4" w:space="0" w:color="auto"/>
            </w:tcBorders>
            <w:vAlign w:val="bottom"/>
          </w:tcPr>
          <w:p w14:paraId="1F1E2A7D" w14:textId="77777777" w:rsidR="00A8096B" w:rsidRPr="00E9174E" w:rsidRDefault="00A8096B" w:rsidP="00E9174E">
            <w:pPr>
              <w:keepNext/>
              <w:keepLines/>
              <w:widowControl/>
              <w:contextualSpacing/>
              <w:rPr>
                <w:sz w:val="26"/>
                <w:szCs w:val="26"/>
              </w:rPr>
            </w:pPr>
          </w:p>
        </w:tc>
        <w:tc>
          <w:tcPr>
            <w:tcW w:w="1710" w:type="dxa"/>
            <w:tcBorders>
              <w:top w:val="nil"/>
              <w:left w:val="single" w:sz="4" w:space="0" w:color="auto"/>
              <w:bottom w:val="nil"/>
              <w:right w:val="single" w:sz="4" w:space="0" w:color="auto"/>
            </w:tcBorders>
            <w:vAlign w:val="bottom"/>
          </w:tcPr>
          <w:p w14:paraId="6350BE85" w14:textId="77777777" w:rsidR="00A8096B" w:rsidRPr="00E9174E" w:rsidRDefault="00A8096B" w:rsidP="00E9174E">
            <w:pPr>
              <w:keepNext/>
              <w:keepLines/>
              <w:widowControl/>
              <w:contextualSpacing/>
              <w:rPr>
                <w:sz w:val="26"/>
                <w:szCs w:val="26"/>
              </w:rPr>
            </w:pPr>
          </w:p>
        </w:tc>
        <w:tc>
          <w:tcPr>
            <w:tcW w:w="1463" w:type="dxa"/>
            <w:tcBorders>
              <w:top w:val="nil"/>
              <w:left w:val="single" w:sz="4" w:space="0" w:color="auto"/>
              <w:bottom w:val="nil"/>
              <w:right w:val="single" w:sz="4" w:space="0" w:color="auto"/>
            </w:tcBorders>
            <w:vAlign w:val="bottom"/>
          </w:tcPr>
          <w:p w14:paraId="2BA9EE9A" w14:textId="77777777" w:rsidR="00A8096B" w:rsidRPr="00E9174E" w:rsidRDefault="00A8096B" w:rsidP="00E9174E">
            <w:pPr>
              <w:keepNext/>
              <w:keepLines/>
              <w:widowControl/>
              <w:contextualSpacing/>
              <w:jc w:val="center"/>
              <w:rPr>
                <w:sz w:val="26"/>
                <w:szCs w:val="26"/>
              </w:rPr>
            </w:pPr>
          </w:p>
        </w:tc>
      </w:tr>
      <w:tr w:rsidR="00A8096B" w:rsidRPr="00E9174E" w14:paraId="46FFEA64" w14:textId="77777777" w:rsidTr="00CC66FD">
        <w:trPr>
          <w:trHeight w:val="450"/>
        </w:trPr>
        <w:tc>
          <w:tcPr>
            <w:tcW w:w="1800" w:type="dxa"/>
            <w:tcBorders>
              <w:top w:val="nil"/>
              <w:left w:val="single" w:sz="4" w:space="0" w:color="auto"/>
              <w:bottom w:val="nil"/>
              <w:right w:val="single" w:sz="4" w:space="0" w:color="auto"/>
            </w:tcBorders>
            <w:vAlign w:val="bottom"/>
          </w:tcPr>
          <w:p w14:paraId="184C0CF1" w14:textId="77777777" w:rsidR="00A8096B" w:rsidRPr="00E9174E" w:rsidRDefault="00A8096B" w:rsidP="00E9174E">
            <w:pPr>
              <w:keepNext/>
              <w:keepLines/>
              <w:widowControl/>
              <w:contextualSpacing/>
              <w:rPr>
                <w:sz w:val="26"/>
                <w:szCs w:val="26"/>
              </w:rPr>
            </w:pPr>
            <w:r w:rsidRPr="00E9174E">
              <w:rPr>
                <w:sz w:val="26"/>
                <w:szCs w:val="26"/>
              </w:rPr>
              <w:t>SGSS1/SCD1/SGDS1</w:t>
            </w:r>
          </w:p>
        </w:tc>
        <w:tc>
          <w:tcPr>
            <w:tcW w:w="1800" w:type="dxa"/>
            <w:tcBorders>
              <w:top w:val="nil"/>
              <w:left w:val="single" w:sz="4" w:space="0" w:color="auto"/>
              <w:bottom w:val="nil"/>
              <w:right w:val="single" w:sz="4" w:space="0" w:color="auto"/>
            </w:tcBorders>
            <w:vAlign w:val="bottom"/>
          </w:tcPr>
          <w:p w14:paraId="38992A2E" w14:textId="77777777" w:rsidR="00A8096B" w:rsidRPr="00E9174E" w:rsidRDefault="00A8096B" w:rsidP="00E9174E">
            <w:pPr>
              <w:keepNext/>
              <w:keepLines/>
              <w:widowControl/>
              <w:contextualSpacing/>
              <w:rPr>
                <w:sz w:val="26"/>
                <w:szCs w:val="26"/>
              </w:rPr>
            </w:pPr>
            <w:r w:rsidRPr="00E9174E">
              <w:rPr>
                <w:sz w:val="26"/>
                <w:szCs w:val="26"/>
              </w:rPr>
              <w:t>$33,641,932</w:t>
            </w:r>
          </w:p>
        </w:tc>
        <w:tc>
          <w:tcPr>
            <w:tcW w:w="1980" w:type="dxa"/>
            <w:tcBorders>
              <w:top w:val="nil"/>
              <w:left w:val="single" w:sz="4" w:space="0" w:color="auto"/>
              <w:bottom w:val="nil"/>
              <w:right w:val="single" w:sz="4" w:space="0" w:color="auto"/>
            </w:tcBorders>
            <w:vAlign w:val="bottom"/>
          </w:tcPr>
          <w:p w14:paraId="66F3FC21" w14:textId="77777777" w:rsidR="00A8096B" w:rsidRPr="00E9174E" w:rsidRDefault="00A8096B" w:rsidP="00E9174E">
            <w:pPr>
              <w:keepNext/>
              <w:keepLines/>
              <w:widowControl/>
              <w:contextualSpacing/>
              <w:rPr>
                <w:sz w:val="26"/>
                <w:szCs w:val="26"/>
              </w:rPr>
            </w:pPr>
            <w:r w:rsidRPr="00E9174E">
              <w:rPr>
                <w:sz w:val="26"/>
                <w:szCs w:val="26"/>
              </w:rPr>
              <w:t>$43,732,252</w:t>
            </w:r>
          </w:p>
        </w:tc>
        <w:tc>
          <w:tcPr>
            <w:tcW w:w="1710" w:type="dxa"/>
            <w:tcBorders>
              <w:top w:val="nil"/>
              <w:left w:val="single" w:sz="4" w:space="0" w:color="auto"/>
              <w:bottom w:val="nil"/>
              <w:right w:val="single" w:sz="4" w:space="0" w:color="auto"/>
            </w:tcBorders>
            <w:vAlign w:val="bottom"/>
          </w:tcPr>
          <w:p w14:paraId="391C5A87" w14:textId="77777777" w:rsidR="00A8096B" w:rsidRPr="00E9174E" w:rsidRDefault="00A8096B" w:rsidP="00E9174E">
            <w:pPr>
              <w:keepNext/>
              <w:keepLines/>
              <w:widowControl/>
              <w:contextualSpacing/>
              <w:rPr>
                <w:sz w:val="26"/>
                <w:szCs w:val="26"/>
              </w:rPr>
            </w:pPr>
            <w:r w:rsidRPr="00E9174E">
              <w:rPr>
                <w:sz w:val="26"/>
                <w:szCs w:val="26"/>
              </w:rPr>
              <w:t>$10,090,320</w:t>
            </w:r>
          </w:p>
        </w:tc>
        <w:tc>
          <w:tcPr>
            <w:tcW w:w="1463" w:type="dxa"/>
            <w:tcBorders>
              <w:top w:val="nil"/>
              <w:left w:val="single" w:sz="4" w:space="0" w:color="auto"/>
              <w:bottom w:val="nil"/>
              <w:right w:val="single" w:sz="4" w:space="0" w:color="auto"/>
            </w:tcBorders>
            <w:vAlign w:val="bottom"/>
          </w:tcPr>
          <w:p w14:paraId="0FC9AD09" w14:textId="77777777" w:rsidR="00A8096B" w:rsidRPr="00E9174E" w:rsidRDefault="00A8096B" w:rsidP="00E9174E">
            <w:pPr>
              <w:keepNext/>
              <w:keepLines/>
              <w:widowControl/>
              <w:contextualSpacing/>
              <w:jc w:val="center"/>
              <w:rPr>
                <w:sz w:val="26"/>
                <w:szCs w:val="26"/>
              </w:rPr>
            </w:pPr>
            <w:r w:rsidRPr="00E9174E">
              <w:rPr>
                <w:sz w:val="26"/>
                <w:szCs w:val="26"/>
              </w:rPr>
              <w:t>30.0%</w:t>
            </w:r>
          </w:p>
        </w:tc>
      </w:tr>
      <w:tr w:rsidR="00A8096B" w:rsidRPr="00E9174E" w14:paraId="64BD3179" w14:textId="77777777" w:rsidTr="00CC66FD">
        <w:trPr>
          <w:trHeight w:val="198"/>
        </w:trPr>
        <w:tc>
          <w:tcPr>
            <w:tcW w:w="1800" w:type="dxa"/>
            <w:tcBorders>
              <w:top w:val="nil"/>
              <w:left w:val="single" w:sz="4" w:space="0" w:color="auto"/>
              <w:bottom w:val="nil"/>
              <w:right w:val="single" w:sz="4" w:space="0" w:color="auto"/>
            </w:tcBorders>
            <w:vAlign w:val="bottom"/>
          </w:tcPr>
          <w:p w14:paraId="62CFDA0A" w14:textId="77777777" w:rsidR="00A8096B" w:rsidRPr="00E9174E" w:rsidRDefault="00A8096B" w:rsidP="00E9174E">
            <w:pPr>
              <w:keepNext/>
              <w:keepLines/>
              <w:widowControl/>
              <w:contextualSpacing/>
              <w:rPr>
                <w:sz w:val="26"/>
                <w:szCs w:val="26"/>
              </w:rPr>
            </w:pPr>
          </w:p>
        </w:tc>
        <w:tc>
          <w:tcPr>
            <w:tcW w:w="1800" w:type="dxa"/>
            <w:tcBorders>
              <w:top w:val="nil"/>
              <w:left w:val="single" w:sz="4" w:space="0" w:color="auto"/>
              <w:bottom w:val="nil"/>
              <w:right w:val="single" w:sz="4" w:space="0" w:color="auto"/>
            </w:tcBorders>
            <w:vAlign w:val="bottom"/>
          </w:tcPr>
          <w:p w14:paraId="5AEC980F" w14:textId="77777777" w:rsidR="00A8096B" w:rsidRPr="00E9174E" w:rsidRDefault="00A8096B" w:rsidP="00E9174E">
            <w:pPr>
              <w:keepNext/>
              <w:keepLines/>
              <w:widowControl/>
              <w:contextualSpacing/>
              <w:rPr>
                <w:sz w:val="26"/>
                <w:szCs w:val="26"/>
              </w:rPr>
            </w:pPr>
          </w:p>
        </w:tc>
        <w:tc>
          <w:tcPr>
            <w:tcW w:w="1980" w:type="dxa"/>
            <w:tcBorders>
              <w:top w:val="nil"/>
              <w:left w:val="single" w:sz="4" w:space="0" w:color="auto"/>
              <w:bottom w:val="nil"/>
              <w:right w:val="single" w:sz="4" w:space="0" w:color="auto"/>
            </w:tcBorders>
            <w:vAlign w:val="bottom"/>
          </w:tcPr>
          <w:p w14:paraId="41925CE7" w14:textId="77777777" w:rsidR="00A8096B" w:rsidRPr="00E9174E" w:rsidRDefault="00A8096B" w:rsidP="00E9174E">
            <w:pPr>
              <w:keepNext/>
              <w:keepLines/>
              <w:widowControl/>
              <w:contextualSpacing/>
              <w:rPr>
                <w:sz w:val="26"/>
                <w:szCs w:val="26"/>
              </w:rPr>
            </w:pPr>
          </w:p>
        </w:tc>
        <w:tc>
          <w:tcPr>
            <w:tcW w:w="1710" w:type="dxa"/>
            <w:tcBorders>
              <w:top w:val="nil"/>
              <w:left w:val="single" w:sz="4" w:space="0" w:color="auto"/>
              <w:bottom w:val="nil"/>
              <w:right w:val="single" w:sz="4" w:space="0" w:color="auto"/>
            </w:tcBorders>
            <w:vAlign w:val="bottom"/>
          </w:tcPr>
          <w:p w14:paraId="2702E183" w14:textId="77777777" w:rsidR="00A8096B" w:rsidRPr="00E9174E" w:rsidRDefault="00A8096B" w:rsidP="00E9174E">
            <w:pPr>
              <w:keepNext/>
              <w:keepLines/>
              <w:widowControl/>
              <w:contextualSpacing/>
              <w:rPr>
                <w:sz w:val="26"/>
                <w:szCs w:val="26"/>
              </w:rPr>
            </w:pPr>
          </w:p>
        </w:tc>
        <w:tc>
          <w:tcPr>
            <w:tcW w:w="1463" w:type="dxa"/>
            <w:tcBorders>
              <w:top w:val="nil"/>
              <w:left w:val="single" w:sz="4" w:space="0" w:color="auto"/>
              <w:bottom w:val="nil"/>
              <w:right w:val="single" w:sz="4" w:space="0" w:color="auto"/>
            </w:tcBorders>
            <w:vAlign w:val="bottom"/>
          </w:tcPr>
          <w:p w14:paraId="34921F07" w14:textId="77777777" w:rsidR="00A8096B" w:rsidRPr="00E9174E" w:rsidRDefault="00A8096B" w:rsidP="00E9174E">
            <w:pPr>
              <w:keepNext/>
              <w:keepLines/>
              <w:widowControl/>
              <w:contextualSpacing/>
              <w:jc w:val="center"/>
              <w:rPr>
                <w:sz w:val="26"/>
                <w:szCs w:val="26"/>
              </w:rPr>
            </w:pPr>
          </w:p>
        </w:tc>
      </w:tr>
      <w:tr w:rsidR="00A8096B" w:rsidRPr="00E9174E" w14:paraId="3896C37F" w14:textId="77777777" w:rsidTr="00CC66FD">
        <w:trPr>
          <w:trHeight w:val="540"/>
        </w:trPr>
        <w:tc>
          <w:tcPr>
            <w:tcW w:w="1800" w:type="dxa"/>
            <w:tcBorders>
              <w:top w:val="nil"/>
              <w:left w:val="single" w:sz="4" w:space="0" w:color="auto"/>
              <w:bottom w:val="nil"/>
              <w:right w:val="single" w:sz="4" w:space="0" w:color="auto"/>
            </w:tcBorders>
            <w:vAlign w:val="bottom"/>
          </w:tcPr>
          <w:p w14:paraId="491FD84E" w14:textId="77777777" w:rsidR="00A8096B" w:rsidRPr="00E9174E" w:rsidRDefault="00A8096B" w:rsidP="00E9174E">
            <w:pPr>
              <w:keepNext/>
              <w:keepLines/>
              <w:widowControl/>
              <w:contextualSpacing/>
              <w:rPr>
                <w:sz w:val="26"/>
                <w:szCs w:val="26"/>
              </w:rPr>
            </w:pPr>
            <w:r w:rsidRPr="00E9174E">
              <w:rPr>
                <w:sz w:val="26"/>
                <w:szCs w:val="26"/>
              </w:rPr>
              <w:t>SGSS2/SCD2/SGDS2</w:t>
            </w:r>
          </w:p>
        </w:tc>
        <w:tc>
          <w:tcPr>
            <w:tcW w:w="1800" w:type="dxa"/>
            <w:tcBorders>
              <w:top w:val="nil"/>
              <w:left w:val="single" w:sz="4" w:space="0" w:color="auto"/>
              <w:bottom w:val="nil"/>
              <w:right w:val="single" w:sz="4" w:space="0" w:color="auto"/>
            </w:tcBorders>
            <w:vAlign w:val="bottom"/>
          </w:tcPr>
          <w:p w14:paraId="65BA1102" w14:textId="77777777" w:rsidR="00A8096B" w:rsidRPr="00E9174E" w:rsidRDefault="00A8096B" w:rsidP="00E9174E">
            <w:pPr>
              <w:keepNext/>
              <w:keepLines/>
              <w:widowControl/>
              <w:contextualSpacing/>
              <w:rPr>
                <w:sz w:val="26"/>
                <w:szCs w:val="26"/>
              </w:rPr>
            </w:pPr>
            <w:r w:rsidRPr="00E9174E">
              <w:rPr>
                <w:sz w:val="26"/>
                <w:szCs w:val="26"/>
              </w:rPr>
              <w:t>$38,608,596</w:t>
            </w:r>
          </w:p>
        </w:tc>
        <w:tc>
          <w:tcPr>
            <w:tcW w:w="1980" w:type="dxa"/>
            <w:tcBorders>
              <w:top w:val="nil"/>
              <w:left w:val="single" w:sz="4" w:space="0" w:color="auto"/>
              <w:bottom w:val="nil"/>
              <w:right w:val="single" w:sz="4" w:space="0" w:color="auto"/>
            </w:tcBorders>
            <w:vAlign w:val="bottom"/>
          </w:tcPr>
          <w:p w14:paraId="2E2B706A" w14:textId="77777777" w:rsidR="00A8096B" w:rsidRPr="00E9174E" w:rsidRDefault="00A8096B" w:rsidP="00E9174E">
            <w:pPr>
              <w:keepNext/>
              <w:keepLines/>
              <w:widowControl/>
              <w:contextualSpacing/>
              <w:rPr>
                <w:sz w:val="26"/>
                <w:szCs w:val="26"/>
              </w:rPr>
            </w:pPr>
            <w:r w:rsidRPr="00E9174E">
              <w:rPr>
                <w:sz w:val="26"/>
                <w:szCs w:val="26"/>
              </w:rPr>
              <w:t>$50,188,581</w:t>
            </w:r>
          </w:p>
        </w:tc>
        <w:tc>
          <w:tcPr>
            <w:tcW w:w="1710" w:type="dxa"/>
            <w:tcBorders>
              <w:top w:val="nil"/>
              <w:left w:val="single" w:sz="4" w:space="0" w:color="auto"/>
              <w:bottom w:val="nil"/>
              <w:right w:val="single" w:sz="4" w:space="0" w:color="auto"/>
            </w:tcBorders>
            <w:vAlign w:val="bottom"/>
          </w:tcPr>
          <w:p w14:paraId="5384618E" w14:textId="77777777" w:rsidR="00A8096B" w:rsidRPr="00E9174E" w:rsidRDefault="00A8096B" w:rsidP="00E9174E">
            <w:pPr>
              <w:keepNext/>
              <w:keepLines/>
              <w:widowControl/>
              <w:contextualSpacing/>
              <w:rPr>
                <w:sz w:val="26"/>
                <w:szCs w:val="26"/>
              </w:rPr>
            </w:pPr>
            <w:r w:rsidRPr="00E9174E">
              <w:rPr>
                <w:sz w:val="26"/>
                <w:szCs w:val="26"/>
              </w:rPr>
              <w:t>$11,579,985</w:t>
            </w:r>
          </w:p>
        </w:tc>
        <w:tc>
          <w:tcPr>
            <w:tcW w:w="1463" w:type="dxa"/>
            <w:tcBorders>
              <w:top w:val="nil"/>
              <w:left w:val="single" w:sz="4" w:space="0" w:color="auto"/>
              <w:bottom w:val="nil"/>
              <w:right w:val="single" w:sz="4" w:space="0" w:color="auto"/>
            </w:tcBorders>
            <w:vAlign w:val="bottom"/>
          </w:tcPr>
          <w:p w14:paraId="189F76A1" w14:textId="77777777" w:rsidR="00A8096B" w:rsidRPr="00E9174E" w:rsidRDefault="00A8096B" w:rsidP="00E9174E">
            <w:pPr>
              <w:keepNext/>
              <w:keepLines/>
              <w:widowControl/>
              <w:contextualSpacing/>
              <w:jc w:val="center"/>
              <w:rPr>
                <w:sz w:val="26"/>
                <w:szCs w:val="26"/>
              </w:rPr>
            </w:pPr>
            <w:r w:rsidRPr="00E9174E">
              <w:rPr>
                <w:sz w:val="26"/>
                <w:szCs w:val="26"/>
              </w:rPr>
              <w:t>30.0%</w:t>
            </w:r>
          </w:p>
        </w:tc>
      </w:tr>
      <w:tr w:rsidR="00A8096B" w:rsidRPr="00E9174E" w14:paraId="49FD7129" w14:textId="77777777" w:rsidTr="00CC66FD">
        <w:trPr>
          <w:trHeight w:val="162"/>
        </w:trPr>
        <w:tc>
          <w:tcPr>
            <w:tcW w:w="1800" w:type="dxa"/>
            <w:tcBorders>
              <w:top w:val="nil"/>
              <w:left w:val="single" w:sz="4" w:space="0" w:color="auto"/>
              <w:bottom w:val="nil"/>
              <w:right w:val="single" w:sz="4" w:space="0" w:color="auto"/>
            </w:tcBorders>
            <w:vAlign w:val="bottom"/>
          </w:tcPr>
          <w:p w14:paraId="0AD6C425" w14:textId="77777777" w:rsidR="00A8096B" w:rsidRPr="00E9174E" w:rsidRDefault="00A8096B" w:rsidP="00E9174E">
            <w:pPr>
              <w:keepNext/>
              <w:keepLines/>
              <w:widowControl/>
              <w:contextualSpacing/>
              <w:rPr>
                <w:sz w:val="26"/>
                <w:szCs w:val="26"/>
              </w:rPr>
            </w:pPr>
          </w:p>
        </w:tc>
        <w:tc>
          <w:tcPr>
            <w:tcW w:w="1800" w:type="dxa"/>
            <w:tcBorders>
              <w:top w:val="nil"/>
              <w:left w:val="single" w:sz="4" w:space="0" w:color="auto"/>
              <w:bottom w:val="nil"/>
              <w:right w:val="single" w:sz="4" w:space="0" w:color="auto"/>
            </w:tcBorders>
            <w:vAlign w:val="bottom"/>
          </w:tcPr>
          <w:p w14:paraId="6C2F6D38" w14:textId="77777777" w:rsidR="00A8096B" w:rsidRPr="00E9174E" w:rsidRDefault="00A8096B" w:rsidP="00E9174E">
            <w:pPr>
              <w:keepNext/>
              <w:keepLines/>
              <w:widowControl/>
              <w:contextualSpacing/>
              <w:rPr>
                <w:sz w:val="26"/>
                <w:szCs w:val="26"/>
              </w:rPr>
            </w:pPr>
          </w:p>
        </w:tc>
        <w:tc>
          <w:tcPr>
            <w:tcW w:w="1980" w:type="dxa"/>
            <w:tcBorders>
              <w:top w:val="nil"/>
              <w:left w:val="single" w:sz="4" w:space="0" w:color="auto"/>
              <w:bottom w:val="nil"/>
              <w:right w:val="single" w:sz="4" w:space="0" w:color="auto"/>
            </w:tcBorders>
            <w:vAlign w:val="bottom"/>
          </w:tcPr>
          <w:p w14:paraId="727DFCDE" w14:textId="77777777" w:rsidR="00A8096B" w:rsidRPr="00E9174E" w:rsidRDefault="00A8096B" w:rsidP="00E9174E">
            <w:pPr>
              <w:keepNext/>
              <w:keepLines/>
              <w:widowControl/>
              <w:contextualSpacing/>
              <w:rPr>
                <w:sz w:val="26"/>
                <w:szCs w:val="26"/>
              </w:rPr>
            </w:pPr>
          </w:p>
        </w:tc>
        <w:tc>
          <w:tcPr>
            <w:tcW w:w="1710" w:type="dxa"/>
            <w:tcBorders>
              <w:top w:val="nil"/>
              <w:left w:val="single" w:sz="4" w:space="0" w:color="auto"/>
              <w:bottom w:val="nil"/>
              <w:right w:val="single" w:sz="4" w:space="0" w:color="auto"/>
            </w:tcBorders>
            <w:vAlign w:val="bottom"/>
          </w:tcPr>
          <w:p w14:paraId="665AD6D8" w14:textId="77777777" w:rsidR="00A8096B" w:rsidRPr="00E9174E" w:rsidRDefault="00A8096B" w:rsidP="00E9174E">
            <w:pPr>
              <w:keepNext/>
              <w:keepLines/>
              <w:widowControl/>
              <w:contextualSpacing/>
              <w:rPr>
                <w:sz w:val="26"/>
                <w:szCs w:val="26"/>
              </w:rPr>
            </w:pPr>
          </w:p>
        </w:tc>
        <w:tc>
          <w:tcPr>
            <w:tcW w:w="1463" w:type="dxa"/>
            <w:tcBorders>
              <w:top w:val="nil"/>
              <w:left w:val="single" w:sz="4" w:space="0" w:color="auto"/>
              <w:bottom w:val="nil"/>
              <w:right w:val="single" w:sz="4" w:space="0" w:color="auto"/>
            </w:tcBorders>
            <w:vAlign w:val="bottom"/>
          </w:tcPr>
          <w:p w14:paraId="45F10299" w14:textId="77777777" w:rsidR="00A8096B" w:rsidRPr="00E9174E" w:rsidRDefault="00A8096B" w:rsidP="00E9174E">
            <w:pPr>
              <w:keepNext/>
              <w:keepLines/>
              <w:widowControl/>
              <w:contextualSpacing/>
              <w:jc w:val="center"/>
              <w:rPr>
                <w:sz w:val="26"/>
                <w:szCs w:val="26"/>
              </w:rPr>
            </w:pPr>
          </w:p>
        </w:tc>
      </w:tr>
      <w:tr w:rsidR="00A8096B" w:rsidRPr="00E9174E" w14:paraId="57418A59" w14:textId="77777777" w:rsidTr="00CC66FD">
        <w:trPr>
          <w:trHeight w:val="270"/>
        </w:trPr>
        <w:tc>
          <w:tcPr>
            <w:tcW w:w="1800" w:type="dxa"/>
            <w:tcBorders>
              <w:top w:val="nil"/>
              <w:left w:val="single" w:sz="4" w:space="0" w:color="auto"/>
              <w:bottom w:val="nil"/>
              <w:right w:val="single" w:sz="4" w:space="0" w:color="auto"/>
            </w:tcBorders>
            <w:vAlign w:val="bottom"/>
          </w:tcPr>
          <w:p w14:paraId="1AEB19F9" w14:textId="77777777" w:rsidR="00A8096B" w:rsidRPr="00E9174E" w:rsidRDefault="00A8096B" w:rsidP="00E9174E">
            <w:pPr>
              <w:keepNext/>
              <w:keepLines/>
              <w:widowControl/>
              <w:contextualSpacing/>
              <w:rPr>
                <w:sz w:val="26"/>
                <w:szCs w:val="26"/>
              </w:rPr>
            </w:pPr>
            <w:r w:rsidRPr="00E9174E">
              <w:rPr>
                <w:sz w:val="26"/>
                <w:szCs w:val="26"/>
              </w:rPr>
              <w:t>SDS/LGSS</w:t>
            </w:r>
          </w:p>
        </w:tc>
        <w:tc>
          <w:tcPr>
            <w:tcW w:w="1800" w:type="dxa"/>
            <w:tcBorders>
              <w:top w:val="nil"/>
              <w:left w:val="single" w:sz="4" w:space="0" w:color="auto"/>
              <w:bottom w:val="nil"/>
              <w:right w:val="single" w:sz="4" w:space="0" w:color="auto"/>
            </w:tcBorders>
            <w:vAlign w:val="bottom"/>
          </w:tcPr>
          <w:p w14:paraId="48502466" w14:textId="77777777" w:rsidR="00A8096B" w:rsidRPr="00E9174E" w:rsidRDefault="00A8096B" w:rsidP="00E9174E">
            <w:pPr>
              <w:keepNext/>
              <w:keepLines/>
              <w:widowControl/>
              <w:contextualSpacing/>
              <w:rPr>
                <w:sz w:val="26"/>
                <w:szCs w:val="26"/>
              </w:rPr>
            </w:pPr>
            <w:r w:rsidRPr="00E9174E">
              <w:rPr>
                <w:sz w:val="26"/>
                <w:szCs w:val="26"/>
              </w:rPr>
              <w:t>$21,768,524</w:t>
            </w:r>
          </w:p>
        </w:tc>
        <w:tc>
          <w:tcPr>
            <w:tcW w:w="1980" w:type="dxa"/>
            <w:tcBorders>
              <w:top w:val="nil"/>
              <w:left w:val="single" w:sz="4" w:space="0" w:color="auto"/>
              <w:bottom w:val="nil"/>
              <w:right w:val="single" w:sz="4" w:space="0" w:color="auto"/>
            </w:tcBorders>
            <w:vAlign w:val="bottom"/>
          </w:tcPr>
          <w:p w14:paraId="459126B6" w14:textId="77777777" w:rsidR="00A8096B" w:rsidRPr="00E9174E" w:rsidRDefault="00A8096B" w:rsidP="00E9174E">
            <w:pPr>
              <w:keepNext/>
              <w:keepLines/>
              <w:widowControl/>
              <w:contextualSpacing/>
              <w:rPr>
                <w:sz w:val="26"/>
                <w:szCs w:val="26"/>
              </w:rPr>
            </w:pPr>
            <w:r w:rsidRPr="00E9174E">
              <w:rPr>
                <w:sz w:val="26"/>
                <w:szCs w:val="26"/>
              </w:rPr>
              <w:t>$29,603,438</w:t>
            </w:r>
          </w:p>
        </w:tc>
        <w:tc>
          <w:tcPr>
            <w:tcW w:w="1710" w:type="dxa"/>
            <w:tcBorders>
              <w:top w:val="nil"/>
              <w:left w:val="single" w:sz="4" w:space="0" w:color="auto"/>
              <w:bottom w:val="nil"/>
              <w:right w:val="single" w:sz="4" w:space="0" w:color="auto"/>
            </w:tcBorders>
            <w:vAlign w:val="bottom"/>
          </w:tcPr>
          <w:p w14:paraId="6C86DCCC" w14:textId="77777777" w:rsidR="00A8096B" w:rsidRPr="00E9174E" w:rsidRDefault="00A8096B" w:rsidP="00E9174E">
            <w:pPr>
              <w:keepNext/>
              <w:keepLines/>
              <w:widowControl/>
              <w:contextualSpacing/>
              <w:rPr>
                <w:sz w:val="26"/>
                <w:szCs w:val="26"/>
              </w:rPr>
            </w:pPr>
            <w:r w:rsidRPr="00E9174E">
              <w:rPr>
                <w:sz w:val="26"/>
                <w:szCs w:val="26"/>
              </w:rPr>
              <w:t>$7,834,914</w:t>
            </w:r>
          </w:p>
        </w:tc>
        <w:tc>
          <w:tcPr>
            <w:tcW w:w="1463" w:type="dxa"/>
            <w:tcBorders>
              <w:top w:val="nil"/>
              <w:left w:val="single" w:sz="4" w:space="0" w:color="auto"/>
              <w:bottom w:val="nil"/>
              <w:right w:val="single" w:sz="4" w:space="0" w:color="auto"/>
            </w:tcBorders>
            <w:vAlign w:val="bottom"/>
          </w:tcPr>
          <w:p w14:paraId="0CD15F4B" w14:textId="77777777" w:rsidR="00A8096B" w:rsidRPr="00E9174E" w:rsidRDefault="00A8096B" w:rsidP="00E9174E">
            <w:pPr>
              <w:keepNext/>
              <w:keepLines/>
              <w:widowControl/>
              <w:contextualSpacing/>
              <w:jc w:val="center"/>
              <w:rPr>
                <w:sz w:val="26"/>
                <w:szCs w:val="26"/>
              </w:rPr>
            </w:pPr>
            <w:r w:rsidRPr="00E9174E">
              <w:rPr>
                <w:sz w:val="26"/>
                <w:szCs w:val="26"/>
              </w:rPr>
              <w:t>36.0%</w:t>
            </w:r>
          </w:p>
        </w:tc>
      </w:tr>
      <w:tr w:rsidR="00A8096B" w:rsidRPr="00E9174E" w14:paraId="1CD553F6" w14:textId="77777777" w:rsidTr="00CC66FD">
        <w:trPr>
          <w:trHeight w:val="135"/>
        </w:trPr>
        <w:tc>
          <w:tcPr>
            <w:tcW w:w="1800" w:type="dxa"/>
            <w:tcBorders>
              <w:top w:val="nil"/>
              <w:left w:val="single" w:sz="4" w:space="0" w:color="auto"/>
              <w:bottom w:val="nil"/>
              <w:right w:val="single" w:sz="4" w:space="0" w:color="auto"/>
            </w:tcBorders>
            <w:vAlign w:val="bottom"/>
          </w:tcPr>
          <w:p w14:paraId="08656AD4" w14:textId="77777777" w:rsidR="00A8096B" w:rsidRPr="00E9174E" w:rsidRDefault="00A8096B" w:rsidP="00E9174E">
            <w:pPr>
              <w:keepNext/>
              <w:keepLines/>
              <w:widowControl/>
              <w:contextualSpacing/>
              <w:rPr>
                <w:sz w:val="26"/>
                <w:szCs w:val="26"/>
              </w:rPr>
            </w:pPr>
          </w:p>
        </w:tc>
        <w:tc>
          <w:tcPr>
            <w:tcW w:w="1800" w:type="dxa"/>
            <w:tcBorders>
              <w:top w:val="nil"/>
              <w:left w:val="single" w:sz="4" w:space="0" w:color="auto"/>
              <w:bottom w:val="nil"/>
              <w:right w:val="single" w:sz="4" w:space="0" w:color="auto"/>
            </w:tcBorders>
            <w:vAlign w:val="bottom"/>
          </w:tcPr>
          <w:p w14:paraId="35BFE91C" w14:textId="77777777" w:rsidR="00A8096B" w:rsidRPr="00E9174E" w:rsidRDefault="00A8096B" w:rsidP="00E9174E">
            <w:pPr>
              <w:keepNext/>
              <w:keepLines/>
              <w:widowControl/>
              <w:contextualSpacing/>
              <w:rPr>
                <w:sz w:val="26"/>
                <w:szCs w:val="26"/>
              </w:rPr>
            </w:pPr>
          </w:p>
        </w:tc>
        <w:tc>
          <w:tcPr>
            <w:tcW w:w="1980" w:type="dxa"/>
            <w:tcBorders>
              <w:top w:val="nil"/>
              <w:left w:val="single" w:sz="4" w:space="0" w:color="auto"/>
              <w:bottom w:val="nil"/>
              <w:right w:val="single" w:sz="4" w:space="0" w:color="auto"/>
            </w:tcBorders>
            <w:vAlign w:val="bottom"/>
          </w:tcPr>
          <w:p w14:paraId="1E5EA374" w14:textId="77777777" w:rsidR="00A8096B" w:rsidRPr="00E9174E" w:rsidRDefault="00A8096B" w:rsidP="00E9174E">
            <w:pPr>
              <w:keepNext/>
              <w:keepLines/>
              <w:widowControl/>
              <w:contextualSpacing/>
              <w:rPr>
                <w:sz w:val="26"/>
                <w:szCs w:val="26"/>
              </w:rPr>
            </w:pPr>
          </w:p>
        </w:tc>
        <w:tc>
          <w:tcPr>
            <w:tcW w:w="1710" w:type="dxa"/>
            <w:tcBorders>
              <w:top w:val="nil"/>
              <w:left w:val="single" w:sz="4" w:space="0" w:color="auto"/>
              <w:bottom w:val="nil"/>
              <w:right w:val="single" w:sz="4" w:space="0" w:color="auto"/>
            </w:tcBorders>
            <w:vAlign w:val="bottom"/>
          </w:tcPr>
          <w:p w14:paraId="2FB1492C" w14:textId="77777777" w:rsidR="00A8096B" w:rsidRPr="00E9174E" w:rsidRDefault="00A8096B" w:rsidP="00E9174E">
            <w:pPr>
              <w:keepNext/>
              <w:keepLines/>
              <w:widowControl/>
              <w:contextualSpacing/>
              <w:rPr>
                <w:sz w:val="26"/>
                <w:szCs w:val="26"/>
              </w:rPr>
            </w:pPr>
          </w:p>
        </w:tc>
        <w:tc>
          <w:tcPr>
            <w:tcW w:w="1463" w:type="dxa"/>
            <w:tcBorders>
              <w:top w:val="nil"/>
              <w:left w:val="single" w:sz="4" w:space="0" w:color="auto"/>
              <w:bottom w:val="nil"/>
              <w:right w:val="single" w:sz="4" w:space="0" w:color="auto"/>
            </w:tcBorders>
            <w:vAlign w:val="bottom"/>
          </w:tcPr>
          <w:p w14:paraId="3F50E105" w14:textId="77777777" w:rsidR="00A8096B" w:rsidRPr="00E9174E" w:rsidRDefault="00A8096B" w:rsidP="00E9174E">
            <w:pPr>
              <w:keepNext/>
              <w:keepLines/>
              <w:widowControl/>
              <w:contextualSpacing/>
              <w:jc w:val="center"/>
              <w:rPr>
                <w:sz w:val="26"/>
                <w:szCs w:val="26"/>
              </w:rPr>
            </w:pPr>
          </w:p>
        </w:tc>
      </w:tr>
      <w:tr w:rsidR="00A8096B" w:rsidRPr="00E9174E" w14:paraId="696DF93D" w14:textId="77777777" w:rsidTr="00CC66FD">
        <w:trPr>
          <w:trHeight w:val="80"/>
        </w:trPr>
        <w:tc>
          <w:tcPr>
            <w:tcW w:w="1800" w:type="dxa"/>
            <w:tcBorders>
              <w:top w:val="nil"/>
              <w:left w:val="single" w:sz="4" w:space="0" w:color="auto"/>
              <w:bottom w:val="nil"/>
              <w:right w:val="single" w:sz="4" w:space="0" w:color="auto"/>
            </w:tcBorders>
            <w:vAlign w:val="bottom"/>
          </w:tcPr>
          <w:p w14:paraId="3F02C15C" w14:textId="77777777" w:rsidR="00A8096B" w:rsidRPr="00E9174E" w:rsidRDefault="00A8096B" w:rsidP="00E9174E">
            <w:pPr>
              <w:keepNext/>
              <w:keepLines/>
              <w:widowControl/>
              <w:contextualSpacing/>
              <w:rPr>
                <w:sz w:val="26"/>
                <w:szCs w:val="26"/>
              </w:rPr>
            </w:pPr>
            <w:r w:rsidRPr="00E9174E">
              <w:rPr>
                <w:sz w:val="26"/>
                <w:szCs w:val="26"/>
              </w:rPr>
              <w:t>LDS/LGSS</w:t>
            </w:r>
          </w:p>
        </w:tc>
        <w:tc>
          <w:tcPr>
            <w:tcW w:w="1800" w:type="dxa"/>
            <w:tcBorders>
              <w:top w:val="nil"/>
              <w:left w:val="single" w:sz="4" w:space="0" w:color="auto"/>
              <w:bottom w:val="nil"/>
              <w:right w:val="single" w:sz="4" w:space="0" w:color="auto"/>
            </w:tcBorders>
            <w:vAlign w:val="bottom"/>
          </w:tcPr>
          <w:p w14:paraId="67C0BAB7" w14:textId="77777777" w:rsidR="00A8096B" w:rsidRPr="00E9174E" w:rsidRDefault="00A8096B" w:rsidP="00E9174E">
            <w:pPr>
              <w:keepNext/>
              <w:keepLines/>
              <w:widowControl/>
              <w:contextualSpacing/>
              <w:rPr>
                <w:sz w:val="26"/>
                <w:szCs w:val="26"/>
              </w:rPr>
            </w:pPr>
            <w:r w:rsidRPr="00E9174E">
              <w:rPr>
                <w:sz w:val="26"/>
                <w:szCs w:val="26"/>
              </w:rPr>
              <w:t>$15,319,132</w:t>
            </w:r>
          </w:p>
        </w:tc>
        <w:tc>
          <w:tcPr>
            <w:tcW w:w="1980" w:type="dxa"/>
            <w:tcBorders>
              <w:top w:val="nil"/>
              <w:left w:val="single" w:sz="4" w:space="0" w:color="auto"/>
              <w:bottom w:val="nil"/>
              <w:right w:val="single" w:sz="4" w:space="0" w:color="auto"/>
            </w:tcBorders>
            <w:vAlign w:val="bottom"/>
          </w:tcPr>
          <w:p w14:paraId="67C7E594" w14:textId="77777777" w:rsidR="00A8096B" w:rsidRPr="00E9174E" w:rsidRDefault="00A8096B" w:rsidP="00E9174E">
            <w:pPr>
              <w:keepNext/>
              <w:keepLines/>
              <w:widowControl/>
              <w:contextualSpacing/>
              <w:rPr>
                <w:sz w:val="26"/>
                <w:szCs w:val="26"/>
              </w:rPr>
            </w:pPr>
            <w:r w:rsidRPr="00E9174E">
              <w:rPr>
                <w:sz w:val="26"/>
                <w:szCs w:val="26"/>
              </w:rPr>
              <w:t>$20,832,785</w:t>
            </w:r>
          </w:p>
        </w:tc>
        <w:tc>
          <w:tcPr>
            <w:tcW w:w="1710" w:type="dxa"/>
            <w:tcBorders>
              <w:top w:val="nil"/>
              <w:left w:val="single" w:sz="4" w:space="0" w:color="auto"/>
              <w:bottom w:val="nil"/>
              <w:right w:val="single" w:sz="4" w:space="0" w:color="auto"/>
            </w:tcBorders>
            <w:vAlign w:val="bottom"/>
          </w:tcPr>
          <w:p w14:paraId="7ABF5C91" w14:textId="77777777" w:rsidR="00A8096B" w:rsidRPr="00E9174E" w:rsidRDefault="00A8096B" w:rsidP="00E9174E">
            <w:pPr>
              <w:keepNext/>
              <w:keepLines/>
              <w:widowControl/>
              <w:contextualSpacing/>
              <w:rPr>
                <w:sz w:val="26"/>
                <w:szCs w:val="26"/>
              </w:rPr>
            </w:pPr>
            <w:r w:rsidRPr="00E9174E">
              <w:rPr>
                <w:sz w:val="26"/>
                <w:szCs w:val="26"/>
              </w:rPr>
              <w:t>$5,513,653</w:t>
            </w:r>
          </w:p>
        </w:tc>
        <w:tc>
          <w:tcPr>
            <w:tcW w:w="1463" w:type="dxa"/>
            <w:tcBorders>
              <w:top w:val="nil"/>
              <w:left w:val="single" w:sz="4" w:space="0" w:color="auto"/>
              <w:bottom w:val="nil"/>
              <w:right w:val="single" w:sz="4" w:space="0" w:color="auto"/>
            </w:tcBorders>
            <w:vAlign w:val="bottom"/>
          </w:tcPr>
          <w:p w14:paraId="1A4F25E8" w14:textId="77777777" w:rsidR="00A8096B" w:rsidRPr="00E9174E" w:rsidRDefault="00A8096B" w:rsidP="00E9174E">
            <w:pPr>
              <w:keepNext/>
              <w:keepLines/>
              <w:widowControl/>
              <w:contextualSpacing/>
              <w:jc w:val="center"/>
              <w:rPr>
                <w:sz w:val="26"/>
                <w:szCs w:val="26"/>
              </w:rPr>
            </w:pPr>
            <w:r w:rsidRPr="00E9174E">
              <w:rPr>
                <w:sz w:val="26"/>
                <w:szCs w:val="26"/>
              </w:rPr>
              <w:t>36.0%</w:t>
            </w:r>
          </w:p>
        </w:tc>
      </w:tr>
      <w:tr w:rsidR="00A8096B" w:rsidRPr="00E9174E" w14:paraId="0F4B852D" w14:textId="77777777" w:rsidTr="00CC66FD">
        <w:trPr>
          <w:trHeight w:val="207"/>
        </w:trPr>
        <w:tc>
          <w:tcPr>
            <w:tcW w:w="1800" w:type="dxa"/>
            <w:tcBorders>
              <w:top w:val="nil"/>
              <w:left w:val="single" w:sz="4" w:space="0" w:color="auto"/>
              <w:bottom w:val="nil"/>
              <w:right w:val="single" w:sz="4" w:space="0" w:color="auto"/>
            </w:tcBorders>
            <w:vAlign w:val="bottom"/>
          </w:tcPr>
          <w:p w14:paraId="3AFF8FB3" w14:textId="77777777" w:rsidR="00A8096B" w:rsidRPr="00E9174E" w:rsidRDefault="00A8096B" w:rsidP="00E9174E">
            <w:pPr>
              <w:keepNext/>
              <w:keepLines/>
              <w:widowControl/>
              <w:contextualSpacing/>
              <w:rPr>
                <w:sz w:val="26"/>
                <w:szCs w:val="26"/>
              </w:rPr>
            </w:pPr>
          </w:p>
        </w:tc>
        <w:tc>
          <w:tcPr>
            <w:tcW w:w="1800" w:type="dxa"/>
            <w:tcBorders>
              <w:top w:val="nil"/>
              <w:left w:val="single" w:sz="4" w:space="0" w:color="auto"/>
              <w:bottom w:val="nil"/>
              <w:right w:val="single" w:sz="4" w:space="0" w:color="auto"/>
            </w:tcBorders>
            <w:vAlign w:val="bottom"/>
          </w:tcPr>
          <w:p w14:paraId="79388723" w14:textId="77777777" w:rsidR="00A8096B" w:rsidRPr="00E9174E" w:rsidRDefault="00A8096B" w:rsidP="00E9174E">
            <w:pPr>
              <w:keepNext/>
              <w:keepLines/>
              <w:widowControl/>
              <w:contextualSpacing/>
              <w:rPr>
                <w:sz w:val="26"/>
                <w:szCs w:val="26"/>
              </w:rPr>
            </w:pPr>
          </w:p>
        </w:tc>
        <w:tc>
          <w:tcPr>
            <w:tcW w:w="1980" w:type="dxa"/>
            <w:tcBorders>
              <w:top w:val="nil"/>
              <w:left w:val="single" w:sz="4" w:space="0" w:color="auto"/>
              <w:bottom w:val="nil"/>
              <w:right w:val="single" w:sz="4" w:space="0" w:color="auto"/>
            </w:tcBorders>
            <w:vAlign w:val="bottom"/>
          </w:tcPr>
          <w:p w14:paraId="08A54400" w14:textId="77777777" w:rsidR="00A8096B" w:rsidRPr="00E9174E" w:rsidRDefault="00A8096B" w:rsidP="00E9174E">
            <w:pPr>
              <w:keepNext/>
              <w:keepLines/>
              <w:widowControl/>
              <w:contextualSpacing/>
              <w:rPr>
                <w:sz w:val="26"/>
                <w:szCs w:val="26"/>
              </w:rPr>
            </w:pPr>
          </w:p>
        </w:tc>
        <w:tc>
          <w:tcPr>
            <w:tcW w:w="1710" w:type="dxa"/>
            <w:tcBorders>
              <w:top w:val="nil"/>
              <w:left w:val="single" w:sz="4" w:space="0" w:color="auto"/>
              <w:bottom w:val="nil"/>
              <w:right w:val="single" w:sz="4" w:space="0" w:color="auto"/>
            </w:tcBorders>
            <w:vAlign w:val="bottom"/>
          </w:tcPr>
          <w:p w14:paraId="472E7842" w14:textId="77777777" w:rsidR="00A8096B" w:rsidRPr="00E9174E" w:rsidRDefault="00A8096B" w:rsidP="00E9174E">
            <w:pPr>
              <w:keepNext/>
              <w:keepLines/>
              <w:widowControl/>
              <w:contextualSpacing/>
              <w:rPr>
                <w:sz w:val="26"/>
                <w:szCs w:val="26"/>
              </w:rPr>
            </w:pPr>
          </w:p>
        </w:tc>
        <w:tc>
          <w:tcPr>
            <w:tcW w:w="1463" w:type="dxa"/>
            <w:tcBorders>
              <w:top w:val="nil"/>
              <w:left w:val="single" w:sz="4" w:space="0" w:color="auto"/>
              <w:bottom w:val="nil"/>
              <w:right w:val="single" w:sz="4" w:space="0" w:color="auto"/>
            </w:tcBorders>
            <w:vAlign w:val="bottom"/>
          </w:tcPr>
          <w:p w14:paraId="5CC86806" w14:textId="77777777" w:rsidR="00A8096B" w:rsidRPr="00E9174E" w:rsidRDefault="00A8096B" w:rsidP="00E9174E">
            <w:pPr>
              <w:keepNext/>
              <w:keepLines/>
              <w:widowControl/>
              <w:contextualSpacing/>
              <w:jc w:val="center"/>
              <w:rPr>
                <w:sz w:val="26"/>
                <w:szCs w:val="26"/>
              </w:rPr>
            </w:pPr>
          </w:p>
        </w:tc>
      </w:tr>
      <w:tr w:rsidR="00A8096B" w:rsidRPr="00E9174E" w14:paraId="6A3EBACF" w14:textId="77777777" w:rsidTr="00CC66FD">
        <w:trPr>
          <w:trHeight w:val="153"/>
        </w:trPr>
        <w:tc>
          <w:tcPr>
            <w:tcW w:w="1800" w:type="dxa"/>
            <w:tcBorders>
              <w:top w:val="nil"/>
              <w:left w:val="single" w:sz="4" w:space="0" w:color="auto"/>
              <w:bottom w:val="nil"/>
              <w:right w:val="single" w:sz="4" w:space="0" w:color="auto"/>
            </w:tcBorders>
            <w:vAlign w:val="bottom"/>
          </w:tcPr>
          <w:p w14:paraId="5F40BE67" w14:textId="77777777" w:rsidR="00A8096B" w:rsidRPr="00E9174E" w:rsidRDefault="00A8096B" w:rsidP="00E9174E">
            <w:pPr>
              <w:keepNext/>
              <w:keepLines/>
              <w:widowControl/>
              <w:contextualSpacing/>
              <w:rPr>
                <w:sz w:val="26"/>
                <w:szCs w:val="26"/>
              </w:rPr>
            </w:pPr>
            <w:r w:rsidRPr="00E9174E">
              <w:rPr>
                <w:sz w:val="26"/>
                <w:szCs w:val="26"/>
              </w:rPr>
              <w:t>MLS/MLDS</w:t>
            </w:r>
          </w:p>
        </w:tc>
        <w:tc>
          <w:tcPr>
            <w:tcW w:w="1800" w:type="dxa"/>
            <w:tcBorders>
              <w:top w:val="nil"/>
              <w:left w:val="single" w:sz="4" w:space="0" w:color="auto"/>
              <w:bottom w:val="nil"/>
              <w:right w:val="single" w:sz="4" w:space="0" w:color="auto"/>
            </w:tcBorders>
            <w:vAlign w:val="bottom"/>
          </w:tcPr>
          <w:p w14:paraId="51D551F4" w14:textId="77777777" w:rsidR="00A8096B" w:rsidRPr="00E9174E" w:rsidRDefault="00A8096B" w:rsidP="00E9174E">
            <w:pPr>
              <w:keepNext/>
              <w:keepLines/>
              <w:widowControl/>
              <w:contextualSpacing/>
              <w:rPr>
                <w:sz w:val="26"/>
                <w:szCs w:val="26"/>
              </w:rPr>
            </w:pPr>
            <w:r w:rsidRPr="00E9174E">
              <w:rPr>
                <w:sz w:val="26"/>
                <w:szCs w:val="26"/>
              </w:rPr>
              <w:t>$550,482</w:t>
            </w:r>
          </w:p>
        </w:tc>
        <w:tc>
          <w:tcPr>
            <w:tcW w:w="1980" w:type="dxa"/>
            <w:tcBorders>
              <w:top w:val="nil"/>
              <w:left w:val="single" w:sz="4" w:space="0" w:color="auto"/>
              <w:bottom w:val="nil"/>
              <w:right w:val="single" w:sz="4" w:space="0" w:color="auto"/>
            </w:tcBorders>
            <w:vAlign w:val="bottom"/>
          </w:tcPr>
          <w:p w14:paraId="7FB5E3FD" w14:textId="77777777" w:rsidR="00A8096B" w:rsidRPr="00E9174E" w:rsidRDefault="00A8096B" w:rsidP="00E9174E">
            <w:pPr>
              <w:keepNext/>
              <w:keepLines/>
              <w:widowControl/>
              <w:contextualSpacing/>
              <w:rPr>
                <w:sz w:val="26"/>
                <w:szCs w:val="26"/>
              </w:rPr>
            </w:pPr>
            <w:r w:rsidRPr="00E9174E">
              <w:rPr>
                <w:sz w:val="26"/>
                <w:szCs w:val="26"/>
              </w:rPr>
              <w:t>$550,482</w:t>
            </w:r>
          </w:p>
        </w:tc>
        <w:tc>
          <w:tcPr>
            <w:tcW w:w="1710" w:type="dxa"/>
            <w:tcBorders>
              <w:top w:val="nil"/>
              <w:left w:val="single" w:sz="4" w:space="0" w:color="auto"/>
              <w:bottom w:val="nil"/>
              <w:right w:val="single" w:sz="4" w:space="0" w:color="auto"/>
            </w:tcBorders>
            <w:vAlign w:val="bottom"/>
          </w:tcPr>
          <w:p w14:paraId="7FF865C1" w14:textId="77777777" w:rsidR="00A8096B" w:rsidRPr="00E9174E" w:rsidRDefault="00A8096B" w:rsidP="00E9174E">
            <w:pPr>
              <w:keepNext/>
              <w:keepLines/>
              <w:widowControl/>
              <w:contextualSpacing/>
              <w:rPr>
                <w:sz w:val="26"/>
                <w:szCs w:val="26"/>
              </w:rPr>
            </w:pPr>
            <w:r w:rsidRPr="00E9174E">
              <w:rPr>
                <w:sz w:val="26"/>
                <w:szCs w:val="26"/>
              </w:rPr>
              <w:t>$0</w:t>
            </w:r>
          </w:p>
        </w:tc>
        <w:tc>
          <w:tcPr>
            <w:tcW w:w="1463" w:type="dxa"/>
            <w:tcBorders>
              <w:top w:val="nil"/>
              <w:left w:val="single" w:sz="4" w:space="0" w:color="auto"/>
              <w:bottom w:val="nil"/>
              <w:right w:val="single" w:sz="4" w:space="0" w:color="auto"/>
            </w:tcBorders>
            <w:vAlign w:val="bottom"/>
          </w:tcPr>
          <w:p w14:paraId="77649F43" w14:textId="77777777" w:rsidR="00A8096B" w:rsidRPr="00E9174E" w:rsidRDefault="00A8096B" w:rsidP="00E9174E">
            <w:pPr>
              <w:keepNext/>
              <w:keepLines/>
              <w:widowControl/>
              <w:contextualSpacing/>
              <w:jc w:val="center"/>
              <w:rPr>
                <w:sz w:val="26"/>
                <w:szCs w:val="26"/>
              </w:rPr>
            </w:pPr>
            <w:r w:rsidRPr="00E9174E">
              <w:rPr>
                <w:sz w:val="26"/>
                <w:szCs w:val="26"/>
              </w:rPr>
              <w:t>0.0%</w:t>
            </w:r>
          </w:p>
        </w:tc>
      </w:tr>
      <w:tr w:rsidR="00A8096B" w:rsidRPr="00E9174E" w14:paraId="24961101" w14:textId="77777777" w:rsidTr="00CC66FD">
        <w:trPr>
          <w:trHeight w:val="270"/>
        </w:trPr>
        <w:tc>
          <w:tcPr>
            <w:tcW w:w="1800" w:type="dxa"/>
            <w:tcBorders>
              <w:top w:val="nil"/>
              <w:left w:val="single" w:sz="4" w:space="0" w:color="auto"/>
              <w:bottom w:val="nil"/>
              <w:right w:val="single" w:sz="4" w:space="0" w:color="auto"/>
            </w:tcBorders>
            <w:vAlign w:val="bottom"/>
          </w:tcPr>
          <w:p w14:paraId="03917F94" w14:textId="77777777" w:rsidR="00A8096B" w:rsidRPr="00E9174E" w:rsidRDefault="00A8096B" w:rsidP="00E9174E">
            <w:pPr>
              <w:keepNext/>
              <w:keepLines/>
              <w:widowControl/>
              <w:contextualSpacing/>
              <w:rPr>
                <w:sz w:val="26"/>
                <w:szCs w:val="26"/>
              </w:rPr>
            </w:pPr>
          </w:p>
        </w:tc>
        <w:tc>
          <w:tcPr>
            <w:tcW w:w="1800" w:type="dxa"/>
            <w:tcBorders>
              <w:top w:val="nil"/>
              <w:left w:val="single" w:sz="4" w:space="0" w:color="auto"/>
              <w:bottom w:val="nil"/>
              <w:right w:val="single" w:sz="4" w:space="0" w:color="auto"/>
            </w:tcBorders>
            <w:vAlign w:val="bottom"/>
          </w:tcPr>
          <w:p w14:paraId="7FD80536" w14:textId="77777777" w:rsidR="00A8096B" w:rsidRPr="00E9174E" w:rsidRDefault="00A8096B" w:rsidP="00E9174E">
            <w:pPr>
              <w:keepNext/>
              <w:keepLines/>
              <w:widowControl/>
              <w:contextualSpacing/>
              <w:rPr>
                <w:sz w:val="26"/>
                <w:szCs w:val="26"/>
              </w:rPr>
            </w:pPr>
          </w:p>
        </w:tc>
        <w:tc>
          <w:tcPr>
            <w:tcW w:w="1980" w:type="dxa"/>
            <w:tcBorders>
              <w:top w:val="nil"/>
              <w:left w:val="single" w:sz="4" w:space="0" w:color="auto"/>
              <w:bottom w:val="nil"/>
              <w:right w:val="single" w:sz="4" w:space="0" w:color="auto"/>
            </w:tcBorders>
            <w:vAlign w:val="bottom"/>
          </w:tcPr>
          <w:p w14:paraId="1D4CEE84" w14:textId="77777777" w:rsidR="00A8096B" w:rsidRPr="00E9174E" w:rsidRDefault="00A8096B" w:rsidP="00E9174E">
            <w:pPr>
              <w:keepNext/>
              <w:keepLines/>
              <w:widowControl/>
              <w:contextualSpacing/>
              <w:rPr>
                <w:sz w:val="26"/>
                <w:szCs w:val="26"/>
              </w:rPr>
            </w:pPr>
          </w:p>
        </w:tc>
        <w:tc>
          <w:tcPr>
            <w:tcW w:w="1710" w:type="dxa"/>
            <w:tcBorders>
              <w:top w:val="nil"/>
              <w:left w:val="single" w:sz="4" w:space="0" w:color="auto"/>
              <w:bottom w:val="nil"/>
              <w:right w:val="single" w:sz="4" w:space="0" w:color="auto"/>
            </w:tcBorders>
            <w:vAlign w:val="bottom"/>
          </w:tcPr>
          <w:p w14:paraId="2B670835" w14:textId="77777777" w:rsidR="00A8096B" w:rsidRPr="00E9174E" w:rsidRDefault="00A8096B" w:rsidP="00E9174E">
            <w:pPr>
              <w:keepNext/>
              <w:keepLines/>
              <w:widowControl/>
              <w:contextualSpacing/>
              <w:rPr>
                <w:sz w:val="26"/>
                <w:szCs w:val="26"/>
              </w:rPr>
            </w:pPr>
          </w:p>
        </w:tc>
        <w:tc>
          <w:tcPr>
            <w:tcW w:w="1463" w:type="dxa"/>
            <w:tcBorders>
              <w:top w:val="nil"/>
              <w:left w:val="single" w:sz="4" w:space="0" w:color="auto"/>
              <w:bottom w:val="nil"/>
              <w:right w:val="single" w:sz="4" w:space="0" w:color="auto"/>
            </w:tcBorders>
            <w:vAlign w:val="bottom"/>
          </w:tcPr>
          <w:p w14:paraId="2AB2B352" w14:textId="77777777" w:rsidR="00A8096B" w:rsidRPr="00E9174E" w:rsidRDefault="00A8096B" w:rsidP="00E9174E">
            <w:pPr>
              <w:keepNext/>
              <w:keepLines/>
              <w:widowControl/>
              <w:contextualSpacing/>
              <w:jc w:val="center"/>
              <w:rPr>
                <w:sz w:val="26"/>
                <w:szCs w:val="26"/>
              </w:rPr>
            </w:pPr>
          </w:p>
        </w:tc>
      </w:tr>
      <w:tr w:rsidR="00A8096B" w:rsidRPr="00E9174E" w14:paraId="450C4D25" w14:textId="77777777" w:rsidTr="00CC66FD">
        <w:trPr>
          <w:trHeight w:val="90"/>
        </w:trPr>
        <w:tc>
          <w:tcPr>
            <w:tcW w:w="1800" w:type="dxa"/>
            <w:tcBorders>
              <w:top w:val="nil"/>
              <w:left w:val="single" w:sz="4" w:space="0" w:color="auto"/>
              <w:bottom w:val="single" w:sz="4" w:space="0" w:color="auto"/>
              <w:right w:val="single" w:sz="4" w:space="0" w:color="auto"/>
            </w:tcBorders>
            <w:vAlign w:val="bottom"/>
          </w:tcPr>
          <w:p w14:paraId="2C172064" w14:textId="77777777" w:rsidR="00A8096B" w:rsidRPr="00E9174E" w:rsidRDefault="00A8096B" w:rsidP="00E9174E">
            <w:pPr>
              <w:keepNext/>
              <w:keepLines/>
              <w:widowControl/>
              <w:contextualSpacing/>
              <w:rPr>
                <w:sz w:val="26"/>
                <w:szCs w:val="26"/>
              </w:rPr>
            </w:pPr>
            <w:r w:rsidRPr="00E9174E">
              <w:rPr>
                <w:sz w:val="26"/>
                <w:szCs w:val="26"/>
              </w:rPr>
              <w:t>Flex</w:t>
            </w:r>
          </w:p>
        </w:tc>
        <w:tc>
          <w:tcPr>
            <w:tcW w:w="1800" w:type="dxa"/>
            <w:tcBorders>
              <w:top w:val="nil"/>
              <w:left w:val="single" w:sz="4" w:space="0" w:color="auto"/>
              <w:bottom w:val="single" w:sz="4" w:space="0" w:color="auto"/>
            </w:tcBorders>
            <w:vAlign w:val="bottom"/>
          </w:tcPr>
          <w:p w14:paraId="0E426BAE" w14:textId="77777777" w:rsidR="00A8096B" w:rsidRPr="00E9174E" w:rsidRDefault="00A8096B" w:rsidP="00E9174E">
            <w:pPr>
              <w:keepNext/>
              <w:keepLines/>
              <w:widowControl/>
              <w:contextualSpacing/>
              <w:rPr>
                <w:sz w:val="26"/>
                <w:szCs w:val="26"/>
              </w:rPr>
            </w:pPr>
            <w:r w:rsidRPr="00E9174E">
              <w:rPr>
                <w:sz w:val="26"/>
                <w:szCs w:val="26"/>
              </w:rPr>
              <w:t>$4,877,848</w:t>
            </w:r>
          </w:p>
        </w:tc>
        <w:tc>
          <w:tcPr>
            <w:tcW w:w="1980" w:type="dxa"/>
            <w:tcBorders>
              <w:top w:val="nil"/>
              <w:bottom w:val="single" w:sz="4" w:space="0" w:color="auto"/>
            </w:tcBorders>
            <w:vAlign w:val="bottom"/>
          </w:tcPr>
          <w:p w14:paraId="2529B367" w14:textId="77777777" w:rsidR="00A8096B" w:rsidRPr="00E9174E" w:rsidRDefault="00A8096B" w:rsidP="00E9174E">
            <w:pPr>
              <w:keepNext/>
              <w:keepLines/>
              <w:widowControl/>
              <w:contextualSpacing/>
              <w:rPr>
                <w:sz w:val="26"/>
                <w:szCs w:val="26"/>
              </w:rPr>
            </w:pPr>
            <w:r w:rsidRPr="00E9174E">
              <w:rPr>
                <w:sz w:val="26"/>
                <w:szCs w:val="26"/>
              </w:rPr>
              <w:t>$4,891,965</w:t>
            </w:r>
          </w:p>
        </w:tc>
        <w:tc>
          <w:tcPr>
            <w:tcW w:w="1710" w:type="dxa"/>
            <w:tcBorders>
              <w:top w:val="nil"/>
              <w:bottom w:val="single" w:sz="4" w:space="0" w:color="auto"/>
            </w:tcBorders>
            <w:vAlign w:val="bottom"/>
          </w:tcPr>
          <w:p w14:paraId="4BD42AF1" w14:textId="77777777" w:rsidR="00A8096B" w:rsidRPr="00E9174E" w:rsidRDefault="00A8096B" w:rsidP="00E9174E">
            <w:pPr>
              <w:keepNext/>
              <w:keepLines/>
              <w:widowControl/>
              <w:contextualSpacing/>
              <w:rPr>
                <w:sz w:val="26"/>
                <w:szCs w:val="26"/>
              </w:rPr>
            </w:pPr>
            <w:r w:rsidRPr="00E9174E">
              <w:rPr>
                <w:sz w:val="26"/>
                <w:szCs w:val="26"/>
              </w:rPr>
              <w:t>$14,117</w:t>
            </w:r>
          </w:p>
        </w:tc>
        <w:tc>
          <w:tcPr>
            <w:tcW w:w="1463" w:type="dxa"/>
            <w:tcBorders>
              <w:top w:val="nil"/>
              <w:bottom w:val="single" w:sz="4" w:space="0" w:color="auto"/>
            </w:tcBorders>
            <w:vAlign w:val="bottom"/>
          </w:tcPr>
          <w:p w14:paraId="2580460E" w14:textId="77777777" w:rsidR="00A8096B" w:rsidRPr="00E9174E" w:rsidRDefault="00A8096B" w:rsidP="00E9174E">
            <w:pPr>
              <w:keepNext/>
              <w:keepLines/>
              <w:widowControl/>
              <w:contextualSpacing/>
              <w:jc w:val="center"/>
              <w:rPr>
                <w:sz w:val="26"/>
                <w:szCs w:val="26"/>
              </w:rPr>
            </w:pPr>
            <w:r w:rsidRPr="00E9174E">
              <w:rPr>
                <w:sz w:val="26"/>
                <w:szCs w:val="26"/>
              </w:rPr>
              <w:t>0.3%</w:t>
            </w:r>
          </w:p>
        </w:tc>
      </w:tr>
      <w:tr w:rsidR="00A8096B" w:rsidRPr="00E9174E" w14:paraId="4286C68F" w14:textId="77777777" w:rsidTr="00CC66FD">
        <w:trPr>
          <w:trHeight w:val="503"/>
        </w:trPr>
        <w:tc>
          <w:tcPr>
            <w:tcW w:w="1800" w:type="dxa"/>
            <w:tcBorders>
              <w:top w:val="single" w:sz="4" w:space="0" w:color="auto"/>
              <w:bottom w:val="single" w:sz="4" w:space="0" w:color="auto"/>
            </w:tcBorders>
            <w:vAlign w:val="bottom"/>
          </w:tcPr>
          <w:p w14:paraId="03F857EA" w14:textId="77777777" w:rsidR="00A8096B" w:rsidRPr="00E9174E" w:rsidRDefault="00A8096B" w:rsidP="00E9174E">
            <w:pPr>
              <w:keepNext/>
              <w:keepLines/>
              <w:widowControl/>
              <w:contextualSpacing/>
              <w:jc w:val="center"/>
              <w:rPr>
                <w:b/>
                <w:sz w:val="26"/>
                <w:szCs w:val="26"/>
              </w:rPr>
            </w:pPr>
            <w:r w:rsidRPr="00E9174E">
              <w:rPr>
                <w:b/>
                <w:sz w:val="26"/>
                <w:szCs w:val="26"/>
              </w:rPr>
              <w:t>Total</w:t>
            </w:r>
          </w:p>
        </w:tc>
        <w:tc>
          <w:tcPr>
            <w:tcW w:w="1800" w:type="dxa"/>
            <w:tcBorders>
              <w:bottom w:val="single" w:sz="4" w:space="0" w:color="auto"/>
            </w:tcBorders>
            <w:vAlign w:val="bottom"/>
          </w:tcPr>
          <w:p w14:paraId="69516CD2" w14:textId="77777777" w:rsidR="00A8096B" w:rsidRPr="00E9174E" w:rsidRDefault="00A8096B" w:rsidP="00E9174E">
            <w:pPr>
              <w:keepNext/>
              <w:keepLines/>
              <w:widowControl/>
              <w:contextualSpacing/>
              <w:rPr>
                <w:b/>
                <w:sz w:val="26"/>
                <w:szCs w:val="26"/>
              </w:rPr>
            </w:pPr>
            <w:r w:rsidRPr="00E9174E">
              <w:rPr>
                <w:b/>
                <w:sz w:val="26"/>
                <w:szCs w:val="26"/>
              </w:rPr>
              <w:t>$406,952,490</w:t>
            </w:r>
          </w:p>
        </w:tc>
        <w:tc>
          <w:tcPr>
            <w:tcW w:w="1980" w:type="dxa"/>
            <w:tcBorders>
              <w:bottom w:val="single" w:sz="4" w:space="0" w:color="auto"/>
            </w:tcBorders>
            <w:vAlign w:val="bottom"/>
          </w:tcPr>
          <w:p w14:paraId="73C892B2" w14:textId="77777777" w:rsidR="00A8096B" w:rsidRPr="00E9174E" w:rsidRDefault="00A8096B" w:rsidP="00E9174E">
            <w:pPr>
              <w:keepNext/>
              <w:keepLines/>
              <w:widowControl/>
              <w:contextualSpacing/>
              <w:rPr>
                <w:b/>
                <w:sz w:val="26"/>
                <w:szCs w:val="26"/>
              </w:rPr>
            </w:pPr>
            <w:r w:rsidRPr="00E9174E">
              <w:rPr>
                <w:b/>
                <w:sz w:val="26"/>
                <w:szCs w:val="26"/>
              </w:rPr>
              <w:t>$504,599,218</w:t>
            </w:r>
          </w:p>
        </w:tc>
        <w:tc>
          <w:tcPr>
            <w:tcW w:w="1710" w:type="dxa"/>
            <w:tcBorders>
              <w:bottom w:val="single" w:sz="4" w:space="0" w:color="auto"/>
            </w:tcBorders>
            <w:vAlign w:val="bottom"/>
          </w:tcPr>
          <w:p w14:paraId="70B0B1C5" w14:textId="77777777" w:rsidR="00A8096B" w:rsidRPr="00E9174E" w:rsidRDefault="00A8096B" w:rsidP="00E9174E">
            <w:pPr>
              <w:keepNext/>
              <w:keepLines/>
              <w:widowControl/>
              <w:contextualSpacing/>
              <w:rPr>
                <w:b/>
                <w:sz w:val="26"/>
                <w:szCs w:val="26"/>
              </w:rPr>
            </w:pPr>
            <w:r w:rsidRPr="00E9174E">
              <w:rPr>
                <w:b/>
                <w:sz w:val="26"/>
                <w:szCs w:val="26"/>
              </w:rPr>
              <w:t>$97,646,728</w:t>
            </w:r>
          </w:p>
        </w:tc>
        <w:tc>
          <w:tcPr>
            <w:tcW w:w="1463" w:type="dxa"/>
            <w:tcBorders>
              <w:bottom w:val="single" w:sz="4" w:space="0" w:color="auto"/>
            </w:tcBorders>
            <w:vAlign w:val="bottom"/>
          </w:tcPr>
          <w:p w14:paraId="45A0BD30" w14:textId="77777777" w:rsidR="00A8096B" w:rsidRPr="00E9174E" w:rsidRDefault="00A8096B" w:rsidP="00E9174E">
            <w:pPr>
              <w:keepNext/>
              <w:keepLines/>
              <w:widowControl/>
              <w:contextualSpacing/>
              <w:jc w:val="center"/>
              <w:rPr>
                <w:b/>
                <w:sz w:val="26"/>
                <w:szCs w:val="26"/>
              </w:rPr>
            </w:pPr>
            <w:r w:rsidRPr="00E9174E">
              <w:rPr>
                <w:b/>
                <w:sz w:val="26"/>
                <w:szCs w:val="26"/>
              </w:rPr>
              <w:t>24.0%</w:t>
            </w:r>
          </w:p>
        </w:tc>
      </w:tr>
    </w:tbl>
    <w:p w14:paraId="477C39E9" w14:textId="77777777" w:rsidR="00A8096B" w:rsidRPr="00E9174E" w:rsidRDefault="00A8096B" w:rsidP="00E9174E">
      <w:pPr>
        <w:widowControl/>
        <w:spacing w:line="360" w:lineRule="auto"/>
        <w:contextualSpacing/>
        <w:rPr>
          <w:sz w:val="26"/>
          <w:szCs w:val="26"/>
        </w:rPr>
      </w:pPr>
    </w:p>
    <w:p w14:paraId="03C670F2" w14:textId="2E891B5E" w:rsidR="00A8096B" w:rsidRPr="00E9174E" w:rsidRDefault="00A8096B" w:rsidP="00E9174E">
      <w:pPr>
        <w:widowControl/>
        <w:spacing w:line="360" w:lineRule="auto"/>
        <w:contextualSpacing/>
        <w:rPr>
          <w:sz w:val="26"/>
          <w:szCs w:val="26"/>
        </w:rPr>
      </w:pPr>
      <w:r w:rsidRPr="00E9174E">
        <w:rPr>
          <w:i/>
          <w:iCs/>
          <w:sz w:val="26"/>
          <w:szCs w:val="26"/>
        </w:rPr>
        <w:lastRenderedPageBreak/>
        <w:t>See</w:t>
      </w:r>
      <w:r w:rsidRPr="00E9174E">
        <w:rPr>
          <w:sz w:val="26"/>
          <w:szCs w:val="26"/>
        </w:rPr>
        <w:t xml:space="preserve"> OCA St. 4 at 34.</w:t>
      </w:r>
      <w:r w:rsidRPr="00E9174E">
        <w:rPr>
          <w:sz w:val="26"/>
          <w:szCs w:val="26"/>
          <w:vertAlign w:val="superscript"/>
        </w:rPr>
        <w:footnoteReference w:id="93"/>
      </w:r>
      <w:r w:rsidRPr="00E9174E">
        <w:rPr>
          <w:sz w:val="26"/>
          <w:szCs w:val="26"/>
        </w:rPr>
        <w:t xml:space="preserve">  Additionally, the OCA submitted that</w:t>
      </w:r>
      <w:r w:rsidR="00007389" w:rsidRPr="00E9174E">
        <w:rPr>
          <w:sz w:val="26"/>
          <w:szCs w:val="26"/>
        </w:rPr>
        <w:t>,</w:t>
      </w:r>
      <w:r w:rsidRPr="00E9174E">
        <w:rPr>
          <w:sz w:val="26"/>
          <w:szCs w:val="26"/>
        </w:rPr>
        <w:t xml:space="preserve"> if less than the full proposed revenue increase is granted, then a proportional scale back should be used to implement the increase for each rate class.</w:t>
      </w:r>
      <w:r w:rsidRPr="00E9174E">
        <w:rPr>
          <w:sz w:val="26"/>
          <w:szCs w:val="26"/>
          <w:vertAlign w:val="superscript"/>
        </w:rPr>
        <w:footnoteReference w:id="94"/>
      </w:r>
      <w:r w:rsidRPr="00E9174E">
        <w:rPr>
          <w:sz w:val="26"/>
          <w:szCs w:val="26"/>
        </w:rPr>
        <w:t xml:space="preserve">  OCA St. 4 at 36.</w:t>
      </w:r>
    </w:p>
    <w:p w14:paraId="6EE7AA76" w14:textId="77777777" w:rsidR="00A8096B" w:rsidRPr="00E9174E" w:rsidRDefault="00A8096B" w:rsidP="00E9174E">
      <w:pPr>
        <w:widowControl/>
        <w:spacing w:line="360" w:lineRule="auto"/>
        <w:ind w:firstLine="1440"/>
        <w:contextualSpacing/>
        <w:rPr>
          <w:sz w:val="26"/>
          <w:szCs w:val="26"/>
        </w:rPr>
      </w:pPr>
    </w:p>
    <w:p w14:paraId="488353B3" w14:textId="3B26DFBD" w:rsidR="00A8096B" w:rsidRPr="00E9174E" w:rsidRDefault="00A8096B" w:rsidP="00E9174E">
      <w:pPr>
        <w:widowControl/>
        <w:spacing w:line="360" w:lineRule="auto"/>
        <w:ind w:firstLine="1440"/>
        <w:contextualSpacing/>
        <w:rPr>
          <w:sz w:val="26"/>
          <w:szCs w:val="26"/>
        </w:rPr>
      </w:pPr>
      <w:r w:rsidRPr="00E9174E">
        <w:rPr>
          <w:sz w:val="26"/>
          <w:szCs w:val="26"/>
        </w:rPr>
        <w:t>As discussed in the previous section, the OSBA generally agreed that Columbia’s Average ACCOSS, with some modifications, is suitable for allocating the cost of distribution mains.  However, regarding revenue allocation, the OSBA argued that Columbia’s revenue allocation proposal has serious flaws and even failed to follow its own Average ACCOSS in presenting its revenue allocation proposal.  OSBA M.B. at</w:t>
      </w:r>
      <w:r w:rsidR="001A2194">
        <w:rPr>
          <w:sz w:val="26"/>
          <w:szCs w:val="26"/>
        </w:rPr>
        <w:t> </w:t>
      </w:r>
      <w:r w:rsidRPr="00E9174E">
        <w:rPr>
          <w:sz w:val="26"/>
          <w:szCs w:val="26"/>
        </w:rPr>
        <w:t>16</w:t>
      </w:r>
      <w:r w:rsidR="00DF732D" w:rsidRPr="00E9174E">
        <w:rPr>
          <w:sz w:val="26"/>
          <w:szCs w:val="26"/>
        </w:rPr>
        <w:noBreakHyphen/>
      </w:r>
      <w:r w:rsidRPr="00E9174E">
        <w:rPr>
          <w:sz w:val="26"/>
          <w:szCs w:val="26"/>
        </w:rPr>
        <w:t>19.  The OSBA offered two alternative revenue allocation proposals, particularly questioning the proposed increases to the SGSS2/SCD2/SGDS2 and SDS/LGSS classes.  The OSBA’s witness, Mr. Knecht, provided the following chart, comparing Columbia’s allocation proposal using the Average ACCOSS to the OSBA’s corrected allocation using the Average ACCOSS weighted at 50/50 and the OSBA’s proposed allocation using the Average ACCOSS but weighted 75% based on the Company’s P&amp;A ACCOSS and only 25% based on its Customer-Demand ACCOSS.  OSBA M.B. at 18.</w:t>
      </w:r>
    </w:p>
    <w:p w14:paraId="712EC3FB" w14:textId="77777777" w:rsidR="00A8096B" w:rsidRPr="00E9174E" w:rsidRDefault="00A8096B" w:rsidP="00E9174E">
      <w:pPr>
        <w:widowControl/>
        <w:spacing w:line="360" w:lineRule="auto"/>
        <w:ind w:firstLine="1440"/>
        <w:contextualSpacing/>
        <w:rPr>
          <w:sz w:val="26"/>
          <w:szCs w:val="26"/>
        </w:rPr>
      </w:pPr>
    </w:p>
    <w:p w14:paraId="2A2158BD" w14:textId="77777777" w:rsidR="00A8096B" w:rsidRPr="00E9174E" w:rsidRDefault="00A8096B" w:rsidP="00E9174E">
      <w:pPr>
        <w:widowControl/>
        <w:spacing w:line="360" w:lineRule="auto"/>
        <w:contextualSpacing/>
        <w:jc w:val="center"/>
        <w:rPr>
          <w:sz w:val="26"/>
          <w:szCs w:val="26"/>
        </w:rPr>
      </w:pPr>
      <w:r w:rsidRPr="00E9174E">
        <w:rPr>
          <w:noProof/>
          <w:sz w:val="26"/>
          <w:szCs w:val="26"/>
        </w:rPr>
        <w:lastRenderedPageBreak/>
        <w:drawing>
          <wp:inline distT="0" distB="0" distL="0" distR="0" wp14:anchorId="2EE10E9D" wp14:editId="0AFA6053">
            <wp:extent cx="5468620" cy="45542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68620" cy="4554220"/>
                    </a:xfrm>
                    <a:prstGeom prst="rect">
                      <a:avLst/>
                    </a:prstGeom>
                    <a:noFill/>
                  </pic:spPr>
                </pic:pic>
              </a:graphicData>
            </a:graphic>
          </wp:inline>
        </w:drawing>
      </w:r>
    </w:p>
    <w:p w14:paraId="5C561B82" w14:textId="77777777" w:rsidR="00A8096B" w:rsidRPr="00E9174E" w:rsidRDefault="00A8096B" w:rsidP="001A2194">
      <w:pPr>
        <w:widowControl/>
        <w:contextualSpacing/>
        <w:rPr>
          <w:sz w:val="26"/>
          <w:szCs w:val="26"/>
        </w:rPr>
      </w:pPr>
    </w:p>
    <w:p w14:paraId="6E6A23B0" w14:textId="49E703AF" w:rsidR="00A8096B" w:rsidRPr="00E9174E" w:rsidRDefault="00A8096B" w:rsidP="00E9174E">
      <w:pPr>
        <w:widowControl/>
        <w:spacing w:line="360" w:lineRule="auto"/>
        <w:contextualSpacing/>
        <w:rPr>
          <w:sz w:val="26"/>
          <w:szCs w:val="26"/>
        </w:rPr>
      </w:pPr>
      <w:r w:rsidRPr="00E9174E">
        <w:rPr>
          <w:i/>
          <w:iCs/>
          <w:sz w:val="26"/>
          <w:szCs w:val="26"/>
        </w:rPr>
        <w:t>See</w:t>
      </w:r>
      <w:r w:rsidRPr="00E9174E">
        <w:rPr>
          <w:sz w:val="26"/>
          <w:szCs w:val="26"/>
        </w:rPr>
        <w:t xml:space="preserve"> OSBA St. 1 at 30.</w:t>
      </w:r>
      <w:r w:rsidRPr="00E9174E">
        <w:rPr>
          <w:sz w:val="26"/>
          <w:szCs w:val="26"/>
          <w:vertAlign w:val="superscript"/>
        </w:rPr>
        <w:footnoteReference w:id="95"/>
      </w:r>
      <w:r w:rsidRPr="00E9174E">
        <w:rPr>
          <w:sz w:val="26"/>
          <w:szCs w:val="26"/>
        </w:rPr>
        <w:t xml:space="preserve">  Specifically, the OSBA’s analysis:</w:t>
      </w:r>
      <w:r w:rsidR="009B60FE" w:rsidRPr="00E9174E">
        <w:rPr>
          <w:sz w:val="26"/>
          <w:szCs w:val="26"/>
        </w:rPr>
        <w:t xml:space="preserve"> </w:t>
      </w:r>
      <w:r w:rsidRPr="00E9174E">
        <w:rPr>
          <w:sz w:val="26"/>
          <w:szCs w:val="26"/>
        </w:rPr>
        <w:t xml:space="preserve"> (1) included $6.5 million in Flex rate revenues the Company currently foregoes in its negotiated rates as current-rates revenue; (2) limited the increase to any rate class to be no more than 2.0 times the system average, reflecting the principle of gradualism; (3) eliminated the rate reductions implied for the SGSS2/SCD2/SGDS2 and SDS/LGSS classes (</w:t>
      </w:r>
      <w:r w:rsidRPr="00E9174E">
        <w:rPr>
          <w:i/>
          <w:iCs/>
          <w:sz w:val="26"/>
          <w:szCs w:val="26"/>
        </w:rPr>
        <w:t>i.e</w:t>
      </w:r>
      <w:r w:rsidRPr="00E9174E">
        <w:rPr>
          <w:sz w:val="26"/>
          <w:szCs w:val="26"/>
        </w:rPr>
        <w:t>., set the increases to zero) in the Company’s 50/50 weighted calculation;</w:t>
      </w:r>
      <w:r w:rsidRPr="00E9174E">
        <w:rPr>
          <w:sz w:val="26"/>
          <w:szCs w:val="26"/>
          <w:vertAlign w:val="superscript"/>
        </w:rPr>
        <w:footnoteReference w:id="96"/>
      </w:r>
      <w:r w:rsidRPr="00E9174E">
        <w:rPr>
          <w:sz w:val="26"/>
          <w:szCs w:val="26"/>
        </w:rPr>
        <w:t xml:space="preserve"> and (4) reallocated the net revenue shortfall, </w:t>
      </w:r>
      <w:r w:rsidRPr="00E9174E">
        <w:rPr>
          <w:sz w:val="26"/>
          <w:szCs w:val="26"/>
        </w:rPr>
        <w:lastRenderedPageBreak/>
        <w:t xml:space="preserve">resulting from the aforementioned adjustments, to the remaining classes on the basis of overall allocated cost.  OSBA St. 1 at 27-28.  Accordingly, the OSBA recommended the Commission adopt its recommended revenue allocation based on the 75/25 weighting approach.  However, if the Commission approves the Company’s approach, the OSBA submitted its revenue allocation based on the 50/50 weighting </w:t>
      </w:r>
      <w:r w:rsidR="00FA04AE" w:rsidRPr="00E9174E">
        <w:rPr>
          <w:sz w:val="26"/>
          <w:szCs w:val="26"/>
        </w:rPr>
        <w:t xml:space="preserve">that </w:t>
      </w:r>
      <w:r w:rsidRPr="00E9174E">
        <w:rPr>
          <w:sz w:val="26"/>
          <w:szCs w:val="26"/>
        </w:rPr>
        <w:t xml:space="preserve">is more consistent with the implications of the Company’s ACCOSS than the Company’s revenue allocation proposal.  OSBA M.B. at 19.  </w:t>
      </w:r>
    </w:p>
    <w:p w14:paraId="78E8127E" w14:textId="77777777" w:rsidR="00A8096B" w:rsidRPr="00E9174E" w:rsidRDefault="00A8096B" w:rsidP="00E9174E">
      <w:pPr>
        <w:widowControl/>
        <w:spacing w:line="360" w:lineRule="auto"/>
        <w:contextualSpacing/>
        <w:rPr>
          <w:sz w:val="26"/>
          <w:szCs w:val="26"/>
        </w:rPr>
      </w:pPr>
    </w:p>
    <w:p w14:paraId="7A1A59D7" w14:textId="5A3B95EA" w:rsidR="00A8096B" w:rsidRPr="00E9174E" w:rsidRDefault="00A8096B" w:rsidP="00627A65">
      <w:pPr>
        <w:pStyle w:val="Heading4"/>
        <w:ind w:left="2160" w:hanging="720"/>
      </w:pPr>
      <w:bookmarkStart w:id="444" w:name="_Toc61011377"/>
      <w:bookmarkStart w:id="445" w:name="_Toc63764615"/>
      <w:r w:rsidRPr="00E9174E">
        <w:t>Recommended Decision</w:t>
      </w:r>
      <w:bookmarkEnd w:id="444"/>
      <w:bookmarkEnd w:id="445"/>
    </w:p>
    <w:p w14:paraId="5FF586DD" w14:textId="77777777" w:rsidR="00A8096B" w:rsidRPr="00E9174E" w:rsidRDefault="00A8096B" w:rsidP="00E9174E">
      <w:pPr>
        <w:keepNext/>
        <w:keepLines/>
        <w:widowControl/>
        <w:spacing w:line="360" w:lineRule="auto"/>
        <w:contextualSpacing/>
        <w:rPr>
          <w:sz w:val="26"/>
          <w:szCs w:val="26"/>
        </w:rPr>
      </w:pPr>
    </w:p>
    <w:p w14:paraId="6943AC91" w14:textId="77777777" w:rsidR="00A8096B" w:rsidRPr="00E9174E" w:rsidRDefault="00A8096B" w:rsidP="00E9174E">
      <w:pPr>
        <w:widowControl/>
        <w:spacing w:line="360" w:lineRule="auto"/>
        <w:ind w:firstLine="1440"/>
        <w:contextualSpacing/>
        <w:rPr>
          <w:sz w:val="26"/>
          <w:szCs w:val="26"/>
        </w:rPr>
      </w:pPr>
      <w:r w:rsidRPr="00E9174E">
        <w:rPr>
          <w:sz w:val="26"/>
          <w:szCs w:val="26"/>
        </w:rPr>
        <w:t>ALJ Dunderdale concluded that “[b]</w:t>
      </w:r>
      <w:proofErr w:type="spellStart"/>
      <w:r w:rsidRPr="00E9174E">
        <w:rPr>
          <w:sz w:val="26"/>
          <w:szCs w:val="26"/>
        </w:rPr>
        <w:t>ecause</w:t>
      </w:r>
      <w:proofErr w:type="spellEnd"/>
      <w:r w:rsidRPr="00E9174E">
        <w:rPr>
          <w:sz w:val="26"/>
          <w:szCs w:val="26"/>
        </w:rPr>
        <w:t xml:space="preserve"> Columbia Gas’ proposed revenue allocation is based on the results of its Average [AC]COSS, which the ALJ recommended the Commission should determine is unreasonable, the Company’s proposed revenue allocation is likewise unreasonable and not a clear reflection of the costs to Columbia Gas for providing service to the various customer classes.”  R.D. at 395.  Accordingly, the ALJ recommended that the OCA’s revenue allocation should be adopted.  Furthermore, the ALJ recommended the Commission order a proportional scale back of rates if less than the full increase is granted.  R.D. at 396.  </w:t>
      </w:r>
    </w:p>
    <w:p w14:paraId="6440202C" w14:textId="77777777" w:rsidR="00A8096B" w:rsidRPr="00E9174E" w:rsidRDefault="00A8096B" w:rsidP="00E9174E">
      <w:pPr>
        <w:widowControl/>
        <w:spacing w:line="360" w:lineRule="auto"/>
        <w:contextualSpacing/>
        <w:rPr>
          <w:sz w:val="26"/>
          <w:szCs w:val="26"/>
        </w:rPr>
      </w:pPr>
    </w:p>
    <w:p w14:paraId="0B1F2E99" w14:textId="33C4C51C" w:rsidR="00A8096B" w:rsidRPr="00E9174E" w:rsidRDefault="00CE00A9" w:rsidP="00627A65">
      <w:pPr>
        <w:pStyle w:val="Heading4"/>
        <w:ind w:left="2160" w:hanging="720"/>
      </w:pPr>
      <w:bookmarkStart w:id="446" w:name="_Toc63764616"/>
      <w:bookmarkStart w:id="447" w:name="_Toc61011378"/>
      <w:r w:rsidRPr="00E9174E">
        <w:t>E</w:t>
      </w:r>
      <w:r w:rsidR="00A8096B" w:rsidRPr="00E9174E">
        <w:t>xception and Replies</w:t>
      </w:r>
      <w:bookmarkEnd w:id="446"/>
      <w:r w:rsidR="00A8096B" w:rsidRPr="00E9174E">
        <w:t xml:space="preserve"> </w:t>
      </w:r>
      <w:bookmarkEnd w:id="447"/>
    </w:p>
    <w:p w14:paraId="464B6BAA" w14:textId="77777777" w:rsidR="00A8096B" w:rsidRPr="00E9174E" w:rsidRDefault="00A8096B" w:rsidP="00E9174E">
      <w:pPr>
        <w:keepNext/>
        <w:keepLines/>
        <w:widowControl/>
        <w:spacing w:line="360" w:lineRule="auto"/>
        <w:contextualSpacing/>
        <w:rPr>
          <w:sz w:val="26"/>
          <w:szCs w:val="26"/>
        </w:rPr>
      </w:pPr>
    </w:p>
    <w:p w14:paraId="566E288E" w14:textId="6241B973" w:rsidR="00A8096B" w:rsidRPr="00E9174E" w:rsidRDefault="00A8096B" w:rsidP="00277ECF">
      <w:pPr>
        <w:pStyle w:val="Heading5"/>
        <w:numPr>
          <w:ilvl w:val="0"/>
          <w:numId w:val="73"/>
        </w:numPr>
      </w:pPr>
      <w:bookmarkStart w:id="448" w:name="_Toc63764617"/>
      <w:r w:rsidRPr="00E9174E">
        <w:t>Columbia Exception No. 20</w:t>
      </w:r>
      <w:bookmarkEnd w:id="448"/>
      <w:r w:rsidRPr="00E9174E">
        <w:t xml:space="preserve"> </w:t>
      </w:r>
    </w:p>
    <w:p w14:paraId="5B16BA95" w14:textId="77777777" w:rsidR="00A8096B" w:rsidRPr="00E9174E" w:rsidRDefault="00A8096B" w:rsidP="00E9174E">
      <w:pPr>
        <w:keepNext/>
        <w:keepLines/>
        <w:widowControl/>
        <w:spacing w:line="360" w:lineRule="auto"/>
        <w:ind w:firstLine="1440"/>
        <w:contextualSpacing/>
        <w:rPr>
          <w:sz w:val="26"/>
          <w:szCs w:val="26"/>
        </w:rPr>
      </w:pPr>
    </w:p>
    <w:p w14:paraId="1200CEA8" w14:textId="77777777" w:rsidR="00A8096B" w:rsidRPr="00E9174E" w:rsidRDefault="00A8096B" w:rsidP="00E9174E">
      <w:pPr>
        <w:widowControl/>
        <w:spacing w:line="360" w:lineRule="auto"/>
        <w:ind w:firstLine="1440"/>
        <w:contextualSpacing/>
        <w:rPr>
          <w:sz w:val="26"/>
          <w:szCs w:val="26"/>
        </w:rPr>
      </w:pPr>
      <w:r w:rsidRPr="00E9174E">
        <w:rPr>
          <w:sz w:val="26"/>
          <w:szCs w:val="26"/>
        </w:rPr>
        <w:t xml:space="preserve">In its Exception No. 20, Columbia submits that the Commission should reject the ALJ’s recommended adoption of the OCA’s proposed revenue allocation, in favor of the Company’s proposed revenue allocation, because it relies upon the OCA’s flawed P&amp;A ACCOSS.  Columbia argues that a revenue allocation based on the OCA’s P&amp;A ACCOSS would be inconsistent with </w:t>
      </w:r>
      <w:r w:rsidRPr="00E9174E">
        <w:rPr>
          <w:i/>
          <w:iCs/>
          <w:sz w:val="26"/>
          <w:szCs w:val="26"/>
        </w:rPr>
        <w:t>Lloyd</w:t>
      </w:r>
      <w:r w:rsidRPr="00E9174E">
        <w:rPr>
          <w:sz w:val="26"/>
          <w:szCs w:val="26"/>
        </w:rPr>
        <w:t xml:space="preserve">, as well as revenue allocations achieved through settlements of prior Columbia rate cases.  Columbia points to its Exception Nos. </w:t>
      </w:r>
      <w:r w:rsidRPr="00E9174E">
        <w:rPr>
          <w:sz w:val="26"/>
          <w:szCs w:val="26"/>
        </w:rPr>
        <w:lastRenderedPageBreak/>
        <w:t>18 and 19, which explain its contention that the ALJ’s conclusions regarding the proposed ACCOSSs are erroneous, and therefore should not be relied upon to select a revenue allocation.  CG Exc. at 32-33.</w:t>
      </w:r>
    </w:p>
    <w:p w14:paraId="4404C56B" w14:textId="77777777" w:rsidR="00A8096B" w:rsidRPr="00E9174E" w:rsidRDefault="00A8096B" w:rsidP="00E9174E">
      <w:pPr>
        <w:widowControl/>
        <w:spacing w:line="360" w:lineRule="auto"/>
        <w:ind w:firstLine="1440"/>
        <w:contextualSpacing/>
        <w:rPr>
          <w:sz w:val="26"/>
          <w:szCs w:val="26"/>
        </w:rPr>
      </w:pPr>
    </w:p>
    <w:p w14:paraId="0616712B" w14:textId="77777777" w:rsidR="00A8096B" w:rsidRPr="00E9174E" w:rsidRDefault="00A8096B" w:rsidP="00E9174E">
      <w:pPr>
        <w:widowControl/>
        <w:spacing w:line="360" w:lineRule="auto"/>
        <w:ind w:firstLine="1440"/>
        <w:contextualSpacing/>
        <w:rPr>
          <w:sz w:val="26"/>
          <w:szCs w:val="26"/>
        </w:rPr>
      </w:pPr>
      <w:r w:rsidRPr="00E9174E">
        <w:rPr>
          <w:sz w:val="26"/>
          <w:szCs w:val="26"/>
        </w:rPr>
        <w:t>Columbia contends that under the OCA’s P&amp;A ACCOSS, revenue allocation to the Small C&amp;I (SGSS1/SCD1/SGDS1, SGSS2/SCD2/SGDS2, and SDS/LGSS rate classes) and Large C&amp;I (LDS/LGSS rate class) customers is the driver behind the limited amount of revenue allocated to the residential class (RSS/RDS) because, according to the OCA’s P&amp;A ACCOSS, Columbia’s larger customers are far below their share of revenue recovery responsibility.  Thus, Columbia asserts that the ALJ’s recommended revenue allocation falls short of recovering the actual cost to serve the residential class from customers in that class and would result in an unfair shifting of costs outside of the residential class.  CG Exc. at 32-33.  The Company restates its position that its revenue allocation proposal appropriately reflects movement toward the class cost of service, reflected in its Average ACCOSS, while considering other factors such as fairness and gradualism.  CG Exc. at 34.</w:t>
      </w:r>
    </w:p>
    <w:p w14:paraId="26002330" w14:textId="77777777" w:rsidR="00A8096B" w:rsidRPr="00E9174E" w:rsidRDefault="00A8096B" w:rsidP="00E9174E">
      <w:pPr>
        <w:widowControl/>
        <w:spacing w:line="360" w:lineRule="auto"/>
        <w:contextualSpacing/>
        <w:rPr>
          <w:sz w:val="26"/>
          <w:szCs w:val="26"/>
        </w:rPr>
      </w:pPr>
    </w:p>
    <w:p w14:paraId="6E52B47D" w14:textId="5950157F" w:rsidR="00A8096B" w:rsidRPr="00E9174E" w:rsidRDefault="00A8096B" w:rsidP="00E9174E">
      <w:pPr>
        <w:widowControl/>
        <w:spacing w:line="360" w:lineRule="auto"/>
        <w:ind w:firstLine="1440"/>
        <w:contextualSpacing/>
        <w:rPr>
          <w:sz w:val="26"/>
          <w:szCs w:val="26"/>
        </w:rPr>
      </w:pPr>
      <w:r w:rsidRPr="00E9174E">
        <w:rPr>
          <w:sz w:val="26"/>
          <w:szCs w:val="26"/>
        </w:rPr>
        <w:t xml:space="preserve">Additionally, Columbia argues that the ALJ’s revenue allocation recommendation is merely an attempt to minimize a rate increase to residential customers during the COVID-19 pandemic, contending that a more appropriate solution would be to implement a phase-in of the approved revenue increased based on Columbia’s proposed revenue allocation.  CG Exc. at 33-38.  Columbia notes that recent base rate proceedings before the Commission have resulted in the approval of settlements that included phased-in revenue increases that are not consistent with “traditional ratemaking models.”  </w:t>
      </w:r>
      <w:r w:rsidRPr="00E9174E">
        <w:rPr>
          <w:i/>
          <w:iCs/>
          <w:sz w:val="26"/>
          <w:szCs w:val="26"/>
        </w:rPr>
        <w:t>See</w:t>
      </w:r>
      <w:r w:rsidRPr="00E9174E">
        <w:rPr>
          <w:sz w:val="26"/>
          <w:szCs w:val="26"/>
        </w:rPr>
        <w:t xml:space="preserve"> </w:t>
      </w:r>
      <w:r w:rsidRPr="00E9174E">
        <w:rPr>
          <w:i/>
          <w:iCs/>
          <w:sz w:val="26"/>
          <w:szCs w:val="26"/>
        </w:rPr>
        <w:t>Pa. PUC v. UGI Utilities, Inc – Gas Division</w:t>
      </w:r>
      <w:r w:rsidRPr="00E9174E">
        <w:rPr>
          <w:sz w:val="26"/>
          <w:szCs w:val="26"/>
        </w:rPr>
        <w:t xml:space="preserve">, Docket No. R-2019-3015162, </w:t>
      </w:r>
      <w:r w:rsidRPr="00E9174E">
        <w:rPr>
          <w:i/>
          <w:iCs/>
          <w:sz w:val="26"/>
          <w:szCs w:val="26"/>
        </w:rPr>
        <w:t>et al</w:t>
      </w:r>
      <w:r w:rsidRPr="00E9174E">
        <w:rPr>
          <w:sz w:val="26"/>
          <w:szCs w:val="26"/>
        </w:rPr>
        <w:t>. (Order entered October 8, 2020) (</w:t>
      </w:r>
      <w:r w:rsidRPr="00E9174E">
        <w:rPr>
          <w:i/>
          <w:iCs/>
          <w:sz w:val="26"/>
          <w:szCs w:val="26"/>
        </w:rPr>
        <w:t>UGI Gas</w:t>
      </w:r>
      <w:r w:rsidRPr="00E9174E">
        <w:rPr>
          <w:sz w:val="26"/>
          <w:szCs w:val="26"/>
        </w:rPr>
        <w:t xml:space="preserve">); </w:t>
      </w:r>
      <w:r w:rsidRPr="00E9174E">
        <w:rPr>
          <w:i/>
          <w:iCs/>
          <w:sz w:val="26"/>
          <w:szCs w:val="26"/>
        </w:rPr>
        <w:t>Pa. PUC v. Philadelphia Gas Works</w:t>
      </w:r>
      <w:r w:rsidRPr="00E9174E">
        <w:rPr>
          <w:sz w:val="26"/>
          <w:szCs w:val="26"/>
        </w:rPr>
        <w:t xml:space="preserve">, Docket No. R-2020-3017206, </w:t>
      </w:r>
      <w:r w:rsidRPr="00E9174E">
        <w:rPr>
          <w:i/>
          <w:iCs/>
          <w:sz w:val="26"/>
          <w:szCs w:val="26"/>
        </w:rPr>
        <w:t>et al</w:t>
      </w:r>
      <w:r w:rsidRPr="00E9174E">
        <w:rPr>
          <w:sz w:val="26"/>
          <w:szCs w:val="26"/>
        </w:rPr>
        <w:t>. (Order entered November 19, 2020) (</w:t>
      </w:r>
      <w:r w:rsidRPr="00E9174E">
        <w:rPr>
          <w:i/>
          <w:iCs/>
          <w:sz w:val="26"/>
          <w:szCs w:val="26"/>
        </w:rPr>
        <w:t>PGW</w:t>
      </w:r>
      <w:r w:rsidRPr="00E9174E">
        <w:rPr>
          <w:sz w:val="26"/>
          <w:szCs w:val="26"/>
        </w:rPr>
        <w:t xml:space="preserve">). </w:t>
      </w:r>
    </w:p>
    <w:p w14:paraId="75E30742" w14:textId="77777777" w:rsidR="00A8096B" w:rsidRPr="00E9174E" w:rsidRDefault="00A8096B" w:rsidP="00E9174E">
      <w:pPr>
        <w:widowControl/>
        <w:spacing w:line="360" w:lineRule="auto"/>
        <w:contextualSpacing/>
        <w:rPr>
          <w:sz w:val="26"/>
          <w:szCs w:val="26"/>
        </w:rPr>
      </w:pPr>
    </w:p>
    <w:p w14:paraId="219A65E4" w14:textId="77777777" w:rsidR="00A8096B" w:rsidRPr="00E9174E" w:rsidRDefault="00A8096B" w:rsidP="00E9174E">
      <w:pPr>
        <w:widowControl/>
        <w:spacing w:line="360" w:lineRule="auto"/>
        <w:ind w:firstLine="1350"/>
        <w:contextualSpacing/>
        <w:rPr>
          <w:sz w:val="26"/>
          <w:szCs w:val="26"/>
        </w:rPr>
      </w:pPr>
      <w:r w:rsidRPr="00E9174E">
        <w:rPr>
          <w:sz w:val="26"/>
          <w:szCs w:val="26"/>
        </w:rPr>
        <w:lastRenderedPageBreak/>
        <w:t>Specifically, Columbia states that it would be willing to accept a two-part phase-in method for implementing the full amount of the Commission-approved increase, with 50% of the approved rate increase taking effect on January 23, 2021, the statutory suspension date, (Phase 1) and the remaining 50% of the approved rate increase taking effect on July 1, 2021 (Phase 2).</w:t>
      </w:r>
      <w:r w:rsidRPr="00E9174E">
        <w:rPr>
          <w:sz w:val="26"/>
          <w:szCs w:val="26"/>
          <w:vertAlign w:val="superscript"/>
        </w:rPr>
        <w:footnoteReference w:id="97"/>
      </w:r>
      <w:r w:rsidRPr="00E9174E">
        <w:rPr>
          <w:sz w:val="26"/>
          <w:szCs w:val="26"/>
        </w:rPr>
        <w:t xml:space="preserve">  CG Exc. at 35.  Pages 36 through 38 of Columbia’s Exceptions contain an example of how the Company’s phase in proposal might be implemented at the revenue requirement of $76.8 million, which considers the concessions set forth in its Exceptions.  The Company contends that this phase-in alternative revenue program appropriately balances the Company’s need to continue funding its critical infrastructure replacement and safety work, while also considering the economic effect of COVID-19 on its customers.  CG Exc. at 38.  </w:t>
      </w:r>
    </w:p>
    <w:p w14:paraId="3B43997F" w14:textId="77777777" w:rsidR="00A8096B" w:rsidRPr="00E9174E" w:rsidRDefault="00A8096B" w:rsidP="00E9174E">
      <w:pPr>
        <w:widowControl/>
        <w:spacing w:line="360" w:lineRule="auto"/>
        <w:ind w:firstLine="1350"/>
        <w:contextualSpacing/>
        <w:rPr>
          <w:sz w:val="26"/>
          <w:szCs w:val="26"/>
        </w:rPr>
      </w:pPr>
    </w:p>
    <w:p w14:paraId="2B64636C" w14:textId="3FA68D55" w:rsidR="00A8096B" w:rsidRPr="00E9174E" w:rsidRDefault="00A8096B" w:rsidP="00C87458">
      <w:pPr>
        <w:pStyle w:val="Heading5"/>
      </w:pPr>
      <w:bookmarkStart w:id="449" w:name="_Toc63764618"/>
      <w:r w:rsidRPr="00E9174E">
        <w:t>OSBA Exception No. 1 and PSU Exception No. 1</w:t>
      </w:r>
      <w:bookmarkEnd w:id="449"/>
    </w:p>
    <w:p w14:paraId="4546E83F" w14:textId="77777777" w:rsidR="00A8096B" w:rsidRPr="00E9174E" w:rsidRDefault="00A8096B" w:rsidP="00E9174E">
      <w:pPr>
        <w:keepNext/>
        <w:keepLines/>
        <w:widowControl/>
        <w:spacing w:line="360" w:lineRule="auto"/>
        <w:contextualSpacing/>
        <w:rPr>
          <w:sz w:val="26"/>
          <w:szCs w:val="26"/>
        </w:rPr>
      </w:pPr>
    </w:p>
    <w:p w14:paraId="4C4893B3" w14:textId="7D302E5D" w:rsidR="00A8096B" w:rsidRPr="00E9174E" w:rsidRDefault="00A8096B" w:rsidP="00E9174E">
      <w:pPr>
        <w:widowControl/>
        <w:spacing w:line="360" w:lineRule="auto"/>
        <w:ind w:firstLine="1440"/>
        <w:contextualSpacing/>
        <w:rPr>
          <w:sz w:val="26"/>
          <w:szCs w:val="26"/>
        </w:rPr>
      </w:pPr>
      <w:r w:rsidRPr="00E9174E">
        <w:rPr>
          <w:sz w:val="26"/>
          <w:szCs w:val="26"/>
        </w:rPr>
        <w:t xml:space="preserve">In </w:t>
      </w:r>
      <w:r w:rsidR="00F61E48" w:rsidRPr="00E9174E">
        <w:rPr>
          <w:sz w:val="26"/>
          <w:szCs w:val="26"/>
        </w:rPr>
        <w:t xml:space="preserve">their </w:t>
      </w:r>
      <w:r w:rsidRPr="00E9174E">
        <w:rPr>
          <w:sz w:val="26"/>
          <w:szCs w:val="26"/>
        </w:rPr>
        <w:t xml:space="preserve">Exceptions, the OSBA and PSU maintain their arguments regarding revenue allocation, paralleled by their Exceptions discussed above (OSBA Exc. No. 1; PSU Exc. No. 1), which take issue with the ALJ’s reasoning for recommending that the OCA’s P&amp;A ACCOSS be used in guiding revenue allocation in this proceeding.  The OSBA’s and PSU’s revenue allocation arguments, guided by their respective preferred ACCOSS, as discussed in the previous section, are substantially aligned with Columbia’s revenue allocation based on the Company’s Average ACCOSS.  As previously discussed, </w:t>
      </w:r>
      <w:r w:rsidRPr="00E9174E">
        <w:rPr>
          <w:sz w:val="26"/>
          <w:szCs w:val="26"/>
        </w:rPr>
        <w:lastRenderedPageBreak/>
        <w:t>both Parties argue that the OCA’s P&amp;A ACCOSS is simply too favorable to the small customer classes at the expense of Columbia’s larger customer classes, contending that guiding revenue allocation based on such an uneven ACCOSS (one that heavily subsidizes the smallest customer classes) will cause Columbia’s larger customers to experience rate increases exceeding the system average, constrained only by the principles of rate gradualism and the industrial customers’ ability to demand negotiated rate discounts.  As the Parties positions, as well as the ALJ’s recommendation on this issue, including the Exceptions thereto, have been extensively discussed and addressed in the previous section, they will not again be addressed here.</w:t>
      </w:r>
    </w:p>
    <w:p w14:paraId="17571990" w14:textId="77777777" w:rsidR="00A8096B" w:rsidRPr="00E9174E" w:rsidRDefault="00A8096B" w:rsidP="00E9174E">
      <w:pPr>
        <w:widowControl/>
        <w:spacing w:line="360" w:lineRule="auto"/>
        <w:ind w:firstLine="1440"/>
        <w:contextualSpacing/>
        <w:rPr>
          <w:sz w:val="26"/>
          <w:szCs w:val="26"/>
        </w:rPr>
      </w:pPr>
    </w:p>
    <w:p w14:paraId="037C737F" w14:textId="77777777" w:rsidR="00A8096B" w:rsidRPr="00E9174E" w:rsidRDefault="00A8096B" w:rsidP="00BB6BB0">
      <w:pPr>
        <w:pStyle w:val="Heading5"/>
      </w:pPr>
      <w:bookmarkStart w:id="450" w:name="_Toc63764619"/>
      <w:r w:rsidRPr="00E9174E">
        <w:t>OCA’s Replies</w:t>
      </w:r>
      <w:bookmarkEnd w:id="450"/>
    </w:p>
    <w:p w14:paraId="58677BDE" w14:textId="77777777" w:rsidR="00A8096B" w:rsidRPr="00E9174E" w:rsidRDefault="00A8096B" w:rsidP="00E9174E">
      <w:pPr>
        <w:keepNext/>
        <w:keepLines/>
        <w:widowControl/>
        <w:spacing w:line="360" w:lineRule="auto"/>
        <w:contextualSpacing/>
        <w:rPr>
          <w:sz w:val="26"/>
          <w:szCs w:val="26"/>
        </w:rPr>
      </w:pPr>
    </w:p>
    <w:p w14:paraId="1507DE59" w14:textId="0F745F63" w:rsidR="00A8096B" w:rsidRPr="00E9174E" w:rsidRDefault="00A8096B" w:rsidP="00E9174E">
      <w:pPr>
        <w:widowControl/>
        <w:spacing w:line="360" w:lineRule="auto"/>
        <w:ind w:firstLine="1440"/>
        <w:contextualSpacing/>
        <w:rPr>
          <w:sz w:val="26"/>
          <w:szCs w:val="26"/>
        </w:rPr>
      </w:pPr>
      <w:r w:rsidRPr="00E9174E">
        <w:rPr>
          <w:sz w:val="26"/>
          <w:szCs w:val="26"/>
        </w:rPr>
        <w:t xml:space="preserve">In its Replies to Exceptions, the OCA argues that Columbia’s attempt to show that the ALJ’s recommended revenue allocation is inconsistent with </w:t>
      </w:r>
      <w:r w:rsidRPr="00E9174E">
        <w:rPr>
          <w:i/>
          <w:iCs/>
          <w:sz w:val="26"/>
          <w:szCs w:val="26"/>
        </w:rPr>
        <w:t>Lloyd</w:t>
      </w:r>
      <w:r w:rsidRPr="00E9174E">
        <w:rPr>
          <w:sz w:val="26"/>
          <w:szCs w:val="26"/>
        </w:rPr>
        <w:t xml:space="preserve">, based solely on a comparison of the results with its own proposed revenue allocation is without merit.  The OCA maintains that Columbia’s proposed revenue allocation, based on its Average ACCOSS, which includes a customer component for mains costs, is inconsistent with Commission precedent and should be rejected, as should Columbia’s misplaced </w:t>
      </w:r>
      <w:r w:rsidRPr="00E9174E">
        <w:rPr>
          <w:i/>
          <w:iCs/>
          <w:sz w:val="26"/>
          <w:szCs w:val="26"/>
        </w:rPr>
        <w:t>Lloyd</w:t>
      </w:r>
      <w:r w:rsidRPr="00E9174E">
        <w:rPr>
          <w:sz w:val="26"/>
          <w:szCs w:val="26"/>
        </w:rPr>
        <w:t xml:space="preserve"> argument and its attempt to compare revenue allocations included in past settlements to those presented in the instant fully-litigated proceeding.  OCA R. Exc. at</w:t>
      </w:r>
      <w:r w:rsidR="00BB6BB0">
        <w:rPr>
          <w:sz w:val="26"/>
          <w:szCs w:val="26"/>
        </w:rPr>
        <w:t> </w:t>
      </w:r>
      <w:r w:rsidRPr="00E9174E">
        <w:rPr>
          <w:sz w:val="26"/>
          <w:szCs w:val="26"/>
        </w:rPr>
        <w:t xml:space="preserve">19-20.  </w:t>
      </w:r>
    </w:p>
    <w:p w14:paraId="69E9C8FB" w14:textId="77777777" w:rsidR="00A8096B" w:rsidRPr="00E9174E" w:rsidRDefault="00A8096B" w:rsidP="00E9174E">
      <w:pPr>
        <w:widowControl/>
        <w:spacing w:line="360" w:lineRule="auto"/>
        <w:ind w:firstLine="1440"/>
        <w:contextualSpacing/>
        <w:rPr>
          <w:sz w:val="26"/>
          <w:szCs w:val="26"/>
        </w:rPr>
      </w:pPr>
    </w:p>
    <w:p w14:paraId="48D03E6B" w14:textId="77777777" w:rsidR="00A8096B" w:rsidRPr="00E9174E" w:rsidRDefault="00A8096B" w:rsidP="00E9174E">
      <w:pPr>
        <w:widowControl/>
        <w:spacing w:line="360" w:lineRule="auto"/>
        <w:ind w:firstLine="1440"/>
        <w:contextualSpacing/>
        <w:rPr>
          <w:sz w:val="26"/>
          <w:szCs w:val="26"/>
        </w:rPr>
      </w:pPr>
      <w:r w:rsidRPr="00E9174E">
        <w:rPr>
          <w:sz w:val="26"/>
          <w:szCs w:val="26"/>
        </w:rPr>
        <w:t xml:space="preserve">Similarly, the OCA rejects Columbia’s attempt to introduce its phase-in approach during the Exceptions stage of this matter, as it is a brand-new proposal denying the OCA and all Parties adequate notice and a meaningful opportunity to respond.  OCA R. Exc. at 20.  Additionally, the OCA argues that the Company’s misguided reliance on </w:t>
      </w:r>
      <w:r w:rsidRPr="00E9174E">
        <w:rPr>
          <w:i/>
          <w:iCs/>
          <w:sz w:val="26"/>
          <w:szCs w:val="26"/>
        </w:rPr>
        <w:t>UGI Gas</w:t>
      </w:r>
      <w:r w:rsidRPr="00E9174E">
        <w:rPr>
          <w:sz w:val="26"/>
          <w:szCs w:val="26"/>
        </w:rPr>
        <w:t xml:space="preserve"> and </w:t>
      </w:r>
      <w:r w:rsidRPr="00E9174E">
        <w:rPr>
          <w:i/>
          <w:iCs/>
          <w:sz w:val="26"/>
          <w:szCs w:val="26"/>
        </w:rPr>
        <w:t>PGW Rate Order</w:t>
      </w:r>
      <w:r w:rsidRPr="00E9174E">
        <w:rPr>
          <w:sz w:val="26"/>
          <w:szCs w:val="26"/>
        </w:rPr>
        <w:t xml:space="preserve"> should be rejected, as those matters involved broad-ranging provisions which included robust COVID-19 relief plans, low-income customer relief, stay-out provisions, and a host of other customer benefits.  </w:t>
      </w:r>
      <w:r w:rsidRPr="00E9174E">
        <w:rPr>
          <w:sz w:val="26"/>
          <w:szCs w:val="26"/>
        </w:rPr>
        <w:lastRenderedPageBreak/>
        <w:t xml:space="preserve">The OCA argues that the Company’s proposal shares none of those attributes, adding that those cases were the result of extensive settlement negotiations and compromise on all sides.  OCA R. Exc. at 21.  </w:t>
      </w:r>
    </w:p>
    <w:p w14:paraId="77F764A9" w14:textId="77777777" w:rsidR="00A8096B" w:rsidRPr="00E9174E" w:rsidRDefault="00A8096B" w:rsidP="00E9174E">
      <w:pPr>
        <w:widowControl/>
        <w:spacing w:line="360" w:lineRule="auto"/>
        <w:contextualSpacing/>
        <w:rPr>
          <w:sz w:val="26"/>
          <w:szCs w:val="26"/>
        </w:rPr>
      </w:pPr>
    </w:p>
    <w:p w14:paraId="68DDA6C5" w14:textId="3B91C2D0" w:rsidR="00A8096B" w:rsidRPr="00E9174E" w:rsidRDefault="00A8096B" w:rsidP="00BB6BB0">
      <w:pPr>
        <w:pStyle w:val="Heading4"/>
        <w:ind w:left="2160" w:hanging="720"/>
      </w:pPr>
      <w:bookmarkStart w:id="451" w:name="_Toc61011379"/>
      <w:bookmarkStart w:id="452" w:name="_Toc63764620"/>
      <w:r w:rsidRPr="00E9174E">
        <w:t>Disposition</w:t>
      </w:r>
      <w:bookmarkEnd w:id="451"/>
      <w:bookmarkEnd w:id="452"/>
    </w:p>
    <w:bookmarkEnd w:id="435"/>
    <w:p w14:paraId="1A53CBAE" w14:textId="77777777" w:rsidR="00A8096B" w:rsidRPr="00E9174E" w:rsidRDefault="00A8096B" w:rsidP="00E9174E">
      <w:pPr>
        <w:keepNext/>
        <w:keepLines/>
        <w:widowControl/>
        <w:spacing w:line="360" w:lineRule="auto"/>
        <w:ind w:left="2160" w:hanging="720"/>
        <w:contextualSpacing/>
        <w:rPr>
          <w:b/>
          <w:bCs/>
          <w:sz w:val="26"/>
          <w:szCs w:val="26"/>
        </w:rPr>
      </w:pPr>
    </w:p>
    <w:p w14:paraId="1BB98C35" w14:textId="77777777" w:rsidR="00A8096B" w:rsidRPr="00E9174E" w:rsidRDefault="00A8096B" w:rsidP="00E9174E">
      <w:pPr>
        <w:widowControl/>
        <w:spacing w:line="360" w:lineRule="auto"/>
        <w:ind w:firstLine="1440"/>
        <w:contextualSpacing/>
        <w:rPr>
          <w:sz w:val="26"/>
          <w:szCs w:val="26"/>
        </w:rPr>
      </w:pPr>
      <w:r w:rsidRPr="00E9174E">
        <w:rPr>
          <w:sz w:val="26"/>
          <w:szCs w:val="26"/>
        </w:rPr>
        <w:t>After an appropriate cost of service study has been adopted, the rate design involves two primary steps.  The first step is the determination of inter-class rates, which involves the assignment of the revenue requirement between the various customer classes.  The second step is the allocation of any class rate increase (or decrease) among the various intra-class rate elements.  In this second step, we must examine the manner in which the class revenue requirement will be collected from customers.</w:t>
      </w:r>
    </w:p>
    <w:p w14:paraId="3844975C" w14:textId="77777777" w:rsidR="00A8096B" w:rsidRPr="00E9174E" w:rsidRDefault="00A8096B" w:rsidP="00E9174E">
      <w:pPr>
        <w:widowControl/>
        <w:spacing w:line="360" w:lineRule="auto"/>
        <w:contextualSpacing/>
        <w:rPr>
          <w:sz w:val="26"/>
          <w:szCs w:val="26"/>
        </w:rPr>
      </w:pPr>
    </w:p>
    <w:p w14:paraId="3A6F708D" w14:textId="77777777" w:rsidR="00A8096B" w:rsidRPr="00E9174E" w:rsidRDefault="00A8096B" w:rsidP="00E9174E">
      <w:pPr>
        <w:widowControl/>
        <w:spacing w:line="360" w:lineRule="auto"/>
        <w:ind w:firstLine="1440"/>
        <w:contextualSpacing/>
        <w:rPr>
          <w:sz w:val="26"/>
          <w:szCs w:val="26"/>
        </w:rPr>
      </w:pPr>
      <w:r w:rsidRPr="00E9174E">
        <w:rPr>
          <w:sz w:val="26"/>
          <w:szCs w:val="26"/>
        </w:rPr>
        <w:t xml:space="preserve">Therefore, based upon our prior determination and discussion, </w:t>
      </w:r>
      <w:r w:rsidRPr="00E9174E">
        <w:rPr>
          <w:i/>
          <w:iCs/>
          <w:sz w:val="26"/>
          <w:szCs w:val="26"/>
        </w:rPr>
        <w:t>supra</w:t>
      </w:r>
      <w:r w:rsidRPr="00E9174E">
        <w:rPr>
          <w:sz w:val="26"/>
          <w:szCs w:val="26"/>
        </w:rPr>
        <w:t xml:space="preserve">, with respect to the rejection of the Company’s Average ACCOSS, in favor of the OCA’s P&amp;A ACCOSS, we agree with the ALJ that the OCA’s proposed revenue allocation should be approved.  As the OCA’s revenue allocation recommendation is based upon its P&amp;A ACCOSS, which we have accepted, we conclude that its allocation proposal should similarly be accepted.  As discussed in the previous section, if all customers were the same size and had identical usage characteristics, cost allocation would be simple, even unnecessary.  However, in reality, a utility’s customer base is not so simple.  Customers, or customer groups, tend to vary greatly in the amount of service required throughout the year such that there are small usage and large usage customers. </w:t>
      </w:r>
      <w:r w:rsidR="00FD486F" w:rsidRPr="00E9174E">
        <w:rPr>
          <w:sz w:val="26"/>
          <w:szCs w:val="26"/>
        </w:rPr>
        <w:t xml:space="preserve"> </w:t>
      </w:r>
      <w:r w:rsidRPr="00E9174E">
        <w:rPr>
          <w:sz w:val="26"/>
          <w:szCs w:val="26"/>
        </w:rPr>
        <w:t>Therefore, differences in usage should be considered.  Because different groups of customers also utilize the system at varying degrees during the year, consideration should also be given to the demands placed on the system during peak usage periods.</w:t>
      </w:r>
    </w:p>
    <w:p w14:paraId="603D99AD" w14:textId="77777777" w:rsidR="00A8096B" w:rsidRPr="00E9174E" w:rsidRDefault="00A8096B" w:rsidP="00E9174E">
      <w:pPr>
        <w:widowControl/>
        <w:spacing w:line="360" w:lineRule="auto"/>
        <w:ind w:left="2160" w:hanging="720"/>
        <w:contextualSpacing/>
        <w:rPr>
          <w:b/>
          <w:bCs/>
          <w:sz w:val="26"/>
          <w:szCs w:val="26"/>
        </w:rPr>
      </w:pPr>
    </w:p>
    <w:p w14:paraId="363D747D" w14:textId="7055975B" w:rsidR="00A8096B" w:rsidRPr="00E9174E" w:rsidRDefault="00A8096B" w:rsidP="00E9174E">
      <w:pPr>
        <w:widowControl/>
        <w:spacing w:line="360" w:lineRule="auto"/>
        <w:ind w:firstLine="1440"/>
        <w:contextualSpacing/>
        <w:rPr>
          <w:sz w:val="26"/>
          <w:szCs w:val="26"/>
        </w:rPr>
      </w:pPr>
      <w:r w:rsidRPr="00E9174E">
        <w:rPr>
          <w:sz w:val="26"/>
          <w:szCs w:val="26"/>
        </w:rPr>
        <w:t xml:space="preserve">Before us are essentially four divergent positions regarding the appropriate distribution of the Company’s requested revenue increase among its customer classes, </w:t>
      </w:r>
      <w:r w:rsidRPr="00E9174E">
        <w:rPr>
          <w:sz w:val="26"/>
          <w:szCs w:val="26"/>
        </w:rPr>
        <w:lastRenderedPageBreak/>
        <w:t xml:space="preserve">with the actual numbers to be based on the proportionate adoption of the actual revenue requirement approved.  The methods that were employed by each Party in consideration of their respective proposals are similar, in that they each utilized cost guidelines in evaluating class revenue levels.  </w:t>
      </w:r>
    </w:p>
    <w:p w14:paraId="6EAAB5CD" w14:textId="77777777" w:rsidR="00A8096B" w:rsidRPr="00E9174E" w:rsidRDefault="00A8096B" w:rsidP="00E9174E">
      <w:pPr>
        <w:widowControl/>
        <w:spacing w:line="360" w:lineRule="auto"/>
        <w:ind w:firstLine="1440"/>
        <w:contextualSpacing/>
        <w:rPr>
          <w:sz w:val="26"/>
          <w:szCs w:val="26"/>
        </w:rPr>
      </w:pPr>
    </w:p>
    <w:p w14:paraId="260D63DF" w14:textId="77777777" w:rsidR="00A8096B" w:rsidRPr="00E9174E" w:rsidRDefault="00A8096B" w:rsidP="00E9174E">
      <w:pPr>
        <w:widowControl/>
        <w:spacing w:line="360" w:lineRule="auto"/>
        <w:ind w:firstLine="1440"/>
        <w:contextualSpacing/>
        <w:rPr>
          <w:sz w:val="26"/>
          <w:szCs w:val="26"/>
        </w:rPr>
      </w:pPr>
      <w:r w:rsidRPr="00E9174E">
        <w:rPr>
          <w:sz w:val="26"/>
          <w:szCs w:val="26"/>
        </w:rPr>
        <w:t xml:space="preserve">With regard to rate class revenue levels, the rate of return results show that certain rate classes are being charged rates that recover less than their indicated costs of service.  As a result, rates for other rate classes provide for recovery of more than the indicated costs of serving these other rate classes.  By adjusting rates in accordance with each Parties’ preferred ACCOSS results, the Parties attempted to bring each rate class revenue level closer in line with the indicated costs of service, resulting in movement of rate class rates of return toward the system average rate of return and resulting in rates that are more in line with the cost of providing service.  However, the results of an ACCOSS are not always relevant to all types of service, as is the case in the instant proceeding.  In particular, this situation applies to Columbia’s Flex rate class customers, where rates are based on their competitive characteristics.  </w:t>
      </w:r>
    </w:p>
    <w:p w14:paraId="6ABD3927" w14:textId="77777777" w:rsidR="00A8096B" w:rsidRPr="00E9174E" w:rsidRDefault="00A8096B" w:rsidP="00E9174E">
      <w:pPr>
        <w:widowControl/>
        <w:spacing w:line="360" w:lineRule="auto"/>
        <w:ind w:firstLine="1440"/>
        <w:contextualSpacing/>
        <w:rPr>
          <w:sz w:val="26"/>
          <w:szCs w:val="26"/>
        </w:rPr>
      </w:pPr>
    </w:p>
    <w:p w14:paraId="78467085" w14:textId="77777777" w:rsidR="00A8096B" w:rsidRPr="00E9174E" w:rsidRDefault="00A8096B" w:rsidP="00E9174E">
      <w:pPr>
        <w:widowControl/>
        <w:spacing w:line="360" w:lineRule="auto"/>
        <w:ind w:firstLine="1440"/>
        <w:contextualSpacing/>
        <w:rPr>
          <w:sz w:val="26"/>
          <w:szCs w:val="26"/>
        </w:rPr>
      </w:pPr>
      <w:r w:rsidRPr="00E9174E">
        <w:rPr>
          <w:sz w:val="26"/>
          <w:szCs w:val="26"/>
        </w:rPr>
        <w:t xml:space="preserve">While we agree that it is acceptable to utilize a range of ACCOSS results when establishing a cost basis for setting class revenues and rates, as well as reflect non-cost considerations, such as gradualism and rate classes consisting of customers with negotiated rates, we emphasize the importance of a utility’s ACCOSS to stand on its own objective merits.  Although revenue allocation among the rate classes should be based on a balancing of the cost of service and non-cost considerations, it should not relieve the Company’s responsibility to present ACCOSSs that properly reflect the cost causative characteristics of its customers.  Furthermore, regarding CII’s argument that the LDS/LGSS rate class should receive no more than the system average increase based on anticipated impacts to large commercial and industrial customers as a result of the COVID-19 pandemic (CII M.B. at 15-17), we recognize the possibility of declining economic activity; however, the effects of the current pandemic on future customer usage </w:t>
      </w:r>
      <w:r w:rsidRPr="00E9174E">
        <w:rPr>
          <w:sz w:val="26"/>
          <w:szCs w:val="26"/>
        </w:rPr>
        <w:lastRenderedPageBreak/>
        <w:t xml:space="preserve">and demand for large commercial and industrial customers have not been demonstrated in this record.  Therefore, we decline at this time to reflect speculative declines in annual usage and peak demands in either the allocation of revenues by customer class or the ACCOSS by which the allocation is guided for the LDS/LGSS customer rate class.  </w:t>
      </w:r>
    </w:p>
    <w:p w14:paraId="415798F9" w14:textId="77777777" w:rsidR="00A8096B" w:rsidRPr="00E9174E" w:rsidRDefault="00A8096B" w:rsidP="00E9174E">
      <w:pPr>
        <w:widowControl/>
        <w:spacing w:line="360" w:lineRule="auto"/>
        <w:ind w:left="2160" w:hanging="720"/>
        <w:contextualSpacing/>
        <w:rPr>
          <w:b/>
          <w:bCs/>
          <w:sz w:val="26"/>
          <w:szCs w:val="26"/>
        </w:rPr>
      </w:pPr>
    </w:p>
    <w:p w14:paraId="58946FA2" w14:textId="77777777" w:rsidR="00A8096B" w:rsidRPr="00E9174E" w:rsidRDefault="00A8096B" w:rsidP="00E9174E">
      <w:pPr>
        <w:widowControl/>
        <w:spacing w:line="360" w:lineRule="auto"/>
        <w:ind w:firstLine="1440"/>
        <w:contextualSpacing/>
        <w:rPr>
          <w:sz w:val="26"/>
          <w:szCs w:val="26"/>
        </w:rPr>
      </w:pPr>
      <w:r w:rsidRPr="00E9174E">
        <w:rPr>
          <w:sz w:val="26"/>
          <w:szCs w:val="26"/>
        </w:rPr>
        <w:t xml:space="preserve">As illustrated in the following table, we find that the OCA’s revenue allocation proposal is consistent with </w:t>
      </w:r>
      <w:r w:rsidRPr="00E9174E">
        <w:rPr>
          <w:i/>
          <w:iCs/>
          <w:sz w:val="26"/>
          <w:szCs w:val="26"/>
        </w:rPr>
        <w:t>Lloyd</w:t>
      </w:r>
      <w:r w:rsidRPr="00E9174E">
        <w:rPr>
          <w:sz w:val="26"/>
          <w:szCs w:val="26"/>
        </w:rPr>
        <w:t xml:space="preserve"> and moves all rate classes, with the exception of rate class SGSS1/SCD1/SGDS1 (which moves from a relative rate of return of 0.98 at current rates to a relative rate of return of 1.05 at proposed rates), closer to the cost of service in a reasonable manner.  This negligible amount of movement away from its cost of service is due to the assignment of an increase equal to 1.25 times the system average increase to the small commercial and industrial customers (SGSS1/SCD1/SGDS1 and SGSS2/SCD2/SGDS2 rate classes), which provides an offset to the revenue deficiency of the SCD/LGSS and LDS/LGSS classes whose increases were capped in order to reflect gradualism.  </w:t>
      </w:r>
    </w:p>
    <w:p w14:paraId="518B7843" w14:textId="77777777" w:rsidR="00A8096B" w:rsidRPr="00E9174E" w:rsidRDefault="00A8096B" w:rsidP="00E9174E">
      <w:pPr>
        <w:widowControl/>
        <w:spacing w:line="360" w:lineRule="auto"/>
        <w:ind w:firstLine="1440"/>
        <w:contextualSpacing/>
        <w:rPr>
          <w:sz w:val="26"/>
          <w:szCs w:val="26"/>
        </w:rPr>
      </w:pPr>
    </w:p>
    <w:tbl>
      <w:tblPr>
        <w:tblW w:w="5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890"/>
        <w:gridCol w:w="1980"/>
      </w:tblGrid>
      <w:tr w:rsidR="00A8096B" w:rsidRPr="00E9174E" w14:paraId="505AE293" w14:textId="77777777" w:rsidTr="00CC66FD">
        <w:trPr>
          <w:trHeight w:val="503"/>
          <w:jc w:val="center"/>
        </w:trPr>
        <w:tc>
          <w:tcPr>
            <w:tcW w:w="5688" w:type="dxa"/>
            <w:gridSpan w:val="3"/>
            <w:tcBorders>
              <w:bottom w:val="single" w:sz="4" w:space="0" w:color="auto"/>
            </w:tcBorders>
            <w:vAlign w:val="center"/>
          </w:tcPr>
          <w:p w14:paraId="6E917715" w14:textId="77777777" w:rsidR="00A8096B" w:rsidRPr="00E9174E" w:rsidRDefault="00A8096B" w:rsidP="00E9174E">
            <w:pPr>
              <w:keepNext/>
              <w:keepLines/>
              <w:widowControl/>
              <w:contextualSpacing/>
              <w:jc w:val="center"/>
              <w:rPr>
                <w:b/>
                <w:sz w:val="26"/>
                <w:szCs w:val="26"/>
              </w:rPr>
            </w:pPr>
            <w:r w:rsidRPr="00E9174E">
              <w:rPr>
                <w:b/>
                <w:sz w:val="26"/>
                <w:szCs w:val="26"/>
              </w:rPr>
              <w:lastRenderedPageBreak/>
              <w:t>Relative Rates of Return Under OCA’s Proposal</w:t>
            </w:r>
          </w:p>
          <w:p w14:paraId="5D924B2D" w14:textId="77777777" w:rsidR="00A8096B" w:rsidRPr="00E9174E" w:rsidRDefault="00A8096B" w:rsidP="00E9174E">
            <w:pPr>
              <w:keepNext/>
              <w:keepLines/>
              <w:widowControl/>
              <w:contextualSpacing/>
              <w:jc w:val="center"/>
              <w:rPr>
                <w:b/>
                <w:sz w:val="26"/>
                <w:szCs w:val="26"/>
              </w:rPr>
            </w:pPr>
            <w:r w:rsidRPr="00E9174E">
              <w:rPr>
                <w:b/>
                <w:sz w:val="26"/>
                <w:szCs w:val="26"/>
              </w:rPr>
              <w:t>(OCA ACCOSS)</w:t>
            </w:r>
          </w:p>
        </w:tc>
      </w:tr>
      <w:tr w:rsidR="00A8096B" w:rsidRPr="00E9174E" w14:paraId="73CE0347" w14:textId="77777777" w:rsidTr="00CC66FD">
        <w:trPr>
          <w:trHeight w:val="503"/>
          <w:jc w:val="center"/>
        </w:trPr>
        <w:tc>
          <w:tcPr>
            <w:tcW w:w="1818" w:type="dxa"/>
            <w:tcBorders>
              <w:bottom w:val="single" w:sz="4" w:space="0" w:color="auto"/>
            </w:tcBorders>
            <w:vAlign w:val="bottom"/>
          </w:tcPr>
          <w:p w14:paraId="49B30A74" w14:textId="77777777" w:rsidR="00A8096B" w:rsidRPr="00E9174E" w:rsidRDefault="00A8096B" w:rsidP="00E9174E">
            <w:pPr>
              <w:keepNext/>
              <w:keepLines/>
              <w:widowControl/>
              <w:contextualSpacing/>
              <w:rPr>
                <w:b/>
                <w:sz w:val="26"/>
                <w:szCs w:val="26"/>
              </w:rPr>
            </w:pPr>
            <w:r w:rsidRPr="00E9174E">
              <w:rPr>
                <w:b/>
                <w:sz w:val="26"/>
                <w:szCs w:val="26"/>
              </w:rPr>
              <w:t>Class</w:t>
            </w:r>
          </w:p>
        </w:tc>
        <w:tc>
          <w:tcPr>
            <w:tcW w:w="1890" w:type="dxa"/>
            <w:tcBorders>
              <w:bottom w:val="single" w:sz="4" w:space="0" w:color="auto"/>
            </w:tcBorders>
            <w:vAlign w:val="bottom"/>
          </w:tcPr>
          <w:p w14:paraId="74A4D0F0" w14:textId="77777777" w:rsidR="00A8096B" w:rsidRPr="00E9174E" w:rsidRDefault="00A8096B" w:rsidP="00E9174E">
            <w:pPr>
              <w:keepNext/>
              <w:keepLines/>
              <w:widowControl/>
              <w:contextualSpacing/>
              <w:jc w:val="center"/>
              <w:rPr>
                <w:b/>
                <w:sz w:val="26"/>
                <w:szCs w:val="26"/>
              </w:rPr>
            </w:pPr>
            <w:r w:rsidRPr="00E9174E">
              <w:rPr>
                <w:b/>
                <w:sz w:val="26"/>
                <w:szCs w:val="26"/>
              </w:rPr>
              <w:t>Under</w:t>
            </w:r>
          </w:p>
          <w:p w14:paraId="71F08E5B" w14:textId="77777777" w:rsidR="00A8096B" w:rsidRPr="00E9174E" w:rsidRDefault="00A8096B" w:rsidP="00E9174E">
            <w:pPr>
              <w:keepNext/>
              <w:keepLines/>
              <w:widowControl/>
              <w:contextualSpacing/>
              <w:jc w:val="center"/>
              <w:rPr>
                <w:b/>
                <w:sz w:val="26"/>
                <w:szCs w:val="26"/>
              </w:rPr>
            </w:pPr>
            <w:r w:rsidRPr="00E9174E">
              <w:rPr>
                <w:b/>
                <w:sz w:val="26"/>
                <w:szCs w:val="26"/>
              </w:rPr>
              <w:t>Present Rates</w:t>
            </w:r>
          </w:p>
        </w:tc>
        <w:tc>
          <w:tcPr>
            <w:tcW w:w="1980" w:type="dxa"/>
            <w:tcBorders>
              <w:bottom w:val="single" w:sz="4" w:space="0" w:color="auto"/>
            </w:tcBorders>
            <w:vAlign w:val="bottom"/>
          </w:tcPr>
          <w:p w14:paraId="34922CF9" w14:textId="77777777" w:rsidR="00A8096B" w:rsidRPr="00E9174E" w:rsidRDefault="00A8096B" w:rsidP="00E9174E">
            <w:pPr>
              <w:keepNext/>
              <w:keepLines/>
              <w:widowControl/>
              <w:contextualSpacing/>
              <w:jc w:val="center"/>
              <w:rPr>
                <w:b/>
                <w:sz w:val="26"/>
                <w:szCs w:val="26"/>
              </w:rPr>
            </w:pPr>
            <w:r w:rsidRPr="00E9174E">
              <w:rPr>
                <w:b/>
                <w:sz w:val="26"/>
                <w:szCs w:val="26"/>
              </w:rPr>
              <w:t>Under</w:t>
            </w:r>
          </w:p>
          <w:p w14:paraId="66D4264B" w14:textId="77777777" w:rsidR="00A8096B" w:rsidRPr="00E9174E" w:rsidRDefault="00A8096B" w:rsidP="00E9174E">
            <w:pPr>
              <w:keepNext/>
              <w:keepLines/>
              <w:widowControl/>
              <w:contextualSpacing/>
              <w:jc w:val="center"/>
              <w:rPr>
                <w:b/>
                <w:sz w:val="26"/>
                <w:szCs w:val="26"/>
              </w:rPr>
            </w:pPr>
            <w:r w:rsidRPr="00E9174E">
              <w:rPr>
                <w:b/>
                <w:sz w:val="26"/>
                <w:szCs w:val="26"/>
              </w:rPr>
              <w:t>Proposed Rates</w:t>
            </w:r>
          </w:p>
        </w:tc>
      </w:tr>
      <w:tr w:rsidR="00A8096B" w:rsidRPr="00E9174E" w14:paraId="1DD1A342" w14:textId="77777777" w:rsidTr="00CC66FD">
        <w:trPr>
          <w:trHeight w:val="422"/>
          <w:jc w:val="center"/>
        </w:trPr>
        <w:tc>
          <w:tcPr>
            <w:tcW w:w="1818" w:type="dxa"/>
            <w:tcBorders>
              <w:top w:val="single" w:sz="4" w:space="0" w:color="auto"/>
              <w:left w:val="single" w:sz="4" w:space="0" w:color="auto"/>
              <w:bottom w:val="nil"/>
              <w:right w:val="single" w:sz="4" w:space="0" w:color="auto"/>
            </w:tcBorders>
            <w:vAlign w:val="bottom"/>
          </w:tcPr>
          <w:p w14:paraId="4160BA8C" w14:textId="77777777" w:rsidR="00A8096B" w:rsidRPr="00E9174E" w:rsidRDefault="00A8096B" w:rsidP="00E9174E">
            <w:pPr>
              <w:keepNext/>
              <w:keepLines/>
              <w:widowControl/>
              <w:contextualSpacing/>
              <w:rPr>
                <w:sz w:val="26"/>
                <w:szCs w:val="26"/>
              </w:rPr>
            </w:pPr>
            <w:r w:rsidRPr="00E9174E">
              <w:rPr>
                <w:sz w:val="26"/>
                <w:szCs w:val="26"/>
              </w:rPr>
              <w:t>RSS/RDS</w:t>
            </w:r>
          </w:p>
        </w:tc>
        <w:tc>
          <w:tcPr>
            <w:tcW w:w="1890" w:type="dxa"/>
            <w:tcBorders>
              <w:top w:val="single" w:sz="4" w:space="0" w:color="auto"/>
              <w:left w:val="single" w:sz="4" w:space="0" w:color="auto"/>
              <w:bottom w:val="nil"/>
              <w:right w:val="single" w:sz="4" w:space="0" w:color="auto"/>
            </w:tcBorders>
            <w:vAlign w:val="bottom"/>
          </w:tcPr>
          <w:p w14:paraId="36E15B29" w14:textId="77777777" w:rsidR="00A8096B" w:rsidRPr="00E9174E" w:rsidRDefault="00A8096B" w:rsidP="00E9174E">
            <w:pPr>
              <w:keepNext/>
              <w:keepLines/>
              <w:widowControl/>
              <w:contextualSpacing/>
              <w:jc w:val="center"/>
              <w:rPr>
                <w:sz w:val="26"/>
                <w:szCs w:val="26"/>
              </w:rPr>
            </w:pPr>
            <w:r w:rsidRPr="00E9174E">
              <w:rPr>
                <w:sz w:val="26"/>
                <w:szCs w:val="26"/>
              </w:rPr>
              <w:t>1.34</w:t>
            </w:r>
          </w:p>
        </w:tc>
        <w:tc>
          <w:tcPr>
            <w:tcW w:w="1980" w:type="dxa"/>
            <w:tcBorders>
              <w:top w:val="single" w:sz="4" w:space="0" w:color="auto"/>
              <w:left w:val="single" w:sz="4" w:space="0" w:color="auto"/>
              <w:bottom w:val="nil"/>
              <w:right w:val="single" w:sz="4" w:space="0" w:color="auto"/>
            </w:tcBorders>
            <w:vAlign w:val="bottom"/>
          </w:tcPr>
          <w:p w14:paraId="7E73069D" w14:textId="77777777" w:rsidR="00A8096B" w:rsidRPr="00E9174E" w:rsidRDefault="00A8096B" w:rsidP="00E9174E">
            <w:pPr>
              <w:keepNext/>
              <w:keepLines/>
              <w:widowControl/>
              <w:contextualSpacing/>
              <w:jc w:val="center"/>
              <w:rPr>
                <w:sz w:val="26"/>
                <w:szCs w:val="26"/>
              </w:rPr>
            </w:pPr>
            <w:r w:rsidRPr="00E9174E">
              <w:rPr>
                <w:sz w:val="26"/>
                <w:szCs w:val="26"/>
              </w:rPr>
              <w:t>1.24</w:t>
            </w:r>
          </w:p>
        </w:tc>
      </w:tr>
      <w:tr w:rsidR="00A8096B" w:rsidRPr="00E9174E" w14:paraId="23173825" w14:textId="77777777" w:rsidTr="00CC66FD">
        <w:trPr>
          <w:trHeight w:val="783"/>
          <w:jc w:val="center"/>
        </w:trPr>
        <w:tc>
          <w:tcPr>
            <w:tcW w:w="1818" w:type="dxa"/>
            <w:tcBorders>
              <w:top w:val="nil"/>
              <w:left w:val="single" w:sz="4" w:space="0" w:color="auto"/>
              <w:bottom w:val="nil"/>
              <w:right w:val="single" w:sz="4" w:space="0" w:color="auto"/>
            </w:tcBorders>
            <w:vAlign w:val="bottom"/>
          </w:tcPr>
          <w:p w14:paraId="0E70D5F3" w14:textId="77777777" w:rsidR="00A8096B" w:rsidRPr="00E9174E" w:rsidRDefault="00A8096B" w:rsidP="00E9174E">
            <w:pPr>
              <w:keepNext/>
              <w:keepLines/>
              <w:widowControl/>
              <w:contextualSpacing/>
              <w:rPr>
                <w:sz w:val="26"/>
                <w:szCs w:val="26"/>
              </w:rPr>
            </w:pPr>
            <w:r w:rsidRPr="00E9174E">
              <w:rPr>
                <w:sz w:val="26"/>
                <w:szCs w:val="26"/>
              </w:rPr>
              <w:t>SGSS1/SCD1/SGDS1</w:t>
            </w:r>
          </w:p>
        </w:tc>
        <w:tc>
          <w:tcPr>
            <w:tcW w:w="1890" w:type="dxa"/>
            <w:tcBorders>
              <w:top w:val="nil"/>
              <w:left w:val="single" w:sz="4" w:space="0" w:color="auto"/>
              <w:bottom w:val="nil"/>
              <w:right w:val="single" w:sz="4" w:space="0" w:color="auto"/>
            </w:tcBorders>
            <w:vAlign w:val="bottom"/>
          </w:tcPr>
          <w:p w14:paraId="19CC7CE2" w14:textId="77777777" w:rsidR="00A8096B" w:rsidRPr="00E9174E" w:rsidRDefault="00A8096B" w:rsidP="00E9174E">
            <w:pPr>
              <w:keepNext/>
              <w:keepLines/>
              <w:widowControl/>
              <w:contextualSpacing/>
              <w:jc w:val="center"/>
              <w:rPr>
                <w:sz w:val="26"/>
                <w:szCs w:val="26"/>
              </w:rPr>
            </w:pPr>
            <w:r w:rsidRPr="00E9174E">
              <w:rPr>
                <w:sz w:val="26"/>
                <w:szCs w:val="26"/>
              </w:rPr>
              <w:t>0.98</w:t>
            </w:r>
          </w:p>
        </w:tc>
        <w:tc>
          <w:tcPr>
            <w:tcW w:w="1980" w:type="dxa"/>
            <w:tcBorders>
              <w:top w:val="nil"/>
              <w:left w:val="single" w:sz="4" w:space="0" w:color="auto"/>
              <w:bottom w:val="nil"/>
              <w:right w:val="single" w:sz="4" w:space="0" w:color="auto"/>
            </w:tcBorders>
            <w:vAlign w:val="bottom"/>
          </w:tcPr>
          <w:p w14:paraId="54DFA704" w14:textId="77777777" w:rsidR="00A8096B" w:rsidRPr="00E9174E" w:rsidRDefault="00A8096B" w:rsidP="00E9174E">
            <w:pPr>
              <w:keepNext/>
              <w:keepLines/>
              <w:widowControl/>
              <w:contextualSpacing/>
              <w:jc w:val="center"/>
              <w:rPr>
                <w:sz w:val="26"/>
                <w:szCs w:val="26"/>
              </w:rPr>
            </w:pPr>
            <w:r w:rsidRPr="00E9174E">
              <w:rPr>
                <w:sz w:val="26"/>
                <w:szCs w:val="26"/>
              </w:rPr>
              <w:t>1.05</w:t>
            </w:r>
          </w:p>
        </w:tc>
      </w:tr>
      <w:tr w:rsidR="00A8096B" w:rsidRPr="00E9174E" w14:paraId="7906753B" w14:textId="77777777" w:rsidTr="00CC66FD">
        <w:trPr>
          <w:trHeight w:val="810"/>
          <w:jc w:val="center"/>
        </w:trPr>
        <w:tc>
          <w:tcPr>
            <w:tcW w:w="1818" w:type="dxa"/>
            <w:tcBorders>
              <w:top w:val="nil"/>
              <w:left w:val="single" w:sz="4" w:space="0" w:color="auto"/>
              <w:bottom w:val="nil"/>
              <w:right w:val="single" w:sz="4" w:space="0" w:color="auto"/>
            </w:tcBorders>
            <w:vAlign w:val="bottom"/>
          </w:tcPr>
          <w:p w14:paraId="4CD1A84D" w14:textId="77777777" w:rsidR="00A8096B" w:rsidRPr="00E9174E" w:rsidRDefault="00A8096B" w:rsidP="00E9174E">
            <w:pPr>
              <w:keepNext/>
              <w:keepLines/>
              <w:widowControl/>
              <w:contextualSpacing/>
              <w:rPr>
                <w:sz w:val="26"/>
                <w:szCs w:val="26"/>
              </w:rPr>
            </w:pPr>
            <w:r w:rsidRPr="00E9174E">
              <w:rPr>
                <w:sz w:val="26"/>
                <w:szCs w:val="26"/>
              </w:rPr>
              <w:t>SGSS2/SCD2/SGDS2</w:t>
            </w:r>
          </w:p>
        </w:tc>
        <w:tc>
          <w:tcPr>
            <w:tcW w:w="1890" w:type="dxa"/>
            <w:tcBorders>
              <w:top w:val="nil"/>
              <w:left w:val="single" w:sz="4" w:space="0" w:color="auto"/>
              <w:bottom w:val="nil"/>
              <w:right w:val="single" w:sz="4" w:space="0" w:color="auto"/>
            </w:tcBorders>
            <w:vAlign w:val="bottom"/>
          </w:tcPr>
          <w:p w14:paraId="2232690B" w14:textId="77777777" w:rsidR="00A8096B" w:rsidRPr="00E9174E" w:rsidRDefault="00A8096B" w:rsidP="00E9174E">
            <w:pPr>
              <w:keepNext/>
              <w:keepLines/>
              <w:widowControl/>
              <w:contextualSpacing/>
              <w:jc w:val="center"/>
              <w:rPr>
                <w:sz w:val="26"/>
                <w:szCs w:val="26"/>
              </w:rPr>
            </w:pPr>
            <w:r w:rsidRPr="00E9174E">
              <w:rPr>
                <w:sz w:val="26"/>
                <w:szCs w:val="26"/>
              </w:rPr>
              <w:t>1.11</w:t>
            </w:r>
          </w:p>
        </w:tc>
        <w:tc>
          <w:tcPr>
            <w:tcW w:w="1980" w:type="dxa"/>
            <w:tcBorders>
              <w:top w:val="nil"/>
              <w:left w:val="single" w:sz="4" w:space="0" w:color="auto"/>
              <w:bottom w:val="nil"/>
              <w:right w:val="single" w:sz="4" w:space="0" w:color="auto"/>
            </w:tcBorders>
            <w:vAlign w:val="bottom"/>
          </w:tcPr>
          <w:p w14:paraId="02F48106" w14:textId="77777777" w:rsidR="00A8096B" w:rsidRPr="00E9174E" w:rsidRDefault="00A8096B" w:rsidP="00E9174E">
            <w:pPr>
              <w:keepNext/>
              <w:keepLines/>
              <w:widowControl/>
              <w:contextualSpacing/>
              <w:jc w:val="center"/>
              <w:rPr>
                <w:sz w:val="26"/>
                <w:szCs w:val="26"/>
              </w:rPr>
            </w:pPr>
            <w:r w:rsidRPr="00E9174E">
              <w:rPr>
                <w:sz w:val="26"/>
                <w:szCs w:val="26"/>
              </w:rPr>
              <w:t>1.10</w:t>
            </w:r>
          </w:p>
        </w:tc>
      </w:tr>
      <w:tr w:rsidR="00A8096B" w:rsidRPr="00E9174E" w14:paraId="31D9C647" w14:textId="77777777" w:rsidTr="00CC66FD">
        <w:trPr>
          <w:trHeight w:val="450"/>
          <w:jc w:val="center"/>
        </w:trPr>
        <w:tc>
          <w:tcPr>
            <w:tcW w:w="1818" w:type="dxa"/>
            <w:tcBorders>
              <w:top w:val="nil"/>
              <w:left w:val="single" w:sz="4" w:space="0" w:color="auto"/>
              <w:bottom w:val="nil"/>
              <w:right w:val="single" w:sz="4" w:space="0" w:color="auto"/>
            </w:tcBorders>
            <w:vAlign w:val="bottom"/>
          </w:tcPr>
          <w:p w14:paraId="07CC3F2B" w14:textId="77777777" w:rsidR="00A8096B" w:rsidRPr="00E9174E" w:rsidRDefault="00A8096B" w:rsidP="00E9174E">
            <w:pPr>
              <w:keepNext/>
              <w:keepLines/>
              <w:widowControl/>
              <w:contextualSpacing/>
              <w:rPr>
                <w:sz w:val="26"/>
                <w:szCs w:val="26"/>
              </w:rPr>
            </w:pPr>
            <w:r w:rsidRPr="00E9174E">
              <w:rPr>
                <w:sz w:val="26"/>
                <w:szCs w:val="26"/>
              </w:rPr>
              <w:t>SDS/LGSS</w:t>
            </w:r>
          </w:p>
        </w:tc>
        <w:tc>
          <w:tcPr>
            <w:tcW w:w="1890" w:type="dxa"/>
            <w:tcBorders>
              <w:top w:val="nil"/>
              <w:left w:val="single" w:sz="4" w:space="0" w:color="auto"/>
              <w:bottom w:val="nil"/>
              <w:right w:val="single" w:sz="4" w:space="0" w:color="auto"/>
            </w:tcBorders>
            <w:vAlign w:val="bottom"/>
          </w:tcPr>
          <w:p w14:paraId="419FF9DC" w14:textId="77777777" w:rsidR="00A8096B" w:rsidRPr="00E9174E" w:rsidRDefault="00A8096B" w:rsidP="00E9174E">
            <w:pPr>
              <w:keepNext/>
              <w:keepLines/>
              <w:widowControl/>
              <w:contextualSpacing/>
              <w:jc w:val="center"/>
              <w:rPr>
                <w:sz w:val="26"/>
                <w:szCs w:val="26"/>
              </w:rPr>
            </w:pPr>
            <w:r w:rsidRPr="00E9174E">
              <w:rPr>
                <w:sz w:val="26"/>
                <w:szCs w:val="26"/>
              </w:rPr>
              <w:t>0.85</w:t>
            </w:r>
          </w:p>
        </w:tc>
        <w:tc>
          <w:tcPr>
            <w:tcW w:w="1980" w:type="dxa"/>
            <w:tcBorders>
              <w:top w:val="nil"/>
              <w:left w:val="single" w:sz="4" w:space="0" w:color="auto"/>
              <w:bottom w:val="nil"/>
              <w:right w:val="single" w:sz="4" w:space="0" w:color="auto"/>
            </w:tcBorders>
            <w:vAlign w:val="bottom"/>
          </w:tcPr>
          <w:p w14:paraId="31415154" w14:textId="77777777" w:rsidR="00A8096B" w:rsidRPr="00E9174E" w:rsidRDefault="00A8096B" w:rsidP="00E9174E">
            <w:pPr>
              <w:keepNext/>
              <w:keepLines/>
              <w:widowControl/>
              <w:contextualSpacing/>
              <w:jc w:val="center"/>
              <w:rPr>
                <w:sz w:val="26"/>
                <w:szCs w:val="26"/>
              </w:rPr>
            </w:pPr>
            <w:r w:rsidRPr="00E9174E">
              <w:rPr>
                <w:sz w:val="26"/>
                <w:szCs w:val="26"/>
              </w:rPr>
              <w:t>0.98</w:t>
            </w:r>
          </w:p>
        </w:tc>
      </w:tr>
      <w:tr w:rsidR="00A8096B" w:rsidRPr="00E9174E" w14:paraId="629E8557" w14:textId="77777777" w:rsidTr="00CC66FD">
        <w:trPr>
          <w:trHeight w:val="450"/>
          <w:jc w:val="center"/>
        </w:trPr>
        <w:tc>
          <w:tcPr>
            <w:tcW w:w="1818" w:type="dxa"/>
            <w:tcBorders>
              <w:top w:val="nil"/>
              <w:left w:val="single" w:sz="4" w:space="0" w:color="auto"/>
              <w:bottom w:val="nil"/>
              <w:right w:val="single" w:sz="4" w:space="0" w:color="auto"/>
            </w:tcBorders>
            <w:vAlign w:val="bottom"/>
          </w:tcPr>
          <w:p w14:paraId="0A986591" w14:textId="77777777" w:rsidR="00A8096B" w:rsidRPr="00E9174E" w:rsidRDefault="00A8096B" w:rsidP="00E9174E">
            <w:pPr>
              <w:keepNext/>
              <w:keepLines/>
              <w:widowControl/>
              <w:contextualSpacing/>
              <w:rPr>
                <w:sz w:val="26"/>
                <w:szCs w:val="26"/>
              </w:rPr>
            </w:pPr>
            <w:r w:rsidRPr="00E9174E">
              <w:rPr>
                <w:sz w:val="26"/>
                <w:szCs w:val="26"/>
              </w:rPr>
              <w:t>LDS/LGSS</w:t>
            </w:r>
          </w:p>
        </w:tc>
        <w:tc>
          <w:tcPr>
            <w:tcW w:w="1890" w:type="dxa"/>
            <w:tcBorders>
              <w:top w:val="nil"/>
              <w:left w:val="single" w:sz="4" w:space="0" w:color="auto"/>
              <w:bottom w:val="nil"/>
              <w:right w:val="single" w:sz="4" w:space="0" w:color="auto"/>
            </w:tcBorders>
            <w:vAlign w:val="bottom"/>
          </w:tcPr>
          <w:p w14:paraId="137D2200" w14:textId="77777777" w:rsidR="00A8096B" w:rsidRPr="00E9174E" w:rsidRDefault="00A8096B" w:rsidP="00E9174E">
            <w:pPr>
              <w:keepNext/>
              <w:keepLines/>
              <w:widowControl/>
              <w:contextualSpacing/>
              <w:jc w:val="center"/>
              <w:rPr>
                <w:sz w:val="26"/>
                <w:szCs w:val="26"/>
              </w:rPr>
            </w:pPr>
            <w:r w:rsidRPr="00E9174E">
              <w:rPr>
                <w:sz w:val="26"/>
                <w:szCs w:val="26"/>
              </w:rPr>
              <w:t>0.05</w:t>
            </w:r>
          </w:p>
        </w:tc>
        <w:tc>
          <w:tcPr>
            <w:tcW w:w="1980" w:type="dxa"/>
            <w:tcBorders>
              <w:top w:val="nil"/>
              <w:left w:val="single" w:sz="4" w:space="0" w:color="auto"/>
              <w:bottom w:val="nil"/>
              <w:right w:val="single" w:sz="4" w:space="0" w:color="auto"/>
            </w:tcBorders>
            <w:vAlign w:val="bottom"/>
          </w:tcPr>
          <w:p w14:paraId="428E27ED" w14:textId="77777777" w:rsidR="00A8096B" w:rsidRPr="00E9174E" w:rsidRDefault="00A8096B" w:rsidP="00E9174E">
            <w:pPr>
              <w:keepNext/>
              <w:keepLines/>
              <w:widowControl/>
              <w:contextualSpacing/>
              <w:jc w:val="center"/>
              <w:rPr>
                <w:sz w:val="26"/>
                <w:szCs w:val="26"/>
              </w:rPr>
            </w:pPr>
            <w:r w:rsidRPr="00E9174E">
              <w:rPr>
                <w:sz w:val="26"/>
                <w:szCs w:val="26"/>
              </w:rPr>
              <w:t>0.33</w:t>
            </w:r>
          </w:p>
        </w:tc>
      </w:tr>
      <w:tr w:rsidR="00A8096B" w:rsidRPr="00E9174E" w14:paraId="44B528DF" w14:textId="77777777" w:rsidTr="00CC66FD">
        <w:trPr>
          <w:trHeight w:val="450"/>
          <w:jc w:val="center"/>
        </w:trPr>
        <w:tc>
          <w:tcPr>
            <w:tcW w:w="1818" w:type="dxa"/>
            <w:tcBorders>
              <w:top w:val="nil"/>
              <w:left w:val="single" w:sz="4" w:space="0" w:color="auto"/>
              <w:bottom w:val="nil"/>
              <w:right w:val="single" w:sz="4" w:space="0" w:color="auto"/>
            </w:tcBorders>
            <w:vAlign w:val="bottom"/>
          </w:tcPr>
          <w:p w14:paraId="766E3710" w14:textId="77777777" w:rsidR="00A8096B" w:rsidRPr="00E9174E" w:rsidRDefault="00A8096B" w:rsidP="00E9174E">
            <w:pPr>
              <w:keepNext/>
              <w:keepLines/>
              <w:widowControl/>
              <w:contextualSpacing/>
              <w:rPr>
                <w:sz w:val="26"/>
                <w:szCs w:val="26"/>
              </w:rPr>
            </w:pPr>
            <w:r w:rsidRPr="00E9174E">
              <w:rPr>
                <w:sz w:val="26"/>
                <w:szCs w:val="26"/>
              </w:rPr>
              <w:t>MLS/MLDS</w:t>
            </w:r>
          </w:p>
        </w:tc>
        <w:tc>
          <w:tcPr>
            <w:tcW w:w="1890" w:type="dxa"/>
            <w:tcBorders>
              <w:top w:val="nil"/>
              <w:left w:val="single" w:sz="4" w:space="0" w:color="auto"/>
              <w:bottom w:val="nil"/>
              <w:right w:val="single" w:sz="4" w:space="0" w:color="auto"/>
            </w:tcBorders>
            <w:vAlign w:val="bottom"/>
          </w:tcPr>
          <w:p w14:paraId="7D43668E" w14:textId="77777777" w:rsidR="00A8096B" w:rsidRPr="00E9174E" w:rsidRDefault="00A8096B" w:rsidP="00E9174E">
            <w:pPr>
              <w:keepNext/>
              <w:keepLines/>
              <w:widowControl/>
              <w:contextualSpacing/>
              <w:jc w:val="center"/>
              <w:rPr>
                <w:sz w:val="26"/>
                <w:szCs w:val="26"/>
              </w:rPr>
            </w:pPr>
            <w:r w:rsidRPr="00E9174E">
              <w:rPr>
                <w:sz w:val="26"/>
                <w:szCs w:val="26"/>
              </w:rPr>
              <w:t>16.33</w:t>
            </w:r>
          </w:p>
        </w:tc>
        <w:tc>
          <w:tcPr>
            <w:tcW w:w="1980" w:type="dxa"/>
            <w:tcBorders>
              <w:top w:val="nil"/>
              <w:left w:val="single" w:sz="4" w:space="0" w:color="auto"/>
              <w:bottom w:val="nil"/>
              <w:right w:val="single" w:sz="4" w:space="0" w:color="auto"/>
            </w:tcBorders>
            <w:vAlign w:val="bottom"/>
          </w:tcPr>
          <w:p w14:paraId="1DC25EA2" w14:textId="77777777" w:rsidR="00A8096B" w:rsidRPr="00E9174E" w:rsidRDefault="00A8096B" w:rsidP="00E9174E">
            <w:pPr>
              <w:keepNext/>
              <w:keepLines/>
              <w:widowControl/>
              <w:contextualSpacing/>
              <w:jc w:val="center"/>
              <w:rPr>
                <w:sz w:val="26"/>
                <w:szCs w:val="26"/>
              </w:rPr>
            </w:pPr>
            <w:r w:rsidRPr="00E9174E">
              <w:rPr>
                <w:sz w:val="26"/>
                <w:szCs w:val="26"/>
              </w:rPr>
              <w:t>9.94</w:t>
            </w:r>
          </w:p>
        </w:tc>
      </w:tr>
      <w:tr w:rsidR="00A8096B" w:rsidRPr="00E9174E" w14:paraId="20584737" w14:textId="77777777" w:rsidTr="00CC66FD">
        <w:trPr>
          <w:trHeight w:val="450"/>
          <w:jc w:val="center"/>
        </w:trPr>
        <w:tc>
          <w:tcPr>
            <w:tcW w:w="1818" w:type="dxa"/>
            <w:tcBorders>
              <w:top w:val="nil"/>
              <w:left w:val="single" w:sz="4" w:space="0" w:color="auto"/>
              <w:bottom w:val="single" w:sz="4" w:space="0" w:color="auto"/>
              <w:right w:val="single" w:sz="4" w:space="0" w:color="auto"/>
            </w:tcBorders>
            <w:vAlign w:val="bottom"/>
          </w:tcPr>
          <w:p w14:paraId="74EDB971" w14:textId="77777777" w:rsidR="00A8096B" w:rsidRPr="00E9174E" w:rsidRDefault="00A8096B" w:rsidP="00E9174E">
            <w:pPr>
              <w:keepNext/>
              <w:keepLines/>
              <w:widowControl/>
              <w:contextualSpacing/>
              <w:rPr>
                <w:sz w:val="26"/>
                <w:szCs w:val="26"/>
              </w:rPr>
            </w:pPr>
            <w:r w:rsidRPr="00E9174E">
              <w:rPr>
                <w:sz w:val="26"/>
                <w:szCs w:val="26"/>
              </w:rPr>
              <w:t>Flex</w:t>
            </w:r>
          </w:p>
        </w:tc>
        <w:tc>
          <w:tcPr>
            <w:tcW w:w="1890" w:type="dxa"/>
            <w:tcBorders>
              <w:top w:val="nil"/>
              <w:left w:val="single" w:sz="4" w:space="0" w:color="auto"/>
              <w:bottom w:val="single" w:sz="4" w:space="0" w:color="auto"/>
            </w:tcBorders>
            <w:vAlign w:val="bottom"/>
          </w:tcPr>
          <w:p w14:paraId="5EF01A5C" w14:textId="77777777" w:rsidR="00A8096B" w:rsidRPr="00E9174E" w:rsidRDefault="00A8096B" w:rsidP="00E9174E">
            <w:pPr>
              <w:keepNext/>
              <w:keepLines/>
              <w:widowControl/>
              <w:contextualSpacing/>
              <w:jc w:val="center"/>
              <w:rPr>
                <w:sz w:val="26"/>
                <w:szCs w:val="26"/>
              </w:rPr>
            </w:pPr>
            <w:r w:rsidRPr="00E9174E">
              <w:rPr>
                <w:sz w:val="26"/>
                <w:szCs w:val="26"/>
              </w:rPr>
              <w:t>(0.91)</w:t>
            </w:r>
          </w:p>
        </w:tc>
        <w:tc>
          <w:tcPr>
            <w:tcW w:w="1980" w:type="dxa"/>
            <w:tcBorders>
              <w:top w:val="nil"/>
              <w:bottom w:val="single" w:sz="4" w:space="0" w:color="auto"/>
            </w:tcBorders>
            <w:vAlign w:val="bottom"/>
          </w:tcPr>
          <w:p w14:paraId="3C30346E" w14:textId="77777777" w:rsidR="00A8096B" w:rsidRPr="00E9174E" w:rsidRDefault="00A8096B" w:rsidP="00E9174E">
            <w:pPr>
              <w:keepNext/>
              <w:keepLines/>
              <w:widowControl/>
              <w:contextualSpacing/>
              <w:jc w:val="center"/>
              <w:rPr>
                <w:sz w:val="26"/>
                <w:szCs w:val="26"/>
              </w:rPr>
            </w:pPr>
            <w:r w:rsidRPr="00E9174E">
              <w:rPr>
                <w:sz w:val="26"/>
                <w:szCs w:val="26"/>
              </w:rPr>
              <w:t>(0.55)</w:t>
            </w:r>
          </w:p>
        </w:tc>
      </w:tr>
      <w:tr w:rsidR="00A8096B" w:rsidRPr="00E9174E" w14:paraId="0233911E" w14:textId="77777777" w:rsidTr="00CC66FD">
        <w:trPr>
          <w:trHeight w:val="503"/>
          <w:jc w:val="center"/>
        </w:trPr>
        <w:tc>
          <w:tcPr>
            <w:tcW w:w="1818" w:type="dxa"/>
            <w:tcBorders>
              <w:top w:val="single" w:sz="4" w:space="0" w:color="auto"/>
              <w:bottom w:val="single" w:sz="4" w:space="0" w:color="auto"/>
            </w:tcBorders>
            <w:vAlign w:val="bottom"/>
          </w:tcPr>
          <w:p w14:paraId="75B0C7FE" w14:textId="77777777" w:rsidR="00A8096B" w:rsidRPr="00E9174E" w:rsidRDefault="00A8096B" w:rsidP="00E9174E">
            <w:pPr>
              <w:keepNext/>
              <w:keepLines/>
              <w:widowControl/>
              <w:contextualSpacing/>
              <w:jc w:val="center"/>
              <w:rPr>
                <w:b/>
                <w:sz w:val="26"/>
                <w:szCs w:val="26"/>
              </w:rPr>
            </w:pPr>
            <w:r w:rsidRPr="00E9174E">
              <w:rPr>
                <w:b/>
                <w:sz w:val="26"/>
                <w:szCs w:val="26"/>
              </w:rPr>
              <w:t>Total</w:t>
            </w:r>
          </w:p>
        </w:tc>
        <w:tc>
          <w:tcPr>
            <w:tcW w:w="1890" w:type="dxa"/>
            <w:tcBorders>
              <w:bottom w:val="single" w:sz="4" w:space="0" w:color="auto"/>
            </w:tcBorders>
            <w:vAlign w:val="bottom"/>
          </w:tcPr>
          <w:p w14:paraId="19F55243" w14:textId="77777777" w:rsidR="00A8096B" w:rsidRPr="00E9174E" w:rsidRDefault="00A8096B" w:rsidP="00E9174E">
            <w:pPr>
              <w:keepNext/>
              <w:keepLines/>
              <w:widowControl/>
              <w:contextualSpacing/>
              <w:jc w:val="center"/>
              <w:rPr>
                <w:b/>
                <w:sz w:val="26"/>
                <w:szCs w:val="26"/>
              </w:rPr>
            </w:pPr>
            <w:r w:rsidRPr="00E9174E">
              <w:rPr>
                <w:b/>
                <w:sz w:val="26"/>
                <w:szCs w:val="26"/>
              </w:rPr>
              <w:t>1.00</w:t>
            </w:r>
          </w:p>
        </w:tc>
        <w:tc>
          <w:tcPr>
            <w:tcW w:w="1980" w:type="dxa"/>
            <w:tcBorders>
              <w:bottom w:val="single" w:sz="4" w:space="0" w:color="auto"/>
            </w:tcBorders>
            <w:vAlign w:val="bottom"/>
          </w:tcPr>
          <w:p w14:paraId="736198E5" w14:textId="77777777" w:rsidR="00A8096B" w:rsidRPr="00E9174E" w:rsidRDefault="00A8096B" w:rsidP="00E9174E">
            <w:pPr>
              <w:keepNext/>
              <w:keepLines/>
              <w:widowControl/>
              <w:contextualSpacing/>
              <w:jc w:val="center"/>
              <w:rPr>
                <w:b/>
                <w:sz w:val="26"/>
                <w:szCs w:val="26"/>
              </w:rPr>
            </w:pPr>
            <w:r w:rsidRPr="00E9174E">
              <w:rPr>
                <w:b/>
                <w:sz w:val="26"/>
                <w:szCs w:val="26"/>
              </w:rPr>
              <w:t>1.00</w:t>
            </w:r>
          </w:p>
        </w:tc>
      </w:tr>
    </w:tbl>
    <w:p w14:paraId="0F52CC32" w14:textId="77777777" w:rsidR="00A8096B" w:rsidRPr="00E9174E" w:rsidRDefault="00A8096B" w:rsidP="00E9174E">
      <w:pPr>
        <w:widowControl/>
        <w:spacing w:line="360" w:lineRule="auto"/>
        <w:ind w:firstLine="1440"/>
        <w:contextualSpacing/>
        <w:rPr>
          <w:sz w:val="26"/>
          <w:szCs w:val="26"/>
        </w:rPr>
      </w:pPr>
    </w:p>
    <w:p w14:paraId="767058A7" w14:textId="77777777" w:rsidR="00A8096B" w:rsidRPr="00E9174E" w:rsidRDefault="00A8096B" w:rsidP="00E9174E">
      <w:pPr>
        <w:widowControl/>
        <w:spacing w:line="360" w:lineRule="auto"/>
        <w:contextualSpacing/>
        <w:rPr>
          <w:sz w:val="26"/>
          <w:szCs w:val="26"/>
        </w:rPr>
      </w:pPr>
      <w:r w:rsidRPr="00E9174E">
        <w:rPr>
          <w:i/>
          <w:iCs/>
          <w:sz w:val="26"/>
          <w:szCs w:val="26"/>
        </w:rPr>
        <w:t>See</w:t>
      </w:r>
      <w:r w:rsidRPr="00E9174E">
        <w:rPr>
          <w:sz w:val="26"/>
          <w:szCs w:val="26"/>
        </w:rPr>
        <w:t xml:space="preserve"> OCA St. 4 at 30, 35.</w:t>
      </w:r>
    </w:p>
    <w:p w14:paraId="4F06023E" w14:textId="77777777" w:rsidR="00A8096B" w:rsidRPr="00E9174E" w:rsidRDefault="00A8096B" w:rsidP="00E9174E">
      <w:pPr>
        <w:widowControl/>
        <w:spacing w:line="360" w:lineRule="auto"/>
        <w:contextualSpacing/>
        <w:rPr>
          <w:sz w:val="26"/>
          <w:szCs w:val="26"/>
        </w:rPr>
      </w:pPr>
    </w:p>
    <w:p w14:paraId="3490DCDD" w14:textId="7F232931" w:rsidR="00A8096B" w:rsidRPr="00E9174E" w:rsidRDefault="00A8096B" w:rsidP="00E9174E">
      <w:pPr>
        <w:widowControl/>
        <w:spacing w:line="360" w:lineRule="auto"/>
        <w:ind w:firstLine="1440"/>
        <w:contextualSpacing/>
        <w:rPr>
          <w:sz w:val="26"/>
          <w:szCs w:val="26"/>
        </w:rPr>
      </w:pPr>
      <w:r w:rsidRPr="00E9174E">
        <w:rPr>
          <w:sz w:val="26"/>
          <w:szCs w:val="26"/>
        </w:rPr>
        <w:t xml:space="preserve">Additionally, we find the OCA’s revenue allocation proposal considers the principle of gradualism, and that the way gradualism is factored into the proposal results in revenue allocations to the customer classes that are consistent with the record evidence in this proceeding regarding the impact of the COVID-19 pandemic on residential customers in particular.  </w:t>
      </w:r>
      <w:r w:rsidRPr="00E9174E">
        <w:rPr>
          <w:i/>
          <w:iCs/>
          <w:sz w:val="26"/>
          <w:szCs w:val="26"/>
        </w:rPr>
        <w:t>See</w:t>
      </w:r>
      <w:r w:rsidRPr="00E9174E">
        <w:rPr>
          <w:sz w:val="26"/>
          <w:szCs w:val="26"/>
        </w:rPr>
        <w:t xml:space="preserve"> R.D. at 48; </w:t>
      </w:r>
      <w:r w:rsidRPr="00E9174E">
        <w:rPr>
          <w:i/>
          <w:iCs/>
          <w:sz w:val="26"/>
          <w:szCs w:val="26"/>
        </w:rPr>
        <w:t>see also</w:t>
      </w:r>
      <w:r w:rsidRPr="00E9174E">
        <w:rPr>
          <w:sz w:val="26"/>
          <w:szCs w:val="26"/>
        </w:rPr>
        <w:t xml:space="preserve"> OCA St. 1-S, </w:t>
      </w:r>
      <w:proofErr w:type="spellStart"/>
      <w:r w:rsidRPr="00E9174E">
        <w:rPr>
          <w:sz w:val="26"/>
          <w:szCs w:val="26"/>
        </w:rPr>
        <w:t>Schs</w:t>
      </w:r>
      <w:proofErr w:type="spellEnd"/>
      <w:r w:rsidRPr="00E9174E">
        <w:rPr>
          <w:sz w:val="26"/>
          <w:szCs w:val="26"/>
        </w:rPr>
        <w:t>. SJR-1 and SJR-6S; CAUSE-PA M.B. at 11-24.  The record indicates that although there are no definitive rules for determining what kind of rate increase would violate the principle of gradualism, limiting the maximum average rate increase for any particular class to 1.5 to</w:t>
      </w:r>
      <w:r w:rsidR="00BB6BB0">
        <w:rPr>
          <w:sz w:val="26"/>
          <w:szCs w:val="26"/>
        </w:rPr>
        <w:t> </w:t>
      </w:r>
      <w:r w:rsidRPr="00E9174E">
        <w:rPr>
          <w:sz w:val="26"/>
          <w:szCs w:val="26"/>
        </w:rPr>
        <w:t xml:space="preserve">2.0 times the system average increase is one common metric that has been used by experts in the Commonwealth.  OSBA St. 1 at 28.  The OCA’s proposal applies the largest percentage increase to the large commercial and industrial customer classes (SDS/LGSS and LDS/LGSS), which is capped at 1.5 times the system average increase (36% increase for the Large C&amp;I classes over 24% for the system average).  Nonetheless, </w:t>
      </w:r>
      <w:r w:rsidRPr="00E9174E">
        <w:rPr>
          <w:sz w:val="26"/>
          <w:szCs w:val="26"/>
        </w:rPr>
        <w:lastRenderedPageBreak/>
        <w:t>we note that even with the 36% increase that the Large C&amp;I customers will experience under the OCA’s proposal, the revenue recognition from those classes are still shown to be below their cost to serve and therefore continue to be subsidized by other rate classes.  Therefore, we do not consider the OCA’s proposal to be unreasonable, especially in the midst of this pandemic.  Accordingly, we shall deny Columbia’s Exception No. 20 and OSBA Exception No. 1 and PSU Exception No. 1 as they relate to their respective arguments on revenue allocation.  Furthermore, since we have not granted the entirety of Columbia’s requested revenue increase, it will be necessary for the Company to proportionately scale back the increase to the various customer classes, based on the OCA’s recommended revenue allocation and ACCOSS, when filing its compliance tariff(s).</w:t>
      </w:r>
    </w:p>
    <w:p w14:paraId="3475EA0B" w14:textId="77777777" w:rsidR="00A8096B" w:rsidRPr="00E9174E" w:rsidRDefault="00A8096B" w:rsidP="00E9174E">
      <w:pPr>
        <w:widowControl/>
        <w:spacing w:line="360" w:lineRule="auto"/>
        <w:contextualSpacing/>
        <w:rPr>
          <w:sz w:val="26"/>
          <w:szCs w:val="26"/>
        </w:rPr>
      </w:pPr>
    </w:p>
    <w:p w14:paraId="2AA08715" w14:textId="77777777" w:rsidR="00A8096B" w:rsidRPr="00E9174E" w:rsidRDefault="00A8096B" w:rsidP="00E9174E">
      <w:pPr>
        <w:widowControl/>
        <w:spacing w:line="360" w:lineRule="auto"/>
        <w:ind w:firstLine="1440"/>
        <w:contextualSpacing/>
        <w:rPr>
          <w:sz w:val="26"/>
          <w:szCs w:val="26"/>
        </w:rPr>
      </w:pPr>
      <w:r w:rsidRPr="00E9174E">
        <w:rPr>
          <w:sz w:val="26"/>
          <w:szCs w:val="26"/>
        </w:rPr>
        <w:t>With regard to Columbia’s phase-in proposal, it is important to note, as Columbia stated in its Exceptions on pages 30-38, that this Commission is not statutorily authorized to order a phase-in of a rate increase, without the utility’s consent.</w:t>
      </w:r>
      <w:r w:rsidRPr="00E9174E">
        <w:rPr>
          <w:sz w:val="26"/>
          <w:szCs w:val="26"/>
          <w:vertAlign w:val="superscript"/>
        </w:rPr>
        <w:footnoteReference w:id="98"/>
      </w:r>
      <w:r w:rsidRPr="00E9174E">
        <w:rPr>
          <w:sz w:val="26"/>
          <w:szCs w:val="26"/>
        </w:rPr>
        <w:t xml:space="preserve">  As noted, the Parties were not able to achieve a settlement in this case to phase in rates as other utilities have done during the COVID-19 pandemic.  Furthermore, the ALJ criticized Columbia’s rate filing for not requesting a “stepped-up” approach to implementing an increase in rates.  R.D. at 47.</w:t>
      </w:r>
    </w:p>
    <w:p w14:paraId="6B6AF75C" w14:textId="77777777" w:rsidR="00A8096B" w:rsidRPr="00E9174E" w:rsidRDefault="00A8096B" w:rsidP="00E9174E">
      <w:pPr>
        <w:widowControl/>
        <w:spacing w:line="360" w:lineRule="auto"/>
        <w:contextualSpacing/>
        <w:rPr>
          <w:sz w:val="26"/>
          <w:szCs w:val="26"/>
        </w:rPr>
      </w:pPr>
    </w:p>
    <w:p w14:paraId="01A0703F" w14:textId="77777777" w:rsidR="00A8096B" w:rsidRPr="00E9174E" w:rsidRDefault="00A8096B" w:rsidP="00E9174E">
      <w:pPr>
        <w:widowControl/>
        <w:autoSpaceDE w:val="0"/>
        <w:autoSpaceDN w:val="0"/>
        <w:adjustRightInd w:val="0"/>
        <w:spacing w:line="360" w:lineRule="auto"/>
        <w:ind w:firstLine="1440"/>
        <w:contextualSpacing/>
        <w:rPr>
          <w:rFonts w:eastAsiaTheme="minorHAnsi"/>
          <w:sz w:val="26"/>
          <w:szCs w:val="26"/>
        </w:rPr>
      </w:pPr>
      <w:r w:rsidRPr="00E9174E">
        <w:rPr>
          <w:rFonts w:eastAsiaTheme="minorHAnsi"/>
          <w:sz w:val="26"/>
          <w:szCs w:val="26"/>
        </w:rPr>
        <w:t xml:space="preserve">Accordingly, because Columbia is aware of the </w:t>
      </w:r>
      <w:r w:rsidRPr="00E9174E">
        <w:rPr>
          <w:sz w:val="26"/>
          <w:szCs w:val="26"/>
        </w:rPr>
        <w:t>economic repercussions that the COVID-19 pandemic</w:t>
      </w:r>
      <w:r w:rsidRPr="00E9174E">
        <w:rPr>
          <w:rFonts w:eastAsiaTheme="minorHAnsi"/>
          <w:sz w:val="26"/>
          <w:szCs w:val="26"/>
        </w:rPr>
        <w:t xml:space="preserve"> is having on many of its customers, the Company offered, </w:t>
      </w:r>
      <w:r w:rsidRPr="00E9174E">
        <w:rPr>
          <w:rFonts w:eastAsiaTheme="minorHAnsi"/>
          <w:i/>
          <w:iCs/>
          <w:sz w:val="26"/>
          <w:szCs w:val="26"/>
        </w:rPr>
        <w:t>in its Exceptions</w:t>
      </w:r>
      <w:r w:rsidRPr="00BB6BB0">
        <w:rPr>
          <w:rFonts w:eastAsiaTheme="minorHAnsi"/>
          <w:sz w:val="26"/>
          <w:szCs w:val="26"/>
        </w:rPr>
        <w:t xml:space="preserve">, </w:t>
      </w:r>
      <w:r w:rsidRPr="00E9174E">
        <w:rPr>
          <w:rFonts w:eastAsiaTheme="minorHAnsi"/>
          <w:sz w:val="26"/>
          <w:szCs w:val="26"/>
        </w:rPr>
        <w:t xml:space="preserve">to phase-in increases to assist customers due to COVID, </w:t>
      </w:r>
      <w:r w:rsidRPr="00E9174E">
        <w:rPr>
          <w:rFonts w:eastAsiaTheme="minorHAnsi"/>
          <w:i/>
          <w:iCs/>
          <w:sz w:val="26"/>
          <w:szCs w:val="26"/>
        </w:rPr>
        <w:t>only if</w:t>
      </w:r>
      <w:r w:rsidRPr="00E9174E">
        <w:rPr>
          <w:rFonts w:eastAsiaTheme="minorHAnsi"/>
          <w:b/>
          <w:bCs/>
          <w:sz w:val="26"/>
          <w:szCs w:val="26"/>
        </w:rPr>
        <w:t xml:space="preserve"> </w:t>
      </w:r>
      <w:r w:rsidRPr="00E9174E">
        <w:rPr>
          <w:rFonts w:eastAsiaTheme="minorHAnsi"/>
          <w:sz w:val="26"/>
          <w:szCs w:val="26"/>
        </w:rPr>
        <w:t xml:space="preserve">the Commission determines that Columbia’s phase-in alternative revenue program is an </w:t>
      </w:r>
      <w:r w:rsidRPr="00E9174E">
        <w:rPr>
          <w:rFonts w:eastAsiaTheme="minorHAnsi"/>
          <w:sz w:val="26"/>
          <w:szCs w:val="26"/>
        </w:rPr>
        <w:lastRenderedPageBreak/>
        <w:t>appropriate method to the ALJ’s recommended revenue allocation.</w:t>
      </w:r>
      <w:r w:rsidRPr="00E9174E">
        <w:rPr>
          <w:rFonts w:eastAsiaTheme="minorHAnsi"/>
          <w:sz w:val="26"/>
          <w:szCs w:val="26"/>
          <w:vertAlign w:val="superscript"/>
        </w:rPr>
        <w:footnoteReference w:id="99"/>
      </w:r>
      <w:r w:rsidRPr="00E9174E">
        <w:rPr>
          <w:rFonts w:eastAsiaTheme="minorHAnsi"/>
          <w:sz w:val="26"/>
          <w:szCs w:val="26"/>
        </w:rPr>
        <w:t xml:space="preserve">  The OCA argued that Columbia’s use of its Exceptions to introduce its phased-in proposal as a new matter must be rejected because the introduction of the phase-in proposal at the Exceptions’ phase, “with only 8 days to respond, no opportunity to investigate, analyze, conduct discovery or otherwise vet this proposal denies the OCA and all Parties adequate notice and a meaningful opportunity to respond.”  OCA R. Exc. at 20.</w:t>
      </w:r>
    </w:p>
    <w:p w14:paraId="02FEE30D" w14:textId="77777777" w:rsidR="00A8096B" w:rsidRPr="00E9174E" w:rsidRDefault="00A8096B" w:rsidP="00E9174E">
      <w:pPr>
        <w:widowControl/>
        <w:autoSpaceDE w:val="0"/>
        <w:autoSpaceDN w:val="0"/>
        <w:adjustRightInd w:val="0"/>
        <w:spacing w:line="360" w:lineRule="auto"/>
        <w:contextualSpacing/>
        <w:rPr>
          <w:rFonts w:eastAsiaTheme="minorHAnsi"/>
          <w:sz w:val="26"/>
          <w:szCs w:val="26"/>
        </w:rPr>
      </w:pPr>
    </w:p>
    <w:p w14:paraId="07592C1D" w14:textId="6B9B6DF2" w:rsidR="00A8096B" w:rsidRPr="00E9174E" w:rsidRDefault="00A8096B" w:rsidP="00E9174E">
      <w:pPr>
        <w:widowControl/>
        <w:autoSpaceDE w:val="0"/>
        <w:autoSpaceDN w:val="0"/>
        <w:adjustRightInd w:val="0"/>
        <w:spacing w:line="360" w:lineRule="auto"/>
        <w:ind w:firstLine="1440"/>
        <w:contextualSpacing/>
        <w:rPr>
          <w:rFonts w:eastAsiaTheme="minorHAnsi"/>
          <w:sz w:val="26"/>
          <w:szCs w:val="26"/>
        </w:rPr>
      </w:pPr>
      <w:r w:rsidRPr="00E9174E">
        <w:rPr>
          <w:rFonts w:eastAsiaTheme="minorHAnsi"/>
          <w:sz w:val="26"/>
          <w:szCs w:val="26"/>
        </w:rPr>
        <w:t xml:space="preserve">As discussed, </w:t>
      </w:r>
      <w:r w:rsidRPr="00E9174E">
        <w:rPr>
          <w:rFonts w:eastAsiaTheme="minorHAnsi"/>
          <w:i/>
          <w:iCs/>
          <w:sz w:val="26"/>
          <w:szCs w:val="26"/>
        </w:rPr>
        <w:t>supra</w:t>
      </w:r>
      <w:r w:rsidRPr="00E9174E">
        <w:rPr>
          <w:rFonts w:eastAsiaTheme="minorHAnsi"/>
          <w:sz w:val="26"/>
          <w:szCs w:val="26"/>
        </w:rPr>
        <w:t xml:space="preserve">, we are adopting the OCA’s recommendation with regard to revenue allocation in lieu of the Company’s and other Parties’ proposed allocations.  Thus, the Company’s proposal to offer a phase-in of the revenue increase is null and void, and the Exception on this issue is deemed moot.  This is not to say, however, that the OCA and the Company cannot meet to consider a phase-in approach.  After the record in this proceeding is closed, any of the opposing Parties to this rate proceeding may meet with the Company to negotiate a phase-in of the rate increases resulting from this Opinion and Order on a going-forward basis. </w:t>
      </w:r>
      <w:r w:rsidR="00E16D61" w:rsidRPr="00E9174E">
        <w:rPr>
          <w:rFonts w:eastAsiaTheme="minorHAnsi"/>
          <w:sz w:val="26"/>
          <w:szCs w:val="26"/>
        </w:rPr>
        <w:t xml:space="preserve"> If the negotiations are successful and the Parties have reached a reasonable agreement, the Parties may then petition the Commission for approval of their agreement.</w:t>
      </w:r>
      <w:r w:rsidR="00EB26A7" w:rsidRPr="00E9174E">
        <w:rPr>
          <w:rFonts w:eastAsiaTheme="minorHAnsi"/>
          <w:sz w:val="26"/>
          <w:szCs w:val="26"/>
        </w:rPr>
        <w:t xml:space="preserve">  We commend</w:t>
      </w:r>
      <w:r w:rsidRPr="00E9174E">
        <w:rPr>
          <w:rFonts w:eastAsiaTheme="minorHAnsi"/>
          <w:sz w:val="26"/>
          <w:szCs w:val="26"/>
        </w:rPr>
        <w:t xml:space="preserve"> </w:t>
      </w:r>
      <w:r w:rsidR="00577AA1" w:rsidRPr="00E9174E">
        <w:rPr>
          <w:rFonts w:eastAsiaTheme="minorHAnsi"/>
          <w:sz w:val="26"/>
          <w:szCs w:val="26"/>
        </w:rPr>
        <w:t xml:space="preserve">the </w:t>
      </w:r>
      <w:r w:rsidRPr="00E9174E">
        <w:rPr>
          <w:rFonts w:eastAsiaTheme="minorHAnsi"/>
          <w:sz w:val="26"/>
          <w:szCs w:val="26"/>
        </w:rPr>
        <w:t>Company for offering a phase-in approach that would lessen the rate impact on its customers during the pandemic, and we encourage the Parties to meet with the Company, outside of the context of this rate proceeding, to pursue this matter for our future consideration.</w:t>
      </w:r>
    </w:p>
    <w:p w14:paraId="02FE10F7" w14:textId="77777777" w:rsidR="00A8096B" w:rsidRPr="00E9174E" w:rsidRDefault="00A8096B" w:rsidP="00E9174E">
      <w:pPr>
        <w:widowControl/>
        <w:autoSpaceDE w:val="0"/>
        <w:autoSpaceDN w:val="0"/>
        <w:adjustRightInd w:val="0"/>
        <w:spacing w:line="360" w:lineRule="auto"/>
        <w:ind w:firstLine="1440"/>
        <w:contextualSpacing/>
        <w:rPr>
          <w:rFonts w:eastAsiaTheme="minorHAnsi"/>
          <w:sz w:val="26"/>
          <w:szCs w:val="26"/>
        </w:rPr>
      </w:pPr>
    </w:p>
    <w:p w14:paraId="67DD9650" w14:textId="0093E27B" w:rsidR="00A8096B" w:rsidRPr="00E9174E" w:rsidRDefault="007E63C3" w:rsidP="006B7B7F">
      <w:pPr>
        <w:pStyle w:val="Heading3"/>
        <w:ind w:left="1440"/>
      </w:pPr>
      <w:bookmarkStart w:id="453" w:name="_Toc63764621"/>
      <w:r w:rsidRPr="00E9174E">
        <w:lastRenderedPageBreak/>
        <w:t>2.</w:t>
      </w:r>
      <w:r w:rsidRPr="00E9174E">
        <w:tab/>
      </w:r>
      <w:r w:rsidR="00A8096B" w:rsidRPr="00E9174E">
        <w:t>Flex Customers</w:t>
      </w:r>
      <w:bookmarkEnd w:id="453"/>
    </w:p>
    <w:p w14:paraId="3ADC5FDA" w14:textId="77777777" w:rsidR="00A8096B" w:rsidRPr="00E9174E" w:rsidRDefault="00A8096B" w:rsidP="00E9174E">
      <w:pPr>
        <w:keepNext/>
        <w:keepLines/>
        <w:widowControl/>
        <w:spacing w:line="360" w:lineRule="auto"/>
        <w:contextualSpacing/>
        <w:rPr>
          <w:sz w:val="26"/>
          <w:szCs w:val="26"/>
        </w:rPr>
      </w:pPr>
    </w:p>
    <w:bookmarkEnd w:id="439"/>
    <w:p w14:paraId="0F2144EC" w14:textId="77777777" w:rsidR="00D20807" w:rsidRPr="00E9174E" w:rsidRDefault="00D20807" w:rsidP="00E9174E">
      <w:pPr>
        <w:widowControl/>
        <w:autoSpaceDE w:val="0"/>
        <w:autoSpaceDN w:val="0"/>
        <w:adjustRightInd w:val="0"/>
        <w:spacing w:line="360" w:lineRule="auto"/>
        <w:ind w:firstLine="1440"/>
        <w:contextualSpacing/>
        <w:rPr>
          <w:rFonts w:eastAsia="Calibri"/>
          <w:sz w:val="26"/>
          <w:szCs w:val="26"/>
        </w:rPr>
      </w:pPr>
      <w:r w:rsidRPr="00E9174E">
        <w:rPr>
          <w:rFonts w:eastAsia="Calibri"/>
          <w:sz w:val="26"/>
          <w:szCs w:val="26"/>
        </w:rPr>
        <w:t>The Company’s tariff currently allows it to grant discount or “flex-rates” to certain customers who can show that they have a competitive alternative to the Company’s gas supply.  The flex-rate provisions are described in Supplement No. 221 to Columbia Tariff Gas - PA P.U.C. No. 9, p. 68.  I&amp;E St. 3 at 5.</w:t>
      </w:r>
    </w:p>
    <w:p w14:paraId="083F7EC5" w14:textId="00B13D95" w:rsidR="00A8096B" w:rsidRPr="00E9174E" w:rsidRDefault="00A8096B" w:rsidP="00E9174E">
      <w:pPr>
        <w:widowControl/>
        <w:autoSpaceDE w:val="0"/>
        <w:autoSpaceDN w:val="0"/>
        <w:adjustRightInd w:val="0"/>
        <w:spacing w:line="360" w:lineRule="auto"/>
        <w:contextualSpacing/>
        <w:rPr>
          <w:sz w:val="26"/>
          <w:szCs w:val="26"/>
        </w:rPr>
      </w:pPr>
    </w:p>
    <w:p w14:paraId="06EF07E3" w14:textId="2714A1B0" w:rsidR="00A8096B" w:rsidRPr="00E9174E" w:rsidRDefault="00A8096B" w:rsidP="00277ECF">
      <w:pPr>
        <w:pStyle w:val="Heading4"/>
        <w:numPr>
          <w:ilvl w:val="0"/>
          <w:numId w:val="74"/>
        </w:numPr>
        <w:ind w:left="2160" w:hanging="720"/>
      </w:pPr>
      <w:bookmarkStart w:id="454" w:name="_Toc63764622"/>
      <w:r w:rsidRPr="00E9174E">
        <w:t>Positions of the Parties</w:t>
      </w:r>
      <w:bookmarkEnd w:id="454"/>
    </w:p>
    <w:p w14:paraId="1B0E4B69" w14:textId="77777777" w:rsidR="00A8096B" w:rsidRPr="00E9174E" w:rsidRDefault="00A8096B" w:rsidP="00E9174E">
      <w:pPr>
        <w:keepNext/>
        <w:keepLines/>
        <w:widowControl/>
        <w:autoSpaceDE w:val="0"/>
        <w:autoSpaceDN w:val="0"/>
        <w:adjustRightInd w:val="0"/>
        <w:spacing w:line="360" w:lineRule="auto"/>
        <w:contextualSpacing/>
        <w:rPr>
          <w:sz w:val="26"/>
          <w:szCs w:val="26"/>
        </w:rPr>
      </w:pPr>
    </w:p>
    <w:p w14:paraId="6FC1DE40" w14:textId="77777777" w:rsidR="008C5F33" w:rsidRPr="00E9174E" w:rsidRDefault="008C5F33" w:rsidP="00E9174E">
      <w:pPr>
        <w:widowControl/>
        <w:autoSpaceDE w:val="0"/>
        <w:autoSpaceDN w:val="0"/>
        <w:adjustRightInd w:val="0"/>
        <w:spacing w:line="360" w:lineRule="auto"/>
        <w:ind w:firstLine="1440"/>
        <w:contextualSpacing/>
        <w:rPr>
          <w:rFonts w:eastAsia="Calibri"/>
          <w:sz w:val="26"/>
          <w:szCs w:val="26"/>
        </w:rPr>
      </w:pPr>
      <w:r w:rsidRPr="00E9174E">
        <w:rPr>
          <w:rFonts w:eastAsia="Calibri"/>
          <w:sz w:val="26"/>
          <w:szCs w:val="26"/>
        </w:rPr>
        <w:t>In this proceeding, I&amp;E Witness Ethan H. Cline requested that Columbia provide, in its next base rate case, an update to the Competitive Alternative Analysis</w:t>
      </w:r>
      <w:r w:rsidRPr="00E9174E">
        <w:rPr>
          <w:rFonts w:eastAsia="Calibri"/>
          <w:sz w:val="26"/>
          <w:szCs w:val="26"/>
          <w:vertAlign w:val="superscript"/>
        </w:rPr>
        <w:footnoteReference w:id="100"/>
      </w:r>
      <w:r w:rsidRPr="00E9174E">
        <w:rPr>
          <w:rFonts w:eastAsia="Calibri"/>
          <w:sz w:val="26"/>
          <w:szCs w:val="26"/>
        </w:rPr>
        <w:t xml:space="preserve"> for any customer who has not had its alternative fuel source verified for a period of ten years or more when Columbia files its next base rate case.  According to I&amp;E, this recommendation will ensure that each customer that receives service under flex rates is doing so for appropriate reasons.  I&amp;E St. 3 at 5-7; I&amp;E M.B. at 96-99.  In support of its position, I&amp;E submitted that it is important to periodically analyze competitive alternatives to ensure that the rates of flex-rate customers are not discounted lower than is necessary to avoid the customer choosing the alternative supply.  I&amp;E argued that providing excessive discounts to customers is not in the public interest and would be </w:t>
      </w:r>
      <w:r w:rsidRPr="00E9174E">
        <w:rPr>
          <w:rFonts w:eastAsia="Calibri"/>
          <w:sz w:val="26"/>
          <w:szCs w:val="26"/>
        </w:rPr>
        <w:lastRenderedPageBreak/>
        <w:t>harmful to both the Company and its other customers since the other customers make up the lost revenue that results when flex-rate customers pay less than tariff rates.</w:t>
      </w:r>
      <w:r w:rsidRPr="00E9174E">
        <w:rPr>
          <w:rFonts w:eastAsia="Calibri"/>
          <w:sz w:val="26"/>
          <w:szCs w:val="26"/>
          <w:vertAlign w:val="superscript"/>
        </w:rPr>
        <w:footnoteReference w:id="101"/>
      </w:r>
    </w:p>
    <w:p w14:paraId="7B783C2D" w14:textId="77777777" w:rsidR="008C5F33" w:rsidRPr="00E9174E" w:rsidRDefault="008C5F33" w:rsidP="00E9174E">
      <w:pPr>
        <w:widowControl/>
        <w:autoSpaceDE w:val="0"/>
        <w:autoSpaceDN w:val="0"/>
        <w:adjustRightInd w:val="0"/>
        <w:spacing w:line="360" w:lineRule="auto"/>
        <w:contextualSpacing/>
        <w:rPr>
          <w:rFonts w:eastAsia="Calibri"/>
          <w:sz w:val="26"/>
          <w:szCs w:val="26"/>
        </w:rPr>
      </w:pPr>
    </w:p>
    <w:p w14:paraId="4EA97F29" w14:textId="297CE7C2" w:rsidR="008C5F33" w:rsidRPr="00E9174E" w:rsidRDefault="008C5F33" w:rsidP="00E9174E">
      <w:pPr>
        <w:widowControl/>
        <w:autoSpaceDE w:val="0"/>
        <w:autoSpaceDN w:val="0"/>
        <w:adjustRightInd w:val="0"/>
        <w:spacing w:line="360" w:lineRule="auto"/>
        <w:ind w:firstLine="1440"/>
        <w:contextualSpacing/>
        <w:rPr>
          <w:rFonts w:eastAsia="Calibri"/>
          <w:sz w:val="26"/>
          <w:szCs w:val="26"/>
        </w:rPr>
      </w:pPr>
      <w:r w:rsidRPr="00E9174E">
        <w:rPr>
          <w:rFonts w:eastAsia="Calibri"/>
          <w:sz w:val="26"/>
          <w:szCs w:val="26"/>
        </w:rPr>
        <w:t>Columbia argued that I&amp;E’s recommendation is not a prudent use of resources and should be rejected because I&amp;E fails to recognize that Columbia cannot avoid its contractual obligations without consequence if circumstances change.  CG M.B. at 147.  The Company is of the opinion that I&amp;E’s request is not necessary because the terms of its flex agreements typically do not extend beyond ten years, at which time competitive alternatives are verified as part of the normal renegotiation process.  CG St. 1-R Redacted at 62.</w:t>
      </w:r>
    </w:p>
    <w:p w14:paraId="578028A0" w14:textId="77777777" w:rsidR="008C5F33" w:rsidRPr="00E9174E" w:rsidRDefault="008C5F33" w:rsidP="00E9174E">
      <w:pPr>
        <w:widowControl/>
        <w:autoSpaceDE w:val="0"/>
        <w:autoSpaceDN w:val="0"/>
        <w:adjustRightInd w:val="0"/>
        <w:spacing w:line="360" w:lineRule="auto"/>
        <w:contextualSpacing/>
        <w:rPr>
          <w:rFonts w:eastAsia="Calibri"/>
          <w:sz w:val="26"/>
          <w:szCs w:val="26"/>
        </w:rPr>
      </w:pPr>
    </w:p>
    <w:p w14:paraId="6AA36F12" w14:textId="071A8DFE" w:rsidR="008C5F33" w:rsidRPr="00E9174E" w:rsidRDefault="008C5F33" w:rsidP="00E9174E">
      <w:pPr>
        <w:widowControl/>
        <w:autoSpaceDE w:val="0"/>
        <w:autoSpaceDN w:val="0"/>
        <w:adjustRightInd w:val="0"/>
        <w:spacing w:line="360" w:lineRule="auto"/>
        <w:ind w:firstLine="1440"/>
        <w:contextualSpacing/>
        <w:rPr>
          <w:rFonts w:eastAsia="Calibri"/>
          <w:sz w:val="26"/>
          <w:szCs w:val="26"/>
        </w:rPr>
      </w:pPr>
      <w:r w:rsidRPr="00E9174E">
        <w:rPr>
          <w:rFonts w:eastAsia="Calibri"/>
          <w:sz w:val="26"/>
          <w:szCs w:val="26"/>
        </w:rPr>
        <w:t>Columbia further contended that it would be poor practice if Columbia broke an agreement because it may subject itself to potential breach of contract damages, and there would be little incentive for competitive customers to enter such agreements in the future if the Company was able to choose to no longer honor the agreement at any time when new information becomes available.  R.D. at 264; CG R.B. at 90-91.  For these reasons, Columbia argued it should be permitted to continue its current practice of reviewing competitive alternatives when contracts are set to expire rather than under arbitrary timeframes under I&amp;E’s proposal.  R.D. at 264.</w:t>
      </w:r>
    </w:p>
    <w:p w14:paraId="7C427CFE" w14:textId="77777777" w:rsidR="00A8096B" w:rsidRPr="00E9174E" w:rsidRDefault="00A8096B" w:rsidP="00E9174E">
      <w:pPr>
        <w:widowControl/>
        <w:autoSpaceDE w:val="0"/>
        <w:autoSpaceDN w:val="0"/>
        <w:adjustRightInd w:val="0"/>
        <w:spacing w:line="360" w:lineRule="auto"/>
        <w:contextualSpacing/>
        <w:rPr>
          <w:sz w:val="26"/>
          <w:szCs w:val="26"/>
        </w:rPr>
      </w:pPr>
    </w:p>
    <w:p w14:paraId="1DC21895" w14:textId="4C7FE336" w:rsidR="00A8096B" w:rsidRPr="00E9174E" w:rsidRDefault="00A8096B" w:rsidP="00823066">
      <w:pPr>
        <w:pStyle w:val="Heading4"/>
        <w:ind w:left="2160" w:hanging="720"/>
      </w:pPr>
      <w:bookmarkStart w:id="455" w:name="_Toc63764623"/>
      <w:r w:rsidRPr="00E9174E">
        <w:t>Recommended Decision</w:t>
      </w:r>
      <w:bookmarkEnd w:id="455"/>
    </w:p>
    <w:p w14:paraId="3A35CCCB" w14:textId="77777777" w:rsidR="00A8096B" w:rsidRPr="00E9174E" w:rsidRDefault="00A8096B" w:rsidP="00E9174E">
      <w:pPr>
        <w:keepNext/>
        <w:keepLines/>
        <w:widowControl/>
        <w:autoSpaceDE w:val="0"/>
        <w:autoSpaceDN w:val="0"/>
        <w:adjustRightInd w:val="0"/>
        <w:spacing w:line="360" w:lineRule="auto"/>
        <w:contextualSpacing/>
        <w:rPr>
          <w:sz w:val="26"/>
          <w:szCs w:val="26"/>
        </w:rPr>
      </w:pPr>
    </w:p>
    <w:p w14:paraId="194C189B" w14:textId="77777777" w:rsidR="00296F17" w:rsidRPr="00E9174E" w:rsidRDefault="00296F17" w:rsidP="00E9174E">
      <w:pPr>
        <w:widowControl/>
        <w:autoSpaceDE w:val="0"/>
        <w:autoSpaceDN w:val="0"/>
        <w:adjustRightInd w:val="0"/>
        <w:spacing w:line="360" w:lineRule="auto"/>
        <w:ind w:firstLine="1440"/>
        <w:contextualSpacing/>
        <w:rPr>
          <w:rFonts w:eastAsia="Calibri"/>
          <w:color w:val="000000"/>
          <w:sz w:val="26"/>
          <w:szCs w:val="26"/>
        </w:rPr>
      </w:pPr>
      <w:r w:rsidRPr="00E9174E">
        <w:rPr>
          <w:rFonts w:eastAsia="Calibri"/>
          <w:color w:val="000000"/>
          <w:sz w:val="26"/>
          <w:szCs w:val="26"/>
        </w:rPr>
        <w:t xml:space="preserve">The ALJ discussed this issue in several related sections of her Recommended Decision.  </w:t>
      </w:r>
      <w:r w:rsidRPr="00E9174E">
        <w:rPr>
          <w:rFonts w:eastAsia="Calibri"/>
          <w:i/>
          <w:iCs/>
          <w:color w:val="000000"/>
          <w:sz w:val="26"/>
          <w:szCs w:val="26"/>
        </w:rPr>
        <w:t>See</w:t>
      </w:r>
      <w:r w:rsidRPr="00E9174E">
        <w:rPr>
          <w:rFonts w:eastAsia="Calibri"/>
          <w:color w:val="000000"/>
          <w:sz w:val="26"/>
          <w:szCs w:val="26"/>
        </w:rPr>
        <w:t xml:space="preserve"> R.D. at 260-261; 292-293; 397.  However, her recommendation on this issue, which will be discussed in this section, below, appears on page 397 of the Recommended Decision.</w:t>
      </w:r>
    </w:p>
    <w:p w14:paraId="17589F0B" w14:textId="77777777" w:rsidR="00296F17" w:rsidRPr="00E9174E" w:rsidRDefault="00296F17" w:rsidP="00E9174E">
      <w:pPr>
        <w:widowControl/>
        <w:autoSpaceDE w:val="0"/>
        <w:autoSpaceDN w:val="0"/>
        <w:adjustRightInd w:val="0"/>
        <w:spacing w:line="360" w:lineRule="auto"/>
        <w:contextualSpacing/>
        <w:rPr>
          <w:rFonts w:eastAsia="Calibri"/>
          <w:color w:val="000000"/>
          <w:sz w:val="26"/>
          <w:szCs w:val="26"/>
        </w:rPr>
      </w:pPr>
    </w:p>
    <w:p w14:paraId="3DDA2D55" w14:textId="71EC4710" w:rsidR="00296F17" w:rsidRPr="00E9174E" w:rsidRDefault="00296F17" w:rsidP="00E9174E">
      <w:pPr>
        <w:widowControl/>
        <w:autoSpaceDE w:val="0"/>
        <w:autoSpaceDN w:val="0"/>
        <w:adjustRightInd w:val="0"/>
        <w:spacing w:line="360" w:lineRule="auto"/>
        <w:ind w:firstLine="1440"/>
        <w:contextualSpacing/>
        <w:rPr>
          <w:rFonts w:eastAsia="Calibri"/>
          <w:color w:val="000000"/>
          <w:sz w:val="26"/>
          <w:szCs w:val="26"/>
        </w:rPr>
      </w:pPr>
      <w:r w:rsidRPr="00E9174E">
        <w:rPr>
          <w:rFonts w:eastAsia="Calibri"/>
          <w:color w:val="000000"/>
          <w:sz w:val="26"/>
          <w:szCs w:val="26"/>
        </w:rPr>
        <w:lastRenderedPageBreak/>
        <w:t xml:space="preserve">The ALJ concurred with the arguments advocated by I&amp;E that Columbia should be required to provide, in its next base rate case, an update to the competitive alternative analysis for any flex customer who has not had their alternative fuel source verified for a period of ten years or more.  R.D. at 397.  </w:t>
      </w:r>
    </w:p>
    <w:p w14:paraId="7609E287" w14:textId="77777777" w:rsidR="00296F17" w:rsidRPr="00E9174E" w:rsidRDefault="00296F17" w:rsidP="00E9174E">
      <w:pPr>
        <w:widowControl/>
        <w:autoSpaceDE w:val="0"/>
        <w:autoSpaceDN w:val="0"/>
        <w:adjustRightInd w:val="0"/>
        <w:spacing w:line="360" w:lineRule="auto"/>
        <w:contextualSpacing/>
        <w:rPr>
          <w:rFonts w:eastAsia="Calibri"/>
          <w:color w:val="000000"/>
          <w:sz w:val="26"/>
          <w:szCs w:val="26"/>
        </w:rPr>
      </w:pPr>
    </w:p>
    <w:p w14:paraId="74444E46" w14:textId="78B36AD4" w:rsidR="00296F17" w:rsidRPr="00E9174E" w:rsidRDefault="00296F17" w:rsidP="00E9174E">
      <w:pPr>
        <w:widowControl/>
        <w:autoSpaceDE w:val="0"/>
        <w:autoSpaceDN w:val="0"/>
        <w:adjustRightInd w:val="0"/>
        <w:spacing w:line="360" w:lineRule="auto"/>
        <w:ind w:firstLine="1440"/>
        <w:contextualSpacing/>
        <w:rPr>
          <w:rFonts w:eastAsia="Calibri"/>
          <w:color w:val="000000"/>
          <w:sz w:val="26"/>
          <w:szCs w:val="26"/>
        </w:rPr>
      </w:pPr>
      <w:r w:rsidRPr="00E9174E">
        <w:rPr>
          <w:rFonts w:eastAsia="Calibri"/>
          <w:color w:val="000000"/>
          <w:sz w:val="26"/>
          <w:szCs w:val="26"/>
        </w:rPr>
        <w:t>In this regard, the ALJ agreed with I&amp;E that from time to time, the utility needs to investigate and analyze competitive alternatives to verify the flex rate is not discounted lower than necessary to avoid the customer choosing the alternative supply. The ALJ explained that the public interest is not served when a customer or customers receive excessive discounts because excessive discounts harm both Columbia and Columbia’s other customers who must make up the revenue lost when flex rate customers pay less than the tariffed rate.  R.D. at 292 (citing I&amp;E St. 3 at 6).</w:t>
      </w:r>
    </w:p>
    <w:p w14:paraId="7B7BCFBC" w14:textId="77777777" w:rsidR="00296F17" w:rsidRPr="00E9174E" w:rsidRDefault="00296F17" w:rsidP="00E9174E">
      <w:pPr>
        <w:widowControl/>
        <w:autoSpaceDE w:val="0"/>
        <w:autoSpaceDN w:val="0"/>
        <w:adjustRightInd w:val="0"/>
        <w:spacing w:line="360" w:lineRule="auto"/>
        <w:contextualSpacing/>
        <w:rPr>
          <w:rFonts w:eastAsia="Calibri"/>
          <w:color w:val="000000"/>
          <w:sz w:val="26"/>
          <w:szCs w:val="26"/>
        </w:rPr>
      </w:pPr>
    </w:p>
    <w:p w14:paraId="6007067A" w14:textId="6DAD6A6A" w:rsidR="00A8096B" w:rsidRPr="00E9174E" w:rsidRDefault="00296F17" w:rsidP="00E9174E">
      <w:pPr>
        <w:widowControl/>
        <w:autoSpaceDE w:val="0"/>
        <w:autoSpaceDN w:val="0"/>
        <w:adjustRightInd w:val="0"/>
        <w:spacing w:line="360" w:lineRule="auto"/>
        <w:ind w:firstLine="1440"/>
        <w:contextualSpacing/>
        <w:rPr>
          <w:sz w:val="26"/>
          <w:szCs w:val="26"/>
        </w:rPr>
      </w:pPr>
      <w:r w:rsidRPr="00E9174E">
        <w:rPr>
          <w:rFonts w:eastAsia="Calibri"/>
          <w:sz w:val="26"/>
          <w:szCs w:val="26"/>
        </w:rPr>
        <w:t>Alternatively, if the Commission grants Columbia’s request to consider all the elements in its base rate increase request, the ALJ recommended that the Commission require Columbia to provide an update to the Competitive Alternative Analysis for any customer that has not had its alternative fuel source verified for a period of ten years or more at the point at which Columbia files its next base rate case.  R.D. at 397.</w:t>
      </w:r>
    </w:p>
    <w:p w14:paraId="08905987" w14:textId="77777777" w:rsidR="00A8096B" w:rsidRPr="00E9174E" w:rsidRDefault="00A8096B" w:rsidP="00E9174E">
      <w:pPr>
        <w:widowControl/>
        <w:autoSpaceDE w:val="0"/>
        <w:autoSpaceDN w:val="0"/>
        <w:adjustRightInd w:val="0"/>
        <w:spacing w:line="360" w:lineRule="auto"/>
        <w:contextualSpacing/>
        <w:rPr>
          <w:b/>
          <w:bCs/>
          <w:sz w:val="26"/>
          <w:szCs w:val="26"/>
        </w:rPr>
      </w:pPr>
    </w:p>
    <w:p w14:paraId="24C75667" w14:textId="7C940410" w:rsidR="00A8096B" w:rsidRPr="00E9174E" w:rsidRDefault="00A8096B" w:rsidP="00823066">
      <w:pPr>
        <w:pStyle w:val="Heading4"/>
        <w:ind w:left="2160" w:hanging="720"/>
      </w:pPr>
      <w:bookmarkStart w:id="456" w:name="_Toc63764624"/>
      <w:r w:rsidRPr="004F6CF2">
        <w:t>Columbia</w:t>
      </w:r>
      <w:r w:rsidRPr="00E9174E">
        <w:t xml:space="preserve"> Exception No. 21 and Replies</w:t>
      </w:r>
      <w:bookmarkEnd w:id="456"/>
    </w:p>
    <w:p w14:paraId="0E4A7667" w14:textId="77777777" w:rsidR="00A8096B" w:rsidRPr="00E9174E" w:rsidRDefault="00A8096B" w:rsidP="00E9174E">
      <w:pPr>
        <w:keepNext/>
        <w:keepLines/>
        <w:widowControl/>
        <w:autoSpaceDE w:val="0"/>
        <w:autoSpaceDN w:val="0"/>
        <w:adjustRightInd w:val="0"/>
        <w:spacing w:line="360" w:lineRule="auto"/>
        <w:contextualSpacing/>
        <w:rPr>
          <w:b/>
          <w:bCs/>
          <w:sz w:val="26"/>
          <w:szCs w:val="26"/>
        </w:rPr>
      </w:pPr>
    </w:p>
    <w:p w14:paraId="592EED38" w14:textId="77777777" w:rsidR="00FF714F" w:rsidRPr="00E9174E" w:rsidRDefault="00FF714F" w:rsidP="00E9174E">
      <w:pPr>
        <w:widowControl/>
        <w:autoSpaceDE w:val="0"/>
        <w:autoSpaceDN w:val="0"/>
        <w:adjustRightInd w:val="0"/>
        <w:spacing w:line="360" w:lineRule="auto"/>
        <w:ind w:firstLine="1440"/>
        <w:contextualSpacing/>
        <w:rPr>
          <w:rFonts w:eastAsia="Calibri"/>
          <w:sz w:val="26"/>
          <w:szCs w:val="26"/>
        </w:rPr>
      </w:pPr>
      <w:r w:rsidRPr="00E9174E">
        <w:rPr>
          <w:rFonts w:eastAsia="Calibri"/>
          <w:sz w:val="26"/>
          <w:szCs w:val="26"/>
        </w:rPr>
        <w:t>In its Exception No. 21, Columbia avers that the ALJ erred in recommending that the Commission require Columbia to provide an update to the Competitive Alternative Analysis for any customer whose alternative fuel source has not been verified for a period of ten years or more when Columbia files its next base rate case, as requested by I&amp;E.  CG Exc. at 38 (citing R.D. at 397).</w:t>
      </w:r>
    </w:p>
    <w:p w14:paraId="784F50E3" w14:textId="77777777" w:rsidR="00FF714F" w:rsidRPr="00E9174E" w:rsidRDefault="00FF714F" w:rsidP="00E9174E">
      <w:pPr>
        <w:widowControl/>
        <w:autoSpaceDE w:val="0"/>
        <w:autoSpaceDN w:val="0"/>
        <w:adjustRightInd w:val="0"/>
        <w:spacing w:line="360" w:lineRule="auto"/>
        <w:contextualSpacing/>
        <w:rPr>
          <w:rFonts w:eastAsia="Calibri"/>
          <w:sz w:val="26"/>
          <w:szCs w:val="26"/>
        </w:rPr>
      </w:pPr>
    </w:p>
    <w:p w14:paraId="15DF029D" w14:textId="10AE2BB3" w:rsidR="00FF714F" w:rsidRPr="00E9174E" w:rsidRDefault="00FF714F" w:rsidP="00E9174E">
      <w:pPr>
        <w:widowControl/>
        <w:autoSpaceDE w:val="0"/>
        <w:autoSpaceDN w:val="0"/>
        <w:adjustRightInd w:val="0"/>
        <w:spacing w:line="360" w:lineRule="auto"/>
        <w:ind w:firstLine="1440"/>
        <w:contextualSpacing/>
        <w:rPr>
          <w:rFonts w:eastAsia="Calibri"/>
          <w:sz w:val="26"/>
          <w:szCs w:val="26"/>
        </w:rPr>
      </w:pPr>
      <w:r w:rsidRPr="00E9174E">
        <w:rPr>
          <w:rFonts w:eastAsia="Calibri"/>
          <w:sz w:val="26"/>
          <w:szCs w:val="26"/>
        </w:rPr>
        <w:t xml:space="preserve">Columbia opines that the Recommended Decision fails to recognize that Columbia currently analyzes competitive alternatives and verifies that a flex rate is </w:t>
      </w:r>
      <w:r w:rsidRPr="00E9174E">
        <w:rPr>
          <w:rFonts w:eastAsia="Calibri"/>
          <w:sz w:val="26"/>
          <w:szCs w:val="26"/>
        </w:rPr>
        <w:lastRenderedPageBreak/>
        <w:t>justified before the Company enters or renews a flex rate agreement.  CG Exc. at 39 (citing CG M.B. at 146-47).  Thus, Columbia submits that it already verifies competitive alternatives for flex rate customers when the Company has the option not to renew an expiring flex rate agreement or the ability to decline entering a new flex rate agreement.  CG Exc. at 39.</w:t>
      </w:r>
    </w:p>
    <w:p w14:paraId="2773F51D" w14:textId="77777777" w:rsidR="00FF714F" w:rsidRPr="00E9174E" w:rsidRDefault="00FF714F" w:rsidP="00E9174E">
      <w:pPr>
        <w:widowControl/>
        <w:autoSpaceDE w:val="0"/>
        <w:autoSpaceDN w:val="0"/>
        <w:adjustRightInd w:val="0"/>
        <w:spacing w:line="360" w:lineRule="auto"/>
        <w:contextualSpacing/>
        <w:rPr>
          <w:rFonts w:eastAsia="Calibri"/>
          <w:sz w:val="26"/>
          <w:szCs w:val="26"/>
        </w:rPr>
      </w:pPr>
    </w:p>
    <w:p w14:paraId="268F163B" w14:textId="2781E763" w:rsidR="00FF714F" w:rsidRPr="00E9174E" w:rsidRDefault="00FF714F" w:rsidP="00E9174E">
      <w:pPr>
        <w:widowControl/>
        <w:autoSpaceDE w:val="0"/>
        <w:autoSpaceDN w:val="0"/>
        <w:adjustRightInd w:val="0"/>
        <w:spacing w:line="360" w:lineRule="auto"/>
        <w:ind w:firstLine="1440"/>
        <w:contextualSpacing/>
        <w:rPr>
          <w:rFonts w:eastAsia="Calibri"/>
          <w:sz w:val="26"/>
          <w:szCs w:val="26"/>
        </w:rPr>
      </w:pPr>
      <w:r w:rsidRPr="00E9174E">
        <w:rPr>
          <w:rFonts w:eastAsia="Calibri"/>
          <w:sz w:val="26"/>
          <w:szCs w:val="26"/>
        </w:rPr>
        <w:t xml:space="preserve">Columbia is of the opinion that its existing process is effective because the Company has discontinued flex rates when it determines they are no longer justified upon expiration of the flex rate contract.  </w:t>
      </w:r>
      <w:r w:rsidRPr="00E9174E">
        <w:rPr>
          <w:rFonts w:eastAsia="Calibri"/>
          <w:i/>
          <w:iCs/>
          <w:sz w:val="26"/>
          <w:szCs w:val="26"/>
        </w:rPr>
        <w:t>Id</w:t>
      </w:r>
      <w:r w:rsidRPr="00E9174E">
        <w:rPr>
          <w:rFonts w:eastAsia="Calibri"/>
          <w:sz w:val="26"/>
          <w:szCs w:val="26"/>
        </w:rPr>
        <w:t>. (citing CG M.B. at 145; CG R.B. at 90</w:t>
      </w:r>
      <w:r w:rsidRPr="00E9174E">
        <w:rPr>
          <w:rFonts w:eastAsia="Calibri"/>
          <w:sz w:val="26"/>
          <w:szCs w:val="26"/>
        </w:rPr>
        <w:noBreakHyphen/>
        <w:t>91).  The Company asserts that requiring it to undertake an additional Competitive Alternative Analysis during the terms of existing flex contracts that are not yet up for renegotiation would serve no useful purpose and would be an imprudent use of resources.  In light of the above, and for the reasons explained in its briefs, Columbia requests that the Commission reject the ALJ’s recommendation to require Columbia to undertake and submit a Competitive Alternative Analysis of the contracts in its next base rate case.</w:t>
      </w:r>
    </w:p>
    <w:p w14:paraId="5A548DDA" w14:textId="77777777" w:rsidR="00FF714F" w:rsidRPr="00E9174E" w:rsidRDefault="00FF714F" w:rsidP="00E9174E">
      <w:pPr>
        <w:widowControl/>
        <w:autoSpaceDE w:val="0"/>
        <w:autoSpaceDN w:val="0"/>
        <w:adjustRightInd w:val="0"/>
        <w:spacing w:line="360" w:lineRule="auto"/>
        <w:contextualSpacing/>
        <w:rPr>
          <w:rFonts w:eastAsia="Calibri"/>
          <w:sz w:val="26"/>
          <w:szCs w:val="26"/>
        </w:rPr>
      </w:pPr>
    </w:p>
    <w:p w14:paraId="4003A81F" w14:textId="0135B5FC" w:rsidR="00A8096B" w:rsidRPr="00E9174E" w:rsidRDefault="00FF714F" w:rsidP="00E9174E">
      <w:pPr>
        <w:widowControl/>
        <w:autoSpaceDE w:val="0"/>
        <w:autoSpaceDN w:val="0"/>
        <w:adjustRightInd w:val="0"/>
        <w:spacing w:line="360" w:lineRule="auto"/>
        <w:ind w:firstLine="1440"/>
        <w:contextualSpacing/>
        <w:rPr>
          <w:rFonts w:eastAsia="Calibri"/>
          <w:sz w:val="26"/>
          <w:szCs w:val="26"/>
        </w:rPr>
      </w:pPr>
      <w:r w:rsidRPr="00E9174E">
        <w:rPr>
          <w:rFonts w:eastAsia="Calibri"/>
          <w:sz w:val="26"/>
          <w:szCs w:val="26"/>
        </w:rPr>
        <w:t xml:space="preserve">Notwithstanding the arguments proffered by the Company in its Exceptions, I&amp;E maintains the same position it argued in its Main and Reply Briefs that it is important to periodically analyze competitive alternatives to ensure that the rates of the flex-rate customers are not discounted lower than is necessary to avoid the customer choosing the alternative supply.  I&amp;E R. Exc. at 6.  I&amp;E also reiterates its primary argument that providing excessive discounts to customers is not within the public interest and would be harmful to both the Company and its customers since other customers would have to make up the lost revenue that results when flex-rate customers pay less than tariff rates.  </w:t>
      </w:r>
      <w:r w:rsidRPr="00E9174E">
        <w:rPr>
          <w:rFonts w:eastAsia="Calibri"/>
          <w:i/>
          <w:iCs/>
          <w:sz w:val="26"/>
          <w:szCs w:val="26"/>
        </w:rPr>
        <w:t>Id</w:t>
      </w:r>
      <w:r w:rsidRPr="00E9174E">
        <w:rPr>
          <w:rFonts w:eastAsia="Calibri"/>
          <w:sz w:val="26"/>
          <w:szCs w:val="26"/>
        </w:rPr>
        <w:t xml:space="preserve">. (citing I&amp;E M.B. at 96).  In addition, I&amp;E avers that this analysis is needed to ensure that flex-rate customers make the maximum contribution to fixed costs.  For the above reasons, I&amp;E contends that the ALJ appropriately recommended I&amp;E’s request that the Company provide, in its next base rate case, an update to its Competitive Alternative Analysis for any customer whose alternative fuel source has not been verified </w:t>
      </w:r>
      <w:r w:rsidRPr="00E9174E">
        <w:rPr>
          <w:rFonts w:eastAsia="Calibri"/>
          <w:sz w:val="26"/>
          <w:szCs w:val="26"/>
        </w:rPr>
        <w:lastRenderedPageBreak/>
        <w:t>for a period of ten years or more when Columbia files its next base rate case.  I&amp;E R. Exc. at 7.</w:t>
      </w:r>
    </w:p>
    <w:p w14:paraId="622B7A6D" w14:textId="77777777" w:rsidR="00FF714F" w:rsidRPr="00E9174E" w:rsidRDefault="00FF714F" w:rsidP="00E9174E">
      <w:pPr>
        <w:widowControl/>
        <w:autoSpaceDE w:val="0"/>
        <w:autoSpaceDN w:val="0"/>
        <w:adjustRightInd w:val="0"/>
        <w:spacing w:line="360" w:lineRule="auto"/>
        <w:contextualSpacing/>
        <w:rPr>
          <w:sz w:val="26"/>
          <w:szCs w:val="26"/>
        </w:rPr>
      </w:pPr>
    </w:p>
    <w:p w14:paraId="67558C6B" w14:textId="21274E9E" w:rsidR="00A8096B" w:rsidRPr="00E9174E" w:rsidRDefault="00823066" w:rsidP="00823066">
      <w:pPr>
        <w:pStyle w:val="Heading4"/>
        <w:ind w:left="2160" w:hanging="720"/>
      </w:pPr>
      <w:bookmarkStart w:id="457" w:name="_Toc63764625"/>
      <w:r>
        <w:t>D</w:t>
      </w:r>
      <w:r w:rsidR="00A8096B" w:rsidRPr="004F6CF2">
        <w:t>isposition</w:t>
      </w:r>
      <w:bookmarkEnd w:id="457"/>
    </w:p>
    <w:p w14:paraId="57F8D8EF" w14:textId="77777777" w:rsidR="00A8096B" w:rsidRPr="00E9174E" w:rsidRDefault="00A8096B" w:rsidP="00E9174E">
      <w:pPr>
        <w:keepNext/>
        <w:keepLines/>
        <w:widowControl/>
        <w:autoSpaceDE w:val="0"/>
        <w:autoSpaceDN w:val="0"/>
        <w:adjustRightInd w:val="0"/>
        <w:spacing w:line="360" w:lineRule="auto"/>
        <w:contextualSpacing/>
        <w:rPr>
          <w:sz w:val="26"/>
          <w:szCs w:val="26"/>
        </w:rPr>
      </w:pPr>
    </w:p>
    <w:p w14:paraId="7C47685D" w14:textId="0119DC4C" w:rsidR="00132BAF" w:rsidRPr="00E9174E" w:rsidRDefault="00132BAF" w:rsidP="00E9174E">
      <w:pPr>
        <w:widowControl/>
        <w:autoSpaceDE w:val="0"/>
        <w:autoSpaceDN w:val="0"/>
        <w:adjustRightInd w:val="0"/>
        <w:spacing w:line="360" w:lineRule="auto"/>
        <w:ind w:firstLine="1440"/>
        <w:contextualSpacing/>
        <w:rPr>
          <w:rFonts w:eastAsia="Calibri"/>
          <w:sz w:val="26"/>
          <w:szCs w:val="26"/>
        </w:rPr>
      </w:pPr>
      <w:r w:rsidRPr="00E9174E">
        <w:rPr>
          <w:rFonts w:eastAsia="Calibri"/>
          <w:sz w:val="26"/>
          <w:szCs w:val="26"/>
        </w:rPr>
        <w:t>Based on our review of the record in this proceeding, we are not persuaded by the Company’s arguments to reject the ALJ’s recommendation.  Rather, we agree with the ALJ and I&amp;E that it is important to periodically analyze competitive alternatives to ensure that the rates of the flex-rate customers are not discounted lower than is necessary to avoid the customer choosing the alternative supply.  As I&amp;E witness Mr. Cline indicated, this analysis is needed to provide an accurate and up-to-date analysis of competitive alternatives to show the flex rate is necessary and reasonable and to ensure that flex-rate customers make the maximum contribution to fixed costs.  I&amp;E St. 3-SR at</w:t>
      </w:r>
      <w:r w:rsidR="004F6CF2">
        <w:rPr>
          <w:rFonts w:eastAsia="Calibri"/>
          <w:sz w:val="26"/>
          <w:szCs w:val="26"/>
        </w:rPr>
        <w:t> </w:t>
      </w:r>
      <w:r w:rsidRPr="00E9174E">
        <w:rPr>
          <w:rFonts w:eastAsia="Calibri"/>
          <w:sz w:val="26"/>
          <w:szCs w:val="26"/>
        </w:rPr>
        <w:t>5.  We especially agree with the ALJ and I&amp;E that providing excessive discounts to customers is not in the public interest and would be harmful to both the Company and its customers, since the other customers would be required to make up the lost revenues when flex-rate customers pay less than tariff rates.</w:t>
      </w:r>
    </w:p>
    <w:p w14:paraId="5A7BB7FC" w14:textId="77777777" w:rsidR="00132BAF" w:rsidRPr="00E9174E" w:rsidRDefault="00132BAF" w:rsidP="00E9174E">
      <w:pPr>
        <w:widowControl/>
        <w:autoSpaceDE w:val="0"/>
        <w:autoSpaceDN w:val="0"/>
        <w:adjustRightInd w:val="0"/>
        <w:spacing w:line="360" w:lineRule="auto"/>
        <w:contextualSpacing/>
        <w:rPr>
          <w:rFonts w:eastAsia="Calibri"/>
          <w:sz w:val="26"/>
          <w:szCs w:val="26"/>
        </w:rPr>
      </w:pPr>
    </w:p>
    <w:p w14:paraId="574E36A8" w14:textId="6C1A4D7D" w:rsidR="00132BAF" w:rsidRPr="00E9174E" w:rsidRDefault="00132BAF" w:rsidP="00E9174E">
      <w:pPr>
        <w:widowControl/>
        <w:autoSpaceDE w:val="0"/>
        <w:autoSpaceDN w:val="0"/>
        <w:adjustRightInd w:val="0"/>
        <w:spacing w:line="360" w:lineRule="auto"/>
        <w:ind w:firstLine="1440"/>
        <w:contextualSpacing/>
        <w:rPr>
          <w:rFonts w:eastAsia="Calibri"/>
          <w:sz w:val="26"/>
          <w:szCs w:val="26"/>
        </w:rPr>
      </w:pPr>
      <w:r w:rsidRPr="00E9174E">
        <w:rPr>
          <w:rFonts w:eastAsia="Calibri"/>
          <w:sz w:val="26"/>
          <w:szCs w:val="26"/>
        </w:rPr>
        <w:t>As noted, Columbia expressed concern that the submission of Competitive Alternative Analyses in its next base rate case may subject it to potential breach of contract damages and that there would be little incentive for competitive customers to enter such agreements in the future if the Company was able to choose to no longer honor the agreement at any time when new information becomes available.  At the same time, Columbia stated that “[e]</w:t>
      </w:r>
      <w:proofErr w:type="spellStart"/>
      <w:r w:rsidRPr="00E9174E">
        <w:rPr>
          <w:rFonts w:eastAsia="Calibri"/>
          <w:sz w:val="26"/>
          <w:szCs w:val="26"/>
        </w:rPr>
        <w:t>ven</w:t>
      </w:r>
      <w:proofErr w:type="spellEnd"/>
      <w:r w:rsidRPr="00E9174E">
        <w:rPr>
          <w:rFonts w:eastAsia="Calibri"/>
          <w:sz w:val="26"/>
          <w:szCs w:val="26"/>
        </w:rPr>
        <w:t xml:space="preserve"> if Columbia were to discover that a flex rate was no longer justified due to a change in competitive alternatives, Columbia could not violate the contract by no longer offering the flex rate.”  </w:t>
      </w:r>
      <w:r w:rsidRPr="00E9174E">
        <w:rPr>
          <w:rFonts w:eastAsia="Calibri"/>
          <w:i/>
          <w:iCs/>
          <w:sz w:val="26"/>
          <w:szCs w:val="26"/>
        </w:rPr>
        <w:t xml:space="preserve">See </w:t>
      </w:r>
      <w:r w:rsidRPr="00E9174E">
        <w:rPr>
          <w:rFonts w:eastAsia="Calibri"/>
          <w:sz w:val="26"/>
          <w:szCs w:val="26"/>
        </w:rPr>
        <w:t>CG R.B. at 90-91.</w:t>
      </w:r>
    </w:p>
    <w:p w14:paraId="70833CBF" w14:textId="77777777" w:rsidR="00132BAF" w:rsidRPr="00E9174E" w:rsidRDefault="00132BAF" w:rsidP="00E9174E">
      <w:pPr>
        <w:widowControl/>
        <w:autoSpaceDE w:val="0"/>
        <w:autoSpaceDN w:val="0"/>
        <w:adjustRightInd w:val="0"/>
        <w:spacing w:line="360" w:lineRule="auto"/>
        <w:contextualSpacing/>
        <w:rPr>
          <w:rFonts w:eastAsia="Calibri"/>
          <w:sz w:val="26"/>
          <w:szCs w:val="26"/>
        </w:rPr>
      </w:pPr>
    </w:p>
    <w:p w14:paraId="6E93AB63" w14:textId="24BC76FB" w:rsidR="00132BAF" w:rsidRPr="00E9174E" w:rsidRDefault="00132BAF" w:rsidP="00E9174E">
      <w:pPr>
        <w:widowControl/>
        <w:autoSpaceDE w:val="0"/>
        <w:autoSpaceDN w:val="0"/>
        <w:adjustRightInd w:val="0"/>
        <w:spacing w:line="360" w:lineRule="auto"/>
        <w:ind w:firstLine="1440"/>
        <w:contextualSpacing/>
        <w:rPr>
          <w:rFonts w:eastAsia="Calibri"/>
          <w:sz w:val="26"/>
          <w:szCs w:val="26"/>
        </w:rPr>
      </w:pPr>
      <w:r w:rsidRPr="00E9174E">
        <w:rPr>
          <w:rFonts w:eastAsia="Calibri"/>
          <w:sz w:val="26"/>
          <w:szCs w:val="26"/>
        </w:rPr>
        <w:t xml:space="preserve">In response to Columbia’s concern, the intent of the Competitive Alternative Analyses requested by I&amp;E is not to be used for purposes of canceling signed </w:t>
      </w:r>
      <w:r w:rsidRPr="00E9174E">
        <w:rPr>
          <w:rFonts w:eastAsia="Calibri"/>
          <w:sz w:val="26"/>
          <w:szCs w:val="26"/>
        </w:rPr>
        <w:lastRenderedPageBreak/>
        <w:t xml:space="preserve">flex rate contracts.  Rather, the purpose for submitting the requested Competitive Alternative Analyses is to provide the Commission, as the overseer of competitive utility services in the Commonwealth and the Company’s Tariff, with insight to the current competitive fuel alternatives available in the Company’s service territory and to ensure that the Company’s flex tariffs remain compatible with the current competitive environment at the time of the requested submissions of Competitive Alternative Analyses.  In addition, we are of the opinion that the submission of Competitive Alternative Analyses for the specified flex rate contracts in the context of a base rate proceeding provides an ideal opportunity for review of this information and may eliminate the need for potential separate future investigation proceedings.  Accordingly, the Company’s Exception on this matter is denied. </w:t>
      </w:r>
    </w:p>
    <w:p w14:paraId="6036BC42" w14:textId="77777777" w:rsidR="00A8096B" w:rsidRPr="00E9174E" w:rsidRDefault="00A8096B" w:rsidP="00E9174E">
      <w:pPr>
        <w:widowControl/>
        <w:spacing w:line="360" w:lineRule="auto"/>
        <w:contextualSpacing/>
        <w:rPr>
          <w:b/>
          <w:sz w:val="26"/>
          <w:szCs w:val="26"/>
        </w:rPr>
      </w:pPr>
    </w:p>
    <w:p w14:paraId="52DFE307" w14:textId="10D8952D" w:rsidR="00455B4B" w:rsidRPr="00E9174E" w:rsidRDefault="009318DC" w:rsidP="004F6CF2">
      <w:pPr>
        <w:pStyle w:val="Heading3"/>
        <w:ind w:left="1440"/>
      </w:pPr>
      <w:bookmarkStart w:id="458" w:name="_Toc63764626"/>
      <w:r w:rsidRPr="00E9174E">
        <w:t>3.</w:t>
      </w:r>
      <w:r w:rsidRPr="00E9174E">
        <w:tab/>
      </w:r>
      <w:r w:rsidR="00033848" w:rsidRPr="00E9174E">
        <w:t>Allocation of Universal Service Costs</w:t>
      </w:r>
      <w:bookmarkEnd w:id="458"/>
      <w:r w:rsidR="00033848" w:rsidRPr="00E9174E">
        <w:t xml:space="preserve"> </w:t>
      </w:r>
    </w:p>
    <w:p w14:paraId="72156625" w14:textId="77777777" w:rsidR="00455B4B" w:rsidRPr="00E9174E" w:rsidRDefault="00455B4B" w:rsidP="00E9174E">
      <w:pPr>
        <w:keepNext/>
        <w:keepLines/>
        <w:widowControl/>
        <w:spacing w:line="360" w:lineRule="auto"/>
        <w:contextualSpacing/>
        <w:rPr>
          <w:rFonts w:eastAsiaTheme="minorHAnsi"/>
          <w:sz w:val="26"/>
          <w:szCs w:val="26"/>
        </w:rPr>
      </w:pPr>
    </w:p>
    <w:p w14:paraId="5E4F13A9" w14:textId="690D314F" w:rsidR="006D7162" w:rsidRPr="004F6CF2" w:rsidRDefault="006D7162" w:rsidP="00277ECF">
      <w:pPr>
        <w:pStyle w:val="Heading4"/>
        <w:numPr>
          <w:ilvl w:val="0"/>
          <w:numId w:val="75"/>
        </w:numPr>
        <w:ind w:left="2160" w:hanging="720"/>
        <w:rPr>
          <w:rFonts w:eastAsiaTheme="minorHAnsi"/>
        </w:rPr>
      </w:pPr>
      <w:bookmarkStart w:id="459" w:name="_Toc63764627"/>
      <w:r w:rsidRPr="00E9174E">
        <w:t>Positions</w:t>
      </w:r>
      <w:r w:rsidRPr="004F6CF2">
        <w:rPr>
          <w:rFonts w:eastAsiaTheme="minorHAnsi"/>
        </w:rPr>
        <w:t xml:space="preserve"> of the Parties</w:t>
      </w:r>
      <w:bookmarkEnd w:id="459"/>
      <w:r w:rsidRPr="004F6CF2">
        <w:rPr>
          <w:rFonts w:eastAsiaTheme="minorHAnsi"/>
        </w:rPr>
        <w:t xml:space="preserve"> </w:t>
      </w:r>
    </w:p>
    <w:p w14:paraId="1AB23086" w14:textId="77777777" w:rsidR="006D7162" w:rsidRPr="00E9174E" w:rsidRDefault="006D7162" w:rsidP="00E9174E">
      <w:pPr>
        <w:keepNext/>
        <w:keepLines/>
        <w:widowControl/>
        <w:spacing w:line="360" w:lineRule="auto"/>
        <w:contextualSpacing/>
        <w:rPr>
          <w:rFonts w:eastAsiaTheme="minorHAnsi"/>
          <w:sz w:val="26"/>
          <w:szCs w:val="26"/>
        </w:rPr>
      </w:pPr>
    </w:p>
    <w:p w14:paraId="40FC32B0" w14:textId="70254262" w:rsidR="006D7162" w:rsidRPr="00E9174E" w:rsidRDefault="006D7162" w:rsidP="00E9174E">
      <w:pPr>
        <w:widowControl/>
        <w:autoSpaceDE w:val="0"/>
        <w:autoSpaceDN w:val="0"/>
        <w:adjustRightInd w:val="0"/>
        <w:spacing w:line="360" w:lineRule="auto"/>
        <w:ind w:firstLine="1440"/>
        <w:contextualSpacing/>
        <w:rPr>
          <w:rFonts w:eastAsiaTheme="minorHAnsi"/>
          <w:color w:val="000000"/>
          <w:sz w:val="26"/>
          <w:szCs w:val="26"/>
        </w:rPr>
      </w:pPr>
      <w:r w:rsidRPr="00E9174E">
        <w:rPr>
          <w:rFonts w:eastAsiaTheme="minorHAnsi"/>
          <w:color w:val="000000"/>
          <w:sz w:val="26"/>
          <w:szCs w:val="26"/>
        </w:rPr>
        <w:t xml:space="preserve">Columbia proposed to continue its existing practice of assigning and recovering its </w:t>
      </w:r>
      <w:bookmarkStart w:id="460" w:name="_Hlk63283941"/>
      <w:r w:rsidRPr="00E9174E">
        <w:rPr>
          <w:rFonts w:eastAsiaTheme="minorHAnsi"/>
          <w:color w:val="000000"/>
          <w:sz w:val="26"/>
          <w:szCs w:val="26"/>
        </w:rPr>
        <w:t>U</w:t>
      </w:r>
      <w:r w:rsidR="00240F2D" w:rsidRPr="00E9174E">
        <w:rPr>
          <w:rFonts w:eastAsiaTheme="minorHAnsi"/>
          <w:color w:val="000000"/>
          <w:sz w:val="26"/>
          <w:szCs w:val="26"/>
        </w:rPr>
        <w:t xml:space="preserve">niversal </w:t>
      </w:r>
      <w:r w:rsidRPr="00E9174E">
        <w:rPr>
          <w:rFonts w:eastAsiaTheme="minorHAnsi"/>
          <w:color w:val="000000"/>
          <w:sz w:val="26"/>
          <w:szCs w:val="26"/>
        </w:rPr>
        <w:t>S</w:t>
      </w:r>
      <w:r w:rsidR="00240F2D" w:rsidRPr="00E9174E">
        <w:rPr>
          <w:rFonts w:eastAsiaTheme="minorHAnsi"/>
          <w:color w:val="000000"/>
          <w:sz w:val="26"/>
          <w:szCs w:val="26"/>
        </w:rPr>
        <w:t xml:space="preserve">ervice </w:t>
      </w:r>
      <w:r w:rsidRPr="00E9174E">
        <w:rPr>
          <w:rFonts w:eastAsiaTheme="minorHAnsi"/>
          <w:color w:val="000000"/>
          <w:sz w:val="26"/>
          <w:szCs w:val="26"/>
        </w:rPr>
        <w:t>P</w:t>
      </w:r>
      <w:r w:rsidR="00240F2D" w:rsidRPr="00E9174E">
        <w:rPr>
          <w:rFonts w:eastAsiaTheme="minorHAnsi"/>
          <w:color w:val="000000"/>
          <w:sz w:val="26"/>
          <w:szCs w:val="26"/>
        </w:rPr>
        <w:t>rogram</w:t>
      </w:r>
      <w:bookmarkEnd w:id="460"/>
      <w:r w:rsidR="00240F2D" w:rsidRPr="00E9174E">
        <w:rPr>
          <w:rFonts w:eastAsiaTheme="minorHAnsi"/>
          <w:color w:val="000000"/>
          <w:sz w:val="26"/>
          <w:szCs w:val="26"/>
        </w:rPr>
        <w:t xml:space="preserve"> (USP)</w:t>
      </w:r>
      <w:r w:rsidRPr="00E9174E">
        <w:rPr>
          <w:rFonts w:eastAsiaTheme="minorHAnsi"/>
          <w:color w:val="000000"/>
          <w:sz w:val="26"/>
          <w:szCs w:val="26"/>
        </w:rPr>
        <w:t xml:space="preserve"> costs from residential ratepayers using a volumetric “Rider USP” charge.  For the FPFTY, the Company forecasts that it will incur $26.73 million in universal service costs, or approximately $5.56 per month for a typical residential customer.  CG St. 11 at 14; OSBA St. 1-R at 3. </w:t>
      </w:r>
    </w:p>
    <w:p w14:paraId="46BC0F51" w14:textId="77777777" w:rsidR="008F7B9D" w:rsidRPr="00E9174E" w:rsidRDefault="008F7B9D" w:rsidP="00E9174E">
      <w:pPr>
        <w:widowControl/>
        <w:autoSpaceDE w:val="0"/>
        <w:autoSpaceDN w:val="0"/>
        <w:adjustRightInd w:val="0"/>
        <w:spacing w:line="360" w:lineRule="auto"/>
        <w:contextualSpacing/>
        <w:rPr>
          <w:rFonts w:eastAsiaTheme="minorHAnsi"/>
          <w:color w:val="000000"/>
          <w:sz w:val="26"/>
          <w:szCs w:val="26"/>
        </w:rPr>
      </w:pPr>
    </w:p>
    <w:p w14:paraId="4D15FA43" w14:textId="30269126" w:rsidR="006D7162" w:rsidRPr="00E9174E" w:rsidRDefault="006D7162" w:rsidP="00E9174E">
      <w:pPr>
        <w:widowControl/>
        <w:spacing w:line="360" w:lineRule="auto"/>
        <w:ind w:firstLine="1440"/>
        <w:contextualSpacing/>
        <w:rPr>
          <w:rFonts w:eastAsiaTheme="minorHAnsi"/>
          <w:sz w:val="26"/>
          <w:szCs w:val="26"/>
        </w:rPr>
      </w:pPr>
      <w:r w:rsidRPr="00E9174E">
        <w:rPr>
          <w:rFonts w:eastAsiaTheme="minorHAnsi"/>
          <w:sz w:val="26"/>
          <w:szCs w:val="26"/>
        </w:rPr>
        <w:t xml:space="preserve">Based on recent changes to the CAP Policy Statement and the language in the </w:t>
      </w:r>
      <w:r w:rsidRPr="00E9174E">
        <w:rPr>
          <w:rFonts w:eastAsiaTheme="minorHAnsi"/>
          <w:i/>
          <w:iCs/>
          <w:sz w:val="26"/>
          <w:szCs w:val="26"/>
        </w:rPr>
        <w:t>Final CAP Policy Statement Order</w:t>
      </w:r>
      <w:r w:rsidRPr="00E9174E">
        <w:rPr>
          <w:rFonts w:eastAsiaTheme="minorHAnsi"/>
          <w:sz w:val="26"/>
          <w:szCs w:val="26"/>
        </w:rPr>
        <w:t xml:space="preserve">, the OCA proposed that Columbia change its allocation of universal service costs so that those costs are paid by all customer classes, not just the residential class as Columbia proposes.  OCA M.B. at 159.  The OCA proposed that universal service charges be allocated to all ratepayers and between customer classes on a competitively neutral basis and that the allocation of universal </w:t>
      </w:r>
      <w:r w:rsidRPr="00E9174E">
        <w:rPr>
          <w:rFonts w:eastAsiaTheme="minorHAnsi"/>
          <w:sz w:val="26"/>
          <w:szCs w:val="26"/>
        </w:rPr>
        <w:lastRenderedPageBreak/>
        <w:t xml:space="preserve">service costs among customer classes be based on the percentage of revenue provided by each customer class at base rates.  </w:t>
      </w:r>
      <w:r w:rsidRPr="00E9174E">
        <w:rPr>
          <w:rFonts w:eastAsiaTheme="minorHAnsi"/>
          <w:i/>
          <w:iCs/>
          <w:sz w:val="26"/>
          <w:szCs w:val="26"/>
        </w:rPr>
        <w:t>Id</w:t>
      </w:r>
      <w:r w:rsidRPr="00E9174E">
        <w:rPr>
          <w:rFonts w:eastAsiaTheme="minorHAnsi"/>
          <w:sz w:val="26"/>
          <w:szCs w:val="26"/>
        </w:rPr>
        <w:t xml:space="preserve">. at 159-60.  </w:t>
      </w:r>
    </w:p>
    <w:p w14:paraId="5F2EB594" w14:textId="77777777" w:rsidR="006D7162" w:rsidRPr="00E9174E" w:rsidRDefault="006D7162" w:rsidP="00E9174E">
      <w:pPr>
        <w:widowControl/>
        <w:spacing w:line="360" w:lineRule="auto"/>
        <w:contextualSpacing/>
        <w:rPr>
          <w:rFonts w:eastAsiaTheme="minorHAnsi"/>
          <w:sz w:val="26"/>
          <w:szCs w:val="26"/>
        </w:rPr>
      </w:pPr>
    </w:p>
    <w:p w14:paraId="1DF8D56B" w14:textId="4C8CE778" w:rsidR="006D7162" w:rsidRPr="00E9174E" w:rsidRDefault="006D7162" w:rsidP="00E9174E">
      <w:pPr>
        <w:widowControl/>
        <w:spacing w:line="360" w:lineRule="auto"/>
        <w:ind w:firstLine="1440"/>
        <w:contextualSpacing/>
        <w:rPr>
          <w:rFonts w:eastAsiaTheme="minorHAnsi"/>
          <w:sz w:val="26"/>
          <w:szCs w:val="26"/>
        </w:rPr>
      </w:pPr>
      <w:r w:rsidRPr="00E9174E">
        <w:rPr>
          <w:rFonts w:eastAsiaTheme="minorHAnsi"/>
          <w:sz w:val="26"/>
          <w:szCs w:val="26"/>
        </w:rPr>
        <w:t xml:space="preserve">The OCA noted that while electric and natural gas universal service costs historically have been allocated to residential customers, this historic practice is not mandated by the law.  The OCA pointed out that under the </w:t>
      </w:r>
      <w:r w:rsidR="00B4201E" w:rsidRPr="00E9174E">
        <w:rPr>
          <w:rFonts w:eastAsiaTheme="minorHAnsi"/>
          <w:sz w:val="26"/>
          <w:szCs w:val="26"/>
        </w:rPr>
        <w:t>Electric</w:t>
      </w:r>
      <w:r w:rsidR="00D7711D" w:rsidRPr="00E9174E">
        <w:rPr>
          <w:rFonts w:eastAsiaTheme="minorHAnsi"/>
          <w:sz w:val="26"/>
          <w:szCs w:val="26"/>
        </w:rPr>
        <w:t>ity</w:t>
      </w:r>
      <w:r w:rsidR="00B4201E" w:rsidRPr="00E9174E">
        <w:rPr>
          <w:rFonts w:eastAsiaTheme="minorHAnsi"/>
          <w:sz w:val="26"/>
          <w:szCs w:val="26"/>
        </w:rPr>
        <w:t xml:space="preserve"> Generation</w:t>
      </w:r>
      <w:r w:rsidR="008C1CA3" w:rsidRPr="00E9174E">
        <w:rPr>
          <w:rFonts w:eastAsiaTheme="minorHAnsi"/>
          <w:sz w:val="26"/>
          <w:szCs w:val="26"/>
        </w:rPr>
        <w:t xml:space="preserve"> Customer Choice and </w:t>
      </w:r>
      <w:r w:rsidRPr="00E9174E">
        <w:rPr>
          <w:rFonts w:eastAsiaTheme="minorHAnsi"/>
          <w:sz w:val="26"/>
          <w:szCs w:val="26"/>
        </w:rPr>
        <w:t>Competition Act</w:t>
      </w:r>
      <w:r w:rsidR="008C1CA3" w:rsidRPr="00E9174E">
        <w:rPr>
          <w:rFonts w:eastAsiaTheme="minorHAnsi"/>
          <w:sz w:val="26"/>
          <w:szCs w:val="26"/>
        </w:rPr>
        <w:t xml:space="preserve"> (</w:t>
      </w:r>
      <w:r w:rsidRPr="00E9174E">
        <w:rPr>
          <w:rFonts w:eastAsiaTheme="minorHAnsi"/>
          <w:sz w:val="26"/>
          <w:szCs w:val="26"/>
        </w:rPr>
        <w:t>Competition Act</w:t>
      </w:r>
      <w:r w:rsidR="008C1CA3" w:rsidRPr="00E9174E">
        <w:rPr>
          <w:rFonts w:eastAsiaTheme="minorHAnsi"/>
          <w:sz w:val="26"/>
          <w:szCs w:val="26"/>
        </w:rPr>
        <w:t>)</w:t>
      </w:r>
      <w:r w:rsidRPr="00E9174E">
        <w:rPr>
          <w:rFonts w:eastAsiaTheme="minorHAnsi"/>
          <w:sz w:val="26"/>
          <w:szCs w:val="26"/>
        </w:rPr>
        <w:t xml:space="preserve">, there is no specific requirement that universal service costs be allocated to only residential customers.  </w:t>
      </w:r>
      <w:r w:rsidRPr="00E9174E">
        <w:rPr>
          <w:rFonts w:eastAsiaTheme="minorHAnsi"/>
          <w:i/>
          <w:iCs/>
          <w:sz w:val="26"/>
          <w:szCs w:val="26"/>
        </w:rPr>
        <w:t>Id</w:t>
      </w:r>
      <w:r w:rsidRPr="00E9174E">
        <w:rPr>
          <w:rFonts w:eastAsiaTheme="minorHAnsi"/>
          <w:sz w:val="26"/>
          <w:szCs w:val="26"/>
        </w:rPr>
        <w:t>.</w:t>
      </w:r>
      <w:r w:rsidR="004F6CF2">
        <w:rPr>
          <w:rFonts w:eastAsiaTheme="minorHAnsi"/>
          <w:sz w:val="26"/>
          <w:szCs w:val="26"/>
        </w:rPr>
        <w:t> </w:t>
      </w:r>
      <w:r w:rsidRPr="00E9174E">
        <w:rPr>
          <w:rFonts w:eastAsiaTheme="minorHAnsi"/>
          <w:sz w:val="26"/>
          <w:szCs w:val="26"/>
        </w:rPr>
        <w:t>at</w:t>
      </w:r>
      <w:r w:rsidR="004F6CF2">
        <w:rPr>
          <w:rFonts w:eastAsiaTheme="minorHAnsi"/>
          <w:sz w:val="26"/>
          <w:szCs w:val="26"/>
        </w:rPr>
        <w:t> </w:t>
      </w:r>
      <w:r w:rsidRPr="00E9174E">
        <w:rPr>
          <w:rFonts w:eastAsiaTheme="minorHAnsi"/>
          <w:sz w:val="26"/>
          <w:szCs w:val="26"/>
        </w:rPr>
        <w:t>160</w:t>
      </w:r>
      <w:r w:rsidR="00EB2DAF" w:rsidRPr="00E9174E">
        <w:rPr>
          <w:rFonts w:eastAsiaTheme="minorHAnsi"/>
          <w:sz w:val="26"/>
          <w:szCs w:val="26"/>
        </w:rPr>
        <w:t>-</w:t>
      </w:r>
      <w:r w:rsidRPr="00E9174E">
        <w:rPr>
          <w:rFonts w:eastAsiaTheme="minorHAnsi"/>
          <w:sz w:val="26"/>
          <w:szCs w:val="26"/>
        </w:rPr>
        <w:t xml:space="preserve">61.  The OCA also submitted that the allocation of universal service costs is consistent with sound ratemaking principles.  The OCA averred that since a well-accepted tenet of utility ratemaking is that certain expenses incurred by a public utility are for “public goods,” the costs of Columbia’s universal service program should be considered a “public good” and allocated across all customer classes.  </w:t>
      </w:r>
      <w:r w:rsidRPr="00E9174E">
        <w:rPr>
          <w:rFonts w:eastAsiaTheme="minorHAnsi"/>
          <w:i/>
          <w:iCs/>
          <w:sz w:val="26"/>
          <w:szCs w:val="26"/>
        </w:rPr>
        <w:t>Id</w:t>
      </w:r>
      <w:r w:rsidRPr="00E9174E">
        <w:rPr>
          <w:rFonts w:eastAsiaTheme="minorHAnsi"/>
          <w:sz w:val="26"/>
          <w:szCs w:val="26"/>
        </w:rPr>
        <w:t xml:space="preserve">. at 176-80.  </w:t>
      </w:r>
    </w:p>
    <w:p w14:paraId="6E203DDD" w14:textId="77777777" w:rsidR="006D7162" w:rsidRPr="00E9174E" w:rsidRDefault="006D7162" w:rsidP="00E9174E">
      <w:pPr>
        <w:widowControl/>
        <w:spacing w:line="360" w:lineRule="auto"/>
        <w:contextualSpacing/>
        <w:rPr>
          <w:rFonts w:eastAsiaTheme="minorHAnsi"/>
          <w:sz w:val="26"/>
          <w:szCs w:val="26"/>
        </w:rPr>
      </w:pPr>
    </w:p>
    <w:p w14:paraId="187CD14E" w14:textId="56E14B62" w:rsidR="006D7162" w:rsidRPr="00E9174E" w:rsidRDefault="006D7162" w:rsidP="00E9174E">
      <w:pPr>
        <w:widowControl/>
        <w:spacing w:line="360" w:lineRule="auto"/>
        <w:ind w:firstLine="1440"/>
        <w:contextualSpacing/>
        <w:rPr>
          <w:rFonts w:eastAsiaTheme="minorHAnsi"/>
          <w:sz w:val="26"/>
          <w:szCs w:val="26"/>
        </w:rPr>
      </w:pPr>
      <w:r w:rsidRPr="00E9174E">
        <w:rPr>
          <w:rFonts w:eastAsiaTheme="minorHAnsi"/>
          <w:sz w:val="26"/>
          <w:szCs w:val="26"/>
        </w:rPr>
        <w:t xml:space="preserve">CAUSE-PA also proposed </w:t>
      </w:r>
      <w:r w:rsidRPr="00E9174E">
        <w:rPr>
          <w:rFonts w:eastAsia="Calibri"/>
          <w:sz w:val="26"/>
          <w:szCs w:val="26"/>
        </w:rPr>
        <w:t xml:space="preserve">that Columbia should spread its universal service costs equitably across all rate classes because nonresidential customers contribute to the cost of and the need for the programs and derive a benefit from the programs.  CAUSE-PA M.B. at 31.  CAUSE-PA averred that Columbia’s arguments based on previous decisions from the Commission and the Commonwealth Court overlook the Commission’s recent directive in the </w:t>
      </w:r>
      <w:r w:rsidRPr="00E9174E">
        <w:rPr>
          <w:rFonts w:eastAsia="Calibri"/>
          <w:i/>
          <w:iCs/>
          <w:sz w:val="26"/>
          <w:szCs w:val="26"/>
        </w:rPr>
        <w:t>Final CAP Policy Statement Order</w:t>
      </w:r>
      <w:r w:rsidRPr="00E9174E">
        <w:rPr>
          <w:rFonts w:eastAsia="Calibri"/>
          <w:sz w:val="26"/>
          <w:szCs w:val="26"/>
        </w:rPr>
        <w:t xml:space="preserve"> and misinterpret prior court decisions that have allowed for the recovery of public service program costs through rates.  </w:t>
      </w:r>
      <w:r w:rsidRPr="00E9174E">
        <w:rPr>
          <w:rFonts w:eastAsia="Calibri"/>
          <w:i/>
          <w:iCs/>
          <w:sz w:val="26"/>
          <w:szCs w:val="26"/>
        </w:rPr>
        <w:t>Id</w:t>
      </w:r>
      <w:r w:rsidRPr="00E9174E">
        <w:rPr>
          <w:rFonts w:eastAsia="Calibri"/>
          <w:sz w:val="26"/>
          <w:szCs w:val="26"/>
        </w:rPr>
        <w:t xml:space="preserve">. at 33-34 (citing </w:t>
      </w:r>
      <w:r w:rsidRPr="00E9174E">
        <w:rPr>
          <w:rFonts w:eastAsiaTheme="minorHAnsi"/>
          <w:i/>
          <w:iCs/>
          <w:sz w:val="26"/>
          <w:szCs w:val="26"/>
        </w:rPr>
        <w:t>Final CAP Policy Statement and Order</w:t>
      </w:r>
      <w:r w:rsidRPr="00E9174E">
        <w:rPr>
          <w:rFonts w:eastAsiaTheme="minorHAnsi"/>
          <w:sz w:val="26"/>
          <w:szCs w:val="26"/>
        </w:rPr>
        <w:t xml:space="preserve"> at 90; </w:t>
      </w:r>
      <w:r w:rsidRPr="00E9174E">
        <w:rPr>
          <w:rFonts w:eastAsiaTheme="minorHAnsi"/>
          <w:i/>
          <w:iCs/>
          <w:sz w:val="26"/>
          <w:szCs w:val="26"/>
        </w:rPr>
        <w:t>Lloyd v. Pa. PUC</w:t>
      </w:r>
      <w:r w:rsidRPr="004F6CF2">
        <w:rPr>
          <w:rFonts w:eastAsiaTheme="minorHAnsi"/>
          <w:sz w:val="26"/>
          <w:szCs w:val="26"/>
        </w:rPr>
        <w:t xml:space="preserve">, </w:t>
      </w:r>
      <w:r w:rsidRPr="00E9174E">
        <w:rPr>
          <w:rFonts w:eastAsiaTheme="minorHAnsi"/>
          <w:sz w:val="26"/>
          <w:szCs w:val="26"/>
        </w:rPr>
        <w:t>904 A.2d 1010, 1024-25 (Pa. Cmwlth. 2006)</w:t>
      </w:r>
      <w:r w:rsidR="00783EAC" w:rsidRPr="00E9174E">
        <w:rPr>
          <w:rFonts w:eastAsiaTheme="minorHAnsi"/>
          <w:sz w:val="26"/>
          <w:szCs w:val="26"/>
        </w:rPr>
        <w:t xml:space="preserve"> (</w:t>
      </w:r>
      <w:r w:rsidR="00783EAC" w:rsidRPr="00E9174E">
        <w:rPr>
          <w:rFonts w:eastAsiaTheme="minorHAnsi"/>
          <w:i/>
          <w:iCs/>
          <w:sz w:val="26"/>
          <w:szCs w:val="26"/>
        </w:rPr>
        <w:t>Lloyd</w:t>
      </w:r>
      <w:r w:rsidR="00783EAC" w:rsidRPr="00E9174E">
        <w:rPr>
          <w:rFonts w:eastAsiaTheme="minorHAnsi"/>
          <w:sz w:val="26"/>
          <w:szCs w:val="26"/>
        </w:rPr>
        <w:t>)</w:t>
      </w:r>
      <w:r w:rsidRPr="00E9174E">
        <w:rPr>
          <w:rFonts w:eastAsiaTheme="minorHAnsi"/>
          <w:sz w:val="26"/>
          <w:szCs w:val="26"/>
        </w:rPr>
        <w:t xml:space="preserve">).  </w:t>
      </w:r>
    </w:p>
    <w:p w14:paraId="5F548881" w14:textId="77777777" w:rsidR="00526463" w:rsidRPr="00E9174E" w:rsidRDefault="00526463" w:rsidP="00E9174E">
      <w:pPr>
        <w:widowControl/>
        <w:spacing w:line="360" w:lineRule="auto"/>
        <w:ind w:firstLine="1440"/>
        <w:contextualSpacing/>
        <w:rPr>
          <w:rFonts w:eastAsiaTheme="minorHAnsi"/>
          <w:sz w:val="26"/>
          <w:szCs w:val="26"/>
        </w:rPr>
      </w:pPr>
    </w:p>
    <w:p w14:paraId="07764E58" w14:textId="2BFF9AA9" w:rsidR="006D7162" w:rsidRPr="00E9174E" w:rsidRDefault="006D7162" w:rsidP="00E9174E">
      <w:pPr>
        <w:widowControl/>
        <w:spacing w:line="360" w:lineRule="auto"/>
        <w:ind w:firstLine="1440"/>
        <w:contextualSpacing/>
        <w:rPr>
          <w:rFonts w:eastAsiaTheme="minorHAnsi"/>
          <w:sz w:val="26"/>
          <w:szCs w:val="26"/>
        </w:rPr>
      </w:pPr>
      <w:r w:rsidRPr="00E9174E">
        <w:rPr>
          <w:rFonts w:eastAsia="Calibri"/>
          <w:sz w:val="26"/>
          <w:szCs w:val="26"/>
        </w:rPr>
        <w:t xml:space="preserve">CAUSE-PA stated that </w:t>
      </w:r>
      <w:r w:rsidRPr="00E9174E">
        <w:rPr>
          <w:rFonts w:eastAsia="Calibri"/>
          <w:i/>
          <w:iCs/>
          <w:sz w:val="26"/>
          <w:szCs w:val="26"/>
        </w:rPr>
        <w:t>Lloyd</w:t>
      </w:r>
      <w:r w:rsidRPr="00E9174E">
        <w:rPr>
          <w:rFonts w:eastAsia="Calibri"/>
          <w:sz w:val="26"/>
          <w:szCs w:val="26"/>
        </w:rPr>
        <w:t xml:space="preserve"> specifically authorized the recovery of similar public purpose program costs across rate classes.  CAUSE-PA contended that collecting universal service costs from non-residential ratepayers is different from abandoning cost causation principl</w:t>
      </w:r>
      <w:r w:rsidR="00783EAC" w:rsidRPr="00E9174E">
        <w:rPr>
          <w:rFonts w:eastAsia="Calibri"/>
          <w:sz w:val="26"/>
          <w:szCs w:val="26"/>
        </w:rPr>
        <w:t>es</w:t>
      </w:r>
      <w:r w:rsidRPr="00E9174E">
        <w:rPr>
          <w:rFonts w:eastAsia="Calibri"/>
          <w:sz w:val="26"/>
          <w:szCs w:val="26"/>
        </w:rPr>
        <w:t xml:space="preserve"> in favor of gradualism as occurred in </w:t>
      </w:r>
      <w:r w:rsidRPr="00E9174E">
        <w:rPr>
          <w:rFonts w:eastAsia="Calibri"/>
          <w:i/>
          <w:iCs/>
          <w:sz w:val="26"/>
          <w:szCs w:val="26"/>
        </w:rPr>
        <w:t>Lloyd</w:t>
      </w:r>
      <w:r w:rsidRPr="00E9174E">
        <w:rPr>
          <w:rFonts w:eastAsia="Calibri"/>
          <w:sz w:val="26"/>
          <w:szCs w:val="26"/>
        </w:rPr>
        <w:t xml:space="preserve"> - requiring non-residential customers to stop bypassing universal service charges and to contribute their </w:t>
      </w:r>
      <w:r w:rsidRPr="00E9174E">
        <w:rPr>
          <w:rFonts w:eastAsia="Calibri"/>
          <w:sz w:val="26"/>
          <w:szCs w:val="26"/>
        </w:rPr>
        <w:lastRenderedPageBreak/>
        <w:t xml:space="preserve">fair share of the universal service costs is squarely in line with the court’s holding regarding other public purpose programs.  </w:t>
      </w:r>
      <w:r w:rsidRPr="00E9174E">
        <w:rPr>
          <w:rFonts w:eastAsia="Calibri"/>
          <w:i/>
          <w:iCs/>
          <w:sz w:val="26"/>
          <w:szCs w:val="26"/>
        </w:rPr>
        <w:t>Id</w:t>
      </w:r>
      <w:r w:rsidRPr="00E9174E">
        <w:rPr>
          <w:rFonts w:eastAsia="Calibri"/>
          <w:sz w:val="26"/>
          <w:szCs w:val="26"/>
        </w:rPr>
        <w:t xml:space="preserve">.  CAUSE-PA also disagreed that requiring cross class recovery of universal service costs would place Columbia at an economic disadvantage or negatively impact its business, noting that Philadelphia Gas Works currently recovers universal service costs from all customers.  CAUSE-PA M.B. at 36-37.  </w:t>
      </w:r>
    </w:p>
    <w:p w14:paraId="60A83180" w14:textId="77777777" w:rsidR="006D7162" w:rsidRPr="00E9174E" w:rsidRDefault="006D7162" w:rsidP="00E9174E">
      <w:pPr>
        <w:widowControl/>
        <w:autoSpaceDE w:val="0"/>
        <w:autoSpaceDN w:val="0"/>
        <w:adjustRightInd w:val="0"/>
        <w:spacing w:line="360" w:lineRule="auto"/>
        <w:contextualSpacing/>
        <w:rPr>
          <w:rFonts w:eastAsiaTheme="minorHAnsi"/>
          <w:color w:val="000000"/>
          <w:sz w:val="26"/>
          <w:szCs w:val="26"/>
        </w:rPr>
      </w:pPr>
    </w:p>
    <w:p w14:paraId="2F7FE9CC" w14:textId="790958E5" w:rsidR="006D7162" w:rsidRPr="00E9174E" w:rsidRDefault="006D7162" w:rsidP="00E9174E">
      <w:pPr>
        <w:widowControl/>
        <w:autoSpaceDE w:val="0"/>
        <w:autoSpaceDN w:val="0"/>
        <w:adjustRightInd w:val="0"/>
        <w:spacing w:line="360" w:lineRule="auto"/>
        <w:ind w:firstLine="1440"/>
        <w:contextualSpacing/>
        <w:rPr>
          <w:rFonts w:eastAsiaTheme="minorHAnsi"/>
          <w:color w:val="000000"/>
          <w:sz w:val="26"/>
          <w:szCs w:val="26"/>
        </w:rPr>
      </w:pPr>
      <w:r w:rsidRPr="00E9174E">
        <w:rPr>
          <w:rFonts w:eastAsiaTheme="minorHAnsi"/>
          <w:color w:val="000000"/>
          <w:sz w:val="26"/>
          <w:szCs w:val="26"/>
        </w:rPr>
        <w:t xml:space="preserve">Columbia opposed allocating USP costs outside of the residential class.  Columbia argued that the Commission and the Commonwealth Court have previously determined that USP costs should not be allocated outside of the residential class.  CG M.B. at 147 (citing </w:t>
      </w:r>
      <w:r w:rsidRPr="00E9174E">
        <w:rPr>
          <w:rFonts w:eastAsiaTheme="minorHAnsi"/>
          <w:i/>
          <w:iCs/>
          <w:color w:val="000000"/>
          <w:sz w:val="26"/>
          <w:szCs w:val="26"/>
        </w:rPr>
        <w:t>Met-Ed Indus. Users Group v. Pa. PUC</w:t>
      </w:r>
      <w:r w:rsidRPr="00E9174E">
        <w:rPr>
          <w:rFonts w:eastAsiaTheme="minorHAnsi"/>
          <w:color w:val="000000"/>
          <w:sz w:val="26"/>
          <w:szCs w:val="26"/>
        </w:rPr>
        <w:t>, 960 A.2d 189 (Pa. Cmwlth. 2008)</w:t>
      </w:r>
      <w:r w:rsidR="00783EAC" w:rsidRPr="00E9174E">
        <w:rPr>
          <w:rFonts w:eastAsiaTheme="minorHAnsi"/>
          <w:i/>
          <w:iCs/>
          <w:color w:val="000000"/>
          <w:sz w:val="26"/>
          <w:szCs w:val="26"/>
        </w:rPr>
        <w:t xml:space="preserve"> (Met-Ed Indus. Users Group)</w:t>
      </w:r>
      <w:r w:rsidRPr="00E9174E">
        <w:rPr>
          <w:rFonts w:eastAsiaTheme="minorHAnsi"/>
          <w:color w:val="000000"/>
          <w:sz w:val="26"/>
          <w:szCs w:val="26"/>
        </w:rPr>
        <w:t xml:space="preserve">).  The Company asserted the residential class is the class that benefits from the reduction in arrearages and collection costs, and, accordingly, the residential class should be the customer class that bears the costs of these programs.  Columbia contended its C&amp;I customers do not cause it to incur any costs in relation to residential customer arrearages and do not receive any reduction in costs as a result of reduced customer arrearages.  CG M.B. at 147 (citing Columbia St. 1-R at 25). </w:t>
      </w:r>
    </w:p>
    <w:p w14:paraId="5938F8F8" w14:textId="77777777" w:rsidR="006D7162" w:rsidRPr="00E9174E" w:rsidRDefault="006D7162" w:rsidP="00E9174E">
      <w:pPr>
        <w:widowControl/>
        <w:spacing w:line="360" w:lineRule="auto"/>
        <w:contextualSpacing/>
        <w:rPr>
          <w:rFonts w:eastAsiaTheme="minorHAnsi"/>
          <w:sz w:val="26"/>
          <w:szCs w:val="26"/>
        </w:rPr>
      </w:pPr>
    </w:p>
    <w:p w14:paraId="79B43555" w14:textId="4937D024" w:rsidR="006D7162" w:rsidRPr="00E9174E" w:rsidRDefault="006D7162" w:rsidP="00E9174E">
      <w:pPr>
        <w:widowControl/>
        <w:spacing w:line="360" w:lineRule="auto"/>
        <w:ind w:firstLine="1440"/>
        <w:contextualSpacing/>
        <w:rPr>
          <w:rFonts w:eastAsiaTheme="minorHAnsi"/>
          <w:sz w:val="26"/>
          <w:szCs w:val="26"/>
        </w:rPr>
      </w:pPr>
      <w:r w:rsidRPr="00E9174E">
        <w:rPr>
          <w:rFonts w:eastAsiaTheme="minorHAnsi"/>
          <w:sz w:val="26"/>
          <w:szCs w:val="26"/>
        </w:rPr>
        <w:t>Additionally, Columbia averred that the OCA and CAUSE-PA’s proposals would impose an obligation on the C&amp;I customers that is not placed on the C&amp;I customers of other Pennsylvania utilities.  CG M.B. at 148 (citing CG St. 1-R at 23).  As such, Columbia argued that the OCA and CAUSE-PA’s proposals are discriminatory and violate the neutrality requirements in the</w:t>
      </w:r>
      <w:r w:rsidR="00082543" w:rsidRPr="00E9174E">
        <w:rPr>
          <w:rFonts w:eastAsiaTheme="minorHAnsi"/>
          <w:sz w:val="26"/>
          <w:szCs w:val="26"/>
        </w:rPr>
        <w:t xml:space="preserve"> </w:t>
      </w:r>
      <w:r w:rsidRPr="00E9174E">
        <w:rPr>
          <w:rFonts w:eastAsiaTheme="minorHAnsi"/>
          <w:sz w:val="26"/>
          <w:szCs w:val="26"/>
        </w:rPr>
        <w:t xml:space="preserve">Competition Act, which prohibits unreasonable discrimination against one customer class for the benefit of another.  CG M.B. at 148 (citing 66 Pa. C.S. § 2203(5)).  By requiring only Columbia’s large C&amp;I customers, and not the customers of other NGDCs, to contribute to the costs of these programs could also cause these customers to bypass Columbia where they have the option to do so.  CG M.B. at 148.  Moreover, Columbia stated that the OCA and CAUSE-PA’s proposals fail to take into account that universal service costs are recovered pursuant to a reconciled recovery mechanism, Rider USP.  </w:t>
      </w:r>
      <w:r w:rsidRPr="00E9174E">
        <w:rPr>
          <w:rFonts w:eastAsiaTheme="minorHAnsi"/>
          <w:i/>
          <w:iCs/>
          <w:sz w:val="26"/>
          <w:szCs w:val="26"/>
        </w:rPr>
        <w:t>Id</w:t>
      </w:r>
      <w:r w:rsidRPr="00E9174E">
        <w:rPr>
          <w:rFonts w:eastAsiaTheme="minorHAnsi"/>
          <w:sz w:val="26"/>
          <w:szCs w:val="26"/>
        </w:rPr>
        <w:t xml:space="preserve">. (citing Columbia St. 1-R at 24).  The vast majority of these </w:t>
      </w:r>
      <w:r w:rsidRPr="00E9174E">
        <w:rPr>
          <w:rFonts w:eastAsiaTheme="minorHAnsi"/>
          <w:sz w:val="26"/>
          <w:szCs w:val="26"/>
        </w:rPr>
        <w:lastRenderedPageBreak/>
        <w:t>costs are either CAP discounts or pre-program arrearage forgiveness, the amounts of which are outside the Company’s control.  Columbia submit</w:t>
      </w:r>
      <w:r w:rsidR="00783EAC" w:rsidRPr="00E9174E">
        <w:rPr>
          <w:rFonts w:eastAsiaTheme="minorHAnsi"/>
          <w:sz w:val="26"/>
          <w:szCs w:val="26"/>
        </w:rPr>
        <w:t>ted</w:t>
      </w:r>
      <w:r w:rsidRPr="00E9174E">
        <w:rPr>
          <w:rFonts w:eastAsiaTheme="minorHAnsi"/>
          <w:sz w:val="26"/>
          <w:szCs w:val="26"/>
        </w:rPr>
        <w:t xml:space="preserve"> that neither the OCA nor CAUSE-PA explained how the mechanism will be modified to account for class reconciliation of amounts to be recovered.  CG M.B. at 148.</w:t>
      </w:r>
    </w:p>
    <w:p w14:paraId="116EE5A8" w14:textId="77777777" w:rsidR="006D7162" w:rsidRPr="00E9174E" w:rsidRDefault="006D7162" w:rsidP="00E9174E">
      <w:pPr>
        <w:widowControl/>
        <w:spacing w:line="360" w:lineRule="auto"/>
        <w:contextualSpacing/>
        <w:rPr>
          <w:rFonts w:eastAsiaTheme="minorHAnsi"/>
          <w:sz w:val="26"/>
          <w:szCs w:val="26"/>
        </w:rPr>
      </w:pPr>
    </w:p>
    <w:p w14:paraId="666D2789" w14:textId="498596B7" w:rsidR="006D7162" w:rsidRPr="00E9174E" w:rsidRDefault="006D7162" w:rsidP="00E9174E">
      <w:pPr>
        <w:widowControl/>
        <w:spacing w:line="360" w:lineRule="auto"/>
        <w:ind w:firstLine="1440"/>
        <w:contextualSpacing/>
        <w:rPr>
          <w:rFonts w:eastAsiaTheme="minorHAnsi"/>
          <w:sz w:val="26"/>
          <w:szCs w:val="26"/>
        </w:rPr>
      </w:pPr>
      <w:r w:rsidRPr="00E9174E">
        <w:rPr>
          <w:rFonts w:eastAsiaTheme="minorHAnsi"/>
          <w:sz w:val="26"/>
          <w:szCs w:val="26"/>
        </w:rPr>
        <w:t xml:space="preserve">The OSBA stated that the Commission should adopt the USP recovery mechanism Columbia proposed.  The OSBA noted that the Commission’s </w:t>
      </w:r>
      <w:r w:rsidRPr="00E9174E">
        <w:rPr>
          <w:rFonts w:eastAsiaTheme="minorHAnsi"/>
          <w:i/>
          <w:iCs/>
          <w:sz w:val="26"/>
          <w:szCs w:val="26"/>
        </w:rPr>
        <w:t>Final CAP Policy Statement Order</w:t>
      </w:r>
      <w:r w:rsidRPr="00E9174E">
        <w:rPr>
          <w:rFonts w:eastAsiaTheme="minorHAnsi"/>
          <w:sz w:val="26"/>
          <w:szCs w:val="26"/>
        </w:rPr>
        <w:t xml:space="preserve"> was entered four months before the COVID-19 pandemic, and small businesses across the Commonwealth have been devastated by the pandemic and the resulting lockdowns.  As a result, the OSBA argued it would be unconscionable for any USP charges to be imposed upon Columbia’s small business customers for the foreseeable future</w:t>
      </w:r>
      <w:bookmarkStart w:id="461" w:name="_Hlk53649784"/>
      <w:r w:rsidRPr="00E9174E">
        <w:rPr>
          <w:rFonts w:eastAsiaTheme="minorHAnsi"/>
          <w:sz w:val="26"/>
          <w:szCs w:val="26"/>
        </w:rPr>
        <w:t xml:space="preserve"> and requested that further consideration of this issue be deferred until Columbia’s small business and industrial customers are back on their feet financially</w:t>
      </w:r>
      <w:bookmarkEnd w:id="461"/>
      <w:r w:rsidRPr="00E9174E">
        <w:rPr>
          <w:rFonts w:eastAsiaTheme="minorHAnsi"/>
          <w:sz w:val="26"/>
          <w:szCs w:val="26"/>
        </w:rPr>
        <w:t xml:space="preserve">.  OSBA M.B. at 21.  </w:t>
      </w:r>
    </w:p>
    <w:p w14:paraId="049293E1" w14:textId="77777777" w:rsidR="006D7162" w:rsidRPr="00E9174E" w:rsidRDefault="006D7162" w:rsidP="00E9174E">
      <w:pPr>
        <w:widowControl/>
        <w:tabs>
          <w:tab w:val="left" w:pos="990"/>
        </w:tabs>
        <w:spacing w:line="360" w:lineRule="auto"/>
        <w:contextualSpacing/>
        <w:rPr>
          <w:rFonts w:eastAsiaTheme="minorHAnsi"/>
          <w:sz w:val="26"/>
          <w:szCs w:val="26"/>
        </w:rPr>
      </w:pPr>
    </w:p>
    <w:p w14:paraId="063FE1CE" w14:textId="04EA2208" w:rsidR="006D7162" w:rsidRPr="00E9174E" w:rsidRDefault="006D7162" w:rsidP="00823066">
      <w:pPr>
        <w:pStyle w:val="Heading4"/>
        <w:ind w:left="2160" w:hanging="720"/>
        <w:rPr>
          <w:rFonts w:eastAsiaTheme="minorHAnsi"/>
        </w:rPr>
      </w:pPr>
      <w:bookmarkStart w:id="462" w:name="_Toc63764628"/>
      <w:r w:rsidRPr="00E9174E">
        <w:t>Recommended</w:t>
      </w:r>
      <w:r w:rsidRPr="00E9174E">
        <w:rPr>
          <w:rFonts w:eastAsiaTheme="minorHAnsi"/>
        </w:rPr>
        <w:t xml:space="preserve"> Decision</w:t>
      </w:r>
      <w:bookmarkEnd w:id="462"/>
    </w:p>
    <w:p w14:paraId="5BC63EC0" w14:textId="77777777" w:rsidR="006D7162" w:rsidRPr="00E9174E" w:rsidRDefault="006D7162" w:rsidP="00E9174E">
      <w:pPr>
        <w:keepNext/>
        <w:keepLines/>
        <w:widowControl/>
        <w:spacing w:line="360" w:lineRule="auto"/>
        <w:contextualSpacing/>
        <w:rPr>
          <w:rFonts w:eastAsiaTheme="minorHAnsi"/>
          <w:sz w:val="26"/>
          <w:szCs w:val="26"/>
        </w:rPr>
      </w:pPr>
    </w:p>
    <w:p w14:paraId="5F623E50" w14:textId="213D46DA" w:rsidR="006D7162" w:rsidRPr="00E9174E" w:rsidRDefault="006D7162" w:rsidP="00E9174E">
      <w:pPr>
        <w:widowControl/>
        <w:spacing w:line="360" w:lineRule="auto"/>
        <w:ind w:firstLine="1440"/>
        <w:contextualSpacing/>
        <w:rPr>
          <w:rFonts w:eastAsiaTheme="minorHAnsi"/>
          <w:sz w:val="26"/>
          <w:szCs w:val="26"/>
        </w:rPr>
      </w:pPr>
      <w:r w:rsidRPr="00E9174E">
        <w:rPr>
          <w:rFonts w:eastAsiaTheme="minorHAnsi"/>
          <w:sz w:val="26"/>
          <w:szCs w:val="26"/>
        </w:rPr>
        <w:t>The ALJ recommended that</w:t>
      </w:r>
      <w:r w:rsidR="00C86DCE" w:rsidRPr="00E9174E">
        <w:rPr>
          <w:rFonts w:eastAsiaTheme="minorHAnsi"/>
          <w:sz w:val="26"/>
          <w:szCs w:val="26"/>
        </w:rPr>
        <w:t>,</w:t>
      </w:r>
      <w:r w:rsidRPr="00E9174E">
        <w:rPr>
          <w:rFonts w:eastAsiaTheme="minorHAnsi"/>
          <w:sz w:val="26"/>
          <w:szCs w:val="26"/>
        </w:rPr>
        <w:t xml:space="preserve"> if the Commission decides to consider all the elements in the Company’s base rate increase request, the Commission should reject the proposal from the OCA and CAUSE-PA that USP costs be distributed among all the classes.  The ALJ stated that the OCA and CAUSE-PA’s arguments carry merit and were accompanied by a breadth of evidence presented from their experts.  Nevertheless, the ALJ found that “[t]o consider the societal impacts of poverty and low income are slightly outside the bailiwick of a base rate proceeding, </w:t>
      </w:r>
      <w:r w:rsidRPr="00E9174E">
        <w:rPr>
          <w:rFonts w:eastAsiaTheme="minorHAnsi"/>
          <w:sz w:val="26"/>
          <w:szCs w:val="26"/>
          <w:u w:val="single"/>
        </w:rPr>
        <w:t>absent</w:t>
      </w:r>
      <w:r w:rsidRPr="00E9174E">
        <w:rPr>
          <w:rFonts w:eastAsiaTheme="minorHAnsi"/>
          <w:sz w:val="26"/>
          <w:szCs w:val="26"/>
        </w:rPr>
        <w:t xml:space="preserve"> a clear directive from the Commission to consider these societal and macroeconomic theories in a base rate proceeding.”  R.D. at 399.  The ALJ reasoned that although the </w:t>
      </w:r>
      <w:r w:rsidRPr="00E9174E">
        <w:rPr>
          <w:rFonts w:eastAsiaTheme="minorHAnsi"/>
          <w:i/>
          <w:iCs/>
          <w:sz w:val="26"/>
          <w:szCs w:val="26"/>
        </w:rPr>
        <w:t>Final CAP Policy Statement Order</w:t>
      </w:r>
      <w:r w:rsidRPr="00E9174E">
        <w:rPr>
          <w:rFonts w:eastAsiaTheme="minorHAnsi"/>
          <w:sz w:val="26"/>
          <w:szCs w:val="26"/>
        </w:rPr>
        <w:t xml:space="preserve"> does not prohibit the allocation of USP costs among the rate classes, more than silence is needed before the Commission should consider a regulatory issue that carries such wide-ranging policy implications within a base rate proceeding.  </w:t>
      </w:r>
      <w:r w:rsidRPr="00E9174E">
        <w:rPr>
          <w:rFonts w:eastAsiaTheme="minorHAnsi"/>
          <w:i/>
          <w:iCs/>
          <w:sz w:val="26"/>
          <w:szCs w:val="26"/>
        </w:rPr>
        <w:t>Id</w:t>
      </w:r>
      <w:r w:rsidRPr="00E9174E">
        <w:rPr>
          <w:rFonts w:eastAsiaTheme="minorHAnsi"/>
          <w:sz w:val="26"/>
          <w:szCs w:val="26"/>
        </w:rPr>
        <w:t xml:space="preserve">.     </w:t>
      </w:r>
    </w:p>
    <w:p w14:paraId="55120B5A" w14:textId="3888B85C" w:rsidR="006D7162" w:rsidRPr="00E9174E" w:rsidRDefault="006D7162" w:rsidP="00823066">
      <w:pPr>
        <w:pStyle w:val="Heading4"/>
        <w:ind w:left="2160" w:hanging="720"/>
        <w:rPr>
          <w:rFonts w:eastAsiaTheme="minorHAnsi"/>
        </w:rPr>
      </w:pPr>
      <w:bookmarkStart w:id="463" w:name="_Toc63764629"/>
      <w:r w:rsidRPr="00E9174E">
        <w:rPr>
          <w:rFonts w:eastAsiaTheme="minorHAnsi"/>
        </w:rPr>
        <w:lastRenderedPageBreak/>
        <w:t>Exception</w:t>
      </w:r>
      <w:r w:rsidR="008F7B9D" w:rsidRPr="00E9174E">
        <w:rPr>
          <w:rFonts w:eastAsiaTheme="minorHAnsi"/>
        </w:rPr>
        <w:t>s</w:t>
      </w:r>
      <w:r w:rsidR="00CB40FB" w:rsidRPr="00E9174E">
        <w:rPr>
          <w:rFonts w:eastAsiaTheme="minorHAnsi"/>
        </w:rPr>
        <w:t xml:space="preserve"> </w:t>
      </w:r>
      <w:r w:rsidRPr="00E9174E">
        <w:rPr>
          <w:rFonts w:eastAsiaTheme="minorHAnsi"/>
        </w:rPr>
        <w:t>and Replies</w:t>
      </w:r>
      <w:bookmarkEnd w:id="463"/>
      <w:r w:rsidRPr="00E9174E">
        <w:rPr>
          <w:rFonts w:eastAsiaTheme="minorHAnsi"/>
        </w:rPr>
        <w:t xml:space="preserve"> </w:t>
      </w:r>
    </w:p>
    <w:p w14:paraId="304A5277" w14:textId="4384DD41" w:rsidR="006D7162" w:rsidRPr="00E9174E" w:rsidRDefault="006D7162" w:rsidP="00E9174E">
      <w:pPr>
        <w:keepNext/>
        <w:keepLines/>
        <w:widowControl/>
        <w:spacing w:line="360" w:lineRule="auto"/>
        <w:contextualSpacing/>
        <w:rPr>
          <w:rFonts w:eastAsiaTheme="minorHAnsi"/>
          <w:sz w:val="26"/>
          <w:szCs w:val="26"/>
        </w:rPr>
      </w:pPr>
    </w:p>
    <w:p w14:paraId="5B28E8FE" w14:textId="197D040B" w:rsidR="008F7B9D" w:rsidRPr="00E9174E" w:rsidRDefault="003E560B" w:rsidP="00277ECF">
      <w:pPr>
        <w:pStyle w:val="Heading5"/>
        <w:numPr>
          <w:ilvl w:val="0"/>
          <w:numId w:val="76"/>
        </w:numPr>
      </w:pPr>
      <w:bookmarkStart w:id="464" w:name="_Toc63764630"/>
      <w:r w:rsidRPr="00E9174E">
        <w:t>OCA Exception No. 1</w:t>
      </w:r>
      <w:bookmarkEnd w:id="464"/>
    </w:p>
    <w:p w14:paraId="5580A69E" w14:textId="77777777" w:rsidR="008F7B9D" w:rsidRPr="00E9174E" w:rsidRDefault="008F7B9D" w:rsidP="00E9174E">
      <w:pPr>
        <w:keepNext/>
        <w:keepLines/>
        <w:widowControl/>
        <w:spacing w:line="360" w:lineRule="auto"/>
        <w:ind w:firstLine="1440"/>
        <w:contextualSpacing/>
        <w:rPr>
          <w:rFonts w:eastAsiaTheme="minorHAnsi"/>
          <w:sz w:val="26"/>
          <w:szCs w:val="26"/>
        </w:rPr>
      </w:pPr>
    </w:p>
    <w:p w14:paraId="2E4A5FBF" w14:textId="701D0099" w:rsidR="006D7162" w:rsidRPr="00E9174E" w:rsidRDefault="006D7162" w:rsidP="00E9174E">
      <w:pPr>
        <w:widowControl/>
        <w:spacing w:line="360" w:lineRule="auto"/>
        <w:ind w:firstLine="1440"/>
        <w:contextualSpacing/>
        <w:rPr>
          <w:rFonts w:eastAsiaTheme="minorHAnsi"/>
          <w:sz w:val="26"/>
          <w:szCs w:val="26"/>
        </w:rPr>
      </w:pPr>
      <w:r w:rsidRPr="00E9174E">
        <w:rPr>
          <w:rFonts w:eastAsiaTheme="minorHAnsi"/>
          <w:sz w:val="26"/>
          <w:szCs w:val="26"/>
        </w:rPr>
        <w:t xml:space="preserve">In its Exception No. 1, the OCA argues that the ALJ erred in determining that Columbia should not allocate universal service costs to all customer classes.  OCA Exc. at 3.  The OCA states that the Commission provided clear direction to consider this issue in a base rate proceeding in </w:t>
      </w:r>
      <w:r w:rsidR="004360D1" w:rsidRPr="00E9174E">
        <w:rPr>
          <w:rFonts w:eastAsiaTheme="minorHAnsi"/>
          <w:sz w:val="26"/>
          <w:szCs w:val="26"/>
        </w:rPr>
        <w:t>its recently updated</w:t>
      </w:r>
      <w:r w:rsidRPr="00E9174E">
        <w:rPr>
          <w:rFonts w:eastAsiaTheme="minorHAnsi"/>
          <w:sz w:val="26"/>
          <w:szCs w:val="26"/>
        </w:rPr>
        <w:t xml:space="preserve"> CAP Policy Statement, as follows:</w:t>
      </w:r>
    </w:p>
    <w:p w14:paraId="7647E4EC" w14:textId="77777777" w:rsidR="006D7162" w:rsidRPr="00E9174E" w:rsidRDefault="006D7162" w:rsidP="00823066">
      <w:pPr>
        <w:widowControl/>
        <w:contextualSpacing/>
        <w:rPr>
          <w:rFonts w:eastAsiaTheme="minorHAnsi"/>
          <w:sz w:val="26"/>
          <w:szCs w:val="26"/>
        </w:rPr>
      </w:pPr>
    </w:p>
    <w:p w14:paraId="3F2616F6" w14:textId="77777777" w:rsidR="006D7162" w:rsidRPr="00E9174E" w:rsidRDefault="006D7162" w:rsidP="00E9174E">
      <w:pPr>
        <w:widowControl/>
        <w:ind w:left="1440" w:right="1440"/>
        <w:contextualSpacing/>
        <w:rPr>
          <w:sz w:val="26"/>
          <w:szCs w:val="26"/>
          <w:shd w:val="clear" w:color="auto" w:fill="FFFFFF"/>
        </w:rPr>
      </w:pPr>
      <w:r w:rsidRPr="00E9174E">
        <w:rPr>
          <w:sz w:val="26"/>
          <w:szCs w:val="26"/>
          <w:shd w:val="clear" w:color="auto" w:fill="FFFFFF"/>
        </w:rPr>
        <w:t>(b)  In rate cases, parties may raise the issue of recovery of CAP costs, whether specifically or as part of universal service program costs in general, from all ratepayer classes.  No rate class should be considered routinely exempt from CAP and other universal service obligations.</w:t>
      </w:r>
    </w:p>
    <w:p w14:paraId="334BC47E" w14:textId="77777777" w:rsidR="006D7162" w:rsidRPr="00E9174E" w:rsidRDefault="006D7162" w:rsidP="00E9174E">
      <w:pPr>
        <w:widowControl/>
        <w:spacing w:line="360" w:lineRule="auto"/>
        <w:contextualSpacing/>
        <w:rPr>
          <w:rFonts w:eastAsiaTheme="minorHAnsi"/>
          <w:sz w:val="26"/>
          <w:szCs w:val="26"/>
        </w:rPr>
      </w:pPr>
    </w:p>
    <w:p w14:paraId="7CBDE98A" w14:textId="77777777" w:rsidR="006D7162" w:rsidRPr="00E9174E" w:rsidRDefault="006D7162" w:rsidP="00E9174E">
      <w:pPr>
        <w:widowControl/>
        <w:spacing w:line="360" w:lineRule="auto"/>
        <w:contextualSpacing/>
        <w:rPr>
          <w:sz w:val="26"/>
          <w:szCs w:val="26"/>
        </w:rPr>
      </w:pPr>
      <w:r w:rsidRPr="00E9174E">
        <w:rPr>
          <w:rFonts w:eastAsiaTheme="minorHAnsi"/>
          <w:sz w:val="26"/>
          <w:szCs w:val="26"/>
        </w:rPr>
        <w:t xml:space="preserve">OCA Exc. at 3 (citing 52 Pa. Code § 69.265(b)).  The OCA explains that in the </w:t>
      </w:r>
      <w:r w:rsidRPr="00E9174E">
        <w:rPr>
          <w:i/>
          <w:iCs/>
          <w:sz w:val="26"/>
          <w:szCs w:val="26"/>
        </w:rPr>
        <w:t>Final CAP Policy Statement Order</w:t>
      </w:r>
      <w:r w:rsidRPr="00E9174E">
        <w:rPr>
          <w:sz w:val="26"/>
          <w:szCs w:val="26"/>
        </w:rPr>
        <w:t xml:space="preserve"> accompanying the adoption of this provision, the Commission stated:</w:t>
      </w:r>
    </w:p>
    <w:p w14:paraId="1CB5562F" w14:textId="77777777" w:rsidR="006D7162" w:rsidRPr="00E9174E" w:rsidRDefault="006D7162" w:rsidP="00823066">
      <w:pPr>
        <w:widowControl/>
        <w:contextualSpacing/>
        <w:rPr>
          <w:sz w:val="26"/>
          <w:szCs w:val="26"/>
        </w:rPr>
      </w:pPr>
    </w:p>
    <w:p w14:paraId="73B81712" w14:textId="77777777" w:rsidR="006D7162" w:rsidRPr="00E9174E" w:rsidRDefault="006D7162" w:rsidP="00E9174E">
      <w:pPr>
        <w:widowControl/>
        <w:ind w:left="1440" w:right="1440"/>
        <w:contextualSpacing/>
        <w:rPr>
          <w:sz w:val="26"/>
          <w:szCs w:val="26"/>
        </w:rPr>
      </w:pPr>
      <w:r w:rsidRPr="00E9174E">
        <w:rPr>
          <w:sz w:val="26"/>
          <w:szCs w:val="26"/>
        </w:rPr>
        <w:t>This Order amends the CAP Policy Statement as indicated in Annex A to address recovery of CAP costs.  Consistent with the discussion above, the Commission finds it appropriate to consider recovery of the costs of CAP from all ratepayer classes.  Utilities and stakeholders are advised to be prepared to address CAP cost recovery in utility-specific rate cases consistent with the understanding that the Commission will no longer routinely exempt non-residential classes from universal service obligations.</w:t>
      </w:r>
    </w:p>
    <w:p w14:paraId="785A111C" w14:textId="77777777" w:rsidR="006D7162" w:rsidRPr="00E9174E" w:rsidRDefault="006D7162" w:rsidP="00E9174E">
      <w:pPr>
        <w:widowControl/>
        <w:spacing w:line="360" w:lineRule="auto"/>
        <w:ind w:left="1440" w:right="1440" w:hanging="1440"/>
        <w:contextualSpacing/>
        <w:rPr>
          <w:sz w:val="26"/>
          <w:szCs w:val="26"/>
        </w:rPr>
      </w:pPr>
    </w:p>
    <w:p w14:paraId="324F5DE0" w14:textId="24F3D03C" w:rsidR="006D7162" w:rsidRPr="00E9174E" w:rsidRDefault="006D7162" w:rsidP="00E9174E">
      <w:pPr>
        <w:widowControl/>
        <w:spacing w:line="360" w:lineRule="auto"/>
        <w:contextualSpacing/>
        <w:rPr>
          <w:rFonts w:eastAsiaTheme="minorHAnsi"/>
          <w:sz w:val="26"/>
          <w:szCs w:val="26"/>
        </w:rPr>
      </w:pPr>
      <w:r w:rsidRPr="00E9174E">
        <w:rPr>
          <w:sz w:val="26"/>
          <w:szCs w:val="26"/>
        </w:rPr>
        <w:t xml:space="preserve">OCA Exc. at 4 (citing </w:t>
      </w:r>
      <w:r w:rsidRPr="00E9174E">
        <w:rPr>
          <w:i/>
          <w:iCs/>
          <w:sz w:val="26"/>
          <w:szCs w:val="26"/>
        </w:rPr>
        <w:t>Final CAP Policy Statement Order</w:t>
      </w:r>
      <w:r w:rsidRPr="00E9174E">
        <w:rPr>
          <w:sz w:val="26"/>
          <w:szCs w:val="26"/>
        </w:rPr>
        <w:t xml:space="preserve"> at 97).  Accordingly, the OCA believes that the Commission intended for this issue to be addressed in a base rate proceeding with full consideration of all arguments regarding the allocation.  OCA Exc. at 4.</w:t>
      </w:r>
    </w:p>
    <w:p w14:paraId="62B6C872" w14:textId="77777777" w:rsidR="00612E1C" w:rsidRPr="00E9174E" w:rsidRDefault="00612E1C" w:rsidP="00E9174E">
      <w:pPr>
        <w:widowControl/>
        <w:spacing w:line="360" w:lineRule="auto"/>
        <w:contextualSpacing/>
        <w:rPr>
          <w:rFonts w:eastAsiaTheme="minorHAnsi"/>
          <w:sz w:val="26"/>
          <w:szCs w:val="26"/>
        </w:rPr>
      </w:pPr>
    </w:p>
    <w:p w14:paraId="32E4ACC7" w14:textId="12C6D5F9" w:rsidR="00C70528" w:rsidRPr="00E9174E" w:rsidRDefault="006D7162" w:rsidP="00E9174E">
      <w:pPr>
        <w:widowControl/>
        <w:spacing w:line="360" w:lineRule="auto"/>
        <w:ind w:firstLine="1440"/>
        <w:contextualSpacing/>
        <w:rPr>
          <w:rFonts w:eastAsiaTheme="minorHAnsi"/>
          <w:sz w:val="26"/>
          <w:szCs w:val="26"/>
        </w:rPr>
      </w:pPr>
      <w:r w:rsidRPr="00E9174E">
        <w:rPr>
          <w:rFonts w:eastAsiaTheme="minorHAnsi"/>
          <w:sz w:val="26"/>
          <w:szCs w:val="26"/>
        </w:rPr>
        <w:lastRenderedPageBreak/>
        <w:t xml:space="preserve">Additionally, the OCA believes that these programs should be examined as public goods.  </w:t>
      </w:r>
      <w:r w:rsidRPr="00E9174E">
        <w:rPr>
          <w:rFonts w:eastAsiaTheme="minorHAnsi"/>
          <w:i/>
          <w:iCs/>
          <w:sz w:val="26"/>
          <w:szCs w:val="26"/>
        </w:rPr>
        <w:t>Id</w:t>
      </w:r>
      <w:r w:rsidRPr="00E9174E">
        <w:rPr>
          <w:rFonts w:eastAsiaTheme="minorHAnsi"/>
          <w:sz w:val="26"/>
          <w:szCs w:val="26"/>
        </w:rPr>
        <w:t xml:space="preserve">. at 5.  The OCA notes that the </w:t>
      </w:r>
      <w:r w:rsidRPr="00E9174E">
        <w:rPr>
          <w:rFonts w:eastAsiaTheme="minorHAnsi"/>
          <w:i/>
          <w:iCs/>
          <w:sz w:val="26"/>
          <w:szCs w:val="26"/>
        </w:rPr>
        <w:t>Final CAP Policy Statement Order</w:t>
      </w:r>
      <w:r w:rsidRPr="00E9174E">
        <w:rPr>
          <w:rFonts w:eastAsiaTheme="minorHAnsi"/>
          <w:sz w:val="26"/>
          <w:szCs w:val="26"/>
        </w:rPr>
        <w:t xml:space="preserve"> provided that </w:t>
      </w:r>
      <w:r w:rsidRPr="00E9174E">
        <w:rPr>
          <w:sz w:val="26"/>
          <w:szCs w:val="26"/>
        </w:rPr>
        <w:t>“consistent with the comments of the Low Income Advocates and OCA, the Commission concludes that the General Assembly clearly identified the public purpose of these programs in the Competition Act by requiring that their costs be ‘</w:t>
      </w:r>
      <w:proofErr w:type="spellStart"/>
      <w:r w:rsidRPr="00E9174E">
        <w:rPr>
          <w:sz w:val="26"/>
          <w:szCs w:val="26"/>
        </w:rPr>
        <w:t>nonbypassable</w:t>
      </w:r>
      <w:proofErr w:type="spellEnd"/>
      <w:r w:rsidRPr="00E9174E">
        <w:rPr>
          <w:sz w:val="26"/>
          <w:szCs w:val="26"/>
        </w:rPr>
        <w:t xml:space="preserve">’ when a customer switches energy providers.”  </w:t>
      </w:r>
      <w:r w:rsidRPr="00E9174E">
        <w:rPr>
          <w:i/>
          <w:iCs/>
          <w:sz w:val="26"/>
          <w:szCs w:val="26"/>
        </w:rPr>
        <w:t>Id</w:t>
      </w:r>
      <w:r w:rsidRPr="00E9174E">
        <w:rPr>
          <w:sz w:val="26"/>
          <w:szCs w:val="26"/>
        </w:rPr>
        <w:t xml:space="preserve">. (citing </w:t>
      </w:r>
      <w:r w:rsidRPr="00E9174E">
        <w:rPr>
          <w:i/>
          <w:iCs/>
          <w:sz w:val="26"/>
          <w:szCs w:val="26"/>
        </w:rPr>
        <w:t>Final CAP Policy Statement</w:t>
      </w:r>
      <w:r w:rsidRPr="00E9174E">
        <w:rPr>
          <w:sz w:val="26"/>
          <w:szCs w:val="26"/>
        </w:rPr>
        <w:t xml:space="preserve"> at</w:t>
      </w:r>
      <w:r w:rsidR="0038709D">
        <w:rPr>
          <w:sz w:val="26"/>
          <w:szCs w:val="26"/>
        </w:rPr>
        <w:t> </w:t>
      </w:r>
      <w:r w:rsidRPr="00E9174E">
        <w:rPr>
          <w:sz w:val="26"/>
          <w:szCs w:val="26"/>
        </w:rPr>
        <w:t xml:space="preserve">88-98).  The OCA </w:t>
      </w:r>
      <w:r w:rsidRPr="00E9174E">
        <w:rPr>
          <w:rFonts w:eastAsiaTheme="minorHAnsi"/>
          <w:sz w:val="26"/>
          <w:szCs w:val="26"/>
        </w:rPr>
        <w:t xml:space="preserve">avers that in finding that “the societal impacts of poverty and low income are slightly outside the bailiwick of a base rate proceeding,” the ALJ overlooked that the doctrine of “public goods” applies to ratemaking proceedings.  OCA Exc. at 5.  </w:t>
      </w:r>
    </w:p>
    <w:p w14:paraId="6BA731C3" w14:textId="77777777" w:rsidR="00C70528" w:rsidRPr="00E9174E" w:rsidRDefault="00C70528" w:rsidP="00E9174E">
      <w:pPr>
        <w:widowControl/>
        <w:spacing w:line="360" w:lineRule="auto"/>
        <w:ind w:firstLine="1440"/>
        <w:contextualSpacing/>
        <w:rPr>
          <w:rFonts w:eastAsiaTheme="minorHAnsi"/>
          <w:sz w:val="26"/>
          <w:szCs w:val="26"/>
        </w:rPr>
      </w:pPr>
    </w:p>
    <w:p w14:paraId="5AB2E94E" w14:textId="5B96A8BB" w:rsidR="006D7162" w:rsidRPr="00E9174E" w:rsidRDefault="006D7162" w:rsidP="00E9174E">
      <w:pPr>
        <w:widowControl/>
        <w:spacing w:line="360" w:lineRule="auto"/>
        <w:ind w:firstLine="1440"/>
        <w:contextualSpacing/>
        <w:rPr>
          <w:sz w:val="26"/>
          <w:szCs w:val="26"/>
        </w:rPr>
      </w:pPr>
      <w:r w:rsidRPr="00E9174E">
        <w:rPr>
          <w:rFonts w:eastAsiaTheme="minorHAnsi"/>
          <w:sz w:val="26"/>
          <w:szCs w:val="26"/>
        </w:rPr>
        <w:t xml:space="preserve">The OCA states that its </w:t>
      </w:r>
      <w:r w:rsidRPr="00E9174E">
        <w:rPr>
          <w:sz w:val="26"/>
          <w:szCs w:val="26"/>
        </w:rPr>
        <w:t xml:space="preserve">witness Mr. Colton explained the concept of public goods and that the doctrine of public goods is applied in a variety of settings to spread designated utility costs over customer classes.  </w:t>
      </w:r>
      <w:bookmarkStart w:id="465" w:name="_BA_Cite_2300F4_000022"/>
      <w:bookmarkEnd w:id="465"/>
      <w:r w:rsidRPr="00E9174E">
        <w:rPr>
          <w:sz w:val="26"/>
          <w:szCs w:val="26"/>
        </w:rPr>
        <w:t xml:space="preserve">For example, fire hydrants and the basic telecommunications network have been found to be “public goods” to justify spreading network costs over all customer classes.  As Mr. Colton explained, the same conclusion should be reached about universal service costs, and the costs should be spread across all customer classes.  </w:t>
      </w:r>
      <w:r w:rsidRPr="00E9174E">
        <w:rPr>
          <w:i/>
          <w:iCs/>
          <w:sz w:val="26"/>
          <w:szCs w:val="26"/>
        </w:rPr>
        <w:t>Id</w:t>
      </w:r>
      <w:r w:rsidRPr="00E9174E">
        <w:rPr>
          <w:sz w:val="26"/>
          <w:szCs w:val="26"/>
        </w:rPr>
        <w:t>. (citing OCA St. 5 at 52).  OCA witness Mr. Colton recommended that the same conclusion be reached about universal service costs and that the costs be spread across all customer classes.  OCA Exc. at 6 (citing OCA St. 5 at 52-56).  Mr.</w:t>
      </w:r>
      <w:r w:rsidR="0038709D">
        <w:rPr>
          <w:sz w:val="26"/>
          <w:szCs w:val="26"/>
        </w:rPr>
        <w:t> </w:t>
      </w:r>
      <w:r w:rsidRPr="00E9174E">
        <w:rPr>
          <w:sz w:val="26"/>
          <w:szCs w:val="26"/>
        </w:rPr>
        <w:t xml:space="preserve">Colton also testified that the Commission should adopt the National Regulatory Research Institute definition of </w:t>
      </w:r>
      <w:r w:rsidR="007534A0" w:rsidRPr="00E9174E">
        <w:rPr>
          <w:sz w:val="26"/>
          <w:szCs w:val="26"/>
        </w:rPr>
        <w:t>“</w:t>
      </w:r>
      <w:r w:rsidRPr="00E9174E">
        <w:rPr>
          <w:sz w:val="26"/>
          <w:szCs w:val="26"/>
        </w:rPr>
        <w:t>public goods.</w:t>
      </w:r>
      <w:r w:rsidR="007534A0" w:rsidRPr="00E9174E">
        <w:rPr>
          <w:sz w:val="26"/>
          <w:szCs w:val="26"/>
        </w:rPr>
        <w:t>”</w:t>
      </w:r>
      <w:r w:rsidRPr="00E9174E">
        <w:rPr>
          <w:sz w:val="26"/>
          <w:szCs w:val="26"/>
        </w:rPr>
        <w:t xml:space="preserve">  Mr. Colton further testified that because the public benefits of Pennsylvania’s universal service programs, such as CAP, are hard to quantify, universal service should be found to be a public good with costs allocated to all ratepayers.  OCA Exc. at 6 (citing OCA St. 5 at 52-54).  </w:t>
      </w:r>
    </w:p>
    <w:p w14:paraId="1CAD3E50" w14:textId="77777777" w:rsidR="006D7162" w:rsidRPr="00E9174E" w:rsidRDefault="006D7162" w:rsidP="00E9174E">
      <w:pPr>
        <w:widowControl/>
        <w:spacing w:line="360" w:lineRule="auto"/>
        <w:contextualSpacing/>
        <w:rPr>
          <w:sz w:val="26"/>
          <w:szCs w:val="26"/>
        </w:rPr>
      </w:pPr>
    </w:p>
    <w:p w14:paraId="3D3C48E5" w14:textId="6AE8F42D" w:rsidR="006D7162" w:rsidRPr="00E9174E" w:rsidRDefault="006D7162" w:rsidP="00E9174E">
      <w:pPr>
        <w:widowControl/>
        <w:spacing w:line="360" w:lineRule="auto"/>
        <w:ind w:firstLine="1440"/>
        <w:contextualSpacing/>
        <w:rPr>
          <w:rFonts w:eastAsiaTheme="minorHAnsi"/>
          <w:sz w:val="26"/>
          <w:szCs w:val="26"/>
        </w:rPr>
      </w:pPr>
      <w:r w:rsidRPr="00E9174E">
        <w:rPr>
          <w:sz w:val="26"/>
          <w:szCs w:val="26"/>
        </w:rPr>
        <w:t xml:space="preserve">Further, the OCA avers that the Commission has recognized that there is no statutory provision or appellate law that limits the recovery of universal service costs to recovery from the residential class.  OCA Exc. at 8 (citing </w:t>
      </w:r>
      <w:r w:rsidRPr="00E9174E">
        <w:rPr>
          <w:i/>
          <w:iCs/>
          <w:sz w:val="26"/>
          <w:szCs w:val="26"/>
        </w:rPr>
        <w:t>Final CAP Policy Statement Order</w:t>
      </w:r>
      <w:r w:rsidRPr="00E9174E">
        <w:rPr>
          <w:sz w:val="26"/>
          <w:szCs w:val="26"/>
        </w:rPr>
        <w:t xml:space="preserve"> at 92-93, citing </w:t>
      </w:r>
      <w:r w:rsidRPr="00E9174E">
        <w:rPr>
          <w:i/>
          <w:iCs/>
          <w:sz w:val="26"/>
          <w:szCs w:val="26"/>
        </w:rPr>
        <w:t>M</w:t>
      </w:r>
      <w:bookmarkStart w:id="466" w:name="_BA_Cite_2300F4_000009"/>
      <w:bookmarkEnd w:id="466"/>
      <w:r w:rsidRPr="00E9174E">
        <w:rPr>
          <w:i/>
          <w:iCs/>
          <w:sz w:val="26"/>
          <w:szCs w:val="26"/>
        </w:rPr>
        <w:t>EIUG v. Pa. PUC (MEIUG)</w:t>
      </w:r>
      <w:r w:rsidRPr="00E9174E">
        <w:rPr>
          <w:sz w:val="26"/>
          <w:szCs w:val="26"/>
        </w:rPr>
        <w:t xml:space="preserve">, 960 A.2d. 189, 202 (Pa. Cmwlth. </w:t>
      </w:r>
      <w:r w:rsidRPr="00E9174E">
        <w:rPr>
          <w:sz w:val="26"/>
          <w:szCs w:val="26"/>
        </w:rPr>
        <w:lastRenderedPageBreak/>
        <w:t xml:space="preserve">2008); </w:t>
      </w:r>
      <w:r w:rsidRPr="00E9174E">
        <w:rPr>
          <w:i/>
          <w:iCs/>
          <w:sz w:val="26"/>
          <w:szCs w:val="26"/>
        </w:rPr>
        <w:t>L</w:t>
      </w:r>
      <w:bookmarkStart w:id="467" w:name="_BA_Cite_2300F4_000011"/>
      <w:bookmarkEnd w:id="467"/>
      <w:r w:rsidRPr="00E9174E">
        <w:rPr>
          <w:i/>
          <w:iCs/>
          <w:sz w:val="26"/>
          <w:szCs w:val="26"/>
        </w:rPr>
        <w:t>loyd</w:t>
      </w:r>
      <w:r w:rsidRPr="00E9174E">
        <w:rPr>
          <w:sz w:val="26"/>
          <w:szCs w:val="26"/>
        </w:rPr>
        <w:t xml:space="preserve">.  Accordingly, the OCA argues that the ALJ’s reasoning for denying the OCA and CAUSE-PA’s proposal to allocate universal service costs to all customers is not consistent with the Commission’s CAP Policy Statement, the </w:t>
      </w:r>
      <w:r w:rsidRPr="00E9174E">
        <w:rPr>
          <w:i/>
          <w:iCs/>
          <w:sz w:val="26"/>
          <w:szCs w:val="26"/>
        </w:rPr>
        <w:t>Final CAP Policy Statement Order</w:t>
      </w:r>
      <w:r w:rsidRPr="00E9174E">
        <w:rPr>
          <w:sz w:val="26"/>
          <w:szCs w:val="26"/>
        </w:rPr>
        <w:t>, or the doctrine of “public goods.”  OCA Exc. at 8.  The OCA also argues that the ALJ’s recommendation does not consider the wide</w:t>
      </w:r>
      <w:r w:rsidR="00DD6C59" w:rsidRPr="00E9174E">
        <w:rPr>
          <w:sz w:val="26"/>
          <w:szCs w:val="26"/>
        </w:rPr>
        <w:t>-</w:t>
      </w:r>
      <w:r w:rsidRPr="00E9174E">
        <w:rPr>
          <w:sz w:val="26"/>
          <w:szCs w:val="26"/>
        </w:rPr>
        <w:t xml:space="preserve">ranging benefits of the universal service programs that Mr. Colton discussed.  </w:t>
      </w:r>
      <w:r w:rsidRPr="00E9174E">
        <w:rPr>
          <w:i/>
          <w:iCs/>
          <w:sz w:val="26"/>
          <w:szCs w:val="26"/>
        </w:rPr>
        <w:t>Id</w:t>
      </w:r>
      <w:r w:rsidRPr="00E9174E">
        <w:rPr>
          <w:sz w:val="26"/>
          <w:szCs w:val="26"/>
        </w:rPr>
        <w:t>. (citing OCA St. 5 at 34-57).  The OCA submits that the Commission should reject the ALJ’s determination to delay this issue or to retain the current allocation and should, instead, consider</w:t>
      </w:r>
      <w:r w:rsidRPr="00E9174E">
        <w:rPr>
          <w:rFonts w:eastAsiaTheme="minorHAnsi"/>
          <w:sz w:val="26"/>
          <w:szCs w:val="26"/>
        </w:rPr>
        <w:t xml:space="preserve"> this issue in the instant case and find that Columbia’s universal service costs should be allocated to all customer classes.  </w:t>
      </w:r>
    </w:p>
    <w:p w14:paraId="4CC55E1F" w14:textId="77777777" w:rsidR="006D7162" w:rsidRPr="00E9174E" w:rsidRDefault="006D7162" w:rsidP="00E9174E">
      <w:pPr>
        <w:widowControl/>
        <w:spacing w:line="360" w:lineRule="auto"/>
        <w:contextualSpacing/>
        <w:rPr>
          <w:rFonts w:eastAsiaTheme="minorHAnsi"/>
          <w:sz w:val="26"/>
          <w:szCs w:val="26"/>
        </w:rPr>
      </w:pPr>
    </w:p>
    <w:p w14:paraId="4AB89870" w14:textId="77777777" w:rsidR="006D7162" w:rsidRPr="00E9174E" w:rsidRDefault="006D7162" w:rsidP="00E9174E">
      <w:pPr>
        <w:widowControl/>
        <w:spacing w:line="360" w:lineRule="auto"/>
        <w:ind w:left="720" w:firstLine="720"/>
        <w:contextualSpacing/>
        <w:rPr>
          <w:rFonts w:eastAsiaTheme="minorHAnsi"/>
          <w:sz w:val="26"/>
          <w:szCs w:val="26"/>
        </w:rPr>
      </w:pPr>
      <w:r w:rsidRPr="00E9174E">
        <w:rPr>
          <w:rFonts w:eastAsiaTheme="minorHAnsi"/>
          <w:sz w:val="26"/>
          <w:szCs w:val="26"/>
        </w:rPr>
        <w:t xml:space="preserve">The OCA cites to the following evidence in support of its position:  </w:t>
      </w:r>
    </w:p>
    <w:p w14:paraId="26BCDDFA" w14:textId="77777777" w:rsidR="006D7162" w:rsidRPr="00E9174E" w:rsidRDefault="006D7162" w:rsidP="00E9174E">
      <w:pPr>
        <w:widowControl/>
        <w:spacing w:line="360" w:lineRule="auto"/>
        <w:ind w:left="1440"/>
        <w:contextualSpacing/>
        <w:rPr>
          <w:rFonts w:eastAsiaTheme="minorHAnsi"/>
          <w:sz w:val="26"/>
          <w:szCs w:val="26"/>
        </w:rPr>
      </w:pPr>
    </w:p>
    <w:p w14:paraId="369C78C4" w14:textId="77777777" w:rsidR="006D7162" w:rsidRPr="00E9174E" w:rsidRDefault="006D7162" w:rsidP="00E9174E">
      <w:pPr>
        <w:widowControl/>
        <w:ind w:left="1440" w:right="1440"/>
        <w:contextualSpacing/>
        <w:rPr>
          <w:rFonts w:eastAsiaTheme="minorHAnsi"/>
          <w:sz w:val="26"/>
          <w:szCs w:val="26"/>
        </w:rPr>
      </w:pPr>
      <w:r w:rsidRPr="00E9174E">
        <w:rPr>
          <w:rFonts w:eastAsiaTheme="minorHAnsi"/>
          <w:sz w:val="26"/>
          <w:szCs w:val="26"/>
        </w:rPr>
        <w:t>▪</w:t>
      </w:r>
      <w:r w:rsidRPr="00E9174E">
        <w:rPr>
          <w:rFonts w:eastAsiaTheme="minorHAnsi"/>
          <w:sz w:val="26"/>
          <w:szCs w:val="26"/>
        </w:rPr>
        <w:tab/>
        <w:t xml:space="preserve">In Columbia’s service territory, 53,918 customers with income at or below 150 percent of the Federal Poverty Level (FPL) do not participate in CAP, and there are an additional 33,124 customers between 151-200% of the FPL who are ineligible for the program but pay the costs of the program.  As OCA witness Colton testified, “allocating universal service costs over all customer classes would help improve the affordability of CGPA bills to these nearly 90,000 residential customers (53,918 + 33,124 = 87,042 who are reasonably viewed as income-challenged, but not participating in, or not eligible for, CGPA’s universal service programs.”  OCA St. 5 at 30-33; </w:t>
      </w:r>
      <w:r w:rsidRPr="00E9174E">
        <w:rPr>
          <w:rFonts w:eastAsiaTheme="minorHAnsi"/>
          <w:sz w:val="26"/>
          <w:szCs w:val="26"/>
          <w:u w:val="single"/>
        </w:rPr>
        <w:t>see</w:t>
      </w:r>
      <w:r w:rsidRPr="00E9174E">
        <w:rPr>
          <w:rFonts w:eastAsiaTheme="minorHAnsi"/>
          <w:sz w:val="26"/>
          <w:szCs w:val="26"/>
        </w:rPr>
        <w:t xml:space="preserve"> </w:t>
      </w:r>
      <w:r w:rsidRPr="00E9174E">
        <w:rPr>
          <w:rFonts w:eastAsiaTheme="minorHAnsi"/>
          <w:sz w:val="26"/>
          <w:szCs w:val="26"/>
          <w:u w:val="single"/>
        </w:rPr>
        <w:t>also</w:t>
      </w:r>
      <w:r w:rsidRPr="00E9174E">
        <w:rPr>
          <w:rFonts w:eastAsiaTheme="minorHAnsi"/>
          <w:sz w:val="26"/>
          <w:szCs w:val="26"/>
        </w:rPr>
        <w:t>, OCA M.B. at 165.</w:t>
      </w:r>
    </w:p>
    <w:p w14:paraId="2BD1D2D8" w14:textId="77777777" w:rsidR="006D7162" w:rsidRPr="00E9174E" w:rsidRDefault="006D7162" w:rsidP="00E9174E">
      <w:pPr>
        <w:widowControl/>
        <w:ind w:left="1440" w:right="1440"/>
        <w:contextualSpacing/>
        <w:rPr>
          <w:rFonts w:eastAsiaTheme="minorHAnsi"/>
          <w:sz w:val="26"/>
          <w:szCs w:val="26"/>
        </w:rPr>
      </w:pPr>
    </w:p>
    <w:p w14:paraId="2B926191" w14:textId="26D57EDD" w:rsidR="006D7162" w:rsidRPr="00E9174E" w:rsidRDefault="006D7162" w:rsidP="00E9174E">
      <w:pPr>
        <w:widowControl/>
        <w:ind w:left="1440" w:right="1440"/>
        <w:contextualSpacing/>
        <w:rPr>
          <w:rFonts w:eastAsiaTheme="minorHAnsi"/>
          <w:sz w:val="26"/>
          <w:szCs w:val="26"/>
        </w:rPr>
      </w:pPr>
      <w:r w:rsidRPr="00E9174E">
        <w:rPr>
          <w:rFonts w:eastAsiaTheme="minorHAnsi"/>
          <w:sz w:val="26"/>
          <w:szCs w:val="26"/>
        </w:rPr>
        <w:t>▪</w:t>
      </w:r>
      <w:r w:rsidRPr="00E9174E">
        <w:rPr>
          <w:rFonts w:eastAsiaTheme="minorHAnsi"/>
          <w:sz w:val="26"/>
          <w:szCs w:val="26"/>
        </w:rPr>
        <w:tab/>
        <w:t xml:space="preserve">Poverty is not just a residential customer class problem.  Broad economic factors throughout the Columbia Gas service territory contribute to low-income customers’ inability-to-pay.  These factors are not limited to residential customer class.  </w:t>
      </w:r>
      <w:r w:rsidRPr="00E9174E">
        <w:rPr>
          <w:rFonts w:eastAsiaTheme="minorHAnsi"/>
          <w:sz w:val="26"/>
          <w:szCs w:val="26"/>
          <w:u w:val="single"/>
        </w:rPr>
        <w:t>See</w:t>
      </w:r>
      <w:r w:rsidRPr="00E9174E">
        <w:rPr>
          <w:rFonts w:eastAsiaTheme="minorHAnsi"/>
          <w:sz w:val="26"/>
          <w:szCs w:val="26"/>
        </w:rPr>
        <w:t>, OCA St. 5 at 34-39; OCA M.B. at 166</w:t>
      </w:r>
      <w:r w:rsidR="008D6135">
        <w:rPr>
          <w:rFonts w:eastAsiaTheme="minorHAnsi"/>
          <w:sz w:val="26"/>
          <w:szCs w:val="26"/>
        </w:rPr>
        <w:noBreakHyphen/>
      </w:r>
      <w:r w:rsidRPr="00E9174E">
        <w:rPr>
          <w:rFonts w:eastAsiaTheme="minorHAnsi"/>
          <w:sz w:val="26"/>
          <w:szCs w:val="26"/>
        </w:rPr>
        <w:t>169; OCA R.B. at 73-74.</w:t>
      </w:r>
    </w:p>
    <w:p w14:paraId="29B5BAE3" w14:textId="77777777" w:rsidR="006D7162" w:rsidRPr="00E9174E" w:rsidRDefault="006D7162" w:rsidP="00E9174E">
      <w:pPr>
        <w:widowControl/>
        <w:ind w:left="1440" w:right="1440"/>
        <w:contextualSpacing/>
        <w:rPr>
          <w:rFonts w:eastAsiaTheme="minorHAnsi"/>
          <w:sz w:val="26"/>
          <w:szCs w:val="26"/>
        </w:rPr>
      </w:pPr>
    </w:p>
    <w:p w14:paraId="3BCF6DAF" w14:textId="60730672" w:rsidR="006D7162" w:rsidRPr="00E9174E" w:rsidRDefault="006D7162" w:rsidP="00E9174E">
      <w:pPr>
        <w:widowControl/>
        <w:ind w:left="1440" w:right="1440"/>
        <w:contextualSpacing/>
        <w:rPr>
          <w:rFonts w:eastAsia="Calibri"/>
          <w:sz w:val="26"/>
          <w:szCs w:val="26"/>
        </w:rPr>
      </w:pPr>
      <w:r w:rsidRPr="00E9174E">
        <w:rPr>
          <w:rFonts w:eastAsiaTheme="minorHAnsi"/>
          <w:sz w:val="26"/>
          <w:szCs w:val="26"/>
        </w:rPr>
        <w:t>▪</w:t>
      </w:r>
      <w:r w:rsidRPr="00E9174E">
        <w:rPr>
          <w:rFonts w:eastAsiaTheme="minorHAnsi"/>
          <w:sz w:val="26"/>
          <w:szCs w:val="26"/>
        </w:rPr>
        <w:tab/>
        <w:t>Universal service programs provide an economic benefit to businesses.  OCA St. 5 at 40-51; OCA M.B. at 169</w:t>
      </w:r>
      <w:r w:rsidR="008D6135">
        <w:rPr>
          <w:rFonts w:eastAsiaTheme="minorHAnsi"/>
          <w:sz w:val="26"/>
          <w:szCs w:val="26"/>
        </w:rPr>
        <w:noBreakHyphen/>
      </w:r>
      <w:r w:rsidRPr="00E9174E">
        <w:rPr>
          <w:rFonts w:eastAsiaTheme="minorHAnsi"/>
          <w:sz w:val="26"/>
          <w:szCs w:val="26"/>
        </w:rPr>
        <w:t xml:space="preserve">176.  </w:t>
      </w:r>
      <w:r w:rsidRPr="00E9174E">
        <w:rPr>
          <w:rFonts w:eastAsia="Calibri"/>
          <w:sz w:val="26"/>
          <w:szCs w:val="26"/>
        </w:rPr>
        <w:t xml:space="preserve">Universal service programs are often provided to </w:t>
      </w:r>
      <w:r w:rsidRPr="00E9174E">
        <w:rPr>
          <w:rFonts w:eastAsia="Calibri"/>
          <w:sz w:val="26"/>
          <w:szCs w:val="26"/>
        </w:rPr>
        <w:lastRenderedPageBreak/>
        <w:t>low wage earners.  OCA St. 5 at 34-39; OCA M.B. at</w:t>
      </w:r>
      <w:r w:rsidR="008D6135">
        <w:rPr>
          <w:rFonts w:eastAsia="Calibri"/>
          <w:sz w:val="26"/>
          <w:szCs w:val="26"/>
        </w:rPr>
        <w:t> </w:t>
      </w:r>
      <w:r w:rsidRPr="00E9174E">
        <w:rPr>
          <w:rFonts w:eastAsia="Calibri"/>
          <w:sz w:val="26"/>
          <w:szCs w:val="26"/>
        </w:rPr>
        <w:t>174</w:t>
      </w:r>
      <w:r w:rsidR="008D6135">
        <w:rPr>
          <w:rFonts w:eastAsia="Calibri"/>
          <w:sz w:val="26"/>
          <w:szCs w:val="26"/>
        </w:rPr>
        <w:noBreakHyphen/>
      </w:r>
      <w:r w:rsidRPr="00E9174E">
        <w:rPr>
          <w:rFonts w:eastAsia="Calibri"/>
          <w:sz w:val="26"/>
          <w:szCs w:val="26"/>
        </w:rPr>
        <w:t>176.</w:t>
      </w:r>
    </w:p>
    <w:p w14:paraId="1FAF9689" w14:textId="77777777" w:rsidR="006D7162" w:rsidRPr="00E9174E" w:rsidRDefault="006D7162" w:rsidP="00E9174E">
      <w:pPr>
        <w:widowControl/>
        <w:ind w:left="1440" w:right="1440"/>
        <w:contextualSpacing/>
        <w:rPr>
          <w:rFonts w:eastAsia="Calibri"/>
          <w:sz w:val="26"/>
          <w:szCs w:val="26"/>
        </w:rPr>
      </w:pPr>
    </w:p>
    <w:p w14:paraId="2E2ED5F2" w14:textId="77777777" w:rsidR="006D7162" w:rsidRPr="00E9174E" w:rsidRDefault="006D7162" w:rsidP="00E9174E">
      <w:pPr>
        <w:widowControl/>
        <w:ind w:left="1440" w:right="1440"/>
        <w:contextualSpacing/>
        <w:rPr>
          <w:rFonts w:eastAsiaTheme="minorHAnsi"/>
          <w:sz w:val="26"/>
          <w:szCs w:val="26"/>
        </w:rPr>
      </w:pPr>
      <w:r w:rsidRPr="00E9174E">
        <w:rPr>
          <w:rFonts w:eastAsiaTheme="minorHAnsi"/>
          <w:sz w:val="26"/>
          <w:szCs w:val="26"/>
        </w:rPr>
        <w:t>▪</w:t>
      </w:r>
      <w:r w:rsidRPr="00E9174E">
        <w:rPr>
          <w:rFonts w:eastAsiaTheme="minorHAnsi"/>
          <w:sz w:val="26"/>
          <w:szCs w:val="26"/>
        </w:rPr>
        <w:tab/>
      </w:r>
      <w:r w:rsidRPr="00E9174E">
        <w:rPr>
          <w:rFonts w:eastAsia="Calibri"/>
          <w:sz w:val="26"/>
          <w:szCs w:val="26"/>
        </w:rPr>
        <w:t xml:space="preserve">The programs help to address the financial stressors that impact overall employee productivity for these low wage earners and help to support the local economies of the Columbia service territory.  </w:t>
      </w:r>
      <w:r w:rsidRPr="00E9174E">
        <w:rPr>
          <w:rFonts w:eastAsiaTheme="minorHAnsi"/>
          <w:sz w:val="26"/>
          <w:szCs w:val="26"/>
        </w:rPr>
        <w:t>OCA St. 5 at 45-51; OCA M.B. at 169-176.</w:t>
      </w:r>
    </w:p>
    <w:p w14:paraId="55D26607" w14:textId="77777777" w:rsidR="006D7162" w:rsidRPr="00E9174E" w:rsidRDefault="006D7162" w:rsidP="00E9174E">
      <w:pPr>
        <w:widowControl/>
        <w:ind w:left="1440" w:right="1440"/>
        <w:contextualSpacing/>
        <w:rPr>
          <w:rFonts w:eastAsiaTheme="minorHAnsi"/>
          <w:sz w:val="26"/>
          <w:szCs w:val="26"/>
        </w:rPr>
      </w:pPr>
    </w:p>
    <w:p w14:paraId="03A0EE77" w14:textId="7812325E" w:rsidR="006D7162" w:rsidRPr="00E9174E" w:rsidRDefault="006D7162" w:rsidP="00E9174E">
      <w:pPr>
        <w:widowControl/>
        <w:ind w:left="1440" w:right="1440"/>
        <w:contextualSpacing/>
        <w:rPr>
          <w:rFonts w:eastAsiaTheme="minorHAnsi"/>
          <w:sz w:val="26"/>
          <w:szCs w:val="26"/>
        </w:rPr>
      </w:pPr>
      <w:r w:rsidRPr="00E9174E">
        <w:rPr>
          <w:rFonts w:eastAsiaTheme="minorHAnsi"/>
          <w:sz w:val="26"/>
          <w:szCs w:val="26"/>
        </w:rPr>
        <w:t>▪</w:t>
      </w:r>
      <w:r w:rsidRPr="00E9174E">
        <w:rPr>
          <w:rFonts w:eastAsiaTheme="minorHAnsi"/>
          <w:sz w:val="26"/>
          <w:szCs w:val="26"/>
        </w:rPr>
        <w:tab/>
        <w:t>In addition to addressing utility payment problems, home energy affordability programs can help address trends toward housing abandonment, reductions in educational attainment, and adverse health outcomes for payment-troubled utility customers.  OCA St. 5 at 42-43; OCA M.B. at</w:t>
      </w:r>
      <w:r w:rsidR="008D6135">
        <w:rPr>
          <w:rFonts w:eastAsiaTheme="minorHAnsi"/>
          <w:sz w:val="26"/>
          <w:szCs w:val="26"/>
        </w:rPr>
        <w:t> </w:t>
      </w:r>
      <w:r w:rsidRPr="00E9174E">
        <w:rPr>
          <w:rFonts w:eastAsiaTheme="minorHAnsi"/>
          <w:sz w:val="26"/>
          <w:szCs w:val="26"/>
        </w:rPr>
        <w:t xml:space="preserve">171; </w:t>
      </w:r>
      <w:r w:rsidRPr="00E9174E">
        <w:rPr>
          <w:rFonts w:eastAsiaTheme="minorHAnsi"/>
          <w:sz w:val="26"/>
          <w:szCs w:val="26"/>
          <w:u w:val="single"/>
        </w:rPr>
        <w:t>see</w:t>
      </w:r>
      <w:r w:rsidRPr="00E9174E">
        <w:rPr>
          <w:rFonts w:eastAsiaTheme="minorHAnsi"/>
          <w:sz w:val="26"/>
          <w:szCs w:val="26"/>
        </w:rPr>
        <w:t xml:space="preserve"> </w:t>
      </w:r>
      <w:r w:rsidRPr="00E9174E">
        <w:rPr>
          <w:rFonts w:eastAsiaTheme="minorHAnsi"/>
          <w:sz w:val="26"/>
          <w:szCs w:val="26"/>
          <w:u w:val="single"/>
        </w:rPr>
        <w:t>also</w:t>
      </w:r>
      <w:r w:rsidRPr="00E9174E">
        <w:rPr>
          <w:rFonts w:eastAsiaTheme="minorHAnsi"/>
          <w:sz w:val="26"/>
          <w:szCs w:val="26"/>
        </w:rPr>
        <w:t>, OCA St. 5 at 44-47.</w:t>
      </w:r>
    </w:p>
    <w:p w14:paraId="4FE90F7D" w14:textId="77777777" w:rsidR="006D7162" w:rsidRPr="00E9174E" w:rsidRDefault="006D7162" w:rsidP="00E9174E">
      <w:pPr>
        <w:widowControl/>
        <w:ind w:left="1440" w:right="1440"/>
        <w:contextualSpacing/>
        <w:rPr>
          <w:rFonts w:eastAsiaTheme="minorHAnsi"/>
          <w:sz w:val="26"/>
          <w:szCs w:val="26"/>
        </w:rPr>
      </w:pPr>
    </w:p>
    <w:p w14:paraId="3B041A75" w14:textId="77777777" w:rsidR="006D7162" w:rsidRPr="00E9174E" w:rsidRDefault="006D7162" w:rsidP="00E9174E">
      <w:pPr>
        <w:widowControl/>
        <w:ind w:left="1440" w:right="1440"/>
        <w:contextualSpacing/>
        <w:rPr>
          <w:rFonts w:eastAsiaTheme="minorHAnsi"/>
          <w:sz w:val="26"/>
          <w:szCs w:val="26"/>
        </w:rPr>
      </w:pPr>
      <w:r w:rsidRPr="00E9174E">
        <w:rPr>
          <w:rFonts w:eastAsiaTheme="minorHAnsi"/>
          <w:sz w:val="26"/>
          <w:szCs w:val="26"/>
        </w:rPr>
        <w:t>▪</w:t>
      </w:r>
      <w:r w:rsidRPr="00E9174E">
        <w:rPr>
          <w:rFonts w:eastAsiaTheme="minorHAnsi"/>
          <w:sz w:val="26"/>
          <w:szCs w:val="26"/>
        </w:rPr>
        <w:tab/>
        <w:t xml:space="preserve">Universal service programs help to control the need to provide local government services, the cost of which is largely borne by non-residential taxpayers.  There is a direct connection between unaffordable home energy bills and the costs of providing public health services. OCA St. 5 at 42-43; OCA M.B. at 171; </w:t>
      </w:r>
      <w:r w:rsidRPr="00E9174E">
        <w:rPr>
          <w:rFonts w:eastAsiaTheme="minorHAnsi"/>
          <w:sz w:val="26"/>
          <w:szCs w:val="26"/>
          <w:u w:val="single"/>
        </w:rPr>
        <w:t>see</w:t>
      </w:r>
      <w:r w:rsidRPr="00E9174E">
        <w:rPr>
          <w:rFonts w:eastAsiaTheme="minorHAnsi"/>
          <w:sz w:val="26"/>
          <w:szCs w:val="26"/>
        </w:rPr>
        <w:t xml:space="preserve"> </w:t>
      </w:r>
      <w:r w:rsidRPr="00E9174E">
        <w:rPr>
          <w:rFonts w:eastAsiaTheme="minorHAnsi"/>
          <w:sz w:val="26"/>
          <w:szCs w:val="26"/>
          <w:u w:val="single"/>
        </w:rPr>
        <w:t>also</w:t>
      </w:r>
      <w:r w:rsidRPr="00E9174E">
        <w:rPr>
          <w:rFonts w:eastAsiaTheme="minorHAnsi"/>
          <w:sz w:val="26"/>
          <w:szCs w:val="26"/>
        </w:rPr>
        <w:t>, OCA St. 5 at 44-47.</w:t>
      </w:r>
    </w:p>
    <w:p w14:paraId="2777D17F" w14:textId="77777777" w:rsidR="006D7162" w:rsidRPr="00E9174E" w:rsidRDefault="006D7162" w:rsidP="00E9174E">
      <w:pPr>
        <w:widowControl/>
        <w:ind w:left="1440" w:right="1440"/>
        <w:contextualSpacing/>
        <w:rPr>
          <w:rFonts w:eastAsiaTheme="minorHAnsi"/>
          <w:sz w:val="26"/>
          <w:szCs w:val="26"/>
        </w:rPr>
      </w:pPr>
    </w:p>
    <w:p w14:paraId="3AACCA8E" w14:textId="77777777" w:rsidR="006D7162" w:rsidRPr="00E9174E" w:rsidRDefault="006D7162" w:rsidP="00E9174E">
      <w:pPr>
        <w:widowControl/>
        <w:ind w:left="1440" w:right="1440"/>
        <w:contextualSpacing/>
        <w:rPr>
          <w:rFonts w:eastAsiaTheme="minorHAnsi"/>
          <w:sz w:val="26"/>
          <w:szCs w:val="26"/>
        </w:rPr>
      </w:pPr>
      <w:r w:rsidRPr="00E9174E">
        <w:rPr>
          <w:rFonts w:eastAsiaTheme="minorHAnsi"/>
          <w:sz w:val="26"/>
          <w:szCs w:val="26"/>
        </w:rPr>
        <w:t>▪</w:t>
      </w:r>
      <w:r w:rsidRPr="00E9174E">
        <w:rPr>
          <w:rFonts w:eastAsiaTheme="minorHAnsi"/>
          <w:sz w:val="26"/>
          <w:szCs w:val="26"/>
        </w:rPr>
        <w:tab/>
        <w:t xml:space="preserve">Programs have the effect of improving business profitability by reducing business costs, including reducing absenteeism and turnover, and increasing employee productivity.  OCA St. 5 at 57; </w:t>
      </w:r>
      <w:r w:rsidRPr="00E9174E">
        <w:rPr>
          <w:rFonts w:eastAsiaTheme="minorHAnsi"/>
          <w:sz w:val="26"/>
          <w:szCs w:val="26"/>
          <w:u w:val="single"/>
        </w:rPr>
        <w:t>see</w:t>
      </w:r>
      <w:r w:rsidRPr="00E9174E">
        <w:rPr>
          <w:rFonts w:eastAsiaTheme="minorHAnsi"/>
          <w:sz w:val="26"/>
          <w:szCs w:val="26"/>
        </w:rPr>
        <w:t xml:space="preserve"> </w:t>
      </w:r>
      <w:r w:rsidRPr="00E9174E">
        <w:rPr>
          <w:rFonts w:eastAsiaTheme="minorHAnsi"/>
          <w:sz w:val="26"/>
          <w:szCs w:val="26"/>
          <w:u w:val="single"/>
        </w:rPr>
        <w:t>also</w:t>
      </w:r>
      <w:r w:rsidRPr="00E9174E">
        <w:rPr>
          <w:rFonts w:eastAsiaTheme="minorHAnsi"/>
          <w:sz w:val="26"/>
          <w:szCs w:val="26"/>
        </w:rPr>
        <w:t>, OCA St. 5 at 49-50; OCA M.B. at 174-176.</w:t>
      </w:r>
    </w:p>
    <w:p w14:paraId="4FCAB896" w14:textId="77777777" w:rsidR="003A3BDE" w:rsidRPr="00E9174E" w:rsidRDefault="003A3BDE" w:rsidP="00E9174E">
      <w:pPr>
        <w:widowControl/>
        <w:ind w:left="1440" w:right="1440"/>
        <w:contextualSpacing/>
        <w:rPr>
          <w:rFonts w:eastAsiaTheme="minorHAnsi"/>
          <w:sz w:val="26"/>
          <w:szCs w:val="26"/>
        </w:rPr>
      </w:pPr>
    </w:p>
    <w:p w14:paraId="609D399D" w14:textId="32C4DCB4" w:rsidR="006D7162" w:rsidRPr="00E9174E" w:rsidRDefault="006D7162" w:rsidP="00E9174E">
      <w:pPr>
        <w:widowControl/>
        <w:ind w:left="1440" w:right="1440"/>
        <w:contextualSpacing/>
        <w:rPr>
          <w:rFonts w:eastAsiaTheme="minorHAnsi"/>
          <w:sz w:val="26"/>
          <w:szCs w:val="26"/>
        </w:rPr>
      </w:pPr>
      <w:r w:rsidRPr="00E9174E">
        <w:rPr>
          <w:rFonts w:eastAsiaTheme="minorHAnsi"/>
          <w:sz w:val="26"/>
          <w:szCs w:val="26"/>
        </w:rPr>
        <w:t>▪</w:t>
      </w:r>
      <w:r w:rsidRPr="00E9174E">
        <w:rPr>
          <w:rFonts w:eastAsiaTheme="minorHAnsi"/>
          <w:sz w:val="26"/>
          <w:szCs w:val="26"/>
        </w:rPr>
        <w:tab/>
      </w:r>
      <w:r w:rsidRPr="00E9174E">
        <w:rPr>
          <w:rFonts w:eastAsia="Calibri"/>
          <w:sz w:val="26"/>
          <w:szCs w:val="26"/>
        </w:rPr>
        <w:t>Allocation of universal service costs is consistent with sound ratemaking principles.  One well-accepted tenet of utility ratemaking is that certain expenses incurred by the public utility are for “public goods.”  The costs of Columbia’s universal service program should be considered a “public good” that should be allocated across all customer classes</w:t>
      </w:r>
      <w:r w:rsidRPr="00E9174E">
        <w:rPr>
          <w:rFonts w:eastAsiaTheme="minorHAnsi"/>
          <w:sz w:val="26"/>
          <w:szCs w:val="26"/>
        </w:rPr>
        <w:t>.  OCA St. 5 at 52-56; OCA M.B. at 176-182; OCA R.B. at</w:t>
      </w:r>
      <w:r w:rsidR="00AD4CF5">
        <w:rPr>
          <w:rFonts w:eastAsiaTheme="minorHAnsi"/>
          <w:sz w:val="26"/>
          <w:szCs w:val="26"/>
        </w:rPr>
        <w:t> </w:t>
      </w:r>
      <w:r w:rsidRPr="00E9174E">
        <w:rPr>
          <w:rFonts w:eastAsiaTheme="minorHAnsi"/>
          <w:sz w:val="26"/>
          <w:szCs w:val="26"/>
        </w:rPr>
        <w:t>73</w:t>
      </w:r>
      <w:r w:rsidR="00AD4CF5">
        <w:rPr>
          <w:rFonts w:eastAsiaTheme="minorHAnsi"/>
          <w:sz w:val="26"/>
          <w:szCs w:val="26"/>
        </w:rPr>
        <w:noBreakHyphen/>
      </w:r>
      <w:r w:rsidRPr="00E9174E">
        <w:rPr>
          <w:rFonts w:eastAsiaTheme="minorHAnsi"/>
          <w:sz w:val="26"/>
          <w:szCs w:val="26"/>
        </w:rPr>
        <w:t>74.</w:t>
      </w:r>
    </w:p>
    <w:p w14:paraId="0AB81A86" w14:textId="77777777" w:rsidR="006D7162" w:rsidRPr="00E9174E" w:rsidRDefault="006D7162" w:rsidP="000D09E6">
      <w:pPr>
        <w:widowControl/>
        <w:spacing w:line="360" w:lineRule="auto"/>
        <w:ind w:left="1440"/>
        <w:contextualSpacing/>
        <w:rPr>
          <w:rFonts w:eastAsiaTheme="minorHAnsi"/>
          <w:sz w:val="26"/>
          <w:szCs w:val="26"/>
        </w:rPr>
      </w:pPr>
    </w:p>
    <w:p w14:paraId="53DE3C07" w14:textId="77777777" w:rsidR="006D7162" w:rsidRPr="00E9174E" w:rsidRDefault="006D7162" w:rsidP="00E9174E">
      <w:pPr>
        <w:widowControl/>
        <w:spacing w:line="360" w:lineRule="auto"/>
        <w:contextualSpacing/>
        <w:rPr>
          <w:rFonts w:eastAsiaTheme="minorHAnsi"/>
          <w:sz w:val="26"/>
          <w:szCs w:val="26"/>
        </w:rPr>
      </w:pPr>
      <w:r w:rsidRPr="00E9174E">
        <w:rPr>
          <w:rFonts w:eastAsiaTheme="minorHAnsi"/>
          <w:sz w:val="26"/>
          <w:szCs w:val="26"/>
        </w:rPr>
        <w:t xml:space="preserve">OCA Exc. at 9.  </w:t>
      </w:r>
    </w:p>
    <w:p w14:paraId="0FB1BEF9" w14:textId="77777777" w:rsidR="006D7162" w:rsidRPr="00E9174E" w:rsidRDefault="006D7162" w:rsidP="00E9174E">
      <w:pPr>
        <w:widowControl/>
        <w:spacing w:line="360" w:lineRule="auto"/>
        <w:ind w:left="1440"/>
        <w:contextualSpacing/>
        <w:rPr>
          <w:rFonts w:eastAsiaTheme="minorHAnsi"/>
          <w:sz w:val="26"/>
          <w:szCs w:val="26"/>
        </w:rPr>
      </w:pPr>
    </w:p>
    <w:p w14:paraId="30F8158C" w14:textId="0761AA73" w:rsidR="006D7162" w:rsidRPr="00E9174E" w:rsidRDefault="006D7162" w:rsidP="00E9174E">
      <w:pPr>
        <w:widowControl/>
        <w:spacing w:line="360" w:lineRule="auto"/>
        <w:ind w:firstLine="1440"/>
        <w:contextualSpacing/>
        <w:rPr>
          <w:sz w:val="26"/>
          <w:szCs w:val="26"/>
        </w:rPr>
      </w:pPr>
      <w:r w:rsidRPr="00E9174E">
        <w:rPr>
          <w:sz w:val="26"/>
          <w:szCs w:val="26"/>
        </w:rPr>
        <w:lastRenderedPageBreak/>
        <w:t xml:space="preserve">The OCA recommends that universal service charges be allocated between customer classes on a competitively neutral basis.  </w:t>
      </w:r>
      <w:r w:rsidRPr="00E9174E">
        <w:rPr>
          <w:i/>
          <w:iCs/>
          <w:sz w:val="26"/>
          <w:szCs w:val="26"/>
        </w:rPr>
        <w:t>Id</w:t>
      </w:r>
      <w:r w:rsidRPr="00E9174E">
        <w:rPr>
          <w:sz w:val="26"/>
          <w:szCs w:val="26"/>
        </w:rPr>
        <w:t>. at 10 (citing OCA St. 5 at 58; OCA</w:t>
      </w:r>
      <w:r w:rsidR="008D6135">
        <w:rPr>
          <w:sz w:val="26"/>
          <w:szCs w:val="26"/>
        </w:rPr>
        <w:t> </w:t>
      </w:r>
      <w:r w:rsidRPr="00E9174E">
        <w:rPr>
          <w:sz w:val="26"/>
          <w:szCs w:val="26"/>
        </w:rPr>
        <w:t>M.B. at 181-82; OCA R.B. at 66-67).  Mr. Colton testified that the allocation should be based on the percentage of revenue provided by each customer class at base rates.</w:t>
      </w:r>
      <w:r w:rsidRPr="00E9174E" w:rsidDel="00EF7387">
        <w:rPr>
          <w:sz w:val="26"/>
          <w:szCs w:val="26"/>
        </w:rPr>
        <w:t xml:space="preserve"> </w:t>
      </w:r>
      <w:r w:rsidRPr="00E9174E">
        <w:rPr>
          <w:sz w:val="26"/>
          <w:szCs w:val="26"/>
        </w:rPr>
        <w:t xml:space="preserve"> Mr. Colton explained the cost impact on each customer class of the proposed allocation of universal service costs.  OCA Exc. at 10.  He testified as follows:</w:t>
      </w:r>
    </w:p>
    <w:p w14:paraId="385F7374" w14:textId="77777777" w:rsidR="006D7162" w:rsidRPr="00E9174E" w:rsidRDefault="006D7162" w:rsidP="00E9174E">
      <w:pPr>
        <w:widowControl/>
        <w:ind w:right="1440"/>
        <w:contextualSpacing/>
        <w:rPr>
          <w:sz w:val="26"/>
          <w:szCs w:val="26"/>
        </w:rPr>
      </w:pPr>
    </w:p>
    <w:p w14:paraId="40DCE994" w14:textId="677F2534" w:rsidR="006D7162" w:rsidRPr="00E9174E" w:rsidRDefault="006D7162" w:rsidP="00E9174E">
      <w:pPr>
        <w:widowControl/>
        <w:ind w:left="1440" w:right="1440"/>
        <w:contextualSpacing/>
        <w:rPr>
          <w:sz w:val="26"/>
          <w:szCs w:val="26"/>
        </w:rPr>
      </w:pPr>
      <w:r w:rsidRPr="00E9174E">
        <w:rPr>
          <w:sz w:val="26"/>
          <w:szCs w:val="26"/>
        </w:rPr>
        <w:t>Given that the future expenditures on [Columbia</w:t>
      </w:r>
      <w:r w:rsidR="0077147C" w:rsidRPr="00E9174E">
        <w:rPr>
          <w:sz w:val="26"/>
          <w:szCs w:val="26"/>
        </w:rPr>
        <w:t>’s</w:t>
      </w:r>
      <w:r w:rsidRPr="00E9174E">
        <w:rPr>
          <w:sz w:val="26"/>
          <w:szCs w:val="26"/>
        </w:rPr>
        <w:t>] universal service programs are not now known and measurable, I estimate the cost impacts of my recommendation using the past two complete years.  [Columbia] reports that it collected $32,333,857.91 in Universal Service Revenues in 2018.  [Columbia] reports that it collected 9,215,919.18 in Universal Service Revenues in 2019.  (OCA-IV-17).  The distribution of 2018 and 2019 Universal Service Revenues, had this allocation been in effect for those two years, is presented in S</w:t>
      </w:r>
      <w:bookmarkStart w:id="468" w:name="_BA_Cite_2300F4_000050"/>
      <w:bookmarkEnd w:id="468"/>
      <w:r w:rsidRPr="00E9174E">
        <w:rPr>
          <w:sz w:val="26"/>
          <w:szCs w:val="26"/>
        </w:rPr>
        <w:t>chedule RDC-4.  I note that it is the percentage of allocation that I recommend, not the dollar allocation.  Should the dollar of revenue at base rates differ based on the decisions in the proceeding, the percentages would change accordingly.</w:t>
      </w:r>
    </w:p>
    <w:p w14:paraId="75F9B4B2" w14:textId="77777777" w:rsidR="006D7162" w:rsidRPr="00E9174E" w:rsidRDefault="006D7162" w:rsidP="00E9174E">
      <w:pPr>
        <w:widowControl/>
        <w:spacing w:line="360" w:lineRule="auto"/>
        <w:ind w:right="1440"/>
        <w:contextualSpacing/>
        <w:rPr>
          <w:sz w:val="26"/>
          <w:szCs w:val="26"/>
        </w:rPr>
      </w:pPr>
    </w:p>
    <w:p w14:paraId="0795FA04" w14:textId="77777777" w:rsidR="006D7162" w:rsidRPr="00E9174E" w:rsidRDefault="006D7162" w:rsidP="00E9174E">
      <w:pPr>
        <w:widowControl/>
        <w:spacing w:line="360" w:lineRule="auto"/>
        <w:contextualSpacing/>
        <w:rPr>
          <w:sz w:val="26"/>
          <w:szCs w:val="26"/>
        </w:rPr>
      </w:pPr>
      <w:r w:rsidRPr="00E9174E">
        <w:rPr>
          <w:i/>
          <w:iCs/>
          <w:sz w:val="26"/>
          <w:szCs w:val="26"/>
        </w:rPr>
        <w:t>Id</w:t>
      </w:r>
      <w:r w:rsidRPr="00E9174E">
        <w:rPr>
          <w:sz w:val="26"/>
          <w:szCs w:val="26"/>
        </w:rPr>
        <w:t xml:space="preserve">. at 10-11 (citing OCA St. 5 at 58; OCA M.B. at 181).  For all of these reasons, the </w:t>
      </w:r>
      <w:r w:rsidRPr="00E9174E">
        <w:rPr>
          <w:rFonts w:eastAsiaTheme="minorHAnsi"/>
          <w:sz w:val="26"/>
          <w:szCs w:val="26"/>
        </w:rPr>
        <w:t>OCA submits that the Commission should adopt the OCA and CAUSE-PA’s proposal to allocate the costs of universal service programs to all customers.</w:t>
      </w:r>
      <w:r w:rsidRPr="00E9174E">
        <w:rPr>
          <w:sz w:val="26"/>
          <w:szCs w:val="26"/>
        </w:rPr>
        <w:t xml:space="preserve">   </w:t>
      </w:r>
    </w:p>
    <w:p w14:paraId="1FA52DEB" w14:textId="77777777" w:rsidR="006D7162" w:rsidRPr="00E9174E" w:rsidRDefault="006D7162" w:rsidP="00E9174E">
      <w:pPr>
        <w:widowControl/>
        <w:spacing w:line="360" w:lineRule="auto"/>
        <w:contextualSpacing/>
        <w:rPr>
          <w:sz w:val="26"/>
          <w:szCs w:val="26"/>
        </w:rPr>
      </w:pPr>
    </w:p>
    <w:p w14:paraId="12E680A9" w14:textId="04ADE984" w:rsidR="0077147C" w:rsidRPr="00E9174E" w:rsidRDefault="0077147C" w:rsidP="008D6135">
      <w:pPr>
        <w:pStyle w:val="Heading5"/>
      </w:pPr>
      <w:bookmarkStart w:id="469" w:name="_Toc63764631"/>
      <w:r w:rsidRPr="00E9174E">
        <w:t>CAUSE-PA Exception No. 2</w:t>
      </w:r>
      <w:bookmarkEnd w:id="469"/>
    </w:p>
    <w:p w14:paraId="4A2603D2" w14:textId="77777777" w:rsidR="0077147C" w:rsidRPr="00E9174E" w:rsidRDefault="0077147C" w:rsidP="00E9174E">
      <w:pPr>
        <w:keepNext/>
        <w:keepLines/>
        <w:widowControl/>
        <w:spacing w:line="360" w:lineRule="auto"/>
        <w:contextualSpacing/>
        <w:rPr>
          <w:sz w:val="26"/>
          <w:szCs w:val="26"/>
        </w:rPr>
      </w:pPr>
    </w:p>
    <w:p w14:paraId="1EDF4845" w14:textId="44D5CD28" w:rsidR="006D7162" w:rsidRPr="00E9174E" w:rsidRDefault="006D7162" w:rsidP="00E9174E">
      <w:pPr>
        <w:widowControl/>
        <w:spacing w:line="360" w:lineRule="auto"/>
        <w:ind w:firstLine="1440"/>
        <w:contextualSpacing/>
        <w:rPr>
          <w:rFonts w:eastAsia="Calibri"/>
          <w:sz w:val="26"/>
          <w:szCs w:val="26"/>
        </w:rPr>
      </w:pPr>
      <w:r w:rsidRPr="00E9174E">
        <w:rPr>
          <w:sz w:val="26"/>
          <w:szCs w:val="26"/>
        </w:rPr>
        <w:t>In its Exception No. 2, CAUSE-PA contends that the ALJ erred as a matter of law by not directing Columbia to equitably recover universal service costs across all rate classes.  CAUSE-PA Exc. at 8.  CAUSE-PA states that t</w:t>
      </w:r>
      <w:r w:rsidRPr="00E9174E">
        <w:rPr>
          <w:rFonts w:eastAsia="Calibri"/>
          <w:sz w:val="26"/>
          <w:szCs w:val="26"/>
        </w:rPr>
        <w:t xml:space="preserve">he Competition Act expressly states that the Commission must ensure universal service programs are “appropriately funded and available” to ensure that low-income customers can “maintain natural gas service” to their homes.  </w:t>
      </w:r>
      <w:r w:rsidRPr="00E9174E">
        <w:rPr>
          <w:rFonts w:eastAsia="Calibri"/>
          <w:i/>
          <w:iCs/>
          <w:sz w:val="26"/>
          <w:szCs w:val="26"/>
        </w:rPr>
        <w:t>Id.</w:t>
      </w:r>
      <w:r w:rsidRPr="00E9174E">
        <w:rPr>
          <w:rFonts w:eastAsia="Calibri"/>
          <w:sz w:val="26"/>
          <w:szCs w:val="26"/>
        </w:rPr>
        <w:t xml:space="preserve"> (citing 66 Pa. C.S. §</w:t>
      </w:r>
      <w:r w:rsidR="0077147C" w:rsidRPr="00E9174E">
        <w:rPr>
          <w:rFonts w:eastAsia="Calibri"/>
          <w:sz w:val="26"/>
          <w:szCs w:val="26"/>
        </w:rPr>
        <w:t>§</w:t>
      </w:r>
      <w:r w:rsidRPr="00E9174E">
        <w:rPr>
          <w:rFonts w:eastAsia="Calibri"/>
          <w:sz w:val="26"/>
          <w:szCs w:val="26"/>
        </w:rPr>
        <w:t xml:space="preserve"> 2202, 2203(7)</w:t>
      </w:r>
      <w:r w:rsidR="004F3007" w:rsidRPr="00E9174E">
        <w:rPr>
          <w:rFonts w:eastAsia="Calibri"/>
          <w:sz w:val="26"/>
          <w:szCs w:val="26"/>
        </w:rPr>
        <w:t xml:space="preserve"> and </w:t>
      </w:r>
      <w:r w:rsidRPr="00E9174E">
        <w:rPr>
          <w:rFonts w:eastAsia="Calibri"/>
          <w:sz w:val="26"/>
          <w:szCs w:val="26"/>
        </w:rPr>
        <w:t xml:space="preserve">(8)).  </w:t>
      </w:r>
      <w:r w:rsidRPr="00E9174E">
        <w:rPr>
          <w:rFonts w:eastAsia="Calibri"/>
          <w:sz w:val="26"/>
          <w:szCs w:val="26"/>
        </w:rPr>
        <w:lastRenderedPageBreak/>
        <w:t xml:space="preserve">CAUSE-PA explains that, in turn, the Competition Act authorizes the recovery of public purpose program costs, including universal service program costs, through a </w:t>
      </w:r>
      <w:proofErr w:type="spellStart"/>
      <w:r w:rsidRPr="00E9174E">
        <w:rPr>
          <w:rFonts w:eastAsia="Calibri"/>
          <w:bCs/>
          <w:iCs/>
          <w:sz w:val="26"/>
          <w:szCs w:val="26"/>
        </w:rPr>
        <w:t>nonbypassable</w:t>
      </w:r>
      <w:proofErr w:type="spellEnd"/>
      <w:r w:rsidRPr="00E9174E">
        <w:rPr>
          <w:rFonts w:eastAsia="Calibri"/>
          <w:bCs/>
          <w:iCs/>
          <w:sz w:val="26"/>
          <w:szCs w:val="26"/>
        </w:rPr>
        <w:t xml:space="preserve"> </w:t>
      </w:r>
      <w:r w:rsidRPr="00E9174E">
        <w:rPr>
          <w:rFonts w:eastAsia="Calibri"/>
          <w:sz w:val="26"/>
          <w:szCs w:val="26"/>
        </w:rPr>
        <w:t xml:space="preserve">rate mechanism.  CAUSE-PA Exc. at 8-9 (citing 66 Pa. C.S. § 2203(6)).  CAUSE-PA argues that for two decades, commercial and industrial customers have been allowed to bypass universal service program costs, and it is critical that the Commission stop the inequitable assignment of universal service program costs solely to the residential class.  CAUSE-PA Exc. at 9.    </w:t>
      </w:r>
    </w:p>
    <w:p w14:paraId="76E445DF" w14:textId="77777777" w:rsidR="006D7162" w:rsidRPr="00E9174E" w:rsidRDefault="006D7162" w:rsidP="00E9174E">
      <w:pPr>
        <w:widowControl/>
        <w:spacing w:line="360" w:lineRule="auto"/>
        <w:contextualSpacing/>
        <w:rPr>
          <w:rFonts w:eastAsia="Calibri"/>
          <w:sz w:val="26"/>
          <w:szCs w:val="26"/>
        </w:rPr>
      </w:pPr>
    </w:p>
    <w:p w14:paraId="2E596ECE" w14:textId="18C142DD" w:rsidR="006D7162" w:rsidRPr="00E9174E" w:rsidRDefault="006D7162" w:rsidP="00E9174E">
      <w:pPr>
        <w:widowControl/>
        <w:spacing w:line="360" w:lineRule="auto"/>
        <w:ind w:firstLine="1440"/>
        <w:contextualSpacing/>
        <w:rPr>
          <w:rFonts w:eastAsia="Calibri"/>
          <w:sz w:val="26"/>
          <w:szCs w:val="26"/>
        </w:rPr>
      </w:pPr>
      <w:r w:rsidRPr="00E9174E">
        <w:rPr>
          <w:rFonts w:eastAsia="Calibri"/>
          <w:sz w:val="26"/>
          <w:szCs w:val="26"/>
        </w:rPr>
        <w:t xml:space="preserve">Similarly to the OCA, CAUSE-PA states that the Commission provided a clear directive to consider the allocation of universal service costs in base rate proceedings.  </w:t>
      </w:r>
      <w:r w:rsidRPr="00E9174E">
        <w:rPr>
          <w:rFonts w:eastAsia="Calibri"/>
          <w:i/>
          <w:iCs/>
          <w:sz w:val="26"/>
          <w:szCs w:val="26"/>
        </w:rPr>
        <w:t>Id</w:t>
      </w:r>
      <w:r w:rsidRPr="00E9174E">
        <w:rPr>
          <w:rFonts w:eastAsia="Calibri"/>
          <w:sz w:val="26"/>
          <w:szCs w:val="26"/>
        </w:rPr>
        <w:t xml:space="preserve">.  CAUSE-PA notes that in the </w:t>
      </w:r>
      <w:r w:rsidRPr="00E9174E">
        <w:rPr>
          <w:rFonts w:eastAsia="Calibri"/>
          <w:i/>
          <w:iCs/>
          <w:sz w:val="26"/>
          <w:szCs w:val="26"/>
        </w:rPr>
        <w:t>Final CAP Policy Statement Order</w:t>
      </w:r>
      <w:r w:rsidRPr="00E9174E">
        <w:rPr>
          <w:rFonts w:eastAsia="Calibri"/>
          <w:sz w:val="26"/>
          <w:szCs w:val="26"/>
        </w:rPr>
        <w:t>, the Commission stated that it is “</w:t>
      </w:r>
      <w:r w:rsidRPr="00E9174E">
        <w:rPr>
          <w:rFonts w:eastAsia="Calibri"/>
          <w:bCs/>
          <w:sz w:val="26"/>
          <w:szCs w:val="26"/>
        </w:rPr>
        <w:t>appropriate to consider recovery of the costs of CAP from all ratepayer classes” and directed that “[u]</w:t>
      </w:r>
      <w:proofErr w:type="spellStart"/>
      <w:r w:rsidRPr="00E9174E">
        <w:rPr>
          <w:rFonts w:eastAsia="Calibri"/>
          <w:bCs/>
          <w:sz w:val="26"/>
          <w:szCs w:val="26"/>
        </w:rPr>
        <w:t>tilities</w:t>
      </w:r>
      <w:proofErr w:type="spellEnd"/>
      <w:r w:rsidRPr="00E9174E">
        <w:rPr>
          <w:rFonts w:eastAsia="Calibri"/>
          <w:bCs/>
          <w:sz w:val="26"/>
          <w:szCs w:val="26"/>
        </w:rPr>
        <w:t xml:space="preserve"> should be prepared to address recovery of CAP costs (and other universal service costs) from any ratepayer classes in their individual rate case filing</w:t>
      </w:r>
      <w:r w:rsidRPr="00E9174E">
        <w:rPr>
          <w:rFonts w:eastAsia="Calibri"/>
          <w:sz w:val="26"/>
          <w:szCs w:val="26"/>
        </w:rPr>
        <w:t xml:space="preserve">.”  </w:t>
      </w:r>
      <w:r w:rsidRPr="00E9174E">
        <w:rPr>
          <w:rFonts w:eastAsia="Calibri"/>
          <w:i/>
          <w:iCs/>
          <w:sz w:val="26"/>
          <w:szCs w:val="26"/>
        </w:rPr>
        <w:t>Id</w:t>
      </w:r>
      <w:r w:rsidRPr="00E9174E">
        <w:rPr>
          <w:rFonts w:eastAsia="Calibri"/>
          <w:sz w:val="26"/>
          <w:szCs w:val="26"/>
        </w:rPr>
        <w:t xml:space="preserve">. at 9-10 (citing </w:t>
      </w:r>
      <w:r w:rsidRPr="00E9174E">
        <w:rPr>
          <w:rFonts w:eastAsia="Calibri"/>
          <w:i/>
          <w:iCs/>
          <w:sz w:val="26"/>
          <w:szCs w:val="26"/>
        </w:rPr>
        <w:t>Final CAP Policy Statement Order</w:t>
      </w:r>
      <w:r w:rsidRPr="00E9174E">
        <w:rPr>
          <w:rFonts w:eastAsia="Calibri"/>
          <w:sz w:val="26"/>
          <w:szCs w:val="26"/>
        </w:rPr>
        <w:t xml:space="preserve"> at 80). </w:t>
      </w:r>
      <w:r w:rsidR="00592448" w:rsidRPr="00E9174E">
        <w:rPr>
          <w:rFonts w:eastAsia="Calibri"/>
          <w:sz w:val="26"/>
          <w:szCs w:val="26"/>
        </w:rPr>
        <w:t xml:space="preserve"> </w:t>
      </w:r>
      <w:r w:rsidRPr="00E9174E">
        <w:rPr>
          <w:rFonts w:eastAsia="Calibri"/>
          <w:sz w:val="26"/>
          <w:szCs w:val="26"/>
        </w:rPr>
        <w:t xml:space="preserve">The Commission indicated that it “will no longer routinely exempt non-residential classes from universal service obligations.”  CAUSE-PA Exc. at 10 (citing </w:t>
      </w:r>
      <w:r w:rsidRPr="00E9174E">
        <w:rPr>
          <w:rFonts w:eastAsia="Calibri"/>
          <w:i/>
          <w:iCs/>
          <w:sz w:val="26"/>
          <w:szCs w:val="26"/>
        </w:rPr>
        <w:t>Final CAP Policy Statement Order</w:t>
      </w:r>
      <w:r w:rsidRPr="00E9174E">
        <w:rPr>
          <w:rFonts w:eastAsia="Calibri"/>
          <w:sz w:val="26"/>
          <w:szCs w:val="26"/>
        </w:rPr>
        <w:t xml:space="preserve"> at 7, 97; 52 Pa. Code §§ 69.625(1), 69.266(b)).  CAUSE-PA acknowledges that while the Commission did not order utilities to propose a </w:t>
      </w:r>
      <w:r w:rsidRPr="00E9174E">
        <w:rPr>
          <w:rFonts w:eastAsia="Calibri"/>
          <w:iCs/>
          <w:sz w:val="26"/>
          <w:szCs w:val="26"/>
        </w:rPr>
        <w:t>specific</w:t>
      </w:r>
      <w:r w:rsidRPr="00E9174E">
        <w:rPr>
          <w:rFonts w:eastAsia="Calibri"/>
          <w:sz w:val="26"/>
          <w:szCs w:val="26"/>
        </w:rPr>
        <w:t xml:space="preserve"> allocation, it expressly indicated that individual utility rate cases are the appropriate forum to consider the recovery of CAP costs from all ratepayer classes.  CAUSE-PA Exc. at 10 (citing </w:t>
      </w:r>
      <w:r w:rsidRPr="00E9174E">
        <w:rPr>
          <w:rFonts w:eastAsia="Calibri"/>
          <w:i/>
          <w:iCs/>
          <w:sz w:val="26"/>
          <w:szCs w:val="26"/>
        </w:rPr>
        <w:t>Final CAP Policy Statement Order</w:t>
      </w:r>
      <w:r w:rsidRPr="00E9174E">
        <w:rPr>
          <w:rFonts w:eastAsia="Calibri"/>
          <w:sz w:val="26"/>
          <w:szCs w:val="26"/>
        </w:rPr>
        <w:t xml:space="preserve"> at 7, 97).</w:t>
      </w:r>
      <w:r w:rsidRPr="00E9174E">
        <w:rPr>
          <w:rFonts w:eastAsia="Calibri"/>
          <w:bCs/>
          <w:sz w:val="26"/>
          <w:szCs w:val="26"/>
          <w:vertAlign w:val="superscript"/>
        </w:rPr>
        <w:t xml:space="preserve"> </w:t>
      </w:r>
      <w:r w:rsidRPr="00E9174E">
        <w:rPr>
          <w:rFonts w:eastAsia="Calibri"/>
          <w:sz w:val="26"/>
          <w:szCs w:val="26"/>
        </w:rPr>
        <w:t xml:space="preserve">  CAUSE-PA observes that in doing so, the Commission stated that “poverty, poor housing stock, and other factors that contribute to households struggling to afford utility service are not just ‘residential class’ problems.”  CAUSE-PA Exc. at 10 (citing </w:t>
      </w:r>
      <w:bookmarkStart w:id="470" w:name="_Hlk61441663"/>
      <w:r w:rsidRPr="00E9174E">
        <w:rPr>
          <w:rFonts w:eastAsia="Calibri"/>
          <w:i/>
          <w:iCs/>
          <w:sz w:val="26"/>
          <w:szCs w:val="26"/>
        </w:rPr>
        <w:t>Final CAP Policy Statement Order</w:t>
      </w:r>
      <w:r w:rsidRPr="00E9174E">
        <w:rPr>
          <w:rFonts w:eastAsia="Calibri"/>
          <w:sz w:val="26"/>
          <w:szCs w:val="26"/>
        </w:rPr>
        <w:t xml:space="preserve"> </w:t>
      </w:r>
      <w:bookmarkEnd w:id="470"/>
      <w:r w:rsidRPr="00E9174E">
        <w:rPr>
          <w:rFonts w:eastAsia="Calibri"/>
          <w:sz w:val="26"/>
          <w:szCs w:val="26"/>
        </w:rPr>
        <w:t xml:space="preserve">at 94).  </w:t>
      </w:r>
    </w:p>
    <w:p w14:paraId="37FC92CD" w14:textId="77777777" w:rsidR="006D7162" w:rsidRPr="00E9174E" w:rsidRDefault="006D7162" w:rsidP="00E9174E">
      <w:pPr>
        <w:widowControl/>
        <w:spacing w:line="360" w:lineRule="auto"/>
        <w:contextualSpacing/>
        <w:rPr>
          <w:rFonts w:eastAsia="Calibri"/>
          <w:sz w:val="26"/>
          <w:szCs w:val="26"/>
        </w:rPr>
      </w:pPr>
    </w:p>
    <w:p w14:paraId="6F98A4A0" w14:textId="07569D92" w:rsidR="006D7162" w:rsidRPr="00E9174E" w:rsidRDefault="006D7162" w:rsidP="00E9174E">
      <w:pPr>
        <w:widowControl/>
        <w:spacing w:line="360" w:lineRule="auto"/>
        <w:ind w:firstLine="1440"/>
        <w:contextualSpacing/>
        <w:rPr>
          <w:rFonts w:eastAsia="Calibri"/>
          <w:sz w:val="26"/>
          <w:szCs w:val="26"/>
        </w:rPr>
      </w:pPr>
      <w:r w:rsidRPr="00E9174E">
        <w:rPr>
          <w:rFonts w:eastAsia="Calibri"/>
          <w:sz w:val="26"/>
          <w:szCs w:val="26"/>
        </w:rPr>
        <w:t>CAUSE-PA discusses the testimony of its witness Mr. Miller who explained that universal service programs and other public purpose programs</w:t>
      </w:r>
      <w:r w:rsidRPr="00E9174E">
        <w:rPr>
          <w:rFonts w:eastAsia="Calibri"/>
          <w:b/>
          <w:sz w:val="26"/>
          <w:szCs w:val="26"/>
        </w:rPr>
        <w:t xml:space="preserve"> </w:t>
      </w:r>
      <w:r w:rsidRPr="00E9174E">
        <w:rPr>
          <w:rFonts w:eastAsia="Calibri"/>
          <w:sz w:val="26"/>
          <w:szCs w:val="26"/>
        </w:rPr>
        <w:t xml:space="preserve">are designed to prevent far-ranging societal impacts by ensuring that all Pennsylvanians have </w:t>
      </w:r>
      <w:r w:rsidRPr="00E9174E">
        <w:rPr>
          <w:rFonts w:eastAsia="Calibri"/>
          <w:sz w:val="26"/>
          <w:szCs w:val="26"/>
        </w:rPr>
        <w:lastRenderedPageBreak/>
        <w:t>access to basic human needs like heat and hot water.  Mr. Miller testified that energy poverty is a societal problem caused by a myriad of external factors and can have far-ranging consequences on all aspects of public and private life.  CAUSE-PA Exc. at 10 (citing CAUSE-PA St. 1 at 39-42.)</w:t>
      </w:r>
      <w:r w:rsidR="00C0729A" w:rsidRPr="00E9174E">
        <w:rPr>
          <w:rFonts w:eastAsia="Calibri"/>
          <w:sz w:val="26"/>
          <w:szCs w:val="26"/>
        </w:rPr>
        <w:t>.</w:t>
      </w:r>
      <w:r w:rsidRPr="00E9174E">
        <w:rPr>
          <w:rFonts w:eastAsia="Calibri"/>
          <w:sz w:val="26"/>
          <w:szCs w:val="26"/>
        </w:rPr>
        <w:t xml:space="preserve">  Mr. Miller also testified that the majority of universal service program participants are either employed, but not being paid a wage adequate to afford basic household needs or</w:t>
      </w:r>
      <w:r w:rsidR="00C0729A" w:rsidRPr="00E9174E">
        <w:rPr>
          <w:rFonts w:eastAsia="Calibri"/>
          <w:sz w:val="26"/>
          <w:szCs w:val="26"/>
        </w:rPr>
        <w:t xml:space="preserve"> are</w:t>
      </w:r>
      <w:r w:rsidRPr="00E9174E">
        <w:rPr>
          <w:rFonts w:eastAsia="Calibri"/>
          <w:sz w:val="26"/>
          <w:szCs w:val="26"/>
        </w:rPr>
        <w:t xml:space="preserve"> retired and not receiving enough in Social Security or retirement to afford basic life necessities.  Thus, according to Mr. Miller, employers at least partially contribute to the cause of energy poverty because they do not pay their employees enough to cover basic expenses.  CAUSE-PA Exc. at 10 (citing CAUSE-PA St. 1 at 39-40).  </w:t>
      </w:r>
    </w:p>
    <w:p w14:paraId="4DF08C61" w14:textId="77777777" w:rsidR="006D7162" w:rsidRPr="00E9174E" w:rsidRDefault="006D7162" w:rsidP="00E9174E">
      <w:pPr>
        <w:widowControl/>
        <w:spacing w:line="360" w:lineRule="auto"/>
        <w:contextualSpacing/>
        <w:rPr>
          <w:rFonts w:eastAsia="Calibri"/>
          <w:sz w:val="26"/>
          <w:szCs w:val="26"/>
        </w:rPr>
      </w:pPr>
      <w:r w:rsidRPr="00E9174E">
        <w:rPr>
          <w:rFonts w:eastAsia="Calibri"/>
          <w:sz w:val="26"/>
          <w:szCs w:val="26"/>
        </w:rPr>
        <w:t xml:space="preserve">  </w:t>
      </w:r>
    </w:p>
    <w:p w14:paraId="204641A1" w14:textId="77777777" w:rsidR="006D7162" w:rsidRPr="00E9174E" w:rsidRDefault="006D7162" w:rsidP="00E9174E">
      <w:pPr>
        <w:widowControl/>
        <w:spacing w:line="360" w:lineRule="auto"/>
        <w:ind w:firstLine="1440"/>
        <w:contextualSpacing/>
        <w:rPr>
          <w:rFonts w:eastAsia="Calibri"/>
          <w:sz w:val="26"/>
          <w:szCs w:val="26"/>
        </w:rPr>
      </w:pPr>
      <w:r w:rsidRPr="00E9174E">
        <w:rPr>
          <w:rFonts w:eastAsia="Calibri"/>
          <w:sz w:val="26"/>
          <w:szCs w:val="26"/>
        </w:rPr>
        <w:t xml:space="preserve">Additionally, CAUSE-PA believes that non-residential customers not only contribute to the </w:t>
      </w:r>
      <w:r w:rsidRPr="00E9174E">
        <w:rPr>
          <w:rFonts w:eastAsia="Calibri"/>
          <w:iCs/>
          <w:sz w:val="26"/>
          <w:szCs w:val="26"/>
        </w:rPr>
        <w:t xml:space="preserve">cause </w:t>
      </w:r>
      <w:r w:rsidRPr="00E9174E">
        <w:rPr>
          <w:rFonts w:eastAsia="Calibri"/>
          <w:sz w:val="26"/>
          <w:szCs w:val="26"/>
        </w:rPr>
        <w:t xml:space="preserve">of energy poverty, but they also </w:t>
      </w:r>
      <w:r w:rsidRPr="00E9174E">
        <w:rPr>
          <w:rFonts w:eastAsia="Calibri"/>
          <w:iCs/>
          <w:sz w:val="26"/>
          <w:szCs w:val="26"/>
        </w:rPr>
        <w:t>benefit f</w:t>
      </w:r>
      <w:r w:rsidRPr="00E9174E">
        <w:rPr>
          <w:rFonts w:eastAsia="Calibri"/>
          <w:sz w:val="26"/>
          <w:szCs w:val="26"/>
        </w:rPr>
        <w:t xml:space="preserve">rom universal service programs, and, therefore, it is fair that they contribute to fund the programs.  CAUSE-PA Exc. at 10-11.  For example, CAUSE-PA states that low-income customers faced with energy payment issues often experience heightened levels of stress, anxiety, and depression, and must take time away from work to arrange payments, locate or apply for assistance programs, and arrange for reconnection – all of which can undermine worker productivity and attendance and increase employee turn-over.  </w:t>
      </w:r>
      <w:r w:rsidRPr="00E9174E">
        <w:rPr>
          <w:rFonts w:eastAsia="Calibri"/>
          <w:i/>
          <w:iCs/>
          <w:sz w:val="26"/>
          <w:szCs w:val="26"/>
        </w:rPr>
        <w:t>Id</w:t>
      </w:r>
      <w:r w:rsidRPr="00E9174E">
        <w:rPr>
          <w:rFonts w:eastAsia="Calibri"/>
          <w:sz w:val="26"/>
          <w:szCs w:val="26"/>
        </w:rPr>
        <w:t>. at 11.  CAUSE-PA agrees with the Commission’s observation that, “[H]</w:t>
      </w:r>
      <w:proofErr w:type="spellStart"/>
      <w:r w:rsidRPr="00E9174E">
        <w:rPr>
          <w:rFonts w:eastAsia="Calibri"/>
          <w:sz w:val="26"/>
          <w:szCs w:val="26"/>
        </w:rPr>
        <w:t>elping</w:t>
      </w:r>
      <w:proofErr w:type="spellEnd"/>
      <w:r w:rsidRPr="00E9174E">
        <w:rPr>
          <w:rFonts w:eastAsia="Calibri"/>
          <w:sz w:val="26"/>
          <w:szCs w:val="26"/>
        </w:rPr>
        <w:t xml:space="preserve"> low-income families maintain utility service and remain in their homes is also a benefit to the economic climate of a community.”  </w:t>
      </w:r>
      <w:r w:rsidRPr="00E9174E">
        <w:rPr>
          <w:rFonts w:eastAsia="Calibri"/>
          <w:i/>
          <w:iCs/>
          <w:sz w:val="26"/>
          <w:szCs w:val="26"/>
        </w:rPr>
        <w:t>Id</w:t>
      </w:r>
      <w:r w:rsidRPr="00E9174E">
        <w:rPr>
          <w:rFonts w:eastAsia="Calibri"/>
          <w:sz w:val="26"/>
          <w:szCs w:val="26"/>
        </w:rPr>
        <w:t xml:space="preserve">. (citing </w:t>
      </w:r>
      <w:r w:rsidRPr="00E9174E">
        <w:rPr>
          <w:rFonts w:eastAsia="Calibri"/>
          <w:i/>
          <w:iCs/>
          <w:sz w:val="26"/>
          <w:szCs w:val="26"/>
        </w:rPr>
        <w:t>Final CAP Policy Statement Order</w:t>
      </w:r>
      <w:r w:rsidRPr="00E9174E">
        <w:rPr>
          <w:rFonts w:eastAsia="Calibri"/>
          <w:sz w:val="26"/>
          <w:szCs w:val="26"/>
        </w:rPr>
        <w:t xml:space="preserve"> at 94).  </w:t>
      </w:r>
    </w:p>
    <w:p w14:paraId="42506F8A" w14:textId="77777777" w:rsidR="006D7162" w:rsidRPr="00E9174E" w:rsidRDefault="006D7162" w:rsidP="00E9174E">
      <w:pPr>
        <w:widowControl/>
        <w:spacing w:line="360" w:lineRule="auto"/>
        <w:contextualSpacing/>
        <w:rPr>
          <w:rFonts w:eastAsia="Calibri"/>
          <w:sz w:val="26"/>
          <w:szCs w:val="26"/>
        </w:rPr>
      </w:pPr>
      <w:r w:rsidRPr="00E9174E">
        <w:rPr>
          <w:rFonts w:eastAsia="Calibri"/>
          <w:sz w:val="26"/>
          <w:szCs w:val="26"/>
        </w:rPr>
        <w:t xml:space="preserve"> </w:t>
      </w:r>
    </w:p>
    <w:p w14:paraId="22D3E7DD" w14:textId="5032B389" w:rsidR="006D7162" w:rsidRPr="00E9174E" w:rsidRDefault="006D7162" w:rsidP="00E9174E">
      <w:pPr>
        <w:widowControl/>
        <w:spacing w:line="360" w:lineRule="auto"/>
        <w:ind w:firstLine="1440"/>
        <w:contextualSpacing/>
        <w:rPr>
          <w:rFonts w:eastAsiaTheme="minorHAnsi"/>
          <w:sz w:val="26"/>
          <w:szCs w:val="26"/>
        </w:rPr>
      </w:pPr>
      <w:r w:rsidRPr="00E9174E">
        <w:rPr>
          <w:rFonts w:eastAsia="Calibri"/>
          <w:sz w:val="26"/>
          <w:szCs w:val="26"/>
        </w:rPr>
        <w:t>Further, CAUSE-PA asserts that particularly significant to the current proceeding is the importance of universal service programming to help mitigate the economic and public health impacts of the COVID-19 pandemic and to help reduce the burden on the health system.  CAUSE-PA Exc. at 11 (citing CAUSE-PA St. 1 at 17, 41</w:t>
      </w:r>
      <w:r w:rsidR="001F09B0">
        <w:rPr>
          <w:rFonts w:eastAsia="Calibri"/>
          <w:sz w:val="26"/>
          <w:szCs w:val="26"/>
        </w:rPr>
        <w:noBreakHyphen/>
      </w:r>
      <w:r w:rsidRPr="00E9174E">
        <w:rPr>
          <w:rFonts w:eastAsia="Calibri"/>
          <w:sz w:val="26"/>
          <w:szCs w:val="26"/>
        </w:rPr>
        <w:t>42).  CAUSE-PA states that u</w:t>
      </w:r>
      <w:r w:rsidRPr="00E9174E">
        <w:rPr>
          <w:rFonts w:eastAsiaTheme="minorHAnsi"/>
          <w:sz w:val="26"/>
          <w:szCs w:val="26"/>
        </w:rPr>
        <w:t xml:space="preserve">niversal service programming, such as CAP and LIURP, help provide affordable service to low-income customers, which reduces the risk that </w:t>
      </w:r>
      <w:r w:rsidRPr="00E9174E">
        <w:rPr>
          <w:rFonts w:eastAsiaTheme="minorHAnsi"/>
          <w:sz w:val="26"/>
          <w:szCs w:val="26"/>
        </w:rPr>
        <w:lastRenderedPageBreak/>
        <w:t xml:space="preserve">they will forego food and medicine, keep homes at unsafe temperatures, or otherwise resort to unsafe heating alternatives.  These programs help low-income customers maintain natural gas service, which is necessary for hot water to wash and sanitize and </w:t>
      </w:r>
      <w:r w:rsidR="00656B25" w:rsidRPr="00E9174E">
        <w:rPr>
          <w:rFonts w:eastAsiaTheme="minorHAnsi"/>
          <w:sz w:val="26"/>
          <w:szCs w:val="26"/>
        </w:rPr>
        <w:t xml:space="preserve">for </w:t>
      </w:r>
      <w:r w:rsidRPr="00E9174E">
        <w:rPr>
          <w:rFonts w:eastAsiaTheme="minorHAnsi"/>
          <w:sz w:val="26"/>
          <w:szCs w:val="26"/>
        </w:rPr>
        <w:t>heat for working/schooling from home; both of which are vital to helping curb the spread of disease, including COVID-19.  CAUSE-PA avers that universal service programs benefit all utility consumers and the economy by helping to prevent the further spread of COVID-19 in low-income and minority communities.  CAUSE-PA Exc. at 12 (citing CAUSE-PA St. 1 at 41-42).  For these reasons, CAUSE-PA submits that it is neither just nor reasonable for Columbia to continue to recover its universal service costs exclusively from the residential class.  CAUSE-PA Exc. at 12 (citing 66 Pa. C.S. §</w:t>
      </w:r>
      <w:r w:rsidR="00656B25" w:rsidRPr="00E9174E">
        <w:rPr>
          <w:rFonts w:eastAsiaTheme="minorHAnsi"/>
          <w:sz w:val="26"/>
          <w:szCs w:val="26"/>
        </w:rPr>
        <w:t> </w:t>
      </w:r>
      <w:r w:rsidRPr="00E9174E">
        <w:rPr>
          <w:rFonts w:eastAsiaTheme="minorHAnsi"/>
          <w:sz w:val="26"/>
          <w:szCs w:val="26"/>
        </w:rPr>
        <w:t xml:space="preserve">2203(6); 66 Pa. C.S. § 1301; </w:t>
      </w:r>
      <w:r w:rsidRPr="00E9174E">
        <w:rPr>
          <w:rFonts w:eastAsiaTheme="minorHAnsi"/>
          <w:i/>
          <w:iCs/>
          <w:sz w:val="26"/>
          <w:szCs w:val="26"/>
        </w:rPr>
        <w:t>Final CAP Policy Statement Order</w:t>
      </w:r>
      <w:r w:rsidRPr="00E9174E">
        <w:rPr>
          <w:rFonts w:eastAsiaTheme="minorHAnsi"/>
          <w:sz w:val="26"/>
          <w:szCs w:val="26"/>
        </w:rPr>
        <w:t xml:space="preserve"> at 94-97). </w:t>
      </w:r>
    </w:p>
    <w:p w14:paraId="3672BDE3" w14:textId="77777777" w:rsidR="006D7162" w:rsidRPr="00E9174E" w:rsidRDefault="006D7162" w:rsidP="00E9174E">
      <w:pPr>
        <w:widowControl/>
        <w:spacing w:line="360" w:lineRule="auto"/>
        <w:contextualSpacing/>
        <w:rPr>
          <w:sz w:val="26"/>
          <w:szCs w:val="26"/>
        </w:rPr>
      </w:pPr>
    </w:p>
    <w:p w14:paraId="1846916C" w14:textId="410A00DB" w:rsidR="00DE7F13" w:rsidRPr="00E9174E" w:rsidRDefault="00DE7F13" w:rsidP="00833A66">
      <w:pPr>
        <w:pStyle w:val="Heading5"/>
      </w:pPr>
      <w:bookmarkStart w:id="471" w:name="_Toc63764632"/>
      <w:r w:rsidRPr="00E9174E">
        <w:t>Replies</w:t>
      </w:r>
      <w:bookmarkEnd w:id="471"/>
    </w:p>
    <w:p w14:paraId="0FFEF50D" w14:textId="77777777" w:rsidR="00DE7F13" w:rsidRPr="00E9174E" w:rsidRDefault="00DE7F13" w:rsidP="00E9174E">
      <w:pPr>
        <w:keepNext/>
        <w:keepLines/>
        <w:widowControl/>
        <w:spacing w:line="360" w:lineRule="auto"/>
        <w:contextualSpacing/>
        <w:rPr>
          <w:rFonts w:eastAsiaTheme="minorHAnsi"/>
          <w:sz w:val="26"/>
          <w:szCs w:val="26"/>
        </w:rPr>
      </w:pPr>
    </w:p>
    <w:p w14:paraId="6AEB7492" w14:textId="4977E986" w:rsidR="006D7162" w:rsidRPr="00E9174E" w:rsidRDefault="006D7162" w:rsidP="00E9174E">
      <w:pPr>
        <w:widowControl/>
        <w:spacing w:line="360" w:lineRule="auto"/>
        <w:ind w:firstLine="1440"/>
        <w:contextualSpacing/>
        <w:rPr>
          <w:rFonts w:eastAsiaTheme="minorHAnsi"/>
          <w:sz w:val="26"/>
          <w:szCs w:val="26"/>
        </w:rPr>
      </w:pPr>
      <w:r w:rsidRPr="00E9174E">
        <w:rPr>
          <w:rFonts w:eastAsiaTheme="minorHAnsi"/>
          <w:sz w:val="26"/>
          <w:szCs w:val="26"/>
        </w:rPr>
        <w:t xml:space="preserve">In its Replies to Exceptions, Columbia states that the ALJ properly determined that the Company’s existing practice of recovering </w:t>
      </w:r>
      <w:bookmarkStart w:id="472" w:name="_Hlk63283711"/>
      <w:r w:rsidRPr="00E9174E">
        <w:rPr>
          <w:rFonts w:eastAsiaTheme="minorHAnsi"/>
          <w:sz w:val="26"/>
          <w:szCs w:val="26"/>
        </w:rPr>
        <w:t>USP</w:t>
      </w:r>
      <w:bookmarkEnd w:id="472"/>
      <w:r w:rsidRPr="00E9174E">
        <w:rPr>
          <w:rFonts w:eastAsiaTheme="minorHAnsi"/>
          <w:sz w:val="26"/>
          <w:szCs w:val="26"/>
        </w:rPr>
        <w:t xml:space="preserve"> costs from the residential class through Rider USP should not be changed.  CG R. Exc. at 19.  Columbia agrees with the ALJ that the issue of USP cost allocation should not be addressed in a utility’s base rate case.  Columbia avers that the allocation of USP costs outside of the Residential class has far-reaching implications.  Columbia notes that most Pennsylvania utilities, including those in Western Pennsylvania where Columbia operates, recover USP costs from the residential class.  Accordingly, Columbia submits that the OCA and CAUSE-PA’s proposal would impose an obligation on Columbia’s C&amp;I customers that is not placed on the C&amp;I customers of other Pennsylvania utilities</w:t>
      </w:r>
      <w:bookmarkStart w:id="473" w:name="_BA_Cite_EAF4C8_000365"/>
      <w:bookmarkEnd w:id="473"/>
      <w:r w:rsidRPr="00E9174E">
        <w:rPr>
          <w:rFonts w:eastAsiaTheme="minorHAnsi"/>
          <w:sz w:val="26"/>
          <w:szCs w:val="26"/>
        </w:rPr>
        <w:t xml:space="preserve">.  Columbia believes that requiring only Columbia’s C&amp;I customers, and not the C&amp;I customers of competing natural gas distribution companies, to contribute to the costs of these programs could result in C&amp;I customers bypassing Columbia where they have the option to do so.  With fewer C&amp;I customers, a greater portion of the Company’s revenue requirement would be recovered from all remaining customers, including residential customers.  </w:t>
      </w:r>
      <w:r w:rsidRPr="00E9174E">
        <w:rPr>
          <w:rFonts w:eastAsiaTheme="minorHAnsi"/>
          <w:i/>
          <w:iCs/>
          <w:sz w:val="26"/>
          <w:szCs w:val="26"/>
        </w:rPr>
        <w:t>Id</w:t>
      </w:r>
      <w:r w:rsidRPr="00E9174E">
        <w:rPr>
          <w:rFonts w:eastAsiaTheme="minorHAnsi"/>
          <w:sz w:val="26"/>
          <w:szCs w:val="26"/>
        </w:rPr>
        <w:t xml:space="preserve">. at 20.  </w:t>
      </w:r>
      <w:r w:rsidRPr="00E9174E">
        <w:rPr>
          <w:rFonts w:eastAsiaTheme="minorHAnsi"/>
          <w:sz w:val="26"/>
          <w:szCs w:val="26"/>
        </w:rPr>
        <w:lastRenderedPageBreak/>
        <w:t xml:space="preserve">Columbia also states that the OCA and CAUSE-PA’s proposal fails to account for how the revenue allocation would be adjusted for C&amp;I customers with existing flex rate contracts that could not absorb the additional charge for USP costs.  As such, Columbia contends that it is inappropriate to change the allocation of USP costs for customers of a single utility in a base rate case.  </w:t>
      </w:r>
      <w:r w:rsidRPr="00E9174E">
        <w:rPr>
          <w:rFonts w:eastAsiaTheme="minorHAnsi"/>
          <w:i/>
          <w:iCs/>
          <w:sz w:val="26"/>
          <w:szCs w:val="26"/>
        </w:rPr>
        <w:t>Id</w:t>
      </w:r>
      <w:r w:rsidRPr="00E9174E">
        <w:rPr>
          <w:rFonts w:eastAsiaTheme="minorHAnsi"/>
          <w:sz w:val="26"/>
          <w:szCs w:val="26"/>
        </w:rPr>
        <w:t xml:space="preserve">. at 21.  </w:t>
      </w:r>
    </w:p>
    <w:p w14:paraId="65E3ED56" w14:textId="77777777" w:rsidR="006D7162" w:rsidRPr="00E9174E" w:rsidRDefault="006D7162" w:rsidP="00E9174E">
      <w:pPr>
        <w:widowControl/>
        <w:spacing w:line="360" w:lineRule="auto"/>
        <w:contextualSpacing/>
        <w:rPr>
          <w:rFonts w:eastAsiaTheme="minorHAnsi"/>
          <w:sz w:val="26"/>
          <w:szCs w:val="26"/>
        </w:rPr>
      </w:pPr>
    </w:p>
    <w:p w14:paraId="7414F673" w14:textId="04FEA659" w:rsidR="006D7162" w:rsidRPr="00E9174E" w:rsidRDefault="006D7162" w:rsidP="00E9174E">
      <w:pPr>
        <w:widowControl/>
        <w:spacing w:line="360" w:lineRule="auto"/>
        <w:ind w:firstLine="1440"/>
        <w:contextualSpacing/>
        <w:rPr>
          <w:rFonts w:eastAsiaTheme="minorHAnsi"/>
          <w:sz w:val="26"/>
          <w:szCs w:val="26"/>
        </w:rPr>
      </w:pPr>
      <w:r w:rsidRPr="00E9174E">
        <w:rPr>
          <w:rFonts w:eastAsiaTheme="minorHAnsi"/>
          <w:sz w:val="26"/>
          <w:szCs w:val="26"/>
        </w:rPr>
        <w:t xml:space="preserve">In response to the OCA’s argument that the ALJ overlooked the </w:t>
      </w:r>
      <w:r w:rsidR="00031E31" w:rsidRPr="00E9174E">
        <w:rPr>
          <w:rFonts w:eastAsiaTheme="minorHAnsi"/>
          <w:sz w:val="26"/>
          <w:szCs w:val="26"/>
        </w:rPr>
        <w:t>“</w:t>
      </w:r>
      <w:r w:rsidRPr="00E9174E">
        <w:rPr>
          <w:rFonts w:eastAsiaTheme="minorHAnsi"/>
          <w:sz w:val="26"/>
          <w:szCs w:val="26"/>
        </w:rPr>
        <w:t>public goods</w:t>
      </w:r>
      <w:r w:rsidR="00031E31" w:rsidRPr="00E9174E">
        <w:rPr>
          <w:rFonts w:eastAsiaTheme="minorHAnsi"/>
          <w:sz w:val="26"/>
          <w:szCs w:val="26"/>
        </w:rPr>
        <w:t>”</w:t>
      </w:r>
      <w:r w:rsidRPr="00E9174E">
        <w:rPr>
          <w:rFonts w:eastAsiaTheme="minorHAnsi"/>
          <w:sz w:val="26"/>
          <w:szCs w:val="26"/>
        </w:rPr>
        <w:t xml:space="preserve"> doctrine, Columbia states the OCA’s public goods theory does not support its proposed USP cost allocation.  Columbia states that universal service programs were created to reduce costs for residential ratepayers related to customer arrearages and collections.  Columbia also states that C&amp;I customers do not cause Columbia to incur any costs related to residential customer arrearages and collections, nor do C&amp;I customers benefit when these costs are reduced.  Columbia asserts that allocating the costs of universal service programs outside of the residential class based on the OCA’s “public goods” theory would violate the principle of cost causation set forth in </w:t>
      </w:r>
      <w:r w:rsidRPr="00E9174E">
        <w:rPr>
          <w:rFonts w:eastAsiaTheme="minorHAnsi"/>
          <w:i/>
          <w:iCs/>
          <w:sz w:val="26"/>
          <w:szCs w:val="26"/>
        </w:rPr>
        <w:t>Lloyd</w:t>
      </w:r>
      <w:r w:rsidRPr="00E9174E">
        <w:rPr>
          <w:rFonts w:eastAsiaTheme="minorHAnsi"/>
          <w:sz w:val="26"/>
          <w:szCs w:val="26"/>
        </w:rPr>
        <w:t>, 904 A.2d at</w:t>
      </w:r>
      <w:r w:rsidR="005C471E">
        <w:rPr>
          <w:rFonts w:eastAsiaTheme="minorHAnsi"/>
          <w:sz w:val="26"/>
          <w:szCs w:val="26"/>
        </w:rPr>
        <w:t> </w:t>
      </w:r>
      <w:r w:rsidRPr="00E9174E">
        <w:rPr>
          <w:rFonts w:eastAsiaTheme="minorHAnsi"/>
          <w:sz w:val="26"/>
          <w:szCs w:val="26"/>
        </w:rPr>
        <w:t xml:space="preserve">1016-21.  CG R. Exc. at 21.  </w:t>
      </w:r>
    </w:p>
    <w:p w14:paraId="633F7D6E" w14:textId="677619D8" w:rsidR="006D7162" w:rsidRPr="00E9174E" w:rsidRDefault="006D7162" w:rsidP="00E9174E">
      <w:pPr>
        <w:widowControl/>
        <w:spacing w:line="360" w:lineRule="auto"/>
        <w:contextualSpacing/>
        <w:rPr>
          <w:rFonts w:eastAsiaTheme="minorHAnsi"/>
          <w:sz w:val="26"/>
          <w:szCs w:val="26"/>
        </w:rPr>
      </w:pPr>
    </w:p>
    <w:p w14:paraId="15BBD548" w14:textId="77777777" w:rsidR="006D7162" w:rsidRPr="00E9174E" w:rsidRDefault="006D7162" w:rsidP="00E9174E">
      <w:pPr>
        <w:widowControl/>
        <w:spacing w:line="360" w:lineRule="auto"/>
        <w:ind w:firstLine="1440"/>
        <w:contextualSpacing/>
        <w:rPr>
          <w:rFonts w:eastAsiaTheme="minorHAnsi"/>
          <w:sz w:val="26"/>
          <w:szCs w:val="26"/>
        </w:rPr>
      </w:pPr>
      <w:r w:rsidRPr="00E9174E">
        <w:rPr>
          <w:rFonts w:eastAsiaTheme="minorHAnsi"/>
          <w:sz w:val="26"/>
          <w:szCs w:val="26"/>
        </w:rPr>
        <w:t xml:space="preserve">Columbia continues that when considered in conjunction with the OCA’s revenue allocation proposal in this proceeding, allocating USP costs outside of the residential class would result in an even greater amount of revenue being allocated to C&amp;I customers, contrary to the principles of fairness and gradualism.  Columbia avers that under the OCA’s proposed revenue allocation, C&amp;I customers would pay more than their fair share of the revenue increase, and the OCA and CAUSE-PA’s USP cost allocation proposal would exacerbate the OCA’s already inequitable revenue allocation.  </w:t>
      </w:r>
      <w:r w:rsidRPr="00E9174E">
        <w:rPr>
          <w:rFonts w:eastAsiaTheme="minorHAnsi"/>
          <w:i/>
          <w:iCs/>
          <w:sz w:val="26"/>
          <w:szCs w:val="26"/>
        </w:rPr>
        <w:t>Id</w:t>
      </w:r>
      <w:r w:rsidRPr="00E9174E">
        <w:rPr>
          <w:rFonts w:eastAsiaTheme="minorHAnsi"/>
          <w:sz w:val="26"/>
          <w:szCs w:val="26"/>
        </w:rPr>
        <w:t xml:space="preserve">. </w:t>
      </w:r>
    </w:p>
    <w:p w14:paraId="61F1E958" w14:textId="77777777" w:rsidR="006D7162" w:rsidRPr="00E9174E" w:rsidRDefault="006D7162" w:rsidP="00E9174E">
      <w:pPr>
        <w:widowControl/>
        <w:spacing w:line="360" w:lineRule="auto"/>
        <w:contextualSpacing/>
        <w:rPr>
          <w:rFonts w:eastAsiaTheme="minorHAnsi"/>
          <w:sz w:val="26"/>
          <w:szCs w:val="26"/>
        </w:rPr>
      </w:pPr>
    </w:p>
    <w:p w14:paraId="1891CC08" w14:textId="2CCE29C7" w:rsidR="006D7162" w:rsidRPr="00E9174E" w:rsidRDefault="006D7162" w:rsidP="00E9174E">
      <w:pPr>
        <w:widowControl/>
        <w:spacing w:line="360" w:lineRule="auto"/>
        <w:ind w:firstLine="1440"/>
        <w:contextualSpacing/>
        <w:rPr>
          <w:rFonts w:eastAsiaTheme="minorHAnsi"/>
          <w:sz w:val="26"/>
          <w:szCs w:val="26"/>
        </w:rPr>
      </w:pPr>
      <w:r w:rsidRPr="00E9174E">
        <w:rPr>
          <w:rFonts w:eastAsiaTheme="minorHAnsi"/>
          <w:sz w:val="26"/>
          <w:szCs w:val="26"/>
        </w:rPr>
        <w:t>Further, Columbia responds to the OCA and CAUSE-PA’s argument that the word “</w:t>
      </w:r>
      <w:proofErr w:type="spellStart"/>
      <w:r w:rsidRPr="00E9174E">
        <w:rPr>
          <w:rFonts w:eastAsiaTheme="minorHAnsi"/>
          <w:sz w:val="26"/>
          <w:szCs w:val="26"/>
        </w:rPr>
        <w:t>nonbypassable</w:t>
      </w:r>
      <w:proofErr w:type="spellEnd"/>
      <w:r w:rsidRPr="00E9174E">
        <w:rPr>
          <w:rFonts w:eastAsiaTheme="minorHAnsi"/>
          <w:sz w:val="26"/>
          <w:szCs w:val="26"/>
        </w:rPr>
        <w:t xml:space="preserve">” in 66 Pa. C.S. § 2203(6) means that all rate classes must pay for USP costs and </w:t>
      </w:r>
      <w:r w:rsidR="0025553B" w:rsidRPr="00E9174E">
        <w:rPr>
          <w:rFonts w:eastAsiaTheme="minorHAnsi"/>
          <w:sz w:val="26"/>
          <w:szCs w:val="26"/>
        </w:rPr>
        <w:t xml:space="preserve">that </w:t>
      </w:r>
      <w:r w:rsidRPr="00E9174E">
        <w:rPr>
          <w:rFonts w:eastAsiaTheme="minorHAnsi"/>
          <w:sz w:val="26"/>
          <w:szCs w:val="26"/>
        </w:rPr>
        <w:t xml:space="preserve">no customer can avoid these costs.  Columbia argues that the </w:t>
      </w:r>
      <w:r w:rsidRPr="00E9174E">
        <w:rPr>
          <w:rFonts w:eastAsiaTheme="minorHAnsi"/>
          <w:sz w:val="26"/>
          <w:szCs w:val="26"/>
        </w:rPr>
        <w:lastRenderedPageBreak/>
        <w:t>Competition Act provides no support for the OCA and CAUSE-PA’s argument.  CG</w:t>
      </w:r>
      <w:r w:rsidR="005C471E">
        <w:rPr>
          <w:rFonts w:eastAsiaTheme="minorHAnsi"/>
          <w:sz w:val="26"/>
          <w:szCs w:val="26"/>
        </w:rPr>
        <w:t> </w:t>
      </w:r>
      <w:r w:rsidRPr="00E9174E">
        <w:rPr>
          <w:rFonts w:eastAsiaTheme="minorHAnsi"/>
          <w:sz w:val="26"/>
          <w:szCs w:val="26"/>
        </w:rPr>
        <w:t>R.</w:t>
      </w:r>
      <w:r w:rsidR="005C471E">
        <w:rPr>
          <w:rFonts w:eastAsiaTheme="minorHAnsi"/>
          <w:sz w:val="26"/>
          <w:szCs w:val="26"/>
        </w:rPr>
        <w:t> </w:t>
      </w:r>
      <w:r w:rsidRPr="00E9174E">
        <w:rPr>
          <w:rFonts w:eastAsiaTheme="minorHAnsi"/>
          <w:sz w:val="26"/>
          <w:szCs w:val="26"/>
        </w:rPr>
        <w:t>Exc. at 22.  Columbia states that the Commission and the Commonwealth Court have rejected the OCA and CAUSE-PA’s interpretation of the word “</w:t>
      </w:r>
      <w:proofErr w:type="spellStart"/>
      <w:r w:rsidRPr="00E9174E">
        <w:rPr>
          <w:rFonts w:eastAsiaTheme="minorHAnsi"/>
          <w:sz w:val="26"/>
          <w:szCs w:val="26"/>
        </w:rPr>
        <w:t>nonbypassable</w:t>
      </w:r>
      <w:proofErr w:type="spellEnd"/>
      <w:r w:rsidRPr="00E9174E">
        <w:rPr>
          <w:rFonts w:eastAsiaTheme="minorHAnsi"/>
          <w:sz w:val="26"/>
          <w:szCs w:val="26"/>
        </w:rPr>
        <w:t xml:space="preserve">.”  </w:t>
      </w:r>
      <w:r w:rsidRPr="00E9174E">
        <w:rPr>
          <w:rFonts w:eastAsiaTheme="minorHAnsi"/>
          <w:i/>
          <w:iCs/>
          <w:sz w:val="26"/>
          <w:szCs w:val="26"/>
        </w:rPr>
        <w:t>Id</w:t>
      </w:r>
      <w:r w:rsidRPr="00E9174E">
        <w:rPr>
          <w:rFonts w:eastAsiaTheme="minorHAnsi"/>
          <w:sz w:val="26"/>
          <w:szCs w:val="26"/>
        </w:rPr>
        <w:t xml:space="preserve">. (citing </w:t>
      </w:r>
      <w:bookmarkStart w:id="474" w:name="_BA_Cite_EAF4C8_001327"/>
      <w:bookmarkStart w:id="475" w:name="_BA_Cite_EAF4C8_001213"/>
      <w:bookmarkStart w:id="476" w:name="_BA_Cite_EAF4C8_001217"/>
      <w:bookmarkEnd w:id="474"/>
      <w:bookmarkEnd w:id="475"/>
      <w:bookmarkEnd w:id="476"/>
      <w:r w:rsidRPr="00E9174E">
        <w:rPr>
          <w:rFonts w:eastAsiaTheme="minorHAnsi"/>
          <w:i/>
          <w:iCs/>
          <w:sz w:val="26"/>
          <w:szCs w:val="26"/>
        </w:rPr>
        <w:t>Met-Ed Indus. Users Group</w:t>
      </w:r>
      <w:r w:rsidRPr="00E9174E">
        <w:rPr>
          <w:rFonts w:eastAsiaTheme="minorHAnsi"/>
          <w:sz w:val="26"/>
          <w:szCs w:val="26"/>
        </w:rPr>
        <w:t xml:space="preserve">).  According to Columbia, in </w:t>
      </w:r>
      <w:r w:rsidRPr="00E9174E">
        <w:rPr>
          <w:rFonts w:eastAsiaTheme="minorHAnsi"/>
          <w:i/>
          <w:iCs/>
          <w:sz w:val="26"/>
          <w:szCs w:val="26"/>
        </w:rPr>
        <w:t>Met-Ed Indus. Users Group</w:t>
      </w:r>
      <w:r w:rsidRPr="00E9174E">
        <w:rPr>
          <w:rFonts w:eastAsiaTheme="minorHAnsi"/>
          <w:sz w:val="26"/>
          <w:szCs w:val="26"/>
        </w:rPr>
        <w:t>, the Commission stated that a “</w:t>
      </w:r>
      <w:proofErr w:type="spellStart"/>
      <w:r w:rsidRPr="00E9174E">
        <w:rPr>
          <w:rFonts w:eastAsiaTheme="minorHAnsi"/>
          <w:sz w:val="26"/>
          <w:szCs w:val="26"/>
        </w:rPr>
        <w:t>nonbypassable</w:t>
      </w:r>
      <w:proofErr w:type="spellEnd"/>
      <w:r w:rsidRPr="00E9174E">
        <w:rPr>
          <w:rFonts w:eastAsiaTheme="minorHAnsi"/>
          <w:sz w:val="26"/>
          <w:szCs w:val="26"/>
        </w:rPr>
        <w:t>” charge is one that is paid by all customers in a rate class regardless of whether the customers in that rate class shop or take default service.  A “</w:t>
      </w:r>
      <w:proofErr w:type="spellStart"/>
      <w:r w:rsidRPr="00E9174E">
        <w:rPr>
          <w:rFonts w:eastAsiaTheme="minorHAnsi"/>
          <w:sz w:val="26"/>
          <w:szCs w:val="26"/>
        </w:rPr>
        <w:t>nonbypassable</w:t>
      </w:r>
      <w:proofErr w:type="spellEnd"/>
      <w:r w:rsidRPr="00E9174E">
        <w:rPr>
          <w:rFonts w:eastAsiaTheme="minorHAnsi"/>
          <w:sz w:val="26"/>
          <w:szCs w:val="26"/>
        </w:rPr>
        <w:t xml:space="preserve">” charge does not imply that the charge must be paid by all rate classes.  CG R. Exc. at 22.  </w:t>
      </w:r>
    </w:p>
    <w:p w14:paraId="2C4D1A6F" w14:textId="77777777" w:rsidR="006D7162" w:rsidRPr="00E9174E" w:rsidRDefault="006D7162" w:rsidP="00E9174E">
      <w:pPr>
        <w:widowControl/>
        <w:spacing w:line="360" w:lineRule="auto"/>
        <w:contextualSpacing/>
        <w:rPr>
          <w:rFonts w:eastAsiaTheme="minorHAnsi"/>
          <w:sz w:val="26"/>
          <w:szCs w:val="26"/>
        </w:rPr>
      </w:pPr>
    </w:p>
    <w:p w14:paraId="24FBF1C3" w14:textId="44EFE5EB" w:rsidR="006D7162" w:rsidRPr="00E9174E" w:rsidRDefault="006D7162" w:rsidP="00E9174E">
      <w:pPr>
        <w:widowControl/>
        <w:kinsoku w:val="0"/>
        <w:overflowPunct w:val="0"/>
        <w:spacing w:line="360" w:lineRule="auto"/>
        <w:ind w:right="144" w:firstLine="1440"/>
        <w:contextualSpacing/>
        <w:textAlignment w:val="baseline"/>
        <w:rPr>
          <w:rFonts w:eastAsiaTheme="minorHAnsi"/>
          <w:sz w:val="26"/>
          <w:szCs w:val="26"/>
        </w:rPr>
      </w:pPr>
      <w:r w:rsidRPr="00E9174E">
        <w:rPr>
          <w:rFonts w:eastAsiaTheme="minorHAnsi"/>
          <w:sz w:val="26"/>
          <w:szCs w:val="26"/>
        </w:rPr>
        <w:t xml:space="preserve">In its Replies to Exceptions, the OSBA avers that the ALJ correctly recommended against allocating universal service costs to all customer classes.  The OSBA respectfully requests that the Commission defer consideration of the allocation of universal service costs until Columbia’s small business and industrial customers have financially recovered from the COVID-19 </w:t>
      </w:r>
      <w:r w:rsidR="00EB31A5" w:rsidRPr="00E9174E">
        <w:rPr>
          <w:rFonts w:eastAsiaTheme="minorHAnsi"/>
          <w:sz w:val="26"/>
          <w:szCs w:val="26"/>
        </w:rPr>
        <w:t>p</w:t>
      </w:r>
      <w:r w:rsidRPr="00E9174E">
        <w:rPr>
          <w:rFonts w:eastAsiaTheme="minorHAnsi"/>
          <w:sz w:val="26"/>
          <w:szCs w:val="26"/>
        </w:rPr>
        <w:t>andemic.  The OSBA indicates that in making its proposal, the OCA ignores the testimony of its own witness Mr. Rubin regarding the impact of the pandemic on small businesses.  OSBA R. Exc. at 4 (citing OCA St. 1 at 16-17).  The OSBA asserts that Columbia’s small business ratepayers have been devastated by the pandemic and adding this cost to their bills would be unjust and unreasonable at this time.  OSBA R. Exc. at 4.</w:t>
      </w:r>
    </w:p>
    <w:p w14:paraId="70768CB8" w14:textId="77777777" w:rsidR="006D7162" w:rsidRPr="00E9174E" w:rsidRDefault="006D7162" w:rsidP="00E9174E">
      <w:pPr>
        <w:widowControl/>
        <w:kinsoku w:val="0"/>
        <w:overflowPunct w:val="0"/>
        <w:spacing w:line="360" w:lineRule="auto"/>
        <w:ind w:right="144"/>
        <w:contextualSpacing/>
        <w:textAlignment w:val="baseline"/>
        <w:rPr>
          <w:rFonts w:eastAsiaTheme="minorHAnsi"/>
          <w:sz w:val="26"/>
          <w:szCs w:val="26"/>
        </w:rPr>
      </w:pPr>
    </w:p>
    <w:p w14:paraId="0F01689B" w14:textId="77777777" w:rsidR="006D7162" w:rsidRPr="00E9174E" w:rsidRDefault="006D7162" w:rsidP="00E9174E">
      <w:pPr>
        <w:widowControl/>
        <w:kinsoku w:val="0"/>
        <w:overflowPunct w:val="0"/>
        <w:spacing w:line="360" w:lineRule="auto"/>
        <w:ind w:right="144" w:firstLine="1440"/>
        <w:contextualSpacing/>
        <w:textAlignment w:val="baseline"/>
        <w:rPr>
          <w:rFonts w:eastAsiaTheme="minorHAnsi"/>
          <w:sz w:val="26"/>
          <w:szCs w:val="26"/>
        </w:rPr>
      </w:pPr>
      <w:r w:rsidRPr="00E9174E">
        <w:rPr>
          <w:rFonts w:eastAsiaTheme="minorHAnsi"/>
          <w:sz w:val="26"/>
          <w:szCs w:val="26"/>
        </w:rPr>
        <w:t>The OSBA next responds to the OCA and CAUSE-PA’s arguments relying on the Commission’s recently updated CAP Policy Statement.  The OSBA explains its interpretation of the Commission’s reasoning for this possible change in CAP recovery and concludes that the OCA and CAUSE-PA’s proposal fails under the Commission’s “revenue and expense impacts” test.  OSBA R. Exc. at 6, 7.  The OSBA’s witness Mr. Knecht explained his interpretation of the Commission’s reasoning for this possible change in CAP cost recovery, as follows:</w:t>
      </w:r>
    </w:p>
    <w:p w14:paraId="4416BC3A" w14:textId="77777777" w:rsidR="006D7162" w:rsidRPr="00E9174E" w:rsidRDefault="006D7162" w:rsidP="00E9174E">
      <w:pPr>
        <w:widowControl/>
        <w:kinsoku w:val="0"/>
        <w:overflowPunct w:val="0"/>
        <w:spacing w:line="360" w:lineRule="auto"/>
        <w:ind w:right="144"/>
        <w:contextualSpacing/>
        <w:textAlignment w:val="baseline"/>
        <w:rPr>
          <w:rFonts w:eastAsiaTheme="minorHAnsi"/>
          <w:sz w:val="26"/>
          <w:szCs w:val="26"/>
        </w:rPr>
      </w:pPr>
    </w:p>
    <w:p w14:paraId="373FE692" w14:textId="77777777" w:rsidR="006D7162" w:rsidRPr="00E9174E" w:rsidRDefault="006D7162" w:rsidP="00E9174E">
      <w:pPr>
        <w:widowControl/>
        <w:kinsoku w:val="0"/>
        <w:overflowPunct w:val="0"/>
        <w:ind w:left="1440" w:right="1440"/>
        <w:contextualSpacing/>
        <w:textAlignment w:val="baseline"/>
        <w:rPr>
          <w:rFonts w:eastAsiaTheme="minorHAnsi"/>
          <w:sz w:val="26"/>
          <w:szCs w:val="26"/>
        </w:rPr>
      </w:pPr>
      <w:r w:rsidRPr="00E9174E">
        <w:rPr>
          <w:rFonts w:eastAsiaTheme="minorHAnsi"/>
          <w:sz w:val="26"/>
          <w:szCs w:val="26"/>
        </w:rPr>
        <w:lastRenderedPageBreak/>
        <w:t>The Commission’s primary motivation for considering a change in the cost recovery method was not based on any identifiable change in regulatory philosophy or cost causation principles.  The rationale for considering a change to the policy appears to be that the low-income assistance programs have become unaffordable to those residential customers who are ineligible or who otherwise do not participate in the programs.</w:t>
      </w:r>
    </w:p>
    <w:p w14:paraId="297D3F4A" w14:textId="77777777" w:rsidR="006D7162" w:rsidRPr="00E9174E" w:rsidRDefault="006D7162" w:rsidP="00753710">
      <w:pPr>
        <w:widowControl/>
        <w:kinsoku w:val="0"/>
        <w:overflowPunct w:val="0"/>
        <w:spacing w:line="360" w:lineRule="auto"/>
        <w:ind w:right="1440"/>
        <w:contextualSpacing/>
        <w:textAlignment w:val="baseline"/>
        <w:rPr>
          <w:rFonts w:eastAsiaTheme="minorHAnsi"/>
          <w:sz w:val="26"/>
          <w:szCs w:val="26"/>
        </w:rPr>
      </w:pPr>
    </w:p>
    <w:p w14:paraId="44F1C1F7" w14:textId="592C5544" w:rsidR="006D7162" w:rsidRPr="00E9174E" w:rsidRDefault="006D7162" w:rsidP="00E9174E">
      <w:pPr>
        <w:widowControl/>
        <w:kinsoku w:val="0"/>
        <w:overflowPunct w:val="0"/>
        <w:spacing w:line="360" w:lineRule="auto"/>
        <w:ind w:right="43"/>
        <w:contextualSpacing/>
        <w:textAlignment w:val="baseline"/>
        <w:rPr>
          <w:rFonts w:eastAsiaTheme="minorHAnsi"/>
          <w:sz w:val="26"/>
          <w:szCs w:val="26"/>
        </w:rPr>
      </w:pPr>
      <w:r w:rsidRPr="00E9174E">
        <w:rPr>
          <w:rFonts w:eastAsiaTheme="minorHAnsi"/>
          <w:sz w:val="26"/>
          <w:szCs w:val="26"/>
        </w:rPr>
        <w:t xml:space="preserve">OSBA R. Exc. at 6 (citing OSBA St. 1-R at 3; </w:t>
      </w:r>
      <w:r w:rsidRPr="00E9174E">
        <w:rPr>
          <w:rFonts w:eastAsiaTheme="minorHAnsi"/>
          <w:i/>
          <w:iCs/>
          <w:sz w:val="26"/>
          <w:szCs w:val="26"/>
        </w:rPr>
        <w:t>Final Policy Statement Order</w:t>
      </w:r>
      <w:r w:rsidRPr="00E9174E">
        <w:rPr>
          <w:rFonts w:eastAsiaTheme="minorHAnsi"/>
          <w:sz w:val="26"/>
          <w:szCs w:val="26"/>
        </w:rPr>
        <w:t xml:space="preserve"> at 93).  (citations omitted). </w:t>
      </w:r>
    </w:p>
    <w:p w14:paraId="09AAF088" w14:textId="77777777" w:rsidR="006D7162" w:rsidRPr="00E9174E" w:rsidRDefault="006D7162" w:rsidP="00E9174E">
      <w:pPr>
        <w:widowControl/>
        <w:kinsoku w:val="0"/>
        <w:overflowPunct w:val="0"/>
        <w:spacing w:line="360" w:lineRule="auto"/>
        <w:ind w:right="288"/>
        <w:contextualSpacing/>
        <w:textAlignment w:val="baseline"/>
        <w:rPr>
          <w:rFonts w:eastAsiaTheme="minorHAnsi"/>
          <w:sz w:val="26"/>
          <w:szCs w:val="26"/>
        </w:rPr>
      </w:pPr>
    </w:p>
    <w:p w14:paraId="7DDA560A" w14:textId="77777777" w:rsidR="006D7162" w:rsidRPr="00E9174E" w:rsidRDefault="006D7162" w:rsidP="00E9174E">
      <w:pPr>
        <w:widowControl/>
        <w:kinsoku w:val="0"/>
        <w:overflowPunct w:val="0"/>
        <w:spacing w:line="360" w:lineRule="auto"/>
        <w:ind w:right="288" w:firstLine="1440"/>
        <w:contextualSpacing/>
        <w:textAlignment w:val="baseline"/>
        <w:rPr>
          <w:rFonts w:eastAsiaTheme="minorHAnsi"/>
          <w:sz w:val="26"/>
          <w:szCs w:val="26"/>
        </w:rPr>
      </w:pPr>
      <w:r w:rsidRPr="00E9174E">
        <w:rPr>
          <w:rFonts w:eastAsiaTheme="minorHAnsi"/>
          <w:sz w:val="26"/>
          <w:szCs w:val="26"/>
        </w:rPr>
        <w:t>Additionally, the OSBA points out that in the Policy Statement, the Commission instructs that it will consider revenue and expense impacts when evaluating utility CAPs for ratemaking purposes.  OSBA R. Exc. at 6 (citing</w:t>
      </w:r>
    </w:p>
    <w:p w14:paraId="3C23A629" w14:textId="77777777" w:rsidR="006D7162" w:rsidRPr="00E9174E" w:rsidRDefault="006D7162" w:rsidP="00E9174E">
      <w:pPr>
        <w:widowControl/>
        <w:kinsoku w:val="0"/>
        <w:overflowPunct w:val="0"/>
        <w:spacing w:line="360" w:lineRule="auto"/>
        <w:contextualSpacing/>
        <w:textAlignment w:val="baseline"/>
        <w:rPr>
          <w:rFonts w:eastAsiaTheme="minorHAnsi"/>
          <w:sz w:val="26"/>
          <w:szCs w:val="26"/>
        </w:rPr>
      </w:pPr>
      <w:r w:rsidRPr="00E9174E">
        <w:rPr>
          <w:rFonts w:eastAsiaTheme="minorHAnsi"/>
          <w:sz w:val="26"/>
          <w:szCs w:val="26"/>
        </w:rPr>
        <w:t>52 Pa. Code § 69.266(a)).  The OSBA explains that to consider the “revenue and expense impacts” Mr. Knecht performed the follow calculation:</w:t>
      </w:r>
    </w:p>
    <w:p w14:paraId="3EAA355B" w14:textId="77777777" w:rsidR="006D7162" w:rsidRPr="00E9174E" w:rsidRDefault="006D7162" w:rsidP="00753710">
      <w:pPr>
        <w:widowControl/>
        <w:kinsoku w:val="0"/>
        <w:overflowPunct w:val="0"/>
        <w:contextualSpacing/>
        <w:textAlignment w:val="baseline"/>
        <w:rPr>
          <w:rFonts w:eastAsiaTheme="minorHAnsi"/>
          <w:sz w:val="26"/>
          <w:szCs w:val="26"/>
        </w:rPr>
      </w:pPr>
    </w:p>
    <w:p w14:paraId="22CDC252" w14:textId="77777777" w:rsidR="006D7162" w:rsidRPr="00E9174E" w:rsidRDefault="006D7162" w:rsidP="00E9174E">
      <w:pPr>
        <w:widowControl/>
        <w:kinsoku w:val="0"/>
        <w:overflowPunct w:val="0"/>
        <w:ind w:left="1440" w:right="2088"/>
        <w:contextualSpacing/>
        <w:textAlignment w:val="baseline"/>
        <w:rPr>
          <w:rFonts w:eastAsiaTheme="minorHAnsi"/>
          <w:sz w:val="26"/>
          <w:szCs w:val="26"/>
        </w:rPr>
      </w:pPr>
      <w:r w:rsidRPr="00E9174E">
        <w:rPr>
          <w:rFonts w:eastAsiaTheme="minorHAnsi"/>
          <w:sz w:val="26"/>
          <w:szCs w:val="26"/>
        </w:rPr>
        <w:t xml:space="preserve">The current rates USP charge for residential customers is approximately 68 cents per </w:t>
      </w:r>
      <w:proofErr w:type="spellStart"/>
      <w:r w:rsidRPr="00E9174E">
        <w:rPr>
          <w:rFonts w:eastAsiaTheme="minorHAnsi"/>
          <w:sz w:val="26"/>
          <w:szCs w:val="26"/>
        </w:rPr>
        <w:t>Dth</w:t>
      </w:r>
      <w:proofErr w:type="spellEnd"/>
      <w:r w:rsidRPr="00E9174E">
        <w:rPr>
          <w:rFonts w:eastAsiaTheme="minorHAnsi"/>
          <w:sz w:val="26"/>
          <w:szCs w:val="26"/>
        </w:rPr>
        <w:t>, or about $4.84 per non-CAP customer per month.</w:t>
      </w:r>
    </w:p>
    <w:p w14:paraId="4AA48A99" w14:textId="77777777" w:rsidR="006D7162" w:rsidRPr="00E9174E" w:rsidRDefault="006D7162" w:rsidP="00E9174E">
      <w:pPr>
        <w:widowControl/>
        <w:kinsoku w:val="0"/>
        <w:overflowPunct w:val="0"/>
        <w:ind w:left="1440" w:right="2088" w:hanging="1440"/>
        <w:contextualSpacing/>
        <w:textAlignment w:val="baseline"/>
        <w:rPr>
          <w:rFonts w:eastAsiaTheme="minorHAnsi"/>
          <w:sz w:val="26"/>
          <w:szCs w:val="26"/>
        </w:rPr>
      </w:pPr>
    </w:p>
    <w:p w14:paraId="2565DC03" w14:textId="77777777" w:rsidR="006D7162" w:rsidRPr="00E9174E" w:rsidRDefault="006D7162" w:rsidP="00E9174E">
      <w:pPr>
        <w:widowControl/>
        <w:kinsoku w:val="0"/>
        <w:overflowPunct w:val="0"/>
        <w:ind w:left="1440" w:hanging="1440"/>
        <w:contextualSpacing/>
        <w:jc w:val="center"/>
        <w:textAlignment w:val="baseline"/>
        <w:rPr>
          <w:rFonts w:eastAsiaTheme="minorHAnsi"/>
          <w:sz w:val="26"/>
          <w:szCs w:val="26"/>
        </w:rPr>
      </w:pPr>
      <w:r w:rsidRPr="00E9174E">
        <w:rPr>
          <w:rFonts w:eastAsiaTheme="minorHAnsi"/>
          <w:sz w:val="26"/>
          <w:szCs w:val="26"/>
        </w:rPr>
        <w:t>* * *</w:t>
      </w:r>
    </w:p>
    <w:p w14:paraId="4FB61D0E" w14:textId="77777777" w:rsidR="006D7162" w:rsidRPr="00E9174E" w:rsidRDefault="006D7162" w:rsidP="00E9174E">
      <w:pPr>
        <w:widowControl/>
        <w:kinsoku w:val="0"/>
        <w:overflowPunct w:val="0"/>
        <w:ind w:left="1440" w:hanging="1440"/>
        <w:contextualSpacing/>
        <w:jc w:val="center"/>
        <w:textAlignment w:val="baseline"/>
        <w:rPr>
          <w:rFonts w:eastAsiaTheme="minorHAnsi"/>
          <w:sz w:val="26"/>
          <w:szCs w:val="26"/>
        </w:rPr>
      </w:pPr>
    </w:p>
    <w:p w14:paraId="1885843F" w14:textId="77777777" w:rsidR="006D7162" w:rsidRPr="00E9174E" w:rsidRDefault="006D7162" w:rsidP="00E9174E">
      <w:pPr>
        <w:widowControl/>
        <w:kinsoku w:val="0"/>
        <w:overflowPunct w:val="0"/>
        <w:ind w:left="1440" w:right="1440"/>
        <w:contextualSpacing/>
        <w:textAlignment w:val="baseline"/>
        <w:rPr>
          <w:rFonts w:eastAsiaTheme="minorHAnsi"/>
          <w:sz w:val="26"/>
          <w:szCs w:val="26"/>
        </w:rPr>
      </w:pPr>
      <w:r w:rsidRPr="00E9174E">
        <w:rPr>
          <w:rFonts w:eastAsiaTheme="minorHAnsi"/>
          <w:sz w:val="26"/>
          <w:szCs w:val="26"/>
        </w:rPr>
        <w:t xml:space="preserve">Under Mr. Colton’s proposal, I estimate that the test year universal service charge for residential customers would average $4.22 per month ($4.14 with Mr. </w:t>
      </w:r>
      <w:proofErr w:type="spellStart"/>
      <w:r w:rsidRPr="00E9174E">
        <w:rPr>
          <w:rFonts w:eastAsiaTheme="minorHAnsi"/>
          <w:sz w:val="26"/>
          <w:szCs w:val="26"/>
        </w:rPr>
        <w:t>Mierzwa’s</w:t>
      </w:r>
      <w:proofErr w:type="spellEnd"/>
      <w:r w:rsidRPr="00E9174E">
        <w:rPr>
          <w:rFonts w:eastAsiaTheme="minorHAnsi"/>
          <w:sz w:val="26"/>
          <w:szCs w:val="26"/>
        </w:rPr>
        <w:t xml:space="preserve"> revenue allocation), a savings of about 60 to 70 cents per month relative to the current rates.</w:t>
      </w:r>
    </w:p>
    <w:p w14:paraId="552F166A" w14:textId="77777777" w:rsidR="006D7162" w:rsidRPr="00E9174E" w:rsidRDefault="006D7162" w:rsidP="00E9174E">
      <w:pPr>
        <w:widowControl/>
        <w:kinsoku w:val="0"/>
        <w:overflowPunct w:val="0"/>
        <w:spacing w:line="360" w:lineRule="auto"/>
        <w:ind w:left="1440" w:hanging="1440"/>
        <w:contextualSpacing/>
        <w:textAlignment w:val="baseline"/>
        <w:rPr>
          <w:rFonts w:eastAsiaTheme="minorHAnsi"/>
          <w:sz w:val="26"/>
          <w:szCs w:val="26"/>
        </w:rPr>
      </w:pPr>
    </w:p>
    <w:p w14:paraId="0A7BBCD3" w14:textId="14CFF476" w:rsidR="006D7162" w:rsidRPr="00E9174E" w:rsidRDefault="006D7162" w:rsidP="00E9174E">
      <w:pPr>
        <w:widowControl/>
        <w:kinsoku w:val="0"/>
        <w:overflowPunct w:val="0"/>
        <w:spacing w:line="360" w:lineRule="auto"/>
        <w:contextualSpacing/>
        <w:textAlignment w:val="baseline"/>
        <w:rPr>
          <w:rFonts w:eastAsiaTheme="minorHAnsi"/>
          <w:sz w:val="26"/>
          <w:szCs w:val="26"/>
        </w:rPr>
      </w:pPr>
      <w:r w:rsidRPr="00E9174E">
        <w:rPr>
          <w:rFonts w:eastAsiaTheme="minorHAnsi"/>
          <w:sz w:val="26"/>
          <w:szCs w:val="26"/>
        </w:rPr>
        <w:t>OSBA R. Exc. at 7 (citing OSBA St. 1-R at 7).  Accordingly, the OSBA states that compared to the Company’s original</w:t>
      </w:r>
      <w:r w:rsidRPr="00E9174E">
        <w:rPr>
          <w:rFonts w:eastAsiaTheme="minorHAnsi"/>
          <w:i/>
          <w:iCs/>
          <w:sz w:val="26"/>
          <w:szCs w:val="26"/>
        </w:rPr>
        <w:t xml:space="preserve"> </w:t>
      </w:r>
      <w:r w:rsidRPr="00E9174E">
        <w:rPr>
          <w:rFonts w:eastAsiaTheme="minorHAnsi"/>
          <w:sz w:val="26"/>
          <w:szCs w:val="26"/>
        </w:rPr>
        <w:t xml:space="preserve">filed USP rates, Mr. Colton’s proposal would save the typical residential customer about $1.30 a month.  The OSBA contends that an additional $1.30 per month does not impact CAP costs to such an extent that those costs </w:t>
      </w:r>
      <w:r w:rsidRPr="00E9174E">
        <w:rPr>
          <w:rFonts w:eastAsiaTheme="minorHAnsi"/>
          <w:sz w:val="26"/>
          <w:szCs w:val="26"/>
        </w:rPr>
        <w:lastRenderedPageBreak/>
        <w:t>must be allocated to the Company’s non</w:t>
      </w:r>
      <w:r w:rsidR="001363BA" w:rsidRPr="00E9174E">
        <w:rPr>
          <w:rFonts w:eastAsiaTheme="minorHAnsi"/>
          <w:sz w:val="26"/>
          <w:szCs w:val="26"/>
        </w:rPr>
        <w:t>-</w:t>
      </w:r>
      <w:r w:rsidRPr="00E9174E">
        <w:rPr>
          <w:rFonts w:eastAsiaTheme="minorHAnsi"/>
          <w:sz w:val="26"/>
          <w:szCs w:val="26"/>
        </w:rPr>
        <w:t>residential customer classes.  OSBA R. Exc. at</w:t>
      </w:r>
      <w:r w:rsidR="009712B7" w:rsidRPr="00E9174E">
        <w:rPr>
          <w:rFonts w:eastAsiaTheme="minorHAnsi"/>
          <w:sz w:val="26"/>
          <w:szCs w:val="26"/>
        </w:rPr>
        <w:t> </w:t>
      </w:r>
      <w:r w:rsidRPr="00E9174E">
        <w:rPr>
          <w:rFonts w:eastAsiaTheme="minorHAnsi"/>
          <w:sz w:val="26"/>
          <w:szCs w:val="26"/>
        </w:rPr>
        <w:t xml:space="preserve">7. </w:t>
      </w:r>
    </w:p>
    <w:p w14:paraId="650DEAAA" w14:textId="77777777" w:rsidR="00191C33" w:rsidRPr="00E9174E" w:rsidRDefault="00191C33" w:rsidP="00E9174E">
      <w:pPr>
        <w:widowControl/>
        <w:kinsoku w:val="0"/>
        <w:overflowPunct w:val="0"/>
        <w:spacing w:line="360" w:lineRule="auto"/>
        <w:contextualSpacing/>
        <w:textAlignment w:val="baseline"/>
        <w:rPr>
          <w:rFonts w:eastAsiaTheme="minorHAnsi"/>
          <w:sz w:val="26"/>
          <w:szCs w:val="26"/>
        </w:rPr>
      </w:pPr>
    </w:p>
    <w:p w14:paraId="66083825" w14:textId="7392B237" w:rsidR="006D7162" w:rsidRPr="00E9174E" w:rsidRDefault="006D7162" w:rsidP="00E9174E">
      <w:pPr>
        <w:widowControl/>
        <w:kinsoku w:val="0"/>
        <w:overflowPunct w:val="0"/>
        <w:spacing w:line="360" w:lineRule="auto"/>
        <w:ind w:left="90" w:firstLine="1350"/>
        <w:contextualSpacing/>
        <w:textAlignment w:val="baseline"/>
        <w:rPr>
          <w:rFonts w:eastAsiaTheme="minorHAnsi"/>
          <w:sz w:val="26"/>
          <w:szCs w:val="26"/>
        </w:rPr>
      </w:pPr>
      <w:r w:rsidRPr="00E9174E">
        <w:rPr>
          <w:rFonts w:eastAsiaTheme="minorHAnsi"/>
          <w:sz w:val="26"/>
          <w:szCs w:val="26"/>
        </w:rPr>
        <w:t xml:space="preserve">Further, the OSBA argues that the OCA and CAUSE-PA’s arguments fail because neither party supporting the proposed change in cost allocation has provided an evaluation of the combined impacts of the rate increase and the change in universal service cost recovery on business customers.  However, the OSBA states that Mr. Knecht did so. </w:t>
      </w:r>
      <w:r w:rsidR="00031979" w:rsidRPr="00E9174E">
        <w:rPr>
          <w:rFonts w:eastAsiaTheme="minorHAnsi"/>
          <w:sz w:val="26"/>
          <w:szCs w:val="26"/>
        </w:rPr>
        <w:t xml:space="preserve"> </w:t>
      </w:r>
      <w:r w:rsidRPr="00E9174E">
        <w:rPr>
          <w:rFonts w:eastAsiaTheme="minorHAnsi"/>
          <w:sz w:val="26"/>
          <w:szCs w:val="26"/>
        </w:rPr>
        <w:t>Using the approach proposed by the OCA, Mr. Knecht demonstrated that the combined rate impact on small to medium businesses of the OCA revenue allocation, which was approved by the ALJ, and</w:t>
      </w:r>
      <w:r w:rsidRPr="00E9174E">
        <w:rPr>
          <w:rFonts w:eastAsiaTheme="minorHAnsi"/>
          <w:i/>
          <w:iCs/>
          <w:sz w:val="26"/>
          <w:szCs w:val="26"/>
        </w:rPr>
        <w:t xml:space="preserve"> </w:t>
      </w:r>
      <w:r w:rsidRPr="00E9174E">
        <w:rPr>
          <w:rFonts w:eastAsiaTheme="minorHAnsi"/>
          <w:sz w:val="26"/>
          <w:szCs w:val="26"/>
        </w:rPr>
        <w:t xml:space="preserve">the OCA CAP cost proposal would be 37 percent (smaller businesses) and 43 percent (larger businesses).  The OSBA argues that this would not constitute “just and reasonable” rates, at least when it comes to the impacts on small business customers.  OSBA R. Exc. at 8.  </w:t>
      </w:r>
    </w:p>
    <w:p w14:paraId="645EBE07" w14:textId="77777777" w:rsidR="006D7162" w:rsidRPr="00E9174E" w:rsidRDefault="006D7162" w:rsidP="00E9174E">
      <w:pPr>
        <w:widowControl/>
        <w:kinsoku w:val="0"/>
        <w:overflowPunct w:val="0"/>
        <w:spacing w:line="360" w:lineRule="auto"/>
        <w:ind w:right="216"/>
        <w:contextualSpacing/>
        <w:textAlignment w:val="baseline"/>
        <w:rPr>
          <w:rFonts w:eastAsiaTheme="minorHAnsi"/>
          <w:sz w:val="26"/>
          <w:szCs w:val="26"/>
        </w:rPr>
      </w:pPr>
    </w:p>
    <w:p w14:paraId="21AD0389" w14:textId="77777777" w:rsidR="006D7162" w:rsidRPr="00E9174E" w:rsidRDefault="006D7162" w:rsidP="00E9174E">
      <w:pPr>
        <w:widowControl/>
        <w:kinsoku w:val="0"/>
        <w:overflowPunct w:val="0"/>
        <w:spacing w:line="360" w:lineRule="auto"/>
        <w:ind w:left="90" w:right="216" w:firstLine="1350"/>
        <w:contextualSpacing/>
        <w:textAlignment w:val="baseline"/>
        <w:rPr>
          <w:rFonts w:eastAsiaTheme="minorHAnsi"/>
          <w:sz w:val="26"/>
          <w:szCs w:val="26"/>
        </w:rPr>
      </w:pPr>
      <w:r w:rsidRPr="00E9174E">
        <w:rPr>
          <w:rFonts w:eastAsiaTheme="minorHAnsi"/>
          <w:sz w:val="26"/>
          <w:szCs w:val="26"/>
        </w:rPr>
        <w:t>In response to the OCA and CAUSE-PA’s position that universal service costs are a “public good,” the OSBA notes that Mr. Knecht provided a more rational analysis of the alternative reasoning for CAP cost recovery:</w:t>
      </w:r>
    </w:p>
    <w:p w14:paraId="056D7551" w14:textId="77777777" w:rsidR="006D7162" w:rsidRPr="00E9174E" w:rsidRDefault="006D7162" w:rsidP="00753710">
      <w:pPr>
        <w:widowControl/>
        <w:kinsoku w:val="0"/>
        <w:overflowPunct w:val="0"/>
        <w:ind w:right="216"/>
        <w:contextualSpacing/>
        <w:textAlignment w:val="baseline"/>
        <w:rPr>
          <w:rFonts w:eastAsiaTheme="minorHAnsi"/>
          <w:sz w:val="26"/>
          <w:szCs w:val="26"/>
        </w:rPr>
      </w:pPr>
    </w:p>
    <w:p w14:paraId="533A5009" w14:textId="77777777" w:rsidR="006D7162" w:rsidRPr="00E9174E" w:rsidRDefault="006D7162" w:rsidP="00E9174E">
      <w:pPr>
        <w:widowControl/>
        <w:tabs>
          <w:tab w:val="left" w:pos="7920"/>
        </w:tabs>
        <w:kinsoku w:val="0"/>
        <w:overflowPunct w:val="0"/>
        <w:ind w:left="1440" w:right="1440"/>
        <w:contextualSpacing/>
        <w:textAlignment w:val="baseline"/>
        <w:rPr>
          <w:rFonts w:eastAsiaTheme="minorHAnsi"/>
          <w:sz w:val="26"/>
          <w:szCs w:val="26"/>
        </w:rPr>
      </w:pPr>
      <w:r w:rsidRPr="00E9174E">
        <w:rPr>
          <w:rFonts w:eastAsiaTheme="minorHAnsi"/>
          <w:sz w:val="26"/>
          <w:szCs w:val="26"/>
        </w:rPr>
        <w:t xml:space="preserve">There are two general philosophies: the insurance model, and the public policy tax model.  The philosophy of recovering all costs from the residential class is based on the argument that </w:t>
      </w:r>
      <w:r w:rsidRPr="00E9174E">
        <w:rPr>
          <w:rFonts w:eastAsiaTheme="minorHAnsi"/>
          <w:i/>
          <w:iCs/>
          <w:sz w:val="26"/>
          <w:szCs w:val="26"/>
        </w:rPr>
        <w:t xml:space="preserve">only residential customers are eligible for the benefits.  </w:t>
      </w:r>
      <w:r w:rsidRPr="00E9174E">
        <w:rPr>
          <w:rFonts w:eastAsiaTheme="minorHAnsi"/>
          <w:sz w:val="26"/>
          <w:szCs w:val="26"/>
        </w:rPr>
        <w:t>A universal service program is therefore a form of insurance, in which residential gas customers are paying premiums to the utility, so that they will be eligible for cash benefits in the event they have an unfortunate turn in their economic</w:t>
      </w:r>
    </w:p>
    <w:p w14:paraId="7F1D382A" w14:textId="77777777" w:rsidR="006D7162" w:rsidRPr="00E9174E" w:rsidRDefault="006D7162" w:rsidP="00E9174E">
      <w:pPr>
        <w:widowControl/>
        <w:tabs>
          <w:tab w:val="left" w:pos="7920"/>
        </w:tabs>
        <w:kinsoku w:val="0"/>
        <w:overflowPunct w:val="0"/>
        <w:ind w:left="1440" w:right="1296"/>
        <w:contextualSpacing/>
        <w:textAlignment w:val="baseline"/>
        <w:rPr>
          <w:rFonts w:eastAsiaTheme="minorHAnsi"/>
          <w:sz w:val="26"/>
          <w:szCs w:val="26"/>
        </w:rPr>
      </w:pPr>
      <w:r w:rsidRPr="00E9174E">
        <w:rPr>
          <w:rFonts w:eastAsiaTheme="minorHAnsi"/>
          <w:sz w:val="26"/>
          <w:szCs w:val="26"/>
        </w:rPr>
        <w:t xml:space="preserve">circumstances.  In this model, it is fair and reasonable that only gas customers should get the insurance benefits from the program, because it is only gas customers who pay for the program.  It is also reasonable that these programs can be deemed to be an integral part of utility </w:t>
      </w:r>
      <w:proofErr w:type="gramStart"/>
      <w:r w:rsidRPr="00E9174E">
        <w:rPr>
          <w:rFonts w:eastAsiaTheme="minorHAnsi"/>
          <w:sz w:val="26"/>
          <w:szCs w:val="26"/>
        </w:rPr>
        <w:t>service, because</w:t>
      </w:r>
      <w:proofErr w:type="gramEnd"/>
      <w:r w:rsidRPr="00E9174E">
        <w:rPr>
          <w:rFonts w:eastAsiaTheme="minorHAnsi"/>
          <w:sz w:val="26"/>
          <w:szCs w:val="26"/>
        </w:rPr>
        <w:t xml:space="preserve"> the insurance relates only to utility service.</w:t>
      </w:r>
    </w:p>
    <w:p w14:paraId="1F00ADBA" w14:textId="77777777" w:rsidR="006D7162" w:rsidRPr="00E9174E" w:rsidRDefault="006D7162" w:rsidP="00E9174E">
      <w:pPr>
        <w:widowControl/>
        <w:tabs>
          <w:tab w:val="left" w:pos="7920"/>
        </w:tabs>
        <w:kinsoku w:val="0"/>
        <w:overflowPunct w:val="0"/>
        <w:ind w:right="2160"/>
        <w:contextualSpacing/>
        <w:textAlignment w:val="baseline"/>
        <w:rPr>
          <w:rFonts w:eastAsiaTheme="minorHAnsi"/>
          <w:sz w:val="26"/>
          <w:szCs w:val="26"/>
        </w:rPr>
      </w:pPr>
    </w:p>
    <w:p w14:paraId="781585D1" w14:textId="77777777" w:rsidR="006D7162" w:rsidRPr="00E9174E" w:rsidRDefault="006D7162" w:rsidP="00E9174E">
      <w:pPr>
        <w:widowControl/>
        <w:kinsoku w:val="0"/>
        <w:overflowPunct w:val="0"/>
        <w:contextualSpacing/>
        <w:jc w:val="center"/>
        <w:textAlignment w:val="baseline"/>
        <w:rPr>
          <w:rFonts w:eastAsiaTheme="minorHAnsi"/>
          <w:sz w:val="26"/>
          <w:szCs w:val="26"/>
        </w:rPr>
      </w:pPr>
      <w:r w:rsidRPr="00E9174E">
        <w:rPr>
          <w:rFonts w:eastAsiaTheme="minorHAnsi"/>
          <w:sz w:val="26"/>
          <w:szCs w:val="26"/>
        </w:rPr>
        <w:t>* * *</w:t>
      </w:r>
    </w:p>
    <w:p w14:paraId="76FD88D5" w14:textId="77777777" w:rsidR="006D7162" w:rsidRPr="00E9174E" w:rsidRDefault="006D7162" w:rsidP="00E9174E">
      <w:pPr>
        <w:widowControl/>
        <w:tabs>
          <w:tab w:val="left" w:pos="7920"/>
        </w:tabs>
        <w:kinsoku w:val="0"/>
        <w:overflowPunct w:val="0"/>
        <w:ind w:left="1440" w:right="2160"/>
        <w:contextualSpacing/>
        <w:textAlignment w:val="baseline"/>
        <w:rPr>
          <w:rFonts w:eastAsiaTheme="minorHAnsi"/>
          <w:sz w:val="26"/>
          <w:szCs w:val="26"/>
        </w:rPr>
      </w:pPr>
      <w:r w:rsidRPr="00E9174E">
        <w:rPr>
          <w:rFonts w:eastAsiaTheme="minorHAnsi"/>
          <w:sz w:val="26"/>
          <w:szCs w:val="26"/>
        </w:rPr>
        <w:lastRenderedPageBreak/>
        <w:t>The alternative model is the government policy tax model. This model, as described in some detail by both Mr. Colton and Mr. Miller, is based on the argument that there are societal benefits associated with assisting low-income residents. Under this paradigm, all customers should pay because all customers obtain the social benefits. In effect, this form of low-income programs looks like many other government programs which provide both individual and societal benefits, and the costs of which are borne by the taxpayers.</w:t>
      </w:r>
    </w:p>
    <w:p w14:paraId="77773D66" w14:textId="77777777" w:rsidR="006D7162" w:rsidRPr="00E9174E" w:rsidRDefault="006D7162" w:rsidP="00E9174E">
      <w:pPr>
        <w:widowControl/>
        <w:tabs>
          <w:tab w:val="left" w:pos="7920"/>
        </w:tabs>
        <w:kinsoku w:val="0"/>
        <w:overflowPunct w:val="0"/>
        <w:spacing w:line="360" w:lineRule="auto"/>
        <w:contextualSpacing/>
        <w:textAlignment w:val="baseline"/>
        <w:rPr>
          <w:rFonts w:eastAsiaTheme="minorHAnsi"/>
          <w:sz w:val="26"/>
          <w:szCs w:val="26"/>
        </w:rPr>
      </w:pPr>
    </w:p>
    <w:p w14:paraId="347B7328" w14:textId="77777777" w:rsidR="006D7162" w:rsidRPr="00E9174E" w:rsidRDefault="006D7162" w:rsidP="00E9174E">
      <w:pPr>
        <w:widowControl/>
        <w:tabs>
          <w:tab w:val="left" w:pos="7920"/>
        </w:tabs>
        <w:kinsoku w:val="0"/>
        <w:overflowPunct w:val="0"/>
        <w:spacing w:line="360" w:lineRule="auto"/>
        <w:contextualSpacing/>
        <w:textAlignment w:val="baseline"/>
        <w:rPr>
          <w:rFonts w:eastAsiaTheme="minorHAnsi"/>
          <w:sz w:val="26"/>
          <w:szCs w:val="26"/>
        </w:rPr>
      </w:pPr>
      <w:r w:rsidRPr="00E9174E">
        <w:rPr>
          <w:rFonts w:eastAsiaTheme="minorHAnsi"/>
          <w:i/>
          <w:iCs/>
          <w:sz w:val="26"/>
          <w:szCs w:val="26"/>
        </w:rPr>
        <w:t>Id</w:t>
      </w:r>
      <w:r w:rsidRPr="00E9174E">
        <w:rPr>
          <w:rFonts w:eastAsiaTheme="minorHAnsi"/>
          <w:sz w:val="26"/>
          <w:szCs w:val="26"/>
        </w:rPr>
        <w:t xml:space="preserve">. (citing OSBA St. 1-R at 5-6 (footnote omitted)).  </w:t>
      </w:r>
    </w:p>
    <w:p w14:paraId="7EFD9E2B" w14:textId="77777777" w:rsidR="006D7162" w:rsidRPr="00E9174E" w:rsidRDefault="006D7162" w:rsidP="00E9174E">
      <w:pPr>
        <w:widowControl/>
        <w:tabs>
          <w:tab w:val="left" w:pos="7920"/>
        </w:tabs>
        <w:kinsoku w:val="0"/>
        <w:overflowPunct w:val="0"/>
        <w:spacing w:line="360" w:lineRule="auto"/>
        <w:contextualSpacing/>
        <w:textAlignment w:val="baseline"/>
        <w:rPr>
          <w:rFonts w:eastAsiaTheme="minorHAnsi"/>
          <w:sz w:val="26"/>
          <w:szCs w:val="26"/>
        </w:rPr>
      </w:pPr>
    </w:p>
    <w:p w14:paraId="62A9D340" w14:textId="5CFB4FC5" w:rsidR="006D7162" w:rsidRPr="00E9174E" w:rsidRDefault="006D7162" w:rsidP="00E9174E">
      <w:pPr>
        <w:widowControl/>
        <w:tabs>
          <w:tab w:val="left" w:pos="7920"/>
        </w:tabs>
        <w:kinsoku w:val="0"/>
        <w:overflowPunct w:val="0"/>
        <w:spacing w:line="360" w:lineRule="auto"/>
        <w:ind w:firstLine="1440"/>
        <w:contextualSpacing/>
        <w:textAlignment w:val="baseline"/>
        <w:rPr>
          <w:rFonts w:eastAsiaTheme="minorHAnsi"/>
          <w:sz w:val="26"/>
          <w:szCs w:val="26"/>
        </w:rPr>
      </w:pPr>
      <w:r w:rsidRPr="00E9174E">
        <w:rPr>
          <w:rFonts w:eastAsiaTheme="minorHAnsi"/>
          <w:sz w:val="26"/>
          <w:szCs w:val="26"/>
        </w:rPr>
        <w:t xml:space="preserve">The OSBA stated that instead of debating what is and is not a “public good,” Mr. Knecht recommended that the Commission continue to adopt the insurance model for reasons of cost causation and equity.  Mr. Knecht explained that in the insurance model, customers pay for the benefits for which they are eligible.  He testified that residential customers benefit from the insurance, and residential customers pay for that insurance, whereas, non-residential customers are not eligible for that insurance, and they therefore should not pay for the insurance.  OSBA R. Exc. at 9 (citing OSBA St. 1-R at 6).  The OSBA submits that the OCA and CAUSE-PA’s argument is that the proper issue is whether utility universal service programs should be funded by the ratepayer or the taxpayer.  The OSBA contends that this argument misses the point.  According to the OSBA, residential customers are currently eligible for an “insurance policy” that allows them to get discounted rates if their economic circumstances turn for the worse.  The OSBA states that while the Commission has decided to expand universal service programs, the Commission’s decision to change the terms of that “insurance policy” to provide greater coverage at greater cost does not change the underlying philosophy that residential customers should get what they pay for.  In contrast, the OSBA believes that when the OCA and CAUSE-PA demand that small businesses, government offices, municipalities, hospitals, educational institutions, and larger businesses contribute to the </w:t>
      </w:r>
      <w:r w:rsidRPr="00E9174E">
        <w:rPr>
          <w:rFonts w:eastAsiaTheme="minorHAnsi"/>
          <w:sz w:val="26"/>
          <w:szCs w:val="26"/>
        </w:rPr>
        <w:lastRenderedPageBreak/>
        <w:t xml:space="preserve">residential-only “insurance policy,” the Commission is transitioning from being the regulator to being a taxation authority.  OSBA R. Exc. at 9. </w:t>
      </w:r>
      <w:r w:rsidR="009712B7" w:rsidRPr="00E9174E">
        <w:rPr>
          <w:rFonts w:eastAsiaTheme="minorHAnsi"/>
          <w:sz w:val="26"/>
          <w:szCs w:val="26"/>
        </w:rPr>
        <w:t xml:space="preserve"> </w:t>
      </w:r>
    </w:p>
    <w:p w14:paraId="30301867" w14:textId="77777777" w:rsidR="009712B7" w:rsidRPr="00E9174E" w:rsidRDefault="009712B7" w:rsidP="00E9174E">
      <w:pPr>
        <w:widowControl/>
        <w:tabs>
          <w:tab w:val="left" w:pos="7920"/>
        </w:tabs>
        <w:kinsoku w:val="0"/>
        <w:overflowPunct w:val="0"/>
        <w:spacing w:line="360" w:lineRule="auto"/>
        <w:ind w:firstLine="1440"/>
        <w:contextualSpacing/>
        <w:textAlignment w:val="baseline"/>
        <w:rPr>
          <w:rFonts w:eastAsiaTheme="minorHAnsi"/>
          <w:sz w:val="26"/>
          <w:szCs w:val="26"/>
        </w:rPr>
      </w:pPr>
    </w:p>
    <w:p w14:paraId="10314CF5" w14:textId="21ED6F01" w:rsidR="006D7162" w:rsidRPr="00E9174E" w:rsidRDefault="006D7162" w:rsidP="00E9174E">
      <w:pPr>
        <w:widowControl/>
        <w:kinsoku w:val="0"/>
        <w:overflowPunct w:val="0"/>
        <w:spacing w:line="360" w:lineRule="auto"/>
        <w:ind w:right="72" w:firstLine="1440"/>
        <w:contextualSpacing/>
        <w:textAlignment w:val="baseline"/>
        <w:rPr>
          <w:rFonts w:eastAsiaTheme="minorHAnsi"/>
          <w:sz w:val="26"/>
          <w:szCs w:val="26"/>
        </w:rPr>
      </w:pPr>
      <w:r w:rsidRPr="00E9174E">
        <w:rPr>
          <w:rFonts w:eastAsiaTheme="minorHAnsi"/>
          <w:sz w:val="26"/>
          <w:szCs w:val="26"/>
        </w:rPr>
        <w:t xml:space="preserve">For these reasons, the OSBA submits that having Columbia’s residential customers pay for a benefit for which only they are eligible is just, reasonable, and non-discriminatory.  </w:t>
      </w:r>
      <w:r w:rsidRPr="00E9174E">
        <w:rPr>
          <w:rFonts w:eastAsiaTheme="minorHAnsi"/>
          <w:i/>
          <w:iCs/>
          <w:sz w:val="26"/>
          <w:szCs w:val="26"/>
        </w:rPr>
        <w:t>Id.</w:t>
      </w:r>
      <w:r w:rsidRPr="00E9174E">
        <w:rPr>
          <w:rFonts w:eastAsiaTheme="minorHAnsi"/>
          <w:sz w:val="26"/>
          <w:szCs w:val="26"/>
        </w:rPr>
        <w:t xml:space="preserve">  The OSBA avers that even under the Company’s original CAP proposal, Columbia’s typical non-CAP residential customer would be paying only about $1.30 more a month in CAP costs - a </w:t>
      </w:r>
      <w:r w:rsidRPr="00E9174E">
        <w:rPr>
          <w:rFonts w:eastAsiaTheme="minorHAnsi"/>
          <w:i/>
          <w:iCs/>
          <w:sz w:val="26"/>
          <w:szCs w:val="26"/>
        </w:rPr>
        <w:t xml:space="preserve">de minimis </w:t>
      </w:r>
      <w:r w:rsidRPr="00E9174E">
        <w:rPr>
          <w:rFonts w:eastAsiaTheme="minorHAnsi"/>
          <w:sz w:val="26"/>
          <w:szCs w:val="26"/>
        </w:rPr>
        <w:t xml:space="preserve">amount that does not support the changes to the CAP cost revenue allocation the OCA and CAUSE-PA propose.  </w:t>
      </w:r>
      <w:r w:rsidRPr="00E9174E">
        <w:rPr>
          <w:rFonts w:eastAsiaTheme="minorHAnsi"/>
          <w:i/>
          <w:iCs/>
          <w:sz w:val="26"/>
          <w:szCs w:val="26"/>
        </w:rPr>
        <w:t>Id</w:t>
      </w:r>
      <w:r w:rsidRPr="00E9174E">
        <w:rPr>
          <w:rFonts w:eastAsiaTheme="minorHAnsi"/>
          <w:sz w:val="26"/>
          <w:szCs w:val="26"/>
        </w:rPr>
        <w:t>.</w:t>
      </w:r>
      <w:r w:rsidR="009B4A99">
        <w:rPr>
          <w:rFonts w:eastAsiaTheme="minorHAnsi"/>
          <w:sz w:val="26"/>
          <w:szCs w:val="26"/>
        </w:rPr>
        <w:t> </w:t>
      </w:r>
      <w:r w:rsidRPr="00E9174E">
        <w:rPr>
          <w:rFonts w:eastAsiaTheme="minorHAnsi"/>
          <w:sz w:val="26"/>
          <w:szCs w:val="26"/>
        </w:rPr>
        <w:t>at</w:t>
      </w:r>
      <w:r w:rsidR="009B4A99">
        <w:rPr>
          <w:rFonts w:eastAsiaTheme="minorHAnsi"/>
          <w:sz w:val="26"/>
          <w:szCs w:val="26"/>
        </w:rPr>
        <w:t> </w:t>
      </w:r>
      <w:r w:rsidRPr="00E9174E">
        <w:rPr>
          <w:rFonts w:eastAsiaTheme="minorHAnsi"/>
          <w:sz w:val="26"/>
          <w:szCs w:val="26"/>
        </w:rPr>
        <w:t>9</w:t>
      </w:r>
      <w:r w:rsidR="009712B7" w:rsidRPr="00E9174E">
        <w:rPr>
          <w:rFonts w:eastAsiaTheme="minorHAnsi"/>
          <w:sz w:val="26"/>
          <w:szCs w:val="26"/>
        </w:rPr>
        <w:noBreakHyphen/>
      </w:r>
      <w:r w:rsidRPr="00E9174E">
        <w:rPr>
          <w:rFonts w:eastAsiaTheme="minorHAnsi"/>
          <w:sz w:val="26"/>
          <w:szCs w:val="26"/>
        </w:rPr>
        <w:t xml:space="preserve">10.  </w:t>
      </w:r>
    </w:p>
    <w:p w14:paraId="4E620222" w14:textId="77777777" w:rsidR="006D7162" w:rsidRPr="00E9174E" w:rsidRDefault="006D7162" w:rsidP="00E9174E">
      <w:pPr>
        <w:widowControl/>
        <w:spacing w:line="360" w:lineRule="auto"/>
        <w:contextualSpacing/>
        <w:rPr>
          <w:rFonts w:eastAsiaTheme="minorHAnsi"/>
          <w:sz w:val="26"/>
          <w:szCs w:val="26"/>
        </w:rPr>
      </w:pPr>
    </w:p>
    <w:p w14:paraId="20F8B5DC" w14:textId="20478D29" w:rsidR="006D7162" w:rsidRPr="00E9174E" w:rsidRDefault="006D7162" w:rsidP="009B4A99">
      <w:pPr>
        <w:pStyle w:val="Heading4"/>
        <w:ind w:left="2160" w:hanging="720"/>
        <w:rPr>
          <w:rFonts w:eastAsiaTheme="minorHAnsi"/>
        </w:rPr>
      </w:pPr>
      <w:bookmarkStart w:id="477" w:name="_Toc63764633"/>
      <w:r w:rsidRPr="00E9174E">
        <w:rPr>
          <w:rFonts w:eastAsiaTheme="minorHAnsi"/>
        </w:rPr>
        <w:t>Disposition</w:t>
      </w:r>
      <w:bookmarkEnd w:id="477"/>
    </w:p>
    <w:p w14:paraId="006574CB" w14:textId="77777777" w:rsidR="006D7162" w:rsidRPr="00E9174E" w:rsidRDefault="006D7162" w:rsidP="00E9174E">
      <w:pPr>
        <w:keepNext/>
        <w:keepLines/>
        <w:widowControl/>
        <w:spacing w:line="360" w:lineRule="auto"/>
        <w:contextualSpacing/>
        <w:rPr>
          <w:rFonts w:eastAsiaTheme="minorHAnsi"/>
          <w:b/>
          <w:bCs/>
          <w:sz w:val="26"/>
          <w:szCs w:val="26"/>
        </w:rPr>
      </w:pPr>
    </w:p>
    <w:p w14:paraId="4F3E483E" w14:textId="085CC367" w:rsidR="006D7162" w:rsidRPr="00E9174E" w:rsidRDefault="006D7162" w:rsidP="00E9174E">
      <w:pPr>
        <w:widowControl/>
        <w:spacing w:line="360" w:lineRule="auto"/>
        <w:ind w:firstLine="1440"/>
        <w:contextualSpacing/>
        <w:rPr>
          <w:rFonts w:eastAsiaTheme="minorHAnsi"/>
          <w:sz w:val="26"/>
          <w:szCs w:val="26"/>
        </w:rPr>
      </w:pPr>
      <w:r w:rsidRPr="00E9174E">
        <w:rPr>
          <w:rFonts w:eastAsiaTheme="minorHAnsi"/>
          <w:sz w:val="26"/>
          <w:szCs w:val="26"/>
        </w:rPr>
        <w:t xml:space="preserve">Upon review, we determine that Columbia should continue its existing practice of recovering USP costs from the residential class through its Rider USP.  We have historically approved public utilities’ practices of recovering universal service costs, including CAP costs, from only residential customers based on the “narrowly tailored” nature of these programs and the potential negative economic impact on Pennsylvania’s businesses if these costs were recovered from all ratepayer classes.  </w:t>
      </w:r>
      <w:r w:rsidRPr="00E9174E">
        <w:rPr>
          <w:rFonts w:eastAsiaTheme="minorHAnsi"/>
          <w:i/>
          <w:iCs/>
          <w:sz w:val="26"/>
          <w:szCs w:val="26"/>
        </w:rPr>
        <w:t>Final CAP Policy Statement Order</w:t>
      </w:r>
      <w:r w:rsidRPr="00E9174E">
        <w:rPr>
          <w:rFonts w:eastAsiaTheme="minorHAnsi"/>
          <w:sz w:val="26"/>
          <w:szCs w:val="26"/>
        </w:rPr>
        <w:t xml:space="preserve"> at 90; </w:t>
      </w:r>
      <w:r w:rsidRPr="00E9174E">
        <w:rPr>
          <w:rFonts w:eastAsiaTheme="minorHAnsi"/>
          <w:i/>
          <w:iCs/>
          <w:sz w:val="26"/>
          <w:szCs w:val="26"/>
        </w:rPr>
        <w:t>see also</w:t>
      </w:r>
      <w:r w:rsidRPr="00E9174E">
        <w:rPr>
          <w:rFonts w:eastAsiaTheme="minorHAnsi"/>
          <w:color w:val="000000"/>
          <w:sz w:val="26"/>
          <w:szCs w:val="26"/>
        </w:rPr>
        <w:t xml:space="preserve"> </w:t>
      </w:r>
      <w:r w:rsidRPr="00E9174E">
        <w:rPr>
          <w:rFonts w:eastAsiaTheme="minorHAnsi"/>
          <w:i/>
          <w:iCs/>
          <w:color w:val="000000"/>
          <w:sz w:val="26"/>
          <w:szCs w:val="26"/>
        </w:rPr>
        <w:t>Met-Ed Indus. Users Group</w:t>
      </w:r>
      <w:r w:rsidRPr="00E9174E">
        <w:rPr>
          <w:rFonts w:eastAsiaTheme="minorHAnsi"/>
          <w:color w:val="000000"/>
          <w:sz w:val="26"/>
          <w:szCs w:val="26"/>
        </w:rPr>
        <w:t xml:space="preserve">; </w:t>
      </w:r>
      <w:r w:rsidRPr="00E9174E">
        <w:rPr>
          <w:rFonts w:eastAsiaTheme="minorHAnsi"/>
          <w:i/>
          <w:iCs/>
          <w:color w:val="000000"/>
          <w:sz w:val="26"/>
          <w:szCs w:val="26"/>
        </w:rPr>
        <w:t>Pa. PUC v. PPL Electric Utilities Corporation</w:t>
      </w:r>
      <w:r w:rsidRPr="00E9174E">
        <w:rPr>
          <w:rFonts w:eastAsiaTheme="minorHAnsi"/>
          <w:color w:val="000000"/>
          <w:sz w:val="26"/>
          <w:szCs w:val="26"/>
        </w:rPr>
        <w:t xml:space="preserve">, Docket No. R-00049255 (Order entered July 25, 2007); </w:t>
      </w:r>
      <w:r w:rsidRPr="00E9174E">
        <w:rPr>
          <w:rFonts w:eastAsiaTheme="minorHAnsi"/>
          <w:i/>
          <w:sz w:val="26"/>
          <w:szCs w:val="26"/>
        </w:rPr>
        <w:t>Final Investigatory Order on CAPs: Funding Levels and Cost Recovery Mechanisms</w:t>
      </w:r>
      <w:r w:rsidRPr="00E9174E">
        <w:rPr>
          <w:rFonts w:eastAsiaTheme="minorHAnsi"/>
          <w:sz w:val="26"/>
          <w:szCs w:val="26"/>
        </w:rPr>
        <w:t xml:space="preserve">, Docket No. M-00051923 (Order entered December 18, 2006); and </w:t>
      </w:r>
      <w:r w:rsidRPr="00E9174E">
        <w:rPr>
          <w:rFonts w:eastAsiaTheme="minorHAnsi"/>
          <w:i/>
          <w:iCs/>
          <w:color w:val="000000"/>
          <w:sz w:val="26"/>
          <w:szCs w:val="26"/>
        </w:rPr>
        <w:t>Pa. PUC v. Valley Energy, Inc</w:t>
      </w:r>
      <w:r w:rsidRPr="00E9174E">
        <w:rPr>
          <w:rFonts w:eastAsiaTheme="minorHAnsi"/>
          <w:color w:val="000000"/>
          <w:sz w:val="26"/>
          <w:szCs w:val="26"/>
        </w:rPr>
        <w:t>., Docket No. R-00049345 (Order entered April 21, 2005).  However, we recently stated in the</w:t>
      </w:r>
      <w:r w:rsidRPr="00E9174E">
        <w:rPr>
          <w:rFonts w:eastAsiaTheme="minorHAnsi"/>
          <w:i/>
          <w:iCs/>
          <w:color w:val="000000"/>
          <w:sz w:val="26"/>
          <w:szCs w:val="26"/>
        </w:rPr>
        <w:t xml:space="preserve"> Final CAP Policy Statement Order</w:t>
      </w:r>
      <w:r w:rsidRPr="00E9174E">
        <w:rPr>
          <w:rFonts w:eastAsiaTheme="minorHAnsi"/>
          <w:color w:val="000000"/>
          <w:sz w:val="26"/>
          <w:szCs w:val="26"/>
        </w:rPr>
        <w:t xml:space="preserve"> that our review of</w:t>
      </w:r>
      <w:r w:rsidR="00784A42" w:rsidRPr="00E9174E">
        <w:rPr>
          <w:rFonts w:eastAsiaTheme="minorHAnsi"/>
          <w:color w:val="000000"/>
          <w:sz w:val="26"/>
          <w:szCs w:val="26"/>
        </w:rPr>
        <w:t xml:space="preserve"> </w:t>
      </w:r>
      <w:r w:rsidRPr="00E9174E">
        <w:rPr>
          <w:rFonts w:eastAsiaTheme="minorHAnsi"/>
          <w:sz w:val="26"/>
          <w:szCs w:val="26"/>
        </w:rPr>
        <w:t xml:space="preserve">Pennsylvania’s current universal service model in the </w:t>
      </w:r>
      <w:r w:rsidRPr="00E9174E">
        <w:rPr>
          <w:rFonts w:eastAsiaTheme="minorHAnsi"/>
          <w:i/>
          <w:iCs/>
          <w:sz w:val="26"/>
          <w:szCs w:val="26"/>
        </w:rPr>
        <w:t>Review</w:t>
      </w:r>
      <w:r w:rsidRPr="00E9174E">
        <w:rPr>
          <w:rFonts w:eastAsiaTheme="minorHAnsi"/>
          <w:sz w:val="26"/>
          <w:szCs w:val="26"/>
        </w:rPr>
        <w:t xml:space="preserve"> and </w:t>
      </w:r>
      <w:r w:rsidRPr="00E9174E">
        <w:rPr>
          <w:rFonts w:eastAsiaTheme="minorHAnsi"/>
          <w:i/>
          <w:iCs/>
          <w:sz w:val="26"/>
          <w:szCs w:val="26"/>
        </w:rPr>
        <w:t>Energy Affordability</w:t>
      </w:r>
      <w:r w:rsidRPr="00E9174E">
        <w:rPr>
          <w:rFonts w:eastAsiaTheme="minorHAnsi"/>
          <w:sz w:val="26"/>
          <w:szCs w:val="26"/>
        </w:rPr>
        <w:t xml:space="preserve"> proceedings</w:t>
      </w:r>
      <w:r w:rsidRPr="00E9174E">
        <w:rPr>
          <w:rFonts w:eastAsiaTheme="minorHAnsi"/>
          <w:sz w:val="26"/>
          <w:szCs w:val="26"/>
          <w:vertAlign w:val="superscript"/>
        </w:rPr>
        <w:footnoteReference w:id="102"/>
      </w:r>
      <w:r w:rsidRPr="00E9174E">
        <w:rPr>
          <w:rFonts w:eastAsiaTheme="minorHAnsi"/>
          <w:sz w:val="26"/>
          <w:szCs w:val="26"/>
        </w:rPr>
        <w:t xml:space="preserve"> provided </w:t>
      </w:r>
      <w:r w:rsidRPr="00E9174E">
        <w:rPr>
          <w:rFonts w:eastAsiaTheme="minorHAnsi"/>
          <w:sz w:val="26"/>
          <w:szCs w:val="26"/>
        </w:rPr>
        <w:lastRenderedPageBreak/>
        <w:t xml:space="preserve">reasons to reconsider this position, noting that the current cost-recovery method for universal services, including CAP costs, is placing a significant burden on residential customer bills.  </w:t>
      </w:r>
      <w:r w:rsidRPr="00E9174E">
        <w:rPr>
          <w:rFonts w:eastAsiaTheme="minorHAnsi"/>
          <w:i/>
          <w:iCs/>
          <w:sz w:val="26"/>
          <w:szCs w:val="26"/>
        </w:rPr>
        <w:t>Final CAP Policy Statement Order</w:t>
      </w:r>
      <w:r w:rsidRPr="00E9174E">
        <w:rPr>
          <w:rFonts w:eastAsiaTheme="minorHAnsi"/>
          <w:sz w:val="26"/>
          <w:szCs w:val="26"/>
        </w:rPr>
        <w:t xml:space="preserve"> at 90.  </w:t>
      </w:r>
    </w:p>
    <w:p w14:paraId="23664AB8" w14:textId="77777777" w:rsidR="006D7162" w:rsidRPr="00E9174E" w:rsidRDefault="006D7162" w:rsidP="00E9174E">
      <w:pPr>
        <w:widowControl/>
        <w:spacing w:line="360" w:lineRule="auto"/>
        <w:contextualSpacing/>
        <w:rPr>
          <w:rFonts w:eastAsiaTheme="minorHAnsi"/>
          <w:sz w:val="26"/>
          <w:szCs w:val="26"/>
        </w:rPr>
      </w:pPr>
    </w:p>
    <w:p w14:paraId="264D2EB1" w14:textId="48F8FC5E" w:rsidR="006D7162" w:rsidRPr="00E9174E" w:rsidRDefault="006D7162" w:rsidP="00E9174E">
      <w:pPr>
        <w:widowControl/>
        <w:spacing w:line="360" w:lineRule="auto"/>
        <w:ind w:firstLine="1440"/>
        <w:contextualSpacing/>
        <w:rPr>
          <w:rFonts w:eastAsiaTheme="minorHAnsi"/>
          <w:color w:val="000000"/>
          <w:sz w:val="26"/>
          <w:szCs w:val="26"/>
        </w:rPr>
      </w:pPr>
      <w:r w:rsidRPr="00E9174E">
        <w:rPr>
          <w:rFonts w:eastAsiaTheme="minorHAnsi"/>
          <w:sz w:val="26"/>
          <w:szCs w:val="26"/>
        </w:rPr>
        <w:t xml:space="preserve">In the </w:t>
      </w:r>
      <w:r w:rsidRPr="00E9174E">
        <w:rPr>
          <w:rFonts w:eastAsiaTheme="minorHAnsi"/>
          <w:i/>
          <w:iCs/>
          <w:sz w:val="26"/>
          <w:szCs w:val="26"/>
        </w:rPr>
        <w:t>Final CAP Policy Statement Order</w:t>
      </w:r>
      <w:r w:rsidRPr="00E9174E">
        <w:rPr>
          <w:rFonts w:eastAsiaTheme="minorHAnsi"/>
          <w:sz w:val="26"/>
          <w:szCs w:val="26"/>
        </w:rPr>
        <w:t xml:space="preserve">, we also definitively addressed the legal issues concerning cost allocation of universal service costs and, specifically, whether universal service costs could be recovered from non-residential classes.  We stated the following:  </w:t>
      </w:r>
    </w:p>
    <w:p w14:paraId="7A04F877" w14:textId="77777777" w:rsidR="006D7162" w:rsidRPr="00E9174E" w:rsidRDefault="006D7162" w:rsidP="009B4A99">
      <w:pPr>
        <w:widowControl/>
        <w:contextualSpacing/>
        <w:rPr>
          <w:rFonts w:eastAsiaTheme="minorHAnsi"/>
          <w:color w:val="000000"/>
          <w:sz w:val="26"/>
          <w:szCs w:val="26"/>
        </w:rPr>
      </w:pPr>
    </w:p>
    <w:p w14:paraId="2BBCE7F7" w14:textId="77777777" w:rsidR="006D7162" w:rsidRPr="00E9174E" w:rsidRDefault="006D7162" w:rsidP="00E9174E">
      <w:pPr>
        <w:widowControl/>
        <w:ind w:left="1440" w:right="1440" w:firstLine="720"/>
        <w:contextualSpacing/>
        <w:rPr>
          <w:rFonts w:eastAsiaTheme="minorHAnsi"/>
          <w:sz w:val="26"/>
          <w:szCs w:val="26"/>
        </w:rPr>
      </w:pPr>
      <w:r w:rsidRPr="00E9174E">
        <w:rPr>
          <w:rFonts w:eastAsiaTheme="minorHAnsi"/>
          <w:sz w:val="26"/>
          <w:szCs w:val="26"/>
        </w:rPr>
        <w:t>We note there is no statutory or appellate prohibition that limits the recovery of CAP costs, whether specifically calculated or as part of total universal service costs, to funding from the residential class.  Universal service funding from non-residential classes, while not mandatory, is permissible:</w:t>
      </w:r>
    </w:p>
    <w:p w14:paraId="091BB697" w14:textId="77777777" w:rsidR="006D7162" w:rsidRPr="00E9174E" w:rsidRDefault="006D7162" w:rsidP="00E9174E">
      <w:pPr>
        <w:widowControl/>
        <w:ind w:right="1440"/>
        <w:contextualSpacing/>
        <w:rPr>
          <w:rFonts w:eastAsiaTheme="minorHAnsi"/>
          <w:sz w:val="26"/>
          <w:szCs w:val="26"/>
        </w:rPr>
      </w:pPr>
    </w:p>
    <w:p w14:paraId="073879C1" w14:textId="47AEAC53" w:rsidR="006D7162" w:rsidRPr="00E9174E" w:rsidRDefault="006D7162" w:rsidP="00E9174E">
      <w:pPr>
        <w:widowControl/>
        <w:ind w:left="2160" w:right="2160"/>
        <w:contextualSpacing/>
        <w:rPr>
          <w:rFonts w:eastAsiaTheme="minorHAnsi"/>
          <w:sz w:val="26"/>
          <w:szCs w:val="26"/>
        </w:rPr>
      </w:pPr>
      <w:r w:rsidRPr="00E9174E">
        <w:rPr>
          <w:rFonts w:eastAsiaTheme="minorHAnsi"/>
          <w:sz w:val="26"/>
          <w:szCs w:val="26"/>
        </w:rPr>
        <w:t xml:space="preserve">Thus, under </w:t>
      </w:r>
      <w:r w:rsidRPr="00E9174E">
        <w:rPr>
          <w:rFonts w:eastAsiaTheme="minorHAnsi"/>
          <w:i/>
          <w:sz w:val="26"/>
          <w:szCs w:val="26"/>
        </w:rPr>
        <w:t>Lloyd</w:t>
      </w:r>
      <w:r w:rsidRPr="00E9174E">
        <w:rPr>
          <w:rFonts w:eastAsiaTheme="minorHAnsi"/>
          <w:sz w:val="26"/>
          <w:szCs w:val="26"/>
        </w:rPr>
        <w:t>, there is no statutory requirement that the funding for special programs come only from those who benefit from the programs.  However, the lack of such a requirement does not mean that funding for special programs must come from those who do not benefit.</w:t>
      </w:r>
    </w:p>
    <w:p w14:paraId="1CA38BC0" w14:textId="77777777" w:rsidR="006D7162" w:rsidRPr="00E9174E" w:rsidRDefault="006D7162" w:rsidP="009B4A99">
      <w:pPr>
        <w:widowControl/>
        <w:spacing w:line="360" w:lineRule="auto"/>
        <w:ind w:right="1440"/>
        <w:contextualSpacing/>
        <w:rPr>
          <w:rFonts w:eastAsiaTheme="minorHAnsi"/>
          <w:sz w:val="26"/>
          <w:szCs w:val="26"/>
        </w:rPr>
      </w:pPr>
    </w:p>
    <w:p w14:paraId="493505CA" w14:textId="13058159" w:rsidR="006D7162" w:rsidRPr="00E9174E" w:rsidRDefault="006D7162" w:rsidP="009B4A99">
      <w:pPr>
        <w:widowControl/>
        <w:spacing w:line="360" w:lineRule="auto"/>
        <w:contextualSpacing/>
        <w:rPr>
          <w:rFonts w:eastAsiaTheme="minorHAnsi"/>
          <w:color w:val="000000"/>
          <w:sz w:val="26"/>
          <w:szCs w:val="26"/>
        </w:rPr>
      </w:pPr>
      <w:r w:rsidRPr="00E9174E">
        <w:rPr>
          <w:rFonts w:eastAsiaTheme="minorHAnsi"/>
          <w:i/>
          <w:iCs/>
          <w:color w:val="000000"/>
          <w:sz w:val="26"/>
          <w:szCs w:val="26"/>
        </w:rPr>
        <w:t>Final CAP Policy Statement Order</w:t>
      </w:r>
      <w:r w:rsidRPr="00E9174E">
        <w:rPr>
          <w:rFonts w:eastAsiaTheme="minorHAnsi"/>
          <w:color w:val="000000"/>
          <w:sz w:val="26"/>
          <w:szCs w:val="26"/>
        </w:rPr>
        <w:t xml:space="preserve"> at 96 (citing </w:t>
      </w:r>
      <w:r w:rsidRPr="00E9174E">
        <w:rPr>
          <w:rFonts w:eastAsiaTheme="minorHAnsi"/>
          <w:i/>
          <w:iCs/>
          <w:color w:val="000000"/>
          <w:sz w:val="26"/>
          <w:szCs w:val="26"/>
        </w:rPr>
        <w:t>MEIUG</w:t>
      </w:r>
      <w:r w:rsidRPr="00E9174E">
        <w:rPr>
          <w:rFonts w:eastAsiaTheme="minorHAnsi"/>
          <w:color w:val="000000"/>
          <w:sz w:val="26"/>
          <w:szCs w:val="26"/>
        </w:rPr>
        <w:t xml:space="preserve">, 960 A.2d at 202; </w:t>
      </w:r>
      <w:r w:rsidRPr="00E9174E">
        <w:rPr>
          <w:rFonts w:eastAsiaTheme="minorHAnsi"/>
          <w:i/>
          <w:iCs/>
          <w:color w:val="000000"/>
          <w:sz w:val="26"/>
          <w:szCs w:val="26"/>
        </w:rPr>
        <w:t>Lloyd</w:t>
      </w:r>
      <w:r w:rsidRPr="00E9174E">
        <w:rPr>
          <w:rFonts w:eastAsiaTheme="minorHAnsi"/>
          <w:color w:val="000000"/>
          <w:sz w:val="26"/>
          <w:szCs w:val="26"/>
        </w:rPr>
        <w:t xml:space="preserve">).  </w:t>
      </w:r>
    </w:p>
    <w:p w14:paraId="122BE356" w14:textId="77777777" w:rsidR="006D7162" w:rsidRPr="00E9174E" w:rsidRDefault="006D7162" w:rsidP="009B4A99">
      <w:pPr>
        <w:widowControl/>
        <w:spacing w:line="360" w:lineRule="auto"/>
        <w:contextualSpacing/>
        <w:rPr>
          <w:rFonts w:eastAsiaTheme="minorHAnsi"/>
          <w:color w:val="000000"/>
          <w:sz w:val="26"/>
          <w:szCs w:val="26"/>
        </w:rPr>
      </w:pPr>
    </w:p>
    <w:p w14:paraId="38BD22A0" w14:textId="4CA6DB9F" w:rsidR="006D7162" w:rsidRPr="00E9174E" w:rsidRDefault="006D7162" w:rsidP="009B4A99">
      <w:pPr>
        <w:widowControl/>
        <w:spacing w:line="360" w:lineRule="auto"/>
        <w:ind w:firstLine="1440"/>
        <w:contextualSpacing/>
        <w:rPr>
          <w:rFonts w:eastAsiaTheme="minorHAnsi"/>
          <w:sz w:val="26"/>
          <w:szCs w:val="26"/>
        </w:rPr>
      </w:pPr>
      <w:r w:rsidRPr="00E9174E">
        <w:rPr>
          <w:rFonts w:eastAsiaTheme="minorHAnsi"/>
          <w:color w:val="000000"/>
          <w:sz w:val="26"/>
          <w:szCs w:val="26"/>
        </w:rPr>
        <w:t xml:space="preserve">As a result, we decided to amend the CAP Policy Statement to address the recovery of CAP costs and found it appropriate to consider recovery of CAP costs from all ratepayer classes.  We advised utilities and stakeholders “to be prepared </w:t>
      </w:r>
      <w:r w:rsidRPr="00E9174E">
        <w:rPr>
          <w:rFonts w:eastAsiaTheme="minorHAnsi"/>
          <w:sz w:val="26"/>
          <w:szCs w:val="26"/>
        </w:rPr>
        <w:t xml:space="preserve">to address CAP cost recovery in utility-specific rate cases consistent with the understanding that the Commission will no longer routinely exempt non-residential classes from universal service obligations.”  </w:t>
      </w:r>
      <w:r w:rsidRPr="00E9174E">
        <w:rPr>
          <w:rFonts w:eastAsiaTheme="minorHAnsi"/>
          <w:i/>
          <w:iCs/>
          <w:color w:val="000000"/>
          <w:sz w:val="26"/>
          <w:szCs w:val="26"/>
        </w:rPr>
        <w:t>Final CAP Policy Statement Order</w:t>
      </w:r>
      <w:r w:rsidRPr="00E9174E">
        <w:rPr>
          <w:rFonts w:eastAsiaTheme="minorHAnsi"/>
          <w:color w:val="000000"/>
          <w:sz w:val="26"/>
          <w:szCs w:val="26"/>
        </w:rPr>
        <w:t xml:space="preserve"> at 97.  </w:t>
      </w:r>
      <w:r w:rsidRPr="00E9174E">
        <w:rPr>
          <w:rFonts w:eastAsiaTheme="minorHAnsi"/>
          <w:sz w:val="26"/>
          <w:szCs w:val="26"/>
        </w:rPr>
        <w:t xml:space="preserve">While we stated that CAP cost recovery from all ratepayer classes should be considered in rate cases, we </w:t>
      </w:r>
      <w:r w:rsidRPr="00E9174E">
        <w:rPr>
          <w:rFonts w:eastAsiaTheme="minorHAnsi"/>
          <w:sz w:val="26"/>
          <w:szCs w:val="26"/>
        </w:rPr>
        <w:lastRenderedPageBreak/>
        <w:t xml:space="preserve">carefully noted that we were not making a precedential decision concerning cost recovery within the </w:t>
      </w:r>
      <w:r w:rsidRPr="00E9174E">
        <w:rPr>
          <w:rFonts w:eastAsiaTheme="minorHAnsi"/>
          <w:i/>
          <w:iCs/>
          <w:sz w:val="26"/>
          <w:szCs w:val="26"/>
        </w:rPr>
        <w:t>Final CAP Policy Statement Order</w:t>
      </w:r>
      <w:r w:rsidRPr="00E9174E">
        <w:rPr>
          <w:rFonts w:eastAsiaTheme="minorHAnsi"/>
          <w:sz w:val="26"/>
          <w:szCs w:val="26"/>
        </w:rPr>
        <w:t xml:space="preserve">.  </w:t>
      </w:r>
      <w:r w:rsidRPr="00E9174E">
        <w:rPr>
          <w:rFonts w:eastAsiaTheme="minorHAnsi"/>
          <w:i/>
          <w:iCs/>
          <w:sz w:val="26"/>
          <w:szCs w:val="26"/>
        </w:rPr>
        <w:t>Id</w:t>
      </w:r>
      <w:r w:rsidRPr="00E9174E">
        <w:rPr>
          <w:rFonts w:eastAsiaTheme="minorHAnsi"/>
          <w:sz w:val="26"/>
          <w:szCs w:val="26"/>
        </w:rPr>
        <w:t xml:space="preserve">., n.150.  </w:t>
      </w:r>
    </w:p>
    <w:p w14:paraId="384430C3" w14:textId="77777777" w:rsidR="00D67683" w:rsidRPr="00E9174E" w:rsidRDefault="00D67683" w:rsidP="00E9174E">
      <w:pPr>
        <w:widowControl/>
        <w:spacing w:line="360" w:lineRule="auto"/>
        <w:ind w:firstLine="1440"/>
        <w:contextualSpacing/>
        <w:rPr>
          <w:rFonts w:eastAsiaTheme="minorHAnsi"/>
          <w:sz w:val="26"/>
          <w:szCs w:val="26"/>
        </w:rPr>
      </w:pPr>
    </w:p>
    <w:p w14:paraId="786A91D6" w14:textId="77777777" w:rsidR="006D7162" w:rsidRPr="00E9174E" w:rsidRDefault="006D7162" w:rsidP="00E9174E">
      <w:pPr>
        <w:widowControl/>
        <w:spacing w:line="360" w:lineRule="auto"/>
        <w:ind w:firstLine="1440"/>
        <w:contextualSpacing/>
        <w:rPr>
          <w:rFonts w:eastAsiaTheme="minorHAnsi"/>
          <w:sz w:val="26"/>
          <w:szCs w:val="26"/>
        </w:rPr>
      </w:pPr>
      <w:r w:rsidRPr="00E9174E">
        <w:rPr>
          <w:rFonts w:eastAsiaTheme="minorHAnsi"/>
          <w:sz w:val="26"/>
          <w:szCs w:val="26"/>
        </w:rPr>
        <w:t xml:space="preserve">Accordingly, while we find it appropriate to consider universal service costs in this rate case, our decision will be based on the substantial evidence in the record and whether or not the OCA and CAUSE-PA have satisfied their burden of proving that USP costs should be distributed among all the classes.  Under the circumstances in this case, we conclude that the OCA and CAUSE-PA have not satisfied this burden.  </w:t>
      </w:r>
    </w:p>
    <w:p w14:paraId="2B69A8C4" w14:textId="77777777" w:rsidR="006D7162" w:rsidRPr="00E9174E" w:rsidRDefault="006D7162" w:rsidP="00E9174E">
      <w:pPr>
        <w:widowControl/>
        <w:spacing w:line="360" w:lineRule="auto"/>
        <w:contextualSpacing/>
        <w:rPr>
          <w:rFonts w:eastAsiaTheme="minorHAnsi"/>
          <w:sz w:val="26"/>
          <w:szCs w:val="26"/>
        </w:rPr>
      </w:pPr>
    </w:p>
    <w:p w14:paraId="0F7C41F2" w14:textId="50E4A675" w:rsidR="006D7162" w:rsidRPr="00E9174E" w:rsidRDefault="006D7162" w:rsidP="00E9174E">
      <w:pPr>
        <w:widowControl/>
        <w:spacing w:line="360" w:lineRule="auto"/>
        <w:ind w:firstLine="1440"/>
        <w:contextualSpacing/>
        <w:rPr>
          <w:rFonts w:eastAsiaTheme="minorHAnsi"/>
          <w:sz w:val="26"/>
          <w:szCs w:val="26"/>
        </w:rPr>
      </w:pPr>
      <w:r w:rsidRPr="00E9174E">
        <w:rPr>
          <w:rFonts w:eastAsiaTheme="minorHAnsi"/>
          <w:sz w:val="26"/>
          <w:szCs w:val="26"/>
        </w:rPr>
        <w:t>The OCA and CAUSE-PA presented a breadth of evidence regarding their positions that the costs of Columbia’s universal service program should be considered a “public good” and allocated across all customer classes and that</w:t>
      </w:r>
      <w:r w:rsidRPr="00E9174E">
        <w:rPr>
          <w:rFonts w:eastAsia="Calibri"/>
          <w:sz w:val="26"/>
          <w:szCs w:val="26"/>
        </w:rPr>
        <w:t xml:space="preserve"> nonresidential customers contribute to the cost of and the need for the program and derive a benefit from the program.  These Parties also provided evidence regarding </w:t>
      </w:r>
      <w:r w:rsidRPr="00E9174E">
        <w:rPr>
          <w:rFonts w:eastAsiaTheme="minorHAnsi"/>
          <w:sz w:val="26"/>
          <w:szCs w:val="26"/>
        </w:rPr>
        <w:t xml:space="preserve">the financial harm that residential ratepayers, particularly lower-income customers that fall short of qualifying for assistance programs or chose not to receive assistance, are currently experiencing.  </w:t>
      </w:r>
      <w:r w:rsidRPr="00E9174E">
        <w:rPr>
          <w:rFonts w:eastAsiaTheme="minorHAnsi"/>
          <w:i/>
          <w:iCs/>
          <w:sz w:val="26"/>
          <w:szCs w:val="26"/>
        </w:rPr>
        <w:t>See, e.g</w:t>
      </w:r>
      <w:r w:rsidRPr="00E9174E">
        <w:rPr>
          <w:rFonts w:eastAsiaTheme="minorHAnsi"/>
          <w:sz w:val="26"/>
          <w:szCs w:val="26"/>
        </w:rPr>
        <w:t>., OCA St. 5 at 28-57; CAUSE-PA St. 1 at 39-43.  On the other hand, Columbia and the OSBA, as well as CII and PSU, presented a breadth of evidence (of at least co</w:t>
      </w:r>
      <w:r w:rsidR="000D2352">
        <w:rPr>
          <w:rFonts w:eastAsiaTheme="minorHAnsi"/>
          <w:sz w:val="26"/>
          <w:szCs w:val="26"/>
        </w:rPr>
        <w:noBreakHyphen/>
      </w:r>
      <w:r w:rsidRPr="00E9174E">
        <w:rPr>
          <w:rFonts w:eastAsiaTheme="minorHAnsi"/>
          <w:sz w:val="26"/>
          <w:szCs w:val="26"/>
        </w:rPr>
        <w:t>equal weight to that of the OCA and CAUSE-PA) on their positions that the principle of cost-causation supports that residential customers should fund universal service programs because that class is the only class that benefits from them.  CG St. 1-R at</w:t>
      </w:r>
      <w:r w:rsidR="000D2352">
        <w:rPr>
          <w:rFonts w:eastAsiaTheme="minorHAnsi"/>
          <w:sz w:val="26"/>
          <w:szCs w:val="26"/>
        </w:rPr>
        <w:t> </w:t>
      </w:r>
      <w:r w:rsidRPr="00E9174E">
        <w:rPr>
          <w:rFonts w:eastAsiaTheme="minorHAnsi"/>
          <w:sz w:val="26"/>
          <w:szCs w:val="26"/>
        </w:rPr>
        <w:t>23</w:t>
      </w:r>
      <w:r w:rsidR="000D2352">
        <w:rPr>
          <w:rFonts w:eastAsiaTheme="minorHAnsi"/>
          <w:sz w:val="26"/>
          <w:szCs w:val="26"/>
        </w:rPr>
        <w:noBreakHyphen/>
      </w:r>
      <w:r w:rsidRPr="00E9174E">
        <w:rPr>
          <w:rFonts w:eastAsiaTheme="minorHAnsi"/>
          <w:sz w:val="26"/>
          <w:szCs w:val="26"/>
        </w:rPr>
        <w:t xml:space="preserve">26; OSBA St. 1-R at 3-6; PSU St. 1-R at 18.  </w:t>
      </w:r>
    </w:p>
    <w:p w14:paraId="2CFA931E" w14:textId="77777777" w:rsidR="006D7162" w:rsidRPr="00E9174E" w:rsidRDefault="006D7162" w:rsidP="00E9174E">
      <w:pPr>
        <w:widowControl/>
        <w:spacing w:line="360" w:lineRule="auto"/>
        <w:contextualSpacing/>
        <w:rPr>
          <w:rFonts w:eastAsiaTheme="minorHAnsi"/>
          <w:sz w:val="26"/>
          <w:szCs w:val="26"/>
        </w:rPr>
      </w:pPr>
    </w:p>
    <w:p w14:paraId="23EAB433" w14:textId="224882B7" w:rsidR="006D7162" w:rsidRPr="00E9174E" w:rsidRDefault="006D7162" w:rsidP="00E9174E">
      <w:pPr>
        <w:widowControl/>
        <w:spacing w:line="360" w:lineRule="auto"/>
        <w:ind w:firstLine="1440"/>
        <w:contextualSpacing/>
        <w:rPr>
          <w:rFonts w:eastAsiaTheme="minorHAnsi"/>
          <w:sz w:val="26"/>
          <w:szCs w:val="26"/>
        </w:rPr>
      </w:pPr>
      <w:r w:rsidRPr="00E9174E">
        <w:rPr>
          <w:rFonts w:eastAsiaTheme="minorHAnsi"/>
          <w:sz w:val="26"/>
          <w:szCs w:val="26"/>
        </w:rPr>
        <w:t xml:space="preserve">None of the Parties in this proceeding specifically objected to or presented evidence opposing the manner in which Columbia assigns and recovers its USP costs from residential ratepayers using a volumetric “Rider USP” charge.  However, the OSBA testified regarding deficiencies in the OCA and CAUSE-PA’s proposals.  For example, Mr. Colton does not propose a specific recovery rate design method, and Mr. Miller does not propose a specific cost allocation method or a rate design method.  OSBA St. 1-R </w:t>
      </w:r>
      <w:r w:rsidRPr="00E9174E">
        <w:rPr>
          <w:rFonts w:eastAsiaTheme="minorHAnsi"/>
          <w:sz w:val="26"/>
          <w:szCs w:val="26"/>
        </w:rPr>
        <w:lastRenderedPageBreak/>
        <w:t>at</w:t>
      </w:r>
      <w:r w:rsidR="000D2352">
        <w:rPr>
          <w:rFonts w:eastAsiaTheme="minorHAnsi"/>
          <w:sz w:val="26"/>
          <w:szCs w:val="26"/>
        </w:rPr>
        <w:t> </w:t>
      </w:r>
      <w:r w:rsidRPr="00E9174E">
        <w:rPr>
          <w:rFonts w:eastAsiaTheme="minorHAnsi"/>
          <w:sz w:val="26"/>
          <w:szCs w:val="26"/>
        </w:rPr>
        <w:t>4.  Moreover, based on the OCA’s P&amp;A ACCOSS, Columbia’s larger customers are far below their fair share of revenue recovery responsibility. </w:t>
      </w:r>
      <w:r w:rsidR="00757FD9" w:rsidRPr="00E9174E">
        <w:rPr>
          <w:rFonts w:eastAsiaTheme="minorHAnsi"/>
          <w:sz w:val="26"/>
          <w:szCs w:val="26"/>
        </w:rPr>
        <w:t xml:space="preserve"> </w:t>
      </w:r>
      <w:r w:rsidRPr="00E9174E">
        <w:rPr>
          <w:rFonts w:eastAsiaTheme="minorHAnsi"/>
          <w:sz w:val="26"/>
          <w:szCs w:val="26"/>
        </w:rPr>
        <w:t>Even though the OCA’s proposal applies the largest percentage increase (36%) to the large C&amp;I classes (SDS/LGSS and LDS/LGSS), which is capped at 1.5 times the system average increase, the revenue recognition from those classes is still shown to be below their cost to serve and, therefore, they continue to be subsidized by other classes. </w:t>
      </w:r>
      <w:r w:rsidR="00757FD9" w:rsidRPr="00E9174E">
        <w:rPr>
          <w:rFonts w:eastAsiaTheme="minorHAnsi"/>
          <w:sz w:val="26"/>
          <w:szCs w:val="26"/>
        </w:rPr>
        <w:t xml:space="preserve"> </w:t>
      </w:r>
      <w:r w:rsidRPr="00E9174E">
        <w:rPr>
          <w:rFonts w:eastAsiaTheme="minorHAnsi"/>
          <w:i/>
          <w:iCs/>
          <w:sz w:val="26"/>
          <w:szCs w:val="26"/>
        </w:rPr>
        <w:t xml:space="preserve">See </w:t>
      </w:r>
      <w:r w:rsidRPr="00E9174E">
        <w:rPr>
          <w:rFonts w:eastAsiaTheme="minorHAnsi"/>
          <w:sz w:val="26"/>
          <w:szCs w:val="26"/>
        </w:rPr>
        <w:t>OCA St. 4 at 34, 35.  In consideration of the large percentage increases to the large C&amp;I classes, based on the Company’s full requested increase, as well as the economic impacts commercial and industrial customers are experiencing due to the COVID-19 pandemic, absent more compelling evidence to the contrary, we do not find it appropriate to change the manner in which we have traditionally permitted USP costs to be allocated under the circumstances in this case.</w:t>
      </w:r>
      <w:r w:rsidR="00182503" w:rsidRPr="00E9174E">
        <w:rPr>
          <w:rFonts w:eastAsiaTheme="minorHAnsi"/>
          <w:sz w:val="26"/>
          <w:szCs w:val="26"/>
        </w:rPr>
        <w:t xml:space="preserve">  For these reasons, we shall deny the Exceptions of the OCA and CAUSE-PA.  </w:t>
      </w:r>
    </w:p>
    <w:p w14:paraId="7E0FDB3F" w14:textId="77777777" w:rsidR="006D7162" w:rsidRPr="00E9174E" w:rsidRDefault="006D7162" w:rsidP="00E9174E">
      <w:pPr>
        <w:widowControl/>
        <w:spacing w:line="360" w:lineRule="auto"/>
        <w:contextualSpacing/>
        <w:rPr>
          <w:rFonts w:eastAsiaTheme="minorHAnsi"/>
          <w:sz w:val="26"/>
          <w:szCs w:val="26"/>
        </w:rPr>
      </w:pPr>
    </w:p>
    <w:p w14:paraId="415AEE1B" w14:textId="14CFEB5A" w:rsidR="006D7162" w:rsidRPr="00E9174E" w:rsidRDefault="00A35C7A" w:rsidP="00F94A24">
      <w:pPr>
        <w:pStyle w:val="Heading2"/>
        <w:numPr>
          <w:ilvl w:val="0"/>
          <w:numId w:val="88"/>
        </w:numPr>
        <w:ind w:hanging="720"/>
      </w:pPr>
      <w:bookmarkStart w:id="478" w:name="_Toc63764634"/>
      <w:r w:rsidRPr="00E9174E">
        <w:t>Rate Design</w:t>
      </w:r>
      <w:bookmarkEnd w:id="478"/>
      <w:r w:rsidRPr="00E9174E">
        <w:tab/>
      </w:r>
    </w:p>
    <w:p w14:paraId="4CF22D43" w14:textId="01BF437A" w:rsidR="00A620DA" w:rsidRPr="00E9174E" w:rsidRDefault="00A620DA" w:rsidP="00E9174E">
      <w:pPr>
        <w:keepNext/>
        <w:keepLines/>
        <w:widowControl/>
        <w:spacing w:line="360" w:lineRule="auto"/>
        <w:ind w:firstLine="360"/>
        <w:contextualSpacing/>
        <w:rPr>
          <w:rFonts w:eastAsiaTheme="minorHAnsi"/>
          <w:b/>
          <w:bCs/>
          <w:sz w:val="26"/>
          <w:szCs w:val="26"/>
        </w:rPr>
      </w:pPr>
    </w:p>
    <w:p w14:paraId="3F1A5009" w14:textId="00C955AC" w:rsidR="00F95716" w:rsidRPr="00E9174E" w:rsidRDefault="00F95716" w:rsidP="00E9174E">
      <w:pPr>
        <w:widowControl/>
        <w:autoSpaceDE w:val="0"/>
        <w:autoSpaceDN w:val="0"/>
        <w:adjustRightInd w:val="0"/>
        <w:spacing w:line="360" w:lineRule="auto"/>
        <w:ind w:firstLine="1440"/>
        <w:contextualSpacing/>
        <w:rPr>
          <w:sz w:val="26"/>
          <w:szCs w:val="26"/>
        </w:rPr>
      </w:pPr>
      <w:r w:rsidRPr="00E9174E">
        <w:rPr>
          <w:sz w:val="26"/>
          <w:szCs w:val="26"/>
        </w:rPr>
        <w:t xml:space="preserve">Columbia provided that its rate design proposal is designed to recover the Company’s total cost of service.  The Company pursued three objectives to establish the amount of revenue to be recovered through the customer charge.  First, Columbia analyzed the percent of revenue recovery by the customer charge, as compared to base rate revenue recovery as a whole.  Columbia’s goal was to align the percentage of customer charge recovery to total base rate recovery.  Second, Columbia compared the currently approved customer charge to the Minimum System Customer Charge Study (CG </w:t>
      </w:r>
      <w:proofErr w:type="spellStart"/>
      <w:r w:rsidRPr="00E9174E">
        <w:rPr>
          <w:sz w:val="26"/>
          <w:szCs w:val="26"/>
        </w:rPr>
        <w:t>Exh</w:t>
      </w:r>
      <w:proofErr w:type="spellEnd"/>
      <w:r w:rsidRPr="00E9174E">
        <w:rPr>
          <w:sz w:val="26"/>
          <w:szCs w:val="26"/>
        </w:rPr>
        <w:t>. 111, Sch. 1 at 14-18), with the goal of progressing toward a customer charge that would recover the cost of a minimum system.  Third, Columbia proposed that any increase in the customer charge be gradual to avoid rate shock</w:t>
      </w:r>
      <w:r w:rsidR="00FB68E7" w:rsidRPr="00E9174E">
        <w:rPr>
          <w:sz w:val="26"/>
          <w:szCs w:val="26"/>
        </w:rPr>
        <w:t>.</w:t>
      </w:r>
      <w:r w:rsidRPr="00E9174E">
        <w:rPr>
          <w:sz w:val="26"/>
          <w:szCs w:val="26"/>
        </w:rPr>
        <w:t xml:space="preserve"> </w:t>
      </w:r>
      <w:r w:rsidR="00FB68E7" w:rsidRPr="00E9174E">
        <w:rPr>
          <w:sz w:val="26"/>
          <w:szCs w:val="26"/>
        </w:rPr>
        <w:t xml:space="preserve"> </w:t>
      </w:r>
      <w:r w:rsidRPr="00E9174E">
        <w:rPr>
          <w:sz w:val="26"/>
          <w:szCs w:val="26"/>
        </w:rPr>
        <w:t>CG M.B. at 148-149 (citing CG St. 3-R at 14).</w:t>
      </w:r>
    </w:p>
    <w:p w14:paraId="6F7D4A39" w14:textId="77777777" w:rsidR="00F95716" w:rsidRPr="00E9174E" w:rsidRDefault="00F95716" w:rsidP="00E9174E">
      <w:pPr>
        <w:widowControl/>
        <w:spacing w:line="360" w:lineRule="auto"/>
        <w:ind w:firstLine="1440"/>
        <w:contextualSpacing/>
        <w:rPr>
          <w:b/>
          <w:bCs/>
          <w:sz w:val="26"/>
          <w:szCs w:val="26"/>
        </w:rPr>
      </w:pPr>
    </w:p>
    <w:p w14:paraId="34956E8F" w14:textId="7FB04DD0" w:rsidR="00F95716" w:rsidRPr="00E9174E" w:rsidRDefault="00F95716" w:rsidP="00277ECF">
      <w:pPr>
        <w:pStyle w:val="Heading3"/>
        <w:numPr>
          <w:ilvl w:val="0"/>
          <w:numId w:val="30"/>
        </w:numPr>
        <w:ind w:left="1440" w:hanging="720"/>
      </w:pPr>
      <w:bookmarkStart w:id="479" w:name="_Toc63764635"/>
      <w:r w:rsidRPr="00E9174E">
        <w:rPr>
          <w:rFonts w:eastAsiaTheme="minorHAnsi"/>
        </w:rPr>
        <w:lastRenderedPageBreak/>
        <w:t>Residential</w:t>
      </w:r>
      <w:r w:rsidRPr="00E9174E">
        <w:t xml:space="preserve"> Rate Design</w:t>
      </w:r>
      <w:bookmarkEnd w:id="479"/>
    </w:p>
    <w:p w14:paraId="63BF358B" w14:textId="77777777" w:rsidR="00F95716" w:rsidRPr="00E9174E" w:rsidRDefault="00F95716" w:rsidP="00E9174E">
      <w:pPr>
        <w:pStyle w:val="ListParagraph"/>
        <w:keepNext/>
        <w:keepLines/>
        <w:spacing w:line="360" w:lineRule="auto"/>
        <w:ind w:left="0" w:firstLine="1440"/>
        <w:contextualSpacing/>
        <w:rPr>
          <w:b/>
          <w:bCs/>
          <w:sz w:val="26"/>
          <w:szCs w:val="26"/>
        </w:rPr>
      </w:pPr>
    </w:p>
    <w:p w14:paraId="39760E48" w14:textId="07F78D72" w:rsidR="00F95716" w:rsidRPr="00E9174E" w:rsidRDefault="00F95716" w:rsidP="00277ECF">
      <w:pPr>
        <w:pStyle w:val="Heading4"/>
        <w:numPr>
          <w:ilvl w:val="0"/>
          <w:numId w:val="77"/>
        </w:numPr>
        <w:ind w:left="2160" w:hanging="720"/>
      </w:pPr>
      <w:bookmarkStart w:id="480" w:name="_Toc63764636"/>
      <w:bookmarkStart w:id="481" w:name="_Hlk62111239"/>
      <w:r w:rsidRPr="00E9174E">
        <w:t>Positions of the Parties</w:t>
      </w:r>
      <w:bookmarkEnd w:id="480"/>
    </w:p>
    <w:p w14:paraId="010EB282" w14:textId="77777777" w:rsidR="00F95716" w:rsidRPr="00E9174E" w:rsidRDefault="00F95716" w:rsidP="00E9174E">
      <w:pPr>
        <w:keepNext/>
        <w:keepLines/>
        <w:widowControl/>
        <w:spacing w:line="360" w:lineRule="auto"/>
        <w:ind w:firstLine="1440"/>
        <w:contextualSpacing/>
        <w:rPr>
          <w:sz w:val="26"/>
          <w:szCs w:val="26"/>
        </w:rPr>
      </w:pPr>
    </w:p>
    <w:p w14:paraId="2BE2CA3E" w14:textId="0D2D99CB" w:rsidR="00F95716" w:rsidRDefault="00F95716" w:rsidP="00E9174E">
      <w:pPr>
        <w:widowControl/>
        <w:spacing w:line="360" w:lineRule="auto"/>
        <w:ind w:firstLine="1440"/>
        <w:contextualSpacing/>
        <w:rPr>
          <w:sz w:val="26"/>
          <w:szCs w:val="26"/>
        </w:rPr>
      </w:pPr>
      <w:r w:rsidRPr="00E9174E">
        <w:rPr>
          <w:sz w:val="26"/>
          <w:szCs w:val="26"/>
        </w:rPr>
        <w:t>Columbia noted that its current residential rate structure includes a customer charge, a volumetric charge, and a Weather Normalization Adjustment (Rider WNA).  CG M.B. at 149 (citing CG St. 3 at 15).  Columbia proposed to increase the Residential customer charge, recover the remaining revenue allocated to the residential customer class through the commodity (distribution) charge, modify the currently effective</w:t>
      </w:r>
      <w:r w:rsidR="00303188" w:rsidRPr="00E9174E">
        <w:rPr>
          <w:sz w:val="26"/>
          <w:szCs w:val="26"/>
        </w:rPr>
        <w:t xml:space="preserve"> Rider</w:t>
      </w:r>
      <w:r w:rsidRPr="00E9174E">
        <w:rPr>
          <w:sz w:val="26"/>
          <w:szCs w:val="26"/>
        </w:rPr>
        <w:t xml:space="preserve"> WNA, and implement a Revenue Normalization Adjustment (RNA).  CG</w:t>
      </w:r>
      <w:r w:rsidR="00917CFD">
        <w:rPr>
          <w:sz w:val="26"/>
          <w:szCs w:val="26"/>
        </w:rPr>
        <w:t> </w:t>
      </w:r>
      <w:r w:rsidRPr="00E9174E">
        <w:rPr>
          <w:sz w:val="26"/>
          <w:szCs w:val="26"/>
        </w:rPr>
        <w:t xml:space="preserve">M.B. at 149.  </w:t>
      </w:r>
    </w:p>
    <w:p w14:paraId="3D5DEEFA" w14:textId="77777777" w:rsidR="00917CFD" w:rsidRPr="00E9174E" w:rsidRDefault="00917CFD" w:rsidP="00E9174E">
      <w:pPr>
        <w:widowControl/>
        <w:spacing w:line="360" w:lineRule="auto"/>
        <w:ind w:firstLine="1440"/>
        <w:contextualSpacing/>
        <w:rPr>
          <w:sz w:val="26"/>
          <w:szCs w:val="26"/>
        </w:rPr>
      </w:pPr>
    </w:p>
    <w:p w14:paraId="36757C06" w14:textId="228C7C2F" w:rsidR="00F95716" w:rsidRPr="00E9174E" w:rsidRDefault="00F95716" w:rsidP="00277ECF">
      <w:pPr>
        <w:pStyle w:val="Heading5"/>
        <w:numPr>
          <w:ilvl w:val="0"/>
          <w:numId w:val="78"/>
        </w:numPr>
      </w:pPr>
      <w:bookmarkStart w:id="482" w:name="_Toc63764637"/>
      <w:r w:rsidRPr="00E9174E">
        <w:t>Residential Customer Charge</w:t>
      </w:r>
      <w:bookmarkEnd w:id="482"/>
    </w:p>
    <w:p w14:paraId="5423CCCE" w14:textId="77777777" w:rsidR="00F95716" w:rsidRPr="00E9174E" w:rsidRDefault="00F95716" w:rsidP="00E9174E">
      <w:pPr>
        <w:keepNext/>
        <w:widowControl/>
        <w:spacing w:line="360" w:lineRule="auto"/>
        <w:ind w:firstLine="1440"/>
        <w:contextualSpacing/>
        <w:rPr>
          <w:b/>
          <w:bCs/>
          <w:sz w:val="26"/>
          <w:szCs w:val="26"/>
        </w:rPr>
      </w:pPr>
    </w:p>
    <w:p w14:paraId="7C74DC17" w14:textId="52D71092" w:rsidR="00F95716" w:rsidRPr="00E9174E" w:rsidRDefault="00F95716" w:rsidP="00E9174E">
      <w:pPr>
        <w:widowControl/>
        <w:spacing w:line="360" w:lineRule="auto"/>
        <w:ind w:firstLine="1440"/>
        <w:contextualSpacing/>
        <w:rPr>
          <w:sz w:val="26"/>
          <w:szCs w:val="26"/>
        </w:rPr>
      </w:pPr>
      <w:r w:rsidRPr="00E9174E">
        <w:rPr>
          <w:sz w:val="26"/>
          <w:szCs w:val="26"/>
        </w:rPr>
        <w:t xml:space="preserve">Columbia proposed to increase the residential customer charge from $16.75 to $23.  Columbia explained that the remaining residential revenue increase was assigned to the volumetric charge for a resulting rate of $7.3323 per </w:t>
      </w:r>
      <w:proofErr w:type="spellStart"/>
      <w:r w:rsidRPr="00E9174E">
        <w:rPr>
          <w:sz w:val="26"/>
          <w:szCs w:val="26"/>
        </w:rPr>
        <w:t>Dth</w:t>
      </w:r>
      <w:proofErr w:type="spellEnd"/>
      <w:r w:rsidRPr="00E9174E">
        <w:rPr>
          <w:sz w:val="26"/>
          <w:szCs w:val="26"/>
        </w:rPr>
        <w:t xml:space="preserve">.  CG M.B. at 149 (citing CG St. 3 at 35).  Columbia explained further that the proposed customer charge is slightly below the monthly customer-based cost excluding mains and would not recover the full residential customer related costs of service.  Columbia reasoned that the proposed increase represents a meaningful movement toward cost recovery.  CG M.B. at 149-150.  </w:t>
      </w:r>
    </w:p>
    <w:p w14:paraId="2A2C55B8" w14:textId="77777777" w:rsidR="00F95716" w:rsidRPr="00E9174E" w:rsidRDefault="00F95716" w:rsidP="00E9174E">
      <w:pPr>
        <w:widowControl/>
        <w:spacing w:line="360" w:lineRule="auto"/>
        <w:ind w:firstLine="1440"/>
        <w:contextualSpacing/>
        <w:rPr>
          <w:sz w:val="26"/>
          <w:szCs w:val="26"/>
        </w:rPr>
      </w:pPr>
    </w:p>
    <w:p w14:paraId="01E134F6" w14:textId="4DC0163B" w:rsidR="00F95716" w:rsidRPr="00E9174E" w:rsidRDefault="00F95716" w:rsidP="00E9174E">
      <w:pPr>
        <w:widowControl/>
        <w:spacing w:line="360" w:lineRule="auto"/>
        <w:ind w:firstLine="1440"/>
        <w:contextualSpacing/>
        <w:rPr>
          <w:sz w:val="26"/>
          <w:szCs w:val="26"/>
        </w:rPr>
      </w:pPr>
      <w:r w:rsidRPr="00E9174E">
        <w:rPr>
          <w:sz w:val="26"/>
          <w:szCs w:val="26"/>
        </w:rPr>
        <w:t>I&amp;E support</w:t>
      </w:r>
      <w:r w:rsidR="004062A6" w:rsidRPr="00E9174E">
        <w:rPr>
          <w:sz w:val="26"/>
          <w:szCs w:val="26"/>
        </w:rPr>
        <w:t>ed</w:t>
      </w:r>
      <w:r w:rsidRPr="00E9174E">
        <w:rPr>
          <w:sz w:val="26"/>
          <w:szCs w:val="26"/>
        </w:rPr>
        <w:t xml:space="preserve"> Columbia’s proposed increase to the residential customer charge.  I&amp;E M.B. at 101.  The OCA, CAUSE-PA and CAAP opposed the Company’s proposed increase to the residential customer charge, including various concerns with respect to the impacts of the proposed customer charge on low-income customers.  R.D. at 266.  The OCA argued that Columbia’s proposed increase to the customer charge, a 40% increase, violates the principle of gradualism, and would increase a customer charge that is already the highest in Pennsylvania.  OCA M.B. at 185.  CAUSE-PA argued that </w:t>
      </w:r>
      <w:r w:rsidRPr="00E9174E">
        <w:rPr>
          <w:sz w:val="26"/>
          <w:szCs w:val="26"/>
        </w:rPr>
        <w:lastRenderedPageBreak/>
        <w:t xml:space="preserve">increasing the residential customer charge will undermine LIURP because LIURP customers will not be as effective at lowering their bill through conservation efforts if the fixed portion of their bill increases.  R.D. at 268 (citing CAUSE-PA M.B. at 38).  </w:t>
      </w:r>
    </w:p>
    <w:p w14:paraId="37B96EED" w14:textId="77777777" w:rsidR="00F95716" w:rsidRPr="00E9174E" w:rsidRDefault="00F95716" w:rsidP="00E9174E">
      <w:pPr>
        <w:widowControl/>
        <w:spacing w:line="360" w:lineRule="auto"/>
        <w:ind w:firstLine="1440"/>
        <w:contextualSpacing/>
        <w:rPr>
          <w:sz w:val="26"/>
          <w:szCs w:val="26"/>
        </w:rPr>
      </w:pPr>
    </w:p>
    <w:p w14:paraId="5FE13E5C" w14:textId="7AD16453" w:rsidR="00F95716" w:rsidRPr="00E9174E" w:rsidRDefault="00F95716" w:rsidP="00917CFD">
      <w:pPr>
        <w:pStyle w:val="Heading5"/>
      </w:pPr>
      <w:bookmarkStart w:id="483" w:name="_Toc63764638"/>
      <w:r w:rsidRPr="00E9174E">
        <w:t>Weather Normalization Adjustment</w:t>
      </w:r>
      <w:bookmarkEnd w:id="483"/>
    </w:p>
    <w:p w14:paraId="5F222C1B" w14:textId="77777777" w:rsidR="00F95716" w:rsidRPr="00E9174E" w:rsidRDefault="00F95716" w:rsidP="00E9174E">
      <w:pPr>
        <w:pStyle w:val="ListParagraph"/>
        <w:keepNext/>
        <w:keepLines/>
        <w:spacing w:line="360" w:lineRule="auto"/>
        <w:ind w:left="0" w:firstLine="1440"/>
        <w:contextualSpacing/>
        <w:rPr>
          <w:b/>
          <w:bCs/>
          <w:sz w:val="26"/>
          <w:szCs w:val="26"/>
        </w:rPr>
      </w:pPr>
    </w:p>
    <w:p w14:paraId="3D02FC19" w14:textId="29ED8778" w:rsidR="00F95716" w:rsidRPr="00E9174E" w:rsidRDefault="00F95716" w:rsidP="00E9174E">
      <w:pPr>
        <w:pStyle w:val="ListParagraph"/>
        <w:spacing w:line="360" w:lineRule="auto"/>
        <w:ind w:left="0" w:firstLine="1440"/>
        <w:contextualSpacing/>
        <w:rPr>
          <w:sz w:val="26"/>
          <w:szCs w:val="26"/>
        </w:rPr>
      </w:pPr>
      <w:r w:rsidRPr="00E9174E">
        <w:rPr>
          <w:sz w:val="26"/>
          <w:szCs w:val="26"/>
        </w:rPr>
        <w:t xml:space="preserve">Columbia provided that the Rider WNA adjusts residential customers’ monthly charges based on the actual temperature experienced during the month from November through May.  According to Columbia, under the existing WNA, the </w:t>
      </w:r>
      <w:r w:rsidR="00E45C0E" w:rsidRPr="00E9174E">
        <w:rPr>
          <w:sz w:val="26"/>
          <w:szCs w:val="26"/>
        </w:rPr>
        <w:t>C</w:t>
      </w:r>
      <w:r w:rsidRPr="00E9174E">
        <w:rPr>
          <w:sz w:val="26"/>
          <w:szCs w:val="26"/>
        </w:rPr>
        <w:t xml:space="preserve">ompany and customers are protected, in part, from usage variations due to weather.  Columbia explained that the existing Rider WNA includes a 3% </w:t>
      </w:r>
      <w:proofErr w:type="spellStart"/>
      <w:r w:rsidRPr="00E9174E">
        <w:rPr>
          <w:sz w:val="26"/>
          <w:szCs w:val="26"/>
        </w:rPr>
        <w:t>deadband</w:t>
      </w:r>
      <w:proofErr w:type="spellEnd"/>
      <w:r w:rsidRPr="00E9174E">
        <w:rPr>
          <w:sz w:val="26"/>
          <w:szCs w:val="26"/>
        </w:rPr>
        <w:t xml:space="preserve">, which means that a billing adjustment occurs only if the variation of actual heating degree days is lower than 97% or higher than 103% of the normal heating degree days for an individual billing cycle.  Columbia proposed to remove the 3% </w:t>
      </w:r>
      <w:proofErr w:type="spellStart"/>
      <w:r w:rsidRPr="00E9174E">
        <w:rPr>
          <w:sz w:val="26"/>
          <w:szCs w:val="26"/>
        </w:rPr>
        <w:t>deadband</w:t>
      </w:r>
      <w:proofErr w:type="spellEnd"/>
      <w:r w:rsidRPr="00E9174E">
        <w:rPr>
          <w:sz w:val="26"/>
          <w:szCs w:val="26"/>
        </w:rPr>
        <w:t xml:space="preserve"> from the WNA.  Columbia explained further that the 3% </w:t>
      </w:r>
      <w:proofErr w:type="spellStart"/>
      <w:r w:rsidRPr="00E9174E">
        <w:rPr>
          <w:sz w:val="26"/>
          <w:szCs w:val="26"/>
        </w:rPr>
        <w:t>deadband</w:t>
      </w:r>
      <w:proofErr w:type="spellEnd"/>
      <w:r w:rsidRPr="00E9174E">
        <w:rPr>
          <w:sz w:val="26"/>
          <w:szCs w:val="26"/>
        </w:rPr>
        <w:t xml:space="preserve"> means that a portion of revenue variation due to weather continues to be unaddressed.  CG M.B. at 153-154.  </w:t>
      </w:r>
    </w:p>
    <w:p w14:paraId="368E2153" w14:textId="77777777" w:rsidR="00F95716" w:rsidRPr="00E9174E" w:rsidRDefault="00F95716" w:rsidP="00E9174E">
      <w:pPr>
        <w:pStyle w:val="ListParagraph"/>
        <w:spacing w:line="360" w:lineRule="auto"/>
        <w:ind w:left="0" w:firstLine="1440"/>
        <w:contextualSpacing/>
        <w:rPr>
          <w:sz w:val="26"/>
          <w:szCs w:val="26"/>
        </w:rPr>
      </w:pPr>
    </w:p>
    <w:p w14:paraId="05A1499E" w14:textId="717AB813" w:rsidR="00F95716" w:rsidRPr="00E9174E" w:rsidRDefault="00F95716" w:rsidP="00E9174E">
      <w:pPr>
        <w:pStyle w:val="ListParagraph"/>
        <w:spacing w:line="360" w:lineRule="auto"/>
        <w:ind w:left="0" w:firstLine="1440"/>
        <w:contextualSpacing/>
        <w:rPr>
          <w:sz w:val="26"/>
          <w:szCs w:val="26"/>
        </w:rPr>
      </w:pPr>
      <w:r w:rsidRPr="00E9174E">
        <w:rPr>
          <w:sz w:val="26"/>
          <w:szCs w:val="26"/>
        </w:rPr>
        <w:t xml:space="preserve">Columbia noted that I&amp;E and the OCA oppose Columbia’s proposal to eliminate the 3% </w:t>
      </w:r>
      <w:proofErr w:type="spellStart"/>
      <w:r w:rsidRPr="00E9174E">
        <w:rPr>
          <w:sz w:val="26"/>
          <w:szCs w:val="26"/>
        </w:rPr>
        <w:t>deadband</w:t>
      </w:r>
      <w:proofErr w:type="spellEnd"/>
      <w:r w:rsidRPr="00E9174E">
        <w:rPr>
          <w:sz w:val="26"/>
          <w:szCs w:val="26"/>
        </w:rPr>
        <w:t>.  According to Columbia, I&amp;E claimed that the WNA should apply only in extraordinary circumstances</w:t>
      </w:r>
      <w:r w:rsidR="005E11E6" w:rsidRPr="00E9174E">
        <w:rPr>
          <w:sz w:val="26"/>
          <w:szCs w:val="26"/>
        </w:rPr>
        <w:t>,</w:t>
      </w:r>
      <w:r w:rsidRPr="00E9174E">
        <w:rPr>
          <w:sz w:val="26"/>
          <w:szCs w:val="26"/>
        </w:rPr>
        <w:t xml:space="preserve"> and the OCA claim</w:t>
      </w:r>
      <w:r w:rsidR="005E11E6" w:rsidRPr="00E9174E">
        <w:rPr>
          <w:sz w:val="26"/>
          <w:szCs w:val="26"/>
        </w:rPr>
        <w:t>ed</w:t>
      </w:r>
      <w:r w:rsidRPr="00E9174E">
        <w:rPr>
          <w:sz w:val="26"/>
          <w:szCs w:val="26"/>
        </w:rPr>
        <w:t xml:space="preserve"> that the WNA should not apply if a particular day is only slightly colder or warmer than normal.  CG M.B. at 154 (citing I&amp;E St. 3 at 9, OCA St. 4 at 39).</w:t>
      </w:r>
    </w:p>
    <w:p w14:paraId="1791EB6C" w14:textId="77777777" w:rsidR="00F95716" w:rsidRPr="00E9174E" w:rsidRDefault="00F95716" w:rsidP="00E9174E">
      <w:pPr>
        <w:pStyle w:val="ListParagraph"/>
        <w:spacing w:line="360" w:lineRule="auto"/>
        <w:ind w:left="0" w:firstLine="1440"/>
        <w:contextualSpacing/>
        <w:rPr>
          <w:sz w:val="26"/>
          <w:szCs w:val="26"/>
        </w:rPr>
      </w:pPr>
    </w:p>
    <w:p w14:paraId="54014A7A" w14:textId="36A88E5E" w:rsidR="00F95716" w:rsidRPr="00E9174E" w:rsidRDefault="00F95716" w:rsidP="00917CFD">
      <w:pPr>
        <w:pStyle w:val="Heading5"/>
      </w:pPr>
      <w:bookmarkStart w:id="484" w:name="_Toc63764639"/>
      <w:r w:rsidRPr="00E9174E">
        <w:t>Revenue Normalization Adjustment</w:t>
      </w:r>
      <w:bookmarkEnd w:id="484"/>
    </w:p>
    <w:p w14:paraId="509305A8" w14:textId="1F711C81" w:rsidR="00F95716" w:rsidRPr="00E9174E" w:rsidRDefault="00F95716" w:rsidP="00E9174E">
      <w:pPr>
        <w:pStyle w:val="ListParagraph"/>
        <w:keepNext/>
        <w:keepLines/>
        <w:spacing w:line="360" w:lineRule="auto"/>
        <w:ind w:left="0" w:firstLine="1440"/>
        <w:contextualSpacing/>
        <w:rPr>
          <w:sz w:val="26"/>
          <w:szCs w:val="26"/>
        </w:rPr>
      </w:pPr>
    </w:p>
    <w:p w14:paraId="334CE7FB" w14:textId="77777777" w:rsidR="00F95716" w:rsidRPr="00E9174E" w:rsidRDefault="00F95716" w:rsidP="00E9174E">
      <w:pPr>
        <w:pStyle w:val="ListParagraph"/>
        <w:spacing w:line="360" w:lineRule="auto"/>
        <w:ind w:left="0" w:firstLine="1440"/>
        <w:contextualSpacing/>
        <w:rPr>
          <w:sz w:val="26"/>
          <w:szCs w:val="26"/>
        </w:rPr>
      </w:pPr>
      <w:r w:rsidRPr="00E9174E">
        <w:rPr>
          <w:sz w:val="26"/>
          <w:szCs w:val="26"/>
        </w:rPr>
        <w:t xml:space="preserve">Columbia proposed a Revenue Normalization Adjustment (RNA) to provide benchmark distribution revenue levels regardless of changes in customers’ actual usage levels.  Columbia explained that the Rider RNA would adjust actual non-gas distribution revenue for the non-CAP residential customer class.  CG M.B. at 156. </w:t>
      </w:r>
    </w:p>
    <w:p w14:paraId="600D9C74" w14:textId="4278CCF7" w:rsidR="00F95716" w:rsidRPr="00E9174E" w:rsidRDefault="00F95716" w:rsidP="0039691A">
      <w:pPr>
        <w:pStyle w:val="ListParagraph"/>
        <w:spacing w:line="360" w:lineRule="auto"/>
        <w:ind w:left="0" w:firstLine="1440"/>
        <w:contextualSpacing/>
        <w:rPr>
          <w:sz w:val="26"/>
          <w:szCs w:val="26"/>
        </w:rPr>
      </w:pPr>
      <w:r w:rsidRPr="00E9174E">
        <w:rPr>
          <w:sz w:val="26"/>
          <w:szCs w:val="26"/>
        </w:rPr>
        <w:lastRenderedPageBreak/>
        <w:t xml:space="preserve">Columbia provided that I&amp;E, the OCA, CAAP and CAUSE-PA opposed implementation of the RNA.  I&amp;E contended that there is no demonstrated need for greater revenue stability, nor is there any guarantee that the RNA would result in fewer rate cases.  CG M.B. at 160 (citing I&amp;E St. 3 at 11).  I&amp;E argued that the RNA is contrary to conservation efforts because customers would need to use more gas to trigger a refund.  CAUSE-PA and CAAP expressed similar concerns regarding low-income customers’ incentive to conserve.  CG M.B. at 160 (citing CAUSE-PA St. 1 at 6).  </w:t>
      </w:r>
    </w:p>
    <w:p w14:paraId="2F5C0316" w14:textId="77777777" w:rsidR="00B764FB" w:rsidRPr="00E9174E" w:rsidRDefault="00B764FB" w:rsidP="0039691A">
      <w:pPr>
        <w:pStyle w:val="ListParagraph"/>
        <w:spacing w:line="360" w:lineRule="auto"/>
        <w:ind w:left="0" w:firstLine="1440"/>
        <w:contextualSpacing/>
        <w:rPr>
          <w:sz w:val="26"/>
          <w:szCs w:val="26"/>
        </w:rPr>
      </w:pPr>
    </w:p>
    <w:p w14:paraId="51602517" w14:textId="64C0FACB" w:rsidR="00F95716" w:rsidRPr="00E9174E" w:rsidRDefault="00BD0B0D" w:rsidP="0039691A">
      <w:pPr>
        <w:pStyle w:val="Heading4"/>
        <w:ind w:left="2160" w:hanging="720"/>
      </w:pPr>
      <w:bookmarkStart w:id="485" w:name="_Toc63764640"/>
      <w:r w:rsidRPr="00E9174E">
        <w:t>Recommended Decision</w:t>
      </w:r>
      <w:bookmarkEnd w:id="485"/>
      <w:r w:rsidRPr="00E9174E">
        <w:t xml:space="preserve"> </w:t>
      </w:r>
    </w:p>
    <w:p w14:paraId="707BC356" w14:textId="77777777" w:rsidR="00F95716" w:rsidRPr="00E9174E" w:rsidRDefault="00F95716" w:rsidP="0039691A">
      <w:pPr>
        <w:pStyle w:val="ListParagraph"/>
        <w:keepNext/>
        <w:spacing w:line="360" w:lineRule="auto"/>
        <w:ind w:left="0" w:firstLine="1440"/>
        <w:contextualSpacing/>
        <w:rPr>
          <w:b/>
          <w:bCs/>
          <w:sz w:val="26"/>
          <w:szCs w:val="26"/>
        </w:rPr>
      </w:pPr>
    </w:p>
    <w:p w14:paraId="5701AE3B" w14:textId="77777777" w:rsidR="00F95716" w:rsidRPr="00E9174E" w:rsidRDefault="00F95716" w:rsidP="0039691A">
      <w:pPr>
        <w:widowControl/>
        <w:spacing w:line="360" w:lineRule="auto"/>
        <w:ind w:firstLine="1440"/>
        <w:contextualSpacing/>
        <w:rPr>
          <w:sz w:val="26"/>
          <w:szCs w:val="26"/>
        </w:rPr>
      </w:pPr>
      <w:r w:rsidRPr="00E9174E">
        <w:rPr>
          <w:sz w:val="26"/>
          <w:szCs w:val="26"/>
        </w:rPr>
        <w:t xml:space="preserve">The ALJ reasoned that the proposed increase to the residential customer charge violates the principle of gradualism.  The ALJ noted that Columbia’s assertion that CAP will protect the low-income customers from feeling the impact of the increased customer charge is not supported by the evidence.  The ALJ provided that CAP serves less than 23% of Columbia’s low-income population.  Further, the ALJ determined that the proposed increase is contrary to the Commission’s goal of encouraging customers to conserve energy.  The ALJ recommended that the Commission deny Columbia’s request to increase the monthly customer charge.  R.D. at 400-401.   </w:t>
      </w:r>
    </w:p>
    <w:p w14:paraId="7685EE2A" w14:textId="77777777" w:rsidR="00F95716" w:rsidRPr="00E9174E" w:rsidRDefault="00F95716" w:rsidP="00E9174E">
      <w:pPr>
        <w:widowControl/>
        <w:spacing w:line="360" w:lineRule="auto"/>
        <w:ind w:firstLine="1440"/>
        <w:contextualSpacing/>
        <w:rPr>
          <w:sz w:val="26"/>
          <w:szCs w:val="26"/>
        </w:rPr>
      </w:pPr>
    </w:p>
    <w:p w14:paraId="0B0EAE35" w14:textId="77777777" w:rsidR="00F95716" w:rsidRPr="00E9174E" w:rsidRDefault="00F95716" w:rsidP="00E9174E">
      <w:pPr>
        <w:widowControl/>
        <w:spacing w:line="360" w:lineRule="auto"/>
        <w:ind w:firstLine="1440"/>
        <w:contextualSpacing/>
        <w:rPr>
          <w:sz w:val="26"/>
          <w:szCs w:val="26"/>
        </w:rPr>
      </w:pPr>
      <w:r w:rsidRPr="00E9174E">
        <w:rPr>
          <w:sz w:val="26"/>
          <w:szCs w:val="26"/>
        </w:rPr>
        <w:t xml:space="preserve">The ALJ recommended that the Commission deny Columbia’s proposal to remove the 3% </w:t>
      </w:r>
      <w:proofErr w:type="spellStart"/>
      <w:r w:rsidRPr="00E9174E">
        <w:rPr>
          <w:sz w:val="26"/>
          <w:szCs w:val="26"/>
        </w:rPr>
        <w:t>deadband</w:t>
      </w:r>
      <w:proofErr w:type="spellEnd"/>
      <w:r w:rsidRPr="00E9174E">
        <w:rPr>
          <w:sz w:val="26"/>
          <w:szCs w:val="26"/>
        </w:rPr>
        <w:t xml:space="preserve"> for the WNA.  The ALJ reasoned that without an extraordinary set of circumstances, there is no need for Columbia to reconcile day-to-day temperature variations that are part of normal business.  The ALJ found that the 3% </w:t>
      </w:r>
      <w:proofErr w:type="spellStart"/>
      <w:r w:rsidRPr="00E9174E">
        <w:rPr>
          <w:sz w:val="26"/>
          <w:szCs w:val="26"/>
        </w:rPr>
        <w:t>deadband</w:t>
      </w:r>
      <w:proofErr w:type="spellEnd"/>
      <w:r w:rsidRPr="00E9174E">
        <w:rPr>
          <w:sz w:val="26"/>
          <w:szCs w:val="26"/>
        </w:rPr>
        <w:t xml:space="preserve"> is a reasonable provision, because it allows for a range of what is considered “normal” weather in which the Company’s Commission-approved rates would be applied without adjustment.  R.D. at 402 (citing I&amp;E St. 3 at 9).  </w:t>
      </w:r>
    </w:p>
    <w:p w14:paraId="4D3DDEED" w14:textId="77777777" w:rsidR="00F95716" w:rsidRPr="00E9174E" w:rsidRDefault="00F95716" w:rsidP="00E9174E">
      <w:pPr>
        <w:widowControl/>
        <w:spacing w:line="360" w:lineRule="auto"/>
        <w:ind w:firstLine="1440"/>
        <w:contextualSpacing/>
        <w:rPr>
          <w:sz w:val="26"/>
          <w:szCs w:val="26"/>
        </w:rPr>
      </w:pPr>
    </w:p>
    <w:p w14:paraId="599E025D" w14:textId="77777777" w:rsidR="00F95716" w:rsidRPr="00E9174E" w:rsidRDefault="00F95716" w:rsidP="00E9174E">
      <w:pPr>
        <w:widowControl/>
        <w:spacing w:line="360" w:lineRule="auto"/>
        <w:ind w:firstLine="1440"/>
        <w:contextualSpacing/>
        <w:rPr>
          <w:sz w:val="26"/>
          <w:szCs w:val="26"/>
        </w:rPr>
      </w:pPr>
      <w:r w:rsidRPr="00E9174E">
        <w:rPr>
          <w:sz w:val="26"/>
          <w:szCs w:val="26"/>
        </w:rPr>
        <w:t xml:space="preserve">The ALJ recommended that the Commission deny the RNA proposal.  The ALJ reasoned that Columbia failed to prove the RNA Rider is needed and reasonable, or </w:t>
      </w:r>
      <w:r w:rsidRPr="00E9174E">
        <w:rPr>
          <w:sz w:val="26"/>
          <w:szCs w:val="26"/>
        </w:rPr>
        <w:lastRenderedPageBreak/>
        <w:t xml:space="preserve">that the RNA Rider will result in rates that are just, reasonable and in the public interest.  Further, the Company did not show its current rates and systems of revenue streams will fail to provide revenue stability.  R.D. at 403.  </w:t>
      </w:r>
    </w:p>
    <w:p w14:paraId="1DCD8294" w14:textId="77777777" w:rsidR="00F95716" w:rsidRPr="00E9174E" w:rsidRDefault="00F95716" w:rsidP="00E9174E">
      <w:pPr>
        <w:widowControl/>
        <w:spacing w:line="360" w:lineRule="auto"/>
        <w:ind w:firstLine="1440"/>
        <w:contextualSpacing/>
        <w:rPr>
          <w:sz w:val="26"/>
          <w:szCs w:val="26"/>
        </w:rPr>
      </w:pPr>
    </w:p>
    <w:p w14:paraId="7017249B" w14:textId="6673D2E2" w:rsidR="00F95716" w:rsidRPr="00E9174E" w:rsidRDefault="00F95716" w:rsidP="005B3352">
      <w:pPr>
        <w:pStyle w:val="Heading4"/>
        <w:ind w:left="2160" w:hanging="720"/>
      </w:pPr>
      <w:bookmarkStart w:id="486" w:name="_Toc63764641"/>
      <w:r w:rsidRPr="00E9174E">
        <w:t>Disposition</w:t>
      </w:r>
      <w:bookmarkEnd w:id="486"/>
    </w:p>
    <w:p w14:paraId="42E43B08" w14:textId="77777777" w:rsidR="00F95716" w:rsidRPr="00E9174E" w:rsidRDefault="00F95716" w:rsidP="00E9174E">
      <w:pPr>
        <w:keepNext/>
        <w:widowControl/>
        <w:spacing w:line="360" w:lineRule="auto"/>
        <w:ind w:firstLine="1440"/>
        <w:contextualSpacing/>
        <w:rPr>
          <w:sz w:val="26"/>
          <w:szCs w:val="26"/>
        </w:rPr>
      </w:pPr>
    </w:p>
    <w:p w14:paraId="48B96AF6" w14:textId="50AC1B2C" w:rsidR="00F95716" w:rsidRPr="00E9174E" w:rsidRDefault="00F95716" w:rsidP="0039691A">
      <w:pPr>
        <w:widowControl/>
        <w:spacing w:line="360" w:lineRule="auto"/>
        <w:ind w:firstLine="1440"/>
        <w:contextualSpacing/>
        <w:rPr>
          <w:sz w:val="26"/>
          <w:szCs w:val="26"/>
        </w:rPr>
      </w:pPr>
      <w:r w:rsidRPr="00E9174E">
        <w:rPr>
          <w:sz w:val="26"/>
          <w:szCs w:val="26"/>
        </w:rPr>
        <w:t>No Party filed Exceptions to the ALJ’s Recommended Decision on this issue.  We find that the ALJ</w:t>
      </w:r>
      <w:r w:rsidR="00980818" w:rsidRPr="00E9174E">
        <w:rPr>
          <w:sz w:val="26"/>
          <w:szCs w:val="26"/>
        </w:rPr>
        <w:t>’</w:t>
      </w:r>
      <w:r w:rsidRPr="00E9174E">
        <w:rPr>
          <w:sz w:val="26"/>
          <w:szCs w:val="26"/>
        </w:rPr>
        <w:t>s recommendation is supported by ample record evidence and is just and reasonable.  Accordingly, we shall adopt it without further comment.</w:t>
      </w:r>
    </w:p>
    <w:p w14:paraId="0C493D08" w14:textId="77777777" w:rsidR="00F95716" w:rsidRPr="00E9174E" w:rsidRDefault="00F95716" w:rsidP="0039691A">
      <w:pPr>
        <w:widowControl/>
        <w:spacing w:line="360" w:lineRule="auto"/>
        <w:ind w:firstLine="1440"/>
        <w:contextualSpacing/>
        <w:rPr>
          <w:sz w:val="26"/>
          <w:szCs w:val="26"/>
        </w:rPr>
      </w:pPr>
    </w:p>
    <w:p w14:paraId="70B71154" w14:textId="441ED218" w:rsidR="00F95716" w:rsidRPr="00E9174E" w:rsidRDefault="00F95716" w:rsidP="00277ECF">
      <w:pPr>
        <w:pStyle w:val="Heading3"/>
        <w:numPr>
          <w:ilvl w:val="0"/>
          <w:numId w:val="30"/>
        </w:numPr>
        <w:ind w:left="1440" w:hanging="720"/>
      </w:pPr>
      <w:bookmarkStart w:id="487" w:name="_Toc63764642"/>
      <w:bookmarkEnd w:id="481"/>
      <w:r w:rsidRPr="00E9174E">
        <w:t>Small C&amp;I Customer Rate Design</w:t>
      </w:r>
      <w:bookmarkEnd w:id="487"/>
    </w:p>
    <w:p w14:paraId="3A20B0E9" w14:textId="77777777" w:rsidR="00F95716" w:rsidRPr="00E9174E" w:rsidRDefault="00F95716" w:rsidP="0039691A">
      <w:pPr>
        <w:pStyle w:val="ListParagraph"/>
        <w:keepNext/>
        <w:keepLines/>
        <w:spacing w:line="360" w:lineRule="auto"/>
        <w:ind w:left="0" w:firstLine="1440"/>
        <w:contextualSpacing/>
        <w:rPr>
          <w:b/>
          <w:bCs/>
          <w:sz w:val="26"/>
          <w:szCs w:val="26"/>
        </w:rPr>
      </w:pPr>
    </w:p>
    <w:p w14:paraId="132FBBFB" w14:textId="77777777" w:rsidR="00F95716" w:rsidRPr="00E9174E" w:rsidRDefault="00F95716" w:rsidP="00277ECF">
      <w:pPr>
        <w:pStyle w:val="Heading4"/>
        <w:numPr>
          <w:ilvl w:val="0"/>
          <w:numId w:val="79"/>
        </w:numPr>
        <w:ind w:left="2160" w:hanging="720"/>
      </w:pPr>
      <w:bookmarkStart w:id="488" w:name="_Toc63764643"/>
      <w:r w:rsidRPr="00E9174E">
        <w:t>Positions of the Parties</w:t>
      </w:r>
      <w:bookmarkEnd w:id="488"/>
    </w:p>
    <w:p w14:paraId="294B3DCA" w14:textId="77777777" w:rsidR="00F95716" w:rsidRPr="00E9174E" w:rsidRDefault="00F95716" w:rsidP="0039691A">
      <w:pPr>
        <w:pStyle w:val="BodyText"/>
        <w:keepNext/>
        <w:keepLines/>
        <w:widowControl/>
        <w:spacing w:after="0" w:line="360" w:lineRule="auto"/>
        <w:ind w:firstLine="1440"/>
        <w:contextualSpacing/>
        <w:rPr>
          <w:sz w:val="26"/>
          <w:szCs w:val="26"/>
        </w:rPr>
      </w:pPr>
    </w:p>
    <w:p w14:paraId="468E2B4D" w14:textId="2976500C" w:rsidR="00F95716" w:rsidRPr="00E9174E" w:rsidRDefault="00F95716" w:rsidP="00194F5F">
      <w:pPr>
        <w:pStyle w:val="BodyText"/>
        <w:widowControl/>
        <w:spacing w:after="0" w:line="360" w:lineRule="auto"/>
        <w:ind w:firstLine="1440"/>
        <w:contextualSpacing/>
        <w:rPr>
          <w:sz w:val="26"/>
          <w:szCs w:val="26"/>
        </w:rPr>
      </w:pPr>
      <w:r w:rsidRPr="00E9174E">
        <w:rPr>
          <w:sz w:val="26"/>
          <w:szCs w:val="26"/>
        </w:rPr>
        <w:t xml:space="preserve">Columbia Gas provided that the customer charge studies produce a range of customer costs from $25.87 (excluding mains) to $60.16 (including mains), for Small General Service customers using less than or equal to 6,440 </w:t>
      </w:r>
      <w:proofErr w:type="spellStart"/>
      <w:r w:rsidRPr="00E9174E">
        <w:rPr>
          <w:sz w:val="26"/>
          <w:szCs w:val="26"/>
        </w:rPr>
        <w:t>therms</w:t>
      </w:r>
      <w:proofErr w:type="spellEnd"/>
      <w:r w:rsidRPr="00E9174E">
        <w:rPr>
          <w:sz w:val="26"/>
          <w:szCs w:val="26"/>
        </w:rPr>
        <w:t xml:space="preserve"> annually.  CG M.B. at</w:t>
      </w:r>
      <w:r w:rsidR="00194F5F">
        <w:rPr>
          <w:sz w:val="26"/>
          <w:szCs w:val="26"/>
        </w:rPr>
        <w:t> </w:t>
      </w:r>
      <w:r w:rsidRPr="00E9174E">
        <w:rPr>
          <w:sz w:val="26"/>
          <w:szCs w:val="26"/>
        </w:rPr>
        <w:t xml:space="preserve">164 (citing CG </w:t>
      </w:r>
      <w:proofErr w:type="spellStart"/>
      <w:r w:rsidRPr="00E9174E">
        <w:rPr>
          <w:sz w:val="26"/>
          <w:szCs w:val="26"/>
        </w:rPr>
        <w:t>Exh</w:t>
      </w:r>
      <w:proofErr w:type="spellEnd"/>
      <w:r w:rsidRPr="00E9174E">
        <w:rPr>
          <w:sz w:val="26"/>
          <w:szCs w:val="26"/>
        </w:rPr>
        <w:t>. 111, Sch. 1 at 16, 25).  Columbia’s proposed customer charge of $30.00 falls just above the bottom of the range of costs.  Columbia propose</w:t>
      </w:r>
      <w:r w:rsidR="003348DD" w:rsidRPr="00E9174E">
        <w:rPr>
          <w:sz w:val="26"/>
          <w:szCs w:val="26"/>
        </w:rPr>
        <w:t>d</w:t>
      </w:r>
      <w:r w:rsidRPr="00E9174E">
        <w:rPr>
          <w:sz w:val="26"/>
          <w:szCs w:val="26"/>
        </w:rPr>
        <w:t xml:space="preserve"> a volumetric rate of $5.4497/</w:t>
      </w:r>
      <w:proofErr w:type="spellStart"/>
      <w:r w:rsidRPr="00E9174E">
        <w:rPr>
          <w:sz w:val="26"/>
          <w:szCs w:val="26"/>
        </w:rPr>
        <w:t>Dth</w:t>
      </w:r>
      <w:proofErr w:type="spellEnd"/>
      <w:r w:rsidRPr="00E9174E">
        <w:rPr>
          <w:sz w:val="26"/>
          <w:szCs w:val="26"/>
        </w:rPr>
        <w:t xml:space="preserve"> for SGS-1/SCD-1 service and $5.3413/</w:t>
      </w:r>
      <w:proofErr w:type="spellStart"/>
      <w:r w:rsidRPr="00E9174E">
        <w:rPr>
          <w:sz w:val="26"/>
          <w:szCs w:val="26"/>
        </w:rPr>
        <w:t>Dth</w:t>
      </w:r>
      <w:proofErr w:type="spellEnd"/>
      <w:r w:rsidRPr="00E9174E">
        <w:rPr>
          <w:sz w:val="26"/>
          <w:szCs w:val="26"/>
        </w:rPr>
        <w:t xml:space="preserve"> for SGDS-1 service.  CG</w:t>
      </w:r>
      <w:r w:rsidR="004B6603">
        <w:rPr>
          <w:sz w:val="26"/>
          <w:szCs w:val="26"/>
        </w:rPr>
        <w:t> </w:t>
      </w:r>
      <w:r w:rsidRPr="00E9174E">
        <w:rPr>
          <w:sz w:val="26"/>
          <w:szCs w:val="26"/>
        </w:rPr>
        <w:t xml:space="preserve">M.B. at 164 (citing CG St. 3 at 36-37). </w:t>
      </w:r>
    </w:p>
    <w:p w14:paraId="571FF64C" w14:textId="77777777" w:rsidR="00F95716" w:rsidRPr="00E9174E" w:rsidRDefault="00F95716" w:rsidP="00E9174E">
      <w:pPr>
        <w:pStyle w:val="BodyText"/>
        <w:widowControl/>
        <w:spacing w:after="0" w:line="360" w:lineRule="auto"/>
        <w:ind w:firstLine="1440"/>
        <w:contextualSpacing/>
        <w:rPr>
          <w:sz w:val="26"/>
          <w:szCs w:val="26"/>
        </w:rPr>
      </w:pPr>
    </w:p>
    <w:p w14:paraId="0038ACD6" w14:textId="77777777" w:rsidR="00F95716" w:rsidRPr="00E9174E" w:rsidRDefault="00F95716" w:rsidP="00E9174E">
      <w:pPr>
        <w:pStyle w:val="BodyText"/>
        <w:widowControl/>
        <w:spacing w:after="0" w:line="360" w:lineRule="auto"/>
        <w:ind w:firstLine="1440"/>
        <w:contextualSpacing/>
        <w:rPr>
          <w:sz w:val="26"/>
          <w:szCs w:val="26"/>
        </w:rPr>
      </w:pPr>
      <w:r w:rsidRPr="00E9174E">
        <w:rPr>
          <w:sz w:val="26"/>
          <w:szCs w:val="26"/>
        </w:rPr>
        <w:t xml:space="preserve">For Small General Service customers using between 6,440 and 64,400 </w:t>
      </w:r>
      <w:proofErr w:type="spellStart"/>
      <w:r w:rsidRPr="00E9174E">
        <w:rPr>
          <w:sz w:val="26"/>
          <w:szCs w:val="26"/>
        </w:rPr>
        <w:t>therms</w:t>
      </w:r>
      <w:proofErr w:type="spellEnd"/>
      <w:r w:rsidRPr="00E9174E">
        <w:rPr>
          <w:sz w:val="26"/>
          <w:szCs w:val="26"/>
        </w:rPr>
        <w:t xml:space="preserve"> annually, Columbia proposed a customer charge of $60.00, an increase of $12.00 to the current $48.00 customer charge.  The customer charge studies produced a range of costs from $43.99 (excluding mains) to $108.42 (including mains).  The Company proposed a volumetric charge of $4.7467/</w:t>
      </w:r>
      <w:proofErr w:type="spellStart"/>
      <w:r w:rsidRPr="00E9174E">
        <w:rPr>
          <w:sz w:val="26"/>
          <w:szCs w:val="26"/>
        </w:rPr>
        <w:t>Dth</w:t>
      </w:r>
      <w:proofErr w:type="spellEnd"/>
      <w:r w:rsidRPr="00E9174E">
        <w:rPr>
          <w:sz w:val="26"/>
          <w:szCs w:val="26"/>
        </w:rPr>
        <w:t xml:space="preserve"> for SGS-2/SCD-2 service and $4.6384/</w:t>
      </w:r>
      <w:proofErr w:type="spellStart"/>
      <w:r w:rsidRPr="00E9174E">
        <w:rPr>
          <w:sz w:val="26"/>
          <w:szCs w:val="26"/>
        </w:rPr>
        <w:t>Dth</w:t>
      </w:r>
      <w:proofErr w:type="spellEnd"/>
      <w:r w:rsidRPr="00E9174E">
        <w:rPr>
          <w:sz w:val="26"/>
          <w:szCs w:val="26"/>
        </w:rPr>
        <w:t xml:space="preserve"> for SGDS service.  CG M.B. at 164-165.  </w:t>
      </w:r>
    </w:p>
    <w:p w14:paraId="194B3E73" w14:textId="77777777" w:rsidR="00F95716" w:rsidRPr="00E9174E" w:rsidRDefault="00F95716" w:rsidP="00E9174E">
      <w:pPr>
        <w:pStyle w:val="BodyText"/>
        <w:widowControl/>
        <w:spacing w:after="0" w:line="360" w:lineRule="auto"/>
        <w:ind w:firstLine="1440"/>
        <w:contextualSpacing/>
        <w:rPr>
          <w:sz w:val="26"/>
          <w:szCs w:val="26"/>
        </w:rPr>
      </w:pPr>
    </w:p>
    <w:p w14:paraId="76A777CD" w14:textId="77777777" w:rsidR="00F95716" w:rsidRPr="00E9174E" w:rsidRDefault="00F95716" w:rsidP="00E9174E">
      <w:pPr>
        <w:pStyle w:val="BodyText"/>
        <w:widowControl/>
        <w:spacing w:after="0" w:line="360" w:lineRule="auto"/>
        <w:ind w:firstLine="1440"/>
        <w:contextualSpacing/>
        <w:rPr>
          <w:sz w:val="26"/>
          <w:szCs w:val="26"/>
        </w:rPr>
      </w:pPr>
      <w:r w:rsidRPr="00E9174E">
        <w:rPr>
          <w:sz w:val="26"/>
          <w:szCs w:val="26"/>
        </w:rPr>
        <w:lastRenderedPageBreak/>
        <w:t xml:space="preserve">Columbia averred that it is appropriate to include a customer component of mains in the minimum system charge study.  Columbia noted that I&amp;E recommended that the customer charges for these classes be lowered to reflect a customer charge that does not include the cost of mains.  CG M.B at 165 (citing I&amp;E St. 3 at 21-23).  Columbia contended that I&amp;E’s recommendation is inconsistent with sound ratemaking principles because I&amp;E proposed a customer charge for SGS-2 customers ($45) that is </w:t>
      </w:r>
      <w:r w:rsidRPr="00E9174E">
        <w:rPr>
          <w:b/>
          <w:bCs/>
          <w:sz w:val="26"/>
          <w:szCs w:val="26"/>
          <w:u w:val="single"/>
        </w:rPr>
        <w:t>lower</w:t>
      </w:r>
      <w:r w:rsidRPr="00E9174E">
        <w:rPr>
          <w:sz w:val="26"/>
          <w:szCs w:val="26"/>
        </w:rPr>
        <w:t xml:space="preserve"> than the current customer charges ($48).   CG M.B. at 165 (citing CG </w:t>
      </w:r>
      <w:proofErr w:type="spellStart"/>
      <w:r w:rsidRPr="00E9174E">
        <w:rPr>
          <w:sz w:val="26"/>
          <w:szCs w:val="26"/>
        </w:rPr>
        <w:t>Exh</w:t>
      </w:r>
      <w:proofErr w:type="spellEnd"/>
      <w:r w:rsidRPr="00E9174E">
        <w:rPr>
          <w:sz w:val="26"/>
          <w:szCs w:val="26"/>
        </w:rPr>
        <w:t xml:space="preserve">. MJB-2R).  </w:t>
      </w:r>
    </w:p>
    <w:p w14:paraId="11ABDA42" w14:textId="77777777" w:rsidR="00F95716" w:rsidRPr="00E9174E" w:rsidRDefault="00F95716" w:rsidP="00E9174E">
      <w:pPr>
        <w:pStyle w:val="BodyText"/>
        <w:widowControl/>
        <w:spacing w:after="0" w:line="360" w:lineRule="auto"/>
        <w:ind w:firstLine="1440"/>
        <w:contextualSpacing/>
        <w:rPr>
          <w:sz w:val="26"/>
          <w:szCs w:val="26"/>
        </w:rPr>
      </w:pPr>
    </w:p>
    <w:p w14:paraId="08E0D97E" w14:textId="77777777" w:rsidR="00F95716" w:rsidRPr="00E9174E" w:rsidRDefault="00F95716" w:rsidP="00E9174E">
      <w:pPr>
        <w:pStyle w:val="BodyText"/>
        <w:widowControl/>
        <w:spacing w:after="0" w:line="360" w:lineRule="auto"/>
        <w:ind w:firstLine="1440"/>
        <w:contextualSpacing/>
        <w:rPr>
          <w:sz w:val="26"/>
          <w:szCs w:val="26"/>
        </w:rPr>
      </w:pPr>
      <w:r w:rsidRPr="00E9174E">
        <w:rPr>
          <w:sz w:val="26"/>
          <w:szCs w:val="26"/>
        </w:rPr>
        <w:t xml:space="preserve">Columbia provided that the OSBA witness Mr. Knecht agreed with the Company’s proposed customer charges for Small C&amp;I customers because they are cost justified at the full revenue requirement.  CG M.B. at 165 (citing OSBA St. 1 at 32-33).  </w:t>
      </w:r>
    </w:p>
    <w:p w14:paraId="35045D23" w14:textId="77777777" w:rsidR="00F95716" w:rsidRPr="00E9174E" w:rsidRDefault="00F95716" w:rsidP="00E9174E">
      <w:pPr>
        <w:widowControl/>
        <w:spacing w:line="360" w:lineRule="auto"/>
        <w:ind w:firstLine="1440"/>
        <w:contextualSpacing/>
        <w:rPr>
          <w:sz w:val="26"/>
          <w:szCs w:val="26"/>
        </w:rPr>
      </w:pPr>
    </w:p>
    <w:p w14:paraId="0375E18F" w14:textId="77777777" w:rsidR="00F95716" w:rsidRPr="00E9174E" w:rsidRDefault="00F95716" w:rsidP="004B6603">
      <w:pPr>
        <w:pStyle w:val="Heading4"/>
        <w:ind w:left="2160" w:hanging="720"/>
      </w:pPr>
      <w:bookmarkStart w:id="489" w:name="_Toc63764644"/>
      <w:r w:rsidRPr="00E9174E">
        <w:t>Recommended Decision</w:t>
      </w:r>
      <w:bookmarkEnd w:id="489"/>
    </w:p>
    <w:p w14:paraId="5C5AD642" w14:textId="77777777" w:rsidR="00F95716" w:rsidRPr="00E9174E" w:rsidRDefault="00F95716" w:rsidP="00E9174E">
      <w:pPr>
        <w:pStyle w:val="ListParagraph"/>
        <w:keepNext/>
        <w:keepLines/>
        <w:spacing w:line="360" w:lineRule="auto"/>
        <w:ind w:left="0" w:firstLine="1440"/>
        <w:contextualSpacing/>
        <w:rPr>
          <w:b/>
          <w:bCs/>
          <w:sz w:val="26"/>
          <w:szCs w:val="26"/>
        </w:rPr>
      </w:pPr>
    </w:p>
    <w:p w14:paraId="23DA7B5E" w14:textId="759B3A27" w:rsidR="00F95716" w:rsidRPr="00E9174E" w:rsidRDefault="00F95716" w:rsidP="00E9174E">
      <w:pPr>
        <w:pStyle w:val="BodyText"/>
        <w:widowControl/>
        <w:spacing w:after="0" w:line="360" w:lineRule="auto"/>
        <w:ind w:firstLine="1440"/>
        <w:contextualSpacing/>
        <w:rPr>
          <w:sz w:val="26"/>
          <w:szCs w:val="26"/>
        </w:rPr>
      </w:pPr>
      <w:r w:rsidRPr="00E9174E">
        <w:rPr>
          <w:sz w:val="26"/>
          <w:szCs w:val="26"/>
        </w:rPr>
        <w:t xml:space="preserve">The ALJ recommended that the Commission approve the proposed customer charges.  The ALJ reasoned that Columbia’s current and proposed customer charges for these classes fall within the range of the two customer charge studies and are well below the minimum system charges shown in the customer charge study including mains.  R.D. at 404-405 (citing CG </w:t>
      </w:r>
      <w:proofErr w:type="spellStart"/>
      <w:r w:rsidRPr="00E9174E">
        <w:rPr>
          <w:sz w:val="26"/>
          <w:szCs w:val="26"/>
        </w:rPr>
        <w:t>Exh</w:t>
      </w:r>
      <w:proofErr w:type="spellEnd"/>
      <w:r w:rsidRPr="00E9174E">
        <w:rPr>
          <w:sz w:val="26"/>
          <w:szCs w:val="26"/>
        </w:rPr>
        <w:t xml:space="preserve">. 111, Sch. 1 at 16).  The ALJ found that Columbia’s proposed customer charges for Small C&amp;I customers are reasonable. </w:t>
      </w:r>
      <w:r w:rsidR="007E48C3" w:rsidRPr="00E9174E">
        <w:rPr>
          <w:sz w:val="26"/>
          <w:szCs w:val="26"/>
        </w:rPr>
        <w:t xml:space="preserve"> </w:t>
      </w:r>
      <w:r w:rsidRPr="00E9174E">
        <w:rPr>
          <w:sz w:val="26"/>
          <w:szCs w:val="26"/>
        </w:rPr>
        <w:t xml:space="preserve">The ALJ concluded that Columbia presented sufficient evidence to prove the charges are reasonable and appropriate, and no </w:t>
      </w:r>
      <w:r w:rsidR="00E64BA2" w:rsidRPr="00E9174E">
        <w:rPr>
          <w:sz w:val="26"/>
          <w:szCs w:val="26"/>
        </w:rPr>
        <w:t>P</w:t>
      </w:r>
      <w:r w:rsidRPr="00E9174E">
        <w:rPr>
          <w:sz w:val="26"/>
          <w:szCs w:val="26"/>
        </w:rPr>
        <w:t>arty provided sufficient evidence to disprove the cha</w:t>
      </w:r>
      <w:r w:rsidR="001F4DAA" w:rsidRPr="00E9174E">
        <w:rPr>
          <w:sz w:val="26"/>
          <w:szCs w:val="26"/>
        </w:rPr>
        <w:t>r</w:t>
      </w:r>
      <w:r w:rsidRPr="00E9174E">
        <w:rPr>
          <w:sz w:val="26"/>
          <w:szCs w:val="26"/>
        </w:rPr>
        <w:t>ges, and the cha</w:t>
      </w:r>
      <w:r w:rsidR="001F4DAA" w:rsidRPr="00E9174E">
        <w:rPr>
          <w:sz w:val="26"/>
          <w:szCs w:val="26"/>
        </w:rPr>
        <w:t>r</w:t>
      </w:r>
      <w:r w:rsidRPr="00E9174E">
        <w:rPr>
          <w:sz w:val="26"/>
          <w:szCs w:val="26"/>
        </w:rPr>
        <w:t>ges will lead to just and reasonable rates.  R.D. at 405.</w:t>
      </w:r>
    </w:p>
    <w:p w14:paraId="0FBB9360" w14:textId="77777777" w:rsidR="00F95716" w:rsidRPr="00E9174E" w:rsidRDefault="00F95716" w:rsidP="00E9174E">
      <w:pPr>
        <w:widowControl/>
        <w:spacing w:line="360" w:lineRule="auto"/>
        <w:ind w:firstLine="1440"/>
        <w:contextualSpacing/>
        <w:rPr>
          <w:sz w:val="26"/>
          <w:szCs w:val="26"/>
        </w:rPr>
      </w:pPr>
    </w:p>
    <w:p w14:paraId="2A1195A1" w14:textId="77777777" w:rsidR="00F95716" w:rsidRPr="00E9174E" w:rsidRDefault="00F95716" w:rsidP="004B6603">
      <w:pPr>
        <w:pStyle w:val="Heading4"/>
        <w:ind w:left="2160" w:hanging="720"/>
      </w:pPr>
      <w:bookmarkStart w:id="490" w:name="_Toc63764645"/>
      <w:r w:rsidRPr="00E9174E">
        <w:t>Disposition</w:t>
      </w:r>
      <w:bookmarkEnd w:id="490"/>
    </w:p>
    <w:p w14:paraId="2FD14302" w14:textId="77777777" w:rsidR="001F4DAA" w:rsidRPr="00E9174E" w:rsidRDefault="001F4DAA" w:rsidP="00E9174E">
      <w:pPr>
        <w:keepNext/>
        <w:keepLines/>
        <w:widowControl/>
        <w:spacing w:line="360" w:lineRule="auto"/>
        <w:ind w:firstLine="1440"/>
        <w:contextualSpacing/>
        <w:rPr>
          <w:sz w:val="26"/>
          <w:szCs w:val="26"/>
        </w:rPr>
      </w:pPr>
    </w:p>
    <w:p w14:paraId="7FA60D76" w14:textId="193E558C" w:rsidR="00F95716" w:rsidRPr="00E9174E" w:rsidRDefault="00F95716" w:rsidP="00E9174E">
      <w:pPr>
        <w:widowControl/>
        <w:spacing w:line="360" w:lineRule="auto"/>
        <w:ind w:firstLine="1440"/>
        <w:contextualSpacing/>
        <w:rPr>
          <w:sz w:val="26"/>
          <w:szCs w:val="26"/>
        </w:rPr>
      </w:pPr>
      <w:r w:rsidRPr="00E9174E">
        <w:rPr>
          <w:sz w:val="26"/>
          <w:szCs w:val="26"/>
        </w:rPr>
        <w:t>No Party filed Exceptions to the ALJ’s Recommended Decision on this issue.  We find that the ALJ</w:t>
      </w:r>
      <w:r w:rsidR="00172710" w:rsidRPr="00E9174E">
        <w:rPr>
          <w:sz w:val="26"/>
          <w:szCs w:val="26"/>
        </w:rPr>
        <w:t>’</w:t>
      </w:r>
      <w:r w:rsidRPr="00E9174E">
        <w:rPr>
          <w:sz w:val="26"/>
          <w:szCs w:val="26"/>
        </w:rPr>
        <w:t>s recommendation is supported by ample record evidence and is just and reasonable.  Accordingly, we shall adopt it without further comment.</w:t>
      </w:r>
    </w:p>
    <w:p w14:paraId="08368022" w14:textId="363170B2" w:rsidR="00F95716" w:rsidRPr="00E9174E" w:rsidRDefault="00F95716" w:rsidP="00277ECF">
      <w:pPr>
        <w:pStyle w:val="Heading3"/>
        <w:numPr>
          <w:ilvl w:val="0"/>
          <w:numId w:val="30"/>
        </w:numPr>
        <w:ind w:left="1440" w:hanging="720"/>
      </w:pPr>
      <w:bookmarkStart w:id="491" w:name="_Toc63764646"/>
      <w:r w:rsidRPr="00E9174E">
        <w:lastRenderedPageBreak/>
        <w:t>Large C&amp;I Customer Rate Design</w:t>
      </w:r>
      <w:bookmarkEnd w:id="491"/>
    </w:p>
    <w:p w14:paraId="2DDE4E9A" w14:textId="77777777" w:rsidR="00F95716" w:rsidRPr="00E9174E" w:rsidRDefault="00F95716" w:rsidP="00E07B5C">
      <w:pPr>
        <w:pStyle w:val="ListParagraph"/>
        <w:keepNext/>
        <w:spacing w:line="360" w:lineRule="auto"/>
        <w:ind w:left="0" w:firstLine="1440"/>
        <w:contextualSpacing/>
        <w:rPr>
          <w:b/>
          <w:bCs/>
          <w:sz w:val="26"/>
          <w:szCs w:val="26"/>
        </w:rPr>
      </w:pPr>
    </w:p>
    <w:p w14:paraId="447A30E7" w14:textId="195E0706" w:rsidR="00F95716" w:rsidRPr="00E9174E" w:rsidRDefault="00F95716" w:rsidP="00277ECF">
      <w:pPr>
        <w:pStyle w:val="Heading4"/>
        <w:numPr>
          <w:ilvl w:val="0"/>
          <w:numId w:val="80"/>
        </w:numPr>
        <w:ind w:left="2160" w:hanging="720"/>
      </w:pPr>
      <w:bookmarkStart w:id="492" w:name="_Toc63764647"/>
      <w:r w:rsidRPr="00E9174E">
        <w:t>Positions of the Parties</w:t>
      </w:r>
      <w:bookmarkEnd w:id="492"/>
    </w:p>
    <w:p w14:paraId="1EB2E849" w14:textId="77777777" w:rsidR="00F95716" w:rsidRPr="00E9174E" w:rsidRDefault="00F95716" w:rsidP="00E07B5C">
      <w:pPr>
        <w:pStyle w:val="BodyText"/>
        <w:keepNext/>
        <w:widowControl/>
        <w:spacing w:after="0" w:line="360" w:lineRule="auto"/>
        <w:ind w:firstLine="1440"/>
        <w:contextualSpacing/>
        <w:rPr>
          <w:sz w:val="26"/>
          <w:szCs w:val="26"/>
        </w:rPr>
      </w:pPr>
    </w:p>
    <w:p w14:paraId="5085EE3E" w14:textId="77777777" w:rsidR="00F95716" w:rsidRPr="00E9174E" w:rsidRDefault="00F95716" w:rsidP="00E07B5C">
      <w:pPr>
        <w:pStyle w:val="BodyText"/>
        <w:keepNext/>
        <w:widowControl/>
        <w:spacing w:after="0" w:line="360" w:lineRule="auto"/>
        <w:ind w:firstLine="1440"/>
        <w:contextualSpacing/>
        <w:rPr>
          <w:sz w:val="26"/>
          <w:szCs w:val="26"/>
        </w:rPr>
      </w:pPr>
      <w:r w:rsidRPr="00E9174E">
        <w:rPr>
          <w:sz w:val="26"/>
          <w:szCs w:val="26"/>
        </w:rPr>
        <w:t xml:space="preserve">Columbia proposed the SDS/LGSS customer charge of $290.00 for customers whose usage is between 64,400 </w:t>
      </w:r>
      <w:proofErr w:type="spellStart"/>
      <w:r w:rsidRPr="00E9174E">
        <w:rPr>
          <w:sz w:val="26"/>
          <w:szCs w:val="26"/>
        </w:rPr>
        <w:t>therms</w:t>
      </w:r>
      <w:proofErr w:type="spellEnd"/>
      <w:r w:rsidRPr="00E9174E">
        <w:rPr>
          <w:sz w:val="26"/>
          <w:szCs w:val="26"/>
        </w:rPr>
        <w:t xml:space="preserve"> and 110,000 </w:t>
      </w:r>
      <w:proofErr w:type="spellStart"/>
      <w:r w:rsidRPr="00E9174E">
        <w:rPr>
          <w:sz w:val="26"/>
          <w:szCs w:val="26"/>
        </w:rPr>
        <w:t>therms</w:t>
      </w:r>
      <w:proofErr w:type="spellEnd"/>
      <w:r w:rsidRPr="00E9174E">
        <w:rPr>
          <w:sz w:val="26"/>
          <w:szCs w:val="26"/>
        </w:rPr>
        <w:t xml:space="preserve">.  The $290.00 charge is a $60.25 increase to the current SDS/LGSS customer charge of $229.75.  The proposed SDS/LGSS customer charge for customers whose usage is between 110,000 </w:t>
      </w:r>
      <w:proofErr w:type="spellStart"/>
      <w:r w:rsidRPr="00E9174E">
        <w:rPr>
          <w:sz w:val="26"/>
          <w:szCs w:val="26"/>
        </w:rPr>
        <w:t>therms</w:t>
      </w:r>
      <w:proofErr w:type="spellEnd"/>
      <w:r w:rsidRPr="00E9174E">
        <w:rPr>
          <w:sz w:val="26"/>
          <w:szCs w:val="26"/>
        </w:rPr>
        <w:t xml:space="preserve"> and 540,000 </w:t>
      </w:r>
      <w:proofErr w:type="spellStart"/>
      <w:r w:rsidRPr="00E9174E">
        <w:rPr>
          <w:sz w:val="26"/>
          <w:szCs w:val="26"/>
        </w:rPr>
        <w:t>therms</w:t>
      </w:r>
      <w:proofErr w:type="spellEnd"/>
      <w:r w:rsidRPr="00E9174E">
        <w:rPr>
          <w:sz w:val="26"/>
          <w:szCs w:val="26"/>
        </w:rPr>
        <w:t xml:space="preserve"> is $940.00, which is $182.66 more than the current SDS/LGS customer charge of $757.34.  The volumetric base rate was proposed as $3.3081/</w:t>
      </w:r>
      <w:proofErr w:type="spellStart"/>
      <w:r w:rsidRPr="00E9174E">
        <w:rPr>
          <w:sz w:val="26"/>
          <w:szCs w:val="26"/>
        </w:rPr>
        <w:t>Dth</w:t>
      </w:r>
      <w:proofErr w:type="spellEnd"/>
      <w:r w:rsidRPr="00E9174E">
        <w:rPr>
          <w:sz w:val="26"/>
          <w:szCs w:val="26"/>
        </w:rPr>
        <w:t xml:space="preserve"> for SDS/LGSS customers whose usage is between 64,400 </w:t>
      </w:r>
      <w:proofErr w:type="spellStart"/>
      <w:r w:rsidRPr="00E9174E">
        <w:rPr>
          <w:sz w:val="26"/>
          <w:szCs w:val="26"/>
        </w:rPr>
        <w:t>therms</w:t>
      </w:r>
      <w:proofErr w:type="spellEnd"/>
      <w:r w:rsidRPr="00E9174E">
        <w:rPr>
          <w:sz w:val="26"/>
          <w:szCs w:val="26"/>
        </w:rPr>
        <w:t xml:space="preserve"> and 110,000 </w:t>
      </w:r>
      <w:proofErr w:type="spellStart"/>
      <w:r w:rsidRPr="00E9174E">
        <w:rPr>
          <w:sz w:val="26"/>
          <w:szCs w:val="26"/>
        </w:rPr>
        <w:t>therms</w:t>
      </w:r>
      <w:proofErr w:type="spellEnd"/>
      <w:r w:rsidRPr="00E9174E">
        <w:rPr>
          <w:sz w:val="26"/>
          <w:szCs w:val="26"/>
        </w:rPr>
        <w:t>, and the volumetric base rate as $3.0928/</w:t>
      </w:r>
      <w:proofErr w:type="spellStart"/>
      <w:r w:rsidRPr="00E9174E">
        <w:rPr>
          <w:sz w:val="26"/>
          <w:szCs w:val="26"/>
        </w:rPr>
        <w:t>Dth</w:t>
      </w:r>
      <w:proofErr w:type="spellEnd"/>
      <w:r w:rsidRPr="00E9174E">
        <w:rPr>
          <w:sz w:val="26"/>
          <w:szCs w:val="26"/>
        </w:rPr>
        <w:t xml:space="preserve"> for SDS/LGSS for customers whose usage is between 110,000 </w:t>
      </w:r>
      <w:proofErr w:type="spellStart"/>
      <w:r w:rsidRPr="00E9174E">
        <w:rPr>
          <w:sz w:val="26"/>
          <w:szCs w:val="26"/>
        </w:rPr>
        <w:t>therms</w:t>
      </w:r>
      <w:proofErr w:type="spellEnd"/>
      <w:r w:rsidRPr="00E9174E">
        <w:rPr>
          <w:sz w:val="26"/>
          <w:szCs w:val="26"/>
        </w:rPr>
        <w:t xml:space="preserve"> and 540,000 </w:t>
      </w:r>
      <w:proofErr w:type="spellStart"/>
      <w:r w:rsidRPr="00E9174E">
        <w:rPr>
          <w:sz w:val="26"/>
          <w:szCs w:val="26"/>
        </w:rPr>
        <w:t>therms</w:t>
      </w:r>
      <w:proofErr w:type="spellEnd"/>
      <w:r w:rsidRPr="00E9174E">
        <w:rPr>
          <w:sz w:val="26"/>
          <w:szCs w:val="26"/>
        </w:rPr>
        <w:t xml:space="preserve">.  CG M.B. at 165 (citing CG St. 3 at 37-38).  </w:t>
      </w:r>
    </w:p>
    <w:p w14:paraId="3D11A36E" w14:textId="77777777" w:rsidR="00F95716" w:rsidRPr="00E9174E" w:rsidRDefault="00F95716" w:rsidP="00E9174E">
      <w:pPr>
        <w:pStyle w:val="BodyText"/>
        <w:widowControl/>
        <w:spacing w:after="0" w:line="360" w:lineRule="auto"/>
        <w:ind w:firstLine="1440"/>
        <w:contextualSpacing/>
        <w:rPr>
          <w:sz w:val="26"/>
          <w:szCs w:val="26"/>
        </w:rPr>
      </w:pPr>
      <w:r w:rsidRPr="00E9174E">
        <w:rPr>
          <w:sz w:val="26"/>
          <w:szCs w:val="26"/>
        </w:rPr>
        <w:t xml:space="preserve">  </w:t>
      </w:r>
    </w:p>
    <w:p w14:paraId="68B783CE" w14:textId="77777777" w:rsidR="00F95716" w:rsidRPr="00E9174E" w:rsidRDefault="00F95716" w:rsidP="00E9174E">
      <w:pPr>
        <w:pStyle w:val="BodyText"/>
        <w:widowControl/>
        <w:spacing w:after="0" w:line="360" w:lineRule="auto"/>
        <w:ind w:firstLine="1440"/>
        <w:contextualSpacing/>
        <w:rPr>
          <w:sz w:val="26"/>
          <w:szCs w:val="26"/>
        </w:rPr>
      </w:pPr>
      <w:r w:rsidRPr="00E9174E">
        <w:rPr>
          <w:sz w:val="26"/>
          <w:szCs w:val="26"/>
        </w:rPr>
        <w:t>Columbia Gas provided the table below to illustrate the proposed and current customer charges for the LDS/LGSS rate class:</w:t>
      </w:r>
    </w:p>
    <w:p w14:paraId="634875A9" w14:textId="77777777" w:rsidR="00F95716" w:rsidRPr="00E9174E" w:rsidRDefault="00F95716" w:rsidP="00E9174E">
      <w:pPr>
        <w:pStyle w:val="BodyText"/>
        <w:widowControl/>
        <w:spacing w:after="0" w:line="360" w:lineRule="auto"/>
        <w:ind w:firstLine="1440"/>
        <w:contextualSpacing/>
        <w:rPr>
          <w:sz w:val="26"/>
          <w:szCs w:val="26"/>
        </w:rPr>
      </w:pPr>
    </w:p>
    <w:tbl>
      <w:tblPr>
        <w:tblStyle w:val="TableGrid"/>
        <w:tblW w:w="9540" w:type="dxa"/>
        <w:tblInd w:w="-5" w:type="dxa"/>
        <w:tblLook w:val="04A0" w:firstRow="1" w:lastRow="0" w:firstColumn="1" w:lastColumn="0" w:noHBand="0" w:noVBand="1"/>
      </w:tblPr>
      <w:tblGrid>
        <w:gridCol w:w="4014"/>
        <w:gridCol w:w="2700"/>
        <w:gridCol w:w="2826"/>
      </w:tblGrid>
      <w:tr w:rsidR="00F95716" w:rsidRPr="00E9174E" w14:paraId="6B167E04" w14:textId="77777777" w:rsidTr="00CC66FD">
        <w:trPr>
          <w:trHeight w:val="432"/>
        </w:trPr>
        <w:tc>
          <w:tcPr>
            <w:tcW w:w="4050" w:type="dxa"/>
            <w:vAlign w:val="bottom"/>
          </w:tcPr>
          <w:p w14:paraId="6DD6CFF3" w14:textId="77777777" w:rsidR="00F95716" w:rsidRPr="00E9174E" w:rsidRDefault="00F95716" w:rsidP="00E9174E">
            <w:pPr>
              <w:pStyle w:val="BodyText"/>
              <w:widowControl/>
              <w:spacing w:after="0"/>
              <w:contextualSpacing/>
              <w:rPr>
                <w:sz w:val="26"/>
                <w:szCs w:val="26"/>
              </w:rPr>
            </w:pPr>
            <w:r w:rsidRPr="00E9174E">
              <w:rPr>
                <w:sz w:val="26"/>
                <w:szCs w:val="26"/>
              </w:rPr>
              <w:t>Annual Usage Levels</w:t>
            </w:r>
          </w:p>
        </w:tc>
        <w:tc>
          <w:tcPr>
            <w:tcW w:w="2700" w:type="dxa"/>
            <w:vAlign w:val="bottom"/>
          </w:tcPr>
          <w:p w14:paraId="64F48B45" w14:textId="77777777" w:rsidR="00F95716" w:rsidRPr="00E9174E" w:rsidRDefault="00F95716" w:rsidP="00E9174E">
            <w:pPr>
              <w:pStyle w:val="BodyText"/>
              <w:widowControl/>
              <w:spacing w:after="0"/>
              <w:contextualSpacing/>
              <w:rPr>
                <w:sz w:val="26"/>
                <w:szCs w:val="26"/>
              </w:rPr>
            </w:pPr>
            <w:r w:rsidRPr="00E9174E">
              <w:rPr>
                <w:sz w:val="26"/>
                <w:szCs w:val="26"/>
              </w:rPr>
              <w:t>Current Cust. Charge</w:t>
            </w:r>
          </w:p>
        </w:tc>
        <w:tc>
          <w:tcPr>
            <w:tcW w:w="2790" w:type="dxa"/>
            <w:vAlign w:val="bottom"/>
          </w:tcPr>
          <w:p w14:paraId="148FC8C9" w14:textId="77777777" w:rsidR="00F95716" w:rsidRPr="00E9174E" w:rsidRDefault="00F95716" w:rsidP="00E9174E">
            <w:pPr>
              <w:pStyle w:val="BodyText"/>
              <w:widowControl/>
              <w:spacing w:after="0"/>
              <w:contextualSpacing/>
              <w:rPr>
                <w:sz w:val="26"/>
                <w:szCs w:val="26"/>
              </w:rPr>
            </w:pPr>
            <w:r w:rsidRPr="00E9174E">
              <w:rPr>
                <w:sz w:val="26"/>
                <w:szCs w:val="26"/>
              </w:rPr>
              <w:t>Proposed Cust. Charge</w:t>
            </w:r>
          </w:p>
        </w:tc>
      </w:tr>
      <w:tr w:rsidR="00F95716" w:rsidRPr="00E9174E" w14:paraId="36255D9E" w14:textId="77777777" w:rsidTr="00CC66FD">
        <w:tc>
          <w:tcPr>
            <w:tcW w:w="4050" w:type="dxa"/>
            <w:vAlign w:val="bottom"/>
          </w:tcPr>
          <w:p w14:paraId="58ED45BB" w14:textId="77777777" w:rsidR="00F95716" w:rsidRPr="00E9174E" w:rsidRDefault="00F95716" w:rsidP="00E9174E">
            <w:pPr>
              <w:pStyle w:val="BodyText"/>
              <w:widowControl/>
              <w:spacing w:after="0"/>
              <w:contextualSpacing/>
              <w:rPr>
                <w:sz w:val="26"/>
                <w:szCs w:val="26"/>
              </w:rPr>
            </w:pPr>
            <w:r w:rsidRPr="00E9174E">
              <w:rPr>
                <w:sz w:val="26"/>
                <w:szCs w:val="26"/>
              </w:rPr>
              <w:t xml:space="preserve">&gt; 540,000 to ≤ 1,074,000 </w:t>
            </w:r>
            <w:proofErr w:type="spellStart"/>
            <w:r w:rsidRPr="00E9174E">
              <w:rPr>
                <w:sz w:val="26"/>
                <w:szCs w:val="26"/>
              </w:rPr>
              <w:t>Therms</w:t>
            </w:r>
            <w:proofErr w:type="spellEnd"/>
          </w:p>
        </w:tc>
        <w:tc>
          <w:tcPr>
            <w:tcW w:w="2700" w:type="dxa"/>
            <w:vAlign w:val="bottom"/>
          </w:tcPr>
          <w:p w14:paraId="2198EE87" w14:textId="77777777" w:rsidR="00F95716" w:rsidRPr="00E9174E" w:rsidRDefault="00F95716" w:rsidP="00E9174E">
            <w:pPr>
              <w:pStyle w:val="BodyText"/>
              <w:widowControl/>
              <w:spacing w:after="0"/>
              <w:ind w:firstLine="1440"/>
              <w:contextualSpacing/>
              <w:rPr>
                <w:sz w:val="26"/>
                <w:szCs w:val="26"/>
              </w:rPr>
            </w:pPr>
            <w:r w:rsidRPr="00E9174E">
              <w:rPr>
                <w:sz w:val="26"/>
                <w:szCs w:val="26"/>
              </w:rPr>
              <w:t>$1,947.06</w:t>
            </w:r>
          </w:p>
        </w:tc>
        <w:tc>
          <w:tcPr>
            <w:tcW w:w="2790" w:type="dxa"/>
            <w:vAlign w:val="bottom"/>
          </w:tcPr>
          <w:p w14:paraId="0303717C" w14:textId="77777777" w:rsidR="00F95716" w:rsidRPr="00E9174E" w:rsidRDefault="00F95716" w:rsidP="00E9174E">
            <w:pPr>
              <w:pStyle w:val="BodyText"/>
              <w:widowControl/>
              <w:spacing w:after="0"/>
              <w:ind w:firstLine="1440"/>
              <w:contextualSpacing/>
              <w:rPr>
                <w:sz w:val="26"/>
                <w:szCs w:val="26"/>
              </w:rPr>
            </w:pPr>
            <w:r w:rsidRPr="00E9174E">
              <w:rPr>
                <w:sz w:val="26"/>
                <w:szCs w:val="26"/>
              </w:rPr>
              <w:t>$2,419.00</w:t>
            </w:r>
          </w:p>
        </w:tc>
      </w:tr>
      <w:tr w:rsidR="00F95716" w:rsidRPr="00E9174E" w14:paraId="6843E361" w14:textId="77777777" w:rsidTr="00CC66FD">
        <w:tc>
          <w:tcPr>
            <w:tcW w:w="4050" w:type="dxa"/>
            <w:vAlign w:val="bottom"/>
          </w:tcPr>
          <w:p w14:paraId="52853963" w14:textId="77777777" w:rsidR="00F95716" w:rsidRPr="00E9174E" w:rsidRDefault="00F95716" w:rsidP="00E9174E">
            <w:pPr>
              <w:pStyle w:val="BodyText"/>
              <w:widowControl/>
              <w:spacing w:after="0"/>
              <w:contextualSpacing/>
              <w:rPr>
                <w:sz w:val="26"/>
                <w:szCs w:val="26"/>
              </w:rPr>
            </w:pPr>
            <w:r w:rsidRPr="00E9174E">
              <w:rPr>
                <w:sz w:val="26"/>
                <w:szCs w:val="26"/>
              </w:rPr>
              <w:t xml:space="preserve">&gt; 1,074,000 to ≤ 3,400,000 </w:t>
            </w:r>
            <w:proofErr w:type="spellStart"/>
            <w:r w:rsidRPr="00E9174E">
              <w:rPr>
                <w:sz w:val="26"/>
                <w:szCs w:val="26"/>
              </w:rPr>
              <w:t>Therms</w:t>
            </w:r>
            <w:proofErr w:type="spellEnd"/>
          </w:p>
        </w:tc>
        <w:tc>
          <w:tcPr>
            <w:tcW w:w="2700" w:type="dxa"/>
            <w:vAlign w:val="bottom"/>
          </w:tcPr>
          <w:p w14:paraId="5BF76447" w14:textId="77777777" w:rsidR="00F95716" w:rsidRPr="00E9174E" w:rsidRDefault="00F95716" w:rsidP="00E9174E">
            <w:pPr>
              <w:pStyle w:val="BodyText"/>
              <w:widowControl/>
              <w:spacing w:after="0"/>
              <w:ind w:firstLine="1440"/>
              <w:contextualSpacing/>
              <w:rPr>
                <w:sz w:val="26"/>
                <w:szCs w:val="26"/>
              </w:rPr>
            </w:pPr>
            <w:r w:rsidRPr="00E9174E">
              <w:rPr>
                <w:sz w:val="26"/>
                <w:szCs w:val="26"/>
              </w:rPr>
              <w:t>$3,028.76</w:t>
            </w:r>
          </w:p>
        </w:tc>
        <w:tc>
          <w:tcPr>
            <w:tcW w:w="2790" w:type="dxa"/>
            <w:vAlign w:val="bottom"/>
          </w:tcPr>
          <w:p w14:paraId="3CCEE56A" w14:textId="77777777" w:rsidR="00F95716" w:rsidRPr="00E9174E" w:rsidRDefault="00F95716" w:rsidP="00E9174E">
            <w:pPr>
              <w:pStyle w:val="BodyText"/>
              <w:widowControl/>
              <w:spacing w:after="0"/>
              <w:ind w:firstLine="1440"/>
              <w:contextualSpacing/>
              <w:rPr>
                <w:sz w:val="26"/>
                <w:szCs w:val="26"/>
              </w:rPr>
            </w:pPr>
            <w:r w:rsidRPr="00E9174E">
              <w:rPr>
                <w:sz w:val="26"/>
                <w:szCs w:val="26"/>
              </w:rPr>
              <w:t>$3,759.00</w:t>
            </w:r>
          </w:p>
        </w:tc>
      </w:tr>
      <w:tr w:rsidR="00F95716" w:rsidRPr="00E9174E" w14:paraId="5257FF48" w14:textId="77777777" w:rsidTr="00CC66FD">
        <w:tc>
          <w:tcPr>
            <w:tcW w:w="4050" w:type="dxa"/>
          </w:tcPr>
          <w:p w14:paraId="0F76F235" w14:textId="77777777" w:rsidR="00F95716" w:rsidRPr="00E9174E" w:rsidRDefault="00F95716" w:rsidP="00E9174E">
            <w:pPr>
              <w:pStyle w:val="BodyText"/>
              <w:widowControl/>
              <w:spacing w:after="0"/>
              <w:contextualSpacing/>
              <w:rPr>
                <w:sz w:val="26"/>
                <w:szCs w:val="26"/>
              </w:rPr>
            </w:pPr>
            <w:r w:rsidRPr="00E9174E">
              <w:rPr>
                <w:sz w:val="26"/>
                <w:szCs w:val="26"/>
              </w:rPr>
              <w:t xml:space="preserve">&gt; 3,400,000 to ≤ 7,500,000 </w:t>
            </w:r>
            <w:proofErr w:type="spellStart"/>
            <w:r w:rsidRPr="00E9174E">
              <w:rPr>
                <w:sz w:val="26"/>
                <w:szCs w:val="26"/>
              </w:rPr>
              <w:t>Therms</w:t>
            </w:r>
            <w:proofErr w:type="spellEnd"/>
          </w:p>
        </w:tc>
        <w:tc>
          <w:tcPr>
            <w:tcW w:w="2700" w:type="dxa"/>
            <w:vAlign w:val="bottom"/>
          </w:tcPr>
          <w:p w14:paraId="6136994B" w14:textId="77777777" w:rsidR="00F95716" w:rsidRPr="00E9174E" w:rsidRDefault="00F95716" w:rsidP="00E9174E">
            <w:pPr>
              <w:pStyle w:val="BodyText"/>
              <w:widowControl/>
              <w:spacing w:after="0"/>
              <w:ind w:firstLine="1440"/>
              <w:contextualSpacing/>
              <w:rPr>
                <w:sz w:val="26"/>
                <w:szCs w:val="26"/>
              </w:rPr>
            </w:pPr>
            <w:r w:rsidRPr="00E9174E">
              <w:rPr>
                <w:sz w:val="26"/>
                <w:szCs w:val="26"/>
              </w:rPr>
              <w:t>$5,841.18</w:t>
            </w:r>
          </w:p>
        </w:tc>
        <w:tc>
          <w:tcPr>
            <w:tcW w:w="2790" w:type="dxa"/>
            <w:vAlign w:val="bottom"/>
          </w:tcPr>
          <w:p w14:paraId="06A3BB60" w14:textId="77777777" w:rsidR="00F95716" w:rsidRPr="00E9174E" w:rsidRDefault="00F95716" w:rsidP="00E9174E">
            <w:pPr>
              <w:pStyle w:val="BodyText"/>
              <w:widowControl/>
              <w:spacing w:after="0"/>
              <w:ind w:firstLine="1440"/>
              <w:contextualSpacing/>
              <w:rPr>
                <w:sz w:val="26"/>
                <w:szCs w:val="26"/>
              </w:rPr>
            </w:pPr>
            <w:r w:rsidRPr="00E9174E">
              <w:rPr>
                <w:sz w:val="26"/>
                <w:szCs w:val="26"/>
              </w:rPr>
              <w:t>$7,248.00</w:t>
            </w:r>
          </w:p>
        </w:tc>
      </w:tr>
      <w:tr w:rsidR="00F95716" w:rsidRPr="00E9174E" w14:paraId="73B3BE48" w14:textId="77777777" w:rsidTr="00CC66FD">
        <w:tc>
          <w:tcPr>
            <w:tcW w:w="4050" w:type="dxa"/>
          </w:tcPr>
          <w:p w14:paraId="14E949D8" w14:textId="77777777" w:rsidR="00F95716" w:rsidRPr="00E9174E" w:rsidRDefault="00F95716" w:rsidP="00E9174E">
            <w:pPr>
              <w:pStyle w:val="BodyText"/>
              <w:widowControl/>
              <w:spacing w:after="0"/>
              <w:contextualSpacing/>
              <w:rPr>
                <w:sz w:val="26"/>
                <w:szCs w:val="26"/>
              </w:rPr>
            </w:pPr>
            <w:r w:rsidRPr="00E9174E">
              <w:rPr>
                <w:sz w:val="26"/>
                <w:szCs w:val="26"/>
              </w:rPr>
              <w:t xml:space="preserve">&gt; 7,500,000 </w:t>
            </w:r>
            <w:proofErr w:type="spellStart"/>
            <w:r w:rsidRPr="00E9174E">
              <w:rPr>
                <w:sz w:val="26"/>
                <w:szCs w:val="26"/>
              </w:rPr>
              <w:t>Therms</w:t>
            </w:r>
            <w:proofErr w:type="spellEnd"/>
          </w:p>
        </w:tc>
        <w:tc>
          <w:tcPr>
            <w:tcW w:w="2700" w:type="dxa"/>
          </w:tcPr>
          <w:p w14:paraId="54C2B165" w14:textId="77777777" w:rsidR="00F95716" w:rsidRPr="00E9174E" w:rsidRDefault="00F95716" w:rsidP="00E9174E">
            <w:pPr>
              <w:pStyle w:val="BodyText"/>
              <w:widowControl/>
              <w:spacing w:after="0"/>
              <w:ind w:firstLine="1440"/>
              <w:contextualSpacing/>
              <w:rPr>
                <w:sz w:val="26"/>
                <w:szCs w:val="26"/>
              </w:rPr>
            </w:pPr>
            <w:r w:rsidRPr="00E9174E">
              <w:rPr>
                <w:sz w:val="26"/>
                <w:szCs w:val="26"/>
              </w:rPr>
              <w:t>$8,653.60</w:t>
            </w:r>
          </w:p>
        </w:tc>
        <w:tc>
          <w:tcPr>
            <w:tcW w:w="2790" w:type="dxa"/>
          </w:tcPr>
          <w:p w14:paraId="4C1C45EF" w14:textId="77777777" w:rsidR="00F95716" w:rsidRPr="00E9174E" w:rsidRDefault="00F95716" w:rsidP="00E9174E">
            <w:pPr>
              <w:pStyle w:val="BodyText"/>
              <w:widowControl/>
              <w:spacing w:after="0"/>
              <w:ind w:firstLine="1440"/>
              <w:contextualSpacing/>
              <w:rPr>
                <w:sz w:val="26"/>
                <w:szCs w:val="26"/>
              </w:rPr>
            </w:pPr>
            <w:r w:rsidRPr="00E9174E">
              <w:rPr>
                <w:sz w:val="26"/>
                <w:szCs w:val="26"/>
              </w:rPr>
              <w:t>$10,728.00</w:t>
            </w:r>
          </w:p>
        </w:tc>
      </w:tr>
    </w:tbl>
    <w:p w14:paraId="5197D5E7" w14:textId="77777777" w:rsidR="00F95716" w:rsidRPr="00E9174E" w:rsidRDefault="00F95716" w:rsidP="00680CEC">
      <w:pPr>
        <w:pStyle w:val="BodyText"/>
        <w:widowControl/>
        <w:spacing w:after="0" w:line="360" w:lineRule="auto"/>
        <w:ind w:firstLine="1440"/>
        <w:contextualSpacing/>
        <w:rPr>
          <w:sz w:val="26"/>
          <w:szCs w:val="26"/>
        </w:rPr>
      </w:pPr>
      <w:r w:rsidRPr="00E9174E">
        <w:rPr>
          <w:sz w:val="26"/>
          <w:szCs w:val="26"/>
        </w:rPr>
        <w:t xml:space="preserve">   </w:t>
      </w:r>
      <w:r w:rsidRPr="00E9174E">
        <w:rPr>
          <w:sz w:val="26"/>
          <w:szCs w:val="26"/>
        </w:rPr>
        <w:tab/>
      </w:r>
    </w:p>
    <w:p w14:paraId="59C453EA" w14:textId="503DB1E7" w:rsidR="003A3BDE" w:rsidRPr="00E9174E" w:rsidRDefault="00F95716" w:rsidP="00E9174E">
      <w:pPr>
        <w:pStyle w:val="BodyText"/>
        <w:widowControl/>
        <w:spacing w:after="0" w:line="360" w:lineRule="auto"/>
        <w:contextualSpacing/>
        <w:rPr>
          <w:bCs/>
          <w:sz w:val="26"/>
          <w:szCs w:val="26"/>
        </w:rPr>
      </w:pPr>
      <w:r w:rsidRPr="00E9174E">
        <w:rPr>
          <w:bCs/>
          <w:sz w:val="26"/>
          <w:szCs w:val="26"/>
        </w:rPr>
        <w:t xml:space="preserve">CG M.B. at 166 (citing CG St. 3 at 38).  </w:t>
      </w:r>
    </w:p>
    <w:p w14:paraId="0D967911" w14:textId="77777777" w:rsidR="00D67683" w:rsidRPr="00E9174E" w:rsidRDefault="00D67683" w:rsidP="00E9174E">
      <w:pPr>
        <w:pStyle w:val="BodyText"/>
        <w:widowControl/>
        <w:spacing w:after="0" w:line="360" w:lineRule="auto"/>
        <w:ind w:firstLine="1440"/>
        <w:contextualSpacing/>
        <w:rPr>
          <w:bCs/>
          <w:sz w:val="26"/>
          <w:szCs w:val="26"/>
        </w:rPr>
      </w:pPr>
    </w:p>
    <w:p w14:paraId="7715C64A" w14:textId="2B0F860D" w:rsidR="00F95716" w:rsidRPr="00E9174E" w:rsidRDefault="00F95716" w:rsidP="00CA4D7B">
      <w:pPr>
        <w:pStyle w:val="BodyText"/>
        <w:widowControl/>
        <w:spacing w:after="0" w:line="360" w:lineRule="auto"/>
        <w:ind w:firstLine="1440"/>
        <w:contextualSpacing/>
        <w:rPr>
          <w:sz w:val="26"/>
          <w:szCs w:val="26"/>
        </w:rPr>
      </w:pPr>
      <w:r w:rsidRPr="00E9174E">
        <w:rPr>
          <w:bCs/>
          <w:sz w:val="26"/>
          <w:szCs w:val="26"/>
        </w:rPr>
        <w:t>Columbia proposed the</w:t>
      </w:r>
      <w:r w:rsidRPr="00E9174E">
        <w:rPr>
          <w:b/>
          <w:sz w:val="26"/>
          <w:szCs w:val="26"/>
        </w:rPr>
        <w:t xml:space="preserve"> </w:t>
      </w:r>
      <w:r w:rsidRPr="00E9174E">
        <w:rPr>
          <w:sz w:val="26"/>
          <w:szCs w:val="26"/>
        </w:rPr>
        <w:t xml:space="preserve">volumetric base rate revenue requirement be split among the LDS/LGSS annual usage groups proportionately based on revenue produced from current volumetric base rates.  CG M.B. at 166 (citing CG </w:t>
      </w:r>
      <w:proofErr w:type="spellStart"/>
      <w:r w:rsidRPr="00E9174E">
        <w:rPr>
          <w:sz w:val="26"/>
          <w:szCs w:val="26"/>
        </w:rPr>
        <w:t>Exh</w:t>
      </w:r>
      <w:proofErr w:type="spellEnd"/>
      <w:r w:rsidRPr="00E9174E">
        <w:rPr>
          <w:sz w:val="26"/>
          <w:szCs w:val="26"/>
        </w:rPr>
        <w:t xml:space="preserve">. 103, Sch. 8 at 8).  Columbia provided that CII witness, Mr. </w:t>
      </w:r>
      <w:r w:rsidR="00644A9C" w:rsidRPr="00E9174E">
        <w:rPr>
          <w:sz w:val="26"/>
          <w:szCs w:val="26"/>
        </w:rPr>
        <w:t xml:space="preserve">Frank </w:t>
      </w:r>
      <w:r w:rsidRPr="00E9174E">
        <w:rPr>
          <w:sz w:val="26"/>
          <w:szCs w:val="26"/>
        </w:rPr>
        <w:t>Plank</w:t>
      </w:r>
      <w:r w:rsidR="009B0545" w:rsidRPr="00E9174E">
        <w:rPr>
          <w:sz w:val="26"/>
          <w:szCs w:val="26"/>
        </w:rPr>
        <w:t>,</w:t>
      </w:r>
      <w:r w:rsidRPr="00E9174E">
        <w:rPr>
          <w:sz w:val="26"/>
          <w:szCs w:val="26"/>
        </w:rPr>
        <w:t xml:space="preserve"> expressed his general view that the overall proposed increase in charges to Rate LDS customers should be limited.  CG M.B. </w:t>
      </w:r>
      <w:r w:rsidRPr="00E9174E">
        <w:rPr>
          <w:sz w:val="26"/>
          <w:szCs w:val="26"/>
        </w:rPr>
        <w:lastRenderedPageBreak/>
        <w:t xml:space="preserve">at 166 (citing CII St. 1 at 7).  Columbia noted that I&amp;E stated it is not recommending changes to the proposed customer charges for the LDS class because higher usage customers generally favor a higher fixed charge and lower usage charges.  CG M.B. at 166 (citing I&amp;E St. 3 at 23).  No other </w:t>
      </w:r>
      <w:r w:rsidR="00B04573" w:rsidRPr="00E9174E">
        <w:rPr>
          <w:sz w:val="26"/>
          <w:szCs w:val="26"/>
        </w:rPr>
        <w:t>P</w:t>
      </w:r>
      <w:r w:rsidRPr="00E9174E">
        <w:rPr>
          <w:sz w:val="26"/>
          <w:szCs w:val="26"/>
        </w:rPr>
        <w:t xml:space="preserve">arty recommended any changes to the proposed customer charges for the LDS/LGSS class.  </w:t>
      </w:r>
    </w:p>
    <w:p w14:paraId="1964FF51" w14:textId="77777777" w:rsidR="00F95716" w:rsidRPr="00E9174E" w:rsidRDefault="00F95716" w:rsidP="00CA4D7B">
      <w:pPr>
        <w:pStyle w:val="BodyText"/>
        <w:widowControl/>
        <w:spacing w:after="0" w:line="360" w:lineRule="auto"/>
        <w:ind w:firstLine="1440"/>
        <w:contextualSpacing/>
        <w:rPr>
          <w:sz w:val="26"/>
          <w:szCs w:val="26"/>
        </w:rPr>
      </w:pPr>
    </w:p>
    <w:p w14:paraId="52A398C5" w14:textId="0CBCDCA3" w:rsidR="00F95716" w:rsidRPr="00E9174E" w:rsidRDefault="00F95716" w:rsidP="00CA4D7B">
      <w:pPr>
        <w:pStyle w:val="Heading4"/>
        <w:ind w:left="2160" w:hanging="720"/>
      </w:pPr>
      <w:bookmarkStart w:id="493" w:name="_Toc63764648"/>
      <w:r w:rsidRPr="00E9174E">
        <w:t>Recommended Decision</w:t>
      </w:r>
      <w:bookmarkEnd w:id="493"/>
    </w:p>
    <w:p w14:paraId="6928AF4E" w14:textId="77777777" w:rsidR="00F95716" w:rsidRPr="00E9174E" w:rsidRDefault="00F95716" w:rsidP="00CA4D7B">
      <w:pPr>
        <w:keepNext/>
        <w:keepLines/>
        <w:widowControl/>
        <w:spacing w:line="360" w:lineRule="auto"/>
        <w:ind w:firstLine="1440"/>
        <w:contextualSpacing/>
        <w:rPr>
          <w:sz w:val="26"/>
          <w:szCs w:val="26"/>
        </w:rPr>
      </w:pPr>
    </w:p>
    <w:p w14:paraId="58DA3932" w14:textId="01F67C3E" w:rsidR="00F95716" w:rsidRPr="00E9174E" w:rsidRDefault="00F95716" w:rsidP="00CA4D7B">
      <w:pPr>
        <w:widowControl/>
        <w:spacing w:line="360" w:lineRule="auto"/>
        <w:ind w:firstLine="1440"/>
        <w:contextualSpacing/>
        <w:rPr>
          <w:sz w:val="26"/>
          <w:szCs w:val="26"/>
        </w:rPr>
      </w:pPr>
      <w:r w:rsidRPr="00E9174E">
        <w:rPr>
          <w:sz w:val="26"/>
          <w:szCs w:val="26"/>
        </w:rPr>
        <w:t xml:space="preserve">The ALJ recommended the Commission approve the proposed customer charges for the </w:t>
      </w:r>
      <w:r w:rsidR="00284397" w:rsidRPr="00E9174E">
        <w:rPr>
          <w:sz w:val="26"/>
          <w:szCs w:val="26"/>
        </w:rPr>
        <w:t>L</w:t>
      </w:r>
      <w:r w:rsidRPr="00E9174E">
        <w:rPr>
          <w:sz w:val="26"/>
          <w:szCs w:val="26"/>
        </w:rPr>
        <w:t xml:space="preserve">arge C&amp;I customers because Columbia presented sufficient evidence to prove the proposed charges are reasonable and appropriate, and no </w:t>
      </w:r>
      <w:r w:rsidR="00B644C9" w:rsidRPr="00E9174E">
        <w:rPr>
          <w:sz w:val="26"/>
          <w:szCs w:val="26"/>
        </w:rPr>
        <w:t>P</w:t>
      </w:r>
      <w:r w:rsidRPr="00E9174E">
        <w:rPr>
          <w:sz w:val="26"/>
          <w:szCs w:val="26"/>
        </w:rPr>
        <w:t xml:space="preserve">arty provided sufficient evidence to disprove the changes, and the changes will lead to just and reasonable rates.  R.D. at 406.  </w:t>
      </w:r>
    </w:p>
    <w:p w14:paraId="46D128A7" w14:textId="77777777" w:rsidR="00F95716" w:rsidRPr="00E9174E" w:rsidRDefault="00F95716" w:rsidP="00CA4D7B">
      <w:pPr>
        <w:widowControl/>
        <w:spacing w:line="360" w:lineRule="auto"/>
        <w:ind w:firstLine="1440"/>
        <w:contextualSpacing/>
        <w:rPr>
          <w:sz w:val="26"/>
          <w:szCs w:val="26"/>
        </w:rPr>
      </w:pPr>
    </w:p>
    <w:p w14:paraId="61116150" w14:textId="70EDA445" w:rsidR="00F95716" w:rsidRPr="00E9174E" w:rsidRDefault="00F95716" w:rsidP="00CA4D7B">
      <w:pPr>
        <w:pStyle w:val="Heading4"/>
        <w:ind w:left="2160" w:hanging="720"/>
      </w:pPr>
      <w:bookmarkStart w:id="494" w:name="_Toc63764649"/>
      <w:r w:rsidRPr="00E9174E">
        <w:t>Disposition</w:t>
      </w:r>
      <w:bookmarkEnd w:id="494"/>
    </w:p>
    <w:p w14:paraId="72CF2150" w14:textId="77777777" w:rsidR="00F95716" w:rsidRPr="00E9174E" w:rsidRDefault="00F95716" w:rsidP="00CA4D7B">
      <w:pPr>
        <w:keepNext/>
        <w:keepLines/>
        <w:widowControl/>
        <w:spacing w:line="360" w:lineRule="auto"/>
        <w:ind w:firstLine="1440"/>
        <w:contextualSpacing/>
        <w:rPr>
          <w:sz w:val="26"/>
          <w:szCs w:val="26"/>
        </w:rPr>
      </w:pPr>
    </w:p>
    <w:p w14:paraId="0F3DDF72" w14:textId="477E87E3" w:rsidR="00F95716" w:rsidRPr="00E9174E" w:rsidRDefault="00F95716" w:rsidP="00CA4D7B">
      <w:pPr>
        <w:widowControl/>
        <w:spacing w:line="360" w:lineRule="auto"/>
        <w:ind w:firstLine="1440"/>
        <w:contextualSpacing/>
        <w:rPr>
          <w:sz w:val="26"/>
          <w:szCs w:val="26"/>
        </w:rPr>
      </w:pPr>
      <w:r w:rsidRPr="00E9174E">
        <w:rPr>
          <w:sz w:val="26"/>
          <w:szCs w:val="26"/>
        </w:rPr>
        <w:t>No Party filed Exceptions to the ALJ’s Recommended Decision on this issue.  We find that the ALJ</w:t>
      </w:r>
      <w:r w:rsidR="00D56111" w:rsidRPr="00E9174E">
        <w:rPr>
          <w:sz w:val="26"/>
          <w:szCs w:val="26"/>
        </w:rPr>
        <w:t>’</w:t>
      </w:r>
      <w:r w:rsidRPr="00E9174E">
        <w:rPr>
          <w:sz w:val="26"/>
          <w:szCs w:val="26"/>
        </w:rPr>
        <w:t>s recommendation is supported by ample record evidence and is just and reasonable.  Accordingly, we shall adopt it without further comment.</w:t>
      </w:r>
    </w:p>
    <w:p w14:paraId="53B1C2BF" w14:textId="77777777" w:rsidR="00F95716" w:rsidRPr="00E9174E" w:rsidRDefault="00F95716" w:rsidP="00CA4D7B">
      <w:pPr>
        <w:widowControl/>
        <w:spacing w:line="360" w:lineRule="auto"/>
        <w:ind w:firstLine="1440"/>
        <w:contextualSpacing/>
        <w:rPr>
          <w:sz w:val="26"/>
          <w:szCs w:val="26"/>
        </w:rPr>
      </w:pPr>
    </w:p>
    <w:p w14:paraId="65890B47" w14:textId="1DADA352" w:rsidR="00F95716" w:rsidRPr="00E9174E" w:rsidRDefault="00F95716" w:rsidP="00277ECF">
      <w:pPr>
        <w:pStyle w:val="Heading3"/>
        <w:numPr>
          <w:ilvl w:val="0"/>
          <w:numId w:val="30"/>
        </w:numPr>
        <w:ind w:left="1440" w:hanging="720"/>
      </w:pPr>
      <w:bookmarkStart w:id="495" w:name="_Toc63764650"/>
      <w:r w:rsidRPr="00E9174E">
        <w:t>Gas Procurement Charge Rider</w:t>
      </w:r>
      <w:bookmarkEnd w:id="495"/>
    </w:p>
    <w:p w14:paraId="5582803A" w14:textId="77777777" w:rsidR="00F95716" w:rsidRPr="00E9174E" w:rsidRDefault="00F95716" w:rsidP="00CA4D7B">
      <w:pPr>
        <w:pStyle w:val="ListParagraph"/>
        <w:keepNext/>
        <w:keepLines/>
        <w:spacing w:line="360" w:lineRule="auto"/>
        <w:ind w:left="0" w:firstLine="1440"/>
        <w:contextualSpacing/>
        <w:rPr>
          <w:b/>
          <w:bCs/>
          <w:sz w:val="26"/>
          <w:szCs w:val="26"/>
        </w:rPr>
      </w:pPr>
    </w:p>
    <w:p w14:paraId="0A7E1E52" w14:textId="6D346E5F" w:rsidR="00F95716" w:rsidRPr="00E9174E" w:rsidRDefault="00F95716" w:rsidP="00277ECF">
      <w:pPr>
        <w:pStyle w:val="Heading4"/>
        <w:numPr>
          <w:ilvl w:val="0"/>
          <w:numId w:val="81"/>
        </w:numPr>
        <w:ind w:left="2160" w:hanging="720"/>
      </w:pPr>
      <w:bookmarkStart w:id="496" w:name="_Toc63764651"/>
      <w:r w:rsidRPr="00E9174E">
        <w:t>Positions of the Parties</w:t>
      </w:r>
      <w:bookmarkEnd w:id="496"/>
    </w:p>
    <w:p w14:paraId="235DDCD3" w14:textId="77777777" w:rsidR="00F95716" w:rsidRPr="00E9174E" w:rsidRDefault="00F95716" w:rsidP="00CA4D7B">
      <w:pPr>
        <w:pStyle w:val="BodyText"/>
        <w:keepNext/>
        <w:keepLines/>
        <w:widowControl/>
        <w:spacing w:after="0" w:line="360" w:lineRule="auto"/>
        <w:ind w:firstLine="1440"/>
        <w:contextualSpacing/>
        <w:rPr>
          <w:sz w:val="26"/>
          <w:szCs w:val="26"/>
        </w:rPr>
      </w:pPr>
    </w:p>
    <w:p w14:paraId="62ED447F" w14:textId="5C2FF285" w:rsidR="00F95716" w:rsidRPr="00E9174E" w:rsidRDefault="00F95716" w:rsidP="00CA4D7B">
      <w:pPr>
        <w:pStyle w:val="BodyText"/>
        <w:widowControl/>
        <w:spacing w:after="0" w:line="360" w:lineRule="auto"/>
        <w:ind w:firstLine="1440"/>
        <w:contextualSpacing/>
        <w:rPr>
          <w:sz w:val="26"/>
          <w:szCs w:val="26"/>
        </w:rPr>
      </w:pPr>
      <w:r w:rsidRPr="00E9174E">
        <w:rPr>
          <w:sz w:val="26"/>
          <w:szCs w:val="26"/>
        </w:rPr>
        <w:t xml:space="preserve">Columbia Gas proposed a Gas Procurement Charge (GPC) of $0.00102 per </w:t>
      </w:r>
      <w:proofErr w:type="spellStart"/>
      <w:r w:rsidRPr="00E9174E">
        <w:rPr>
          <w:sz w:val="26"/>
          <w:szCs w:val="26"/>
        </w:rPr>
        <w:t>therm</w:t>
      </w:r>
      <w:proofErr w:type="spellEnd"/>
      <w:r w:rsidRPr="00E9174E">
        <w:rPr>
          <w:sz w:val="26"/>
          <w:szCs w:val="26"/>
        </w:rPr>
        <w:t xml:space="preserve"> and showed the calculations of the proposed GPC in Columbia Exhibit No. MJB-3.  No </w:t>
      </w:r>
      <w:r w:rsidR="00CD18B2" w:rsidRPr="00E9174E">
        <w:rPr>
          <w:sz w:val="26"/>
          <w:szCs w:val="26"/>
        </w:rPr>
        <w:t>P</w:t>
      </w:r>
      <w:r w:rsidRPr="00E9174E">
        <w:rPr>
          <w:sz w:val="26"/>
          <w:szCs w:val="26"/>
        </w:rPr>
        <w:t>arty challenged the Company’s proposed GPC.  R.D. at 406.</w:t>
      </w:r>
    </w:p>
    <w:p w14:paraId="43699EAB" w14:textId="77777777" w:rsidR="00F95716" w:rsidRPr="00E9174E" w:rsidRDefault="00F95716" w:rsidP="00CA4D7B">
      <w:pPr>
        <w:widowControl/>
        <w:spacing w:line="360" w:lineRule="auto"/>
        <w:ind w:firstLine="1440"/>
        <w:contextualSpacing/>
        <w:rPr>
          <w:sz w:val="26"/>
          <w:szCs w:val="26"/>
        </w:rPr>
      </w:pPr>
    </w:p>
    <w:p w14:paraId="45F8DA7E" w14:textId="46129B05" w:rsidR="00F95716" w:rsidRPr="00E9174E" w:rsidRDefault="00F95716" w:rsidP="00FC1A3D">
      <w:pPr>
        <w:pStyle w:val="Heading4"/>
        <w:ind w:left="2160" w:hanging="720"/>
      </w:pPr>
      <w:bookmarkStart w:id="497" w:name="_Toc63764652"/>
      <w:r w:rsidRPr="00E9174E">
        <w:lastRenderedPageBreak/>
        <w:t>Recommended Decision</w:t>
      </w:r>
      <w:bookmarkEnd w:id="497"/>
    </w:p>
    <w:p w14:paraId="76E2DB7A" w14:textId="77777777" w:rsidR="00F95716" w:rsidRPr="00E9174E" w:rsidRDefault="00F95716" w:rsidP="00CA4D7B">
      <w:pPr>
        <w:pStyle w:val="ListParagraph"/>
        <w:keepNext/>
        <w:keepLines/>
        <w:spacing w:line="360" w:lineRule="auto"/>
        <w:ind w:left="0" w:firstLine="1440"/>
        <w:contextualSpacing/>
        <w:rPr>
          <w:sz w:val="26"/>
          <w:szCs w:val="26"/>
        </w:rPr>
      </w:pPr>
    </w:p>
    <w:p w14:paraId="780AD100" w14:textId="77777777" w:rsidR="00F95716" w:rsidRPr="00E9174E" w:rsidRDefault="00F95716" w:rsidP="00CA4D7B">
      <w:pPr>
        <w:pStyle w:val="ListParagraph"/>
        <w:spacing w:line="360" w:lineRule="auto"/>
        <w:ind w:left="0" w:firstLine="1440"/>
        <w:contextualSpacing/>
        <w:rPr>
          <w:sz w:val="26"/>
          <w:szCs w:val="26"/>
        </w:rPr>
      </w:pPr>
      <w:r w:rsidRPr="00E9174E">
        <w:rPr>
          <w:sz w:val="26"/>
          <w:szCs w:val="26"/>
        </w:rPr>
        <w:t xml:space="preserve">The ALJ recommended that the Commission approve the GPC of $0.00102 per </w:t>
      </w:r>
      <w:proofErr w:type="spellStart"/>
      <w:r w:rsidRPr="00E9174E">
        <w:rPr>
          <w:sz w:val="26"/>
          <w:szCs w:val="26"/>
        </w:rPr>
        <w:t>therm</w:t>
      </w:r>
      <w:proofErr w:type="spellEnd"/>
      <w:r w:rsidRPr="00E9174E">
        <w:rPr>
          <w:sz w:val="26"/>
          <w:szCs w:val="26"/>
        </w:rPr>
        <w:t xml:space="preserve"> because Columbia presented sufficient evidence to prove the proposed Rider is reasonable and appropriate.  </w:t>
      </w:r>
    </w:p>
    <w:p w14:paraId="5200EC9A" w14:textId="77777777" w:rsidR="00F95716" w:rsidRPr="00E9174E" w:rsidRDefault="00F95716" w:rsidP="00CA4D7B">
      <w:pPr>
        <w:pStyle w:val="ListParagraph"/>
        <w:spacing w:line="360" w:lineRule="auto"/>
        <w:ind w:left="0" w:firstLine="1440"/>
        <w:contextualSpacing/>
        <w:rPr>
          <w:sz w:val="26"/>
          <w:szCs w:val="26"/>
        </w:rPr>
      </w:pPr>
    </w:p>
    <w:p w14:paraId="0881B6AD" w14:textId="20E3314C" w:rsidR="00F95716" w:rsidRPr="00E9174E" w:rsidRDefault="00F95716" w:rsidP="00FC1A3D">
      <w:pPr>
        <w:pStyle w:val="Heading4"/>
        <w:ind w:left="2160" w:hanging="720"/>
      </w:pPr>
      <w:bookmarkStart w:id="498" w:name="_Toc63764653"/>
      <w:r w:rsidRPr="00E9174E">
        <w:t>Disposition</w:t>
      </w:r>
      <w:bookmarkEnd w:id="498"/>
    </w:p>
    <w:p w14:paraId="7349BF72" w14:textId="77777777" w:rsidR="00F95716" w:rsidRPr="00E9174E" w:rsidRDefault="00F95716" w:rsidP="00CA4D7B">
      <w:pPr>
        <w:keepNext/>
        <w:keepLines/>
        <w:widowControl/>
        <w:spacing w:line="360" w:lineRule="auto"/>
        <w:ind w:firstLine="1440"/>
        <w:contextualSpacing/>
        <w:rPr>
          <w:sz w:val="26"/>
          <w:szCs w:val="26"/>
        </w:rPr>
      </w:pPr>
    </w:p>
    <w:p w14:paraId="6F4265E2" w14:textId="77777777" w:rsidR="00F95716" w:rsidRPr="00E9174E" w:rsidRDefault="00F95716" w:rsidP="00CA4D7B">
      <w:pPr>
        <w:widowControl/>
        <w:spacing w:line="360" w:lineRule="auto"/>
        <w:ind w:firstLine="1440"/>
        <w:contextualSpacing/>
        <w:rPr>
          <w:sz w:val="26"/>
          <w:szCs w:val="26"/>
        </w:rPr>
      </w:pPr>
      <w:r w:rsidRPr="00E9174E">
        <w:rPr>
          <w:sz w:val="26"/>
          <w:szCs w:val="26"/>
        </w:rPr>
        <w:t>No Party filed Exceptions to the ALJ’s Recommended Decision on this issue.  We find that the ALJs’ recommendation is supported by ample record evidence and is just and reasonable.  Accordingly, we shall adopt it without further comment.</w:t>
      </w:r>
    </w:p>
    <w:p w14:paraId="614B777A" w14:textId="77777777" w:rsidR="00F95716" w:rsidRPr="00E9174E" w:rsidRDefault="00F95716" w:rsidP="00CA4D7B">
      <w:pPr>
        <w:widowControl/>
        <w:spacing w:line="360" w:lineRule="auto"/>
        <w:ind w:firstLine="1440"/>
        <w:contextualSpacing/>
        <w:rPr>
          <w:sz w:val="26"/>
          <w:szCs w:val="26"/>
        </w:rPr>
      </w:pPr>
    </w:p>
    <w:p w14:paraId="27335E36" w14:textId="195A9697" w:rsidR="00F95716" w:rsidRPr="00E9174E" w:rsidRDefault="00F95716" w:rsidP="00647EDE">
      <w:pPr>
        <w:pStyle w:val="Heading2"/>
        <w:numPr>
          <w:ilvl w:val="0"/>
          <w:numId w:val="88"/>
        </w:numPr>
        <w:ind w:hanging="720"/>
      </w:pPr>
      <w:bookmarkStart w:id="499" w:name="_Toc63764654"/>
      <w:r w:rsidRPr="00E9174E">
        <w:t>Bill Impacts</w:t>
      </w:r>
      <w:bookmarkEnd w:id="499"/>
      <w:r w:rsidRPr="00E9174E">
        <w:t xml:space="preserve"> </w:t>
      </w:r>
    </w:p>
    <w:p w14:paraId="78B1FDC1" w14:textId="77777777" w:rsidR="00F95716" w:rsidRPr="00E9174E" w:rsidRDefault="00F95716" w:rsidP="00CA4D7B">
      <w:pPr>
        <w:pStyle w:val="ListParagraph"/>
        <w:keepNext/>
        <w:keepLines/>
        <w:spacing w:line="360" w:lineRule="auto"/>
        <w:ind w:left="0" w:firstLine="1440"/>
        <w:contextualSpacing/>
        <w:rPr>
          <w:b/>
          <w:bCs/>
          <w:sz w:val="26"/>
          <w:szCs w:val="26"/>
        </w:rPr>
      </w:pPr>
    </w:p>
    <w:p w14:paraId="5F60C188" w14:textId="40A5C09B" w:rsidR="00F95716" w:rsidRPr="00E9174E" w:rsidRDefault="00F95716" w:rsidP="00277ECF">
      <w:pPr>
        <w:pStyle w:val="Heading3"/>
        <w:numPr>
          <w:ilvl w:val="0"/>
          <w:numId w:val="82"/>
        </w:numPr>
        <w:ind w:left="1440" w:hanging="720"/>
      </w:pPr>
      <w:bookmarkStart w:id="500" w:name="_Toc63764655"/>
      <w:r w:rsidRPr="00E9174E">
        <w:t xml:space="preserve">Positions of the </w:t>
      </w:r>
      <w:r w:rsidRPr="00470BF9">
        <w:t>Parties</w:t>
      </w:r>
      <w:bookmarkEnd w:id="500"/>
    </w:p>
    <w:p w14:paraId="1DED7851" w14:textId="77777777" w:rsidR="00F95716" w:rsidRPr="00E9174E" w:rsidRDefault="00F95716" w:rsidP="00CA4D7B">
      <w:pPr>
        <w:pStyle w:val="BodyText"/>
        <w:keepNext/>
        <w:keepLines/>
        <w:widowControl/>
        <w:spacing w:after="0" w:line="360" w:lineRule="auto"/>
        <w:ind w:firstLine="1440"/>
        <w:contextualSpacing/>
        <w:rPr>
          <w:sz w:val="26"/>
          <w:szCs w:val="26"/>
        </w:rPr>
      </w:pPr>
    </w:p>
    <w:p w14:paraId="3A2D8335" w14:textId="3677B71A" w:rsidR="00F95716" w:rsidRPr="00E9174E" w:rsidRDefault="004025AC" w:rsidP="00CA4D7B">
      <w:pPr>
        <w:pStyle w:val="BodyText"/>
        <w:widowControl/>
        <w:spacing w:after="0" w:line="360" w:lineRule="auto"/>
        <w:ind w:firstLine="1440"/>
        <w:contextualSpacing/>
        <w:rPr>
          <w:sz w:val="26"/>
          <w:szCs w:val="26"/>
        </w:rPr>
      </w:pPr>
      <w:r w:rsidRPr="00E9174E">
        <w:rPr>
          <w:sz w:val="26"/>
          <w:szCs w:val="26"/>
        </w:rPr>
        <w:t xml:space="preserve">Columbia was the </w:t>
      </w:r>
      <w:r w:rsidR="00F95716" w:rsidRPr="00E9174E">
        <w:rPr>
          <w:sz w:val="26"/>
          <w:szCs w:val="26"/>
        </w:rPr>
        <w:t xml:space="preserve">only party that </w:t>
      </w:r>
      <w:r w:rsidR="00B675F1" w:rsidRPr="00E9174E">
        <w:rPr>
          <w:sz w:val="26"/>
          <w:szCs w:val="26"/>
        </w:rPr>
        <w:t xml:space="preserve">addressed </w:t>
      </w:r>
      <w:r w:rsidR="00F95716" w:rsidRPr="00E9174E">
        <w:rPr>
          <w:sz w:val="26"/>
          <w:szCs w:val="26"/>
        </w:rPr>
        <w:t xml:space="preserve">this issue.  The Company indicated its intention was to apply the new Commission-approved rates to the usage noted between January 23, 2021 and the date of the Commission’s Final Order.  The back billing amount would become the difference between the amount calculated at the new rates and amounts actually billed previously at old rates.  Columbia did not propose a special rate mechanism to accomplish its proposed recovery method.  Once new base rates are approved and entered in Columbia’s billing system, customer-specific billing adjustments will be calculated and added to each customer’s bill.  The individual billing adjustments will be computed using each customer’s consumption for the appropriate period.  Columbia noted that, if the Commission were to approve new rates as originally proposed by Columbia, a typical residential customer using 10 </w:t>
      </w:r>
      <w:proofErr w:type="spellStart"/>
      <w:r w:rsidR="00F95716" w:rsidRPr="00E9174E">
        <w:rPr>
          <w:sz w:val="26"/>
          <w:szCs w:val="26"/>
        </w:rPr>
        <w:t>therms</w:t>
      </w:r>
      <w:proofErr w:type="spellEnd"/>
      <w:r w:rsidR="00F95716" w:rsidRPr="00E9174E">
        <w:rPr>
          <w:sz w:val="26"/>
          <w:szCs w:val="26"/>
        </w:rPr>
        <w:t xml:space="preserve"> in a winter month would owe an additional $7.59.  Columbia St. 3-R at 38.  No </w:t>
      </w:r>
      <w:r w:rsidR="00C459E9" w:rsidRPr="00E9174E">
        <w:rPr>
          <w:sz w:val="26"/>
          <w:szCs w:val="26"/>
        </w:rPr>
        <w:t>P</w:t>
      </w:r>
      <w:r w:rsidR="00F95716" w:rsidRPr="00E9174E">
        <w:rPr>
          <w:sz w:val="26"/>
          <w:szCs w:val="26"/>
        </w:rPr>
        <w:t>arty objected to Columbia’s proposed method of recovery.</w:t>
      </w:r>
    </w:p>
    <w:p w14:paraId="0C44439E" w14:textId="57B6E83F" w:rsidR="00F95716" w:rsidRPr="00E9174E" w:rsidRDefault="00F95716" w:rsidP="00277ECF">
      <w:pPr>
        <w:pStyle w:val="Heading3"/>
        <w:numPr>
          <w:ilvl w:val="0"/>
          <w:numId w:val="82"/>
        </w:numPr>
        <w:ind w:left="1440" w:hanging="720"/>
      </w:pPr>
      <w:bookmarkStart w:id="501" w:name="_Toc63764656"/>
      <w:r w:rsidRPr="00274288">
        <w:lastRenderedPageBreak/>
        <w:t>Recommended</w:t>
      </w:r>
      <w:r w:rsidRPr="00E9174E">
        <w:t xml:space="preserve"> Decision</w:t>
      </w:r>
      <w:bookmarkEnd w:id="501"/>
    </w:p>
    <w:p w14:paraId="31E2C510" w14:textId="77777777" w:rsidR="00F95716" w:rsidRPr="00E9174E" w:rsidRDefault="00F95716" w:rsidP="00E9174E">
      <w:pPr>
        <w:keepNext/>
        <w:keepLines/>
        <w:widowControl/>
        <w:spacing w:line="360" w:lineRule="auto"/>
        <w:ind w:firstLine="1440"/>
        <w:contextualSpacing/>
        <w:rPr>
          <w:sz w:val="26"/>
          <w:szCs w:val="26"/>
        </w:rPr>
      </w:pPr>
    </w:p>
    <w:p w14:paraId="63AEC749" w14:textId="77777777" w:rsidR="00F95716" w:rsidRPr="00E9174E" w:rsidRDefault="00F95716" w:rsidP="00E9174E">
      <w:pPr>
        <w:widowControl/>
        <w:spacing w:line="360" w:lineRule="auto"/>
        <w:ind w:firstLine="1440"/>
        <w:contextualSpacing/>
        <w:rPr>
          <w:sz w:val="26"/>
          <w:szCs w:val="26"/>
        </w:rPr>
      </w:pPr>
      <w:r w:rsidRPr="00E9174E">
        <w:rPr>
          <w:sz w:val="26"/>
          <w:szCs w:val="26"/>
        </w:rPr>
        <w:t xml:space="preserve">The ALJ recommended that the Commission approve Columbia’s proposed method of recovery.  </w:t>
      </w:r>
    </w:p>
    <w:p w14:paraId="43201881" w14:textId="77777777" w:rsidR="00F95716" w:rsidRPr="00E9174E" w:rsidRDefault="00F95716" w:rsidP="00E9174E">
      <w:pPr>
        <w:widowControl/>
        <w:spacing w:line="360" w:lineRule="auto"/>
        <w:ind w:firstLine="1440"/>
        <w:contextualSpacing/>
        <w:rPr>
          <w:sz w:val="26"/>
          <w:szCs w:val="26"/>
        </w:rPr>
      </w:pPr>
    </w:p>
    <w:p w14:paraId="4158F6AA" w14:textId="7A47C88B" w:rsidR="00F95716" w:rsidRPr="00E9174E" w:rsidRDefault="00F95716" w:rsidP="00277ECF">
      <w:pPr>
        <w:pStyle w:val="Heading3"/>
        <w:numPr>
          <w:ilvl w:val="0"/>
          <w:numId w:val="82"/>
        </w:numPr>
        <w:ind w:left="1440" w:hanging="720"/>
      </w:pPr>
      <w:bookmarkStart w:id="502" w:name="_Toc63764657"/>
      <w:r w:rsidRPr="00274288">
        <w:t>Disposition</w:t>
      </w:r>
      <w:bookmarkEnd w:id="502"/>
    </w:p>
    <w:p w14:paraId="0CFB9D85" w14:textId="77777777" w:rsidR="00F95716" w:rsidRPr="00E9174E" w:rsidRDefault="00F95716" w:rsidP="00E9174E">
      <w:pPr>
        <w:keepNext/>
        <w:keepLines/>
        <w:widowControl/>
        <w:spacing w:line="360" w:lineRule="auto"/>
        <w:ind w:firstLine="1440"/>
        <w:contextualSpacing/>
        <w:rPr>
          <w:sz w:val="26"/>
          <w:szCs w:val="26"/>
        </w:rPr>
      </w:pPr>
    </w:p>
    <w:p w14:paraId="2BD6AEEA" w14:textId="77777777" w:rsidR="00F95716" w:rsidRPr="00E9174E" w:rsidRDefault="00F95716" w:rsidP="00274288">
      <w:pPr>
        <w:widowControl/>
        <w:spacing w:line="360" w:lineRule="auto"/>
        <w:ind w:firstLine="1440"/>
        <w:contextualSpacing/>
        <w:rPr>
          <w:sz w:val="26"/>
          <w:szCs w:val="26"/>
        </w:rPr>
      </w:pPr>
      <w:r w:rsidRPr="00E9174E">
        <w:rPr>
          <w:sz w:val="26"/>
          <w:szCs w:val="26"/>
        </w:rPr>
        <w:t xml:space="preserve">No Party filed Exceptions to the ALJ’s Recommended Decision on this issue.  Accordingly, we agree with the ALJ’s recommendation that adopts Columbia’s proposed method of recovery.    </w:t>
      </w:r>
    </w:p>
    <w:p w14:paraId="2878433B" w14:textId="3AFF2766" w:rsidR="00C95AF2" w:rsidRPr="00E9174E" w:rsidRDefault="00C95AF2" w:rsidP="00274288">
      <w:pPr>
        <w:widowControl/>
        <w:spacing w:line="360" w:lineRule="auto"/>
        <w:ind w:firstLine="360"/>
        <w:contextualSpacing/>
        <w:rPr>
          <w:sz w:val="26"/>
          <w:szCs w:val="26"/>
        </w:rPr>
      </w:pPr>
    </w:p>
    <w:p w14:paraId="1336717B" w14:textId="0D7990FB" w:rsidR="00F776A7" w:rsidRPr="00E9174E" w:rsidRDefault="00F776A7" w:rsidP="00274288">
      <w:pPr>
        <w:pStyle w:val="Heading1"/>
        <w:rPr>
          <w:caps/>
        </w:rPr>
      </w:pPr>
      <w:bookmarkStart w:id="503" w:name="_Toc62487966"/>
      <w:bookmarkStart w:id="504" w:name="_Toc63764658"/>
      <w:r w:rsidRPr="00E9174E">
        <w:t>Conclusion</w:t>
      </w:r>
      <w:bookmarkEnd w:id="115"/>
      <w:bookmarkEnd w:id="503"/>
      <w:bookmarkEnd w:id="504"/>
    </w:p>
    <w:p w14:paraId="2AAC2A5E" w14:textId="77777777" w:rsidR="00F776A7" w:rsidRPr="00E9174E" w:rsidRDefault="00F776A7" w:rsidP="00274288">
      <w:pPr>
        <w:keepNext/>
        <w:keepLines/>
        <w:widowControl/>
        <w:spacing w:line="360" w:lineRule="auto"/>
        <w:contextualSpacing/>
        <w:rPr>
          <w:sz w:val="26"/>
          <w:szCs w:val="26"/>
        </w:rPr>
      </w:pPr>
    </w:p>
    <w:p w14:paraId="41200856" w14:textId="759C1764" w:rsidR="002B73DD" w:rsidRPr="00E9174E" w:rsidRDefault="003B196A" w:rsidP="00274288">
      <w:pPr>
        <w:widowControl/>
        <w:spacing w:line="360" w:lineRule="auto"/>
        <w:ind w:firstLine="1440"/>
        <w:contextualSpacing/>
        <w:rPr>
          <w:b/>
          <w:sz w:val="26"/>
          <w:szCs w:val="26"/>
        </w:rPr>
      </w:pPr>
      <w:r w:rsidRPr="00E9174E">
        <w:rPr>
          <w:rFonts w:eastAsiaTheme="minorHAnsi"/>
          <w:sz w:val="26"/>
          <w:szCs w:val="26"/>
        </w:rPr>
        <w:t xml:space="preserve">Based on our review of the record in this proceeding, we shall: </w:t>
      </w:r>
      <w:r w:rsidR="00DA22C7" w:rsidRPr="00E9174E">
        <w:rPr>
          <w:rFonts w:eastAsiaTheme="minorHAnsi"/>
          <w:sz w:val="26"/>
          <w:szCs w:val="26"/>
        </w:rPr>
        <w:t xml:space="preserve"> </w:t>
      </w:r>
      <w:r w:rsidRPr="00E9174E">
        <w:rPr>
          <w:rFonts w:eastAsiaTheme="minorHAnsi"/>
          <w:sz w:val="26"/>
          <w:szCs w:val="26"/>
        </w:rPr>
        <w:t>(1) reverse the ALJ’s recommendation to completely deny Columbia’s requested rate relief due to the pandemic;</w:t>
      </w:r>
      <w:r w:rsidRPr="00E9174E">
        <w:rPr>
          <w:rFonts w:eastAsiaTheme="minorHAnsi"/>
          <w:sz w:val="26"/>
          <w:szCs w:val="26"/>
          <w:vertAlign w:val="superscript"/>
        </w:rPr>
        <w:footnoteReference w:id="103"/>
      </w:r>
      <w:r w:rsidRPr="00E9174E">
        <w:rPr>
          <w:rFonts w:eastAsiaTheme="minorHAnsi"/>
          <w:sz w:val="26"/>
          <w:szCs w:val="26"/>
        </w:rPr>
        <w:t xml:space="preserve"> (2) grant, in part, and deny, in part, the Exceptions filed by Columbia and I&amp;E; (3) deny the Exceptions filed by the OCA, the OSBA, CAUSE-PA, and PSU; and (4) </w:t>
      </w:r>
      <w:r w:rsidRPr="00E9174E">
        <w:rPr>
          <w:sz w:val="26"/>
          <w:szCs w:val="26"/>
        </w:rPr>
        <w:t xml:space="preserve">approve an annual revenue increase of </w:t>
      </w:r>
      <w:r w:rsidRPr="00E9174E">
        <w:rPr>
          <w:rFonts w:eastAsia="Calibri"/>
          <w:sz w:val="26"/>
          <w:szCs w:val="26"/>
        </w:rPr>
        <w:t>$63,548,905</w:t>
      </w:r>
      <w:r w:rsidRPr="00E9174E">
        <w:rPr>
          <w:sz w:val="26"/>
          <w:szCs w:val="26"/>
        </w:rPr>
        <w:t xml:space="preserve"> to the Company’s pro forma revenue at present rates of $572,769,574, or approximately 11.10%</w:t>
      </w:r>
      <w:r w:rsidR="00F776A7" w:rsidRPr="00E9174E">
        <w:rPr>
          <w:sz w:val="26"/>
          <w:szCs w:val="26"/>
        </w:rPr>
        <w:t xml:space="preserve">; </w:t>
      </w:r>
      <w:r w:rsidR="00F776A7" w:rsidRPr="00E9174E">
        <w:rPr>
          <w:b/>
          <w:sz w:val="26"/>
          <w:szCs w:val="26"/>
        </w:rPr>
        <w:t>THEREFORE,</w:t>
      </w:r>
    </w:p>
    <w:p w14:paraId="046F14D9" w14:textId="77777777" w:rsidR="002B73DD" w:rsidRPr="00E9174E" w:rsidRDefault="002B73DD" w:rsidP="00274288">
      <w:pPr>
        <w:widowControl/>
        <w:spacing w:line="360" w:lineRule="auto"/>
        <w:ind w:left="720" w:firstLine="720"/>
        <w:contextualSpacing/>
        <w:rPr>
          <w:b/>
          <w:sz w:val="26"/>
          <w:szCs w:val="26"/>
        </w:rPr>
      </w:pPr>
    </w:p>
    <w:p w14:paraId="5E3277B0" w14:textId="04EC9DD1" w:rsidR="00F776A7" w:rsidRPr="00E9174E" w:rsidRDefault="00F776A7" w:rsidP="00274288">
      <w:pPr>
        <w:keepNext/>
        <w:keepLines/>
        <w:widowControl/>
        <w:spacing w:line="360" w:lineRule="auto"/>
        <w:ind w:left="720" w:firstLine="720"/>
        <w:contextualSpacing/>
        <w:rPr>
          <w:b/>
          <w:sz w:val="26"/>
          <w:szCs w:val="26"/>
        </w:rPr>
      </w:pPr>
      <w:r w:rsidRPr="00E9174E">
        <w:rPr>
          <w:b/>
          <w:sz w:val="26"/>
          <w:szCs w:val="26"/>
        </w:rPr>
        <w:t>IT IS ORDERED:</w:t>
      </w:r>
    </w:p>
    <w:p w14:paraId="0097C008" w14:textId="77777777" w:rsidR="00573AA0" w:rsidRPr="00E9174E" w:rsidRDefault="00573AA0" w:rsidP="00274288">
      <w:pPr>
        <w:keepNext/>
        <w:keepLines/>
        <w:widowControl/>
        <w:spacing w:line="360" w:lineRule="auto"/>
        <w:ind w:firstLine="720"/>
        <w:contextualSpacing/>
        <w:rPr>
          <w:sz w:val="26"/>
          <w:szCs w:val="26"/>
        </w:rPr>
      </w:pPr>
    </w:p>
    <w:p w14:paraId="494C9092" w14:textId="77777777" w:rsidR="0082131C" w:rsidRPr="00E9174E" w:rsidRDefault="0082131C" w:rsidP="00277ECF">
      <w:pPr>
        <w:widowControl/>
        <w:numPr>
          <w:ilvl w:val="0"/>
          <w:numId w:val="33"/>
        </w:numPr>
        <w:spacing w:line="360" w:lineRule="auto"/>
        <w:ind w:left="0" w:firstLine="1440"/>
        <w:contextualSpacing/>
        <w:rPr>
          <w:sz w:val="26"/>
          <w:szCs w:val="26"/>
        </w:rPr>
      </w:pPr>
      <w:r w:rsidRPr="00E9174E">
        <w:rPr>
          <w:sz w:val="26"/>
          <w:szCs w:val="26"/>
        </w:rPr>
        <w:t>That the Exceptions filed by Columbia Gas of Pennsylvania, Inc. on December 22, 2020, are granted, in part, and denied, in part, consistent with this Opinion and Order.</w:t>
      </w:r>
    </w:p>
    <w:p w14:paraId="217EEF4B" w14:textId="77777777" w:rsidR="0082131C" w:rsidRPr="00E9174E" w:rsidRDefault="0082131C" w:rsidP="00277ECF">
      <w:pPr>
        <w:widowControl/>
        <w:numPr>
          <w:ilvl w:val="0"/>
          <w:numId w:val="33"/>
        </w:numPr>
        <w:spacing w:line="360" w:lineRule="auto"/>
        <w:ind w:left="0" w:firstLine="1440"/>
        <w:contextualSpacing/>
        <w:rPr>
          <w:sz w:val="26"/>
          <w:szCs w:val="26"/>
        </w:rPr>
      </w:pPr>
      <w:r w:rsidRPr="00E9174E">
        <w:rPr>
          <w:sz w:val="26"/>
          <w:szCs w:val="26"/>
        </w:rPr>
        <w:lastRenderedPageBreak/>
        <w:t>That the Exceptions filed by the Commission’s Bureau of Investigation and Enforcement on December 22, 2020, are granted, in part, and denied, in part, consistent with this Opinion and Order.</w:t>
      </w:r>
    </w:p>
    <w:p w14:paraId="1DAECBD1" w14:textId="77777777" w:rsidR="0082131C" w:rsidRPr="00E9174E" w:rsidRDefault="0082131C" w:rsidP="0084516C">
      <w:pPr>
        <w:widowControl/>
        <w:spacing w:line="360" w:lineRule="auto"/>
        <w:ind w:left="90" w:firstLine="1350"/>
        <w:contextualSpacing/>
        <w:rPr>
          <w:sz w:val="26"/>
          <w:szCs w:val="26"/>
        </w:rPr>
      </w:pPr>
    </w:p>
    <w:p w14:paraId="55CDD3E9" w14:textId="77777777" w:rsidR="0082131C" w:rsidRPr="00E9174E" w:rsidRDefault="0082131C" w:rsidP="00277ECF">
      <w:pPr>
        <w:widowControl/>
        <w:numPr>
          <w:ilvl w:val="0"/>
          <w:numId w:val="33"/>
        </w:numPr>
        <w:spacing w:line="360" w:lineRule="auto"/>
        <w:ind w:left="0" w:firstLine="1440"/>
        <w:contextualSpacing/>
        <w:rPr>
          <w:sz w:val="26"/>
          <w:szCs w:val="26"/>
        </w:rPr>
      </w:pPr>
      <w:r w:rsidRPr="00E9174E">
        <w:rPr>
          <w:sz w:val="26"/>
          <w:szCs w:val="26"/>
        </w:rPr>
        <w:t xml:space="preserve">That the Exceptions filed by the Office of Consumer Advocate on December 22, 2020, are denied, consistent with this Opinion and Order. </w:t>
      </w:r>
    </w:p>
    <w:p w14:paraId="54477A52" w14:textId="77777777" w:rsidR="0082131C" w:rsidRPr="00E9174E" w:rsidRDefault="0082131C" w:rsidP="0084516C">
      <w:pPr>
        <w:widowControl/>
        <w:spacing w:line="360" w:lineRule="auto"/>
        <w:contextualSpacing/>
        <w:rPr>
          <w:rFonts w:eastAsiaTheme="minorHAnsi"/>
          <w:sz w:val="26"/>
          <w:szCs w:val="26"/>
        </w:rPr>
      </w:pPr>
    </w:p>
    <w:p w14:paraId="552C6C1C" w14:textId="77777777" w:rsidR="0082131C" w:rsidRPr="00E9174E" w:rsidRDefault="0082131C" w:rsidP="00277ECF">
      <w:pPr>
        <w:widowControl/>
        <w:numPr>
          <w:ilvl w:val="0"/>
          <w:numId w:val="33"/>
        </w:numPr>
        <w:spacing w:line="360" w:lineRule="auto"/>
        <w:ind w:left="0" w:firstLine="1440"/>
        <w:contextualSpacing/>
        <w:rPr>
          <w:sz w:val="26"/>
          <w:szCs w:val="26"/>
        </w:rPr>
      </w:pPr>
      <w:r w:rsidRPr="00E9174E">
        <w:rPr>
          <w:rFonts w:eastAsiaTheme="minorHAnsi"/>
          <w:sz w:val="26"/>
          <w:szCs w:val="26"/>
        </w:rPr>
        <w:t xml:space="preserve">That the Exceptions filed by the Office of Small Business Advocate on </w:t>
      </w:r>
      <w:r w:rsidRPr="00E9174E">
        <w:rPr>
          <w:sz w:val="26"/>
          <w:szCs w:val="26"/>
        </w:rPr>
        <w:t xml:space="preserve">December 22, 2020, are denied, consistent with this Opinion and Order. </w:t>
      </w:r>
    </w:p>
    <w:p w14:paraId="243C6396" w14:textId="77777777" w:rsidR="0082131C" w:rsidRPr="00E9174E" w:rsidRDefault="0082131C" w:rsidP="0084516C">
      <w:pPr>
        <w:widowControl/>
        <w:spacing w:line="360" w:lineRule="auto"/>
        <w:contextualSpacing/>
        <w:rPr>
          <w:rFonts w:eastAsiaTheme="minorHAnsi"/>
          <w:sz w:val="26"/>
          <w:szCs w:val="26"/>
        </w:rPr>
      </w:pPr>
    </w:p>
    <w:p w14:paraId="3BC53D2C" w14:textId="77777777" w:rsidR="0082131C" w:rsidRPr="00E9174E" w:rsidRDefault="0082131C" w:rsidP="00277ECF">
      <w:pPr>
        <w:widowControl/>
        <w:numPr>
          <w:ilvl w:val="0"/>
          <w:numId w:val="33"/>
        </w:numPr>
        <w:spacing w:line="360" w:lineRule="auto"/>
        <w:ind w:left="0" w:firstLine="1440"/>
        <w:contextualSpacing/>
        <w:rPr>
          <w:rFonts w:eastAsiaTheme="minorHAnsi"/>
          <w:sz w:val="26"/>
          <w:szCs w:val="26"/>
        </w:rPr>
      </w:pPr>
      <w:r w:rsidRPr="00E9174E">
        <w:rPr>
          <w:rFonts w:eastAsiaTheme="minorHAnsi"/>
          <w:sz w:val="26"/>
          <w:szCs w:val="26"/>
        </w:rPr>
        <w:t xml:space="preserve">That the Exceptions filed by the Coalition for Affordable Utility Services and Energy Efficiency in Pennsylvania </w:t>
      </w:r>
      <w:bookmarkStart w:id="505" w:name="_Hlk63080297"/>
      <w:r w:rsidRPr="00E9174E">
        <w:rPr>
          <w:rFonts w:eastAsiaTheme="minorHAnsi"/>
          <w:sz w:val="26"/>
          <w:szCs w:val="26"/>
        </w:rPr>
        <w:t>on December 22, 2020, are denied, consistent with this Opinion and Order.</w:t>
      </w:r>
    </w:p>
    <w:bookmarkEnd w:id="505"/>
    <w:p w14:paraId="18C885FF" w14:textId="77777777" w:rsidR="0082131C" w:rsidRPr="00E9174E" w:rsidRDefault="0082131C" w:rsidP="0084516C">
      <w:pPr>
        <w:widowControl/>
        <w:spacing w:line="360" w:lineRule="auto"/>
        <w:contextualSpacing/>
        <w:rPr>
          <w:rFonts w:eastAsiaTheme="minorHAnsi"/>
          <w:sz w:val="26"/>
          <w:szCs w:val="26"/>
        </w:rPr>
      </w:pPr>
    </w:p>
    <w:p w14:paraId="5FC94646" w14:textId="77777777" w:rsidR="0082131C" w:rsidRPr="00E9174E" w:rsidRDefault="0082131C" w:rsidP="00277ECF">
      <w:pPr>
        <w:widowControl/>
        <w:numPr>
          <w:ilvl w:val="0"/>
          <w:numId w:val="33"/>
        </w:numPr>
        <w:spacing w:line="360" w:lineRule="auto"/>
        <w:ind w:left="0" w:firstLine="1440"/>
        <w:contextualSpacing/>
        <w:rPr>
          <w:rFonts w:eastAsiaTheme="minorHAnsi"/>
          <w:sz w:val="26"/>
          <w:szCs w:val="26"/>
        </w:rPr>
      </w:pPr>
      <w:r w:rsidRPr="00E9174E">
        <w:rPr>
          <w:rFonts w:eastAsiaTheme="minorHAnsi"/>
          <w:sz w:val="26"/>
          <w:szCs w:val="26"/>
        </w:rPr>
        <w:t>That the Exceptions filed by the Pennsylvania State University on December 22, 2020, are denied, consistent with this Opinion and Order.</w:t>
      </w:r>
    </w:p>
    <w:p w14:paraId="4799E5F0" w14:textId="77777777" w:rsidR="0082131C" w:rsidRPr="00E9174E" w:rsidRDefault="0082131C" w:rsidP="0084516C">
      <w:pPr>
        <w:widowControl/>
        <w:spacing w:line="360" w:lineRule="auto"/>
        <w:contextualSpacing/>
        <w:rPr>
          <w:rFonts w:eastAsiaTheme="minorHAnsi"/>
          <w:sz w:val="26"/>
          <w:szCs w:val="26"/>
        </w:rPr>
      </w:pPr>
    </w:p>
    <w:p w14:paraId="76170159" w14:textId="69C0FFA9" w:rsidR="0082131C" w:rsidRPr="00E9174E" w:rsidRDefault="0082131C" w:rsidP="00277ECF">
      <w:pPr>
        <w:widowControl/>
        <w:numPr>
          <w:ilvl w:val="0"/>
          <w:numId w:val="33"/>
        </w:numPr>
        <w:spacing w:line="360" w:lineRule="auto"/>
        <w:ind w:left="0" w:firstLine="1440"/>
        <w:contextualSpacing/>
        <w:rPr>
          <w:rFonts w:eastAsiaTheme="minorHAnsi"/>
          <w:sz w:val="26"/>
          <w:szCs w:val="26"/>
        </w:rPr>
      </w:pPr>
      <w:r w:rsidRPr="00E9174E">
        <w:rPr>
          <w:rFonts w:eastAsiaTheme="minorHAnsi"/>
          <w:sz w:val="26"/>
          <w:szCs w:val="26"/>
        </w:rPr>
        <w:t>That the Recommended Decision of Administrative Law Judge Katrina L. Dunderdale, issued on December 4, 2020, is reversed, consistent with this Opinion and Order.</w:t>
      </w:r>
    </w:p>
    <w:p w14:paraId="6B9BB960" w14:textId="77777777" w:rsidR="0082131C" w:rsidRPr="00E9174E" w:rsidRDefault="0082131C" w:rsidP="0084516C">
      <w:pPr>
        <w:widowControl/>
        <w:spacing w:line="360" w:lineRule="auto"/>
        <w:ind w:firstLine="1440"/>
        <w:contextualSpacing/>
        <w:rPr>
          <w:rFonts w:eastAsiaTheme="minorHAnsi"/>
          <w:b/>
          <w:bCs/>
          <w:sz w:val="26"/>
          <w:szCs w:val="26"/>
        </w:rPr>
      </w:pPr>
    </w:p>
    <w:p w14:paraId="5023966E" w14:textId="4D172EEF" w:rsidR="0082131C" w:rsidRPr="00E9174E" w:rsidRDefault="0082131C" w:rsidP="00277ECF">
      <w:pPr>
        <w:widowControl/>
        <w:numPr>
          <w:ilvl w:val="0"/>
          <w:numId w:val="33"/>
        </w:numPr>
        <w:spacing w:line="360" w:lineRule="auto"/>
        <w:ind w:left="0" w:firstLine="1440"/>
        <w:contextualSpacing/>
        <w:rPr>
          <w:rFonts w:eastAsiaTheme="minorHAnsi"/>
          <w:sz w:val="26"/>
          <w:szCs w:val="26"/>
        </w:rPr>
      </w:pPr>
      <w:r w:rsidRPr="00E9174E">
        <w:rPr>
          <w:rFonts w:eastAsiaTheme="minorHAnsi"/>
          <w:sz w:val="26"/>
          <w:szCs w:val="26"/>
        </w:rPr>
        <w:t xml:space="preserve">That Columbia Gas of Pennsylvania, Inc. shall submit to its Universal Service Advisory Committee, within six months of the entry date of this Opinion and Order, the question of how customer payments on Customer Assistance Program bills can be pursued through a reasonable collections process.  We further direct that Columbia Gas of Pennsylvania, Inc, be fully prepared to address this Customer Assistance Program collection policy issue in its next Universal Service and Energy Conservation Plan.  </w:t>
      </w:r>
    </w:p>
    <w:p w14:paraId="004ECBDD" w14:textId="77777777" w:rsidR="0082131C" w:rsidRPr="00E9174E" w:rsidRDefault="0082131C" w:rsidP="0084516C">
      <w:pPr>
        <w:widowControl/>
        <w:spacing w:line="360" w:lineRule="auto"/>
        <w:contextualSpacing/>
        <w:rPr>
          <w:rFonts w:eastAsiaTheme="minorHAnsi"/>
          <w:sz w:val="26"/>
          <w:szCs w:val="26"/>
        </w:rPr>
      </w:pPr>
    </w:p>
    <w:p w14:paraId="69EF7EDA" w14:textId="77777777" w:rsidR="0082131C" w:rsidRPr="00E9174E" w:rsidRDefault="0082131C" w:rsidP="00277ECF">
      <w:pPr>
        <w:widowControl/>
        <w:numPr>
          <w:ilvl w:val="0"/>
          <w:numId w:val="33"/>
        </w:numPr>
        <w:spacing w:line="360" w:lineRule="auto"/>
        <w:ind w:left="0" w:firstLine="1440"/>
        <w:contextualSpacing/>
        <w:rPr>
          <w:rFonts w:eastAsiaTheme="minorHAnsi"/>
          <w:sz w:val="26"/>
          <w:szCs w:val="26"/>
        </w:rPr>
      </w:pPr>
      <w:r w:rsidRPr="00E9174E">
        <w:rPr>
          <w:rFonts w:eastAsiaTheme="minorHAnsi"/>
          <w:sz w:val="26"/>
          <w:szCs w:val="26"/>
        </w:rPr>
        <w:lastRenderedPageBreak/>
        <w:t xml:space="preserve">That </w:t>
      </w:r>
      <w:bookmarkStart w:id="506" w:name="_Hlk63081325"/>
      <w:r w:rsidRPr="00E9174E">
        <w:rPr>
          <w:rFonts w:eastAsiaTheme="minorHAnsi"/>
          <w:sz w:val="26"/>
          <w:szCs w:val="26"/>
        </w:rPr>
        <w:t>Columbia Gas of Pennsylvania, Inc</w:t>
      </w:r>
      <w:bookmarkEnd w:id="506"/>
      <w:r w:rsidRPr="00E9174E">
        <w:rPr>
          <w:rFonts w:eastAsiaTheme="minorHAnsi"/>
          <w:sz w:val="26"/>
          <w:szCs w:val="26"/>
        </w:rPr>
        <w:t>. shall address the Customer Assistance Program Policy Statement amendments pertaining to energy burdens in its next Universal Service and Energy Conservation Plan filing.</w:t>
      </w:r>
    </w:p>
    <w:p w14:paraId="23E2596D" w14:textId="77777777" w:rsidR="0082131C" w:rsidRPr="00E9174E" w:rsidRDefault="0082131C" w:rsidP="0084516C">
      <w:pPr>
        <w:widowControl/>
        <w:spacing w:line="360" w:lineRule="auto"/>
        <w:ind w:firstLine="1440"/>
        <w:contextualSpacing/>
        <w:rPr>
          <w:rFonts w:eastAsiaTheme="minorHAnsi"/>
          <w:sz w:val="26"/>
          <w:szCs w:val="26"/>
        </w:rPr>
      </w:pPr>
    </w:p>
    <w:p w14:paraId="3D8D5F7F" w14:textId="77777777" w:rsidR="0082131C" w:rsidRPr="00E9174E" w:rsidRDefault="0082131C" w:rsidP="00277ECF">
      <w:pPr>
        <w:widowControl/>
        <w:numPr>
          <w:ilvl w:val="0"/>
          <w:numId w:val="33"/>
        </w:numPr>
        <w:spacing w:line="360" w:lineRule="auto"/>
        <w:ind w:left="0" w:firstLine="1440"/>
        <w:contextualSpacing/>
        <w:rPr>
          <w:rFonts w:eastAsiaTheme="minorHAnsi"/>
          <w:color w:val="000000"/>
          <w:sz w:val="26"/>
          <w:szCs w:val="26"/>
        </w:rPr>
      </w:pPr>
      <w:r w:rsidRPr="00E9174E">
        <w:rPr>
          <w:rFonts w:eastAsiaTheme="minorHAnsi"/>
          <w:sz w:val="26"/>
          <w:szCs w:val="26"/>
        </w:rPr>
        <w:t>That Columbia Gas of Pennsylvania, Inc. shall address its Low</w:t>
      </w:r>
      <w:r w:rsidRPr="00E9174E">
        <w:rPr>
          <w:rFonts w:eastAsiaTheme="minorHAnsi"/>
          <w:sz w:val="26"/>
          <w:szCs w:val="26"/>
        </w:rPr>
        <w:noBreakHyphen/>
        <w:t xml:space="preserve">Income Customer Outreach additional efforts and corresponding results in its upcoming annual Management Audit Progress Reports due in 2021 and 2022.  </w:t>
      </w:r>
    </w:p>
    <w:p w14:paraId="73956E1D" w14:textId="77777777" w:rsidR="0082131C" w:rsidRPr="00E9174E" w:rsidRDefault="0082131C" w:rsidP="0084516C">
      <w:pPr>
        <w:widowControl/>
        <w:spacing w:line="360" w:lineRule="auto"/>
        <w:contextualSpacing/>
        <w:rPr>
          <w:rFonts w:eastAsiaTheme="minorHAnsi"/>
          <w:sz w:val="26"/>
          <w:szCs w:val="26"/>
        </w:rPr>
      </w:pPr>
    </w:p>
    <w:p w14:paraId="46AE4CB7" w14:textId="7877CF19" w:rsidR="0082131C" w:rsidRPr="00E9174E" w:rsidRDefault="0082131C" w:rsidP="00277ECF">
      <w:pPr>
        <w:widowControl/>
        <w:numPr>
          <w:ilvl w:val="0"/>
          <w:numId w:val="33"/>
        </w:numPr>
        <w:spacing w:line="360" w:lineRule="auto"/>
        <w:ind w:left="0" w:firstLine="1440"/>
        <w:contextualSpacing/>
        <w:rPr>
          <w:rFonts w:eastAsiaTheme="minorHAnsi"/>
          <w:sz w:val="26"/>
          <w:szCs w:val="26"/>
        </w:rPr>
      </w:pPr>
      <w:r w:rsidRPr="00E9174E">
        <w:rPr>
          <w:rFonts w:eastAsiaTheme="minorHAnsi"/>
          <w:sz w:val="26"/>
          <w:szCs w:val="26"/>
        </w:rPr>
        <w:t xml:space="preserve">That Columbia Gas of Pennsylvania, Inc. shall explain in its next base rate proceeding the efforts it has taken to provide Hardship Funds to as many eligible, low-income customers as possible.  </w:t>
      </w:r>
    </w:p>
    <w:p w14:paraId="27C1DDD3" w14:textId="77777777" w:rsidR="0082131C" w:rsidRPr="00E9174E" w:rsidRDefault="0082131C" w:rsidP="0084516C">
      <w:pPr>
        <w:widowControl/>
        <w:spacing w:line="360" w:lineRule="auto"/>
        <w:contextualSpacing/>
        <w:rPr>
          <w:rFonts w:eastAsiaTheme="minorHAnsi"/>
          <w:sz w:val="26"/>
          <w:szCs w:val="26"/>
        </w:rPr>
      </w:pPr>
    </w:p>
    <w:p w14:paraId="5367BD38" w14:textId="0FE62326" w:rsidR="0082131C" w:rsidRPr="00E9174E" w:rsidRDefault="0082131C" w:rsidP="00277ECF">
      <w:pPr>
        <w:widowControl/>
        <w:numPr>
          <w:ilvl w:val="0"/>
          <w:numId w:val="33"/>
        </w:numPr>
        <w:spacing w:line="360" w:lineRule="auto"/>
        <w:ind w:left="0" w:firstLine="1440"/>
        <w:contextualSpacing/>
        <w:rPr>
          <w:rFonts w:eastAsiaTheme="minorHAnsi"/>
          <w:sz w:val="26"/>
          <w:szCs w:val="26"/>
        </w:rPr>
      </w:pPr>
      <w:r w:rsidRPr="00E9174E">
        <w:rPr>
          <w:rFonts w:eastAsiaTheme="minorHAnsi"/>
          <w:sz w:val="26"/>
          <w:szCs w:val="26"/>
        </w:rPr>
        <w:t xml:space="preserve">That </w:t>
      </w:r>
      <w:bookmarkStart w:id="507" w:name="_Hlk63081534"/>
      <w:r w:rsidRPr="00E9174E">
        <w:rPr>
          <w:rFonts w:eastAsiaTheme="minorHAnsi"/>
          <w:sz w:val="26"/>
          <w:szCs w:val="26"/>
        </w:rPr>
        <w:t xml:space="preserve">Columbia Gas of Pennsylvania, Inc </w:t>
      </w:r>
      <w:bookmarkEnd w:id="507"/>
      <w:r w:rsidRPr="00E9174E">
        <w:rPr>
          <w:sz w:val="26"/>
          <w:szCs w:val="26"/>
        </w:rPr>
        <w:t>shall:</w:t>
      </w:r>
      <w:r w:rsidR="006E2C5A" w:rsidRPr="00E9174E">
        <w:rPr>
          <w:sz w:val="26"/>
          <w:szCs w:val="26"/>
        </w:rPr>
        <w:t xml:space="preserve"> </w:t>
      </w:r>
      <w:r w:rsidRPr="00E9174E">
        <w:rPr>
          <w:sz w:val="26"/>
          <w:szCs w:val="26"/>
        </w:rPr>
        <w:t xml:space="preserve"> (1) amend</w:t>
      </w:r>
      <w:r w:rsidRPr="00E9174E">
        <w:rPr>
          <w:rFonts w:eastAsiaTheme="minorHAnsi"/>
          <w:sz w:val="26"/>
          <w:szCs w:val="26"/>
        </w:rPr>
        <w:t xml:space="preserve"> Section</w:t>
      </w:r>
      <w:r w:rsidR="0084516C">
        <w:rPr>
          <w:rFonts w:eastAsiaTheme="minorHAnsi"/>
          <w:sz w:val="26"/>
          <w:szCs w:val="26"/>
        </w:rPr>
        <w:t> </w:t>
      </w:r>
      <w:r w:rsidRPr="00E9174E">
        <w:rPr>
          <w:rFonts w:eastAsiaTheme="minorHAnsi"/>
          <w:sz w:val="26"/>
          <w:szCs w:val="26"/>
        </w:rPr>
        <w:t xml:space="preserve">7.1.2.2 of its </w:t>
      </w:r>
      <w:bookmarkStart w:id="508" w:name="_Hlk63081446"/>
      <w:r w:rsidRPr="00E9174E">
        <w:rPr>
          <w:rFonts w:eastAsiaTheme="minorHAnsi"/>
          <w:sz w:val="26"/>
          <w:szCs w:val="26"/>
        </w:rPr>
        <w:t>Distribution Integrity Management Program</w:t>
      </w:r>
      <w:bookmarkEnd w:id="508"/>
      <w:r w:rsidRPr="00E9174E">
        <w:rPr>
          <w:rFonts w:eastAsiaTheme="minorHAnsi"/>
          <w:sz w:val="26"/>
          <w:szCs w:val="26"/>
        </w:rPr>
        <w:t xml:space="preserve"> to reflect the inclusion of all historical data in the evaluation of risks;</w:t>
      </w:r>
      <w:r w:rsidRPr="00E9174E">
        <w:rPr>
          <w:sz w:val="26"/>
          <w:szCs w:val="26"/>
        </w:rPr>
        <w:t xml:space="preserve"> (2) amend its </w:t>
      </w:r>
      <w:r w:rsidRPr="00E9174E">
        <w:rPr>
          <w:rFonts w:eastAsiaTheme="minorHAnsi"/>
          <w:sz w:val="26"/>
          <w:szCs w:val="26"/>
        </w:rPr>
        <w:t>Distribution Integrity Management Program</w:t>
      </w:r>
      <w:r w:rsidRPr="00E9174E">
        <w:rPr>
          <w:sz w:val="26"/>
          <w:szCs w:val="26"/>
        </w:rPr>
        <w:t xml:space="preserve"> to explain its method of using two inputs to generate one </w:t>
      </w:r>
      <w:r w:rsidRPr="00E9174E">
        <w:rPr>
          <w:rFonts w:eastAsiaTheme="minorHAnsi"/>
          <w:sz w:val="26"/>
          <w:szCs w:val="26"/>
        </w:rPr>
        <w:t>Distribution Integrity Management Program</w:t>
      </w:r>
      <w:r w:rsidRPr="00E9174E">
        <w:rPr>
          <w:sz w:val="26"/>
          <w:szCs w:val="26"/>
        </w:rPr>
        <w:t xml:space="preserve"> risk score; and (3) present proof of these amendments to </w:t>
      </w:r>
      <w:bookmarkStart w:id="509" w:name="_Hlk63081516"/>
      <w:r w:rsidRPr="00E9174E">
        <w:rPr>
          <w:sz w:val="26"/>
          <w:szCs w:val="26"/>
        </w:rPr>
        <w:t>the Commission’s Bureau of Investigation and Enforcement</w:t>
      </w:r>
      <w:bookmarkEnd w:id="509"/>
      <w:r w:rsidRPr="00E9174E">
        <w:rPr>
          <w:sz w:val="26"/>
          <w:szCs w:val="26"/>
        </w:rPr>
        <w:t xml:space="preserve">’s Pipeline Safety within thirty days of the entry of this Opinion and Order.  </w:t>
      </w:r>
    </w:p>
    <w:p w14:paraId="4DD2F7D1" w14:textId="77777777" w:rsidR="0082131C" w:rsidRPr="00E9174E" w:rsidRDefault="0082131C" w:rsidP="0084516C">
      <w:pPr>
        <w:widowControl/>
        <w:spacing w:line="360" w:lineRule="auto"/>
        <w:contextualSpacing/>
        <w:rPr>
          <w:rFonts w:eastAsiaTheme="minorHAnsi"/>
          <w:sz w:val="26"/>
          <w:szCs w:val="26"/>
        </w:rPr>
      </w:pPr>
    </w:p>
    <w:p w14:paraId="3179EB09" w14:textId="77777777" w:rsidR="0082131C" w:rsidRPr="00E9174E" w:rsidRDefault="0082131C" w:rsidP="00277ECF">
      <w:pPr>
        <w:widowControl/>
        <w:numPr>
          <w:ilvl w:val="0"/>
          <w:numId w:val="33"/>
        </w:numPr>
        <w:spacing w:line="360" w:lineRule="auto"/>
        <w:ind w:left="0" w:firstLine="1440"/>
        <w:contextualSpacing/>
        <w:rPr>
          <w:sz w:val="26"/>
          <w:szCs w:val="26"/>
        </w:rPr>
      </w:pPr>
      <w:r w:rsidRPr="00E9174E">
        <w:rPr>
          <w:sz w:val="26"/>
          <w:szCs w:val="26"/>
        </w:rPr>
        <w:t xml:space="preserve">That consistent with the agreement between </w:t>
      </w:r>
      <w:bookmarkStart w:id="510" w:name="_Hlk63081562"/>
      <w:r w:rsidRPr="00E9174E">
        <w:rPr>
          <w:sz w:val="26"/>
          <w:szCs w:val="26"/>
        </w:rPr>
        <w:t>the Commission’s Bureau of Investigation and Enforcement</w:t>
      </w:r>
      <w:bookmarkEnd w:id="510"/>
      <w:r w:rsidRPr="00E9174E">
        <w:rPr>
          <w:sz w:val="26"/>
          <w:szCs w:val="26"/>
        </w:rPr>
        <w:t xml:space="preserve"> and </w:t>
      </w:r>
      <w:bookmarkStart w:id="511" w:name="_Hlk63081619"/>
      <w:r w:rsidRPr="00E9174E">
        <w:rPr>
          <w:sz w:val="26"/>
          <w:szCs w:val="26"/>
        </w:rPr>
        <w:t>Columbia</w:t>
      </w:r>
      <w:r w:rsidRPr="00E9174E">
        <w:rPr>
          <w:rFonts w:eastAsiaTheme="minorHAnsi"/>
          <w:sz w:val="26"/>
          <w:szCs w:val="26"/>
        </w:rPr>
        <w:t xml:space="preserve"> Gas of Pennsylvania, Inc</w:t>
      </w:r>
      <w:bookmarkEnd w:id="511"/>
      <w:r w:rsidRPr="00E9174E">
        <w:rPr>
          <w:rFonts w:eastAsiaTheme="minorHAnsi"/>
          <w:sz w:val="26"/>
          <w:szCs w:val="26"/>
        </w:rPr>
        <w:t>.</w:t>
      </w:r>
      <w:r w:rsidRPr="00E9174E">
        <w:rPr>
          <w:sz w:val="26"/>
          <w:szCs w:val="26"/>
        </w:rPr>
        <w:t xml:space="preserve">, </w:t>
      </w:r>
      <w:r w:rsidRPr="00E9174E">
        <w:rPr>
          <w:rFonts w:eastAsiaTheme="minorHAnsi"/>
          <w:sz w:val="26"/>
          <w:szCs w:val="26"/>
        </w:rPr>
        <w:t xml:space="preserve">Columbia Gas of Pennsylvania, Inc will meet annually with </w:t>
      </w:r>
      <w:bookmarkStart w:id="512" w:name="_Hlk63081651"/>
      <w:r w:rsidRPr="00E9174E">
        <w:rPr>
          <w:sz w:val="26"/>
          <w:szCs w:val="26"/>
        </w:rPr>
        <w:t>the Commission’s Bureau of Investigation and Enforcement</w:t>
      </w:r>
      <w:r w:rsidRPr="00E9174E">
        <w:rPr>
          <w:rFonts w:eastAsiaTheme="minorHAnsi"/>
          <w:sz w:val="26"/>
          <w:szCs w:val="26"/>
        </w:rPr>
        <w:t xml:space="preserve">’s Pipeline Safety Division </w:t>
      </w:r>
      <w:bookmarkEnd w:id="512"/>
      <w:r w:rsidRPr="00E9174E">
        <w:rPr>
          <w:rFonts w:eastAsiaTheme="minorHAnsi"/>
          <w:sz w:val="26"/>
          <w:szCs w:val="26"/>
        </w:rPr>
        <w:t>to provide a status update on pipeline replacement cost control efforts.</w:t>
      </w:r>
    </w:p>
    <w:p w14:paraId="2D3A9781" w14:textId="77777777" w:rsidR="0082131C" w:rsidRPr="00E9174E" w:rsidRDefault="0082131C" w:rsidP="0084516C">
      <w:pPr>
        <w:widowControl/>
        <w:spacing w:line="360" w:lineRule="auto"/>
        <w:contextualSpacing/>
        <w:rPr>
          <w:rFonts w:eastAsiaTheme="minorHAnsi"/>
          <w:sz w:val="26"/>
          <w:szCs w:val="26"/>
        </w:rPr>
      </w:pPr>
    </w:p>
    <w:p w14:paraId="3BD30488" w14:textId="3C25FE8E" w:rsidR="0082131C" w:rsidRPr="00E9174E" w:rsidRDefault="0082131C" w:rsidP="00277ECF">
      <w:pPr>
        <w:widowControl/>
        <w:numPr>
          <w:ilvl w:val="0"/>
          <w:numId w:val="33"/>
        </w:numPr>
        <w:spacing w:line="360" w:lineRule="auto"/>
        <w:ind w:left="0" w:firstLine="1440"/>
        <w:contextualSpacing/>
        <w:rPr>
          <w:sz w:val="26"/>
          <w:szCs w:val="26"/>
        </w:rPr>
      </w:pPr>
      <w:r w:rsidRPr="00E9174E">
        <w:rPr>
          <w:sz w:val="26"/>
          <w:szCs w:val="26"/>
        </w:rPr>
        <w:t xml:space="preserve">That Columbia </w:t>
      </w:r>
      <w:r w:rsidRPr="00E9174E">
        <w:rPr>
          <w:rFonts w:eastAsiaTheme="minorHAnsi"/>
          <w:sz w:val="26"/>
          <w:szCs w:val="26"/>
        </w:rPr>
        <w:t>Gas of Pennsylvania, Inc</w:t>
      </w:r>
      <w:r w:rsidRPr="00E9174E">
        <w:rPr>
          <w:sz w:val="26"/>
          <w:szCs w:val="26"/>
        </w:rPr>
        <w:t xml:space="preserve"> shall: </w:t>
      </w:r>
      <w:r w:rsidR="001C5DF1" w:rsidRPr="00E9174E">
        <w:rPr>
          <w:sz w:val="26"/>
          <w:szCs w:val="26"/>
        </w:rPr>
        <w:t xml:space="preserve"> </w:t>
      </w:r>
      <w:r w:rsidRPr="00E9174E">
        <w:rPr>
          <w:sz w:val="26"/>
          <w:szCs w:val="26"/>
        </w:rPr>
        <w:t xml:space="preserve">(1) perform a root cause analysis to determine why the number of leaks found does not correlate with the amount of pipeline replacement for the past four years; and (2) present to the </w:t>
      </w:r>
      <w:r w:rsidRPr="00E9174E">
        <w:rPr>
          <w:sz w:val="26"/>
          <w:szCs w:val="26"/>
        </w:rPr>
        <w:lastRenderedPageBreak/>
        <w:t>Commission’s Bureau of Investigation and Enforcement</w:t>
      </w:r>
      <w:r w:rsidRPr="00E9174E">
        <w:rPr>
          <w:rFonts w:eastAsiaTheme="minorHAnsi"/>
          <w:sz w:val="26"/>
          <w:szCs w:val="26"/>
        </w:rPr>
        <w:t xml:space="preserve">’s Pipeline Safety Division </w:t>
      </w:r>
      <w:r w:rsidRPr="00E9174E">
        <w:rPr>
          <w:sz w:val="26"/>
          <w:szCs w:val="26"/>
        </w:rPr>
        <w:t xml:space="preserve">the results of the root cause analysis, including any corrective actions the Company takes, no later than September 30, 2021. </w:t>
      </w:r>
    </w:p>
    <w:p w14:paraId="2961B8FD" w14:textId="77777777" w:rsidR="0082131C" w:rsidRPr="00E9174E" w:rsidRDefault="0082131C" w:rsidP="0084516C">
      <w:pPr>
        <w:widowControl/>
        <w:spacing w:line="360" w:lineRule="auto"/>
        <w:ind w:firstLine="1440"/>
        <w:contextualSpacing/>
        <w:rPr>
          <w:sz w:val="26"/>
          <w:szCs w:val="26"/>
        </w:rPr>
      </w:pPr>
    </w:p>
    <w:p w14:paraId="250284C0" w14:textId="2E5AD02A" w:rsidR="0082131C" w:rsidRPr="00E9174E" w:rsidRDefault="0082131C" w:rsidP="00277ECF">
      <w:pPr>
        <w:widowControl/>
        <w:numPr>
          <w:ilvl w:val="0"/>
          <w:numId w:val="33"/>
        </w:numPr>
        <w:spacing w:line="360" w:lineRule="auto"/>
        <w:ind w:left="0" w:firstLine="1440"/>
        <w:contextualSpacing/>
        <w:rPr>
          <w:sz w:val="26"/>
          <w:szCs w:val="26"/>
        </w:rPr>
      </w:pPr>
      <w:r w:rsidRPr="00E9174E">
        <w:rPr>
          <w:sz w:val="26"/>
          <w:szCs w:val="26"/>
        </w:rPr>
        <w:t>T</w:t>
      </w:r>
      <w:r w:rsidRPr="00E9174E">
        <w:rPr>
          <w:rFonts w:eastAsiaTheme="minorHAnsi"/>
          <w:sz w:val="26"/>
          <w:szCs w:val="26"/>
        </w:rPr>
        <w:t>hat Columbia Gas of Pennsylvania, Inc. shall:</w:t>
      </w:r>
      <w:r w:rsidR="00544AD8" w:rsidRPr="00E9174E">
        <w:rPr>
          <w:rFonts w:eastAsiaTheme="minorHAnsi"/>
          <w:sz w:val="26"/>
          <w:szCs w:val="26"/>
        </w:rPr>
        <w:t xml:space="preserve"> </w:t>
      </w:r>
      <w:r w:rsidRPr="00E9174E">
        <w:rPr>
          <w:rFonts w:eastAsiaTheme="minorHAnsi"/>
          <w:sz w:val="26"/>
          <w:szCs w:val="26"/>
        </w:rPr>
        <w:t xml:space="preserve"> (1) update its records on and complete inspections on all field-assembled risers, including those on customer-owned service lines; (2) develop a plan to replace all field-assembled risers in its system; (3) complete updating its maps and records as quickly as possible; and (4)</w:t>
      </w:r>
      <w:r w:rsidR="0084516C">
        <w:rPr>
          <w:rFonts w:eastAsiaTheme="minorHAnsi"/>
          <w:sz w:val="26"/>
          <w:szCs w:val="26"/>
        </w:rPr>
        <w:t> </w:t>
      </w:r>
      <w:r w:rsidRPr="00E9174E">
        <w:rPr>
          <w:rFonts w:eastAsiaTheme="minorHAnsi"/>
          <w:sz w:val="26"/>
          <w:szCs w:val="26"/>
        </w:rPr>
        <w:t>keep</w:t>
      </w:r>
      <w:r w:rsidRPr="00E9174E">
        <w:rPr>
          <w:sz w:val="26"/>
          <w:szCs w:val="26"/>
        </w:rPr>
        <w:t xml:space="preserve"> the Commission’s Bureau of Investigation and Enforcement</w:t>
      </w:r>
      <w:r w:rsidRPr="00E9174E">
        <w:rPr>
          <w:rFonts w:eastAsiaTheme="minorHAnsi"/>
          <w:sz w:val="26"/>
          <w:szCs w:val="26"/>
        </w:rPr>
        <w:t>’s Pipeline Safety Division apprised of its progress on these items.</w:t>
      </w:r>
      <w:r w:rsidRPr="00E9174E">
        <w:rPr>
          <w:sz w:val="26"/>
          <w:szCs w:val="26"/>
        </w:rPr>
        <w:t xml:space="preserve">  </w:t>
      </w:r>
    </w:p>
    <w:p w14:paraId="6CAB6E1F" w14:textId="77777777" w:rsidR="0082131C" w:rsidRPr="00E9174E" w:rsidRDefault="0082131C" w:rsidP="0084516C">
      <w:pPr>
        <w:widowControl/>
        <w:spacing w:line="360" w:lineRule="auto"/>
        <w:ind w:left="1440"/>
        <w:contextualSpacing/>
        <w:rPr>
          <w:sz w:val="26"/>
          <w:szCs w:val="26"/>
        </w:rPr>
      </w:pPr>
    </w:p>
    <w:p w14:paraId="07AC9A32" w14:textId="77777777" w:rsidR="0082131C" w:rsidRPr="00E9174E" w:rsidRDefault="0082131C" w:rsidP="00277ECF">
      <w:pPr>
        <w:widowControl/>
        <w:numPr>
          <w:ilvl w:val="0"/>
          <w:numId w:val="33"/>
        </w:numPr>
        <w:spacing w:line="360" w:lineRule="auto"/>
        <w:ind w:left="0" w:firstLine="1440"/>
        <w:contextualSpacing/>
        <w:rPr>
          <w:sz w:val="26"/>
          <w:szCs w:val="26"/>
        </w:rPr>
      </w:pPr>
      <w:r w:rsidRPr="00E9174E">
        <w:rPr>
          <w:sz w:val="26"/>
          <w:szCs w:val="26"/>
        </w:rPr>
        <w:t xml:space="preserve">That the corrections and modifications directed by this Opinion and Order reflected in the </w:t>
      </w:r>
      <w:r w:rsidRPr="00E9174E">
        <w:rPr>
          <w:bCs/>
          <w:sz w:val="26"/>
          <w:szCs w:val="26"/>
        </w:rPr>
        <w:t xml:space="preserve">Columbia Gas of Pennsylvania, Inc., Docket No. R-2020-3018835 (Commission Tables Calculating Allowed Revenue Increase), </w:t>
      </w:r>
      <w:r w:rsidRPr="00E9174E">
        <w:rPr>
          <w:sz w:val="26"/>
          <w:szCs w:val="26"/>
        </w:rPr>
        <w:t>attached hereto, are adopted as in the public interest.</w:t>
      </w:r>
    </w:p>
    <w:p w14:paraId="03A41841" w14:textId="77777777" w:rsidR="0082131C" w:rsidRPr="00E9174E" w:rsidRDefault="0082131C" w:rsidP="0084516C">
      <w:pPr>
        <w:widowControl/>
        <w:spacing w:line="360" w:lineRule="auto"/>
        <w:contextualSpacing/>
        <w:rPr>
          <w:rFonts w:eastAsiaTheme="minorHAnsi"/>
          <w:sz w:val="26"/>
          <w:szCs w:val="26"/>
        </w:rPr>
      </w:pPr>
    </w:p>
    <w:p w14:paraId="49432FE8" w14:textId="77777777" w:rsidR="0082131C" w:rsidRPr="00E9174E" w:rsidRDefault="0082131C" w:rsidP="00277ECF">
      <w:pPr>
        <w:widowControl/>
        <w:numPr>
          <w:ilvl w:val="0"/>
          <w:numId w:val="33"/>
        </w:numPr>
        <w:spacing w:line="360" w:lineRule="auto"/>
        <w:ind w:left="0" w:firstLine="1440"/>
        <w:contextualSpacing/>
        <w:rPr>
          <w:rFonts w:eastAsiaTheme="minorHAnsi"/>
          <w:sz w:val="26"/>
          <w:szCs w:val="26"/>
        </w:rPr>
      </w:pPr>
      <w:r w:rsidRPr="00E9174E">
        <w:rPr>
          <w:rFonts w:eastAsiaTheme="minorHAnsi"/>
          <w:sz w:val="26"/>
          <w:szCs w:val="26"/>
        </w:rPr>
        <w:t xml:space="preserve">That </w:t>
      </w:r>
      <w:bookmarkStart w:id="513" w:name="_Hlk527443567"/>
      <w:r w:rsidRPr="00E9174E">
        <w:rPr>
          <w:sz w:val="26"/>
          <w:szCs w:val="26"/>
        </w:rPr>
        <w:t xml:space="preserve">Columbia </w:t>
      </w:r>
      <w:r w:rsidRPr="00E9174E">
        <w:rPr>
          <w:rFonts w:eastAsiaTheme="minorHAnsi"/>
          <w:sz w:val="26"/>
          <w:szCs w:val="26"/>
        </w:rPr>
        <w:t xml:space="preserve">Gas of Pennsylvania, Inc. </w:t>
      </w:r>
      <w:bookmarkEnd w:id="513"/>
      <w:r w:rsidRPr="00E9174E">
        <w:rPr>
          <w:rFonts w:eastAsiaTheme="minorHAnsi"/>
          <w:sz w:val="26"/>
          <w:szCs w:val="26"/>
        </w:rPr>
        <w:t>shall not place into effect the rates, rules, and regulations contained in Tariff Gas - Pa. P.U.C. No. 9, as filed.</w:t>
      </w:r>
    </w:p>
    <w:p w14:paraId="3191BD43" w14:textId="77777777" w:rsidR="0082131C" w:rsidRPr="00E9174E" w:rsidRDefault="0082131C" w:rsidP="0084516C">
      <w:pPr>
        <w:widowControl/>
        <w:spacing w:line="360" w:lineRule="auto"/>
        <w:ind w:firstLine="1440"/>
        <w:contextualSpacing/>
        <w:rPr>
          <w:rFonts w:eastAsiaTheme="minorHAnsi"/>
          <w:sz w:val="26"/>
          <w:szCs w:val="26"/>
        </w:rPr>
      </w:pPr>
    </w:p>
    <w:p w14:paraId="3F166EFC" w14:textId="676B197E" w:rsidR="0082131C" w:rsidRPr="00E9174E" w:rsidRDefault="0082131C" w:rsidP="00277ECF">
      <w:pPr>
        <w:widowControl/>
        <w:numPr>
          <w:ilvl w:val="0"/>
          <w:numId w:val="33"/>
        </w:numPr>
        <w:spacing w:line="360" w:lineRule="auto"/>
        <w:ind w:left="0" w:firstLine="1440"/>
        <w:contextualSpacing/>
        <w:rPr>
          <w:rFonts w:eastAsiaTheme="minorHAnsi"/>
          <w:sz w:val="26"/>
          <w:szCs w:val="26"/>
        </w:rPr>
      </w:pPr>
      <w:r w:rsidRPr="00E9174E">
        <w:rPr>
          <w:rFonts w:eastAsiaTheme="minorHAnsi"/>
          <w:sz w:val="26"/>
          <w:szCs w:val="26"/>
        </w:rPr>
        <w:t>That</w:t>
      </w:r>
      <w:r w:rsidRPr="00E9174E">
        <w:rPr>
          <w:sz w:val="26"/>
          <w:szCs w:val="26"/>
        </w:rPr>
        <w:t xml:space="preserve"> Columbia </w:t>
      </w:r>
      <w:r w:rsidRPr="00E9174E">
        <w:rPr>
          <w:rFonts w:eastAsiaTheme="minorHAnsi"/>
          <w:sz w:val="26"/>
          <w:szCs w:val="26"/>
        </w:rPr>
        <w:t xml:space="preserve">Gas of Pennsylvania, Inc. is authorized to file tariffs, tariff supplements and/or tariff revisions, on at least one day’s notice, and pursuant to the provisions of 52 Pa. Code §§ 53.1, </w:t>
      </w:r>
      <w:r w:rsidRPr="00E9174E">
        <w:rPr>
          <w:rFonts w:eastAsiaTheme="minorHAnsi"/>
          <w:i/>
          <w:sz w:val="26"/>
          <w:szCs w:val="26"/>
        </w:rPr>
        <w:t>et seq.</w:t>
      </w:r>
      <w:r w:rsidRPr="0029189D">
        <w:rPr>
          <w:rFonts w:eastAsiaTheme="minorHAnsi"/>
          <w:iCs/>
          <w:sz w:val="26"/>
          <w:szCs w:val="26"/>
        </w:rPr>
        <w:t>,</w:t>
      </w:r>
      <w:r w:rsidRPr="00E9174E">
        <w:rPr>
          <w:rFonts w:eastAsiaTheme="minorHAnsi"/>
          <w:sz w:val="26"/>
          <w:szCs w:val="26"/>
        </w:rPr>
        <w:t xml:space="preserve"> and 53.101, designed to produce an annual distribution rate revenue increase of approximately $63,548,905, to become effective for service rendered on and after </w:t>
      </w:r>
      <w:r w:rsidR="00E131BD">
        <w:rPr>
          <w:rFonts w:eastAsiaTheme="minorHAnsi"/>
          <w:sz w:val="26"/>
          <w:szCs w:val="26"/>
        </w:rPr>
        <w:t>January 23, 2021</w:t>
      </w:r>
      <w:r w:rsidRPr="00E9174E">
        <w:rPr>
          <w:rFonts w:eastAsiaTheme="minorHAnsi"/>
          <w:sz w:val="26"/>
          <w:szCs w:val="26"/>
        </w:rPr>
        <w:t>.</w:t>
      </w:r>
    </w:p>
    <w:p w14:paraId="5AAC8380" w14:textId="77777777" w:rsidR="0082131C" w:rsidRPr="00E9174E" w:rsidRDefault="0082131C" w:rsidP="0084516C">
      <w:pPr>
        <w:widowControl/>
        <w:spacing w:line="360" w:lineRule="auto"/>
        <w:ind w:firstLine="1440"/>
        <w:contextualSpacing/>
        <w:rPr>
          <w:rFonts w:eastAsiaTheme="minorHAnsi"/>
          <w:sz w:val="26"/>
          <w:szCs w:val="26"/>
        </w:rPr>
      </w:pPr>
    </w:p>
    <w:p w14:paraId="273DAA0E" w14:textId="34F6F1AA" w:rsidR="0082131C" w:rsidRPr="00E9174E" w:rsidRDefault="0082131C" w:rsidP="00277ECF">
      <w:pPr>
        <w:widowControl/>
        <w:numPr>
          <w:ilvl w:val="0"/>
          <w:numId w:val="33"/>
        </w:numPr>
        <w:spacing w:line="360" w:lineRule="auto"/>
        <w:ind w:left="0" w:firstLine="1440"/>
        <w:contextualSpacing/>
        <w:rPr>
          <w:rFonts w:eastAsiaTheme="minorHAnsi"/>
          <w:sz w:val="26"/>
          <w:szCs w:val="26"/>
        </w:rPr>
      </w:pPr>
      <w:r w:rsidRPr="00E9174E">
        <w:rPr>
          <w:rFonts w:eastAsiaTheme="minorHAnsi"/>
          <w:sz w:val="26"/>
          <w:szCs w:val="26"/>
        </w:rPr>
        <w:t xml:space="preserve">That </w:t>
      </w:r>
      <w:r w:rsidRPr="00E9174E">
        <w:rPr>
          <w:sz w:val="26"/>
          <w:szCs w:val="26"/>
        </w:rPr>
        <w:t xml:space="preserve">Columbia </w:t>
      </w:r>
      <w:r w:rsidRPr="00E9174E">
        <w:rPr>
          <w:rFonts w:eastAsiaTheme="minorHAnsi"/>
          <w:sz w:val="26"/>
          <w:szCs w:val="26"/>
        </w:rPr>
        <w:t>Gas of Pennsylvania, Inc. shall file detailed calculations with its tariff filing, which shall demonstrate to the Commission’s satisfaction that the filed tariff adjustments comply with the provisions of this final Opinion and Order.</w:t>
      </w:r>
    </w:p>
    <w:p w14:paraId="5218098C" w14:textId="77777777" w:rsidR="0082131C" w:rsidRPr="00E9174E" w:rsidRDefault="0082131C" w:rsidP="00277ECF">
      <w:pPr>
        <w:widowControl/>
        <w:numPr>
          <w:ilvl w:val="0"/>
          <w:numId w:val="33"/>
        </w:numPr>
        <w:spacing w:line="360" w:lineRule="auto"/>
        <w:ind w:left="0" w:firstLine="1440"/>
        <w:contextualSpacing/>
        <w:rPr>
          <w:rFonts w:eastAsiaTheme="minorHAnsi"/>
          <w:sz w:val="26"/>
          <w:szCs w:val="26"/>
        </w:rPr>
      </w:pPr>
      <w:r w:rsidRPr="00E9174E">
        <w:rPr>
          <w:rFonts w:eastAsiaTheme="minorHAnsi"/>
          <w:sz w:val="26"/>
          <w:szCs w:val="26"/>
        </w:rPr>
        <w:lastRenderedPageBreak/>
        <w:t xml:space="preserve">That </w:t>
      </w:r>
      <w:r w:rsidRPr="00E9174E">
        <w:rPr>
          <w:sz w:val="26"/>
          <w:szCs w:val="26"/>
        </w:rPr>
        <w:t xml:space="preserve">Columbia </w:t>
      </w:r>
      <w:r w:rsidRPr="00E9174E">
        <w:rPr>
          <w:rFonts w:eastAsiaTheme="minorHAnsi"/>
          <w:sz w:val="26"/>
          <w:szCs w:val="26"/>
        </w:rPr>
        <w:t>Gas of Pennsylvania, Inc. shall allocate the authorized increase in operating distribution revenue to each customer class, and rate schedule within each customer class, in the manner prescribed in this Opinion and Order.</w:t>
      </w:r>
    </w:p>
    <w:p w14:paraId="7F331D4B" w14:textId="77777777" w:rsidR="0082131C" w:rsidRPr="00E9174E" w:rsidRDefault="0082131C" w:rsidP="0084516C">
      <w:pPr>
        <w:widowControl/>
        <w:spacing w:line="360" w:lineRule="auto"/>
        <w:ind w:firstLine="1440"/>
        <w:contextualSpacing/>
        <w:rPr>
          <w:rFonts w:eastAsiaTheme="minorHAnsi"/>
          <w:sz w:val="26"/>
          <w:szCs w:val="26"/>
        </w:rPr>
      </w:pPr>
    </w:p>
    <w:p w14:paraId="66F7B37D" w14:textId="77777777" w:rsidR="0082131C" w:rsidRPr="00E9174E" w:rsidRDefault="0082131C" w:rsidP="00277ECF">
      <w:pPr>
        <w:widowControl/>
        <w:numPr>
          <w:ilvl w:val="0"/>
          <w:numId w:val="33"/>
        </w:numPr>
        <w:autoSpaceDE w:val="0"/>
        <w:autoSpaceDN w:val="0"/>
        <w:adjustRightInd w:val="0"/>
        <w:spacing w:line="360" w:lineRule="auto"/>
        <w:ind w:left="0" w:firstLine="1440"/>
        <w:contextualSpacing/>
        <w:rPr>
          <w:sz w:val="26"/>
          <w:szCs w:val="26"/>
        </w:rPr>
      </w:pPr>
      <w:bookmarkStart w:id="514" w:name="_Hlk527617117"/>
      <w:r w:rsidRPr="00E9174E">
        <w:rPr>
          <w:sz w:val="26"/>
          <w:szCs w:val="26"/>
        </w:rPr>
        <w:t xml:space="preserve">That Columbia </w:t>
      </w:r>
      <w:r w:rsidRPr="00E9174E">
        <w:rPr>
          <w:rFonts w:eastAsiaTheme="minorHAnsi"/>
          <w:sz w:val="26"/>
          <w:szCs w:val="26"/>
        </w:rPr>
        <w:t>Gas of Pennsylvania, Inc.</w:t>
      </w:r>
      <w:r w:rsidRPr="00E9174E">
        <w:rPr>
          <w:sz w:val="26"/>
          <w:szCs w:val="26"/>
        </w:rPr>
        <w:t xml:space="preserve"> is directed to file annual reports at this Docket with the Secretary’s Bureau and with the Commission’s Fixed Utility Financial Analyst Supervisor of the Bureau of Investigation and Enforcement by December 1 following the end of each fiscal year for the next five years, or until the implementation of new base rates in a subsequent rate case within this same time frame, for the following:</w:t>
      </w:r>
    </w:p>
    <w:p w14:paraId="47ADBC51" w14:textId="77777777" w:rsidR="0082131C" w:rsidRPr="00E9174E" w:rsidRDefault="0082131C" w:rsidP="0029189D">
      <w:pPr>
        <w:widowControl/>
        <w:ind w:firstLine="1440"/>
        <w:contextualSpacing/>
        <w:rPr>
          <w:rFonts w:eastAsiaTheme="minorHAnsi"/>
          <w:sz w:val="26"/>
          <w:szCs w:val="26"/>
        </w:rPr>
      </w:pPr>
    </w:p>
    <w:p w14:paraId="6F1E5D91" w14:textId="500CFF02" w:rsidR="0082131C" w:rsidRPr="00E9174E" w:rsidRDefault="0082131C" w:rsidP="00277ECF">
      <w:pPr>
        <w:widowControl/>
        <w:numPr>
          <w:ilvl w:val="1"/>
          <w:numId w:val="33"/>
        </w:numPr>
        <w:contextualSpacing/>
        <w:rPr>
          <w:sz w:val="26"/>
          <w:szCs w:val="26"/>
        </w:rPr>
      </w:pPr>
      <w:r w:rsidRPr="00E9174E">
        <w:rPr>
          <w:sz w:val="26"/>
          <w:szCs w:val="26"/>
        </w:rPr>
        <w:t xml:space="preserve">The </w:t>
      </w:r>
      <w:r w:rsidRPr="00E9174E">
        <w:rPr>
          <w:color w:val="000000"/>
          <w:sz w:val="26"/>
          <w:szCs w:val="26"/>
        </w:rPr>
        <w:t>actual annual expenses incurred by the Company for cross bore identification.</w:t>
      </w:r>
      <w:r w:rsidRPr="00E9174E">
        <w:rPr>
          <w:sz w:val="26"/>
          <w:szCs w:val="26"/>
        </w:rPr>
        <w:t xml:space="preserve">  </w:t>
      </w:r>
    </w:p>
    <w:p w14:paraId="1D9FC8E5" w14:textId="77777777" w:rsidR="009D1A75" w:rsidRPr="00E9174E" w:rsidRDefault="009D1A75" w:rsidP="00E9174E">
      <w:pPr>
        <w:widowControl/>
        <w:contextualSpacing/>
        <w:rPr>
          <w:sz w:val="26"/>
          <w:szCs w:val="26"/>
        </w:rPr>
      </w:pPr>
    </w:p>
    <w:p w14:paraId="7AF88453" w14:textId="09D530D3" w:rsidR="0082131C" w:rsidRPr="00E9174E" w:rsidRDefault="00B869F2" w:rsidP="00277ECF">
      <w:pPr>
        <w:widowControl/>
        <w:numPr>
          <w:ilvl w:val="1"/>
          <w:numId w:val="33"/>
        </w:numPr>
        <w:contextualSpacing/>
        <w:rPr>
          <w:color w:val="000000"/>
          <w:sz w:val="26"/>
          <w:szCs w:val="26"/>
        </w:rPr>
      </w:pPr>
      <w:r w:rsidRPr="00E9174E">
        <w:rPr>
          <w:color w:val="000000"/>
          <w:sz w:val="26"/>
          <w:szCs w:val="26"/>
        </w:rPr>
        <w:t>T</w:t>
      </w:r>
      <w:r w:rsidR="0082131C" w:rsidRPr="00E9174E">
        <w:rPr>
          <w:color w:val="000000"/>
          <w:sz w:val="26"/>
          <w:szCs w:val="26"/>
        </w:rPr>
        <w:t>he actual annual expenses incurred by the Company for its legacy service line enhancement program.</w:t>
      </w:r>
    </w:p>
    <w:p w14:paraId="67CF23B4" w14:textId="77777777" w:rsidR="009D1A75" w:rsidRPr="00E9174E" w:rsidRDefault="009D1A75" w:rsidP="00E9174E">
      <w:pPr>
        <w:widowControl/>
        <w:contextualSpacing/>
        <w:rPr>
          <w:color w:val="000000"/>
          <w:sz w:val="26"/>
          <w:szCs w:val="26"/>
        </w:rPr>
      </w:pPr>
    </w:p>
    <w:p w14:paraId="2AF95FB6" w14:textId="52BECAD2" w:rsidR="0082131C" w:rsidRPr="00E9174E" w:rsidRDefault="00B869F2" w:rsidP="00277ECF">
      <w:pPr>
        <w:widowControl/>
        <w:numPr>
          <w:ilvl w:val="1"/>
          <w:numId w:val="33"/>
        </w:numPr>
        <w:contextualSpacing/>
        <w:rPr>
          <w:sz w:val="26"/>
          <w:szCs w:val="26"/>
        </w:rPr>
      </w:pPr>
      <w:r w:rsidRPr="00E9174E">
        <w:rPr>
          <w:color w:val="000000"/>
          <w:sz w:val="26"/>
          <w:szCs w:val="26"/>
        </w:rPr>
        <w:t>T</w:t>
      </w:r>
      <w:r w:rsidR="0082131C" w:rsidRPr="00E9174E">
        <w:rPr>
          <w:color w:val="000000"/>
          <w:sz w:val="26"/>
          <w:szCs w:val="26"/>
        </w:rPr>
        <w:t xml:space="preserve">he actual annual expenses incurred by the Company for customer-owned field-assembled riser replacement.  </w:t>
      </w:r>
    </w:p>
    <w:p w14:paraId="3BD990D3" w14:textId="77777777" w:rsidR="0082131C" w:rsidRPr="00E9174E" w:rsidRDefault="0082131C" w:rsidP="0029189D">
      <w:pPr>
        <w:widowControl/>
        <w:spacing w:line="480" w:lineRule="auto"/>
        <w:ind w:left="1037"/>
        <w:contextualSpacing/>
        <w:rPr>
          <w:rFonts w:eastAsiaTheme="minorHAnsi"/>
          <w:sz w:val="26"/>
          <w:szCs w:val="26"/>
        </w:rPr>
      </w:pPr>
    </w:p>
    <w:bookmarkEnd w:id="514"/>
    <w:p w14:paraId="2495C1F9" w14:textId="7786B081" w:rsidR="0082131C" w:rsidRDefault="0082131C" w:rsidP="00277ECF">
      <w:pPr>
        <w:widowControl/>
        <w:numPr>
          <w:ilvl w:val="0"/>
          <w:numId w:val="33"/>
        </w:numPr>
        <w:spacing w:line="360" w:lineRule="auto"/>
        <w:ind w:left="0" w:firstLine="1440"/>
        <w:contextualSpacing/>
        <w:rPr>
          <w:rFonts w:eastAsiaTheme="minorHAnsi"/>
          <w:sz w:val="26"/>
          <w:szCs w:val="26"/>
        </w:rPr>
      </w:pPr>
      <w:r w:rsidRPr="00C1410A">
        <w:rPr>
          <w:rFonts w:eastAsiaTheme="minorHAnsi"/>
          <w:sz w:val="26"/>
          <w:szCs w:val="26"/>
        </w:rPr>
        <w:t xml:space="preserve">That, upon acceptance and approval by the Commission of the tariff supplements filed by </w:t>
      </w:r>
      <w:r w:rsidRPr="00C1410A">
        <w:rPr>
          <w:sz w:val="26"/>
          <w:szCs w:val="26"/>
        </w:rPr>
        <w:t xml:space="preserve">Columbia </w:t>
      </w:r>
      <w:r w:rsidRPr="00C1410A">
        <w:rPr>
          <w:rFonts w:eastAsiaTheme="minorHAnsi"/>
          <w:sz w:val="26"/>
          <w:szCs w:val="26"/>
        </w:rPr>
        <w:t xml:space="preserve">Gas of Pennsylvania, Inc., consistent with its Final Order, the investigation at Docket </w:t>
      </w:r>
      <w:r w:rsidR="002D0776" w:rsidRPr="00C1410A">
        <w:rPr>
          <w:rFonts w:eastAsiaTheme="minorHAnsi"/>
          <w:sz w:val="26"/>
          <w:szCs w:val="26"/>
        </w:rPr>
        <w:t>N</w:t>
      </w:r>
      <w:r w:rsidR="0065240D" w:rsidRPr="00C1410A">
        <w:rPr>
          <w:rFonts w:eastAsiaTheme="minorHAnsi"/>
          <w:sz w:val="26"/>
          <w:szCs w:val="26"/>
        </w:rPr>
        <w:t xml:space="preserve">o. </w:t>
      </w:r>
      <w:r w:rsidRPr="00C1410A">
        <w:rPr>
          <w:rFonts w:eastAsiaTheme="minorHAnsi"/>
          <w:sz w:val="26"/>
          <w:szCs w:val="26"/>
        </w:rPr>
        <w:t>R-2020-3018835 be marked closed.</w:t>
      </w:r>
    </w:p>
    <w:p w14:paraId="052E44B2" w14:textId="77777777" w:rsidR="00C1410A" w:rsidRPr="00C1410A" w:rsidRDefault="00C1410A" w:rsidP="0084516C">
      <w:pPr>
        <w:widowControl/>
        <w:spacing w:line="360" w:lineRule="auto"/>
        <w:ind w:left="1440"/>
        <w:contextualSpacing/>
        <w:rPr>
          <w:rFonts w:eastAsiaTheme="minorHAnsi"/>
          <w:sz w:val="26"/>
          <w:szCs w:val="26"/>
        </w:rPr>
      </w:pPr>
    </w:p>
    <w:p w14:paraId="7F2A6764" w14:textId="571F7E56" w:rsidR="00C1410A" w:rsidRPr="00C1410A" w:rsidRDefault="00C1410A" w:rsidP="00277ECF">
      <w:pPr>
        <w:widowControl/>
        <w:numPr>
          <w:ilvl w:val="0"/>
          <w:numId w:val="33"/>
        </w:numPr>
        <w:spacing w:line="360" w:lineRule="auto"/>
        <w:ind w:left="0" w:firstLine="1440"/>
        <w:contextualSpacing/>
        <w:rPr>
          <w:rFonts w:eastAsiaTheme="minorHAnsi"/>
          <w:sz w:val="26"/>
          <w:szCs w:val="26"/>
        </w:rPr>
      </w:pPr>
      <w:r w:rsidRPr="00C1410A">
        <w:rPr>
          <w:sz w:val="26"/>
          <w:szCs w:val="26"/>
        </w:rPr>
        <w:t>That a copy of this Opinion and Order be served on the Bureau of Consumer Services, Division of Policy; the Bureau of Audits, Management Audits Division; the Bureau of Investigation and Enforcement, Pipeline Safety Division; and the Bureau of Technical Utility Services, Finance/Tariffs Division for monitoring and compliance.</w:t>
      </w:r>
    </w:p>
    <w:p w14:paraId="203F46B3" w14:textId="77777777" w:rsidR="0082131C" w:rsidRPr="00E9174E" w:rsidRDefault="0082131C" w:rsidP="0084516C">
      <w:pPr>
        <w:widowControl/>
        <w:spacing w:line="360" w:lineRule="auto"/>
        <w:ind w:firstLine="1440"/>
        <w:contextualSpacing/>
        <w:rPr>
          <w:rFonts w:eastAsiaTheme="minorHAnsi"/>
          <w:sz w:val="26"/>
          <w:szCs w:val="26"/>
        </w:rPr>
      </w:pPr>
    </w:p>
    <w:p w14:paraId="36880151" w14:textId="413088BB" w:rsidR="0082131C" w:rsidRPr="00E9174E" w:rsidRDefault="0082131C" w:rsidP="00277ECF">
      <w:pPr>
        <w:widowControl/>
        <w:numPr>
          <w:ilvl w:val="0"/>
          <w:numId w:val="33"/>
        </w:numPr>
        <w:spacing w:line="360" w:lineRule="auto"/>
        <w:ind w:left="0" w:firstLine="1440"/>
        <w:contextualSpacing/>
        <w:rPr>
          <w:rFonts w:eastAsiaTheme="minorHAnsi"/>
          <w:sz w:val="26"/>
          <w:szCs w:val="26"/>
        </w:rPr>
      </w:pPr>
      <w:r w:rsidRPr="00E9174E">
        <w:rPr>
          <w:rFonts w:eastAsiaTheme="minorHAnsi"/>
          <w:sz w:val="26"/>
          <w:szCs w:val="26"/>
        </w:rPr>
        <w:lastRenderedPageBreak/>
        <w:t>That the complaint filed by the Office of Consumer Advocate in this proceeding at Docket N</w:t>
      </w:r>
      <w:r w:rsidR="00E37E01" w:rsidRPr="00E9174E">
        <w:rPr>
          <w:rFonts w:eastAsiaTheme="minorHAnsi"/>
          <w:sz w:val="26"/>
          <w:szCs w:val="26"/>
        </w:rPr>
        <w:t>o.</w:t>
      </w:r>
      <w:r w:rsidRPr="00E9174E">
        <w:rPr>
          <w:rFonts w:eastAsiaTheme="minorHAnsi"/>
          <w:sz w:val="26"/>
          <w:szCs w:val="26"/>
        </w:rPr>
        <w:t xml:space="preserve"> C-2020-3019714 be dismissed and marked closed. </w:t>
      </w:r>
    </w:p>
    <w:p w14:paraId="1AA7546C" w14:textId="77777777" w:rsidR="0082131C" w:rsidRPr="00E9174E" w:rsidRDefault="0082131C" w:rsidP="0084516C">
      <w:pPr>
        <w:widowControl/>
        <w:spacing w:line="360" w:lineRule="auto"/>
        <w:ind w:firstLine="1440"/>
        <w:contextualSpacing/>
        <w:rPr>
          <w:rFonts w:eastAsiaTheme="minorHAnsi"/>
          <w:sz w:val="26"/>
          <w:szCs w:val="26"/>
        </w:rPr>
      </w:pPr>
    </w:p>
    <w:p w14:paraId="205E7E77" w14:textId="77777777" w:rsidR="0082131C" w:rsidRPr="00E9174E" w:rsidRDefault="0082131C" w:rsidP="00277ECF">
      <w:pPr>
        <w:widowControl/>
        <w:numPr>
          <w:ilvl w:val="0"/>
          <w:numId w:val="33"/>
        </w:numPr>
        <w:spacing w:line="360" w:lineRule="auto"/>
        <w:ind w:left="0" w:firstLine="1440"/>
        <w:contextualSpacing/>
        <w:rPr>
          <w:rFonts w:eastAsiaTheme="minorHAnsi"/>
          <w:sz w:val="26"/>
          <w:szCs w:val="26"/>
        </w:rPr>
      </w:pPr>
      <w:r w:rsidRPr="00E9174E">
        <w:rPr>
          <w:rFonts w:eastAsiaTheme="minorHAnsi"/>
          <w:sz w:val="26"/>
          <w:szCs w:val="26"/>
        </w:rPr>
        <w:t xml:space="preserve">That the complaint filed by the Office of Small Business Advocate in this proceeding at Docket No. C-2020-3019702 be dismissed and marked closed.   </w:t>
      </w:r>
    </w:p>
    <w:p w14:paraId="64265CCA" w14:textId="77777777" w:rsidR="0082131C" w:rsidRPr="00E9174E" w:rsidRDefault="0082131C" w:rsidP="0084516C">
      <w:pPr>
        <w:widowControl/>
        <w:spacing w:line="360" w:lineRule="auto"/>
        <w:ind w:firstLine="1440"/>
        <w:contextualSpacing/>
        <w:rPr>
          <w:rFonts w:eastAsiaTheme="minorHAnsi"/>
          <w:sz w:val="26"/>
          <w:szCs w:val="26"/>
        </w:rPr>
      </w:pPr>
    </w:p>
    <w:p w14:paraId="2EC2AF1D" w14:textId="77777777" w:rsidR="0082131C" w:rsidRPr="00E9174E" w:rsidRDefault="0082131C" w:rsidP="00277ECF">
      <w:pPr>
        <w:widowControl/>
        <w:numPr>
          <w:ilvl w:val="0"/>
          <w:numId w:val="33"/>
        </w:numPr>
        <w:spacing w:line="360" w:lineRule="auto"/>
        <w:ind w:left="0" w:firstLine="1440"/>
        <w:contextualSpacing/>
        <w:rPr>
          <w:rFonts w:eastAsiaTheme="minorHAnsi"/>
          <w:sz w:val="26"/>
          <w:szCs w:val="26"/>
        </w:rPr>
      </w:pPr>
      <w:r w:rsidRPr="00E9174E">
        <w:rPr>
          <w:rFonts w:eastAsiaTheme="minorHAnsi"/>
          <w:sz w:val="26"/>
          <w:szCs w:val="26"/>
        </w:rPr>
        <w:t xml:space="preserve">That the complaint filed by Columbia Industrial Intervenors in this proceeding at Docket No. C-2020-3020105 be dismissed and marked closed. </w:t>
      </w:r>
    </w:p>
    <w:p w14:paraId="7DC4BD6E" w14:textId="77777777" w:rsidR="0082131C" w:rsidRPr="00E9174E" w:rsidRDefault="0082131C" w:rsidP="0084516C">
      <w:pPr>
        <w:widowControl/>
        <w:spacing w:line="360" w:lineRule="auto"/>
        <w:contextualSpacing/>
        <w:rPr>
          <w:rFonts w:eastAsiaTheme="minorHAnsi"/>
          <w:sz w:val="26"/>
          <w:szCs w:val="26"/>
        </w:rPr>
      </w:pPr>
    </w:p>
    <w:p w14:paraId="7FA41340" w14:textId="77777777" w:rsidR="0082131C" w:rsidRPr="00E9174E" w:rsidRDefault="0082131C" w:rsidP="00277ECF">
      <w:pPr>
        <w:widowControl/>
        <w:numPr>
          <w:ilvl w:val="0"/>
          <w:numId w:val="33"/>
        </w:numPr>
        <w:spacing w:line="360" w:lineRule="auto"/>
        <w:ind w:left="0" w:firstLine="1440"/>
        <w:contextualSpacing/>
        <w:rPr>
          <w:rFonts w:eastAsiaTheme="minorHAnsi"/>
          <w:sz w:val="26"/>
          <w:szCs w:val="26"/>
        </w:rPr>
      </w:pPr>
      <w:r w:rsidRPr="00E9174E">
        <w:rPr>
          <w:rFonts w:eastAsiaTheme="minorHAnsi"/>
          <w:sz w:val="26"/>
          <w:szCs w:val="26"/>
        </w:rPr>
        <w:t xml:space="preserve">That the complaint filed by Dr. Richard Collins in this proceeding at Docket No. C-2020-3020207 be dismissed and marked closed.  </w:t>
      </w:r>
    </w:p>
    <w:p w14:paraId="54838CD6" w14:textId="77777777" w:rsidR="0082131C" w:rsidRPr="00E9174E" w:rsidRDefault="0082131C" w:rsidP="0084516C">
      <w:pPr>
        <w:widowControl/>
        <w:spacing w:line="360" w:lineRule="auto"/>
        <w:ind w:firstLine="1440"/>
        <w:contextualSpacing/>
        <w:rPr>
          <w:rFonts w:eastAsiaTheme="minorHAnsi"/>
          <w:sz w:val="26"/>
          <w:szCs w:val="26"/>
        </w:rPr>
      </w:pPr>
    </w:p>
    <w:p w14:paraId="55BEE10E" w14:textId="77777777" w:rsidR="0082131C" w:rsidRPr="00E9174E" w:rsidRDefault="0082131C" w:rsidP="00277ECF">
      <w:pPr>
        <w:keepNext/>
        <w:keepLines/>
        <w:widowControl/>
        <w:numPr>
          <w:ilvl w:val="0"/>
          <w:numId w:val="33"/>
        </w:numPr>
        <w:spacing w:line="360" w:lineRule="auto"/>
        <w:ind w:left="0" w:firstLine="1440"/>
        <w:contextualSpacing/>
        <w:rPr>
          <w:rFonts w:eastAsiaTheme="minorHAnsi"/>
          <w:sz w:val="26"/>
          <w:szCs w:val="26"/>
        </w:rPr>
      </w:pPr>
      <w:r w:rsidRPr="00E9174E">
        <w:rPr>
          <w:rFonts w:eastAsiaTheme="minorHAnsi"/>
          <w:sz w:val="26"/>
          <w:szCs w:val="26"/>
        </w:rPr>
        <w:t xml:space="preserve">That the complaint filed by The Pennsylvania State University in this proceeding at Docket No. C-2020-3020666 be dismissed and marked closed.  </w:t>
      </w:r>
    </w:p>
    <w:p w14:paraId="7FBA5FDF" w14:textId="5BCCDB94" w:rsidR="005C38A6" w:rsidRPr="00E9174E" w:rsidRDefault="005C38A6" w:rsidP="0012500C">
      <w:pPr>
        <w:keepNext/>
        <w:keepLines/>
        <w:widowControl/>
        <w:ind w:firstLine="1440"/>
        <w:contextualSpacing/>
        <w:rPr>
          <w:sz w:val="26"/>
          <w:szCs w:val="26"/>
        </w:rPr>
      </w:pPr>
    </w:p>
    <w:p w14:paraId="24564FA8" w14:textId="2DCBFB52" w:rsidR="00D31244" w:rsidRPr="00E9174E" w:rsidRDefault="00D31244" w:rsidP="0012500C">
      <w:pPr>
        <w:keepNext/>
        <w:keepLines/>
        <w:widowControl/>
        <w:ind w:left="4320" w:firstLine="720"/>
        <w:contextualSpacing/>
        <w:rPr>
          <w:b/>
          <w:sz w:val="26"/>
          <w:szCs w:val="26"/>
        </w:rPr>
      </w:pPr>
    </w:p>
    <w:p w14:paraId="1BAD0AEE" w14:textId="05755747" w:rsidR="00F776A7" w:rsidRPr="00E9174E" w:rsidRDefault="00784303" w:rsidP="0012500C">
      <w:pPr>
        <w:keepNext/>
        <w:keepLines/>
        <w:widowControl/>
        <w:ind w:left="4320" w:firstLine="720"/>
        <w:contextualSpacing/>
        <w:rPr>
          <w:b/>
          <w:sz w:val="26"/>
          <w:szCs w:val="26"/>
        </w:rPr>
      </w:pPr>
      <w:r>
        <w:rPr>
          <w:noProof/>
        </w:rPr>
        <w:drawing>
          <wp:anchor distT="0" distB="0" distL="114300" distR="114300" simplePos="0" relativeHeight="251659264" behindDoc="1" locked="0" layoutInCell="1" allowOverlap="1" wp14:anchorId="5F063A4F" wp14:editId="19A78A2B">
            <wp:simplePos x="0" y="0"/>
            <wp:positionH relativeFrom="column">
              <wp:posOffset>3190875</wp:posOffset>
            </wp:positionH>
            <wp:positionV relativeFrom="paragraph">
              <wp:posOffset>57785</wp:posOffset>
            </wp:positionV>
            <wp:extent cx="2200275" cy="838200"/>
            <wp:effectExtent l="1905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200275" cy="838200"/>
                    </a:xfrm>
                    <a:prstGeom prst="rect">
                      <a:avLst/>
                    </a:prstGeom>
                    <a:noFill/>
                    <a:ln w="9525">
                      <a:noFill/>
                      <a:miter lim="800000"/>
                      <a:headEnd/>
                      <a:tailEnd/>
                    </a:ln>
                  </pic:spPr>
                </pic:pic>
              </a:graphicData>
            </a:graphic>
          </wp:anchor>
        </w:drawing>
      </w:r>
      <w:r w:rsidR="00F776A7" w:rsidRPr="00E9174E">
        <w:rPr>
          <w:b/>
          <w:sz w:val="26"/>
          <w:szCs w:val="26"/>
        </w:rPr>
        <w:t>BY THE COMMISSION,</w:t>
      </w:r>
    </w:p>
    <w:p w14:paraId="588902A2" w14:textId="77777777" w:rsidR="00F776A7" w:rsidRPr="00E9174E" w:rsidRDefault="00F776A7" w:rsidP="0012500C">
      <w:pPr>
        <w:keepNext/>
        <w:keepLines/>
        <w:widowControl/>
        <w:ind w:firstLine="720"/>
        <w:contextualSpacing/>
        <w:rPr>
          <w:sz w:val="26"/>
          <w:szCs w:val="26"/>
        </w:rPr>
      </w:pPr>
    </w:p>
    <w:p w14:paraId="1B36E735" w14:textId="77777777" w:rsidR="00F776A7" w:rsidRPr="00E9174E" w:rsidRDefault="00F776A7" w:rsidP="0012500C">
      <w:pPr>
        <w:keepNext/>
        <w:keepLines/>
        <w:widowControl/>
        <w:ind w:firstLine="720"/>
        <w:contextualSpacing/>
        <w:rPr>
          <w:b/>
          <w:sz w:val="26"/>
          <w:szCs w:val="26"/>
        </w:rPr>
      </w:pPr>
    </w:p>
    <w:p w14:paraId="42590296" w14:textId="77777777" w:rsidR="00F776A7" w:rsidRPr="00E9174E" w:rsidRDefault="00F776A7" w:rsidP="0012500C">
      <w:pPr>
        <w:keepNext/>
        <w:keepLines/>
        <w:widowControl/>
        <w:ind w:firstLine="720"/>
        <w:contextualSpacing/>
        <w:rPr>
          <w:b/>
          <w:sz w:val="26"/>
          <w:szCs w:val="26"/>
        </w:rPr>
      </w:pPr>
    </w:p>
    <w:p w14:paraId="6BC51AEB" w14:textId="71174530" w:rsidR="00F776A7" w:rsidRPr="00E9174E" w:rsidRDefault="00F776A7" w:rsidP="0012500C">
      <w:pPr>
        <w:keepNext/>
        <w:keepLines/>
        <w:widowControl/>
        <w:ind w:firstLine="720"/>
        <w:contextualSpacing/>
        <w:rPr>
          <w:sz w:val="26"/>
          <w:szCs w:val="26"/>
        </w:rPr>
      </w:pPr>
      <w:r w:rsidRPr="00E9174E">
        <w:rPr>
          <w:sz w:val="26"/>
          <w:szCs w:val="26"/>
        </w:rPr>
        <w:tab/>
      </w:r>
      <w:r w:rsidRPr="00E9174E">
        <w:rPr>
          <w:sz w:val="26"/>
          <w:szCs w:val="26"/>
        </w:rPr>
        <w:tab/>
      </w:r>
      <w:r w:rsidRPr="00E9174E">
        <w:rPr>
          <w:sz w:val="26"/>
          <w:szCs w:val="26"/>
        </w:rPr>
        <w:tab/>
      </w:r>
      <w:r w:rsidRPr="00E9174E">
        <w:rPr>
          <w:sz w:val="26"/>
          <w:szCs w:val="26"/>
        </w:rPr>
        <w:tab/>
      </w:r>
      <w:r w:rsidRPr="00E9174E">
        <w:rPr>
          <w:sz w:val="26"/>
          <w:szCs w:val="26"/>
        </w:rPr>
        <w:tab/>
      </w:r>
      <w:r w:rsidRPr="00E9174E">
        <w:rPr>
          <w:sz w:val="26"/>
          <w:szCs w:val="26"/>
        </w:rPr>
        <w:tab/>
        <w:t>Rosemary Chiavetta</w:t>
      </w:r>
    </w:p>
    <w:p w14:paraId="03A68ED4" w14:textId="56576053" w:rsidR="00F776A7" w:rsidRPr="00E9174E" w:rsidRDefault="00F776A7" w:rsidP="0012500C">
      <w:pPr>
        <w:keepNext/>
        <w:keepLines/>
        <w:widowControl/>
        <w:ind w:firstLine="720"/>
        <w:contextualSpacing/>
        <w:rPr>
          <w:sz w:val="26"/>
          <w:szCs w:val="26"/>
        </w:rPr>
      </w:pPr>
      <w:r w:rsidRPr="00E9174E">
        <w:rPr>
          <w:sz w:val="26"/>
          <w:szCs w:val="26"/>
        </w:rPr>
        <w:tab/>
      </w:r>
      <w:r w:rsidRPr="00E9174E">
        <w:rPr>
          <w:sz w:val="26"/>
          <w:szCs w:val="26"/>
        </w:rPr>
        <w:tab/>
      </w:r>
      <w:r w:rsidRPr="00E9174E">
        <w:rPr>
          <w:sz w:val="26"/>
          <w:szCs w:val="26"/>
        </w:rPr>
        <w:tab/>
      </w:r>
      <w:r w:rsidRPr="00E9174E">
        <w:rPr>
          <w:sz w:val="26"/>
          <w:szCs w:val="26"/>
        </w:rPr>
        <w:tab/>
      </w:r>
      <w:r w:rsidRPr="00E9174E">
        <w:rPr>
          <w:sz w:val="26"/>
          <w:szCs w:val="26"/>
        </w:rPr>
        <w:tab/>
      </w:r>
      <w:r w:rsidRPr="00E9174E">
        <w:rPr>
          <w:sz w:val="26"/>
          <w:szCs w:val="26"/>
        </w:rPr>
        <w:tab/>
        <w:t>Secretary</w:t>
      </w:r>
    </w:p>
    <w:p w14:paraId="27C20C65" w14:textId="4072D477" w:rsidR="00F776A7" w:rsidRPr="00E9174E" w:rsidRDefault="00F776A7" w:rsidP="0012500C">
      <w:pPr>
        <w:keepNext/>
        <w:keepLines/>
        <w:widowControl/>
        <w:contextualSpacing/>
        <w:rPr>
          <w:sz w:val="26"/>
          <w:szCs w:val="26"/>
        </w:rPr>
      </w:pPr>
    </w:p>
    <w:p w14:paraId="104DBF5C" w14:textId="77777777" w:rsidR="007F333A" w:rsidRPr="00E9174E" w:rsidRDefault="007F333A" w:rsidP="0012500C">
      <w:pPr>
        <w:keepNext/>
        <w:keepLines/>
        <w:widowControl/>
        <w:contextualSpacing/>
        <w:rPr>
          <w:sz w:val="26"/>
          <w:szCs w:val="26"/>
        </w:rPr>
      </w:pPr>
    </w:p>
    <w:p w14:paraId="5A624D11" w14:textId="77777777" w:rsidR="00F776A7" w:rsidRPr="00E9174E" w:rsidRDefault="00F776A7" w:rsidP="0012500C">
      <w:pPr>
        <w:keepNext/>
        <w:keepLines/>
        <w:widowControl/>
        <w:tabs>
          <w:tab w:val="left" w:pos="-720"/>
        </w:tabs>
        <w:suppressAutoHyphens/>
        <w:contextualSpacing/>
        <w:rPr>
          <w:sz w:val="26"/>
          <w:szCs w:val="26"/>
        </w:rPr>
      </w:pPr>
      <w:r w:rsidRPr="00E9174E">
        <w:rPr>
          <w:sz w:val="26"/>
          <w:szCs w:val="26"/>
        </w:rPr>
        <w:t>(SEAL)</w:t>
      </w:r>
    </w:p>
    <w:p w14:paraId="08335EDE" w14:textId="77777777" w:rsidR="00F776A7" w:rsidRPr="00E9174E" w:rsidRDefault="00F776A7" w:rsidP="0012500C">
      <w:pPr>
        <w:keepNext/>
        <w:keepLines/>
        <w:widowControl/>
        <w:tabs>
          <w:tab w:val="left" w:pos="-720"/>
        </w:tabs>
        <w:suppressAutoHyphens/>
        <w:contextualSpacing/>
        <w:rPr>
          <w:sz w:val="26"/>
          <w:szCs w:val="26"/>
        </w:rPr>
      </w:pPr>
    </w:p>
    <w:p w14:paraId="35CB2E62" w14:textId="482DA761" w:rsidR="00F776A7" w:rsidRPr="00E9174E" w:rsidRDefault="008229A0" w:rsidP="0012500C">
      <w:pPr>
        <w:keepNext/>
        <w:keepLines/>
        <w:widowControl/>
        <w:tabs>
          <w:tab w:val="left" w:pos="-720"/>
        </w:tabs>
        <w:suppressAutoHyphens/>
        <w:contextualSpacing/>
        <w:rPr>
          <w:sz w:val="26"/>
          <w:szCs w:val="26"/>
        </w:rPr>
      </w:pPr>
      <w:r w:rsidRPr="00E9174E">
        <w:rPr>
          <w:sz w:val="26"/>
          <w:szCs w:val="26"/>
        </w:rPr>
        <w:t xml:space="preserve">ORDER ADOPTED:  </w:t>
      </w:r>
      <w:r w:rsidR="00F776A7" w:rsidRPr="00E9174E">
        <w:rPr>
          <w:sz w:val="26"/>
          <w:szCs w:val="26"/>
        </w:rPr>
        <w:t xml:space="preserve"> </w:t>
      </w:r>
      <w:r w:rsidR="00A114FB">
        <w:rPr>
          <w:sz w:val="26"/>
          <w:szCs w:val="26"/>
        </w:rPr>
        <w:t xml:space="preserve">February </w:t>
      </w:r>
      <w:r w:rsidR="00784303">
        <w:rPr>
          <w:sz w:val="26"/>
          <w:szCs w:val="26"/>
        </w:rPr>
        <w:t>18</w:t>
      </w:r>
      <w:r w:rsidR="00A114FB">
        <w:rPr>
          <w:sz w:val="26"/>
          <w:szCs w:val="26"/>
        </w:rPr>
        <w:t>, 2021</w:t>
      </w:r>
    </w:p>
    <w:p w14:paraId="4EBF473C" w14:textId="77777777" w:rsidR="00F776A7" w:rsidRPr="00E9174E" w:rsidRDefault="00F776A7" w:rsidP="0012500C">
      <w:pPr>
        <w:keepNext/>
        <w:keepLines/>
        <w:widowControl/>
        <w:tabs>
          <w:tab w:val="left" w:pos="-720"/>
        </w:tabs>
        <w:suppressAutoHyphens/>
        <w:contextualSpacing/>
        <w:rPr>
          <w:sz w:val="26"/>
          <w:szCs w:val="26"/>
        </w:rPr>
      </w:pPr>
    </w:p>
    <w:p w14:paraId="1B1C9646" w14:textId="1A7B1DAA" w:rsidR="00F776A7" w:rsidRPr="00E9174E" w:rsidRDefault="00F776A7" w:rsidP="0012500C">
      <w:pPr>
        <w:keepNext/>
        <w:keepLines/>
        <w:widowControl/>
        <w:tabs>
          <w:tab w:val="left" w:pos="-720"/>
        </w:tabs>
        <w:suppressAutoHyphens/>
        <w:contextualSpacing/>
        <w:rPr>
          <w:sz w:val="26"/>
          <w:szCs w:val="26"/>
        </w:rPr>
      </w:pPr>
      <w:r w:rsidRPr="00E9174E">
        <w:rPr>
          <w:sz w:val="26"/>
          <w:szCs w:val="26"/>
        </w:rPr>
        <w:t xml:space="preserve">ORDER ENTERED:  </w:t>
      </w:r>
      <w:r w:rsidR="00784303">
        <w:rPr>
          <w:sz w:val="26"/>
          <w:szCs w:val="26"/>
        </w:rPr>
        <w:t>February 19, 2021</w:t>
      </w:r>
    </w:p>
    <w:p w14:paraId="0B25607E" w14:textId="420A2603" w:rsidR="00847DF3" w:rsidRPr="00344A5F" w:rsidRDefault="00847DF3" w:rsidP="0012500C">
      <w:pPr>
        <w:widowControl/>
        <w:tabs>
          <w:tab w:val="left" w:pos="-720"/>
        </w:tabs>
        <w:suppressAutoHyphens/>
        <w:contextualSpacing/>
        <w:rPr>
          <w:sz w:val="26"/>
          <w:szCs w:val="26"/>
        </w:rPr>
      </w:pPr>
    </w:p>
    <w:p w14:paraId="19396B00" w14:textId="77777777" w:rsidR="00191E88" w:rsidRPr="00344A5F" w:rsidRDefault="00191E88" w:rsidP="002F7509">
      <w:pPr>
        <w:widowControl/>
        <w:tabs>
          <w:tab w:val="left" w:pos="-720"/>
        </w:tabs>
        <w:suppressAutoHyphens/>
        <w:contextualSpacing/>
        <w:rPr>
          <w:sz w:val="26"/>
          <w:szCs w:val="26"/>
        </w:rPr>
        <w:sectPr w:rsidR="00191E88" w:rsidRPr="00344A5F" w:rsidSect="008077D8">
          <w:pgSz w:w="12240" w:h="15840"/>
          <w:pgMar w:top="1440" w:right="1440" w:bottom="1440" w:left="1440" w:header="720" w:footer="720" w:gutter="0"/>
          <w:pgNumType w:start="1"/>
          <w:cols w:space="720"/>
          <w:titlePg/>
          <w:docGrid w:linePitch="360"/>
        </w:sectPr>
      </w:pPr>
    </w:p>
    <w:p w14:paraId="74994198" w14:textId="77777777" w:rsidR="00892456" w:rsidRPr="00344A5F" w:rsidRDefault="00892456" w:rsidP="003A60DD">
      <w:pPr>
        <w:pStyle w:val="Heading1"/>
      </w:pPr>
      <w:bookmarkStart w:id="515" w:name="_Toc63764659"/>
      <w:r w:rsidRPr="00344A5F">
        <w:lastRenderedPageBreak/>
        <w:t>LIST OF ABBREVIATIONS</w:t>
      </w:r>
      <w:bookmarkEnd w:id="515"/>
    </w:p>
    <w:p w14:paraId="36765B35" w14:textId="77777777" w:rsidR="00892456" w:rsidRPr="00344A5F" w:rsidRDefault="00892456" w:rsidP="002F7509">
      <w:pPr>
        <w:jc w:val="center"/>
        <w:rPr>
          <w:sz w:val="26"/>
          <w:szCs w:val="26"/>
        </w:rPr>
      </w:pPr>
    </w:p>
    <w:p w14:paraId="7595C4CF" w14:textId="77777777" w:rsidR="00892456" w:rsidRPr="00344A5F" w:rsidRDefault="00892456" w:rsidP="002F7509">
      <w:pPr>
        <w:rPr>
          <w:sz w:val="26"/>
          <w:szCs w:val="26"/>
        </w:rPr>
      </w:pPr>
      <w:r w:rsidRPr="00344A5F">
        <w:rPr>
          <w:sz w:val="26"/>
          <w:szCs w:val="26"/>
        </w:rPr>
        <w:t>ACCOSS</w:t>
      </w:r>
      <w:r w:rsidRPr="00344A5F">
        <w:rPr>
          <w:sz w:val="26"/>
          <w:szCs w:val="26"/>
        </w:rPr>
        <w:tab/>
      </w:r>
      <w:r w:rsidRPr="00344A5F">
        <w:rPr>
          <w:sz w:val="26"/>
          <w:szCs w:val="26"/>
        </w:rPr>
        <w:tab/>
      </w:r>
      <w:r w:rsidRPr="00344A5F">
        <w:rPr>
          <w:rFonts w:eastAsiaTheme="majorEastAsia"/>
          <w:sz w:val="26"/>
          <w:szCs w:val="26"/>
        </w:rPr>
        <w:t>Allocated</w:t>
      </w:r>
      <w:r w:rsidRPr="00344A5F">
        <w:rPr>
          <w:sz w:val="26"/>
          <w:szCs w:val="26"/>
        </w:rPr>
        <w:t xml:space="preserve"> Class Cost of Service Study</w:t>
      </w:r>
    </w:p>
    <w:p w14:paraId="0DAC411F" w14:textId="77777777" w:rsidR="00892456" w:rsidRPr="00344A5F" w:rsidRDefault="00892456" w:rsidP="002F7509">
      <w:pPr>
        <w:rPr>
          <w:sz w:val="26"/>
          <w:szCs w:val="26"/>
        </w:rPr>
      </w:pPr>
      <w:r w:rsidRPr="00344A5F">
        <w:rPr>
          <w:sz w:val="26"/>
          <w:szCs w:val="26"/>
        </w:rPr>
        <w:t>ADIT</w:t>
      </w:r>
      <w:r w:rsidRPr="00344A5F">
        <w:rPr>
          <w:sz w:val="26"/>
          <w:szCs w:val="26"/>
        </w:rPr>
        <w:tab/>
      </w:r>
      <w:r w:rsidRPr="00344A5F">
        <w:rPr>
          <w:sz w:val="26"/>
          <w:szCs w:val="26"/>
        </w:rPr>
        <w:tab/>
      </w:r>
      <w:r w:rsidRPr="00344A5F">
        <w:rPr>
          <w:sz w:val="26"/>
          <w:szCs w:val="26"/>
        </w:rPr>
        <w:tab/>
        <w:t>accumulated deferred income taxes</w:t>
      </w:r>
    </w:p>
    <w:p w14:paraId="244B08EC" w14:textId="77777777" w:rsidR="00892456" w:rsidRPr="00344A5F" w:rsidRDefault="00892456" w:rsidP="002F7509">
      <w:pPr>
        <w:rPr>
          <w:sz w:val="26"/>
          <w:szCs w:val="26"/>
        </w:rPr>
      </w:pPr>
      <w:r w:rsidRPr="00344A5F">
        <w:rPr>
          <w:sz w:val="26"/>
          <w:szCs w:val="26"/>
        </w:rPr>
        <w:t>ALJ</w:t>
      </w:r>
      <w:r w:rsidRPr="00344A5F">
        <w:rPr>
          <w:sz w:val="26"/>
          <w:szCs w:val="26"/>
        </w:rPr>
        <w:tab/>
      </w:r>
      <w:r w:rsidRPr="00344A5F">
        <w:rPr>
          <w:sz w:val="26"/>
          <w:szCs w:val="26"/>
        </w:rPr>
        <w:tab/>
      </w:r>
      <w:r w:rsidRPr="00344A5F">
        <w:rPr>
          <w:sz w:val="26"/>
          <w:szCs w:val="26"/>
        </w:rPr>
        <w:tab/>
        <w:t xml:space="preserve">Administrative Law Judge </w:t>
      </w:r>
    </w:p>
    <w:p w14:paraId="6DA20439" w14:textId="77777777" w:rsidR="00892456" w:rsidRPr="00344A5F" w:rsidRDefault="00892456" w:rsidP="002F7509">
      <w:pPr>
        <w:rPr>
          <w:sz w:val="26"/>
          <w:szCs w:val="26"/>
        </w:rPr>
      </w:pPr>
      <w:r w:rsidRPr="00344A5F">
        <w:rPr>
          <w:sz w:val="26"/>
          <w:szCs w:val="26"/>
        </w:rPr>
        <w:t>BPS</w:t>
      </w:r>
      <w:r w:rsidRPr="00344A5F">
        <w:rPr>
          <w:sz w:val="26"/>
          <w:szCs w:val="26"/>
        </w:rPr>
        <w:tab/>
      </w:r>
      <w:r w:rsidRPr="00344A5F">
        <w:rPr>
          <w:sz w:val="26"/>
          <w:szCs w:val="26"/>
        </w:rPr>
        <w:tab/>
      </w:r>
      <w:r w:rsidRPr="00344A5F">
        <w:rPr>
          <w:sz w:val="26"/>
          <w:szCs w:val="26"/>
        </w:rPr>
        <w:tab/>
        <w:t>book value per share</w:t>
      </w:r>
    </w:p>
    <w:p w14:paraId="7B88EB46" w14:textId="77777777" w:rsidR="00892456" w:rsidRPr="00344A5F" w:rsidRDefault="00892456" w:rsidP="002F7509">
      <w:pPr>
        <w:rPr>
          <w:color w:val="000000"/>
          <w:sz w:val="26"/>
          <w:szCs w:val="26"/>
        </w:rPr>
      </w:pPr>
      <w:r w:rsidRPr="00344A5F">
        <w:rPr>
          <w:color w:val="000000"/>
          <w:sz w:val="26"/>
          <w:szCs w:val="26"/>
        </w:rPr>
        <w:t>C&amp;I</w:t>
      </w:r>
      <w:r w:rsidRPr="00344A5F">
        <w:rPr>
          <w:color w:val="000000"/>
          <w:sz w:val="26"/>
          <w:szCs w:val="26"/>
        </w:rPr>
        <w:tab/>
      </w:r>
      <w:r w:rsidRPr="00344A5F">
        <w:rPr>
          <w:color w:val="000000"/>
          <w:sz w:val="26"/>
          <w:szCs w:val="26"/>
        </w:rPr>
        <w:tab/>
      </w:r>
      <w:r w:rsidRPr="00344A5F">
        <w:rPr>
          <w:color w:val="000000"/>
          <w:sz w:val="26"/>
          <w:szCs w:val="26"/>
        </w:rPr>
        <w:tab/>
        <w:t>Commercial and Industrial</w:t>
      </w:r>
    </w:p>
    <w:p w14:paraId="4EB6E446" w14:textId="77777777" w:rsidR="00892456" w:rsidRPr="00344A5F" w:rsidRDefault="00892456" w:rsidP="002F7509">
      <w:pPr>
        <w:rPr>
          <w:sz w:val="26"/>
          <w:szCs w:val="26"/>
        </w:rPr>
      </w:pPr>
      <w:r w:rsidRPr="00344A5F">
        <w:rPr>
          <w:color w:val="000000"/>
          <w:sz w:val="26"/>
          <w:szCs w:val="26"/>
        </w:rPr>
        <w:t>CALJ</w:t>
      </w:r>
      <w:r w:rsidRPr="00344A5F">
        <w:rPr>
          <w:color w:val="000000"/>
          <w:sz w:val="26"/>
          <w:szCs w:val="26"/>
        </w:rPr>
        <w:tab/>
      </w:r>
      <w:r w:rsidRPr="00344A5F">
        <w:rPr>
          <w:color w:val="000000"/>
          <w:sz w:val="26"/>
          <w:szCs w:val="26"/>
        </w:rPr>
        <w:tab/>
      </w:r>
      <w:r w:rsidRPr="00344A5F">
        <w:rPr>
          <w:color w:val="000000"/>
          <w:sz w:val="26"/>
          <w:szCs w:val="26"/>
        </w:rPr>
        <w:tab/>
        <w:t>Chief Administrative Law Judge</w:t>
      </w:r>
    </w:p>
    <w:p w14:paraId="59603768" w14:textId="77777777" w:rsidR="00892456" w:rsidRPr="00344A5F" w:rsidRDefault="00892456" w:rsidP="002F7509">
      <w:pPr>
        <w:rPr>
          <w:sz w:val="26"/>
          <w:szCs w:val="26"/>
        </w:rPr>
      </w:pPr>
      <w:r w:rsidRPr="00344A5F">
        <w:rPr>
          <w:sz w:val="26"/>
          <w:szCs w:val="26"/>
        </w:rPr>
        <w:t>CAP</w:t>
      </w:r>
      <w:r w:rsidRPr="00344A5F">
        <w:rPr>
          <w:sz w:val="26"/>
          <w:szCs w:val="26"/>
        </w:rPr>
        <w:tab/>
      </w:r>
      <w:r w:rsidRPr="00344A5F">
        <w:rPr>
          <w:sz w:val="26"/>
          <w:szCs w:val="26"/>
        </w:rPr>
        <w:tab/>
      </w:r>
      <w:r w:rsidRPr="00344A5F">
        <w:rPr>
          <w:sz w:val="26"/>
          <w:szCs w:val="26"/>
        </w:rPr>
        <w:tab/>
        <w:t xml:space="preserve">Customer Assistance Program </w:t>
      </w:r>
    </w:p>
    <w:p w14:paraId="5B3A72C9" w14:textId="77777777" w:rsidR="00892456" w:rsidRPr="00344A5F" w:rsidRDefault="00892456" w:rsidP="002F7509">
      <w:pPr>
        <w:rPr>
          <w:sz w:val="26"/>
          <w:szCs w:val="26"/>
        </w:rPr>
      </w:pPr>
      <w:r w:rsidRPr="00344A5F">
        <w:rPr>
          <w:sz w:val="26"/>
          <w:szCs w:val="26"/>
        </w:rPr>
        <w:t>CAPM</w:t>
      </w:r>
      <w:r w:rsidRPr="00344A5F">
        <w:rPr>
          <w:sz w:val="26"/>
          <w:szCs w:val="26"/>
        </w:rPr>
        <w:tab/>
      </w:r>
      <w:r w:rsidRPr="00344A5F">
        <w:rPr>
          <w:sz w:val="26"/>
          <w:szCs w:val="26"/>
        </w:rPr>
        <w:tab/>
        <w:t>capital asset pricing model</w:t>
      </w:r>
    </w:p>
    <w:p w14:paraId="6C527956" w14:textId="77777777" w:rsidR="00892456" w:rsidRPr="00344A5F" w:rsidRDefault="00892456" w:rsidP="002F7509">
      <w:pPr>
        <w:rPr>
          <w:sz w:val="26"/>
          <w:szCs w:val="26"/>
        </w:rPr>
      </w:pPr>
      <w:r w:rsidRPr="00344A5F">
        <w:rPr>
          <w:sz w:val="26"/>
          <w:szCs w:val="26"/>
        </w:rPr>
        <w:t>CAUSE-PA</w:t>
      </w:r>
      <w:r w:rsidRPr="00344A5F">
        <w:rPr>
          <w:sz w:val="26"/>
          <w:szCs w:val="26"/>
        </w:rPr>
        <w:tab/>
      </w:r>
      <w:r w:rsidRPr="00344A5F">
        <w:rPr>
          <w:sz w:val="26"/>
          <w:szCs w:val="26"/>
        </w:rPr>
        <w:tab/>
        <w:t>Coalition for Affordable Utility Services and Energy Efficiency in PA</w:t>
      </w:r>
    </w:p>
    <w:p w14:paraId="3305BCCC" w14:textId="77777777" w:rsidR="00892456" w:rsidRPr="00344A5F" w:rsidRDefault="00892456" w:rsidP="002F7509">
      <w:pPr>
        <w:rPr>
          <w:sz w:val="26"/>
          <w:szCs w:val="26"/>
        </w:rPr>
      </w:pPr>
      <w:r w:rsidRPr="00344A5F">
        <w:rPr>
          <w:sz w:val="26"/>
          <w:szCs w:val="26"/>
        </w:rPr>
        <w:t>CE</w:t>
      </w:r>
      <w:r w:rsidRPr="00344A5F">
        <w:rPr>
          <w:sz w:val="26"/>
          <w:szCs w:val="26"/>
        </w:rPr>
        <w:tab/>
      </w:r>
      <w:r w:rsidRPr="00344A5F">
        <w:rPr>
          <w:sz w:val="26"/>
          <w:szCs w:val="26"/>
        </w:rPr>
        <w:tab/>
      </w:r>
      <w:r w:rsidRPr="00344A5F">
        <w:rPr>
          <w:sz w:val="26"/>
          <w:szCs w:val="26"/>
        </w:rPr>
        <w:tab/>
        <w:t>Comparable Earnings Method</w:t>
      </w:r>
    </w:p>
    <w:p w14:paraId="7E28AEF4" w14:textId="77777777" w:rsidR="00892456" w:rsidRPr="00344A5F" w:rsidRDefault="00892456" w:rsidP="002F7509">
      <w:pPr>
        <w:rPr>
          <w:sz w:val="26"/>
          <w:szCs w:val="26"/>
        </w:rPr>
      </w:pPr>
      <w:r w:rsidRPr="00344A5F">
        <w:rPr>
          <w:sz w:val="26"/>
          <w:szCs w:val="26"/>
        </w:rPr>
        <w:t>CG</w:t>
      </w:r>
      <w:r w:rsidRPr="00344A5F">
        <w:rPr>
          <w:sz w:val="26"/>
          <w:szCs w:val="26"/>
        </w:rPr>
        <w:tab/>
      </w:r>
      <w:r w:rsidRPr="00344A5F">
        <w:rPr>
          <w:sz w:val="26"/>
          <w:szCs w:val="26"/>
        </w:rPr>
        <w:tab/>
      </w:r>
      <w:r w:rsidRPr="00344A5F">
        <w:rPr>
          <w:sz w:val="26"/>
          <w:szCs w:val="26"/>
        </w:rPr>
        <w:tab/>
        <w:t xml:space="preserve">Columbia Gas </w:t>
      </w:r>
    </w:p>
    <w:p w14:paraId="79CCC677" w14:textId="77777777" w:rsidR="00892456" w:rsidRPr="00344A5F" w:rsidRDefault="00892456" w:rsidP="002F7509">
      <w:pPr>
        <w:rPr>
          <w:rFonts w:eastAsia="Calibri"/>
          <w:sz w:val="26"/>
          <w:szCs w:val="26"/>
        </w:rPr>
      </w:pPr>
      <w:r w:rsidRPr="00344A5F">
        <w:rPr>
          <w:rFonts w:eastAsia="Calibri"/>
          <w:sz w:val="26"/>
          <w:szCs w:val="26"/>
        </w:rPr>
        <w:t>CNIT</w:t>
      </w:r>
      <w:r w:rsidRPr="00344A5F">
        <w:rPr>
          <w:rFonts w:eastAsia="Calibri"/>
          <w:sz w:val="26"/>
          <w:szCs w:val="26"/>
        </w:rPr>
        <w:tab/>
      </w:r>
      <w:r w:rsidRPr="00344A5F">
        <w:rPr>
          <w:rFonts w:eastAsia="Calibri"/>
          <w:sz w:val="26"/>
          <w:szCs w:val="26"/>
        </w:rPr>
        <w:tab/>
      </w:r>
      <w:r w:rsidRPr="00344A5F">
        <w:rPr>
          <w:rFonts w:eastAsia="Calibri"/>
          <w:sz w:val="26"/>
          <w:szCs w:val="26"/>
        </w:rPr>
        <w:tab/>
        <w:t>Corporate Net Income Tax or state income tax</w:t>
      </w:r>
    </w:p>
    <w:p w14:paraId="3FE6BEF0" w14:textId="77777777" w:rsidR="00892456" w:rsidRPr="00344A5F" w:rsidRDefault="00892456" w:rsidP="002F7509">
      <w:pPr>
        <w:rPr>
          <w:sz w:val="26"/>
          <w:szCs w:val="26"/>
        </w:rPr>
      </w:pPr>
      <w:r w:rsidRPr="00344A5F">
        <w:rPr>
          <w:sz w:val="26"/>
          <w:szCs w:val="26"/>
        </w:rPr>
        <w:t>DCF</w:t>
      </w:r>
      <w:r w:rsidRPr="00344A5F">
        <w:rPr>
          <w:sz w:val="26"/>
          <w:szCs w:val="26"/>
        </w:rPr>
        <w:tab/>
      </w:r>
      <w:r w:rsidRPr="00344A5F">
        <w:rPr>
          <w:sz w:val="26"/>
          <w:szCs w:val="26"/>
        </w:rPr>
        <w:tab/>
      </w:r>
      <w:r w:rsidRPr="00344A5F">
        <w:rPr>
          <w:sz w:val="26"/>
          <w:szCs w:val="26"/>
        </w:rPr>
        <w:tab/>
        <w:t>discounted cash flow</w:t>
      </w:r>
    </w:p>
    <w:p w14:paraId="1237D2D5" w14:textId="77777777" w:rsidR="00892456" w:rsidRPr="00344A5F" w:rsidRDefault="00892456" w:rsidP="002F7509">
      <w:pPr>
        <w:rPr>
          <w:sz w:val="26"/>
          <w:szCs w:val="26"/>
        </w:rPr>
      </w:pPr>
      <w:r w:rsidRPr="00344A5F">
        <w:rPr>
          <w:sz w:val="26"/>
          <w:szCs w:val="26"/>
        </w:rPr>
        <w:t>DIMP</w:t>
      </w:r>
      <w:r w:rsidRPr="00344A5F">
        <w:rPr>
          <w:sz w:val="26"/>
          <w:szCs w:val="26"/>
        </w:rPr>
        <w:tab/>
      </w:r>
      <w:r w:rsidRPr="00344A5F">
        <w:rPr>
          <w:sz w:val="26"/>
          <w:szCs w:val="26"/>
        </w:rPr>
        <w:tab/>
      </w:r>
      <w:r w:rsidRPr="00344A5F">
        <w:rPr>
          <w:sz w:val="26"/>
          <w:szCs w:val="26"/>
        </w:rPr>
        <w:tab/>
        <w:t>Distribution Integrity Management Program</w:t>
      </w:r>
    </w:p>
    <w:p w14:paraId="02A00076" w14:textId="77777777" w:rsidR="00892456" w:rsidRPr="00344A5F" w:rsidRDefault="00892456" w:rsidP="002F7509">
      <w:pPr>
        <w:rPr>
          <w:sz w:val="26"/>
          <w:szCs w:val="26"/>
        </w:rPr>
      </w:pPr>
      <w:r w:rsidRPr="00344A5F">
        <w:rPr>
          <w:sz w:val="26"/>
          <w:szCs w:val="26"/>
        </w:rPr>
        <w:t>DPS</w:t>
      </w:r>
      <w:r w:rsidRPr="00344A5F">
        <w:rPr>
          <w:sz w:val="26"/>
          <w:szCs w:val="26"/>
        </w:rPr>
        <w:tab/>
      </w:r>
      <w:r w:rsidRPr="00344A5F">
        <w:rPr>
          <w:sz w:val="26"/>
          <w:szCs w:val="26"/>
        </w:rPr>
        <w:tab/>
      </w:r>
      <w:r w:rsidRPr="00344A5F">
        <w:rPr>
          <w:sz w:val="26"/>
          <w:szCs w:val="26"/>
        </w:rPr>
        <w:tab/>
        <w:t>dividends per share</w:t>
      </w:r>
    </w:p>
    <w:p w14:paraId="4F3E627E" w14:textId="77777777" w:rsidR="00892456" w:rsidRPr="00344A5F" w:rsidRDefault="00892456" w:rsidP="002F7509">
      <w:pPr>
        <w:rPr>
          <w:sz w:val="26"/>
          <w:szCs w:val="26"/>
        </w:rPr>
      </w:pPr>
      <w:r w:rsidRPr="00344A5F">
        <w:rPr>
          <w:sz w:val="26"/>
          <w:szCs w:val="26"/>
        </w:rPr>
        <w:t>DSIC</w:t>
      </w:r>
      <w:r w:rsidRPr="00344A5F">
        <w:rPr>
          <w:sz w:val="26"/>
          <w:szCs w:val="26"/>
        </w:rPr>
        <w:tab/>
      </w:r>
      <w:r w:rsidRPr="00344A5F">
        <w:rPr>
          <w:sz w:val="26"/>
          <w:szCs w:val="26"/>
        </w:rPr>
        <w:tab/>
      </w:r>
      <w:r w:rsidRPr="00344A5F">
        <w:rPr>
          <w:sz w:val="26"/>
          <w:szCs w:val="26"/>
        </w:rPr>
        <w:tab/>
        <w:t>Distribution System Improvement Charge</w:t>
      </w:r>
    </w:p>
    <w:p w14:paraId="27555B63" w14:textId="77777777" w:rsidR="00892456" w:rsidRPr="00344A5F" w:rsidRDefault="00892456" w:rsidP="002F7509">
      <w:pPr>
        <w:rPr>
          <w:sz w:val="26"/>
          <w:szCs w:val="26"/>
        </w:rPr>
      </w:pPr>
      <w:r w:rsidRPr="00344A5F">
        <w:rPr>
          <w:sz w:val="26"/>
          <w:szCs w:val="26"/>
        </w:rPr>
        <w:t>EDC</w:t>
      </w:r>
      <w:r w:rsidRPr="00344A5F">
        <w:rPr>
          <w:sz w:val="26"/>
          <w:szCs w:val="26"/>
        </w:rPr>
        <w:tab/>
      </w:r>
      <w:r w:rsidRPr="00344A5F">
        <w:rPr>
          <w:sz w:val="26"/>
          <w:szCs w:val="26"/>
        </w:rPr>
        <w:tab/>
      </w:r>
      <w:r w:rsidRPr="00344A5F">
        <w:rPr>
          <w:sz w:val="26"/>
          <w:szCs w:val="26"/>
        </w:rPr>
        <w:tab/>
        <w:t>electric distribution company</w:t>
      </w:r>
    </w:p>
    <w:p w14:paraId="109FA6C1" w14:textId="77777777" w:rsidR="00892456" w:rsidRPr="00344A5F" w:rsidRDefault="00892456" w:rsidP="002F7509">
      <w:pPr>
        <w:rPr>
          <w:sz w:val="26"/>
          <w:szCs w:val="26"/>
        </w:rPr>
      </w:pPr>
      <w:r w:rsidRPr="00344A5F">
        <w:rPr>
          <w:sz w:val="26"/>
          <w:szCs w:val="26"/>
        </w:rPr>
        <w:t>EPS</w:t>
      </w:r>
      <w:r w:rsidRPr="00344A5F">
        <w:rPr>
          <w:sz w:val="26"/>
          <w:szCs w:val="26"/>
        </w:rPr>
        <w:tab/>
      </w:r>
      <w:r w:rsidRPr="00344A5F">
        <w:rPr>
          <w:sz w:val="26"/>
          <w:szCs w:val="26"/>
        </w:rPr>
        <w:tab/>
      </w:r>
      <w:r w:rsidRPr="00344A5F">
        <w:rPr>
          <w:sz w:val="26"/>
          <w:szCs w:val="26"/>
        </w:rPr>
        <w:tab/>
        <w:t>earnings per share</w:t>
      </w:r>
    </w:p>
    <w:p w14:paraId="57CD0005" w14:textId="77777777" w:rsidR="00892456" w:rsidRPr="00344A5F" w:rsidRDefault="00892456" w:rsidP="002F7509">
      <w:pPr>
        <w:rPr>
          <w:rFonts w:eastAsia="Calibri"/>
          <w:sz w:val="26"/>
          <w:szCs w:val="26"/>
        </w:rPr>
      </w:pPr>
      <w:r w:rsidRPr="00344A5F">
        <w:rPr>
          <w:rFonts w:eastAsia="Calibri"/>
          <w:sz w:val="26"/>
          <w:szCs w:val="26"/>
        </w:rPr>
        <w:t>FICA</w:t>
      </w:r>
      <w:r w:rsidRPr="00344A5F">
        <w:rPr>
          <w:rFonts w:eastAsia="Calibri"/>
          <w:sz w:val="26"/>
          <w:szCs w:val="26"/>
        </w:rPr>
        <w:tab/>
      </w:r>
      <w:r w:rsidRPr="00344A5F">
        <w:rPr>
          <w:rFonts w:eastAsia="Calibri"/>
          <w:sz w:val="26"/>
          <w:szCs w:val="26"/>
        </w:rPr>
        <w:tab/>
      </w:r>
      <w:r w:rsidRPr="00344A5F">
        <w:rPr>
          <w:rFonts w:eastAsia="Calibri"/>
          <w:sz w:val="26"/>
          <w:szCs w:val="26"/>
        </w:rPr>
        <w:tab/>
        <w:t>Federal Insurance Contributions Act</w:t>
      </w:r>
    </w:p>
    <w:p w14:paraId="6E86ABB6" w14:textId="77777777" w:rsidR="00892456" w:rsidRPr="00344A5F" w:rsidRDefault="00892456" w:rsidP="002F7509">
      <w:pPr>
        <w:rPr>
          <w:sz w:val="26"/>
          <w:szCs w:val="26"/>
        </w:rPr>
      </w:pPr>
      <w:r w:rsidRPr="00344A5F">
        <w:rPr>
          <w:sz w:val="26"/>
          <w:szCs w:val="26"/>
        </w:rPr>
        <w:t>FPFTY</w:t>
      </w:r>
      <w:r w:rsidRPr="00344A5F">
        <w:rPr>
          <w:sz w:val="26"/>
          <w:szCs w:val="26"/>
        </w:rPr>
        <w:tab/>
      </w:r>
      <w:r w:rsidRPr="00344A5F">
        <w:rPr>
          <w:sz w:val="26"/>
          <w:szCs w:val="26"/>
        </w:rPr>
        <w:tab/>
        <w:t>fully projected future test year</w:t>
      </w:r>
    </w:p>
    <w:p w14:paraId="3F765489" w14:textId="77777777" w:rsidR="00892456" w:rsidRPr="00344A5F" w:rsidRDefault="00892456" w:rsidP="002F7509">
      <w:pPr>
        <w:rPr>
          <w:sz w:val="26"/>
          <w:szCs w:val="26"/>
        </w:rPr>
      </w:pPr>
      <w:r w:rsidRPr="00344A5F">
        <w:rPr>
          <w:sz w:val="26"/>
          <w:szCs w:val="26"/>
        </w:rPr>
        <w:t>FTY</w:t>
      </w:r>
      <w:r w:rsidRPr="00344A5F">
        <w:rPr>
          <w:sz w:val="26"/>
          <w:szCs w:val="26"/>
        </w:rPr>
        <w:tab/>
      </w:r>
      <w:r w:rsidRPr="00344A5F">
        <w:rPr>
          <w:sz w:val="26"/>
          <w:szCs w:val="26"/>
        </w:rPr>
        <w:tab/>
      </w:r>
      <w:r w:rsidRPr="00344A5F">
        <w:rPr>
          <w:sz w:val="26"/>
          <w:szCs w:val="26"/>
        </w:rPr>
        <w:tab/>
        <w:t>future test year</w:t>
      </w:r>
    </w:p>
    <w:p w14:paraId="3995E981" w14:textId="77777777" w:rsidR="00892456" w:rsidRPr="00344A5F" w:rsidRDefault="00892456" w:rsidP="002F7509">
      <w:pPr>
        <w:rPr>
          <w:sz w:val="26"/>
          <w:szCs w:val="26"/>
        </w:rPr>
      </w:pPr>
      <w:r w:rsidRPr="00344A5F">
        <w:rPr>
          <w:sz w:val="26"/>
          <w:szCs w:val="26"/>
        </w:rPr>
        <w:t>GPC</w:t>
      </w:r>
      <w:r w:rsidRPr="00344A5F">
        <w:rPr>
          <w:sz w:val="26"/>
          <w:szCs w:val="26"/>
        </w:rPr>
        <w:tab/>
      </w:r>
      <w:r w:rsidRPr="00344A5F">
        <w:rPr>
          <w:sz w:val="26"/>
          <w:szCs w:val="26"/>
        </w:rPr>
        <w:tab/>
      </w:r>
      <w:r w:rsidRPr="00344A5F">
        <w:rPr>
          <w:sz w:val="26"/>
          <w:szCs w:val="26"/>
        </w:rPr>
        <w:tab/>
        <w:t>Gas Procurement Charge</w:t>
      </w:r>
    </w:p>
    <w:p w14:paraId="472BDC9E" w14:textId="77777777" w:rsidR="00892456" w:rsidRPr="00344A5F" w:rsidRDefault="00892456" w:rsidP="002F7509">
      <w:pPr>
        <w:rPr>
          <w:sz w:val="26"/>
          <w:szCs w:val="26"/>
        </w:rPr>
      </w:pPr>
      <w:r w:rsidRPr="00344A5F">
        <w:rPr>
          <w:sz w:val="26"/>
          <w:szCs w:val="26"/>
        </w:rPr>
        <w:t>HTY</w:t>
      </w:r>
      <w:r w:rsidRPr="00344A5F">
        <w:rPr>
          <w:sz w:val="26"/>
          <w:szCs w:val="26"/>
        </w:rPr>
        <w:tab/>
      </w:r>
      <w:r w:rsidRPr="00344A5F">
        <w:rPr>
          <w:sz w:val="26"/>
          <w:szCs w:val="26"/>
        </w:rPr>
        <w:tab/>
      </w:r>
      <w:r w:rsidRPr="00344A5F">
        <w:rPr>
          <w:sz w:val="26"/>
          <w:szCs w:val="26"/>
        </w:rPr>
        <w:tab/>
        <w:t>historic test year</w:t>
      </w:r>
    </w:p>
    <w:p w14:paraId="78BB82AB" w14:textId="77777777" w:rsidR="00892456" w:rsidRPr="00344A5F" w:rsidRDefault="00892456" w:rsidP="002F7509">
      <w:pPr>
        <w:rPr>
          <w:sz w:val="26"/>
          <w:szCs w:val="26"/>
        </w:rPr>
      </w:pPr>
      <w:r w:rsidRPr="00344A5F">
        <w:rPr>
          <w:sz w:val="26"/>
          <w:szCs w:val="26"/>
        </w:rPr>
        <w:t>I&amp;E</w:t>
      </w:r>
      <w:r w:rsidRPr="00344A5F">
        <w:rPr>
          <w:sz w:val="26"/>
          <w:szCs w:val="26"/>
        </w:rPr>
        <w:tab/>
      </w:r>
      <w:r w:rsidRPr="00344A5F">
        <w:rPr>
          <w:sz w:val="26"/>
          <w:szCs w:val="26"/>
        </w:rPr>
        <w:tab/>
      </w:r>
      <w:r w:rsidRPr="00344A5F">
        <w:rPr>
          <w:sz w:val="26"/>
          <w:szCs w:val="26"/>
        </w:rPr>
        <w:tab/>
        <w:t>Bureau of Investigation and Enforcement</w:t>
      </w:r>
    </w:p>
    <w:p w14:paraId="4C90E231" w14:textId="77777777" w:rsidR="00892456" w:rsidRPr="00344A5F" w:rsidRDefault="00892456" w:rsidP="002F7509">
      <w:pPr>
        <w:rPr>
          <w:sz w:val="26"/>
          <w:szCs w:val="26"/>
        </w:rPr>
      </w:pPr>
      <w:r w:rsidRPr="00344A5F">
        <w:rPr>
          <w:sz w:val="26"/>
          <w:szCs w:val="26"/>
        </w:rPr>
        <w:t>LIHEAP</w:t>
      </w:r>
      <w:r w:rsidRPr="00344A5F">
        <w:rPr>
          <w:sz w:val="26"/>
          <w:szCs w:val="26"/>
        </w:rPr>
        <w:tab/>
      </w:r>
      <w:r w:rsidRPr="00344A5F">
        <w:rPr>
          <w:sz w:val="26"/>
          <w:szCs w:val="26"/>
        </w:rPr>
        <w:tab/>
        <w:t>Low Income Energy Assistance Program</w:t>
      </w:r>
    </w:p>
    <w:p w14:paraId="6D42463E" w14:textId="77777777" w:rsidR="00892456" w:rsidRPr="00344A5F" w:rsidRDefault="00892456" w:rsidP="002F7509">
      <w:pPr>
        <w:rPr>
          <w:sz w:val="26"/>
          <w:szCs w:val="26"/>
        </w:rPr>
      </w:pPr>
      <w:r w:rsidRPr="00344A5F">
        <w:rPr>
          <w:sz w:val="26"/>
          <w:szCs w:val="26"/>
        </w:rPr>
        <w:t>LIURP</w:t>
      </w:r>
      <w:r w:rsidRPr="00344A5F">
        <w:rPr>
          <w:sz w:val="26"/>
          <w:szCs w:val="26"/>
        </w:rPr>
        <w:tab/>
      </w:r>
      <w:r w:rsidRPr="00344A5F">
        <w:rPr>
          <w:sz w:val="26"/>
          <w:szCs w:val="26"/>
        </w:rPr>
        <w:tab/>
        <w:t>Low Income Usage Reduction Program</w:t>
      </w:r>
    </w:p>
    <w:p w14:paraId="228DAD90" w14:textId="77777777" w:rsidR="00892456" w:rsidRPr="00344A5F" w:rsidRDefault="00892456" w:rsidP="002F7509">
      <w:pPr>
        <w:rPr>
          <w:sz w:val="26"/>
          <w:szCs w:val="26"/>
        </w:rPr>
      </w:pPr>
      <w:r w:rsidRPr="00344A5F">
        <w:rPr>
          <w:sz w:val="26"/>
          <w:szCs w:val="26"/>
        </w:rPr>
        <w:t>LPG</w:t>
      </w:r>
      <w:r w:rsidRPr="00344A5F">
        <w:rPr>
          <w:sz w:val="26"/>
          <w:szCs w:val="26"/>
        </w:rPr>
        <w:tab/>
      </w:r>
      <w:r w:rsidRPr="00344A5F">
        <w:rPr>
          <w:sz w:val="26"/>
          <w:szCs w:val="26"/>
        </w:rPr>
        <w:tab/>
      </w:r>
      <w:r w:rsidRPr="00344A5F">
        <w:rPr>
          <w:sz w:val="26"/>
          <w:szCs w:val="26"/>
        </w:rPr>
        <w:tab/>
        <w:t>liquid propane gas</w:t>
      </w:r>
    </w:p>
    <w:p w14:paraId="30483CAA" w14:textId="77777777" w:rsidR="00892456" w:rsidRPr="00344A5F" w:rsidRDefault="00892456" w:rsidP="002F7509">
      <w:pPr>
        <w:rPr>
          <w:sz w:val="26"/>
          <w:szCs w:val="26"/>
        </w:rPr>
      </w:pPr>
      <w:r w:rsidRPr="00344A5F">
        <w:rPr>
          <w:sz w:val="26"/>
          <w:szCs w:val="26"/>
        </w:rPr>
        <w:t>LTIIP</w:t>
      </w:r>
      <w:r w:rsidRPr="00344A5F">
        <w:rPr>
          <w:sz w:val="26"/>
          <w:szCs w:val="26"/>
        </w:rPr>
        <w:tab/>
      </w:r>
      <w:r w:rsidRPr="00344A5F">
        <w:rPr>
          <w:sz w:val="26"/>
          <w:szCs w:val="26"/>
        </w:rPr>
        <w:tab/>
      </w:r>
      <w:r w:rsidRPr="00344A5F">
        <w:rPr>
          <w:sz w:val="26"/>
          <w:szCs w:val="26"/>
        </w:rPr>
        <w:tab/>
        <w:t>Long Term Infrastructure Improvement Plan</w:t>
      </w:r>
    </w:p>
    <w:p w14:paraId="5E4C06F2" w14:textId="77777777" w:rsidR="00892456" w:rsidRPr="00344A5F" w:rsidRDefault="00892456" w:rsidP="002F7509">
      <w:pPr>
        <w:rPr>
          <w:sz w:val="26"/>
          <w:szCs w:val="26"/>
        </w:rPr>
      </w:pPr>
      <w:r w:rsidRPr="00344A5F">
        <w:rPr>
          <w:sz w:val="26"/>
          <w:szCs w:val="26"/>
        </w:rPr>
        <w:t>NGDC</w:t>
      </w:r>
      <w:r w:rsidRPr="00344A5F">
        <w:rPr>
          <w:sz w:val="26"/>
          <w:szCs w:val="26"/>
        </w:rPr>
        <w:tab/>
      </w:r>
      <w:r w:rsidRPr="00344A5F">
        <w:rPr>
          <w:sz w:val="26"/>
          <w:szCs w:val="26"/>
        </w:rPr>
        <w:tab/>
        <w:t>natural gas distribution company</w:t>
      </w:r>
    </w:p>
    <w:p w14:paraId="25B34CCE" w14:textId="77777777" w:rsidR="00892456" w:rsidRPr="00344A5F" w:rsidRDefault="00892456" w:rsidP="002F7509">
      <w:pPr>
        <w:rPr>
          <w:sz w:val="26"/>
          <w:szCs w:val="26"/>
        </w:rPr>
      </w:pPr>
      <w:r w:rsidRPr="00344A5F">
        <w:rPr>
          <w:sz w:val="26"/>
          <w:szCs w:val="26"/>
        </w:rPr>
        <w:t>O&amp;M</w:t>
      </w:r>
      <w:r w:rsidRPr="00344A5F">
        <w:rPr>
          <w:sz w:val="26"/>
          <w:szCs w:val="26"/>
        </w:rPr>
        <w:tab/>
      </w:r>
      <w:r w:rsidRPr="00344A5F">
        <w:rPr>
          <w:sz w:val="26"/>
          <w:szCs w:val="26"/>
        </w:rPr>
        <w:tab/>
      </w:r>
      <w:r w:rsidRPr="00344A5F">
        <w:rPr>
          <w:sz w:val="26"/>
          <w:szCs w:val="26"/>
        </w:rPr>
        <w:tab/>
        <w:t>Operations and Maintenance</w:t>
      </w:r>
    </w:p>
    <w:p w14:paraId="6A963AF9" w14:textId="77777777" w:rsidR="00892456" w:rsidRPr="00344A5F" w:rsidRDefault="00892456" w:rsidP="002F7509">
      <w:pPr>
        <w:rPr>
          <w:sz w:val="26"/>
          <w:szCs w:val="26"/>
        </w:rPr>
      </w:pPr>
      <w:r w:rsidRPr="00344A5F">
        <w:rPr>
          <w:sz w:val="26"/>
          <w:szCs w:val="26"/>
        </w:rPr>
        <w:t>OALJ</w:t>
      </w:r>
      <w:r w:rsidRPr="00344A5F">
        <w:rPr>
          <w:sz w:val="26"/>
          <w:szCs w:val="26"/>
        </w:rPr>
        <w:tab/>
      </w:r>
      <w:r w:rsidRPr="00344A5F">
        <w:rPr>
          <w:sz w:val="26"/>
          <w:szCs w:val="26"/>
        </w:rPr>
        <w:tab/>
      </w:r>
      <w:r w:rsidRPr="00344A5F">
        <w:rPr>
          <w:sz w:val="26"/>
          <w:szCs w:val="26"/>
        </w:rPr>
        <w:tab/>
        <w:t>Office of Administrative Law Judge</w:t>
      </w:r>
    </w:p>
    <w:p w14:paraId="20614EE1" w14:textId="77777777" w:rsidR="00892456" w:rsidRPr="00344A5F" w:rsidRDefault="00892456" w:rsidP="002F7509">
      <w:pPr>
        <w:rPr>
          <w:sz w:val="26"/>
          <w:szCs w:val="26"/>
        </w:rPr>
      </w:pPr>
      <w:r w:rsidRPr="00344A5F">
        <w:rPr>
          <w:sz w:val="26"/>
          <w:szCs w:val="26"/>
        </w:rPr>
        <w:t>OCA</w:t>
      </w:r>
      <w:r w:rsidRPr="00344A5F">
        <w:rPr>
          <w:sz w:val="26"/>
          <w:szCs w:val="26"/>
        </w:rPr>
        <w:tab/>
      </w:r>
      <w:r w:rsidRPr="00344A5F">
        <w:rPr>
          <w:sz w:val="26"/>
          <w:szCs w:val="26"/>
        </w:rPr>
        <w:tab/>
      </w:r>
      <w:r w:rsidRPr="00344A5F">
        <w:rPr>
          <w:sz w:val="26"/>
          <w:szCs w:val="26"/>
        </w:rPr>
        <w:tab/>
        <w:t>Office of Consumer Advocate</w:t>
      </w:r>
    </w:p>
    <w:p w14:paraId="501BE135" w14:textId="77777777" w:rsidR="00892456" w:rsidRPr="00344A5F" w:rsidRDefault="00892456" w:rsidP="002F7509">
      <w:pPr>
        <w:rPr>
          <w:sz w:val="26"/>
          <w:szCs w:val="26"/>
        </w:rPr>
      </w:pPr>
      <w:r w:rsidRPr="00344A5F">
        <w:rPr>
          <w:sz w:val="26"/>
          <w:szCs w:val="26"/>
        </w:rPr>
        <w:t>OSBA</w:t>
      </w:r>
      <w:r w:rsidRPr="00344A5F">
        <w:rPr>
          <w:sz w:val="26"/>
          <w:szCs w:val="26"/>
        </w:rPr>
        <w:tab/>
      </w:r>
      <w:r w:rsidRPr="00344A5F">
        <w:rPr>
          <w:sz w:val="26"/>
          <w:szCs w:val="26"/>
        </w:rPr>
        <w:tab/>
      </w:r>
      <w:r w:rsidRPr="00344A5F">
        <w:rPr>
          <w:sz w:val="26"/>
          <w:szCs w:val="26"/>
        </w:rPr>
        <w:tab/>
        <w:t>Office of Small Business Advocate</w:t>
      </w:r>
    </w:p>
    <w:p w14:paraId="589B956E" w14:textId="77777777" w:rsidR="00892456" w:rsidRPr="00344A5F" w:rsidRDefault="00892456" w:rsidP="002F7509">
      <w:pPr>
        <w:rPr>
          <w:sz w:val="26"/>
          <w:szCs w:val="26"/>
        </w:rPr>
      </w:pPr>
      <w:r w:rsidRPr="00344A5F">
        <w:rPr>
          <w:sz w:val="26"/>
          <w:szCs w:val="26"/>
        </w:rPr>
        <w:t>PAR</w:t>
      </w:r>
      <w:r w:rsidRPr="00344A5F">
        <w:rPr>
          <w:sz w:val="26"/>
          <w:szCs w:val="26"/>
        </w:rPr>
        <w:tab/>
      </w:r>
      <w:r w:rsidRPr="00344A5F">
        <w:rPr>
          <w:sz w:val="26"/>
          <w:szCs w:val="26"/>
        </w:rPr>
        <w:tab/>
      </w:r>
      <w:r w:rsidRPr="00344A5F">
        <w:rPr>
          <w:sz w:val="26"/>
          <w:szCs w:val="26"/>
        </w:rPr>
        <w:tab/>
        <w:t>Payment Arrangement Request</w:t>
      </w:r>
    </w:p>
    <w:p w14:paraId="63C07B5E" w14:textId="77777777" w:rsidR="00892456" w:rsidRPr="00344A5F" w:rsidRDefault="00892456" w:rsidP="002F7509">
      <w:pPr>
        <w:rPr>
          <w:sz w:val="26"/>
          <w:szCs w:val="26"/>
        </w:rPr>
      </w:pPr>
      <w:r w:rsidRPr="00344A5F">
        <w:rPr>
          <w:sz w:val="26"/>
          <w:szCs w:val="26"/>
        </w:rPr>
        <w:t>PHMSA</w:t>
      </w:r>
      <w:r w:rsidRPr="00344A5F">
        <w:rPr>
          <w:sz w:val="26"/>
          <w:szCs w:val="26"/>
        </w:rPr>
        <w:tab/>
      </w:r>
      <w:r w:rsidRPr="00344A5F">
        <w:rPr>
          <w:sz w:val="26"/>
          <w:szCs w:val="26"/>
        </w:rPr>
        <w:tab/>
        <w:t>Pipeline and Hazardous Materials Safety Administration</w:t>
      </w:r>
    </w:p>
    <w:p w14:paraId="6A49C041" w14:textId="77777777" w:rsidR="00892456" w:rsidRPr="00344A5F" w:rsidRDefault="00892456" w:rsidP="002F7509">
      <w:pPr>
        <w:rPr>
          <w:sz w:val="26"/>
          <w:szCs w:val="26"/>
        </w:rPr>
      </w:pPr>
      <w:r w:rsidRPr="00344A5F">
        <w:rPr>
          <w:sz w:val="26"/>
          <w:szCs w:val="26"/>
        </w:rPr>
        <w:t>PIP</w:t>
      </w:r>
      <w:r w:rsidRPr="00344A5F">
        <w:rPr>
          <w:sz w:val="26"/>
          <w:szCs w:val="26"/>
        </w:rPr>
        <w:tab/>
      </w:r>
      <w:r w:rsidRPr="00344A5F">
        <w:rPr>
          <w:sz w:val="26"/>
          <w:szCs w:val="26"/>
        </w:rPr>
        <w:tab/>
      </w:r>
      <w:r w:rsidRPr="00344A5F">
        <w:rPr>
          <w:sz w:val="26"/>
          <w:szCs w:val="26"/>
        </w:rPr>
        <w:tab/>
        <w:t>Percentage of Income Payment</w:t>
      </w:r>
    </w:p>
    <w:p w14:paraId="2A61682A" w14:textId="77777777" w:rsidR="00892456" w:rsidRPr="00344A5F" w:rsidRDefault="00892456" w:rsidP="002F7509">
      <w:pPr>
        <w:rPr>
          <w:sz w:val="26"/>
          <w:szCs w:val="26"/>
        </w:rPr>
      </w:pPr>
      <w:r w:rsidRPr="00344A5F">
        <w:rPr>
          <w:sz w:val="26"/>
          <w:szCs w:val="26"/>
        </w:rPr>
        <w:t>PSU</w:t>
      </w:r>
      <w:r w:rsidRPr="00344A5F">
        <w:rPr>
          <w:sz w:val="26"/>
          <w:szCs w:val="26"/>
        </w:rPr>
        <w:tab/>
      </w:r>
      <w:r w:rsidRPr="00344A5F">
        <w:rPr>
          <w:sz w:val="26"/>
          <w:szCs w:val="26"/>
        </w:rPr>
        <w:tab/>
      </w:r>
      <w:r w:rsidRPr="00344A5F">
        <w:rPr>
          <w:sz w:val="26"/>
          <w:szCs w:val="26"/>
        </w:rPr>
        <w:tab/>
        <w:t xml:space="preserve">Pennsylvania State University </w:t>
      </w:r>
    </w:p>
    <w:p w14:paraId="75E5D1F8" w14:textId="77777777" w:rsidR="00892456" w:rsidRPr="00344A5F" w:rsidRDefault="00892456" w:rsidP="002F7509">
      <w:pPr>
        <w:rPr>
          <w:sz w:val="26"/>
          <w:szCs w:val="26"/>
        </w:rPr>
      </w:pPr>
      <w:r w:rsidRPr="00344A5F">
        <w:rPr>
          <w:sz w:val="26"/>
          <w:szCs w:val="26"/>
        </w:rPr>
        <w:t>RNA</w:t>
      </w:r>
      <w:r w:rsidRPr="00344A5F">
        <w:rPr>
          <w:sz w:val="26"/>
          <w:szCs w:val="26"/>
        </w:rPr>
        <w:tab/>
      </w:r>
      <w:r w:rsidRPr="00344A5F">
        <w:rPr>
          <w:sz w:val="26"/>
          <w:szCs w:val="26"/>
        </w:rPr>
        <w:tab/>
      </w:r>
      <w:r w:rsidRPr="00344A5F">
        <w:rPr>
          <w:sz w:val="26"/>
          <w:szCs w:val="26"/>
        </w:rPr>
        <w:tab/>
        <w:t>Revenue Normalization Adjustment</w:t>
      </w:r>
    </w:p>
    <w:p w14:paraId="0CB51893" w14:textId="77777777" w:rsidR="00892456" w:rsidRPr="00344A5F" w:rsidRDefault="00892456" w:rsidP="002F7509">
      <w:pPr>
        <w:rPr>
          <w:sz w:val="26"/>
          <w:szCs w:val="26"/>
        </w:rPr>
      </w:pPr>
      <w:r w:rsidRPr="00344A5F">
        <w:rPr>
          <w:sz w:val="26"/>
          <w:szCs w:val="26"/>
        </w:rPr>
        <w:t>ROE</w:t>
      </w:r>
      <w:r w:rsidRPr="00344A5F">
        <w:rPr>
          <w:sz w:val="26"/>
          <w:szCs w:val="26"/>
        </w:rPr>
        <w:tab/>
      </w:r>
      <w:r w:rsidRPr="00344A5F">
        <w:rPr>
          <w:sz w:val="26"/>
          <w:szCs w:val="26"/>
        </w:rPr>
        <w:tab/>
      </w:r>
      <w:r w:rsidRPr="00344A5F">
        <w:rPr>
          <w:sz w:val="26"/>
          <w:szCs w:val="26"/>
        </w:rPr>
        <w:tab/>
        <w:t>return on equity</w:t>
      </w:r>
    </w:p>
    <w:p w14:paraId="1A7C6E16" w14:textId="77777777" w:rsidR="00892456" w:rsidRPr="00344A5F" w:rsidRDefault="00892456" w:rsidP="002F7509">
      <w:pPr>
        <w:rPr>
          <w:sz w:val="26"/>
          <w:szCs w:val="26"/>
        </w:rPr>
      </w:pPr>
      <w:r w:rsidRPr="00344A5F">
        <w:rPr>
          <w:sz w:val="26"/>
          <w:szCs w:val="26"/>
        </w:rPr>
        <w:t>RP</w:t>
      </w:r>
      <w:r w:rsidRPr="00344A5F">
        <w:rPr>
          <w:sz w:val="26"/>
          <w:szCs w:val="26"/>
        </w:rPr>
        <w:tab/>
      </w:r>
      <w:r w:rsidRPr="00344A5F">
        <w:rPr>
          <w:sz w:val="26"/>
          <w:szCs w:val="26"/>
        </w:rPr>
        <w:tab/>
      </w:r>
      <w:r w:rsidRPr="00344A5F">
        <w:rPr>
          <w:sz w:val="26"/>
          <w:szCs w:val="26"/>
        </w:rPr>
        <w:tab/>
        <w:t>Risk Premium Method</w:t>
      </w:r>
    </w:p>
    <w:p w14:paraId="3297FBB0" w14:textId="77777777" w:rsidR="00892456" w:rsidRPr="00344A5F" w:rsidRDefault="00892456" w:rsidP="002F7509">
      <w:pPr>
        <w:rPr>
          <w:sz w:val="26"/>
          <w:szCs w:val="26"/>
        </w:rPr>
      </w:pPr>
      <w:r w:rsidRPr="00344A5F">
        <w:rPr>
          <w:sz w:val="26"/>
          <w:szCs w:val="26"/>
        </w:rPr>
        <w:lastRenderedPageBreak/>
        <w:t>SME</w:t>
      </w:r>
      <w:r w:rsidRPr="00344A5F">
        <w:rPr>
          <w:sz w:val="26"/>
          <w:szCs w:val="26"/>
        </w:rPr>
        <w:tab/>
      </w:r>
      <w:r w:rsidRPr="00344A5F">
        <w:rPr>
          <w:sz w:val="26"/>
          <w:szCs w:val="26"/>
        </w:rPr>
        <w:tab/>
      </w:r>
      <w:r w:rsidRPr="00344A5F">
        <w:rPr>
          <w:sz w:val="26"/>
          <w:szCs w:val="26"/>
        </w:rPr>
        <w:tab/>
        <w:t>Subject Matter Experts</w:t>
      </w:r>
    </w:p>
    <w:p w14:paraId="0B9F6389" w14:textId="77777777" w:rsidR="00892456" w:rsidRPr="00344A5F" w:rsidRDefault="00892456" w:rsidP="002F7509">
      <w:pPr>
        <w:rPr>
          <w:sz w:val="26"/>
          <w:szCs w:val="26"/>
        </w:rPr>
      </w:pPr>
      <w:r w:rsidRPr="00344A5F">
        <w:rPr>
          <w:sz w:val="26"/>
          <w:szCs w:val="26"/>
        </w:rPr>
        <w:t>SMS</w:t>
      </w:r>
      <w:r w:rsidRPr="00344A5F">
        <w:rPr>
          <w:sz w:val="26"/>
          <w:szCs w:val="26"/>
        </w:rPr>
        <w:tab/>
      </w:r>
      <w:r w:rsidRPr="00344A5F">
        <w:rPr>
          <w:sz w:val="26"/>
          <w:szCs w:val="26"/>
        </w:rPr>
        <w:tab/>
      </w:r>
      <w:r w:rsidRPr="00344A5F">
        <w:rPr>
          <w:sz w:val="26"/>
          <w:szCs w:val="26"/>
        </w:rPr>
        <w:tab/>
        <w:t>Safety Management System</w:t>
      </w:r>
    </w:p>
    <w:p w14:paraId="7CBA3504" w14:textId="77777777" w:rsidR="00892456" w:rsidRPr="00344A5F" w:rsidRDefault="00892456" w:rsidP="002F7509">
      <w:pPr>
        <w:rPr>
          <w:sz w:val="26"/>
          <w:szCs w:val="26"/>
        </w:rPr>
      </w:pPr>
      <w:r w:rsidRPr="00344A5F">
        <w:rPr>
          <w:sz w:val="26"/>
          <w:szCs w:val="26"/>
        </w:rPr>
        <w:t>UCARE</w:t>
      </w:r>
      <w:r w:rsidRPr="00344A5F">
        <w:rPr>
          <w:sz w:val="26"/>
          <w:szCs w:val="26"/>
        </w:rPr>
        <w:tab/>
      </w:r>
      <w:r w:rsidRPr="00344A5F">
        <w:rPr>
          <w:sz w:val="26"/>
          <w:szCs w:val="26"/>
        </w:rPr>
        <w:tab/>
        <w:t>Utility Consumer Report and Evaluation</w:t>
      </w:r>
    </w:p>
    <w:p w14:paraId="0E90C7C7" w14:textId="77777777" w:rsidR="00892456" w:rsidRPr="00344A5F" w:rsidRDefault="00892456" w:rsidP="002F7509">
      <w:pPr>
        <w:rPr>
          <w:sz w:val="26"/>
          <w:szCs w:val="26"/>
        </w:rPr>
      </w:pPr>
      <w:r w:rsidRPr="00344A5F">
        <w:rPr>
          <w:sz w:val="26"/>
          <w:szCs w:val="26"/>
        </w:rPr>
        <w:t>USAC</w:t>
      </w:r>
      <w:r w:rsidRPr="00344A5F">
        <w:rPr>
          <w:sz w:val="26"/>
          <w:szCs w:val="26"/>
        </w:rPr>
        <w:tab/>
      </w:r>
      <w:r w:rsidRPr="00344A5F">
        <w:rPr>
          <w:sz w:val="26"/>
          <w:szCs w:val="26"/>
        </w:rPr>
        <w:tab/>
      </w:r>
      <w:r w:rsidRPr="00344A5F">
        <w:rPr>
          <w:sz w:val="26"/>
          <w:szCs w:val="26"/>
        </w:rPr>
        <w:tab/>
        <w:t>Universal Service Advisory Committee</w:t>
      </w:r>
    </w:p>
    <w:p w14:paraId="634CD15E" w14:textId="77777777" w:rsidR="00892456" w:rsidRPr="00344A5F" w:rsidRDefault="00892456" w:rsidP="002F7509">
      <w:pPr>
        <w:rPr>
          <w:sz w:val="26"/>
          <w:szCs w:val="26"/>
        </w:rPr>
      </w:pPr>
      <w:r w:rsidRPr="00344A5F">
        <w:rPr>
          <w:sz w:val="26"/>
          <w:szCs w:val="26"/>
        </w:rPr>
        <w:t>USECP</w:t>
      </w:r>
      <w:r w:rsidRPr="00344A5F">
        <w:rPr>
          <w:sz w:val="26"/>
          <w:szCs w:val="26"/>
        </w:rPr>
        <w:tab/>
      </w:r>
      <w:r w:rsidRPr="00344A5F">
        <w:rPr>
          <w:sz w:val="26"/>
          <w:szCs w:val="26"/>
        </w:rPr>
        <w:tab/>
        <w:t>Universal Service and Energy Conservation Plan</w:t>
      </w:r>
    </w:p>
    <w:p w14:paraId="1508E635" w14:textId="77777777" w:rsidR="00892456" w:rsidRPr="00344A5F" w:rsidRDefault="00892456" w:rsidP="002F7509">
      <w:pPr>
        <w:rPr>
          <w:sz w:val="26"/>
          <w:szCs w:val="26"/>
        </w:rPr>
      </w:pPr>
      <w:r w:rsidRPr="00344A5F">
        <w:rPr>
          <w:sz w:val="26"/>
          <w:szCs w:val="26"/>
        </w:rPr>
        <w:t>USP</w:t>
      </w:r>
      <w:r w:rsidRPr="00344A5F">
        <w:rPr>
          <w:sz w:val="26"/>
          <w:szCs w:val="26"/>
        </w:rPr>
        <w:tab/>
      </w:r>
      <w:r w:rsidRPr="00344A5F">
        <w:rPr>
          <w:sz w:val="26"/>
          <w:szCs w:val="26"/>
        </w:rPr>
        <w:tab/>
      </w:r>
      <w:r w:rsidRPr="00344A5F">
        <w:rPr>
          <w:sz w:val="26"/>
          <w:szCs w:val="26"/>
        </w:rPr>
        <w:tab/>
        <w:t>Universal Service Program</w:t>
      </w:r>
    </w:p>
    <w:p w14:paraId="117437AE" w14:textId="77777777" w:rsidR="00892456" w:rsidRPr="00344A5F" w:rsidRDefault="00892456" w:rsidP="002F7509">
      <w:pPr>
        <w:rPr>
          <w:sz w:val="26"/>
          <w:szCs w:val="26"/>
        </w:rPr>
      </w:pPr>
      <w:r w:rsidRPr="00344A5F">
        <w:rPr>
          <w:sz w:val="26"/>
          <w:szCs w:val="26"/>
        </w:rPr>
        <w:t>WNA</w:t>
      </w:r>
      <w:r w:rsidRPr="00344A5F">
        <w:rPr>
          <w:sz w:val="26"/>
          <w:szCs w:val="26"/>
        </w:rPr>
        <w:tab/>
      </w:r>
      <w:r w:rsidRPr="00344A5F">
        <w:rPr>
          <w:sz w:val="26"/>
          <w:szCs w:val="26"/>
        </w:rPr>
        <w:tab/>
      </w:r>
      <w:r w:rsidRPr="00344A5F">
        <w:rPr>
          <w:sz w:val="26"/>
          <w:szCs w:val="26"/>
        </w:rPr>
        <w:tab/>
        <w:t>Weather Normalization Adjustment</w:t>
      </w:r>
    </w:p>
    <w:p w14:paraId="5535E294" w14:textId="60C4531F" w:rsidR="00892456" w:rsidRPr="00344A5F" w:rsidRDefault="00892456" w:rsidP="002F7509">
      <w:pPr>
        <w:widowControl/>
        <w:spacing w:line="276" w:lineRule="auto"/>
        <w:contextualSpacing/>
        <w:jc w:val="center"/>
        <w:rPr>
          <w:rFonts w:eastAsiaTheme="minorHAnsi"/>
          <w:sz w:val="26"/>
          <w:szCs w:val="26"/>
        </w:rPr>
      </w:pPr>
    </w:p>
    <w:p w14:paraId="66B5A892" w14:textId="77777777" w:rsidR="00892456" w:rsidRPr="00344A5F" w:rsidRDefault="00892456" w:rsidP="002F7509">
      <w:pPr>
        <w:widowControl/>
        <w:spacing w:line="276" w:lineRule="auto"/>
        <w:rPr>
          <w:rFonts w:eastAsiaTheme="minorHAnsi"/>
          <w:sz w:val="26"/>
          <w:szCs w:val="26"/>
        </w:rPr>
      </w:pPr>
      <w:r w:rsidRPr="00344A5F">
        <w:rPr>
          <w:rFonts w:eastAsiaTheme="minorHAnsi"/>
          <w:sz w:val="26"/>
          <w:szCs w:val="26"/>
        </w:rPr>
        <w:br w:type="page"/>
      </w:r>
    </w:p>
    <w:p w14:paraId="0DD5DE78" w14:textId="77777777" w:rsidR="001D7AAA" w:rsidRPr="00344A5F" w:rsidRDefault="001D7AAA" w:rsidP="002F7509">
      <w:pPr>
        <w:widowControl/>
        <w:spacing w:line="276" w:lineRule="auto"/>
        <w:contextualSpacing/>
        <w:jc w:val="center"/>
        <w:rPr>
          <w:rFonts w:eastAsiaTheme="minorHAnsi"/>
          <w:sz w:val="26"/>
          <w:szCs w:val="26"/>
        </w:rPr>
      </w:pPr>
    </w:p>
    <w:p w14:paraId="0F4221E8" w14:textId="77777777" w:rsidR="001D7AAA" w:rsidRPr="00344A5F" w:rsidRDefault="001D7AAA" w:rsidP="002F7509">
      <w:pPr>
        <w:widowControl/>
        <w:spacing w:line="276" w:lineRule="auto"/>
        <w:contextualSpacing/>
        <w:jc w:val="center"/>
        <w:rPr>
          <w:rFonts w:eastAsiaTheme="minorHAnsi"/>
          <w:sz w:val="26"/>
          <w:szCs w:val="26"/>
        </w:rPr>
      </w:pPr>
    </w:p>
    <w:p w14:paraId="771B8876" w14:textId="77777777" w:rsidR="001D7AAA" w:rsidRPr="00344A5F" w:rsidRDefault="001D7AAA" w:rsidP="002F7509">
      <w:pPr>
        <w:widowControl/>
        <w:spacing w:line="276" w:lineRule="auto"/>
        <w:contextualSpacing/>
        <w:jc w:val="center"/>
        <w:rPr>
          <w:rFonts w:eastAsiaTheme="minorHAnsi"/>
          <w:sz w:val="26"/>
          <w:szCs w:val="26"/>
        </w:rPr>
      </w:pPr>
    </w:p>
    <w:p w14:paraId="764F0622" w14:textId="77777777" w:rsidR="001D7AAA" w:rsidRPr="00344A5F" w:rsidRDefault="001D7AAA" w:rsidP="002F7509">
      <w:pPr>
        <w:widowControl/>
        <w:spacing w:line="276" w:lineRule="auto"/>
        <w:contextualSpacing/>
        <w:jc w:val="center"/>
        <w:rPr>
          <w:rFonts w:eastAsiaTheme="minorHAnsi"/>
          <w:sz w:val="26"/>
          <w:szCs w:val="26"/>
        </w:rPr>
      </w:pPr>
    </w:p>
    <w:p w14:paraId="50AB3C83" w14:textId="77777777" w:rsidR="001D7AAA" w:rsidRPr="00344A5F" w:rsidRDefault="001D7AAA" w:rsidP="002F7509">
      <w:pPr>
        <w:widowControl/>
        <w:spacing w:line="276" w:lineRule="auto"/>
        <w:contextualSpacing/>
        <w:jc w:val="center"/>
        <w:rPr>
          <w:rFonts w:eastAsiaTheme="minorHAnsi"/>
          <w:sz w:val="26"/>
          <w:szCs w:val="26"/>
        </w:rPr>
      </w:pPr>
    </w:p>
    <w:p w14:paraId="543D58A9" w14:textId="77777777" w:rsidR="001D7AAA" w:rsidRPr="00344A5F" w:rsidRDefault="001D7AAA" w:rsidP="002F7509">
      <w:pPr>
        <w:widowControl/>
        <w:spacing w:line="276" w:lineRule="auto"/>
        <w:contextualSpacing/>
        <w:jc w:val="center"/>
        <w:rPr>
          <w:rFonts w:eastAsiaTheme="minorHAnsi"/>
          <w:sz w:val="26"/>
          <w:szCs w:val="26"/>
        </w:rPr>
      </w:pPr>
    </w:p>
    <w:p w14:paraId="507F3AE3" w14:textId="77777777" w:rsidR="001D7AAA" w:rsidRPr="00344A5F" w:rsidRDefault="001D7AAA" w:rsidP="002F7509">
      <w:pPr>
        <w:widowControl/>
        <w:spacing w:line="276" w:lineRule="auto"/>
        <w:contextualSpacing/>
        <w:jc w:val="center"/>
        <w:rPr>
          <w:rFonts w:eastAsiaTheme="minorHAnsi"/>
          <w:b/>
          <w:sz w:val="26"/>
          <w:szCs w:val="26"/>
        </w:rPr>
      </w:pPr>
      <w:r w:rsidRPr="00344A5F">
        <w:rPr>
          <w:rFonts w:eastAsiaTheme="minorHAnsi"/>
          <w:b/>
          <w:sz w:val="26"/>
          <w:szCs w:val="26"/>
        </w:rPr>
        <w:t>Pennsylvania Public Utility Commission</w:t>
      </w:r>
    </w:p>
    <w:p w14:paraId="3C02FB18" w14:textId="77777777" w:rsidR="001D7AAA" w:rsidRPr="00344A5F" w:rsidRDefault="001D7AAA" w:rsidP="002F7509">
      <w:pPr>
        <w:widowControl/>
        <w:spacing w:line="276" w:lineRule="auto"/>
        <w:contextualSpacing/>
        <w:jc w:val="center"/>
        <w:rPr>
          <w:rFonts w:eastAsiaTheme="minorHAnsi"/>
          <w:b/>
          <w:sz w:val="26"/>
          <w:szCs w:val="26"/>
        </w:rPr>
      </w:pPr>
    </w:p>
    <w:p w14:paraId="59679F62" w14:textId="77777777" w:rsidR="001D7AAA" w:rsidRPr="00344A5F" w:rsidRDefault="001D7AAA" w:rsidP="002F7509">
      <w:pPr>
        <w:widowControl/>
        <w:spacing w:line="276" w:lineRule="auto"/>
        <w:contextualSpacing/>
        <w:jc w:val="center"/>
        <w:rPr>
          <w:rFonts w:eastAsiaTheme="minorHAnsi"/>
          <w:b/>
          <w:sz w:val="26"/>
          <w:szCs w:val="26"/>
        </w:rPr>
      </w:pPr>
    </w:p>
    <w:p w14:paraId="775A605E" w14:textId="77777777" w:rsidR="001D7AAA" w:rsidRPr="00344A5F" w:rsidRDefault="001D7AAA" w:rsidP="002F7509">
      <w:pPr>
        <w:widowControl/>
        <w:spacing w:line="276" w:lineRule="auto"/>
        <w:contextualSpacing/>
        <w:jc w:val="center"/>
        <w:rPr>
          <w:rFonts w:eastAsiaTheme="minorHAnsi"/>
          <w:b/>
          <w:sz w:val="26"/>
          <w:szCs w:val="26"/>
        </w:rPr>
      </w:pPr>
      <w:r w:rsidRPr="00344A5F">
        <w:rPr>
          <w:rFonts w:eastAsiaTheme="minorHAnsi"/>
          <w:b/>
          <w:sz w:val="26"/>
          <w:szCs w:val="26"/>
        </w:rPr>
        <w:t>v.</w:t>
      </w:r>
    </w:p>
    <w:p w14:paraId="612FFA52" w14:textId="77777777" w:rsidR="001D7AAA" w:rsidRPr="00344A5F" w:rsidRDefault="001D7AAA" w:rsidP="002F7509">
      <w:pPr>
        <w:widowControl/>
        <w:spacing w:line="276" w:lineRule="auto"/>
        <w:contextualSpacing/>
        <w:jc w:val="center"/>
        <w:rPr>
          <w:rFonts w:eastAsiaTheme="minorHAnsi"/>
          <w:b/>
          <w:sz w:val="26"/>
          <w:szCs w:val="26"/>
        </w:rPr>
      </w:pPr>
    </w:p>
    <w:p w14:paraId="08A30584" w14:textId="77777777" w:rsidR="001D7AAA" w:rsidRPr="00344A5F" w:rsidRDefault="001D7AAA" w:rsidP="002F7509">
      <w:pPr>
        <w:widowControl/>
        <w:spacing w:line="276" w:lineRule="auto"/>
        <w:contextualSpacing/>
        <w:jc w:val="center"/>
        <w:rPr>
          <w:rFonts w:eastAsiaTheme="minorHAnsi"/>
          <w:b/>
          <w:sz w:val="26"/>
          <w:szCs w:val="26"/>
        </w:rPr>
      </w:pPr>
    </w:p>
    <w:p w14:paraId="711757BE" w14:textId="77777777" w:rsidR="001D7AAA" w:rsidRPr="00344A5F" w:rsidRDefault="001D7AAA" w:rsidP="002F7509">
      <w:pPr>
        <w:widowControl/>
        <w:spacing w:line="276" w:lineRule="auto"/>
        <w:contextualSpacing/>
        <w:jc w:val="center"/>
        <w:rPr>
          <w:rFonts w:eastAsiaTheme="minorHAnsi"/>
          <w:b/>
          <w:sz w:val="26"/>
          <w:szCs w:val="26"/>
        </w:rPr>
      </w:pPr>
      <w:r w:rsidRPr="00344A5F">
        <w:rPr>
          <w:rFonts w:eastAsiaTheme="minorHAnsi"/>
          <w:b/>
          <w:sz w:val="26"/>
          <w:szCs w:val="26"/>
        </w:rPr>
        <w:t>Columbia Gas of Pennsylvania, Inc.</w:t>
      </w:r>
    </w:p>
    <w:p w14:paraId="278DF61B" w14:textId="77777777" w:rsidR="001D7AAA" w:rsidRPr="00344A5F" w:rsidRDefault="001D7AAA" w:rsidP="002F7509">
      <w:pPr>
        <w:widowControl/>
        <w:spacing w:line="276" w:lineRule="auto"/>
        <w:contextualSpacing/>
        <w:jc w:val="center"/>
        <w:rPr>
          <w:rFonts w:eastAsiaTheme="minorHAnsi"/>
          <w:b/>
          <w:sz w:val="26"/>
          <w:szCs w:val="26"/>
        </w:rPr>
      </w:pPr>
      <w:r w:rsidRPr="00344A5F">
        <w:rPr>
          <w:rFonts w:eastAsiaTheme="minorHAnsi"/>
          <w:b/>
          <w:sz w:val="26"/>
          <w:szCs w:val="26"/>
        </w:rPr>
        <w:t>Docket No. R-2020-3018835</w:t>
      </w:r>
    </w:p>
    <w:p w14:paraId="0C273ACF" w14:textId="77777777" w:rsidR="001D7AAA" w:rsidRPr="00344A5F" w:rsidRDefault="001D7AAA" w:rsidP="002F7509">
      <w:pPr>
        <w:widowControl/>
        <w:spacing w:line="276" w:lineRule="auto"/>
        <w:contextualSpacing/>
        <w:jc w:val="center"/>
        <w:rPr>
          <w:rFonts w:eastAsiaTheme="minorHAnsi"/>
          <w:sz w:val="26"/>
          <w:szCs w:val="26"/>
        </w:rPr>
      </w:pPr>
    </w:p>
    <w:p w14:paraId="5807D83C" w14:textId="77777777" w:rsidR="001D7AAA" w:rsidRPr="00344A5F" w:rsidRDefault="001D7AAA" w:rsidP="002F7509">
      <w:pPr>
        <w:widowControl/>
        <w:spacing w:line="276" w:lineRule="auto"/>
        <w:contextualSpacing/>
        <w:jc w:val="center"/>
        <w:rPr>
          <w:rFonts w:eastAsiaTheme="minorHAnsi"/>
          <w:sz w:val="26"/>
          <w:szCs w:val="26"/>
        </w:rPr>
      </w:pPr>
    </w:p>
    <w:p w14:paraId="3FFF691D" w14:textId="77777777" w:rsidR="001D7AAA" w:rsidRPr="00344A5F" w:rsidRDefault="001D7AAA" w:rsidP="003A60DD">
      <w:pPr>
        <w:pStyle w:val="Heading1"/>
      </w:pPr>
      <w:bookmarkStart w:id="516" w:name="_Toc63764660"/>
      <w:r w:rsidRPr="00344A5F">
        <w:t>Commission Tables Calculating Allowed Revenue Increase</w:t>
      </w:r>
      <w:bookmarkEnd w:id="516"/>
    </w:p>
    <w:p w14:paraId="447045EA" w14:textId="77777777" w:rsidR="001D7AAA" w:rsidRPr="00344A5F" w:rsidRDefault="001D7AAA" w:rsidP="002F7509">
      <w:pPr>
        <w:widowControl/>
        <w:spacing w:line="276" w:lineRule="auto"/>
        <w:contextualSpacing/>
        <w:rPr>
          <w:rFonts w:eastAsiaTheme="minorHAnsi"/>
          <w:sz w:val="26"/>
          <w:szCs w:val="26"/>
        </w:rPr>
      </w:pPr>
    </w:p>
    <w:p w14:paraId="22370DAF" w14:textId="77777777" w:rsidR="001D7AAA" w:rsidRPr="00344A5F" w:rsidRDefault="001D7AAA" w:rsidP="002F7509">
      <w:pPr>
        <w:widowControl/>
        <w:spacing w:line="276" w:lineRule="auto"/>
        <w:ind w:firstLine="2160"/>
        <w:contextualSpacing/>
        <w:rPr>
          <w:rFonts w:eastAsiaTheme="minorHAnsi"/>
          <w:b/>
          <w:sz w:val="26"/>
          <w:szCs w:val="26"/>
        </w:rPr>
      </w:pPr>
      <w:r w:rsidRPr="00344A5F">
        <w:rPr>
          <w:rFonts w:eastAsiaTheme="minorHAnsi"/>
          <w:b/>
          <w:sz w:val="26"/>
          <w:szCs w:val="26"/>
        </w:rPr>
        <w:t>Table I</w:t>
      </w:r>
      <w:r w:rsidRPr="00344A5F">
        <w:rPr>
          <w:rFonts w:eastAsiaTheme="minorHAnsi"/>
          <w:b/>
          <w:sz w:val="26"/>
          <w:szCs w:val="26"/>
        </w:rPr>
        <w:tab/>
        <w:t>Income Summary</w:t>
      </w:r>
    </w:p>
    <w:p w14:paraId="3514A6BA" w14:textId="77777777" w:rsidR="001D7AAA" w:rsidRPr="00344A5F" w:rsidRDefault="001D7AAA" w:rsidP="002F7509">
      <w:pPr>
        <w:widowControl/>
        <w:spacing w:line="276" w:lineRule="auto"/>
        <w:ind w:firstLine="2160"/>
        <w:contextualSpacing/>
        <w:rPr>
          <w:rFonts w:eastAsiaTheme="minorHAnsi"/>
          <w:b/>
          <w:sz w:val="26"/>
          <w:szCs w:val="26"/>
        </w:rPr>
      </w:pPr>
      <w:r w:rsidRPr="00344A5F">
        <w:rPr>
          <w:rFonts w:eastAsiaTheme="minorHAnsi"/>
          <w:b/>
          <w:sz w:val="26"/>
          <w:szCs w:val="26"/>
        </w:rPr>
        <w:t>Table IA</w:t>
      </w:r>
      <w:r w:rsidRPr="00344A5F">
        <w:rPr>
          <w:rFonts w:eastAsiaTheme="minorHAnsi"/>
          <w:b/>
          <w:sz w:val="26"/>
          <w:szCs w:val="26"/>
        </w:rPr>
        <w:tab/>
        <w:t>Rate of Return</w:t>
      </w:r>
    </w:p>
    <w:p w14:paraId="744CF13A" w14:textId="77777777" w:rsidR="001D7AAA" w:rsidRPr="00344A5F" w:rsidRDefault="001D7AAA" w:rsidP="002F7509">
      <w:pPr>
        <w:widowControl/>
        <w:spacing w:line="276" w:lineRule="auto"/>
        <w:ind w:firstLine="2160"/>
        <w:contextualSpacing/>
        <w:rPr>
          <w:rFonts w:eastAsiaTheme="minorHAnsi"/>
          <w:b/>
          <w:sz w:val="26"/>
          <w:szCs w:val="26"/>
        </w:rPr>
      </w:pPr>
      <w:r w:rsidRPr="00344A5F">
        <w:rPr>
          <w:rFonts w:eastAsiaTheme="minorHAnsi"/>
          <w:b/>
          <w:sz w:val="26"/>
          <w:szCs w:val="26"/>
        </w:rPr>
        <w:t>Table IB</w:t>
      </w:r>
      <w:r w:rsidRPr="00344A5F">
        <w:rPr>
          <w:rFonts w:eastAsiaTheme="minorHAnsi"/>
          <w:b/>
          <w:sz w:val="26"/>
          <w:szCs w:val="26"/>
        </w:rPr>
        <w:tab/>
        <w:t>Revenue Factor</w:t>
      </w:r>
    </w:p>
    <w:p w14:paraId="46CF3F19" w14:textId="77777777" w:rsidR="001D7AAA" w:rsidRPr="00344A5F" w:rsidRDefault="001D7AAA" w:rsidP="002F7509">
      <w:pPr>
        <w:widowControl/>
        <w:spacing w:line="276" w:lineRule="auto"/>
        <w:ind w:firstLine="2160"/>
        <w:contextualSpacing/>
        <w:rPr>
          <w:rFonts w:eastAsiaTheme="minorHAnsi"/>
          <w:b/>
          <w:sz w:val="26"/>
          <w:szCs w:val="26"/>
        </w:rPr>
      </w:pPr>
      <w:r w:rsidRPr="00344A5F">
        <w:rPr>
          <w:rFonts w:eastAsiaTheme="minorHAnsi"/>
          <w:b/>
          <w:sz w:val="26"/>
          <w:szCs w:val="26"/>
        </w:rPr>
        <w:t>Table II</w:t>
      </w:r>
      <w:r w:rsidRPr="00344A5F">
        <w:rPr>
          <w:rFonts w:eastAsiaTheme="minorHAnsi"/>
          <w:b/>
          <w:sz w:val="26"/>
          <w:szCs w:val="26"/>
        </w:rPr>
        <w:tab/>
        <w:t>Adjustments</w:t>
      </w:r>
    </w:p>
    <w:p w14:paraId="17B473D5" w14:textId="77777777" w:rsidR="001D7AAA" w:rsidRPr="00344A5F" w:rsidRDefault="001D7AAA" w:rsidP="002F7509">
      <w:pPr>
        <w:widowControl/>
        <w:spacing w:line="276" w:lineRule="auto"/>
        <w:ind w:firstLine="2160"/>
        <w:contextualSpacing/>
        <w:rPr>
          <w:rFonts w:eastAsiaTheme="minorHAnsi"/>
          <w:b/>
          <w:sz w:val="26"/>
          <w:szCs w:val="26"/>
        </w:rPr>
      </w:pPr>
      <w:r w:rsidRPr="00344A5F">
        <w:rPr>
          <w:rFonts w:eastAsiaTheme="minorHAnsi"/>
          <w:b/>
          <w:sz w:val="26"/>
          <w:szCs w:val="26"/>
        </w:rPr>
        <w:t>Table III</w:t>
      </w:r>
      <w:r w:rsidRPr="00344A5F">
        <w:rPr>
          <w:rFonts w:eastAsiaTheme="minorHAnsi"/>
          <w:b/>
          <w:sz w:val="26"/>
          <w:szCs w:val="26"/>
        </w:rPr>
        <w:tab/>
        <w:t>Interest Synchronization</w:t>
      </w:r>
    </w:p>
    <w:p w14:paraId="00CC6C61" w14:textId="77777777" w:rsidR="001D7AAA" w:rsidRPr="00344A5F" w:rsidRDefault="001D7AAA" w:rsidP="002F7509">
      <w:pPr>
        <w:widowControl/>
        <w:spacing w:line="276" w:lineRule="auto"/>
        <w:ind w:firstLine="2160"/>
        <w:contextualSpacing/>
        <w:rPr>
          <w:rFonts w:eastAsiaTheme="minorHAnsi"/>
          <w:b/>
          <w:sz w:val="26"/>
          <w:szCs w:val="26"/>
        </w:rPr>
      </w:pPr>
      <w:r w:rsidRPr="00344A5F">
        <w:rPr>
          <w:rFonts w:eastAsiaTheme="minorHAnsi"/>
          <w:b/>
          <w:sz w:val="26"/>
          <w:szCs w:val="26"/>
        </w:rPr>
        <w:t xml:space="preserve">Table IV </w:t>
      </w:r>
      <w:r w:rsidRPr="00344A5F">
        <w:rPr>
          <w:rFonts w:eastAsiaTheme="minorHAnsi"/>
          <w:b/>
          <w:sz w:val="26"/>
          <w:szCs w:val="26"/>
        </w:rPr>
        <w:tab/>
        <w:t>Cash Working Capital: Interest and Dividends</w:t>
      </w:r>
    </w:p>
    <w:p w14:paraId="3D6668FB" w14:textId="77777777" w:rsidR="001D7AAA" w:rsidRPr="00344A5F" w:rsidRDefault="001D7AAA" w:rsidP="002F7509">
      <w:pPr>
        <w:widowControl/>
        <w:spacing w:line="276" w:lineRule="auto"/>
        <w:ind w:firstLine="2160"/>
        <w:contextualSpacing/>
        <w:rPr>
          <w:rFonts w:eastAsiaTheme="minorHAnsi"/>
          <w:b/>
          <w:sz w:val="26"/>
          <w:szCs w:val="26"/>
        </w:rPr>
      </w:pPr>
      <w:r w:rsidRPr="00344A5F">
        <w:rPr>
          <w:rFonts w:eastAsiaTheme="minorHAnsi"/>
          <w:b/>
          <w:sz w:val="26"/>
          <w:szCs w:val="26"/>
        </w:rPr>
        <w:t>Table V</w:t>
      </w:r>
      <w:r w:rsidRPr="00344A5F">
        <w:rPr>
          <w:rFonts w:eastAsiaTheme="minorHAnsi"/>
          <w:b/>
          <w:sz w:val="26"/>
          <w:szCs w:val="26"/>
        </w:rPr>
        <w:tab/>
        <w:t>Cash Working Capital: Taxes</w:t>
      </w:r>
    </w:p>
    <w:p w14:paraId="1CD63150" w14:textId="77777777" w:rsidR="001D7AAA" w:rsidRPr="00344A5F" w:rsidRDefault="001D7AAA" w:rsidP="002F7509">
      <w:pPr>
        <w:widowControl/>
        <w:spacing w:line="276" w:lineRule="auto"/>
        <w:ind w:firstLine="2160"/>
        <w:contextualSpacing/>
        <w:rPr>
          <w:rFonts w:eastAsiaTheme="minorHAnsi"/>
          <w:b/>
          <w:sz w:val="26"/>
          <w:szCs w:val="26"/>
        </w:rPr>
      </w:pPr>
      <w:r w:rsidRPr="00344A5F">
        <w:rPr>
          <w:rFonts w:eastAsiaTheme="minorHAnsi"/>
          <w:b/>
          <w:sz w:val="26"/>
          <w:szCs w:val="26"/>
        </w:rPr>
        <w:t>Table VI</w:t>
      </w:r>
      <w:r w:rsidRPr="00344A5F">
        <w:rPr>
          <w:rFonts w:eastAsiaTheme="minorHAnsi"/>
          <w:b/>
          <w:sz w:val="26"/>
          <w:szCs w:val="26"/>
        </w:rPr>
        <w:tab/>
        <w:t>Cash Working Capital: O&amp;M Expense</w:t>
      </w:r>
    </w:p>
    <w:p w14:paraId="602E9DFB" w14:textId="77777777" w:rsidR="001D7AAA" w:rsidRPr="00344A5F" w:rsidRDefault="001D7AAA" w:rsidP="002F7509">
      <w:pPr>
        <w:widowControl/>
        <w:spacing w:line="276" w:lineRule="auto"/>
        <w:ind w:firstLine="2160"/>
        <w:contextualSpacing/>
        <w:rPr>
          <w:rFonts w:eastAsiaTheme="minorHAnsi"/>
          <w:b/>
          <w:sz w:val="26"/>
          <w:szCs w:val="26"/>
        </w:rPr>
      </w:pPr>
      <w:r w:rsidRPr="00344A5F">
        <w:rPr>
          <w:rFonts w:eastAsiaTheme="minorHAnsi"/>
          <w:b/>
          <w:sz w:val="26"/>
          <w:szCs w:val="26"/>
        </w:rPr>
        <w:t>Table VII</w:t>
      </w:r>
      <w:r w:rsidRPr="00344A5F">
        <w:rPr>
          <w:rFonts w:eastAsiaTheme="minorHAnsi"/>
          <w:b/>
          <w:sz w:val="26"/>
          <w:szCs w:val="26"/>
        </w:rPr>
        <w:tab/>
        <w:t>Effective Tax Rate Calculation</w:t>
      </w:r>
    </w:p>
    <w:p w14:paraId="776F90CE" w14:textId="77777777" w:rsidR="001D7AAA" w:rsidRPr="00344A5F" w:rsidRDefault="001D7AAA" w:rsidP="002F7509">
      <w:pPr>
        <w:widowControl/>
        <w:spacing w:line="276" w:lineRule="auto"/>
        <w:ind w:firstLine="2160"/>
        <w:contextualSpacing/>
        <w:rPr>
          <w:rFonts w:eastAsiaTheme="minorHAnsi"/>
          <w:b/>
          <w:sz w:val="26"/>
          <w:szCs w:val="26"/>
        </w:rPr>
      </w:pPr>
    </w:p>
    <w:p w14:paraId="3BE78408" w14:textId="77777777" w:rsidR="001D7AAA" w:rsidRPr="00344A5F" w:rsidRDefault="001D7AAA" w:rsidP="002F7509">
      <w:pPr>
        <w:widowControl/>
        <w:tabs>
          <w:tab w:val="left" w:pos="-720"/>
        </w:tabs>
        <w:suppressAutoHyphens/>
        <w:contextualSpacing/>
        <w:rPr>
          <w:sz w:val="26"/>
          <w:szCs w:val="26"/>
        </w:rPr>
        <w:sectPr w:rsidR="001D7AAA" w:rsidRPr="00344A5F" w:rsidSect="00151C5E">
          <w:footerReference w:type="first" r:id="rId13"/>
          <w:pgSz w:w="12240" w:h="15840"/>
          <w:pgMar w:top="1440" w:right="1170" w:bottom="1440" w:left="1440" w:header="720" w:footer="720" w:gutter="0"/>
          <w:pgNumType w:start="1"/>
          <w:cols w:space="720"/>
          <w:docGrid w:linePitch="360"/>
        </w:sectPr>
      </w:pPr>
    </w:p>
    <w:p w14:paraId="70E282A6" w14:textId="77777777" w:rsidR="00B165A5" w:rsidRPr="00344A5F" w:rsidRDefault="00B165A5" w:rsidP="002F7509">
      <w:pPr>
        <w:widowControl/>
        <w:tabs>
          <w:tab w:val="left" w:pos="-720"/>
        </w:tabs>
        <w:suppressAutoHyphens/>
        <w:contextualSpacing/>
        <w:rPr>
          <w:sz w:val="26"/>
          <w:szCs w:val="26"/>
        </w:rPr>
        <w:sectPr w:rsidR="00B165A5" w:rsidRPr="00344A5F" w:rsidSect="001D1ACE">
          <w:pgSz w:w="15840" w:h="12240" w:orient="landscape"/>
          <w:pgMar w:top="1440" w:right="1440" w:bottom="1440" w:left="1440" w:header="720" w:footer="720" w:gutter="0"/>
          <w:pgNumType w:start="4"/>
          <w:cols w:space="720"/>
          <w:titlePg/>
          <w:docGrid w:linePitch="360"/>
        </w:sectPr>
      </w:pPr>
      <w:r w:rsidRPr="00344A5F">
        <w:rPr>
          <w:noProof/>
          <w:sz w:val="26"/>
          <w:szCs w:val="26"/>
        </w:rPr>
        <w:lastRenderedPageBreak/>
        <w:drawing>
          <wp:inline distT="0" distB="0" distL="0" distR="0" wp14:anchorId="0BEB7740" wp14:editId="634A8C3E">
            <wp:extent cx="7739427" cy="50196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505" t="30288" r="49421" b="10640"/>
                    <a:stretch/>
                  </pic:blipFill>
                  <pic:spPr bwMode="auto">
                    <a:xfrm>
                      <a:off x="0" y="0"/>
                      <a:ext cx="7841688" cy="5086000"/>
                    </a:xfrm>
                    <a:prstGeom prst="rect">
                      <a:avLst/>
                    </a:prstGeom>
                    <a:ln>
                      <a:noFill/>
                    </a:ln>
                    <a:extLst>
                      <a:ext uri="{53640926-AAD7-44D8-BBD7-CCE9431645EC}">
                        <a14:shadowObscured xmlns:a14="http://schemas.microsoft.com/office/drawing/2010/main"/>
                      </a:ext>
                    </a:extLst>
                  </pic:spPr>
                </pic:pic>
              </a:graphicData>
            </a:graphic>
          </wp:inline>
        </w:drawing>
      </w:r>
    </w:p>
    <w:p w14:paraId="7134D133" w14:textId="7CC8FBB3" w:rsidR="00501EE3" w:rsidRPr="00344A5F" w:rsidRDefault="00661A18" w:rsidP="002F7509">
      <w:pPr>
        <w:widowControl/>
        <w:tabs>
          <w:tab w:val="left" w:pos="-720"/>
        </w:tabs>
        <w:suppressAutoHyphens/>
        <w:contextualSpacing/>
        <w:jc w:val="center"/>
        <w:rPr>
          <w:sz w:val="26"/>
          <w:szCs w:val="26"/>
        </w:rPr>
      </w:pPr>
      <w:r w:rsidRPr="00344A5F">
        <w:rPr>
          <w:noProof/>
          <w:sz w:val="26"/>
          <w:szCs w:val="26"/>
        </w:rPr>
        <w:lastRenderedPageBreak/>
        <w:drawing>
          <wp:inline distT="0" distB="0" distL="0" distR="0" wp14:anchorId="456CF5A4" wp14:editId="285458E5">
            <wp:extent cx="7988724" cy="47720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47" t="30503" r="45138" b="11499"/>
                    <a:stretch/>
                  </pic:blipFill>
                  <pic:spPr bwMode="auto">
                    <a:xfrm>
                      <a:off x="0" y="0"/>
                      <a:ext cx="8045708" cy="4806064"/>
                    </a:xfrm>
                    <a:prstGeom prst="rect">
                      <a:avLst/>
                    </a:prstGeom>
                    <a:ln>
                      <a:noFill/>
                    </a:ln>
                    <a:extLst>
                      <a:ext uri="{53640926-AAD7-44D8-BBD7-CCE9431645EC}">
                        <a14:shadowObscured xmlns:a14="http://schemas.microsoft.com/office/drawing/2010/main"/>
                      </a:ext>
                    </a:extLst>
                  </pic:spPr>
                </pic:pic>
              </a:graphicData>
            </a:graphic>
          </wp:inline>
        </w:drawing>
      </w:r>
    </w:p>
    <w:p w14:paraId="2A08FBD4" w14:textId="22174167" w:rsidR="00A94DBD" w:rsidRPr="00344A5F" w:rsidRDefault="00A94DBD" w:rsidP="002F7509">
      <w:pPr>
        <w:widowControl/>
        <w:tabs>
          <w:tab w:val="left" w:pos="-720"/>
        </w:tabs>
        <w:suppressAutoHyphens/>
        <w:contextualSpacing/>
        <w:jc w:val="center"/>
        <w:rPr>
          <w:sz w:val="26"/>
          <w:szCs w:val="26"/>
        </w:rPr>
        <w:sectPr w:rsidR="00A94DBD" w:rsidRPr="00344A5F" w:rsidSect="001D1ACE">
          <w:pgSz w:w="15840" w:h="12240" w:orient="landscape"/>
          <w:pgMar w:top="1440" w:right="1440" w:bottom="1440" w:left="1440" w:header="720" w:footer="720" w:gutter="0"/>
          <w:cols w:space="720"/>
          <w:titlePg/>
          <w:docGrid w:linePitch="360"/>
        </w:sectPr>
      </w:pPr>
    </w:p>
    <w:p w14:paraId="0AEC2BCF" w14:textId="77777777" w:rsidR="00744905" w:rsidRPr="00344A5F" w:rsidRDefault="00C00016" w:rsidP="002F7509">
      <w:pPr>
        <w:widowControl/>
        <w:tabs>
          <w:tab w:val="left" w:pos="-720"/>
        </w:tabs>
        <w:suppressAutoHyphens/>
        <w:contextualSpacing/>
        <w:jc w:val="center"/>
        <w:rPr>
          <w:sz w:val="26"/>
          <w:szCs w:val="26"/>
        </w:rPr>
        <w:sectPr w:rsidR="00744905" w:rsidRPr="00344A5F" w:rsidSect="001D1ACE">
          <w:pgSz w:w="12240" w:h="15840"/>
          <w:pgMar w:top="1440" w:right="1440" w:bottom="1440" w:left="1440" w:header="720" w:footer="720" w:gutter="0"/>
          <w:cols w:space="720"/>
          <w:titlePg/>
          <w:docGrid w:linePitch="360"/>
        </w:sectPr>
      </w:pPr>
      <w:r w:rsidRPr="00344A5F">
        <w:rPr>
          <w:noProof/>
          <w:sz w:val="26"/>
          <w:szCs w:val="26"/>
        </w:rPr>
        <w:lastRenderedPageBreak/>
        <w:drawing>
          <wp:inline distT="0" distB="0" distL="0" distR="0" wp14:anchorId="0DC8DFCD" wp14:editId="6E3E67E7">
            <wp:extent cx="5800725" cy="53054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23" t="30438" r="65545" b="14337"/>
                    <a:stretch/>
                  </pic:blipFill>
                  <pic:spPr bwMode="auto">
                    <a:xfrm>
                      <a:off x="0" y="0"/>
                      <a:ext cx="5843723" cy="5344752"/>
                    </a:xfrm>
                    <a:prstGeom prst="rect">
                      <a:avLst/>
                    </a:prstGeom>
                    <a:ln>
                      <a:noFill/>
                    </a:ln>
                    <a:extLst>
                      <a:ext uri="{53640926-AAD7-44D8-BBD7-CCE9431645EC}">
                        <a14:shadowObscured xmlns:a14="http://schemas.microsoft.com/office/drawing/2010/main"/>
                      </a:ext>
                    </a:extLst>
                  </pic:spPr>
                </pic:pic>
              </a:graphicData>
            </a:graphic>
          </wp:inline>
        </w:drawing>
      </w:r>
    </w:p>
    <w:p w14:paraId="37544150" w14:textId="18A0C82A" w:rsidR="000556E8" w:rsidRPr="00344A5F" w:rsidRDefault="00443E46" w:rsidP="002F7509">
      <w:pPr>
        <w:widowControl/>
        <w:tabs>
          <w:tab w:val="left" w:pos="-720"/>
        </w:tabs>
        <w:suppressAutoHyphens/>
        <w:contextualSpacing/>
        <w:jc w:val="center"/>
        <w:rPr>
          <w:sz w:val="26"/>
          <w:szCs w:val="26"/>
        </w:rPr>
        <w:sectPr w:rsidR="000556E8" w:rsidRPr="00344A5F" w:rsidSect="001D1ACE">
          <w:pgSz w:w="15840" w:h="12240" w:orient="landscape"/>
          <w:pgMar w:top="1440" w:right="1440" w:bottom="1440" w:left="1440" w:header="720" w:footer="720" w:gutter="0"/>
          <w:cols w:space="720"/>
          <w:titlePg/>
          <w:docGrid w:linePitch="360"/>
        </w:sectPr>
      </w:pPr>
      <w:r w:rsidRPr="00344A5F">
        <w:rPr>
          <w:noProof/>
          <w:sz w:val="26"/>
          <w:szCs w:val="26"/>
        </w:rPr>
        <w:lastRenderedPageBreak/>
        <w:drawing>
          <wp:inline distT="0" distB="0" distL="0" distR="0" wp14:anchorId="6B2BA9F4" wp14:editId="0523E669">
            <wp:extent cx="7847286" cy="5172075"/>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621" t="29858" r="47453" b="7848"/>
                    <a:stretch/>
                  </pic:blipFill>
                  <pic:spPr bwMode="auto">
                    <a:xfrm>
                      <a:off x="0" y="0"/>
                      <a:ext cx="7908054" cy="5212126"/>
                    </a:xfrm>
                    <a:prstGeom prst="rect">
                      <a:avLst/>
                    </a:prstGeom>
                    <a:ln>
                      <a:noFill/>
                    </a:ln>
                    <a:extLst>
                      <a:ext uri="{53640926-AAD7-44D8-BBD7-CCE9431645EC}">
                        <a14:shadowObscured xmlns:a14="http://schemas.microsoft.com/office/drawing/2010/main"/>
                      </a:ext>
                    </a:extLst>
                  </pic:spPr>
                </pic:pic>
              </a:graphicData>
            </a:graphic>
          </wp:inline>
        </w:drawing>
      </w:r>
    </w:p>
    <w:p w14:paraId="054A7C2F" w14:textId="77777777" w:rsidR="002D1361" w:rsidRPr="00344A5F" w:rsidRDefault="002D1361" w:rsidP="002F7509">
      <w:pPr>
        <w:widowControl/>
        <w:spacing w:line="276" w:lineRule="auto"/>
        <w:contextualSpacing/>
        <w:rPr>
          <w:rFonts w:eastAsiaTheme="minorHAnsi"/>
          <w:b/>
          <w:sz w:val="26"/>
          <w:szCs w:val="26"/>
        </w:rPr>
      </w:pPr>
      <w:r w:rsidRPr="00344A5F">
        <w:rPr>
          <w:rFonts w:eastAsiaTheme="minorHAnsi"/>
          <w:b/>
          <w:sz w:val="26"/>
          <w:szCs w:val="26"/>
        </w:rPr>
        <w:lastRenderedPageBreak/>
        <w:t>Note to accompany Table II</w:t>
      </w:r>
    </w:p>
    <w:p w14:paraId="158ABD5E" w14:textId="77777777" w:rsidR="002D1361" w:rsidRPr="00344A5F" w:rsidRDefault="002D1361" w:rsidP="002F7509">
      <w:pPr>
        <w:widowControl/>
        <w:spacing w:line="276" w:lineRule="auto"/>
        <w:ind w:left="270" w:hanging="270"/>
        <w:contextualSpacing/>
        <w:rPr>
          <w:rFonts w:eastAsiaTheme="minorHAnsi"/>
          <w:bCs/>
          <w:sz w:val="26"/>
          <w:szCs w:val="26"/>
        </w:rPr>
      </w:pPr>
      <w:r w:rsidRPr="00344A5F">
        <w:rPr>
          <w:rFonts w:eastAsiaTheme="minorHAnsi"/>
          <w:bCs/>
          <w:sz w:val="26"/>
          <w:szCs w:val="26"/>
          <w:vertAlign w:val="superscript"/>
        </w:rPr>
        <w:t>(1)</w:t>
      </w:r>
      <w:r w:rsidRPr="00344A5F">
        <w:rPr>
          <w:rFonts w:eastAsiaTheme="minorHAnsi"/>
          <w:sz w:val="26"/>
          <w:szCs w:val="26"/>
        </w:rPr>
        <w:t xml:space="preserve"> </w:t>
      </w:r>
      <w:r w:rsidRPr="00344A5F">
        <w:rPr>
          <w:rFonts w:eastAsiaTheme="minorHAnsi"/>
          <w:bCs/>
          <w:sz w:val="26"/>
          <w:szCs w:val="26"/>
        </w:rPr>
        <w:t xml:space="preserve">Our downward adjustment to Columbia's Claim for Gas Safety initiatives consists of the following: </w:t>
      </w:r>
    </w:p>
    <w:p w14:paraId="068F6BA9" w14:textId="77777777" w:rsidR="002D1361" w:rsidRPr="00344A5F" w:rsidRDefault="002D1361" w:rsidP="002F7509">
      <w:pPr>
        <w:widowControl/>
        <w:spacing w:line="276" w:lineRule="auto"/>
        <w:ind w:left="270" w:hanging="270"/>
        <w:contextualSpacing/>
        <w:rPr>
          <w:rFonts w:eastAsiaTheme="minorHAnsi"/>
          <w:bCs/>
          <w:sz w:val="26"/>
          <w:szCs w:val="26"/>
        </w:rPr>
      </w:pPr>
      <w:r w:rsidRPr="00344A5F">
        <w:rPr>
          <w:rFonts w:eastAsiaTheme="minorHAnsi"/>
          <w:bCs/>
          <w:sz w:val="26"/>
          <w:szCs w:val="26"/>
        </w:rPr>
        <w:tab/>
        <w:t>-A downward adjustment of $185,000 to Columbia's claim for Gas Qualification Specialists (as recommended by the OCA)</w:t>
      </w:r>
    </w:p>
    <w:p w14:paraId="4721E1D3" w14:textId="77777777" w:rsidR="002D1361" w:rsidRPr="00344A5F" w:rsidRDefault="002D1361" w:rsidP="002F7509">
      <w:pPr>
        <w:widowControl/>
        <w:spacing w:line="276" w:lineRule="auto"/>
        <w:ind w:left="270" w:hanging="270"/>
        <w:contextualSpacing/>
        <w:rPr>
          <w:rFonts w:eastAsiaTheme="minorHAnsi"/>
          <w:bCs/>
          <w:sz w:val="26"/>
          <w:szCs w:val="26"/>
        </w:rPr>
      </w:pPr>
      <w:r w:rsidRPr="00344A5F">
        <w:rPr>
          <w:rFonts w:eastAsiaTheme="minorHAnsi"/>
          <w:bCs/>
          <w:sz w:val="26"/>
          <w:szCs w:val="26"/>
        </w:rPr>
        <w:tab/>
        <w:t>-A downward adjustment of $246,000 to Columbia's claim for Legacy Service Line Records Enhancement (granting Columbia Exc. No. 11, in part, and denying it, in part)</w:t>
      </w:r>
    </w:p>
    <w:p w14:paraId="79E134AA" w14:textId="77777777" w:rsidR="002D1361" w:rsidRPr="00344A5F" w:rsidRDefault="002D1361" w:rsidP="002F7509">
      <w:pPr>
        <w:widowControl/>
        <w:spacing w:line="276" w:lineRule="auto"/>
        <w:ind w:left="270" w:hanging="270"/>
        <w:contextualSpacing/>
        <w:rPr>
          <w:rFonts w:eastAsiaTheme="minorHAnsi"/>
          <w:bCs/>
          <w:sz w:val="26"/>
          <w:szCs w:val="26"/>
        </w:rPr>
      </w:pPr>
      <w:r w:rsidRPr="00344A5F">
        <w:rPr>
          <w:rFonts w:eastAsiaTheme="minorHAnsi"/>
          <w:bCs/>
          <w:sz w:val="26"/>
          <w:szCs w:val="26"/>
        </w:rPr>
        <w:tab/>
        <w:t>-A downward adjustment of $800,000 to Columbia's claim for Customer-owned Field Assembled Riser Replacements  (granting Columbia Exc. No. 12, in part, and denying it, in part)</w:t>
      </w:r>
    </w:p>
    <w:p w14:paraId="4FAE55DE" w14:textId="77777777" w:rsidR="002D1361" w:rsidRPr="00344A5F" w:rsidRDefault="002D1361" w:rsidP="002F7509">
      <w:pPr>
        <w:widowControl/>
        <w:spacing w:line="276" w:lineRule="auto"/>
        <w:ind w:left="270" w:hanging="270"/>
        <w:contextualSpacing/>
        <w:rPr>
          <w:rFonts w:eastAsiaTheme="minorHAnsi"/>
          <w:bCs/>
          <w:sz w:val="26"/>
          <w:szCs w:val="26"/>
        </w:rPr>
      </w:pPr>
      <w:r w:rsidRPr="00344A5F">
        <w:rPr>
          <w:rFonts w:eastAsiaTheme="minorHAnsi"/>
          <w:bCs/>
          <w:sz w:val="26"/>
          <w:szCs w:val="26"/>
        </w:rPr>
        <w:tab/>
        <w:t>-We have granted Columbia's Exception No. 5.  Therefore, no adjustment has been made to the Company's claim for Cross Bore Identification</w:t>
      </w:r>
    </w:p>
    <w:p w14:paraId="6E210614" w14:textId="77777777" w:rsidR="002D1361" w:rsidRPr="00344A5F" w:rsidRDefault="002D1361" w:rsidP="002F7509">
      <w:pPr>
        <w:widowControl/>
        <w:spacing w:line="276" w:lineRule="auto"/>
        <w:ind w:left="270" w:hanging="270"/>
        <w:contextualSpacing/>
        <w:rPr>
          <w:rFonts w:eastAsiaTheme="minorHAnsi"/>
          <w:bCs/>
          <w:sz w:val="26"/>
          <w:szCs w:val="26"/>
        </w:rPr>
      </w:pPr>
      <w:r w:rsidRPr="00344A5F">
        <w:rPr>
          <w:rFonts w:eastAsiaTheme="minorHAnsi"/>
          <w:bCs/>
          <w:sz w:val="26"/>
          <w:szCs w:val="26"/>
        </w:rPr>
        <w:tab/>
        <w:t>-Total Adjustment: [-($185,000 + $246,000 + $800,000)] = -$1,231,000</w:t>
      </w:r>
    </w:p>
    <w:p w14:paraId="03F324B5" w14:textId="77777777" w:rsidR="002D1361" w:rsidRPr="00344A5F" w:rsidRDefault="002D1361" w:rsidP="002F7509">
      <w:pPr>
        <w:widowControl/>
        <w:spacing w:line="276" w:lineRule="auto"/>
        <w:ind w:left="180" w:hanging="180"/>
        <w:contextualSpacing/>
        <w:rPr>
          <w:rFonts w:eastAsiaTheme="minorHAnsi"/>
          <w:bCs/>
          <w:sz w:val="26"/>
          <w:szCs w:val="26"/>
        </w:rPr>
      </w:pPr>
    </w:p>
    <w:p w14:paraId="21D3D58C" w14:textId="77777777" w:rsidR="002D1361" w:rsidRPr="00344A5F" w:rsidRDefault="002D1361" w:rsidP="002F7509">
      <w:pPr>
        <w:widowControl/>
        <w:spacing w:line="276" w:lineRule="auto"/>
        <w:contextualSpacing/>
        <w:jc w:val="center"/>
        <w:rPr>
          <w:rFonts w:eastAsiaTheme="minorHAnsi"/>
          <w:b/>
          <w:sz w:val="26"/>
          <w:szCs w:val="26"/>
        </w:rPr>
      </w:pPr>
    </w:p>
    <w:p w14:paraId="70F647C8" w14:textId="77777777" w:rsidR="002D1361" w:rsidRPr="00344A5F" w:rsidRDefault="002D1361" w:rsidP="002F7509">
      <w:pPr>
        <w:widowControl/>
        <w:tabs>
          <w:tab w:val="left" w:pos="-720"/>
        </w:tabs>
        <w:suppressAutoHyphens/>
        <w:contextualSpacing/>
        <w:rPr>
          <w:sz w:val="26"/>
          <w:szCs w:val="26"/>
        </w:rPr>
        <w:sectPr w:rsidR="002D1361" w:rsidRPr="00344A5F" w:rsidSect="001D1ACE">
          <w:pgSz w:w="15840" w:h="12240" w:orient="landscape"/>
          <w:pgMar w:top="1440" w:right="1440" w:bottom="1440" w:left="1440" w:header="720" w:footer="720" w:gutter="0"/>
          <w:cols w:space="720"/>
          <w:titlePg/>
          <w:docGrid w:linePitch="360"/>
        </w:sectPr>
      </w:pPr>
    </w:p>
    <w:p w14:paraId="1A6109C6" w14:textId="0D2C11D9" w:rsidR="00F3362E" w:rsidRPr="00344A5F" w:rsidRDefault="000C0928" w:rsidP="002F7509">
      <w:pPr>
        <w:widowControl/>
        <w:tabs>
          <w:tab w:val="left" w:pos="-720"/>
        </w:tabs>
        <w:suppressAutoHyphens/>
        <w:contextualSpacing/>
        <w:jc w:val="center"/>
        <w:rPr>
          <w:sz w:val="26"/>
          <w:szCs w:val="26"/>
        </w:rPr>
      </w:pPr>
      <w:r w:rsidRPr="00344A5F">
        <w:rPr>
          <w:noProof/>
          <w:sz w:val="26"/>
          <w:szCs w:val="26"/>
        </w:rPr>
        <w:lastRenderedPageBreak/>
        <w:drawing>
          <wp:inline distT="0" distB="0" distL="0" distR="0" wp14:anchorId="6EB5672E" wp14:editId="5CA1285F">
            <wp:extent cx="5705475" cy="6566078"/>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923" t="30042" r="69391" b="8685"/>
                    <a:stretch/>
                  </pic:blipFill>
                  <pic:spPr bwMode="auto">
                    <a:xfrm>
                      <a:off x="0" y="0"/>
                      <a:ext cx="5820211" cy="6698121"/>
                    </a:xfrm>
                    <a:prstGeom prst="rect">
                      <a:avLst/>
                    </a:prstGeom>
                    <a:ln>
                      <a:noFill/>
                    </a:ln>
                    <a:extLst>
                      <a:ext uri="{53640926-AAD7-44D8-BBD7-CCE9431645EC}">
                        <a14:shadowObscured xmlns:a14="http://schemas.microsoft.com/office/drawing/2010/main"/>
                      </a:ext>
                    </a:extLst>
                  </pic:spPr>
                </pic:pic>
              </a:graphicData>
            </a:graphic>
          </wp:inline>
        </w:drawing>
      </w:r>
    </w:p>
    <w:p w14:paraId="30DA0E0D" w14:textId="77777777" w:rsidR="00ED11FA" w:rsidRPr="00344A5F" w:rsidRDefault="00ED11FA" w:rsidP="002F7509">
      <w:pPr>
        <w:widowControl/>
        <w:tabs>
          <w:tab w:val="left" w:pos="-720"/>
        </w:tabs>
        <w:suppressAutoHyphens/>
        <w:contextualSpacing/>
        <w:rPr>
          <w:sz w:val="26"/>
          <w:szCs w:val="26"/>
        </w:rPr>
        <w:sectPr w:rsidR="00ED11FA" w:rsidRPr="00344A5F" w:rsidSect="001D1ACE">
          <w:pgSz w:w="12240" w:h="15840"/>
          <w:pgMar w:top="1440" w:right="1440" w:bottom="1440" w:left="1440" w:header="720" w:footer="720" w:gutter="0"/>
          <w:cols w:space="720"/>
          <w:titlePg/>
          <w:docGrid w:linePitch="360"/>
        </w:sectPr>
      </w:pPr>
    </w:p>
    <w:p w14:paraId="1B75A62A" w14:textId="5C8A1AB9" w:rsidR="00A7265A" w:rsidRPr="00344A5F" w:rsidRDefault="002F121D" w:rsidP="002F7509">
      <w:pPr>
        <w:widowControl/>
        <w:tabs>
          <w:tab w:val="left" w:pos="-720"/>
        </w:tabs>
        <w:suppressAutoHyphens/>
        <w:contextualSpacing/>
        <w:jc w:val="center"/>
        <w:rPr>
          <w:sz w:val="26"/>
          <w:szCs w:val="26"/>
        </w:rPr>
      </w:pPr>
      <w:r w:rsidRPr="00344A5F">
        <w:rPr>
          <w:noProof/>
          <w:sz w:val="26"/>
          <w:szCs w:val="26"/>
        </w:rPr>
        <w:lastRenderedPageBreak/>
        <w:drawing>
          <wp:inline distT="0" distB="0" distL="0" distR="0" wp14:anchorId="39300CC4" wp14:editId="036681B7">
            <wp:extent cx="6934200" cy="5369659"/>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504" t="30073" r="56945" b="10210"/>
                    <a:stretch/>
                  </pic:blipFill>
                  <pic:spPr bwMode="auto">
                    <a:xfrm>
                      <a:off x="0" y="0"/>
                      <a:ext cx="6992367" cy="5414702"/>
                    </a:xfrm>
                    <a:prstGeom prst="rect">
                      <a:avLst/>
                    </a:prstGeom>
                    <a:ln>
                      <a:noFill/>
                    </a:ln>
                    <a:extLst>
                      <a:ext uri="{53640926-AAD7-44D8-BBD7-CCE9431645EC}">
                        <a14:shadowObscured xmlns:a14="http://schemas.microsoft.com/office/drawing/2010/main"/>
                      </a:ext>
                    </a:extLst>
                  </pic:spPr>
                </pic:pic>
              </a:graphicData>
            </a:graphic>
          </wp:inline>
        </w:drawing>
      </w:r>
    </w:p>
    <w:p w14:paraId="268B274F" w14:textId="77777777" w:rsidR="00FA2D38" w:rsidRPr="00344A5F" w:rsidRDefault="00FA2D38" w:rsidP="002F7509">
      <w:pPr>
        <w:widowControl/>
        <w:tabs>
          <w:tab w:val="left" w:pos="-720"/>
        </w:tabs>
        <w:suppressAutoHyphens/>
        <w:contextualSpacing/>
        <w:rPr>
          <w:sz w:val="26"/>
          <w:szCs w:val="26"/>
        </w:rPr>
        <w:sectPr w:rsidR="00FA2D38" w:rsidRPr="00344A5F" w:rsidSect="001D1ACE">
          <w:pgSz w:w="15840" w:h="12240" w:orient="landscape"/>
          <w:pgMar w:top="1440" w:right="1440" w:bottom="1440" w:left="1440" w:header="720" w:footer="720" w:gutter="0"/>
          <w:cols w:space="720"/>
          <w:titlePg/>
          <w:docGrid w:linePitch="360"/>
        </w:sectPr>
      </w:pPr>
    </w:p>
    <w:p w14:paraId="7E82C077" w14:textId="5C11C48D" w:rsidR="00FA2D38" w:rsidRPr="00344A5F" w:rsidRDefault="00176980" w:rsidP="002F7509">
      <w:pPr>
        <w:widowControl/>
        <w:tabs>
          <w:tab w:val="left" w:pos="-720"/>
        </w:tabs>
        <w:suppressAutoHyphens/>
        <w:contextualSpacing/>
        <w:rPr>
          <w:sz w:val="26"/>
          <w:szCs w:val="26"/>
        </w:rPr>
      </w:pPr>
      <w:r w:rsidRPr="00344A5F">
        <w:rPr>
          <w:noProof/>
          <w:sz w:val="26"/>
          <w:szCs w:val="26"/>
        </w:rPr>
        <w:lastRenderedPageBreak/>
        <w:drawing>
          <wp:inline distT="0" distB="0" distL="0" distR="0" wp14:anchorId="30AE4372" wp14:editId="285E274F">
            <wp:extent cx="8083062" cy="37528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083" t="30717" r="36342" b="16225"/>
                    <a:stretch/>
                  </pic:blipFill>
                  <pic:spPr bwMode="auto">
                    <a:xfrm>
                      <a:off x="0" y="0"/>
                      <a:ext cx="8124566" cy="3772120"/>
                    </a:xfrm>
                    <a:prstGeom prst="rect">
                      <a:avLst/>
                    </a:prstGeom>
                    <a:ln>
                      <a:noFill/>
                    </a:ln>
                    <a:extLst>
                      <a:ext uri="{53640926-AAD7-44D8-BBD7-CCE9431645EC}">
                        <a14:shadowObscured xmlns:a14="http://schemas.microsoft.com/office/drawing/2010/main"/>
                      </a:ext>
                    </a:extLst>
                  </pic:spPr>
                </pic:pic>
              </a:graphicData>
            </a:graphic>
          </wp:inline>
        </w:drawing>
      </w:r>
    </w:p>
    <w:p w14:paraId="1271CD68" w14:textId="77777777" w:rsidR="00176980" w:rsidRPr="00344A5F" w:rsidRDefault="00176980" w:rsidP="002F7509">
      <w:pPr>
        <w:widowControl/>
        <w:tabs>
          <w:tab w:val="left" w:pos="-720"/>
        </w:tabs>
        <w:suppressAutoHyphens/>
        <w:contextualSpacing/>
        <w:rPr>
          <w:sz w:val="26"/>
          <w:szCs w:val="26"/>
        </w:rPr>
      </w:pPr>
    </w:p>
    <w:p w14:paraId="7B3155E8" w14:textId="77777777" w:rsidR="00AD3E2E" w:rsidRPr="00344A5F" w:rsidRDefault="00AD3E2E" w:rsidP="002F7509">
      <w:pPr>
        <w:widowControl/>
        <w:tabs>
          <w:tab w:val="left" w:pos="-720"/>
        </w:tabs>
        <w:suppressAutoHyphens/>
        <w:contextualSpacing/>
        <w:rPr>
          <w:sz w:val="26"/>
          <w:szCs w:val="26"/>
        </w:rPr>
        <w:sectPr w:rsidR="00AD3E2E" w:rsidRPr="00344A5F" w:rsidSect="001D1ACE">
          <w:pgSz w:w="15840" w:h="12240" w:orient="landscape"/>
          <w:pgMar w:top="1440" w:right="1440" w:bottom="1440" w:left="1440" w:header="720" w:footer="720" w:gutter="0"/>
          <w:cols w:space="720"/>
          <w:titlePg/>
          <w:docGrid w:linePitch="360"/>
        </w:sectPr>
      </w:pPr>
    </w:p>
    <w:p w14:paraId="7844F585" w14:textId="5C0C9811" w:rsidR="00AD3E2E" w:rsidRPr="00344A5F" w:rsidRDefault="00A51872" w:rsidP="002F7509">
      <w:pPr>
        <w:widowControl/>
        <w:tabs>
          <w:tab w:val="left" w:pos="-720"/>
        </w:tabs>
        <w:suppressAutoHyphens/>
        <w:contextualSpacing/>
        <w:jc w:val="center"/>
        <w:rPr>
          <w:sz w:val="26"/>
          <w:szCs w:val="26"/>
        </w:rPr>
      </w:pPr>
      <w:r w:rsidRPr="00344A5F">
        <w:rPr>
          <w:noProof/>
          <w:sz w:val="26"/>
          <w:szCs w:val="26"/>
        </w:rPr>
        <w:lastRenderedPageBreak/>
        <w:drawing>
          <wp:inline distT="0" distB="0" distL="0" distR="0" wp14:anchorId="6A32A308" wp14:editId="3A949EC9">
            <wp:extent cx="7419435" cy="56197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852" t="30073" r="55440" b="7847"/>
                    <a:stretch/>
                  </pic:blipFill>
                  <pic:spPr bwMode="auto">
                    <a:xfrm>
                      <a:off x="0" y="0"/>
                      <a:ext cx="7495509" cy="5677371"/>
                    </a:xfrm>
                    <a:prstGeom prst="rect">
                      <a:avLst/>
                    </a:prstGeom>
                    <a:ln>
                      <a:noFill/>
                    </a:ln>
                    <a:extLst>
                      <a:ext uri="{53640926-AAD7-44D8-BBD7-CCE9431645EC}">
                        <a14:shadowObscured xmlns:a14="http://schemas.microsoft.com/office/drawing/2010/main"/>
                      </a:ext>
                    </a:extLst>
                  </pic:spPr>
                </pic:pic>
              </a:graphicData>
            </a:graphic>
          </wp:inline>
        </w:drawing>
      </w:r>
    </w:p>
    <w:p w14:paraId="6511E8CE" w14:textId="77777777" w:rsidR="00A51872" w:rsidRPr="00344A5F" w:rsidRDefault="00A51872" w:rsidP="002F7509">
      <w:pPr>
        <w:widowControl/>
        <w:tabs>
          <w:tab w:val="left" w:pos="-720"/>
        </w:tabs>
        <w:suppressAutoHyphens/>
        <w:contextualSpacing/>
        <w:rPr>
          <w:sz w:val="26"/>
          <w:szCs w:val="26"/>
        </w:rPr>
      </w:pPr>
    </w:p>
    <w:p w14:paraId="21BF61C4" w14:textId="77777777" w:rsidR="00A51872" w:rsidRPr="00344A5F" w:rsidRDefault="00A51872" w:rsidP="002F7509">
      <w:pPr>
        <w:widowControl/>
        <w:tabs>
          <w:tab w:val="left" w:pos="-720"/>
        </w:tabs>
        <w:suppressAutoHyphens/>
        <w:contextualSpacing/>
        <w:rPr>
          <w:sz w:val="26"/>
          <w:szCs w:val="26"/>
        </w:rPr>
        <w:sectPr w:rsidR="00A51872" w:rsidRPr="00344A5F" w:rsidSect="001D1ACE">
          <w:pgSz w:w="15840" w:h="12240" w:orient="landscape"/>
          <w:pgMar w:top="1440" w:right="1440" w:bottom="1440" w:left="1440" w:header="720" w:footer="720" w:gutter="0"/>
          <w:cols w:space="720"/>
          <w:titlePg/>
          <w:docGrid w:linePitch="360"/>
        </w:sectPr>
      </w:pPr>
    </w:p>
    <w:p w14:paraId="6421ADFF" w14:textId="7519E8AC" w:rsidR="00A51872" w:rsidRPr="00344A5F" w:rsidRDefault="00DC5D51" w:rsidP="002F7509">
      <w:pPr>
        <w:widowControl/>
        <w:tabs>
          <w:tab w:val="left" w:pos="-720"/>
        </w:tabs>
        <w:suppressAutoHyphens/>
        <w:contextualSpacing/>
        <w:rPr>
          <w:sz w:val="26"/>
          <w:szCs w:val="26"/>
        </w:rPr>
      </w:pPr>
      <w:r w:rsidRPr="00344A5F">
        <w:rPr>
          <w:noProof/>
          <w:sz w:val="26"/>
          <w:szCs w:val="26"/>
        </w:rPr>
        <w:lastRenderedPageBreak/>
        <w:drawing>
          <wp:inline distT="0" distB="0" distL="0" distR="0" wp14:anchorId="7E000ED5" wp14:editId="432C1D6D">
            <wp:extent cx="5855660" cy="29622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564" t="32421" r="42948" b="16419"/>
                    <a:stretch/>
                  </pic:blipFill>
                  <pic:spPr bwMode="auto">
                    <a:xfrm>
                      <a:off x="0" y="0"/>
                      <a:ext cx="5855660" cy="2962275"/>
                    </a:xfrm>
                    <a:prstGeom prst="rect">
                      <a:avLst/>
                    </a:prstGeom>
                    <a:ln>
                      <a:noFill/>
                    </a:ln>
                    <a:extLst>
                      <a:ext uri="{53640926-AAD7-44D8-BBD7-CCE9431645EC}">
                        <a14:shadowObscured xmlns:a14="http://schemas.microsoft.com/office/drawing/2010/main"/>
                      </a:ext>
                    </a:extLst>
                  </pic:spPr>
                </pic:pic>
              </a:graphicData>
            </a:graphic>
          </wp:inline>
        </w:drawing>
      </w:r>
    </w:p>
    <w:sectPr w:rsidR="00A51872" w:rsidRPr="00344A5F" w:rsidSect="001D1ACE">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1FE0E5" w14:textId="77777777" w:rsidR="00F1333A" w:rsidRDefault="00F1333A" w:rsidP="002179E4">
      <w:r>
        <w:separator/>
      </w:r>
    </w:p>
  </w:endnote>
  <w:endnote w:type="continuationSeparator" w:id="0">
    <w:p w14:paraId="68984A81" w14:textId="77777777" w:rsidR="00F1333A" w:rsidRDefault="00F1333A" w:rsidP="002179E4">
      <w:r>
        <w:continuationSeparator/>
      </w:r>
    </w:p>
  </w:endnote>
  <w:endnote w:type="continuationNotice" w:id="1">
    <w:p w14:paraId="02BAE5BA" w14:textId="77777777" w:rsidR="00F1333A" w:rsidRDefault="00F133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font>
  <w:font w:name="Cambria">
    <w:panose1 w:val="02040503050406030204"/>
    <w:charset w:val="00"/>
    <w:family w:val="roman"/>
    <w:pitch w:val="variable"/>
    <w:sig w:usb0="E00006FF" w:usb1="400004FF"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imesNewRomanPSMT">
    <w:altName w:val="Yu Goth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49572279"/>
      <w:docPartObj>
        <w:docPartGallery w:val="Page Numbers (Bottom of Page)"/>
        <w:docPartUnique/>
      </w:docPartObj>
    </w:sdtPr>
    <w:sdtEndPr>
      <w:rPr>
        <w:noProof/>
        <w:sz w:val="26"/>
        <w:szCs w:val="26"/>
      </w:rPr>
    </w:sdtEndPr>
    <w:sdtContent>
      <w:p w14:paraId="3B6A29DC" w14:textId="141D3FC0" w:rsidR="009160F2" w:rsidRPr="006222EC" w:rsidRDefault="009160F2" w:rsidP="001953F3">
        <w:pPr>
          <w:pStyle w:val="Footer"/>
          <w:jc w:val="center"/>
          <w:rPr>
            <w:noProof/>
            <w:sz w:val="26"/>
            <w:szCs w:val="26"/>
          </w:rPr>
        </w:pPr>
        <w:r w:rsidRPr="007D4428">
          <w:rPr>
            <w:noProof/>
            <w:sz w:val="26"/>
            <w:szCs w:val="26"/>
          </w:rPr>
          <w:fldChar w:fldCharType="begin"/>
        </w:r>
        <w:r w:rsidRPr="007D4428">
          <w:rPr>
            <w:noProof/>
            <w:sz w:val="26"/>
            <w:szCs w:val="26"/>
          </w:rPr>
          <w:instrText xml:space="preserve"> PAGE   \* MERGEFORMAT </w:instrText>
        </w:r>
        <w:r w:rsidRPr="007D4428">
          <w:rPr>
            <w:noProof/>
            <w:sz w:val="26"/>
            <w:szCs w:val="26"/>
          </w:rPr>
          <w:fldChar w:fldCharType="separate"/>
        </w:r>
        <w:r w:rsidRPr="007D4428">
          <w:rPr>
            <w:noProof/>
            <w:sz w:val="26"/>
            <w:szCs w:val="26"/>
          </w:rPr>
          <w:t>68</w:t>
        </w:r>
        <w:r w:rsidRPr="007D4428">
          <w:rPr>
            <w:noProof/>
            <w:sz w:val="26"/>
            <w:szCs w:val="2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E44377" w14:textId="31D65979" w:rsidR="009160F2" w:rsidRDefault="009160F2" w:rsidP="00075D55">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08524296"/>
      <w:docPartObj>
        <w:docPartGallery w:val="Page Numbers (Bottom of Page)"/>
        <w:docPartUnique/>
      </w:docPartObj>
    </w:sdtPr>
    <w:sdtEndPr>
      <w:rPr>
        <w:noProof/>
        <w:sz w:val="26"/>
        <w:szCs w:val="26"/>
      </w:rPr>
    </w:sdtEndPr>
    <w:sdtContent>
      <w:p w14:paraId="2A0764B6" w14:textId="70A203EF" w:rsidR="00151C5E" w:rsidRPr="001D1ACE" w:rsidRDefault="001D1ACE" w:rsidP="001D1ACE">
        <w:pPr>
          <w:pStyle w:val="Footer"/>
          <w:jc w:val="center"/>
          <w:rPr>
            <w:sz w:val="26"/>
            <w:szCs w:val="26"/>
          </w:rPr>
        </w:pPr>
        <w:r w:rsidRPr="001D1ACE">
          <w:rPr>
            <w:sz w:val="26"/>
            <w:szCs w:val="26"/>
          </w:rPr>
          <w:fldChar w:fldCharType="begin"/>
        </w:r>
        <w:r w:rsidRPr="001D1ACE">
          <w:rPr>
            <w:sz w:val="26"/>
            <w:szCs w:val="26"/>
          </w:rPr>
          <w:instrText xml:space="preserve"> PAGE   \* MERGEFORMAT </w:instrText>
        </w:r>
        <w:r w:rsidRPr="001D1ACE">
          <w:rPr>
            <w:sz w:val="26"/>
            <w:szCs w:val="26"/>
          </w:rPr>
          <w:fldChar w:fldCharType="separate"/>
        </w:r>
        <w:r w:rsidRPr="001D1ACE">
          <w:rPr>
            <w:noProof/>
            <w:sz w:val="26"/>
            <w:szCs w:val="26"/>
          </w:rPr>
          <w:t>2</w:t>
        </w:r>
        <w:r w:rsidRPr="001D1ACE">
          <w:rPr>
            <w:noProof/>
            <w:sz w:val="26"/>
            <w:szCs w:val="2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474F9F" w14:textId="77777777" w:rsidR="00F1333A" w:rsidRDefault="00F1333A" w:rsidP="002179E4">
      <w:r>
        <w:separator/>
      </w:r>
    </w:p>
  </w:footnote>
  <w:footnote w:type="continuationSeparator" w:id="0">
    <w:p w14:paraId="04940D2E" w14:textId="77777777" w:rsidR="00F1333A" w:rsidRDefault="00F1333A" w:rsidP="002179E4">
      <w:r>
        <w:continuationSeparator/>
      </w:r>
    </w:p>
  </w:footnote>
  <w:footnote w:type="continuationNotice" w:id="1">
    <w:p w14:paraId="70CAA4EE" w14:textId="77777777" w:rsidR="00F1333A" w:rsidRDefault="00F1333A"/>
  </w:footnote>
  <w:footnote w:id="2">
    <w:p w14:paraId="3334A210" w14:textId="2BD066C0" w:rsidR="009160F2" w:rsidRPr="00022E11" w:rsidRDefault="009160F2" w:rsidP="00022E11">
      <w:pPr>
        <w:pStyle w:val="FootnoteText"/>
        <w:keepNext/>
        <w:keepLines/>
        <w:spacing w:line="240" w:lineRule="auto"/>
        <w:contextualSpacing/>
        <w:jc w:val="left"/>
        <w:rPr>
          <w:sz w:val="26"/>
          <w:szCs w:val="26"/>
        </w:rPr>
      </w:pPr>
      <w:r w:rsidRPr="00022E11">
        <w:rPr>
          <w:rStyle w:val="FootnoteReference"/>
          <w:sz w:val="26"/>
          <w:szCs w:val="26"/>
        </w:rPr>
        <w:footnoteRef/>
      </w:r>
      <w:r w:rsidRPr="00022E11">
        <w:rPr>
          <w:sz w:val="26"/>
          <w:szCs w:val="26"/>
        </w:rPr>
        <w:t xml:space="preserve"> </w:t>
      </w:r>
      <w:r w:rsidRPr="00022E11">
        <w:rPr>
          <w:sz w:val="26"/>
          <w:szCs w:val="26"/>
        </w:rPr>
        <w:tab/>
        <w:t>Columbia’s proposed increase of $100,437,420 in annual operating revenue is comprised of a $97,646,819 increase in base rate revenues</w:t>
      </w:r>
      <w:r>
        <w:rPr>
          <w:sz w:val="26"/>
          <w:szCs w:val="26"/>
        </w:rPr>
        <w:t>;</w:t>
      </w:r>
      <w:r w:rsidRPr="00022E11">
        <w:rPr>
          <w:sz w:val="26"/>
          <w:szCs w:val="26"/>
        </w:rPr>
        <w:t xml:space="preserve"> a $4,752,145 increase in revenue received through its Universal Service Program (USP) Rider, as a result of the reassignment of the revenue increment not assigned to Customer Assistance Program (CAP) customers</w:t>
      </w:r>
      <w:r>
        <w:rPr>
          <w:sz w:val="26"/>
          <w:szCs w:val="26"/>
        </w:rPr>
        <w:t>;</w:t>
      </w:r>
      <w:r w:rsidRPr="00022E11">
        <w:rPr>
          <w:sz w:val="26"/>
          <w:szCs w:val="26"/>
        </w:rPr>
        <w:t xml:space="preserve"> a $2,153,314 reduction in revenue received through the Gas Procurement Charge (GPC) Rider</w:t>
      </w:r>
      <w:r>
        <w:rPr>
          <w:sz w:val="26"/>
          <w:szCs w:val="26"/>
        </w:rPr>
        <w:t>;</w:t>
      </w:r>
      <w:r w:rsidRPr="00022E11">
        <w:rPr>
          <w:sz w:val="26"/>
          <w:szCs w:val="26"/>
        </w:rPr>
        <w:t xml:space="preserve"> and a projected increase in revenue from late payment fees of $191,770.  </w:t>
      </w:r>
      <w:r w:rsidRPr="00022E11">
        <w:rPr>
          <w:i/>
          <w:iCs/>
          <w:sz w:val="26"/>
          <w:szCs w:val="26"/>
        </w:rPr>
        <w:t>See</w:t>
      </w:r>
      <w:r w:rsidRPr="003078BB">
        <w:rPr>
          <w:sz w:val="26"/>
          <w:szCs w:val="26"/>
        </w:rPr>
        <w:t>,</w:t>
      </w:r>
      <w:r w:rsidRPr="00022E11">
        <w:rPr>
          <w:sz w:val="26"/>
          <w:szCs w:val="26"/>
        </w:rPr>
        <w:t xml:space="preserve"> CG Exh. 102, Sch. 3, p. 3.  Columbia subsequently revised its proposed revenue increase to $100,366,797, reflecting changes to the actual cost of long-term debt, budget billing modification costs, labor expense, and the 2020 Merit Increase Program.  Columbia St. 4-R at 2-3.   </w:t>
      </w:r>
    </w:p>
  </w:footnote>
  <w:footnote w:id="3">
    <w:p w14:paraId="285C34E3" w14:textId="6FDFE7FC" w:rsidR="009160F2" w:rsidRPr="00022E11" w:rsidRDefault="009160F2" w:rsidP="007C046E">
      <w:pPr>
        <w:pStyle w:val="FootnoteText"/>
        <w:keepNext/>
        <w:keepLines/>
        <w:spacing w:line="240" w:lineRule="auto"/>
        <w:contextualSpacing/>
        <w:jc w:val="left"/>
        <w:rPr>
          <w:sz w:val="26"/>
          <w:szCs w:val="26"/>
        </w:rPr>
      </w:pPr>
      <w:r w:rsidRPr="00022E11">
        <w:rPr>
          <w:rStyle w:val="FootnoteReference"/>
          <w:sz w:val="26"/>
          <w:szCs w:val="26"/>
        </w:rPr>
        <w:footnoteRef/>
      </w:r>
      <w:r w:rsidRPr="00022E11">
        <w:rPr>
          <w:sz w:val="26"/>
          <w:szCs w:val="26"/>
        </w:rPr>
        <w:t xml:space="preserve"> </w:t>
      </w:r>
      <w:r w:rsidRPr="00022E11">
        <w:rPr>
          <w:sz w:val="26"/>
          <w:szCs w:val="26"/>
        </w:rPr>
        <w:tab/>
        <w:t>The future test year (</w:t>
      </w:r>
      <w:bookmarkStart w:id="8" w:name="_Hlk63272330"/>
      <w:r w:rsidRPr="00022E11">
        <w:rPr>
          <w:sz w:val="26"/>
          <w:szCs w:val="26"/>
        </w:rPr>
        <w:t>FTY</w:t>
      </w:r>
      <w:bookmarkEnd w:id="8"/>
      <w:r w:rsidRPr="00022E11">
        <w:rPr>
          <w:sz w:val="26"/>
          <w:szCs w:val="26"/>
        </w:rPr>
        <w:t>) ended November 30, 2020, and the historic test year (HTY) ended November 30, 2019.</w:t>
      </w:r>
    </w:p>
  </w:footnote>
  <w:footnote w:id="4">
    <w:p w14:paraId="7BEA929C" w14:textId="0006CD95" w:rsidR="009160F2" w:rsidRPr="00022E11" w:rsidRDefault="009160F2" w:rsidP="00022E11">
      <w:pPr>
        <w:pStyle w:val="FootnoteText"/>
        <w:keepNext/>
        <w:keepLines/>
        <w:spacing w:line="240" w:lineRule="auto"/>
        <w:contextualSpacing/>
        <w:jc w:val="left"/>
        <w:rPr>
          <w:sz w:val="26"/>
          <w:szCs w:val="26"/>
        </w:rPr>
      </w:pPr>
      <w:r w:rsidRPr="00022E11">
        <w:rPr>
          <w:rStyle w:val="FootnoteReference"/>
          <w:sz w:val="26"/>
          <w:szCs w:val="26"/>
        </w:rPr>
        <w:footnoteRef/>
      </w:r>
      <w:r w:rsidRPr="00022E11">
        <w:rPr>
          <w:sz w:val="26"/>
          <w:szCs w:val="26"/>
        </w:rPr>
        <w:t xml:space="preserve"> </w:t>
      </w:r>
      <w:r w:rsidRPr="00022E11">
        <w:rPr>
          <w:sz w:val="26"/>
          <w:szCs w:val="26"/>
        </w:rPr>
        <w:tab/>
        <w:t>Originally, Columbia expected to file this base rate request on or before March 20, 2020.  However, beginning on March 16, 2020, pursuant to an Executive Order issued by the Pennsylvania Deputy Secretary for Human Resources and Management due to the COVID-19 disaster emergency declaration of the Governor, the Commission’s physical offices were closed.  As of the entry date of this Opinion and Order, the Commission’s office buildings remain closed due to the COVID-19 disaster emergency; however, the Commission remains fully operational with its staff teleworking.  All business was conducted electronic</w:t>
      </w:r>
      <w:r>
        <w:rPr>
          <w:sz w:val="26"/>
          <w:szCs w:val="26"/>
        </w:rPr>
        <w:t>ally</w:t>
      </w:r>
      <w:r w:rsidRPr="00022E11">
        <w:rPr>
          <w:sz w:val="26"/>
          <w:szCs w:val="26"/>
        </w:rPr>
        <w:t xml:space="preserve"> and/or telephonically.  On March</w:t>
      </w:r>
      <w:r w:rsidR="007927EE">
        <w:rPr>
          <w:sz w:val="26"/>
          <w:szCs w:val="26"/>
        </w:rPr>
        <w:t> </w:t>
      </w:r>
      <w:r w:rsidRPr="00022E11">
        <w:rPr>
          <w:sz w:val="26"/>
          <w:szCs w:val="26"/>
        </w:rPr>
        <w:t>25, 2020, Columbia requested to postpone the initial filing until on or before April</w:t>
      </w:r>
      <w:r w:rsidR="007927EE">
        <w:rPr>
          <w:sz w:val="26"/>
          <w:szCs w:val="26"/>
        </w:rPr>
        <w:t> </w:t>
      </w:r>
      <w:r w:rsidRPr="00022E11">
        <w:rPr>
          <w:sz w:val="26"/>
          <w:szCs w:val="26"/>
        </w:rPr>
        <w:t xml:space="preserve">28, 2020.  The Commission granted the Company’s request by Secretarial Letter issued on March 27, 2020.  </w:t>
      </w:r>
    </w:p>
  </w:footnote>
  <w:footnote w:id="5">
    <w:p w14:paraId="710755D1" w14:textId="11DA06B0" w:rsidR="009160F2" w:rsidRPr="00022E11" w:rsidRDefault="009160F2" w:rsidP="00022E11">
      <w:pPr>
        <w:pStyle w:val="FootnoteText"/>
        <w:keepNext/>
        <w:keepLines/>
        <w:spacing w:line="240" w:lineRule="auto"/>
        <w:contextualSpacing/>
        <w:jc w:val="left"/>
        <w:rPr>
          <w:sz w:val="26"/>
          <w:szCs w:val="26"/>
        </w:rPr>
      </w:pPr>
      <w:r w:rsidRPr="00022E11">
        <w:rPr>
          <w:rStyle w:val="FootnoteReference"/>
          <w:sz w:val="26"/>
          <w:szCs w:val="26"/>
        </w:rPr>
        <w:footnoteRef/>
      </w:r>
      <w:r w:rsidRPr="00022E11">
        <w:rPr>
          <w:sz w:val="26"/>
          <w:szCs w:val="26"/>
        </w:rPr>
        <w:t xml:space="preserve"> </w:t>
      </w:r>
      <w:r w:rsidRPr="00022E11">
        <w:rPr>
          <w:sz w:val="26"/>
          <w:szCs w:val="26"/>
        </w:rPr>
        <w:tab/>
        <w:t xml:space="preserve">By electronic mail on September 24, 2020, Mr. Ilie requested withdrawal of his Formal Complaint, which request was not opposed by any other Party.  </w:t>
      </w:r>
    </w:p>
  </w:footnote>
  <w:footnote w:id="6">
    <w:p w14:paraId="3BF9B7A1" w14:textId="44B9ECF7" w:rsidR="009160F2" w:rsidRPr="00022E11" w:rsidRDefault="009160F2" w:rsidP="00022E11">
      <w:pPr>
        <w:pStyle w:val="FootnoteText"/>
        <w:keepNext/>
        <w:keepLines/>
        <w:spacing w:line="240" w:lineRule="auto"/>
        <w:contextualSpacing/>
        <w:jc w:val="left"/>
        <w:rPr>
          <w:sz w:val="26"/>
          <w:szCs w:val="26"/>
        </w:rPr>
      </w:pPr>
      <w:r w:rsidRPr="00022E11">
        <w:rPr>
          <w:rStyle w:val="FootnoteReference"/>
          <w:sz w:val="26"/>
          <w:szCs w:val="26"/>
        </w:rPr>
        <w:footnoteRef/>
      </w:r>
      <w:r w:rsidRPr="00022E11">
        <w:rPr>
          <w:sz w:val="26"/>
          <w:szCs w:val="26"/>
        </w:rPr>
        <w:t xml:space="preserve"> </w:t>
      </w:r>
      <w:r w:rsidRPr="00022E11">
        <w:rPr>
          <w:sz w:val="26"/>
          <w:szCs w:val="26"/>
        </w:rPr>
        <w:tab/>
        <w:t xml:space="preserve">We note that the ALJ makes her recommendations on these elements in the alternative, should the Commission grant Columbia’s request to consider all the elements in its base rate increase request.  Accordingly, all of the ALJ’s recommendations discussed herein, with the exception of the recommendation to deny the rate increase request in its entirety, are recommendations the ALJ made “alternatively.”  </w:t>
      </w:r>
    </w:p>
  </w:footnote>
  <w:footnote w:id="7">
    <w:p w14:paraId="42AC5EA3" w14:textId="536308B3" w:rsidR="009160F2" w:rsidRPr="00022E11" w:rsidRDefault="009160F2" w:rsidP="00344F65">
      <w:pPr>
        <w:keepNext/>
        <w:keepLines/>
        <w:widowControl/>
        <w:ind w:firstLine="720"/>
        <w:contextualSpacing/>
        <w:rPr>
          <w:sz w:val="26"/>
          <w:szCs w:val="26"/>
        </w:rPr>
      </w:pPr>
      <w:r w:rsidRPr="00022E11">
        <w:rPr>
          <w:rStyle w:val="FootnoteReference"/>
          <w:sz w:val="26"/>
          <w:szCs w:val="26"/>
        </w:rPr>
        <w:footnoteRef/>
      </w:r>
      <w:r w:rsidRPr="00022E11">
        <w:rPr>
          <w:sz w:val="26"/>
          <w:szCs w:val="26"/>
        </w:rPr>
        <w:t xml:space="preserve"> </w:t>
      </w:r>
      <w:r w:rsidRPr="00022E11">
        <w:rPr>
          <w:sz w:val="26"/>
          <w:szCs w:val="26"/>
        </w:rPr>
        <w:tab/>
        <w:t xml:space="preserve">Among other things, Section 1308(d) of the Code requires the Commission to render a final decision granting or denying, in whole or in part, the general rate increase requested by a public utility, within a general time frame not to exceed seven months from the proposed effective date of the utility’s proposed tariff supplement.  </w:t>
      </w:r>
      <w:r w:rsidRPr="00022E11">
        <w:rPr>
          <w:i/>
          <w:sz w:val="26"/>
          <w:szCs w:val="26"/>
        </w:rPr>
        <w:t xml:space="preserve">See </w:t>
      </w:r>
      <w:r w:rsidRPr="00022E11">
        <w:rPr>
          <w:sz w:val="26"/>
          <w:szCs w:val="26"/>
        </w:rPr>
        <w:t xml:space="preserve">66 Pa. C.S. § 1308(d); </w:t>
      </w:r>
      <w:r w:rsidRPr="00022E11">
        <w:rPr>
          <w:i/>
          <w:sz w:val="26"/>
          <w:szCs w:val="26"/>
        </w:rPr>
        <w:t>see also</w:t>
      </w:r>
      <w:r w:rsidRPr="00022E11">
        <w:rPr>
          <w:sz w:val="26"/>
          <w:szCs w:val="26"/>
        </w:rPr>
        <w:t xml:space="preserve"> 52 Pa. Code § 53.31 (requiring a tariff proposing a rate increase to be effective upon sixty days’ advance notice).  Unless the utility voluntarily extends the suspension period, the Commission’s non-action within this timeframe means, by operation of law, the utility’s proposed general rate increase will go into effect, as proposed, at the end of such period.  </w:t>
      </w:r>
      <w:r w:rsidRPr="00022E11">
        <w:rPr>
          <w:i/>
          <w:sz w:val="26"/>
          <w:szCs w:val="26"/>
        </w:rPr>
        <w:t>See</w:t>
      </w:r>
      <w:r w:rsidRPr="00022E11">
        <w:rPr>
          <w:sz w:val="26"/>
          <w:szCs w:val="26"/>
        </w:rPr>
        <w:t xml:space="preserve"> 66 Pa. C.S. § 1308(d).</w:t>
      </w:r>
    </w:p>
  </w:footnote>
  <w:footnote w:id="8">
    <w:p w14:paraId="7922E28A" w14:textId="499CD536" w:rsidR="009160F2" w:rsidRPr="00022E11" w:rsidRDefault="009160F2" w:rsidP="00022E11">
      <w:pPr>
        <w:pStyle w:val="FootnoteText"/>
        <w:keepNext/>
        <w:keepLines/>
        <w:spacing w:line="240" w:lineRule="auto"/>
        <w:contextualSpacing/>
        <w:jc w:val="left"/>
        <w:rPr>
          <w:sz w:val="26"/>
          <w:szCs w:val="26"/>
        </w:rPr>
      </w:pPr>
      <w:r w:rsidRPr="00022E11">
        <w:rPr>
          <w:rStyle w:val="FootnoteReference"/>
          <w:sz w:val="26"/>
          <w:szCs w:val="26"/>
        </w:rPr>
        <w:footnoteRef/>
      </w:r>
      <w:r w:rsidRPr="00022E11">
        <w:rPr>
          <w:sz w:val="26"/>
          <w:szCs w:val="26"/>
        </w:rPr>
        <w:t xml:space="preserve"> </w:t>
      </w:r>
      <w:r w:rsidRPr="00022E11">
        <w:rPr>
          <w:sz w:val="26"/>
          <w:szCs w:val="26"/>
        </w:rPr>
        <w:tab/>
        <w:t xml:space="preserve">The $100.4 million increase was initially requested prior to certain concessions set forth in Columbia’s Exceptions.  After these concessions, Columbia’s proposed revenue increase is $76.8 million, reflecting an equity return of 9.86%, $20 million of which is a roll-in of current DSIC charges.  </w:t>
      </w:r>
      <w:r w:rsidRPr="00022E11">
        <w:rPr>
          <w:i/>
          <w:iCs/>
          <w:sz w:val="26"/>
          <w:szCs w:val="26"/>
        </w:rPr>
        <w:t>See, infra</w:t>
      </w:r>
      <w:r w:rsidRPr="00022E11">
        <w:rPr>
          <w:sz w:val="26"/>
          <w:szCs w:val="26"/>
        </w:rPr>
        <w:t>, CG Exc. Nos. 16, 17, and 20.</w:t>
      </w:r>
    </w:p>
  </w:footnote>
  <w:footnote w:id="9">
    <w:p w14:paraId="7EB918BF" w14:textId="4222404E" w:rsidR="009160F2" w:rsidRPr="00022E11" w:rsidRDefault="009160F2" w:rsidP="00022E11">
      <w:pPr>
        <w:pStyle w:val="FootnoteText"/>
        <w:keepNext/>
        <w:keepLines/>
        <w:spacing w:line="240" w:lineRule="auto"/>
        <w:contextualSpacing/>
        <w:jc w:val="left"/>
        <w:rPr>
          <w:sz w:val="26"/>
          <w:szCs w:val="26"/>
        </w:rPr>
      </w:pPr>
      <w:r w:rsidRPr="00022E11">
        <w:rPr>
          <w:rStyle w:val="FootnoteReference"/>
          <w:sz w:val="26"/>
          <w:szCs w:val="26"/>
        </w:rPr>
        <w:footnoteRef/>
      </w:r>
      <w:r w:rsidRPr="00022E11">
        <w:rPr>
          <w:sz w:val="26"/>
          <w:szCs w:val="26"/>
        </w:rPr>
        <w:tab/>
        <w:t xml:space="preserve">The ALJ rejected Columbia’s assertion that the opposing Parties were arguing that the base rate request is unreasonable because a large number of customers cannot afford the bills.  R.D. at 50.  </w:t>
      </w:r>
    </w:p>
  </w:footnote>
  <w:footnote w:id="10">
    <w:p w14:paraId="11B8415A" w14:textId="42F78FE7" w:rsidR="009160F2" w:rsidRPr="00022E11" w:rsidRDefault="009160F2" w:rsidP="00AE79C0">
      <w:pPr>
        <w:pStyle w:val="FootnoteText"/>
        <w:spacing w:after="120" w:line="240" w:lineRule="auto"/>
        <w:jc w:val="left"/>
        <w:rPr>
          <w:sz w:val="26"/>
          <w:szCs w:val="26"/>
        </w:rPr>
      </w:pPr>
      <w:r w:rsidRPr="00022E11">
        <w:rPr>
          <w:rStyle w:val="FootnoteReference"/>
          <w:sz w:val="26"/>
          <w:szCs w:val="26"/>
        </w:rPr>
        <w:footnoteRef/>
      </w:r>
      <w:r w:rsidRPr="00022E11">
        <w:rPr>
          <w:sz w:val="26"/>
          <w:szCs w:val="26"/>
        </w:rPr>
        <w:t xml:space="preserve"> </w:t>
      </w:r>
      <w:r w:rsidRPr="00022E11">
        <w:rPr>
          <w:sz w:val="26"/>
          <w:szCs w:val="26"/>
        </w:rPr>
        <w:tab/>
      </w:r>
      <w:r w:rsidRPr="00022E11">
        <w:rPr>
          <w:i/>
          <w:iCs/>
          <w:sz w:val="26"/>
          <w:szCs w:val="26"/>
        </w:rPr>
        <w:t xml:space="preserve">See </w:t>
      </w:r>
      <w:r w:rsidRPr="00022E11">
        <w:rPr>
          <w:sz w:val="26"/>
          <w:szCs w:val="26"/>
        </w:rPr>
        <w:t>CG M.B. at 26-30.</w:t>
      </w:r>
    </w:p>
  </w:footnote>
  <w:footnote w:id="11">
    <w:p w14:paraId="40666F7F" w14:textId="2BFDEB36" w:rsidR="009160F2" w:rsidRPr="00022E11" w:rsidRDefault="009160F2" w:rsidP="00312385">
      <w:pPr>
        <w:pStyle w:val="FootnoteText"/>
        <w:keepLines/>
        <w:spacing w:line="240" w:lineRule="auto"/>
        <w:jc w:val="left"/>
        <w:rPr>
          <w:sz w:val="26"/>
          <w:szCs w:val="26"/>
        </w:rPr>
      </w:pPr>
      <w:r w:rsidRPr="00022E11">
        <w:rPr>
          <w:rStyle w:val="FootnoteReference"/>
          <w:sz w:val="26"/>
          <w:szCs w:val="26"/>
        </w:rPr>
        <w:footnoteRef/>
      </w:r>
      <w:r w:rsidRPr="00022E11">
        <w:rPr>
          <w:sz w:val="26"/>
          <w:szCs w:val="26"/>
        </w:rPr>
        <w:t xml:space="preserve"> </w:t>
      </w:r>
      <w:r w:rsidRPr="00022E11">
        <w:rPr>
          <w:sz w:val="26"/>
          <w:szCs w:val="26"/>
        </w:rPr>
        <w:tab/>
        <w:t>In addition, Columbia notes that, subsequent to the close of the record in this case, the Commission approved a Columbia proposal to amend temporarily its Hardship Fund requirements to increase this income limit to assist customers impacted financially by COVID-19.  Columbia secured $400,000 in additional funding to fund this expansion.  CG Exc. at 6 (citing CG Exc. at 1-2).</w:t>
      </w:r>
    </w:p>
  </w:footnote>
  <w:footnote w:id="12">
    <w:p w14:paraId="2CEDA1F8" w14:textId="3E3798EC" w:rsidR="009160F2" w:rsidRPr="00022E11" w:rsidRDefault="009160F2" w:rsidP="00022E11">
      <w:pPr>
        <w:pStyle w:val="FootnoteText"/>
        <w:keepNext/>
        <w:keepLines/>
        <w:spacing w:line="240" w:lineRule="auto"/>
        <w:contextualSpacing/>
        <w:jc w:val="left"/>
        <w:rPr>
          <w:sz w:val="26"/>
          <w:szCs w:val="26"/>
        </w:rPr>
      </w:pPr>
      <w:r w:rsidRPr="00022E11">
        <w:rPr>
          <w:rStyle w:val="FootnoteReference"/>
          <w:sz w:val="26"/>
          <w:szCs w:val="26"/>
        </w:rPr>
        <w:footnoteRef/>
      </w:r>
      <w:r w:rsidRPr="00022E11">
        <w:rPr>
          <w:sz w:val="26"/>
          <w:szCs w:val="26"/>
        </w:rPr>
        <w:tab/>
        <w:t>Based upon plant investment through November 30, 2020, Columbia will reach the 5% DSIC cap with the DSIC filing effective January 1, 2021.  CG Exc. at 7, n.</w:t>
      </w:r>
      <w:r>
        <w:rPr>
          <w:sz w:val="26"/>
          <w:szCs w:val="26"/>
        </w:rPr>
        <w:t> </w:t>
      </w:r>
      <w:r w:rsidRPr="00022E11">
        <w:rPr>
          <w:sz w:val="26"/>
          <w:szCs w:val="26"/>
        </w:rPr>
        <w:t>13.</w:t>
      </w:r>
    </w:p>
  </w:footnote>
  <w:footnote w:id="13">
    <w:p w14:paraId="6CA8BD40" w14:textId="4940DD93" w:rsidR="009160F2" w:rsidRPr="00AE79C0" w:rsidRDefault="009160F2" w:rsidP="00AE79C0">
      <w:pPr>
        <w:pStyle w:val="FootnoteText"/>
        <w:spacing w:line="240" w:lineRule="auto"/>
        <w:jc w:val="left"/>
        <w:rPr>
          <w:sz w:val="26"/>
          <w:szCs w:val="26"/>
        </w:rPr>
      </w:pPr>
      <w:r w:rsidRPr="00AE79C0">
        <w:rPr>
          <w:rStyle w:val="FootnoteReference"/>
          <w:sz w:val="26"/>
          <w:szCs w:val="26"/>
        </w:rPr>
        <w:footnoteRef/>
      </w:r>
      <w:r w:rsidRPr="00AE79C0">
        <w:rPr>
          <w:sz w:val="26"/>
          <w:szCs w:val="26"/>
        </w:rPr>
        <w:t xml:space="preserve"> </w:t>
      </w:r>
      <w:r w:rsidRPr="00AE79C0">
        <w:rPr>
          <w:sz w:val="26"/>
          <w:szCs w:val="26"/>
        </w:rPr>
        <w:tab/>
      </w:r>
      <w:r>
        <w:rPr>
          <w:sz w:val="26"/>
          <w:szCs w:val="26"/>
        </w:rPr>
        <w:t>As earlier noted, t</w:t>
      </w:r>
      <w:r w:rsidRPr="00AE79C0">
        <w:rPr>
          <w:sz w:val="26"/>
          <w:szCs w:val="26"/>
        </w:rPr>
        <w:t>he OSBA also</w:t>
      </w:r>
      <w:r>
        <w:rPr>
          <w:sz w:val="26"/>
          <w:szCs w:val="26"/>
        </w:rPr>
        <w:t xml:space="preserve"> supports </w:t>
      </w:r>
      <w:r w:rsidRPr="00AE79C0">
        <w:rPr>
          <w:sz w:val="26"/>
          <w:szCs w:val="26"/>
        </w:rPr>
        <w:t>the ALJ’s recommendation</w:t>
      </w:r>
      <w:r>
        <w:rPr>
          <w:sz w:val="26"/>
          <w:szCs w:val="26"/>
        </w:rPr>
        <w:t xml:space="preserve"> to deny Columbia any revenue increase at this time</w:t>
      </w:r>
      <w:r w:rsidRPr="00AE79C0">
        <w:rPr>
          <w:sz w:val="26"/>
          <w:szCs w:val="26"/>
        </w:rPr>
        <w:t>.</w:t>
      </w:r>
    </w:p>
  </w:footnote>
  <w:footnote w:id="14">
    <w:p w14:paraId="2E2C350A" w14:textId="20E6CB5D" w:rsidR="009160F2" w:rsidRPr="00022E11" w:rsidRDefault="009160F2" w:rsidP="00AE79C0">
      <w:pPr>
        <w:pStyle w:val="FootnoteText"/>
        <w:spacing w:after="120" w:line="240" w:lineRule="auto"/>
        <w:jc w:val="left"/>
        <w:rPr>
          <w:sz w:val="26"/>
          <w:szCs w:val="26"/>
        </w:rPr>
      </w:pPr>
      <w:r w:rsidRPr="00022E11">
        <w:rPr>
          <w:rStyle w:val="FootnoteReference"/>
          <w:sz w:val="26"/>
          <w:szCs w:val="26"/>
        </w:rPr>
        <w:footnoteRef/>
      </w:r>
      <w:r w:rsidRPr="00022E11">
        <w:rPr>
          <w:sz w:val="26"/>
          <w:szCs w:val="26"/>
        </w:rPr>
        <w:tab/>
      </w:r>
      <w:r w:rsidRPr="00022E11">
        <w:rPr>
          <w:i/>
          <w:iCs/>
          <w:sz w:val="26"/>
          <w:szCs w:val="26"/>
        </w:rPr>
        <w:t xml:space="preserve">See </w:t>
      </w:r>
      <w:r w:rsidRPr="00022E11">
        <w:rPr>
          <w:sz w:val="26"/>
          <w:szCs w:val="26"/>
        </w:rPr>
        <w:t xml:space="preserve">CG Exc. No. 20, </w:t>
      </w:r>
      <w:r w:rsidRPr="00022E11">
        <w:rPr>
          <w:i/>
          <w:iCs/>
          <w:sz w:val="26"/>
          <w:szCs w:val="26"/>
        </w:rPr>
        <w:t>infra</w:t>
      </w:r>
      <w:r w:rsidRPr="00022E11">
        <w:rPr>
          <w:sz w:val="26"/>
          <w:szCs w:val="26"/>
        </w:rPr>
        <w:t xml:space="preserve">. </w:t>
      </w:r>
    </w:p>
  </w:footnote>
  <w:footnote w:id="15">
    <w:p w14:paraId="38A0C49D" w14:textId="6C36D31E" w:rsidR="003D31F0" w:rsidRDefault="003D31F0" w:rsidP="003D31F0">
      <w:pPr>
        <w:pStyle w:val="FootnoteText"/>
        <w:ind w:firstLine="0"/>
        <w:jc w:val="both"/>
        <w:rPr>
          <w:sz w:val="26"/>
          <w:szCs w:val="26"/>
        </w:rPr>
      </w:pPr>
      <w:r>
        <w:tab/>
      </w:r>
      <w:r>
        <w:rPr>
          <w:rStyle w:val="FootnoteReference"/>
        </w:rPr>
        <w:footnoteRef/>
      </w:r>
      <w:r>
        <w:t xml:space="preserve">  </w:t>
      </w:r>
      <w:r>
        <w:tab/>
      </w:r>
      <w:r w:rsidRPr="003D31F0">
        <w:rPr>
          <w:sz w:val="26"/>
          <w:szCs w:val="26"/>
        </w:rPr>
        <w:t>Section 1330</w:t>
      </w:r>
      <w:r>
        <w:rPr>
          <w:sz w:val="26"/>
          <w:szCs w:val="26"/>
        </w:rPr>
        <w:t>(b)</w:t>
      </w:r>
      <w:r w:rsidR="00260A58">
        <w:rPr>
          <w:sz w:val="26"/>
          <w:szCs w:val="26"/>
        </w:rPr>
        <w:t>(1)(i)-(v)</w:t>
      </w:r>
      <w:r w:rsidRPr="003D31F0">
        <w:rPr>
          <w:sz w:val="26"/>
          <w:szCs w:val="26"/>
        </w:rPr>
        <w:t xml:space="preserve"> of the Code provides the following</w:t>
      </w:r>
      <w:r>
        <w:rPr>
          <w:sz w:val="26"/>
          <w:szCs w:val="26"/>
        </w:rPr>
        <w:t xml:space="preserve">: </w:t>
      </w:r>
    </w:p>
    <w:p w14:paraId="246DA9EA" w14:textId="77777777" w:rsidR="003D31F0" w:rsidRPr="002E5AC6" w:rsidRDefault="003D31F0" w:rsidP="003D31F0">
      <w:pPr>
        <w:widowControl/>
        <w:ind w:left="1440" w:right="1440"/>
        <w:rPr>
          <w:sz w:val="26"/>
          <w:szCs w:val="26"/>
        </w:rPr>
      </w:pPr>
      <w:r w:rsidRPr="002E5AC6">
        <w:rPr>
          <w:b/>
          <w:bCs/>
          <w:sz w:val="26"/>
          <w:szCs w:val="26"/>
        </w:rPr>
        <w:t xml:space="preserve">(b) </w:t>
      </w:r>
      <w:r w:rsidRPr="002E5AC6">
        <w:rPr>
          <w:b/>
          <w:bCs/>
          <w:i/>
          <w:iCs/>
          <w:sz w:val="26"/>
          <w:szCs w:val="26"/>
        </w:rPr>
        <w:t>Alternative rate mechanisms.</w:t>
      </w:r>
      <w:r w:rsidRPr="002E5AC6">
        <w:rPr>
          <w:b/>
          <w:bCs/>
          <w:sz w:val="26"/>
          <w:szCs w:val="26"/>
        </w:rPr>
        <w:t>—</w:t>
      </w:r>
      <w:r w:rsidRPr="002E5AC6">
        <w:rPr>
          <w:sz w:val="26"/>
          <w:szCs w:val="26"/>
        </w:rPr>
        <w:t xml:space="preserve"> </w:t>
      </w:r>
    </w:p>
    <w:p w14:paraId="1E1C37F2" w14:textId="77777777" w:rsidR="003D31F0" w:rsidRPr="002E5AC6" w:rsidRDefault="003D31F0" w:rsidP="00260A58">
      <w:pPr>
        <w:widowControl/>
        <w:ind w:left="1440" w:right="1440" w:firstLine="720"/>
        <w:rPr>
          <w:sz w:val="26"/>
          <w:szCs w:val="26"/>
        </w:rPr>
      </w:pPr>
      <w:r w:rsidRPr="002E5AC6">
        <w:rPr>
          <w:sz w:val="26"/>
          <w:szCs w:val="26"/>
        </w:rPr>
        <w:t>(1) Notwithstanding any other provision of law, including, but not limited to, sections 2806.1(k)(2) (relating to energy efficiency and conservation program) and 2807(f)(4) (relating to duties of electric distribution companies), the commission may approve an application by a utility in a base rate proceeding to establish alternative rates and rate mechanisms, including, but not limited to, the following mechanisms:</w:t>
      </w:r>
    </w:p>
    <w:p w14:paraId="3B9B12C2" w14:textId="77777777" w:rsidR="003D31F0" w:rsidRPr="002E5AC6" w:rsidRDefault="003D31F0" w:rsidP="00260A58">
      <w:pPr>
        <w:widowControl/>
        <w:ind w:left="1440" w:right="1440" w:firstLine="720"/>
        <w:rPr>
          <w:sz w:val="26"/>
          <w:szCs w:val="26"/>
        </w:rPr>
      </w:pPr>
      <w:r w:rsidRPr="002E5AC6">
        <w:rPr>
          <w:sz w:val="26"/>
          <w:szCs w:val="26"/>
        </w:rPr>
        <w:t>(i) decoupling mechanisms;</w:t>
      </w:r>
    </w:p>
    <w:p w14:paraId="472B8022" w14:textId="77777777" w:rsidR="003D31F0" w:rsidRPr="002E5AC6" w:rsidRDefault="003D31F0" w:rsidP="00260A58">
      <w:pPr>
        <w:widowControl/>
        <w:ind w:left="1440" w:right="1440" w:firstLine="720"/>
        <w:rPr>
          <w:sz w:val="26"/>
          <w:szCs w:val="26"/>
        </w:rPr>
      </w:pPr>
      <w:r w:rsidRPr="002E5AC6">
        <w:rPr>
          <w:sz w:val="26"/>
          <w:szCs w:val="26"/>
        </w:rPr>
        <w:t>(ii) performance-based rates;</w:t>
      </w:r>
    </w:p>
    <w:p w14:paraId="6ADF6227" w14:textId="77777777" w:rsidR="003D31F0" w:rsidRPr="002E5AC6" w:rsidRDefault="003D31F0" w:rsidP="00260A58">
      <w:pPr>
        <w:widowControl/>
        <w:ind w:left="1440" w:right="1440" w:firstLine="720"/>
        <w:rPr>
          <w:sz w:val="26"/>
          <w:szCs w:val="26"/>
        </w:rPr>
      </w:pPr>
      <w:r w:rsidRPr="002E5AC6">
        <w:rPr>
          <w:sz w:val="26"/>
          <w:szCs w:val="26"/>
        </w:rPr>
        <w:t>(iii) formula rates;</w:t>
      </w:r>
    </w:p>
    <w:p w14:paraId="16C56F27" w14:textId="77777777" w:rsidR="003D31F0" w:rsidRPr="002E5AC6" w:rsidRDefault="003D31F0" w:rsidP="00260A58">
      <w:pPr>
        <w:widowControl/>
        <w:ind w:left="1440" w:right="1440" w:firstLine="720"/>
        <w:rPr>
          <w:sz w:val="26"/>
          <w:szCs w:val="26"/>
        </w:rPr>
      </w:pPr>
      <w:r w:rsidRPr="002E5AC6">
        <w:rPr>
          <w:sz w:val="26"/>
          <w:szCs w:val="26"/>
        </w:rPr>
        <w:t>(iv) multiyear rate plans; or</w:t>
      </w:r>
    </w:p>
    <w:p w14:paraId="2F45DDBF" w14:textId="77777777" w:rsidR="003D31F0" w:rsidRPr="002E5AC6" w:rsidRDefault="003D31F0" w:rsidP="00260A58">
      <w:pPr>
        <w:widowControl/>
        <w:ind w:left="1440" w:right="1440" w:firstLine="720"/>
        <w:rPr>
          <w:sz w:val="26"/>
          <w:szCs w:val="26"/>
        </w:rPr>
      </w:pPr>
      <w:r w:rsidRPr="002E5AC6">
        <w:rPr>
          <w:sz w:val="26"/>
          <w:szCs w:val="26"/>
        </w:rPr>
        <w:t>(v) rates based on a combination of more than one of the mechanisms in subparagraphs (i), (ii), (iii) and (iv) or other ratemaking mechanisms as provided under this chapter.</w:t>
      </w:r>
    </w:p>
    <w:p w14:paraId="066B820C" w14:textId="0AA39A6C" w:rsidR="003D31F0" w:rsidRPr="003D31F0" w:rsidRDefault="003D31F0" w:rsidP="003D31F0">
      <w:pPr>
        <w:pStyle w:val="FootnoteText"/>
        <w:spacing w:line="240" w:lineRule="auto"/>
        <w:ind w:firstLine="0"/>
        <w:jc w:val="both"/>
        <w:rPr>
          <w:sz w:val="26"/>
          <w:szCs w:val="26"/>
        </w:rPr>
      </w:pPr>
      <w:r w:rsidRPr="003D31F0">
        <w:rPr>
          <w:sz w:val="26"/>
          <w:szCs w:val="26"/>
        </w:rPr>
        <w:tab/>
      </w:r>
    </w:p>
  </w:footnote>
  <w:footnote w:id="16">
    <w:p w14:paraId="7B685368" w14:textId="77777777" w:rsidR="009160F2" w:rsidRPr="00022E11" w:rsidRDefault="009160F2" w:rsidP="00AE79C0">
      <w:pPr>
        <w:pStyle w:val="FootnoteText"/>
        <w:spacing w:after="120" w:line="240" w:lineRule="auto"/>
        <w:jc w:val="left"/>
        <w:rPr>
          <w:sz w:val="26"/>
          <w:szCs w:val="26"/>
        </w:rPr>
      </w:pPr>
      <w:r w:rsidRPr="00022E11">
        <w:rPr>
          <w:rStyle w:val="FootnoteReference"/>
          <w:sz w:val="26"/>
          <w:szCs w:val="26"/>
        </w:rPr>
        <w:footnoteRef/>
      </w:r>
      <w:r w:rsidRPr="00022E11">
        <w:rPr>
          <w:sz w:val="26"/>
          <w:szCs w:val="26"/>
        </w:rPr>
        <w:t xml:space="preserve"> </w:t>
      </w:r>
      <w:r w:rsidRPr="00022E11">
        <w:rPr>
          <w:sz w:val="26"/>
          <w:szCs w:val="26"/>
        </w:rPr>
        <w:tab/>
      </w:r>
      <w:r w:rsidRPr="00022E11">
        <w:rPr>
          <w:rFonts w:eastAsiaTheme="minorEastAsia"/>
          <w:i/>
          <w:iCs/>
          <w:sz w:val="26"/>
          <w:szCs w:val="26"/>
        </w:rPr>
        <w:t>Popowsky II</w:t>
      </w:r>
      <w:r w:rsidRPr="00022E11">
        <w:rPr>
          <w:rFonts w:eastAsiaTheme="minorEastAsia"/>
          <w:sz w:val="26"/>
          <w:szCs w:val="26"/>
        </w:rPr>
        <w:t>, 683 A.2d at 961 (“[t[he PUC has broad discretion in determining whether rates are reasonable” and “is vested with discretion to decide what factors it will consider in setting or evaluating a utility’s rates.”).</w:t>
      </w:r>
    </w:p>
  </w:footnote>
  <w:footnote w:id="17">
    <w:p w14:paraId="6C54BD95" w14:textId="5DC21F97" w:rsidR="009160F2" w:rsidRPr="00022E11" w:rsidRDefault="009160F2" w:rsidP="00AE79C0">
      <w:pPr>
        <w:pStyle w:val="FootnoteText"/>
        <w:spacing w:after="120" w:line="240" w:lineRule="auto"/>
        <w:jc w:val="left"/>
        <w:rPr>
          <w:sz w:val="26"/>
          <w:szCs w:val="26"/>
        </w:rPr>
      </w:pPr>
      <w:r w:rsidRPr="00022E11">
        <w:rPr>
          <w:rStyle w:val="FootnoteReference"/>
          <w:sz w:val="26"/>
          <w:szCs w:val="26"/>
        </w:rPr>
        <w:footnoteRef/>
      </w:r>
      <w:r w:rsidRPr="00022E11">
        <w:rPr>
          <w:sz w:val="26"/>
          <w:szCs w:val="26"/>
        </w:rPr>
        <w:t xml:space="preserve"> </w:t>
      </w:r>
      <w:r w:rsidRPr="00022E11">
        <w:rPr>
          <w:sz w:val="26"/>
          <w:szCs w:val="26"/>
        </w:rPr>
        <w:tab/>
      </w:r>
      <w:r w:rsidRPr="00022E11">
        <w:rPr>
          <w:i/>
          <w:sz w:val="26"/>
          <w:szCs w:val="26"/>
        </w:rPr>
        <w:t>See</w:t>
      </w:r>
      <w:r>
        <w:rPr>
          <w:i/>
          <w:sz w:val="26"/>
          <w:szCs w:val="26"/>
        </w:rPr>
        <w:t>,</w:t>
      </w:r>
      <w:r w:rsidRPr="00022E11">
        <w:rPr>
          <w:sz w:val="26"/>
          <w:szCs w:val="26"/>
        </w:rPr>
        <w:t xml:space="preserve"> </w:t>
      </w:r>
      <w:r w:rsidRPr="00022E11">
        <w:rPr>
          <w:i/>
          <w:iCs/>
          <w:sz w:val="26"/>
          <w:szCs w:val="26"/>
        </w:rPr>
        <w:t>e.g</w:t>
      </w:r>
      <w:r w:rsidR="00EE3D85">
        <w:rPr>
          <w:i/>
          <w:iCs/>
          <w:sz w:val="26"/>
          <w:szCs w:val="26"/>
        </w:rPr>
        <w:t>.</w:t>
      </w:r>
      <w:r>
        <w:rPr>
          <w:i/>
          <w:iCs/>
          <w:sz w:val="26"/>
          <w:szCs w:val="26"/>
        </w:rPr>
        <w:t>,</w:t>
      </w:r>
      <w:r w:rsidRPr="00022E11">
        <w:rPr>
          <w:i/>
          <w:iCs/>
          <w:sz w:val="26"/>
          <w:szCs w:val="26"/>
        </w:rPr>
        <w:t xml:space="preserve"> Pa. PUC et al. v. PPL Electric Utilities Corporation, Docket Nos. R-2015-2469275 et</w:t>
      </w:r>
      <w:r w:rsidRPr="00022E11">
        <w:rPr>
          <w:i/>
          <w:sz w:val="26"/>
          <w:szCs w:val="26"/>
        </w:rPr>
        <w:t xml:space="preserve"> al</w:t>
      </w:r>
      <w:r w:rsidRPr="00022E11">
        <w:rPr>
          <w:sz w:val="26"/>
          <w:szCs w:val="26"/>
        </w:rPr>
        <w:t xml:space="preserve">. (Recommended Decision issued October 5, 2015) at 32-33.  </w:t>
      </w:r>
    </w:p>
  </w:footnote>
  <w:footnote w:id="18">
    <w:p w14:paraId="09F9E043" w14:textId="39347073" w:rsidR="009160F2" w:rsidRPr="00022E11" w:rsidRDefault="009160F2" w:rsidP="006632C2">
      <w:pPr>
        <w:widowControl/>
        <w:ind w:firstLine="720"/>
        <w:contextualSpacing/>
        <w:rPr>
          <w:sz w:val="26"/>
          <w:szCs w:val="26"/>
        </w:rPr>
      </w:pPr>
      <w:r w:rsidRPr="00022E11">
        <w:rPr>
          <w:rStyle w:val="FootnoteReference"/>
          <w:sz w:val="26"/>
          <w:szCs w:val="26"/>
        </w:rPr>
        <w:footnoteRef/>
      </w:r>
      <w:r w:rsidRPr="00022E11">
        <w:rPr>
          <w:sz w:val="26"/>
          <w:szCs w:val="26"/>
        </w:rPr>
        <w:t xml:space="preserve"> </w:t>
      </w:r>
      <w:r w:rsidRPr="00022E11">
        <w:rPr>
          <w:sz w:val="26"/>
          <w:szCs w:val="26"/>
        </w:rPr>
        <w:tab/>
        <w:t>The “polestar” of ratemaking concerns is the “cost of providing service.”</w:t>
      </w:r>
      <w:r w:rsidRPr="00022E11">
        <w:rPr>
          <w:i/>
          <w:iCs/>
          <w:sz w:val="26"/>
          <w:szCs w:val="26"/>
        </w:rPr>
        <w:t xml:space="preserve"> Lloyd v. Pa. PUC</w:t>
      </w:r>
      <w:r w:rsidRPr="00022E11">
        <w:rPr>
          <w:sz w:val="26"/>
          <w:szCs w:val="26"/>
        </w:rPr>
        <w:t>, 904 A.2d 1010, 1019-21 (Pa. Cmwlth. 2006) (</w:t>
      </w:r>
      <w:r w:rsidRPr="00022E11">
        <w:rPr>
          <w:i/>
          <w:iCs/>
          <w:sz w:val="26"/>
          <w:szCs w:val="26"/>
        </w:rPr>
        <w:t>Lloyd</w:t>
      </w:r>
      <w:r w:rsidRPr="00022E11">
        <w:rPr>
          <w:sz w:val="26"/>
          <w:szCs w:val="26"/>
        </w:rPr>
        <w:t>).</w:t>
      </w:r>
      <w:r>
        <w:rPr>
          <w:sz w:val="26"/>
          <w:szCs w:val="26"/>
        </w:rPr>
        <w:t xml:space="preserve"> </w:t>
      </w:r>
      <w:r w:rsidRPr="00022E11">
        <w:rPr>
          <w:sz w:val="26"/>
          <w:szCs w:val="26"/>
        </w:rPr>
        <w:t xml:space="preserve"> Inherent in this principle of ratemaking is the recognition that public utilities are natural monopolies and that the Commission’s oversight through cost</w:t>
      </w:r>
      <w:r>
        <w:rPr>
          <w:sz w:val="26"/>
          <w:szCs w:val="26"/>
        </w:rPr>
        <w:t>-</w:t>
      </w:r>
      <w:r w:rsidRPr="00022E11">
        <w:rPr>
          <w:sz w:val="26"/>
          <w:szCs w:val="26"/>
        </w:rPr>
        <w:t>of</w:t>
      </w:r>
      <w:r>
        <w:rPr>
          <w:sz w:val="26"/>
          <w:szCs w:val="26"/>
        </w:rPr>
        <w:t>-</w:t>
      </w:r>
      <w:r w:rsidRPr="00022E11">
        <w:rPr>
          <w:sz w:val="26"/>
          <w:szCs w:val="26"/>
        </w:rPr>
        <w:t xml:space="preserve">service ratemaking serves as a proxy for a competitive market in appropriately restraining, or exerting downward pressure on, the profit-maximizing prices a monopoly could otherwise charge in the absence of price regulation.  </w:t>
      </w:r>
      <w:r w:rsidRPr="00022E11">
        <w:rPr>
          <w:i/>
          <w:iCs/>
          <w:sz w:val="26"/>
          <w:szCs w:val="26"/>
        </w:rPr>
        <w:t>See</w:t>
      </w:r>
      <w:r>
        <w:rPr>
          <w:i/>
          <w:iCs/>
          <w:sz w:val="26"/>
          <w:szCs w:val="26"/>
        </w:rPr>
        <w:t>,</w:t>
      </w:r>
      <w:r w:rsidRPr="00022E11">
        <w:rPr>
          <w:i/>
          <w:iCs/>
          <w:sz w:val="26"/>
          <w:szCs w:val="26"/>
        </w:rPr>
        <w:t xml:space="preserve"> e.g</w:t>
      </w:r>
      <w:r w:rsidRPr="00022E11">
        <w:rPr>
          <w:sz w:val="26"/>
          <w:szCs w:val="26"/>
        </w:rPr>
        <w:t>.</w:t>
      </w:r>
      <w:r>
        <w:rPr>
          <w:sz w:val="26"/>
          <w:szCs w:val="26"/>
        </w:rPr>
        <w:t>,</w:t>
      </w:r>
      <w:r w:rsidRPr="00022E11">
        <w:rPr>
          <w:sz w:val="26"/>
          <w:szCs w:val="26"/>
        </w:rPr>
        <w:t xml:space="preserve"> OCA St. 1 at 4.  With respect to a utility’s recovery of costs related to providing service, we have previously explained:</w:t>
      </w:r>
    </w:p>
    <w:p w14:paraId="792F8B70" w14:textId="77777777" w:rsidR="009160F2" w:rsidRPr="00022E11" w:rsidRDefault="009160F2" w:rsidP="006632C2">
      <w:pPr>
        <w:widowControl/>
        <w:ind w:firstLine="720"/>
        <w:contextualSpacing/>
        <w:rPr>
          <w:sz w:val="26"/>
          <w:szCs w:val="26"/>
        </w:rPr>
      </w:pPr>
    </w:p>
    <w:p w14:paraId="521D29CE" w14:textId="2268F480" w:rsidR="009160F2" w:rsidRPr="00022E11" w:rsidRDefault="009160F2" w:rsidP="006632C2">
      <w:pPr>
        <w:widowControl/>
        <w:tabs>
          <w:tab w:val="left" w:pos="-720"/>
        </w:tabs>
        <w:ind w:left="1440" w:right="1440"/>
        <w:contextualSpacing/>
        <w:rPr>
          <w:sz w:val="26"/>
          <w:szCs w:val="26"/>
        </w:rPr>
      </w:pPr>
      <w:r w:rsidRPr="00022E11">
        <w:rPr>
          <w:sz w:val="26"/>
          <w:szCs w:val="26"/>
        </w:rPr>
        <w:t>It is our opinion that in exchange for the utility’s provision of safe, adequate and reasonable service, the ratepayers are obligated to pay rates which cover the cost of service which includes reasonable operation and maintenance expenses, depreciation, taxes and a fair rate of return for the utility’s investors.  Thus, as the OCA contends, a quid pro quo relationship exists between the utility and its ratepayers.  In return for providing safe and adequate service, the utility is entitled to recover, through rates, these enumerated costs.  We find this principle to be consistent with the standards enunciated in [</w:t>
      </w:r>
      <w:r w:rsidRPr="00022E11">
        <w:rPr>
          <w:i/>
          <w:iCs/>
          <w:sz w:val="26"/>
          <w:szCs w:val="26"/>
        </w:rPr>
        <w:t>Hope Natural Gas</w:t>
      </w:r>
      <w:r w:rsidRPr="00022E11">
        <w:rPr>
          <w:sz w:val="26"/>
          <w:szCs w:val="26"/>
        </w:rPr>
        <w:t>] wherein it was stated that the “…fixing of ‘just and reasonable’ rates, involves a balancing of the investor and the consumer interests…”</w:t>
      </w:r>
    </w:p>
    <w:p w14:paraId="2F789B08" w14:textId="77777777" w:rsidR="009160F2" w:rsidRPr="00022E11" w:rsidRDefault="009160F2" w:rsidP="006632C2">
      <w:pPr>
        <w:widowControl/>
        <w:tabs>
          <w:tab w:val="left" w:pos="-720"/>
        </w:tabs>
        <w:ind w:left="1440" w:right="1440"/>
        <w:contextualSpacing/>
        <w:rPr>
          <w:sz w:val="26"/>
          <w:szCs w:val="26"/>
        </w:rPr>
      </w:pPr>
    </w:p>
    <w:p w14:paraId="43D997E8" w14:textId="4D7B5D21" w:rsidR="009160F2" w:rsidRPr="00022E11" w:rsidRDefault="009160F2" w:rsidP="006632C2">
      <w:pPr>
        <w:widowControl/>
        <w:tabs>
          <w:tab w:val="left" w:pos="-720"/>
        </w:tabs>
        <w:contextualSpacing/>
        <w:rPr>
          <w:sz w:val="26"/>
          <w:szCs w:val="26"/>
        </w:rPr>
      </w:pPr>
      <w:r w:rsidRPr="00022E11">
        <w:rPr>
          <w:i/>
          <w:spacing w:val="-3"/>
          <w:sz w:val="26"/>
          <w:szCs w:val="26"/>
        </w:rPr>
        <w:t xml:space="preserve">Pa. PUC </w:t>
      </w:r>
      <w:r w:rsidRPr="00022E11">
        <w:rPr>
          <w:i/>
          <w:sz w:val="26"/>
          <w:szCs w:val="26"/>
        </w:rPr>
        <w:t>v. Pennsylvania Gas &amp; Water Co.</w:t>
      </w:r>
      <w:r w:rsidRPr="006632C2">
        <w:rPr>
          <w:iCs/>
          <w:sz w:val="26"/>
          <w:szCs w:val="26"/>
        </w:rPr>
        <w:t>,</w:t>
      </w:r>
      <w:r w:rsidRPr="00022E11">
        <w:rPr>
          <w:i/>
          <w:sz w:val="26"/>
          <w:szCs w:val="26"/>
        </w:rPr>
        <w:t xml:space="preserve"> </w:t>
      </w:r>
      <w:r w:rsidRPr="00022E11">
        <w:rPr>
          <w:iCs/>
          <w:sz w:val="26"/>
          <w:szCs w:val="26"/>
        </w:rPr>
        <w:t>Docket No. R-850178 (Order entered April</w:t>
      </w:r>
      <w:r w:rsidR="00635712">
        <w:rPr>
          <w:iCs/>
          <w:sz w:val="26"/>
          <w:szCs w:val="26"/>
        </w:rPr>
        <w:t> </w:t>
      </w:r>
      <w:r w:rsidRPr="00022E11">
        <w:rPr>
          <w:iCs/>
          <w:sz w:val="26"/>
          <w:szCs w:val="26"/>
        </w:rPr>
        <w:t xml:space="preserve">24, 1986), </w:t>
      </w:r>
      <w:r w:rsidRPr="00022E11">
        <w:rPr>
          <w:sz w:val="26"/>
          <w:szCs w:val="26"/>
        </w:rPr>
        <w:t>61 Pa. P.U.C. 409, 415-16, 1986 WL 1301279.</w:t>
      </w:r>
    </w:p>
  </w:footnote>
  <w:footnote w:id="19">
    <w:p w14:paraId="7BB970D9" w14:textId="1CF4794C" w:rsidR="009160F2" w:rsidRPr="00022E11" w:rsidRDefault="009160F2" w:rsidP="00AE79C0">
      <w:pPr>
        <w:pStyle w:val="FootnoteText"/>
        <w:spacing w:after="120" w:line="240" w:lineRule="auto"/>
        <w:jc w:val="left"/>
        <w:rPr>
          <w:sz w:val="26"/>
          <w:szCs w:val="26"/>
        </w:rPr>
      </w:pPr>
      <w:r w:rsidRPr="00022E11">
        <w:rPr>
          <w:rStyle w:val="FootnoteReference"/>
          <w:sz w:val="26"/>
          <w:szCs w:val="26"/>
        </w:rPr>
        <w:footnoteRef/>
      </w:r>
      <w:r w:rsidRPr="00022E11">
        <w:rPr>
          <w:sz w:val="26"/>
          <w:szCs w:val="26"/>
        </w:rPr>
        <w:t xml:space="preserve"> </w:t>
      </w:r>
      <w:r w:rsidRPr="00022E11">
        <w:rPr>
          <w:sz w:val="26"/>
          <w:szCs w:val="26"/>
        </w:rPr>
        <w:tab/>
      </w:r>
      <w:r w:rsidRPr="00022E11">
        <w:rPr>
          <w:i/>
          <w:iCs/>
          <w:sz w:val="26"/>
          <w:szCs w:val="26"/>
        </w:rPr>
        <w:t>See</w:t>
      </w:r>
      <w:r w:rsidRPr="00022E11">
        <w:rPr>
          <w:sz w:val="26"/>
          <w:szCs w:val="26"/>
        </w:rPr>
        <w:t xml:space="preserve"> 66 Pa. C.S. §§ 523, 526(a).</w:t>
      </w:r>
    </w:p>
  </w:footnote>
  <w:footnote w:id="20">
    <w:p w14:paraId="314230C2" w14:textId="65AEC29F" w:rsidR="009160F2" w:rsidRPr="00022E11" w:rsidRDefault="009160F2" w:rsidP="00AE79C0">
      <w:pPr>
        <w:pStyle w:val="FootnoteText"/>
        <w:spacing w:after="120" w:line="240" w:lineRule="auto"/>
        <w:jc w:val="left"/>
        <w:rPr>
          <w:sz w:val="26"/>
          <w:szCs w:val="26"/>
        </w:rPr>
      </w:pPr>
      <w:r w:rsidRPr="00022E11">
        <w:rPr>
          <w:rStyle w:val="FootnoteReference"/>
          <w:sz w:val="26"/>
          <w:szCs w:val="26"/>
        </w:rPr>
        <w:footnoteRef/>
      </w:r>
      <w:r w:rsidRPr="00022E11">
        <w:rPr>
          <w:sz w:val="26"/>
          <w:szCs w:val="26"/>
        </w:rPr>
        <w:t xml:space="preserve"> </w:t>
      </w:r>
      <w:r w:rsidRPr="00022E11">
        <w:rPr>
          <w:sz w:val="26"/>
          <w:szCs w:val="26"/>
        </w:rPr>
        <w:tab/>
      </w:r>
      <w:r w:rsidRPr="00022E11">
        <w:rPr>
          <w:i/>
          <w:iCs/>
          <w:sz w:val="26"/>
          <w:szCs w:val="26"/>
        </w:rPr>
        <w:t>See Lloyd</w:t>
      </w:r>
      <w:r w:rsidRPr="00022E11">
        <w:rPr>
          <w:sz w:val="26"/>
          <w:szCs w:val="26"/>
        </w:rPr>
        <w:t>, 904 A.2d at1020 (explaining that gradualism is the principle</w:t>
      </w:r>
      <w:r w:rsidRPr="00022E11">
        <w:rPr>
          <w:color w:val="000000"/>
          <w:sz w:val="26"/>
          <w:szCs w:val="26"/>
        </w:rPr>
        <w:t xml:space="preserve"> under which utility rates are gradually increased in order to avoid rate shock, as part of what is overall considered a reasonable rate under the circumstances and is permitted in implementing large rate increases).</w:t>
      </w:r>
    </w:p>
  </w:footnote>
  <w:footnote w:id="21">
    <w:p w14:paraId="53554370" w14:textId="2F91669C" w:rsidR="009160F2" w:rsidRPr="00022E11" w:rsidRDefault="009160F2" w:rsidP="00AE79C0">
      <w:pPr>
        <w:pStyle w:val="FootnoteText"/>
        <w:keepNext/>
        <w:keepLines/>
        <w:spacing w:after="120" w:line="240" w:lineRule="auto"/>
        <w:jc w:val="left"/>
        <w:rPr>
          <w:sz w:val="26"/>
          <w:szCs w:val="26"/>
        </w:rPr>
      </w:pPr>
      <w:r w:rsidRPr="00022E11">
        <w:rPr>
          <w:rStyle w:val="FootnoteReference"/>
          <w:sz w:val="26"/>
          <w:szCs w:val="26"/>
        </w:rPr>
        <w:footnoteRef/>
      </w:r>
      <w:r w:rsidRPr="00022E11">
        <w:rPr>
          <w:sz w:val="26"/>
          <w:szCs w:val="26"/>
        </w:rPr>
        <w:t xml:space="preserve">  </w:t>
      </w:r>
      <w:r w:rsidRPr="00022E11">
        <w:rPr>
          <w:sz w:val="26"/>
          <w:szCs w:val="26"/>
        </w:rPr>
        <w:tab/>
      </w:r>
      <w:r w:rsidRPr="00022E11">
        <w:rPr>
          <w:i/>
          <w:iCs/>
          <w:sz w:val="26"/>
          <w:szCs w:val="26"/>
        </w:rPr>
        <w:t>See Pa. PUC et. al v. Twin Lakes Utilities, Inc</w:t>
      </w:r>
      <w:r w:rsidRPr="00022E11">
        <w:rPr>
          <w:sz w:val="26"/>
          <w:szCs w:val="26"/>
        </w:rPr>
        <w:t>., Docket No. R</w:t>
      </w:r>
      <w:r w:rsidR="001747E1">
        <w:rPr>
          <w:sz w:val="26"/>
          <w:szCs w:val="26"/>
        </w:rPr>
        <w:noBreakHyphen/>
      </w:r>
      <w:r w:rsidRPr="00022E11">
        <w:rPr>
          <w:sz w:val="26"/>
          <w:szCs w:val="26"/>
        </w:rPr>
        <w:t>2019</w:t>
      </w:r>
      <w:r w:rsidR="001747E1">
        <w:rPr>
          <w:sz w:val="26"/>
          <w:szCs w:val="26"/>
        </w:rPr>
        <w:noBreakHyphen/>
      </w:r>
      <w:r w:rsidRPr="00022E11">
        <w:rPr>
          <w:sz w:val="26"/>
          <w:szCs w:val="26"/>
        </w:rPr>
        <w:t xml:space="preserve">3010958 (Order entered March 26, 2020) at 48, 80 (the ALJ did not err in considering evidence relating to the various quality of service and rate affordability issues in the proceeding and factoring in such evidence as part of her overall determination on which expert witnesses’ cost of equity to adopt for setting just and reasonable rates).  </w:t>
      </w:r>
    </w:p>
  </w:footnote>
  <w:footnote w:id="22">
    <w:p w14:paraId="0DA5717B" w14:textId="77777777" w:rsidR="009160F2" w:rsidRPr="00022E11" w:rsidRDefault="009160F2" w:rsidP="00AE79C0">
      <w:pPr>
        <w:pStyle w:val="FootnoteText"/>
        <w:keepNext/>
        <w:keepLines/>
        <w:spacing w:after="120" w:line="240" w:lineRule="auto"/>
        <w:jc w:val="left"/>
        <w:rPr>
          <w:sz w:val="26"/>
          <w:szCs w:val="26"/>
        </w:rPr>
      </w:pPr>
      <w:r w:rsidRPr="00022E11">
        <w:rPr>
          <w:rStyle w:val="FootnoteReference"/>
          <w:sz w:val="26"/>
          <w:szCs w:val="26"/>
        </w:rPr>
        <w:footnoteRef/>
      </w:r>
      <w:r w:rsidRPr="00022E11">
        <w:rPr>
          <w:sz w:val="26"/>
          <w:szCs w:val="26"/>
        </w:rPr>
        <w:t xml:space="preserve"> </w:t>
      </w:r>
      <w:r w:rsidRPr="00022E11">
        <w:rPr>
          <w:sz w:val="26"/>
          <w:szCs w:val="26"/>
        </w:rPr>
        <w:tab/>
        <w:t xml:space="preserve">Categories of operating expenses may include operations, maintenance, administrative, and general.  </w:t>
      </w:r>
    </w:p>
  </w:footnote>
  <w:footnote w:id="23">
    <w:p w14:paraId="1EFF3921" w14:textId="7C6D4CFD" w:rsidR="009160F2" w:rsidRPr="00022E11" w:rsidRDefault="009160F2" w:rsidP="00AE79C0">
      <w:pPr>
        <w:pStyle w:val="FootnoteText"/>
        <w:keepNext/>
        <w:keepLines/>
        <w:spacing w:after="120" w:line="240" w:lineRule="auto"/>
        <w:jc w:val="left"/>
        <w:rPr>
          <w:sz w:val="26"/>
          <w:szCs w:val="26"/>
        </w:rPr>
      </w:pPr>
      <w:r w:rsidRPr="00022E11">
        <w:rPr>
          <w:rStyle w:val="FootnoteReference"/>
          <w:sz w:val="26"/>
          <w:szCs w:val="26"/>
        </w:rPr>
        <w:footnoteRef/>
      </w:r>
      <w:r w:rsidRPr="00022E11">
        <w:rPr>
          <w:sz w:val="26"/>
          <w:szCs w:val="26"/>
        </w:rPr>
        <w:t xml:space="preserve"> </w:t>
      </w:r>
      <w:r w:rsidRPr="00022E11">
        <w:rPr>
          <w:sz w:val="26"/>
          <w:szCs w:val="26"/>
        </w:rPr>
        <w:tab/>
      </w:r>
      <w:r w:rsidRPr="00022E11">
        <w:rPr>
          <w:i/>
          <w:iCs/>
          <w:sz w:val="26"/>
          <w:szCs w:val="26"/>
        </w:rPr>
        <w:t>See UGI Electric</w:t>
      </w:r>
      <w:r w:rsidRPr="00022E11">
        <w:rPr>
          <w:sz w:val="26"/>
          <w:szCs w:val="26"/>
        </w:rPr>
        <w:t xml:space="preserve"> at 26 (explaining that S</w:t>
      </w:r>
      <w:bookmarkStart w:id="78" w:name="_BA_Cite_EAF4C8_001080"/>
      <w:bookmarkEnd w:id="78"/>
      <w:r w:rsidRPr="00022E11">
        <w:rPr>
          <w:sz w:val="26"/>
          <w:szCs w:val="26"/>
        </w:rPr>
        <w:t>ection 315(e) of the Code requires a utility to provide data after the fact to substantiate the accuracy of its FPFTY estimates).</w:t>
      </w:r>
    </w:p>
  </w:footnote>
  <w:footnote w:id="24">
    <w:p w14:paraId="403F585E" w14:textId="77777777" w:rsidR="009160F2" w:rsidRPr="00022E11" w:rsidRDefault="009160F2" w:rsidP="00AE79C0">
      <w:pPr>
        <w:pStyle w:val="FootnoteText"/>
        <w:keepNext/>
        <w:keepLines/>
        <w:spacing w:after="120" w:line="240" w:lineRule="auto"/>
        <w:jc w:val="left"/>
        <w:rPr>
          <w:sz w:val="26"/>
          <w:szCs w:val="26"/>
        </w:rPr>
      </w:pPr>
      <w:r w:rsidRPr="00022E11">
        <w:rPr>
          <w:rStyle w:val="FootnoteReference"/>
          <w:sz w:val="26"/>
          <w:szCs w:val="26"/>
        </w:rPr>
        <w:footnoteRef/>
      </w:r>
      <w:r w:rsidRPr="00022E11">
        <w:rPr>
          <w:sz w:val="26"/>
          <w:szCs w:val="26"/>
        </w:rPr>
        <w:t xml:space="preserve"> </w:t>
      </w:r>
      <w:r w:rsidRPr="00022E11">
        <w:rPr>
          <w:sz w:val="26"/>
          <w:szCs w:val="26"/>
        </w:rPr>
        <w:tab/>
        <w:t xml:space="preserve">A public utility is entitled to an opportunity to earn a fair </w:t>
      </w:r>
      <w:r w:rsidRPr="00022E11">
        <w:rPr>
          <w:bCs/>
          <w:sz w:val="26"/>
          <w:szCs w:val="26"/>
        </w:rPr>
        <w:t>rate</w:t>
      </w:r>
      <w:r w:rsidRPr="00022E11">
        <w:rPr>
          <w:sz w:val="26"/>
          <w:szCs w:val="26"/>
        </w:rPr>
        <w:t xml:space="preserve"> of return on the value of the property dedicated to public service.  </w:t>
      </w:r>
      <w:r w:rsidRPr="00022E11">
        <w:rPr>
          <w:i/>
          <w:iCs/>
          <w:sz w:val="26"/>
          <w:szCs w:val="26"/>
        </w:rPr>
        <w:t>Pennsylvania Gas and Water Co. v. Pa. PUC</w:t>
      </w:r>
      <w:r w:rsidRPr="00022E11">
        <w:rPr>
          <w:sz w:val="26"/>
          <w:szCs w:val="26"/>
        </w:rPr>
        <w:t xml:space="preserve">, 341 A.2d 239, 251 (Pa. Cmwlth. 1975) (citations omitted).  </w:t>
      </w:r>
    </w:p>
  </w:footnote>
  <w:footnote w:id="25">
    <w:p w14:paraId="592DDC86" w14:textId="46A6D129" w:rsidR="009160F2" w:rsidRPr="00022E11" w:rsidRDefault="009160F2" w:rsidP="00AE79C0">
      <w:pPr>
        <w:pStyle w:val="FootnoteText"/>
        <w:keepNext/>
        <w:keepLines/>
        <w:spacing w:after="120" w:line="240" w:lineRule="auto"/>
        <w:jc w:val="left"/>
        <w:rPr>
          <w:sz w:val="26"/>
          <w:szCs w:val="26"/>
        </w:rPr>
      </w:pPr>
      <w:r w:rsidRPr="00022E11">
        <w:rPr>
          <w:rStyle w:val="FootnoteReference"/>
          <w:sz w:val="26"/>
          <w:szCs w:val="26"/>
        </w:rPr>
        <w:footnoteRef/>
      </w:r>
      <w:r w:rsidRPr="00022E11">
        <w:rPr>
          <w:sz w:val="26"/>
          <w:szCs w:val="26"/>
        </w:rPr>
        <w:t xml:space="preserve"> </w:t>
      </w:r>
      <w:r w:rsidRPr="00022E11">
        <w:rPr>
          <w:sz w:val="26"/>
          <w:szCs w:val="26"/>
        </w:rPr>
        <w:tab/>
      </w:r>
      <w:r w:rsidRPr="00022E11">
        <w:rPr>
          <w:i/>
          <w:iCs/>
          <w:sz w:val="26"/>
          <w:szCs w:val="26"/>
        </w:rPr>
        <w:t xml:space="preserve">See UGI Electric </w:t>
      </w:r>
      <w:r w:rsidRPr="00022E11">
        <w:rPr>
          <w:sz w:val="26"/>
          <w:szCs w:val="26"/>
        </w:rPr>
        <w:t>at 26.</w:t>
      </w:r>
    </w:p>
  </w:footnote>
  <w:footnote w:id="26">
    <w:p w14:paraId="4F71DA5E" w14:textId="77777777" w:rsidR="009160F2" w:rsidRPr="00022E11" w:rsidRDefault="009160F2" w:rsidP="00AE79C0">
      <w:pPr>
        <w:pStyle w:val="FootnoteText"/>
        <w:keepNext/>
        <w:keepLines/>
        <w:spacing w:after="120" w:line="240" w:lineRule="auto"/>
        <w:jc w:val="left"/>
        <w:rPr>
          <w:sz w:val="26"/>
          <w:szCs w:val="26"/>
        </w:rPr>
      </w:pPr>
      <w:r w:rsidRPr="00022E11">
        <w:rPr>
          <w:rStyle w:val="FootnoteReference"/>
          <w:sz w:val="26"/>
          <w:szCs w:val="26"/>
        </w:rPr>
        <w:footnoteRef/>
      </w:r>
      <w:r w:rsidRPr="00022E11">
        <w:rPr>
          <w:sz w:val="26"/>
          <w:szCs w:val="26"/>
        </w:rPr>
        <w:t xml:space="preserve"> </w:t>
      </w:r>
      <w:r w:rsidRPr="00022E11">
        <w:rPr>
          <w:sz w:val="26"/>
          <w:szCs w:val="26"/>
        </w:rPr>
        <w:tab/>
      </w:r>
      <w:r w:rsidRPr="00022E11">
        <w:rPr>
          <w:spacing w:val="-3"/>
          <w:sz w:val="26"/>
          <w:szCs w:val="26"/>
        </w:rPr>
        <w:t xml:space="preserve">The Commission is granted wide discretion, because of its administrative expertise, in determining the cost of capital.  </w:t>
      </w:r>
      <w:r w:rsidRPr="00022E11">
        <w:rPr>
          <w:i/>
          <w:spacing w:val="-3"/>
          <w:sz w:val="26"/>
          <w:szCs w:val="26"/>
        </w:rPr>
        <w:t>Equitable Gas Co. v. Pa. PUC</w:t>
      </w:r>
      <w:r w:rsidRPr="00022E11">
        <w:rPr>
          <w:spacing w:val="-3"/>
          <w:sz w:val="26"/>
          <w:szCs w:val="26"/>
        </w:rPr>
        <w:t xml:space="preserve">, 405 A.2d 1055, 1059 (Pa. Cmwlth. 1979) (determination of cost of capital is basically a matter of judgment which should be left to the regulatory agency and not disturbed absent an abuse of discretion).  </w:t>
      </w:r>
    </w:p>
  </w:footnote>
  <w:footnote w:id="27">
    <w:p w14:paraId="4911898B" w14:textId="4DFF2EE4" w:rsidR="009160F2" w:rsidRPr="00022E11" w:rsidRDefault="009160F2" w:rsidP="004D7F9E">
      <w:pPr>
        <w:pStyle w:val="FootnoteText"/>
        <w:keepNext/>
        <w:keepLines/>
        <w:spacing w:line="240" w:lineRule="auto"/>
        <w:jc w:val="left"/>
        <w:rPr>
          <w:sz w:val="26"/>
          <w:szCs w:val="26"/>
        </w:rPr>
      </w:pPr>
      <w:r w:rsidRPr="00022E11">
        <w:rPr>
          <w:rStyle w:val="FootnoteReference"/>
          <w:sz w:val="26"/>
          <w:szCs w:val="26"/>
        </w:rPr>
        <w:footnoteRef/>
      </w:r>
      <w:r w:rsidRPr="00022E11">
        <w:rPr>
          <w:sz w:val="26"/>
          <w:szCs w:val="26"/>
        </w:rPr>
        <w:t xml:space="preserve"> </w:t>
      </w:r>
      <w:r w:rsidRPr="00022E11">
        <w:rPr>
          <w:sz w:val="26"/>
          <w:szCs w:val="26"/>
        </w:rPr>
        <w:tab/>
      </w:r>
      <w:r w:rsidRPr="00022E11">
        <w:rPr>
          <w:i/>
          <w:iCs/>
          <w:sz w:val="26"/>
          <w:szCs w:val="26"/>
        </w:rPr>
        <w:t>See</w:t>
      </w:r>
      <w:r w:rsidRPr="00022E11">
        <w:rPr>
          <w:sz w:val="26"/>
          <w:szCs w:val="26"/>
        </w:rPr>
        <w:t xml:space="preserve"> </w:t>
      </w:r>
      <w:r w:rsidRPr="00022E11">
        <w:rPr>
          <w:rFonts w:eastAsiaTheme="minorEastAsia"/>
          <w:i/>
          <w:iCs/>
          <w:sz w:val="26"/>
          <w:szCs w:val="26"/>
        </w:rPr>
        <w:t>Popowsky II</w:t>
      </w:r>
      <w:r w:rsidRPr="00022E11">
        <w:rPr>
          <w:rFonts w:eastAsiaTheme="minorEastAsia"/>
          <w:sz w:val="26"/>
          <w:szCs w:val="26"/>
        </w:rPr>
        <w:t>, 683 A.2d at 961 (“[t[he PUC has broad discretion in determining whether rates are reasonable” and “is vested with discretion to decide what factors it will consider in setting or evaluating a utility’s rates.”).</w:t>
      </w:r>
    </w:p>
  </w:footnote>
  <w:footnote w:id="28">
    <w:p w14:paraId="40D66852" w14:textId="727EA2C9" w:rsidR="009160F2" w:rsidRPr="00022E11" w:rsidRDefault="009160F2" w:rsidP="00AE79C0">
      <w:pPr>
        <w:pStyle w:val="FootnoteText"/>
        <w:keepNext/>
        <w:keepLines/>
        <w:spacing w:after="120" w:line="240" w:lineRule="auto"/>
        <w:jc w:val="left"/>
        <w:rPr>
          <w:sz w:val="26"/>
          <w:szCs w:val="26"/>
        </w:rPr>
      </w:pPr>
      <w:r w:rsidRPr="00022E11">
        <w:rPr>
          <w:rStyle w:val="FootnoteReference"/>
          <w:sz w:val="26"/>
          <w:szCs w:val="26"/>
        </w:rPr>
        <w:footnoteRef/>
      </w:r>
      <w:r w:rsidRPr="00022E11">
        <w:rPr>
          <w:sz w:val="26"/>
          <w:szCs w:val="26"/>
        </w:rPr>
        <w:t xml:space="preserve"> </w:t>
      </w:r>
      <w:r w:rsidRPr="00022E11">
        <w:rPr>
          <w:sz w:val="26"/>
          <w:szCs w:val="26"/>
        </w:rPr>
        <w:tab/>
        <w:t>For example, any specific risks and uncertainties related to this pandemic affecting financial investments in similarly situated business undertakings may be considered by the experts when recommending a market-based return on equity for the utility (</w:t>
      </w:r>
      <w:r w:rsidRPr="00022E11">
        <w:rPr>
          <w:i/>
          <w:iCs/>
          <w:sz w:val="26"/>
          <w:szCs w:val="26"/>
        </w:rPr>
        <w:t>e.g</w:t>
      </w:r>
      <w:r w:rsidRPr="00022E11">
        <w:rPr>
          <w:sz w:val="26"/>
          <w:szCs w:val="26"/>
        </w:rPr>
        <w:t xml:space="preserve">., in such expert’s analysis of proxy groups, growth rates, and dividend yields).  </w:t>
      </w:r>
    </w:p>
  </w:footnote>
  <w:footnote w:id="29">
    <w:p w14:paraId="7C6CEEEC" w14:textId="0003CED3" w:rsidR="009160F2" w:rsidRPr="00022E11" w:rsidRDefault="009160F2" w:rsidP="004D7F9E">
      <w:pPr>
        <w:pStyle w:val="FootnoteText"/>
        <w:keepNext/>
        <w:keepLines/>
        <w:spacing w:line="240" w:lineRule="auto"/>
        <w:jc w:val="left"/>
        <w:rPr>
          <w:sz w:val="26"/>
          <w:szCs w:val="26"/>
        </w:rPr>
      </w:pPr>
      <w:r w:rsidRPr="00022E11">
        <w:rPr>
          <w:rStyle w:val="FootnoteReference"/>
          <w:sz w:val="26"/>
          <w:szCs w:val="26"/>
        </w:rPr>
        <w:footnoteRef/>
      </w:r>
      <w:r w:rsidRPr="00022E11">
        <w:rPr>
          <w:sz w:val="26"/>
          <w:szCs w:val="26"/>
        </w:rPr>
        <w:t xml:space="preserve"> </w:t>
      </w:r>
      <w:r w:rsidRPr="00022E11">
        <w:rPr>
          <w:sz w:val="26"/>
          <w:szCs w:val="26"/>
        </w:rPr>
        <w:tab/>
        <w:t xml:space="preserve">It is well-established that a fair rate of return allows the utility the opportunity to recover those costs prudently incurred by all classes of capital used to finance the rate base during the prospective period in which its rates will be in effect.  </w:t>
      </w:r>
      <w:r w:rsidRPr="00022E11">
        <w:rPr>
          <w:i/>
          <w:iCs/>
          <w:sz w:val="26"/>
          <w:szCs w:val="26"/>
        </w:rPr>
        <w:t>See</w:t>
      </w:r>
      <w:r w:rsidRPr="00022E11">
        <w:rPr>
          <w:sz w:val="26"/>
          <w:szCs w:val="26"/>
        </w:rPr>
        <w:t xml:space="preserve"> </w:t>
      </w:r>
      <w:r w:rsidRPr="00022E11">
        <w:rPr>
          <w:i/>
          <w:iCs/>
          <w:sz w:val="26"/>
          <w:szCs w:val="26"/>
        </w:rPr>
        <w:t>Bluefield</w:t>
      </w:r>
      <w:r w:rsidRPr="004D7F9E">
        <w:rPr>
          <w:sz w:val="26"/>
          <w:szCs w:val="26"/>
        </w:rPr>
        <w:t>,</w:t>
      </w:r>
      <w:r w:rsidRPr="00022E11">
        <w:rPr>
          <w:i/>
          <w:iCs/>
          <w:sz w:val="26"/>
          <w:szCs w:val="26"/>
        </w:rPr>
        <w:t xml:space="preserve"> </w:t>
      </w:r>
      <w:r w:rsidRPr="00022E11">
        <w:rPr>
          <w:sz w:val="26"/>
          <w:szCs w:val="26"/>
        </w:rPr>
        <w:t xml:space="preserve">292 U.S. at 692-93; </w:t>
      </w:r>
      <w:r w:rsidRPr="00022E11">
        <w:rPr>
          <w:i/>
          <w:iCs/>
          <w:sz w:val="26"/>
          <w:szCs w:val="26"/>
        </w:rPr>
        <w:t>see also</w:t>
      </w:r>
      <w:r w:rsidRPr="00022E11">
        <w:rPr>
          <w:sz w:val="26"/>
          <w:szCs w:val="26"/>
        </w:rPr>
        <w:t xml:space="preserve"> </w:t>
      </w:r>
      <w:r w:rsidRPr="00022E11">
        <w:rPr>
          <w:i/>
          <w:iCs/>
          <w:sz w:val="26"/>
          <w:szCs w:val="26"/>
        </w:rPr>
        <w:t>Hope Natural Gas Co.</w:t>
      </w:r>
      <w:r w:rsidRPr="004D7F9E">
        <w:rPr>
          <w:sz w:val="26"/>
          <w:szCs w:val="26"/>
        </w:rPr>
        <w:t>,</w:t>
      </w:r>
      <w:r w:rsidRPr="00022E11">
        <w:rPr>
          <w:i/>
          <w:iCs/>
          <w:sz w:val="26"/>
          <w:szCs w:val="26"/>
        </w:rPr>
        <w:t xml:space="preserve"> </w:t>
      </w:r>
      <w:r w:rsidRPr="00022E11">
        <w:rPr>
          <w:sz w:val="26"/>
          <w:szCs w:val="26"/>
        </w:rPr>
        <w:t xml:space="preserve">320 U.S. at 603.  “When determining the cost of capital, the [Commission] must ‘give consideration to the utilities financial structure, credit standing, dividends, interests, risks, regulatory lag, wasting assets and any peculiar features of the utility involved.’” </w:t>
      </w:r>
      <w:r w:rsidRPr="00022E11">
        <w:rPr>
          <w:i/>
          <w:iCs/>
          <w:sz w:val="26"/>
          <w:szCs w:val="26"/>
        </w:rPr>
        <w:t>West Penn Power v. Pa. PUC</w:t>
      </w:r>
      <w:r w:rsidRPr="00022E11">
        <w:rPr>
          <w:sz w:val="26"/>
          <w:szCs w:val="26"/>
        </w:rPr>
        <w:t>, 607 A.2d 1132, 1135 (Pa. Cmwlth. 1992) (</w:t>
      </w:r>
      <w:r w:rsidRPr="00022E11">
        <w:rPr>
          <w:i/>
          <w:iCs/>
          <w:sz w:val="26"/>
          <w:szCs w:val="26"/>
        </w:rPr>
        <w:t>West Penn</w:t>
      </w:r>
      <w:r w:rsidRPr="00022E11">
        <w:rPr>
          <w:sz w:val="26"/>
          <w:szCs w:val="26"/>
        </w:rPr>
        <w:t xml:space="preserve">).   </w:t>
      </w:r>
    </w:p>
  </w:footnote>
  <w:footnote w:id="30">
    <w:p w14:paraId="78BCF58E" w14:textId="344CF9E5" w:rsidR="009160F2" w:rsidRPr="00022E11" w:rsidRDefault="009160F2" w:rsidP="00022E11">
      <w:pPr>
        <w:pStyle w:val="FootnoteText"/>
        <w:keepNext/>
        <w:keepLines/>
        <w:spacing w:line="240" w:lineRule="auto"/>
        <w:contextualSpacing/>
        <w:jc w:val="left"/>
        <w:rPr>
          <w:sz w:val="26"/>
          <w:szCs w:val="26"/>
        </w:rPr>
      </w:pPr>
      <w:r w:rsidRPr="00022E11">
        <w:rPr>
          <w:rStyle w:val="FootnoteReference"/>
          <w:sz w:val="26"/>
          <w:szCs w:val="26"/>
        </w:rPr>
        <w:footnoteRef/>
      </w:r>
      <w:r w:rsidRPr="00022E11">
        <w:rPr>
          <w:sz w:val="26"/>
          <w:szCs w:val="26"/>
        </w:rPr>
        <w:t xml:space="preserve"> </w:t>
      </w:r>
      <w:r w:rsidRPr="00022E11">
        <w:rPr>
          <w:sz w:val="26"/>
          <w:szCs w:val="26"/>
        </w:rPr>
        <w:tab/>
        <w:t xml:space="preserve">Moreover, as Columbia points out, the ALJ’s approach to this issue ignores that the General Assembly addressed concerns of overstated projections in Section 315(e) of the Code, “which authorizes a Commission audit of the FPFTY results after the fact to determine whether they were accurate and an adjustment of rates to reflect material differences.”  </w:t>
      </w:r>
      <w:r w:rsidRPr="00022E11">
        <w:rPr>
          <w:i/>
          <w:iCs/>
          <w:sz w:val="26"/>
          <w:szCs w:val="26"/>
        </w:rPr>
        <w:t>UGI Electric</w:t>
      </w:r>
      <w:r w:rsidRPr="00022E11">
        <w:rPr>
          <w:sz w:val="26"/>
          <w:szCs w:val="26"/>
        </w:rPr>
        <w:t xml:space="preserve"> at 26.</w:t>
      </w:r>
    </w:p>
  </w:footnote>
  <w:footnote w:id="31">
    <w:p w14:paraId="7A16CB77" w14:textId="3373F80C" w:rsidR="009160F2" w:rsidRPr="00022E11" w:rsidRDefault="009160F2" w:rsidP="00022E11">
      <w:pPr>
        <w:pStyle w:val="FootnoteText"/>
        <w:keepNext/>
        <w:keepLines/>
        <w:spacing w:line="240" w:lineRule="auto"/>
        <w:contextualSpacing/>
        <w:jc w:val="left"/>
        <w:rPr>
          <w:sz w:val="26"/>
          <w:szCs w:val="26"/>
        </w:rPr>
      </w:pPr>
      <w:r w:rsidRPr="00022E11">
        <w:rPr>
          <w:rStyle w:val="FootnoteReference"/>
          <w:sz w:val="26"/>
          <w:szCs w:val="26"/>
        </w:rPr>
        <w:footnoteRef/>
      </w:r>
      <w:r w:rsidRPr="00022E11">
        <w:rPr>
          <w:sz w:val="26"/>
          <w:szCs w:val="26"/>
        </w:rPr>
        <w:t xml:space="preserve"> </w:t>
      </w:r>
      <w:r w:rsidRPr="00022E11">
        <w:rPr>
          <w:sz w:val="26"/>
          <w:szCs w:val="26"/>
        </w:rPr>
        <w:tab/>
        <w:t xml:space="preserve">Columbia’s proposed revenue requirement after these concessions is $76.8 million, reflecting an equity return of 9.86%, $20 million of which is a roll-in of current DSIC charges.  </w:t>
      </w:r>
      <w:r w:rsidRPr="00022E11">
        <w:rPr>
          <w:i/>
          <w:iCs/>
          <w:sz w:val="26"/>
          <w:szCs w:val="26"/>
        </w:rPr>
        <w:t>See</w:t>
      </w:r>
      <w:r w:rsidRPr="00022E11">
        <w:rPr>
          <w:sz w:val="26"/>
          <w:szCs w:val="26"/>
        </w:rPr>
        <w:t xml:space="preserve"> </w:t>
      </w:r>
      <w:r w:rsidRPr="00022E11">
        <w:rPr>
          <w:i/>
          <w:iCs/>
          <w:sz w:val="26"/>
          <w:szCs w:val="26"/>
        </w:rPr>
        <w:t>infra</w:t>
      </w:r>
      <w:r w:rsidRPr="002F536C">
        <w:rPr>
          <w:sz w:val="26"/>
          <w:szCs w:val="26"/>
        </w:rPr>
        <w:t>,</w:t>
      </w:r>
      <w:r w:rsidRPr="00022E11">
        <w:rPr>
          <w:sz w:val="26"/>
          <w:szCs w:val="26"/>
        </w:rPr>
        <w:t xml:space="preserve"> CG Exc. No. 20.</w:t>
      </w:r>
    </w:p>
  </w:footnote>
  <w:footnote w:id="32">
    <w:p w14:paraId="09F04E87" w14:textId="77777777" w:rsidR="009160F2" w:rsidRPr="00022E11" w:rsidRDefault="009160F2" w:rsidP="00022E11">
      <w:pPr>
        <w:pStyle w:val="FootnoteText"/>
        <w:keepNext/>
        <w:keepLines/>
        <w:spacing w:after="120" w:line="240" w:lineRule="auto"/>
        <w:contextualSpacing/>
        <w:jc w:val="left"/>
        <w:rPr>
          <w:sz w:val="26"/>
          <w:szCs w:val="26"/>
        </w:rPr>
      </w:pPr>
      <w:r w:rsidRPr="00022E11">
        <w:rPr>
          <w:rStyle w:val="FootnoteReference"/>
          <w:sz w:val="26"/>
          <w:szCs w:val="26"/>
        </w:rPr>
        <w:footnoteRef/>
      </w:r>
      <w:r w:rsidRPr="00022E11">
        <w:rPr>
          <w:sz w:val="26"/>
          <w:szCs w:val="26"/>
        </w:rPr>
        <w:t xml:space="preserve"> </w:t>
      </w:r>
      <w:r w:rsidRPr="00022E11">
        <w:rPr>
          <w:sz w:val="26"/>
          <w:szCs w:val="26"/>
        </w:rPr>
        <w:tab/>
        <w:t xml:space="preserve">Prior to 2020, Columbia recorded the investment costs associated with Cloud Computing in Account 165 – Prepayments.  The costs were amortized to O&amp;M expense based on the life of the Cloud Computing arrangement.  </w:t>
      </w:r>
    </w:p>
  </w:footnote>
  <w:footnote w:id="33">
    <w:p w14:paraId="63015321" w14:textId="77777777" w:rsidR="009160F2" w:rsidRPr="00022E11" w:rsidRDefault="009160F2" w:rsidP="00AE79C0">
      <w:pPr>
        <w:pStyle w:val="FootnoteText"/>
        <w:keepNext/>
        <w:keepLines/>
        <w:spacing w:after="120" w:line="240" w:lineRule="auto"/>
        <w:jc w:val="left"/>
        <w:rPr>
          <w:sz w:val="26"/>
          <w:szCs w:val="26"/>
        </w:rPr>
      </w:pPr>
      <w:r w:rsidRPr="00022E11">
        <w:rPr>
          <w:rStyle w:val="FootnoteReference"/>
          <w:sz w:val="26"/>
          <w:szCs w:val="26"/>
        </w:rPr>
        <w:footnoteRef/>
      </w:r>
      <w:r w:rsidRPr="00022E11">
        <w:rPr>
          <w:sz w:val="26"/>
          <w:szCs w:val="26"/>
        </w:rPr>
        <w:t xml:space="preserve"> </w:t>
      </w:r>
      <w:r w:rsidRPr="00022E11">
        <w:rPr>
          <w:sz w:val="26"/>
          <w:szCs w:val="26"/>
        </w:rPr>
        <w:tab/>
        <w:t xml:space="preserve">Columbia’s depreciation expert, Mr. John Spanos, also explained that Mr. Effron oversimplified the process of computing depreciation accrual and the accrued depreciation reserve, in part because proper depreciation accounting requires a determination of plant in service and reserve at an account level, because different assets have different depreciation rates.  CG St. 5-R at 2-4.  </w:t>
      </w:r>
    </w:p>
  </w:footnote>
  <w:footnote w:id="34">
    <w:p w14:paraId="44DEFAC5" w14:textId="77777777" w:rsidR="009160F2" w:rsidRPr="00022E11" w:rsidRDefault="009160F2" w:rsidP="00AE79C0">
      <w:pPr>
        <w:pStyle w:val="FootnoteText"/>
        <w:keepNext/>
        <w:keepLines/>
        <w:spacing w:after="120" w:line="240" w:lineRule="auto"/>
        <w:jc w:val="left"/>
        <w:rPr>
          <w:sz w:val="26"/>
          <w:szCs w:val="26"/>
        </w:rPr>
      </w:pPr>
      <w:r w:rsidRPr="00022E11">
        <w:rPr>
          <w:rStyle w:val="FootnoteReference"/>
          <w:sz w:val="26"/>
          <w:szCs w:val="26"/>
        </w:rPr>
        <w:footnoteRef/>
      </w:r>
      <w:r w:rsidRPr="00022E11">
        <w:rPr>
          <w:sz w:val="26"/>
          <w:szCs w:val="26"/>
        </w:rPr>
        <w:t xml:space="preserve"> </w:t>
      </w:r>
      <w:r w:rsidRPr="00022E11">
        <w:rPr>
          <w:sz w:val="26"/>
          <w:szCs w:val="26"/>
        </w:rPr>
        <w:tab/>
        <w:t xml:space="preserve">The ALJ agreed with the OCA’s recommendation to use a derivative adjustment for depreciation reserve, relating to the adjusted plant in service, as well as the proportional changes in ADIT in comparison with plant additions.  R.D. at 59.  </w:t>
      </w:r>
    </w:p>
  </w:footnote>
  <w:footnote w:id="35">
    <w:p w14:paraId="335D207C" w14:textId="54F086A8" w:rsidR="009160F2" w:rsidRPr="00022E11" w:rsidRDefault="009160F2" w:rsidP="00022E11">
      <w:pPr>
        <w:pStyle w:val="FootnoteText"/>
        <w:keepNext/>
        <w:keepLines/>
        <w:spacing w:line="240" w:lineRule="auto"/>
        <w:contextualSpacing/>
        <w:jc w:val="left"/>
        <w:rPr>
          <w:sz w:val="26"/>
          <w:szCs w:val="26"/>
        </w:rPr>
      </w:pPr>
      <w:r w:rsidRPr="00022E11">
        <w:rPr>
          <w:rStyle w:val="FootnoteReference"/>
          <w:sz w:val="26"/>
          <w:szCs w:val="26"/>
        </w:rPr>
        <w:footnoteRef/>
      </w:r>
      <w:r w:rsidRPr="00022E11">
        <w:rPr>
          <w:sz w:val="26"/>
          <w:szCs w:val="26"/>
        </w:rPr>
        <w:tab/>
        <w:t>As previously noted, Columbia made certain concessions in its Exceptions, resulting in a final revised overall revenue increase of $76.8 million</w:t>
      </w:r>
      <w:r>
        <w:rPr>
          <w:sz w:val="26"/>
          <w:szCs w:val="26"/>
        </w:rPr>
        <w:t>.</w:t>
      </w:r>
      <w:r w:rsidRPr="00022E11">
        <w:rPr>
          <w:sz w:val="26"/>
          <w:szCs w:val="26"/>
        </w:rPr>
        <w:t xml:space="preserve">  This would have resulted in a final revised revenue requirement of $649,569,574.</w:t>
      </w:r>
    </w:p>
  </w:footnote>
  <w:footnote w:id="36">
    <w:p w14:paraId="733D5A7C" w14:textId="77777777" w:rsidR="009160F2" w:rsidRPr="00022E11" w:rsidRDefault="009160F2" w:rsidP="00022E11">
      <w:pPr>
        <w:keepNext/>
        <w:keepLines/>
        <w:widowControl/>
        <w:autoSpaceDE w:val="0"/>
        <w:autoSpaceDN w:val="0"/>
        <w:adjustRightInd w:val="0"/>
        <w:ind w:firstLine="720"/>
        <w:contextualSpacing/>
        <w:rPr>
          <w:rFonts w:eastAsiaTheme="minorHAnsi"/>
          <w:sz w:val="26"/>
          <w:szCs w:val="26"/>
        </w:rPr>
      </w:pPr>
      <w:r w:rsidRPr="00022E11">
        <w:rPr>
          <w:rStyle w:val="FootnoteReference"/>
          <w:sz w:val="26"/>
          <w:szCs w:val="26"/>
        </w:rPr>
        <w:footnoteRef/>
      </w:r>
      <w:r w:rsidRPr="00022E11">
        <w:rPr>
          <w:sz w:val="26"/>
          <w:szCs w:val="26"/>
        </w:rPr>
        <w:t xml:space="preserve"> </w:t>
      </w:r>
      <w:r w:rsidRPr="00022E11">
        <w:rPr>
          <w:sz w:val="26"/>
          <w:szCs w:val="26"/>
        </w:rPr>
        <w:tab/>
      </w:r>
      <w:r w:rsidRPr="00022E11">
        <w:rPr>
          <w:rFonts w:eastAsiaTheme="minorHAnsi"/>
          <w:i/>
          <w:iCs/>
          <w:sz w:val="26"/>
          <w:szCs w:val="26"/>
        </w:rPr>
        <w:t>Petition of Columbia Gas of Pennsylvania, Inc., for Approval of a Major Modification to its Existing Long-Term Infrastructure Improvement Plan and Approval of its Second Long-Term Infrastructure Improvement Plan</w:t>
      </w:r>
      <w:r w:rsidRPr="00022E11">
        <w:rPr>
          <w:rFonts w:eastAsiaTheme="minorHAnsi"/>
          <w:sz w:val="26"/>
          <w:szCs w:val="26"/>
        </w:rPr>
        <w:t>, Docket No. P-2017-2602917 (Order entered September 21, 2017) at 16-17 (</w:t>
      </w:r>
      <w:r w:rsidRPr="00022E11">
        <w:rPr>
          <w:rFonts w:eastAsiaTheme="minorHAnsi"/>
          <w:i/>
          <w:iCs/>
          <w:sz w:val="26"/>
          <w:szCs w:val="26"/>
        </w:rPr>
        <w:t>Second LTIIP Order</w:t>
      </w:r>
      <w:r w:rsidRPr="00022E11">
        <w:rPr>
          <w:rFonts w:eastAsiaTheme="minorHAnsi"/>
          <w:sz w:val="26"/>
          <w:szCs w:val="26"/>
        </w:rPr>
        <w:t>).  Columbia’s First LTIIP covered the period 2013-2017.</w:t>
      </w:r>
    </w:p>
    <w:p w14:paraId="13C53472" w14:textId="77777777" w:rsidR="009160F2" w:rsidRPr="00022E11" w:rsidRDefault="009160F2" w:rsidP="00022E11">
      <w:pPr>
        <w:pStyle w:val="FootnoteText"/>
        <w:keepNext/>
        <w:keepLines/>
        <w:spacing w:line="240" w:lineRule="auto"/>
        <w:contextualSpacing/>
        <w:jc w:val="left"/>
        <w:rPr>
          <w:sz w:val="26"/>
          <w:szCs w:val="26"/>
        </w:rPr>
      </w:pPr>
    </w:p>
  </w:footnote>
  <w:footnote w:id="37">
    <w:p w14:paraId="7C8AA930" w14:textId="77777777" w:rsidR="009160F2" w:rsidRPr="00022E11" w:rsidRDefault="009160F2" w:rsidP="00022E11">
      <w:pPr>
        <w:pStyle w:val="FootnoteText"/>
        <w:keepNext/>
        <w:keepLines/>
        <w:spacing w:line="240" w:lineRule="auto"/>
        <w:contextualSpacing/>
        <w:jc w:val="left"/>
        <w:rPr>
          <w:sz w:val="26"/>
          <w:szCs w:val="26"/>
        </w:rPr>
      </w:pPr>
      <w:r w:rsidRPr="00022E11">
        <w:rPr>
          <w:rStyle w:val="FootnoteReference"/>
          <w:sz w:val="26"/>
          <w:szCs w:val="26"/>
        </w:rPr>
        <w:footnoteRef/>
      </w:r>
      <w:r w:rsidRPr="00022E11">
        <w:rPr>
          <w:sz w:val="26"/>
          <w:szCs w:val="26"/>
        </w:rPr>
        <w:t xml:space="preserve"> </w:t>
      </w:r>
      <w:r w:rsidRPr="00022E11">
        <w:rPr>
          <w:sz w:val="26"/>
          <w:szCs w:val="26"/>
        </w:rPr>
        <w:tab/>
        <w:t>Cross bores can occur when existing unmarked underground facilities, such as water or sewer lines, are damaged by direct bore installation of underground facilities.</w:t>
      </w:r>
    </w:p>
  </w:footnote>
  <w:footnote w:id="38">
    <w:p w14:paraId="156787E3" w14:textId="5F8965A5" w:rsidR="009160F2" w:rsidRPr="00022E11" w:rsidRDefault="009160F2" w:rsidP="00022E11">
      <w:pPr>
        <w:pStyle w:val="FootnoteText"/>
        <w:keepNext/>
        <w:keepLines/>
        <w:spacing w:line="240" w:lineRule="auto"/>
        <w:contextualSpacing/>
        <w:jc w:val="left"/>
        <w:rPr>
          <w:sz w:val="26"/>
          <w:szCs w:val="26"/>
        </w:rPr>
      </w:pPr>
      <w:r w:rsidRPr="00022E11">
        <w:rPr>
          <w:rStyle w:val="FootnoteReference"/>
          <w:sz w:val="26"/>
          <w:szCs w:val="26"/>
        </w:rPr>
        <w:footnoteRef/>
      </w:r>
      <w:r w:rsidRPr="00022E11">
        <w:rPr>
          <w:sz w:val="26"/>
          <w:szCs w:val="26"/>
        </w:rPr>
        <w:t xml:space="preserve"> </w:t>
      </w:r>
      <w:r w:rsidRPr="00022E11">
        <w:rPr>
          <w:sz w:val="26"/>
          <w:szCs w:val="26"/>
        </w:rPr>
        <w:tab/>
      </w:r>
      <w:r w:rsidRPr="00022E11">
        <w:rPr>
          <w:spacing w:val="2"/>
          <w:sz w:val="26"/>
          <w:szCs w:val="26"/>
        </w:rPr>
        <w:t xml:space="preserve">A riser is a section of pipe that connects fuel lines and meter sets outside a customer’s premises.  Field-assembled risers are risers that were assembled in the field and installed.  Most risers are installed and owned by customers.  Columbia has identified a higher rate of failure in risers that are field-assembled versus those that are pre-assembled. </w:t>
      </w:r>
      <w:r>
        <w:rPr>
          <w:spacing w:val="2"/>
          <w:sz w:val="26"/>
          <w:szCs w:val="26"/>
        </w:rPr>
        <w:t xml:space="preserve"> </w:t>
      </w:r>
      <w:r w:rsidRPr="00022E11">
        <w:rPr>
          <w:spacing w:val="2"/>
          <w:sz w:val="26"/>
          <w:szCs w:val="26"/>
        </w:rPr>
        <w:t>Columbia ceased installing field-assembled risers in 2007 and began to target and replace these field-assembled risers when failures were identified after the 2014-2015 winter.  I&amp;E St. 5 at 11; CG St. 7 at 25; CG St. 7-R at 17</w:t>
      </w:r>
      <w:r w:rsidRPr="00022E11">
        <w:rPr>
          <w:spacing w:val="2"/>
          <w:sz w:val="26"/>
          <w:szCs w:val="26"/>
        </w:rPr>
        <w:softHyphen/>
        <w:t>18.</w:t>
      </w:r>
    </w:p>
  </w:footnote>
  <w:footnote w:id="39">
    <w:p w14:paraId="386D2521" w14:textId="77777777" w:rsidR="009160F2" w:rsidRPr="00022E11" w:rsidRDefault="009160F2" w:rsidP="00022E11">
      <w:pPr>
        <w:pStyle w:val="FootnoteText"/>
        <w:keepNext/>
        <w:keepLines/>
        <w:spacing w:line="240" w:lineRule="auto"/>
        <w:ind w:firstLine="0"/>
        <w:contextualSpacing/>
        <w:jc w:val="left"/>
        <w:rPr>
          <w:i/>
          <w:iCs/>
          <w:sz w:val="26"/>
          <w:szCs w:val="26"/>
        </w:rPr>
      </w:pPr>
      <w:r w:rsidRPr="00022E11">
        <w:rPr>
          <w:sz w:val="26"/>
          <w:szCs w:val="26"/>
        </w:rPr>
        <w:tab/>
      </w:r>
      <w:r w:rsidRPr="00022E11">
        <w:rPr>
          <w:rStyle w:val="FootnoteReference"/>
          <w:sz w:val="26"/>
          <w:szCs w:val="26"/>
        </w:rPr>
        <w:footnoteRef/>
      </w:r>
      <w:r w:rsidRPr="00022E11">
        <w:rPr>
          <w:sz w:val="26"/>
          <w:szCs w:val="26"/>
        </w:rPr>
        <w:tab/>
        <w:t xml:space="preserve">The Parties’ positions regarding the cost of common equity will be discussed, in detail, in Section IX.D of this Opinion and Order, </w:t>
      </w:r>
      <w:r w:rsidRPr="00022E11">
        <w:rPr>
          <w:i/>
          <w:iCs/>
          <w:sz w:val="26"/>
          <w:szCs w:val="26"/>
        </w:rPr>
        <w:t>infra.</w:t>
      </w:r>
    </w:p>
  </w:footnote>
  <w:footnote w:id="40">
    <w:p w14:paraId="6AD6A3E8" w14:textId="781580AE" w:rsidR="009160F2" w:rsidRPr="00022E11" w:rsidRDefault="009160F2" w:rsidP="00022E11">
      <w:pPr>
        <w:pStyle w:val="FootnoteText"/>
        <w:keepNext/>
        <w:keepLines/>
        <w:spacing w:line="240" w:lineRule="auto"/>
        <w:contextualSpacing/>
        <w:jc w:val="left"/>
        <w:rPr>
          <w:sz w:val="26"/>
          <w:szCs w:val="26"/>
        </w:rPr>
      </w:pPr>
      <w:r w:rsidRPr="00022E11">
        <w:rPr>
          <w:rStyle w:val="FootnoteReference"/>
          <w:sz w:val="26"/>
          <w:szCs w:val="26"/>
        </w:rPr>
        <w:footnoteRef/>
      </w:r>
      <w:r w:rsidRPr="00022E11">
        <w:rPr>
          <w:sz w:val="26"/>
          <w:szCs w:val="26"/>
        </w:rPr>
        <w:tab/>
        <w:t>As discussed above, the OCA performed a separate, stand-alone analysis on NiSource, Inc.</w:t>
      </w:r>
    </w:p>
  </w:footnote>
  <w:footnote w:id="41">
    <w:p w14:paraId="615C3711" w14:textId="6C6A85DE" w:rsidR="009160F2" w:rsidRPr="00022E11" w:rsidRDefault="009160F2" w:rsidP="00022E11">
      <w:pPr>
        <w:pStyle w:val="FootnoteText"/>
        <w:keepNext/>
        <w:keepLines/>
        <w:spacing w:line="240" w:lineRule="auto"/>
        <w:contextualSpacing/>
        <w:jc w:val="left"/>
        <w:rPr>
          <w:sz w:val="26"/>
          <w:szCs w:val="26"/>
        </w:rPr>
      </w:pPr>
      <w:r w:rsidRPr="00022E11">
        <w:rPr>
          <w:rStyle w:val="FootnoteReference"/>
          <w:sz w:val="26"/>
          <w:szCs w:val="26"/>
        </w:rPr>
        <w:footnoteRef/>
      </w:r>
      <w:r w:rsidRPr="00022E11">
        <w:rPr>
          <w:sz w:val="26"/>
          <w:szCs w:val="26"/>
        </w:rPr>
        <w:tab/>
        <w:t xml:space="preserve">As will be discussed below, in the following chart, DCF refers to the Discounted Cash Flow Method, CAPM refers to the Capital Asset Pricing Model, </w:t>
      </w:r>
      <w:bookmarkStart w:id="268" w:name="_Hlk63279779"/>
      <w:r w:rsidRPr="00022E11">
        <w:rPr>
          <w:sz w:val="26"/>
          <w:szCs w:val="26"/>
        </w:rPr>
        <w:t>RP</w:t>
      </w:r>
      <w:bookmarkEnd w:id="268"/>
      <w:r w:rsidRPr="00022E11">
        <w:rPr>
          <w:sz w:val="26"/>
          <w:szCs w:val="26"/>
        </w:rPr>
        <w:t xml:space="preserve"> refers to the </w:t>
      </w:r>
      <w:bookmarkStart w:id="269" w:name="_Hlk63279794"/>
      <w:r w:rsidRPr="00022E11">
        <w:rPr>
          <w:sz w:val="26"/>
          <w:szCs w:val="26"/>
        </w:rPr>
        <w:t>Risk Premium Method</w:t>
      </w:r>
      <w:bookmarkEnd w:id="269"/>
      <w:r w:rsidRPr="00022E11">
        <w:rPr>
          <w:sz w:val="26"/>
          <w:szCs w:val="26"/>
        </w:rPr>
        <w:t xml:space="preserve">, and </w:t>
      </w:r>
      <w:bookmarkStart w:id="270" w:name="_Hlk63279812"/>
      <w:r w:rsidRPr="00022E11">
        <w:rPr>
          <w:sz w:val="26"/>
          <w:szCs w:val="26"/>
        </w:rPr>
        <w:t>CE</w:t>
      </w:r>
      <w:bookmarkEnd w:id="270"/>
      <w:r w:rsidRPr="00022E11">
        <w:rPr>
          <w:sz w:val="26"/>
          <w:szCs w:val="26"/>
        </w:rPr>
        <w:t xml:space="preserve"> refers to the </w:t>
      </w:r>
      <w:bookmarkStart w:id="271" w:name="_Hlk63279829"/>
      <w:r w:rsidRPr="00022E11">
        <w:rPr>
          <w:sz w:val="26"/>
          <w:szCs w:val="26"/>
        </w:rPr>
        <w:t>Comparable Earnings Method</w:t>
      </w:r>
      <w:bookmarkEnd w:id="271"/>
      <w:r w:rsidRPr="00022E11">
        <w:rPr>
          <w:sz w:val="26"/>
          <w:szCs w:val="26"/>
        </w:rPr>
        <w:t>.</w:t>
      </w:r>
    </w:p>
  </w:footnote>
  <w:footnote w:id="42">
    <w:p w14:paraId="52701229" w14:textId="2A6AD072" w:rsidR="009160F2" w:rsidRPr="00022E11" w:rsidRDefault="009160F2" w:rsidP="002E1879">
      <w:pPr>
        <w:pStyle w:val="FootnoteText"/>
        <w:keepNext/>
        <w:keepLines/>
        <w:spacing w:line="240" w:lineRule="auto"/>
        <w:jc w:val="left"/>
        <w:rPr>
          <w:sz w:val="26"/>
          <w:szCs w:val="26"/>
        </w:rPr>
      </w:pPr>
      <w:r w:rsidRPr="00022E11">
        <w:rPr>
          <w:rStyle w:val="FootnoteReference"/>
          <w:sz w:val="26"/>
          <w:szCs w:val="26"/>
        </w:rPr>
        <w:footnoteRef/>
      </w:r>
      <w:r w:rsidRPr="00022E11">
        <w:rPr>
          <w:sz w:val="26"/>
          <w:szCs w:val="26"/>
        </w:rPr>
        <w:tab/>
        <w:t>As noted below, Columbia stated that given these concessions, it would support a rate of return on common equity of 9.86%, under the present circumstances.  Columbia Exc. at 24.</w:t>
      </w:r>
    </w:p>
  </w:footnote>
  <w:footnote w:id="43">
    <w:p w14:paraId="3075A043" w14:textId="5ECB7117" w:rsidR="009160F2" w:rsidRPr="00022E11" w:rsidRDefault="009160F2" w:rsidP="002E1879">
      <w:pPr>
        <w:pStyle w:val="FootnoteText"/>
        <w:keepNext/>
        <w:keepLines/>
        <w:spacing w:line="240" w:lineRule="auto"/>
        <w:jc w:val="left"/>
        <w:rPr>
          <w:sz w:val="26"/>
          <w:szCs w:val="26"/>
        </w:rPr>
      </w:pPr>
      <w:r w:rsidRPr="00022E11">
        <w:rPr>
          <w:rStyle w:val="FootnoteReference"/>
          <w:sz w:val="26"/>
          <w:szCs w:val="26"/>
        </w:rPr>
        <w:footnoteRef/>
      </w:r>
      <w:r w:rsidRPr="00022E11">
        <w:rPr>
          <w:sz w:val="26"/>
          <w:szCs w:val="26"/>
        </w:rPr>
        <w:tab/>
        <w:t xml:space="preserve">The OCA attached an appendix to its Main Brief entitled “OCA Rate Case Table: Zero Increase” in support of its primary position in this proceeding that the Company should not receive any rate increase.  Table I(A) of this appendix shows that under a zero-increase scenario, the OCA proposed a rate of return on common equity of 6.53%.  However, as we have determined that the Company should receive a rate increase, we will not consider this appendix in setting the appropriate cost of common equity for Columbia. </w:t>
      </w:r>
    </w:p>
  </w:footnote>
  <w:footnote w:id="44">
    <w:p w14:paraId="14A5D37C" w14:textId="7129592F" w:rsidR="009160F2" w:rsidRPr="00AE79C0" w:rsidRDefault="009160F2" w:rsidP="00AE79C0">
      <w:pPr>
        <w:pStyle w:val="FootnoteText"/>
        <w:spacing w:line="240" w:lineRule="auto"/>
        <w:jc w:val="left"/>
        <w:rPr>
          <w:sz w:val="26"/>
          <w:szCs w:val="26"/>
        </w:rPr>
      </w:pPr>
      <w:r>
        <w:rPr>
          <w:rStyle w:val="FootnoteReference"/>
        </w:rPr>
        <w:footnoteRef/>
      </w:r>
      <w:r>
        <w:t xml:space="preserve"> </w:t>
      </w:r>
      <w:r>
        <w:tab/>
      </w:r>
      <w:r w:rsidRPr="00AE79C0">
        <w:rPr>
          <w:sz w:val="26"/>
          <w:szCs w:val="26"/>
        </w:rPr>
        <w:t xml:space="preserve">We note that there are additional rate issues </w:t>
      </w:r>
      <w:r w:rsidRPr="003439E4">
        <w:rPr>
          <w:sz w:val="26"/>
          <w:szCs w:val="26"/>
        </w:rPr>
        <w:t>pertaining to the elements in the proposed base rate increase</w:t>
      </w:r>
      <w:r w:rsidRPr="00AE79C0">
        <w:rPr>
          <w:sz w:val="26"/>
          <w:szCs w:val="26"/>
        </w:rPr>
        <w:t xml:space="preserve"> addressed later in th</w:t>
      </w:r>
      <w:r>
        <w:rPr>
          <w:sz w:val="26"/>
          <w:szCs w:val="26"/>
        </w:rPr>
        <w:t>is</w:t>
      </w:r>
      <w:r w:rsidRPr="00AE79C0">
        <w:rPr>
          <w:sz w:val="26"/>
          <w:szCs w:val="26"/>
        </w:rPr>
        <w:t xml:space="preserve"> </w:t>
      </w:r>
      <w:r>
        <w:rPr>
          <w:sz w:val="26"/>
          <w:szCs w:val="26"/>
        </w:rPr>
        <w:t xml:space="preserve">Opinion and </w:t>
      </w:r>
      <w:r w:rsidRPr="00AE79C0">
        <w:rPr>
          <w:sz w:val="26"/>
          <w:szCs w:val="26"/>
        </w:rPr>
        <w:t xml:space="preserve">Order and not here simply because the Order follows the structure of the Recommended Decision for ease of reference by the reader. </w:t>
      </w:r>
    </w:p>
  </w:footnote>
  <w:footnote w:id="45">
    <w:p w14:paraId="2038F6D7" w14:textId="0FA8926E" w:rsidR="009160F2" w:rsidRPr="00AE79C0" w:rsidRDefault="009160F2" w:rsidP="00AE79C0">
      <w:pPr>
        <w:pStyle w:val="FootnoteText"/>
        <w:spacing w:line="240" w:lineRule="auto"/>
        <w:jc w:val="left"/>
        <w:rPr>
          <w:sz w:val="26"/>
          <w:szCs w:val="26"/>
        </w:rPr>
      </w:pPr>
      <w:r w:rsidRPr="00AE79C0">
        <w:rPr>
          <w:rStyle w:val="FootnoteReference"/>
          <w:sz w:val="26"/>
          <w:szCs w:val="26"/>
        </w:rPr>
        <w:footnoteRef/>
      </w:r>
      <w:r w:rsidRPr="00AE79C0">
        <w:rPr>
          <w:sz w:val="26"/>
          <w:szCs w:val="26"/>
        </w:rPr>
        <w:t xml:space="preserve"> </w:t>
      </w:r>
      <w:r w:rsidRPr="00AE79C0">
        <w:rPr>
          <w:sz w:val="26"/>
          <w:szCs w:val="26"/>
        </w:rPr>
        <w:tab/>
      </w:r>
      <w:r w:rsidRPr="00F331E4">
        <w:rPr>
          <w:sz w:val="26"/>
          <w:szCs w:val="26"/>
        </w:rPr>
        <w:t xml:space="preserve">Commission </w:t>
      </w:r>
      <w:r w:rsidRPr="00360559">
        <w:rPr>
          <w:rFonts w:eastAsiaTheme="minorHAnsi"/>
          <w:sz w:val="26"/>
          <w:szCs w:val="26"/>
        </w:rPr>
        <w:t>staff Report</w:t>
      </w:r>
      <w:r>
        <w:rPr>
          <w:rFonts w:eastAsiaTheme="minorHAnsi"/>
          <w:sz w:val="26"/>
          <w:szCs w:val="26"/>
        </w:rPr>
        <w:t xml:space="preserve"> titled</w:t>
      </w:r>
      <w:r w:rsidRPr="00360559">
        <w:rPr>
          <w:rFonts w:eastAsiaTheme="minorHAnsi"/>
          <w:sz w:val="26"/>
          <w:szCs w:val="26"/>
        </w:rPr>
        <w:t xml:space="preserve"> “Home Energy Affordability for Low-Income Customers in Pennsylvania” (Energy Burden Study)</w:t>
      </w:r>
      <w:r>
        <w:rPr>
          <w:rFonts w:eastAsiaTheme="minorHAnsi"/>
          <w:sz w:val="26"/>
          <w:szCs w:val="26"/>
        </w:rPr>
        <w:t xml:space="preserve">, </w:t>
      </w:r>
      <w:r w:rsidRPr="00DB03D2">
        <w:rPr>
          <w:rFonts w:eastAsiaTheme="minorHAnsi"/>
          <w:sz w:val="26"/>
          <w:szCs w:val="26"/>
        </w:rPr>
        <w:t xml:space="preserve">which detailed the results of a study on home energy burdens in Pennsylvania.  </w:t>
      </w:r>
      <w:r w:rsidRPr="00DB03D2">
        <w:rPr>
          <w:rFonts w:eastAsiaTheme="minorHAnsi"/>
          <w:i/>
          <w:iCs/>
          <w:sz w:val="26"/>
          <w:szCs w:val="26"/>
        </w:rPr>
        <w:t>Energy Affordability for Low Income Customers</w:t>
      </w:r>
      <w:r w:rsidRPr="00DB03D2">
        <w:rPr>
          <w:rFonts w:eastAsiaTheme="minorHAnsi"/>
          <w:sz w:val="26"/>
          <w:szCs w:val="26"/>
        </w:rPr>
        <w:t xml:space="preserve">, Docket No. M-2017-2587711 (Order entered on January 17, 2019).   </w:t>
      </w:r>
    </w:p>
  </w:footnote>
  <w:footnote w:id="46">
    <w:p w14:paraId="6AF70D85" w14:textId="77777777" w:rsidR="009160F2" w:rsidRPr="00022E11" w:rsidRDefault="009160F2" w:rsidP="00022E11">
      <w:pPr>
        <w:pStyle w:val="FootnoteText"/>
        <w:keepNext/>
        <w:keepLines/>
        <w:spacing w:line="240" w:lineRule="auto"/>
        <w:contextualSpacing/>
        <w:jc w:val="left"/>
        <w:rPr>
          <w:sz w:val="26"/>
          <w:szCs w:val="26"/>
        </w:rPr>
      </w:pPr>
      <w:r w:rsidRPr="00022E11">
        <w:rPr>
          <w:rStyle w:val="FootnoteReference"/>
          <w:sz w:val="26"/>
          <w:szCs w:val="26"/>
        </w:rPr>
        <w:footnoteRef/>
      </w:r>
      <w:r w:rsidRPr="00022E11">
        <w:rPr>
          <w:sz w:val="26"/>
          <w:szCs w:val="26"/>
        </w:rPr>
        <w:t xml:space="preserve"> </w:t>
      </w:r>
      <w:r w:rsidRPr="00022E11">
        <w:rPr>
          <w:sz w:val="26"/>
          <w:szCs w:val="26"/>
        </w:rPr>
        <w:tab/>
        <w:t xml:space="preserve">Pennsylvania Public Utility Commission Report on 2018 Universal Service Programs &amp; Collections Performance (published December 2019), available at https://www.puc.pa.gov/General/publications_reports/pdf/EDC_NGDC_UniServ_Rpt2018.pdf. </w:t>
      </w:r>
    </w:p>
  </w:footnote>
  <w:footnote w:id="47">
    <w:p w14:paraId="22CE9F0E" w14:textId="096BC7FB" w:rsidR="009160F2" w:rsidRPr="00022E11" w:rsidRDefault="009160F2" w:rsidP="00022E11">
      <w:pPr>
        <w:pStyle w:val="FootnoteText"/>
        <w:keepNext/>
        <w:keepLines/>
        <w:spacing w:line="240" w:lineRule="auto"/>
        <w:contextualSpacing/>
        <w:jc w:val="left"/>
        <w:rPr>
          <w:sz w:val="26"/>
          <w:szCs w:val="26"/>
        </w:rPr>
      </w:pPr>
      <w:r w:rsidRPr="00022E11">
        <w:rPr>
          <w:rStyle w:val="FootnoteReference"/>
          <w:sz w:val="26"/>
          <w:szCs w:val="26"/>
        </w:rPr>
        <w:footnoteRef/>
      </w:r>
      <w:r w:rsidRPr="00022E11">
        <w:rPr>
          <w:sz w:val="26"/>
          <w:szCs w:val="26"/>
        </w:rPr>
        <w:t xml:space="preserve"> </w:t>
      </w:r>
      <w:r w:rsidRPr="00022E11">
        <w:rPr>
          <w:sz w:val="26"/>
          <w:szCs w:val="26"/>
        </w:rPr>
        <w:tab/>
      </w:r>
      <w:r w:rsidRPr="00022E11">
        <w:rPr>
          <w:i/>
          <w:iCs/>
          <w:sz w:val="26"/>
          <w:szCs w:val="26"/>
        </w:rPr>
        <w:t>See Columbia Gas of Pennsylvania, Inc.’s 2019-2021 Universal Service and Energy Conservation Plan</w:t>
      </w:r>
      <w:r w:rsidRPr="00022E11">
        <w:rPr>
          <w:sz w:val="26"/>
          <w:szCs w:val="26"/>
        </w:rPr>
        <w:t>, Docket No. M-2018-2645401 (Order entered August</w:t>
      </w:r>
      <w:r w:rsidR="00CF073F">
        <w:rPr>
          <w:sz w:val="26"/>
          <w:szCs w:val="26"/>
        </w:rPr>
        <w:t> </w:t>
      </w:r>
      <w:r w:rsidRPr="00022E11">
        <w:rPr>
          <w:sz w:val="26"/>
          <w:szCs w:val="26"/>
        </w:rPr>
        <w:t>8,</w:t>
      </w:r>
      <w:r w:rsidR="00CF073F">
        <w:rPr>
          <w:sz w:val="26"/>
          <w:szCs w:val="26"/>
        </w:rPr>
        <w:t> </w:t>
      </w:r>
      <w:r w:rsidRPr="00022E11">
        <w:rPr>
          <w:sz w:val="26"/>
          <w:szCs w:val="26"/>
        </w:rPr>
        <w:t xml:space="preserve">2019).  </w:t>
      </w:r>
    </w:p>
  </w:footnote>
  <w:footnote w:id="48">
    <w:p w14:paraId="424E07F9" w14:textId="77777777" w:rsidR="009160F2" w:rsidRPr="00022E11" w:rsidRDefault="009160F2" w:rsidP="00997099">
      <w:pPr>
        <w:pStyle w:val="FootnoteText"/>
        <w:keepNext/>
        <w:keepLines/>
        <w:spacing w:line="240" w:lineRule="auto"/>
        <w:jc w:val="left"/>
        <w:rPr>
          <w:sz w:val="26"/>
          <w:szCs w:val="26"/>
        </w:rPr>
      </w:pPr>
      <w:r w:rsidRPr="00022E11">
        <w:rPr>
          <w:rStyle w:val="FootnoteReference"/>
          <w:sz w:val="26"/>
          <w:szCs w:val="26"/>
        </w:rPr>
        <w:footnoteRef/>
      </w:r>
      <w:r w:rsidRPr="00022E11">
        <w:rPr>
          <w:sz w:val="26"/>
          <w:szCs w:val="26"/>
        </w:rPr>
        <w:t xml:space="preserve"> </w:t>
      </w:r>
      <w:r w:rsidRPr="00022E11">
        <w:rPr>
          <w:sz w:val="26"/>
          <w:szCs w:val="26"/>
        </w:rPr>
        <w:tab/>
        <w:t xml:space="preserve">Rate classes MLS and MLDS were combined due to their unique characteristics of proximity to an interstate pipeline.  CG St. 11 at 6. </w:t>
      </w:r>
    </w:p>
  </w:footnote>
  <w:footnote w:id="49">
    <w:p w14:paraId="4694C1A9" w14:textId="1CBF7086" w:rsidR="009160F2" w:rsidRPr="00022E11" w:rsidRDefault="009160F2" w:rsidP="00AE79C0">
      <w:pPr>
        <w:pStyle w:val="FootnoteText"/>
        <w:keepNext/>
        <w:keepLines/>
        <w:spacing w:after="120" w:line="240" w:lineRule="auto"/>
        <w:jc w:val="left"/>
        <w:rPr>
          <w:sz w:val="26"/>
          <w:szCs w:val="26"/>
        </w:rPr>
      </w:pPr>
      <w:r w:rsidRPr="00022E11">
        <w:rPr>
          <w:rStyle w:val="FootnoteReference"/>
          <w:sz w:val="26"/>
          <w:szCs w:val="26"/>
        </w:rPr>
        <w:footnoteRef/>
      </w:r>
      <w:r w:rsidRPr="00022E11">
        <w:rPr>
          <w:sz w:val="26"/>
          <w:szCs w:val="26"/>
        </w:rPr>
        <w:tab/>
      </w:r>
      <w:bookmarkStart w:id="399" w:name="_Hlk62539687"/>
      <w:r w:rsidRPr="00022E11">
        <w:rPr>
          <w:sz w:val="26"/>
          <w:szCs w:val="26"/>
        </w:rPr>
        <w:t>CG Exh. 111, Sch. 1</w:t>
      </w:r>
      <w:bookmarkEnd w:id="399"/>
      <w:r w:rsidRPr="00022E11">
        <w:rPr>
          <w:sz w:val="26"/>
          <w:szCs w:val="26"/>
        </w:rPr>
        <w:t xml:space="preserve">.  The Company’s customer charge studies are also included as part of the Customer-Demand ACCOSS.  CG Exh. 111, Sch. 1, pp. 14-30.  </w:t>
      </w:r>
    </w:p>
  </w:footnote>
  <w:footnote w:id="50">
    <w:p w14:paraId="53D640F1" w14:textId="774C8F3B" w:rsidR="009160F2" w:rsidRPr="00022E11" w:rsidRDefault="009160F2" w:rsidP="00AE79C0">
      <w:pPr>
        <w:pStyle w:val="FootnoteText"/>
        <w:keepNext/>
        <w:keepLines/>
        <w:spacing w:after="120" w:line="240" w:lineRule="auto"/>
        <w:jc w:val="left"/>
        <w:rPr>
          <w:sz w:val="26"/>
          <w:szCs w:val="26"/>
        </w:rPr>
      </w:pPr>
      <w:r w:rsidRPr="00022E11">
        <w:rPr>
          <w:rStyle w:val="FootnoteReference"/>
          <w:sz w:val="26"/>
          <w:szCs w:val="26"/>
        </w:rPr>
        <w:footnoteRef/>
      </w:r>
      <w:r w:rsidRPr="00022E11">
        <w:rPr>
          <w:sz w:val="26"/>
          <w:szCs w:val="26"/>
        </w:rPr>
        <w:tab/>
        <w:t>CG Exh. 111, Sch. 2.</w:t>
      </w:r>
    </w:p>
  </w:footnote>
  <w:footnote w:id="51">
    <w:p w14:paraId="5D864181" w14:textId="4F1FC05F" w:rsidR="009160F2" w:rsidRPr="00022E11" w:rsidRDefault="009160F2" w:rsidP="00997099">
      <w:pPr>
        <w:pStyle w:val="FootnoteText"/>
        <w:keepNext/>
        <w:keepLines/>
        <w:spacing w:line="240" w:lineRule="auto"/>
        <w:jc w:val="left"/>
        <w:rPr>
          <w:sz w:val="26"/>
          <w:szCs w:val="26"/>
        </w:rPr>
      </w:pPr>
      <w:r w:rsidRPr="00022E11">
        <w:rPr>
          <w:rStyle w:val="FootnoteReference"/>
          <w:sz w:val="26"/>
          <w:szCs w:val="26"/>
        </w:rPr>
        <w:footnoteRef/>
      </w:r>
      <w:r w:rsidRPr="00022E11">
        <w:rPr>
          <w:sz w:val="26"/>
          <w:szCs w:val="26"/>
        </w:rPr>
        <w:tab/>
        <w:t xml:space="preserve">CG Exh. 111, Sch. 3. </w:t>
      </w:r>
    </w:p>
  </w:footnote>
  <w:footnote w:id="52">
    <w:p w14:paraId="028BD78C" w14:textId="27848E2C" w:rsidR="009160F2" w:rsidRPr="00022E11" w:rsidRDefault="009160F2" w:rsidP="00E36D44">
      <w:pPr>
        <w:pStyle w:val="FootnoteText"/>
        <w:keepNext/>
        <w:keepLines/>
        <w:spacing w:after="120" w:line="240" w:lineRule="auto"/>
        <w:jc w:val="left"/>
        <w:rPr>
          <w:sz w:val="26"/>
          <w:szCs w:val="26"/>
        </w:rPr>
      </w:pPr>
      <w:r w:rsidRPr="00022E11">
        <w:rPr>
          <w:rStyle w:val="FootnoteReference"/>
          <w:sz w:val="26"/>
          <w:szCs w:val="26"/>
        </w:rPr>
        <w:footnoteRef/>
      </w:r>
      <w:r w:rsidRPr="00022E11">
        <w:rPr>
          <w:sz w:val="26"/>
          <w:szCs w:val="26"/>
        </w:rPr>
        <w:t xml:space="preserve"> </w:t>
      </w:r>
      <w:r w:rsidRPr="00022E11">
        <w:rPr>
          <w:sz w:val="26"/>
          <w:szCs w:val="26"/>
        </w:rPr>
        <w:tab/>
        <w:t>CAAP did not set forth any legal argument with regard to the ACCOS</w:t>
      </w:r>
      <w:r>
        <w:rPr>
          <w:sz w:val="26"/>
          <w:szCs w:val="26"/>
        </w:rPr>
        <w:t>S</w:t>
      </w:r>
      <w:r w:rsidRPr="00022E11">
        <w:rPr>
          <w:sz w:val="26"/>
          <w:szCs w:val="26"/>
        </w:rPr>
        <w:t xml:space="preserve"> proffered in this proceeding.  CAAP M.B. at 9; R.D. at 369.</w:t>
      </w:r>
    </w:p>
  </w:footnote>
  <w:footnote w:id="53">
    <w:p w14:paraId="49D8B5A1" w14:textId="396C7DA7" w:rsidR="009160F2" w:rsidRPr="00022E11" w:rsidRDefault="009160F2" w:rsidP="00AE79C0">
      <w:pPr>
        <w:pStyle w:val="FootnoteText"/>
        <w:keepNext/>
        <w:keepLines/>
        <w:spacing w:after="120" w:line="240" w:lineRule="auto"/>
        <w:jc w:val="left"/>
        <w:rPr>
          <w:sz w:val="26"/>
          <w:szCs w:val="26"/>
        </w:rPr>
      </w:pPr>
      <w:r w:rsidRPr="00022E11">
        <w:rPr>
          <w:rStyle w:val="FootnoteReference"/>
          <w:sz w:val="26"/>
          <w:szCs w:val="26"/>
        </w:rPr>
        <w:footnoteRef/>
      </w:r>
      <w:r w:rsidRPr="00022E11">
        <w:rPr>
          <w:sz w:val="26"/>
          <w:szCs w:val="26"/>
        </w:rPr>
        <w:tab/>
        <w:t>Since I&amp;E found fault with Columbia’s Customer-Demand ACCOSS, I&amp;E also does not support Columbia’s Average ACCOSS which is comprised of 50% of the Customer-Demand Study and 50% of the P&amp;A Study.</w:t>
      </w:r>
    </w:p>
  </w:footnote>
  <w:footnote w:id="54">
    <w:p w14:paraId="19BCBBEF" w14:textId="121D4936" w:rsidR="009160F2" w:rsidRPr="00022E11" w:rsidRDefault="009160F2" w:rsidP="00AE79C0">
      <w:pPr>
        <w:pStyle w:val="FootnoteText"/>
        <w:keepNext/>
        <w:keepLines/>
        <w:spacing w:after="120" w:line="240" w:lineRule="auto"/>
        <w:jc w:val="left"/>
        <w:rPr>
          <w:sz w:val="26"/>
          <w:szCs w:val="26"/>
        </w:rPr>
      </w:pPr>
      <w:r w:rsidRPr="00022E11">
        <w:rPr>
          <w:rStyle w:val="FootnoteReference"/>
          <w:sz w:val="26"/>
          <w:szCs w:val="26"/>
        </w:rPr>
        <w:footnoteRef/>
      </w:r>
      <w:r w:rsidRPr="00022E11">
        <w:rPr>
          <w:sz w:val="26"/>
          <w:szCs w:val="26"/>
        </w:rPr>
        <w:tab/>
      </w:r>
      <w:r w:rsidRPr="00022E11">
        <w:rPr>
          <w:i/>
          <w:iCs/>
          <w:sz w:val="26"/>
          <w:szCs w:val="26"/>
        </w:rPr>
        <w:t>National Fuel Gas Distribution Corp.</w:t>
      </w:r>
      <w:r w:rsidRPr="00022E11">
        <w:rPr>
          <w:sz w:val="26"/>
          <w:szCs w:val="26"/>
        </w:rPr>
        <w:t>, Docket No. R-00942991, Recommended Decision (entered Oct. 7, 1994) (</w:t>
      </w:r>
      <w:r w:rsidRPr="00022E11">
        <w:rPr>
          <w:i/>
          <w:iCs/>
          <w:sz w:val="26"/>
          <w:szCs w:val="26"/>
        </w:rPr>
        <w:t>NFGD 1994</w:t>
      </w:r>
      <w:r w:rsidRPr="00022E11">
        <w:rPr>
          <w:sz w:val="26"/>
          <w:szCs w:val="26"/>
        </w:rPr>
        <w:t>).</w:t>
      </w:r>
    </w:p>
  </w:footnote>
  <w:footnote w:id="55">
    <w:p w14:paraId="78826D27" w14:textId="0FF01B33" w:rsidR="009160F2" w:rsidRPr="00022E11" w:rsidRDefault="009160F2" w:rsidP="00997099">
      <w:pPr>
        <w:pStyle w:val="FootnoteText"/>
        <w:keepNext/>
        <w:keepLines/>
        <w:spacing w:line="240" w:lineRule="auto"/>
        <w:jc w:val="left"/>
        <w:rPr>
          <w:sz w:val="26"/>
          <w:szCs w:val="26"/>
        </w:rPr>
      </w:pPr>
      <w:r w:rsidRPr="00022E11">
        <w:rPr>
          <w:rStyle w:val="FootnoteReference"/>
          <w:sz w:val="26"/>
          <w:szCs w:val="26"/>
        </w:rPr>
        <w:footnoteRef/>
      </w:r>
      <w:r w:rsidRPr="00022E11">
        <w:rPr>
          <w:sz w:val="26"/>
          <w:szCs w:val="26"/>
        </w:rPr>
        <w:tab/>
      </w:r>
      <w:r w:rsidRPr="00022E11">
        <w:rPr>
          <w:i/>
          <w:iCs/>
          <w:sz w:val="26"/>
          <w:szCs w:val="26"/>
        </w:rPr>
        <w:t xml:space="preserve">Pa. </w:t>
      </w:r>
      <w:r>
        <w:rPr>
          <w:i/>
          <w:iCs/>
          <w:sz w:val="26"/>
          <w:szCs w:val="26"/>
        </w:rPr>
        <w:t>PUC</w:t>
      </w:r>
      <w:r w:rsidRPr="00022E11">
        <w:rPr>
          <w:i/>
          <w:iCs/>
          <w:sz w:val="26"/>
          <w:szCs w:val="26"/>
        </w:rPr>
        <w:t xml:space="preserve"> v. Philadelphia Gas Works</w:t>
      </w:r>
      <w:r w:rsidRPr="00022E11">
        <w:rPr>
          <w:sz w:val="26"/>
          <w:szCs w:val="26"/>
        </w:rPr>
        <w:t>, Docket No. R</w:t>
      </w:r>
      <w:r w:rsidRPr="00022E11">
        <w:rPr>
          <w:sz w:val="26"/>
          <w:szCs w:val="26"/>
        </w:rPr>
        <w:noBreakHyphen/>
        <w:t xml:space="preserve">00061931 (Order </w:t>
      </w:r>
      <w:r>
        <w:rPr>
          <w:sz w:val="26"/>
          <w:szCs w:val="26"/>
        </w:rPr>
        <w:t>e</w:t>
      </w:r>
      <w:r w:rsidRPr="00022E11">
        <w:rPr>
          <w:sz w:val="26"/>
          <w:szCs w:val="26"/>
        </w:rPr>
        <w:t>ntered September 28, 2007) (“Reviewing the record, we find that the allocation of distribution mains investment costs should be done using both annual and peak demands.”).</w:t>
      </w:r>
    </w:p>
  </w:footnote>
  <w:footnote w:id="56">
    <w:p w14:paraId="3EA26D40" w14:textId="77777777" w:rsidR="009160F2" w:rsidRPr="00022E11" w:rsidRDefault="009160F2" w:rsidP="00AE79C0">
      <w:pPr>
        <w:keepNext/>
        <w:keepLines/>
        <w:widowControl/>
        <w:autoSpaceDE w:val="0"/>
        <w:autoSpaceDN w:val="0"/>
        <w:adjustRightInd w:val="0"/>
        <w:spacing w:after="120"/>
        <w:rPr>
          <w:sz w:val="26"/>
          <w:szCs w:val="26"/>
        </w:rPr>
      </w:pPr>
      <w:r w:rsidRPr="00022E11">
        <w:rPr>
          <w:sz w:val="26"/>
          <w:szCs w:val="26"/>
        </w:rPr>
        <w:tab/>
      </w:r>
      <w:r w:rsidRPr="00022E11">
        <w:rPr>
          <w:rStyle w:val="FootnoteReference"/>
          <w:sz w:val="26"/>
          <w:szCs w:val="26"/>
        </w:rPr>
        <w:footnoteRef/>
      </w:r>
      <w:r w:rsidRPr="00022E11">
        <w:rPr>
          <w:sz w:val="26"/>
          <w:szCs w:val="26"/>
        </w:rPr>
        <w:tab/>
      </w:r>
      <w:r w:rsidRPr="00022E11">
        <w:rPr>
          <w:i/>
          <w:iCs/>
          <w:sz w:val="26"/>
          <w:szCs w:val="26"/>
        </w:rPr>
        <w:t>Pa. PUC. v. National Fuel Gas Distribution</w:t>
      </w:r>
      <w:r w:rsidRPr="00022E11">
        <w:rPr>
          <w:sz w:val="26"/>
          <w:szCs w:val="26"/>
        </w:rPr>
        <w:t xml:space="preserve"> </w:t>
      </w:r>
      <w:r w:rsidRPr="00022E11">
        <w:rPr>
          <w:i/>
          <w:iCs/>
          <w:sz w:val="26"/>
          <w:szCs w:val="26"/>
        </w:rPr>
        <w:t>Co.</w:t>
      </w:r>
      <w:r w:rsidRPr="00997099">
        <w:rPr>
          <w:sz w:val="26"/>
          <w:szCs w:val="26"/>
        </w:rPr>
        <w:t xml:space="preserve">, </w:t>
      </w:r>
      <w:r w:rsidRPr="00022E11">
        <w:rPr>
          <w:sz w:val="26"/>
          <w:szCs w:val="26"/>
        </w:rPr>
        <w:t>83 Pa. PUC 262 (1994) (</w:t>
      </w:r>
      <w:r w:rsidRPr="00022E11">
        <w:rPr>
          <w:i/>
          <w:iCs/>
          <w:sz w:val="26"/>
          <w:szCs w:val="26"/>
        </w:rPr>
        <w:t>NFGD</w:t>
      </w:r>
      <w:r w:rsidRPr="00022E11">
        <w:rPr>
          <w:sz w:val="26"/>
          <w:szCs w:val="26"/>
        </w:rPr>
        <w:t>).</w:t>
      </w:r>
    </w:p>
  </w:footnote>
  <w:footnote w:id="57">
    <w:p w14:paraId="7846024B" w14:textId="4D03F752" w:rsidR="009160F2" w:rsidRPr="00022E11" w:rsidRDefault="009160F2" w:rsidP="00AE79C0">
      <w:pPr>
        <w:pStyle w:val="FootnoteText"/>
        <w:keepNext/>
        <w:keepLines/>
        <w:spacing w:after="120" w:line="240" w:lineRule="auto"/>
        <w:jc w:val="left"/>
        <w:rPr>
          <w:sz w:val="26"/>
          <w:szCs w:val="26"/>
        </w:rPr>
      </w:pPr>
      <w:r w:rsidRPr="00022E11">
        <w:rPr>
          <w:rStyle w:val="FootnoteReference"/>
          <w:sz w:val="26"/>
          <w:szCs w:val="26"/>
        </w:rPr>
        <w:footnoteRef/>
      </w:r>
      <w:r w:rsidRPr="00022E11">
        <w:rPr>
          <w:sz w:val="26"/>
          <w:szCs w:val="26"/>
        </w:rPr>
        <w:tab/>
        <w:t>I&amp;E St. 3 at 16-17.</w:t>
      </w:r>
    </w:p>
  </w:footnote>
  <w:footnote w:id="58">
    <w:p w14:paraId="30D2F37A" w14:textId="77777777" w:rsidR="009160F2" w:rsidRPr="00022E11" w:rsidRDefault="009160F2" w:rsidP="00AE79C0">
      <w:pPr>
        <w:pStyle w:val="FootnoteText"/>
        <w:keepNext/>
        <w:keepLines/>
        <w:spacing w:after="120" w:line="240" w:lineRule="auto"/>
        <w:jc w:val="left"/>
        <w:rPr>
          <w:sz w:val="26"/>
          <w:szCs w:val="26"/>
        </w:rPr>
      </w:pPr>
      <w:r w:rsidRPr="00022E11">
        <w:rPr>
          <w:rStyle w:val="FootnoteReference"/>
          <w:sz w:val="26"/>
          <w:szCs w:val="26"/>
        </w:rPr>
        <w:footnoteRef/>
      </w:r>
      <w:r w:rsidRPr="00022E11">
        <w:rPr>
          <w:sz w:val="26"/>
          <w:szCs w:val="26"/>
        </w:rPr>
        <w:t xml:space="preserve"> </w:t>
      </w:r>
      <w:r w:rsidRPr="00022E11">
        <w:rPr>
          <w:sz w:val="26"/>
          <w:szCs w:val="26"/>
        </w:rPr>
        <w:tab/>
        <w:t>CAUSE-PA simply stated that it supports the OCA’s cost of service analysis.  CAUSE-PA M.B. at 28.</w:t>
      </w:r>
    </w:p>
  </w:footnote>
  <w:footnote w:id="59">
    <w:p w14:paraId="27D36F75" w14:textId="77777777" w:rsidR="009160F2" w:rsidRPr="00022E11" w:rsidRDefault="009160F2" w:rsidP="00997099">
      <w:pPr>
        <w:keepNext/>
        <w:keepLines/>
        <w:widowControl/>
        <w:autoSpaceDE w:val="0"/>
        <w:autoSpaceDN w:val="0"/>
        <w:adjustRightInd w:val="0"/>
        <w:rPr>
          <w:sz w:val="26"/>
          <w:szCs w:val="26"/>
        </w:rPr>
      </w:pPr>
      <w:r w:rsidRPr="00022E11">
        <w:rPr>
          <w:sz w:val="26"/>
          <w:szCs w:val="26"/>
        </w:rPr>
        <w:tab/>
      </w:r>
      <w:r w:rsidRPr="00022E11">
        <w:rPr>
          <w:rStyle w:val="FootnoteReference"/>
          <w:sz w:val="26"/>
          <w:szCs w:val="26"/>
        </w:rPr>
        <w:footnoteRef/>
      </w:r>
      <w:r w:rsidRPr="00022E11">
        <w:rPr>
          <w:sz w:val="26"/>
          <w:szCs w:val="26"/>
        </w:rPr>
        <w:t xml:space="preserve"> </w:t>
      </w:r>
      <w:r w:rsidRPr="00022E11">
        <w:rPr>
          <w:sz w:val="26"/>
          <w:szCs w:val="26"/>
        </w:rPr>
        <w:tab/>
        <w:t>OCA St. 4 at 16-17.</w:t>
      </w:r>
    </w:p>
  </w:footnote>
  <w:footnote w:id="60">
    <w:p w14:paraId="756790B3" w14:textId="60F21B2E" w:rsidR="009160F2" w:rsidRPr="00022E11" w:rsidRDefault="009160F2" w:rsidP="00AE79C0">
      <w:pPr>
        <w:pStyle w:val="FootnoteText"/>
        <w:keepNext/>
        <w:keepLines/>
        <w:spacing w:after="120" w:line="240" w:lineRule="auto"/>
        <w:jc w:val="left"/>
        <w:rPr>
          <w:sz w:val="26"/>
          <w:szCs w:val="26"/>
        </w:rPr>
      </w:pPr>
      <w:r w:rsidRPr="00022E11">
        <w:rPr>
          <w:rStyle w:val="FootnoteReference"/>
          <w:sz w:val="26"/>
          <w:szCs w:val="26"/>
        </w:rPr>
        <w:footnoteRef/>
      </w:r>
      <w:r w:rsidRPr="00022E11">
        <w:rPr>
          <w:sz w:val="26"/>
          <w:szCs w:val="26"/>
        </w:rPr>
        <w:tab/>
        <w:t xml:space="preserve">OCA St. 4 at 16. </w:t>
      </w:r>
    </w:p>
  </w:footnote>
  <w:footnote w:id="61">
    <w:p w14:paraId="212721E2" w14:textId="4309A5C0" w:rsidR="009160F2" w:rsidRPr="00022E11" w:rsidRDefault="009160F2" w:rsidP="00997099">
      <w:pPr>
        <w:pStyle w:val="FootnoteText"/>
        <w:keepNext/>
        <w:keepLines/>
        <w:spacing w:line="240" w:lineRule="auto"/>
        <w:jc w:val="left"/>
        <w:rPr>
          <w:sz w:val="26"/>
          <w:szCs w:val="26"/>
        </w:rPr>
      </w:pPr>
      <w:r w:rsidRPr="00022E11">
        <w:rPr>
          <w:rStyle w:val="FootnoteReference"/>
          <w:sz w:val="26"/>
          <w:szCs w:val="26"/>
        </w:rPr>
        <w:footnoteRef/>
      </w:r>
      <w:r w:rsidRPr="00022E11">
        <w:rPr>
          <w:sz w:val="26"/>
          <w:szCs w:val="26"/>
        </w:rPr>
        <w:tab/>
        <w:t>OCA St. 4 at 8-9.</w:t>
      </w:r>
    </w:p>
  </w:footnote>
  <w:footnote w:id="62">
    <w:p w14:paraId="754BA281" w14:textId="53B59761" w:rsidR="009160F2" w:rsidRPr="00022E11" w:rsidRDefault="009160F2" w:rsidP="00AE79C0">
      <w:pPr>
        <w:pStyle w:val="FootnoteText"/>
        <w:keepNext/>
        <w:keepLines/>
        <w:spacing w:after="120" w:line="240" w:lineRule="auto"/>
        <w:jc w:val="left"/>
        <w:rPr>
          <w:sz w:val="26"/>
          <w:szCs w:val="26"/>
        </w:rPr>
      </w:pPr>
      <w:r w:rsidRPr="00022E11">
        <w:rPr>
          <w:rStyle w:val="FootnoteReference"/>
          <w:sz w:val="26"/>
          <w:szCs w:val="26"/>
        </w:rPr>
        <w:footnoteRef/>
      </w:r>
      <w:r w:rsidRPr="00022E11">
        <w:rPr>
          <w:sz w:val="26"/>
          <w:szCs w:val="26"/>
        </w:rPr>
        <w:tab/>
        <w:t>OSBA St. 1 at 30; OSBA M.B. at 18; R.D. at 361.</w:t>
      </w:r>
    </w:p>
  </w:footnote>
  <w:footnote w:id="63">
    <w:p w14:paraId="71A63309" w14:textId="787D3B27" w:rsidR="009160F2" w:rsidRPr="00022E11" w:rsidRDefault="009160F2" w:rsidP="00AE79C0">
      <w:pPr>
        <w:pStyle w:val="FootnoteText"/>
        <w:keepNext/>
        <w:keepLines/>
        <w:spacing w:after="120" w:line="240" w:lineRule="auto"/>
        <w:jc w:val="left"/>
        <w:rPr>
          <w:sz w:val="26"/>
          <w:szCs w:val="26"/>
        </w:rPr>
      </w:pPr>
      <w:r w:rsidRPr="00022E11">
        <w:rPr>
          <w:rStyle w:val="FootnoteReference"/>
          <w:sz w:val="26"/>
          <w:szCs w:val="26"/>
        </w:rPr>
        <w:footnoteRef/>
      </w:r>
      <w:r w:rsidRPr="00022E11">
        <w:rPr>
          <w:sz w:val="26"/>
          <w:szCs w:val="26"/>
        </w:rPr>
        <w:tab/>
        <w:t>OSBA St. 1 at 24-25.</w:t>
      </w:r>
    </w:p>
  </w:footnote>
  <w:footnote w:id="64">
    <w:p w14:paraId="1000C9FF" w14:textId="1CE31ADE" w:rsidR="009160F2" w:rsidRPr="00022E11" w:rsidRDefault="009160F2" w:rsidP="00C05102">
      <w:pPr>
        <w:pStyle w:val="FootnoteText"/>
        <w:keepNext/>
        <w:keepLines/>
        <w:spacing w:line="240" w:lineRule="auto"/>
        <w:jc w:val="left"/>
        <w:rPr>
          <w:sz w:val="26"/>
          <w:szCs w:val="26"/>
        </w:rPr>
      </w:pPr>
      <w:r w:rsidRPr="00022E11">
        <w:rPr>
          <w:rStyle w:val="FootnoteReference"/>
          <w:sz w:val="26"/>
          <w:szCs w:val="26"/>
        </w:rPr>
        <w:footnoteRef/>
      </w:r>
      <w:r w:rsidRPr="00022E11">
        <w:rPr>
          <w:sz w:val="26"/>
          <w:szCs w:val="26"/>
        </w:rPr>
        <w:tab/>
        <w:t>OSBA St. 1 at 24-25; OSBA M.B. at 15.  The Recommended Decision provided a concise discussion about Mr. Knecht’s proposed methodologies on pages 364-366.  R.D. at 364-366.</w:t>
      </w:r>
      <w:r w:rsidRPr="00022E11">
        <w:rPr>
          <w:rFonts w:eastAsiaTheme="minorHAnsi"/>
          <w:sz w:val="26"/>
          <w:szCs w:val="26"/>
        </w:rPr>
        <w:t xml:space="preserve">  </w:t>
      </w:r>
      <w:r w:rsidRPr="00022E11">
        <w:rPr>
          <w:sz w:val="26"/>
          <w:szCs w:val="26"/>
        </w:rPr>
        <w:t>The OSBA preferred the adoption of the 75/25 weighting of the Company’s two studies, but if the Commission approves the Company’s proposed approach, the OSBA submitted that its revenue allocation based on the 50/50 weighting is more consistent with the implications of the Company’s ACCOS</w:t>
      </w:r>
      <w:r>
        <w:rPr>
          <w:sz w:val="26"/>
          <w:szCs w:val="26"/>
        </w:rPr>
        <w:t>Ss</w:t>
      </w:r>
      <w:r w:rsidRPr="00022E11">
        <w:rPr>
          <w:sz w:val="26"/>
          <w:szCs w:val="26"/>
        </w:rPr>
        <w:t xml:space="preserve"> than the Company’s revenue allocation proposal.</w:t>
      </w:r>
    </w:p>
  </w:footnote>
  <w:footnote w:id="65">
    <w:p w14:paraId="0951FA81" w14:textId="708BDF0F" w:rsidR="009160F2" w:rsidRPr="00022E11" w:rsidRDefault="009160F2" w:rsidP="00AE79C0">
      <w:pPr>
        <w:pStyle w:val="FootnoteText"/>
        <w:keepNext/>
        <w:keepLines/>
        <w:spacing w:after="120" w:line="240" w:lineRule="auto"/>
        <w:jc w:val="left"/>
        <w:rPr>
          <w:sz w:val="26"/>
          <w:szCs w:val="26"/>
        </w:rPr>
      </w:pPr>
      <w:r w:rsidRPr="00022E11">
        <w:rPr>
          <w:rStyle w:val="FootnoteReference"/>
          <w:sz w:val="26"/>
          <w:szCs w:val="26"/>
        </w:rPr>
        <w:footnoteRef/>
      </w:r>
      <w:r w:rsidRPr="00022E11">
        <w:rPr>
          <w:sz w:val="26"/>
          <w:szCs w:val="26"/>
        </w:rPr>
        <w:t xml:space="preserve"> </w:t>
      </w:r>
      <w:r w:rsidRPr="00022E11">
        <w:rPr>
          <w:sz w:val="26"/>
          <w:szCs w:val="26"/>
        </w:rPr>
        <w:tab/>
        <w:t>OCA St. 4, Table 5 attached to Sch. JDM-1</w:t>
      </w:r>
    </w:p>
  </w:footnote>
  <w:footnote w:id="66">
    <w:p w14:paraId="2903E98D" w14:textId="40F938E9" w:rsidR="009160F2" w:rsidRPr="00022E11" w:rsidRDefault="009160F2" w:rsidP="00C05102">
      <w:pPr>
        <w:pStyle w:val="FootnoteText"/>
        <w:keepNext/>
        <w:keepLines/>
        <w:spacing w:line="240" w:lineRule="auto"/>
        <w:jc w:val="left"/>
        <w:rPr>
          <w:sz w:val="26"/>
          <w:szCs w:val="26"/>
        </w:rPr>
      </w:pPr>
      <w:r w:rsidRPr="00022E11">
        <w:rPr>
          <w:rStyle w:val="FootnoteReference"/>
          <w:sz w:val="26"/>
          <w:szCs w:val="26"/>
        </w:rPr>
        <w:footnoteRef/>
      </w:r>
      <w:r w:rsidRPr="00022E11">
        <w:rPr>
          <w:sz w:val="26"/>
          <w:szCs w:val="26"/>
        </w:rPr>
        <w:tab/>
        <w:t>R.D. at 394-395.</w:t>
      </w:r>
    </w:p>
  </w:footnote>
  <w:footnote w:id="67">
    <w:p w14:paraId="16239307" w14:textId="4B8BC4D1" w:rsidR="009160F2" w:rsidRPr="00022E11" w:rsidRDefault="009160F2" w:rsidP="00022E11">
      <w:pPr>
        <w:pStyle w:val="FootnoteText"/>
        <w:keepNext/>
        <w:keepLines/>
        <w:spacing w:line="240" w:lineRule="auto"/>
        <w:contextualSpacing/>
        <w:jc w:val="left"/>
        <w:rPr>
          <w:sz w:val="26"/>
          <w:szCs w:val="26"/>
        </w:rPr>
      </w:pPr>
      <w:r w:rsidRPr="00022E11">
        <w:rPr>
          <w:rStyle w:val="FootnoteReference"/>
          <w:sz w:val="26"/>
          <w:szCs w:val="26"/>
        </w:rPr>
        <w:footnoteRef/>
      </w:r>
      <w:r w:rsidRPr="00022E11">
        <w:rPr>
          <w:sz w:val="26"/>
          <w:szCs w:val="26"/>
        </w:rPr>
        <w:tab/>
      </w:r>
      <w:bookmarkStart w:id="406" w:name="_Hlk62230223"/>
      <w:r w:rsidRPr="00022E11">
        <w:rPr>
          <w:sz w:val="26"/>
          <w:szCs w:val="26"/>
        </w:rPr>
        <w:t>The ALJ cited the following two Commission Orders in support of the Commission’s precedent decisions that a gas utility’s system is an integrated distribution network created over time to serve present and future customers; accordingly, ACCOS</w:t>
      </w:r>
      <w:r>
        <w:rPr>
          <w:sz w:val="26"/>
          <w:szCs w:val="26"/>
        </w:rPr>
        <w:t>S</w:t>
      </w:r>
      <w:r w:rsidRPr="00022E11">
        <w:rPr>
          <w:sz w:val="26"/>
          <w:szCs w:val="26"/>
        </w:rPr>
        <w:t xml:space="preserve"> should be conducted using a methodology that mains cost be equally allocated to all pertinent customers classes based on throughput and peak average, rather than allocating mains costs separately by customer class.  </w:t>
      </w:r>
      <w:r w:rsidRPr="00022E11">
        <w:rPr>
          <w:i/>
          <w:sz w:val="26"/>
          <w:szCs w:val="26"/>
        </w:rPr>
        <w:t xml:space="preserve">Pa. </w:t>
      </w:r>
      <w:r>
        <w:rPr>
          <w:i/>
          <w:sz w:val="26"/>
          <w:szCs w:val="26"/>
        </w:rPr>
        <w:t>PUC</w:t>
      </w:r>
      <w:r w:rsidRPr="00022E11">
        <w:rPr>
          <w:i/>
          <w:sz w:val="26"/>
          <w:szCs w:val="26"/>
        </w:rPr>
        <w:t xml:space="preserve"> v. National Fuel Gas Distribution Co.</w:t>
      </w:r>
      <w:r w:rsidRPr="00022E11">
        <w:rPr>
          <w:sz w:val="26"/>
          <w:szCs w:val="26"/>
        </w:rPr>
        <w:t>, 83 Pa. P</w:t>
      </w:r>
      <w:r>
        <w:rPr>
          <w:sz w:val="26"/>
          <w:szCs w:val="26"/>
        </w:rPr>
        <w:t>.</w:t>
      </w:r>
      <w:r w:rsidRPr="00022E11">
        <w:rPr>
          <w:sz w:val="26"/>
          <w:szCs w:val="26"/>
        </w:rPr>
        <w:t>U</w:t>
      </w:r>
      <w:r>
        <w:rPr>
          <w:sz w:val="26"/>
          <w:szCs w:val="26"/>
        </w:rPr>
        <w:t>.</w:t>
      </w:r>
      <w:r w:rsidRPr="00022E11">
        <w:rPr>
          <w:sz w:val="26"/>
          <w:szCs w:val="26"/>
        </w:rPr>
        <w:t>C</w:t>
      </w:r>
      <w:r>
        <w:rPr>
          <w:sz w:val="26"/>
          <w:szCs w:val="26"/>
        </w:rPr>
        <w:t>.</w:t>
      </w:r>
      <w:r w:rsidRPr="00022E11">
        <w:rPr>
          <w:sz w:val="26"/>
          <w:szCs w:val="26"/>
        </w:rPr>
        <w:t xml:space="preserve"> 262, 360 (1994).  </w:t>
      </w:r>
      <w:r w:rsidRPr="00022E11">
        <w:rPr>
          <w:i/>
          <w:iCs/>
          <w:sz w:val="26"/>
          <w:szCs w:val="26"/>
        </w:rPr>
        <w:t>See also</w:t>
      </w:r>
      <w:r w:rsidRPr="00022E11">
        <w:rPr>
          <w:sz w:val="26"/>
          <w:szCs w:val="26"/>
        </w:rPr>
        <w:t xml:space="preserve"> </w:t>
      </w:r>
      <w:r w:rsidRPr="00022E11">
        <w:rPr>
          <w:i/>
          <w:sz w:val="26"/>
          <w:szCs w:val="26"/>
        </w:rPr>
        <w:t>Pa.</w:t>
      </w:r>
      <w:r>
        <w:rPr>
          <w:i/>
          <w:sz w:val="26"/>
          <w:szCs w:val="26"/>
        </w:rPr>
        <w:t xml:space="preserve"> PUC</w:t>
      </w:r>
      <w:r w:rsidRPr="00022E11">
        <w:rPr>
          <w:i/>
          <w:sz w:val="26"/>
          <w:szCs w:val="26"/>
        </w:rPr>
        <w:t xml:space="preserve"> v. National Fuel Gas Distribution Co.</w:t>
      </w:r>
      <w:r w:rsidRPr="00022E11">
        <w:rPr>
          <w:sz w:val="26"/>
          <w:szCs w:val="26"/>
        </w:rPr>
        <w:t>, 73 Pa. P</w:t>
      </w:r>
      <w:r>
        <w:rPr>
          <w:sz w:val="26"/>
          <w:szCs w:val="26"/>
        </w:rPr>
        <w:t>.</w:t>
      </w:r>
      <w:r w:rsidRPr="00022E11">
        <w:rPr>
          <w:sz w:val="26"/>
          <w:szCs w:val="26"/>
        </w:rPr>
        <w:t>U</w:t>
      </w:r>
      <w:r>
        <w:rPr>
          <w:sz w:val="26"/>
          <w:szCs w:val="26"/>
        </w:rPr>
        <w:t>.</w:t>
      </w:r>
      <w:r w:rsidRPr="00022E11">
        <w:rPr>
          <w:sz w:val="26"/>
          <w:szCs w:val="26"/>
        </w:rPr>
        <w:t>C</w:t>
      </w:r>
      <w:r>
        <w:rPr>
          <w:sz w:val="26"/>
          <w:szCs w:val="26"/>
        </w:rPr>
        <w:t>.</w:t>
      </w:r>
      <w:r w:rsidRPr="00022E11">
        <w:rPr>
          <w:sz w:val="26"/>
          <w:szCs w:val="26"/>
        </w:rPr>
        <w:t xml:space="preserve"> 552 (1990); </w:t>
      </w:r>
      <w:r w:rsidRPr="00022E11">
        <w:rPr>
          <w:i/>
          <w:sz w:val="26"/>
          <w:szCs w:val="26"/>
        </w:rPr>
        <w:t xml:space="preserve">Pa. </w:t>
      </w:r>
      <w:r>
        <w:rPr>
          <w:i/>
          <w:sz w:val="26"/>
          <w:szCs w:val="26"/>
        </w:rPr>
        <w:t>PUC</w:t>
      </w:r>
      <w:r w:rsidRPr="00022E11">
        <w:rPr>
          <w:i/>
          <w:sz w:val="26"/>
          <w:szCs w:val="26"/>
        </w:rPr>
        <w:t xml:space="preserve"> v. Equitable Gas Co.</w:t>
      </w:r>
      <w:r w:rsidRPr="00022E11">
        <w:rPr>
          <w:sz w:val="26"/>
          <w:szCs w:val="26"/>
        </w:rPr>
        <w:t>, 73 Pa. P</w:t>
      </w:r>
      <w:r>
        <w:rPr>
          <w:sz w:val="26"/>
          <w:szCs w:val="26"/>
        </w:rPr>
        <w:t>.</w:t>
      </w:r>
      <w:r w:rsidRPr="00022E11">
        <w:rPr>
          <w:sz w:val="26"/>
          <w:szCs w:val="26"/>
        </w:rPr>
        <w:t>U</w:t>
      </w:r>
      <w:r>
        <w:rPr>
          <w:sz w:val="26"/>
          <w:szCs w:val="26"/>
        </w:rPr>
        <w:t>.</w:t>
      </w:r>
      <w:r w:rsidRPr="00022E11">
        <w:rPr>
          <w:sz w:val="26"/>
          <w:szCs w:val="26"/>
        </w:rPr>
        <w:t>C</w:t>
      </w:r>
      <w:r>
        <w:rPr>
          <w:sz w:val="26"/>
          <w:szCs w:val="26"/>
        </w:rPr>
        <w:t>.</w:t>
      </w:r>
      <w:r w:rsidRPr="00022E11">
        <w:rPr>
          <w:sz w:val="26"/>
          <w:szCs w:val="26"/>
        </w:rPr>
        <w:t xml:space="preserve"> 301 (1990); and </w:t>
      </w:r>
      <w:r w:rsidRPr="00022E11">
        <w:rPr>
          <w:i/>
          <w:sz w:val="26"/>
          <w:szCs w:val="26"/>
        </w:rPr>
        <w:t xml:space="preserve">Pa. </w:t>
      </w:r>
      <w:r>
        <w:rPr>
          <w:i/>
          <w:sz w:val="26"/>
          <w:szCs w:val="26"/>
        </w:rPr>
        <w:t>PUC</w:t>
      </w:r>
      <w:r w:rsidRPr="00022E11">
        <w:rPr>
          <w:i/>
          <w:sz w:val="26"/>
          <w:szCs w:val="26"/>
        </w:rPr>
        <w:t xml:space="preserve"> v. Columbia Gas of Pa.</w:t>
      </w:r>
      <w:r w:rsidRPr="00022E11">
        <w:rPr>
          <w:sz w:val="26"/>
          <w:szCs w:val="26"/>
        </w:rPr>
        <w:t>, 69 Pa. P</w:t>
      </w:r>
      <w:r>
        <w:rPr>
          <w:sz w:val="26"/>
          <w:szCs w:val="26"/>
        </w:rPr>
        <w:t>.</w:t>
      </w:r>
      <w:r w:rsidRPr="00022E11">
        <w:rPr>
          <w:sz w:val="26"/>
          <w:szCs w:val="26"/>
        </w:rPr>
        <w:t>U</w:t>
      </w:r>
      <w:r>
        <w:rPr>
          <w:sz w:val="26"/>
          <w:szCs w:val="26"/>
        </w:rPr>
        <w:t>.</w:t>
      </w:r>
      <w:r w:rsidRPr="00022E11">
        <w:rPr>
          <w:sz w:val="26"/>
          <w:szCs w:val="26"/>
        </w:rPr>
        <w:t>C</w:t>
      </w:r>
      <w:r>
        <w:rPr>
          <w:sz w:val="26"/>
          <w:szCs w:val="26"/>
        </w:rPr>
        <w:t>.</w:t>
      </w:r>
      <w:r w:rsidRPr="00022E11">
        <w:rPr>
          <w:sz w:val="26"/>
          <w:szCs w:val="26"/>
        </w:rPr>
        <w:t xml:space="preserve"> 138 (1989).  R.D. at 394.</w:t>
      </w:r>
      <w:bookmarkEnd w:id="406"/>
    </w:p>
  </w:footnote>
  <w:footnote w:id="68">
    <w:p w14:paraId="6DCC2DFC" w14:textId="4890C4DE" w:rsidR="009160F2" w:rsidRPr="00022E11" w:rsidRDefault="009160F2" w:rsidP="00AE79C0">
      <w:pPr>
        <w:pStyle w:val="FootnoteText"/>
        <w:keepNext/>
        <w:keepLines/>
        <w:spacing w:after="120" w:line="240" w:lineRule="auto"/>
        <w:jc w:val="left"/>
        <w:rPr>
          <w:sz w:val="26"/>
          <w:szCs w:val="26"/>
        </w:rPr>
      </w:pPr>
      <w:r w:rsidRPr="00022E11">
        <w:rPr>
          <w:rStyle w:val="FootnoteReference"/>
          <w:sz w:val="26"/>
          <w:szCs w:val="26"/>
        </w:rPr>
        <w:footnoteRef/>
      </w:r>
      <w:r w:rsidRPr="00022E11">
        <w:rPr>
          <w:sz w:val="26"/>
          <w:szCs w:val="26"/>
        </w:rPr>
        <w:tab/>
        <w:t>CG Exc. at 29.</w:t>
      </w:r>
    </w:p>
  </w:footnote>
  <w:footnote w:id="69">
    <w:p w14:paraId="4D0D1076" w14:textId="74DD5CD3" w:rsidR="009160F2" w:rsidRPr="00022E11" w:rsidRDefault="009160F2" w:rsidP="00AE79C0">
      <w:pPr>
        <w:pStyle w:val="FootnoteText"/>
        <w:keepNext/>
        <w:keepLines/>
        <w:spacing w:after="120" w:line="240" w:lineRule="auto"/>
        <w:jc w:val="left"/>
        <w:rPr>
          <w:sz w:val="26"/>
          <w:szCs w:val="26"/>
        </w:rPr>
      </w:pPr>
      <w:r w:rsidRPr="00022E11">
        <w:rPr>
          <w:rStyle w:val="FootnoteReference"/>
          <w:sz w:val="26"/>
          <w:szCs w:val="26"/>
        </w:rPr>
        <w:footnoteRef/>
      </w:r>
      <w:r w:rsidRPr="00022E11">
        <w:rPr>
          <w:sz w:val="26"/>
          <w:szCs w:val="26"/>
        </w:rPr>
        <w:tab/>
        <w:t xml:space="preserve">CG Exc. at 29-30; CG M.B. at 131-36; 2012 PPL Order at 113 (citing </w:t>
      </w:r>
      <w:r w:rsidRPr="00022E11">
        <w:rPr>
          <w:i/>
          <w:sz w:val="26"/>
          <w:szCs w:val="26"/>
        </w:rPr>
        <w:t>Pa. PUC v. PPL Electric Utilities Corp</w:t>
      </w:r>
      <w:r w:rsidRPr="00022E11">
        <w:rPr>
          <w:sz w:val="26"/>
          <w:szCs w:val="26"/>
        </w:rPr>
        <w:t>., Docket No. R-2010-2161694 (Order entered December 21, 2010) (</w:t>
      </w:r>
      <w:r w:rsidRPr="00022E11">
        <w:rPr>
          <w:i/>
          <w:iCs/>
          <w:sz w:val="26"/>
          <w:szCs w:val="26"/>
        </w:rPr>
        <w:t>2010 PPL Order</w:t>
      </w:r>
      <w:r w:rsidRPr="00022E11">
        <w:rPr>
          <w:sz w:val="26"/>
          <w:szCs w:val="26"/>
        </w:rPr>
        <w:t>) at 46).</w:t>
      </w:r>
    </w:p>
  </w:footnote>
  <w:footnote w:id="70">
    <w:p w14:paraId="093D58B6" w14:textId="6B3F053C" w:rsidR="009160F2" w:rsidRPr="00022E11" w:rsidRDefault="009160F2" w:rsidP="00AE79C0">
      <w:pPr>
        <w:pStyle w:val="FootnoteText"/>
        <w:keepNext/>
        <w:keepLines/>
        <w:spacing w:after="120" w:line="240" w:lineRule="auto"/>
        <w:jc w:val="left"/>
        <w:rPr>
          <w:sz w:val="26"/>
          <w:szCs w:val="26"/>
        </w:rPr>
      </w:pPr>
      <w:r w:rsidRPr="00022E11">
        <w:rPr>
          <w:rStyle w:val="FootnoteReference"/>
          <w:sz w:val="26"/>
          <w:szCs w:val="26"/>
        </w:rPr>
        <w:footnoteRef/>
      </w:r>
      <w:r w:rsidRPr="00022E11">
        <w:rPr>
          <w:sz w:val="26"/>
          <w:szCs w:val="26"/>
        </w:rPr>
        <w:tab/>
        <w:t>CG Exc. at 30; I&amp;E M.B. at 92; CII M.B. at 12-13; PSU M.B. at 7; OSBA St. 1 at 15.</w:t>
      </w:r>
    </w:p>
  </w:footnote>
  <w:footnote w:id="71">
    <w:p w14:paraId="1180E96E" w14:textId="37D02981" w:rsidR="009160F2" w:rsidRPr="00022E11" w:rsidRDefault="009160F2" w:rsidP="003806D0">
      <w:pPr>
        <w:pStyle w:val="FootnoteText"/>
        <w:keepNext/>
        <w:keepLines/>
        <w:spacing w:line="240" w:lineRule="auto"/>
        <w:jc w:val="left"/>
        <w:rPr>
          <w:sz w:val="26"/>
          <w:szCs w:val="26"/>
        </w:rPr>
      </w:pPr>
      <w:r w:rsidRPr="00022E11">
        <w:rPr>
          <w:rStyle w:val="FootnoteReference"/>
          <w:sz w:val="26"/>
          <w:szCs w:val="26"/>
        </w:rPr>
        <w:footnoteRef/>
      </w:r>
      <w:r w:rsidRPr="00022E11">
        <w:rPr>
          <w:sz w:val="26"/>
          <w:szCs w:val="26"/>
        </w:rPr>
        <w:tab/>
        <w:t>CG Exc. at 30; R</w:t>
      </w:r>
      <w:r w:rsidR="001D7A19">
        <w:rPr>
          <w:sz w:val="26"/>
          <w:szCs w:val="26"/>
        </w:rPr>
        <w:t>.</w:t>
      </w:r>
      <w:r w:rsidRPr="00022E11">
        <w:rPr>
          <w:sz w:val="26"/>
          <w:szCs w:val="26"/>
        </w:rPr>
        <w:t>D</w:t>
      </w:r>
      <w:r w:rsidR="001D7A19">
        <w:rPr>
          <w:sz w:val="26"/>
          <w:szCs w:val="26"/>
        </w:rPr>
        <w:t>.</w:t>
      </w:r>
      <w:r w:rsidRPr="00022E11">
        <w:rPr>
          <w:sz w:val="26"/>
          <w:szCs w:val="26"/>
        </w:rPr>
        <w:t xml:space="preserve"> at 394-95; CG R.B. at 86-84.</w:t>
      </w:r>
    </w:p>
  </w:footnote>
  <w:footnote w:id="72">
    <w:p w14:paraId="1987D3FD" w14:textId="665E3EC4" w:rsidR="009160F2" w:rsidRPr="00022E11" w:rsidRDefault="009160F2" w:rsidP="00AE79C0">
      <w:pPr>
        <w:pStyle w:val="FootnoteText"/>
        <w:keepNext/>
        <w:keepLines/>
        <w:spacing w:after="120" w:line="240" w:lineRule="auto"/>
        <w:jc w:val="left"/>
        <w:rPr>
          <w:sz w:val="26"/>
          <w:szCs w:val="26"/>
        </w:rPr>
      </w:pPr>
      <w:r w:rsidRPr="00022E11">
        <w:rPr>
          <w:rStyle w:val="FootnoteReference"/>
          <w:sz w:val="26"/>
          <w:szCs w:val="26"/>
        </w:rPr>
        <w:footnoteRef/>
      </w:r>
      <w:r w:rsidRPr="00022E11">
        <w:rPr>
          <w:sz w:val="26"/>
          <w:szCs w:val="26"/>
        </w:rPr>
        <w:tab/>
      </w:r>
      <w:r w:rsidRPr="00022E11">
        <w:rPr>
          <w:i/>
          <w:iCs/>
          <w:sz w:val="26"/>
          <w:szCs w:val="26"/>
        </w:rPr>
        <w:t xml:space="preserve">See </w:t>
      </w:r>
      <w:r w:rsidRPr="00022E11">
        <w:rPr>
          <w:i/>
          <w:sz w:val="26"/>
          <w:szCs w:val="26"/>
        </w:rPr>
        <w:t>P</w:t>
      </w:r>
      <w:bookmarkStart w:id="412" w:name="_BA_Cite_EAF4C8_000119"/>
      <w:bookmarkEnd w:id="412"/>
      <w:r w:rsidRPr="00022E11">
        <w:rPr>
          <w:i/>
          <w:sz w:val="26"/>
          <w:szCs w:val="26"/>
        </w:rPr>
        <w:t>a. PUC v. PPL Electric Utilities Corp</w:t>
      </w:r>
      <w:r w:rsidRPr="00022E11">
        <w:rPr>
          <w:sz w:val="26"/>
          <w:szCs w:val="26"/>
        </w:rPr>
        <w:t xml:space="preserve">., Docket No. R-2012-2290597, p. 113 (Order entered December 28, 2012) citing </w:t>
      </w:r>
      <w:bookmarkStart w:id="413" w:name="_Hlk53218490"/>
      <w:r w:rsidRPr="00022E11">
        <w:rPr>
          <w:i/>
          <w:iCs/>
          <w:sz w:val="26"/>
          <w:szCs w:val="26"/>
        </w:rPr>
        <w:t>2010 PPL Order</w:t>
      </w:r>
      <w:r w:rsidRPr="00022E11">
        <w:rPr>
          <w:sz w:val="26"/>
          <w:szCs w:val="26"/>
        </w:rPr>
        <w:t xml:space="preserve"> </w:t>
      </w:r>
      <w:bookmarkStart w:id="414" w:name="_BA_Cite_EAF4C8_000121"/>
      <w:bookmarkEnd w:id="413"/>
      <w:bookmarkEnd w:id="414"/>
      <w:r w:rsidRPr="00022E11">
        <w:rPr>
          <w:sz w:val="26"/>
          <w:szCs w:val="26"/>
        </w:rPr>
        <w:t xml:space="preserve">at 36, 46. </w:t>
      </w:r>
    </w:p>
  </w:footnote>
  <w:footnote w:id="73">
    <w:p w14:paraId="0ADC5F24" w14:textId="09AB2D1E" w:rsidR="009160F2" w:rsidRPr="00022E11" w:rsidRDefault="009160F2" w:rsidP="00CC0DEC">
      <w:pPr>
        <w:pStyle w:val="FootnoteText"/>
        <w:keepNext/>
        <w:keepLines/>
        <w:spacing w:line="240" w:lineRule="auto"/>
        <w:jc w:val="left"/>
        <w:rPr>
          <w:sz w:val="26"/>
          <w:szCs w:val="26"/>
        </w:rPr>
      </w:pPr>
      <w:r w:rsidRPr="00022E11">
        <w:rPr>
          <w:rStyle w:val="FootnoteReference"/>
          <w:sz w:val="26"/>
          <w:szCs w:val="26"/>
        </w:rPr>
        <w:footnoteRef/>
      </w:r>
      <w:r w:rsidRPr="00022E11">
        <w:rPr>
          <w:sz w:val="26"/>
          <w:szCs w:val="26"/>
        </w:rPr>
        <w:tab/>
        <w:t xml:space="preserve">OSBA Exc. at 5 (citing </w:t>
      </w:r>
      <w:bookmarkStart w:id="418" w:name="_Hlk62065373"/>
      <w:r w:rsidRPr="00022E11">
        <w:rPr>
          <w:spacing w:val="-1"/>
          <w:sz w:val="26"/>
          <w:szCs w:val="26"/>
        </w:rPr>
        <w:t>OSBA R.B. at 14, n.13</w:t>
      </w:r>
      <w:bookmarkEnd w:id="418"/>
      <w:r w:rsidRPr="00022E11">
        <w:rPr>
          <w:spacing w:val="-1"/>
          <w:sz w:val="26"/>
          <w:szCs w:val="26"/>
        </w:rPr>
        <w:t>): “</w:t>
      </w:r>
      <w:r w:rsidRPr="00022E11">
        <w:rPr>
          <w:sz w:val="26"/>
          <w:szCs w:val="26"/>
        </w:rPr>
        <w:t xml:space="preserve">Despite the similarity in terms, the A&amp;E methodology and the P&amp;A methodology are conceptually different.  The A&amp;E method uses a weighted average of average demand and ‘excess’ demand, where excess demand is peak minus average.  The P&amp;A method uses a simple average of average demand and peak demand. </w:t>
      </w:r>
      <w:r>
        <w:rPr>
          <w:sz w:val="26"/>
          <w:szCs w:val="26"/>
        </w:rPr>
        <w:t xml:space="preserve"> </w:t>
      </w:r>
      <w:r w:rsidRPr="00022E11">
        <w:rPr>
          <w:sz w:val="26"/>
          <w:szCs w:val="26"/>
        </w:rPr>
        <w:t>No expert in this proceeding offered any evaluation of the quantitative difference between those two methods.”</w:t>
      </w:r>
    </w:p>
  </w:footnote>
  <w:footnote w:id="74">
    <w:p w14:paraId="433A8D78" w14:textId="1DDA2327" w:rsidR="009160F2" w:rsidRPr="00022E11" w:rsidRDefault="009160F2" w:rsidP="00CC0DEC">
      <w:pPr>
        <w:pStyle w:val="FootnoteText"/>
        <w:keepNext/>
        <w:keepLines/>
        <w:spacing w:line="240" w:lineRule="auto"/>
        <w:jc w:val="left"/>
        <w:rPr>
          <w:i/>
          <w:iCs/>
          <w:sz w:val="26"/>
          <w:szCs w:val="26"/>
        </w:rPr>
      </w:pPr>
      <w:r w:rsidRPr="00022E11">
        <w:rPr>
          <w:rStyle w:val="FootnoteReference"/>
          <w:sz w:val="26"/>
          <w:szCs w:val="26"/>
        </w:rPr>
        <w:footnoteRef/>
      </w:r>
      <w:r w:rsidRPr="00022E11">
        <w:rPr>
          <w:sz w:val="26"/>
          <w:szCs w:val="26"/>
        </w:rPr>
        <w:tab/>
      </w:r>
      <w:r w:rsidRPr="00022E11">
        <w:rPr>
          <w:rFonts w:eastAsiaTheme="minorEastAsia"/>
          <w:i/>
          <w:iCs/>
          <w:sz w:val="26"/>
          <w:szCs w:val="26"/>
        </w:rPr>
        <w:t>See</w:t>
      </w:r>
      <w:r w:rsidRPr="00022E11">
        <w:rPr>
          <w:rFonts w:eastAsiaTheme="minorEastAsia"/>
          <w:sz w:val="26"/>
          <w:szCs w:val="26"/>
        </w:rPr>
        <w:t xml:space="preserve"> </w:t>
      </w:r>
      <w:r w:rsidRPr="00022E11">
        <w:rPr>
          <w:rFonts w:eastAsiaTheme="minorEastAsia"/>
          <w:i/>
          <w:iCs/>
          <w:sz w:val="26"/>
          <w:szCs w:val="26"/>
        </w:rPr>
        <w:t>Pa. PUC et al. v. PPL Gas Utilities Corporation</w:t>
      </w:r>
      <w:r w:rsidRPr="00022E11">
        <w:rPr>
          <w:rFonts w:eastAsiaTheme="minorEastAsia"/>
          <w:sz w:val="26"/>
          <w:szCs w:val="26"/>
        </w:rPr>
        <w:t>, Docket No. R</w:t>
      </w:r>
      <w:r w:rsidR="008B183A">
        <w:rPr>
          <w:rFonts w:eastAsiaTheme="minorEastAsia"/>
          <w:sz w:val="26"/>
          <w:szCs w:val="26"/>
        </w:rPr>
        <w:noBreakHyphen/>
      </w:r>
      <w:r w:rsidRPr="00022E11">
        <w:rPr>
          <w:rFonts w:eastAsiaTheme="minorEastAsia"/>
          <w:sz w:val="26"/>
          <w:szCs w:val="26"/>
        </w:rPr>
        <w:t>00061398 (Order entered February 8, 2007) (</w:t>
      </w:r>
      <w:r w:rsidRPr="00022E11">
        <w:rPr>
          <w:rFonts w:eastAsiaTheme="minorEastAsia"/>
          <w:i/>
          <w:iCs/>
          <w:sz w:val="26"/>
          <w:szCs w:val="26"/>
        </w:rPr>
        <w:t>2007 PPL Gas Order</w:t>
      </w:r>
      <w:r w:rsidRPr="00022E11">
        <w:rPr>
          <w:rFonts w:eastAsiaTheme="minorEastAsia"/>
          <w:sz w:val="26"/>
          <w:szCs w:val="26"/>
        </w:rPr>
        <w:t xml:space="preserve">) at 112-14.  The OSBA explains that in this case the Commission approved an allocation of all mains costs using a variant on the A&amp;E allocation method advanced by the utility expert witness.  In that proceeding, the approved weighting was 40 percent to average demand and 60 percent to excess demand.  This weighting was not based on system load factor.  </w:t>
      </w:r>
      <w:r w:rsidRPr="00022E11">
        <w:rPr>
          <w:rFonts w:eastAsiaTheme="minorEastAsia"/>
          <w:i/>
          <w:iCs/>
          <w:sz w:val="26"/>
          <w:szCs w:val="26"/>
        </w:rPr>
        <w:t>Pa. PUC v. Philadelphia Gas Works</w:t>
      </w:r>
      <w:r w:rsidRPr="00022E11">
        <w:rPr>
          <w:rFonts w:eastAsiaTheme="minorEastAsia"/>
          <w:sz w:val="26"/>
          <w:szCs w:val="26"/>
        </w:rPr>
        <w:t xml:space="preserve">, Docket No. R-00061931 (Recommended Decision issued July 24, 2007) at 63; and </w:t>
      </w:r>
      <w:r w:rsidRPr="00022E11">
        <w:rPr>
          <w:rFonts w:eastAsiaTheme="minorEastAsia"/>
          <w:i/>
          <w:iCs/>
          <w:sz w:val="26"/>
          <w:szCs w:val="26"/>
        </w:rPr>
        <w:t>Pa. PUC v. Philadelphia Gas Works</w:t>
      </w:r>
      <w:r w:rsidRPr="008B183A">
        <w:rPr>
          <w:rFonts w:eastAsiaTheme="minorEastAsia"/>
          <w:sz w:val="26"/>
          <w:szCs w:val="26"/>
        </w:rPr>
        <w:t xml:space="preserve">, </w:t>
      </w:r>
      <w:r w:rsidRPr="00022E11">
        <w:rPr>
          <w:rFonts w:eastAsiaTheme="minorEastAsia"/>
          <w:sz w:val="26"/>
          <w:szCs w:val="26"/>
        </w:rPr>
        <w:t>Docket No. R</w:t>
      </w:r>
      <w:r w:rsidR="008B183A">
        <w:rPr>
          <w:rFonts w:eastAsiaTheme="minorEastAsia"/>
          <w:sz w:val="26"/>
          <w:szCs w:val="26"/>
        </w:rPr>
        <w:noBreakHyphen/>
      </w:r>
      <w:r w:rsidRPr="00022E11">
        <w:rPr>
          <w:rFonts w:eastAsiaTheme="minorEastAsia"/>
          <w:sz w:val="26"/>
          <w:szCs w:val="26"/>
        </w:rPr>
        <w:t>00061931 (Order entered September 28, 2007) (</w:t>
      </w:r>
      <w:r w:rsidRPr="00022E11">
        <w:rPr>
          <w:rFonts w:eastAsiaTheme="minorEastAsia"/>
          <w:i/>
          <w:iCs/>
          <w:sz w:val="26"/>
          <w:szCs w:val="26"/>
        </w:rPr>
        <w:t>2007 PGW Order</w:t>
      </w:r>
      <w:r w:rsidRPr="00022E11">
        <w:rPr>
          <w:rFonts w:eastAsiaTheme="minorEastAsia"/>
          <w:sz w:val="26"/>
          <w:szCs w:val="26"/>
        </w:rPr>
        <w:t>) at 80.  The OSBA explains in this case</w:t>
      </w:r>
      <w:r>
        <w:rPr>
          <w:rFonts w:eastAsiaTheme="minorEastAsia"/>
          <w:sz w:val="26"/>
          <w:szCs w:val="26"/>
        </w:rPr>
        <w:t xml:space="preserve"> that</w:t>
      </w:r>
      <w:r w:rsidRPr="00022E11">
        <w:rPr>
          <w:rFonts w:eastAsiaTheme="minorEastAsia"/>
          <w:sz w:val="26"/>
          <w:szCs w:val="26"/>
        </w:rPr>
        <w:t xml:space="preserve"> PGW proposed to classify some mains costs as customer-related and the balance as demand-related and proposed to allocate demand-related costs using a peak demand allocator.  However, the Commission concluded that no mains costs should be classified as customer-related and that mains costs should be allocated using a variant of the A&amp;E allocation method advanced by the </w:t>
      </w:r>
      <w:r>
        <w:rPr>
          <w:rFonts w:eastAsiaTheme="minorEastAsia"/>
          <w:sz w:val="26"/>
          <w:szCs w:val="26"/>
        </w:rPr>
        <w:t xml:space="preserve">then </w:t>
      </w:r>
      <w:r w:rsidRPr="00022E11">
        <w:rPr>
          <w:rFonts w:eastAsiaTheme="minorEastAsia"/>
          <w:sz w:val="26"/>
          <w:szCs w:val="26"/>
        </w:rPr>
        <w:t>Office of Trial Staff expert.</w:t>
      </w:r>
      <w:r>
        <w:rPr>
          <w:rFonts w:eastAsiaTheme="minorEastAsia"/>
          <w:sz w:val="26"/>
          <w:szCs w:val="26"/>
        </w:rPr>
        <w:t xml:space="preserve">  </w:t>
      </w:r>
      <w:r w:rsidRPr="00022E11">
        <w:rPr>
          <w:rFonts w:eastAsiaTheme="minorEastAsia"/>
          <w:sz w:val="26"/>
          <w:szCs w:val="26"/>
        </w:rPr>
        <w:t xml:space="preserve">In the PGW proceeding, the approved weighting was 50 percent to average demand and 50 percent to excess demand.  </w:t>
      </w:r>
    </w:p>
  </w:footnote>
  <w:footnote w:id="75">
    <w:p w14:paraId="38520092" w14:textId="5EAE552F" w:rsidR="009160F2" w:rsidRPr="00022E11" w:rsidRDefault="009160F2" w:rsidP="00AE79C0">
      <w:pPr>
        <w:pStyle w:val="FootnoteText"/>
        <w:keepNext/>
        <w:keepLines/>
        <w:spacing w:after="120" w:line="240" w:lineRule="auto"/>
        <w:jc w:val="left"/>
        <w:rPr>
          <w:sz w:val="26"/>
          <w:szCs w:val="26"/>
        </w:rPr>
      </w:pPr>
      <w:r w:rsidRPr="00022E11">
        <w:rPr>
          <w:rStyle w:val="FootnoteReference"/>
          <w:sz w:val="26"/>
          <w:szCs w:val="26"/>
        </w:rPr>
        <w:footnoteRef/>
      </w:r>
      <w:r w:rsidRPr="00022E11">
        <w:rPr>
          <w:sz w:val="26"/>
          <w:szCs w:val="26"/>
        </w:rPr>
        <w:tab/>
        <w:t>OSBA noted that its witness, Mr. Knecht, developed fairly close working versions of Columbia’s model and used that replication for his proposed Customer-Demand and P&amp;A ACCOSS models as shown in RDK WP1 and RDK WP2.  OSBA St.</w:t>
      </w:r>
      <w:r w:rsidR="008B183A">
        <w:rPr>
          <w:sz w:val="26"/>
          <w:szCs w:val="26"/>
        </w:rPr>
        <w:t> </w:t>
      </w:r>
      <w:r w:rsidRPr="00022E11">
        <w:rPr>
          <w:sz w:val="26"/>
          <w:szCs w:val="26"/>
        </w:rPr>
        <w:t>1 at 20, 27-28, 30.</w:t>
      </w:r>
    </w:p>
  </w:footnote>
  <w:footnote w:id="76">
    <w:p w14:paraId="3CECC1EC" w14:textId="3FD42625" w:rsidR="009160F2" w:rsidRPr="00022E11" w:rsidRDefault="009160F2" w:rsidP="008B183A">
      <w:pPr>
        <w:pStyle w:val="FootnoteText"/>
        <w:keepNext/>
        <w:keepLines/>
        <w:spacing w:line="240" w:lineRule="auto"/>
        <w:jc w:val="left"/>
        <w:rPr>
          <w:sz w:val="26"/>
          <w:szCs w:val="26"/>
        </w:rPr>
      </w:pPr>
      <w:r w:rsidRPr="00022E11">
        <w:rPr>
          <w:rStyle w:val="FootnoteReference"/>
          <w:sz w:val="26"/>
          <w:szCs w:val="26"/>
        </w:rPr>
        <w:footnoteRef/>
      </w:r>
      <w:r w:rsidRPr="00022E11">
        <w:rPr>
          <w:sz w:val="26"/>
          <w:szCs w:val="26"/>
        </w:rPr>
        <w:tab/>
        <w:t>OSBA St. 1-R at 12.</w:t>
      </w:r>
    </w:p>
  </w:footnote>
  <w:footnote w:id="77">
    <w:p w14:paraId="61D84F40" w14:textId="1F115EFE" w:rsidR="009160F2" w:rsidRPr="00022E11" w:rsidRDefault="009160F2" w:rsidP="00AE79C0">
      <w:pPr>
        <w:pStyle w:val="FootnoteText"/>
        <w:keepNext/>
        <w:keepLines/>
        <w:spacing w:after="120" w:line="240" w:lineRule="auto"/>
        <w:jc w:val="left"/>
        <w:rPr>
          <w:sz w:val="26"/>
          <w:szCs w:val="26"/>
        </w:rPr>
      </w:pPr>
      <w:r w:rsidRPr="00022E11">
        <w:rPr>
          <w:rStyle w:val="FootnoteReference"/>
          <w:sz w:val="26"/>
          <w:szCs w:val="26"/>
        </w:rPr>
        <w:footnoteRef/>
      </w:r>
      <w:r w:rsidRPr="00022E11">
        <w:rPr>
          <w:sz w:val="26"/>
          <w:szCs w:val="26"/>
        </w:rPr>
        <w:tab/>
      </w:r>
      <w:r w:rsidRPr="00022E11">
        <w:rPr>
          <w:i/>
          <w:iCs/>
          <w:sz w:val="26"/>
          <w:szCs w:val="26"/>
        </w:rPr>
        <w:t>See</w:t>
      </w:r>
      <w:r w:rsidRPr="00022E11">
        <w:rPr>
          <w:sz w:val="26"/>
          <w:szCs w:val="26"/>
        </w:rPr>
        <w:t xml:space="preserve"> OCA R. Exc. at 16-19; I&amp;E R. Exc. at 4-5; and PSU R. Exc. at 12-13.</w:t>
      </w:r>
    </w:p>
  </w:footnote>
  <w:footnote w:id="78">
    <w:p w14:paraId="42654642" w14:textId="7C1F2F8A" w:rsidR="009160F2" w:rsidRPr="00022E11" w:rsidRDefault="009160F2" w:rsidP="00DE78B9">
      <w:pPr>
        <w:pStyle w:val="FootnoteText"/>
        <w:keepNext/>
        <w:keepLines/>
        <w:spacing w:line="240" w:lineRule="auto"/>
        <w:jc w:val="left"/>
        <w:rPr>
          <w:sz w:val="26"/>
          <w:szCs w:val="26"/>
        </w:rPr>
      </w:pPr>
      <w:r w:rsidRPr="00022E11">
        <w:rPr>
          <w:rStyle w:val="FootnoteReference"/>
          <w:sz w:val="26"/>
          <w:szCs w:val="26"/>
        </w:rPr>
        <w:footnoteRef/>
      </w:r>
      <w:r w:rsidRPr="00022E11">
        <w:rPr>
          <w:sz w:val="26"/>
          <w:szCs w:val="26"/>
        </w:rPr>
        <w:tab/>
        <w:t>OCA R. Exc. at 18 (citing OCA St. 4 at 13-15; OCA M.B. at 139-150; I&amp;E M.B. at 87).</w:t>
      </w:r>
    </w:p>
  </w:footnote>
  <w:footnote w:id="79">
    <w:p w14:paraId="42451D0E" w14:textId="15F874E8" w:rsidR="009160F2" w:rsidRPr="00022E11" w:rsidRDefault="009160F2" w:rsidP="00DE78B9">
      <w:pPr>
        <w:pStyle w:val="FootnoteText"/>
        <w:keepNext/>
        <w:keepLines/>
        <w:spacing w:after="120" w:line="240" w:lineRule="auto"/>
        <w:jc w:val="left"/>
        <w:rPr>
          <w:sz w:val="26"/>
          <w:szCs w:val="26"/>
        </w:rPr>
      </w:pPr>
      <w:r w:rsidRPr="00022E11">
        <w:rPr>
          <w:rStyle w:val="FootnoteReference"/>
          <w:sz w:val="26"/>
          <w:szCs w:val="26"/>
        </w:rPr>
        <w:footnoteRef/>
      </w:r>
      <w:r w:rsidRPr="00022E11">
        <w:rPr>
          <w:sz w:val="26"/>
          <w:szCs w:val="26"/>
        </w:rPr>
        <w:tab/>
        <w:t xml:space="preserve">I&amp;E M.B. at 89; </w:t>
      </w:r>
      <w:r w:rsidRPr="00022E11">
        <w:rPr>
          <w:i/>
          <w:iCs/>
          <w:sz w:val="26"/>
          <w:szCs w:val="26"/>
        </w:rPr>
        <w:t>Pa. PUC v. National Fuel Gas Distribution Co.</w:t>
      </w:r>
      <w:r w:rsidRPr="00DE78B9">
        <w:rPr>
          <w:sz w:val="26"/>
          <w:szCs w:val="26"/>
        </w:rPr>
        <w:t>,</w:t>
      </w:r>
      <w:r w:rsidRPr="00022E11">
        <w:rPr>
          <w:i/>
          <w:iCs/>
          <w:sz w:val="26"/>
          <w:szCs w:val="26"/>
        </w:rPr>
        <w:t xml:space="preserve"> </w:t>
      </w:r>
      <w:r w:rsidRPr="00022E11">
        <w:rPr>
          <w:sz w:val="26"/>
          <w:szCs w:val="26"/>
        </w:rPr>
        <w:t>83 Pa. P.U.C. 262 (1994).</w:t>
      </w:r>
    </w:p>
  </w:footnote>
  <w:footnote w:id="80">
    <w:p w14:paraId="70787C12" w14:textId="77A994B6" w:rsidR="009160F2" w:rsidRPr="00022E11" w:rsidRDefault="009160F2" w:rsidP="00DE78B9">
      <w:pPr>
        <w:pStyle w:val="FootnoteText"/>
        <w:keepNext/>
        <w:keepLines/>
        <w:spacing w:line="240" w:lineRule="auto"/>
        <w:contextualSpacing/>
        <w:jc w:val="left"/>
        <w:rPr>
          <w:sz w:val="26"/>
          <w:szCs w:val="26"/>
        </w:rPr>
      </w:pPr>
      <w:r w:rsidRPr="00022E11">
        <w:rPr>
          <w:rStyle w:val="FootnoteReference"/>
          <w:sz w:val="26"/>
          <w:szCs w:val="26"/>
        </w:rPr>
        <w:footnoteRef/>
      </w:r>
      <w:r w:rsidRPr="00022E11">
        <w:rPr>
          <w:sz w:val="26"/>
          <w:szCs w:val="26"/>
        </w:rPr>
        <w:tab/>
        <w:t xml:space="preserve">I&amp;E R. Exc. at 5 (citing I&amp;E M.B. at 89; </w:t>
      </w:r>
      <w:r w:rsidRPr="00022E11">
        <w:rPr>
          <w:i/>
          <w:iCs/>
          <w:sz w:val="26"/>
          <w:szCs w:val="26"/>
        </w:rPr>
        <w:t>Pa. PUC v. National Fuel Gas Distribution Co.</w:t>
      </w:r>
      <w:r w:rsidRPr="00DE78B9">
        <w:rPr>
          <w:sz w:val="26"/>
          <w:szCs w:val="26"/>
        </w:rPr>
        <w:t>,</w:t>
      </w:r>
      <w:r w:rsidRPr="00022E11">
        <w:rPr>
          <w:i/>
          <w:iCs/>
          <w:sz w:val="26"/>
          <w:szCs w:val="26"/>
        </w:rPr>
        <w:t xml:space="preserve"> </w:t>
      </w:r>
      <w:r w:rsidRPr="00022E11">
        <w:rPr>
          <w:sz w:val="26"/>
          <w:szCs w:val="26"/>
        </w:rPr>
        <w:t>83 Pa. P.U.C. 262 (1994).</w:t>
      </w:r>
    </w:p>
  </w:footnote>
  <w:footnote w:id="81">
    <w:p w14:paraId="593CC482" w14:textId="61D1172D" w:rsidR="009160F2" w:rsidRPr="00022E11" w:rsidRDefault="009160F2" w:rsidP="00AE79C0">
      <w:pPr>
        <w:pStyle w:val="FootnoteText"/>
        <w:keepNext/>
        <w:keepLines/>
        <w:spacing w:after="120" w:line="240" w:lineRule="auto"/>
        <w:jc w:val="left"/>
        <w:rPr>
          <w:sz w:val="26"/>
          <w:szCs w:val="26"/>
        </w:rPr>
      </w:pPr>
      <w:r w:rsidRPr="00022E11">
        <w:rPr>
          <w:rStyle w:val="FootnoteReference"/>
          <w:sz w:val="26"/>
          <w:szCs w:val="26"/>
        </w:rPr>
        <w:footnoteRef/>
      </w:r>
      <w:r w:rsidRPr="00022E11">
        <w:rPr>
          <w:sz w:val="26"/>
          <w:szCs w:val="26"/>
        </w:rPr>
        <w:tab/>
        <w:t>Specifically, Columbia and PSU favor adoption of the 50%/50% Average ACCOSS proffered by the Company, without modification.  The OSBA agreed with the Company’s underlying Customer-Demand and P&amp;A ACCOS</w:t>
      </w:r>
      <w:r>
        <w:rPr>
          <w:sz w:val="26"/>
          <w:szCs w:val="26"/>
        </w:rPr>
        <w:t>Ss</w:t>
      </w:r>
      <w:r w:rsidRPr="00022E11">
        <w:rPr>
          <w:sz w:val="26"/>
          <w:szCs w:val="26"/>
        </w:rPr>
        <w:t>, but instead of using a 50%/50% average of the underlying studies that was used to craft the Average ACCOSS, the OSBA proposed a 75%/25% weighting which provides a 75% weighting to Columbia’s P&amp;A ACCOSS, and 25% to the Company’s Customer-Demand ACCOSS.</w:t>
      </w:r>
    </w:p>
  </w:footnote>
  <w:footnote w:id="82">
    <w:p w14:paraId="0B4BA6BE" w14:textId="1CFB043D" w:rsidR="009160F2" w:rsidRPr="00022E11" w:rsidRDefault="009160F2" w:rsidP="00DE78B9">
      <w:pPr>
        <w:pStyle w:val="FootnoteText"/>
        <w:keepNext/>
        <w:keepLines/>
        <w:spacing w:line="240" w:lineRule="auto"/>
        <w:jc w:val="left"/>
        <w:rPr>
          <w:sz w:val="26"/>
          <w:szCs w:val="26"/>
        </w:rPr>
      </w:pPr>
      <w:r w:rsidRPr="00022E11">
        <w:rPr>
          <w:rStyle w:val="FootnoteReference"/>
          <w:sz w:val="26"/>
          <w:szCs w:val="26"/>
        </w:rPr>
        <w:footnoteRef/>
      </w:r>
      <w:r w:rsidRPr="00022E11">
        <w:rPr>
          <w:sz w:val="26"/>
          <w:szCs w:val="26"/>
        </w:rPr>
        <w:tab/>
        <w:t>I&amp;E supported adoption of the Company’s P&amp;A ACCOSS without modification, while the OCA proposed certain modifications.  Nevertheless, in its Reply Exceptions, I&amp;E stated that it is in the public interest to use the OCA’s P&amp;A ACCOSS to allocate the final revenue increases among the different customer classes.  I&amp;E R. Exc. at</w:t>
      </w:r>
      <w:r w:rsidR="00DE78B9">
        <w:rPr>
          <w:sz w:val="26"/>
          <w:szCs w:val="26"/>
        </w:rPr>
        <w:t> </w:t>
      </w:r>
      <w:r w:rsidRPr="00022E11">
        <w:rPr>
          <w:sz w:val="26"/>
          <w:szCs w:val="26"/>
        </w:rPr>
        <w:t>6.</w:t>
      </w:r>
    </w:p>
  </w:footnote>
  <w:footnote w:id="83">
    <w:p w14:paraId="70486FA2" w14:textId="77777777" w:rsidR="009160F2" w:rsidRPr="00022E11" w:rsidRDefault="009160F2" w:rsidP="00AE79C0">
      <w:pPr>
        <w:keepNext/>
        <w:keepLines/>
        <w:widowControl/>
        <w:autoSpaceDE w:val="0"/>
        <w:autoSpaceDN w:val="0"/>
        <w:adjustRightInd w:val="0"/>
        <w:spacing w:after="120"/>
        <w:rPr>
          <w:sz w:val="26"/>
          <w:szCs w:val="26"/>
        </w:rPr>
      </w:pPr>
      <w:r w:rsidRPr="00022E11">
        <w:rPr>
          <w:sz w:val="26"/>
          <w:szCs w:val="26"/>
        </w:rPr>
        <w:tab/>
      </w:r>
      <w:r w:rsidRPr="00022E11">
        <w:rPr>
          <w:rStyle w:val="FootnoteReference"/>
          <w:sz w:val="26"/>
          <w:szCs w:val="26"/>
        </w:rPr>
        <w:footnoteRef/>
      </w:r>
      <w:r w:rsidRPr="00022E11">
        <w:rPr>
          <w:sz w:val="26"/>
          <w:szCs w:val="26"/>
        </w:rPr>
        <w:tab/>
      </w:r>
      <w:r w:rsidRPr="00022E11">
        <w:rPr>
          <w:i/>
          <w:iCs/>
          <w:sz w:val="26"/>
          <w:szCs w:val="26"/>
        </w:rPr>
        <w:t xml:space="preserve">See 2012 PPL Order </w:t>
      </w:r>
      <w:r w:rsidRPr="00022E11">
        <w:rPr>
          <w:sz w:val="26"/>
          <w:szCs w:val="26"/>
        </w:rPr>
        <w:t>at</w:t>
      </w:r>
      <w:r w:rsidRPr="00022E11">
        <w:rPr>
          <w:i/>
          <w:iCs/>
          <w:sz w:val="26"/>
          <w:szCs w:val="26"/>
        </w:rPr>
        <w:t xml:space="preserve"> </w:t>
      </w:r>
      <w:r w:rsidRPr="00022E11">
        <w:rPr>
          <w:sz w:val="26"/>
          <w:szCs w:val="26"/>
        </w:rPr>
        <w:t xml:space="preserve">113 (citing </w:t>
      </w:r>
      <w:r w:rsidRPr="00022E11">
        <w:rPr>
          <w:i/>
          <w:iCs/>
          <w:sz w:val="26"/>
          <w:szCs w:val="26"/>
        </w:rPr>
        <w:t>2010 PPL Order</w:t>
      </w:r>
      <w:r w:rsidRPr="00022E11">
        <w:rPr>
          <w:sz w:val="26"/>
          <w:szCs w:val="26"/>
        </w:rPr>
        <w:t xml:space="preserve"> at 46).</w:t>
      </w:r>
    </w:p>
  </w:footnote>
  <w:footnote w:id="84">
    <w:p w14:paraId="25EF84ED" w14:textId="1C14DE15" w:rsidR="009160F2" w:rsidRPr="00022E11" w:rsidRDefault="009160F2" w:rsidP="00AE79C0">
      <w:pPr>
        <w:keepNext/>
        <w:keepLines/>
        <w:widowControl/>
        <w:kinsoku w:val="0"/>
        <w:overflowPunct w:val="0"/>
        <w:spacing w:after="120"/>
        <w:textAlignment w:val="baseline"/>
        <w:rPr>
          <w:sz w:val="26"/>
          <w:szCs w:val="26"/>
        </w:rPr>
      </w:pPr>
      <w:r w:rsidRPr="00022E11">
        <w:rPr>
          <w:sz w:val="26"/>
          <w:szCs w:val="26"/>
        </w:rPr>
        <w:tab/>
      </w:r>
      <w:r w:rsidRPr="00022E11">
        <w:rPr>
          <w:rStyle w:val="FootnoteReference"/>
          <w:sz w:val="26"/>
          <w:szCs w:val="26"/>
        </w:rPr>
        <w:footnoteRef/>
      </w:r>
      <w:r w:rsidRPr="00022E11">
        <w:rPr>
          <w:sz w:val="26"/>
          <w:szCs w:val="26"/>
        </w:rPr>
        <w:tab/>
      </w:r>
      <w:r w:rsidRPr="00022E11">
        <w:rPr>
          <w:i/>
          <w:iCs/>
          <w:sz w:val="26"/>
          <w:szCs w:val="26"/>
        </w:rPr>
        <w:t xml:space="preserve">See 2007 PPL Gas Order </w:t>
      </w:r>
      <w:r w:rsidRPr="00022E11">
        <w:rPr>
          <w:sz w:val="26"/>
          <w:szCs w:val="26"/>
        </w:rPr>
        <w:t xml:space="preserve">at 112-14; </w:t>
      </w:r>
      <w:r w:rsidRPr="00022E11">
        <w:rPr>
          <w:i/>
          <w:iCs/>
          <w:sz w:val="26"/>
          <w:szCs w:val="26"/>
        </w:rPr>
        <w:t>2007 PGW Order</w:t>
      </w:r>
      <w:r w:rsidRPr="00022E11">
        <w:rPr>
          <w:sz w:val="26"/>
          <w:szCs w:val="26"/>
        </w:rPr>
        <w:t xml:space="preserve"> at 80.</w:t>
      </w:r>
    </w:p>
  </w:footnote>
  <w:footnote w:id="85">
    <w:p w14:paraId="70CB414D" w14:textId="40707767" w:rsidR="009160F2" w:rsidRPr="00022E11" w:rsidRDefault="009160F2" w:rsidP="00AE79C0">
      <w:pPr>
        <w:pStyle w:val="FootnoteText"/>
        <w:keepNext/>
        <w:keepLines/>
        <w:spacing w:after="120" w:line="240" w:lineRule="auto"/>
        <w:jc w:val="left"/>
        <w:rPr>
          <w:sz w:val="26"/>
          <w:szCs w:val="26"/>
        </w:rPr>
      </w:pPr>
      <w:r w:rsidRPr="00022E11">
        <w:rPr>
          <w:rStyle w:val="FootnoteReference"/>
          <w:sz w:val="26"/>
          <w:szCs w:val="26"/>
        </w:rPr>
        <w:footnoteRef/>
      </w:r>
      <w:r w:rsidRPr="00022E11">
        <w:rPr>
          <w:sz w:val="26"/>
          <w:szCs w:val="26"/>
        </w:rPr>
        <w:tab/>
        <w:t>I&amp;E M.B. at 89;</w:t>
      </w:r>
      <w:r w:rsidRPr="00022E11">
        <w:rPr>
          <w:i/>
          <w:sz w:val="26"/>
          <w:szCs w:val="26"/>
        </w:rPr>
        <w:t xml:space="preserve"> Pa. PUC v. National Fuel Gas Distribution Co.</w:t>
      </w:r>
      <w:r w:rsidRPr="00DE78B9">
        <w:rPr>
          <w:iCs/>
          <w:sz w:val="26"/>
          <w:szCs w:val="26"/>
        </w:rPr>
        <w:t>,</w:t>
      </w:r>
      <w:r w:rsidRPr="00022E11">
        <w:rPr>
          <w:i/>
          <w:sz w:val="26"/>
          <w:szCs w:val="26"/>
        </w:rPr>
        <w:t xml:space="preserve"> </w:t>
      </w:r>
      <w:r w:rsidRPr="00022E11">
        <w:rPr>
          <w:sz w:val="26"/>
          <w:szCs w:val="26"/>
        </w:rPr>
        <w:t>83</w:t>
      </w:r>
      <w:r w:rsidR="00DE78B9">
        <w:rPr>
          <w:sz w:val="26"/>
          <w:szCs w:val="26"/>
        </w:rPr>
        <w:t> </w:t>
      </w:r>
      <w:r w:rsidRPr="00022E11">
        <w:rPr>
          <w:sz w:val="26"/>
          <w:szCs w:val="26"/>
        </w:rPr>
        <w:t>Pa.</w:t>
      </w:r>
      <w:r w:rsidR="00DE78B9">
        <w:rPr>
          <w:sz w:val="26"/>
          <w:szCs w:val="26"/>
        </w:rPr>
        <w:t> </w:t>
      </w:r>
      <w:r w:rsidRPr="00022E11">
        <w:rPr>
          <w:sz w:val="26"/>
          <w:szCs w:val="26"/>
        </w:rPr>
        <w:t>P.U.C. 262 (1994); OCA Exc. at 18 (citing OCA M.B. at 139-150; I&amp;E M.B. at</w:t>
      </w:r>
      <w:r w:rsidR="00DE78B9">
        <w:rPr>
          <w:sz w:val="26"/>
          <w:szCs w:val="26"/>
        </w:rPr>
        <w:t> </w:t>
      </w:r>
      <w:r w:rsidRPr="00022E11">
        <w:rPr>
          <w:sz w:val="26"/>
          <w:szCs w:val="26"/>
        </w:rPr>
        <w:t>87).</w:t>
      </w:r>
    </w:p>
  </w:footnote>
  <w:footnote w:id="86">
    <w:p w14:paraId="40951292" w14:textId="2500C13E" w:rsidR="009160F2" w:rsidRPr="00022E11" w:rsidRDefault="009160F2" w:rsidP="00AE79C0">
      <w:pPr>
        <w:pStyle w:val="FootnoteText"/>
        <w:keepNext/>
        <w:keepLines/>
        <w:spacing w:after="120" w:line="240" w:lineRule="auto"/>
        <w:jc w:val="left"/>
        <w:rPr>
          <w:sz w:val="26"/>
          <w:szCs w:val="26"/>
        </w:rPr>
      </w:pPr>
      <w:r w:rsidRPr="00022E11">
        <w:rPr>
          <w:rStyle w:val="FootnoteReference"/>
          <w:sz w:val="26"/>
          <w:szCs w:val="26"/>
        </w:rPr>
        <w:footnoteRef/>
      </w:r>
      <w:r w:rsidRPr="00022E11">
        <w:rPr>
          <w:sz w:val="26"/>
          <w:szCs w:val="26"/>
        </w:rPr>
        <w:tab/>
        <w:t xml:space="preserve">R.D. at 394; n.656.  </w:t>
      </w:r>
      <w:r w:rsidRPr="00022E11">
        <w:rPr>
          <w:i/>
          <w:sz w:val="26"/>
          <w:szCs w:val="26"/>
        </w:rPr>
        <w:t>Pa. PUC v. National Fuel Gas Distribution Co.</w:t>
      </w:r>
      <w:r w:rsidRPr="00022E11">
        <w:rPr>
          <w:sz w:val="26"/>
          <w:szCs w:val="26"/>
        </w:rPr>
        <w:t>, 83</w:t>
      </w:r>
      <w:r w:rsidR="00DE78B9">
        <w:rPr>
          <w:sz w:val="26"/>
          <w:szCs w:val="26"/>
        </w:rPr>
        <w:t> </w:t>
      </w:r>
      <w:r w:rsidRPr="00022E11">
        <w:rPr>
          <w:sz w:val="26"/>
          <w:szCs w:val="26"/>
        </w:rPr>
        <w:t>Pa.</w:t>
      </w:r>
      <w:r w:rsidR="00DE78B9">
        <w:rPr>
          <w:sz w:val="26"/>
          <w:szCs w:val="26"/>
        </w:rPr>
        <w:t> </w:t>
      </w:r>
      <w:r w:rsidRPr="00022E11">
        <w:rPr>
          <w:sz w:val="26"/>
          <w:szCs w:val="26"/>
        </w:rPr>
        <w:t xml:space="preserve">P.U.C. 262, 360 (1994).  </w:t>
      </w:r>
      <w:r w:rsidRPr="00022E11">
        <w:rPr>
          <w:i/>
          <w:iCs/>
          <w:sz w:val="26"/>
          <w:szCs w:val="26"/>
        </w:rPr>
        <w:t>See also</w:t>
      </w:r>
      <w:r w:rsidRPr="00022E11">
        <w:rPr>
          <w:sz w:val="26"/>
          <w:szCs w:val="26"/>
        </w:rPr>
        <w:t xml:space="preserve"> </w:t>
      </w:r>
      <w:r w:rsidRPr="00022E11">
        <w:rPr>
          <w:i/>
          <w:sz w:val="26"/>
          <w:szCs w:val="26"/>
        </w:rPr>
        <w:t>Pa. PUC v. National Fuel Gas Distribution Co.</w:t>
      </w:r>
      <w:r w:rsidRPr="00022E11">
        <w:rPr>
          <w:sz w:val="26"/>
          <w:szCs w:val="26"/>
        </w:rPr>
        <w:t xml:space="preserve">, 73 Pa. P.U.C. 552 (1990); </w:t>
      </w:r>
      <w:r w:rsidRPr="00022E11">
        <w:rPr>
          <w:i/>
          <w:sz w:val="26"/>
          <w:szCs w:val="26"/>
        </w:rPr>
        <w:t>Pa. PUC</w:t>
      </w:r>
      <w:r w:rsidRPr="00022E11">
        <w:rPr>
          <w:sz w:val="26"/>
          <w:szCs w:val="26"/>
        </w:rPr>
        <w:t xml:space="preserve">, 73 Pa. P.U.C. 301 (1990); and </w:t>
      </w:r>
      <w:r w:rsidRPr="00022E11">
        <w:rPr>
          <w:i/>
          <w:sz w:val="26"/>
          <w:szCs w:val="26"/>
        </w:rPr>
        <w:t>Pa. PUC v. Columbia Gas of Pa.</w:t>
      </w:r>
      <w:r w:rsidRPr="00022E11">
        <w:rPr>
          <w:sz w:val="26"/>
          <w:szCs w:val="26"/>
        </w:rPr>
        <w:t>, 69 Pa. P.U.C. 138 (1989).  OCA St. 4 at 25.</w:t>
      </w:r>
    </w:p>
  </w:footnote>
  <w:footnote w:id="87">
    <w:p w14:paraId="31F63E96" w14:textId="77777777" w:rsidR="009160F2" w:rsidRPr="00022E11" w:rsidRDefault="009160F2" w:rsidP="00DE78B9">
      <w:pPr>
        <w:keepNext/>
        <w:keepLines/>
        <w:widowControl/>
        <w:autoSpaceDE w:val="0"/>
        <w:autoSpaceDN w:val="0"/>
        <w:adjustRightInd w:val="0"/>
        <w:rPr>
          <w:sz w:val="26"/>
          <w:szCs w:val="26"/>
        </w:rPr>
      </w:pPr>
      <w:r w:rsidRPr="00022E11">
        <w:rPr>
          <w:sz w:val="26"/>
          <w:szCs w:val="26"/>
        </w:rPr>
        <w:tab/>
      </w:r>
      <w:r w:rsidRPr="00022E11">
        <w:rPr>
          <w:rStyle w:val="FootnoteReference"/>
          <w:sz w:val="26"/>
          <w:szCs w:val="26"/>
        </w:rPr>
        <w:footnoteRef/>
      </w:r>
      <w:r w:rsidRPr="00022E11">
        <w:rPr>
          <w:sz w:val="26"/>
          <w:szCs w:val="26"/>
        </w:rPr>
        <w:tab/>
      </w:r>
      <w:r w:rsidRPr="00022E11">
        <w:rPr>
          <w:i/>
          <w:iCs/>
          <w:sz w:val="26"/>
          <w:szCs w:val="26"/>
        </w:rPr>
        <w:t>Pa. PUC v. Philadelphia Gas Works</w:t>
      </w:r>
      <w:r w:rsidRPr="00022E11">
        <w:rPr>
          <w:sz w:val="26"/>
          <w:szCs w:val="26"/>
        </w:rPr>
        <w:t xml:space="preserve">, Docket No. R-00061931 (Order entered September 28, 2007) (“Reviewing the record, we find </w:t>
      </w:r>
      <w:bookmarkStart w:id="429" w:name="_Hlk62435698"/>
      <w:r w:rsidRPr="00022E11">
        <w:rPr>
          <w:sz w:val="26"/>
          <w:szCs w:val="26"/>
        </w:rPr>
        <w:t>that the allocation of distribution mains investment costs should be done using both annual and peak demands</w:t>
      </w:r>
      <w:bookmarkEnd w:id="429"/>
      <w:r w:rsidRPr="00022E11">
        <w:rPr>
          <w:sz w:val="26"/>
          <w:szCs w:val="26"/>
        </w:rPr>
        <w:t>”).</w:t>
      </w:r>
    </w:p>
  </w:footnote>
  <w:footnote w:id="88">
    <w:p w14:paraId="4ECBC846" w14:textId="36BCF82C" w:rsidR="009160F2" w:rsidRPr="00022E11" w:rsidRDefault="009160F2" w:rsidP="00022E11">
      <w:pPr>
        <w:pStyle w:val="FootnoteText"/>
        <w:keepNext/>
        <w:keepLines/>
        <w:spacing w:after="120" w:line="240" w:lineRule="auto"/>
        <w:contextualSpacing/>
        <w:jc w:val="left"/>
        <w:rPr>
          <w:sz w:val="26"/>
          <w:szCs w:val="26"/>
        </w:rPr>
      </w:pPr>
      <w:r w:rsidRPr="00022E11">
        <w:rPr>
          <w:rStyle w:val="FootnoteReference"/>
          <w:sz w:val="26"/>
          <w:szCs w:val="26"/>
        </w:rPr>
        <w:footnoteRef/>
      </w:r>
      <w:r w:rsidRPr="00022E11">
        <w:rPr>
          <w:sz w:val="26"/>
          <w:szCs w:val="26"/>
        </w:rPr>
        <w:tab/>
        <w:t>OCA R.B. at 61 (citing OCA St. 4-S at 17-18).</w:t>
      </w:r>
    </w:p>
  </w:footnote>
  <w:footnote w:id="89">
    <w:p w14:paraId="7ACEFFB7" w14:textId="77777777" w:rsidR="009160F2" w:rsidRPr="00022E11" w:rsidRDefault="009160F2" w:rsidP="001A2194">
      <w:pPr>
        <w:pStyle w:val="FootnoteText"/>
        <w:keepNext/>
        <w:keepLines/>
        <w:spacing w:after="120" w:line="240" w:lineRule="auto"/>
        <w:jc w:val="left"/>
        <w:rPr>
          <w:sz w:val="26"/>
          <w:szCs w:val="26"/>
        </w:rPr>
      </w:pPr>
      <w:r w:rsidRPr="00022E11">
        <w:rPr>
          <w:rStyle w:val="FootnoteReference"/>
          <w:sz w:val="26"/>
          <w:szCs w:val="26"/>
        </w:rPr>
        <w:footnoteRef/>
      </w:r>
      <w:r w:rsidRPr="00022E11">
        <w:rPr>
          <w:sz w:val="26"/>
          <w:szCs w:val="26"/>
        </w:rPr>
        <w:t xml:space="preserve"> </w:t>
      </w:r>
      <w:r w:rsidRPr="00022E11">
        <w:rPr>
          <w:sz w:val="26"/>
          <w:szCs w:val="26"/>
        </w:rPr>
        <w:tab/>
        <w:t>The increase to the residential class (RSS/RDS) was capped at the system average.  CG St. 3 at 32.</w:t>
      </w:r>
    </w:p>
  </w:footnote>
  <w:footnote w:id="90">
    <w:p w14:paraId="72350AF6" w14:textId="2E38C67D" w:rsidR="009160F2" w:rsidRPr="00022E11" w:rsidRDefault="009160F2" w:rsidP="001A2194">
      <w:pPr>
        <w:pStyle w:val="FootnoteText"/>
        <w:keepNext/>
        <w:keepLines/>
        <w:spacing w:line="240" w:lineRule="auto"/>
        <w:jc w:val="left"/>
        <w:rPr>
          <w:sz w:val="26"/>
          <w:szCs w:val="26"/>
        </w:rPr>
      </w:pPr>
      <w:r w:rsidRPr="00022E11">
        <w:rPr>
          <w:rStyle w:val="FootnoteReference"/>
          <w:sz w:val="26"/>
          <w:szCs w:val="26"/>
        </w:rPr>
        <w:footnoteRef/>
      </w:r>
      <w:r w:rsidRPr="00022E11">
        <w:rPr>
          <w:sz w:val="26"/>
          <w:szCs w:val="26"/>
        </w:rPr>
        <w:t xml:space="preserve"> </w:t>
      </w:r>
      <w:r w:rsidRPr="00022E11">
        <w:rPr>
          <w:sz w:val="26"/>
          <w:szCs w:val="26"/>
        </w:rPr>
        <w:tab/>
        <w:t xml:space="preserve">The flexible rate provision of Columbia’s tariff provide that the customer charge is not eligible for adjustment.  </w:t>
      </w:r>
      <w:r w:rsidRPr="00AE79C0">
        <w:rPr>
          <w:i/>
          <w:sz w:val="26"/>
        </w:rPr>
        <w:t>See</w:t>
      </w:r>
      <w:r w:rsidRPr="00022E11">
        <w:rPr>
          <w:sz w:val="26"/>
          <w:szCs w:val="26"/>
        </w:rPr>
        <w:t xml:space="preserve"> Supplement No. 221 to Tariff Gas – Pa. P.U.C. No. 9, Sixth Revised Sheet No. 68.</w:t>
      </w:r>
    </w:p>
  </w:footnote>
  <w:footnote w:id="91">
    <w:p w14:paraId="294F013E" w14:textId="270D7ED7" w:rsidR="009160F2" w:rsidRPr="00022E11" w:rsidRDefault="009160F2" w:rsidP="001A2194">
      <w:pPr>
        <w:pStyle w:val="FootnoteText"/>
        <w:keepNext/>
        <w:keepLines/>
        <w:spacing w:line="240" w:lineRule="auto"/>
        <w:jc w:val="left"/>
        <w:rPr>
          <w:sz w:val="26"/>
          <w:szCs w:val="26"/>
        </w:rPr>
      </w:pPr>
      <w:r w:rsidRPr="00022E11">
        <w:rPr>
          <w:rStyle w:val="FootnoteReference"/>
          <w:sz w:val="26"/>
          <w:szCs w:val="26"/>
        </w:rPr>
        <w:footnoteRef/>
      </w:r>
      <w:r w:rsidRPr="00022E11">
        <w:rPr>
          <w:sz w:val="26"/>
          <w:szCs w:val="26"/>
        </w:rPr>
        <w:t xml:space="preserve"> </w:t>
      </w:r>
      <w:r w:rsidRPr="00022E11">
        <w:rPr>
          <w:sz w:val="26"/>
          <w:szCs w:val="26"/>
        </w:rPr>
        <w:tab/>
        <w:t>We note the difference of $1,961,635 in the requested increase from $100,437,329 on page 1 to $102,398,964 on page 4 of Columbia’s Exhibit 103, Schedule</w:t>
      </w:r>
      <w:r w:rsidR="001A2194">
        <w:rPr>
          <w:sz w:val="26"/>
          <w:szCs w:val="26"/>
        </w:rPr>
        <w:t> </w:t>
      </w:r>
      <w:r w:rsidRPr="00022E11">
        <w:rPr>
          <w:sz w:val="26"/>
          <w:szCs w:val="26"/>
        </w:rPr>
        <w:t>8 is due to the exclusion of the revenue associated with the proposed change in Other Gas Department Revenue (Late Payment Fees) and the proposed change in Gas Procurement Revenue.  Additionally, the Company’s allocation of its $509,351,454 proposed revenue appears to include an increase in revenue from the Rider USP in order to reflect the revenue shortfall from CAP customers resulting from proposed rates.</w:t>
      </w:r>
    </w:p>
  </w:footnote>
  <w:footnote w:id="92">
    <w:p w14:paraId="56EF6530" w14:textId="77777777" w:rsidR="009160F2" w:rsidRPr="00022E11" w:rsidRDefault="009160F2" w:rsidP="00022E11">
      <w:pPr>
        <w:pStyle w:val="FootnoteText"/>
        <w:keepNext/>
        <w:keepLines/>
        <w:spacing w:line="240" w:lineRule="auto"/>
        <w:contextualSpacing/>
        <w:jc w:val="left"/>
        <w:rPr>
          <w:sz w:val="26"/>
          <w:szCs w:val="26"/>
        </w:rPr>
      </w:pPr>
      <w:r w:rsidRPr="00022E11">
        <w:rPr>
          <w:rStyle w:val="FootnoteReference"/>
          <w:sz w:val="26"/>
          <w:szCs w:val="26"/>
        </w:rPr>
        <w:footnoteRef/>
      </w:r>
      <w:r w:rsidRPr="00022E11">
        <w:rPr>
          <w:sz w:val="26"/>
          <w:szCs w:val="26"/>
        </w:rPr>
        <w:t xml:space="preserve"> </w:t>
      </w:r>
      <w:r w:rsidRPr="00022E11">
        <w:rPr>
          <w:sz w:val="26"/>
          <w:szCs w:val="26"/>
        </w:rPr>
        <w:tab/>
        <w:t xml:space="preserve">CAUSE-PA did not take a position on revenue allocation, except on the allocation of universal service costs.  PSU simply supported Columbia’s proposed revenue allocation based on the Average ACCOSS, opposing the alternatives proposed by the OCA, the OSBA, I&amp;E, and CII.  PSU M.B. at 14.  CII did not offer a specific revenue allocation proposal but argued that the LDS/LGSS rate class should receive no more than the system average increase.  CII M.B. at 17.  </w:t>
      </w:r>
    </w:p>
  </w:footnote>
  <w:footnote w:id="93">
    <w:p w14:paraId="3909CF16" w14:textId="77777777" w:rsidR="009160F2" w:rsidRPr="00022E11" w:rsidRDefault="009160F2" w:rsidP="00AE79C0">
      <w:pPr>
        <w:pStyle w:val="FootnoteText"/>
        <w:keepNext/>
        <w:keepLines/>
        <w:spacing w:after="120" w:line="240" w:lineRule="auto"/>
        <w:jc w:val="left"/>
        <w:rPr>
          <w:sz w:val="26"/>
          <w:szCs w:val="26"/>
        </w:rPr>
      </w:pPr>
      <w:r w:rsidRPr="00022E11">
        <w:rPr>
          <w:rStyle w:val="FootnoteReference"/>
          <w:sz w:val="26"/>
          <w:szCs w:val="26"/>
        </w:rPr>
        <w:footnoteRef/>
      </w:r>
      <w:r w:rsidRPr="00022E11">
        <w:rPr>
          <w:sz w:val="26"/>
          <w:szCs w:val="26"/>
        </w:rPr>
        <w:t xml:space="preserve"> </w:t>
      </w:r>
      <w:r w:rsidRPr="00022E11">
        <w:rPr>
          <w:sz w:val="26"/>
          <w:szCs w:val="26"/>
        </w:rPr>
        <w:tab/>
        <w:t>We note the OCA’s recommended revenue allocation included a redistribution of the Company’s base rate revenues only, as shown on Columbia Exhibit No. 103, Schedule 8, page 1, line 37.</w:t>
      </w:r>
    </w:p>
  </w:footnote>
  <w:footnote w:id="94">
    <w:p w14:paraId="485A4101" w14:textId="77777777" w:rsidR="009160F2" w:rsidRPr="00022E11" w:rsidRDefault="009160F2" w:rsidP="001A2194">
      <w:pPr>
        <w:pStyle w:val="FootnoteText"/>
        <w:keepNext/>
        <w:keepLines/>
        <w:spacing w:line="240" w:lineRule="auto"/>
        <w:jc w:val="left"/>
        <w:rPr>
          <w:sz w:val="26"/>
          <w:szCs w:val="26"/>
        </w:rPr>
      </w:pPr>
      <w:r w:rsidRPr="00022E11">
        <w:rPr>
          <w:rStyle w:val="FootnoteReference"/>
          <w:sz w:val="26"/>
          <w:szCs w:val="26"/>
        </w:rPr>
        <w:footnoteRef/>
      </w:r>
      <w:r w:rsidRPr="00022E11">
        <w:rPr>
          <w:sz w:val="26"/>
          <w:szCs w:val="26"/>
        </w:rPr>
        <w:t xml:space="preserve"> </w:t>
      </w:r>
      <w:r w:rsidRPr="00022E11">
        <w:rPr>
          <w:sz w:val="26"/>
          <w:szCs w:val="26"/>
        </w:rPr>
        <w:tab/>
        <w:t xml:space="preserve">The OCA notes that its proportional scale back approach should only be used if the Commission decides to follow a traditional ratemaking approach based on its recommended revenue allocation.  OCA M.B. at 158-159.  </w:t>
      </w:r>
    </w:p>
  </w:footnote>
  <w:footnote w:id="95">
    <w:p w14:paraId="497C9E2D" w14:textId="77777777" w:rsidR="009160F2" w:rsidRPr="00022E11" w:rsidRDefault="009160F2" w:rsidP="00AE79C0">
      <w:pPr>
        <w:pStyle w:val="FootnoteText"/>
        <w:keepNext/>
        <w:keepLines/>
        <w:spacing w:after="120" w:line="240" w:lineRule="auto"/>
        <w:jc w:val="left"/>
        <w:rPr>
          <w:sz w:val="26"/>
          <w:szCs w:val="26"/>
        </w:rPr>
      </w:pPr>
      <w:r w:rsidRPr="00022E11">
        <w:rPr>
          <w:rStyle w:val="FootnoteReference"/>
          <w:sz w:val="26"/>
          <w:szCs w:val="26"/>
        </w:rPr>
        <w:footnoteRef/>
      </w:r>
      <w:r w:rsidRPr="00022E11">
        <w:rPr>
          <w:sz w:val="26"/>
          <w:szCs w:val="26"/>
        </w:rPr>
        <w:t xml:space="preserve"> </w:t>
      </w:r>
      <w:r w:rsidRPr="00022E11">
        <w:rPr>
          <w:sz w:val="26"/>
          <w:szCs w:val="26"/>
        </w:rPr>
        <w:tab/>
        <w:t xml:space="preserve">The OSBA witness Knecht indicated that his analysis included all costs and revenues except purchased gas costs, including cost and revenues related to base distribution rates, Rider USP, Rider CC, the GPC, and the MFC.  OSBA St. 1 at 23.  </w:t>
      </w:r>
    </w:p>
  </w:footnote>
  <w:footnote w:id="96">
    <w:p w14:paraId="4CCD03E1" w14:textId="652BA5FC" w:rsidR="009160F2" w:rsidRPr="00022E11" w:rsidRDefault="009160F2" w:rsidP="00627A65">
      <w:pPr>
        <w:pStyle w:val="FootnoteText"/>
        <w:keepNext/>
        <w:keepLines/>
        <w:spacing w:line="240" w:lineRule="auto"/>
        <w:jc w:val="left"/>
        <w:rPr>
          <w:sz w:val="26"/>
          <w:szCs w:val="26"/>
        </w:rPr>
      </w:pPr>
      <w:r w:rsidRPr="00022E11">
        <w:rPr>
          <w:rStyle w:val="FootnoteReference"/>
          <w:sz w:val="26"/>
          <w:szCs w:val="26"/>
        </w:rPr>
        <w:footnoteRef/>
      </w:r>
      <w:r w:rsidRPr="00022E11">
        <w:rPr>
          <w:sz w:val="26"/>
          <w:szCs w:val="26"/>
        </w:rPr>
        <w:t xml:space="preserve"> </w:t>
      </w:r>
      <w:r w:rsidRPr="00022E11">
        <w:rPr>
          <w:sz w:val="26"/>
          <w:szCs w:val="26"/>
        </w:rPr>
        <w:tab/>
        <w:t>The OSBA asserted that, according to its analysis, the SGSS2/SCD2/SGDS2 and SDS/LGSS classes should either be assigned a zero increase (under 50/50 weighting) or an increase less than half that offered by the Company (under</w:t>
      </w:r>
      <w:r w:rsidR="00627A65">
        <w:rPr>
          <w:sz w:val="26"/>
          <w:szCs w:val="26"/>
        </w:rPr>
        <w:t> </w:t>
      </w:r>
      <w:r w:rsidRPr="00022E11">
        <w:rPr>
          <w:sz w:val="26"/>
          <w:szCs w:val="26"/>
        </w:rPr>
        <w:t>75/25 weighting).</w:t>
      </w:r>
    </w:p>
  </w:footnote>
  <w:footnote w:id="97">
    <w:p w14:paraId="701ABF47" w14:textId="5EA6634C" w:rsidR="009160F2" w:rsidRPr="00022E11" w:rsidRDefault="009160F2" w:rsidP="00022E11">
      <w:pPr>
        <w:pStyle w:val="FootnoteText"/>
        <w:keepNext/>
        <w:keepLines/>
        <w:spacing w:line="240" w:lineRule="auto"/>
        <w:contextualSpacing/>
        <w:jc w:val="left"/>
        <w:rPr>
          <w:sz w:val="26"/>
          <w:szCs w:val="26"/>
        </w:rPr>
      </w:pPr>
      <w:r w:rsidRPr="00022E11">
        <w:rPr>
          <w:rStyle w:val="FootnoteReference"/>
          <w:sz w:val="26"/>
          <w:szCs w:val="26"/>
        </w:rPr>
        <w:footnoteRef/>
      </w:r>
      <w:r w:rsidRPr="00022E11">
        <w:rPr>
          <w:sz w:val="26"/>
          <w:szCs w:val="26"/>
        </w:rPr>
        <w:t xml:space="preserve"> </w:t>
      </w:r>
      <w:r w:rsidRPr="00022E11">
        <w:rPr>
          <w:sz w:val="26"/>
          <w:szCs w:val="26"/>
        </w:rPr>
        <w:tab/>
        <w:t>Columbia explained that it would defer the portion of the approved revenue increase not implemented in Phase 1 into a regulatory asset as an alternate revenue program and recover the regulatory asset over a 12-month period beginning January</w:t>
      </w:r>
      <w:r w:rsidR="00C87458">
        <w:rPr>
          <w:sz w:val="26"/>
          <w:szCs w:val="26"/>
        </w:rPr>
        <w:t> </w:t>
      </w:r>
      <w:r w:rsidRPr="00022E11">
        <w:rPr>
          <w:sz w:val="26"/>
          <w:szCs w:val="26"/>
        </w:rPr>
        <w:t>1,</w:t>
      </w:r>
      <w:r w:rsidR="00C87458">
        <w:rPr>
          <w:sz w:val="26"/>
          <w:szCs w:val="26"/>
        </w:rPr>
        <w:t> </w:t>
      </w:r>
      <w:r w:rsidRPr="00022E11">
        <w:rPr>
          <w:sz w:val="26"/>
          <w:szCs w:val="26"/>
        </w:rPr>
        <w:t>2022</w:t>
      </w:r>
      <w:r>
        <w:rPr>
          <w:sz w:val="26"/>
          <w:szCs w:val="26"/>
        </w:rPr>
        <w:t>,</w:t>
      </w:r>
      <w:r w:rsidRPr="00022E11">
        <w:rPr>
          <w:sz w:val="26"/>
          <w:szCs w:val="26"/>
        </w:rPr>
        <w:t xml:space="preserve"> and ending December 31, 2022.  No interest would be applied to the revenue deferred under the alternate revenue program.  The Company further explains that it would recover the deferred revenue captured in the regulatory asset through a fixed fee that will be temporarily added to the bill during the 12-month recovery period.  Columbia therefore requests recognition of the phase-in as an alternate recovery program pursuant to ASC 980, which allows current account recognition of a phase-in increase.  CG Exc. at 35-36.  </w:t>
      </w:r>
    </w:p>
  </w:footnote>
  <w:footnote w:id="98">
    <w:p w14:paraId="4D290040" w14:textId="53238280" w:rsidR="009160F2" w:rsidRPr="00022E11" w:rsidRDefault="009160F2" w:rsidP="00022E11">
      <w:pPr>
        <w:pStyle w:val="FootnoteText"/>
        <w:keepNext/>
        <w:keepLines/>
        <w:spacing w:line="240" w:lineRule="auto"/>
        <w:contextualSpacing/>
        <w:jc w:val="left"/>
        <w:rPr>
          <w:sz w:val="26"/>
          <w:szCs w:val="26"/>
        </w:rPr>
      </w:pPr>
      <w:r w:rsidRPr="00022E11">
        <w:rPr>
          <w:rStyle w:val="FootnoteReference"/>
          <w:sz w:val="26"/>
          <w:szCs w:val="26"/>
        </w:rPr>
        <w:footnoteRef/>
      </w:r>
      <w:r w:rsidRPr="00022E11">
        <w:rPr>
          <w:sz w:val="26"/>
          <w:szCs w:val="26"/>
        </w:rPr>
        <w:tab/>
      </w:r>
      <w:r w:rsidRPr="00022E11">
        <w:rPr>
          <w:i/>
          <w:iCs/>
          <w:sz w:val="26"/>
          <w:szCs w:val="26"/>
        </w:rPr>
        <w:t>See</w:t>
      </w:r>
      <w:r w:rsidRPr="00022E11">
        <w:rPr>
          <w:sz w:val="26"/>
          <w:szCs w:val="26"/>
        </w:rPr>
        <w:t xml:space="preserve"> </w:t>
      </w:r>
      <w:r w:rsidRPr="00022E11">
        <w:rPr>
          <w:rFonts w:eastAsiaTheme="minorHAnsi"/>
          <w:i/>
          <w:iCs/>
          <w:sz w:val="26"/>
          <w:szCs w:val="26"/>
        </w:rPr>
        <w:t>Pa. PUC v. PGW</w:t>
      </w:r>
      <w:r w:rsidRPr="00022E11">
        <w:rPr>
          <w:rFonts w:eastAsiaTheme="minorHAnsi"/>
          <w:sz w:val="26"/>
          <w:szCs w:val="26"/>
        </w:rPr>
        <w:t>, Docket No. R-2020-3017206 (Order entered November 19, 2020) at 70 (“Section 1308(d) and the related caselaw cited by I&amp;E and PGW clearly establishes that it is not within the Commission’s 1308(d) powers to mandate effective dates of rates beyond the end-of-suspension period.”).</w:t>
      </w:r>
    </w:p>
  </w:footnote>
  <w:footnote w:id="99">
    <w:p w14:paraId="38FB8206" w14:textId="7008006E" w:rsidR="009160F2" w:rsidRPr="00022E11" w:rsidRDefault="009160F2" w:rsidP="00022E11">
      <w:pPr>
        <w:keepNext/>
        <w:keepLines/>
        <w:widowControl/>
        <w:autoSpaceDE w:val="0"/>
        <w:autoSpaceDN w:val="0"/>
        <w:adjustRightInd w:val="0"/>
        <w:spacing w:after="120"/>
        <w:contextualSpacing/>
        <w:rPr>
          <w:sz w:val="26"/>
          <w:szCs w:val="26"/>
        </w:rPr>
      </w:pPr>
      <w:r w:rsidRPr="00022E11">
        <w:rPr>
          <w:sz w:val="26"/>
          <w:szCs w:val="26"/>
        </w:rPr>
        <w:tab/>
      </w:r>
      <w:r w:rsidRPr="00022E11">
        <w:rPr>
          <w:rStyle w:val="FootnoteReference"/>
          <w:sz w:val="26"/>
          <w:szCs w:val="26"/>
        </w:rPr>
        <w:footnoteRef/>
      </w:r>
      <w:r w:rsidRPr="00022E11">
        <w:rPr>
          <w:sz w:val="26"/>
          <w:szCs w:val="26"/>
        </w:rPr>
        <w:t xml:space="preserve"> </w:t>
      </w:r>
      <w:r w:rsidRPr="00022E11">
        <w:rPr>
          <w:sz w:val="26"/>
          <w:szCs w:val="26"/>
        </w:rPr>
        <w:tab/>
        <w:t>R.D. at 36.</w:t>
      </w:r>
      <w:r w:rsidR="00D155BD">
        <w:rPr>
          <w:sz w:val="26"/>
          <w:szCs w:val="26"/>
        </w:rPr>
        <w:t xml:space="preserve"> </w:t>
      </w:r>
      <w:r w:rsidRPr="00022E11">
        <w:rPr>
          <w:sz w:val="26"/>
          <w:szCs w:val="26"/>
        </w:rPr>
        <w:t xml:space="preserve"> “</w:t>
      </w:r>
      <w:r w:rsidRPr="00022E11">
        <w:rPr>
          <w:rFonts w:eastAsiaTheme="minorHAnsi"/>
          <w:sz w:val="26"/>
          <w:szCs w:val="26"/>
        </w:rPr>
        <w:t>If the Commission determines that Columbia’s phase-in alternative revenue program is an appropriate method to the R</w:t>
      </w:r>
      <w:r>
        <w:rPr>
          <w:rFonts w:eastAsiaTheme="minorHAnsi"/>
          <w:sz w:val="26"/>
          <w:szCs w:val="26"/>
        </w:rPr>
        <w:t xml:space="preserve">ecommended </w:t>
      </w:r>
      <w:r w:rsidRPr="00022E11">
        <w:rPr>
          <w:rFonts w:eastAsiaTheme="minorHAnsi"/>
          <w:sz w:val="26"/>
          <w:szCs w:val="26"/>
        </w:rPr>
        <w:t>D</w:t>
      </w:r>
      <w:r>
        <w:rPr>
          <w:rFonts w:eastAsiaTheme="minorHAnsi"/>
          <w:sz w:val="26"/>
          <w:szCs w:val="26"/>
        </w:rPr>
        <w:t>ecision</w:t>
      </w:r>
      <w:r w:rsidRPr="00022E11">
        <w:rPr>
          <w:rFonts w:eastAsiaTheme="minorHAnsi"/>
          <w:sz w:val="26"/>
          <w:szCs w:val="26"/>
        </w:rPr>
        <w:t>’s recommended revenue allocation, the Company will adjust these amounts in accordance with the total amount of the rate increase approved by the Commission for each customer class.”</w:t>
      </w:r>
    </w:p>
  </w:footnote>
  <w:footnote w:id="100">
    <w:p w14:paraId="1AE8E36D" w14:textId="31A263F5" w:rsidR="009160F2" w:rsidRPr="00022E11" w:rsidRDefault="009160F2" w:rsidP="006B7B7F">
      <w:pPr>
        <w:pStyle w:val="FootnoteText"/>
        <w:keepNext/>
        <w:keepLines/>
        <w:spacing w:line="240" w:lineRule="auto"/>
        <w:contextualSpacing/>
        <w:jc w:val="left"/>
        <w:rPr>
          <w:sz w:val="26"/>
          <w:szCs w:val="26"/>
        </w:rPr>
      </w:pPr>
      <w:r w:rsidRPr="00022E11">
        <w:rPr>
          <w:rStyle w:val="FootnoteReference"/>
          <w:sz w:val="26"/>
          <w:szCs w:val="26"/>
        </w:rPr>
        <w:footnoteRef/>
      </w:r>
      <w:r w:rsidRPr="00022E11">
        <w:rPr>
          <w:sz w:val="26"/>
          <w:szCs w:val="26"/>
        </w:rPr>
        <w:tab/>
        <w:t xml:space="preserve">The “Competitive Alternative Analysis” is conducted prior to or at the time the Flex rate agreements are entered.  As part of the settlement of Columbia’s rate case at Docket No. R-2018-2647577, Columbia agreed to provide updated competitive alternative analyses for six flex rate customers whose alternative supply had not been verified since 2008 and one flex rate customer whose alternative supply had not been verified since 2010.  </w:t>
      </w:r>
      <w:r w:rsidRPr="00022E11">
        <w:rPr>
          <w:i/>
          <w:iCs/>
          <w:sz w:val="26"/>
          <w:szCs w:val="26"/>
        </w:rPr>
        <w:t>See</w:t>
      </w:r>
      <w:r w:rsidRPr="00022E11">
        <w:rPr>
          <w:sz w:val="26"/>
          <w:szCs w:val="26"/>
        </w:rPr>
        <w:t xml:space="preserve"> </w:t>
      </w:r>
      <w:r w:rsidRPr="00022E11">
        <w:rPr>
          <w:i/>
          <w:iCs/>
          <w:sz w:val="26"/>
          <w:szCs w:val="26"/>
        </w:rPr>
        <w:t>Pennsylvania Public Utility Commission, et al. v. Columbia Gas of Pennsylvania, Inc.</w:t>
      </w:r>
      <w:r w:rsidRPr="00022E11">
        <w:rPr>
          <w:sz w:val="26"/>
          <w:szCs w:val="26"/>
        </w:rPr>
        <w:t xml:space="preserve">, Docket Nos. R-2018-2647577 </w:t>
      </w:r>
      <w:r w:rsidRPr="00022E11">
        <w:rPr>
          <w:i/>
          <w:iCs/>
          <w:sz w:val="26"/>
          <w:szCs w:val="26"/>
        </w:rPr>
        <w:t>et al.</w:t>
      </w:r>
      <w:r w:rsidRPr="00022E11">
        <w:rPr>
          <w:sz w:val="26"/>
          <w:szCs w:val="26"/>
        </w:rPr>
        <w:t xml:space="preserve"> (Order entered December</w:t>
      </w:r>
      <w:r w:rsidR="00457AFF">
        <w:rPr>
          <w:sz w:val="26"/>
          <w:szCs w:val="26"/>
        </w:rPr>
        <w:t> </w:t>
      </w:r>
      <w:r w:rsidRPr="00022E11">
        <w:rPr>
          <w:sz w:val="26"/>
          <w:szCs w:val="26"/>
        </w:rPr>
        <w:t>6,</w:t>
      </w:r>
      <w:r w:rsidR="00457AFF">
        <w:rPr>
          <w:sz w:val="26"/>
          <w:szCs w:val="26"/>
        </w:rPr>
        <w:t> </w:t>
      </w:r>
      <w:r w:rsidRPr="00022E11">
        <w:rPr>
          <w:sz w:val="26"/>
          <w:szCs w:val="26"/>
        </w:rPr>
        <w:t>2018) at 29.  “As a condition of settlement, Columbia agreed to make available for review, subject to an appropriate updated confidentiality agreement, competitive alternative analyses for the seven flex-rate customers identified in I&amp;E Statement No. 3, in its next base rate case, and justify the flex rate granted to each customer.</w:t>
      </w:r>
      <w:r>
        <w:rPr>
          <w:sz w:val="26"/>
          <w:szCs w:val="26"/>
        </w:rPr>
        <w:t>”</w:t>
      </w:r>
      <w:r w:rsidRPr="00022E11">
        <w:rPr>
          <w:sz w:val="26"/>
          <w:szCs w:val="26"/>
        </w:rPr>
        <w:t xml:space="preserve">  R.D. at 85, Joint Petition at ¶ 45.</w:t>
      </w:r>
    </w:p>
  </w:footnote>
  <w:footnote w:id="101">
    <w:p w14:paraId="736996EC" w14:textId="7E493FDE" w:rsidR="009160F2" w:rsidRPr="00022E11" w:rsidRDefault="009160F2" w:rsidP="00022E11">
      <w:pPr>
        <w:keepNext/>
        <w:keepLines/>
        <w:widowControl/>
        <w:autoSpaceDE w:val="0"/>
        <w:autoSpaceDN w:val="0"/>
        <w:adjustRightInd w:val="0"/>
        <w:spacing w:after="120"/>
        <w:contextualSpacing/>
        <w:rPr>
          <w:sz w:val="26"/>
          <w:szCs w:val="26"/>
        </w:rPr>
      </w:pPr>
      <w:r w:rsidRPr="00022E11">
        <w:rPr>
          <w:sz w:val="26"/>
          <w:szCs w:val="26"/>
        </w:rPr>
        <w:tab/>
      </w:r>
      <w:r w:rsidRPr="00022E11">
        <w:rPr>
          <w:sz w:val="26"/>
          <w:szCs w:val="26"/>
          <w:vertAlign w:val="superscript"/>
        </w:rPr>
        <w:footnoteRef/>
      </w:r>
      <w:r w:rsidRPr="00022E11">
        <w:rPr>
          <w:sz w:val="26"/>
          <w:szCs w:val="26"/>
        </w:rPr>
        <w:tab/>
        <w:t>I&amp;E St. 3 at 6.</w:t>
      </w:r>
    </w:p>
  </w:footnote>
  <w:footnote w:id="102">
    <w:p w14:paraId="32B66D47" w14:textId="587C69DD" w:rsidR="009160F2" w:rsidRPr="009B4A99" w:rsidRDefault="009160F2" w:rsidP="009B4A99">
      <w:pPr>
        <w:pStyle w:val="FootnoteText"/>
        <w:keepNext/>
        <w:keepLines/>
        <w:spacing w:line="240" w:lineRule="auto"/>
        <w:contextualSpacing/>
        <w:jc w:val="left"/>
        <w:rPr>
          <w:i/>
          <w:sz w:val="26"/>
        </w:rPr>
      </w:pPr>
      <w:r w:rsidRPr="009B4A99">
        <w:rPr>
          <w:rStyle w:val="FootnoteReference"/>
          <w:iCs/>
          <w:sz w:val="26"/>
        </w:rPr>
        <w:footnoteRef/>
      </w:r>
      <w:r w:rsidRPr="009B4A99">
        <w:rPr>
          <w:iCs/>
          <w:sz w:val="26"/>
        </w:rPr>
        <w:t xml:space="preserve"> </w:t>
      </w:r>
      <w:r w:rsidRPr="009B4A99">
        <w:rPr>
          <w:iCs/>
          <w:sz w:val="26"/>
        </w:rPr>
        <w:tab/>
      </w:r>
      <w:r w:rsidRPr="009B4A99">
        <w:rPr>
          <w:i/>
          <w:iCs/>
          <w:sz w:val="26"/>
          <w:szCs w:val="26"/>
        </w:rPr>
        <w:t>Energy Affordability for Low-Income Customers</w:t>
      </w:r>
      <w:r w:rsidRPr="009B4A99">
        <w:rPr>
          <w:iCs/>
          <w:sz w:val="26"/>
        </w:rPr>
        <w:t>,</w:t>
      </w:r>
      <w:r w:rsidRPr="009B4A99">
        <w:rPr>
          <w:i/>
          <w:sz w:val="26"/>
        </w:rPr>
        <w:t xml:space="preserve"> </w:t>
      </w:r>
      <w:r w:rsidRPr="009B4A99">
        <w:rPr>
          <w:iCs/>
          <w:sz w:val="26"/>
        </w:rPr>
        <w:t>Docket No. M</w:t>
      </w:r>
      <w:r w:rsidR="009B4A99" w:rsidRPr="009B4A99">
        <w:rPr>
          <w:iCs/>
          <w:sz w:val="26"/>
        </w:rPr>
        <w:noBreakHyphen/>
      </w:r>
      <w:r w:rsidRPr="009B4A99">
        <w:rPr>
          <w:iCs/>
          <w:sz w:val="26"/>
        </w:rPr>
        <w:t>2017</w:t>
      </w:r>
      <w:r w:rsidR="009B4A99">
        <w:rPr>
          <w:iCs/>
          <w:sz w:val="26"/>
        </w:rPr>
        <w:noBreakHyphen/>
      </w:r>
      <w:r w:rsidRPr="009B4A99">
        <w:rPr>
          <w:iCs/>
          <w:sz w:val="26"/>
        </w:rPr>
        <w:t>2587711</w:t>
      </w:r>
      <w:r w:rsidRPr="009B4A99">
        <w:rPr>
          <w:i/>
          <w:sz w:val="26"/>
        </w:rPr>
        <w:t xml:space="preserve">; </w:t>
      </w:r>
      <w:r w:rsidRPr="009B4A99">
        <w:rPr>
          <w:i/>
          <w:iCs/>
          <w:sz w:val="26"/>
          <w:szCs w:val="26"/>
        </w:rPr>
        <w:t>Review of</w:t>
      </w:r>
      <w:r w:rsidRPr="009B4A99">
        <w:rPr>
          <w:i/>
          <w:sz w:val="26"/>
        </w:rPr>
        <w:t xml:space="preserve"> Uni</w:t>
      </w:r>
      <w:r w:rsidRPr="009B4A99">
        <w:rPr>
          <w:i/>
          <w:iCs/>
          <w:sz w:val="26"/>
          <w:szCs w:val="26"/>
        </w:rPr>
        <w:t>versal Service and Energy Conservation Programs</w:t>
      </w:r>
      <w:r w:rsidRPr="009B4A99">
        <w:rPr>
          <w:iCs/>
          <w:sz w:val="26"/>
        </w:rPr>
        <w:t>,</w:t>
      </w:r>
      <w:r w:rsidRPr="009B4A99">
        <w:rPr>
          <w:i/>
          <w:sz w:val="26"/>
        </w:rPr>
        <w:t xml:space="preserve"> </w:t>
      </w:r>
      <w:r w:rsidRPr="009B4A99">
        <w:rPr>
          <w:iCs/>
          <w:sz w:val="26"/>
        </w:rPr>
        <w:t>Docket No. M­2017­2596907</w:t>
      </w:r>
      <w:r w:rsidRPr="009B4A99">
        <w:rPr>
          <w:i/>
          <w:sz w:val="26"/>
        </w:rPr>
        <w:t xml:space="preserve">.  </w:t>
      </w:r>
    </w:p>
  </w:footnote>
  <w:footnote w:id="103">
    <w:p w14:paraId="0F99108A" w14:textId="77777777" w:rsidR="009160F2" w:rsidRPr="00022E11" w:rsidRDefault="009160F2" w:rsidP="00022E11">
      <w:pPr>
        <w:pStyle w:val="FootnoteText"/>
        <w:keepNext/>
        <w:keepLines/>
        <w:spacing w:line="240" w:lineRule="auto"/>
        <w:jc w:val="left"/>
        <w:rPr>
          <w:sz w:val="26"/>
          <w:szCs w:val="26"/>
        </w:rPr>
      </w:pPr>
      <w:r w:rsidRPr="00022E11">
        <w:rPr>
          <w:rStyle w:val="FootnoteReference"/>
          <w:sz w:val="26"/>
          <w:szCs w:val="26"/>
        </w:rPr>
        <w:footnoteRef/>
      </w:r>
      <w:r w:rsidRPr="00022E11">
        <w:rPr>
          <w:sz w:val="26"/>
          <w:szCs w:val="26"/>
        </w:rPr>
        <w:t xml:space="preserve"> </w:t>
      </w:r>
      <w:r w:rsidRPr="00022E11">
        <w:rPr>
          <w:sz w:val="26"/>
          <w:szCs w:val="26"/>
        </w:rPr>
        <w:tab/>
        <w:t>We have considered each of the ALJ’s alternative recommendations on the elements of Columbia’s base rate request and have reached conclusions herein regarding those alternative recommendations.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3F2AA2FA"/>
    <w:lvl w:ilvl="0">
      <w:start w:val="1"/>
      <w:numFmt w:val="decimal"/>
      <w:pStyle w:val="ListNumber"/>
      <w:lvlText w:val="%1."/>
      <w:lvlJc w:val="left"/>
      <w:pPr>
        <w:tabs>
          <w:tab w:val="num" w:pos="720"/>
        </w:tabs>
        <w:ind w:left="0" w:firstLine="720"/>
      </w:pPr>
      <w:rPr>
        <w:rFonts w:hint="default"/>
      </w:rPr>
    </w:lvl>
  </w:abstractNum>
  <w:abstractNum w:abstractNumId="1" w15:restartNumberingAfterBreak="0">
    <w:nsid w:val="017B6A11"/>
    <w:multiLevelType w:val="hybridMultilevel"/>
    <w:tmpl w:val="252C6094"/>
    <w:lvl w:ilvl="0" w:tplc="A308ED1C">
      <w:start w:val="1"/>
      <w:numFmt w:val="decimal"/>
      <w:lvlText w:val="%1."/>
      <w:lvlJc w:val="left"/>
      <w:pPr>
        <w:ind w:left="1080" w:hanging="360"/>
      </w:pPr>
      <w:rPr>
        <w:rFonts w:hint="default"/>
        <w:b/>
        <w:bCs w:val="0"/>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 w15:restartNumberingAfterBreak="0">
    <w:nsid w:val="044A45C2"/>
    <w:multiLevelType w:val="hybridMultilevel"/>
    <w:tmpl w:val="252C6094"/>
    <w:lvl w:ilvl="0" w:tplc="A308ED1C">
      <w:start w:val="1"/>
      <w:numFmt w:val="decimal"/>
      <w:lvlText w:val="%1."/>
      <w:lvlJc w:val="left"/>
      <w:pPr>
        <w:ind w:left="1080" w:hanging="360"/>
      </w:pPr>
      <w:rPr>
        <w:rFonts w:hint="default"/>
        <w:b/>
        <w:bCs w:val="0"/>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 w15:restartNumberingAfterBreak="0">
    <w:nsid w:val="064129B2"/>
    <w:multiLevelType w:val="hybridMultilevel"/>
    <w:tmpl w:val="252C6094"/>
    <w:lvl w:ilvl="0" w:tplc="A308ED1C">
      <w:start w:val="1"/>
      <w:numFmt w:val="decimal"/>
      <w:lvlText w:val="%1."/>
      <w:lvlJc w:val="left"/>
      <w:pPr>
        <w:ind w:left="1080" w:hanging="360"/>
      </w:pPr>
      <w:rPr>
        <w:rFonts w:hint="default"/>
        <w:b/>
        <w:bCs w:val="0"/>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 w15:restartNumberingAfterBreak="0">
    <w:nsid w:val="08375D5F"/>
    <w:multiLevelType w:val="hybridMultilevel"/>
    <w:tmpl w:val="252C6094"/>
    <w:lvl w:ilvl="0" w:tplc="A308ED1C">
      <w:start w:val="1"/>
      <w:numFmt w:val="decimal"/>
      <w:lvlText w:val="%1."/>
      <w:lvlJc w:val="left"/>
      <w:pPr>
        <w:ind w:left="1080" w:hanging="360"/>
      </w:pPr>
      <w:rPr>
        <w:rFonts w:hint="default"/>
        <w:b/>
        <w:bCs w:val="0"/>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5" w15:restartNumberingAfterBreak="0">
    <w:nsid w:val="0B821AB6"/>
    <w:multiLevelType w:val="hybridMultilevel"/>
    <w:tmpl w:val="EC3EAA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8F5F9E"/>
    <w:multiLevelType w:val="hybridMultilevel"/>
    <w:tmpl w:val="252C6094"/>
    <w:lvl w:ilvl="0" w:tplc="A308ED1C">
      <w:start w:val="1"/>
      <w:numFmt w:val="decimal"/>
      <w:lvlText w:val="%1."/>
      <w:lvlJc w:val="left"/>
      <w:pPr>
        <w:ind w:left="1080" w:hanging="360"/>
      </w:pPr>
      <w:rPr>
        <w:rFonts w:hint="default"/>
        <w:b/>
        <w:bCs w:val="0"/>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7" w15:restartNumberingAfterBreak="0">
    <w:nsid w:val="0F4861E0"/>
    <w:multiLevelType w:val="hybridMultilevel"/>
    <w:tmpl w:val="C17C4DAC"/>
    <w:lvl w:ilvl="0" w:tplc="04090015">
      <w:start w:val="1"/>
      <w:numFmt w:val="upperLetter"/>
      <w:lvlText w:val="%1."/>
      <w:lvlJc w:val="lef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0C9128E"/>
    <w:multiLevelType w:val="hybridMultilevel"/>
    <w:tmpl w:val="252C6094"/>
    <w:lvl w:ilvl="0" w:tplc="A308ED1C">
      <w:start w:val="1"/>
      <w:numFmt w:val="decimal"/>
      <w:lvlText w:val="%1."/>
      <w:lvlJc w:val="left"/>
      <w:pPr>
        <w:ind w:left="1080" w:hanging="360"/>
      </w:pPr>
      <w:rPr>
        <w:rFonts w:hint="default"/>
        <w:b/>
        <w:bCs w:val="0"/>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9" w15:restartNumberingAfterBreak="0">
    <w:nsid w:val="12EF7D7D"/>
    <w:multiLevelType w:val="multilevel"/>
    <w:tmpl w:val="CBB2FD42"/>
    <w:lvl w:ilvl="0">
      <w:start w:val="1"/>
      <w:numFmt w:val="bullet"/>
      <w:pStyle w:val="ListBullet"/>
      <w:lvlText w:val=""/>
      <w:lvlJc w:val="left"/>
      <w:pPr>
        <w:tabs>
          <w:tab w:val="num" w:pos="1080"/>
        </w:tabs>
        <w:ind w:left="1080" w:hanging="360"/>
      </w:pPr>
      <w:rPr>
        <w:rFonts w:ascii="Symbol" w:hAnsi="Symbol" w:hint="default"/>
      </w:rPr>
    </w:lvl>
    <w:lvl w:ilvl="1">
      <w:start w:val="1"/>
      <w:numFmt w:val="bullet"/>
      <w:pStyle w:val="ListBullet2"/>
      <w:lvlText w:val=""/>
      <w:lvlJc w:val="left"/>
      <w:pPr>
        <w:tabs>
          <w:tab w:val="num" w:pos="1080"/>
        </w:tabs>
        <w:ind w:left="1080" w:hanging="360"/>
      </w:pPr>
      <w:rPr>
        <w:rFonts w:ascii="Symbol" w:hAnsi="Symbol" w:hint="default"/>
      </w:rPr>
    </w:lvl>
    <w:lvl w:ilvl="2">
      <w:start w:val="1"/>
      <w:numFmt w:val="bullet"/>
      <w:pStyle w:val="ListBullet3"/>
      <w:lvlText w:val=""/>
      <w:lvlJc w:val="left"/>
      <w:pPr>
        <w:tabs>
          <w:tab w:val="num" w:pos="1080"/>
        </w:tabs>
        <w:ind w:left="1080" w:hanging="360"/>
      </w:pPr>
      <w:rPr>
        <w:rFonts w:ascii="Symbol" w:hAnsi="Symbol" w:hint="default"/>
      </w:rPr>
    </w:lvl>
    <w:lvl w:ilvl="3">
      <w:start w:val="1"/>
      <w:numFmt w:val="bullet"/>
      <w:pStyle w:val="ListBullet4"/>
      <w:lvlText w:val=""/>
      <w:lvlJc w:val="left"/>
      <w:pPr>
        <w:tabs>
          <w:tab w:val="num" w:pos="1080"/>
        </w:tabs>
        <w:ind w:left="1080" w:hanging="360"/>
      </w:pPr>
      <w:rPr>
        <w:rFonts w:ascii="Symbol" w:hAnsi="Symbol" w:hint="default"/>
      </w:rPr>
    </w:lvl>
    <w:lvl w:ilvl="4">
      <w:start w:val="1"/>
      <w:numFmt w:val="bullet"/>
      <w:pStyle w:val="ListBullet5"/>
      <w:lvlText w:val=""/>
      <w:lvlJc w:val="left"/>
      <w:pPr>
        <w:tabs>
          <w:tab w:val="num" w:pos="1080"/>
        </w:tabs>
        <w:ind w:left="1080" w:hanging="360"/>
      </w:pPr>
      <w:rPr>
        <w:rFonts w:ascii="Symbol" w:hAnsi="Symbol" w:hint="default"/>
      </w:rPr>
    </w:lvl>
    <w:lvl w:ilvl="5">
      <w:start w:val="1"/>
      <w:numFmt w:val="none"/>
      <w:lvlText w:val=""/>
      <w:lvlJc w:val="left"/>
      <w:pPr>
        <w:tabs>
          <w:tab w:val="num" w:pos="1080"/>
        </w:tabs>
        <w:ind w:left="1080" w:hanging="360"/>
      </w:pPr>
      <w:rPr>
        <w:rFonts w:hint="default"/>
      </w:rPr>
    </w:lvl>
    <w:lvl w:ilvl="6">
      <w:start w:val="1"/>
      <w:numFmt w:val="none"/>
      <w:lvlText w:val="%7"/>
      <w:lvlJc w:val="left"/>
      <w:pPr>
        <w:tabs>
          <w:tab w:val="num" w:pos="1080"/>
        </w:tabs>
        <w:ind w:left="1080" w:hanging="360"/>
      </w:pPr>
      <w:rPr>
        <w:rFonts w:hint="default"/>
      </w:rPr>
    </w:lvl>
    <w:lvl w:ilvl="7">
      <w:start w:val="1"/>
      <w:numFmt w:val="none"/>
      <w:lvlText w:val="%8"/>
      <w:lvlJc w:val="left"/>
      <w:pPr>
        <w:tabs>
          <w:tab w:val="num" w:pos="1080"/>
        </w:tabs>
        <w:ind w:left="1080" w:hanging="360"/>
      </w:pPr>
      <w:rPr>
        <w:rFonts w:hint="default"/>
      </w:rPr>
    </w:lvl>
    <w:lvl w:ilvl="8">
      <w:start w:val="1"/>
      <w:numFmt w:val="none"/>
      <w:lvlText w:val="%9"/>
      <w:lvlJc w:val="left"/>
      <w:pPr>
        <w:tabs>
          <w:tab w:val="num" w:pos="1080"/>
        </w:tabs>
        <w:ind w:left="1080" w:hanging="360"/>
      </w:pPr>
      <w:rPr>
        <w:rFonts w:hint="default"/>
      </w:rPr>
    </w:lvl>
  </w:abstractNum>
  <w:abstractNum w:abstractNumId="10" w15:restartNumberingAfterBreak="0">
    <w:nsid w:val="152E3863"/>
    <w:multiLevelType w:val="hybridMultilevel"/>
    <w:tmpl w:val="DE087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E222B8"/>
    <w:multiLevelType w:val="hybridMultilevel"/>
    <w:tmpl w:val="C8ECA800"/>
    <w:lvl w:ilvl="0" w:tplc="3BB6242A">
      <w:start w:val="1"/>
      <w:numFmt w:val="lowerLetter"/>
      <w:lvlText w:val="%1."/>
      <w:lvlJc w:val="left"/>
      <w:pPr>
        <w:ind w:left="1800" w:hanging="360"/>
      </w:pPr>
      <w:rPr>
        <w:rFonts w:hint="default"/>
        <w:b/>
        <w:bCs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19952246"/>
    <w:multiLevelType w:val="multilevel"/>
    <w:tmpl w:val="37EA6216"/>
    <w:name w:val=" Numbered List3"/>
    <w:lvl w:ilvl="0">
      <w:start w:val="1"/>
      <w:numFmt w:val="upperRoman"/>
      <w:lvlText w:val="%1."/>
      <w:lvlJc w:val="left"/>
      <w:pPr>
        <w:tabs>
          <w:tab w:val="num" w:pos="720"/>
        </w:tabs>
        <w:ind w:left="720" w:hanging="720"/>
      </w:pPr>
      <w:rPr>
        <w:caps w:val="0"/>
        <w:color w:val="010000"/>
        <w:u w:val="none"/>
      </w:rPr>
    </w:lvl>
    <w:lvl w:ilvl="1">
      <w:start w:val="1"/>
      <w:numFmt w:val="upperLetter"/>
      <w:lvlText w:val="%2."/>
      <w:lvlJc w:val="left"/>
      <w:pPr>
        <w:tabs>
          <w:tab w:val="num" w:pos="1350"/>
        </w:tabs>
        <w:ind w:left="1350" w:hanging="720"/>
      </w:pPr>
      <w:rPr>
        <w:caps w:val="0"/>
        <w:color w:val="010000"/>
        <w:u w:val="none"/>
      </w:rPr>
    </w:lvl>
    <w:lvl w:ilvl="2">
      <w:start w:val="1"/>
      <w:numFmt w:val="decimal"/>
      <w:lvlText w:val="%3."/>
      <w:lvlJc w:val="left"/>
      <w:pPr>
        <w:tabs>
          <w:tab w:val="num" w:pos="2160"/>
        </w:tabs>
        <w:ind w:left="2160" w:hanging="720"/>
      </w:pPr>
      <w:rPr>
        <w:caps w:val="0"/>
        <w:color w:val="010000"/>
        <w:u w:val="none"/>
      </w:rPr>
    </w:lvl>
    <w:lvl w:ilvl="3">
      <w:start w:val="1"/>
      <w:numFmt w:val="lowerLetter"/>
      <w:lvlText w:val="%4."/>
      <w:lvlJc w:val="left"/>
      <w:pPr>
        <w:tabs>
          <w:tab w:val="num" w:pos="2880"/>
        </w:tabs>
        <w:ind w:left="2880" w:hanging="720"/>
      </w:pPr>
      <w:rPr>
        <w:caps w:val="0"/>
        <w:color w:val="010000"/>
        <w:u w:val="none"/>
      </w:rPr>
    </w:lvl>
    <w:lvl w:ilvl="4">
      <w:start w:val="1"/>
      <w:numFmt w:val="lowerRoman"/>
      <w:lvlText w:val="%5."/>
      <w:lvlJc w:val="left"/>
      <w:pPr>
        <w:tabs>
          <w:tab w:val="num" w:pos="3600"/>
        </w:tabs>
        <w:ind w:left="3600" w:hanging="720"/>
      </w:pPr>
      <w:rPr>
        <w:caps w:val="0"/>
        <w:color w:val="010000"/>
        <w:u w:val="none"/>
      </w:rPr>
    </w:lvl>
    <w:lvl w:ilvl="5">
      <w:start w:val="1"/>
      <w:numFmt w:val="upperLetter"/>
      <w:lvlText w:val="(%6)"/>
      <w:lvlJc w:val="left"/>
      <w:pPr>
        <w:tabs>
          <w:tab w:val="num" w:pos="4320"/>
        </w:tabs>
        <w:ind w:left="4320" w:hanging="720"/>
      </w:pPr>
      <w:rPr>
        <w:caps w:val="0"/>
        <w:color w:val="010000"/>
        <w:u w:val="none"/>
      </w:rPr>
    </w:lvl>
    <w:lvl w:ilvl="6">
      <w:start w:val="1"/>
      <w:numFmt w:val="decimal"/>
      <w:lvlText w:val="(%7)"/>
      <w:lvlJc w:val="left"/>
      <w:pPr>
        <w:tabs>
          <w:tab w:val="num" w:pos="5040"/>
        </w:tabs>
        <w:ind w:left="5040" w:hanging="720"/>
      </w:pPr>
      <w:rPr>
        <w:caps w:val="0"/>
        <w:color w:val="010000"/>
        <w:u w:val="none"/>
      </w:rPr>
    </w:lvl>
    <w:lvl w:ilvl="7">
      <w:start w:val="1"/>
      <w:numFmt w:val="lowerLetter"/>
      <w:lvlText w:val="(%8)"/>
      <w:lvlJc w:val="left"/>
      <w:pPr>
        <w:tabs>
          <w:tab w:val="num" w:pos="5760"/>
        </w:tabs>
        <w:ind w:left="5760" w:hanging="720"/>
      </w:pPr>
      <w:rPr>
        <w:caps w:val="0"/>
        <w:color w:val="010000"/>
        <w:u w:val="none"/>
      </w:rPr>
    </w:lvl>
    <w:lvl w:ilvl="8">
      <w:start w:val="1"/>
      <w:numFmt w:val="lowerRoman"/>
      <w:lvlText w:val="(%9)"/>
      <w:lvlJc w:val="left"/>
      <w:pPr>
        <w:tabs>
          <w:tab w:val="num" w:pos="6480"/>
        </w:tabs>
        <w:ind w:left="6480" w:hanging="720"/>
      </w:pPr>
      <w:rPr>
        <w:caps w:val="0"/>
        <w:color w:val="010000"/>
        <w:u w:val="none"/>
      </w:rPr>
    </w:lvl>
  </w:abstractNum>
  <w:abstractNum w:abstractNumId="13" w15:restartNumberingAfterBreak="0">
    <w:nsid w:val="1DC542A6"/>
    <w:multiLevelType w:val="hybridMultilevel"/>
    <w:tmpl w:val="19C06326"/>
    <w:lvl w:ilvl="0" w:tplc="DB2260F6">
      <w:start w:val="1"/>
      <w:numFmt w:val="upperLetter"/>
      <w:lvlText w:val="%1."/>
      <w:lvlJc w:val="left"/>
      <w:pPr>
        <w:ind w:left="720" w:hanging="360"/>
      </w:pPr>
      <w:rPr>
        <w:rFonts w:eastAsiaTheme="maj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5621C4"/>
    <w:multiLevelType w:val="hybridMultilevel"/>
    <w:tmpl w:val="252C6094"/>
    <w:lvl w:ilvl="0" w:tplc="A308ED1C">
      <w:start w:val="1"/>
      <w:numFmt w:val="decimal"/>
      <w:lvlText w:val="%1."/>
      <w:lvlJc w:val="left"/>
      <w:pPr>
        <w:ind w:left="1080" w:hanging="360"/>
      </w:pPr>
      <w:rPr>
        <w:rFonts w:hint="default"/>
        <w:b/>
        <w:bCs w:val="0"/>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5" w15:restartNumberingAfterBreak="0">
    <w:nsid w:val="215E5CE5"/>
    <w:multiLevelType w:val="hybridMultilevel"/>
    <w:tmpl w:val="0EA631E6"/>
    <w:lvl w:ilvl="0" w:tplc="34D67F86">
      <w:start w:val="1"/>
      <w:numFmt w:val="decimal"/>
      <w:lvlText w:val="%1."/>
      <w:lvlJc w:val="left"/>
      <w:pPr>
        <w:ind w:left="1440" w:hanging="360"/>
      </w:pPr>
    </w:lvl>
    <w:lvl w:ilvl="1" w:tplc="99DE3E90" w:tentative="1">
      <w:start w:val="1"/>
      <w:numFmt w:val="lowerLetter"/>
      <w:lvlText w:val="%2."/>
      <w:lvlJc w:val="left"/>
      <w:pPr>
        <w:ind w:left="2160" w:hanging="360"/>
      </w:pPr>
    </w:lvl>
    <w:lvl w:ilvl="2" w:tplc="9E84DC42" w:tentative="1">
      <w:start w:val="1"/>
      <w:numFmt w:val="lowerRoman"/>
      <w:lvlText w:val="%3."/>
      <w:lvlJc w:val="right"/>
      <w:pPr>
        <w:ind w:left="2880" w:hanging="180"/>
      </w:pPr>
    </w:lvl>
    <w:lvl w:ilvl="3" w:tplc="5D0AD478" w:tentative="1">
      <w:start w:val="1"/>
      <w:numFmt w:val="decimal"/>
      <w:lvlText w:val="%4."/>
      <w:lvlJc w:val="left"/>
      <w:pPr>
        <w:ind w:left="3600" w:hanging="360"/>
      </w:pPr>
    </w:lvl>
    <w:lvl w:ilvl="4" w:tplc="9F9A790A" w:tentative="1">
      <w:start w:val="1"/>
      <w:numFmt w:val="lowerLetter"/>
      <w:lvlText w:val="%5."/>
      <w:lvlJc w:val="left"/>
      <w:pPr>
        <w:ind w:left="4320" w:hanging="360"/>
      </w:pPr>
    </w:lvl>
    <w:lvl w:ilvl="5" w:tplc="1B32B51A" w:tentative="1">
      <w:start w:val="1"/>
      <w:numFmt w:val="lowerRoman"/>
      <w:lvlText w:val="%6."/>
      <w:lvlJc w:val="right"/>
      <w:pPr>
        <w:ind w:left="5040" w:hanging="180"/>
      </w:pPr>
    </w:lvl>
    <w:lvl w:ilvl="6" w:tplc="49082B40" w:tentative="1">
      <w:start w:val="1"/>
      <w:numFmt w:val="decimal"/>
      <w:lvlText w:val="%7."/>
      <w:lvlJc w:val="left"/>
      <w:pPr>
        <w:ind w:left="5760" w:hanging="360"/>
      </w:pPr>
    </w:lvl>
    <w:lvl w:ilvl="7" w:tplc="8E0AADC0" w:tentative="1">
      <w:start w:val="1"/>
      <w:numFmt w:val="lowerLetter"/>
      <w:lvlText w:val="%8."/>
      <w:lvlJc w:val="left"/>
      <w:pPr>
        <w:ind w:left="6480" w:hanging="360"/>
      </w:pPr>
    </w:lvl>
    <w:lvl w:ilvl="8" w:tplc="24B814DE" w:tentative="1">
      <w:start w:val="1"/>
      <w:numFmt w:val="lowerRoman"/>
      <w:lvlText w:val="%9."/>
      <w:lvlJc w:val="right"/>
      <w:pPr>
        <w:ind w:left="7200" w:hanging="180"/>
      </w:pPr>
    </w:lvl>
  </w:abstractNum>
  <w:abstractNum w:abstractNumId="16" w15:restartNumberingAfterBreak="0">
    <w:nsid w:val="2167194B"/>
    <w:multiLevelType w:val="hybridMultilevel"/>
    <w:tmpl w:val="84CC2EF6"/>
    <w:lvl w:ilvl="0" w:tplc="A308ED1C">
      <w:start w:val="1"/>
      <w:numFmt w:val="decimal"/>
      <w:lvlText w:val="%1."/>
      <w:lvlJc w:val="left"/>
      <w:pPr>
        <w:ind w:left="1080" w:hanging="360"/>
      </w:pPr>
      <w:rPr>
        <w:rFonts w:hint="default"/>
        <w:b/>
        <w:bCs w:val="0"/>
      </w:rPr>
    </w:lvl>
    <w:lvl w:ilvl="1" w:tplc="E7646BB6">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7" w15:restartNumberingAfterBreak="0">
    <w:nsid w:val="237E50BD"/>
    <w:multiLevelType w:val="hybridMultilevel"/>
    <w:tmpl w:val="252C6094"/>
    <w:lvl w:ilvl="0" w:tplc="A308ED1C">
      <w:start w:val="1"/>
      <w:numFmt w:val="decimal"/>
      <w:lvlText w:val="%1."/>
      <w:lvlJc w:val="left"/>
      <w:pPr>
        <w:ind w:left="1080" w:hanging="360"/>
      </w:pPr>
      <w:rPr>
        <w:rFonts w:hint="default"/>
        <w:b/>
        <w:bCs w:val="0"/>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8" w15:restartNumberingAfterBreak="0">
    <w:nsid w:val="2450563A"/>
    <w:multiLevelType w:val="hybridMultilevel"/>
    <w:tmpl w:val="63F2C6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57A76BC"/>
    <w:multiLevelType w:val="hybridMultilevel"/>
    <w:tmpl w:val="252C6094"/>
    <w:lvl w:ilvl="0" w:tplc="A308ED1C">
      <w:start w:val="1"/>
      <w:numFmt w:val="decimal"/>
      <w:lvlText w:val="%1."/>
      <w:lvlJc w:val="left"/>
      <w:pPr>
        <w:ind w:left="1080" w:hanging="360"/>
      </w:pPr>
      <w:rPr>
        <w:rFonts w:hint="default"/>
        <w:b/>
        <w:bCs w:val="0"/>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0" w15:restartNumberingAfterBreak="0">
    <w:nsid w:val="283E7B65"/>
    <w:multiLevelType w:val="hybridMultilevel"/>
    <w:tmpl w:val="252C6094"/>
    <w:lvl w:ilvl="0" w:tplc="A308ED1C">
      <w:start w:val="1"/>
      <w:numFmt w:val="decimal"/>
      <w:lvlText w:val="%1."/>
      <w:lvlJc w:val="left"/>
      <w:pPr>
        <w:ind w:left="1080" w:hanging="360"/>
      </w:pPr>
      <w:rPr>
        <w:rFonts w:hint="default"/>
        <w:b/>
        <w:bCs w:val="0"/>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1" w15:restartNumberingAfterBreak="0">
    <w:nsid w:val="2A536F71"/>
    <w:multiLevelType w:val="hybridMultilevel"/>
    <w:tmpl w:val="252C6094"/>
    <w:lvl w:ilvl="0" w:tplc="A308ED1C">
      <w:start w:val="1"/>
      <w:numFmt w:val="decimal"/>
      <w:lvlText w:val="%1."/>
      <w:lvlJc w:val="left"/>
      <w:pPr>
        <w:ind w:left="1080" w:hanging="360"/>
      </w:pPr>
      <w:rPr>
        <w:rFonts w:hint="default"/>
        <w:b/>
        <w:bCs w:val="0"/>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2" w15:restartNumberingAfterBreak="0">
    <w:nsid w:val="2CE05A06"/>
    <w:multiLevelType w:val="hybridMultilevel"/>
    <w:tmpl w:val="252C6094"/>
    <w:lvl w:ilvl="0" w:tplc="A308ED1C">
      <w:start w:val="1"/>
      <w:numFmt w:val="decimal"/>
      <w:lvlText w:val="%1."/>
      <w:lvlJc w:val="left"/>
      <w:pPr>
        <w:ind w:left="1080" w:hanging="360"/>
      </w:pPr>
      <w:rPr>
        <w:rFonts w:hint="default"/>
        <w:b/>
        <w:bCs w:val="0"/>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3" w15:restartNumberingAfterBreak="0">
    <w:nsid w:val="31DA34DA"/>
    <w:multiLevelType w:val="hybridMultilevel"/>
    <w:tmpl w:val="72E41F1A"/>
    <w:lvl w:ilvl="0" w:tplc="71BCC28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37F0243F"/>
    <w:multiLevelType w:val="hybridMultilevel"/>
    <w:tmpl w:val="C8ECA800"/>
    <w:lvl w:ilvl="0" w:tplc="3BB6242A">
      <w:start w:val="1"/>
      <w:numFmt w:val="lowerLetter"/>
      <w:lvlText w:val="%1."/>
      <w:lvlJc w:val="left"/>
      <w:pPr>
        <w:ind w:left="1800" w:hanging="360"/>
      </w:pPr>
      <w:rPr>
        <w:rFonts w:hint="default"/>
        <w:b/>
        <w:bCs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429B77A0"/>
    <w:multiLevelType w:val="hybridMultilevel"/>
    <w:tmpl w:val="8A58FD64"/>
    <w:lvl w:ilvl="0" w:tplc="B22267C4">
      <w:start w:val="1"/>
      <w:numFmt w:val="upperLetter"/>
      <w:lvlText w:val="%1."/>
      <w:lvlJc w:val="left"/>
      <w:pPr>
        <w:ind w:left="198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6" w15:restartNumberingAfterBreak="0">
    <w:nsid w:val="456B629B"/>
    <w:multiLevelType w:val="multilevel"/>
    <w:tmpl w:val="5C744DAA"/>
    <w:name w:val="zzmpPleading2||Pleading2|2|1|1|1|0|45||1|0|32||1|0|32||1|0|32||1|0|32||1|0|32||1|0|32||1|0|32||1|0|32||"/>
    <w:lvl w:ilvl="0">
      <w:start w:val="1"/>
      <w:numFmt w:val="upperRoman"/>
      <w:pStyle w:val="Pleading2L1"/>
      <w:lvlText w:val="%1."/>
      <w:lvlJc w:val="left"/>
      <w:pPr>
        <w:tabs>
          <w:tab w:val="num" w:pos="0"/>
        </w:tabs>
        <w:ind w:left="0" w:firstLine="0"/>
      </w:pPr>
      <w:rPr>
        <w:rFonts w:ascii="Times New Roman" w:hAnsi="Times New Roman"/>
        <w:b/>
        <w:i w:val="0"/>
        <w:caps w:val="0"/>
        <w:smallCaps w:val="0"/>
        <w:strike w:val="0"/>
        <w:dstrike w:val="0"/>
        <w:vanish w:val="0"/>
        <w:webHidden w:val="0"/>
        <w:color w:val="00000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Pleading2L2"/>
      <w:lvlText w:val="%2."/>
      <w:lvlJc w:val="left"/>
      <w:pPr>
        <w:tabs>
          <w:tab w:val="num" w:pos="2250"/>
        </w:tabs>
        <w:ind w:left="1530" w:hanging="720"/>
      </w:pPr>
      <w:rPr>
        <w:rFonts w:ascii="Times New Roman" w:hAnsi="Times New Roman"/>
        <w:b w:val="0"/>
        <w:i w:val="0"/>
        <w:caps w:val="0"/>
        <w:smallCaps w:val="0"/>
        <w:strike w:val="0"/>
        <w:dstrike w:val="0"/>
        <w:vanish w:val="0"/>
        <w:webHidden w:val="0"/>
        <w:color w:val="00000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pStyle w:val="Pleading2L3"/>
      <w:lvlText w:val="%3."/>
      <w:lvlJc w:val="left"/>
      <w:pPr>
        <w:tabs>
          <w:tab w:val="num" w:pos="2970"/>
        </w:tabs>
        <w:ind w:left="2250" w:hanging="720"/>
      </w:pPr>
      <w:rPr>
        <w:rFonts w:ascii="Times New Roman" w:hAnsi="Times New Roman"/>
        <w:b w:val="0"/>
        <w:i w:val="0"/>
        <w:caps w:val="0"/>
        <w:smallCaps w:val="0"/>
        <w:strike w:val="0"/>
        <w:dstrike w:val="0"/>
        <w:vanish w:val="0"/>
        <w:webHidden w:val="0"/>
        <w:color w:val="00000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Pleading2L4"/>
      <w:lvlText w:val="%4."/>
      <w:lvlJc w:val="left"/>
      <w:pPr>
        <w:tabs>
          <w:tab w:val="num" w:pos="3600"/>
        </w:tabs>
        <w:ind w:left="2880" w:hanging="720"/>
      </w:pPr>
      <w:rPr>
        <w:rFonts w:ascii="Times New Roman" w:hAnsi="Times New Roman"/>
        <w:b/>
        <w:bCs w:val="0"/>
        <w:i w:val="0"/>
        <w:caps w:val="0"/>
        <w:smallCaps w:val="0"/>
        <w:strike w:val="0"/>
        <w:dstrike w:val="0"/>
        <w:vanish w:val="0"/>
        <w:webHidden w:val="0"/>
        <w:color w:val="000000"/>
        <w:sz w:val="26"/>
        <w:szCs w:val="26"/>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Pleading2L5"/>
      <w:lvlText w:val="(%5)"/>
      <w:lvlJc w:val="left"/>
      <w:pPr>
        <w:tabs>
          <w:tab w:val="num" w:pos="2880"/>
        </w:tabs>
        <w:ind w:left="2880" w:hanging="720"/>
      </w:pPr>
      <w:rPr>
        <w:rFonts w:ascii="Times New Roman" w:hAnsi="Times New Roman"/>
        <w:caps w:val="0"/>
        <w:smallCaps w:val="0"/>
        <w:strike w:val="0"/>
        <w:dstrike w:val="0"/>
        <w:vanish w:val="0"/>
        <w:webHidden w:val="0"/>
        <w:color w:val="00000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pStyle w:val="Pleading2L6"/>
      <w:lvlText w:val="(%6)"/>
      <w:lvlJc w:val="left"/>
      <w:pPr>
        <w:tabs>
          <w:tab w:val="num" w:pos="3600"/>
        </w:tabs>
        <w:ind w:left="3600" w:hanging="720"/>
      </w:pPr>
      <w:rPr>
        <w:rFonts w:ascii="Times New Roman" w:hAnsi="Times New Roman"/>
        <w:b w:val="0"/>
        <w:i w:val="0"/>
        <w:caps w:val="0"/>
        <w:smallCaps w:val="0"/>
        <w:strike w:val="0"/>
        <w:dstrike w:val="0"/>
        <w:vanish w:val="0"/>
        <w:webHidden w:val="0"/>
        <w:color w:val="00000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lowerRoman"/>
      <w:pStyle w:val="Pleading2L7"/>
      <w:lvlText w:val="(%7)"/>
      <w:lvlJc w:val="left"/>
      <w:pPr>
        <w:tabs>
          <w:tab w:val="num" w:pos="4320"/>
        </w:tabs>
        <w:ind w:left="4320" w:hanging="720"/>
      </w:pPr>
      <w:rPr>
        <w:rFonts w:ascii="Times New Roman" w:hAnsi="Times New Roman"/>
        <w:b w:val="0"/>
        <w:i w:val="0"/>
        <w:caps w:val="0"/>
        <w:smallCaps w:val="0"/>
        <w:strike w:val="0"/>
        <w:dstrike w:val="0"/>
        <w:vanish w:val="0"/>
        <w:webHidden w:val="0"/>
        <w:color w:val="00000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pStyle w:val="Pleading2L8"/>
      <w:lvlText w:val="%8)"/>
      <w:lvlJc w:val="left"/>
      <w:pPr>
        <w:tabs>
          <w:tab w:val="num" w:pos="5040"/>
        </w:tabs>
        <w:ind w:left="5040" w:hanging="720"/>
      </w:pPr>
      <w:rPr>
        <w:rFonts w:ascii="Times New Roman" w:hAnsi="Times New Roman"/>
        <w:b w:val="0"/>
        <w:i w:val="0"/>
        <w:caps w:val="0"/>
        <w:smallCaps w:val="0"/>
        <w:strike w:val="0"/>
        <w:dstrike w:val="0"/>
        <w:vanish w:val="0"/>
        <w:webHidden w:val="0"/>
        <w:color w:val="00000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pStyle w:val="Pleading2L9"/>
      <w:lvlText w:val="%9)"/>
      <w:lvlJc w:val="left"/>
      <w:pPr>
        <w:tabs>
          <w:tab w:val="num" w:pos="5760"/>
        </w:tabs>
        <w:ind w:left="5760" w:hanging="720"/>
      </w:pPr>
      <w:rPr>
        <w:rFonts w:ascii="Times New Roman" w:hAnsi="Times New Roman"/>
        <w:b w:val="0"/>
        <w:i w:val="0"/>
        <w:caps w:val="0"/>
        <w:smallCaps w:val="0"/>
        <w:strike w:val="0"/>
        <w:dstrike w:val="0"/>
        <w:vanish w:val="0"/>
        <w:webHidden w:val="0"/>
        <w:color w:val="00000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4574405E"/>
    <w:multiLevelType w:val="hybridMultilevel"/>
    <w:tmpl w:val="B0F649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5A507F0"/>
    <w:multiLevelType w:val="hybridMultilevel"/>
    <w:tmpl w:val="252C6094"/>
    <w:lvl w:ilvl="0" w:tplc="A308ED1C">
      <w:start w:val="1"/>
      <w:numFmt w:val="decimal"/>
      <w:lvlText w:val="%1."/>
      <w:lvlJc w:val="left"/>
      <w:pPr>
        <w:ind w:left="1080" w:hanging="360"/>
      </w:pPr>
      <w:rPr>
        <w:rFonts w:hint="default"/>
        <w:b/>
        <w:bCs w:val="0"/>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9" w15:restartNumberingAfterBreak="0">
    <w:nsid w:val="476C40FC"/>
    <w:multiLevelType w:val="hybridMultilevel"/>
    <w:tmpl w:val="C486C516"/>
    <w:lvl w:ilvl="0" w:tplc="65BC3B70">
      <w:start w:val="1"/>
      <w:numFmt w:val="lowerRoman"/>
      <w:pStyle w:val="Heading5"/>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0" w15:restartNumberingAfterBreak="0">
    <w:nsid w:val="4A2A60EA"/>
    <w:multiLevelType w:val="hybridMultilevel"/>
    <w:tmpl w:val="252C6094"/>
    <w:lvl w:ilvl="0" w:tplc="A308ED1C">
      <w:start w:val="1"/>
      <w:numFmt w:val="decimal"/>
      <w:lvlText w:val="%1."/>
      <w:lvlJc w:val="left"/>
      <w:pPr>
        <w:ind w:left="1080" w:hanging="360"/>
      </w:pPr>
      <w:rPr>
        <w:rFonts w:hint="default"/>
        <w:b/>
        <w:bCs w:val="0"/>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1" w15:restartNumberingAfterBreak="0">
    <w:nsid w:val="4B6807F9"/>
    <w:multiLevelType w:val="hybridMultilevel"/>
    <w:tmpl w:val="4042B5B4"/>
    <w:lvl w:ilvl="0" w:tplc="C37E2BB4">
      <w:start w:val="1"/>
      <w:numFmt w:val="lowerLetter"/>
      <w:lvlText w:val="%1."/>
      <w:lvlJc w:val="left"/>
      <w:pPr>
        <w:ind w:left="198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2" w15:restartNumberingAfterBreak="0">
    <w:nsid w:val="4B6B03D4"/>
    <w:multiLevelType w:val="multilevel"/>
    <w:tmpl w:val="A5240054"/>
    <w:name w:val="zzmpOutline||Outline|2|3|1|1|2|41||1|4|0||1|4|0||1|4|1||1|4|0||1|4|9||1|4|0||1|4|0||1|4|0||"/>
    <w:lvl w:ilvl="0">
      <w:start w:val="1"/>
      <w:numFmt w:val="upperRoman"/>
      <w:pStyle w:val="OutlineL1"/>
      <w:lvlText w:val="%1."/>
      <w:lvlJc w:val="left"/>
      <w:pPr>
        <w:tabs>
          <w:tab w:val="num" w:pos="720"/>
        </w:tabs>
        <w:ind w:left="0" w:firstLine="0"/>
      </w:pPr>
      <w:rPr>
        <w:rFonts w:ascii="Times New Roman" w:hAnsi="Times New Roman" w:cs="Times New Roman" w:hint="default"/>
        <w:b/>
        <w:i w:val="0"/>
        <w:caps/>
        <w:smallCaps w:val="0"/>
        <w:strike w:val="0"/>
        <w:dstrike w:val="0"/>
        <w:sz w:val="24"/>
        <w:u w:val="none"/>
        <w:effect w:val="none"/>
      </w:rPr>
    </w:lvl>
    <w:lvl w:ilvl="1">
      <w:start w:val="11"/>
      <w:numFmt w:val="decimal"/>
      <w:lvlRestart w:val="0"/>
      <w:pStyle w:val="OutlineL2"/>
      <w:lvlText w:val="%2."/>
      <w:lvlJc w:val="left"/>
      <w:pPr>
        <w:tabs>
          <w:tab w:val="num" w:pos="1800"/>
        </w:tabs>
        <w:ind w:left="360" w:firstLine="720"/>
      </w:pPr>
      <w:rPr>
        <w:rFonts w:ascii="Times New Roman" w:hAnsi="Times New Roman" w:cs="Times New Roman" w:hint="default"/>
        <w:b w:val="0"/>
        <w:i w:val="0"/>
        <w:caps w:val="0"/>
        <w:strike w:val="0"/>
        <w:dstrike w:val="0"/>
        <w:sz w:val="24"/>
        <w:u w:val="none"/>
        <w:effect w:val="none"/>
      </w:rPr>
    </w:lvl>
    <w:lvl w:ilvl="2">
      <w:start w:val="1"/>
      <w:numFmt w:val="upperLetter"/>
      <w:pStyle w:val="OutlineL3"/>
      <w:lvlText w:val="%3."/>
      <w:lvlJc w:val="left"/>
      <w:pPr>
        <w:tabs>
          <w:tab w:val="num" w:pos="2160"/>
        </w:tabs>
        <w:ind w:left="0" w:firstLine="1440"/>
      </w:pPr>
      <w:rPr>
        <w:rFonts w:ascii="Times New Roman" w:hAnsi="Times New Roman" w:cs="Times New Roman" w:hint="default"/>
        <w:b w:val="0"/>
        <w:i w:val="0"/>
        <w:caps w:val="0"/>
        <w:strike w:val="0"/>
        <w:dstrike w:val="0"/>
        <w:sz w:val="24"/>
        <w:u w:val="none"/>
        <w:effect w:val="none"/>
      </w:rPr>
    </w:lvl>
    <w:lvl w:ilvl="3">
      <w:start w:val="1"/>
      <w:numFmt w:val="decimal"/>
      <w:lvlRestart w:val="0"/>
      <w:pStyle w:val="OutlineL4"/>
      <w:lvlText w:val="(%4)"/>
      <w:lvlJc w:val="left"/>
      <w:pPr>
        <w:tabs>
          <w:tab w:val="num" w:pos="2880"/>
        </w:tabs>
        <w:ind w:left="0" w:firstLine="2160"/>
      </w:pPr>
      <w:rPr>
        <w:rFonts w:ascii="Times New Roman" w:hAnsi="Times New Roman" w:cs="Times New Roman" w:hint="default"/>
        <w:b w:val="0"/>
        <w:i w:val="0"/>
        <w:caps w:val="0"/>
        <w:strike w:val="0"/>
        <w:dstrike w:val="0"/>
        <w:sz w:val="24"/>
        <w:u w:val="none"/>
        <w:effect w:val="none"/>
      </w:rPr>
    </w:lvl>
    <w:lvl w:ilvl="4">
      <w:start w:val="1"/>
      <w:numFmt w:val="lowerLetter"/>
      <w:pStyle w:val="OutlineL5"/>
      <w:lvlText w:val="(%5)"/>
      <w:lvlJc w:val="left"/>
      <w:pPr>
        <w:tabs>
          <w:tab w:val="num" w:pos="3600"/>
        </w:tabs>
        <w:ind w:left="3600" w:hanging="720"/>
      </w:pPr>
      <w:rPr>
        <w:rFonts w:ascii="Times New Roman" w:hAnsi="Times New Roman" w:cs="Times New Roman" w:hint="default"/>
        <w:b w:val="0"/>
        <w:i w:val="0"/>
        <w:caps w:val="0"/>
        <w:strike w:val="0"/>
        <w:dstrike w:val="0"/>
        <w:sz w:val="24"/>
        <w:u w:val="none"/>
        <w:effect w:val="none"/>
      </w:rPr>
    </w:lvl>
    <w:lvl w:ilvl="5">
      <w:start w:val="1"/>
      <w:numFmt w:val="upperLetter"/>
      <w:lvlRestart w:val="0"/>
      <w:pStyle w:val="OutlineL6"/>
      <w:lvlText w:val="APPENDIX %6"/>
      <w:lvlJc w:val="left"/>
      <w:pPr>
        <w:tabs>
          <w:tab w:val="num" w:pos="2880"/>
        </w:tabs>
        <w:ind w:left="0" w:firstLine="0"/>
      </w:pPr>
      <w:rPr>
        <w:rFonts w:ascii="Times New Roman" w:hAnsi="Times New Roman" w:cs="Times New Roman" w:hint="default"/>
        <w:b/>
        <w:i w:val="0"/>
        <w:caps w:val="0"/>
        <w:strike w:val="0"/>
        <w:dstrike w:val="0"/>
        <w:sz w:val="24"/>
        <w:u w:val="none"/>
        <w:effect w:val="none"/>
      </w:rPr>
    </w:lvl>
    <w:lvl w:ilvl="6">
      <w:start w:val="1"/>
      <w:numFmt w:val="decimal"/>
      <w:pStyle w:val="OutlineL7"/>
      <w:lvlText w:val="(%7)"/>
      <w:lvlJc w:val="left"/>
      <w:pPr>
        <w:tabs>
          <w:tab w:val="num" w:pos="5040"/>
        </w:tabs>
        <w:ind w:left="0" w:firstLine="4320"/>
      </w:pPr>
      <w:rPr>
        <w:rFonts w:ascii="Times New Roman" w:hAnsi="Times New Roman" w:cs="Times New Roman" w:hint="default"/>
        <w:b w:val="0"/>
        <w:i w:val="0"/>
        <w:caps w:val="0"/>
        <w:strike w:val="0"/>
        <w:dstrike w:val="0"/>
        <w:sz w:val="24"/>
        <w:u w:val="none"/>
        <w:effect w:val="none"/>
      </w:rPr>
    </w:lvl>
    <w:lvl w:ilvl="7">
      <w:start w:val="1"/>
      <w:numFmt w:val="lowerRoman"/>
      <w:pStyle w:val="OutlineL8"/>
      <w:lvlText w:val="%8)"/>
      <w:lvlJc w:val="left"/>
      <w:pPr>
        <w:tabs>
          <w:tab w:val="num" w:pos="5760"/>
        </w:tabs>
        <w:ind w:left="0" w:firstLine="5040"/>
      </w:pPr>
      <w:rPr>
        <w:rFonts w:ascii="Times New Roman" w:hAnsi="Times New Roman" w:cs="Times New Roman" w:hint="default"/>
        <w:b w:val="0"/>
        <w:i w:val="0"/>
        <w:caps w:val="0"/>
        <w:strike w:val="0"/>
        <w:dstrike w:val="0"/>
        <w:sz w:val="24"/>
        <w:u w:val="none"/>
        <w:effect w:val="none"/>
      </w:rPr>
    </w:lvl>
    <w:lvl w:ilvl="8">
      <w:start w:val="1"/>
      <w:numFmt w:val="lowerLetter"/>
      <w:pStyle w:val="OutlineL9"/>
      <w:lvlText w:val="%9)"/>
      <w:lvlJc w:val="left"/>
      <w:pPr>
        <w:tabs>
          <w:tab w:val="num" w:pos="6480"/>
        </w:tabs>
        <w:ind w:left="0" w:firstLine="5760"/>
      </w:pPr>
      <w:rPr>
        <w:rFonts w:ascii="Times New Roman" w:hAnsi="Times New Roman" w:cs="Times New Roman" w:hint="default"/>
        <w:b w:val="0"/>
        <w:i w:val="0"/>
        <w:caps w:val="0"/>
        <w:strike w:val="0"/>
        <w:dstrike w:val="0"/>
        <w:sz w:val="24"/>
        <w:u w:val="none"/>
        <w:effect w:val="none"/>
      </w:rPr>
    </w:lvl>
  </w:abstractNum>
  <w:abstractNum w:abstractNumId="33" w15:restartNumberingAfterBreak="0">
    <w:nsid w:val="52125042"/>
    <w:multiLevelType w:val="hybridMultilevel"/>
    <w:tmpl w:val="ECB0CE2E"/>
    <w:lvl w:ilvl="0" w:tplc="5DB4398C">
      <w:start w:val="1"/>
      <w:numFmt w:val="lowerLetter"/>
      <w:pStyle w:val="Heading4"/>
      <w:lvlText w:val="%1."/>
      <w:lvlJc w:val="left"/>
      <w:pPr>
        <w:ind w:left="198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4" w15:restartNumberingAfterBreak="0">
    <w:nsid w:val="52AA09AA"/>
    <w:multiLevelType w:val="hybridMultilevel"/>
    <w:tmpl w:val="77F8E7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A291972"/>
    <w:multiLevelType w:val="hybridMultilevel"/>
    <w:tmpl w:val="252C6094"/>
    <w:lvl w:ilvl="0" w:tplc="A308ED1C">
      <w:start w:val="1"/>
      <w:numFmt w:val="decimal"/>
      <w:lvlText w:val="%1."/>
      <w:lvlJc w:val="left"/>
      <w:pPr>
        <w:ind w:left="1080" w:hanging="360"/>
      </w:pPr>
      <w:rPr>
        <w:rFonts w:hint="default"/>
        <w:b/>
        <w:bCs w:val="0"/>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6" w15:restartNumberingAfterBreak="0">
    <w:nsid w:val="5E3D1573"/>
    <w:multiLevelType w:val="hybridMultilevel"/>
    <w:tmpl w:val="C18EF138"/>
    <w:lvl w:ilvl="0" w:tplc="91B08426">
      <w:start w:val="1"/>
      <w:numFmt w:val="decimal"/>
      <w:lvlText w:val="%1."/>
      <w:lvlJc w:val="left"/>
      <w:pPr>
        <w:ind w:left="1080" w:hanging="360"/>
      </w:pPr>
      <w:rPr>
        <w:rFonts w:hint="default"/>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7" w15:restartNumberingAfterBreak="0">
    <w:nsid w:val="5E5C3168"/>
    <w:multiLevelType w:val="hybridMultilevel"/>
    <w:tmpl w:val="A1B2957C"/>
    <w:lvl w:ilvl="0" w:tplc="1CC28D8C">
      <w:start w:val="1"/>
      <w:numFmt w:val="upperRoman"/>
      <w:pStyle w:val="Heading1"/>
      <w:lvlText w:val="%1."/>
      <w:lvlJc w:val="left"/>
      <w:pPr>
        <w:ind w:left="1080" w:hanging="72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F6C096C"/>
    <w:multiLevelType w:val="hybridMultilevel"/>
    <w:tmpl w:val="2E409B4C"/>
    <w:lvl w:ilvl="0" w:tplc="0409000F">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6C0B3BD4"/>
    <w:multiLevelType w:val="hybridMultilevel"/>
    <w:tmpl w:val="252C6094"/>
    <w:lvl w:ilvl="0" w:tplc="A308ED1C">
      <w:start w:val="1"/>
      <w:numFmt w:val="decimal"/>
      <w:lvlText w:val="%1."/>
      <w:lvlJc w:val="left"/>
      <w:pPr>
        <w:ind w:left="1080" w:hanging="360"/>
      </w:pPr>
      <w:rPr>
        <w:rFonts w:hint="default"/>
        <w:b/>
        <w:bCs w:val="0"/>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0" w15:restartNumberingAfterBreak="0">
    <w:nsid w:val="707B6335"/>
    <w:multiLevelType w:val="hybridMultilevel"/>
    <w:tmpl w:val="252C6094"/>
    <w:lvl w:ilvl="0" w:tplc="A308ED1C">
      <w:start w:val="1"/>
      <w:numFmt w:val="decimal"/>
      <w:lvlText w:val="%1."/>
      <w:lvlJc w:val="left"/>
      <w:pPr>
        <w:ind w:left="1080" w:hanging="360"/>
      </w:pPr>
      <w:rPr>
        <w:rFonts w:hint="default"/>
        <w:b/>
        <w:bCs w:val="0"/>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1" w15:restartNumberingAfterBreak="0">
    <w:nsid w:val="70F406F0"/>
    <w:multiLevelType w:val="hybridMultilevel"/>
    <w:tmpl w:val="B9626C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4286476"/>
    <w:multiLevelType w:val="hybridMultilevel"/>
    <w:tmpl w:val="C3D2DBD2"/>
    <w:lvl w:ilvl="0" w:tplc="E75A06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4CD3560"/>
    <w:multiLevelType w:val="hybridMultilevel"/>
    <w:tmpl w:val="608A0292"/>
    <w:lvl w:ilvl="0" w:tplc="0409000F">
      <w:start w:val="1"/>
      <w:numFmt w:val="decimal"/>
      <w:lvlText w:val="%1."/>
      <w:lvlJc w:val="left"/>
      <w:pPr>
        <w:ind w:left="720" w:hanging="360"/>
      </w:pPr>
    </w:lvl>
    <w:lvl w:ilvl="1" w:tplc="1A2EA03A">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5811B23"/>
    <w:multiLevelType w:val="hybridMultilevel"/>
    <w:tmpl w:val="252C6094"/>
    <w:lvl w:ilvl="0" w:tplc="A308ED1C">
      <w:start w:val="1"/>
      <w:numFmt w:val="decimal"/>
      <w:lvlText w:val="%1."/>
      <w:lvlJc w:val="left"/>
      <w:pPr>
        <w:ind w:left="1080" w:hanging="360"/>
      </w:pPr>
      <w:rPr>
        <w:rFonts w:hint="default"/>
        <w:b/>
        <w:bCs w:val="0"/>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5" w15:restartNumberingAfterBreak="0">
    <w:nsid w:val="776F2584"/>
    <w:multiLevelType w:val="hybridMultilevel"/>
    <w:tmpl w:val="F64E9982"/>
    <w:lvl w:ilvl="0" w:tplc="04090015">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A915B4C"/>
    <w:multiLevelType w:val="hybridMultilevel"/>
    <w:tmpl w:val="ED0A588A"/>
    <w:lvl w:ilvl="0" w:tplc="EF0053E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 w15:restartNumberingAfterBreak="0">
    <w:nsid w:val="7D95242B"/>
    <w:multiLevelType w:val="hybridMultilevel"/>
    <w:tmpl w:val="99F84A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7F4E222C"/>
    <w:multiLevelType w:val="hybridMultilevel"/>
    <w:tmpl w:val="252C6094"/>
    <w:lvl w:ilvl="0" w:tplc="A308ED1C">
      <w:start w:val="1"/>
      <w:numFmt w:val="decimal"/>
      <w:lvlText w:val="%1."/>
      <w:lvlJc w:val="left"/>
      <w:pPr>
        <w:ind w:left="1080" w:hanging="360"/>
      </w:pPr>
      <w:rPr>
        <w:rFonts w:hint="default"/>
        <w:b/>
        <w:bCs w:val="0"/>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num w:numId="1">
    <w:abstractNumId w:val="0"/>
  </w:num>
  <w:num w:numId="2">
    <w:abstractNumId w:val="32"/>
  </w:num>
  <w:num w:numId="3">
    <w:abstractNumId w:val="36"/>
    <w:lvlOverride w:ilvl="0">
      <w:startOverride w:val="1"/>
    </w:lvlOverride>
  </w:num>
  <w:num w:numId="4">
    <w:abstractNumId w:val="9"/>
  </w:num>
  <w:num w:numId="5">
    <w:abstractNumId w:val="42"/>
  </w:num>
  <w:num w:numId="6">
    <w:abstractNumId w:val="26"/>
  </w:num>
  <w:num w:numId="7">
    <w:abstractNumId w:val="38"/>
  </w:num>
  <w:num w:numId="8">
    <w:abstractNumId w:val="47"/>
  </w:num>
  <w:num w:numId="9">
    <w:abstractNumId w:val="10"/>
  </w:num>
  <w:num w:numId="10">
    <w:abstractNumId w:val="7"/>
  </w:num>
  <w:num w:numId="11">
    <w:abstractNumId w:val="25"/>
  </w:num>
  <w:num w:numId="12">
    <w:abstractNumId w:val="33"/>
  </w:num>
  <w:num w:numId="13">
    <w:abstractNumId w:val="22"/>
  </w:num>
  <w:num w:numId="14">
    <w:abstractNumId w:val="30"/>
  </w:num>
  <w:num w:numId="15">
    <w:abstractNumId w:val="44"/>
  </w:num>
  <w:num w:numId="16">
    <w:abstractNumId w:val="6"/>
  </w:num>
  <w:num w:numId="17">
    <w:abstractNumId w:val="40"/>
  </w:num>
  <w:num w:numId="18">
    <w:abstractNumId w:val="16"/>
  </w:num>
  <w:num w:numId="19">
    <w:abstractNumId w:val="48"/>
  </w:num>
  <w:num w:numId="20">
    <w:abstractNumId w:val="28"/>
  </w:num>
  <w:num w:numId="21">
    <w:abstractNumId w:val="17"/>
  </w:num>
  <w:num w:numId="22">
    <w:abstractNumId w:val="14"/>
  </w:num>
  <w:num w:numId="23">
    <w:abstractNumId w:val="20"/>
  </w:num>
  <w:num w:numId="24">
    <w:abstractNumId w:val="19"/>
  </w:num>
  <w:num w:numId="25">
    <w:abstractNumId w:val="39"/>
  </w:num>
  <w:num w:numId="26">
    <w:abstractNumId w:val="1"/>
  </w:num>
  <w:num w:numId="27">
    <w:abstractNumId w:val="21"/>
  </w:num>
  <w:num w:numId="28">
    <w:abstractNumId w:val="3"/>
  </w:num>
  <w:num w:numId="29">
    <w:abstractNumId w:val="35"/>
  </w:num>
  <w:num w:numId="30">
    <w:abstractNumId w:val="4"/>
  </w:num>
  <w:num w:numId="31">
    <w:abstractNumId w:val="8"/>
  </w:num>
  <w:num w:numId="32">
    <w:abstractNumId w:val="15"/>
  </w:num>
  <w:num w:numId="33">
    <w:abstractNumId w:val="43"/>
  </w:num>
  <w:num w:numId="34">
    <w:abstractNumId w:val="37"/>
  </w:num>
  <w:num w:numId="35">
    <w:abstractNumId w:val="37"/>
    <w:lvlOverride w:ilvl="0">
      <w:startOverride w:val="2"/>
    </w:lvlOverride>
  </w:num>
  <w:num w:numId="36">
    <w:abstractNumId w:val="37"/>
    <w:lvlOverride w:ilvl="0">
      <w:startOverride w:val="1"/>
    </w:lvlOverride>
  </w:num>
  <w:num w:numId="37">
    <w:abstractNumId w:val="18"/>
  </w:num>
  <w:num w:numId="38">
    <w:abstractNumId w:val="11"/>
  </w:num>
  <w:num w:numId="39">
    <w:abstractNumId w:val="31"/>
  </w:num>
  <w:num w:numId="40">
    <w:abstractNumId w:val="25"/>
    <w:lvlOverride w:ilvl="0">
      <w:startOverride w:val="1"/>
    </w:lvlOverride>
  </w:num>
  <w:num w:numId="41">
    <w:abstractNumId w:val="2"/>
  </w:num>
  <w:num w:numId="42">
    <w:abstractNumId w:val="33"/>
    <w:lvlOverride w:ilvl="0">
      <w:startOverride w:val="1"/>
    </w:lvlOverride>
  </w:num>
  <w:num w:numId="43">
    <w:abstractNumId w:val="33"/>
    <w:lvlOverride w:ilvl="0">
      <w:startOverride w:val="2"/>
    </w:lvlOverride>
  </w:num>
  <w:num w:numId="44">
    <w:abstractNumId w:val="33"/>
    <w:lvlOverride w:ilvl="0">
      <w:startOverride w:val="1"/>
    </w:lvlOverride>
  </w:num>
  <w:num w:numId="45">
    <w:abstractNumId w:val="33"/>
    <w:lvlOverride w:ilvl="0">
      <w:startOverride w:val="1"/>
    </w:lvlOverride>
  </w:num>
  <w:num w:numId="46">
    <w:abstractNumId w:val="25"/>
    <w:lvlOverride w:ilvl="0">
      <w:startOverride w:val="1"/>
    </w:lvlOverride>
  </w:num>
  <w:num w:numId="47">
    <w:abstractNumId w:val="46"/>
  </w:num>
  <w:num w:numId="48">
    <w:abstractNumId w:val="33"/>
    <w:lvlOverride w:ilvl="0">
      <w:startOverride w:val="1"/>
    </w:lvlOverride>
  </w:num>
  <w:num w:numId="49">
    <w:abstractNumId w:val="33"/>
    <w:lvlOverride w:ilvl="0">
      <w:startOverride w:val="1"/>
    </w:lvlOverride>
  </w:num>
  <w:num w:numId="50">
    <w:abstractNumId w:val="33"/>
    <w:lvlOverride w:ilvl="0">
      <w:startOverride w:val="1"/>
    </w:lvlOverride>
  </w:num>
  <w:num w:numId="51">
    <w:abstractNumId w:val="33"/>
    <w:lvlOverride w:ilvl="0">
      <w:startOverride w:val="1"/>
    </w:lvlOverride>
  </w:num>
  <w:num w:numId="52">
    <w:abstractNumId w:val="33"/>
    <w:lvlOverride w:ilvl="0">
      <w:startOverride w:val="1"/>
    </w:lvlOverride>
  </w:num>
  <w:num w:numId="53">
    <w:abstractNumId w:val="33"/>
    <w:lvlOverride w:ilvl="0">
      <w:startOverride w:val="1"/>
    </w:lvlOverride>
  </w:num>
  <w:num w:numId="54">
    <w:abstractNumId w:val="33"/>
    <w:lvlOverride w:ilvl="0">
      <w:startOverride w:val="1"/>
    </w:lvlOverride>
  </w:num>
  <w:num w:numId="55">
    <w:abstractNumId w:val="33"/>
    <w:lvlOverride w:ilvl="0">
      <w:startOverride w:val="1"/>
    </w:lvlOverride>
  </w:num>
  <w:num w:numId="56">
    <w:abstractNumId w:val="33"/>
    <w:lvlOverride w:ilvl="0">
      <w:startOverride w:val="1"/>
    </w:lvlOverride>
  </w:num>
  <w:num w:numId="57">
    <w:abstractNumId w:val="33"/>
    <w:lvlOverride w:ilvl="0">
      <w:startOverride w:val="1"/>
    </w:lvlOverride>
  </w:num>
  <w:num w:numId="58">
    <w:abstractNumId w:val="25"/>
    <w:lvlOverride w:ilvl="0">
      <w:startOverride w:val="1"/>
    </w:lvlOverride>
  </w:num>
  <w:num w:numId="59">
    <w:abstractNumId w:val="24"/>
  </w:num>
  <w:num w:numId="60">
    <w:abstractNumId w:val="33"/>
    <w:lvlOverride w:ilvl="0">
      <w:startOverride w:val="1"/>
    </w:lvlOverride>
  </w:num>
  <w:num w:numId="61">
    <w:abstractNumId w:val="33"/>
    <w:lvlOverride w:ilvl="0">
      <w:startOverride w:val="1"/>
    </w:lvlOverride>
  </w:num>
  <w:num w:numId="62">
    <w:abstractNumId w:val="33"/>
    <w:lvlOverride w:ilvl="0">
      <w:startOverride w:val="1"/>
    </w:lvlOverride>
  </w:num>
  <w:num w:numId="63">
    <w:abstractNumId w:val="33"/>
    <w:lvlOverride w:ilvl="0">
      <w:startOverride w:val="1"/>
    </w:lvlOverride>
  </w:num>
  <w:num w:numId="64">
    <w:abstractNumId w:val="25"/>
    <w:lvlOverride w:ilvl="0">
      <w:startOverride w:val="1"/>
    </w:lvlOverride>
  </w:num>
  <w:num w:numId="65">
    <w:abstractNumId w:val="33"/>
    <w:lvlOverride w:ilvl="0">
      <w:startOverride w:val="1"/>
    </w:lvlOverride>
  </w:num>
  <w:num w:numId="66">
    <w:abstractNumId w:val="33"/>
    <w:lvlOverride w:ilvl="0">
      <w:startOverride w:val="1"/>
    </w:lvlOverride>
  </w:num>
  <w:num w:numId="67">
    <w:abstractNumId w:val="25"/>
    <w:lvlOverride w:ilvl="0">
      <w:startOverride w:val="1"/>
    </w:lvlOverride>
  </w:num>
  <w:num w:numId="68">
    <w:abstractNumId w:val="25"/>
    <w:lvlOverride w:ilvl="0">
      <w:startOverride w:val="1"/>
    </w:lvlOverride>
  </w:num>
  <w:num w:numId="69">
    <w:abstractNumId w:val="29"/>
  </w:num>
  <w:num w:numId="70">
    <w:abstractNumId w:val="29"/>
    <w:lvlOverride w:ilvl="0">
      <w:startOverride w:val="1"/>
    </w:lvlOverride>
  </w:num>
  <w:num w:numId="71">
    <w:abstractNumId w:val="29"/>
    <w:lvlOverride w:ilvl="0">
      <w:startOverride w:val="1"/>
    </w:lvlOverride>
  </w:num>
  <w:num w:numId="72">
    <w:abstractNumId w:val="29"/>
    <w:lvlOverride w:ilvl="0">
      <w:startOverride w:val="1"/>
    </w:lvlOverride>
  </w:num>
  <w:num w:numId="73">
    <w:abstractNumId w:val="29"/>
    <w:lvlOverride w:ilvl="0">
      <w:startOverride w:val="1"/>
    </w:lvlOverride>
  </w:num>
  <w:num w:numId="74">
    <w:abstractNumId w:val="33"/>
    <w:lvlOverride w:ilvl="0">
      <w:startOverride w:val="1"/>
    </w:lvlOverride>
  </w:num>
  <w:num w:numId="75">
    <w:abstractNumId w:val="33"/>
    <w:lvlOverride w:ilvl="0">
      <w:startOverride w:val="1"/>
    </w:lvlOverride>
  </w:num>
  <w:num w:numId="76">
    <w:abstractNumId w:val="29"/>
    <w:lvlOverride w:ilvl="0">
      <w:startOverride w:val="1"/>
    </w:lvlOverride>
  </w:num>
  <w:num w:numId="77">
    <w:abstractNumId w:val="33"/>
    <w:lvlOverride w:ilvl="0">
      <w:startOverride w:val="1"/>
    </w:lvlOverride>
  </w:num>
  <w:num w:numId="78">
    <w:abstractNumId w:val="29"/>
    <w:lvlOverride w:ilvl="0">
      <w:startOverride w:val="1"/>
    </w:lvlOverride>
  </w:num>
  <w:num w:numId="79">
    <w:abstractNumId w:val="33"/>
    <w:lvlOverride w:ilvl="0">
      <w:startOverride w:val="1"/>
    </w:lvlOverride>
  </w:num>
  <w:num w:numId="80">
    <w:abstractNumId w:val="33"/>
    <w:lvlOverride w:ilvl="0">
      <w:startOverride w:val="1"/>
    </w:lvlOverride>
  </w:num>
  <w:num w:numId="81">
    <w:abstractNumId w:val="33"/>
    <w:lvlOverride w:ilvl="0">
      <w:startOverride w:val="1"/>
    </w:lvlOverride>
  </w:num>
  <w:num w:numId="82">
    <w:abstractNumId w:val="23"/>
  </w:num>
  <w:num w:numId="83">
    <w:abstractNumId w:val="45"/>
  </w:num>
  <w:num w:numId="84">
    <w:abstractNumId w:val="41"/>
  </w:num>
  <w:num w:numId="85">
    <w:abstractNumId w:val="34"/>
  </w:num>
  <w:num w:numId="86">
    <w:abstractNumId w:val="5"/>
  </w:num>
  <w:num w:numId="87">
    <w:abstractNumId w:val="27"/>
  </w:num>
  <w:num w:numId="88">
    <w:abstractNumId w:val="13"/>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2C71"/>
    <w:rsid w:val="00000BCA"/>
    <w:rsid w:val="000010D8"/>
    <w:rsid w:val="000019B1"/>
    <w:rsid w:val="00001F29"/>
    <w:rsid w:val="00002471"/>
    <w:rsid w:val="00002BE6"/>
    <w:rsid w:val="00002E13"/>
    <w:rsid w:val="00002FF3"/>
    <w:rsid w:val="00003232"/>
    <w:rsid w:val="000033E8"/>
    <w:rsid w:val="0000389F"/>
    <w:rsid w:val="000040FD"/>
    <w:rsid w:val="000042C8"/>
    <w:rsid w:val="000042D5"/>
    <w:rsid w:val="000045DF"/>
    <w:rsid w:val="00004B7A"/>
    <w:rsid w:val="0000555E"/>
    <w:rsid w:val="00005BBA"/>
    <w:rsid w:val="00005BF7"/>
    <w:rsid w:val="00005E45"/>
    <w:rsid w:val="000069AF"/>
    <w:rsid w:val="00006D46"/>
    <w:rsid w:val="00007389"/>
    <w:rsid w:val="00007E0C"/>
    <w:rsid w:val="0001027B"/>
    <w:rsid w:val="000109CB"/>
    <w:rsid w:val="00010C1D"/>
    <w:rsid w:val="000114A0"/>
    <w:rsid w:val="000115C9"/>
    <w:rsid w:val="00011732"/>
    <w:rsid w:val="00011831"/>
    <w:rsid w:val="000119FD"/>
    <w:rsid w:val="00012601"/>
    <w:rsid w:val="0001295E"/>
    <w:rsid w:val="00012A78"/>
    <w:rsid w:val="00012F65"/>
    <w:rsid w:val="00012F80"/>
    <w:rsid w:val="0001316D"/>
    <w:rsid w:val="0001363B"/>
    <w:rsid w:val="000137E2"/>
    <w:rsid w:val="000138A9"/>
    <w:rsid w:val="00013E3E"/>
    <w:rsid w:val="00014D48"/>
    <w:rsid w:val="00015157"/>
    <w:rsid w:val="0001524E"/>
    <w:rsid w:val="00017438"/>
    <w:rsid w:val="000178A1"/>
    <w:rsid w:val="00017F8B"/>
    <w:rsid w:val="00017FF9"/>
    <w:rsid w:val="00020135"/>
    <w:rsid w:val="000204A5"/>
    <w:rsid w:val="000206F3"/>
    <w:rsid w:val="0002113D"/>
    <w:rsid w:val="00021361"/>
    <w:rsid w:val="00021559"/>
    <w:rsid w:val="00022C51"/>
    <w:rsid w:val="00022E11"/>
    <w:rsid w:val="00023A98"/>
    <w:rsid w:val="00023DE6"/>
    <w:rsid w:val="00023F50"/>
    <w:rsid w:val="000240CA"/>
    <w:rsid w:val="0002442B"/>
    <w:rsid w:val="00024523"/>
    <w:rsid w:val="0002466C"/>
    <w:rsid w:val="0002484F"/>
    <w:rsid w:val="000249C3"/>
    <w:rsid w:val="00026D34"/>
    <w:rsid w:val="00026D43"/>
    <w:rsid w:val="0002718E"/>
    <w:rsid w:val="00027735"/>
    <w:rsid w:val="000307D8"/>
    <w:rsid w:val="000307F1"/>
    <w:rsid w:val="00030811"/>
    <w:rsid w:val="00030B61"/>
    <w:rsid w:val="00030E0D"/>
    <w:rsid w:val="0003118F"/>
    <w:rsid w:val="000311F1"/>
    <w:rsid w:val="00031979"/>
    <w:rsid w:val="000319B5"/>
    <w:rsid w:val="00031E31"/>
    <w:rsid w:val="0003217E"/>
    <w:rsid w:val="00032401"/>
    <w:rsid w:val="00032523"/>
    <w:rsid w:val="00032C6A"/>
    <w:rsid w:val="00032CD6"/>
    <w:rsid w:val="00032FF5"/>
    <w:rsid w:val="00033624"/>
    <w:rsid w:val="00033848"/>
    <w:rsid w:val="00034473"/>
    <w:rsid w:val="0003463E"/>
    <w:rsid w:val="0003497E"/>
    <w:rsid w:val="00034A9C"/>
    <w:rsid w:val="00035180"/>
    <w:rsid w:val="000351FD"/>
    <w:rsid w:val="0003545F"/>
    <w:rsid w:val="000355DF"/>
    <w:rsid w:val="000359E2"/>
    <w:rsid w:val="0003609B"/>
    <w:rsid w:val="000369A2"/>
    <w:rsid w:val="00036BE4"/>
    <w:rsid w:val="00036CF0"/>
    <w:rsid w:val="000371DD"/>
    <w:rsid w:val="00037386"/>
    <w:rsid w:val="0003756D"/>
    <w:rsid w:val="00037AC2"/>
    <w:rsid w:val="00041BBC"/>
    <w:rsid w:val="00041E67"/>
    <w:rsid w:val="000429CE"/>
    <w:rsid w:val="0004350D"/>
    <w:rsid w:val="000437CB"/>
    <w:rsid w:val="00043F88"/>
    <w:rsid w:val="00044126"/>
    <w:rsid w:val="00044B46"/>
    <w:rsid w:val="00044D25"/>
    <w:rsid w:val="000450BE"/>
    <w:rsid w:val="000451B5"/>
    <w:rsid w:val="000455F2"/>
    <w:rsid w:val="0004589F"/>
    <w:rsid w:val="00045E99"/>
    <w:rsid w:val="00045EBE"/>
    <w:rsid w:val="00046010"/>
    <w:rsid w:val="00046456"/>
    <w:rsid w:val="00046A6B"/>
    <w:rsid w:val="00046C10"/>
    <w:rsid w:val="000470F3"/>
    <w:rsid w:val="00047358"/>
    <w:rsid w:val="000473D0"/>
    <w:rsid w:val="00047A62"/>
    <w:rsid w:val="00050538"/>
    <w:rsid w:val="00050553"/>
    <w:rsid w:val="0005058B"/>
    <w:rsid w:val="00050605"/>
    <w:rsid w:val="00050670"/>
    <w:rsid w:val="0005068A"/>
    <w:rsid w:val="00050C9E"/>
    <w:rsid w:val="00050CE5"/>
    <w:rsid w:val="00050E52"/>
    <w:rsid w:val="00050F69"/>
    <w:rsid w:val="00051313"/>
    <w:rsid w:val="00051382"/>
    <w:rsid w:val="0005162B"/>
    <w:rsid w:val="00051929"/>
    <w:rsid w:val="00051A72"/>
    <w:rsid w:val="00051B52"/>
    <w:rsid w:val="00051DCE"/>
    <w:rsid w:val="000522F9"/>
    <w:rsid w:val="00052316"/>
    <w:rsid w:val="00052737"/>
    <w:rsid w:val="00052C06"/>
    <w:rsid w:val="0005324C"/>
    <w:rsid w:val="00053591"/>
    <w:rsid w:val="00053B36"/>
    <w:rsid w:val="00054B3B"/>
    <w:rsid w:val="00055439"/>
    <w:rsid w:val="00055679"/>
    <w:rsid w:val="000556E8"/>
    <w:rsid w:val="00056181"/>
    <w:rsid w:val="000561D8"/>
    <w:rsid w:val="00056232"/>
    <w:rsid w:val="00056482"/>
    <w:rsid w:val="0005648F"/>
    <w:rsid w:val="00057302"/>
    <w:rsid w:val="000575DD"/>
    <w:rsid w:val="000576F4"/>
    <w:rsid w:val="00057BF1"/>
    <w:rsid w:val="0006001C"/>
    <w:rsid w:val="00060096"/>
    <w:rsid w:val="00060E9F"/>
    <w:rsid w:val="00060FDB"/>
    <w:rsid w:val="000613A6"/>
    <w:rsid w:val="00061597"/>
    <w:rsid w:val="0006175D"/>
    <w:rsid w:val="000617F1"/>
    <w:rsid w:val="00062042"/>
    <w:rsid w:val="00062335"/>
    <w:rsid w:val="000623B9"/>
    <w:rsid w:val="000630BE"/>
    <w:rsid w:val="000643AC"/>
    <w:rsid w:val="00064A1C"/>
    <w:rsid w:val="0006520A"/>
    <w:rsid w:val="00065EC0"/>
    <w:rsid w:val="0006609F"/>
    <w:rsid w:val="000661C7"/>
    <w:rsid w:val="0006697E"/>
    <w:rsid w:val="000674B0"/>
    <w:rsid w:val="00067E22"/>
    <w:rsid w:val="00067F20"/>
    <w:rsid w:val="000705FB"/>
    <w:rsid w:val="00070865"/>
    <w:rsid w:val="00070908"/>
    <w:rsid w:val="00070933"/>
    <w:rsid w:val="00070F65"/>
    <w:rsid w:val="00071239"/>
    <w:rsid w:val="000719E3"/>
    <w:rsid w:val="00071BA9"/>
    <w:rsid w:val="00071C4B"/>
    <w:rsid w:val="000720CE"/>
    <w:rsid w:val="00072431"/>
    <w:rsid w:val="0007263A"/>
    <w:rsid w:val="00072D2C"/>
    <w:rsid w:val="00073098"/>
    <w:rsid w:val="00073382"/>
    <w:rsid w:val="00073A55"/>
    <w:rsid w:val="00073B1A"/>
    <w:rsid w:val="00074097"/>
    <w:rsid w:val="000753DD"/>
    <w:rsid w:val="00075471"/>
    <w:rsid w:val="00075D55"/>
    <w:rsid w:val="00076398"/>
    <w:rsid w:val="0007647C"/>
    <w:rsid w:val="00076DB7"/>
    <w:rsid w:val="000800CA"/>
    <w:rsid w:val="00080400"/>
    <w:rsid w:val="000813C3"/>
    <w:rsid w:val="000816B5"/>
    <w:rsid w:val="00081771"/>
    <w:rsid w:val="000817A0"/>
    <w:rsid w:val="000819D3"/>
    <w:rsid w:val="00082543"/>
    <w:rsid w:val="0008271A"/>
    <w:rsid w:val="0008282E"/>
    <w:rsid w:val="00082B29"/>
    <w:rsid w:val="00084679"/>
    <w:rsid w:val="0008517A"/>
    <w:rsid w:val="00086A15"/>
    <w:rsid w:val="00090764"/>
    <w:rsid w:val="00090975"/>
    <w:rsid w:val="00090DAD"/>
    <w:rsid w:val="00091073"/>
    <w:rsid w:val="00091597"/>
    <w:rsid w:val="0009176B"/>
    <w:rsid w:val="00091A57"/>
    <w:rsid w:val="00091EDC"/>
    <w:rsid w:val="0009260D"/>
    <w:rsid w:val="0009276C"/>
    <w:rsid w:val="00092838"/>
    <w:rsid w:val="00092AEC"/>
    <w:rsid w:val="00092B1B"/>
    <w:rsid w:val="00092E9A"/>
    <w:rsid w:val="00092F2E"/>
    <w:rsid w:val="00093983"/>
    <w:rsid w:val="00093BAB"/>
    <w:rsid w:val="00093D70"/>
    <w:rsid w:val="00093D82"/>
    <w:rsid w:val="00094F42"/>
    <w:rsid w:val="000950E0"/>
    <w:rsid w:val="000951C7"/>
    <w:rsid w:val="0009555B"/>
    <w:rsid w:val="000955C5"/>
    <w:rsid w:val="000960E0"/>
    <w:rsid w:val="00096115"/>
    <w:rsid w:val="000962A3"/>
    <w:rsid w:val="00096C16"/>
    <w:rsid w:val="00096C8A"/>
    <w:rsid w:val="00097BAE"/>
    <w:rsid w:val="00097D3A"/>
    <w:rsid w:val="00097FE9"/>
    <w:rsid w:val="000A12B1"/>
    <w:rsid w:val="000A1A63"/>
    <w:rsid w:val="000A1AA6"/>
    <w:rsid w:val="000A26D7"/>
    <w:rsid w:val="000A3065"/>
    <w:rsid w:val="000A30DD"/>
    <w:rsid w:val="000A3157"/>
    <w:rsid w:val="000A33EA"/>
    <w:rsid w:val="000A436A"/>
    <w:rsid w:val="000A4679"/>
    <w:rsid w:val="000A4B4D"/>
    <w:rsid w:val="000A4B51"/>
    <w:rsid w:val="000A507D"/>
    <w:rsid w:val="000A5A45"/>
    <w:rsid w:val="000A5C51"/>
    <w:rsid w:val="000A605A"/>
    <w:rsid w:val="000A68EF"/>
    <w:rsid w:val="000A6F01"/>
    <w:rsid w:val="000A6F9C"/>
    <w:rsid w:val="000A7CC7"/>
    <w:rsid w:val="000A7EF1"/>
    <w:rsid w:val="000A7F42"/>
    <w:rsid w:val="000A7F7C"/>
    <w:rsid w:val="000B072D"/>
    <w:rsid w:val="000B0A71"/>
    <w:rsid w:val="000B0C59"/>
    <w:rsid w:val="000B1443"/>
    <w:rsid w:val="000B186C"/>
    <w:rsid w:val="000B213E"/>
    <w:rsid w:val="000B2299"/>
    <w:rsid w:val="000B2DAB"/>
    <w:rsid w:val="000B2F97"/>
    <w:rsid w:val="000B360B"/>
    <w:rsid w:val="000B3869"/>
    <w:rsid w:val="000B3C7F"/>
    <w:rsid w:val="000B40D2"/>
    <w:rsid w:val="000B4410"/>
    <w:rsid w:val="000B4C13"/>
    <w:rsid w:val="000B4ED4"/>
    <w:rsid w:val="000B5C10"/>
    <w:rsid w:val="000B5C61"/>
    <w:rsid w:val="000B5C67"/>
    <w:rsid w:val="000B5D92"/>
    <w:rsid w:val="000B5F41"/>
    <w:rsid w:val="000B61B0"/>
    <w:rsid w:val="000B68EC"/>
    <w:rsid w:val="000B6A0C"/>
    <w:rsid w:val="000B7517"/>
    <w:rsid w:val="000B7630"/>
    <w:rsid w:val="000B77E7"/>
    <w:rsid w:val="000B77F5"/>
    <w:rsid w:val="000B7B26"/>
    <w:rsid w:val="000B7D0C"/>
    <w:rsid w:val="000C084D"/>
    <w:rsid w:val="000C0928"/>
    <w:rsid w:val="000C093C"/>
    <w:rsid w:val="000C0C63"/>
    <w:rsid w:val="000C1690"/>
    <w:rsid w:val="000C1AA7"/>
    <w:rsid w:val="000C1F1A"/>
    <w:rsid w:val="000C1F1D"/>
    <w:rsid w:val="000C2D3A"/>
    <w:rsid w:val="000C2EE6"/>
    <w:rsid w:val="000C2F7A"/>
    <w:rsid w:val="000C34E4"/>
    <w:rsid w:val="000C356C"/>
    <w:rsid w:val="000C3842"/>
    <w:rsid w:val="000C39A1"/>
    <w:rsid w:val="000C3C92"/>
    <w:rsid w:val="000C42CB"/>
    <w:rsid w:val="000C43C7"/>
    <w:rsid w:val="000C441D"/>
    <w:rsid w:val="000C5AA8"/>
    <w:rsid w:val="000C5FC7"/>
    <w:rsid w:val="000C632C"/>
    <w:rsid w:val="000C7DF3"/>
    <w:rsid w:val="000D0000"/>
    <w:rsid w:val="000D02CE"/>
    <w:rsid w:val="000D046F"/>
    <w:rsid w:val="000D0791"/>
    <w:rsid w:val="000D09E6"/>
    <w:rsid w:val="000D103D"/>
    <w:rsid w:val="000D131C"/>
    <w:rsid w:val="000D17B4"/>
    <w:rsid w:val="000D1892"/>
    <w:rsid w:val="000D198C"/>
    <w:rsid w:val="000D1A8E"/>
    <w:rsid w:val="000D1CDB"/>
    <w:rsid w:val="000D22A7"/>
    <w:rsid w:val="000D2352"/>
    <w:rsid w:val="000D2942"/>
    <w:rsid w:val="000D37A2"/>
    <w:rsid w:val="000D3BB2"/>
    <w:rsid w:val="000D3CCB"/>
    <w:rsid w:val="000D4AE7"/>
    <w:rsid w:val="000D4E05"/>
    <w:rsid w:val="000D6789"/>
    <w:rsid w:val="000D703D"/>
    <w:rsid w:val="000D7433"/>
    <w:rsid w:val="000E0391"/>
    <w:rsid w:val="000E0846"/>
    <w:rsid w:val="000E1293"/>
    <w:rsid w:val="000E19A9"/>
    <w:rsid w:val="000E1E36"/>
    <w:rsid w:val="000E2331"/>
    <w:rsid w:val="000E2764"/>
    <w:rsid w:val="000E332C"/>
    <w:rsid w:val="000E387C"/>
    <w:rsid w:val="000E3B31"/>
    <w:rsid w:val="000E3D75"/>
    <w:rsid w:val="000E4052"/>
    <w:rsid w:val="000E4411"/>
    <w:rsid w:val="000E499F"/>
    <w:rsid w:val="000E4BF8"/>
    <w:rsid w:val="000E4FAB"/>
    <w:rsid w:val="000E4FB8"/>
    <w:rsid w:val="000E5027"/>
    <w:rsid w:val="000E51C6"/>
    <w:rsid w:val="000E5D3B"/>
    <w:rsid w:val="000E6418"/>
    <w:rsid w:val="000E731D"/>
    <w:rsid w:val="000E7617"/>
    <w:rsid w:val="000E765B"/>
    <w:rsid w:val="000F0C8F"/>
    <w:rsid w:val="000F17A9"/>
    <w:rsid w:val="000F1973"/>
    <w:rsid w:val="000F1A14"/>
    <w:rsid w:val="000F1C8A"/>
    <w:rsid w:val="000F2B58"/>
    <w:rsid w:val="000F3254"/>
    <w:rsid w:val="000F3A09"/>
    <w:rsid w:val="000F3D92"/>
    <w:rsid w:val="000F4C67"/>
    <w:rsid w:val="000F4D71"/>
    <w:rsid w:val="000F4D72"/>
    <w:rsid w:val="000F4ECA"/>
    <w:rsid w:val="000F5C7B"/>
    <w:rsid w:val="000F62C5"/>
    <w:rsid w:val="000F6709"/>
    <w:rsid w:val="000F6D3B"/>
    <w:rsid w:val="000F6DD9"/>
    <w:rsid w:val="000F79E6"/>
    <w:rsid w:val="000F7BDB"/>
    <w:rsid w:val="000F7EB4"/>
    <w:rsid w:val="001003BD"/>
    <w:rsid w:val="001004EF"/>
    <w:rsid w:val="00100CE0"/>
    <w:rsid w:val="00100D2D"/>
    <w:rsid w:val="00100ED5"/>
    <w:rsid w:val="00101159"/>
    <w:rsid w:val="00101388"/>
    <w:rsid w:val="00101493"/>
    <w:rsid w:val="001024F9"/>
    <w:rsid w:val="0010279C"/>
    <w:rsid w:val="00103180"/>
    <w:rsid w:val="001034D6"/>
    <w:rsid w:val="00103836"/>
    <w:rsid w:val="00103E5B"/>
    <w:rsid w:val="00104458"/>
    <w:rsid w:val="00104584"/>
    <w:rsid w:val="001046AB"/>
    <w:rsid w:val="001049B2"/>
    <w:rsid w:val="00104A5A"/>
    <w:rsid w:val="00104F91"/>
    <w:rsid w:val="001053F8"/>
    <w:rsid w:val="00105444"/>
    <w:rsid w:val="0010559C"/>
    <w:rsid w:val="00105714"/>
    <w:rsid w:val="00105CE9"/>
    <w:rsid w:val="00107058"/>
    <w:rsid w:val="001071E6"/>
    <w:rsid w:val="0010721D"/>
    <w:rsid w:val="00107275"/>
    <w:rsid w:val="00107458"/>
    <w:rsid w:val="00110068"/>
    <w:rsid w:val="00110337"/>
    <w:rsid w:val="00110428"/>
    <w:rsid w:val="001108B1"/>
    <w:rsid w:val="00110929"/>
    <w:rsid w:val="00110C8B"/>
    <w:rsid w:val="00111616"/>
    <w:rsid w:val="0011183C"/>
    <w:rsid w:val="001119B2"/>
    <w:rsid w:val="00111C91"/>
    <w:rsid w:val="0011209B"/>
    <w:rsid w:val="0011258B"/>
    <w:rsid w:val="001128D8"/>
    <w:rsid w:val="001128EA"/>
    <w:rsid w:val="00112DAA"/>
    <w:rsid w:val="00113CCC"/>
    <w:rsid w:val="00114141"/>
    <w:rsid w:val="0011457B"/>
    <w:rsid w:val="00114999"/>
    <w:rsid w:val="00114C30"/>
    <w:rsid w:val="00114E31"/>
    <w:rsid w:val="0011582B"/>
    <w:rsid w:val="001158C5"/>
    <w:rsid w:val="00115917"/>
    <w:rsid w:val="00116088"/>
    <w:rsid w:val="00116181"/>
    <w:rsid w:val="001163AB"/>
    <w:rsid w:val="00116940"/>
    <w:rsid w:val="00116A10"/>
    <w:rsid w:val="00116C80"/>
    <w:rsid w:val="00117AAA"/>
    <w:rsid w:val="0012013A"/>
    <w:rsid w:val="00120A2A"/>
    <w:rsid w:val="001221E3"/>
    <w:rsid w:val="0012221A"/>
    <w:rsid w:val="00123428"/>
    <w:rsid w:val="001235A5"/>
    <w:rsid w:val="00123D14"/>
    <w:rsid w:val="00123D6D"/>
    <w:rsid w:val="00124742"/>
    <w:rsid w:val="0012483C"/>
    <w:rsid w:val="00124930"/>
    <w:rsid w:val="00124CB1"/>
    <w:rsid w:val="00124DA0"/>
    <w:rsid w:val="00124F7F"/>
    <w:rsid w:val="0012500C"/>
    <w:rsid w:val="001253F7"/>
    <w:rsid w:val="00125748"/>
    <w:rsid w:val="001261CF"/>
    <w:rsid w:val="00126217"/>
    <w:rsid w:val="001266F5"/>
    <w:rsid w:val="00126743"/>
    <w:rsid w:val="00126953"/>
    <w:rsid w:val="00126D26"/>
    <w:rsid w:val="00127235"/>
    <w:rsid w:val="00127802"/>
    <w:rsid w:val="00127842"/>
    <w:rsid w:val="00130303"/>
    <w:rsid w:val="00130824"/>
    <w:rsid w:val="00130E40"/>
    <w:rsid w:val="001311D3"/>
    <w:rsid w:val="00131763"/>
    <w:rsid w:val="00131992"/>
    <w:rsid w:val="00131BF7"/>
    <w:rsid w:val="001321F2"/>
    <w:rsid w:val="0013228B"/>
    <w:rsid w:val="001324E1"/>
    <w:rsid w:val="00132AA3"/>
    <w:rsid w:val="00132B33"/>
    <w:rsid w:val="00132B35"/>
    <w:rsid w:val="00132BAF"/>
    <w:rsid w:val="00132D6C"/>
    <w:rsid w:val="00132E50"/>
    <w:rsid w:val="00132F69"/>
    <w:rsid w:val="00133522"/>
    <w:rsid w:val="001344A1"/>
    <w:rsid w:val="00134627"/>
    <w:rsid w:val="0013465E"/>
    <w:rsid w:val="001347E0"/>
    <w:rsid w:val="0013483A"/>
    <w:rsid w:val="00134A46"/>
    <w:rsid w:val="0013552C"/>
    <w:rsid w:val="00135DE8"/>
    <w:rsid w:val="00135F6A"/>
    <w:rsid w:val="00135F82"/>
    <w:rsid w:val="001361F9"/>
    <w:rsid w:val="00136330"/>
    <w:rsid w:val="001363BA"/>
    <w:rsid w:val="001363C8"/>
    <w:rsid w:val="001364A5"/>
    <w:rsid w:val="00136927"/>
    <w:rsid w:val="00136CF9"/>
    <w:rsid w:val="00136F04"/>
    <w:rsid w:val="00137489"/>
    <w:rsid w:val="00137A49"/>
    <w:rsid w:val="00137B64"/>
    <w:rsid w:val="00137DB2"/>
    <w:rsid w:val="00140681"/>
    <w:rsid w:val="0014089D"/>
    <w:rsid w:val="00140B0E"/>
    <w:rsid w:val="00140FD7"/>
    <w:rsid w:val="001412EA"/>
    <w:rsid w:val="00141954"/>
    <w:rsid w:val="00141E6B"/>
    <w:rsid w:val="001426C7"/>
    <w:rsid w:val="0014291D"/>
    <w:rsid w:val="00142D9B"/>
    <w:rsid w:val="00143134"/>
    <w:rsid w:val="001436B9"/>
    <w:rsid w:val="001439FE"/>
    <w:rsid w:val="00144CE0"/>
    <w:rsid w:val="0014504D"/>
    <w:rsid w:val="00145051"/>
    <w:rsid w:val="001452BF"/>
    <w:rsid w:val="00145F2D"/>
    <w:rsid w:val="00146E5A"/>
    <w:rsid w:val="001470AE"/>
    <w:rsid w:val="00147914"/>
    <w:rsid w:val="0015025F"/>
    <w:rsid w:val="00150B15"/>
    <w:rsid w:val="00150C3E"/>
    <w:rsid w:val="00150E97"/>
    <w:rsid w:val="001514DC"/>
    <w:rsid w:val="00151BD7"/>
    <w:rsid w:val="00151C5E"/>
    <w:rsid w:val="00151C70"/>
    <w:rsid w:val="00152297"/>
    <w:rsid w:val="0015252F"/>
    <w:rsid w:val="00152920"/>
    <w:rsid w:val="00152CB2"/>
    <w:rsid w:val="00152E3C"/>
    <w:rsid w:val="00152F60"/>
    <w:rsid w:val="001533B5"/>
    <w:rsid w:val="001542FF"/>
    <w:rsid w:val="00154BB0"/>
    <w:rsid w:val="0015509F"/>
    <w:rsid w:val="00155485"/>
    <w:rsid w:val="001554AD"/>
    <w:rsid w:val="0015554A"/>
    <w:rsid w:val="001556E4"/>
    <w:rsid w:val="0015608E"/>
    <w:rsid w:val="001562CD"/>
    <w:rsid w:val="00156599"/>
    <w:rsid w:val="001569B5"/>
    <w:rsid w:val="00156AFC"/>
    <w:rsid w:val="00156D63"/>
    <w:rsid w:val="00157457"/>
    <w:rsid w:val="00157495"/>
    <w:rsid w:val="0015769C"/>
    <w:rsid w:val="00157B04"/>
    <w:rsid w:val="00157E26"/>
    <w:rsid w:val="00157E3A"/>
    <w:rsid w:val="001601AA"/>
    <w:rsid w:val="001603D0"/>
    <w:rsid w:val="00160468"/>
    <w:rsid w:val="00160A22"/>
    <w:rsid w:val="00160C83"/>
    <w:rsid w:val="00161964"/>
    <w:rsid w:val="00161CCA"/>
    <w:rsid w:val="00161DAD"/>
    <w:rsid w:val="00162E31"/>
    <w:rsid w:val="00162F92"/>
    <w:rsid w:val="0016313A"/>
    <w:rsid w:val="00163602"/>
    <w:rsid w:val="001641BD"/>
    <w:rsid w:val="001642DF"/>
    <w:rsid w:val="00164394"/>
    <w:rsid w:val="0016461A"/>
    <w:rsid w:val="001652C4"/>
    <w:rsid w:val="001657F9"/>
    <w:rsid w:val="001665AC"/>
    <w:rsid w:val="00166B36"/>
    <w:rsid w:val="00166C7C"/>
    <w:rsid w:val="0016711E"/>
    <w:rsid w:val="00167196"/>
    <w:rsid w:val="001675F9"/>
    <w:rsid w:val="00167A68"/>
    <w:rsid w:val="00167A7C"/>
    <w:rsid w:val="00170084"/>
    <w:rsid w:val="00170A50"/>
    <w:rsid w:val="0017156C"/>
    <w:rsid w:val="001715F1"/>
    <w:rsid w:val="00171636"/>
    <w:rsid w:val="001717D5"/>
    <w:rsid w:val="00172710"/>
    <w:rsid w:val="001731A5"/>
    <w:rsid w:val="001731ED"/>
    <w:rsid w:val="00173465"/>
    <w:rsid w:val="00173486"/>
    <w:rsid w:val="00173A3D"/>
    <w:rsid w:val="00174794"/>
    <w:rsid w:val="001747E1"/>
    <w:rsid w:val="0017499D"/>
    <w:rsid w:val="00174DB5"/>
    <w:rsid w:val="00174DF3"/>
    <w:rsid w:val="001751BA"/>
    <w:rsid w:val="00175599"/>
    <w:rsid w:val="001757D6"/>
    <w:rsid w:val="00175D98"/>
    <w:rsid w:val="00176435"/>
    <w:rsid w:val="001766CB"/>
    <w:rsid w:val="001768DD"/>
    <w:rsid w:val="00176980"/>
    <w:rsid w:val="00176D44"/>
    <w:rsid w:val="00176E35"/>
    <w:rsid w:val="001775EE"/>
    <w:rsid w:val="00177DBB"/>
    <w:rsid w:val="00177E0D"/>
    <w:rsid w:val="00177FDA"/>
    <w:rsid w:val="001800D9"/>
    <w:rsid w:val="001801F0"/>
    <w:rsid w:val="00180DFD"/>
    <w:rsid w:val="00181874"/>
    <w:rsid w:val="00181C3D"/>
    <w:rsid w:val="00181EBC"/>
    <w:rsid w:val="0018209A"/>
    <w:rsid w:val="00182503"/>
    <w:rsid w:val="00182960"/>
    <w:rsid w:val="00183635"/>
    <w:rsid w:val="00183E7C"/>
    <w:rsid w:val="001840CF"/>
    <w:rsid w:val="001842D0"/>
    <w:rsid w:val="00184ED1"/>
    <w:rsid w:val="00185890"/>
    <w:rsid w:val="001858D5"/>
    <w:rsid w:val="00185A3F"/>
    <w:rsid w:val="00185A4D"/>
    <w:rsid w:val="00185BA5"/>
    <w:rsid w:val="00185F4F"/>
    <w:rsid w:val="0018648A"/>
    <w:rsid w:val="001875BB"/>
    <w:rsid w:val="0018771B"/>
    <w:rsid w:val="00187897"/>
    <w:rsid w:val="00187CE2"/>
    <w:rsid w:val="00187F71"/>
    <w:rsid w:val="0019092F"/>
    <w:rsid w:val="00190EAA"/>
    <w:rsid w:val="0019101F"/>
    <w:rsid w:val="00191219"/>
    <w:rsid w:val="00191250"/>
    <w:rsid w:val="00191425"/>
    <w:rsid w:val="00191807"/>
    <w:rsid w:val="00191C33"/>
    <w:rsid w:val="00191E88"/>
    <w:rsid w:val="00191FAD"/>
    <w:rsid w:val="00192199"/>
    <w:rsid w:val="0019347A"/>
    <w:rsid w:val="00193A2C"/>
    <w:rsid w:val="00193D61"/>
    <w:rsid w:val="00194180"/>
    <w:rsid w:val="00194F5F"/>
    <w:rsid w:val="00194F64"/>
    <w:rsid w:val="00195337"/>
    <w:rsid w:val="001953F3"/>
    <w:rsid w:val="001957DD"/>
    <w:rsid w:val="001957FE"/>
    <w:rsid w:val="00195A9E"/>
    <w:rsid w:val="0019622E"/>
    <w:rsid w:val="00196A8B"/>
    <w:rsid w:val="0019726D"/>
    <w:rsid w:val="001977B2"/>
    <w:rsid w:val="001978EB"/>
    <w:rsid w:val="00197F41"/>
    <w:rsid w:val="001A0193"/>
    <w:rsid w:val="001A03A4"/>
    <w:rsid w:val="001A064F"/>
    <w:rsid w:val="001A0938"/>
    <w:rsid w:val="001A0C52"/>
    <w:rsid w:val="001A0CFD"/>
    <w:rsid w:val="001A217F"/>
    <w:rsid w:val="001A2194"/>
    <w:rsid w:val="001A27EB"/>
    <w:rsid w:val="001A2FCA"/>
    <w:rsid w:val="001A34F6"/>
    <w:rsid w:val="001A3670"/>
    <w:rsid w:val="001A3E60"/>
    <w:rsid w:val="001A49A4"/>
    <w:rsid w:val="001A4C29"/>
    <w:rsid w:val="001A5304"/>
    <w:rsid w:val="001A5484"/>
    <w:rsid w:val="001A5BEE"/>
    <w:rsid w:val="001A5DF6"/>
    <w:rsid w:val="001A6AB8"/>
    <w:rsid w:val="001A6CBC"/>
    <w:rsid w:val="001A6CCB"/>
    <w:rsid w:val="001A6E4E"/>
    <w:rsid w:val="001A75DB"/>
    <w:rsid w:val="001A7646"/>
    <w:rsid w:val="001B04AD"/>
    <w:rsid w:val="001B064F"/>
    <w:rsid w:val="001B0678"/>
    <w:rsid w:val="001B0C8A"/>
    <w:rsid w:val="001B108E"/>
    <w:rsid w:val="001B1640"/>
    <w:rsid w:val="001B1EF4"/>
    <w:rsid w:val="001B21C5"/>
    <w:rsid w:val="001B2299"/>
    <w:rsid w:val="001B2DEA"/>
    <w:rsid w:val="001B2E04"/>
    <w:rsid w:val="001B2E52"/>
    <w:rsid w:val="001B2F98"/>
    <w:rsid w:val="001B37E0"/>
    <w:rsid w:val="001B37F2"/>
    <w:rsid w:val="001B3EDD"/>
    <w:rsid w:val="001B4CF3"/>
    <w:rsid w:val="001B5032"/>
    <w:rsid w:val="001B514E"/>
    <w:rsid w:val="001B55A1"/>
    <w:rsid w:val="001B565F"/>
    <w:rsid w:val="001B5AC0"/>
    <w:rsid w:val="001B5F8D"/>
    <w:rsid w:val="001B61D5"/>
    <w:rsid w:val="001B6A0C"/>
    <w:rsid w:val="001B6F75"/>
    <w:rsid w:val="001B7164"/>
    <w:rsid w:val="001B7ABB"/>
    <w:rsid w:val="001B7E1E"/>
    <w:rsid w:val="001C0715"/>
    <w:rsid w:val="001C0A15"/>
    <w:rsid w:val="001C0F01"/>
    <w:rsid w:val="001C10D2"/>
    <w:rsid w:val="001C14C9"/>
    <w:rsid w:val="001C16C1"/>
    <w:rsid w:val="001C192E"/>
    <w:rsid w:val="001C24D5"/>
    <w:rsid w:val="001C2759"/>
    <w:rsid w:val="001C2B9B"/>
    <w:rsid w:val="001C2CE0"/>
    <w:rsid w:val="001C3558"/>
    <w:rsid w:val="001C417A"/>
    <w:rsid w:val="001C45B9"/>
    <w:rsid w:val="001C48F5"/>
    <w:rsid w:val="001C4BB0"/>
    <w:rsid w:val="001C4E07"/>
    <w:rsid w:val="001C556E"/>
    <w:rsid w:val="001C5847"/>
    <w:rsid w:val="001C5CCB"/>
    <w:rsid w:val="001C5DA2"/>
    <w:rsid w:val="001C5DF1"/>
    <w:rsid w:val="001C5FAA"/>
    <w:rsid w:val="001C61C9"/>
    <w:rsid w:val="001C63DB"/>
    <w:rsid w:val="001C6ECF"/>
    <w:rsid w:val="001C77B8"/>
    <w:rsid w:val="001D0553"/>
    <w:rsid w:val="001D06A3"/>
    <w:rsid w:val="001D077A"/>
    <w:rsid w:val="001D07AA"/>
    <w:rsid w:val="001D0B9D"/>
    <w:rsid w:val="001D1594"/>
    <w:rsid w:val="001D1ACE"/>
    <w:rsid w:val="001D2182"/>
    <w:rsid w:val="001D2293"/>
    <w:rsid w:val="001D2B89"/>
    <w:rsid w:val="001D4299"/>
    <w:rsid w:val="001D45FF"/>
    <w:rsid w:val="001D4639"/>
    <w:rsid w:val="001D4919"/>
    <w:rsid w:val="001D4AE0"/>
    <w:rsid w:val="001D5755"/>
    <w:rsid w:val="001D5B04"/>
    <w:rsid w:val="001D6AC8"/>
    <w:rsid w:val="001D6BC6"/>
    <w:rsid w:val="001D70C7"/>
    <w:rsid w:val="001D7300"/>
    <w:rsid w:val="001D7315"/>
    <w:rsid w:val="001D7352"/>
    <w:rsid w:val="001D75F2"/>
    <w:rsid w:val="001D7956"/>
    <w:rsid w:val="001D7A19"/>
    <w:rsid w:val="001D7AAA"/>
    <w:rsid w:val="001E07B4"/>
    <w:rsid w:val="001E1C36"/>
    <w:rsid w:val="001E2AB6"/>
    <w:rsid w:val="001E2E6F"/>
    <w:rsid w:val="001E2EC1"/>
    <w:rsid w:val="001E332D"/>
    <w:rsid w:val="001E33DB"/>
    <w:rsid w:val="001E3857"/>
    <w:rsid w:val="001E3DAE"/>
    <w:rsid w:val="001E403A"/>
    <w:rsid w:val="001E4089"/>
    <w:rsid w:val="001E4538"/>
    <w:rsid w:val="001E4E59"/>
    <w:rsid w:val="001E53F0"/>
    <w:rsid w:val="001E5514"/>
    <w:rsid w:val="001E5641"/>
    <w:rsid w:val="001E5955"/>
    <w:rsid w:val="001E5F3A"/>
    <w:rsid w:val="001E5FA9"/>
    <w:rsid w:val="001E6A0C"/>
    <w:rsid w:val="001E7135"/>
    <w:rsid w:val="001E7AD4"/>
    <w:rsid w:val="001E7D19"/>
    <w:rsid w:val="001E7D55"/>
    <w:rsid w:val="001F047C"/>
    <w:rsid w:val="001F0829"/>
    <w:rsid w:val="001F09B0"/>
    <w:rsid w:val="001F0A2C"/>
    <w:rsid w:val="001F0C79"/>
    <w:rsid w:val="001F0E9C"/>
    <w:rsid w:val="001F1A5E"/>
    <w:rsid w:val="001F1BB3"/>
    <w:rsid w:val="001F2CB9"/>
    <w:rsid w:val="001F31B0"/>
    <w:rsid w:val="001F3442"/>
    <w:rsid w:val="001F3684"/>
    <w:rsid w:val="001F4555"/>
    <w:rsid w:val="001F4568"/>
    <w:rsid w:val="001F46FE"/>
    <w:rsid w:val="001F4C47"/>
    <w:rsid w:val="001F4DAA"/>
    <w:rsid w:val="001F5032"/>
    <w:rsid w:val="001F5F28"/>
    <w:rsid w:val="001F60B8"/>
    <w:rsid w:val="001F6A2A"/>
    <w:rsid w:val="001F6DB1"/>
    <w:rsid w:val="001F6E3D"/>
    <w:rsid w:val="001F6EB9"/>
    <w:rsid w:val="001F72BC"/>
    <w:rsid w:val="001F78B5"/>
    <w:rsid w:val="001F7C5A"/>
    <w:rsid w:val="002003B6"/>
    <w:rsid w:val="00200B76"/>
    <w:rsid w:val="00200E3D"/>
    <w:rsid w:val="00200FDC"/>
    <w:rsid w:val="00201076"/>
    <w:rsid w:val="00201537"/>
    <w:rsid w:val="00201AD2"/>
    <w:rsid w:val="00201ED1"/>
    <w:rsid w:val="0020247D"/>
    <w:rsid w:val="00202624"/>
    <w:rsid w:val="0020297C"/>
    <w:rsid w:val="00202E1C"/>
    <w:rsid w:val="00203430"/>
    <w:rsid w:val="00203EAC"/>
    <w:rsid w:val="00204071"/>
    <w:rsid w:val="00204182"/>
    <w:rsid w:val="002044B9"/>
    <w:rsid w:val="00204AB2"/>
    <w:rsid w:val="002060BE"/>
    <w:rsid w:val="002063AD"/>
    <w:rsid w:val="00206527"/>
    <w:rsid w:val="00206C25"/>
    <w:rsid w:val="002075C2"/>
    <w:rsid w:val="0020764C"/>
    <w:rsid w:val="002076BB"/>
    <w:rsid w:val="0021014F"/>
    <w:rsid w:val="002102B4"/>
    <w:rsid w:val="00210402"/>
    <w:rsid w:val="00210B69"/>
    <w:rsid w:val="00210D37"/>
    <w:rsid w:val="0021174D"/>
    <w:rsid w:val="00211A24"/>
    <w:rsid w:val="00211C99"/>
    <w:rsid w:val="00211D39"/>
    <w:rsid w:val="002120F3"/>
    <w:rsid w:val="002123C7"/>
    <w:rsid w:val="00212D2B"/>
    <w:rsid w:val="00213554"/>
    <w:rsid w:val="00213596"/>
    <w:rsid w:val="00213952"/>
    <w:rsid w:val="00213CED"/>
    <w:rsid w:val="002144ED"/>
    <w:rsid w:val="00214646"/>
    <w:rsid w:val="0021534C"/>
    <w:rsid w:val="00215461"/>
    <w:rsid w:val="00215753"/>
    <w:rsid w:val="002163C3"/>
    <w:rsid w:val="002165A8"/>
    <w:rsid w:val="00216E47"/>
    <w:rsid w:val="002179E4"/>
    <w:rsid w:val="00217F79"/>
    <w:rsid w:val="002203BB"/>
    <w:rsid w:val="00220504"/>
    <w:rsid w:val="00220871"/>
    <w:rsid w:val="00220939"/>
    <w:rsid w:val="00220A09"/>
    <w:rsid w:val="002218C8"/>
    <w:rsid w:val="00222174"/>
    <w:rsid w:val="002225F7"/>
    <w:rsid w:val="00223228"/>
    <w:rsid w:val="002238A5"/>
    <w:rsid w:val="00223A88"/>
    <w:rsid w:val="002241B5"/>
    <w:rsid w:val="002241BE"/>
    <w:rsid w:val="0022433C"/>
    <w:rsid w:val="00224481"/>
    <w:rsid w:val="002246F3"/>
    <w:rsid w:val="0022549F"/>
    <w:rsid w:val="0022556A"/>
    <w:rsid w:val="00225DCC"/>
    <w:rsid w:val="0022613A"/>
    <w:rsid w:val="002264BF"/>
    <w:rsid w:val="00226B80"/>
    <w:rsid w:val="00226C85"/>
    <w:rsid w:val="0022705C"/>
    <w:rsid w:val="002273C2"/>
    <w:rsid w:val="002275B2"/>
    <w:rsid w:val="0022769E"/>
    <w:rsid w:val="00227E50"/>
    <w:rsid w:val="0023007A"/>
    <w:rsid w:val="0023008F"/>
    <w:rsid w:val="002303CA"/>
    <w:rsid w:val="002306B5"/>
    <w:rsid w:val="00230D76"/>
    <w:rsid w:val="0023131D"/>
    <w:rsid w:val="002314EF"/>
    <w:rsid w:val="00231872"/>
    <w:rsid w:val="00231B4C"/>
    <w:rsid w:val="00231D35"/>
    <w:rsid w:val="00231D98"/>
    <w:rsid w:val="00231DEB"/>
    <w:rsid w:val="00232ED9"/>
    <w:rsid w:val="00232F53"/>
    <w:rsid w:val="00232FEB"/>
    <w:rsid w:val="00233240"/>
    <w:rsid w:val="0023362C"/>
    <w:rsid w:val="0023368D"/>
    <w:rsid w:val="002336E3"/>
    <w:rsid w:val="0023397B"/>
    <w:rsid w:val="00233E9B"/>
    <w:rsid w:val="00233F55"/>
    <w:rsid w:val="00233F81"/>
    <w:rsid w:val="00234736"/>
    <w:rsid w:val="0023597D"/>
    <w:rsid w:val="0023641C"/>
    <w:rsid w:val="0023677F"/>
    <w:rsid w:val="002369E0"/>
    <w:rsid w:val="00236EAC"/>
    <w:rsid w:val="00237644"/>
    <w:rsid w:val="00237B0F"/>
    <w:rsid w:val="00237F9F"/>
    <w:rsid w:val="002406A0"/>
    <w:rsid w:val="00240F2D"/>
    <w:rsid w:val="002410A4"/>
    <w:rsid w:val="00241476"/>
    <w:rsid w:val="00241955"/>
    <w:rsid w:val="002419F7"/>
    <w:rsid w:val="00241BE7"/>
    <w:rsid w:val="002423AE"/>
    <w:rsid w:val="00242784"/>
    <w:rsid w:val="00242A84"/>
    <w:rsid w:val="00242CC9"/>
    <w:rsid w:val="002433C2"/>
    <w:rsid w:val="0024360E"/>
    <w:rsid w:val="00243666"/>
    <w:rsid w:val="00243A3B"/>
    <w:rsid w:val="0024402C"/>
    <w:rsid w:val="0024411F"/>
    <w:rsid w:val="002444BB"/>
    <w:rsid w:val="0024483A"/>
    <w:rsid w:val="002448A7"/>
    <w:rsid w:val="00244C50"/>
    <w:rsid w:val="00244E00"/>
    <w:rsid w:val="00245693"/>
    <w:rsid w:val="002457B6"/>
    <w:rsid w:val="0024592C"/>
    <w:rsid w:val="00245FEE"/>
    <w:rsid w:val="0024619E"/>
    <w:rsid w:val="002461D5"/>
    <w:rsid w:val="002464A3"/>
    <w:rsid w:val="00246863"/>
    <w:rsid w:val="00246973"/>
    <w:rsid w:val="00246A0D"/>
    <w:rsid w:val="00247061"/>
    <w:rsid w:val="0025013C"/>
    <w:rsid w:val="00250150"/>
    <w:rsid w:val="002502EB"/>
    <w:rsid w:val="00250D45"/>
    <w:rsid w:val="00250FF7"/>
    <w:rsid w:val="0025101B"/>
    <w:rsid w:val="00251103"/>
    <w:rsid w:val="002519B2"/>
    <w:rsid w:val="00251C69"/>
    <w:rsid w:val="00253278"/>
    <w:rsid w:val="00253380"/>
    <w:rsid w:val="00253740"/>
    <w:rsid w:val="00253AEE"/>
    <w:rsid w:val="0025405B"/>
    <w:rsid w:val="00254998"/>
    <w:rsid w:val="0025553B"/>
    <w:rsid w:val="002559CC"/>
    <w:rsid w:val="00255C47"/>
    <w:rsid w:val="00255C67"/>
    <w:rsid w:val="00255E9B"/>
    <w:rsid w:val="002564EA"/>
    <w:rsid w:val="00256938"/>
    <w:rsid w:val="002569D4"/>
    <w:rsid w:val="00256AF5"/>
    <w:rsid w:val="00256B96"/>
    <w:rsid w:val="00256C54"/>
    <w:rsid w:val="00256D29"/>
    <w:rsid w:val="00257779"/>
    <w:rsid w:val="00257915"/>
    <w:rsid w:val="00257AB9"/>
    <w:rsid w:val="00257BA5"/>
    <w:rsid w:val="00260637"/>
    <w:rsid w:val="00260775"/>
    <w:rsid w:val="00260A58"/>
    <w:rsid w:val="00260AEF"/>
    <w:rsid w:val="00260DB2"/>
    <w:rsid w:val="00260F35"/>
    <w:rsid w:val="00260FD2"/>
    <w:rsid w:val="00261690"/>
    <w:rsid w:val="002619B8"/>
    <w:rsid w:val="002623B7"/>
    <w:rsid w:val="002623F7"/>
    <w:rsid w:val="0026286C"/>
    <w:rsid w:val="002628E7"/>
    <w:rsid w:val="00262D6C"/>
    <w:rsid w:val="00262F5A"/>
    <w:rsid w:val="00263A3A"/>
    <w:rsid w:val="00263BEB"/>
    <w:rsid w:val="002646CA"/>
    <w:rsid w:val="002646FF"/>
    <w:rsid w:val="00264B0D"/>
    <w:rsid w:val="00265649"/>
    <w:rsid w:val="00265BA5"/>
    <w:rsid w:val="00265C56"/>
    <w:rsid w:val="00265C5D"/>
    <w:rsid w:val="00265E60"/>
    <w:rsid w:val="00266177"/>
    <w:rsid w:val="00266718"/>
    <w:rsid w:val="00266907"/>
    <w:rsid w:val="00266D2E"/>
    <w:rsid w:val="002675E6"/>
    <w:rsid w:val="00267F4D"/>
    <w:rsid w:val="0027046C"/>
    <w:rsid w:val="00270DDE"/>
    <w:rsid w:val="00270E24"/>
    <w:rsid w:val="0027118C"/>
    <w:rsid w:val="00271301"/>
    <w:rsid w:val="00271541"/>
    <w:rsid w:val="00271881"/>
    <w:rsid w:val="00271D3B"/>
    <w:rsid w:val="0027230B"/>
    <w:rsid w:val="00272484"/>
    <w:rsid w:val="002725AD"/>
    <w:rsid w:val="002727DD"/>
    <w:rsid w:val="002731C1"/>
    <w:rsid w:val="002734D6"/>
    <w:rsid w:val="00273FBF"/>
    <w:rsid w:val="00274288"/>
    <w:rsid w:val="0027497E"/>
    <w:rsid w:val="00274B20"/>
    <w:rsid w:val="00274E25"/>
    <w:rsid w:val="002750AD"/>
    <w:rsid w:val="00275389"/>
    <w:rsid w:val="00275559"/>
    <w:rsid w:val="00275D56"/>
    <w:rsid w:val="00275FD2"/>
    <w:rsid w:val="0027687D"/>
    <w:rsid w:val="002768F8"/>
    <w:rsid w:val="00276B2B"/>
    <w:rsid w:val="002778FD"/>
    <w:rsid w:val="00277B28"/>
    <w:rsid w:val="00277ECF"/>
    <w:rsid w:val="00280662"/>
    <w:rsid w:val="00280691"/>
    <w:rsid w:val="00280BD0"/>
    <w:rsid w:val="00280D00"/>
    <w:rsid w:val="0028101E"/>
    <w:rsid w:val="002811E9"/>
    <w:rsid w:val="00281837"/>
    <w:rsid w:val="00281F87"/>
    <w:rsid w:val="00282F8F"/>
    <w:rsid w:val="00283BE6"/>
    <w:rsid w:val="00284250"/>
    <w:rsid w:val="0028438F"/>
    <w:rsid w:val="00284397"/>
    <w:rsid w:val="002846CA"/>
    <w:rsid w:val="00284AA6"/>
    <w:rsid w:val="00284B57"/>
    <w:rsid w:val="00284B76"/>
    <w:rsid w:val="00284BE8"/>
    <w:rsid w:val="00284F59"/>
    <w:rsid w:val="002859DD"/>
    <w:rsid w:val="00285C31"/>
    <w:rsid w:val="00285FA2"/>
    <w:rsid w:val="002860A4"/>
    <w:rsid w:val="0028617D"/>
    <w:rsid w:val="00286204"/>
    <w:rsid w:val="00286B94"/>
    <w:rsid w:val="00287230"/>
    <w:rsid w:val="00287751"/>
    <w:rsid w:val="00287892"/>
    <w:rsid w:val="00287AE7"/>
    <w:rsid w:val="00287C66"/>
    <w:rsid w:val="0029004D"/>
    <w:rsid w:val="0029075C"/>
    <w:rsid w:val="00290910"/>
    <w:rsid w:val="002912A7"/>
    <w:rsid w:val="00291730"/>
    <w:rsid w:val="0029189D"/>
    <w:rsid w:val="00291B4A"/>
    <w:rsid w:val="002920F8"/>
    <w:rsid w:val="002923E8"/>
    <w:rsid w:val="0029242D"/>
    <w:rsid w:val="00292789"/>
    <w:rsid w:val="002927A8"/>
    <w:rsid w:val="0029297D"/>
    <w:rsid w:val="0029353D"/>
    <w:rsid w:val="002937B7"/>
    <w:rsid w:val="00293AFF"/>
    <w:rsid w:val="00293C9E"/>
    <w:rsid w:val="00293EA6"/>
    <w:rsid w:val="00293F80"/>
    <w:rsid w:val="00294AEA"/>
    <w:rsid w:val="00294CD7"/>
    <w:rsid w:val="002956FF"/>
    <w:rsid w:val="00295D77"/>
    <w:rsid w:val="00296548"/>
    <w:rsid w:val="00296F17"/>
    <w:rsid w:val="0029756A"/>
    <w:rsid w:val="002975AD"/>
    <w:rsid w:val="00297890"/>
    <w:rsid w:val="00297D96"/>
    <w:rsid w:val="002A005B"/>
    <w:rsid w:val="002A0585"/>
    <w:rsid w:val="002A0D36"/>
    <w:rsid w:val="002A10CF"/>
    <w:rsid w:val="002A1409"/>
    <w:rsid w:val="002A198B"/>
    <w:rsid w:val="002A1B37"/>
    <w:rsid w:val="002A2102"/>
    <w:rsid w:val="002A2610"/>
    <w:rsid w:val="002A2C56"/>
    <w:rsid w:val="002A2E55"/>
    <w:rsid w:val="002A33F6"/>
    <w:rsid w:val="002A3D05"/>
    <w:rsid w:val="002A412C"/>
    <w:rsid w:val="002A569C"/>
    <w:rsid w:val="002A5C3C"/>
    <w:rsid w:val="002A631F"/>
    <w:rsid w:val="002A6C39"/>
    <w:rsid w:val="002A74D1"/>
    <w:rsid w:val="002A761C"/>
    <w:rsid w:val="002A778F"/>
    <w:rsid w:val="002A78ED"/>
    <w:rsid w:val="002B0007"/>
    <w:rsid w:val="002B0036"/>
    <w:rsid w:val="002B0284"/>
    <w:rsid w:val="002B0376"/>
    <w:rsid w:val="002B0A0B"/>
    <w:rsid w:val="002B0B50"/>
    <w:rsid w:val="002B0E0C"/>
    <w:rsid w:val="002B10E0"/>
    <w:rsid w:val="002B16F8"/>
    <w:rsid w:val="002B1DE5"/>
    <w:rsid w:val="002B2075"/>
    <w:rsid w:val="002B21C1"/>
    <w:rsid w:val="002B284E"/>
    <w:rsid w:val="002B29E6"/>
    <w:rsid w:val="002B2EDF"/>
    <w:rsid w:val="002B30A2"/>
    <w:rsid w:val="002B333A"/>
    <w:rsid w:val="002B337E"/>
    <w:rsid w:val="002B35A8"/>
    <w:rsid w:val="002B37A2"/>
    <w:rsid w:val="002B3A01"/>
    <w:rsid w:val="002B4CDD"/>
    <w:rsid w:val="002B4E62"/>
    <w:rsid w:val="002B53CE"/>
    <w:rsid w:val="002B5DE8"/>
    <w:rsid w:val="002B607D"/>
    <w:rsid w:val="002B6D49"/>
    <w:rsid w:val="002B6EFC"/>
    <w:rsid w:val="002B711F"/>
    <w:rsid w:val="002B73DD"/>
    <w:rsid w:val="002B7459"/>
    <w:rsid w:val="002B750F"/>
    <w:rsid w:val="002C0053"/>
    <w:rsid w:val="002C0396"/>
    <w:rsid w:val="002C05D2"/>
    <w:rsid w:val="002C06CB"/>
    <w:rsid w:val="002C0929"/>
    <w:rsid w:val="002C0CAB"/>
    <w:rsid w:val="002C0FFB"/>
    <w:rsid w:val="002C1455"/>
    <w:rsid w:val="002C1648"/>
    <w:rsid w:val="002C1F7E"/>
    <w:rsid w:val="002C2038"/>
    <w:rsid w:val="002C2170"/>
    <w:rsid w:val="002C2230"/>
    <w:rsid w:val="002C2583"/>
    <w:rsid w:val="002C2A5F"/>
    <w:rsid w:val="002C331C"/>
    <w:rsid w:val="002C38BF"/>
    <w:rsid w:val="002C390F"/>
    <w:rsid w:val="002C4B9C"/>
    <w:rsid w:val="002C55E8"/>
    <w:rsid w:val="002C5884"/>
    <w:rsid w:val="002C5E22"/>
    <w:rsid w:val="002C6083"/>
    <w:rsid w:val="002C6301"/>
    <w:rsid w:val="002C63D9"/>
    <w:rsid w:val="002C63FF"/>
    <w:rsid w:val="002C6A9E"/>
    <w:rsid w:val="002C6E4D"/>
    <w:rsid w:val="002C7152"/>
    <w:rsid w:val="002C75FD"/>
    <w:rsid w:val="002C7E98"/>
    <w:rsid w:val="002D0018"/>
    <w:rsid w:val="002D0776"/>
    <w:rsid w:val="002D0CCA"/>
    <w:rsid w:val="002D0D22"/>
    <w:rsid w:val="002D0FE7"/>
    <w:rsid w:val="002D1197"/>
    <w:rsid w:val="002D1361"/>
    <w:rsid w:val="002D1C29"/>
    <w:rsid w:val="002D24C5"/>
    <w:rsid w:val="002D2D10"/>
    <w:rsid w:val="002D3149"/>
    <w:rsid w:val="002D41B9"/>
    <w:rsid w:val="002D4A42"/>
    <w:rsid w:val="002D5146"/>
    <w:rsid w:val="002D5452"/>
    <w:rsid w:val="002D55F7"/>
    <w:rsid w:val="002D5C6C"/>
    <w:rsid w:val="002D5F81"/>
    <w:rsid w:val="002D621B"/>
    <w:rsid w:val="002D62EA"/>
    <w:rsid w:val="002D66DC"/>
    <w:rsid w:val="002D6D56"/>
    <w:rsid w:val="002D7901"/>
    <w:rsid w:val="002D7E6B"/>
    <w:rsid w:val="002E05EE"/>
    <w:rsid w:val="002E11B8"/>
    <w:rsid w:val="002E1823"/>
    <w:rsid w:val="002E1879"/>
    <w:rsid w:val="002E1D84"/>
    <w:rsid w:val="002E1E68"/>
    <w:rsid w:val="002E2383"/>
    <w:rsid w:val="002E2489"/>
    <w:rsid w:val="002E2BCA"/>
    <w:rsid w:val="002E2C3B"/>
    <w:rsid w:val="002E316D"/>
    <w:rsid w:val="002E3757"/>
    <w:rsid w:val="002E4071"/>
    <w:rsid w:val="002E40F1"/>
    <w:rsid w:val="002E4278"/>
    <w:rsid w:val="002E4342"/>
    <w:rsid w:val="002E497E"/>
    <w:rsid w:val="002E4B74"/>
    <w:rsid w:val="002E4C99"/>
    <w:rsid w:val="002E5AC6"/>
    <w:rsid w:val="002E5BBD"/>
    <w:rsid w:val="002E5CE7"/>
    <w:rsid w:val="002E5F1D"/>
    <w:rsid w:val="002E6019"/>
    <w:rsid w:val="002E65F0"/>
    <w:rsid w:val="002E68E0"/>
    <w:rsid w:val="002E7045"/>
    <w:rsid w:val="002E7268"/>
    <w:rsid w:val="002E76DB"/>
    <w:rsid w:val="002E7C68"/>
    <w:rsid w:val="002F0915"/>
    <w:rsid w:val="002F09DE"/>
    <w:rsid w:val="002F0A8B"/>
    <w:rsid w:val="002F121D"/>
    <w:rsid w:val="002F19AD"/>
    <w:rsid w:val="002F1C7F"/>
    <w:rsid w:val="002F1D26"/>
    <w:rsid w:val="002F1F2B"/>
    <w:rsid w:val="002F2916"/>
    <w:rsid w:val="002F306D"/>
    <w:rsid w:val="002F3687"/>
    <w:rsid w:val="002F377F"/>
    <w:rsid w:val="002F3868"/>
    <w:rsid w:val="002F3C8D"/>
    <w:rsid w:val="002F5086"/>
    <w:rsid w:val="002F52EC"/>
    <w:rsid w:val="002F536C"/>
    <w:rsid w:val="002F5A21"/>
    <w:rsid w:val="002F61C0"/>
    <w:rsid w:val="002F62F3"/>
    <w:rsid w:val="002F6F81"/>
    <w:rsid w:val="002F7509"/>
    <w:rsid w:val="002F77D9"/>
    <w:rsid w:val="002F7E71"/>
    <w:rsid w:val="0030083A"/>
    <w:rsid w:val="0030094B"/>
    <w:rsid w:val="00300B47"/>
    <w:rsid w:val="00300FD5"/>
    <w:rsid w:val="0030136C"/>
    <w:rsid w:val="00301A62"/>
    <w:rsid w:val="003024A1"/>
    <w:rsid w:val="00302529"/>
    <w:rsid w:val="00302E55"/>
    <w:rsid w:val="003030C2"/>
    <w:rsid w:val="00303188"/>
    <w:rsid w:val="00303680"/>
    <w:rsid w:val="00303992"/>
    <w:rsid w:val="003039B5"/>
    <w:rsid w:val="00303C75"/>
    <w:rsid w:val="003040C6"/>
    <w:rsid w:val="003046EF"/>
    <w:rsid w:val="00304B80"/>
    <w:rsid w:val="00304EE6"/>
    <w:rsid w:val="003054FF"/>
    <w:rsid w:val="0030560E"/>
    <w:rsid w:val="003059D4"/>
    <w:rsid w:val="00305AA0"/>
    <w:rsid w:val="00305D25"/>
    <w:rsid w:val="00306346"/>
    <w:rsid w:val="00306843"/>
    <w:rsid w:val="0030688A"/>
    <w:rsid w:val="003069E3"/>
    <w:rsid w:val="00306D9A"/>
    <w:rsid w:val="003078BB"/>
    <w:rsid w:val="00307A4F"/>
    <w:rsid w:val="00307B43"/>
    <w:rsid w:val="00307D23"/>
    <w:rsid w:val="00310571"/>
    <w:rsid w:val="00311645"/>
    <w:rsid w:val="00311CAF"/>
    <w:rsid w:val="00311F49"/>
    <w:rsid w:val="00312385"/>
    <w:rsid w:val="003126E4"/>
    <w:rsid w:val="00312978"/>
    <w:rsid w:val="0031297B"/>
    <w:rsid w:val="003130D5"/>
    <w:rsid w:val="003134EB"/>
    <w:rsid w:val="0031363E"/>
    <w:rsid w:val="00313D6A"/>
    <w:rsid w:val="00314F7A"/>
    <w:rsid w:val="00315489"/>
    <w:rsid w:val="00315708"/>
    <w:rsid w:val="00316589"/>
    <w:rsid w:val="00316966"/>
    <w:rsid w:val="00317F46"/>
    <w:rsid w:val="0032033F"/>
    <w:rsid w:val="00320648"/>
    <w:rsid w:val="003208AC"/>
    <w:rsid w:val="00320C13"/>
    <w:rsid w:val="00320C18"/>
    <w:rsid w:val="00320F03"/>
    <w:rsid w:val="003212A1"/>
    <w:rsid w:val="0032131E"/>
    <w:rsid w:val="0032149B"/>
    <w:rsid w:val="00321934"/>
    <w:rsid w:val="003219B8"/>
    <w:rsid w:val="00321AF2"/>
    <w:rsid w:val="00321E17"/>
    <w:rsid w:val="003221A4"/>
    <w:rsid w:val="003223F4"/>
    <w:rsid w:val="0032241D"/>
    <w:rsid w:val="00322B57"/>
    <w:rsid w:val="00322FE9"/>
    <w:rsid w:val="00323DF9"/>
    <w:rsid w:val="0032416B"/>
    <w:rsid w:val="003246CC"/>
    <w:rsid w:val="00324D99"/>
    <w:rsid w:val="00324E0A"/>
    <w:rsid w:val="00325306"/>
    <w:rsid w:val="0032626F"/>
    <w:rsid w:val="003263A3"/>
    <w:rsid w:val="00326426"/>
    <w:rsid w:val="00326B70"/>
    <w:rsid w:val="00326DD3"/>
    <w:rsid w:val="0033037F"/>
    <w:rsid w:val="003304E2"/>
    <w:rsid w:val="0033098D"/>
    <w:rsid w:val="00330E8E"/>
    <w:rsid w:val="00330FF3"/>
    <w:rsid w:val="00331440"/>
    <w:rsid w:val="00331471"/>
    <w:rsid w:val="00331B5E"/>
    <w:rsid w:val="00331BB5"/>
    <w:rsid w:val="003322C7"/>
    <w:rsid w:val="0033231E"/>
    <w:rsid w:val="0033243D"/>
    <w:rsid w:val="0033261E"/>
    <w:rsid w:val="00332724"/>
    <w:rsid w:val="00332769"/>
    <w:rsid w:val="00332ADA"/>
    <w:rsid w:val="00332C2D"/>
    <w:rsid w:val="00332F2F"/>
    <w:rsid w:val="0033328A"/>
    <w:rsid w:val="00334539"/>
    <w:rsid w:val="003348DD"/>
    <w:rsid w:val="00334EE4"/>
    <w:rsid w:val="003355A1"/>
    <w:rsid w:val="00335AD6"/>
    <w:rsid w:val="00336431"/>
    <w:rsid w:val="00336433"/>
    <w:rsid w:val="0033656F"/>
    <w:rsid w:val="00336F8B"/>
    <w:rsid w:val="0033754E"/>
    <w:rsid w:val="003376DE"/>
    <w:rsid w:val="00337842"/>
    <w:rsid w:val="0034023B"/>
    <w:rsid w:val="00340BC3"/>
    <w:rsid w:val="00340F8C"/>
    <w:rsid w:val="0034107F"/>
    <w:rsid w:val="003419F5"/>
    <w:rsid w:val="00342797"/>
    <w:rsid w:val="00342938"/>
    <w:rsid w:val="00342B85"/>
    <w:rsid w:val="003431D6"/>
    <w:rsid w:val="003439E4"/>
    <w:rsid w:val="00343C87"/>
    <w:rsid w:val="00343E90"/>
    <w:rsid w:val="003442BA"/>
    <w:rsid w:val="003442BF"/>
    <w:rsid w:val="00344595"/>
    <w:rsid w:val="00344A5F"/>
    <w:rsid w:val="00344F65"/>
    <w:rsid w:val="00345113"/>
    <w:rsid w:val="0034541F"/>
    <w:rsid w:val="00345BFE"/>
    <w:rsid w:val="00345FB8"/>
    <w:rsid w:val="0034601B"/>
    <w:rsid w:val="003469A9"/>
    <w:rsid w:val="0034729B"/>
    <w:rsid w:val="0034756A"/>
    <w:rsid w:val="00347625"/>
    <w:rsid w:val="00347654"/>
    <w:rsid w:val="003477CA"/>
    <w:rsid w:val="003505E8"/>
    <w:rsid w:val="00350B40"/>
    <w:rsid w:val="00350B96"/>
    <w:rsid w:val="003515BB"/>
    <w:rsid w:val="00351643"/>
    <w:rsid w:val="003528F3"/>
    <w:rsid w:val="00352D00"/>
    <w:rsid w:val="00352FBB"/>
    <w:rsid w:val="0035315E"/>
    <w:rsid w:val="003531C8"/>
    <w:rsid w:val="003532B6"/>
    <w:rsid w:val="00353DF0"/>
    <w:rsid w:val="00353ED8"/>
    <w:rsid w:val="00354555"/>
    <w:rsid w:val="003550E0"/>
    <w:rsid w:val="003552B1"/>
    <w:rsid w:val="0035538A"/>
    <w:rsid w:val="00355425"/>
    <w:rsid w:val="00355529"/>
    <w:rsid w:val="00355B83"/>
    <w:rsid w:val="003564F3"/>
    <w:rsid w:val="0035703C"/>
    <w:rsid w:val="0035734D"/>
    <w:rsid w:val="00357A2E"/>
    <w:rsid w:val="00357B51"/>
    <w:rsid w:val="00360559"/>
    <w:rsid w:val="00360642"/>
    <w:rsid w:val="003608A7"/>
    <w:rsid w:val="0036116C"/>
    <w:rsid w:val="003614EF"/>
    <w:rsid w:val="003617F2"/>
    <w:rsid w:val="003624E9"/>
    <w:rsid w:val="003633A8"/>
    <w:rsid w:val="00363C86"/>
    <w:rsid w:val="003643DC"/>
    <w:rsid w:val="00364758"/>
    <w:rsid w:val="00366362"/>
    <w:rsid w:val="00367452"/>
    <w:rsid w:val="0036775C"/>
    <w:rsid w:val="00367BDF"/>
    <w:rsid w:val="00367E2C"/>
    <w:rsid w:val="00367F70"/>
    <w:rsid w:val="003702C7"/>
    <w:rsid w:val="00370377"/>
    <w:rsid w:val="00370B58"/>
    <w:rsid w:val="00370F5E"/>
    <w:rsid w:val="00371622"/>
    <w:rsid w:val="00371754"/>
    <w:rsid w:val="003735B9"/>
    <w:rsid w:val="00374319"/>
    <w:rsid w:val="003744CE"/>
    <w:rsid w:val="003747AC"/>
    <w:rsid w:val="0037488F"/>
    <w:rsid w:val="00374BCE"/>
    <w:rsid w:val="00375293"/>
    <w:rsid w:val="003752C0"/>
    <w:rsid w:val="00375490"/>
    <w:rsid w:val="0037575A"/>
    <w:rsid w:val="003764D9"/>
    <w:rsid w:val="0037691C"/>
    <w:rsid w:val="00376D04"/>
    <w:rsid w:val="00377652"/>
    <w:rsid w:val="0037799F"/>
    <w:rsid w:val="00377AD1"/>
    <w:rsid w:val="00377E09"/>
    <w:rsid w:val="00380214"/>
    <w:rsid w:val="003805F1"/>
    <w:rsid w:val="003806D0"/>
    <w:rsid w:val="0038098A"/>
    <w:rsid w:val="00380F86"/>
    <w:rsid w:val="0038107A"/>
    <w:rsid w:val="003812A4"/>
    <w:rsid w:val="00381304"/>
    <w:rsid w:val="003819B6"/>
    <w:rsid w:val="00381D8C"/>
    <w:rsid w:val="00382166"/>
    <w:rsid w:val="00382468"/>
    <w:rsid w:val="00382A15"/>
    <w:rsid w:val="00382A6D"/>
    <w:rsid w:val="003832EC"/>
    <w:rsid w:val="0038340D"/>
    <w:rsid w:val="00383557"/>
    <w:rsid w:val="003839D3"/>
    <w:rsid w:val="003841E2"/>
    <w:rsid w:val="003842AD"/>
    <w:rsid w:val="00384E66"/>
    <w:rsid w:val="003856BC"/>
    <w:rsid w:val="003856F0"/>
    <w:rsid w:val="003859B8"/>
    <w:rsid w:val="00385BB4"/>
    <w:rsid w:val="00385C53"/>
    <w:rsid w:val="003860CA"/>
    <w:rsid w:val="0038709D"/>
    <w:rsid w:val="00387440"/>
    <w:rsid w:val="00387656"/>
    <w:rsid w:val="0039025C"/>
    <w:rsid w:val="00390A38"/>
    <w:rsid w:val="00390E6C"/>
    <w:rsid w:val="0039106C"/>
    <w:rsid w:val="00391922"/>
    <w:rsid w:val="00391A45"/>
    <w:rsid w:val="003920BB"/>
    <w:rsid w:val="003928DF"/>
    <w:rsid w:val="00392CE0"/>
    <w:rsid w:val="00392F22"/>
    <w:rsid w:val="0039322E"/>
    <w:rsid w:val="00393611"/>
    <w:rsid w:val="00393AD0"/>
    <w:rsid w:val="00393AEB"/>
    <w:rsid w:val="00394D75"/>
    <w:rsid w:val="0039691A"/>
    <w:rsid w:val="0039725F"/>
    <w:rsid w:val="003973B8"/>
    <w:rsid w:val="003978E5"/>
    <w:rsid w:val="003979A2"/>
    <w:rsid w:val="00397F66"/>
    <w:rsid w:val="003A0079"/>
    <w:rsid w:val="003A05BD"/>
    <w:rsid w:val="003A0BF4"/>
    <w:rsid w:val="003A0DB4"/>
    <w:rsid w:val="003A1308"/>
    <w:rsid w:val="003A2292"/>
    <w:rsid w:val="003A2662"/>
    <w:rsid w:val="003A29A0"/>
    <w:rsid w:val="003A2AD5"/>
    <w:rsid w:val="003A2BEE"/>
    <w:rsid w:val="003A2CD5"/>
    <w:rsid w:val="003A2EF0"/>
    <w:rsid w:val="003A2FC1"/>
    <w:rsid w:val="003A320E"/>
    <w:rsid w:val="003A336C"/>
    <w:rsid w:val="003A33FF"/>
    <w:rsid w:val="003A357E"/>
    <w:rsid w:val="003A3623"/>
    <w:rsid w:val="003A3BDE"/>
    <w:rsid w:val="003A3E61"/>
    <w:rsid w:val="003A4121"/>
    <w:rsid w:val="003A4352"/>
    <w:rsid w:val="003A443F"/>
    <w:rsid w:val="003A4E40"/>
    <w:rsid w:val="003A4E65"/>
    <w:rsid w:val="003A60A4"/>
    <w:rsid w:val="003A60DD"/>
    <w:rsid w:val="003A6AD1"/>
    <w:rsid w:val="003A6D82"/>
    <w:rsid w:val="003A6D98"/>
    <w:rsid w:val="003A6F3D"/>
    <w:rsid w:val="003A7DD7"/>
    <w:rsid w:val="003B06BC"/>
    <w:rsid w:val="003B0C6B"/>
    <w:rsid w:val="003B0C79"/>
    <w:rsid w:val="003B0C8B"/>
    <w:rsid w:val="003B1405"/>
    <w:rsid w:val="003B14F6"/>
    <w:rsid w:val="003B196A"/>
    <w:rsid w:val="003B1EFE"/>
    <w:rsid w:val="003B20C9"/>
    <w:rsid w:val="003B213A"/>
    <w:rsid w:val="003B2187"/>
    <w:rsid w:val="003B29F9"/>
    <w:rsid w:val="003B2AEE"/>
    <w:rsid w:val="003B2B7E"/>
    <w:rsid w:val="003B2E07"/>
    <w:rsid w:val="003B30E3"/>
    <w:rsid w:val="003B3777"/>
    <w:rsid w:val="003B3878"/>
    <w:rsid w:val="003B38B7"/>
    <w:rsid w:val="003B488A"/>
    <w:rsid w:val="003B4A60"/>
    <w:rsid w:val="003B5447"/>
    <w:rsid w:val="003B5528"/>
    <w:rsid w:val="003B5FF7"/>
    <w:rsid w:val="003B61EE"/>
    <w:rsid w:val="003B667C"/>
    <w:rsid w:val="003B6ECD"/>
    <w:rsid w:val="003B7767"/>
    <w:rsid w:val="003C0931"/>
    <w:rsid w:val="003C0DA4"/>
    <w:rsid w:val="003C18CB"/>
    <w:rsid w:val="003C1A06"/>
    <w:rsid w:val="003C1D48"/>
    <w:rsid w:val="003C1E65"/>
    <w:rsid w:val="003C1F86"/>
    <w:rsid w:val="003C1FF9"/>
    <w:rsid w:val="003C24BD"/>
    <w:rsid w:val="003C2BB0"/>
    <w:rsid w:val="003C2BBB"/>
    <w:rsid w:val="003C2C63"/>
    <w:rsid w:val="003C3AED"/>
    <w:rsid w:val="003C3B61"/>
    <w:rsid w:val="003C3E69"/>
    <w:rsid w:val="003C40DF"/>
    <w:rsid w:val="003C43EE"/>
    <w:rsid w:val="003C4FF0"/>
    <w:rsid w:val="003C5415"/>
    <w:rsid w:val="003C5C55"/>
    <w:rsid w:val="003C5E79"/>
    <w:rsid w:val="003C5EF1"/>
    <w:rsid w:val="003C5F58"/>
    <w:rsid w:val="003C637F"/>
    <w:rsid w:val="003C709A"/>
    <w:rsid w:val="003C753E"/>
    <w:rsid w:val="003C763C"/>
    <w:rsid w:val="003C792B"/>
    <w:rsid w:val="003C79A9"/>
    <w:rsid w:val="003C7DB8"/>
    <w:rsid w:val="003D067D"/>
    <w:rsid w:val="003D0A63"/>
    <w:rsid w:val="003D11BB"/>
    <w:rsid w:val="003D1F63"/>
    <w:rsid w:val="003D2322"/>
    <w:rsid w:val="003D233B"/>
    <w:rsid w:val="003D23AA"/>
    <w:rsid w:val="003D247E"/>
    <w:rsid w:val="003D279D"/>
    <w:rsid w:val="003D2864"/>
    <w:rsid w:val="003D2993"/>
    <w:rsid w:val="003D29CF"/>
    <w:rsid w:val="003D31F0"/>
    <w:rsid w:val="003D3700"/>
    <w:rsid w:val="003D373B"/>
    <w:rsid w:val="003D39F2"/>
    <w:rsid w:val="003D3B4A"/>
    <w:rsid w:val="003D47E4"/>
    <w:rsid w:val="003D529B"/>
    <w:rsid w:val="003D52F6"/>
    <w:rsid w:val="003D53C8"/>
    <w:rsid w:val="003D550A"/>
    <w:rsid w:val="003D5A83"/>
    <w:rsid w:val="003D5FEE"/>
    <w:rsid w:val="003D6BF5"/>
    <w:rsid w:val="003D73A7"/>
    <w:rsid w:val="003D77BA"/>
    <w:rsid w:val="003D7ADD"/>
    <w:rsid w:val="003E047E"/>
    <w:rsid w:val="003E04A0"/>
    <w:rsid w:val="003E0B1C"/>
    <w:rsid w:val="003E0B30"/>
    <w:rsid w:val="003E104F"/>
    <w:rsid w:val="003E1D3D"/>
    <w:rsid w:val="003E1DC7"/>
    <w:rsid w:val="003E252D"/>
    <w:rsid w:val="003E268F"/>
    <w:rsid w:val="003E381B"/>
    <w:rsid w:val="003E3C30"/>
    <w:rsid w:val="003E4594"/>
    <w:rsid w:val="003E48D9"/>
    <w:rsid w:val="003E4A28"/>
    <w:rsid w:val="003E4A7A"/>
    <w:rsid w:val="003E4D91"/>
    <w:rsid w:val="003E4E61"/>
    <w:rsid w:val="003E5422"/>
    <w:rsid w:val="003E549D"/>
    <w:rsid w:val="003E5544"/>
    <w:rsid w:val="003E560B"/>
    <w:rsid w:val="003E68B1"/>
    <w:rsid w:val="003E6CC5"/>
    <w:rsid w:val="003F0208"/>
    <w:rsid w:val="003F0928"/>
    <w:rsid w:val="003F0DB0"/>
    <w:rsid w:val="003F14B3"/>
    <w:rsid w:val="003F18E6"/>
    <w:rsid w:val="003F1CDB"/>
    <w:rsid w:val="003F20D5"/>
    <w:rsid w:val="003F2488"/>
    <w:rsid w:val="003F27E0"/>
    <w:rsid w:val="003F2B64"/>
    <w:rsid w:val="003F2DFE"/>
    <w:rsid w:val="003F3339"/>
    <w:rsid w:val="003F37A3"/>
    <w:rsid w:val="003F3C25"/>
    <w:rsid w:val="003F3D5F"/>
    <w:rsid w:val="003F4603"/>
    <w:rsid w:val="003F49ED"/>
    <w:rsid w:val="003F4FF3"/>
    <w:rsid w:val="003F51F2"/>
    <w:rsid w:val="003F5372"/>
    <w:rsid w:val="003F5949"/>
    <w:rsid w:val="003F5B57"/>
    <w:rsid w:val="003F6308"/>
    <w:rsid w:val="003F65DE"/>
    <w:rsid w:val="003F663C"/>
    <w:rsid w:val="003F6709"/>
    <w:rsid w:val="003F6AC7"/>
    <w:rsid w:val="003F7AD4"/>
    <w:rsid w:val="004000B1"/>
    <w:rsid w:val="0040050E"/>
    <w:rsid w:val="00400B4A"/>
    <w:rsid w:val="00400E50"/>
    <w:rsid w:val="00400E9F"/>
    <w:rsid w:val="00400F4F"/>
    <w:rsid w:val="004016D2"/>
    <w:rsid w:val="00401A8C"/>
    <w:rsid w:val="00401C96"/>
    <w:rsid w:val="00401FD2"/>
    <w:rsid w:val="00402505"/>
    <w:rsid w:val="00402526"/>
    <w:rsid w:val="004025AC"/>
    <w:rsid w:val="00402E34"/>
    <w:rsid w:val="0040326D"/>
    <w:rsid w:val="004034A0"/>
    <w:rsid w:val="004034B3"/>
    <w:rsid w:val="00403A36"/>
    <w:rsid w:val="0040460C"/>
    <w:rsid w:val="00404D83"/>
    <w:rsid w:val="00405776"/>
    <w:rsid w:val="00405803"/>
    <w:rsid w:val="00405804"/>
    <w:rsid w:val="00405894"/>
    <w:rsid w:val="004058FA"/>
    <w:rsid w:val="00405908"/>
    <w:rsid w:val="00405B5D"/>
    <w:rsid w:val="00405F00"/>
    <w:rsid w:val="004062A6"/>
    <w:rsid w:val="00406506"/>
    <w:rsid w:val="00406B5E"/>
    <w:rsid w:val="004071D8"/>
    <w:rsid w:val="00407489"/>
    <w:rsid w:val="0040762B"/>
    <w:rsid w:val="00407986"/>
    <w:rsid w:val="00407C25"/>
    <w:rsid w:val="004103D7"/>
    <w:rsid w:val="004111D8"/>
    <w:rsid w:val="00411DE3"/>
    <w:rsid w:val="00412431"/>
    <w:rsid w:val="00412545"/>
    <w:rsid w:val="004132AD"/>
    <w:rsid w:val="004134D8"/>
    <w:rsid w:val="00413B31"/>
    <w:rsid w:val="00413D3B"/>
    <w:rsid w:val="00414101"/>
    <w:rsid w:val="00414232"/>
    <w:rsid w:val="00414350"/>
    <w:rsid w:val="00414A73"/>
    <w:rsid w:val="00414C5D"/>
    <w:rsid w:val="00414E87"/>
    <w:rsid w:val="00415627"/>
    <w:rsid w:val="0041578F"/>
    <w:rsid w:val="00415D73"/>
    <w:rsid w:val="0041603D"/>
    <w:rsid w:val="0041606E"/>
    <w:rsid w:val="00416650"/>
    <w:rsid w:val="00416955"/>
    <w:rsid w:val="00416F63"/>
    <w:rsid w:val="0041729D"/>
    <w:rsid w:val="00417804"/>
    <w:rsid w:val="00417809"/>
    <w:rsid w:val="00417999"/>
    <w:rsid w:val="004203D4"/>
    <w:rsid w:val="00420A09"/>
    <w:rsid w:val="00420C7D"/>
    <w:rsid w:val="00420E21"/>
    <w:rsid w:val="00420FE5"/>
    <w:rsid w:val="00421009"/>
    <w:rsid w:val="00421540"/>
    <w:rsid w:val="0042263F"/>
    <w:rsid w:val="00422983"/>
    <w:rsid w:val="00423372"/>
    <w:rsid w:val="00423905"/>
    <w:rsid w:val="00423C88"/>
    <w:rsid w:val="00424232"/>
    <w:rsid w:val="00424B82"/>
    <w:rsid w:val="004254C9"/>
    <w:rsid w:val="00426022"/>
    <w:rsid w:val="004265EB"/>
    <w:rsid w:val="00426C9D"/>
    <w:rsid w:val="00426CCF"/>
    <w:rsid w:val="004273D3"/>
    <w:rsid w:val="004279D7"/>
    <w:rsid w:val="0043014D"/>
    <w:rsid w:val="0043080D"/>
    <w:rsid w:val="00430D81"/>
    <w:rsid w:val="004310FF"/>
    <w:rsid w:val="004311F5"/>
    <w:rsid w:val="004316FE"/>
    <w:rsid w:val="00431D2B"/>
    <w:rsid w:val="00431D7E"/>
    <w:rsid w:val="00431D8C"/>
    <w:rsid w:val="00431D9E"/>
    <w:rsid w:val="00432927"/>
    <w:rsid w:val="00432971"/>
    <w:rsid w:val="00432C71"/>
    <w:rsid w:val="00432C9C"/>
    <w:rsid w:val="00432E1A"/>
    <w:rsid w:val="00433B02"/>
    <w:rsid w:val="00433F74"/>
    <w:rsid w:val="00434394"/>
    <w:rsid w:val="00434B1A"/>
    <w:rsid w:val="00435350"/>
    <w:rsid w:val="0043556C"/>
    <w:rsid w:val="004355B8"/>
    <w:rsid w:val="00435675"/>
    <w:rsid w:val="00435D5D"/>
    <w:rsid w:val="00435DB9"/>
    <w:rsid w:val="00435E67"/>
    <w:rsid w:val="00435ED7"/>
    <w:rsid w:val="00435F14"/>
    <w:rsid w:val="00436038"/>
    <w:rsid w:val="004360D1"/>
    <w:rsid w:val="004365B9"/>
    <w:rsid w:val="0043667E"/>
    <w:rsid w:val="00436BAD"/>
    <w:rsid w:val="00437AD9"/>
    <w:rsid w:val="00440168"/>
    <w:rsid w:val="00440354"/>
    <w:rsid w:val="0044064F"/>
    <w:rsid w:val="0044072B"/>
    <w:rsid w:val="004413D8"/>
    <w:rsid w:val="00441A01"/>
    <w:rsid w:val="00441D87"/>
    <w:rsid w:val="00441F97"/>
    <w:rsid w:val="00442138"/>
    <w:rsid w:val="00442347"/>
    <w:rsid w:val="00442AF1"/>
    <w:rsid w:val="00442C4F"/>
    <w:rsid w:val="00443E46"/>
    <w:rsid w:val="00443E6E"/>
    <w:rsid w:val="004451BE"/>
    <w:rsid w:val="00445428"/>
    <w:rsid w:val="004455F3"/>
    <w:rsid w:val="004456B6"/>
    <w:rsid w:val="004461F4"/>
    <w:rsid w:val="004468D8"/>
    <w:rsid w:val="00446A41"/>
    <w:rsid w:val="00446BD7"/>
    <w:rsid w:val="00446C1B"/>
    <w:rsid w:val="00446C85"/>
    <w:rsid w:val="00447697"/>
    <w:rsid w:val="00447933"/>
    <w:rsid w:val="00447D1F"/>
    <w:rsid w:val="00447E87"/>
    <w:rsid w:val="00447EF1"/>
    <w:rsid w:val="004509E0"/>
    <w:rsid w:val="00450D97"/>
    <w:rsid w:val="004518F5"/>
    <w:rsid w:val="00451B21"/>
    <w:rsid w:val="00451F3C"/>
    <w:rsid w:val="00451F8D"/>
    <w:rsid w:val="004520EF"/>
    <w:rsid w:val="004523A0"/>
    <w:rsid w:val="004525D6"/>
    <w:rsid w:val="004532C4"/>
    <w:rsid w:val="00453A9A"/>
    <w:rsid w:val="00453D7A"/>
    <w:rsid w:val="0045484D"/>
    <w:rsid w:val="0045496B"/>
    <w:rsid w:val="00454D41"/>
    <w:rsid w:val="00454FEE"/>
    <w:rsid w:val="004557FE"/>
    <w:rsid w:val="00455B4B"/>
    <w:rsid w:val="00455DA8"/>
    <w:rsid w:val="004560D0"/>
    <w:rsid w:val="00456399"/>
    <w:rsid w:val="0045661E"/>
    <w:rsid w:val="0045695E"/>
    <w:rsid w:val="0045767D"/>
    <w:rsid w:val="00457A55"/>
    <w:rsid w:val="00457AFF"/>
    <w:rsid w:val="00457E25"/>
    <w:rsid w:val="004604E3"/>
    <w:rsid w:val="004606F2"/>
    <w:rsid w:val="00460A06"/>
    <w:rsid w:val="00460DFA"/>
    <w:rsid w:val="004612D7"/>
    <w:rsid w:val="004614CD"/>
    <w:rsid w:val="00461D63"/>
    <w:rsid w:val="00462982"/>
    <w:rsid w:val="00462B2A"/>
    <w:rsid w:val="004637BA"/>
    <w:rsid w:val="00464401"/>
    <w:rsid w:val="004648A5"/>
    <w:rsid w:val="00465386"/>
    <w:rsid w:val="00465ADB"/>
    <w:rsid w:val="00465D03"/>
    <w:rsid w:val="004663ED"/>
    <w:rsid w:val="004665ED"/>
    <w:rsid w:val="004675F3"/>
    <w:rsid w:val="00467874"/>
    <w:rsid w:val="00467949"/>
    <w:rsid w:val="0047023B"/>
    <w:rsid w:val="00470406"/>
    <w:rsid w:val="00470910"/>
    <w:rsid w:val="00470AC3"/>
    <w:rsid w:val="00470BF9"/>
    <w:rsid w:val="00471067"/>
    <w:rsid w:val="00472136"/>
    <w:rsid w:val="0047237E"/>
    <w:rsid w:val="004729E8"/>
    <w:rsid w:val="0047309A"/>
    <w:rsid w:val="004733E6"/>
    <w:rsid w:val="00473A48"/>
    <w:rsid w:val="00474967"/>
    <w:rsid w:val="00474F35"/>
    <w:rsid w:val="004753FE"/>
    <w:rsid w:val="00475578"/>
    <w:rsid w:val="00475AC8"/>
    <w:rsid w:val="00475C4B"/>
    <w:rsid w:val="0047610C"/>
    <w:rsid w:val="00476119"/>
    <w:rsid w:val="004765F0"/>
    <w:rsid w:val="00476835"/>
    <w:rsid w:val="004772E4"/>
    <w:rsid w:val="00477512"/>
    <w:rsid w:val="004778EE"/>
    <w:rsid w:val="00477D60"/>
    <w:rsid w:val="00480337"/>
    <w:rsid w:val="0048091D"/>
    <w:rsid w:val="004809C9"/>
    <w:rsid w:val="00480B40"/>
    <w:rsid w:val="00480B4C"/>
    <w:rsid w:val="004814AA"/>
    <w:rsid w:val="004816CD"/>
    <w:rsid w:val="004817A7"/>
    <w:rsid w:val="00481848"/>
    <w:rsid w:val="00481B02"/>
    <w:rsid w:val="00482015"/>
    <w:rsid w:val="00482D9B"/>
    <w:rsid w:val="00483036"/>
    <w:rsid w:val="0048321C"/>
    <w:rsid w:val="004834E6"/>
    <w:rsid w:val="004835D2"/>
    <w:rsid w:val="004835F3"/>
    <w:rsid w:val="0048381F"/>
    <w:rsid w:val="00483A27"/>
    <w:rsid w:val="00484004"/>
    <w:rsid w:val="00484288"/>
    <w:rsid w:val="0048499B"/>
    <w:rsid w:val="00484B59"/>
    <w:rsid w:val="00484E49"/>
    <w:rsid w:val="004854BE"/>
    <w:rsid w:val="00486182"/>
    <w:rsid w:val="0048636A"/>
    <w:rsid w:val="00486390"/>
    <w:rsid w:val="00486942"/>
    <w:rsid w:val="00486E1E"/>
    <w:rsid w:val="0048712C"/>
    <w:rsid w:val="0048729F"/>
    <w:rsid w:val="0048783B"/>
    <w:rsid w:val="00487A71"/>
    <w:rsid w:val="004900E7"/>
    <w:rsid w:val="00490540"/>
    <w:rsid w:val="00490714"/>
    <w:rsid w:val="004908B9"/>
    <w:rsid w:val="00490F04"/>
    <w:rsid w:val="00491209"/>
    <w:rsid w:val="004915C7"/>
    <w:rsid w:val="00491A9F"/>
    <w:rsid w:val="00491FF8"/>
    <w:rsid w:val="0049224B"/>
    <w:rsid w:val="00492385"/>
    <w:rsid w:val="00492B0D"/>
    <w:rsid w:val="00493033"/>
    <w:rsid w:val="0049466E"/>
    <w:rsid w:val="004951A3"/>
    <w:rsid w:val="004953C1"/>
    <w:rsid w:val="00495F9F"/>
    <w:rsid w:val="00495FFF"/>
    <w:rsid w:val="0049646A"/>
    <w:rsid w:val="0049668C"/>
    <w:rsid w:val="00496B85"/>
    <w:rsid w:val="00496F7F"/>
    <w:rsid w:val="00496F9B"/>
    <w:rsid w:val="00497466"/>
    <w:rsid w:val="00497B54"/>
    <w:rsid w:val="004A08E6"/>
    <w:rsid w:val="004A09D7"/>
    <w:rsid w:val="004A0DBC"/>
    <w:rsid w:val="004A101F"/>
    <w:rsid w:val="004A1170"/>
    <w:rsid w:val="004A16F7"/>
    <w:rsid w:val="004A182A"/>
    <w:rsid w:val="004A1897"/>
    <w:rsid w:val="004A18EF"/>
    <w:rsid w:val="004A21A6"/>
    <w:rsid w:val="004A238A"/>
    <w:rsid w:val="004A2B44"/>
    <w:rsid w:val="004A3375"/>
    <w:rsid w:val="004A349B"/>
    <w:rsid w:val="004A3FA9"/>
    <w:rsid w:val="004A40E9"/>
    <w:rsid w:val="004A4614"/>
    <w:rsid w:val="004A484B"/>
    <w:rsid w:val="004A4F15"/>
    <w:rsid w:val="004A4F16"/>
    <w:rsid w:val="004A5F3C"/>
    <w:rsid w:val="004A6167"/>
    <w:rsid w:val="004A6B05"/>
    <w:rsid w:val="004A6B9F"/>
    <w:rsid w:val="004A71E8"/>
    <w:rsid w:val="004A730C"/>
    <w:rsid w:val="004A7C11"/>
    <w:rsid w:val="004B0370"/>
    <w:rsid w:val="004B049D"/>
    <w:rsid w:val="004B055D"/>
    <w:rsid w:val="004B0778"/>
    <w:rsid w:val="004B0C32"/>
    <w:rsid w:val="004B0D5F"/>
    <w:rsid w:val="004B172C"/>
    <w:rsid w:val="004B18D2"/>
    <w:rsid w:val="004B1A29"/>
    <w:rsid w:val="004B1D15"/>
    <w:rsid w:val="004B1FDC"/>
    <w:rsid w:val="004B211F"/>
    <w:rsid w:val="004B21BB"/>
    <w:rsid w:val="004B25DE"/>
    <w:rsid w:val="004B2BFE"/>
    <w:rsid w:val="004B2E53"/>
    <w:rsid w:val="004B3268"/>
    <w:rsid w:val="004B33A6"/>
    <w:rsid w:val="004B3C9A"/>
    <w:rsid w:val="004B4382"/>
    <w:rsid w:val="004B47B7"/>
    <w:rsid w:val="004B5106"/>
    <w:rsid w:val="004B5CCD"/>
    <w:rsid w:val="004B64B0"/>
    <w:rsid w:val="004B6603"/>
    <w:rsid w:val="004B6B8B"/>
    <w:rsid w:val="004B6BB1"/>
    <w:rsid w:val="004B779D"/>
    <w:rsid w:val="004C0109"/>
    <w:rsid w:val="004C0820"/>
    <w:rsid w:val="004C0824"/>
    <w:rsid w:val="004C0977"/>
    <w:rsid w:val="004C0C95"/>
    <w:rsid w:val="004C10ED"/>
    <w:rsid w:val="004C1A2E"/>
    <w:rsid w:val="004C20EF"/>
    <w:rsid w:val="004C24F8"/>
    <w:rsid w:val="004C2510"/>
    <w:rsid w:val="004C28EF"/>
    <w:rsid w:val="004C29F4"/>
    <w:rsid w:val="004C2CFF"/>
    <w:rsid w:val="004C3199"/>
    <w:rsid w:val="004C324E"/>
    <w:rsid w:val="004C326E"/>
    <w:rsid w:val="004C3510"/>
    <w:rsid w:val="004C3E07"/>
    <w:rsid w:val="004C499F"/>
    <w:rsid w:val="004C53FA"/>
    <w:rsid w:val="004C596E"/>
    <w:rsid w:val="004C5D69"/>
    <w:rsid w:val="004C5F7A"/>
    <w:rsid w:val="004C6232"/>
    <w:rsid w:val="004C7798"/>
    <w:rsid w:val="004C7EE7"/>
    <w:rsid w:val="004D0E20"/>
    <w:rsid w:val="004D119A"/>
    <w:rsid w:val="004D1D71"/>
    <w:rsid w:val="004D2092"/>
    <w:rsid w:val="004D2339"/>
    <w:rsid w:val="004D24E1"/>
    <w:rsid w:val="004D29EE"/>
    <w:rsid w:val="004D3C5E"/>
    <w:rsid w:val="004D3F3D"/>
    <w:rsid w:val="004D4236"/>
    <w:rsid w:val="004D4521"/>
    <w:rsid w:val="004D481E"/>
    <w:rsid w:val="004D49C7"/>
    <w:rsid w:val="004D4BA1"/>
    <w:rsid w:val="004D4D82"/>
    <w:rsid w:val="004D5810"/>
    <w:rsid w:val="004D5B49"/>
    <w:rsid w:val="004D65AB"/>
    <w:rsid w:val="004D78E5"/>
    <w:rsid w:val="004D7993"/>
    <w:rsid w:val="004D7B37"/>
    <w:rsid w:val="004D7BA2"/>
    <w:rsid w:val="004D7F9E"/>
    <w:rsid w:val="004D7FD5"/>
    <w:rsid w:val="004E0428"/>
    <w:rsid w:val="004E059C"/>
    <w:rsid w:val="004E097B"/>
    <w:rsid w:val="004E0C82"/>
    <w:rsid w:val="004E13BE"/>
    <w:rsid w:val="004E14E7"/>
    <w:rsid w:val="004E1909"/>
    <w:rsid w:val="004E1923"/>
    <w:rsid w:val="004E1B9C"/>
    <w:rsid w:val="004E1EA6"/>
    <w:rsid w:val="004E1FD8"/>
    <w:rsid w:val="004E2313"/>
    <w:rsid w:val="004E2A46"/>
    <w:rsid w:val="004E3528"/>
    <w:rsid w:val="004E362B"/>
    <w:rsid w:val="004E44CC"/>
    <w:rsid w:val="004E46B3"/>
    <w:rsid w:val="004E4E1D"/>
    <w:rsid w:val="004E4EE4"/>
    <w:rsid w:val="004E4EF9"/>
    <w:rsid w:val="004E55C3"/>
    <w:rsid w:val="004E5903"/>
    <w:rsid w:val="004E5FF4"/>
    <w:rsid w:val="004E5FFD"/>
    <w:rsid w:val="004E6856"/>
    <w:rsid w:val="004E723B"/>
    <w:rsid w:val="004E73DF"/>
    <w:rsid w:val="004E7861"/>
    <w:rsid w:val="004E7D0D"/>
    <w:rsid w:val="004F0639"/>
    <w:rsid w:val="004F08C3"/>
    <w:rsid w:val="004F0903"/>
    <w:rsid w:val="004F09F0"/>
    <w:rsid w:val="004F0AE1"/>
    <w:rsid w:val="004F0BEB"/>
    <w:rsid w:val="004F1641"/>
    <w:rsid w:val="004F20DC"/>
    <w:rsid w:val="004F2749"/>
    <w:rsid w:val="004F289D"/>
    <w:rsid w:val="004F29FC"/>
    <w:rsid w:val="004F2D0B"/>
    <w:rsid w:val="004F2E3A"/>
    <w:rsid w:val="004F3007"/>
    <w:rsid w:val="004F31F9"/>
    <w:rsid w:val="004F3235"/>
    <w:rsid w:val="004F33A1"/>
    <w:rsid w:val="004F3A28"/>
    <w:rsid w:val="004F3D1C"/>
    <w:rsid w:val="004F3F9F"/>
    <w:rsid w:val="004F4F76"/>
    <w:rsid w:val="004F53A3"/>
    <w:rsid w:val="004F5741"/>
    <w:rsid w:val="004F5C17"/>
    <w:rsid w:val="004F5E63"/>
    <w:rsid w:val="004F62FC"/>
    <w:rsid w:val="004F6A96"/>
    <w:rsid w:val="004F6BC9"/>
    <w:rsid w:val="004F6C80"/>
    <w:rsid w:val="004F6CF2"/>
    <w:rsid w:val="004F6E29"/>
    <w:rsid w:val="004F74E4"/>
    <w:rsid w:val="004F7706"/>
    <w:rsid w:val="004F7DA1"/>
    <w:rsid w:val="004F7DB0"/>
    <w:rsid w:val="0050010F"/>
    <w:rsid w:val="0050030C"/>
    <w:rsid w:val="005004C0"/>
    <w:rsid w:val="00500603"/>
    <w:rsid w:val="00500621"/>
    <w:rsid w:val="005009C3"/>
    <w:rsid w:val="00500BEE"/>
    <w:rsid w:val="00500D19"/>
    <w:rsid w:val="005015B4"/>
    <w:rsid w:val="005016F5"/>
    <w:rsid w:val="00501E70"/>
    <w:rsid w:val="00501EA2"/>
    <w:rsid w:val="00501EE3"/>
    <w:rsid w:val="005020AE"/>
    <w:rsid w:val="0050226A"/>
    <w:rsid w:val="00502480"/>
    <w:rsid w:val="00502683"/>
    <w:rsid w:val="005026E1"/>
    <w:rsid w:val="00502CD6"/>
    <w:rsid w:val="00502ED6"/>
    <w:rsid w:val="005030B3"/>
    <w:rsid w:val="005032E0"/>
    <w:rsid w:val="00503690"/>
    <w:rsid w:val="00503909"/>
    <w:rsid w:val="00503CF8"/>
    <w:rsid w:val="00503D48"/>
    <w:rsid w:val="0050422F"/>
    <w:rsid w:val="00504B21"/>
    <w:rsid w:val="00504BA5"/>
    <w:rsid w:val="00505792"/>
    <w:rsid w:val="00505C12"/>
    <w:rsid w:val="00507778"/>
    <w:rsid w:val="0050798E"/>
    <w:rsid w:val="00507EA4"/>
    <w:rsid w:val="0051034D"/>
    <w:rsid w:val="005108F4"/>
    <w:rsid w:val="0051095F"/>
    <w:rsid w:val="00510ADC"/>
    <w:rsid w:val="00510BBD"/>
    <w:rsid w:val="00510BF3"/>
    <w:rsid w:val="00511241"/>
    <w:rsid w:val="00511378"/>
    <w:rsid w:val="00511464"/>
    <w:rsid w:val="005115B2"/>
    <w:rsid w:val="0051164D"/>
    <w:rsid w:val="005117A9"/>
    <w:rsid w:val="005117D7"/>
    <w:rsid w:val="00511C29"/>
    <w:rsid w:val="00512543"/>
    <w:rsid w:val="005125BE"/>
    <w:rsid w:val="00512E6B"/>
    <w:rsid w:val="0051348C"/>
    <w:rsid w:val="00513709"/>
    <w:rsid w:val="0051437D"/>
    <w:rsid w:val="00514504"/>
    <w:rsid w:val="00514977"/>
    <w:rsid w:val="0051498D"/>
    <w:rsid w:val="00514FF0"/>
    <w:rsid w:val="0051509F"/>
    <w:rsid w:val="0051633D"/>
    <w:rsid w:val="005166A5"/>
    <w:rsid w:val="005166DA"/>
    <w:rsid w:val="00516B8E"/>
    <w:rsid w:val="005173D9"/>
    <w:rsid w:val="00517CCE"/>
    <w:rsid w:val="0052010B"/>
    <w:rsid w:val="005202CD"/>
    <w:rsid w:val="005207BE"/>
    <w:rsid w:val="00520945"/>
    <w:rsid w:val="00520AEA"/>
    <w:rsid w:val="00520B30"/>
    <w:rsid w:val="00521069"/>
    <w:rsid w:val="0052134B"/>
    <w:rsid w:val="00521D10"/>
    <w:rsid w:val="0052242A"/>
    <w:rsid w:val="00522C71"/>
    <w:rsid w:val="00522EC8"/>
    <w:rsid w:val="00523497"/>
    <w:rsid w:val="00523924"/>
    <w:rsid w:val="00524001"/>
    <w:rsid w:val="00524492"/>
    <w:rsid w:val="005244E7"/>
    <w:rsid w:val="005247F4"/>
    <w:rsid w:val="00524C6C"/>
    <w:rsid w:val="00524D00"/>
    <w:rsid w:val="00524D8D"/>
    <w:rsid w:val="00524DE4"/>
    <w:rsid w:val="005254DD"/>
    <w:rsid w:val="0052568A"/>
    <w:rsid w:val="00525DEC"/>
    <w:rsid w:val="00526463"/>
    <w:rsid w:val="00526633"/>
    <w:rsid w:val="00526D1F"/>
    <w:rsid w:val="00526D2D"/>
    <w:rsid w:val="005271F3"/>
    <w:rsid w:val="0053025C"/>
    <w:rsid w:val="00530291"/>
    <w:rsid w:val="005306A9"/>
    <w:rsid w:val="00530A4F"/>
    <w:rsid w:val="00530B21"/>
    <w:rsid w:val="00530E79"/>
    <w:rsid w:val="00531194"/>
    <w:rsid w:val="0053198A"/>
    <w:rsid w:val="00531D51"/>
    <w:rsid w:val="0053220C"/>
    <w:rsid w:val="00532763"/>
    <w:rsid w:val="00532C3B"/>
    <w:rsid w:val="00533613"/>
    <w:rsid w:val="00533780"/>
    <w:rsid w:val="00533EFA"/>
    <w:rsid w:val="00534002"/>
    <w:rsid w:val="005342E9"/>
    <w:rsid w:val="00534626"/>
    <w:rsid w:val="0053567C"/>
    <w:rsid w:val="005356E4"/>
    <w:rsid w:val="0053590D"/>
    <w:rsid w:val="00535AD5"/>
    <w:rsid w:val="00535BE5"/>
    <w:rsid w:val="00536494"/>
    <w:rsid w:val="0053658B"/>
    <w:rsid w:val="005366D3"/>
    <w:rsid w:val="005367F5"/>
    <w:rsid w:val="00536EC8"/>
    <w:rsid w:val="0053732B"/>
    <w:rsid w:val="005403BA"/>
    <w:rsid w:val="00540E73"/>
    <w:rsid w:val="005410EB"/>
    <w:rsid w:val="0054155E"/>
    <w:rsid w:val="00541F99"/>
    <w:rsid w:val="005420BD"/>
    <w:rsid w:val="005421B7"/>
    <w:rsid w:val="00542289"/>
    <w:rsid w:val="00542A45"/>
    <w:rsid w:val="00542B24"/>
    <w:rsid w:val="00542C41"/>
    <w:rsid w:val="00543187"/>
    <w:rsid w:val="00543574"/>
    <w:rsid w:val="00543979"/>
    <w:rsid w:val="00543A2C"/>
    <w:rsid w:val="00543CC0"/>
    <w:rsid w:val="00543D7B"/>
    <w:rsid w:val="005440C6"/>
    <w:rsid w:val="005444BD"/>
    <w:rsid w:val="005444E4"/>
    <w:rsid w:val="00544AD8"/>
    <w:rsid w:val="00544B79"/>
    <w:rsid w:val="005458BE"/>
    <w:rsid w:val="00545A4B"/>
    <w:rsid w:val="00545ADB"/>
    <w:rsid w:val="00545BBC"/>
    <w:rsid w:val="00545FD9"/>
    <w:rsid w:val="0054635A"/>
    <w:rsid w:val="00546634"/>
    <w:rsid w:val="005478F3"/>
    <w:rsid w:val="00547E7C"/>
    <w:rsid w:val="0055029A"/>
    <w:rsid w:val="00550ABD"/>
    <w:rsid w:val="00551764"/>
    <w:rsid w:val="005519CF"/>
    <w:rsid w:val="00551D84"/>
    <w:rsid w:val="005537DD"/>
    <w:rsid w:val="00553846"/>
    <w:rsid w:val="0055418E"/>
    <w:rsid w:val="005542F8"/>
    <w:rsid w:val="005549BB"/>
    <w:rsid w:val="005555E0"/>
    <w:rsid w:val="00555E97"/>
    <w:rsid w:val="00556793"/>
    <w:rsid w:val="00556A12"/>
    <w:rsid w:val="00556B3C"/>
    <w:rsid w:val="00556C3C"/>
    <w:rsid w:val="00556D76"/>
    <w:rsid w:val="00557215"/>
    <w:rsid w:val="0055723C"/>
    <w:rsid w:val="00557326"/>
    <w:rsid w:val="00557732"/>
    <w:rsid w:val="0055798E"/>
    <w:rsid w:val="00557D89"/>
    <w:rsid w:val="005602A6"/>
    <w:rsid w:val="005609A6"/>
    <w:rsid w:val="00562294"/>
    <w:rsid w:val="005623B1"/>
    <w:rsid w:val="005623F0"/>
    <w:rsid w:val="00562623"/>
    <w:rsid w:val="005626AB"/>
    <w:rsid w:val="005632E9"/>
    <w:rsid w:val="005633F5"/>
    <w:rsid w:val="00563638"/>
    <w:rsid w:val="005639A0"/>
    <w:rsid w:val="005640C1"/>
    <w:rsid w:val="0056492F"/>
    <w:rsid w:val="0056538A"/>
    <w:rsid w:val="005653C5"/>
    <w:rsid w:val="0056540A"/>
    <w:rsid w:val="005658B5"/>
    <w:rsid w:val="00565A04"/>
    <w:rsid w:val="00565D19"/>
    <w:rsid w:val="00566461"/>
    <w:rsid w:val="00566A1C"/>
    <w:rsid w:val="00566F0E"/>
    <w:rsid w:val="0056763F"/>
    <w:rsid w:val="00567653"/>
    <w:rsid w:val="00567863"/>
    <w:rsid w:val="005678BA"/>
    <w:rsid w:val="00567A0E"/>
    <w:rsid w:val="00570414"/>
    <w:rsid w:val="00570437"/>
    <w:rsid w:val="00570A17"/>
    <w:rsid w:val="0057102E"/>
    <w:rsid w:val="00571448"/>
    <w:rsid w:val="00571744"/>
    <w:rsid w:val="00571C69"/>
    <w:rsid w:val="005734EE"/>
    <w:rsid w:val="00573829"/>
    <w:rsid w:val="00573AA0"/>
    <w:rsid w:val="00573AE7"/>
    <w:rsid w:val="00573E23"/>
    <w:rsid w:val="00574C7C"/>
    <w:rsid w:val="00575371"/>
    <w:rsid w:val="00575EC9"/>
    <w:rsid w:val="00577317"/>
    <w:rsid w:val="00577AA1"/>
    <w:rsid w:val="00577F19"/>
    <w:rsid w:val="00580451"/>
    <w:rsid w:val="005805E5"/>
    <w:rsid w:val="005808FD"/>
    <w:rsid w:val="005809A5"/>
    <w:rsid w:val="00580D01"/>
    <w:rsid w:val="00581218"/>
    <w:rsid w:val="00581AC6"/>
    <w:rsid w:val="0058223F"/>
    <w:rsid w:val="00582276"/>
    <w:rsid w:val="005822AD"/>
    <w:rsid w:val="005822F1"/>
    <w:rsid w:val="00582F1C"/>
    <w:rsid w:val="00582F77"/>
    <w:rsid w:val="00583889"/>
    <w:rsid w:val="00583B43"/>
    <w:rsid w:val="00584EF4"/>
    <w:rsid w:val="005853A2"/>
    <w:rsid w:val="00586338"/>
    <w:rsid w:val="0058732C"/>
    <w:rsid w:val="00587D18"/>
    <w:rsid w:val="00587DA6"/>
    <w:rsid w:val="00587FDE"/>
    <w:rsid w:val="0059000C"/>
    <w:rsid w:val="00590208"/>
    <w:rsid w:val="00590356"/>
    <w:rsid w:val="005912F2"/>
    <w:rsid w:val="005919E6"/>
    <w:rsid w:val="00592448"/>
    <w:rsid w:val="00592540"/>
    <w:rsid w:val="00592921"/>
    <w:rsid w:val="00592DD9"/>
    <w:rsid w:val="00592ED8"/>
    <w:rsid w:val="00593142"/>
    <w:rsid w:val="00593278"/>
    <w:rsid w:val="005936CD"/>
    <w:rsid w:val="005938A1"/>
    <w:rsid w:val="00593DB3"/>
    <w:rsid w:val="005946E9"/>
    <w:rsid w:val="00594DBE"/>
    <w:rsid w:val="005958A0"/>
    <w:rsid w:val="00595C63"/>
    <w:rsid w:val="005970EA"/>
    <w:rsid w:val="005975CC"/>
    <w:rsid w:val="00597B08"/>
    <w:rsid w:val="005A0525"/>
    <w:rsid w:val="005A06CE"/>
    <w:rsid w:val="005A12C3"/>
    <w:rsid w:val="005A1399"/>
    <w:rsid w:val="005A14CF"/>
    <w:rsid w:val="005A165E"/>
    <w:rsid w:val="005A1892"/>
    <w:rsid w:val="005A1965"/>
    <w:rsid w:val="005A1CD9"/>
    <w:rsid w:val="005A1EB0"/>
    <w:rsid w:val="005A2889"/>
    <w:rsid w:val="005A28A7"/>
    <w:rsid w:val="005A3198"/>
    <w:rsid w:val="005A356C"/>
    <w:rsid w:val="005A3815"/>
    <w:rsid w:val="005A3937"/>
    <w:rsid w:val="005A400B"/>
    <w:rsid w:val="005A4F36"/>
    <w:rsid w:val="005A53D0"/>
    <w:rsid w:val="005A568C"/>
    <w:rsid w:val="005A56B5"/>
    <w:rsid w:val="005A60F1"/>
    <w:rsid w:val="005A7887"/>
    <w:rsid w:val="005A7BD5"/>
    <w:rsid w:val="005B0117"/>
    <w:rsid w:val="005B0197"/>
    <w:rsid w:val="005B01D8"/>
    <w:rsid w:val="005B03D7"/>
    <w:rsid w:val="005B0A24"/>
    <w:rsid w:val="005B0C43"/>
    <w:rsid w:val="005B10D8"/>
    <w:rsid w:val="005B15B9"/>
    <w:rsid w:val="005B1C18"/>
    <w:rsid w:val="005B1C2C"/>
    <w:rsid w:val="005B1D39"/>
    <w:rsid w:val="005B1D9C"/>
    <w:rsid w:val="005B23A4"/>
    <w:rsid w:val="005B2544"/>
    <w:rsid w:val="005B268B"/>
    <w:rsid w:val="005B2B8D"/>
    <w:rsid w:val="005B3352"/>
    <w:rsid w:val="005B3374"/>
    <w:rsid w:val="005B347B"/>
    <w:rsid w:val="005B35CC"/>
    <w:rsid w:val="005B35CE"/>
    <w:rsid w:val="005B3B05"/>
    <w:rsid w:val="005B43F0"/>
    <w:rsid w:val="005B4E04"/>
    <w:rsid w:val="005B505A"/>
    <w:rsid w:val="005B53F4"/>
    <w:rsid w:val="005B54B8"/>
    <w:rsid w:val="005B5525"/>
    <w:rsid w:val="005B578E"/>
    <w:rsid w:val="005B582B"/>
    <w:rsid w:val="005B5E54"/>
    <w:rsid w:val="005B5FB0"/>
    <w:rsid w:val="005B612B"/>
    <w:rsid w:val="005B6B38"/>
    <w:rsid w:val="005B6EB3"/>
    <w:rsid w:val="005B72FA"/>
    <w:rsid w:val="005B74CE"/>
    <w:rsid w:val="005B7B73"/>
    <w:rsid w:val="005C084C"/>
    <w:rsid w:val="005C0F2B"/>
    <w:rsid w:val="005C1A09"/>
    <w:rsid w:val="005C1B2B"/>
    <w:rsid w:val="005C1DC3"/>
    <w:rsid w:val="005C1EE0"/>
    <w:rsid w:val="005C1FBA"/>
    <w:rsid w:val="005C227E"/>
    <w:rsid w:val="005C2446"/>
    <w:rsid w:val="005C2EC4"/>
    <w:rsid w:val="005C305F"/>
    <w:rsid w:val="005C38A6"/>
    <w:rsid w:val="005C38F8"/>
    <w:rsid w:val="005C3917"/>
    <w:rsid w:val="005C471E"/>
    <w:rsid w:val="005C4A7D"/>
    <w:rsid w:val="005C53F0"/>
    <w:rsid w:val="005C563A"/>
    <w:rsid w:val="005C6148"/>
    <w:rsid w:val="005C6176"/>
    <w:rsid w:val="005C6F54"/>
    <w:rsid w:val="005C7309"/>
    <w:rsid w:val="005C7615"/>
    <w:rsid w:val="005C7D89"/>
    <w:rsid w:val="005C7DA3"/>
    <w:rsid w:val="005D09B4"/>
    <w:rsid w:val="005D0E1C"/>
    <w:rsid w:val="005D123A"/>
    <w:rsid w:val="005D1932"/>
    <w:rsid w:val="005D1CDE"/>
    <w:rsid w:val="005D1DF9"/>
    <w:rsid w:val="005D22BC"/>
    <w:rsid w:val="005D2D4F"/>
    <w:rsid w:val="005D3014"/>
    <w:rsid w:val="005D3158"/>
    <w:rsid w:val="005D3543"/>
    <w:rsid w:val="005D3592"/>
    <w:rsid w:val="005D3E87"/>
    <w:rsid w:val="005D3EAB"/>
    <w:rsid w:val="005D4399"/>
    <w:rsid w:val="005D4944"/>
    <w:rsid w:val="005D52DA"/>
    <w:rsid w:val="005D52E3"/>
    <w:rsid w:val="005D53DF"/>
    <w:rsid w:val="005D5839"/>
    <w:rsid w:val="005D59FD"/>
    <w:rsid w:val="005D5C28"/>
    <w:rsid w:val="005D5CD5"/>
    <w:rsid w:val="005D615B"/>
    <w:rsid w:val="005D6327"/>
    <w:rsid w:val="005D6C6D"/>
    <w:rsid w:val="005D7352"/>
    <w:rsid w:val="005D7571"/>
    <w:rsid w:val="005D7707"/>
    <w:rsid w:val="005D788A"/>
    <w:rsid w:val="005D78C4"/>
    <w:rsid w:val="005D7978"/>
    <w:rsid w:val="005D7CCF"/>
    <w:rsid w:val="005E0551"/>
    <w:rsid w:val="005E082E"/>
    <w:rsid w:val="005E0A5C"/>
    <w:rsid w:val="005E0B63"/>
    <w:rsid w:val="005E0C8A"/>
    <w:rsid w:val="005E11E6"/>
    <w:rsid w:val="005E1486"/>
    <w:rsid w:val="005E17D3"/>
    <w:rsid w:val="005E4254"/>
    <w:rsid w:val="005E4764"/>
    <w:rsid w:val="005E4985"/>
    <w:rsid w:val="005E4E02"/>
    <w:rsid w:val="005E5079"/>
    <w:rsid w:val="005E549C"/>
    <w:rsid w:val="005E5A70"/>
    <w:rsid w:val="005E6078"/>
    <w:rsid w:val="005E669C"/>
    <w:rsid w:val="005E6728"/>
    <w:rsid w:val="005E68D4"/>
    <w:rsid w:val="005E737B"/>
    <w:rsid w:val="005E775B"/>
    <w:rsid w:val="005E79C1"/>
    <w:rsid w:val="005E7BB4"/>
    <w:rsid w:val="005F02AF"/>
    <w:rsid w:val="005F0C4E"/>
    <w:rsid w:val="005F12AA"/>
    <w:rsid w:val="005F1FD7"/>
    <w:rsid w:val="005F32FC"/>
    <w:rsid w:val="005F3438"/>
    <w:rsid w:val="005F3BE2"/>
    <w:rsid w:val="005F4308"/>
    <w:rsid w:val="005F4A14"/>
    <w:rsid w:val="005F4CC6"/>
    <w:rsid w:val="005F5404"/>
    <w:rsid w:val="005F6633"/>
    <w:rsid w:val="005F6663"/>
    <w:rsid w:val="005F6841"/>
    <w:rsid w:val="005F71B4"/>
    <w:rsid w:val="005F73B1"/>
    <w:rsid w:val="005F779F"/>
    <w:rsid w:val="005F7B43"/>
    <w:rsid w:val="005F7C00"/>
    <w:rsid w:val="005F7CD8"/>
    <w:rsid w:val="005F7DDE"/>
    <w:rsid w:val="005F7FCF"/>
    <w:rsid w:val="00600795"/>
    <w:rsid w:val="00600B9E"/>
    <w:rsid w:val="00600C3C"/>
    <w:rsid w:val="00600FC0"/>
    <w:rsid w:val="00601251"/>
    <w:rsid w:val="00601594"/>
    <w:rsid w:val="0060174A"/>
    <w:rsid w:val="00601FEA"/>
    <w:rsid w:val="006021B4"/>
    <w:rsid w:val="00602811"/>
    <w:rsid w:val="006028A7"/>
    <w:rsid w:val="00602D90"/>
    <w:rsid w:val="00604138"/>
    <w:rsid w:val="0060490A"/>
    <w:rsid w:val="006049AF"/>
    <w:rsid w:val="006056EE"/>
    <w:rsid w:val="00605945"/>
    <w:rsid w:val="006059EF"/>
    <w:rsid w:val="00605AA7"/>
    <w:rsid w:val="00605EA0"/>
    <w:rsid w:val="006063AE"/>
    <w:rsid w:val="006063D5"/>
    <w:rsid w:val="00606865"/>
    <w:rsid w:val="00607852"/>
    <w:rsid w:val="00607999"/>
    <w:rsid w:val="006079F1"/>
    <w:rsid w:val="00607C60"/>
    <w:rsid w:val="006100E5"/>
    <w:rsid w:val="006101C6"/>
    <w:rsid w:val="00610808"/>
    <w:rsid w:val="00610C6A"/>
    <w:rsid w:val="00610CD1"/>
    <w:rsid w:val="00610F5C"/>
    <w:rsid w:val="0061123C"/>
    <w:rsid w:val="00611692"/>
    <w:rsid w:val="006117D3"/>
    <w:rsid w:val="00611C7E"/>
    <w:rsid w:val="00611CDC"/>
    <w:rsid w:val="00612491"/>
    <w:rsid w:val="00612BC1"/>
    <w:rsid w:val="00612D3A"/>
    <w:rsid w:val="00612E1C"/>
    <w:rsid w:val="0061383F"/>
    <w:rsid w:val="0061394A"/>
    <w:rsid w:val="00613E1E"/>
    <w:rsid w:val="00613F13"/>
    <w:rsid w:val="00614AD2"/>
    <w:rsid w:val="00614E90"/>
    <w:rsid w:val="00615438"/>
    <w:rsid w:val="006154D0"/>
    <w:rsid w:val="006156D5"/>
    <w:rsid w:val="00615A98"/>
    <w:rsid w:val="00615AF7"/>
    <w:rsid w:val="00615B3D"/>
    <w:rsid w:val="006161B1"/>
    <w:rsid w:val="006164EE"/>
    <w:rsid w:val="0061660F"/>
    <w:rsid w:val="006166D9"/>
    <w:rsid w:val="00620596"/>
    <w:rsid w:val="00620ADB"/>
    <w:rsid w:val="00620FFA"/>
    <w:rsid w:val="00621405"/>
    <w:rsid w:val="006220D8"/>
    <w:rsid w:val="006222EC"/>
    <w:rsid w:val="0062253A"/>
    <w:rsid w:val="006227D1"/>
    <w:rsid w:val="00622925"/>
    <w:rsid w:val="0062296D"/>
    <w:rsid w:val="00622A54"/>
    <w:rsid w:val="00622C65"/>
    <w:rsid w:val="00622EA4"/>
    <w:rsid w:val="006230E0"/>
    <w:rsid w:val="006230F3"/>
    <w:rsid w:val="006236B5"/>
    <w:rsid w:val="0062405A"/>
    <w:rsid w:val="0062423A"/>
    <w:rsid w:val="0062474F"/>
    <w:rsid w:val="00624F05"/>
    <w:rsid w:val="00625FA4"/>
    <w:rsid w:val="0062604B"/>
    <w:rsid w:val="0062682A"/>
    <w:rsid w:val="00626B31"/>
    <w:rsid w:val="00626BE3"/>
    <w:rsid w:val="006273FD"/>
    <w:rsid w:val="00627453"/>
    <w:rsid w:val="00627786"/>
    <w:rsid w:val="00627A65"/>
    <w:rsid w:val="00627BDA"/>
    <w:rsid w:val="00630A1F"/>
    <w:rsid w:val="00630E65"/>
    <w:rsid w:val="00631375"/>
    <w:rsid w:val="006316F9"/>
    <w:rsid w:val="0063185C"/>
    <w:rsid w:val="00631934"/>
    <w:rsid w:val="00632093"/>
    <w:rsid w:val="00632779"/>
    <w:rsid w:val="00632A76"/>
    <w:rsid w:val="00633521"/>
    <w:rsid w:val="00633658"/>
    <w:rsid w:val="0063377D"/>
    <w:rsid w:val="0063415B"/>
    <w:rsid w:val="00634181"/>
    <w:rsid w:val="006346BF"/>
    <w:rsid w:val="006351EE"/>
    <w:rsid w:val="00635381"/>
    <w:rsid w:val="00635712"/>
    <w:rsid w:val="00635915"/>
    <w:rsid w:val="00635B25"/>
    <w:rsid w:val="00635BA2"/>
    <w:rsid w:val="00635CC9"/>
    <w:rsid w:val="00635EF0"/>
    <w:rsid w:val="00635F98"/>
    <w:rsid w:val="00635FDC"/>
    <w:rsid w:val="00636244"/>
    <w:rsid w:val="00636AA8"/>
    <w:rsid w:val="00636C47"/>
    <w:rsid w:val="00636CC0"/>
    <w:rsid w:val="00637153"/>
    <w:rsid w:val="0063771A"/>
    <w:rsid w:val="0063780C"/>
    <w:rsid w:val="00637968"/>
    <w:rsid w:val="00637DE3"/>
    <w:rsid w:val="0064017C"/>
    <w:rsid w:val="00640374"/>
    <w:rsid w:val="00640A69"/>
    <w:rsid w:val="00640D89"/>
    <w:rsid w:val="00640EAC"/>
    <w:rsid w:val="0064193D"/>
    <w:rsid w:val="006419D9"/>
    <w:rsid w:val="00641B18"/>
    <w:rsid w:val="00641D12"/>
    <w:rsid w:val="00641E0B"/>
    <w:rsid w:val="00642622"/>
    <w:rsid w:val="00642FD6"/>
    <w:rsid w:val="006433A6"/>
    <w:rsid w:val="00643979"/>
    <w:rsid w:val="006442C3"/>
    <w:rsid w:val="00644945"/>
    <w:rsid w:val="006449D6"/>
    <w:rsid w:val="00644A05"/>
    <w:rsid w:val="00644A9C"/>
    <w:rsid w:val="00645712"/>
    <w:rsid w:val="00645E2A"/>
    <w:rsid w:val="00645E39"/>
    <w:rsid w:val="00646765"/>
    <w:rsid w:val="006467FB"/>
    <w:rsid w:val="00646B21"/>
    <w:rsid w:val="00646EDB"/>
    <w:rsid w:val="00646F20"/>
    <w:rsid w:val="006477F7"/>
    <w:rsid w:val="00647803"/>
    <w:rsid w:val="00647E0B"/>
    <w:rsid w:val="00647EDE"/>
    <w:rsid w:val="00650070"/>
    <w:rsid w:val="006500AB"/>
    <w:rsid w:val="00650C92"/>
    <w:rsid w:val="00650F4F"/>
    <w:rsid w:val="00651648"/>
    <w:rsid w:val="00651BF7"/>
    <w:rsid w:val="006523F3"/>
    <w:rsid w:val="0065240D"/>
    <w:rsid w:val="006528C6"/>
    <w:rsid w:val="00652B9B"/>
    <w:rsid w:val="00652CAB"/>
    <w:rsid w:val="00653420"/>
    <w:rsid w:val="00654075"/>
    <w:rsid w:val="0065429F"/>
    <w:rsid w:val="0065499C"/>
    <w:rsid w:val="006549FD"/>
    <w:rsid w:val="0065563A"/>
    <w:rsid w:val="00655821"/>
    <w:rsid w:val="00655BA9"/>
    <w:rsid w:val="00656166"/>
    <w:rsid w:val="00656386"/>
    <w:rsid w:val="00656AB0"/>
    <w:rsid w:val="00656B25"/>
    <w:rsid w:val="00656C49"/>
    <w:rsid w:val="00657365"/>
    <w:rsid w:val="0065743C"/>
    <w:rsid w:val="00657B40"/>
    <w:rsid w:val="00657E09"/>
    <w:rsid w:val="0066040B"/>
    <w:rsid w:val="00660432"/>
    <w:rsid w:val="0066083C"/>
    <w:rsid w:val="00660888"/>
    <w:rsid w:val="00660D27"/>
    <w:rsid w:val="00661198"/>
    <w:rsid w:val="00661866"/>
    <w:rsid w:val="00661A18"/>
    <w:rsid w:val="00661D99"/>
    <w:rsid w:val="00662CD4"/>
    <w:rsid w:val="006632C2"/>
    <w:rsid w:val="00663BFF"/>
    <w:rsid w:val="00663D8F"/>
    <w:rsid w:val="00664C71"/>
    <w:rsid w:val="006652C5"/>
    <w:rsid w:val="00665A0A"/>
    <w:rsid w:val="00665A70"/>
    <w:rsid w:val="0066658B"/>
    <w:rsid w:val="00666E1B"/>
    <w:rsid w:val="006673FD"/>
    <w:rsid w:val="00667753"/>
    <w:rsid w:val="00667D5C"/>
    <w:rsid w:val="0067034C"/>
    <w:rsid w:val="00670473"/>
    <w:rsid w:val="00670951"/>
    <w:rsid w:val="00670A26"/>
    <w:rsid w:val="00670E33"/>
    <w:rsid w:val="00670F44"/>
    <w:rsid w:val="00670FBD"/>
    <w:rsid w:val="00670FD0"/>
    <w:rsid w:val="00671038"/>
    <w:rsid w:val="0067116E"/>
    <w:rsid w:val="00671B90"/>
    <w:rsid w:val="006720D5"/>
    <w:rsid w:val="006723E5"/>
    <w:rsid w:val="00672FCC"/>
    <w:rsid w:val="00673166"/>
    <w:rsid w:val="0067341F"/>
    <w:rsid w:val="00673694"/>
    <w:rsid w:val="0067457E"/>
    <w:rsid w:val="006746A8"/>
    <w:rsid w:val="00674B32"/>
    <w:rsid w:val="00674DF6"/>
    <w:rsid w:val="006751AA"/>
    <w:rsid w:val="0067589F"/>
    <w:rsid w:val="00675BAF"/>
    <w:rsid w:val="006760ED"/>
    <w:rsid w:val="00676113"/>
    <w:rsid w:val="00676465"/>
    <w:rsid w:val="00676731"/>
    <w:rsid w:val="006775D6"/>
    <w:rsid w:val="00677CB3"/>
    <w:rsid w:val="0068015B"/>
    <w:rsid w:val="00680A7B"/>
    <w:rsid w:val="00680BC1"/>
    <w:rsid w:val="00680CEC"/>
    <w:rsid w:val="00681483"/>
    <w:rsid w:val="00681779"/>
    <w:rsid w:val="00681B21"/>
    <w:rsid w:val="006824B9"/>
    <w:rsid w:val="00682D4F"/>
    <w:rsid w:val="00682DC8"/>
    <w:rsid w:val="00682FDD"/>
    <w:rsid w:val="0068327C"/>
    <w:rsid w:val="006839E7"/>
    <w:rsid w:val="00683BE0"/>
    <w:rsid w:val="0068416A"/>
    <w:rsid w:val="006842B8"/>
    <w:rsid w:val="006842FA"/>
    <w:rsid w:val="0068466A"/>
    <w:rsid w:val="006849B8"/>
    <w:rsid w:val="00685DD5"/>
    <w:rsid w:val="0068608B"/>
    <w:rsid w:val="00686579"/>
    <w:rsid w:val="00686896"/>
    <w:rsid w:val="0068699A"/>
    <w:rsid w:val="006870A7"/>
    <w:rsid w:val="0068778B"/>
    <w:rsid w:val="006877EA"/>
    <w:rsid w:val="00687C9F"/>
    <w:rsid w:val="00687F72"/>
    <w:rsid w:val="0069033D"/>
    <w:rsid w:val="00690DFF"/>
    <w:rsid w:val="0069108B"/>
    <w:rsid w:val="006911FA"/>
    <w:rsid w:val="00691359"/>
    <w:rsid w:val="00691361"/>
    <w:rsid w:val="006913E8"/>
    <w:rsid w:val="00691944"/>
    <w:rsid w:val="00691D00"/>
    <w:rsid w:val="006928ED"/>
    <w:rsid w:val="00692D4B"/>
    <w:rsid w:val="00692ECA"/>
    <w:rsid w:val="00692FE7"/>
    <w:rsid w:val="0069361F"/>
    <w:rsid w:val="00693BA8"/>
    <w:rsid w:val="00695176"/>
    <w:rsid w:val="0069531F"/>
    <w:rsid w:val="006953B3"/>
    <w:rsid w:val="006959F3"/>
    <w:rsid w:val="00695FFB"/>
    <w:rsid w:val="0069616B"/>
    <w:rsid w:val="006977ED"/>
    <w:rsid w:val="00697A20"/>
    <w:rsid w:val="00697A71"/>
    <w:rsid w:val="006A00C6"/>
    <w:rsid w:val="006A0893"/>
    <w:rsid w:val="006A0A75"/>
    <w:rsid w:val="006A0D26"/>
    <w:rsid w:val="006A19EE"/>
    <w:rsid w:val="006A1A7D"/>
    <w:rsid w:val="006A1F77"/>
    <w:rsid w:val="006A292C"/>
    <w:rsid w:val="006A29DC"/>
    <w:rsid w:val="006A2C7C"/>
    <w:rsid w:val="006A2FFE"/>
    <w:rsid w:val="006A3252"/>
    <w:rsid w:val="006A32D9"/>
    <w:rsid w:val="006A4515"/>
    <w:rsid w:val="006A4717"/>
    <w:rsid w:val="006A4A14"/>
    <w:rsid w:val="006A5BE7"/>
    <w:rsid w:val="006A605C"/>
    <w:rsid w:val="006A65F0"/>
    <w:rsid w:val="006A6DAD"/>
    <w:rsid w:val="006A6F02"/>
    <w:rsid w:val="006A75D6"/>
    <w:rsid w:val="006A785B"/>
    <w:rsid w:val="006A7B8F"/>
    <w:rsid w:val="006A7E58"/>
    <w:rsid w:val="006B02DD"/>
    <w:rsid w:val="006B0AEC"/>
    <w:rsid w:val="006B0EBD"/>
    <w:rsid w:val="006B1302"/>
    <w:rsid w:val="006B1D43"/>
    <w:rsid w:val="006B20D4"/>
    <w:rsid w:val="006B2711"/>
    <w:rsid w:val="006B2D3C"/>
    <w:rsid w:val="006B3115"/>
    <w:rsid w:val="006B3249"/>
    <w:rsid w:val="006B336E"/>
    <w:rsid w:val="006B34DD"/>
    <w:rsid w:val="006B3B22"/>
    <w:rsid w:val="006B4CBE"/>
    <w:rsid w:val="006B4DAC"/>
    <w:rsid w:val="006B4E7D"/>
    <w:rsid w:val="006B51D3"/>
    <w:rsid w:val="006B575C"/>
    <w:rsid w:val="006B5844"/>
    <w:rsid w:val="006B5A25"/>
    <w:rsid w:val="006B5A73"/>
    <w:rsid w:val="006B5E68"/>
    <w:rsid w:val="006B5F5E"/>
    <w:rsid w:val="006B638D"/>
    <w:rsid w:val="006B6584"/>
    <w:rsid w:val="006B672D"/>
    <w:rsid w:val="006B6A37"/>
    <w:rsid w:val="006B790B"/>
    <w:rsid w:val="006B79B5"/>
    <w:rsid w:val="006B7B7F"/>
    <w:rsid w:val="006B7D0A"/>
    <w:rsid w:val="006B7ED5"/>
    <w:rsid w:val="006C04BE"/>
    <w:rsid w:val="006C0525"/>
    <w:rsid w:val="006C06E0"/>
    <w:rsid w:val="006C071C"/>
    <w:rsid w:val="006C15D7"/>
    <w:rsid w:val="006C1D74"/>
    <w:rsid w:val="006C2320"/>
    <w:rsid w:val="006C2367"/>
    <w:rsid w:val="006C258A"/>
    <w:rsid w:val="006C2A00"/>
    <w:rsid w:val="006C3CB3"/>
    <w:rsid w:val="006C3E70"/>
    <w:rsid w:val="006C40C5"/>
    <w:rsid w:val="006C4A9D"/>
    <w:rsid w:val="006C4E0E"/>
    <w:rsid w:val="006C53F8"/>
    <w:rsid w:val="006C59DF"/>
    <w:rsid w:val="006C668B"/>
    <w:rsid w:val="006C66E5"/>
    <w:rsid w:val="006C720C"/>
    <w:rsid w:val="006C7826"/>
    <w:rsid w:val="006C7F3B"/>
    <w:rsid w:val="006C7FEA"/>
    <w:rsid w:val="006D0867"/>
    <w:rsid w:val="006D0CA7"/>
    <w:rsid w:val="006D0E84"/>
    <w:rsid w:val="006D115C"/>
    <w:rsid w:val="006D1E3F"/>
    <w:rsid w:val="006D267B"/>
    <w:rsid w:val="006D292F"/>
    <w:rsid w:val="006D2BBA"/>
    <w:rsid w:val="006D2E98"/>
    <w:rsid w:val="006D3055"/>
    <w:rsid w:val="006D3F29"/>
    <w:rsid w:val="006D4039"/>
    <w:rsid w:val="006D4462"/>
    <w:rsid w:val="006D4777"/>
    <w:rsid w:val="006D4DC2"/>
    <w:rsid w:val="006D51A3"/>
    <w:rsid w:val="006D536E"/>
    <w:rsid w:val="006D5803"/>
    <w:rsid w:val="006D61B6"/>
    <w:rsid w:val="006D6229"/>
    <w:rsid w:val="006D630F"/>
    <w:rsid w:val="006D65CA"/>
    <w:rsid w:val="006D69BA"/>
    <w:rsid w:val="006D6C85"/>
    <w:rsid w:val="006D6D8E"/>
    <w:rsid w:val="006D6E98"/>
    <w:rsid w:val="006D6F1D"/>
    <w:rsid w:val="006D7162"/>
    <w:rsid w:val="006D7810"/>
    <w:rsid w:val="006E0ABA"/>
    <w:rsid w:val="006E1311"/>
    <w:rsid w:val="006E2C5A"/>
    <w:rsid w:val="006E30D9"/>
    <w:rsid w:val="006E30DC"/>
    <w:rsid w:val="006E3810"/>
    <w:rsid w:val="006E3C37"/>
    <w:rsid w:val="006E3EE0"/>
    <w:rsid w:val="006E42B4"/>
    <w:rsid w:val="006E47A5"/>
    <w:rsid w:val="006E4B4F"/>
    <w:rsid w:val="006E4DBC"/>
    <w:rsid w:val="006E56C6"/>
    <w:rsid w:val="006E59E3"/>
    <w:rsid w:val="006E5B14"/>
    <w:rsid w:val="006E5D02"/>
    <w:rsid w:val="006E63D5"/>
    <w:rsid w:val="006E658F"/>
    <w:rsid w:val="006E6C67"/>
    <w:rsid w:val="006E7145"/>
    <w:rsid w:val="006E719A"/>
    <w:rsid w:val="006E7742"/>
    <w:rsid w:val="006E7B16"/>
    <w:rsid w:val="006E7B2B"/>
    <w:rsid w:val="006E7C0C"/>
    <w:rsid w:val="006F028E"/>
    <w:rsid w:val="006F0CCA"/>
    <w:rsid w:val="006F0D38"/>
    <w:rsid w:val="006F0E0F"/>
    <w:rsid w:val="006F1172"/>
    <w:rsid w:val="006F17D6"/>
    <w:rsid w:val="006F1B8E"/>
    <w:rsid w:val="006F1C9C"/>
    <w:rsid w:val="006F2205"/>
    <w:rsid w:val="006F25E3"/>
    <w:rsid w:val="006F2714"/>
    <w:rsid w:val="006F29B8"/>
    <w:rsid w:val="006F2B43"/>
    <w:rsid w:val="006F2C33"/>
    <w:rsid w:val="006F31E7"/>
    <w:rsid w:val="006F33B6"/>
    <w:rsid w:val="006F3AC7"/>
    <w:rsid w:val="006F3B1C"/>
    <w:rsid w:val="006F3B6F"/>
    <w:rsid w:val="006F4AD0"/>
    <w:rsid w:val="006F4D3C"/>
    <w:rsid w:val="006F51DF"/>
    <w:rsid w:val="006F52DB"/>
    <w:rsid w:val="006F6518"/>
    <w:rsid w:val="006F76CA"/>
    <w:rsid w:val="006F7D6F"/>
    <w:rsid w:val="00700005"/>
    <w:rsid w:val="007002A2"/>
    <w:rsid w:val="007002F7"/>
    <w:rsid w:val="00700DA2"/>
    <w:rsid w:val="00700ED3"/>
    <w:rsid w:val="00701895"/>
    <w:rsid w:val="00701A09"/>
    <w:rsid w:val="00701B6F"/>
    <w:rsid w:val="007024DA"/>
    <w:rsid w:val="00702B10"/>
    <w:rsid w:val="00703A71"/>
    <w:rsid w:val="00703ACC"/>
    <w:rsid w:val="00703B21"/>
    <w:rsid w:val="00703FDD"/>
    <w:rsid w:val="00704094"/>
    <w:rsid w:val="0070448B"/>
    <w:rsid w:val="007045A0"/>
    <w:rsid w:val="00704FB7"/>
    <w:rsid w:val="007053C6"/>
    <w:rsid w:val="0070563E"/>
    <w:rsid w:val="00706480"/>
    <w:rsid w:val="00706ADD"/>
    <w:rsid w:val="00706D9A"/>
    <w:rsid w:val="00706FA3"/>
    <w:rsid w:val="007071E0"/>
    <w:rsid w:val="00707A2A"/>
    <w:rsid w:val="007101B4"/>
    <w:rsid w:val="00710333"/>
    <w:rsid w:val="00710422"/>
    <w:rsid w:val="00710684"/>
    <w:rsid w:val="00710D6A"/>
    <w:rsid w:val="007110CD"/>
    <w:rsid w:val="0071172E"/>
    <w:rsid w:val="00711802"/>
    <w:rsid w:val="00711CD5"/>
    <w:rsid w:val="00711E12"/>
    <w:rsid w:val="00711E70"/>
    <w:rsid w:val="00712005"/>
    <w:rsid w:val="00712B47"/>
    <w:rsid w:val="00712CA3"/>
    <w:rsid w:val="007130D7"/>
    <w:rsid w:val="007131BF"/>
    <w:rsid w:val="007135CE"/>
    <w:rsid w:val="0071380B"/>
    <w:rsid w:val="00714092"/>
    <w:rsid w:val="00714158"/>
    <w:rsid w:val="007145A7"/>
    <w:rsid w:val="007145E1"/>
    <w:rsid w:val="00714BD3"/>
    <w:rsid w:val="00714C74"/>
    <w:rsid w:val="00714E3E"/>
    <w:rsid w:val="007150C7"/>
    <w:rsid w:val="00715642"/>
    <w:rsid w:val="00715B82"/>
    <w:rsid w:val="00716F79"/>
    <w:rsid w:val="00717128"/>
    <w:rsid w:val="007172B8"/>
    <w:rsid w:val="007176BA"/>
    <w:rsid w:val="00717D00"/>
    <w:rsid w:val="007208B6"/>
    <w:rsid w:val="007218A6"/>
    <w:rsid w:val="00721CDF"/>
    <w:rsid w:val="00721D3C"/>
    <w:rsid w:val="00722902"/>
    <w:rsid w:val="00722C50"/>
    <w:rsid w:val="007236CA"/>
    <w:rsid w:val="007239DB"/>
    <w:rsid w:val="00723E3F"/>
    <w:rsid w:val="00724204"/>
    <w:rsid w:val="007242F8"/>
    <w:rsid w:val="007244E4"/>
    <w:rsid w:val="007249F4"/>
    <w:rsid w:val="00724CA1"/>
    <w:rsid w:val="00724CBD"/>
    <w:rsid w:val="00725A1F"/>
    <w:rsid w:val="00725DA7"/>
    <w:rsid w:val="0072673D"/>
    <w:rsid w:val="00726DC0"/>
    <w:rsid w:val="00727160"/>
    <w:rsid w:val="007278AB"/>
    <w:rsid w:val="00727942"/>
    <w:rsid w:val="0073022B"/>
    <w:rsid w:val="007303D0"/>
    <w:rsid w:val="007303EF"/>
    <w:rsid w:val="00730959"/>
    <w:rsid w:val="00730CCE"/>
    <w:rsid w:val="0073125D"/>
    <w:rsid w:val="0073148F"/>
    <w:rsid w:val="00731513"/>
    <w:rsid w:val="00731E76"/>
    <w:rsid w:val="00732292"/>
    <w:rsid w:val="0073232D"/>
    <w:rsid w:val="007323B3"/>
    <w:rsid w:val="00732686"/>
    <w:rsid w:val="00732B29"/>
    <w:rsid w:val="00732BFD"/>
    <w:rsid w:val="00732EA4"/>
    <w:rsid w:val="007331DD"/>
    <w:rsid w:val="00733344"/>
    <w:rsid w:val="00733349"/>
    <w:rsid w:val="0073421A"/>
    <w:rsid w:val="00734A29"/>
    <w:rsid w:val="007355BE"/>
    <w:rsid w:val="00735B67"/>
    <w:rsid w:val="00735D41"/>
    <w:rsid w:val="00736111"/>
    <w:rsid w:val="00736124"/>
    <w:rsid w:val="00736403"/>
    <w:rsid w:val="00737545"/>
    <w:rsid w:val="0073766C"/>
    <w:rsid w:val="0073781F"/>
    <w:rsid w:val="00737BAD"/>
    <w:rsid w:val="00737F6D"/>
    <w:rsid w:val="007403CE"/>
    <w:rsid w:val="00740A69"/>
    <w:rsid w:val="00740D93"/>
    <w:rsid w:val="00740DD9"/>
    <w:rsid w:val="0074158F"/>
    <w:rsid w:val="00741B5C"/>
    <w:rsid w:val="007426B8"/>
    <w:rsid w:val="00742743"/>
    <w:rsid w:val="0074281A"/>
    <w:rsid w:val="00742D2E"/>
    <w:rsid w:val="0074358D"/>
    <w:rsid w:val="00744905"/>
    <w:rsid w:val="00744F6B"/>
    <w:rsid w:val="00745377"/>
    <w:rsid w:val="00745706"/>
    <w:rsid w:val="007466E0"/>
    <w:rsid w:val="00747D2A"/>
    <w:rsid w:val="00750542"/>
    <w:rsid w:val="00750984"/>
    <w:rsid w:val="00751120"/>
    <w:rsid w:val="00751572"/>
    <w:rsid w:val="007518FF"/>
    <w:rsid w:val="00751E60"/>
    <w:rsid w:val="0075205D"/>
    <w:rsid w:val="00752924"/>
    <w:rsid w:val="0075298F"/>
    <w:rsid w:val="00752A14"/>
    <w:rsid w:val="00753045"/>
    <w:rsid w:val="00753244"/>
    <w:rsid w:val="007534A0"/>
    <w:rsid w:val="00753561"/>
    <w:rsid w:val="00753710"/>
    <w:rsid w:val="00753DDF"/>
    <w:rsid w:val="0075413D"/>
    <w:rsid w:val="00754BD1"/>
    <w:rsid w:val="007552C6"/>
    <w:rsid w:val="0075567D"/>
    <w:rsid w:val="00756D7E"/>
    <w:rsid w:val="0075739D"/>
    <w:rsid w:val="00757C35"/>
    <w:rsid w:val="00757FD9"/>
    <w:rsid w:val="00760D8B"/>
    <w:rsid w:val="007612AB"/>
    <w:rsid w:val="00761C4F"/>
    <w:rsid w:val="007623A6"/>
    <w:rsid w:val="00762EC8"/>
    <w:rsid w:val="00762F4E"/>
    <w:rsid w:val="007633C2"/>
    <w:rsid w:val="007637B5"/>
    <w:rsid w:val="00763A3E"/>
    <w:rsid w:val="00763D46"/>
    <w:rsid w:val="00763E85"/>
    <w:rsid w:val="00763F31"/>
    <w:rsid w:val="00764120"/>
    <w:rsid w:val="007643DE"/>
    <w:rsid w:val="00764753"/>
    <w:rsid w:val="00764ED0"/>
    <w:rsid w:val="00765604"/>
    <w:rsid w:val="00765A24"/>
    <w:rsid w:val="0076642E"/>
    <w:rsid w:val="00766514"/>
    <w:rsid w:val="00767197"/>
    <w:rsid w:val="00767E52"/>
    <w:rsid w:val="00770145"/>
    <w:rsid w:val="007703D0"/>
    <w:rsid w:val="007704D9"/>
    <w:rsid w:val="007704E0"/>
    <w:rsid w:val="00770ED3"/>
    <w:rsid w:val="0077147C"/>
    <w:rsid w:val="0077162D"/>
    <w:rsid w:val="007722D5"/>
    <w:rsid w:val="007723CC"/>
    <w:rsid w:val="00772FC7"/>
    <w:rsid w:val="007735FB"/>
    <w:rsid w:val="007738D4"/>
    <w:rsid w:val="00773A54"/>
    <w:rsid w:val="00773E40"/>
    <w:rsid w:val="00773F60"/>
    <w:rsid w:val="00774298"/>
    <w:rsid w:val="00774921"/>
    <w:rsid w:val="00774B36"/>
    <w:rsid w:val="00774CA3"/>
    <w:rsid w:val="007758F8"/>
    <w:rsid w:val="00776819"/>
    <w:rsid w:val="0077695E"/>
    <w:rsid w:val="00776A33"/>
    <w:rsid w:val="00776A8D"/>
    <w:rsid w:val="00776C84"/>
    <w:rsid w:val="00776DCC"/>
    <w:rsid w:val="0077741B"/>
    <w:rsid w:val="00777658"/>
    <w:rsid w:val="00777A07"/>
    <w:rsid w:val="00777ACD"/>
    <w:rsid w:val="0078080E"/>
    <w:rsid w:val="00780849"/>
    <w:rsid w:val="00780CDB"/>
    <w:rsid w:val="00780DD0"/>
    <w:rsid w:val="00780FC4"/>
    <w:rsid w:val="0078111B"/>
    <w:rsid w:val="00781F8C"/>
    <w:rsid w:val="007820AE"/>
    <w:rsid w:val="007820FC"/>
    <w:rsid w:val="007825A1"/>
    <w:rsid w:val="007829AC"/>
    <w:rsid w:val="00783396"/>
    <w:rsid w:val="00783450"/>
    <w:rsid w:val="007836D0"/>
    <w:rsid w:val="00783EAC"/>
    <w:rsid w:val="00784303"/>
    <w:rsid w:val="0078499C"/>
    <w:rsid w:val="00784A42"/>
    <w:rsid w:val="0078521B"/>
    <w:rsid w:val="0078553F"/>
    <w:rsid w:val="00785A7B"/>
    <w:rsid w:val="00786765"/>
    <w:rsid w:val="007867A0"/>
    <w:rsid w:val="007867A5"/>
    <w:rsid w:val="0078691A"/>
    <w:rsid w:val="007869A4"/>
    <w:rsid w:val="0078703F"/>
    <w:rsid w:val="00787237"/>
    <w:rsid w:val="0078783B"/>
    <w:rsid w:val="00787A1A"/>
    <w:rsid w:val="00787B12"/>
    <w:rsid w:val="00787D77"/>
    <w:rsid w:val="0079048B"/>
    <w:rsid w:val="0079071C"/>
    <w:rsid w:val="00791092"/>
    <w:rsid w:val="007913A7"/>
    <w:rsid w:val="00791D68"/>
    <w:rsid w:val="007927EE"/>
    <w:rsid w:val="00792EAA"/>
    <w:rsid w:val="00793081"/>
    <w:rsid w:val="0079353B"/>
    <w:rsid w:val="007938D7"/>
    <w:rsid w:val="0079449F"/>
    <w:rsid w:val="0079470A"/>
    <w:rsid w:val="00794DD5"/>
    <w:rsid w:val="00794F9C"/>
    <w:rsid w:val="00795FDD"/>
    <w:rsid w:val="007960E8"/>
    <w:rsid w:val="0079656B"/>
    <w:rsid w:val="007966BA"/>
    <w:rsid w:val="00797275"/>
    <w:rsid w:val="0079728A"/>
    <w:rsid w:val="00797BA3"/>
    <w:rsid w:val="00797C8D"/>
    <w:rsid w:val="00797FB1"/>
    <w:rsid w:val="007A0412"/>
    <w:rsid w:val="007A0901"/>
    <w:rsid w:val="007A0F16"/>
    <w:rsid w:val="007A108A"/>
    <w:rsid w:val="007A1094"/>
    <w:rsid w:val="007A12EB"/>
    <w:rsid w:val="007A147F"/>
    <w:rsid w:val="007A1587"/>
    <w:rsid w:val="007A1806"/>
    <w:rsid w:val="007A1B3F"/>
    <w:rsid w:val="007A1E7F"/>
    <w:rsid w:val="007A29F6"/>
    <w:rsid w:val="007A2A56"/>
    <w:rsid w:val="007A3578"/>
    <w:rsid w:val="007A3DC4"/>
    <w:rsid w:val="007A42FD"/>
    <w:rsid w:val="007A4A5F"/>
    <w:rsid w:val="007A4D4C"/>
    <w:rsid w:val="007A4DE3"/>
    <w:rsid w:val="007A4EAF"/>
    <w:rsid w:val="007A5CE5"/>
    <w:rsid w:val="007A66C7"/>
    <w:rsid w:val="007A6918"/>
    <w:rsid w:val="007A6E7D"/>
    <w:rsid w:val="007B0A4C"/>
    <w:rsid w:val="007B0E29"/>
    <w:rsid w:val="007B0EEF"/>
    <w:rsid w:val="007B1928"/>
    <w:rsid w:val="007B269E"/>
    <w:rsid w:val="007B2D6A"/>
    <w:rsid w:val="007B304E"/>
    <w:rsid w:val="007B4464"/>
    <w:rsid w:val="007B4DC3"/>
    <w:rsid w:val="007B5279"/>
    <w:rsid w:val="007B53AF"/>
    <w:rsid w:val="007B5F22"/>
    <w:rsid w:val="007B62BC"/>
    <w:rsid w:val="007B6348"/>
    <w:rsid w:val="007B6D1F"/>
    <w:rsid w:val="007B6F74"/>
    <w:rsid w:val="007B757D"/>
    <w:rsid w:val="007C0114"/>
    <w:rsid w:val="007C046E"/>
    <w:rsid w:val="007C0657"/>
    <w:rsid w:val="007C06C6"/>
    <w:rsid w:val="007C0A3B"/>
    <w:rsid w:val="007C1653"/>
    <w:rsid w:val="007C1810"/>
    <w:rsid w:val="007C1F12"/>
    <w:rsid w:val="007C2095"/>
    <w:rsid w:val="007C254E"/>
    <w:rsid w:val="007C2F05"/>
    <w:rsid w:val="007C334B"/>
    <w:rsid w:val="007C3850"/>
    <w:rsid w:val="007C3CF0"/>
    <w:rsid w:val="007C3DE8"/>
    <w:rsid w:val="007C4730"/>
    <w:rsid w:val="007C48EF"/>
    <w:rsid w:val="007C5272"/>
    <w:rsid w:val="007C5369"/>
    <w:rsid w:val="007C5781"/>
    <w:rsid w:val="007C5C30"/>
    <w:rsid w:val="007C643D"/>
    <w:rsid w:val="007C6B1D"/>
    <w:rsid w:val="007C6E8B"/>
    <w:rsid w:val="007C71C2"/>
    <w:rsid w:val="007C7315"/>
    <w:rsid w:val="007C790A"/>
    <w:rsid w:val="007C7CEB"/>
    <w:rsid w:val="007D02EE"/>
    <w:rsid w:val="007D05CA"/>
    <w:rsid w:val="007D05CE"/>
    <w:rsid w:val="007D08BC"/>
    <w:rsid w:val="007D1209"/>
    <w:rsid w:val="007D1D97"/>
    <w:rsid w:val="007D2023"/>
    <w:rsid w:val="007D20A1"/>
    <w:rsid w:val="007D3923"/>
    <w:rsid w:val="007D3968"/>
    <w:rsid w:val="007D3CA6"/>
    <w:rsid w:val="007D3DD9"/>
    <w:rsid w:val="007D3EFD"/>
    <w:rsid w:val="007D4428"/>
    <w:rsid w:val="007D4B83"/>
    <w:rsid w:val="007D4D14"/>
    <w:rsid w:val="007D51A9"/>
    <w:rsid w:val="007D5337"/>
    <w:rsid w:val="007D5A40"/>
    <w:rsid w:val="007D5F34"/>
    <w:rsid w:val="007D64D3"/>
    <w:rsid w:val="007D6554"/>
    <w:rsid w:val="007D6B7D"/>
    <w:rsid w:val="007D6E44"/>
    <w:rsid w:val="007D70DE"/>
    <w:rsid w:val="007D72FD"/>
    <w:rsid w:val="007D7347"/>
    <w:rsid w:val="007D7856"/>
    <w:rsid w:val="007D7B30"/>
    <w:rsid w:val="007E0390"/>
    <w:rsid w:val="007E05B1"/>
    <w:rsid w:val="007E0664"/>
    <w:rsid w:val="007E0838"/>
    <w:rsid w:val="007E0E94"/>
    <w:rsid w:val="007E1752"/>
    <w:rsid w:val="007E175D"/>
    <w:rsid w:val="007E1AB3"/>
    <w:rsid w:val="007E1B94"/>
    <w:rsid w:val="007E212A"/>
    <w:rsid w:val="007E24BD"/>
    <w:rsid w:val="007E2517"/>
    <w:rsid w:val="007E2B32"/>
    <w:rsid w:val="007E3304"/>
    <w:rsid w:val="007E3663"/>
    <w:rsid w:val="007E3DBB"/>
    <w:rsid w:val="007E3EBE"/>
    <w:rsid w:val="007E48C3"/>
    <w:rsid w:val="007E4BAB"/>
    <w:rsid w:val="007E4EBE"/>
    <w:rsid w:val="007E568E"/>
    <w:rsid w:val="007E5851"/>
    <w:rsid w:val="007E5C64"/>
    <w:rsid w:val="007E6066"/>
    <w:rsid w:val="007E62FD"/>
    <w:rsid w:val="007E63C3"/>
    <w:rsid w:val="007E63F5"/>
    <w:rsid w:val="007E6905"/>
    <w:rsid w:val="007E6A66"/>
    <w:rsid w:val="007E7237"/>
    <w:rsid w:val="007E72F0"/>
    <w:rsid w:val="007E7317"/>
    <w:rsid w:val="007E73C6"/>
    <w:rsid w:val="007E74E6"/>
    <w:rsid w:val="007E7717"/>
    <w:rsid w:val="007F0451"/>
    <w:rsid w:val="007F0533"/>
    <w:rsid w:val="007F08D6"/>
    <w:rsid w:val="007F0B53"/>
    <w:rsid w:val="007F0BA5"/>
    <w:rsid w:val="007F154D"/>
    <w:rsid w:val="007F1A07"/>
    <w:rsid w:val="007F1EB6"/>
    <w:rsid w:val="007F1F77"/>
    <w:rsid w:val="007F22E0"/>
    <w:rsid w:val="007F234F"/>
    <w:rsid w:val="007F236A"/>
    <w:rsid w:val="007F2E77"/>
    <w:rsid w:val="007F333A"/>
    <w:rsid w:val="007F3829"/>
    <w:rsid w:val="007F42EB"/>
    <w:rsid w:val="007F4483"/>
    <w:rsid w:val="007F5313"/>
    <w:rsid w:val="007F568B"/>
    <w:rsid w:val="007F59C4"/>
    <w:rsid w:val="007F5CDC"/>
    <w:rsid w:val="007F6133"/>
    <w:rsid w:val="007F632C"/>
    <w:rsid w:val="007F645A"/>
    <w:rsid w:val="007F6722"/>
    <w:rsid w:val="007F6B5F"/>
    <w:rsid w:val="007F6D9D"/>
    <w:rsid w:val="007F6E7C"/>
    <w:rsid w:val="007F7293"/>
    <w:rsid w:val="007F74BC"/>
    <w:rsid w:val="007F7D4F"/>
    <w:rsid w:val="0080059A"/>
    <w:rsid w:val="00800F63"/>
    <w:rsid w:val="00801286"/>
    <w:rsid w:val="00801479"/>
    <w:rsid w:val="00802946"/>
    <w:rsid w:val="008029ED"/>
    <w:rsid w:val="00802EEB"/>
    <w:rsid w:val="00802EF1"/>
    <w:rsid w:val="008035CF"/>
    <w:rsid w:val="008036D9"/>
    <w:rsid w:val="00803B53"/>
    <w:rsid w:val="00805BAA"/>
    <w:rsid w:val="00806029"/>
    <w:rsid w:val="00806B9D"/>
    <w:rsid w:val="0080715E"/>
    <w:rsid w:val="008077D8"/>
    <w:rsid w:val="008077E6"/>
    <w:rsid w:val="00810357"/>
    <w:rsid w:val="008103ED"/>
    <w:rsid w:val="00810419"/>
    <w:rsid w:val="0081062B"/>
    <w:rsid w:val="00811109"/>
    <w:rsid w:val="008111A0"/>
    <w:rsid w:val="0081123A"/>
    <w:rsid w:val="00811723"/>
    <w:rsid w:val="00811B28"/>
    <w:rsid w:val="00812230"/>
    <w:rsid w:val="0081262B"/>
    <w:rsid w:val="008126E0"/>
    <w:rsid w:val="00812C8F"/>
    <w:rsid w:val="008134A1"/>
    <w:rsid w:val="008135A6"/>
    <w:rsid w:val="00814458"/>
    <w:rsid w:val="008144A8"/>
    <w:rsid w:val="00814969"/>
    <w:rsid w:val="00814DC3"/>
    <w:rsid w:val="00814FD9"/>
    <w:rsid w:val="00815176"/>
    <w:rsid w:val="008151D1"/>
    <w:rsid w:val="00815A65"/>
    <w:rsid w:val="00816437"/>
    <w:rsid w:val="0081691D"/>
    <w:rsid w:val="00817369"/>
    <w:rsid w:val="0081747E"/>
    <w:rsid w:val="00817535"/>
    <w:rsid w:val="00817BFF"/>
    <w:rsid w:val="0082021B"/>
    <w:rsid w:val="00820813"/>
    <w:rsid w:val="0082131C"/>
    <w:rsid w:val="00821352"/>
    <w:rsid w:val="008214A6"/>
    <w:rsid w:val="00821576"/>
    <w:rsid w:val="00821E54"/>
    <w:rsid w:val="008229A0"/>
    <w:rsid w:val="00822B82"/>
    <w:rsid w:val="00823066"/>
    <w:rsid w:val="00823523"/>
    <w:rsid w:val="008239F0"/>
    <w:rsid w:val="008243F0"/>
    <w:rsid w:val="00824671"/>
    <w:rsid w:val="00824845"/>
    <w:rsid w:val="00825449"/>
    <w:rsid w:val="00825DAB"/>
    <w:rsid w:val="008260D6"/>
    <w:rsid w:val="008265BA"/>
    <w:rsid w:val="00826D56"/>
    <w:rsid w:val="00826FD9"/>
    <w:rsid w:val="008270F2"/>
    <w:rsid w:val="00830022"/>
    <w:rsid w:val="00830468"/>
    <w:rsid w:val="008308AC"/>
    <w:rsid w:val="00830917"/>
    <w:rsid w:val="008309CA"/>
    <w:rsid w:val="00830FCB"/>
    <w:rsid w:val="00831A38"/>
    <w:rsid w:val="00832144"/>
    <w:rsid w:val="008326FA"/>
    <w:rsid w:val="00832B4A"/>
    <w:rsid w:val="00832C56"/>
    <w:rsid w:val="00832E3B"/>
    <w:rsid w:val="00833157"/>
    <w:rsid w:val="008333AA"/>
    <w:rsid w:val="00833A66"/>
    <w:rsid w:val="00833B69"/>
    <w:rsid w:val="0083422E"/>
    <w:rsid w:val="00834423"/>
    <w:rsid w:val="00834E58"/>
    <w:rsid w:val="008355F8"/>
    <w:rsid w:val="00835A2C"/>
    <w:rsid w:val="0083683B"/>
    <w:rsid w:val="0083689E"/>
    <w:rsid w:val="00836D08"/>
    <w:rsid w:val="008370B3"/>
    <w:rsid w:val="0083721B"/>
    <w:rsid w:val="00837811"/>
    <w:rsid w:val="00837F3F"/>
    <w:rsid w:val="00840099"/>
    <w:rsid w:val="00840754"/>
    <w:rsid w:val="00840795"/>
    <w:rsid w:val="0084092C"/>
    <w:rsid w:val="00840FF8"/>
    <w:rsid w:val="00841470"/>
    <w:rsid w:val="00841541"/>
    <w:rsid w:val="00841C73"/>
    <w:rsid w:val="00841C79"/>
    <w:rsid w:val="00841CE8"/>
    <w:rsid w:val="00841EE5"/>
    <w:rsid w:val="00841EF5"/>
    <w:rsid w:val="008425C9"/>
    <w:rsid w:val="008426D8"/>
    <w:rsid w:val="008427CA"/>
    <w:rsid w:val="0084298B"/>
    <w:rsid w:val="00842ADD"/>
    <w:rsid w:val="00842C0A"/>
    <w:rsid w:val="00842C25"/>
    <w:rsid w:val="00842CFF"/>
    <w:rsid w:val="00842F2C"/>
    <w:rsid w:val="00843005"/>
    <w:rsid w:val="008430C6"/>
    <w:rsid w:val="00843269"/>
    <w:rsid w:val="008434CE"/>
    <w:rsid w:val="00843C29"/>
    <w:rsid w:val="00843E4C"/>
    <w:rsid w:val="00844CA4"/>
    <w:rsid w:val="00844E76"/>
    <w:rsid w:val="00844E96"/>
    <w:rsid w:val="00844F3A"/>
    <w:rsid w:val="00844F3E"/>
    <w:rsid w:val="00845110"/>
    <w:rsid w:val="0084516C"/>
    <w:rsid w:val="0084541B"/>
    <w:rsid w:val="00845A35"/>
    <w:rsid w:val="008460D4"/>
    <w:rsid w:val="0084665E"/>
    <w:rsid w:val="0084697E"/>
    <w:rsid w:val="008469F2"/>
    <w:rsid w:val="00846C8D"/>
    <w:rsid w:val="00846D89"/>
    <w:rsid w:val="00846E4C"/>
    <w:rsid w:val="00847325"/>
    <w:rsid w:val="0084735D"/>
    <w:rsid w:val="00847D0F"/>
    <w:rsid w:val="00847DF3"/>
    <w:rsid w:val="00850053"/>
    <w:rsid w:val="008505F4"/>
    <w:rsid w:val="0085087A"/>
    <w:rsid w:val="00850A27"/>
    <w:rsid w:val="00851043"/>
    <w:rsid w:val="008510D4"/>
    <w:rsid w:val="00851314"/>
    <w:rsid w:val="00851861"/>
    <w:rsid w:val="0085187B"/>
    <w:rsid w:val="00851E42"/>
    <w:rsid w:val="00852074"/>
    <w:rsid w:val="00852F3F"/>
    <w:rsid w:val="00852FF6"/>
    <w:rsid w:val="00853548"/>
    <w:rsid w:val="0085392C"/>
    <w:rsid w:val="00853BE0"/>
    <w:rsid w:val="0085445C"/>
    <w:rsid w:val="008549B5"/>
    <w:rsid w:val="00854B8A"/>
    <w:rsid w:val="00854BD7"/>
    <w:rsid w:val="00855009"/>
    <w:rsid w:val="008550A6"/>
    <w:rsid w:val="008556BD"/>
    <w:rsid w:val="00855759"/>
    <w:rsid w:val="008561A6"/>
    <w:rsid w:val="0085686E"/>
    <w:rsid w:val="00856A86"/>
    <w:rsid w:val="00856EDF"/>
    <w:rsid w:val="00856FF7"/>
    <w:rsid w:val="008573F2"/>
    <w:rsid w:val="008576DC"/>
    <w:rsid w:val="00857C8E"/>
    <w:rsid w:val="00857D89"/>
    <w:rsid w:val="008604B1"/>
    <w:rsid w:val="008604CC"/>
    <w:rsid w:val="0086050B"/>
    <w:rsid w:val="00860CD8"/>
    <w:rsid w:val="008613FF"/>
    <w:rsid w:val="00861514"/>
    <w:rsid w:val="008619A2"/>
    <w:rsid w:val="008620AE"/>
    <w:rsid w:val="00862565"/>
    <w:rsid w:val="00862A4C"/>
    <w:rsid w:val="008632CC"/>
    <w:rsid w:val="008638D3"/>
    <w:rsid w:val="00863CC0"/>
    <w:rsid w:val="00864148"/>
    <w:rsid w:val="00864A45"/>
    <w:rsid w:val="00864A79"/>
    <w:rsid w:val="008651AE"/>
    <w:rsid w:val="00866016"/>
    <w:rsid w:val="008663E2"/>
    <w:rsid w:val="008674EA"/>
    <w:rsid w:val="008705B0"/>
    <w:rsid w:val="008708BF"/>
    <w:rsid w:val="00871F75"/>
    <w:rsid w:val="008721D2"/>
    <w:rsid w:val="00872F74"/>
    <w:rsid w:val="00873A95"/>
    <w:rsid w:val="00874208"/>
    <w:rsid w:val="00874986"/>
    <w:rsid w:val="00874E75"/>
    <w:rsid w:val="00875178"/>
    <w:rsid w:val="00875C9C"/>
    <w:rsid w:val="00875E95"/>
    <w:rsid w:val="00876259"/>
    <w:rsid w:val="00876CEC"/>
    <w:rsid w:val="00877AFC"/>
    <w:rsid w:val="00880382"/>
    <w:rsid w:val="00880A31"/>
    <w:rsid w:val="00881378"/>
    <w:rsid w:val="008817AB"/>
    <w:rsid w:val="00881EBF"/>
    <w:rsid w:val="008821D4"/>
    <w:rsid w:val="00882A94"/>
    <w:rsid w:val="00882C67"/>
    <w:rsid w:val="00882F24"/>
    <w:rsid w:val="0088300A"/>
    <w:rsid w:val="008838F1"/>
    <w:rsid w:val="00883D00"/>
    <w:rsid w:val="00884436"/>
    <w:rsid w:val="008845A3"/>
    <w:rsid w:val="00884810"/>
    <w:rsid w:val="008849FA"/>
    <w:rsid w:val="00884A44"/>
    <w:rsid w:val="00885E21"/>
    <w:rsid w:val="00885FCF"/>
    <w:rsid w:val="00886200"/>
    <w:rsid w:val="0088669D"/>
    <w:rsid w:val="00887193"/>
    <w:rsid w:val="00887366"/>
    <w:rsid w:val="008875CE"/>
    <w:rsid w:val="00887C83"/>
    <w:rsid w:val="00887DD3"/>
    <w:rsid w:val="00887E40"/>
    <w:rsid w:val="00887FDB"/>
    <w:rsid w:val="00890101"/>
    <w:rsid w:val="00890102"/>
    <w:rsid w:val="0089013E"/>
    <w:rsid w:val="0089092F"/>
    <w:rsid w:val="00891BA5"/>
    <w:rsid w:val="00892456"/>
    <w:rsid w:val="00892D5B"/>
    <w:rsid w:val="008930F7"/>
    <w:rsid w:val="00893303"/>
    <w:rsid w:val="0089360C"/>
    <w:rsid w:val="008939F0"/>
    <w:rsid w:val="00893B1C"/>
    <w:rsid w:val="00893B4D"/>
    <w:rsid w:val="00893FD5"/>
    <w:rsid w:val="0089404B"/>
    <w:rsid w:val="0089412C"/>
    <w:rsid w:val="00894E79"/>
    <w:rsid w:val="00895673"/>
    <w:rsid w:val="0089591D"/>
    <w:rsid w:val="00895B31"/>
    <w:rsid w:val="00896329"/>
    <w:rsid w:val="0089660B"/>
    <w:rsid w:val="00896DA6"/>
    <w:rsid w:val="00896E3E"/>
    <w:rsid w:val="008970CA"/>
    <w:rsid w:val="008974B8"/>
    <w:rsid w:val="008A0503"/>
    <w:rsid w:val="008A0D87"/>
    <w:rsid w:val="008A1364"/>
    <w:rsid w:val="008A1444"/>
    <w:rsid w:val="008A15B6"/>
    <w:rsid w:val="008A16F7"/>
    <w:rsid w:val="008A185E"/>
    <w:rsid w:val="008A256D"/>
    <w:rsid w:val="008A2BFD"/>
    <w:rsid w:val="008A3035"/>
    <w:rsid w:val="008A3AF8"/>
    <w:rsid w:val="008A4C5F"/>
    <w:rsid w:val="008A5357"/>
    <w:rsid w:val="008A5784"/>
    <w:rsid w:val="008A58DB"/>
    <w:rsid w:val="008A628E"/>
    <w:rsid w:val="008A660E"/>
    <w:rsid w:val="008A6DE0"/>
    <w:rsid w:val="008A6F64"/>
    <w:rsid w:val="008A77D8"/>
    <w:rsid w:val="008A78C3"/>
    <w:rsid w:val="008A7AC3"/>
    <w:rsid w:val="008A7B08"/>
    <w:rsid w:val="008A7DC7"/>
    <w:rsid w:val="008A7FDB"/>
    <w:rsid w:val="008B001E"/>
    <w:rsid w:val="008B03C9"/>
    <w:rsid w:val="008B078E"/>
    <w:rsid w:val="008B0BAE"/>
    <w:rsid w:val="008B0BCE"/>
    <w:rsid w:val="008B0D47"/>
    <w:rsid w:val="008B0EC7"/>
    <w:rsid w:val="008B0F74"/>
    <w:rsid w:val="008B100C"/>
    <w:rsid w:val="008B12C1"/>
    <w:rsid w:val="008B1495"/>
    <w:rsid w:val="008B14EC"/>
    <w:rsid w:val="008B183A"/>
    <w:rsid w:val="008B2619"/>
    <w:rsid w:val="008B2968"/>
    <w:rsid w:val="008B2BC3"/>
    <w:rsid w:val="008B33DC"/>
    <w:rsid w:val="008B3534"/>
    <w:rsid w:val="008B3994"/>
    <w:rsid w:val="008B39EA"/>
    <w:rsid w:val="008B4E67"/>
    <w:rsid w:val="008B4F97"/>
    <w:rsid w:val="008B511A"/>
    <w:rsid w:val="008B5590"/>
    <w:rsid w:val="008B5659"/>
    <w:rsid w:val="008B5F51"/>
    <w:rsid w:val="008B62E8"/>
    <w:rsid w:val="008B66DA"/>
    <w:rsid w:val="008B6CA0"/>
    <w:rsid w:val="008B6E7E"/>
    <w:rsid w:val="008B70D5"/>
    <w:rsid w:val="008B7E06"/>
    <w:rsid w:val="008C07D7"/>
    <w:rsid w:val="008C0C1C"/>
    <w:rsid w:val="008C10AB"/>
    <w:rsid w:val="008C172D"/>
    <w:rsid w:val="008C196E"/>
    <w:rsid w:val="008C1A9C"/>
    <w:rsid w:val="008C1B8E"/>
    <w:rsid w:val="008C1CA3"/>
    <w:rsid w:val="008C23F9"/>
    <w:rsid w:val="008C2428"/>
    <w:rsid w:val="008C2439"/>
    <w:rsid w:val="008C2D29"/>
    <w:rsid w:val="008C2F1F"/>
    <w:rsid w:val="008C2F9F"/>
    <w:rsid w:val="008C3BCB"/>
    <w:rsid w:val="008C3E91"/>
    <w:rsid w:val="008C417D"/>
    <w:rsid w:val="008C4215"/>
    <w:rsid w:val="008C4980"/>
    <w:rsid w:val="008C498B"/>
    <w:rsid w:val="008C54F2"/>
    <w:rsid w:val="008C5BE1"/>
    <w:rsid w:val="008C5EFF"/>
    <w:rsid w:val="008C5F33"/>
    <w:rsid w:val="008C63B3"/>
    <w:rsid w:val="008C65EE"/>
    <w:rsid w:val="008C6739"/>
    <w:rsid w:val="008C73CF"/>
    <w:rsid w:val="008C7956"/>
    <w:rsid w:val="008C7F9F"/>
    <w:rsid w:val="008D01CB"/>
    <w:rsid w:val="008D04F0"/>
    <w:rsid w:val="008D0755"/>
    <w:rsid w:val="008D07E0"/>
    <w:rsid w:val="008D0D9E"/>
    <w:rsid w:val="008D1209"/>
    <w:rsid w:val="008D1304"/>
    <w:rsid w:val="008D1B3A"/>
    <w:rsid w:val="008D21E0"/>
    <w:rsid w:val="008D2281"/>
    <w:rsid w:val="008D228E"/>
    <w:rsid w:val="008D22B2"/>
    <w:rsid w:val="008D2700"/>
    <w:rsid w:val="008D2F24"/>
    <w:rsid w:val="008D328F"/>
    <w:rsid w:val="008D32C6"/>
    <w:rsid w:val="008D373A"/>
    <w:rsid w:val="008D3A77"/>
    <w:rsid w:val="008D3F9E"/>
    <w:rsid w:val="008D402D"/>
    <w:rsid w:val="008D42DF"/>
    <w:rsid w:val="008D4B11"/>
    <w:rsid w:val="008D4BD8"/>
    <w:rsid w:val="008D4D7E"/>
    <w:rsid w:val="008D4DDD"/>
    <w:rsid w:val="008D4F16"/>
    <w:rsid w:val="008D534E"/>
    <w:rsid w:val="008D5A4B"/>
    <w:rsid w:val="008D5C89"/>
    <w:rsid w:val="008D6135"/>
    <w:rsid w:val="008D636A"/>
    <w:rsid w:val="008D6769"/>
    <w:rsid w:val="008D6828"/>
    <w:rsid w:val="008D69C9"/>
    <w:rsid w:val="008D6DFE"/>
    <w:rsid w:val="008D73EB"/>
    <w:rsid w:val="008D792B"/>
    <w:rsid w:val="008E081B"/>
    <w:rsid w:val="008E0CD2"/>
    <w:rsid w:val="008E15B7"/>
    <w:rsid w:val="008E1C8A"/>
    <w:rsid w:val="008E2314"/>
    <w:rsid w:val="008E2644"/>
    <w:rsid w:val="008E2DD9"/>
    <w:rsid w:val="008E2FC9"/>
    <w:rsid w:val="008E3A15"/>
    <w:rsid w:val="008E441B"/>
    <w:rsid w:val="008E45F3"/>
    <w:rsid w:val="008E468A"/>
    <w:rsid w:val="008E4D69"/>
    <w:rsid w:val="008E4E38"/>
    <w:rsid w:val="008E516A"/>
    <w:rsid w:val="008E541E"/>
    <w:rsid w:val="008E54E8"/>
    <w:rsid w:val="008E5782"/>
    <w:rsid w:val="008E596F"/>
    <w:rsid w:val="008E5BAE"/>
    <w:rsid w:val="008E609F"/>
    <w:rsid w:val="008E6467"/>
    <w:rsid w:val="008E67DD"/>
    <w:rsid w:val="008E6B09"/>
    <w:rsid w:val="008E6C6D"/>
    <w:rsid w:val="008E6E33"/>
    <w:rsid w:val="008E6EFB"/>
    <w:rsid w:val="008E7103"/>
    <w:rsid w:val="008E7C2D"/>
    <w:rsid w:val="008E7D0B"/>
    <w:rsid w:val="008E7DF7"/>
    <w:rsid w:val="008F14C1"/>
    <w:rsid w:val="008F21B0"/>
    <w:rsid w:val="008F2C02"/>
    <w:rsid w:val="008F2DA3"/>
    <w:rsid w:val="008F321C"/>
    <w:rsid w:val="008F33E9"/>
    <w:rsid w:val="008F3ED4"/>
    <w:rsid w:val="008F45F4"/>
    <w:rsid w:val="008F482A"/>
    <w:rsid w:val="008F5044"/>
    <w:rsid w:val="008F568B"/>
    <w:rsid w:val="008F5DF8"/>
    <w:rsid w:val="008F6A4C"/>
    <w:rsid w:val="008F6E19"/>
    <w:rsid w:val="008F6ED7"/>
    <w:rsid w:val="008F7111"/>
    <w:rsid w:val="008F77E2"/>
    <w:rsid w:val="008F784A"/>
    <w:rsid w:val="008F7865"/>
    <w:rsid w:val="008F78A7"/>
    <w:rsid w:val="008F78D0"/>
    <w:rsid w:val="008F7B9D"/>
    <w:rsid w:val="008F7BE6"/>
    <w:rsid w:val="008F7E26"/>
    <w:rsid w:val="00900332"/>
    <w:rsid w:val="00900584"/>
    <w:rsid w:val="009007D0"/>
    <w:rsid w:val="00900E43"/>
    <w:rsid w:val="009014B8"/>
    <w:rsid w:val="00901D71"/>
    <w:rsid w:val="00901E16"/>
    <w:rsid w:val="00902005"/>
    <w:rsid w:val="009020DB"/>
    <w:rsid w:val="009027F1"/>
    <w:rsid w:val="0090281D"/>
    <w:rsid w:val="00903181"/>
    <w:rsid w:val="009037F6"/>
    <w:rsid w:val="00903EBC"/>
    <w:rsid w:val="00903F69"/>
    <w:rsid w:val="009047BD"/>
    <w:rsid w:val="00905043"/>
    <w:rsid w:val="00905568"/>
    <w:rsid w:val="0090580E"/>
    <w:rsid w:val="0090659E"/>
    <w:rsid w:val="009066F0"/>
    <w:rsid w:val="00906974"/>
    <w:rsid w:val="00906BE2"/>
    <w:rsid w:val="009075BB"/>
    <w:rsid w:val="009078C5"/>
    <w:rsid w:val="00907952"/>
    <w:rsid w:val="00910AC7"/>
    <w:rsid w:val="009110FE"/>
    <w:rsid w:val="009114DF"/>
    <w:rsid w:val="009116C2"/>
    <w:rsid w:val="00911895"/>
    <w:rsid w:val="00911A20"/>
    <w:rsid w:val="00911D19"/>
    <w:rsid w:val="009124B5"/>
    <w:rsid w:val="009126DB"/>
    <w:rsid w:val="00912989"/>
    <w:rsid w:val="0091303C"/>
    <w:rsid w:val="00913933"/>
    <w:rsid w:val="00913AD7"/>
    <w:rsid w:val="00913CBB"/>
    <w:rsid w:val="00913DF2"/>
    <w:rsid w:val="00914156"/>
    <w:rsid w:val="009153D2"/>
    <w:rsid w:val="0091553C"/>
    <w:rsid w:val="00915653"/>
    <w:rsid w:val="009160F2"/>
    <w:rsid w:val="0091639D"/>
    <w:rsid w:val="00916AF1"/>
    <w:rsid w:val="00917046"/>
    <w:rsid w:val="009172F9"/>
    <w:rsid w:val="00917C79"/>
    <w:rsid w:val="00917CFD"/>
    <w:rsid w:val="00917D57"/>
    <w:rsid w:val="00917E5F"/>
    <w:rsid w:val="00920302"/>
    <w:rsid w:val="00920589"/>
    <w:rsid w:val="00920E88"/>
    <w:rsid w:val="00921461"/>
    <w:rsid w:val="00921D2B"/>
    <w:rsid w:val="00921F2A"/>
    <w:rsid w:val="009228B6"/>
    <w:rsid w:val="00922AC7"/>
    <w:rsid w:val="00922DB4"/>
    <w:rsid w:val="00923324"/>
    <w:rsid w:val="00923B70"/>
    <w:rsid w:val="00923D67"/>
    <w:rsid w:val="009241F0"/>
    <w:rsid w:val="00924404"/>
    <w:rsid w:val="0092481C"/>
    <w:rsid w:val="00924C25"/>
    <w:rsid w:val="00925059"/>
    <w:rsid w:val="00925214"/>
    <w:rsid w:val="00925219"/>
    <w:rsid w:val="00925AF6"/>
    <w:rsid w:val="00925C2D"/>
    <w:rsid w:val="00925D9A"/>
    <w:rsid w:val="009262CA"/>
    <w:rsid w:val="0092673E"/>
    <w:rsid w:val="00926AA4"/>
    <w:rsid w:val="00926F5E"/>
    <w:rsid w:val="009279A5"/>
    <w:rsid w:val="00927DC6"/>
    <w:rsid w:val="00927DE1"/>
    <w:rsid w:val="00930491"/>
    <w:rsid w:val="009306FF"/>
    <w:rsid w:val="0093080A"/>
    <w:rsid w:val="0093129D"/>
    <w:rsid w:val="009318DC"/>
    <w:rsid w:val="0093226D"/>
    <w:rsid w:val="009325C0"/>
    <w:rsid w:val="009330A2"/>
    <w:rsid w:val="00933266"/>
    <w:rsid w:val="009333A6"/>
    <w:rsid w:val="00933636"/>
    <w:rsid w:val="009337E5"/>
    <w:rsid w:val="00934266"/>
    <w:rsid w:val="009346AC"/>
    <w:rsid w:val="009349EB"/>
    <w:rsid w:val="00934A27"/>
    <w:rsid w:val="00935070"/>
    <w:rsid w:val="00935674"/>
    <w:rsid w:val="00936376"/>
    <w:rsid w:val="009364B8"/>
    <w:rsid w:val="00936762"/>
    <w:rsid w:val="00936A7C"/>
    <w:rsid w:val="0094014F"/>
    <w:rsid w:val="009404AC"/>
    <w:rsid w:val="00940B33"/>
    <w:rsid w:val="00940B6D"/>
    <w:rsid w:val="00940E7F"/>
    <w:rsid w:val="00941346"/>
    <w:rsid w:val="00941359"/>
    <w:rsid w:val="00941795"/>
    <w:rsid w:val="00941FA2"/>
    <w:rsid w:val="00942022"/>
    <w:rsid w:val="009422C6"/>
    <w:rsid w:val="00942316"/>
    <w:rsid w:val="00942372"/>
    <w:rsid w:val="00943370"/>
    <w:rsid w:val="00943425"/>
    <w:rsid w:val="00943857"/>
    <w:rsid w:val="00943B01"/>
    <w:rsid w:val="00943FFD"/>
    <w:rsid w:val="00944188"/>
    <w:rsid w:val="00944867"/>
    <w:rsid w:val="00945295"/>
    <w:rsid w:val="009468F0"/>
    <w:rsid w:val="009477AB"/>
    <w:rsid w:val="00947D4D"/>
    <w:rsid w:val="009511DE"/>
    <w:rsid w:val="00951612"/>
    <w:rsid w:val="0095193C"/>
    <w:rsid w:val="00951E13"/>
    <w:rsid w:val="009520A2"/>
    <w:rsid w:val="0095234E"/>
    <w:rsid w:val="009526C9"/>
    <w:rsid w:val="00952F7E"/>
    <w:rsid w:val="0095332C"/>
    <w:rsid w:val="00953927"/>
    <w:rsid w:val="009539D3"/>
    <w:rsid w:val="00953EEA"/>
    <w:rsid w:val="00953F9B"/>
    <w:rsid w:val="00954280"/>
    <w:rsid w:val="0095572B"/>
    <w:rsid w:val="00955EE1"/>
    <w:rsid w:val="009561D9"/>
    <w:rsid w:val="009566A3"/>
    <w:rsid w:val="00957C77"/>
    <w:rsid w:val="009600F1"/>
    <w:rsid w:val="00960A39"/>
    <w:rsid w:val="00961378"/>
    <w:rsid w:val="00961821"/>
    <w:rsid w:val="00961D2B"/>
    <w:rsid w:val="00961F2A"/>
    <w:rsid w:val="00962F14"/>
    <w:rsid w:val="00963048"/>
    <w:rsid w:val="00963984"/>
    <w:rsid w:val="009643CC"/>
    <w:rsid w:val="00965098"/>
    <w:rsid w:val="00965907"/>
    <w:rsid w:val="00965C8C"/>
    <w:rsid w:val="00965F78"/>
    <w:rsid w:val="00966095"/>
    <w:rsid w:val="0096681D"/>
    <w:rsid w:val="00966AEF"/>
    <w:rsid w:val="00966CCF"/>
    <w:rsid w:val="00967FB3"/>
    <w:rsid w:val="009700C0"/>
    <w:rsid w:val="009700C9"/>
    <w:rsid w:val="009704BB"/>
    <w:rsid w:val="00970688"/>
    <w:rsid w:val="00970879"/>
    <w:rsid w:val="00970A44"/>
    <w:rsid w:val="00970AC2"/>
    <w:rsid w:val="00970E2E"/>
    <w:rsid w:val="00971108"/>
    <w:rsid w:val="009712B7"/>
    <w:rsid w:val="009717E7"/>
    <w:rsid w:val="0097198D"/>
    <w:rsid w:val="009722AA"/>
    <w:rsid w:val="00972F0F"/>
    <w:rsid w:val="0097325D"/>
    <w:rsid w:val="009734C3"/>
    <w:rsid w:val="0097355D"/>
    <w:rsid w:val="00973E9B"/>
    <w:rsid w:val="009743D0"/>
    <w:rsid w:val="00974A3A"/>
    <w:rsid w:val="00974FB6"/>
    <w:rsid w:val="00975A23"/>
    <w:rsid w:val="00975EE1"/>
    <w:rsid w:val="009760FA"/>
    <w:rsid w:val="00976547"/>
    <w:rsid w:val="0097689D"/>
    <w:rsid w:val="009768F7"/>
    <w:rsid w:val="00976945"/>
    <w:rsid w:val="00976A12"/>
    <w:rsid w:val="009777CB"/>
    <w:rsid w:val="00977CA5"/>
    <w:rsid w:val="00977D50"/>
    <w:rsid w:val="00980818"/>
    <w:rsid w:val="00980AAE"/>
    <w:rsid w:val="00980D37"/>
    <w:rsid w:val="00980FC3"/>
    <w:rsid w:val="00982489"/>
    <w:rsid w:val="00982D0F"/>
    <w:rsid w:val="0098333A"/>
    <w:rsid w:val="0098338C"/>
    <w:rsid w:val="00983934"/>
    <w:rsid w:val="00984148"/>
    <w:rsid w:val="00985260"/>
    <w:rsid w:val="00985E63"/>
    <w:rsid w:val="009861C3"/>
    <w:rsid w:val="00986CE8"/>
    <w:rsid w:val="00986EAD"/>
    <w:rsid w:val="00987727"/>
    <w:rsid w:val="00987771"/>
    <w:rsid w:val="009879C0"/>
    <w:rsid w:val="00987F24"/>
    <w:rsid w:val="00990197"/>
    <w:rsid w:val="009903F3"/>
    <w:rsid w:val="00990438"/>
    <w:rsid w:val="0099077B"/>
    <w:rsid w:val="0099108E"/>
    <w:rsid w:val="009912AC"/>
    <w:rsid w:val="009916BF"/>
    <w:rsid w:val="0099180A"/>
    <w:rsid w:val="00991B69"/>
    <w:rsid w:val="0099230C"/>
    <w:rsid w:val="00992DC3"/>
    <w:rsid w:val="00993507"/>
    <w:rsid w:val="0099385C"/>
    <w:rsid w:val="00993A9A"/>
    <w:rsid w:val="009945C4"/>
    <w:rsid w:val="00994722"/>
    <w:rsid w:val="00994983"/>
    <w:rsid w:val="00994BEB"/>
    <w:rsid w:val="00995034"/>
    <w:rsid w:val="00995110"/>
    <w:rsid w:val="009958AB"/>
    <w:rsid w:val="00996135"/>
    <w:rsid w:val="00996469"/>
    <w:rsid w:val="00996946"/>
    <w:rsid w:val="00997099"/>
    <w:rsid w:val="009970D3"/>
    <w:rsid w:val="009971A2"/>
    <w:rsid w:val="0099728C"/>
    <w:rsid w:val="0099755C"/>
    <w:rsid w:val="0099788D"/>
    <w:rsid w:val="00997BB6"/>
    <w:rsid w:val="00997CBE"/>
    <w:rsid w:val="009A0D62"/>
    <w:rsid w:val="009A0EF7"/>
    <w:rsid w:val="009A1441"/>
    <w:rsid w:val="009A19BE"/>
    <w:rsid w:val="009A1BDA"/>
    <w:rsid w:val="009A1E2C"/>
    <w:rsid w:val="009A228A"/>
    <w:rsid w:val="009A29DE"/>
    <w:rsid w:val="009A3935"/>
    <w:rsid w:val="009A3B88"/>
    <w:rsid w:val="009A3CE7"/>
    <w:rsid w:val="009A440E"/>
    <w:rsid w:val="009A4461"/>
    <w:rsid w:val="009A4B92"/>
    <w:rsid w:val="009A51E6"/>
    <w:rsid w:val="009A59BA"/>
    <w:rsid w:val="009A5DA0"/>
    <w:rsid w:val="009A5E36"/>
    <w:rsid w:val="009A600F"/>
    <w:rsid w:val="009A60EA"/>
    <w:rsid w:val="009A680A"/>
    <w:rsid w:val="009A6F4A"/>
    <w:rsid w:val="009A7638"/>
    <w:rsid w:val="009A7648"/>
    <w:rsid w:val="009A77F0"/>
    <w:rsid w:val="009A7A90"/>
    <w:rsid w:val="009A7E26"/>
    <w:rsid w:val="009B0001"/>
    <w:rsid w:val="009B0545"/>
    <w:rsid w:val="009B1206"/>
    <w:rsid w:val="009B1810"/>
    <w:rsid w:val="009B1B15"/>
    <w:rsid w:val="009B1E35"/>
    <w:rsid w:val="009B2A8C"/>
    <w:rsid w:val="009B2F92"/>
    <w:rsid w:val="009B31C2"/>
    <w:rsid w:val="009B37CB"/>
    <w:rsid w:val="009B3D88"/>
    <w:rsid w:val="009B4367"/>
    <w:rsid w:val="009B4A99"/>
    <w:rsid w:val="009B4F33"/>
    <w:rsid w:val="009B5277"/>
    <w:rsid w:val="009B53AB"/>
    <w:rsid w:val="009B5409"/>
    <w:rsid w:val="009B5886"/>
    <w:rsid w:val="009B60C8"/>
    <w:rsid w:val="009B60FE"/>
    <w:rsid w:val="009B6282"/>
    <w:rsid w:val="009B69BB"/>
    <w:rsid w:val="009B728B"/>
    <w:rsid w:val="009B73D8"/>
    <w:rsid w:val="009B78C6"/>
    <w:rsid w:val="009B7982"/>
    <w:rsid w:val="009C049E"/>
    <w:rsid w:val="009C0C5B"/>
    <w:rsid w:val="009C1130"/>
    <w:rsid w:val="009C12E7"/>
    <w:rsid w:val="009C1415"/>
    <w:rsid w:val="009C1F0A"/>
    <w:rsid w:val="009C1FF8"/>
    <w:rsid w:val="009C20BA"/>
    <w:rsid w:val="009C26C3"/>
    <w:rsid w:val="009C2DF4"/>
    <w:rsid w:val="009C30BE"/>
    <w:rsid w:val="009C3B57"/>
    <w:rsid w:val="009C3FD4"/>
    <w:rsid w:val="009C4330"/>
    <w:rsid w:val="009C485A"/>
    <w:rsid w:val="009C4EB5"/>
    <w:rsid w:val="009C5554"/>
    <w:rsid w:val="009C598B"/>
    <w:rsid w:val="009C5C82"/>
    <w:rsid w:val="009C5E26"/>
    <w:rsid w:val="009C5FD0"/>
    <w:rsid w:val="009C6ADD"/>
    <w:rsid w:val="009C6DB4"/>
    <w:rsid w:val="009C7B99"/>
    <w:rsid w:val="009C7F9B"/>
    <w:rsid w:val="009D0316"/>
    <w:rsid w:val="009D044B"/>
    <w:rsid w:val="009D0D08"/>
    <w:rsid w:val="009D0D9A"/>
    <w:rsid w:val="009D1014"/>
    <w:rsid w:val="009D144C"/>
    <w:rsid w:val="009D1A75"/>
    <w:rsid w:val="009D1C74"/>
    <w:rsid w:val="009D258F"/>
    <w:rsid w:val="009D2922"/>
    <w:rsid w:val="009D299A"/>
    <w:rsid w:val="009D2C45"/>
    <w:rsid w:val="009D2E3F"/>
    <w:rsid w:val="009D2F5C"/>
    <w:rsid w:val="009D31EB"/>
    <w:rsid w:val="009D33E4"/>
    <w:rsid w:val="009D3712"/>
    <w:rsid w:val="009D37AE"/>
    <w:rsid w:val="009D383D"/>
    <w:rsid w:val="009D42DF"/>
    <w:rsid w:val="009D4588"/>
    <w:rsid w:val="009D4899"/>
    <w:rsid w:val="009D51B6"/>
    <w:rsid w:val="009D5707"/>
    <w:rsid w:val="009D5713"/>
    <w:rsid w:val="009D5949"/>
    <w:rsid w:val="009D5E36"/>
    <w:rsid w:val="009D5E94"/>
    <w:rsid w:val="009D5F06"/>
    <w:rsid w:val="009D6F0F"/>
    <w:rsid w:val="009D6FA7"/>
    <w:rsid w:val="009D7141"/>
    <w:rsid w:val="009D71C5"/>
    <w:rsid w:val="009D7320"/>
    <w:rsid w:val="009D7555"/>
    <w:rsid w:val="009D7561"/>
    <w:rsid w:val="009E0609"/>
    <w:rsid w:val="009E0798"/>
    <w:rsid w:val="009E07C0"/>
    <w:rsid w:val="009E0A09"/>
    <w:rsid w:val="009E0AC8"/>
    <w:rsid w:val="009E0D2D"/>
    <w:rsid w:val="009E154A"/>
    <w:rsid w:val="009E1CDB"/>
    <w:rsid w:val="009E1D80"/>
    <w:rsid w:val="009E1DAC"/>
    <w:rsid w:val="009E2164"/>
    <w:rsid w:val="009E25A7"/>
    <w:rsid w:val="009E262B"/>
    <w:rsid w:val="009E298C"/>
    <w:rsid w:val="009E2BF5"/>
    <w:rsid w:val="009E2CBE"/>
    <w:rsid w:val="009E525C"/>
    <w:rsid w:val="009E5BD4"/>
    <w:rsid w:val="009E6EA6"/>
    <w:rsid w:val="009E75B9"/>
    <w:rsid w:val="009E7696"/>
    <w:rsid w:val="009E7E94"/>
    <w:rsid w:val="009F027C"/>
    <w:rsid w:val="009F08CA"/>
    <w:rsid w:val="009F0BAA"/>
    <w:rsid w:val="009F0D3B"/>
    <w:rsid w:val="009F0FE0"/>
    <w:rsid w:val="009F111C"/>
    <w:rsid w:val="009F12E1"/>
    <w:rsid w:val="009F2009"/>
    <w:rsid w:val="009F2057"/>
    <w:rsid w:val="009F2620"/>
    <w:rsid w:val="009F2746"/>
    <w:rsid w:val="009F30F8"/>
    <w:rsid w:val="009F3381"/>
    <w:rsid w:val="009F3929"/>
    <w:rsid w:val="009F393F"/>
    <w:rsid w:val="009F4D0A"/>
    <w:rsid w:val="009F57A2"/>
    <w:rsid w:val="009F5890"/>
    <w:rsid w:val="009F7BB1"/>
    <w:rsid w:val="009F7DEF"/>
    <w:rsid w:val="009F7E35"/>
    <w:rsid w:val="00A001DE"/>
    <w:rsid w:val="00A00A88"/>
    <w:rsid w:val="00A01416"/>
    <w:rsid w:val="00A020EB"/>
    <w:rsid w:val="00A0229C"/>
    <w:rsid w:val="00A022C9"/>
    <w:rsid w:val="00A0230C"/>
    <w:rsid w:val="00A02DA1"/>
    <w:rsid w:val="00A02F87"/>
    <w:rsid w:val="00A03B4D"/>
    <w:rsid w:val="00A03E9A"/>
    <w:rsid w:val="00A051C8"/>
    <w:rsid w:val="00A052EE"/>
    <w:rsid w:val="00A057CE"/>
    <w:rsid w:val="00A0598F"/>
    <w:rsid w:val="00A0622C"/>
    <w:rsid w:val="00A06D37"/>
    <w:rsid w:val="00A07430"/>
    <w:rsid w:val="00A07532"/>
    <w:rsid w:val="00A078F5"/>
    <w:rsid w:val="00A07F28"/>
    <w:rsid w:val="00A10125"/>
    <w:rsid w:val="00A10286"/>
    <w:rsid w:val="00A10548"/>
    <w:rsid w:val="00A10B3C"/>
    <w:rsid w:val="00A11235"/>
    <w:rsid w:val="00A114FB"/>
    <w:rsid w:val="00A11673"/>
    <w:rsid w:val="00A116EB"/>
    <w:rsid w:val="00A119A0"/>
    <w:rsid w:val="00A11B46"/>
    <w:rsid w:val="00A11BB4"/>
    <w:rsid w:val="00A11C17"/>
    <w:rsid w:val="00A1267A"/>
    <w:rsid w:val="00A12683"/>
    <w:rsid w:val="00A12B58"/>
    <w:rsid w:val="00A13275"/>
    <w:rsid w:val="00A132A2"/>
    <w:rsid w:val="00A14364"/>
    <w:rsid w:val="00A150AD"/>
    <w:rsid w:val="00A16295"/>
    <w:rsid w:val="00A179EC"/>
    <w:rsid w:val="00A201F5"/>
    <w:rsid w:val="00A203C8"/>
    <w:rsid w:val="00A207F9"/>
    <w:rsid w:val="00A208CD"/>
    <w:rsid w:val="00A20D7A"/>
    <w:rsid w:val="00A20F1E"/>
    <w:rsid w:val="00A20F91"/>
    <w:rsid w:val="00A21028"/>
    <w:rsid w:val="00A21D4C"/>
    <w:rsid w:val="00A2222A"/>
    <w:rsid w:val="00A224CB"/>
    <w:rsid w:val="00A228CE"/>
    <w:rsid w:val="00A240F1"/>
    <w:rsid w:val="00A2428C"/>
    <w:rsid w:val="00A245CB"/>
    <w:rsid w:val="00A24750"/>
    <w:rsid w:val="00A24A68"/>
    <w:rsid w:val="00A24B55"/>
    <w:rsid w:val="00A24C9A"/>
    <w:rsid w:val="00A25093"/>
    <w:rsid w:val="00A2597D"/>
    <w:rsid w:val="00A25C1A"/>
    <w:rsid w:val="00A25EF4"/>
    <w:rsid w:val="00A2651F"/>
    <w:rsid w:val="00A26719"/>
    <w:rsid w:val="00A26901"/>
    <w:rsid w:val="00A26961"/>
    <w:rsid w:val="00A26A5E"/>
    <w:rsid w:val="00A2781C"/>
    <w:rsid w:val="00A27DDE"/>
    <w:rsid w:val="00A27EBF"/>
    <w:rsid w:val="00A300F3"/>
    <w:rsid w:val="00A30772"/>
    <w:rsid w:val="00A3106D"/>
    <w:rsid w:val="00A31ECC"/>
    <w:rsid w:val="00A320D9"/>
    <w:rsid w:val="00A32DC1"/>
    <w:rsid w:val="00A32FB8"/>
    <w:rsid w:val="00A331CE"/>
    <w:rsid w:val="00A33ACC"/>
    <w:rsid w:val="00A33DD8"/>
    <w:rsid w:val="00A33E80"/>
    <w:rsid w:val="00A340C7"/>
    <w:rsid w:val="00A34356"/>
    <w:rsid w:val="00A347C6"/>
    <w:rsid w:val="00A35140"/>
    <w:rsid w:val="00A358E4"/>
    <w:rsid w:val="00A35C7A"/>
    <w:rsid w:val="00A35CD0"/>
    <w:rsid w:val="00A35EAC"/>
    <w:rsid w:val="00A361D2"/>
    <w:rsid w:val="00A3631C"/>
    <w:rsid w:val="00A36493"/>
    <w:rsid w:val="00A37085"/>
    <w:rsid w:val="00A37118"/>
    <w:rsid w:val="00A37410"/>
    <w:rsid w:val="00A37773"/>
    <w:rsid w:val="00A37B2F"/>
    <w:rsid w:val="00A37B5A"/>
    <w:rsid w:val="00A4026A"/>
    <w:rsid w:val="00A403C1"/>
    <w:rsid w:val="00A409E7"/>
    <w:rsid w:val="00A413B3"/>
    <w:rsid w:val="00A4198E"/>
    <w:rsid w:val="00A41BC1"/>
    <w:rsid w:val="00A41DF2"/>
    <w:rsid w:val="00A41EC9"/>
    <w:rsid w:val="00A41F7E"/>
    <w:rsid w:val="00A42066"/>
    <w:rsid w:val="00A4229D"/>
    <w:rsid w:val="00A42434"/>
    <w:rsid w:val="00A4246C"/>
    <w:rsid w:val="00A428FB"/>
    <w:rsid w:val="00A429CF"/>
    <w:rsid w:val="00A42D5F"/>
    <w:rsid w:val="00A44D06"/>
    <w:rsid w:val="00A458B6"/>
    <w:rsid w:val="00A45E0C"/>
    <w:rsid w:val="00A45FFA"/>
    <w:rsid w:val="00A4651F"/>
    <w:rsid w:val="00A46C4E"/>
    <w:rsid w:val="00A46F3F"/>
    <w:rsid w:val="00A47324"/>
    <w:rsid w:val="00A474CA"/>
    <w:rsid w:val="00A47F2E"/>
    <w:rsid w:val="00A51419"/>
    <w:rsid w:val="00A51721"/>
    <w:rsid w:val="00A51872"/>
    <w:rsid w:val="00A52044"/>
    <w:rsid w:val="00A52D7C"/>
    <w:rsid w:val="00A53191"/>
    <w:rsid w:val="00A53497"/>
    <w:rsid w:val="00A53AA1"/>
    <w:rsid w:val="00A53AFB"/>
    <w:rsid w:val="00A53E0B"/>
    <w:rsid w:val="00A54CC3"/>
    <w:rsid w:val="00A5516B"/>
    <w:rsid w:val="00A55178"/>
    <w:rsid w:val="00A551F9"/>
    <w:rsid w:val="00A55FFF"/>
    <w:rsid w:val="00A56097"/>
    <w:rsid w:val="00A56C94"/>
    <w:rsid w:val="00A5709C"/>
    <w:rsid w:val="00A576DC"/>
    <w:rsid w:val="00A60456"/>
    <w:rsid w:val="00A60608"/>
    <w:rsid w:val="00A6076E"/>
    <w:rsid w:val="00A607AE"/>
    <w:rsid w:val="00A60C26"/>
    <w:rsid w:val="00A60C6C"/>
    <w:rsid w:val="00A60D05"/>
    <w:rsid w:val="00A61443"/>
    <w:rsid w:val="00A6185B"/>
    <w:rsid w:val="00A61E25"/>
    <w:rsid w:val="00A61F35"/>
    <w:rsid w:val="00A620DA"/>
    <w:rsid w:val="00A6229A"/>
    <w:rsid w:val="00A62945"/>
    <w:rsid w:val="00A62C08"/>
    <w:rsid w:val="00A62F6B"/>
    <w:rsid w:val="00A632AF"/>
    <w:rsid w:val="00A633A8"/>
    <w:rsid w:val="00A638FC"/>
    <w:rsid w:val="00A63A35"/>
    <w:rsid w:val="00A63F52"/>
    <w:rsid w:val="00A649FC"/>
    <w:rsid w:val="00A64C8F"/>
    <w:rsid w:val="00A64D55"/>
    <w:rsid w:val="00A64D60"/>
    <w:rsid w:val="00A65099"/>
    <w:rsid w:val="00A651D7"/>
    <w:rsid w:val="00A652F6"/>
    <w:rsid w:val="00A653AD"/>
    <w:rsid w:val="00A65786"/>
    <w:rsid w:val="00A658BD"/>
    <w:rsid w:val="00A65AD7"/>
    <w:rsid w:val="00A65B02"/>
    <w:rsid w:val="00A65C10"/>
    <w:rsid w:val="00A65D11"/>
    <w:rsid w:val="00A6651E"/>
    <w:rsid w:val="00A6661B"/>
    <w:rsid w:val="00A66BE0"/>
    <w:rsid w:val="00A66EB0"/>
    <w:rsid w:val="00A670A1"/>
    <w:rsid w:val="00A671A5"/>
    <w:rsid w:val="00A70233"/>
    <w:rsid w:val="00A70426"/>
    <w:rsid w:val="00A70675"/>
    <w:rsid w:val="00A70771"/>
    <w:rsid w:val="00A708B9"/>
    <w:rsid w:val="00A708D3"/>
    <w:rsid w:val="00A709C1"/>
    <w:rsid w:val="00A70E80"/>
    <w:rsid w:val="00A71278"/>
    <w:rsid w:val="00A7160B"/>
    <w:rsid w:val="00A71691"/>
    <w:rsid w:val="00A71832"/>
    <w:rsid w:val="00A719FA"/>
    <w:rsid w:val="00A71A77"/>
    <w:rsid w:val="00A71D78"/>
    <w:rsid w:val="00A71FAE"/>
    <w:rsid w:val="00A72510"/>
    <w:rsid w:val="00A7265A"/>
    <w:rsid w:val="00A72962"/>
    <w:rsid w:val="00A72A9A"/>
    <w:rsid w:val="00A72B4A"/>
    <w:rsid w:val="00A72BDD"/>
    <w:rsid w:val="00A72D84"/>
    <w:rsid w:val="00A736F7"/>
    <w:rsid w:val="00A737B1"/>
    <w:rsid w:val="00A74A17"/>
    <w:rsid w:val="00A74BC9"/>
    <w:rsid w:val="00A7567A"/>
    <w:rsid w:val="00A759F0"/>
    <w:rsid w:val="00A75C93"/>
    <w:rsid w:val="00A75E8A"/>
    <w:rsid w:val="00A75EC1"/>
    <w:rsid w:val="00A7621A"/>
    <w:rsid w:val="00A76865"/>
    <w:rsid w:val="00A76B7D"/>
    <w:rsid w:val="00A76E01"/>
    <w:rsid w:val="00A76E3E"/>
    <w:rsid w:val="00A76EA5"/>
    <w:rsid w:val="00A76EDB"/>
    <w:rsid w:val="00A77425"/>
    <w:rsid w:val="00A7744F"/>
    <w:rsid w:val="00A7766E"/>
    <w:rsid w:val="00A8096B"/>
    <w:rsid w:val="00A80A7B"/>
    <w:rsid w:val="00A80FF5"/>
    <w:rsid w:val="00A81C30"/>
    <w:rsid w:val="00A82575"/>
    <w:rsid w:val="00A82A09"/>
    <w:rsid w:val="00A82CE5"/>
    <w:rsid w:val="00A83407"/>
    <w:rsid w:val="00A83CFC"/>
    <w:rsid w:val="00A84744"/>
    <w:rsid w:val="00A8492D"/>
    <w:rsid w:val="00A84FB4"/>
    <w:rsid w:val="00A8541B"/>
    <w:rsid w:val="00A854A5"/>
    <w:rsid w:val="00A865A7"/>
    <w:rsid w:val="00A87234"/>
    <w:rsid w:val="00A87633"/>
    <w:rsid w:val="00A9096A"/>
    <w:rsid w:val="00A90D05"/>
    <w:rsid w:val="00A910D1"/>
    <w:rsid w:val="00A91495"/>
    <w:rsid w:val="00A91628"/>
    <w:rsid w:val="00A9179A"/>
    <w:rsid w:val="00A91ABE"/>
    <w:rsid w:val="00A9202C"/>
    <w:rsid w:val="00A9225F"/>
    <w:rsid w:val="00A922D1"/>
    <w:rsid w:val="00A92480"/>
    <w:rsid w:val="00A92724"/>
    <w:rsid w:val="00A92833"/>
    <w:rsid w:val="00A92E7E"/>
    <w:rsid w:val="00A92F6E"/>
    <w:rsid w:val="00A930E2"/>
    <w:rsid w:val="00A93318"/>
    <w:rsid w:val="00A9387D"/>
    <w:rsid w:val="00A94055"/>
    <w:rsid w:val="00A942A8"/>
    <w:rsid w:val="00A94DBD"/>
    <w:rsid w:val="00A9516B"/>
    <w:rsid w:val="00A9531E"/>
    <w:rsid w:val="00A953D6"/>
    <w:rsid w:val="00A955A0"/>
    <w:rsid w:val="00A95959"/>
    <w:rsid w:val="00A95A79"/>
    <w:rsid w:val="00A95FDD"/>
    <w:rsid w:val="00A962C9"/>
    <w:rsid w:val="00A96570"/>
    <w:rsid w:val="00A96A4B"/>
    <w:rsid w:val="00A96FCB"/>
    <w:rsid w:val="00A97004"/>
    <w:rsid w:val="00A971B1"/>
    <w:rsid w:val="00A97381"/>
    <w:rsid w:val="00A975B2"/>
    <w:rsid w:val="00A97622"/>
    <w:rsid w:val="00A9769B"/>
    <w:rsid w:val="00A97DD4"/>
    <w:rsid w:val="00A97F4D"/>
    <w:rsid w:val="00AA077B"/>
    <w:rsid w:val="00AA0E29"/>
    <w:rsid w:val="00AA1568"/>
    <w:rsid w:val="00AA28C9"/>
    <w:rsid w:val="00AA2C59"/>
    <w:rsid w:val="00AA2F61"/>
    <w:rsid w:val="00AA37D6"/>
    <w:rsid w:val="00AA394F"/>
    <w:rsid w:val="00AA3E27"/>
    <w:rsid w:val="00AA3F8F"/>
    <w:rsid w:val="00AA415E"/>
    <w:rsid w:val="00AA4A97"/>
    <w:rsid w:val="00AA4F6A"/>
    <w:rsid w:val="00AA5080"/>
    <w:rsid w:val="00AA6179"/>
    <w:rsid w:val="00AA6518"/>
    <w:rsid w:val="00AA668C"/>
    <w:rsid w:val="00AA68D3"/>
    <w:rsid w:val="00AA6DC5"/>
    <w:rsid w:val="00AA7431"/>
    <w:rsid w:val="00AA77B1"/>
    <w:rsid w:val="00AB0BAD"/>
    <w:rsid w:val="00AB0C11"/>
    <w:rsid w:val="00AB1957"/>
    <w:rsid w:val="00AB1A1E"/>
    <w:rsid w:val="00AB1A92"/>
    <w:rsid w:val="00AB1F27"/>
    <w:rsid w:val="00AB213F"/>
    <w:rsid w:val="00AB230A"/>
    <w:rsid w:val="00AB2817"/>
    <w:rsid w:val="00AB3241"/>
    <w:rsid w:val="00AB329E"/>
    <w:rsid w:val="00AB37F3"/>
    <w:rsid w:val="00AB4087"/>
    <w:rsid w:val="00AB4150"/>
    <w:rsid w:val="00AB46D9"/>
    <w:rsid w:val="00AB471D"/>
    <w:rsid w:val="00AB4E16"/>
    <w:rsid w:val="00AB5006"/>
    <w:rsid w:val="00AB575E"/>
    <w:rsid w:val="00AB5B02"/>
    <w:rsid w:val="00AB64FF"/>
    <w:rsid w:val="00AB6933"/>
    <w:rsid w:val="00AB6D05"/>
    <w:rsid w:val="00AB75C7"/>
    <w:rsid w:val="00AB76E5"/>
    <w:rsid w:val="00AB7D1F"/>
    <w:rsid w:val="00AC10F0"/>
    <w:rsid w:val="00AC16BB"/>
    <w:rsid w:val="00AC1827"/>
    <w:rsid w:val="00AC1E39"/>
    <w:rsid w:val="00AC1E81"/>
    <w:rsid w:val="00AC2053"/>
    <w:rsid w:val="00AC2B3A"/>
    <w:rsid w:val="00AC3703"/>
    <w:rsid w:val="00AC3C62"/>
    <w:rsid w:val="00AC3CEB"/>
    <w:rsid w:val="00AC4395"/>
    <w:rsid w:val="00AC4907"/>
    <w:rsid w:val="00AC4910"/>
    <w:rsid w:val="00AC49DD"/>
    <w:rsid w:val="00AC5D9E"/>
    <w:rsid w:val="00AC60A0"/>
    <w:rsid w:val="00AC6840"/>
    <w:rsid w:val="00AC68B6"/>
    <w:rsid w:val="00AC68DA"/>
    <w:rsid w:val="00AC6908"/>
    <w:rsid w:val="00AC6D5C"/>
    <w:rsid w:val="00AC6FCB"/>
    <w:rsid w:val="00AC745B"/>
    <w:rsid w:val="00AC77B8"/>
    <w:rsid w:val="00AC7CF5"/>
    <w:rsid w:val="00AD0127"/>
    <w:rsid w:val="00AD01FE"/>
    <w:rsid w:val="00AD0283"/>
    <w:rsid w:val="00AD0838"/>
    <w:rsid w:val="00AD183F"/>
    <w:rsid w:val="00AD1C75"/>
    <w:rsid w:val="00AD2EBB"/>
    <w:rsid w:val="00AD3B9D"/>
    <w:rsid w:val="00AD3E2E"/>
    <w:rsid w:val="00AD4052"/>
    <w:rsid w:val="00AD4149"/>
    <w:rsid w:val="00AD430E"/>
    <w:rsid w:val="00AD4B5C"/>
    <w:rsid w:val="00AD4C20"/>
    <w:rsid w:val="00AD4CF5"/>
    <w:rsid w:val="00AD4D43"/>
    <w:rsid w:val="00AD4F9B"/>
    <w:rsid w:val="00AD5675"/>
    <w:rsid w:val="00AD57F0"/>
    <w:rsid w:val="00AD585C"/>
    <w:rsid w:val="00AD5A43"/>
    <w:rsid w:val="00AD62E0"/>
    <w:rsid w:val="00AD6E54"/>
    <w:rsid w:val="00AD720F"/>
    <w:rsid w:val="00AD7242"/>
    <w:rsid w:val="00AD76D7"/>
    <w:rsid w:val="00AD7763"/>
    <w:rsid w:val="00AD78E9"/>
    <w:rsid w:val="00AE088A"/>
    <w:rsid w:val="00AE0DAE"/>
    <w:rsid w:val="00AE1253"/>
    <w:rsid w:val="00AE1692"/>
    <w:rsid w:val="00AE1C52"/>
    <w:rsid w:val="00AE3081"/>
    <w:rsid w:val="00AE3090"/>
    <w:rsid w:val="00AE31E7"/>
    <w:rsid w:val="00AE3876"/>
    <w:rsid w:val="00AE3B86"/>
    <w:rsid w:val="00AE3F5F"/>
    <w:rsid w:val="00AE4777"/>
    <w:rsid w:val="00AE4B6E"/>
    <w:rsid w:val="00AE4DB7"/>
    <w:rsid w:val="00AE4F84"/>
    <w:rsid w:val="00AE54ED"/>
    <w:rsid w:val="00AE555E"/>
    <w:rsid w:val="00AE5B06"/>
    <w:rsid w:val="00AE64FD"/>
    <w:rsid w:val="00AE684E"/>
    <w:rsid w:val="00AE6B6B"/>
    <w:rsid w:val="00AE6B95"/>
    <w:rsid w:val="00AE6BE7"/>
    <w:rsid w:val="00AE6EB8"/>
    <w:rsid w:val="00AE7952"/>
    <w:rsid w:val="00AE79C0"/>
    <w:rsid w:val="00AE7ED9"/>
    <w:rsid w:val="00AF014D"/>
    <w:rsid w:val="00AF0D45"/>
    <w:rsid w:val="00AF1190"/>
    <w:rsid w:val="00AF1A20"/>
    <w:rsid w:val="00AF1CDA"/>
    <w:rsid w:val="00AF2895"/>
    <w:rsid w:val="00AF2BE6"/>
    <w:rsid w:val="00AF2E1F"/>
    <w:rsid w:val="00AF375F"/>
    <w:rsid w:val="00AF3DA0"/>
    <w:rsid w:val="00AF3EAD"/>
    <w:rsid w:val="00AF4111"/>
    <w:rsid w:val="00AF4140"/>
    <w:rsid w:val="00AF41F9"/>
    <w:rsid w:val="00AF430E"/>
    <w:rsid w:val="00AF4364"/>
    <w:rsid w:val="00AF48B2"/>
    <w:rsid w:val="00AF4A0E"/>
    <w:rsid w:val="00AF4D62"/>
    <w:rsid w:val="00AF4E82"/>
    <w:rsid w:val="00AF51C0"/>
    <w:rsid w:val="00AF53ED"/>
    <w:rsid w:val="00AF5557"/>
    <w:rsid w:val="00AF5DCB"/>
    <w:rsid w:val="00AF7164"/>
    <w:rsid w:val="00AF7472"/>
    <w:rsid w:val="00AF753B"/>
    <w:rsid w:val="00AF7C36"/>
    <w:rsid w:val="00B00319"/>
    <w:rsid w:val="00B00372"/>
    <w:rsid w:val="00B004F7"/>
    <w:rsid w:val="00B01ACF"/>
    <w:rsid w:val="00B01EDB"/>
    <w:rsid w:val="00B024B4"/>
    <w:rsid w:val="00B02AE2"/>
    <w:rsid w:val="00B02B52"/>
    <w:rsid w:val="00B0326A"/>
    <w:rsid w:val="00B0395B"/>
    <w:rsid w:val="00B03CDD"/>
    <w:rsid w:val="00B0401C"/>
    <w:rsid w:val="00B04573"/>
    <w:rsid w:val="00B04880"/>
    <w:rsid w:val="00B051D4"/>
    <w:rsid w:val="00B05577"/>
    <w:rsid w:val="00B05A78"/>
    <w:rsid w:val="00B05B98"/>
    <w:rsid w:val="00B06185"/>
    <w:rsid w:val="00B063B0"/>
    <w:rsid w:val="00B068CA"/>
    <w:rsid w:val="00B06FCD"/>
    <w:rsid w:val="00B073C2"/>
    <w:rsid w:val="00B073DD"/>
    <w:rsid w:val="00B078DA"/>
    <w:rsid w:val="00B07CAD"/>
    <w:rsid w:val="00B07DB1"/>
    <w:rsid w:val="00B100D3"/>
    <w:rsid w:val="00B102E0"/>
    <w:rsid w:val="00B10520"/>
    <w:rsid w:val="00B10525"/>
    <w:rsid w:val="00B10B92"/>
    <w:rsid w:val="00B11E01"/>
    <w:rsid w:val="00B12781"/>
    <w:rsid w:val="00B12A15"/>
    <w:rsid w:val="00B12BD0"/>
    <w:rsid w:val="00B12D3D"/>
    <w:rsid w:val="00B12EA0"/>
    <w:rsid w:val="00B12EB9"/>
    <w:rsid w:val="00B13577"/>
    <w:rsid w:val="00B1367E"/>
    <w:rsid w:val="00B13C92"/>
    <w:rsid w:val="00B14243"/>
    <w:rsid w:val="00B147D3"/>
    <w:rsid w:val="00B1495A"/>
    <w:rsid w:val="00B14DC5"/>
    <w:rsid w:val="00B155EE"/>
    <w:rsid w:val="00B1582F"/>
    <w:rsid w:val="00B1585E"/>
    <w:rsid w:val="00B15E4C"/>
    <w:rsid w:val="00B15F85"/>
    <w:rsid w:val="00B16535"/>
    <w:rsid w:val="00B165A5"/>
    <w:rsid w:val="00B17913"/>
    <w:rsid w:val="00B17A1A"/>
    <w:rsid w:val="00B17E35"/>
    <w:rsid w:val="00B2004E"/>
    <w:rsid w:val="00B200F0"/>
    <w:rsid w:val="00B2079B"/>
    <w:rsid w:val="00B20900"/>
    <w:rsid w:val="00B209BC"/>
    <w:rsid w:val="00B2111E"/>
    <w:rsid w:val="00B21EC2"/>
    <w:rsid w:val="00B221DF"/>
    <w:rsid w:val="00B231B4"/>
    <w:rsid w:val="00B23296"/>
    <w:rsid w:val="00B24425"/>
    <w:rsid w:val="00B2479E"/>
    <w:rsid w:val="00B24A24"/>
    <w:rsid w:val="00B24E71"/>
    <w:rsid w:val="00B25438"/>
    <w:rsid w:val="00B25A41"/>
    <w:rsid w:val="00B26589"/>
    <w:rsid w:val="00B2689F"/>
    <w:rsid w:val="00B268B4"/>
    <w:rsid w:val="00B26E37"/>
    <w:rsid w:val="00B2715C"/>
    <w:rsid w:val="00B2742E"/>
    <w:rsid w:val="00B2754B"/>
    <w:rsid w:val="00B31377"/>
    <w:rsid w:val="00B3138F"/>
    <w:rsid w:val="00B320B5"/>
    <w:rsid w:val="00B32C14"/>
    <w:rsid w:val="00B32E39"/>
    <w:rsid w:val="00B33443"/>
    <w:rsid w:val="00B3356A"/>
    <w:rsid w:val="00B33B3D"/>
    <w:rsid w:val="00B346B5"/>
    <w:rsid w:val="00B34A9B"/>
    <w:rsid w:val="00B353B9"/>
    <w:rsid w:val="00B35550"/>
    <w:rsid w:val="00B359A7"/>
    <w:rsid w:val="00B35C30"/>
    <w:rsid w:val="00B3623C"/>
    <w:rsid w:val="00B36BB6"/>
    <w:rsid w:val="00B36E5D"/>
    <w:rsid w:val="00B3714E"/>
    <w:rsid w:val="00B374C7"/>
    <w:rsid w:val="00B379F1"/>
    <w:rsid w:val="00B40040"/>
    <w:rsid w:val="00B4010C"/>
    <w:rsid w:val="00B406FD"/>
    <w:rsid w:val="00B40AE4"/>
    <w:rsid w:val="00B40B8B"/>
    <w:rsid w:val="00B41138"/>
    <w:rsid w:val="00B4182A"/>
    <w:rsid w:val="00B4201E"/>
    <w:rsid w:val="00B42BDB"/>
    <w:rsid w:val="00B42BFA"/>
    <w:rsid w:val="00B42F49"/>
    <w:rsid w:val="00B42FD5"/>
    <w:rsid w:val="00B430E2"/>
    <w:rsid w:val="00B43422"/>
    <w:rsid w:val="00B43CF9"/>
    <w:rsid w:val="00B443D8"/>
    <w:rsid w:val="00B44541"/>
    <w:rsid w:val="00B4593E"/>
    <w:rsid w:val="00B45D55"/>
    <w:rsid w:val="00B45FE4"/>
    <w:rsid w:val="00B4652D"/>
    <w:rsid w:val="00B46652"/>
    <w:rsid w:val="00B4697F"/>
    <w:rsid w:val="00B46A10"/>
    <w:rsid w:val="00B46D3D"/>
    <w:rsid w:val="00B47374"/>
    <w:rsid w:val="00B474B5"/>
    <w:rsid w:val="00B47B0E"/>
    <w:rsid w:val="00B47B7C"/>
    <w:rsid w:val="00B47ED3"/>
    <w:rsid w:val="00B50121"/>
    <w:rsid w:val="00B505D5"/>
    <w:rsid w:val="00B5145F"/>
    <w:rsid w:val="00B514C7"/>
    <w:rsid w:val="00B51520"/>
    <w:rsid w:val="00B51634"/>
    <w:rsid w:val="00B51FE4"/>
    <w:rsid w:val="00B52333"/>
    <w:rsid w:val="00B526AE"/>
    <w:rsid w:val="00B52BAB"/>
    <w:rsid w:val="00B536B0"/>
    <w:rsid w:val="00B53814"/>
    <w:rsid w:val="00B53CF7"/>
    <w:rsid w:val="00B54976"/>
    <w:rsid w:val="00B549CA"/>
    <w:rsid w:val="00B54B7A"/>
    <w:rsid w:val="00B550A5"/>
    <w:rsid w:val="00B55422"/>
    <w:rsid w:val="00B554B1"/>
    <w:rsid w:val="00B558F2"/>
    <w:rsid w:val="00B559EA"/>
    <w:rsid w:val="00B55A9A"/>
    <w:rsid w:val="00B55AC6"/>
    <w:rsid w:val="00B55FFD"/>
    <w:rsid w:val="00B56145"/>
    <w:rsid w:val="00B5634F"/>
    <w:rsid w:val="00B5642B"/>
    <w:rsid w:val="00B569EB"/>
    <w:rsid w:val="00B56EF3"/>
    <w:rsid w:val="00B57201"/>
    <w:rsid w:val="00B57B6D"/>
    <w:rsid w:val="00B60161"/>
    <w:rsid w:val="00B601FE"/>
    <w:rsid w:val="00B602CA"/>
    <w:rsid w:val="00B6060A"/>
    <w:rsid w:val="00B607D1"/>
    <w:rsid w:val="00B60943"/>
    <w:rsid w:val="00B60BD0"/>
    <w:rsid w:val="00B6146E"/>
    <w:rsid w:val="00B61CD0"/>
    <w:rsid w:val="00B61E71"/>
    <w:rsid w:val="00B621DD"/>
    <w:rsid w:val="00B6265C"/>
    <w:rsid w:val="00B6286C"/>
    <w:rsid w:val="00B62DB8"/>
    <w:rsid w:val="00B63152"/>
    <w:rsid w:val="00B635C0"/>
    <w:rsid w:val="00B63779"/>
    <w:rsid w:val="00B63B39"/>
    <w:rsid w:val="00B63B92"/>
    <w:rsid w:val="00B642C7"/>
    <w:rsid w:val="00B644C9"/>
    <w:rsid w:val="00B6451B"/>
    <w:rsid w:val="00B647E8"/>
    <w:rsid w:val="00B64987"/>
    <w:rsid w:val="00B654AB"/>
    <w:rsid w:val="00B65906"/>
    <w:rsid w:val="00B65AC4"/>
    <w:rsid w:val="00B66343"/>
    <w:rsid w:val="00B669FE"/>
    <w:rsid w:val="00B66C0D"/>
    <w:rsid w:val="00B66C42"/>
    <w:rsid w:val="00B66F34"/>
    <w:rsid w:val="00B675F1"/>
    <w:rsid w:val="00B6769E"/>
    <w:rsid w:val="00B67EFE"/>
    <w:rsid w:val="00B702C0"/>
    <w:rsid w:val="00B70A2B"/>
    <w:rsid w:val="00B70FD5"/>
    <w:rsid w:val="00B7175C"/>
    <w:rsid w:val="00B72C76"/>
    <w:rsid w:val="00B72E11"/>
    <w:rsid w:val="00B73197"/>
    <w:rsid w:val="00B738C3"/>
    <w:rsid w:val="00B73BD2"/>
    <w:rsid w:val="00B73D67"/>
    <w:rsid w:val="00B73F93"/>
    <w:rsid w:val="00B741B2"/>
    <w:rsid w:val="00B7440B"/>
    <w:rsid w:val="00B745E7"/>
    <w:rsid w:val="00B74890"/>
    <w:rsid w:val="00B750BB"/>
    <w:rsid w:val="00B75540"/>
    <w:rsid w:val="00B75747"/>
    <w:rsid w:val="00B758F9"/>
    <w:rsid w:val="00B75980"/>
    <w:rsid w:val="00B75A92"/>
    <w:rsid w:val="00B760A5"/>
    <w:rsid w:val="00B76107"/>
    <w:rsid w:val="00B761CC"/>
    <w:rsid w:val="00B764FB"/>
    <w:rsid w:val="00B766CF"/>
    <w:rsid w:val="00B7721F"/>
    <w:rsid w:val="00B778D9"/>
    <w:rsid w:val="00B779E7"/>
    <w:rsid w:val="00B8007B"/>
    <w:rsid w:val="00B803B7"/>
    <w:rsid w:val="00B80978"/>
    <w:rsid w:val="00B809EC"/>
    <w:rsid w:val="00B8142E"/>
    <w:rsid w:val="00B821E1"/>
    <w:rsid w:val="00B82430"/>
    <w:rsid w:val="00B82A6E"/>
    <w:rsid w:val="00B82B95"/>
    <w:rsid w:val="00B82CBF"/>
    <w:rsid w:val="00B82CC5"/>
    <w:rsid w:val="00B82EDE"/>
    <w:rsid w:val="00B82F9E"/>
    <w:rsid w:val="00B83DCF"/>
    <w:rsid w:val="00B84C4C"/>
    <w:rsid w:val="00B84F3F"/>
    <w:rsid w:val="00B8516D"/>
    <w:rsid w:val="00B85AAF"/>
    <w:rsid w:val="00B85BE2"/>
    <w:rsid w:val="00B863AE"/>
    <w:rsid w:val="00B86516"/>
    <w:rsid w:val="00B869F2"/>
    <w:rsid w:val="00B86A1D"/>
    <w:rsid w:val="00B86B59"/>
    <w:rsid w:val="00B86ECB"/>
    <w:rsid w:val="00B874FF"/>
    <w:rsid w:val="00B90238"/>
    <w:rsid w:val="00B902F5"/>
    <w:rsid w:val="00B90711"/>
    <w:rsid w:val="00B91389"/>
    <w:rsid w:val="00B91EDA"/>
    <w:rsid w:val="00B9217A"/>
    <w:rsid w:val="00B92479"/>
    <w:rsid w:val="00B93E08"/>
    <w:rsid w:val="00B941B8"/>
    <w:rsid w:val="00B94FFB"/>
    <w:rsid w:val="00B95149"/>
    <w:rsid w:val="00B952BB"/>
    <w:rsid w:val="00B953E5"/>
    <w:rsid w:val="00B9546F"/>
    <w:rsid w:val="00B95541"/>
    <w:rsid w:val="00B95561"/>
    <w:rsid w:val="00B957A7"/>
    <w:rsid w:val="00B95EB5"/>
    <w:rsid w:val="00B964C7"/>
    <w:rsid w:val="00B966C6"/>
    <w:rsid w:val="00B966D4"/>
    <w:rsid w:val="00B966F6"/>
    <w:rsid w:val="00B96FAC"/>
    <w:rsid w:val="00B97B5A"/>
    <w:rsid w:val="00B97C13"/>
    <w:rsid w:val="00B97DDC"/>
    <w:rsid w:val="00B97EA1"/>
    <w:rsid w:val="00BA18AA"/>
    <w:rsid w:val="00BA18FB"/>
    <w:rsid w:val="00BA1BF1"/>
    <w:rsid w:val="00BA1D37"/>
    <w:rsid w:val="00BA2538"/>
    <w:rsid w:val="00BA2BD2"/>
    <w:rsid w:val="00BA2EE2"/>
    <w:rsid w:val="00BA3144"/>
    <w:rsid w:val="00BA3170"/>
    <w:rsid w:val="00BA33E1"/>
    <w:rsid w:val="00BA3427"/>
    <w:rsid w:val="00BA3773"/>
    <w:rsid w:val="00BA3F27"/>
    <w:rsid w:val="00BA4350"/>
    <w:rsid w:val="00BA46AC"/>
    <w:rsid w:val="00BA4F8A"/>
    <w:rsid w:val="00BA5005"/>
    <w:rsid w:val="00BA52DB"/>
    <w:rsid w:val="00BA53BE"/>
    <w:rsid w:val="00BA545B"/>
    <w:rsid w:val="00BA5524"/>
    <w:rsid w:val="00BA6144"/>
    <w:rsid w:val="00BA620C"/>
    <w:rsid w:val="00BA660E"/>
    <w:rsid w:val="00BA662C"/>
    <w:rsid w:val="00BA6E9F"/>
    <w:rsid w:val="00BA7772"/>
    <w:rsid w:val="00BA7F05"/>
    <w:rsid w:val="00BB0358"/>
    <w:rsid w:val="00BB071B"/>
    <w:rsid w:val="00BB12E2"/>
    <w:rsid w:val="00BB1E9E"/>
    <w:rsid w:val="00BB203E"/>
    <w:rsid w:val="00BB31C7"/>
    <w:rsid w:val="00BB32B2"/>
    <w:rsid w:val="00BB4DDE"/>
    <w:rsid w:val="00BB562A"/>
    <w:rsid w:val="00BB5642"/>
    <w:rsid w:val="00BB573F"/>
    <w:rsid w:val="00BB6BB0"/>
    <w:rsid w:val="00BB70A7"/>
    <w:rsid w:val="00BB7287"/>
    <w:rsid w:val="00BB75AF"/>
    <w:rsid w:val="00BB7E25"/>
    <w:rsid w:val="00BB7EC5"/>
    <w:rsid w:val="00BC054D"/>
    <w:rsid w:val="00BC08FB"/>
    <w:rsid w:val="00BC13BA"/>
    <w:rsid w:val="00BC1C57"/>
    <w:rsid w:val="00BC1E65"/>
    <w:rsid w:val="00BC2601"/>
    <w:rsid w:val="00BC2B8A"/>
    <w:rsid w:val="00BC2F7A"/>
    <w:rsid w:val="00BC32DB"/>
    <w:rsid w:val="00BC32F4"/>
    <w:rsid w:val="00BC4DFE"/>
    <w:rsid w:val="00BC4E9F"/>
    <w:rsid w:val="00BC5487"/>
    <w:rsid w:val="00BC5877"/>
    <w:rsid w:val="00BC5AEE"/>
    <w:rsid w:val="00BC6141"/>
    <w:rsid w:val="00BC622E"/>
    <w:rsid w:val="00BC6C2F"/>
    <w:rsid w:val="00BC70C1"/>
    <w:rsid w:val="00BD0065"/>
    <w:rsid w:val="00BD0323"/>
    <w:rsid w:val="00BD080D"/>
    <w:rsid w:val="00BD0917"/>
    <w:rsid w:val="00BD0AD6"/>
    <w:rsid w:val="00BD0B0D"/>
    <w:rsid w:val="00BD15E4"/>
    <w:rsid w:val="00BD24E1"/>
    <w:rsid w:val="00BD27FD"/>
    <w:rsid w:val="00BD335B"/>
    <w:rsid w:val="00BD43F2"/>
    <w:rsid w:val="00BD5BE5"/>
    <w:rsid w:val="00BD5DBF"/>
    <w:rsid w:val="00BD600B"/>
    <w:rsid w:val="00BD610D"/>
    <w:rsid w:val="00BD6908"/>
    <w:rsid w:val="00BD770D"/>
    <w:rsid w:val="00BD7A79"/>
    <w:rsid w:val="00BD7B5E"/>
    <w:rsid w:val="00BE016E"/>
    <w:rsid w:val="00BE0D73"/>
    <w:rsid w:val="00BE0E11"/>
    <w:rsid w:val="00BE12FD"/>
    <w:rsid w:val="00BE1CDE"/>
    <w:rsid w:val="00BE222A"/>
    <w:rsid w:val="00BE237D"/>
    <w:rsid w:val="00BE2602"/>
    <w:rsid w:val="00BE29FD"/>
    <w:rsid w:val="00BE2C28"/>
    <w:rsid w:val="00BE3211"/>
    <w:rsid w:val="00BE4795"/>
    <w:rsid w:val="00BE48FF"/>
    <w:rsid w:val="00BE494E"/>
    <w:rsid w:val="00BE5034"/>
    <w:rsid w:val="00BE5B01"/>
    <w:rsid w:val="00BE6042"/>
    <w:rsid w:val="00BE6ADB"/>
    <w:rsid w:val="00BE6C45"/>
    <w:rsid w:val="00BE6E31"/>
    <w:rsid w:val="00BE74C0"/>
    <w:rsid w:val="00BE7984"/>
    <w:rsid w:val="00BE7D7F"/>
    <w:rsid w:val="00BF02AC"/>
    <w:rsid w:val="00BF0C0D"/>
    <w:rsid w:val="00BF17D0"/>
    <w:rsid w:val="00BF2418"/>
    <w:rsid w:val="00BF282E"/>
    <w:rsid w:val="00BF2F3D"/>
    <w:rsid w:val="00BF2FF3"/>
    <w:rsid w:val="00BF31E7"/>
    <w:rsid w:val="00BF34D9"/>
    <w:rsid w:val="00BF39FD"/>
    <w:rsid w:val="00BF5C3B"/>
    <w:rsid w:val="00BF5FF2"/>
    <w:rsid w:val="00BF63DA"/>
    <w:rsid w:val="00BF63E0"/>
    <w:rsid w:val="00BF69A6"/>
    <w:rsid w:val="00BF6ACF"/>
    <w:rsid w:val="00BF6D94"/>
    <w:rsid w:val="00BF70B9"/>
    <w:rsid w:val="00BF71AB"/>
    <w:rsid w:val="00BF752B"/>
    <w:rsid w:val="00BF77DF"/>
    <w:rsid w:val="00BF7893"/>
    <w:rsid w:val="00BF7AC2"/>
    <w:rsid w:val="00BF7AE3"/>
    <w:rsid w:val="00C00016"/>
    <w:rsid w:val="00C000ED"/>
    <w:rsid w:val="00C00F7D"/>
    <w:rsid w:val="00C01F95"/>
    <w:rsid w:val="00C0219B"/>
    <w:rsid w:val="00C02631"/>
    <w:rsid w:val="00C0290D"/>
    <w:rsid w:val="00C03E5B"/>
    <w:rsid w:val="00C03EB5"/>
    <w:rsid w:val="00C04102"/>
    <w:rsid w:val="00C04243"/>
    <w:rsid w:val="00C04971"/>
    <w:rsid w:val="00C04F94"/>
    <w:rsid w:val="00C05102"/>
    <w:rsid w:val="00C0544E"/>
    <w:rsid w:val="00C05A08"/>
    <w:rsid w:val="00C05D16"/>
    <w:rsid w:val="00C06660"/>
    <w:rsid w:val="00C06BD2"/>
    <w:rsid w:val="00C0729A"/>
    <w:rsid w:val="00C07FF8"/>
    <w:rsid w:val="00C10064"/>
    <w:rsid w:val="00C1027C"/>
    <w:rsid w:val="00C1055A"/>
    <w:rsid w:val="00C1057F"/>
    <w:rsid w:val="00C10731"/>
    <w:rsid w:val="00C10C40"/>
    <w:rsid w:val="00C110F6"/>
    <w:rsid w:val="00C112DD"/>
    <w:rsid w:val="00C120FD"/>
    <w:rsid w:val="00C12173"/>
    <w:rsid w:val="00C12654"/>
    <w:rsid w:val="00C12678"/>
    <w:rsid w:val="00C1300F"/>
    <w:rsid w:val="00C13033"/>
    <w:rsid w:val="00C131A0"/>
    <w:rsid w:val="00C13308"/>
    <w:rsid w:val="00C13E3A"/>
    <w:rsid w:val="00C1410A"/>
    <w:rsid w:val="00C14C1F"/>
    <w:rsid w:val="00C14C68"/>
    <w:rsid w:val="00C14C97"/>
    <w:rsid w:val="00C15249"/>
    <w:rsid w:val="00C15AF6"/>
    <w:rsid w:val="00C1611F"/>
    <w:rsid w:val="00C16398"/>
    <w:rsid w:val="00C164DF"/>
    <w:rsid w:val="00C16F09"/>
    <w:rsid w:val="00C16FCD"/>
    <w:rsid w:val="00C17321"/>
    <w:rsid w:val="00C174F6"/>
    <w:rsid w:val="00C176F4"/>
    <w:rsid w:val="00C1783A"/>
    <w:rsid w:val="00C17DCE"/>
    <w:rsid w:val="00C201AD"/>
    <w:rsid w:val="00C211E2"/>
    <w:rsid w:val="00C215C7"/>
    <w:rsid w:val="00C22024"/>
    <w:rsid w:val="00C227F1"/>
    <w:rsid w:val="00C22BDF"/>
    <w:rsid w:val="00C22E83"/>
    <w:rsid w:val="00C238EC"/>
    <w:rsid w:val="00C2397F"/>
    <w:rsid w:val="00C243F8"/>
    <w:rsid w:val="00C24421"/>
    <w:rsid w:val="00C246CD"/>
    <w:rsid w:val="00C24ED5"/>
    <w:rsid w:val="00C25AD0"/>
    <w:rsid w:val="00C26358"/>
    <w:rsid w:val="00C264F3"/>
    <w:rsid w:val="00C266F9"/>
    <w:rsid w:val="00C27D7F"/>
    <w:rsid w:val="00C3077E"/>
    <w:rsid w:val="00C3090F"/>
    <w:rsid w:val="00C30BFA"/>
    <w:rsid w:val="00C30E77"/>
    <w:rsid w:val="00C30ED0"/>
    <w:rsid w:val="00C310DC"/>
    <w:rsid w:val="00C313AD"/>
    <w:rsid w:val="00C31C4F"/>
    <w:rsid w:val="00C33273"/>
    <w:rsid w:val="00C33360"/>
    <w:rsid w:val="00C3385F"/>
    <w:rsid w:val="00C33A51"/>
    <w:rsid w:val="00C33A69"/>
    <w:rsid w:val="00C33CD1"/>
    <w:rsid w:val="00C34389"/>
    <w:rsid w:val="00C34442"/>
    <w:rsid w:val="00C3592E"/>
    <w:rsid w:val="00C35BFC"/>
    <w:rsid w:val="00C35CC5"/>
    <w:rsid w:val="00C35F93"/>
    <w:rsid w:val="00C36015"/>
    <w:rsid w:val="00C3635C"/>
    <w:rsid w:val="00C3656D"/>
    <w:rsid w:val="00C36718"/>
    <w:rsid w:val="00C36789"/>
    <w:rsid w:val="00C36B3B"/>
    <w:rsid w:val="00C36E71"/>
    <w:rsid w:val="00C3729E"/>
    <w:rsid w:val="00C378E7"/>
    <w:rsid w:val="00C37A05"/>
    <w:rsid w:val="00C37EF9"/>
    <w:rsid w:val="00C4048F"/>
    <w:rsid w:val="00C4142D"/>
    <w:rsid w:val="00C415CD"/>
    <w:rsid w:val="00C41E9D"/>
    <w:rsid w:val="00C41F69"/>
    <w:rsid w:val="00C421CD"/>
    <w:rsid w:val="00C429EC"/>
    <w:rsid w:val="00C42A2C"/>
    <w:rsid w:val="00C4316B"/>
    <w:rsid w:val="00C43858"/>
    <w:rsid w:val="00C43AC5"/>
    <w:rsid w:val="00C4447B"/>
    <w:rsid w:val="00C448D6"/>
    <w:rsid w:val="00C44F97"/>
    <w:rsid w:val="00C45084"/>
    <w:rsid w:val="00C455C7"/>
    <w:rsid w:val="00C45960"/>
    <w:rsid w:val="00C459E9"/>
    <w:rsid w:val="00C45B7F"/>
    <w:rsid w:val="00C45FE8"/>
    <w:rsid w:val="00C46375"/>
    <w:rsid w:val="00C46B9E"/>
    <w:rsid w:val="00C46F1F"/>
    <w:rsid w:val="00C47B6F"/>
    <w:rsid w:val="00C47C57"/>
    <w:rsid w:val="00C50015"/>
    <w:rsid w:val="00C50606"/>
    <w:rsid w:val="00C508D2"/>
    <w:rsid w:val="00C5112B"/>
    <w:rsid w:val="00C51196"/>
    <w:rsid w:val="00C515FE"/>
    <w:rsid w:val="00C51D6A"/>
    <w:rsid w:val="00C523FD"/>
    <w:rsid w:val="00C52E23"/>
    <w:rsid w:val="00C52F4F"/>
    <w:rsid w:val="00C52F90"/>
    <w:rsid w:val="00C53652"/>
    <w:rsid w:val="00C5371F"/>
    <w:rsid w:val="00C537A2"/>
    <w:rsid w:val="00C53863"/>
    <w:rsid w:val="00C53DFA"/>
    <w:rsid w:val="00C53FFA"/>
    <w:rsid w:val="00C5467E"/>
    <w:rsid w:val="00C5477F"/>
    <w:rsid w:val="00C54EBC"/>
    <w:rsid w:val="00C54F3D"/>
    <w:rsid w:val="00C55B3D"/>
    <w:rsid w:val="00C5629C"/>
    <w:rsid w:val="00C56A3E"/>
    <w:rsid w:val="00C56CE9"/>
    <w:rsid w:val="00C570AA"/>
    <w:rsid w:val="00C57847"/>
    <w:rsid w:val="00C57B2D"/>
    <w:rsid w:val="00C6033B"/>
    <w:rsid w:val="00C6064E"/>
    <w:rsid w:val="00C606D9"/>
    <w:rsid w:val="00C60DC1"/>
    <w:rsid w:val="00C60F31"/>
    <w:rsid w:val="00C61415"/>
    <w:rsid w:val="00C61849"/>
    <w:rsid w:val="00C61AD5"/>
    <w:rsid w:val="00C61C98"/>
    <w:rsid w:val="00C62189"/>
    <w:rsid w:val="00C622EF"/>
    <w:rsid w:val="00C6232E"/>
    <w:rsid w:val="00C6261A"/>
    <w:rsid w:val="00C629AD"/>
    <w:rsid w:val="00C62E50"/>
    <w:rsid w:val="00C6301A"/>
    <w:rsid w:val="00C63246"/>
    <w:rsid w:val="00C638B6"/>
    <w:rsid w:val="00C63D99"/>
    <w:rsid w:val="00C64821"/>
    <w:rsid w:val="00C64959"/>
    <w:rsid w:val="00C650F7"/>
    <w:rsid w:val="00C65491"/>
    <w:rsid w:val="00C655C2"/>
    <w:rsid w:val="00C656F5"/>
    <w:rsid w:val="00C65D1A"/>
    <w:rsid w:val="00C66865"/>
    <w:rsid w:val="00C67239"/>
    <w:rsid w:val="00C703A9"/>
    <w:rsid w:val="00C70528"/>
    <w:rsid w:val="00C705B2"/>
    <w:rsid w:val="00C7072C"/>
    <w:rsid w:val="00C7076E"/>
    <w:rsid w:val="00C70B6E"/>
    <w:rsid w:val="00C714C2"/>
    <w:rsid w:val="00C71818"/>
    <w:rsid w:val="00C72366"/>
    <w:rsid w:val="00C72545"/>
    <w:rsid w:val="00C725BC"/>
    <w:rsid w:val="00C72C04"/>
    <w:rsid w:val="00C72F84"/>
    <w:rsid w:val="00C73679"/>
    <w:rsid w:val="00C73D11"/>
    <w:rsid w:val="00C740A5"/>
    <w:rsid w:val="00C74337"/>
    <w:rsid w:val="00C743C2"/>
    <w:rsid w:val="00C74724"/>
    <w:rsid w:val="00C74A2C"/>
    <w:rsid w:val="00C74E20"/>
    <w:rsid w:val="00C75D65"/>
    <w:rsid w:val="00C75D8C"/>
    <w:rsid w:val="00C770C9"/>
    <w:rsid w:val="00C77420"/>
    <w:rsid w:val="00C77787"/>
    <w:rsid w:val="00C77806"/>
    <w:rsid w:val="00C7791D"/>
    <w:rsid w:val="00C779A9"/>
    <w:rsid w:val="00C77F52"/>
    <w:rsid w:val="00C8004C"/>
    <w:rsid w:val="00C804B1"/>
    <w:rsid w:val="00C80565"/>
    <w:rsid w:val="00C80B78"/>
    <w:rsid w:val="00C80C57"/>
    <w:rsid w:val="00C80CF3"/>
    <w:rsid w:val="00C80F6F"/>
    <w:rsid w:val="00C81201"/>
    <w:rsid w:val="00C81717"/>
    <w:rsid w:val="00C818DC"/>
    <w:rsid w:val="00C81FFF"/>
    <w:rsid w:val="00C822AA"/>
    <w:rsid w:val="00C822FE"/>
    <w:rsid w:val="00C82415"/>
    <w:rsid w:val="00C82619"/>
    <w:rsid w:val="00C83B88"/>
    <w:rsid w:val="00C83CB0"/>
    <w:rsid w:val="00C84208"/>
    <w:rsid w:val="00C8451A"/>
    <w:rsid w:val="00C84F11"/>
    <w:rsid w:val="00C853BA"/>
    <w:rsid w:val="00C85A45"/>
    <w:rsid w:val="00C85D59"/>
    <w:rsid w:val="00C861F7"/>
    <w:rsid w:val="00C86DCE"/>
    <w:rsid w:val="00C87458"/>
    <w:rsid w:val="00C874B5"/>
    <w:rsid w:val="00C87A92"/>
    <w:rsid w:val="00C907A5"/>
    <w:rsid w:val="00C90F83"/>
    <w:rsid w:val="00C914E5"/>
    <w:rsid w:val="00C923A5"/>
    <w:rsid w:val="00C928FA"/>
    <w:rsid w:val="00C92FA2"/>
    <w:rsid w:val="00C93252"/>
    <w:rsid w:val="00C9338D"/>
    <w:rsid w:val="00C93644"/>
    <w:rsid w:val="00C93DFB"/>
    <w:rsid w:val="00C93FDC"/>
    <w:rsid w:val="00C941E8"/>
    <w:rsid w:val="00C95AF2"/>
    <w:rsid w:val="00C9620B"/>
    <w:rsid w:val="00C96418"/>
    <w:rsid w:val="00C967B7"/>
    <w:rsid w:val="00C96A8A"/>
    <w:rsid w:val="00C9726A"/>
    <w:rsid w:val="00C9729F"/>
    <w:rsid w:val="00C97303"/>
    <w:rsid w:val="00C97AD3"/>
    <w:rsid w:val="00CA06DC"/>
    <w:rsid w:val="00CA0738"/>
    <w:rsid w:val="00CA0812"/>
    <w:rsid w:val="00CA0887"/>
    <w:rsid w:val="00CA08D9"/>
    <w:rsid w:val="00CA1603"/>
    <w:rsid w:val="00CA1BDC"/>
    <w:rsid w:val="00CA2C1A"/>
    <w:rsid w:val="00CA2D13"/>
    <w:rsid w:val="00CA2E02"/>
    <w:rsid w:val="00CA344B"/>
    <w:rsid w:val="00CA3565"/>
    <w:rsid w:val="00CA3E1B"/>
    <w:rsid w:val="00CA47F5"/>
    <w:rsid w:val="00CA4CF4"/>
    <w:rsid w:val="00CA4D7B"/>
    <w:rsid w:val="00CA4FB7"/>
    <w:rsid w:val="00CA55ED"/>
    <w:rsid w:val="00CA5727"/>
    <w:rsid w:val="00CA573A"/>
    <w:rsid w:val="00CA577C"/>
    <w:rsid w:val="00CA57AC"/>
    <w:rsid w:val="00CA5D0B"/>
    <w:rsid w:val="00CA5E62"/>
    <w:rsid w:val="00CA63F6"/>
    <w:rsid w:val="00CA658F"/>
    <w:rsid w:val="00CA686D"/>
    <w:rsid w:val="00CA7B34"/>
    <w:rsid w:val="00CA7EC6"/>
    <w:rsid w:val="00CB00AF"/>
    <w:rsid w:val="00CB09A8"/>
    <w:rsid w:val="00CB1790"/>
    <w:rsid w:val="00CB2894"/>
    <w:rsid w:val="00CB2E61"/>
    <w:rsid w:val="00CB2F03"/>
    <w:rsid w:val="00CB3014"/>
    <w:rsid w:val="00CB357F"/>
    <w:rsid w:val="00CB3763"/>
    <w:rsid w:val="00CB40FB"/>
    <w:rsid w:val="00CB45C3"/>
    <w:rsid w:val="00CB4A6D"/>
    <w:rsid w:val="00CB5131"/>
    <w:rsid w:val="00CB52D3"/>
    <w:rsid w:val="00CB5797"/>
    <w:rsid w:val="00CB59F1"/>
    <w:rsid w:val="00CB5A82"/>
    <w:rsid w:val="00CB5C14"/>
    <w:rsid w:val="00CB5E0C"/>
    <w:rsid w:val="00CB5E1D"/>
    <w:rsid w:val="00CB5FDE"/>
    <w:rsid w:val="00CB621B"/>
    <w:rsid w:val="00CB643E"/>
    <w:rsid w:val="00CB65CA"/>
    <w:rsid w:val="00CB668C"/>
    <w:rsid w:val="00CB6A23"/>
    <w:rsid w:val="00CB6E8E"/>
    <w:rsid w:val="00CB70C9"/>
    <w:rsid w:val="00CB726F"/>
    <w:rsid w:val="00CC0035"/>
    <w:rsid w:val="00CC017D"/>
    <w:rsid w:val="00CC0633"/>
    <w:rsid w:val="00CC0DEC"/>
    <w:rsid w:val="00CC1289"/>
    <w:rsid w:val="00CC1297"/>
    <w:rsid w:val="00CC1422"/>
    <w:rsid w:val="00CC1A0C"/>
    <w:rsid w:val="00CC1BF5"/>
    <w:rsid w:val="00CC22B4"/>
    <w:rsid w:val="00CC36DB"/>
    <w:rsid w:val="00CC3CDF"/>
    <w:rsid w:val="00CC3D84"/>
    <w:rsid w:val="00CC450A"/>
    <w:rsid w:val="00CC4C0E"/>
    <w:rsid w:val="00CC4D94"/>
    <w:rsid w:val="00CC588A"/>
    <w:rsid w:val="00CC5893"/>
    <w:rsid w:val="00CC5AF9"/>
    <w:rsid w:val="00CC6673"/>
    <w:rsid w:val="00CC66FD"/>
    <w:rsid w:val="00CC6900"/>
    <w:rsid w:val="00CC7676"/>
    <w:rsid w:val="00CC7C12"/>
    <w:rsid w:val="00CD04F9"/>
    <w:rsid w:val="00CD0BF9"/>
    <w:rsid w:val="00CD1132"/>
    <w:rsid w:val="00CD18B2"/>
    <w:rsid w:val="00CD1978"/>
    <w:rsid w:val="00CD2ABD"/>
    <w:rsid w:val="00CD2D85"/>
    <w:rsid w:val="00CD2F6F"/>
    <w:rsid w:val="00CD2FE3"/>
    <w:rsid w:val="00CD3063"/>
    <w:rsid w:val="00CD31B1"/>
    <w:rsid w:val="00CD34A1"/>
    <w:rsid w:val="00CD382B"/>
    <w:rsid w:val="00CD38F0"/>
    <w:rsid w:val="00CD3A9C"/>
    <w:rsid w:val="00CD3F37"/>
    <w:rsid w:val="00CD3F8B"/>
    <w:rsid w:val="00CD4196"/>
    <w:rsid w:val="00CD47F6"/>
    <w:rsid w:val="00CD4A86"/>
    <w:rsid w:val="00CD54C6"/>
    <w:rsid w:val="00CD5514"/>
    <w:rsid w:val="00CD582C"/>
    <w:rsid w:val="00CD59AF"/>
    <w:rsid w:val="00CD5EF0"/>
    <w:rsid w:val="00CD617B"/>
    <w:rsid w:val="00CD72C7"/>
    <w:rsid w:val="00CD775C"/>
    <w:rsid w:val="00CD7810"/>
    <w:rsid w:val="00CD7CD9"/>
    <w:rsid w:val="00CD7EFB"/>
    <w:rsid w:val="00CE00A9"/>
    <w:rsid w:val="00CE03E2"/>
    <w:rsid w:val="00CE04DD"/>
    <w:rsid w:val="00CE0EFA"/>
    <w:rsid w:val="00CE0FBF"/>
    <w:rsid w:val="00CE1641"/>
    <w:rsid w:val="00CE1932"/>
    <w:rsid w:val="00CE20E9"/>
    <w:rsid w:val="00CE21B6"/>
    <w:rsid w:val="00CE275C"/>
    <w:rsid w:val="00CE2A91"/>
    <w:rsid w:val="00CE32F8"/>
    <w:rsid w:val="00CE3605"/>
    <w:rsid w:val="00CE3F6A"/>
    <w:rsid w:val="00CE458B"/>
    <w:rsid w:val="00CE5106"/>
    <w:rsid w:val="00CE5215"/>
    <w:rsid w:val="00CE535A"/>
    <w:rsid w:val="00CE5639"/>
    <w:rsid w:val="00CE5AE0"/>
    <w:rsid w:val="00CE5E66"/>
    <w:rsid w:val="00CE621A"/>
    <w:rsid w:val="00CE6789"/>
    <w:rsid w:val="00CE6E94"/>
    <w:rsid w:val="00CE6E9A"/>
    <w:rsid w:val="00CE7309"/>
    <w:rsid w:val="00CE77B4"/>
    <w:rsid w:val="00CE79CE"/>
    <w:rsid w:val="00CF004D"/>
    <w:rsid w:val="00CF020D"/>
    <w:rsid w:val="00CF03AF"/>
    <w:rsid w:val="00CF06DA"/>
    <w:rsid w:val="00CF073F"/>
    <w:rsid w:val="00CF0CFC"/>
    <w:rsid w:val="00CF1174"/>
    <w:rsid w:val="00CF1717"/>
    <w:rsid w:val="00CF1AFD"/>
    <w:rsid w:val="00CF1D81"/>
    <w:rsid w:val="00CF1F65"/>
    <w:rsid w:val="00CF2394"/>
    <w:rsid w:val="00CF2754"/>
    <w:rsid w:val="00CF315A"/>
    <w:rsid w:val="00CF3777"/>
    <w:rsid w:val="00CF3FD1"/>
    <w:rsid w:val="00CF4121"/>
    <w:rsid w:val="00CF4207"/>
    <w:rsid w:val="00CF6068"/>
    <w:rsid w:val="00CF6786"/>
    <w:rsid w:val="00CF71AB"/>
    <w:rsid w:val="00CF755D"/>
    <w:rsid w:val="00CF75C0"/>
    <w:rsid w:val="00CF782F"/>
    <w:rsid w:val="00CF7AA8"/>
    <w:rsid w:val="00D002FE"/>
    <w:rsid w:val="00D004D1"/>
    <w:rsid w:val="00D0073F"/>
    <w:rsid w:val="00D010CE"/>
    <w:rsid w:val="00D02277"/>
    <w:rsid w:val="00D02613"/>
    <w:rsid w:val="00D027B9"/>
    <w:rsid w:val="00D02CC2"/>
    <w:rsid w:val="00D030D1"/>
    <w:rsid w:val="00D03F75"/>
    <w:rsid w:val="00D040C6"/>
    <w:rsid w:val="00D04123"/>
    <w:rsid w:val="00D0421E"/>
    <w:rsid w:val="00D04C12"/>
    <w:rsid w:val="00D04C3A"/>
    <w:rsid w:val="00D05563"/>
    <w:rsid w:val="00D058D5"/>
    <w:rsid w:val="00D05B4A"/>
    <w:rsid w:val="00D05D89"/>
    <w:rsid w:val="00D05D91"/>
    <w:rsid w:val="00D06243"/>
    <w:rsid w:val="00D063FF"/>
    <w:rsid w:val="00D06756"/>
    <w:rsid w:val="00D06A5B"/>
    <w:rsid w:val="00D06A82"/>
    <w:rsid w:val="00D06CE0"/>
    <w:rsid w:val="00D06EBA"/>
    <w:rsid w:val="00D07105"/>
    <w:rsid w:val="00D071BB"/>
    <w:rsid w:val="00D0749E"/>
    <w:rsid w:val="00D07508"/>
    <w:rsid w:val="00D0761D"/>
    <w:rsid w:val="00D0762E"/>
    <w:rsid w:val="00D07637"/>
    <w:rsid w:val="00D1066F"/>
    <w:rsid w:val="00D106FB"/>
    <w:rsid w:val="00D10CB5"/>
    <w:rsid w:val="00D10D32"/>
    <w:rsid w:val="00D10D49"/>
    <w:rsid w:val="00D11724"/>
    <w:rsid w:val="00D118F5"/>
    <w:rsid w:val="00D12693"/>
    <w:rsid w:val="00D12749"/>
    <w:rsid w:val="00D12A13"/>
    <w:rsid w:val="00D12C5C"/>
    <w:rsid w:val="00D12FC9"/>
    <w:rsid w:val="00D1338A"/>
    <w:rsid w:val="00D13748"/>
    <w:rsid w:val="00D13A21"/>
    <w:rsid w:val="00D13A65"/>
    <w:rsid w:val="00D142F6"/>
    <w:rsid w:val="00D14E7B"/>
    <w:rsid w:val="00D155BD"/>
    <w:rsid w:val="00D16558"/>
    <w:rsid w:val="00D1735E"/>
    <w:rsid w:val="00D203D5"/>
    <w:rsid w:val="00D20651"/>
    <w:rsid w:val="00D20807"/>
    <w:rsid w:val="00D2152F"/>
    <w:rsid w:val="00D21788"/>
    <w:rsid w:val="00D218A5"/>
    <w:rsid w:val="00D21A55"/>
    <w:rsid w:val="00D22652"/>
    <w:rsid w:val="00D22684"/>
    <w:rsid w:val="00D231F4"/>
    <w:rsid w:val="00D23709"/>
    <w:rsid w:val="00D23CAB"/>
    <w:rsid w:val="00D23CC7"/>
    <w:rsid w:val="00D23E68"/>
    <w:rsid w:val="00D24375"/>
    <w:rsid w:val="00D2437F"/>
    <w:rsid w:val="00D2459A"/>
    <w:rsid w:val="00D249D7"/>
    <w:rsid w:val="00D24FAA"/>
    <w:rsid w:val="00D2514A"/>
    <w:rsid w:val="00D25180"/>
    <w:rsid w:val="00D256FF"/>
    <w:rsid w:val="00D2637F"/>
    <w:rsid w:val="00D26FEF"/>
    <w:rsid w:val="00D27088"/>
    <w:rsid w:val="00D27215"/>
    <w:rsid w:val="00D277E5"/>
    <w:rsid w:val="00D2782F"/>
    <w:rsid w:val="00D27A1F"/>
    <w:rsid w:val="00D27BAE"/>
    <w:rsid w:val="00D27BC7"/>
    <w:rsid w:val="00D30120"/>
    <w:rsid w:val="00D30453"/>
    <w:rsid w:val="00D304E7"/>
    <w:rsid w:val="00D3057C"/>
    <w:rsid w:val="00D30E2D"/>
    <w:rsid w:val="00D31244"/>
    <w:rsid w:val="00D31267"/>
    <w:rsid w:val="00D31521"/>
    <w:rsid w:val="00D31ACE"/>
    <w:rsid w:val="00D3222C"/>
    <w:rsid w:val="00D3253D"/>
    <w:rsid w:val="00D32C3B"/>
    <w:rsid w:val="00D32CC9"/>
    <w:rsid w:val="00D3338D"/>
    <w:rsid w:val="00D33543"/>
    <w:rsid w:val="00D337AC"/>
    <w:rsid w:val="00D337C4"/>
    <w:rsid w:val="00D33BD3"/>
    <w:rsid w:val="00D3423D"/>
    <w:rsid w:val="00D34CA2"/>
    <w:rsid w:val="00D34FFC"/>
    <w:rsid w:val="00D353D5"/>
    <w:rsid w:val="00D35452"/>
    <w:rsid w:val="00D35B73"/>
    <w:rsid w:val="00D36435"/>
    <w:rsid w:val="00D364F8"/>
    <w:rsid w:val="00D3662F"/>
    <w:rsid w:val="00D3674B"/>
    <w:rsid w:val="00D36BF8"/>
    <w:rsid w:val="00D36DF3"/>
    <w:rsid w:val="00D36F60"/>
    <w:rsid w:val="00D375A6"/>
    <w:rsid w:val="00D37D84"/>
    <w:rsid w:val="00D405FB"/>
    <w:rsid w:val="00D40841"/>
    <w:rsid w:val="00D40948"/>
    <w:rsid w:val="00D41515"/>
    <w:rsid w:val="00D41672"/>
    <w:rsid w:val="00D41A84"/>
    <w:rsid w:val="00D41D9E"/>
    <w:rsid w:val="00D424AA"/>
    <w:rsid w:val="00D42D09"/>
    <w:rsid w:val="00D431CC"/>
    <w:rsid w:val="00D43673"/>
    <w:rsid w:val="00D44020"/>
    <w:rsid w:val="00D450B6"/>
    <w:rsid w:val="00D455B7"/>
    <w:rsid w:val="00D456DA"/>
    <w:rsid w:val="00D457D2"/>
    <w:rsid w:val="00D45E76"/>
    <w:rsid w:val="00D461D8"/>
    <w:rsid w:val="00D46647"/>
    <w:rsid w:val="00D46A7E"/>
    <w:rsid w:val="00D46F5C"/>
    <w:rsid w:val="00D47B7A"/>
    <w:rsid w:val="00D47F71"/>
    <w:rsid w:val="00D505DE"/>
    <w:rsid w:val="00D50C28"/>
    <w:rsid w:val="00D5103A"/>
    <w:rsid w:val="00D5151A"/>
    <w:rsid w:val="00D51638"/>
    <w:rsid w:val="00D516ED"/>
    <w:rsid w:val="00D51ABB"/>
    <w:rsid w:val="00D5215B"/>
    <w:rsid w:val="00D52209"/>
    <w:rsid w:val="00D52426"/>
    <w:rsid w:val="00D52684"/>
    <w:rsid w:val="00D52B68"/>
    <w:rsid w:val="00D530DC"/>
    <w:rsid w:val="00D5330C"/>
    <w:rsid w:val="00D54099"/>
    <w:rsid w:val="00D54D8A"/>
    <w:rsid w:val="00D55421"/>
    <w:rsid w:val="00D55911"/>
    <w:rsid w:val="00D55A71"/>
    <w:rsid w:val="00D55AC5"/>
    <w:rsid w:val="00D55B7B"/>
    <w:rsid w:val="00D56111"/>
    <w:rsid w:val="00D56660"/>
    <w:rsid w:val="00D5667A"/>
    <w:rsid w:val="00D5668B"/>
    <w:rsid w:val="00D57104"/>
    <w:rsid w:val="00D571F9"/>
    <w:rsid w:val="00D572D3"/>
    <w:rsid w:val="00D574E0"/>
    <w:rsid w:val="00D57982"/>
    <w:rsid w:val="00D60C95"/>
    <w:rsid w:val="00D60D71"/>
    <w:rsid w:val="00D6290E"/>
    <w:rsid w:val="00D63C61"/>
    <w:rsid w:val="00D63F0C"/>
    <w:rsid w:val="00D650D9"/>
    <w:rsid w:val="00D653C6"/>
    <w:rsid w:val="00D658C7"/>
    <w:rsid w:val="00D6593D"/>
    <w:rsid w:val="00D65AB3"/>
    <w:rsid w:val="00D661AF"/>
    <w:rsid w:val="00D663B1"/>
    <w:rsid w:val="00D663D7"/>
    <w:rsid w:val="00D6744C"/>
    <w:rsid w:val="00D675B0"/>
    <w:rsid w:val="00D67632"/>
    <w:rsid w:val="00D67683"/>
    <w:rsid w:val="00D67E8C"/>
    <w:rsid w:val="00D7073F"/>
    <w:rsid w:val="00D70759"/>
    <w:rsid w:val="00D709F9"/>
    <w:rsid w:val="00D70A39"/>
    <w:rsid w:val="00D70B28"/>
    <w:rsid w:val="00D7121C"/>
    <w:rsid w:val="00D71850"/>
    <w:rsid w:val="00D71CB1"/>
    <w:rsid w:val="00D72B7B"/>
    <w:rsid w:val="00D72C11"/>
    <w:rsid w:val="00D730BA"/>
    <w:rsid w:val="00D73A80"/>
    <w:rsid w:val="00D7452A"/>
    <w:rsid w:val="00D7497D"/>
    <w:rsid w:val="00D74F25"/>
    <w:rsid w:val="00D74FCA"/>
    <w:rsid w:val="00D7521C"/>
    <w:rsid w:val="00D75A0D"/>
    <w:rsid w:val="00D761D3"/>
    <w:rsid w:val="00D76307"/>
    <w:rsid w:val="00D769A6"/>
    <w:rsid w:val="00D76F0A"/>
    <w:rsid w:val="00D76F1C"/>
    <w:rsid w:val="00D7711D"/>
    <w:rsid w:val="00D775D1"/>
    <w:rsid w:val="00D77FA2"/>
    <w:rsid w:val="00D80395"/>
    <w:rsid w:val="00D808C7"/>
    <w:rsid w:val="00D80A57"/>
    <w:rsid w:val="00D80C2B"/>
    <w:rsid w:val="00D8116D"/>
    <w:rsid w:val="00D81723"/>
    <w:rsid w:val="00D81E3A"/>
    <w:rsid w:val="00D81F0C"/>
    <w:rsid w:val="00D81F95"/>
    <w:rsid w:val="00D827C3"/>
    <w:rsid w:val="00D830AD"/>
    <w:rsid w:val="00D8316E"/>
    <w:rsid w:val="00D83864"/>
    <w:rsid w:val="00D83AF7"/>
    <w:rsid w:val="00D83BCA"/>
    <w:rsid w:val="00D83FEA"/>
    <w:rsid w:val="00D84C47"/>
    <w:rsid w:val="00D84EC1"/>
    <w:rsid w:val="00D852E2"/>
    <w:rsid w:val="00D85316"/>
    <w:rsid w:val="00D85660"/>
    <w:rsid w:val="00D85A49"/>
    <w:rsid w:val="00D85A7D"/>
    <w:rsid w:val="00D85AEF"/>
    <w:rsid w:val="00D86695"/>
    <w:rsid w:val="00D86767"/>
    <w:rsid w:val="00D86ADB"/>
    <w:rsid w:val="00D87806"/>
    <w:rsid w:val="00D87B5D"/>
    <w:rsid w:val="00D87CF1"/>
    <w:rsid w:val="00D901B0"/>
    <w:rsid w:val="00D90408"/>
    <w:rsid w:val="00D904E1"/>
    <w:rsid w:val="00D91327"/>
    <w:rsid w:val="00D9133D"/>
    <w:rsid w:val="00D92875"/>
    <w:rsid w:val="00D92CBE"/>
    <w:rsid w:val="00D9325B"/>
    <w:rsid w:val="00D93986"/>
    <w:rsid w:val="00D939E8"/>
    <w:rsid w:val="00D93B96"/>
    <w:rsid w:val="00D940A1"/>
    <w:rsid w:val="00D94C11"/>
    <w:rsid w:val="00D94D5B"/>
    <w:rsid w:val="00D951AB"/>
    <w:rsid w:val="00D96425"/>
    <w:rsid w:val="00D96A14"/>
    <w:rsid w:val="00D96B6B"/>
    <w:rsid w:val="00D96D1E"/>
    <w:rsid w:val="00D97918"/>
    <w:rsid w:val="00D97BE6"/>
    <w:rsid w:val="00D97E59"/>
    <w:rsid w:val="00DA0A5A"/>
    <w:rsid w:val="00DA0AEF"/>
    <w:rsid w:val="00DA1533"/>
    <w:rsid w:val="00DA1939"/>
    <w:rsid w:val="00DA1BE0"/>
    <w:rsid w:val="00DA22C7"/>
    <w:rsid w:val="00DA243A"/>
    <w:rsid w:val="00DA29E6"/>
    <w:rsid w:val="00DA2B0D"/>
    <w:rsid w:val="00DA3A35"/>
    <w:rsid w:val="00DA4DA3"/>
    <w:rsid w:val="00DA4DEE"/>
    <w:rsid w:val="00DA5BAC"/>
    <w:rsid w:val="00DA5D69"/>
    <w:rsid w:val="00DA5F3C"/>
    <w:rsid w:val="00DA6104"/>
    <w:rsid w:val="00DA66BC"/>
    <w:rsid w:val="00DA675B"/>
    <w:rsid w:val="00DA6F8D"/>
    <w:rsid w:val="00DA71F4"/>
    <w:rsid w:val="00DA79C4"/>
    <w:rsid w:val="00DB03D2"/>
    <w:rsid w:val="00DB06B0"/>
    <w:rsid w:val="00DB074A"/>
    <w:rsid w:val="00DB0C76"/>
    <w:rsid w:val="00DB0E80"/>
    <w:rsid w:val="00DB17C6"/>
    <w:rsid w:val="00DB1A63"/>
    <w:rsid w:val="00DB1B5A"/>
    <w:rsid w:val="00DB2AD9"/>
    <w:rsid w:val="00DB2B80"/>
    <w:rsid w:val="00DB2CBC"/>
    <w:rsid w:val="00DB2CFC"/>
    <w:rsid w:val="00DB3757"/>
    <w:rsid w:val="00DB43AD"/>
    <w:rsid w:val="00DB45E0"/>
    <w:rsid w:val="00DB4B42"/>
    <w:rsid w:val="00DB5256"/>
    <w:rsid w:val="00DB5596"/>
    <w:rsid w:val="00DB592F"/>
    <w:rsid w:val="00DB6185"/>
    <w:rsid w:val="00DB7195"/>
    <w:rsid w:val="00DB7228"/>
    <w:rsid w:val="00DB752A"/>
    <w:rsid w:val="00DB78DC"/>
    <w:rsid w:val="00DC0210"/>
    <w:rsid w:val="00DC0498"/>
    <w:rsid w:val="00DC0794"/>
    <w:rsid w:val="00DC09B8"/>
    <w:rsid w:val="00DC114F"/>
    <w:rsid w:val="00DC12FB"/>
    <w:rsid w:val="00DC2246"/>
    <w:rsid w:val="00DC3EC5"/>
    <w:rsid w:val="00DC4730"/>
    <w:rsid w:val="00DC529B"/>
    <w:rsid w:val="00DC5365"/>
    <w:rsid w:val="00DC59FE"/>
    <w:rsid w:val="00DC5D51"/>
    <w:rsid w:val="00DC5DA0"/>
    <w:rsid w:val="00DC602A"/>
    <w:rsid w:val="00DC62B7"/>
    <w:rsid w:val="00DC6869"/>
    <w:rsid w:val="00DC762C"/>
    <w:rsid w:val="00DC797C"/>
    <w:rsid w:val="00DC7B04"/>
    <w:rsid w:val="00DC7F19"/>
    <w:rsid w:val="00DD11AD"/>
    <w:rsid w:val="00DD13A6"/>
    <w:rsid w:val="00DD1647"/>
    <w:rsid w:val="00DD1683"/>
    <w:rsid w:val="00DD1A41"/>
    <w:rsid w:val="00DD2F9B"/>
    <w:rsid w:val="00DD36BE"/>
    <w:rsid w:val="00DD3F07"/>
    <w:rsid w:val="00DD42B8"/>
    <w:rsid w:val="00DD4BFA"/>
    <w:rsid w:val="00DD4C02"/>
    <w:rsid w:val="00DD4DA8"/>
    <w:rsid w:val="00DD5260"/>
    <w:rsid w:val="00DD532F"/>
    <w:rsid w:val="00DD573B"/>
    <w:rsid w:val="00DD5801"/>
    <w:rsid w:val="00DD6650"/>
    <w:rsid w:val="00DD6C59"/>
    <w:rsid w:val="00DD6CB4"/>
    <w:rsid w:val="00DD6F53"/>
    <w:rsid w:val="00DD741B"/>
    <w:rsid w:val="00DD77CC"/>
    <w:rsid w:val="00DE1271"/>
    <w:rsid w:val="00DE12FE"/>
    <w:rsid w:val="00DE1543"/>
    <w:rsid w:val="00DE2471"/>
    <w:rsid w:val="00DE29F9"/>
    <w:rsid w:val="00DE2EE5"/>
    <w:rsid w:val="00DE34B0"/>
    <w:rsid w:val="00DE3A42"/>
    <w:rsid w:val="00DE4295"/>
    <w:rsid w:val="00DE4A10"/>
    <w:rsid w:val="00DE4BB2"/>
    <w:rsid w:val="00DE4C8F"/>
    <w:rsid w:val="00DE4E20"/>
    <w:rsid w:val="00DE4EFC"/>
    <w:rsid w:val="00DE567F"/>
    <w:rsid w:val="00DE59AF"/>
    <w:rsid w:val="00DE6428"/>
    <w:rsid w:val="00DE6476"/>
    <w:rsid w:val="00DE64BD"/>
    <w:rsid w:val="00DE657B"/>
    <w:rsid w:val="00DE6A9F"/>
    <w:rsid w:val="00DE6B40"/>
    <w:rsid w:val="00DE6B4A"/>
    <w:rsid w:val="00DE7595"/>
    <w:rsid w:val="00DE78B9"/>
    <w:rsid w:val="00DE7A58"/>
    <w:rsid w:val="00DE7F13"/>
    <w:rsid w:val="00DF00FC"/>
    <w:rsid w:val="00DF1E46"/>
    <w:rsid w:val="00DF255B"/>
    <w:rsid w:val="00DF2DAF"/>
    <w:rsid w:val="00DF3173"/>
    <w:rsid w:val="00DF33F7"/>
    <w:rsid w:val="00DF3930"/>
    <w:rsid w:val="00DF3D30"/>
    <w:rsid w:val="00DF40A6"/>
    <w:rsid w:val="00DF43C5"/>
    <w:rsid w:val="00DF4703"/>
    <w:rsid w:val="00DF47EE"/>
    <w:rsid w:val="00DF5285"/>
    <w:rsid w:val="00DF5431"/>
    <w:rsid w:val="00DF57ED"/>
    <w:rsid w:val="00DF6099"/>
    <w:rsid w:val="00DF6B2D"/>
    <w:rsid w:val="00DF6C0A"/>
    <w:rsid w:val="00DF732D"/>
    <w:rsid w:val="00DF73F5"/>
    <w:rsid w:val="00DF754F"/>
    <w:rsid w:val="00DF78C1"/>
    <w:rsid w:val="00DF7E8B"/>
    <w:rsid w:val="00E008E9"/>
    <w:rsid w:val="00E00B83"/>
    <w:rsid w:val="00E02416"/>
    <w:rsid w:val="00E024FB"/>
    <w:rsid w:val="00E03D90"/>
    <w:rsid w:val="00E03E23"/>
    <w:rsid w:val="00E04711"/>
    <w:rsid w:val="00E04B64"/>
    <w:rsid w:val="00E04E13"/>
    <w:rsid w:val="00E05522"/>
    <w:rsid w:val="00E05688"/>
    <w:rsid w:val="00E05C93"/>
    <w:rsid w:val="00E05CFC"/>
    <w:rsid w:val="00E0613C"/>
    <w:rsid w:val="00E06745"/>
    <w:rsid w:val="00E0681A"/>
    <w:rsid w:val="00E06E39"/>
    <w:rsid w:val="00E06EFF"/>
    <w:rsid w:val="00E07A66"/>
    <w:rsid w:val="00E07B5C"/>
    <w:rsid w:val="00E07BD4"/>
    <w:rsid w:val="00E11179"/>
    <w:rsid w:val="00E1140C"/>
    <w:rsid w:val="00E11D6D"/>
    <w:rsid w:val="00E12553"/>
    <w:rsid w:val="00E12A87"/>
    <w:rsid w:val="00E12BD9"/>
    <w:rsid w:val="00E12E2F"/>
    <w:rsid w:val="00E12FA9"/>
    <w:rsid w:val="00E1318A"/>
    <w:rsid w:val="00E131BD"/>
    <w:rsid w:val="00E1383D"/>
    <w:rsid w:val="00E13ADF"/>
    <w:rsid w:val="00E14A01"/>
    <w:rsid w:val="00E1505C"/>
    <w:rsid w:val="00E15289"/>
    <w:rsid w:val="00E15672"/>
    <w:rsid w:val="00E15E91"/>
    <w:rsid w:val="00E16598"/>
    <w:rsid w:val="00E167F5"/>
    <w:rsid w:val="00E16827"/>
    <w:rsid w:val="00E16956"/>
    <w:rsid w:val="00E16D61"/>
    <w:rsid w:val="00E17015"/>
    <w:rsid w:val="00E170EF"/>
    <w:rsid w:val="00E1770D"/>
    <w:rsid w:val="00E17849"/>
    <w:rsid w:val="00E1788F"/>
    <w:rsid w:val="00E20A8E"/>
    <w:rsid w:val="00E20E6D"/>
    <w:rsid w:val="00E21357"/>
    <w:rsid w:val="00E2153F"/>
    <w:rsid w:val="00E21CF5"/>
    <w:rsid w:val="00E21D92"/>
    <w:rsid w:val="00E222D2"/>
    <w:rsid w:val="00E2248D"/>
    <w:rsid w:val="00E2283A"/>
    <w:rsid w:val="00E22992"/>
    <w:rsid w:val="00E229E9"/>
    <w:rsid w:val="00E22BF2"/>
    <w:rsid w:val="00E22C15"/>
    <w:rsid w:val="00E23504"/>
    <w:rsid w:val="00E23E69"/>
    <w:rsid w:val="00E23F2B"/>
    <w:rsid w:val="00E2448E"/>
    <w:rsid w:val="00E25F05"/>
    <w:rsid w:val="00E25FFC"/>
    <w:rsid w:val="00E261CB"/>
    <w:rsid w:val="00E265A1"/>
    <w:rsid w:val="00E26E67"/>
    <w:rsid w:val="00E272B6"/>
    <w:rsid w:val="00E2732F"/>
    <w:rsid w:val="00E278A0"/>
    <w:rsid w:val="00E27999"/>
    <w:rsid w:val="00E27E8B"/>
    <w:rsid w:val="00E27FD4"/>
    <w:rsid w:val="00E30D20"/>
    <w:rsid w:val="00E31069"/>
    <w:rsid w:val="00E312E7"/>
    <w:rsid w:val="00E31783"/>
    <w:rsid w:val="00E329FE"/>
    <w:rsid w:val="00E32A96"/>
    <w:rsid w:val="00E32EA9"/>
    <w:rsid w:val="00E33103"/>
    <w:rsid w:val="00E337C6"/>
    <w:rsid w:val="00E33965"/>
    <w:rsid w:val="00E3472C"/>
    <w:rsid w:val="00E3477E"/>
    <w:rsid w:val="00E35602"/>
    <w:rsid w:val="00E364EA"/>
    <w:rsid w:val="00E36D44"/>
    <w:rsid w:val="00E36DA6"/>
    <w:rsid w:val="00E370E2"/>
    <w:rsid w:val="00E37897"/>
    <w:rsid w:val="00E37BEE"/>
    <w:rsid w:val="00E37DF2"/>
    <w:rsid w:val="00E37E01"/>
    <w:rsid w:val="00E40387"/>
    <w:rsid w:val="00E40B95"/>
    <w:rsid w:val="00E41113"/>
    <w:rsid w:val="00E411D4"/>
    <w:rsid w:val="00E41F43"/>
    <w:rsid w:val="00E41F7D"/>
    <w:rsid w:val="00E43148"/>
    <w:rsid w:val="00E431F3"/>
    <w:rsid w:val="00E434CC"/>
    <w:rsid w:val="00E4371D"/>
    <w:rsid w:val="00E43BE6"/>
    <w:rsid w:val="00E43D50"/>
    <w:rsid w:val="00E443E8"/>
    <w:rsid w:val="00E447B3"/>
    <w:rsid w:val="00E44BA1"/>
    <w:rsid w:val="00E44CB7"/>
    <w:rsid w:val="00E45210"/>
    <w:rsid w:val="00E45C0E"/>
    <w:rsid w:val="00E4641E"/>
    <w:rsid w:val="00E46891"/>
    <w:rsid w:val="00E46DAE"/>
    <w:rsid w:val="00E47023"/>
    <w:rsid w:val="00E471CB"/>
    <w:rsid w:val="00E475A5"/>
    <w:rsid w:val="00E47632"/>
    <w:rsid w:val="00E47837"/>
    <w:rsid w:val="00E47A58"/>
    <w:rsid w:val="00E47BE5"/>
    <w:rsid w:val="00E50C20"/>
    <w:rsid w:val="00E50C58"/>
    <w:rsid w:val="00E50EA6"/>
    <w:rsid w:val="00E510C4"/>
    <w:rsid w:val="00E517EE"/>
    <w:rsid w:val="00E519A0"/>
    <w:rsid w:val="00E51F4F"/>
    <w:rsid w:val="00E524B1"/>
    <w:rsid w:val="00E52B31"/>
    <w:rsid w:val="00E52BAF"/>
    <w:rsid w:val="00E52CE7"/>
    <w:rsid w:val="00E52D37"/>
    <w:rsid w:val="00E52E6B"/>
    <w:rsid w:val="00E53488"/>
    <w:rsid w:val="00E53636"/>
    <w:rsid w:val="00E53AED"/>
    <w:rsid w:val="00E54072"/>
    <w:rsid w:val="00E54CC9"/>
    <w:rsid w:val="00E55A7C"/>
    <w:rsid w:val="00E55DF3"/>
    <w:rsid w:val="00E55E3A"/>
    <w:rsid w:val="00E5613C"/>
    <w:rsid w:val="00E5618B"/>
    <w:rsid w:val="00E566D8"/>
    <w:rsid w:val="00E5680F"/>
    <w:rsid w:val="00E56F2D"/>
    <w:rsid w:val="00E572E5"/>
    <w:rsid w:val="00E57434"/>
    <w:rsid w:val="00E57EDF"/>
    <w:rsid w:val="00E60066"/>
    <w:rsid w:val="00E60137"/>
    <w:rsid w:val="00E60DA3"/>
    <w:rsid w:val="00E6112E"/>
    <w:rsid w:val="00E61470"/>
    <w:rsid w:val="00E617F5"/>
    <w:rsid w:val="00E61F51"/>
    <w:rsid w:val="00E626DF"/>
    <w:rsid w:val="00E62927"/>
    <w:rsid w:val="00E62E6C"/>
    <w:rsid w:val="00E62E7A"/>
    <w:rsid w:val="00E62FB9"/>
    <w:rsid w:val="00E63A22"/>
    <w:rsid w:val="00E64798"/>
    <w:rsid w:val="00E64BA2"/>
    <w:rsid w:val="00E650DD"/>
    <w:rsid w:val="00E6513B"/>
    <w:rsid w:val="00E65463"/>
    <w:rsid w:val="00E65671"/>
    <w:rsid w:val="00E65F3D"/>
    <w:rsid w:val="00E66680"/>
    <w:rsid w:val="00E669F1"/>
    <w:rsid w:val="00E66AAD"/>
    <w:rsid w:val="00E66E73"/>
    <w:rsid w:val="00E677DB"/>
    <w:rsid w:val="00E679C6"/>
    <w:rsid w:val="00E67AC4"/>
    <w:rsid w:val="00E67E72"/>
    <w:rsid w:val="00E7015C"/>
    <w:rsid w:val="00E70E88"/>
    <w:rsid w:val="00E71088"/>
    <w:rsid w:val="00E7113C"/>
    <w:rsid w:val="00E716C4"/>
    <w:rsid w:val="00E7170C"/>
    <w:rsid w:val="00E7184C"/>
    <w:rsid w:val="00E719E9"/>
    <w:rsid w:val="00E71A9E"/>
    <w:rsid w:val="00E71CC6"/>
    <w:rsid w:val="00E71D20"/>
    <w:rsid w:val="00E71DB5"/>
    <w:rsid w:val="00E723DD"/>
    <w:rsid w:val="00E72A58"/>
    <w:rsid w:val="00E72F21"/>
    <w:rsid w:val="00E72F97"/>
    <w:rsid w:val="00E72FDA"/>
    <w:rsid w:val="00E7393D"/>
    <w:rsid w:val="00E73C71"/>
    <w:rsid w:val="00E73E5C"/>
    <w:rsid w:val="00E740A1"/>
    <w:rsid w:val="00E7420A"/>
    <w:rsid w:val="00E7519D"/>
    <w:rsid w:val="00E7619F"/>
    <w:rsid w:val="00E76982"/>
    <w:rsid w:val="00E77735"/>
    <w:rsid w:val="00E77E90"/>
    <w:rsid w:val="00E80000"/>
    <w:rsid w:val="00E80971"/>
    <w:rsid w:val="00E80DAF"/>
    <w:rsid w:val="00E8137D"/>
    <w:rsid w:val="00E815E3"/>
    <w:rsid w:val="00E8160D"/>
    <w:rsid w:val="00E82043"/>
    <w:rsid w:val="00E8243A"/>
    <w:rsid w:val="00E82757"/>
    <w:rsid w:val="00E82772"/>
    <w:rsid w:val="00E8343A"/>
    <w:rsid w:val="00E83683"/>
    <w:rsid w:val="00E836F5"/>
    <w:rsid w:val="00E841E4"/>
    <w:rsid w:val="00E8452E"/>
    <w:rsid w:val="00E8461A"/>
    <w:rsid w:val="00E84687"/>
    <w:rsid w:val="00E85103"/>
    <w:rsid w:val="00E855ED"/>
    <w:rsid w:val="00E86958"/>
    <w:rsid w:val="00E86F9F"/>
    <w:rsid w:val="00E86FE0"/>
    <w:rsid w:val="00E87402"/>
    <w:rsid w:val="00E87893"/>
    <w:rsid w:val="00E90352"/>
    <w:rsid w:val="00E90477"/>
    <w:rsid w:val="00E90631"/>
    <w:rsid w:val="00E909ED"/>
    <w:rsid w:val="00E90A7C"/>
    <w:rsid w:val="00E90E28"/>
    <w:rsid w:val="00E90FB5"/>
    <w:rsid w:val="00E91608"/>
    <w:rsid w:val="00E9174E"/>
    <w:rsid w:val="00E919D2"/>
    <w:rsid w:val="00E93582"/>
    <w:rsid w:val="00E938BF"/>
    <w:rsid w:val="00E939DF"/>
    <w:rsid w:val="00E93C71"/>
    <w:rsid w:val="00E93D3D"/>
    <w:rsid w:val="00E94789"/>
    <w:rsid w:val="00E9488D"/>
    <w:rsid w:val="00E94D8A"/>
    <w:rsid w:val="00E95577"/>
    <w:rsid w:val="00E95586"/>
    <w:rsid w:val="00E95E88"/>
    <w:rsid w:val="00E96091"/>
    <w:rsid w:val="00E96126"/>
    <w:rsid w:val="00E965A1"/>
    <w:rsid w:val="00E96FE4"/>
    <w:rsid w:val="00E971D0"/>
    <w:rsid w:val="00E97855"/>
    <w:rsid w:val="00E97E86"/>
    <w:rsid w:val="00EA0380"/>
    <w:rsid w:val="00EA0D28"/>
    <w:rsid w:val="00EA0DF8"/>
    <w:rsid w:val="00EA1968"/>
    <w:rsid w:val="00EA1B99"/>
    <w:rsid w:val="00EA1FDF"/>
    <w:rsid w:val="00EA2435"/>
    <w:rsid w:val="00EA27F5"/>
    <w:rsid w:val="00EA3951"/>
    <w:rsid w:val="00EA3D74"/>
    <w:rsid w:val="00EA3F25"/>
    <w:rsid w:val="00EA4321"/>
    <w:rsid w:val="00EA4724"/>
    <w:rsid w:val="00EA4E67"/>
    <w:rsid w:val="00EA50BC"/>
    <w:rsid w:val="00EA5AAE"/>
    <w:rsid w:val="00EA6202"/>
    <w:rsid w:val="00EA6356"/>
    <w:rsid w:val="00EA64E1"/>
    <w:rsid w:val="00EA6EA5"/>
    <w:rsid w:val="00EA6F8E"/>
    <w:rsid w:val="00EA7A44"/>
    <w:rsid w:val="00EA7BAB"/>
    <w:rsid w:val="00EA7C06"/>
    <w:rsid w:val="00EA7EE6"/>
    <w:rsid w:val="00EB0236"/>
    <w:rsid w:val="00EB03C6"/>
    <w:rsid w:val="00EB0D1A"/>
    <w:rsid w:val="00EB1B6B"/>
    <w:rsid w:val="00EB1FF5"/>
    <w:rsid w:val="00EB2530"/>
    <w:rsid w:val="00EB2656"/>
    <w:rsid w:val="00EB26A7"/>
    <w:rsid w:val="00EB2C2C"/>
    <w:rsid w:val="00EB2DAF"/>
    <w:rsid w:val="00EB2E68"/>
    <w:rsid w:val="00EB31A5"/>
    <w:rsid w:val="00EB3CF9"/>
    <w:rsid w:val="00EB426A"/>
    <w:rsid w:val="00EB48B4"/>
    <w:rsid w:val="00EB4F2E"/>
    <w:rsid w:val="00EB50A8"/>
    <w:rsid w:val="00EB5245"/>
    <w:rsid w:val="00EB634B"/>
    <w:rsid w:val="00EB641D"/>
    <w:rsid w:val="00EB698D"/>
    <w:rsid w:val="00EB6D8A"/>
    <w:rsid w:val="00EB75B6"/>
    <w:rsid w:val="00EB7BDF"/>
    <w:rsid w:val="00EB7FDC"/>
    <w:rsid w:val="00EC0096"/>
    <w:rsid w:val="00EC057E"/>
    <w:rsid w:val="00EC0AF5"/>
    <w:rsid w:val="00EC0B2A"/>
    <w:rsid w:val="00EC1585"/>
    <w:rsid w:val="00EC19B3"/>
    <w:rsid w:val="00EC1BE1"/>
    <w:rsid w:val="00EC2090"/>
    <w:rsid w:val="00EC2701"/>
    <w:rsid w:val="00EC2E2A"/>
    <w:rsid w:val="00EC3121"/>
    <w:rsid w:val="00EC31C6"/>
    <w:rsid w:val="00EC3252"/>
    <w:rsid w:val="00EC36CD"/>
    <w:rsid w:val="00EC3A40"/>
    <w:rsid w:val="00EC463E"/>
    <w:rsid w:val="00EC4CBB"/>
    <w:rsid w:val="00EC53F6"/>
    <w:rsid w:val="00EC58BF"/>
    <w:rsid w:val="00EC5AEC"/>
    <w:rsid w:val="00EC6406"/>
    <w:rsid w:val="00EC649A"/>
    <w:rsid w:val="00EC65BE"/>
    <w:rsid w:val="00EC661C"/>
    <w:rsid w:val="00EC6785"/>
    <w:rsid w:val="00EC6A76"/>
    <w:rsid w:val="00EC6A7A"/>
    <w:rsid w:val="00EC6FD7"/>
    <w:rsid w:val="00EC70E5"/>
    <w:rsid w:val="00EC7547"/>
    <w:rsid w:val="00EC75E5"/>
    <w:rsid w:val="00EC7645"/>
    <w:rsid w:val="00EC7B38"/>
    <w:rsid w:val="00ED09A3"/>
    <w:rsid w:val="00ED0E14"/>
    <w:rsid w:val="00ED11FA"/>
    <w:rsid w:val="00ED1370"/>
    <w:rsid w:val="00ED13EC"/>
    <w:rsid w:val="00ED16A2"/>
    <w:rsid w:val="00ED3084"/>
    <w:rsid w:val="00ED3173"/>
    <w:rsid w:val="00ED31BD"/>
    <w:rsid w:val="00ED368B"/>
    <w:rsid w:val="00ED384E"/>
    <w:rsid w:val="00ED38A2"/>
    <w:rsid w:val="00ED3B88"/>
    <w:rsid w:val="00ED3C90"/>
    <w:rsid w:val="00ED43C1"/>
    <w:rsid w:val="00ED48FF"/>
    <w:rsid w:val="00ED4C05"/>
    <w:rsid w:val="00ED4D37"/>
    <w:rsid w:val="00ED4F5A"/>
    <w:rsid w:val="00ED55A0"/>
    <w:rsid w:val="00ED55C1"/>
    <w:rsid w:val="00ED6199"/>
    <w:rsid w:val="00ED69ED"/>
    <w:rsid w:val="00ED767F"/>
    <w:rsid w:val="00EE0873"/>
    <w:rsid w:val="00EE0D81"/>
    <w:rsid w:val="00EE0D99"/>
    <w:rsid w:val="00EE105B"/>
    <w:rsid w:val="00EE1ED3"/>
    <w:rsid w:val="00EE23A7"/>
    <w:rsid w:val="00EE281C"/>
    <w:rsid w:val="00EE2A7D"/>
    <w:rsid w:val="00EE2F94"/>
    <w:rsid w:val="00EE342F"/>
    <w:rsid w:val="00EE375F"/>
    <w:rsid w:val="00EE38F0"/>
    <w:rsid w:val="00EE3B05"/>
    <w:rsid w:val="00EE3BF6"/>
    <w:rsid w:val="00EE3D41"/>
    <w:rsid w:val="00EE3D85"/>
    <w:rsid w:val="00EE417A"/>
    <w:rsid w:val="00EE48A5"/>
    <w:rsid w:val="00EE4989"/>
    <w:rsid w:val="00EE4BD2"/>
    <w:rsid w:val="00EE5883"/>
    <w:rsid w:val="00EE5A5D"/>
    <w:rsid w:val="00EE5AFD"/>
    <w:rsid w:val="00EE5B53"/>
    <w:rsid w:val="00EE6A33"/>
    <w:rsid w:val="00EE7A18"/>
    <w:rsid w:val="00EE7EF0"/>
    <w:rsid w:val="00EF00B6"/>
    <w:rsid w:val="00EF03CD"/>
    <w:rsid w:val="00EF046A"/>
    <w:rsid w:val="00EF05E5"/>
    <w:rsid w:val="00EF08C7"/>
    <w:rsid w:val="00EF134A"/>
    <w:rsid w:val="00EF18B8"/>
    <w:rsid w:val="00EF1CF5"/>
    <w:rsid w:val="00EF2144"/>
    <w:rsid w:val="00EF26E3"/>
    <w:rsid w:val="00EF2C5E"/>
    <w:rsid w:val="00EF2CE2"/>
    <w:rsid w:val="00EF35C3"/>
    <w:rsid w:val="00EF3985"/>
    <w:rsid w:val="00EF39AD"/>
    <w:rsid w:val="00EF408C"/>
    <w:rsid w:val="00EF4830"/>
    <w:rsid w:val="00EF486B"/>
    <w:rsid w:val="00EF4D0C"/>
    <w:rsid w:val="00EF507F"/>
    <w:rsid w:val="00EF591C"/>
    <w:rsid w:val="00EF5AB8"/>
    <w:rsid w:val="00EF5D93"/>
    <w:rsid w:val="00EF6581"/>
    <w:rsid w:val="00EF69D8"/>
    <w:rsid w:val="00EF6F4F"/>
    <w:rsid w:val="00EF6FAC"/>
    <w:rsid w:val="00EF721B"/>
    <w:rsid w:val="00EF744D"/>
    <w:rsid w:val="00EF7580"/>
    <w:rsid w:val="00F00122"/>
    <w:rsid w:val="00F0035C"/>
    <w:rsid w:val="00F0087E"/>
    <w:rsid w:val="00F00A1C"/>
    <w:rsid w:val="00F00C54"/>
    <w:rsid w:val="00F00F8C"/>
    <w:rsid w:val="00F01407"/>
    <w:rsid w:val="00F014D2"/>
    <w:rsid w:val="00F01562"/>
    <w:rsid w:val="00F017D2"/>
    <w:rsid w:val="00F01940"/>
    <w:rsid w:val="00F01B33"/>
    <w:rsid w:val="00F01BD8"/>
    <w:rsid w:val="00F01F04"/>
    <w:rsid w:val="00F036CA"/>
    <w:rsid w:val="00F03868"/>
    <w:rsid w:val="00F03CC4"/>
    <w:rsid w:val="00F03D03"/>
    <w:rsid w:val="00F0455F"/>
    <w:rsid w:val="00F0508C"/>
    <w:rsid w:val="00F05486"/>
    <w:rsid w:val="00F05A19"/>
    <w:rsid w:val="00F05D8F"/>
    <w:rsid w:val="00F06B07"/>
    <w:rsid w:val="00F07350"/>
    <w:rsid w:val="00F073BB"/>
    <w:rsid w:val="00F07893"/>
    <w:rsid w:val="00F078D1"/>
    <w:rsid w:val="00F10289"/>
    <w:rsid w:val="00F10A23"/>
    <w:rsid w:val="00F10AE5"/>
    <w:rsid w:val="00F10E32"/>
    <w:rsid w:val="00F110F9"/>
    <w:rsid w:val="00F11379"/>
    <w:rsid w:val="00F11869"/>
    <w:rsid w:val="00F122BB"/>
    <w:rsid w:val="00F13036"/>
    <w:rsid w:val="00F1333A"/>
    <w:rsid w:val="00F138BE"/>
    <w:rsid w:val="00F138F6"/>
    <w:rsid w:val="00F149E1"/>
    <w:rsid w:val="00F14E44"/>
    <w:rsid w:val="00F1557C"/>
    <w:rsid w:val="00F15A65"/>
    <w:rsid w:val="00F15DB6"/>
    <w:rsid w:val="00F1606C"/>
    <w:rsid w:val="00F16D65"/>
    <w:rsid w:val="00F17FB8"/>
    <w:rsid w:val="00F2039F"/>
    <w:rsid w:val="00F20E23"/>
    <w:rsid w:val="00F21704"/>
    <w:rsid w:val="00F21AEA"/>
    <w:rsid w:val="00F21C62"/>
    <w:rsid w:val="00F22296"/>
    <w:rsid w:val="00F2250B"/>
    <w:rsid w:val="00F22DAE"/>
    <w:rsid w:val="00F23407"/>
    <w:rsid w:val="00F23844"/>
    <w:rsid w:val="00F23F79"/>
    <w:rsid w:val="00F24393"/>
    <w:rsid w:val="00F24B4B"/>
    <w:rsid w:val="00F24FFA"/>
    <w:rsid w:val="00F254AC"/>
    <w:rsid w:val="00F254F1"/>
    <w:rsid w:val="00F258A2"/>
    <w:rsid w:val="00F258D5"/>
    <w:rsid w:val="00F261CE"/>
    <w:rsid w:val="00F263E2"/>
    <w:rsid w:val="00F26509"/>
    <w:rsid w:val="00F2672C"/>
    <w:rsid w:val="00F26BC9"/>
    <w:rsid w:val="00F27087"/>
    <w:rsid w:val="00F27936"/>
    <w:rsid w:val="00F27C0C"/>
    <w:rsid w:val="00F27CC6"/>
    <w:rsid w:val="00F27DA0"/>
    <w:rsid w:val="00F27FAB"/>
    <w:rsid w:val="00F303E5"/>
    <w:rsid w:val="00F30923"/>
    <w:rsid w:val="00F310DD"/>
    <w:rsid w:val="00F3111C"/>
    <w:rsid w:val="00F3118F"/>
    <w:rsid w:val="00F31295"/>
    <w:rsid w:val="00F31CD3"/>
    <w:rsid w:val="00F32018"/>
    <w:rsid w:val="00F32077"/>
    <w:rsid w:val="00F3221F"/>
    <w:rsid w:val="00F3362E"/>
    <w:rsid w:val="00F33B60"/>
    <w:rsid w:val="00F33D33"/>
    <w:rsid w:val="00F33E98"/>
    <w:rsid w:val="00F34C86"/>
    <w:rsid w:val="00F35413"/>
    <w:rsid w:val="00F354E5"/>
    <w:rsid w:val="00F35669"/>
    <w:rsid w:val="00F35D02"/>
    <w:rsid w:val="00F35D21"/>
    <w:rsid w:val="00F362A8"/>
    <w:rsid w:val="00F363F7"/>
    <w:rsid w:val="00F36D46"/>
    <w:rsid w:val="00F4002F"/>
    <w:rsid w:val="00F4035D"/>
    <w:rsid w:val="00F40DAB"/>
    <w:rsid w:val="00F40DD0"/>
    <w:rsid w:val="00F40F79"/>
    <w:rsid w:val="00F41AC4"/>
    <w:rsid w:val="00F41C6F"/>
    <w:rsid w:val="00F41D8E"/>
    <w:rsid w:val="00F41FF8"/>
    <w:rsid w:val="00F42801"/>
    <w:rsid w:val="00F42A91"/>
    <w:rsid w:val="00F42D5E"/>
    <w:rsid w:val="00F4326B"/>
    <w:rsid w:val="00F43449"/>
    <w:rsid w:val="00F4349C"/>
    <w:rsid w:val="00F435B9"/>
    <w:rsid w:val="00F438BC"/>
    <w:rsid w:val="00F439FC"/>
    <w:rsid w:val="00F43A2F"/>
    <w:rsid w:val="00F43BC0"/>
    <w:rsid w:val="00F44018"/>
    <w:rsid w:val="00F44424"/>
    <w:rsid w:val="00F448A8"/>
    <w:rsid w:val="00F450FF"/>
    <w:rsid w:val="00F45139"/>
    <w:rsid w:val="00F45233"/>
    <w:rsid w:val="00F45485"/>
    <w:rsid w:val="00F45665"/>
    <w:rsid w:val="00F45E58"/>
    <w:rsid w:val="00F46399"/>
    <w:rsid w:val="00F4675F"/>
    <w:rsid w:val="00F46A97"/>
    <w:rsid w:val="00F472DD"/>
    <w:rsid w:val="00F4761E"/>
    <w:rsid w:val="00F50B34"/>
    <w:rsid w:val="00F50BAC"/>
    <w:rsid w:val="00F52152"/>
    <w:rsid w:val="00F521CC"/>
    <w:rsid w:val="00F52241"/>
    <w:rsid w:val="00F523B9"/>
    <w:rsid w:val="00F523F6"/>
    <w:rsid w:val="00F52B8C"/>
    <w:rsid w:val="00F52B95"/>
    <w:rsid w:val="00F52D75"/>
    <w:rsid w:val="00F5362C"/>
    <w:rsid w:val="00F53740"/>
    <w:rsid w:val="00F53DC7"/>
    <w:rsid w:val="00F5460F"/>
    <w:rsid w:val="00F54809"/>
    <w:rsid w:val="00F54961"/>
    <w:rsid w:val="00F5496D"/>
    <w:rsid w:val="00F54EC8"/>
    <w:rsid w:val="00F54ED3"/>
    <w:rsid w:val="00F54EE0"/>
    <w:rsid w:val="00F55583"/>
    <w:rsid w:val="00F5569E"/>
    <w:rsid w:val="00F55B9E"/>
    <w:rsid w:val="00F560BE"/>
    <w:rsid w:val="00F5687F"/>
    <w:rsid w:val="00F5724B"/>
    <w:rsid w:val="00F574C8"/>
    <w:rsid w:val="00F5766E"/>
    <w:rsid w:val="00F579B8"/>
    <w:rsid w:val="00F57B84"/>
    <w:rsid w:val="00F60A38"/>
    <w:rsid w:val="00F612A8"/>
    <w:rsid w:val="00F61C7D"/>
    <w:rsid w:val="00F61E41"/>
    <w:rsid w:val="00F61E48"/>
    <w:rsid w:val="00F62E65"/>
    <w:rsid w:val="00F63867"/>
    <w:rsid w:val="00F63893"/>
    <w:rsid w:val="00F63BAC"/>
    <w:rsid w:val="00F63C1F"/>
    <w:rsid w:val="00F63DBC"/>
    <w:rsid w:val="00F6403C"/>
    <w:rsid w:val="00F64454"/>
    <w:rsid w:val="00F64DAE"/>
    <w:rsid w:val="00F64EE5"/>
    <w:rsid w:val="00F672EE"/>
    <w:rsid w:val="00F6731C"/>
    <w:rsid w:val="00F67DB3"/>
    <w:rsid w:val="00F702D1"/>
    <w:rsid w:val="00F71294"/>
    <w:rsid w:val="00F71453"/>
    <w:rsid w:val="00F7156A"/>
    <w:rsid w:val="00F71717"/>
    <w:rsid w:val="00F71E2A"/>
    <w:rsid w:val="00F723A9"/>
    <w:rsid w:val="00F72EFB"/>
    <w:rsid w:val="00F73783"/>
    <w:rsid w:val="00F7385E"/>
    <w:rsid w:val="00F73CCF"/>
    <w:rsid w:val="00F73F80"/>
    <w:rsid w:val="00F74450"/>
    <w:rsid w:val="00F74A76"/>
    <w:rsid w:val="00F74D7B"/>
    <w:rsid w:val="00F75133"/>
    <w:rsid w:val="00F75628"/>
    <w:rsid w:val="00F75BC8"/>
    <w:rsid w:val="00F75F69"/>
    <w:rsid w:val="00F76444"/>
    <w:rsid w:val="00F7653D"/>
    <w:rsid w:val="00F76958"/>
    <w:rsid w:val="00F76C1C"/>
    <w:rsid w:val="00F776A7"/>
    <w:rsid w:val="00F778B1"/>
    <w:rsid w:val="00F778F2"/>
    <w:rsid w:val="00F77A21"/>
    <w:rsid w:val="00F77E19"/>
    <w:rsid w:val="00F80729"/>
    <w:rsid w:val="00F807FD"/>
    <w:rsid w:val="00F80BAA"/>
    <w:rsid w:val="00F819F8"/>
    <w:rsid w:val="00F82596"/>
    <w:rsid w:val="00F825A5"/>
    <w:rsid w:val="00F82689"/>
    <w:rsid w:val="00F827A3"/>
    <w:rsid w:val="00F827A5"/>
    <w:rsid w:val="00F82CE5"/>
    <w:rsid w:val="00F83169"/>
    <w:rsid w:val="00F8316C"/>
    <w:rsid w:val="00F831C8"/>
    <w:rsid w:val="00F84337"/>
    <w:rsid w:val="00F84B0D"/>
    <w:rsid w:val="00F851E5"/>
    <w:rsid w:val="00F85317"/>
    <w:rsid w:val="00F8550B"/>
    <w:rsid w:val="00F86A38"/>
    <w:rsid w:val="00F86BDC"/>
    <w:rsid w:val="00F86D0E"/>
    <w:rsid w:val="00F86E97"/>
    <w:rsid w:val="00F86EFD"/>
    <w:rsid w:val="00F87256"/>
    <w:rsid w:val="00F872F4"/>
    <w:rsid w:val="00F875F6"/>
    <w:rsid w:val="00F90793"/>
    <w:rsid w:val="00F90947"/>
    <w:rsid w:val="00F9131B"/>
    <w:rsid w:val="00F917E7"/>
    <w:rsid w:val="00F91D27"/>
    <w:rsid w:val="00F9288D"/>
    <w:rsid w:val="00F928A8"/>
    <w:rsid w:val="00F92961"/>
    <w:rsid w:val="00F92A5D"/>
    <w:rsid w:val="00F92A6A"/>
    <w:rsid w:val="00F9358D"/>
    <w:rsid w:val="00F935A0"/>
    <w:rsid w:val="00F94A24"/>
    <w:rsid w:val="00F94AEB"/>
    <w:rsid w:val="00F94F58"/>
    <w:rsid w:val="00F95716"/>
    <w:rsid w:val="00F95AC7"/>
    <w:rsid w:val="00F9641D"/>
    <w:rsid w:val="00F9681A"/>
    <w:rsid w:val="00F96933"/>
    <w:rsid w:val="00F969DE"/>
    <w:rsid w:val="00F970CD"/>
    <w:rsid w:val="00F97825"/>
    <w:rsid w:val="00F97C95"/>
    <w:rsid w:val="00F97E2E"/>
    <w:rsid w:val="00FA04AE"/>
    <w:rsid w:val="00FA089A"/>
    <w:rsid w:val="00FA1005"/>
    <w:rsid w:val="00FA1AAB"/>
    <w:rsid w:val="00FA1EC2"/>
    <w:rsid w:val="00FA21C6"/>
    <w:rsid w:val="00FA222D"/>
    <w:rsid w:val="00FA2644"/>
    <w:rsid w:val="00FA2747"/>
    <w:rsid w:val="00FA2BF7"/>
    <w:rsid w:val="00FA2D38"/>
    <w:rsid w:val="00FA2E30"/>
    <w:rsid w:val="00FA30C4"/>
    <w:rsid w:val="00FA36FA"/>
    <w:rsid w:val="00FA385E"/>
    <w:rsid w:val="00FA397F"/>
    <w:rsid w:val="00FA3EB5"/>
    <w:rsid w:val="00FA4F8F"/>
    <w:rsid w:val="00FA611E"/>
    <w:rsid w:val="00FA6205"/>
    <w:rsid w:val="00FA644D"/>
    <w:rsid w:val="00FA6538"/>
    <w:rsid w:val="00FA67BB"/>
    <w:rsid w:val="00FA6C0F"/>
    <w:rsid w:val="00FA7363"/>
    <w:rsid w:val="00FA737D"/>
    <w:rsid w:val="00FA73DF"/>
    <w:rsid w:val="00FA7A20"/>
    <w:rsid w:val="00FA7BB8"/>
    <w:rsid w:val="00FB01CD"/>
    <w:rsid w:val="00FB0948"/>
    <w:rsid w:val="00FB0996"/>
    <w:rsid w:val="00FB0B31"/>
    <w:rsid w:val="00FB0D65"/>
    <w:rsid w:val="00FB0F3B"/>
    <w:rsid w:val="00FB1019"/>
    <w:rsid w:val="00FB101A"/>
    <w:rsid w:val="00FB14D7"/>
    <w:rsid w:val="00FB163D"/>
    <w:rsid w:val="00FB1C42"/>
    <w:rsid w:val="00FB1D6B"/>
    <w:rsid w:val="00FB2054"/>
    <w:rsid w:val="00FB26C3"/>
    <w:rsid w:val="00FB287C"/>
    <w:rsid w:val="00FB2987"/>
    <w:rsid w:val="00FB2C0C"/>
    <w:rsid w:val="00FB32D4"/>
    <w:rsid w:val="00FB3F0B"/>
    <w:rsid w:val="00FB3F86"/>
    <w:rsid w:val="00FB482D"/>
    <w:rsid w:val="00FB4D4F"/>
    <w:rsid w:val="00FB5188"/>
    <w:rsid w:val="00FB582E"/>
    <w:rsid w:val="00FB5A0E"/>
    <w:rsid w:val="00FB629A"/>
    <w:rsid w:val="00FB68E7"/>
    <w:rsid w:val="00FB69E7"/>
    <w:rsid w:val="00FB74FF"/>
    <w:rsid w:val="00FB760D"/>
    <w:rsid w:val="00FB7696"/>
    <w:rsid w:val="00FB7840"/>
    <w:rsid w:val="00FC04C8"/>
    <w:rsid w:val="00FC0585"/>
    <w:rsid w:val="00FC0F2A"/>
    <w:rsid w:val="00FC1416"/>
    <w:rsid w:val="00FC16E9"/>
    <w:rsid w:val="00FC17D8"/>
    <w:rsid w:val="00FC19E4"/>
    <w:rsid w:val="00FC1A3D"/>
    <w:rsid w:val="00FC1C00"/>
    <w:rsid w:val="00FC1E02"/>
    <w:rsid w:val="00FC1EC5"/>
    <w:rsid w:val="00FC27EE"/>
    <w:rsid w:val="00FC29C2"/>
    <w:rsid w:val="00FC2E99"/>
    <w:rsid w:val="00FC3DA0"/>
    <w:rsid w:val="00FC42A8"/>
    <w:rsid w:val="00FC4494"/>
    <w:rsid w:val="00FC45C9"/>
    <w:rsid w:val="00FC45D6"/>
    <w:rsid w:val="00FC4678"/>
    <w:rsid w:val="00FC4C1E"/>
    <w:rsid w:val="00FC5F9C"/>
    <w:rsid w:val="00FC7074"/>
    <w:rsid w:val="00FC712E"/>
    <w:rsid w:val="00FD024C"/>
    <w:rsid w:val="00FD0331"/>
    <w:rsid w:val="00FD0A04"/>
    <w:rsid w:val="00FD0EFF"/>
    <w:rsid w:val="00FD1344"/>
    <w:rsid w:val="00FD1DCD"/>
    <w:rsid w:val="00FD2973"/>
    <w:rsid w:val="00FD2AB0"/>
    <w:rsid w:val="00FD2C23"/>
    <w:rsid w:val="00FD37AA"/>
    <w:rsid w:val="00FD38A8"/>
    <w:rsid w:val="00FD3CD6"/>
    <w:rsid w:val="00FD4146"/>
    <w:rsid w:val="00FD47F9"/>
    <w:rsid w:val="00FD486F"/>
    <w:rsid w:val="00FD4EF4"/>
    <w:rsid w:val="00FD50E7"/>
    <w:rsid w:val="00FD54EC"/>
    <w:rsid w:val="00FD5CD4"/>
    <w:rsid w:val="00FD5DA1"/>
    <w:rsid w:val="00FD6605"/>
    <w:rsid w:val="00FD69CE"/>
    <w:rsid w:val="00FD6BA2"/>
    <w:rsid w:val="00FD6C9B"/>
    <w:rsid w:val="00FD721F"/>
    <w:rsid w:val="00FD72CF"/>
    <w:rsid w:val="00FD79A5"/>
    <w:rsid w:val="00FD7CED"/>
    <w:rsid w:val="00FE0271"/>
    <w:rsid w:val="00FE0528"/>
    <w:rsid w:val="00FE0CED"/>
    <w:rsid w:val="00FE107A"/>
    <w:rsid w:val="00FE1217"/>
    <w:rsid w:val="00FE15CC"/>
    <w:rsid w:val="00FE15EB"/>
    <w:rsid w:val="00FE1C4E"/>
    <w:rsid w:val="00FE1C72"/>
    <w:rsid w:val="00FE26FB"/>
    <w:rsid w:val="00FE2932"/>
    <w:rsid w:val="00FE32CF"/>
    <w:rsid w:val="00FE3F6C"/>
    <w:rsid w:val="00FE42A1"/>
    <w:rsid w:val="00FE4447"/>
    <w:rsid w:val="00FE4604"/>
    <w:rsid w:val="00FE51E9"/>
    <w:rsid w:val="00FE55E8"/>
    <w:rsid w:val="00FE5B19"/>
    <w:rsid w:val="00FE67AD"/>
    <w:rsid w:val="00FE73B7"/>
    <w:rsid w:val="00FE7495"/>
    <w:rsid w:val="00FE74B9"/>
    <w:rsid w:val="00FE74DD"/>
    <w:rsid w:val="00FE75A1"/>
    <w:rsid w:val="00FE7FC5"/>
    <w:rsid w:val="00FF07BA"/>
    <w:rsid w:val="00FF0A2F"/>
    <w:rsid w:val="00FF208A"/>
    <w:rsid w:val="00FF20D4"/>
    <w:rsid w:val="00FF2F34"/>
    <w:rsid w:val="00FF30BD"/>
    <w:rsid w:val="00FF3444"/>
    <w:rsid w:val="00FF34E2"/>
    <w:rsid w:val="00FF38A7"/>
    <w:rsid w:val="00FF3A90"/>
    <w:rsid w:val="00FF3B55"/>
    <w:rsid w:val="00FF3B5F"/>
    <w:rsid w:val="00FF3CF8"/>
    <w:rsid w:val="00FF4AD3"/>
    <w:rsid w:val="00FF4FED"/>
    <w:rsid w:val="00FF5A0D"/>
    <w:rsid w:val="00FF5AF4"/>
    <w:rsid w:val="00FF5C0D"/>
    <w:rsid w:val="00FF6155"/>
    <w:rsid w:val="00FF681A"/>
    <w:rsid w:val="00FF68AB"/>
    <w:rsid w:val="00FF68FC"/>
    <w:rsid w:val="00FF714F"/>
    <w:rsid w:val="00FF75AA"/>
    <w:rsid w:val="00FF7AB9"/>
    <w:rsid w:val="00FF7C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7EB2015"/>
  <w15:docId w15:val="{2B04B8C2-9C12-4816-8914-287A6BE3B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lsdException w:name="List Bullet 3" w:semiHidden="1" w:uiPriority="2" w:unhideWhenUsed="1"/>
    <w:lsdException w:name="List Bullet 4" w:semiHidden="1" w:uiPriority="2" w:unhideWhenUsed="1"/>
    <w:lsdException w:name="List Bullet 5" w:semiHidden="1" w:uiPriority="2"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2C71"/>
    <w:pPr>
      <w:widowControl w:val="0"/>
      <w:spacing w:after="0" w:line="240" w:lineRule="auto"/>
    </w:pPr>
    <w:rPr>
      <w:rFonts w:ascii="Times New Roman" w:eastAsia="Times New Roman" w:hAnsi="Times New Roman" w:cs="Times New Roman"/>
      <w:sz w:val="20"/>
      <w:szCs w:val="20"/>
    </w:rPr>
  </w:style>
  <w:style w:type="paragraph" w:styleId="Heading1">
    <w:name w:val="heading 1"/>
    <w:basedOn w:val="Normal"/>
    <w:next w:val="BodyText2"/>
    <w:link w:val="Heading1Char"/>
    <w:uiPriority w:val="9"/>
    <w:qFormat/>
    <w:rsid w:val="003A60DD"/>
    <w:pPr>
      <w:keepLines/>
      <w:widowControl/>
      <w:numPr>
        <w:numId w:val="34"/>
      </w:numPr>
      <w:spacing w:line="360" w:lineRule="auto"/>
      <w:ind w:left="0" w:firstLine="0"/>
      <w:contextualSpacing/>
      <w:jc w:val="center"/>
      <w:outlineLvl w:val="0"/>
    </w:pPr>
    <w:rPr>
      <w:rFonts w:eastAsiaTheme="minorHAnsi"/>
      <w:b/>
      <w:bCs/>
      <w:sz w:val="26"/>
      <w:szCs w:val="26"/>
    </w:rPr>
  </w:style>
  <w:style w:type="paragraph" w:styleId="Heading2">
    <w:name w:val="heading 2"/>
    <w:basedOn w:val="ListParagraph"/>
    <w:next w:val="BodyText2"/>
    <w:link w:val="Heading2Char"/>
    <w:uiPriority w:val="9"/>
    <w:qFormat/>
    <w:rsid w:val="006751AA"/>
    <w:pPr>
      <w:keepNext/>
      <w:keepLines/>
      <w:spacing w:line="360" w:lineRule="auto"/>
      <w:ind w:left="0"/>
      <w:contextualSpacing/>
      <w:outlineLvl w:val="1"/>
    </w:pPr>
    <w:rPr>
      <w:rFonts w:eastAsiaTheme="minorHAnsi"/>
      <w:b/>
      <w:bCs/>
      <w:sz w:val="26"/>
      <w:szCs w:val="26"/>
    </w:rPr>
  </w:style>
  <w:style w:type="paragraph" w:styleId="Heading3">
    <w:name w:val="heading 3"/>
    <w:basedOn w:val="ListParagraph"/>
    <w:next w:val="BodyText2"/>
    <w:link w:val="Heading3Char"/>
    <w:uiPriority w:val="9"/>
    <w:qFormat/>
    <w:rsid w:val="003A60DD"/>
    <w:pPr>
      <w:keepNext/>
      <w:keepLines/>
      <w:spacing w:line="360" w:lineRule="auto"/>
      <w:ind w:left="2160" w:hanging="720"/>
      <w:contextualSpacing/>
      <w:outlineLvl w:val="2"/>
    </w:pPr>
    <w:rPr>
      <w:b/>
      <w:bCs/>
      <w:sz w:val="26"/>
      <w:szCs w:val="26"/>
    </w:rPr>
  </w:style>
  <w:style w:type="paragraph" w:styleId="Heading4">
    <w:name w:val="heading 4"/>
    <w:basedOn w:val="ListParagraph"/>
    <w:next w:val="BodyText2"/>
    <w:link w:val="Heading4Char"/>
    <w:qFormat/>
    <w:rsid w:val="002B284E"/>
    <w:pPr>
      <w:keepNext/>
      <w:keepLines/>
      <w:numPr>
        <w:numId w:val="12"/>
      </w:numPr>
      <w:spacing w:line="360" w:lineRule="auto"/>
      <w:contextualSpacing/>
      <w:outlineLvl w:val="3"/>
    </w:pPr>
    <w:rPr>
      <w:b/>
      <w:bCs/>
      <w:sz w:val="26"/>
      <w:szCs w:val="26"/>
    </w:rPr>
  </w:style>
  <w:style w:type="paragraph" w:styleId="Heading5">
    <w:name w:val="heading 5"/>
    <w:basedOn w:val="Normal"/>
    <w:next w:val="BodyText2"/>
    <w:link w:val="Heading5Char"/>
    <w:qFormat/>
    <w:rsid w:val="00FA089A"/>
    <w:pPr>
      <w:keepNext/>
      <w:keepLines/>
      <w:widowControl/>
      <w:numPr>
        <w:numId w:val="69"/>
      </w:numPr>
      <w:spacing w:line="360" w:lineRule="auto"/>
      <w:contextualSpacing/>
      <w:outlineLvl w:val="4"/>
    </w:pPr>
    <w:rPr>
      <w:rFonts w:eastAsiaTheme="minorHAnsi"/>
      <w:b/>
      <w:bCs/>
      <w:sz w:val="26"/>
      <w:szCs w:val="26"/>
    </w:rPr>
  </w:style>
  <w:style w:type="paragraph" w:styleId="Heading6">
    <w:name w:val="heading 6"/>
    <w:basedOn w:val="Normal"/>
    <w:next w:val="BodyText2"/>
    <w:link w:val="Heading6Char"/>
    <w:qFormat/>
    <w:rsid w:val="00FF4AD3"/>
    <w:pPr>
      <w:widowControl/>
      <w:spacing w:after="240"/>
      <w:outlineLvl w:val="5"/>
    </w:pPr>
    <w:rPr>
      <w:b/>
      <w:bCs/>
      <w:sz w:val="24"/>
      <w:szCs w:val="22"/>
    </w:rPr>
  </w:style>
  <w:style w:type="paragraph" w:styleId="Heading7">
    <w:name w:val="heading 7"/>
    <w:basedOn w:val="Normal"/>
    <w:next w:val="BodyText2"/>
    <w:link w:val="Heading7Char"/>
    <w:uiPriority w:val="9"/>
    <w:qFormat/>
    <w:rsid w:val="00FF4AD3"/>
    <w:pPr>
      <w:widowControl/>
      <w:spacing w:after="240"/>
      <w:outlineLvl w:val="6"/>
    </w:pPr>
    <w:rPr>
      <w:b/>
      <w:sz w:val="24"/>
      <w:szCs w:val="24"/>
    </w:rPr>
  </w:style>
  <w:style w:type="paragraph" w:styleId="Heading8">
    <w:name w:val="heading 8"/>
    <w:basedOn w:val="Normal"/>
    <w:next w:val="BodyText2"/>
    <w:link w:val="Heading8Char"/>
    <w:uiPriority w:val="9"/>
    <w:rsid w:val="00FF4AD3"/>
    <w:pPr>
      <w:widowControl/>
      <w:spacing w:after="240"/>
      <w:jc w:val="both"/>
      <w:outlineLvl w:val="7"/>
    </w:pPr>
    <w:rPr>
      <w:b/>
      <w:iCs/>
      <w:sz w:val="24"/>
      <w:szCs w:val="24"/>
    </w:rPr>
  </w:style>
  <w:style w:type="paragraph" w:styleId="Heading9">
    <w:name w:val="heading 9"/>
    <w:basedOn w:val="Normal"/>
    <w:next w:val="BodyText2"/>
    <w:link w:val="Heading9Char"/>
    <w:uiPriority w:val="9"/>
    <w:qFormat/>
    <w:rsid w:val="00FF4AD3"/>
    <w:pPr>
      <w:widowControl/>
      <w:spacing w:after="240"/>
      <w:outlineLvl w:val="8"/>
    </w:pPr>
    <w:rPr>
      <w:b/>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32C71"/>
    <w:pPr>
      <w:spacing w:after="0" w:line="240" w:lineRule="auto"/>
    </w:pPr>
    <w:rPr>
      <w:rFonts w:ascii="Times New Roman" w:eastAsia="Calibri" w:hAnsi="Times New Roman" w:cs="Times New Roman"/>
      <w:sz w:val="24"/>
    </w:rPr>
  </w:style>
  <w:style w:type="paragraph" w:styleId="ListParagraph">
    <w:name w:val="List Paragraph"/>
    <w:basedOn w:val="Normal"/>
    <w:uiPriority w:val="34"/>
    <w:qFormat/>
    <w:rsid w:val="00432C71"/>
    <w:pPr>
      <w:widowControl/>
      <w:ind w:left="720"/>
    </w:pPr>
    <w:rPr>
      <w:sz w:val="24"/>
      <w:szCs w:val="24"/>
    </w:rPr>
  </w:style>
  <w:style w:type="paragraph" w:styleId="Header">
    <w:name w:val="header"/>
    <w:basedOn w:val="Normal"/>
    <w:link w:val="HeaderChar"/>
    <w:unhideWhenUsed/>
    <w:rsid w:val="002179E4"/>
    <w:pPr>
      <w:tabs>
        <w:tab w:val="center" w:pos="4680"/>
        <w:tab w:val="right" w:pos="9360"/>
      </w:tabs>
    </w:pPr>
  </w:style>
  <w:style w:type="character" w:customStyle="1" w:styleId="HeaderChar">
    <w:name w:val="Header Char"/>
    <w:basedOn w:val="DefaultParagraphFont"/>
    <w:link w:val="Header"/>
    <w:uiPriority w:val="99"/>
    <w:rsid w:val="002179E4"/>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2179E4"/>
    <w:pPr>
      <w:tabs>
        <w:tab w:val="center" w:pos="4680"/>
        <w:tab w:val="right" w:pos="9360"/>
      </w:tabs>
    </w:pPr>
  </w:style>
  <w:style w:type="character" w:customStyle="1" w:styleId="FooterChar">
    <w:name w:val="Footer Char"/>
    <w:basedOn w:val="DefaultParagraphFont"/>
    <w:link w:val="Footer"/>
    <w:uiPriority w:val="99"/>
    <w:rsid w:val="002179E4"/>
    <w:rPr>
      <w:rFonts w:ascii="Times New Roman" w:eastAsia="Times New Roman" w:hAnsi="Times New Roman" w:cs="Times New Roman"/>
      <w:sz w:val="20"/>
      <w:szCs w:val="20"/>
    </w:rPr>
  </w:style>
  <w:style w:type="paragraph" w:styleId="FootnoteText">
    <w:name w:val="footnote text"/>
    <w:aliases w:val="Footnote Text Char2,Footnote Text Char Char,Footnote Text Char1 Char Char,Footnote Text Char Char Char Char,Footnote Text Char1 Char1,Footnote Text Char Char1 Char,Footnote Text Char1,Footnote Text Char Char1,ft,fn,Footnote Text Char1 Char"/>
    <w:basedOn w:val="Normal"/>
    <w:link w:val="FootnoteTextChar"/>
    <w:uiPriority w:val="99"/>
    <w:qFormat/>
    <w:rsid w:val="007C06C6"/>
    <w:pPr>
      <w:widowControl/>
      <w:spacing w:line="360" w:lineRule="auto"/>
      <w:ind w:firstLine="720"/>
      <w:jc w:val="center"/>
    </w:pPr>
    <w:rPr>
      <w:sz w:val="24"/>
    </w:rPr>
  </w:style>
  <w:style w:type="character" w:customStyle="1" w:styleId="FootnoteTextChar">
    <w:name w:val="Footnote Text Char"/>
    <w:aliases w:val="Footnote Text Char2 Char,Footnote Text Char Char Char,Footnote Text Char1 Char Char Char,Footnote Text Char Char Char Char Char,Footnote Text Char1 Char1 Char,Footnote Text Char Char1 Char Char,Footnote Text Char1 Char2,ft Char"/>
    <w:basedOn w:val="DefaultParagraphFont"/>
    <w:link w:val="FootnoteText"/>
    <w:uiPriority w:val="99"/>
    <w:qFormat/>
    <w:rsid w:val="007C06C6"/>
    <w:rPr>
      <w:rFonts w:ascii="Times New Roman" w:eastAsia="Times New Roman" w:hAnsi="Times New Roman" w:cs="Times New Roman"/>
      <w:sz w:val="24"/>
      <w:szCs w:val="20"/>
    </w:rPr>
  </w:style>
  <w:style w:type="character" w:styleId="FootnoteReference">
    <w:name w:val="footnote reference"/>
    <w:aliases w:val="Style 13,Style 12,fr,Style 28,(NECG) Footnote Reference,Style 11,Style 9,o,Style 16,Style 15,Style 17,Style 20,o1,fr1,o2,fr2,o3,fr3,Style 8,Style 7,Style 19,Style 6,Appel note de bas de p,Style 3,Style 124,FR,Footnote Reference/,Styl"/>
    <w:basedOn w:val="DefaultParagraphFont"/>
    <w:uiPriority w:val="99"/>
    <w:qFormat/>
    <w:rsid w:val="007C06C6"/>
    <w:rPr>
      <w:vertAlign w:val="superscript"/>
    </w:rPr>
  </w:style>
  <w:style w:type="paragraph" w:styleId="BodyText2">
    <w:name w:val="Body Text 2"/>
    <w:basedOn w:val="Normal"/>
    <w:link w:val="BodyText2Char"/>
    <w:unhideWhenUsed/>
    <w:qFormat/>
    <w:rsid w:val="007C06C6"/>
    <w:pPr>
      <w:spacing w:after="120" w:line="480" w:lineRule="auto"/>
    </w:pPr>
  </w:style>
  <w:style w:type="character" w:customStyle="1" w:styleId="BodyText2Char">
    <w:name w:val="Body Text 2 Char"/>
    <w:basedOn w:val="DefaultParagraphFont"/>
    <w:link w:val="BodyText2"/>
    <w:rsid w:val="007C06C6"/>
    <w:rPr>
      <w:rFonts w:ascii="Times New Roman" w:eastAsia="Times New Roman" w:hAnsi="Times New Roman" w:cs="Times New Roman"/>
      <w:sz w:val="20"/>
      <w:szCs w:val="20"/>
    </w:rPr>
  </w:style>
  <w:style w:type="character" w:styleId="Hyperlink">
    <w:name w:val="Hyperlink"/>
    <w:basedOn w:val="DefaultParagraphFont"/>
    <w:uiPriority w:val="99"/>
    <w:rsid w:val="007C06C6"/>
    <w:rPr>
      <w:color w:val="0000FF"/>
      <w:u w:val="single"/>
    </w:rPr>
  </w:style>
  <w:style w:type="character" w:customStyle="1" w:styleId="term1">
    <w:name w:val="term1"/>
    <w:basedOn w:val="DefaultParagraphFont"/>
    <w:rsid w:val="007C06C6"/>
    <w:rPr>
      <w:b/>
      <w:bCs/>
    </w:rPr>
  </w:style>
  <w:style w:type="paragraph" w:styleId="BodyText">
    <w:name w:val="Body Text"/>
    <w:aliases w:val="bt"/>
    <w:basedOn w:val="Normal"/>
    <w:link w:val="BodyTextChar"/>
    <w:unhideWhenUsed/>
    <w:rsid w:val="00FF4AD3"/>
    <w:pPr>
      <w:spacing w:after="120"/>
    </w:pPr>
  </w:style>
  <w:style w:type="character" w:customStyle="1" w:styleId="BodyTextChar">
    <w:name w:val="Body Text Char"/>
    <w:aliases w:val="bt Char"/>
    <w:basedOn w:val="DefaultParagraphFont"/>
    <w:link w:val="BodyText"/>
    <w:rsid w:val="00FF4AD3"/>
    <w:rPr>
      <w:rFonts w:ascii="Times New Roman" w:eastAsia="Times New Roman" w:hAnsi="Times New Roman" w:cs="Times New Roman"/>
      <w:sz w:val="20"/>
      <w:szCs w:val="20"/>
    </w:rPr>
  </w:style>
  <w:style w:type="character" w:customStyle="1" w:styleId="Heading1Char">
    <w:name w:val="Heading 1 Char"/>
    <w:basedOn w:val="DefaultParagraphFont"/>
    <w:link w:val="Heading1"/>
    <w:uiPriority w:val="9"/>
    <w:rsid w:val="003A60DD"/>
    <w:rPr>
      <w:rFonts w:ascii="Times New Roman" w:hAnsi="Times New Roman" w:cs="Times New Roman"/>
      <w:b/>
      <w:bCs/>
      <w:sz w:val="26"/>
      <w:szCs w:val="26"/>
    </w:rPr>
  </w:style>
  <w:style w:type="character" w:customStyle="1" w:styleId="Heading2Char">
    <w:name w:val="Heading 2 Char"/>
    <w:basedOn w:val="DefaultParagraphFont"/>
    <w:link w:val="Heading2"/>
    <w:uiPriority w:val="9"/>
    <w:rsid w:val="006751AA"/>
    <w:rPr>
      <w:rFonts w:ascii="Times New Roman" w:hAnsi="Times New Roman" w:cs="Times New Roman"/>
      <w:b/>
      <w:bCs/>
      <w:sz w:val="26"/>
      <w:szCs w:val="26"/>
    </w:rPr>
  </w:style>
  <w:style w:type="character" w:customStyle="1" w:styleId="Heading3Char">
    <w:name w:val="Heading 3 Char"/>
    <w:basedOn w:val="DefaultParagraphFont"/>
    <w:link w:val="Heading3"/>
    <w:uiPriority w:val="9"/>
    <w:rsid w:val="003A60DD"/>
    <w:rPr>
      <w:rFonts w:ascii="Times New Roman" w:eastAsia="Times New Roman" w:hAnsi="Times New Roman" w:cs="Times New Roman"/>
      <w:b/>
      <w:bCs/>
      <w:sz w:val="26"/>
      <w:szCs w:val="26"/>
    </w:rPr>
  </w:style>
  <w:style w:type="character" w:customStyle="1" w:styleId="Heading4Char">
    <w:name w:val="Heading 4 Char"/>
    <w:basedOn w:val="DefaultParagraphFont"/>
    <w:link w:val="Heading4"/>
    <w:rsid w:val="002B284E"/>
    <w:rPr>
      <w:rFonts w:ascii="Times New Roman" w:eastAsia="Times New Roman" w:hAnsi="Times New Roman" w:cs="Times New Roman"/>
      <w:b/>
      <w:bCs/>
      <w:sz w:val="26"/>
      <w:szCs w:val="26"/>
    </w:rPr>
  </w:style>
  <w:style w:type="character" w:customStyle="1" w:styleId="Heading5Char">
    <w:name w:val="Heading 5 Char"/>
    <w:basedOn w:val="DefaultParagraphFont"/>
    <w:link w:val="Heading5"/>
    <w:rsid w:val="00FA089A"/>
    <w:rPr>
      <w:rFonts w:ascii="Times New Roman" w:hAnsi="Times New Roman" w:cs="Times New Roman"/>
      <w:b/>
      <w:bCs/>
      <w:sz w:val="26"/>
      <w:szCs w:val="26"/>
    </w:rPr>
  </w:style>
  <w:style w:type="character" w:customStyle="1" w:styleId="Heading6Char">
    <w:name w:val="Heading 6 Char"/>
    <w:basedOn w:val="DefaultParagraphFont"/>
    <w:link w:val="Heading6"/>
    <w:uiPriority w:val="9"/>
    <w:rsid w:val="00FF4AD3"/>
    <w:rPr>
      <w:rFonts w:ascii="Times New Roman" w:eastAsia="Times New Roman" w:hAnsi="Times New Roman" w:cs="Times New Roman"/>
      <w:b/>
      <w:bCs/>
      <w:sz w:val="24"/>
    </w:rPr>
  </w:style>
  <w:style w:type="character" w:customStyle="1" w:styleId="Heading7Char">
    <w:name w:val="Heading 7 Char"/>
    <w:basedOn w:val="DefaultParagraphFont"/>
    <w:link w:val="Heading7"/>
    <w:uiPriority w:val="9"/>
    <w:rsid w:val="00FF4AD3"/>
    <w:rPr>
      <w:rFonts w:ascii="Times New Roman" w:eastAsia="Times New Roman" w:hAnsi="Times New Roman" w:cs="Times New Roman"/>
      <w:b/>
      <w:sz w:val="24"/>
      <w:szCs w:val="24"/>
    </w:rPr>
  </w:style>
  <w:style w:type="character" w:customStyle="1" w:styleId="Heading8Char">
    <w:name w:val="Heading 8 Char"/>
    <w:basedOn w:val="DefaultParagraphFont"/>
    <w:link w:val="Heading8"/>
    <w:uiPriority w:val="9"/>
    <w:rsid w:val="00FF4AD3"/>
    <w:rPr>
      <w:rFonts w:ascii="Times New Roman" w:eastAsia="Times New Roman" w:hAnsi="Times New Roman" w:cs="Times New Roman"/>
      <w:b/>
      <w:iCs/>
      <w:sz w:val="24"/>
      <w:szCs w:val="24"/>
    </w:rPr>
  </w:style>
  <w:style w:type="character" w:customStyle="1" w:styleId="Heading9Char">
    <w:name w:val="Heading 9 Char"/>
    <w:basedOn w:val="DefaultParagraphFont"/>
    <w:link w:val="Heading9"/>
    <w:uiPriority w:val="9"/>
    <w:rsid w:val="00FF4AD3"/>
    <w:rPr>
      <w:rFonts w:ascii="Times New Roman" w:eastAsia="Times New Roman" w:hAnsi="Times New Roman" w:cs="Times New Roman"/>
      <w:b/>
      <w:sz w:val="24"/>
    </w:rPr>
  </w:style>
  <w:style w:type="paragraph" w:styleId="ListNumber">
    <w:name w:val="List Number"/>
    <w:basedOn w:val="Normal"/>
    <w:rsid w:val="00FF4AD3"/>
    <w:pPr>
      <w:widowControl/>
      <w:numPr>
        <w:numId w:val="1"/>
      </w:numPr>
      <w:spacing w:line="480" w:lineRule="auto"/>
    </w:pPr>
    <w:rPr>
      <w:sz w:val="24"/>
      <w:szCs w:val="24"/>
    </w:rPr>
  </w:style>
  <w:style w:type="paragraph" w:customStyle="1" w:styleId="Default">
    <w:name w:val="Default"/>
    <w:rsid w:val="001C192E"/>
    <w:pPr>
      <w:autoSpaceDE w:val="0"/>
      <w:autoSpaceDN w:val="0"/>
      <w:adjustRightInd w:val="0"/>
      <w:spacing w:after="0" w:line="360" w:lineRule="auto"/>
      <w:ind w:firstLine="1440"/>
    </w:pPr>
    <w:rPr>
      <w:rFonts w:ascii="Calibri" w:eastAsia="Calibri" w:hAnsi="Calibri" w:cs="Calibri"/>
      <w:color w:val="000000"/>
      <w:sz w:val="24"/>
      <w:szCs w:val="24"/>
    </w:rPr>
  </w:style>
  <w:style w:type="paragraph" w:styleId="BalloonText">
    <w:name w:val="Balloon Text"/>
    <w:basedOn w:val="Normal"/>
    <w:link w:val="BalloonTextChar"/>
    <w:semiHidden/>
    <w:unhideWhenUsed/>
    <w:rsid w:val="00990438"/>
    <w:rPr>
      <w:rFonts w:ascii="Tahoma" w:hAnsi="Tahoma" w:cs="Tahoma"/>
      <w:sz w:val="16"/>
      <w:szCs w:val="16"/>
    </w:rPr>
  </w:style>
  <w:style w:type="character" w:customStyle="1" w:styleId="BalloonTextChar">
    <w:name w:val="Balloon Text Char"/>
    <w:basedOn w:val="DefaultParagraphFont"/>
    <w:link w:val="BalloonText"/>
    <w:uiPriority w:val="99"/>
    <w:semiHidden/>
    <w:rsid w:val="00990438"/>
    <w:rPr>
      <w:rFonts w:ascii="Tahoma" w:eastAsia="Times New Roman" w:hAnsi="Tahoma" w:cs="Tahoma"/>
      <w:sz w:val="16"/>
      <w:szCs w:val="16"/>
    </w:rPr>
  </w:style>
  <w:style w:type="paragraph" w:customStyle="1" w:styleId="OutlineL1">
    <w:name w:val="Outline_L1"/>
    <w:basedOn w:val="Normal"/>
    <w:next w:val="FootnoteText"/>
    <w:rsid w:val="00691D00"/>
    <w:pPr>
      <w:keepNext/>
      <w:widowControl/>
      <w:numPr>
        <w:numId w:val="2"/>
      </w:numPr>
      <w:spacing w:after="240"/>
      <w:jc w:val="center"/>
      <w:outlineLvl w:val="0"/>
    </w:pPr>
    <w:rPr>
      <w:rFonts w:ascii="Times New Roman Bold" w:hAnsi="Times New Roman Bold"/>
      <w:b/>
      <w:caps/>
      <w:sz w:val="24"/>
    </w:rPr>
  </w:style>
  <w:style w:type="paragraph" w:customStyle="1" w:styleId="OutlineL2">
    <w:name w:val="Outline_L2"/>
    <w:basedOn w:val="OutlineL1"/>
    <w:rsid w:val="00691D00"/>
    <w:pPr>
      <w:keepNext w:val="0"/>
      <w:numPr>
        <w:ilvl w:val="1"/>
      </w:numPr>
      <w:spacing w:line="480" w:lineRule="auto"/>
      <w:jc w:val="left"/>
      <w:outlineLvl w:val="1"/>
    </w:pPr>
    <w:rPr>
      <w:rFonts w:ascii="Times New Roman" w:hAnsi="Times New Roman"/>
      <w:b w:val="0"/>
      <w:caps w:val="0"/>
    </w:rPr>
  </w:style>
  <w:style w:type="paragraph" w:customStyle="1" w:styleId="OutlineL3">
    <w:name w:val="Outline_L3"/>
    <w:basedOn w:val="OutlineL2"/>
    <w:rsid w:val="00691D00"/>
    <w:pPr>
      <w:numPr>
        <w:ilvl w:val="2"/>
      </w:numPr>
      <w:spacing w:after="120"/>
      <w:outlineLvl w:val="2"/>
    </w:pPr>
  </w:style>
  <w:style w:type="paragraph" w:customStyle="1" w:styleId="OutlineL4">
    <w:name w:val="Outline_L4"/>
    <w:basedOn w:val="OutlineL3"/>
    <w:rsid w:val="00691D00"/>
    <w:pPr>
      <w:numPr>
        <w:ilvl w:val="3"/>
      </w:numPr>
      <w:outlineLvl w:val="3"/>
    </w:pPr>
  </w:style>
  <w:style w:type="paragraph" w:customStyle="1" w:styleId="OutlineL5">
    <w:name w:val="Outline_L5"/>
    <w:basedOn w:val="OutlineL4"/>
    <w:rsid w:val="00691D00"/>
    <w:pPr>
      <w:numPr>
        <w:ilvl w:val="4"/>
      </w:numPr>
      <w:spacing w:line="240" w:lineRule="auto"/>
      <w:outlineLvl w:val="4"/>
    </w:pPr>
  </w:style>
  <w:style w:type="paragraph" w:customStyle="1" w:styleId="OutlineL6">
    <w:name w:val="Outline_L6"/>
    <w:basedOn w:val="OutlineL5"/>
    <w:rsid w:val="00691D00"/>
    <w:pPr>
      <w:numPr>
        <w:ilvl w:val="5"/>
      </w:numPr>
      <w:spacing w:after="240"/>
      <w:outlineLvl w:val="5"/>
    </w:pPr>
    <w:rPr>
      <w:szCs w:val="24"/>
    </w:rPr>
  </w:style>
  <w:style w:type="paragraph" w:customStyle="1" w:styleId="OutlineL7">
    <w:name w:val="Outline_L7"/>
    <w:basedOn w:val="OutlineL6"/>
    <w:rsid w:val="00691D00"/>
    <w:pPr>
      <w:numPr>
        <w:ilvl w:val="6"/>
      </w:numPr>
      <w:outlineLvl w:val="6"/>
    </w:pPr>
    <w:rPr>
      <w:rFonts w:ascii="Times New Roman Bold" w:hAnsi="Times New Roman Bold"/>
      <w:b/>
    </w:rPr>
  </w:style>
  <w:style w:type="paragraph" w:customStyle="1" w:styleId="OutlineL8">
    <w:name w:val="Outline_L8"/>
    <w:basedOn w:val="OutlineL7"/>
    <w:rsid w:val="00691D00"/>
    <w:pPr>
      <w:numPr>
        <w:ilvl w:val="7"/>
      </w:numPr>
      <w:outlineLvl w:val="7"/>
    </w:pPr>
  </w:style>
  <w:style w:type="paragraph" w:customStyle="1" w:styleId="OutlineL9">
    <w:name w:val="Outline_L9"/>
    <w:basedOn w:val="OutlineL8"/>
    <w:rsid w:val="00691D00"/>
    <w:pPr>
      <w:numPr>
        <w:ilvl w:val="8"/>
      </w:numPr>
      <w:outlineLvl w:val="8"/>
    </w:pPr>
  </w:style>
  <w:style w:type="character" w:styleId="CommentReference">
    <w:name w:val="annotation reference"/>
    <w:basedOn w:val="DefaultParagraphFont"/>
    <w:semiHidden/>
    <w:unhideWhenUsed/>
    <w:rsid w:val="00F73F80"/>
    <w:rPr>
      <w:sz w:val="16"/>
      <w:szCs w:val="16"/>
    </w:rPr>
  </w:style>
  <w:style w:type="paragraph" w:styleId="CommentText">
    <w:name w:val="annotation text"/>
    <w:basedOn w:val="Normal"/>
    <w:link w:val="CommentTextChar"/>
    <w:unhideWhenUsed/>
    <w:rsid w:val="00F73F80"/>
  </w:style>
  <w:style w:type="character" w:customStyle="1" w:styleId="CommentTextChar">
    <w:name w:val="Comment Text Char"/>
    <w:basedOn w:val="DefaultParagraphFont"/>
    <w:link w:val="CommentText"/>
    <w:rsid w:val="00F73F8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unhideWhenUsed/>
    <w:rsid w:val="00F73F80"/>
    <w:rPr>
      <w:b/>
      <w:bCs/>
    </w:rPr>
  </w:style>
  <w:style w:type="character" w:customStyle="1" w:styleId="CommentSubjectChar">
    <w:name w:val="Comment Subject Char"/>
    <w:basedOn w:val="CommentTextChar"/>
    <w:link w:val="CommentSubject"/>
    <w:semiHidden/>
    <w:rsid w:val="00F73F80"/>
    <w:rPr>
      <w:rFonts w:ascii="Times New Roman" w:eastAsia="Times New Roman" w:hAnsi="Times New Roman" w:cs="Times New Roman"/>
      <w:b/>
      <w:bCs/>
      <w:sz w:val="20"/>
      <w:szCs w:val="20"/>
    </w:rPr>
  </w:style>
  <w:style w:type="table" w:styleId="TableGrid">
    <w:name w:val="Table Grid"/>
    <w:basedOn w:val="TableNormal"/>
    <w:rsid w:val="00AB37F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A670A1"/>
    <w:pPr>
      <w:spacing w:after="0" w:line="240" w:lineRule="auto"/>
    </w:pPr>
    <w:rPr>
      <w:rFonts w:ascii="Times New Roman" w:eastAsia="Times New Roman" w:hAnsi="Times New Roman" w:cs="Times New Roman"/>
      <w:sz w:val="20"/>
      <w:szCs w:val="20"/>
    </w:rPr>
  </w:style>
  <w:style w:type="paragraph" w:customStyle="1" w:styleId="BodyText1">
    <w:name w:val="Body Text 1"/>
    <w:aliases w:val="B1,WB Body Text 1"/>
    <w:basedOn w:val="Normal"/>
    <w:link w:val="WBBodyText1Char"/>
    <w:rsid w:val="005B1D39"/>
    <w:pPr>
      <w:widowControl/>
      <w:spacing w:line="480" w:lineRule="auto"/>
      <w:ind w:firstLine="720"/>
    </w:pPr>
    <w:rPr>
      <w:sz w:val="24"/>
      <w:szCs w:val="24"/>
    </w:rPr>
  </w:style>
  <w:style w:type="character" w:customStyle="1" w:styleId="WBBodyText1Char">
    <w:name w:val="WB Body Text 1 Char"/>
    <w:aliases w:val="B1 Char,Body Text 1 Char"/>
    <w:link w:val="BodyText1"/>
    <w:rsid w:val="005B1D39"/>
    <w:rPr>
      <w:rFonts w:ascii="Times New Roman" w:eastAsia="Times New Roman" w:hAnsi="Times New Roman" w:cs="Times New Roman"/>
      <w:sz w:val="24"/>
      <w:szCs w:val="24"/>
    </w:rPr>
  </w:style>
  <w:style w:type="table" w:styleId="PlainTable1">
    <w:name w:val="Plain Table 1"/>
    <w:basedOn w:val="TableNormal"/>
    <w:uiPriority w:val="41"/>
    <w:rsid w:val="00555E9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5F3BE2"/>
    <w:pPr>
      <w:keepNext/>
      <w:spacing w:before="240" w:line="259" w:lineRule="auto"/>
      <w:jc w:val="left"/>
      <w:outlineLvl w:val="9"/>
    </w:pPr>
    <w:rPr>
      <w:rFonts w:asciiTheme="majorHAnsi" w:eastAsiaTheme="majorEastAsia" w:hAnsiTheme="majorHAnsi" w:cstheme="majorBidi"/>
      <w:b w:val="0"/>
      <w:bCs w:val="0"/>
      <w:caps/>
      <w:color w:val="365F91" w:themeColor="accent1" w:themeShade="BF"/>
      <w:sz w:val="32"/>
    </w:rPr>
  </w:style>
  <w:style w:type="paragraph" w:styleId="TOC1">
    <w:name w:val="toc 1"/>
    <w:basedOn w:val="Normal"/>
    <w:next w:val="Normal"/>
    <w:autoRedefine/>
    <w:uiPriority w:val="39"/>
    <w:unhideWhenUsed/>
    <w:rsid w:val="00E43D50"/>
    <w:pPr>
      <w:tabs>
        <w:tab w:val="left" w:pos="720"/>
        <w:tab w:val="right" w:leader="dot" w:pos="9350"/>
      </w:tabs>
      <w:spacing w:after="100"/>
    </w:pPr>
    <w:rPr>
      <w:rFonts w:eastAsiaTheme="majorEastAsia"/>
      <w:b/>
      <w:bCs/>
      <w:noProof/>
      <w:sz w:val="26"/>
      <w:szCs w:val="26"/>
    </w:rPr>
  </w:style>
  <w:style w:type="paragraph" w:styleId="TOC2">
    <w:name w:val="toc 2"/>
    <w:basedOn w:val="Normal"/>
    <w:next w:val="Normal"/>
    <w:autoRedefine/>
    <w:uiPriority w:val="39"/>
    <w:unhideWhenUsed/>
    <w:rsid w:val="002F7509"/>
    <w:pPr>
      <w:tabs>
        <w:tab w:val="right" w:leader="dot" w:pos="9350"/>
      </w:tabs>
      <w:spacing w:after="100"/>
      <w:ind w:left="1440" w:hanging="720"/>
    </w:pPr>
  </w:style>
  <w:style w:type="paragraph" w:styleId="TOC3">
    <w:name w:val="toc 3"/>
    <w:basedOn w:val="Normal"/>
    <w:next w:val="Normal"/>
    <w:autoRedefine/>
    <w:uiPriority w:val="39"/>
    <w:unhideWhenUsed/>
    <w:rsid w:val="002F7509"/>
    <w:pPr>
      <w:tabs>
        <w:tab w:val="left" w:pos="2160"/>
        <w:tab w:val="right" w:leader="dot" w:pos="9350"/>
      </w:tabs>
      <w:spacing w:after="100"/>
      <w:ind w:left="1440"/>
    </w:pPr>
  </w:style>
  <w:style w:type="paragraph" w:styleId="TOC4">
    <w:name w:val="toc 4"/>
    <w:basedOn w:val="Normal"/>
    <w:next w:val="Normal"/>
    <w:autoRedefine/>
    <w:uiPriority w:val="39"/>
    <w:unhideWhenUsed/>
    <w:rsid w:val="0024411F"/>
    <w:pPr>
      <w:keepNext/>
      <w:tabs>
        <w:tab w:val="left" w:pos="1440"/>
        <w:tab w:val="left" w:pos="2880"/>
        <w:tab w:val="right" w:leader="dot" w:pos="9350"/>
      </w:tabs>
      <w:spacing w:after="100"/>
      <w:ind w:left="2880" w:hanging="720"/>
    </w:pPr>
  </w:style>
  <w:style w:type="paragraph" w:customStyle="1" w:styleId="BodyText2USDE">
    <w:name w:val="Body Text 2 USDE"/>
    <w:basedOn w:val="Normal"/>
    <w:uiPriority w:val="1"/>
    <w:qFormat/>
    <w:rsid w:val="00565A04"/>
    <w:pPr>
      <w:widowControl/>
      <w:spacing w:after="240" w:line="480" w:lineRule="auto"/>
      <w:ind w:firstLine="720"/>
    </w:pPr>
    <w:rPr>
      <w:rFonts w:eastAsiaTheme="minorHAnsi" w:cstheme="minorBidi"/>
      <w:sz w:val="24"/>
      <w:szCs w:val="24"/>
    </w:rPr>
  </w:style>
  <w:style w:type="paragraph" w:customStyle="1" w:styleId="IndentDouble">
    <w:name w:val="Indent Double"/>
    <w:basedOn w:val="Normal"/>
    <w:next w:val="BodyText"/>
    <w:uiPriority w:val="2"/>
    <w:qFormat/>
    <w:rsid w:val="00284BE8"/>
    <w:pPr>
      <w:widowControl/>
      <w:spacing w:after="240"/>
      <w:ind w:left="2160" w:right="2160"/>
      <w:jc w:val="both"/>
    </w:pPr>
    <w:rPr>
      <w:rFonts w:eastAsiaTheme="minorHAnsi" w:cstheme="minorBidi"/>
      <w:sz w:val="24"/>
      <w:szCs w:val="24"/>
    </w:rPr>
  </w:style>
  <w:style w:type="paragraph" w:customStyle="1" w:styleId="IndentSingle">
    <w:name w:val="Indent Single"/>
    <w:basedOn w:val="Normal"/>
    <w:next w:val="BodyText"/>
    <w:uiPriority w:val="2"/>
    <w:rsid w:val="00284BE8"/>
    <w:pPr>
      <w:widowControl/>
      <w:spacing w:after="240"/>
      <w:ind w:left="1440" w:right="1440"/>
      <w:jc w:val="both"/>
    </w:pPr>
    <w:rPr>
      <w:rFonts w:eastAsiaTheme="minorHAnsi" w:cstheme="minorBidi"/>
      <w:sz w:val="24"/>
      <w:szCs w:val="24"/>
    </w:rPr>
  </w:style>
  <w:style w:type="paragraph" w:styleId="ListBullet">
    <w:name w:val="List Bullet"/>
    <w:basedOn w:val="Normal"/>
    <w:uiPriority w:val="99"/>
    <w:qFormat/>
    <w:rsid w:val="00284BE8"/>
    <w:pPr>
      <w:widowControl/>
      <w:numPr>
        <w:numId w:val="4"/>
      </w:numPr>
      <w:spacing w:after="240"/>
      <w:jc w:val="both"/>
    </w:pPr>
    <w:rPr>
      <w:rFonts w:eastAsiaTheme="minorHAnsi" w:cstheme="minorBidi"/>
      <w:sz w:val="24"/>
      <w:szCs w:val="24"/>
    </w:rPr>
  </w:style>
  <w:style w:type="paragraph" w:styleId="ListBullet2">
    <w:name w:val="List Bullet 2"/>
    <w:basedOn w:val="Normal"/>
    <w:uiPriority w:val="2"/>
    <w:rsid w:val="00284BE8"/>
    <w:pPr>
      <w:widowControl/>
      <w:numPr>
        <w:ilvl w:val="1"/>
        <w:numId w:val="4"/>
      </w:numPr>
      <w:spacing w:after="240"/>
      <w:jc w:val="both"/>
    </w:pPr>
    <w:rPr>
      <w:rFonts w:eastAsiaTheme="minorHAnsi" w:cstheme="minorBidi"/>
      <w:sz w:val="24"/>
      <w:szCs w:val="24"/>
    </w:rPr>
  </w:style>
  <w:style w:type="paragraph" w:styleId="ListBullet3">
    <w:name w:val="List Bullet 3"/>
    <w:basedOn w:val="Normal"/>
    <w:uiPriority w:val="2"/>
    <w:rsid w:val="00284BE8"/>
    <w:pPr>
      <w:widowControl/>
      <w:numPr>
        <w:ilvl w:val="2"/>
        <w:numId w:val="4"/>
      </w:numPr>
      <w:spacing w:after="240"/>
      <w:jc w:val="both"/>
    </w:pPr>
    <w:rPr>
      <w:rFonts w:eastAsiaTheme="minorHAnsi" w:cstheme="minorBidi"/>
      <w:sz w:val="24"/>
      <w:szCs w:val="24"/>
    </w:rPr>
  </w:style>
  <w:style w:type="paragraph" w:styleId="ListBullet4">
    <w:name w:val="List Bullet 4"/>
    <w:basedOn w:val="Normal"/>
    <w:uiPriority w:val="2"/>
    <w:rsid w:val="00284BE8"/>
    <w:pPr>
      <w:widowControl/>
      <w:numPr>
        <w:ilvl w:val="3"/>
        <w:numId w:val="4"/>
      </w:numPr>
      <w:spacing w:after="240"/>
      <w:jc w:val="both"/>
    </w:pPr>
    <w:rPr>
      <w:rFonts w:eastAsiaTheme="minorHAnsi" w:cstheme="minorBidi"/>
      <w:sz w:val="24"/>
      <w:szCs w:val="24"/>
    </w:rPr>
  </w:style>
  <w:style w:type="paragraph" w:styleId="ListBullet5">
    <w:name w:val="List Bullet 5"/>
    <w:basedOn w:val="Normal"/>
    <w:uiPriority w:val="2"/>
    <w:rsid w:val="00284BE8"/>
    <w:pPr>
      <w:widowControl/>
      <w:numPr>
        <w:ilvl w:val="4"/>
        <w:numId w:val="4"/>
      </w:numPr>
      <w:spacing w:after="240"/>
      <w:jc w:val="both"/>
    </w:pPr>
    <w:rPr>
      <w:rFonts w:eastAsiaTheme="minorHAnsi" w:cstheme="minorBidi"/>
      <w:sz w:val="24"/>
      <w:szCs w:val="24"/>
    </w:rPr>
  </w:style>
  <w:style w:type="paragraph" w:styleId="BodyTextIndent3">
    <w:name w:val="Body Text Indent 3"/>
    <w:basedOn w:val="Normal"/>
    <w:link w:val="BodyTextIndent3Char"/>
    <w:uiPriority w:val="99"/>
    <w:unhideWhenUsed/>
    <w:rsid w:val="0078499C"/>
    <w:pPr>
      <w:spacing w:after="120"/>
      <w:ind w:left="360"/>
    </w:pPr>
    <w:rPr>
      <w:sz w:val="16"/>
      <w:szCs w:val="16"/>
    </w:rPr>
  </w:style>
  <w:style w:type="character" w:customStyle="1" w:styleId="BodyTextIndent3Char">
    <w:name w:val="Body Text Indent 3 Char"/>
    <w:basedOn w:val="DefaultParagraphFont"/>
    <w:link w:val="BodyTextIndent3"/>
    <w:uiPriority w:val="99"/>
    <w:rsid w:val="0078499C"/>
    <w:rPr>
      <w:rFonts w:ascii="Times New Roman" w:eastAsia="Times New Roman" w:hAnsi="Times New Roman" w:cs="Times New Roman"/>
      <w:sz w:val="16"/>
      <w:szCs w:val="16"/>
    </w:rPr>
  </w:style>
  <w:style w:type="character" w:customStyle="1" w:styleId="Document7">
    <w:name w:val="Document 7"/>
    <w:basedOn w:val="DefaultParagraphFont"/>
    <w:rsid w:val="0078499C"/>
  </w:style>
  <w:style w:type="table" w:customStyle="1" w:styleId="TableGrid1">
    <w:name w:val="Table Grid1"/>
    <w:basedOn w:val="TableNormal"/>
    <w:next w:val="TableGrid"/>
    <w:uiPriority w:val="59"/>
    <w:rsid w:val="00137DB2"/>
    <w:pPr>
      <w:widowControl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C06BD2"/>
  </w:style>
  <w:style w:type="paragraph" w:customStyle="1" w:styleId="Style">
    <w:name w:val="Style"/>
    <w:rsid w:val="00C06BD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styleId="Emphasis">
    <w:name w:val="Emphasis"/>
    <w:basedOn w:val="DefaultParagraphFont"/>
    <w:rsid w:val="00C06BD2"/>
    <w:rPr>
      <w:i/>
      <w:iCs/>
    </w:rPr>
  </w:style>
  <w:style w:type="character" w:styleId="FollowedHyperlink">
    <w:name w:val="FollowedHyperlink"/>
    <w:basedOn w:val="DefaultParagraphFont"/>
    <w:uiPriority w:val="99"/>
    <w:semiHidden/>
    <w:unhideWhenUsed/>
    <w:rsid w:val="00C06BD2"/>
    <w:rPr>
      <w:color w:val="800080" w:themeColor="followedHyperlink"/>
      <w:u w:val="single"/>
    </w:rPr>
  </w:style>
  <w:style w:type="paragraph" w:styleId="NormalWeb">
    <w:name w:val="Normal (Web)"/>
    <w:basedOn w:val="Normal"/>
    <w:uiPriority w:val="99"/>
    <w:unhideWhenUsed/>
    <w:rsid w:val="00C06BD2"/>
    <w:pPr>
      <w:widowControl/>
      <w:spacing w:after="150"/>
    </w:pPr>
    <w:rPr>
      <w:sz w:val="24"/>
      <w:szCs w:val="24"/>
    </w:rPr>
  </w:style>
  <w:style w:type="character" w:customStyle="1" w:styleId="UnresolvedMention1">
    <w:name w:val="Unresolved Mention1"/>
    <w:basedOn w:val="DefaultParagraphFont"/>
    <w:uiPriority w:val="99"/>
    <w:semiHidden/>
    <w:unhideWhenUsed/>
    <w:rsid w:val="00C06BD2"/>
    <w:rPr>
      <w:color w:val="808080"/>
      <w:shd w:val="clear" w:color="auto" w:fill="E6E6E6"/>
    </w:rPr>
  </w:style>
  <w:style w:type="paragraph" w:styleId="TOC5">
    <w:name w:val="toc 5"/>
    <w:basedOn w:val="Normal"/>
    <w:next w:val="Normal"/>
    <w:autoRedefine/>
    <w:uiPriority w:val="39"/>
    <w:unhideWhenUsed/>
    <w:rsid w:val="006D6F1D"/>
    <w:pPr>
      <w:tabs>
        <w:tab w:val="left" w:pos="1440"/>
        <w:tab w:val="left" w:pos="3600"/>
        <w:tab w:val="right" w:leader="dot" w:pos="9350"/>
      </w:tabs>
      <w:spacing w:after="100"/>
      <w:ind w:left="2880"/>
    </w:pPr>
    <w:rPr>
      <w:sz w:val="26"/>
    </w:rPr>
  </w:style>
  <w:style w:type="paragraph" w:styleId="TOC6">
    <w:name w:val="toc 6"/>
    <w:basedOn w:val="Normal"/>
    <w:next w:val="Normal"/>
    <w:autoRedefine/>
    <w:uiPriority w:val="39"/>
    <w:unhideWhenUsed/>
    <w:rsid w:val="00C06BD2"/>
    <w:pPr>
      <w:widowControl/>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C06BD2"/>
    <w:pPr>
      <w:widowControl/>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C06BD2"/>
    <w:pPr>
      <w:widowControl/>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C06BD2"/>
    <w:pPr>
      <w:widowControl/>
      <w:spacing w:after="100" w:line="259" w:lineRule="auto"/>
      <w:ind w:left="1760"/>
    </w:pPr>
    <w:rPr>
      <w:rFonts w:asciiTheme="minorHAnsi" w:eastAsiaTheme="minorEastAsia" w:hAnsiTheme="minorHAnsi" w:cstheme="minorBidi"/>
      <w:sz w:val="22"/>
      <w:szCs w:val="22"/>
    </w:rPr>
  </w:style>
  <w:style w:type="character" w:customStyle="1" w:styleId="UnresolvedMention2">
    <w:name w:val="Unresolved Mention2"/>
    <w:basedOn w:val="DefaultParagraphFont"/>
    <w:uiPriority w:val="99"/>
    <w:semiHidden/>
    <w:unhideWhenUsed/>
    <w:rsid w:val="00C06BD2"/>
    <w:rPr>
      <w:color w:val="605E5C"/>
      <w:shd w:val="clear" w:color="auto" w:fill="E1DFDD"/>
    </w:rPr>
  </w:style>
  <w:style w:type="paragraph" w:customStyle="1" w:styleId="NewNormal">
    <w:name w:val="New Normal"/>
    <w:basedOn w:val="BodyText"/>
    <w:link w:val="NewNormalChar"/>
    <w:qFormat/>
    <w:rsid w:val="00C06BD2"/>
    <w:pPr>
      <w:widowControl/>
      <w:spacing w:after="0" w:line="480" w:lineRule="auto"/>
      <w:ind w:firstLine="720"/>
      <w:jc w:val="both"/>
    </w:pPr>
    <w:rPr>
      <w:sz w:val="24"/>
      <w:szCs w:val="24"/>
    </w:rPr>
  </w:style>
  <w:style w:type="character" w:customStyle="1" w:styleId="NewNormalChar">
    <w:name w:val="New Normal Char"/>
    <w:link w:val="NewNormal"/>
    <w:rsid w:val="00C06BD2"/>
    <w:rPr>
      <w:rFonts w:ascii="Times New Roman" w:eastAsia="Times New Roman" w:hAnsi="Times New Roman" w:cs="Times New Roman"/>
      <w:sz w:val="24"/>
      <w:szCs w:val="24"/>
    </w:rPr>
  </w:style>
  <w:style w:type="paragraph" w:customStyle="1" w:styleId="Pleading2L1">
    <w:name w:val="Pleading2_L1"/>
    <w:basedOn w:val="Normal"/>
    <w:next w:val="BodyText"/>
    <w:rsid w:val="00C06BD2"/>
    <w:pPr>
      <w:widowControl/>
      <w:numPr>
        <w:numId w:val="6"/>
      </w:numPr>
      <w:spacing w:after="240"/>
      <w:jc w:val="center"/>
      <w:outlineLvl w:val="0"/>
    </w:pPr>
    <w:rPr>
      <w:b/>
      <w:caps/>
      <w:sz w:val="24"/>
      <w:u w:val="single"/>
    </w:rPr>
  </w:style>
  <w:style w:type="paragraph" w:customStyle="1" w:styleId="Pleading2L2">
    <w:name w:val="Pleading2_L2"/>
    <w:basedOn w:val="Pleading2L1"/>
    <w:rsid w:val="00C06BD2"/>
    <w:pPr>
      <w:numPr>
        <w:ilvl w:val="1"/>
      </w:numPr>
      <w:spacing w:after="0" w:line="480" w:lineRule="auto"/>
      <w:jc w:val="left"/>
      <w:outlineLvl w:val="1"/>
    </w:pPr>
    <w:rPr>
      <w:b w:val="0"/>
      <w:caps w:val="0"/>
      <w:u w:val="none"/>
    </w:rPr>
  </w:style>
  <w:style w:type="paragraph" w:customStyle="1" w:styleId="Pleading2L3">
    <w:name w:val="Pleading2_L3"/>
    <w:basedOn w:val="Pleading2L2"/>
    <w:rsid w:val="00C06BD2"/>
    <w:pPr>
      <w:numPr>
        <w:ilvl w:val="2"/>
      </w:numPr>
      <w:outlineLvl w:val="2"/>
    </w:pPr>
  </w:style>
  <w:style w:type="paragraph" w:customStyle="1" w:styleId="Pleading2L4">
    <w:name w:val="Pleading2_L4"/>
    <w:basedOn w:val="Pleading2L3"/>
    <w:rsid w:val="00C06BD2"/>
    <w:pPr>
      <w:numPr>
        <w:ilvl w:val="3"/>
      </w:numPr>
      <w:tabs>
        <w:tab w:val="clear" w:pos="3600"/>
        <w:tab w:val="num" w:pos="2880"/>
      </w:tabs>
      <w:ind w:left="2160"/>
      <w:outlineLvl w:val="3"/>
    </w:pPr>
  </w:style>
  <w:style w:type="paragraph" w:customStyle="1" w:styleId="Pleading2L5">
    <w:name w:val="Pleading2_L5"/>
    <w:basedOn w:val="Pleading2L4"/>
    <w:rsid w:val="00C06BD2"/>
    <w:pPr>
      <w:keepNext/>
      <w:keepLines/>
      <w:widowControl w:val="0"/>
      <w:numPr>
        <w:ilvl w:val="4"/>
      </w:numPr>
      <w:spacing w:after="240" w:line="240" w:lineRule="auto"/>
      <w:outlineLvl w:val="4"/>
    </w:pPr>
  </w:style>
  <w:style w:type="paragraph" w:customStyle="1" w:styleId="Pleading2L6">
    <w:name w:val="Pleading2_L6"/>
    <w:basedOn w:val="Pleading2L5"/>
    <w:rsid w:val="00C06BD2"/>
    <w:pPr>
      <w:numPr>
        <w:ilvl w:val="5"/>
      </w:numPr>
      <w:outlineLvl w:val="5"/>
    </w:pPr>
  </w:style>
  <w:style w:type="paragraph" w:customStyle="1" w:styleId="Pleading2L7">
    <w:name w:val="Pleading2_L7"/>
    <w:basedOn w:val="Pleading2L6"/>
    <w:rsid w:val="00C06BD2"/>
    <w:pPr>
      <w:numPr>
        <w:ilvl w:val="6"/>
      </w:numPr>
      <w:outlineLvl w:val="6"/>
    </w:pPr>
  </w:style>
  <w:style w:type="paragraph" w:customStyle="1" w:styleId="Pleading2L8">
    <w:name w:val="Pleading2_L8"/>
    <w:basedOn w:val="Pleading2L7"/>
    <w:rsid w:val="00C06BD2"/>
    <w:pPr>
      <w:numPr>
        <w:ilvl w:val="7"/>
      </w:numPr>
      <w:outlineLvl w:val="7"/>
    </w:pPr>
  </w:style>
  <w:style w:type="paragraph" w:customStyle="1" w:styleId="Pleading2L9">
    <w:name w:val="Pleading2_L9"/>
    <w:basedOn w:val="Pleading2L8"/>
    <w:rsid w:val="00C06BD2"/>
    <w:pPr>
      <w:numPr>
        <w:ilvl w:val="8"/>
      </w:numPr>
      <w:outlineLvl w:val="8"/>
    </w:pPr>
  </w:style>
  <w:style w:type="numbering" w:customStyle="1" w:styleId="NoList2">
    <w:name w:val="No List2"/>
    <w:next w:val="NoList"/>
    <w:uiPriority w:val="99"/>
    <w:semiHidden/>
    <w:unhideWhenUsed/>
    <w:rsid w:val="00BD24E1"/>
  </w:style>
  <w:style w:type="numbering" w:customStyle="1" w:styleId="NoList3">
    <w:name w:val="No List3"/>
    <w:next w:val="NoList"/>
    <w:uiPriority w:val="99"/>
    <w:semiHidden/>
    <w:unhideWhenUsed/>
    <w:rsid w:val="00E919D2"/>
  </w:style>
  <w:style w:type="table" w:customStyle="1" w:styleId="TableGrid2">
    <w:name w:val="Table Grid2"/>
    <w:basedOn w:val="TableNormal"/>
    <w:next w:val="TableGrid"/>
    <w:uiPriority w:val="59"/>
    <w:rsid w:val="00E919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455B4B"/>
  </w:style>
  <w:style w:type="paragraph" w:styleId="Subtitle">
    <w:name w:val="Subtitle"/>
    <w:basedOn w:val="Normal"/>
    <w:link w:val="SubtitleChar"/>
    <w:rsid w:val="00455B4B"/>
    <w:pPr>
      <w:widowControl/>
      <w:jc w:val="center"/>
    </w:pPr>
    <w:rPr>
      <w:rFonts w:ascii="CG Times" w:hAnsi="CG Times"/>
      <w:b/>
      <w:sz w:val="24"/>
    </w:rPr>
  </w:style>
  <w:style w:type="character" w:customStyle="1" w:styleId="SubtitleChar">
    <w:name w:val="Subtitle Char"/>
    <w:basedOn w:val="DefaultParagraphFont"/>
    <w:link w:val="Subtitle"/>
    <w:rsid w:val="00455B4B"/>
    <w:rPr>
      <w:rFonts w:ascii="CG Times" w:eastAsia="Times New Roman" w:hAnsi="CG Times" w:cs="Times New Roman"/>
      <w:b/>
      <w:sz w:val="24"/>
      <w:szCs w:val="20"/>
    </w:rPr>
  </w:style>
  <w:style w:type="paragraph" w:customStyle="1" w:styleId="Blockquote">
    <w:name w:val="Blockquote"/>
    <w:basedOn w:val="Normal"/>
    <w:rsid w:val="00455B4B"/>
    <w:pPr>
      <w:widowControl/>
      <w:spacing w:before="100" w:after="100"/>
      <w:ind w:left="360" w:right="360"/>
    </w:pPr>
    <w:rPr>
      <w:snapToGrid w:val="0"/>
      <w:sz w:val="24"/>
    </w:rPr>
  </w:style>
  <w:style w:type="numbering" w:customStyle="1" w:styleId="NoList5">
    <w:name w:val="No List5"/>
    <w:next w:val="NoList"/>
    <w:uiPriority w:val="99"/>
    <w:semiHidden/>
    <w:unhideWhenUsed/>
    <w:rsid w:val="00A8096B"/>
  </w:style>
  <w:style w:type="paragraph" w:styleId="Title">
    <w:name w:val="Title"/>
    <w:basedOn w:val="Normal"/>
    <w:link w:val="TitleChar"/>
    <w:qFormat/>
    <w:rsid w:val="00A8096B"/>
    <w:pPr>
      <w:widowControl/>
      <w:jc w:val="center"/>
    </w:pPr>
    <w:rPr>
      <w:b/>
      <w:sz w:val="26"/>
    </w:rPr>
  </w:style>
  <w:style w:type="character" w:customStyle="1" w:styleId="TitleChar">
    <w:name w:val="Title Char"/>
    <w:basedOn w:val="DefaultParagraphFont"/>
    <w:link w:val="Title"/>
    <w:rsid w:val="00A8096B"/>
    <w:rPr>
      <w:rFonts w:ascii="Times New Roman" w:eastAsia="Times New Roman" w:hAnsi="Times New Roman" w:cs="Times New Roman"/>
      <w:b/>
      <w:sz w:val="26"/>
      <w:szCs w:val="20"/>
    </w:rPr>
  </w:style>
  <w:style w:type="paragraph" w:customStyle="1" w:styleId="TxBrp8">
    <w:name w:val="TxBr_p8"/>
    <w:basedOn w:val="Normal"/>
    <w:rsid w:val="00A8096B"/>
    <w:pPr>
      <w:tabs>
        <w:tab w:val="left" w:pos="1468"/>
      </w:tabs>
      <w:autoSpaceDE w:val="0"/>
      <w:autoSpaceDN w:val="0"/>
      <w:adjustRightInd w:val="0"/>
      <w:spacing w:line="464" w:lineRule="atLeast"/>
      <w:ind w:firstLine="1468"/>
    </w:pPr>
    <w:rPr>
      <w:sz w:val="24"/>
      <w:szCs w:val="24"/>
    </w:rPr>
  </w:style>
  <w:style w:type="character" w:styleId="PageNumber">
    <w:name w:val="page number"/>
    <w:basedOn w:val="DefaultParagraphFont"/>
    <w:rsid w:val="00A8096B"/>
  </w:style>
  <w:style w:type="table" w:customStyle="1" w:styleId="TableGrid3">
    <w:name w:val="Table Grid3"/>
    <w:basedOn w:val="TableNormal"/>
    <w:next w:val="TableGrid"/>
    <w:uiPriority w:val="59"/>
    <w:rsid w:val="00A8096B"/>
    <w:pPr>
      <w:widowControl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0">
    <w:name w:val="p10"/>
    <w:basedOn w:val="Normal"/>
    <w:rsid w:val="00A8096B"/>
    <w:pPr>
      <w:tabs>
        <w:tab w:val="left" w:pos="759"/>
        <w:tab w:val="left" w:pos="1502"/>
      </w:tabs>
      <w:autoSpaceDE w:val="0"/>
      <w:autoSpaceDN w:val="0"/>
      <w:adjustRightInd w:val="0"/>
      <w:ind w:firstLine="759"/>
    </w:pPr>
    <w:rPr>
      <w:sz w:val="24"/>
      <w:szCs w:val="24"/>
    </w:rPr>
  </w:style>
  <w:style w:type="paragraph" w:customStyle="1" w:styleId="p5">
    <w:name w:val="p5"/>
    <w:basedOn w:val="Normal"/>
    <w:rsid w:val="00A8096B"/>
    <w:pPr>
      <w:tabs>
        <w:tab w:val="left" w:pos="5011"/>
        <w:tab w:val="left" w:pos="5306"/>
        <w:tab w:val="left" w:pos="5657"/>
      </w:tabs>
      <w:autoSpaceDE w:val="0"/>
      <w:autoSpaceDN w:val="0"/>
      <w:adjustRightInd w:val="0"/>
      <w:ind w:left="5011" w:firstLine="295"/>
      <w:jc w:val="both"/>
    </w:pPr>
    <w:rPr>
      <w:sz w:val="24"/>
      <w:szCs w:val="24"/>
    </w:rPr>
  </w:style>
  <w:style w:type="paragraph" w:styleId="PlainText">
    <w:name w:val="Plain Text"/>
    <w:basedOn w:val="Normal"/>
    <w:link w:val="PlainTextChar"/>
    <w:uiPriority w:val="99"/>
    <w:unhideWhenUsed/>
    <w:rsid w:val="00A8096B"/>
    <w:pPr>
      <w:widowControl/>
    </w:pPr>
    <w:rPr>
      <w:rFonts w:ascii="Consolas" w:eastAsia="Calibri" w:hAnsi="Consolas"/>
      <w:sz w:val="21"/>
      <w:szCs w:val="21"/>
    </w:rPr>
  </w:style>
  <w:style w:type="character" w:customStyle="1" w:styleId="PlainTextChar">
    <w:name w:val="Plain Text Char"/>
    <w:basedOn w:val="DefaultParagraphFont"/>
    <w:link w:val="PlainText"/>
    <w:uiPriority w:val="99"/>
    <w:rsid w:val="00A8096B"/>
    <w:rPr>
      <w:rFonts w:ascii="Consolas" w:eastAsia="Calibri" w:hAnsi="Consolas" w:cs="Times New Roman"/>
      <w:sz w:val="21"/>
      <w:szCs w:val="21"/>
    </w:rPr>
  </w:style>
  <w:style w:type="paragraph" w:styleId="BlockText">
    <w:name w:val="Block Text"/>
    <w:basedOn w:val="Normal"/>
    <w:rsid w:val="00A8096B"/>
    <w:pPr>
      <w:tabs>
        <w:tab w:val="left" w:pos="-720"/>
      </w:tabs>
      <w:spacing w:line="360" w:lineRule="auto"/>
      <w:ind w:left="1440" w:right="2160"/>
    </w:pPr>
    <w:rPr>
      <w:sz w:val="26"/>
    </w:rPr>
  </w:style>
  <w:style w:type="character" w:styleId="UnresolvedMention">
    <w:name w:val="Unresolved Mention"/>
    <w:basedOn w:val="DefaultParagraphFont"/>
    <w:uiPriority w:val="99"/>
    <w:semiHidden/>
    <w:unhideWhenUsed/>
    <w:rsid w:val="00A8096B"/>
    <w:rPr>
      <w:color w:val="605E5C"/>
      <w:shd w:val="clear" w:color="auto" w:fill="E1DFDD"/>
    </w:rPr>
  </w:style>
  <w:style w:type="table" w:customStyle="1" w:styleId="TableGrid11">
    <w:name w:val="Table Grid11"/>
    <w:basedOn w:val="TableNormal"/>
    <w:next w:val="TableGrid"/>
    <w:rsid w:val="00A8096B"/>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4047963796msonormal">
    <w:name w:val="yiv4047963796msonormal"/>
    <w:basedOn w:val="Normal"/>
    <w:rsid w:val="00A8096B"/>
    <w:pPr>
      <w:widowControl/>
      <w:spacing w:before="100" w:beforeAutospacing="1" w:after="100" w:afterAutospacing="1"/>
    </w:pPr>
    <w:rPr>
      <w:sz w:val="24"/>
      <w:szCs w:val="24"/>
    </w:rPr>
  </w:style>
  <w:style w:type="paragraph" w:customStyle="1" w:styleId="yiv1933290704msonormal">
    <w:name w:val="yiv1933290704msonormal"/>
    <w:basedOn w:val="Normal"/>
    <w:rsid w:val="00A8096B"/>
    <w:pPr>
      <w:widowControl/>
      <w:spacing w:before="100" w:beforeAutospacing="1" w:after="100" w:afterAutospacing="1"/>
    </w:pPr>
    <w:rPr>
      <w:sz w:val="24"/>
      <w:szCs w:val="24"/>
    </w:rPr>
  </w:style>
  <w:style w:type="numbering" w:customStyle="1" w:styleId="NoList6">
    <w:name w:val="No List6"/>
    <w:next w:val="NoList"/>
    <w:uiPriority w:val="99"/>
    <w:semiHidden/>
    <w:unhideWhenUsed/>
    <w:rsid w:val="006D71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363378">
      <w:bodyDiv w:val="1"/>
      <w:marLeft w:val="0"/>
      <w:marRight w:val="0"/>
      <w:marTop w:val="0"/>
      <w:marBottom w:val="0"/>
      <w:divBdr>
        <w:top w:val="none" w:sz="0" w:space="0" w:color="auto"/>
        <w:left w:val="none" w:sz="0" w:space="0" w:color="auto"/>
        <w:bottom w:val="none" w:sz="0" w:space="0" w:color="auto"/>
        <w:right w:val="none" w:sz="0" w:space="0" w:color="auto"/>
      </w:divBdr>
    </w:div>
    <w:div w:id="378016619">
      <w:bodyDiv w:val="1"/>
      <w:marLeft w:val="0"/>
      <w:marRight w:val="0"/>
      <w:marTop w:val="0"/>
      <w:marBottom w:val="0"/>
      <w:divBdr>
        <w:top w:val="none" w:sz="0" w:space="0" w:color="auto"/>
        <w:left w:val="none" w:sz="0" w:space="0" w:color="auto"/>
        <w:bottom w:val="none" w:sz="0" w:space="0" w:color="auto"/>
        <w:right w:val="none" w:sz="0" w:space="0" w:color="auto"/>
      </w:divBdr>
    </w:div>
    <w:div w:id="1165248786">
      <w:bodyDiv w:val="1"/>
      <w:marLeft w:val="0"/>
      <w:marRight w:val="0"/>
      <w:marTop w:val="0"/>
      <w:marBottom w:val="0"/>
      <w:divBdr>
        <w:top w:val="none" w:sz="0" w:space="0" w:color="auto"/>
        <w:left w:val="none" w:sz="0" w:space="0" w:color="auto"/>
        <w:bottom w:val="none" w:sz="0" w:space="0" w:color="auto"/>
        <w:right w:val="none" w:sz="0" w:space="0" w:color="auto"/>
      </w:divBdr>
      <w:divsChild>
        <w:div w:id="383064424">
          <w:marLeft w:val="0"/>
          <w:marRight w:val="0"/>
          <w:marTop w:val="0"/>
          <w:marBottom w:val="0"/>
          <w:divBdr>
            <w:top w:val="none" w:sz="0" w:space="0" w:color="auto"/>
            <w:left w:val="none" w:sz="0" w:space="0" w:color="auto"/>
            <w:bottom w:val="none" w:sz="0" w:space="0" w:color="auto"/>
            <w:right w:val="none" w:sz="0" w:space="0" w:color="auto"/>
          </w:divBdr>
          <w:divsChild>
            <w:div w:id="1435249597">
              <w:marLeft w:val="0"/>
              <w:marRight w:val="0"/>
              <w:marTop w:val="0"/>
              <w:marBottom w:val="0"/>
              <w:divBdr>
                <w:top w:val="none" w:sz="0" w:space="0" w:color="auto"/>
                <w:left w:val="none" w:sz="0" w:space="0" w:color="auto"/>
                <w:bottom w:val="none" w:sz="0" w:space="0" w:color="auto"/>
                <w:right w:val="none" w:sz="0" w:space="0" w:color="auto"/>
              </w:divBdr>
              <w:divsChild>
                <w:div w:id="1577587929">
                  <w:marLeft w:val="0"/>
                  <w:marRight w:val="0"/>
                  <w:marTop w:val="0"/>
                  <w:marBottom w:val="0"/>
                  <w:divBdr>
                    <w:top w:val="none" w:sz="0" w:space="0" w:color="auto"/>
                    <w:left w:val="none" w:sz="0" w:space="0" w:color="auto"/>
                    <w:bottom w:val="none" w:sz="0" w:space="0" w:color="auto"/>
                    <w:right w:val="none" w:sz="0" w:space="0" w:color="auto"/>
                  </w:divBdr>
                  <w:divsChild>
                    <w:div w:id="939337219">
                      <w:marLeft w:val="0"/>
                      <w:marRight w:val="300"/>
                      <w:marTop w:val="0"/>
                      <w:marBottom w:val="0"/>
                      <w:divBdr>
                        <w:top w:val="none" w:sz="0" w:space="0" w:color="auto"/>
                        <w:left w:val="none" w:sz="0" w:space="0" w:color="auto"/>
                        <w:bottom w:val="none" w:sz="0" w:space="0" w:color="auto"/>
                        <w:right w:val="none" w:sz="0" w:space="0" w:color="auto"/>
                      </w:divBdr>
                      <w:divsChild>
                        <w:div w:id="1440371626">
                          <w:marLeft w:val="0"/>
                          <w:marRight w:val="300"/>
                          <w:marTop w:val="0"/>
                          <w:marBottom w:val="0"/>
                          <w:divBdr>
                            <w:top w:val="none" w:sz="0" w:space="0" w:color="auto"/>
                            <w:left w:val="none" w:sz="0" w:space="0" w:color="auto"/>
                            <w:bottom w:val="none" w:sz="0" w:space="0" w:color="auto"/>
                            <w:right w:val="none" w:sz="0" w:space="0" w:color="auto"/>
                          </w:divBdr>
                          <w:divsChild>
                            <w:div w:id="1851749900">
                              <w:marLeft w:val="0"/>
                              <w:marRight w:val="0"/>
                              <w:marTop w:val="0"/>
                              <w:marBottom w:val="0"/>
                              <w:divBdr>
                                <w:top w:val="none" w:sz="0" w:space="0" w:color="auto"/>
                                <w:left w:val="none" w:sz="0" w:space="0" w:color="auto"/>
                                <w:bottom w:val="none" w:sz="0" w:space="0" w:color="auto"/>
                                <w:right w:val="none" w:sz="0" w:space="0" w:color="auto"/>
                              </w:divBdr>
                              <w:divsChild>
                                <w:div w:id="130829403">
                                  <w:marLeft w:val="0"/>
                                  <w:marRight w:val="0"/>
                                  <w:marTop w:val="0"/>
                                  <w:marBottom w:val="0"/>
                                  <w:divBdr>
                                    <w:top w:val="none" w:sz="0" w:space="0" w:color="auto"/>
                                    <w:left w:val="none" w:sz="0" w:space="0" w:color="auto"/>
                                    <w:bottom w:val="none" w:sz="0" w:space="0" w:color="auto"/>
                                    <w:right w:val="none" w:sz="0" w:space="0" w:color="auto"/>
                                  </w:divBdr>
                                  <w:divsChild>
                                    <w:div w:id="1231815720">
                                      <w:marLeft w:val="0"/>
                                      <w:marRight w:val="0"/>
                                      <w:marTop w:val="0"/>
                                      <w:marBottom w:val="0"/>
                                      <w:divBdr>
                                        <w:top w:val="none" w:sz="0" w:space="0" w:color="auto"/>
                                        <w:left w:val="none" w:sz="0" w:space="0" w:color="auto"/>
                                        <w:bottom w:val="none" w:sz="0" w:space="0" w:color="auto"/>
                                        <w:right w:val="none" w:sz="0" w:space="0" w:color="auto"/>
                                      </w:divBdr>
                                      <w:divsChild>
                                        <w:div w:id="178810426">
                                          <w:marLeft w:val="0"/>
                                          <w:marRight w:val="0"/>
                                          <w:marTop w:val="0"/>
                                          <w:marBottom w:val="0"/>
                                          <w:divBdr>
                                            <w:top w:val="none" w:sz="0" w:space="0" w:color="auto"/>
                                            <w:left w:val="none" w:sz="0" w:space="0" w:color="auto"/>
                                            <w:bottom w:val="none" w:sz="0" w:space="0" w:color="auto"/>
                                            <w:right w:val="none" w:sz="0" w:space="0" w:color="auto"/>
                                          </w:divBdr>
                                          <w:divsChild>
                                            <w:div w:id="6100806">
                                              <w:marLeft w:val="0"/>
                                              <w:marRight w:val="0"/>
                                              <w:marTop w:val="0"/>
                                              <w:marBottom w:val="0"/>
                                              <w:divBdr>
                                                <w:top w:val="none" w:sz="0" w:space="0" w:color="auto"/>
                                                <w:left w:val="none" w:sz="0" w:space="0" w:color="auto"/>
                                                <w:bottom w:val="none" w:sz="0" w:space="0" w:color="auto"/>
                                                <w:right w:val="none" w:sz="0" w:space="0" w:color="auto"/>
                                              </w:divBdr>
                                            </w:div>
                                            <w:div w:id="1441729315">
                                              <w:marLeft w:val="0"/>
                                              <w:marRight w:val="0"/>
                                              <w:marTop w:val="0"/>
                                              <w:marBottom w:val="0"/>
                                              <w:divBdr>
                                                <w:top w:val="none" w:sz="0" w:space="0" w:color="auto"/>
                                                <w:left w:val="none" w:sz="0" w:space="0" w:color="auto"/>
                                                <w:bottom w:val="none" w:sz="0" w:space="0" w:color="auto"/>
                                                <w:right w:val="none" w:sz="0" w:space="0" w:color="auto"/>
                                              </w:divBdr>
                                            </w:div>
                                            <w:div w:id="955984514">
                                              <w:marLeft w:val="0"/>
                                              <w:marRight w:val="0"/>
                                              <w:marTop w:val="0"/>
                                              <w:marBottom w:val="0"/>
                                              <w:divBdr>
                                                <w:top w:val="none" w:sz="0" w:space="0" w:color="auto"/>
                                                <w:left w:val="none" w:sz="0" w:space="0" w:color="auto"/>
                                                <w:bottom w:val="none" w:sz="0" w:space="0" w:color="auto"/>
                                                <w:right w:val="none" w:sz="0" w:space="0" w:color="auto"/>
                                              </w:divBdr>
                                            </w:div>
                                            <w:div w:id="1065759152">
                                              <w:marLeft w:val="0"/>
                                              <w:marRight w:val="0"/>
                                              <w:marTop w:val="0"/>
                                              <w:marBottom w:val="0"/>
                                              <w:divBdr>
                                                <w:top w:val="none" w:sz="0" w:space="0" w:color="auto"/>
                                                <w:left w:val="none" w:sz="0" w:space="0" w:color="auto"/>
                                                <w:bottom w:val="none" w:sz="0" w:space="0" w:color="auto"/>
                                                <w:right w:val="none" w:sz="0" w:space="0" w:color="auto"/>
                                              </w:divBdr>
                                            </w:div>
                                            <w:div w:id="12736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2249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http://www.lexis.com/research/buttonTFLink?_m=0d7e78528297490763e78babd487bc42&amp;_xfercite=%3ccite%20cc%3d%22USA%22%3e%3c%21%5bCDATA%5b2006%20Pa.%20PUC%20LEXIS%20102%5d%5d%3e%3c%2fcite%3e&amp;_butType=3&amp;_butStat=2&amp;_butNum=16&amp;_butInline=1&amp;_butinfo=%3ccite%20cc%3d%22USA%22%3e%3c%21%5bCDATA%5b66%20Pa.%20Commw.%20282%5d%5d%3e%3c%2fcite%3e&amp;_fmtstr=FULL&amp;docnum=9&amp;_startdoc=1&amp;wchp=dGLzVzz-zSkAz&amp;_md5=44d0f4cf51bc1159652e85695542a09d"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867611-1613-4036-8F87-AD62C5776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298</Pages>
  <Words>76769</Words>
  <Characters>437586</Characters>
  <Application>Microsoft Office Word</Application>
  <DocSecurity>4</DocSecurity>
  <Lines>3646</Lines>
  <Paragraphs>1026</Paragraphs>
  <ScaleCrop>false</ScaleCrop>
  <HeadingPairs>
    <vt:vector size="2" baseType="variant">
      <vt:variant>
        <vt:lpstr>Title</vt:lpstr>
      </vt:variant>
      <vt:variant>
        <vt:i4>1</vt:i4>
      </vt:variant>
    </vt:vector>
  </HeadingPairs>
  <TitlesOfParts>
    <vt:vector size="1" baseType="lpstr">
      <vt:lpstr/>
    </vt:vector>
  </TitlesOfParts>
  <Company>Pa Public Utility Commission</Company>
  <LinksUpToDate>false</LinksUpToDate>
  <CharactersWithSpaces>513329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eberzonsky@pa.gov</dc:creator>
  <cp:lastModifiedBy>Wagner, Nathan R</cp:lastModifiedBy>
  <cp:revision>2</cp:revision>
  <cp:lastPrinted>2016-12-08T13:50:00Z</cp:lastPrinted>
  <dcterms:created xsi:type="dcterms:W3CDTF">2021-02-19T20:04:00Z</dcterms:created>
  <dcterms:modified xsi:type="dcterms:W3CDTF">2021-02-19T20:04:00Z</dcterms:modified>
</cp:coreProperties>
</file>