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8F005F" w14:paraId="3EA5D40A" w14:textId="77777777">
        <w:trPr>
          <w:trHeight w:val="990"/>
        </w:trPr>
        <w:tc>
          <w:tcPr>
            <w:tcW w:w="1363" w:type="dxa"/>
          </w:tcPr>
          <w:p w14:paraId="349C7927" w14:textId="77777777" w:rsidR="008F005F" w:rsidRDefault="00AC28DA">
            <w:pPr>
              <w:rPr>
                <w:sz w:val="24"/>
              </w:rPr>
            </w:pPr>
            <w:r>
              <w:rPr>
                <w:noProof/>
                <w:spacing w:val="-2"/>
              </w:rPr>
              <w:drawing>
                <wp:inline distT="0" distB="0" distL="0" distR="0" wp14:anchorId="091C8691" wp14:editId="2663126A">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1E0AA27" w14:textId="77777777" w:rsidR="008F005F" w:rsidRDefault="008F005F">
            <w:pPr>
              <w:suppressAutoHyphens/>
              <w:spacing w:line="204" w:lineRule="auto"/>
              <w:jc w:val="center"/>
              <w:rPr>
                <w:rFonts w:ascii="Arial" w:hAnsi="Arial"/>
                <w:color w:val="000080"/>
                <w:spacing w:val="-3"/>
                <w:sz w:val="26"/>
              </w:rPr>
            </w:pPr>
          </w:p>
          <w:p w14:paraId="52EC83F7" w14:textId="77777777" w:rsidR="008F005F" w:rsidRDefault="008F00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68F86DA" w14:textId="77777777" w:rsidR="008F005F" w:rsidRDefault="008F00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353727" w14:textId="77777777" w:rsidR="008F005F" w:rsidRDefault="008F005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2391CAD5" w14:textId="77777777" w:rsidR="008F005F" w:rsidRDefault="008F005F">
            <w:pPr>
              <w:rPr>
                <w:rFonts w:ascii="Arial" w:hAnsi="Arial"/>
                <w:sz w:val="12"/>
              </w:rPr>
            </w:pPr>
          </w:p>
          <w:p w14:paraId="2B1F03EE" w14:textId="77777777" w:rsidR="008F005F" w:rsidRDefault="008F005F">
            <w:pPr>
              <w:rPr>
                <w:rFonts w:ascii="Arial" w:hAnsi="Arial"/>
                <w:sz w:val="12"/>
              </w:rPr>
            </w:pPr>
          </w:p>
          <w:p w14:paraId="5FE67DED" w14:textId="77777777" w:rsidR="008F005F" w:rsidRDefault="008F005F">
            <w:pPr>
              <w:rPr>
                <w:rFonts w:ascii="Arial" w:hAnsi="Arial"/>
                <w:sz w:val="12"/>
              </w:rPr>
            </w:pPr>
          </w:p>
          <w:p w14:paraId="2879DD58" w14:textId="77777777" w:rsidR="008F005F" w:rsidRDefault="008F005F">
            <w:pPr>
              <w:rPr>
                <w:rFonts w:ascii="Arial" w:hAnsi="Arial"/>
                <w:sz w:val="12"/>
              </w:rPr>
            </w:pPr>
          </w:p>
          <w:p w14:paraId="662D3030" w14:textId="77777777" w:rsidR="008F005F" w:rsidRDefault="008F005F">
            <w:pPr>
              <w:rPr>
                <w:rFonts w:ascii="Arial" w:hAnsi="Arial"/>
                <w:sz w:val="12"/>
              </w:rPr>
            </w:pPr>
          </w:p>
          <w:p w14:paraId="6E9E9C9E" w14:textId="77777777" w:rsidR="008F005F" w:rsidRDefault="008F005F">
            <w:pPr>
              <w:rPr>
                <w:rFonts w:ascii="Arial" w:hAnsi="Arial"/>
                <w:sz w:val="12"/>
              </w:rPr>
            </w:pPr>
          </w:p>
          <w:p w14:paraId="55EB4AEA" w14:textId="77777777" w:rsidR="008F005F" w:rsidRDefault="008F005F">
            <w:pPr>
              <w:jc w:val="right"/>
              <w:rPr>
                <w:rFonts w:ascii="Arial" w:hAnsi="Arial"/>
                <w:sz w:val="12"/>
              </w:rPr>
            </w:pPr>
            <w:r>
              <w:rPr>
                <w:rFonts w:ascii="Arial" w:hAnsi="Arial"/>
                <w:b/>
                <w:spacing w:val="-1"/>
                <w:sz w:val="12"/>
              </w:rPr>
              <w:t>IN REPLY PLEASE REFER TO OUR FILE</w:t>
            </w:r>
          </w:p>
        </w:tc>
      </w:tr>
    </w:tbl>
    <w:p w14:paraId="7AC46616" w14:textId="77777777" w:rsidR="008F005F" w:rsidRDefault="008F005F">
      <w:pPr>
        <w:rPr>
          <w:sz w:val="24"/>
        </w:rPr>
        <w:sectPr w:rsidR="008F005F">
          <w:pgSz w:w="12240" w:h="15840"/>
          <w:pgMar w:top="504" w:right="1440" w:bottom="1440" w:left="1440" w:header="720" w:footer="720" w:gutter="0"/>
          <w:cols w:space="720"/>
        </w:sectPr>
      </w:pPr>
    </w:p>
    <w:p w14:paraId="5B8D4DC1" w14:textId="77777777" w:rsidR="008F005F" w:rsidRPr="00BD2958" w:rsidRDefault="008F005F">
      <w:pPr>
        <w:tabs>
          <w:tab w:val="left" w:pos="-720"/>
        </w:tabs>
        <w:ind w:left="216"/>
        <w:jc w:val="center"/>
        <w:rPr>
          <w:sz w:val="26"/>
          <w:szCs w:val="26"/>
        </w:rPr>
      </w:pPr>
    </w:p>
    <w:p w14:paraId="56ECD761" w14:textId="516A599F" w:rsidR="00AC28DA" w:rsidRPr="00BD2958" w:rsidRDefault="001A18C2" w:rsidP="001A18C2">
      <w:pPr>
        <w:tabs>
          <w:tab w:val="left" w:pos="-720"/>
        </w:tabs>
        <w:jc w:val="center"/>
        <w:rPr>
          <w:sz w:val="26"/>
          <w:szCs w:val="26"/>
        </w:rPr>
      </w:pPr>
      <w:r>
        <w:rPr>
          <w:sz w:val="26"/>
          <w:szCs w:val="26"/>
        </w:rPr>
        <w:t>February 22, 2021</w:t>
      </w:r>
    </w:p>
    <w:p w14:paraId="570F7E27" w14:textId="77777777" w:rsidR="008F005F" w:rsidRPr="00BD2958" w:rsidRDefault="00AC28DA">
      <w:pPr>
        <w:tabs>
          <w:tab w:val="left" w:pos="-720"/>
        </w:tabs>
        <w:ind w:left="216"/>
        <w:jc w:val="both"/>
        <w:rPr>
          <w:sz w:val="26"/>
          <w:szCs w:val="26"/>
        </w:rPr>
      </w:pPr>
      <w:r w:rsidRPr="00BD2958">
        <w:rPr>
          <w:sz w:val="26"/>
          <w:szCs w:val="26"/>
        </w:rPr>
        <w:tab/>
      </w:r>
      <w:r w:rsidRPr="00BD2958">
        <w:rPr>
          <w:sz w:val="26"/>
          <w:szCs w:val="26"/>
        </w:rPr>
        <w:tab/>
      </w:r>
      <w:r w:rsidRPr="00BD2958">
        <w:rPr>
          <w:sz w:val="26"/>
          <w:szCs w:val="26"/>
        </w:rPr>
        <w:tab/>
      </w:r>
      <w:r w:rsidRPr="00BD2958">
        <w:rPr>
          <w:sz w:val="26"/>
          <w:szCs w:val="26"/>
        </w:rPr>
        <w:tab/>
      </w:r>
      <w:r w:rsidRPr="00BD2958">
        <w:rPr>
          <w:sz w:val="26"/>
          <w:szCs w:val="26"/>
        </w:rPr>
        <w:tab/>
      </w:r>
      <w:r w:rsidRPr="00BD2958">
        <w:rPr>
          <w:sz w:val="26"/>
          <w:szCs w:val="26"/>
        </w:rPr>
        <w:tab/>
      </w:r>
      <w:r w:rsidR="007E147A" w:rsidRPr="00BD2958">
        <w:rPr>
          <w:sz w:val="26"/>
          <w:szCs w:val="26"/>
        </w:rPr>
        <w:tab/>
      </w:r>
      <w:r w:rsidR="007E147A" w:rsidRPr="00BD2958">
        <w:rPr>
          <w:sz w:val="26"/>
          <w:szCs w:val="26"/>
        </w:rPr>
        <w:tab/>
      </w:r>
      <w:r w:rsidR="007E147A" w:rsidRPr="00BD2958">
        <w:rPr>
          <w:sz w:val="26"/>
          <w:szCs w:val="26"/>
        </w:rPr>
        <w:tab/>
      </w:r>
      <w:r w:rsidR="007E147A" w:rsidRPr="00BD2958">
        <w:rPr>
          <w:sz w:val="26"/>
          <w:szCs w:val="26"/>
        </w:rPr>
        <w:tab/>
        <w:t>G-2009-2148505</w:t>
      </w:r>
    </w:p>
    <w:p w14:paraId="086776D0" w14:textId="77777777" w:rsidR="00AF427F" w:rsidRPr="00BD2958" w:rsidRDefault="00AF427F">
      <w:pPr>
        <w:tabs>
          <w:tab w:val="left" w:pos="-720"/>
        </w:tabs>
        <w:jc w:val="both"/>
        <w:rPr>
          <w:sz w:val="26"/>
          <w:szCs w:val="26"/>
        </w:rPr>
      </w:pPr>
    </w:p>
    <w:p w14:paraId="7F6FDFCF" w14:textId="77777777" w:rsidR="0021760E" w:rsidRPr="00BD2958" w:rsidRDefault="0021760E" w:rsidP="0021760E">
      <w:pPr>
        <w:ind w:left="720" w:hanging="720"/>
        <w:jc w:val="both"/>
        <w:rPr>
          <w:noProof/>
          <w:sz w:val="26"/>
          <w:szCs w:val="26"/>
        </w:rPr>
      </w:pPr>
      <w:r w:rsidRPr="00BD2958">
        <w:rPr>
          <w:noProof/>
          <w:sz w:val="26"/>
          <w:szCs w:val="26"/>
        </w:rPr>
        <w:t>Emily Farah Counsel, Regulatory</w:t>
      </w:r>
    </w:p>
    <w:p w14:paraId="291D2C5C" w14:textId="77777777" w:rsidR="0021760E" w:rsidRPr="00BD2958" w:rsidRDefault="0021760E" w:rsidP="0021760E">
      <w:pPr>
        <w:ind w:left="720" w:hanging="720"/>
        <w:jc w:val="both"/>
        <w:rPr>
          <w:noProof/>
          <w:sz w:val="26"/>
          <w:szCs w:val="26"/>
        </w:rPr>
      </w:pPr>
      <w:r w:rsidRPr="00BD2958">
        <w:rPr>
          <w:noProof/>
          <w:sz w:val="26"/>
          <w:szCs w:val="26"/>
        </w:rPr>
        <w:t>Duquesne Light Company</w:t>
      </w:r>
    </w:p>
    <w:p w14:paraId="5F3BA0D5" w14:textId="77777777" w:rsidR="0021760E" w:rsidRPr="00BD2958" w:rsidRDefault="0021760E" w:rsidP="0021760E">
      <w:pPr>
        <w:ind w:left="720" w:hanging="720"/>
        <w:jc w:val="both"/>
        <w:rPr>
          <w:noProof/>
          <w:sz w:val="26"/>
          <w:szCs w:val="26"/>
        </w:rPr>
      </w:pPr>
      <w:r w:rsidRPr="00BD2958">
        <w:rPr>
          <w:noProof/>
          <w:sz w:val="26"/>
          <w:szCs w:val="26"/>
        </w:rPr>
        <w:t>411 Seventh Avenue</w:t>
      </w:r>
    </w:p>
    <w:p w14:paraId="0D95FC4D" w14:textId="77777777" w:rsidR="0021760E" w:rsidRPr="00BD2958" w:rsidRDefault="0021760E" w:rsidP="0021760E">
      <w:pPr>
        <w:ind w:left="720" w:hanging="720"/>
        <w:jc w:val="both"/>
        <w:rPr>
          <w:noProof/>
          <w:sz w:val="26"/>
          <w:szCs w:val="26"/>
        </w:rPr>
      </w:pPr>
      <w:r w:rsidRPr="00BD2958">
        <w:rPr>
          <w:noProof/>
          <w:sz w:val="26"/>
          <w:szCs w:val="26"/>
        </w:rPr>
        <w:t>Mail Drop 15-7</w:t>
      </w:r>
    </w:p>
    <w:p w14:paraId="4DFCBF2F" w14:textId="77777777" w:rsidR="0021760E" w:rsidRPr="00BD2958" w:rsidRDefault="0021760E" w:rsidP="0021760E">
      <w:pPr>
        <w:ind w:left="720" w:hanging="720"/>
        <w:jc w:val="both"/>
        <w:rPr>
          <w:noProof/>
          <w:sz w:val="26"/>
          <w:szCs w:val="26"/>
        </w:rPr>
      </w:pPr>
      <w:r w:rsidRPr="00BD2958">
        <w:rPr>
          <w:noProof/>
          <w:sz w:val="26"/>
          <w:szCs w:val="26"/>
        </w:rPr>
        <w:t>Pittsburgh, PA 15219</w:t>
      </w:r>
    </w:p>
    <w:p w14:paraId="529FD644" w14:textId="77777777" w:rsidR="008F005F" w:rsidRPr="00BD2958" w:rsidRDefault="008F005F">
      <w:pPr>
        <w:tabs>
          <w:tab w:val="left" w:pos="-720"/>
        </w:tabs>
        <w:ind w:left="216"/>
        <w:jc w:val="both"/>
        <w:rPr>
          <w:sz w:val="26"/>
          <w:szCs w:val="26"/>
        </w:rPr>
      </w:pPr>
    </w:p>
    <w:p w14:paraId="58EBD13C" w14:textId="77777777" w:rsidR="00745752" w:rsidRPr="00BD2958" w:rsidRDefault="00745752">
      <w:pPr>
        <w:tabs>
          <w:tab w:val="left" w:pos="-720"/>
        </w:tabs>
        <w:ind w:left="216"/>
        <w:jc w:val="both"/>
        <w:rPr>
          <w:sz w:val="26"/>
          <w:szCs w:val="26"/>
        </w:rPr>
      </w:pPr>
    </w:p>
    <w:p w14:paraId="08A09C55" w14:textId="68170C4B" w:rsidR="00CC685A" w:rsidRDefault="00CC685A" w:rsidP="00B409FA">
      <w:pPr>
        <w:ind w:left="1170" w:hanging="450"/>
        <w:rPr>
          <w:sz w:val="26"/>
          <w:szCs w:val="26"/>
        </w:rPr>
      </w:pPr>
      <w:r w:rsidRPr="00BD2958">
        <w:rPr>
          <w:sz w:val="26"/>
          <w:szCs w:val="26"/>
        </w:rPr>
        <w:t xml:space="preserve">Re:  </w:t>
      </w:r>
      <w:r w:rsidR="0021760E" w:rsidRPr="00BD2958">
        <w:rPr>
          <w:sz w:val="26"/>
          <w:szCs w:val="26"/>
        </w:rPr>
        <w:t>Request of Duquesne Light Company for Approval of an Amendment to its Affiliated Interest Agreement with its Parent for Short Term Borrowing</w:t>
      </w:r>
    </w:p>
    <w:p w14:paraId="573F7CF9" w14:textId="77777777" w:rsidR="005D16C0" w:rsidRDefault="005D16C0" w:rsidP="00B409FA">
      <w:pPr>
        <w:ind w:left="1170" w:hanging="450"/>
        <w:rPr>
          <w:sz w:val="26"/>
          <w:szCs w:val="26"/>
        </w:rPr>
      </w:pPr>
    </w:p>
    <w:p w14:paraId="5473D77D" w14:textId="77777777" w:rsidR="00B409FA" w:rsidRPr="00BD2958" w:rsidRDefault="00B409FA" w:rsidP="00B409FA">
      <w:pPr>
        <w:rPr>
          <w:sz w:val="26"/>
          <w:szCs w:val="26"/>
        </w:rPr>
      </w:pPr>
    </w:p>
    <w:p w14:paraId="149A15D7" w14:textId="2761E4CA" w:rsidR="008F005F" w:rsidRPr="00BD2958" w:rsidRDefault="00AF427F" w:rsidP="00CA6AF7">
      <w:pPr>
        <w:tabs>
          <w:tab w:val="left" w:pos="-720"/>
        </w:tabs>
        <w:jc w:val="both"/>
        <w:rPr>
          <w:sz w:val="26"/>
          <w:szCs w:val="26"/>
        </w:rPr>
      </w:pPr>
      <w:r w:rsidRPr="00BD2958">
        <w:rPr>
          <w:sz w:val="26"/>
          <w:szCs w:val="26"/>
        </w:rPr>
        <w:t>Dear M</w:t>
      </w:r>
      <w:r w:rsidR="0021760E" w:rsidRPr="00BD2958">
        <w:rPr>
          <w:sz w:val="26"/>
          <w:szCs w:val="26"/>
        </w:rPr>
        <w:t>s</w:t>
      </w:r>
      <w:r w:rsidRPr="00BD2958">
        <w:rPr>
          <w:sz w:val="26"/>
          <w:szCs w:val="26"/>
        </w:rPr>
        <w:t xml:space="preserve">. </w:t>
      </w:r>
      <w:r w:rsidR="0021760E" w:rsidRPr="00BD2958">
        <w:rPr>
          <w:sz w:val="26"/>
          <w:szCs w:val="26"/>
        </w:rPr>
        <w:t>Farah</w:t>
      </w:r>
      <w:r w:rsidR="008F005F" w:rsidRPr="00BD2958">
        <w:rPr>
          <w:sz w:val="26"/>
          <w:szCs w:val="26"/>
        </w:rPr>
        <w:t>:</w:t>
      </w:r>
    </w:p>
    <w:p w14:paraId="76448BFB" w14:textId="77777777" w:rsidR="008F005F" w:rsidRPr="006F5789" w:rsidRDefault="008F005F">
      <w:pPr>
        <w:tabs>
          <w:tab w:val="left" w:pos="-720"/>
        </w:tabs>
        <w:ind w:left="216"/>
        <w:jc w:val="both"/>
        <w:rPr>
          <w:sz w:val="24"/>
          <w:szCs w:val="24"/>
        </w:rPr>
      </w:pPr>
    </w:p>
    <w:p w14:paraId="152755AB" w14:textId="16184B88" w:rsidR="009D4C59" w:rsidRDefault="009D4C59" w:rsidP="009D4C59">
      <w:pPr>
        <w:ind w:firstLine="720"/>
        <w:rPr>
          <w:sz w:val="26"/>
          <w:szCs w:val="26"/>
        </w:rPr>
      </w:pPr>
      <w:r w:rsidRPr="00F4682A">
        <w:rPr>
          <w:sz w:val="26"/>
          <w:szCs w:val="26"/>
        </w:rPr>
        <w:t xml:space="preserve">On </w:t>
      </w:r>
      <w:r>
        <w:rPr>
          <w:sz w:val="26"/>
          <w:szCs w:val="26"/>
        </w:rPr>
        <w:t>October</w:t>
      </w:r>
      <w:r w:rsidRPr="00F4682A">
        <w:rPr>
          <w:sz w:val="26"/>
          <w:szCs w:val="26"/>
        </w:rPr>
        <w:t xml:space="preserve"> </w:t>
      </w:r>
      <w:r>
        <w:rPr>
          <w:sz w:val="26"/>
          <w:szCs w:val="26"/>
        </w:rPr>
        <w:t>27</w:t>
      </w:r>
      <w:r w:rsidRPr="00F4682A">
        <w:rPr>
          <w:sz w:val="26"/>
          <w:szCs w:val="26"/>
        </w:rPr>
        <w:t>, 20</w:t>
      </w:r>
      <w:r>
        <w:rPr>
          <w:sz w:val="26"/>
          <w:szCs w:val="26"/>
        </w:rPr>
        <w:t>20</w:t>
      </w:r>
      <w:r w:rsidRPr="00F4682A">
        <w:rPr>
          <w:sz w:val="26"/>
          <w:szCs w:val="26"/>
        </w:rPr>
        <w:t xml:space="preserve">, </w:t>
      </w:r>
      <w:r w:rsidRPr="000B70EE">
        <w:rPr>
          <w:sz w:val="26"/>
          <w:szCs w:val="26"/>
        </w:rPr>
        <w:t xml:space="preserve">Duquesne Light Company (DLC) </w:t>
      </w:r>
      <w:r>
        <w:rPr>
          <w:sz w:val="26"/>
          <w:szCs w:val="26"/>
        </w:rPr>
        <w:t xml:space="preserve">filed, </w:t>
      </w:r>
      <w:r w:rsidRPr="009D112C">
        <w:rPr>
          <w:sz w:val="26"/>
          <w:szCs w:val="26"/>
        </w:rPr>
        <w:t>pursuant to Section 2102 of the</w:t>
      </w:r>
      <w:r>
        <w:rPr>
          <w:sz w:val="26"/>
          <w:szCs w:val="26"/>
        </w:rPr>
        <w:t xml:space="preserve"> </w:t>
      </w:r>
      <w:r w:rsidRPr="009D112C">
        <w:rPr>
          <w:sz w:val="26"/>
          <w:szCs w:val="26"/>
        </w:rPr>
        <w:t>Public Utility Code (Code), 66 Pa. C. S. § 2102</w:t>
      </w:r>
      <w:r>
        <w:rPr>
          <w:sz w:val="26"/>
          <w:szCs w:val="26"/>
        </w:rPr>
        <w:t>, a r</w:t>
      </w:r>
      <w:r w:rsidRPr="000B70EE">
        <w:rPr>
          <w:sz w:val="26"/>
          <w:szCs w:val="26"/>
        </w:rPr>
        <w:t xml:space="preserve">equest for </w:t>
      </w:r>
      <w:r>
        <w:rPr>
          <w:sz w:val="26"/>
          <w:szCs w:val="26"/>
        </w:rPr>
        <w:t>a</w:t>
      </w:r>
      <w:r w:rsidRPr="000B70EE">
        <w:rPr>
          <w:sz w:val="26"/>
          <w:szCs w:val="26"/>
        </w:rPr>
        <w:t>pproval of an</w:t>
      </w:r>
      <w:r>
        <w:rPr>
          <w:sz w:val="26"/>
          <w:szCs w:val="26"/>
        </w:rPr>
        <w:t xml:space="preserve"> </w:t>
      </w:r>
      <w:r w:rsidRPr="000B70EE">
        <w:rPr>
          <w:sz w:val="26"/>
          <w:szCs w:val="26"/>
        </w:rPr>
        <w:t xml:space="preserve">Amendment to the above-referenced Affiliated Interest Agreement </w:t>
      </w:r>
      <w:r>
        <w:rPr>
          <w:sz w:val="26"/>
          <w:szCs w:val="26"/>
        </w:rPr>
        <w:t xml:space="preserve">(Short-Term Borrowing Agreement) </w:t>
      </w:r>
      <w:r w:rsidRPr="000B70EE">
        <w:rPr>
          <w:sz w:val="26"/>
          <w:szCs w:val="26"/>
        </w:rPr>
        <w:t>with its parent company,</w:t>
      </w:r>
      <w:r>
        <w:rPr>
          <w:sz w:val="26"/>
          <w:szCs w:val="26"/>
        </w:rPr>
        <w:t xml:space="preserve"> </w:t>
      </w:r>
      <w:r w:rsidRPr="000B70EE">
        <w:rPr>
          <w:sz w:val="26"/>
          <w:szCs w:val="26"/>
        </w:rPr>
        <w:t xml:space="preserve">Duquesne Light Holdings Inc. (DLH), </w:t>
      </w:r>
      <w:r>
        <w:rPr>
          <w:sz w:val="26"/>
          <w:szCs w:val="26"/>
        </w:rPr>
        <w:t>to</w:t>
      </w:r>
      <w:r w:rsidRPr="000B70EE">
        <w:rPr>
          <w:sz w:val="26"/>
          <w:szCs w:val="26"/>
        </w:rPr>
        <w:t xml:space="preserve"> increas</w:t>
      </w:r>
      <w:r>
        <w:rPr>
          <w:sz w:val="26"/>
          <w:szCs w:val="26"/>
        </w:rPr>
        <w:t>e</w:t>
      </w:r>
      <w:r w:rsidRPr="000B70EE">
        <w:rPr>
          <w:sz w:val="26"/>
          <w:szCs w:val="26"/>
        </w:rPr>
        <w:t xml:space="preserve"> the borrowing</w:t>
      </w:r>
      <w:r>
        <w:rPr>
          <w:sz w:val="26"/>
          <w:szCs w:val="26"/>
        </w:rPr>
        <w:t xml:space="preserve"> limit</w:t>
      </w:r>
      <w:r w:rsidRPr="000B70EE">
        <w:rPr>
          <w:sz w:val="26"/>
          <w:szCs w:val="26"/>
        </w:rPr>
        <w:t xml:space="preserve"> from</w:t>
      </w:r>
      <w:r>
        <w:rPr>
          <w:sz w:val="26"/>
          <w:szCs w:val="26"/>
        </w:rPr>
        <w:t xml:space="preserve"> </w:t>
      </w:r>
      <w:r w:rsidRPr="000B70EE">
        <w:rPr>
          <w:sz w:val="26"/>
          <w:szCs w:val="26"/>
        </w:rPr>
        <w:t>$200 million to $300 million</w:t>
      </w:r>
      <w:r w:rsidRPr="00F4682A">
        <w:rPr>
          <w:sz w:val="26"/>
          <w:szCs w:val="26"/>
        </w:rPr>
        <w:t xml:space="preserve"> </w:t>
      </w:r>
      <w:r w:rsidRPr="00A94CB4">
        <w:rPr>
          <w:sz w:val="26"/>
          <w:szCs w:val="26"/>
        </w:rPr>
        <w:t>an</w:t>
      </w:r>
      <w:r>
        <w:rPr>
          <w:sz w:val="26"/>
          <w:szCs w:val="26"/>
        </w:rPr>
        <w:t>d</w:t>
      </w:r>
      <w:r w:rsidRPr="00A94CB4">
        <w:rPr>
          <w:sz w:val="26"/>
          <w:szCs w:val="26"/>
        </w:rPr>
        <w:t xml:space="preserve"> </w:t>
      </w:r>
      <w:r>
        <w:rPr>
          <w:sz w:val="26"/>
          <w:szCs w:val="26"/>
        </w:rPr>
        <w:t xml:space="preserve">to </w:t>
      </w:r>
      <w:r w:rsidRPr="00A94CB4">
        <w:rPr>
          <w:sz w:val="26"/>
          <w:szCs w:val="26"/>
        </w:rPr>
        <w:t xml:space="preserve">amend the interest rate of the </w:t>
      </w:r>
      <w:r>
        <w:rPr>
          <w:sz w:val="26"/>
          <w:szCs w:val="26"/>
        </w:rPr>
        <w:t>Short-Term Borrowing</w:t>
      </w:r>
      <w:r w:rsidRPr="00A94CB4">
        <w:rPr>
          <w:sz w:val="26"/>
          <w:szCs w:val="26"/>
        </w:rPr>
        <w:t xml:space="preserve"> Agreement from London Interbank Offered Rate (LIBOR) + 1.25% to LIBOR +</w:t>
      </w:r>
      <w:r>
        <w:rPr>
          <w:sz w:val="26"/>
          <w:szCs w:val="26"/>
        </w:rPr>
        <w:t xml:space="preserve"> </w:t>
      </w:r>
      <w:r w:rsidRPr="00A94CB4">
        <w:rPr>
          <w:sz w:val="26"/>
          <w:szCs w:val="26"/>
        </w:rPr>
        <w:t>0.875%</w:t>
      </w:r>
      <w:r>
        <w:rPr>
          <w:sz w:val="26"/>
          <w:szCs w:val="26"/>
        </w:rPr>
        <w:t xml:space="preserve">. </w:t>
      </w:r>
      <w:r w:rsidRPr="00A94CB4">
        <w:rPr>
          <w:sz w:val="26"/>
          <w:szCs w:val="26"/>
        </w:rPr>
        <w:t xml:space="preserve"> </w:t>
      </w:r>
      <w:r>
        <w:rPr>
          <w:sz w:val="26"/>
          <w:szCs w:val="26"/>
        </w:rPr>
        <w:t>DLC avers that a</w:t>
      </w:r>
      <w:r w:rsidRPr="00A94CB4">
        <w:rPr>
          <w:sz w:val="26"/>
          <w:szCs w:val="26"/>
        </w:rPr>
        <w:t>ll other</w:t>
      </w:r>
      <w:r>
        <w:rPr>
          <w:sz w:val="26"/>
          <w:szCs w:val="26"/>
        </w:rPr>
        <w:t xml:space="preserve"> </w:t>
      </w:r>
      <w:r w:rsidRPr="00A94CB4">
        <w:rPr>
          <w:sz w:val="26"/>
          <w:szCs w:val="26"/>
        </w:rPr>
        <w:t>specific terms of the loan will be unchanged.</w:t>
      </w:r>
    </w:p>
    <w:p w14:paraId="40AE96B2" w14:textId="04D7FC0A" w:rsidR="00687970" w:rsidRDefault="00687970">
      <w:pPr>
        <w:tabs>
          <w:tab w:val="left" w:pos="-720"/>
        </w:tabs>
        <w:ind w:left="216"/>
        <w:jc w:val="both"/>
        <w:rPr>
          <w:sz w:val="24"/>
          <w:szCs w:val="24"/>
        </w:rPr>
      </w:pPr>
    </w:p>
    <w:p w14:paraId="49B546BC" w14:textId="5EE419CC" w:rsidR="00B272E4" w:rsidRPr="00B272E4" w:rsidRDefault="00B272E4" w:rsidP="00B272E4">
      <w:pPr>
        <w:ind w:firstLine="720"/>
        <w:rPr>
          <w:sz w:val="26"/>
          <w:szCs w:val="26"/>
        </w:rPr>
      </w:pPr>
      <w:r w:rsidRPr="00B272E4">
        <w:rPr>
          <w:sz w:val="26"/>
          <w:szCs w:val="26"/>
        </w:rPr>
        <w:t xml:space="preserve">The currently effective Short-Term Borrowing Agreement was approved on May 3, 2010.  The Commission had </w:t>
      </w:r>
      <w:r w:rsidR="0070781F">
        <w:rPr>
          <w:sz w:val="26"/>
          <w:szCs w:val="26"/>
        </w:rPr>
        <w:t>original</w:t>
      </w:r>
      <w:r w:rsidRPr="00B272E4">
        <w:rPr>
          <w:sz w:val="26"/>
          <w:szCs w:val="26"/>
        </w:rPr>
        <w:t>ly approved a similar Short-Term Borrowing Agreement between DLC and DLH on December 12, 2008, at Docket No. G</w:t>
      </w:r>
      <w:r w:rsidRPr="00B272E4">
        <w:rPr>
          <w:sz w:val="26"/>
          <w:szCs w:val="26"/>
        </w:rPr>
        <w:noBreakHyphen/>
        <w:t>2008</w:t>
      </w:r>
      <w:r w:rsidRPr="00B272E4">
        <w:rPr>
          <w:sz w:val="26"/>
          <w:szCs w:val="26"/>
        </w:rPr>
        <w:noBreakHyphen/>
        <w:t>2060987, which was for short-term borrowings not to exceed $100 million.</w:t>
      </w:r>
    </w:p>
    <w:p w14:paraId="4A6767C6" w14:textId="77777777" w:rsidR="00B272E4" w:rsidRPr="00B272E4" w:rsidRDefault="00B272E4" w:rsidP="00B272E4">
      <w:pPr>
        <w:ind w:firstLine="720"/>
        <w:rPr>
          <w:sz w:val="26"/>
          <w:szCs w:val="26"/>
        </w:rPr>
      </w:pPr>
    </w:p>
    <w:p w14:paraId="4D156AF3" w14:textId="36C5ED74" w:rsidR="009960DD" w:rsidRDefault="009960DD" w:rsidP="009960DD">
      <w:pPr>
        <w:ind w:firstLine="720"/>
        <w:rPr>
          <w:sz w:val="26"/>
          <w:szCs w:val="26"/>
        </w:rPr>
      </w:pPr>
      <w:r>
        <w:rPr>
          <w:sz w:val="26"/>
          <w:szCs w:val="26"/>
        </w:rPr>
        <w:t xml:space="preserve">DLC </w:t>
      </w:r>
      <w:r w:rsidR="003E3E9C">
        <w:rPr>
          <w:sz w:val="26"/>
          <w:szCs w:val="26"/>
        </w:rPr>
        <w:t>state</w:t>
      </w:r>
      <w:r>
        <w:rPr>
          <w:sz w:val="26"/>
          <w:szCs w:val="26"/>
        </w:rPr>
        <w:t xml:space="preserve">s that the </w:t>
      </w:r>
      <w:r w:rsidR="00C01D6E">
        <w:rPr>
          <w:sz w:val="26"/>
          <w:szCs w:val="26"/>
        </w:rPr>
        <w:t xml:space="preserve">increased </w:t>
      </w:r>
      <w:r>
        <w:rPr>
          <w:sz w:val="26"/>
          <w:szCs w:val="26"/>
        </w:rPr>
        <w:t>b</w:t>
      </w:r>
      <w:r w:rsidRPr="00313154">
        <w:rPr>
          <w:sz w:val="26"/>
          <w:szCs w:val="26"/>
        </w:rPr>
        <w:t>orrowing</w:t>
      </w:r>
      <w:r w:rsidR="00C01D6E">
        <w:rPr>
          <w:sz w:val="26"/>
          <w:szCs w:val="26"/>
        </w:rPr>
        <w:t xml:space="preserve"> limit</w:t>
      </w:r>
      <w:r>
        <w:rPr>
          <w:sz w:val="26"/>
          <w:szCs w:val="26"/>
        </w:rPr>
        <w:t xml:space="preserve"> </w:t>
      </w:r>
      <w:r w:rsidR="00A5250D" w:rsidRPr="000B70EE">
        <w:rPr>
          <w:sz w:val="26"/>
          <w:szCs w:val="26"/>
        </w:rPr>
        <w:t>from</w:t>
      </w:r>
      <w:r w:rsidR="00A5250D">
        <w:rPr>
          <w:sz w:val="26"/>
          <w:szCs w:val="26"/>
        </w:rPr>
        <w:t xml:space="preserve"> </w:t>
      </w:r>
      <w:r w:rsidR="00A5250D" w:rsidRPr="000B70EE">
        <w:rPr>
          <w:sz w:val="26"/>
          <w:szCs w:val="26"/>
        </w:rPr>
        <w:t>$200 million to $300 million</w:t>
      </w:r>
      <w:r w:rsidR="00A5250D" w:rsidRPr="00F4682A">
        <w:rPr>
          <w:sz w:val="26"/>
          <w:szCs w:val="26"/>
        </w:rPr>
        <w:t xml:space="preserve"> </w:t>
      </w:r>
      <w:r>
        <w:rPr>
          <w:sz w:val="26"/>
          <w:szCs w:val="26"/>
        </w:rPr>
        <w:t>will be used</w:t>
      </w:r>
      <w:r w:rsidRPr="00313154">
        <w:rPr>
          <w:sz w:val="26"/>
          <w:szCs w:val="26"/>
        </w:rPr>
        <w:t xml:space="preserve"> to support construction and general corporate needs and provide</w:t>
      </w:r>
      <w:r>
        <w:rPr>
          <w:sz w:val="26"/>
          <w:szCs w:val="26"/>
        </w:rPr>
        <w:t xml:space="preserve"> </w:t>
      </w:r>
      <w:r w:rsidRPr="00313154">
        <w:rPr>
          <w:sz w:val="26"/>
          <w:szCs w:val="26"/>
        </w:rPr>
        <w:t xml:space="preserve">DLC </w:t>
      </w:r>
      <w:r w:rsidR="009B6FDA">
        <w:rPr>
          <w:sz w:val="26"/>
          <w:szCs w:val="26"/>
        </w:rPr>
        <w:t xml:space="preserve">with </w:t>
      </w:r>
      <w:r w:rsidRPr="00313154">
        <w:rPr>
          <w:sz w:val="26"/>
          <w:szCs w:val="26"/>
        </w:rPr>
        <w:t>greater flexibility in timing debt issuances in the capital markets to obtain more</w:t>
      </w:r>
      <w:r>
        <w:rPr>
          <w:sz w:val="26"/>
          <w:szCs w:val="26"/>
        </w:rPr>
        <w:t xml:space="preserve"> </w:t>
      </w:r>
      <w:r w:rsidRPr="00313154">
        <w:rPr>
          <w:sz w:val="26"/>
          <w:szCs w:val="26"/>
        </w:rPr>
        <w:t>favorable terms and an overall lower cost of capital.</w:t>
      </w:r>
      <w:r>
        <w:rPr>
          <w:sz w:val="26"/>
          <w:szCs w:val="26"/>
        </w:rPr>
        <w:t xml:space="preserve">  </w:t>
      </w:r>
      <w:r w:rsidR="009B6FDA">
        <w:rPr>
          <w:sz w:val="26"/>
          <w:szCs w:val="26"/>
        </w:rPr>
        <w:t>DLC forecasts that its c</w:t>
      </w:r>
      <w:r w:rsidRPr="00674183">
        <w:rPr>
          <w:sz w:val="26"/>
          <w:szCs w:val="26"/>
        </w:rPr>
        <w:t xml:space="preserve">apital expenditures </w:t>
      </w:r>
      <w:r w:rsidR="00A51606" w:rsidRPr="00674183">
        <w:rPr>
          <w:sz w:val="26"/>
          <w:szCs w:val="26"/>
        </w:rPr>
        <w:t>from 2021 to 2024</w:t>
      </w:r>
      <w:r w:rsidR="00A51606">
        <w:rPr>
          <w:sz w:val="26"/>
          <w:szCs w:val="26"/>
        </w:rPr>
        <w:t xml:space="preserve"> </w:t>
      </w:r>
      <w:r w:rsidR="009B6FDA">
        <w:rPr>
          <w:sz w:val="26"/>
          <w:szCs w:val="26"/>
        </w:rPr>
        <w:t>will</w:t>
      </w:r>
      <w:r w:rsidRPr="00674183">
        <w:rPr>
          <w:sz w:val="26"/>
          <w:szCs w:val="26"/>
        </w:rPr>
        <w:t xml:space="preserve"> average approximately $360 million per year</w:t>
      </w:r>
      <w:r>
        <w:rPr>
          <w:sz w:val="26"/>
          <w:szCs w:val="26"/>
        </w:rPr>
        <w:t>.</w:t>
      </w:r>
    </w:p>
    <w:p w14:paraId="08F805EB" w14:textId="16081C43" w:rsidR="004B43A1" w:rsidRDefault="004B43A1" w:rsidP="00097E9F">
      <w:pPr>
        <w:ind w:firstLine="720"/>
        <w:rPr>
          <w:sz w:val="26"/>
          <w:szCs w:val="26"/>
        </w:rPr>
      </w:pPr>
    </w:p>
    <w:p w14:paraId="57BC102D" w14:textId="797C3635" w:rsidR="00B32C73" w:rsidRDefault="00097E9F" w:rsidP="00AB629A">
      <w:pPr>
        <w:ind w:firstLine="720"/>
        <w:rPr>
          <w:sz w:val="26"/>
          <w:szCs w:val="26"/>
        </w:rPr>
      </w:pPr>
      <w:r w:rsidRPr="0077180C">
        <w:rPr>
          <w:sz w:val="26"/>
          <w:szCs w:val="26"/>
        </w:rPr>
        <w:t xml:space="preserve">Upon review of the filing, it does not appear that the arrangement is unreasonable </w:t>
      </w:r>
      <w:r w:rsidR="00B21F3F">
        <w:rPr>
          <w:sz w:val="26"/>
          <w:szCs w:val="26"/>
        </w:rPr>
        <w:t>or</w:t>
      </w:r>
      <w:r w:rsidRPr="0077180C">
        <w:rPr>
          <w:sz w:val="26"/>
          <w:szCs w:val="26"/>
        </w:rPr>
        <w:t xml:space="preserve"> contrary to the public interest.  Therefore, this filing is approved as requested.  However, approval of this filing does not constitute a determination that such a filing is consistent with the public interest, and that the associated costs are reasonable or prudent </w:t>
      </w:r>
      <w:r w:rsidRPr="0077180C">
        <w:rPr>
          <w:sz w:val="26"/>
          <w:szCs w:val="26"/>
        </w:rPr>
        <w:lastRenderedPageBreak/>
        <w:t>for the purposes of determining just and reasonable rates.  Furthermore, the Commission’s approval is contingent upon the possibility that subsequent audits, reviews, and inquiry, in any Commission proceeding, may be conducted, pursuant to 66 Pa. C.S. §§ 210</w:t>
      </w:r>
      <w:r w:rsidR="00B21F3F">
        <w:rPr>
          <w:sz w:val="26"/>
          <w:szCs w:val="26"/>
        </w:rPr>
        <w:t>1</w:t>
      </w:r>
      <w:r w:rsidR="003D03E5">
        <w:rPr>
          <w:sz w:val="26"/>
          <w:szCs w:val="26"/>
        </w:rPr>
        <w:t>—</w:t>
      </w:r>
      <w:r w:rsidR="00ED1563">
        <w:rPr>
          <w:sz w:val="26"/>
          <w:szCs w:val="26"/>
        </w:rPr>
        <w:t>2106</w:t>
      </w:r>
      <w:r w:rsidRPr="0077180C">
        <w:rPr>
          <w:sz w:val="26"/>
          <w:szCs w:val="26"/>
        </w:rPr>
        <w:t xml:space="preserve">, </w:t>
      </w:r>
      <w:r w:rsidRPr="0077180C">
        <w:rPr>
          <w:i/>
          <w:sz w:val="26"/>
          <w:szCs w:val="26"/>
        </w:rPr>
        <w:t>et seq</w:t>
      </w:r>
      <w:r w:rsidRPr="0077180C">
        <w:rPr>
          <w:sz w:val="26"/>
          <w:szCs w:val="26"/>
        </w:rPr>
        <w:t>.</w:t>
      </w:r>
      <w:r w:rsidR="003D03E5">
        <w:rPr>
          <w:sz w:val="26"/>
          <w:szCs w:val="26"/>
        </w:rPr>
        <w:t xml:space="preserve"> </w:t>
      </w:r>
      <w:r w:rsidR="00721306">
        <w:rPr>
          <w:sz w:val="26"/>
          <w:szCs w:val="26"/>
        </w:rPr>
        <w:t xml:space="preserve"> </w:t>
      </w:r>
      <w:r w:rsidRPr="0077180C">
        <w:rPr>
          <w:sz w:val="26"/>
          <w:szCs w:val="26"/>
        </w:rPr>
        <w:t xml:space="preserve">In addition, this approval will apply only to the agreement, services, matters, and parties specifically and clearly defined under this instant filing as well as any associated and previously filed </w:t>
      </w:r>
      <w:r w:rsidR="00ED1563">
        <w:rPr>
          <w:sz w:val="26"/>
          <w:szCs w:val="26"/>
        </w:rPr>
        <w:t xml:space="preserve">documents. </w:t>
      </w:r>
    </w:p>
    <w:p w14:paraId="39623B54" w14:textId="77777777" w:rsidR="00A64D9F" w:rsidRPr="006F5789" w:rsidRDefault="00A64D9F" w:rsidP="006E0D68">
      <w:pPr>
        <w:tabs>
          <w:tab w:val="left" w:pos="-720"/>
        </w:tabs>
        <w:ind w:firstLine="720"/>
        <w:jc w:val="both"/>
        <w:rPr>
          <w:sz w:val="24"/>
          <w:szCs w:val="24"/>
        </w:rPr>
      </w:pPr>
    </w:p>
    <w:p w14:paraId="47208843" w14:textId="0B0C6A1F" w:rsidR="00B32C73" w:rsidRPr="00C35902" w:rsidRDefault="00B32C73" w:rsidP="002F4212">
      <w:pPr>
        <w:tabs>
          <w:tab w:val="left" w:pos="-720"/>
        </w:tabs>
        <w:ind w:left="216"/>
        <w:jc w:val="both"/>
        <w:rPr>
          <w:sz w:val="24"/>
          <w:szCs w:val="24"/>
        </w:rPr>
      </w:pPr>
      <w:r w:rsidRPr="00C35902">
        <w:rPr>
          <w:sz w:val="24"/>
          <w:szCs w:val="24"/>
        </w:rPr>
        <w:tab/>
      </w:r>
    </w:p>
    <w:p w14:paraId="46183ED8" w14:textId="764FEA3F" w:rsidR="008F005F" w:rsidRPr="00C35902" w:rsidRDefault="008F005F">
      <w:pPr>
        <w:tabs>
          <w:tab w:val="left" w:pos="-720"/>
        </w:tabs>
        <w:ind w:left="216"/>
        <w:rPr>
          <w:sz w:val="24"/>
        </w:rPr>
      </w:pPr>
    </w:p>
    <w:p w14:paraId="2B2FC068" w14:textId="5FEFBB60" w:rsidR="008F005F" w:rsidRPr="00C35902" w:rsidRDefault="001A18C2">
      <w:pPr>
        <w:tabs>
          <w:tab w:val="left" w:pos="-720"/>
        </w:tabs>
        <w:ind w:left="216"/>
        <w:jc w:val="both"/>
        <w:rPr>
          <w:sz w:val="24"/>
        </w:rPr>
      </w:pPr>
      <w:r w:rsidRPr="009F01BA">
        <w:rPr>
          <w:b/>
          <w:noProof/>
        </w:rPr>
        <w:drawing>
          <wp:anchor distT="0" distB="0" distL="114300" distR="114300" simplePos="0" relativeHeight="251659264" behindDoc="1" locked="0" layoutInCell="1" allowOverlap="1" wp14:anchorId="76FD18D4" wp14:editId="65510363">
            <wp:simplePos x="0" y="0"/>
            <wp:positionH relativeFrom="column">
              <wp:posOffset>2419350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F005F" w:rsidRPr="00C35902">
        <w:rPr>
          <w:sz w:val="24"/>
        </w:rPr>
        <w:tab/>
      </w:r>
      <w:r w:rsidR="008F005F" w:rsidRPr="00C35902">
        <w:rPr>
          <w:sz w:val="24"/>
        </w:rPr>
        <w:tab/>
      </w:r>
      <w:r w:rsidR="008F005F" w:rsidRPr="00C35902">
        <w:rPr>
          <w:sz w:val="24"/>
        </w:rPr>
        <w:tab/>
      </w:r>
      <w:r w:rsidR="008F005F" w:rsidRPr="00C35902">
        <w:rPr>
          <w:sz w:val="24"/>
        </w:rPr>
        <w:tab/>
      </w:r>
      <w:r w:rsidR="008F005F" w:rsidRPr="00C35902">
        <w:rPr>
          <w:sz w:val="24"/>
        </w:rPr>
        <w:tab/>
      </w:r>
      <w:r w:rsidR="008F005F" w:rsidRPr="00C35902">
        <w:rPr>
          <w:sz w:val="24"/>
        </w:rPr>
        <w:tab/>
        <w:t>Very truly yours,</w:t>
      </w:r>
    </w:p>
    <w:p w14:paraId="61F52AC0" w14:textId="35A3DDA4" w:rsidR="008F005F" w:rsidRPr="00C35902" w:rsidRDefault="008F005F">
      <w:pPr>
        <w:tabs>
          <w:tab w:val="left" w:pos="-720"/>
        </w:tabs>
        <w:ind w:left="90"/>
        <w:jc w:val="both"/>
        <w:rPr>
          <w:sz w:val="24"/>
        </w:rPr>
      </w:pPr>
    </w:p>
    <w:p w14:paraId="1575E0D8" w14:textId="1024697E" w:rsidR="008F005F" w:rsidRPr="00C35902" w:rsidRDefault="008F005F">
      <w:pPr>
        <w:tabs>
          <w:tab w:val="left" w:pos="-720"/>
        </w:tabs>
        <w:ind w:left="216"/>
        <w:jc w:val="both"/>
        <w:rPr>
          <w:sz w:val="24"/>
        </w:rPr>
      </w:pPr>
    </w:p>
    <w:p w14:paraId="663F70D2" w14:textId="77777777" w:rsidR="008F005F" w:rsidRPr="00C35902" w:rsidRDefault="008F005F">
      <w:pPr>
        <w:tabs>
          <w:tab w:val="left" w:pos="-720"/>
        </w:tabs>
        <w:ind w:left="216"/>
        <w:jc w:val="both"/>
        <w:rPr>
          <w:sz w:val="24"/>
        </w:rPr>
      </w:pPr>
    </w:p>
    <w:p w14:paraId="2AD80487" w14:textId="77777777" w:rsidR="008F005F" w:rsidRPr="00C35902" w:rsidRDefault="008F005F">
      <w:pPr>
        <w:tabs>
          <w:tab w:val="left" w:pos="-720"/>
        </w:tabs>
        <w:ind w:left="216"/>
        <w:jc w:val="both"/>
        <w:rPr>
          <w:sz w:val="24"/>
        </w:rPr>
      </w:pPr>
      <w:r w:rsidRPr="00C35902">
        <w:rPr>
          <w:sz w:val="24"/>
        </w:rPr>
        <w:tab/>
      </w:r>
      <w:r w:rsidRPr="00C35902">
        <w:rPr>
          <w:sz w:val="24"/>
        </w:rPr>
        <w:tab/>
      </w:r>
      <w:r w:rsidRPr="00C35902">
        <w:rPr>
          <w:sz w:val="24"/>
        </w:rPr>
        <w:tab/>
      </w:r>
      <w:r w:rsidRPr="00C35902">
        <w:rPr>
          <w:sz w:val="24"/>
        </w:rPr>
        <w:tab/>
      </w:r>
      <w:r w:rsidRPr="00C35902">
        <w:rPr>
          <w:sz w:val="24"/>
        </w:rPr>
        <w:tab/>
      </w:r>
      <w:r w:rsidRPr="00C35902">
        <w:rPr>
          <w:sz w:val="24"/>
        </w:rPr>
        <w:tab/>
      </w:r>
      <w:r w:rsidR="00F071C8">
        <w:rPr>
          <w:sz w:val="24"/>
        </w:rPr>
        <w:t>Rosemary Chiavetta</w:t>
      </w:r>
    </w:p>
    <w:p w14:paraId="776CD248" w14:textId="18CD6A20" w:rsidR="008F005F" w:rsidRPr="00CE3656" w:rsidRDefault="008F005F" w:rsidP="00CE3656">
      <w:pPr>
        <w:tabs>
          <w:tab w:val="left" w:pos="-720"/>
        </w:tabs>
        <w:ind w:left="216"/>
        <w:jc w:val="both"/>
        <w:rPr>
          <w:sz w:val="24"/>
        </w:rPr>
      </w:pPr>
      <w:r w:rsidRPr="00C35902">
        <w:rPr>
          <w:sz w:val="24"/>
        </w:rPr>
        <w:tab/>
      </w:r>
      <w:r w:rsidRPr="00C35902">
        <w:rPr>
          <w:sz w:val="24"/>
        </w:rPr>
        <w:tab/>
      </w:r>
      <w:r w:rsidRPr="00C35902">
        <w:rPr>
          <w:sz w:val="24"/>
        </w:rPr>
        <w:tab/>
      </w:r>
      <w:r w:rsidRPr="00C35902">
        <w:rPr>
          <w:sz w:val="24"/>
        </w:rPr>
        <w:tab/>
      </w:r>
      <w:r w:rsidRPr="00C35902">
        <w:rPr>
          <w:sz w:val="24"/>
        </w:rPr>
        <w:tab/>
      </w:r>
      <w:r w:rsidRPr="00C35902">
        <w:rPr>
          <w:sz w:val="24"/>
        </w:rPr>
        <w:tab/>
        <w:t>Secretary</w:t>
      </w:r>
    </w:p>
    <w:p w14:paraId="24CC14BC" w14:textId="77777777" w:rsidR="008F005F" w:rsidRPr="00C35902" w:rsidRDefault="008F005F">
      <w:pPr>
        <w:tabs>
          <w:tab w:val="left" w:pos="-720"/>
        </w:tabs>
        <w:ind w:left="216"/>
        <w:jc w:val="both"/>
        <w:rPr>
          <w:sz w:val="24"/>
        </w:rPr>
      </w:pPr>
    </w:p>
    <w:sectPr w:rsidR="008F005F" w:rsidRPr="00C35902" w:rsidSect="00147724">
      <w:type w:val="continuous"/>
      <w:pgSz w:w="12240" w:h="15840"/>
      <w:pgMar w:top="5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10B5B" w14:textId="77777777" w:rsidR="00721DAC" w:rsidRDefault="00721DAC">
      <w:r>
        <w:separator/>
      </w:r>
    </w:p>
  </w:endnote>
  <w:endnote w:type="continuationSeparator" w:id="0">
    <w:p w14:paraId="35E2CEBB" w14:textId="77777777" w:rsidR="00721DAC" w:rsidRDefault="0072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82FD1" w14:textId="77777777" w:rsidR="00721DAC" w:rsidRDefault="00721DAC">
      <w:r>
        <w:separator/>
      </w:r>
    </w:p>
  </w:footnote>
  <w:footnote w:type="continuationSeparator" w:id="0">
    <w:p w14:paraId="256BAC5D" w14:textId="77777777" w:rsidR="00721DAC" w:rsidRDefault="0072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51A52"/>
    <w:rsid w:val="00052203"/>
    <w:rsid w:val="00065D9C"/>
    <w:rsid w:val="00077425"/>
    <w:rsid w:val="0009488B"/>
    <w:rsid w:val="00095D67"/>
    <w:rsid w:val="00097E9F"/>
    <w:rsid w:val="00123021"/>
    <w:rsid w:val="00147724"/>
    <w:rsid w:val="00150330"/>
    <w:rsid w:val="001540C6"/>
    <w:rsid w:val="001714DA"/>
    <w:rsid w:val="001A18C2"/>
    <w:rsid w:val="001D0065"/>
    <w:rsid w:val="001F58F8"/>
    <w:rsid w:val="0021760E"/>
    <w:rsid w:val="0021767D"/>
    <w:rsid w:val="00263660"/>
    <w:rsid w:val="00273EFB"/>
    <w:rsid w:val="0027682C"/>
    <w:rsid w:val="002E3586"/>
    <w:rsid w:val="002E3CE1"/>
    <w:rsid w:val="002F4212"/>
    <w:rsid w:val="00333596"/>
    <w:rsid w:val="00333B74"/>
    <w:rsid w:val="0036152B"/>
    <w:rsid w:val="003C161D"/>
    <w:rsid w:val="003D03E5"/>
    <w:rsid w:val="003E3E9C"/>
    <w:rsid w:val="0041790E"/>
    <w:rsid w:val="00444C65"/>
    <w:rsid w:val="00453C1D"/>
    <w:rsid w:val="00482C1F"/>
    <w:rsid w:val="00490BB4"/>
    <w:rsid w:val="004A6CA3"/>
    <w:rsid w:val="004B43A1"/>
    <w:rsid w:val="004C35C7"/>
    <w:rsid w:val="00507373"/>
    <w:rsid w:val="0054302E"/>
    <w:rsid w:val="00557208"/>
    <w:rsid w:val="005709B1"/>
    <w:rsid w:val="00597569"/>
    <w:rsid w:val="005D16C0"/>
    <w:rsid w:val="005D378C"/>
    <w:rsid w:val="005E18A8"/>
    <w:rsid w:val="005E7BEB"/>
    <w:rsid w:val="00654BDD"/>
    <w:rsid w:val="006725A6"/>
    <w:rsid w:val="006729FA"/>
    <w:rsid w:val="00687970"/>
    <w:rsid w:val="006B50FB"/>
    <w:rsid w:val="006B67F4"/>
    <w:rsid w:val="006E0D68"/>
    <w:rsid w:val="006F5789"/>
    <w:rsid w:val="0070781F"/>
    <w:rsid w:val="00721306"/>
    <w:rsid w:val="00721DAC"/>
    <w:rsid w:val="007222D0"/>
    <w:rsid w:val="00743F02"/>
    <w:rsid w:val="00745752"/>
    <w:rsid w:val="00763E60"/>
    <w:rsid w:val="00773E93"/>
    <w:rsid w:val="00786663"/>
    <w:rsid w:val="007B50CB"/>
    <w:rsid w:val="007E147A"/>
    <w:rsid w:val="00807D00"/>
    <w:rsid w:val="00820F57"/>
    <w:rsid w:val="008540D1"/>
    <w:rsid w:val="00873885"/>
    <w:rsid w:val="008F005F"/>
    <w:rsid w:val="008F7B96"/>
    <w:rsid w:val="00901325"/>
    <w:rsid w:val="00952CEB"/>
    <w:rsid w:val="00962ED8"/>
    <w:rsid w:val="009960DD"/>
    <w:rsid w:val="009A682B"/>
    <w:rsid w:val="009B6FDA"/>
    <w:rsid w:val="009D4C59"/>
    <w:rsid w:val="009D67A5"/>
    <w:rsid w:val="00A40128"/>
    <w:rsid w:val="00A51606"/>
    <w:rsid w:val="00A5250D"/>
    <w:rsid w:val="00A53061"/>
    <w:rsid w:val="00A64D9F"/>
    <w:rsid w:val="00A65F01"/>
    <w:rsid w:val="00AA6C2A"/>
    <w:rsid w:val="00AB629A"/>
    <w:rsid w:val="00AC28DA"/>
    <w:rsid w:val="00AF427F"/>
    <w:rsid w:val="00B21F3F"/>
    <w:rsid w:val="00B272E4"/>
    <w:rsid w:val="00B32C73"/>
    <w:rsid w:val="00B36B3E"/>
    <w:rsid w:val="00B409FA"/>
    <w:rsid w:val="00B508E4"/>
    <w:rsid w:val="00B55594"/>
    <w:rsid w:val="00B61AF4"/>
    <w:rsid w:val="00B624EC"/>
    <w:rsid w:val="00BC1358"/>
    <w:rsid w:val="00BD2958"/>
    <w:rsid w:val="00C01D6E"/>
    <w:rsid w:val="00C35902"/>
    <w:rsid w:val="00C60AAB"/>
    <w:rsid w:val="00C74FB4"/>
    <w:rsid w:val="00CA6AF7"/>
    <w:rsid w:val="00CC685A"/>
    <w:rsid w:val="00CE3656"/>
    <w:rsid w:val="00D02A8A"/>
    <w:rsid w:val="00D77086"/>
    <w:rsid w:val="00DD6D51"/>
    <w:rsid w:val="00E12ADE"/>
    <w:rsid w:val="00E14DA1"/>
    <w:rsid w:val="00E37ABD"/>
    <w:rsid w:val="00E86BCC"/>
    <w:rsid w:val="00ED1563"/>
    <w:rsid w:val="00F005F6"/>
    <w:rsid w:val="00F071C8"/>
    <w:rsid w:val="00F10B0D"/>
    <w:rsid w:val="00F26428"/>
    <w:rsid w:val="00F32CBE"/>
    <w:rsid w:val="00F7307A"/>
    <w:rsid w:val="00F746BD"/>
    <w:rsid w:val="00F974D9"/>
    <w:rsid w:val="00FF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2CBB2AF"/>
  <w15:docId w15:val="{31482CF0-6E06-4618-B851-45EA4B32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300735">
      <w:bodyDiv w:val="1"/>
      <w:marLeft w:val="0"/>
      <w:marRight w:val="0"/>
      <w:marTop w:val="0"/>
      <w:marBottom w:val="0"/>
      <w:divBdr>
        <w:top w:val="none" w:sz="0" w:space="0" w:color="auto"/>
        <w:left w:val="none" w:sz="0" w:space="0" w:color="auto"/>
        <w:bottom w:val="none" w:sz="0" w:space="0" w:color="auto"/>
        <w:right w:val="none" w:sz="0" w:space="0" w:color="auto"/>
      </w:divBdr>
    </w:div>
    <w:div w:id="175354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PLATZER</dc:creator>
  <cp:keywords/>
  <dc:description/>
  <cp:lastModifiedBy>Sheffer, Ryan</cp:lastModifiedBy>
  <cp:revision>40</cp:revision>
  <cp:lastPrinted>2010-05-03T15:52:00Z</cp:lastPrinted>
  <dcterms:created xsi:type="dcterms:W3CDTF">2021-02-05T15:38:00Z</dcterms:created>
  <dcterms:modified xsi:type="dcterms:W3CDTF">2021-02-22T18:04:00Z</dcterms:modified>
</cp:coreProperties>
</file>