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F42C6" w14:textId="27141F9F"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BEFORE THE</w:t>
      </w:r>
    </w:p>
    <w:p w14:paraId="3C8187B6" w14:textId="77777777"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PENNSYLVANIA PUBLIC UTILITY COMMISSION</w:t>
      </w:r>
    </w:p>
    <w:p w14:paraId="50402C87" w14:textId="77777777" w:rsidR="004C36A6" w:rsidRPr="001F0E8C" w:rsidRDefault="004C36A6" w:rsidP="004C36A6">
      <w:pPr>
        <w:tabs>
          <w:tab w:val="left" w:pos="2160"/>
        </w:tabs>
        <w:outlineLvl w:val="0"/>
        <w:rPr>
          <w:rFonts w:ascii="Times New Roman" w:hAnsi="Times New Roman"/>
          <w:szCs w:val="24"/>
        </w:rPr>
      </w:pPr>
    </w:p>
    <w:p w14:paraId="48F927F6" w14:textId="77777777" w:rsidR="00942D05" w:rsidRPr="001F0E8C" w:rsidRDefault="00942D05" w:rsidP="003653EB">
      <w:pPr>
        <w:tabs>
          <w:tab w:val="left" w:pos="2160"/>
        </w:tabs>
        <w:rPr>
          <w:rFonts w:ascii="Times New Roman" w:hAnsi="Times New Roman"/>
          <w:szCs w:val="24"/>
        </w:rPr>
      </w:pPr>
    </w:p>
    <w:p w14:paraId="197ED7F2" w14:textId="77777777" w:rsidR="00942D05" w:rsidRPr="001F0E8C" w:rsidRDefault="00942D05" w:rsidP="003653EB">
      <w:pPr>
        <w:tabs>
          <w:tab w:val="left" w:pos="2160"/>
        </w:tabs>
        <w:rPr>
          <w:rFonts w:ascii="Times New Roman" w:hAnsi="Times New Roman"/>
          <w:szCs w:val="24"/>
        </w:rPr>
      </w:pPr>
    </w:p>
    <w:p w14:paraId="322F0EA5" w14:textId="22383505" w:rsidR="00723099" w:rsidRPr="00857B94" w:rsidRDefault="00E732F3" w:rsidP="00723099">
      <w:pPr>
        <w:tabs>
          <w:tab w:val="left" w:pos="5040"/>
        </w:tabs>
        <w:rPr>
          <w:rFonts w:ascii="Times New Roman" w:hAnsi="Times New Roman"/>
          <w:szCs w:val="24"/>
        </w:rPr>
      </w:pPr>
      <w:r w:rsidRPr="00865B7A">
        <w:rPr>
          <w:rFonts w:ascii="Times New Roman" w:hAnsi="Times New Roman"/>
          <w:szCs w:val="24"/>
        </w:rPr>
        <w:t>Joseph</w:t>
      </w:r>
      <w:r w:rsidRPr="00E732F3">
        <w:rPr>
          <w:rFonts w:ascii="Times New Roman" w:hAnsi="Times New Roman"/>
          <w:caps/>
          <w:szCs w:val="24"/>
        </w:rPr>
        <w:t xml:space="preserve"> </w:t>
      </w:r>
      <w:r w:rsidR="00865B7A">
        <w:rPr>
          <w:rFonts w:ascii="Times New Roman" w:hAnsi="Times New Roman"/>
          <w:szCs w:val="24"/>
        </w:rPr>
        <w:t xml:space="preserve">and Patricia </w:t>
      </w:r>
      <w:proofErr w:type="spellStart"/>
      <w:r w:rsidR="00865B7A">
        <w:rPr>
          <w:rFonts w:ascii="Times New Roman" w:hAnsi="Times New Roman"/>
          <w:szCs w:val="24"/>
        </w:rPr>
        <w:t>Gans</w:t>
      </w:r>
      <w:proofErr w:type="spellEnd"/>
      <w:r w:rsidR="00723099" w:rsidRPr="00857B94">
        <w:rPr>
          <w:rFonts w:ascii="Times New Roman" w:hAnsi="Times New Roman"/>
          <w:caps/>
          <w:szCs w:val="24"/>
        </w:rPr>
        <w:tab/>
      </w:r>
      <w:r w:rsidR="00723099" w:rsidRPr="00857B94">
        <w:rPr>
          <w:rFonts w:ascii="Times New Roman" w:hAnsi="Times New Roman"/>
          <w:szCs w:val="24"/>
        </w:rPr>
        <w:t>:</w:t>
      </w:r>
    </w:p>
    <w:p w14:paraId="52519E77" w14:textId="77777777" w:rsidR="00723099" w:rsidRPr="00857B94" w:rsidRDefault="00723099" w:rsidP="00723099">
      <w:pPr>
        <w:tabs>
          <w:tab w:val="left" w:pos="5040"/>
        </w:tabs>
        <w:rPr>
          <w:rFonts w:ascii="Times New Roman" w:hAnsi="Times New Roman"/>
          <w:szCs w:val="24"/>
        </w:rPr>
      </w:pPr>
      <w:r w:rsidRPr="00857B94">
        <w:rPr>
          <w:rFonts w:ascii="Times New Roman" w:hAnsi="Times New Roman"/>
          <w:szCs w:val="24"/>
        </w:rPr>
        <w:tab/>
        <w:t>:</w:t>
      </w:r>
    </w:p>
    <w:p w14:paraId="203922DC" w14:textId="045EA8EB" w:rsidR="00723099" w:rsidRPr="00857B94" w:rsidRDefault="00723099" w:rsidP="00723099">
      <w:pPr>
        <w:tabs>
          <w:tab w:val="left" w:pos="5040"/>
          <w:tab w:val="left" w:pos="6480"/>
        </w:tabs>
        <w:ind w:firstLine="720"/>
        <w:rPr>
          <w:rFonts w:ascii="Times New Roman" w:hAnsi="Times New Roman"/>
          <w:szCs w:val="24"/>
        </w:rPr>
      </w:pPr>
      <w:r w:rsidRPr="00857B94">
        <w:rPr>
          <w:rFonts w:ascii="Times New Roman" w:hAnsi="Times New Roman"/>
          <w:szCs w:val="24"/>
        </w:rPr>
        <w:t>v.</w:t>
      </w:r>
      <w:r w:rsidRPr="00857B94">
        <w:rPr>
          <w:rFonts w:ascii="Times New Roman" w:hAnsi="Times New Roman"/>
          <w:szCs w:val="24"/>
        </w:rPr>
        <w:tab/>
        <w:t xml:space="preserve">:          </w:t>
      </w:r>
      <w:r w:rsidR="00214B69">
        <w:rPr>
          <w:rFonts w:ascii="Times New Roman" w:hAnsi="Times New Roman"/>
          <w:szCs w:val="24"/>
        </w:rPr>
        <w:tab/>
      </w:r>
      <w:r w:rsidR="001A64DF" w:rsidRPr="001A64DF">
        <w:rPr>
          <w:rFonts w:ascii="Times New Roman" w:hAnsi="Times New Roman"/>
          <w:szCs w:val="24"/>
        </w:rPr>
        <w:t>C-2020-3018816</w:t>
      </w:r>
    </w:p>
    <w:p w14:paraId="4AFB0D6A" w14:textId="77777777" w:rsidR="00723099" w:rsidRPr="00857B94" w:rsidRDefault="00723099" w:rsidP="00723099">
      <w:pPr>
        <w:tabs>
          <w:tab w:val="left" w:pos="5040"/>
        </w:tabs>
        <w:rPr>
          <w:rFonts w:ascii="Times New Roman" w:hAnsi="Times New Roman"/>
          <w:szCs w:val="24"/>
        </w:rPr>
      </w:pPr>
      <w:r w:rsidRPr="00857B94">
        <w:rPr>
          <w:rFonts w:ascii="Times New Roman" w:hAnsi="Times New Roman"/>
          <w:szCs w:val="24"/>
        </w:rPr>
        <w:tab/>
        <w:t>:</w:t>
      </w:r>
    </w:p>
    <w:p w14:paraId="1C3E7DE4" w14:textId="3BB230BE" w:rsidR="00723099" w:rsidRPr="00857B94" w:rsidRDefault="00E84F39" w:rsidP="00723099">
      <w:pPr>
        <w:tabs>
          <w:tab w:val="left" w:pos="5040"/>
        </w:tabs>
        <w:rPr>
          <w:rFonts w:ascii="Times New Roman" w:hAnsi="Times New Roman"/>
          <w:szCs w:val="24"/>
        </w:rPr>
      </w:pPr>
      <w:r w:rsidRPr="00865B7A">
        <w:rPr>
          <w:rFonts w:ascii="Times New Roman" w:hAnsi="Times New Roman"/>
          <w:szCs w:val="24"/>
        </w:rPr>
        <w:t>Frontie</w:t>
      </w:r>
      <w:r w:rsidR="00865B7A">
        <w:rPr>
          <w:rFonts w:ascii="Times New Roman" w:hAnsi="Times New Roman"/>
          <w:szCs w:val="24"/>
        </w:rPr>
        <w:t>r Communications of</w:t>
      </w:r>
      <w:r w:rsidRPr="00E84F39">
        <w:rPr>
          <w:rFonts w:ascii="Times New Roman" w:hAnsi="Times New Roman"/>
          <w:caps/>
          <w:szCs w:val="24"/>
        </w:rPr>
        <w:t xml:space="preserve"> PA</w:t>
      </w:r>
      <w:r w:rsidR="00C566CD">
        <w:rPr>
          <w:rFonts w:ascii="Times New Roman" w:hAnsi="Times New Roman"/>
          <w:caps/>
          <w:szCs w:val="24"/>
        </w:rPr>
        <w:t>,</w:t>
      </w:r>
      <w:r w:rsidRPr="00E84F39">
        <w:rPr>
          <w:rFonts w:ascii="Times New Roman" w:hAnsi="Times New Roman"/>
          <w:caps/>
          <w:szCs w:val="24"/>
        </w:rPr>
        <w:t xml:space="preserve"> I</w:t>
      </w:r>
      <w:r w:rsidR="00865B7A">
        <w:rPr>
          <w:rFonts w:ascii="Times New Roman" w:hAnsi="Times New Roman"/>
          <w:szCs w:val="24"/>
        </w:rPr>
        <w:t>nc.</w:t>
      </w:r>
      <w:r w:rsidRPr="00E84F39">
        <w:rPr>
          <w:rFonts w:ascii="Times New Roman" w:hAnsi="Times New Roman"/>
          <w:caps/>
          <w:szCs w:val="24"/>
        </w:rPr>
        <w:t xml:space="preserve"> </w:t>
      </w:r>
      <w:r w:rsidR="00EE58C9">
        <w:rPr>
          <w:rFonts w:ascii="Times New Roman" w:hAnsi="Times New Roman"/>
          <w:caps/>
          <w:szCs w:val="24"/>
        </w:rPr>
        <w:tab/>
      </w:r>
      <w:r w:rsidR="00723099" w:rsidRPr="00857B94">
        <w:rPr>
          <w:rFonts w:ascii="Times New Roman" w:hAnsi="Times New Roman"/>
          <w:szCs w:val="24"/>
        </w:rPr>
        <w:t>:</w:t>
      </w:r>
    </w:p>
    <w:p w14:paraId="24705A43" w14:textId="77777777" w:rsidR="00942D05" w:rsidRPr="001F0E8C" w:rsidRDefault="00942D05" w:rsidP="00651D9D">
      <w:pPr>
        <w:tabs>
          <w:tab w:val="left" w:pos="2160"/>
          <w:tab w:val="left" w:pos="5733"/>
        </w:tabs>
        <w:jc w:val="both"/>
        <w:rPr>
          <w:rFonts w:ascii="Times New Roman" w:hAnsi="Times New Roman"/>
          <w:szCs w:val="24"/>
        </w:rPr>
      </w:pPr>
    </w:p>
    <w:p w14:paraId="05438C4B" w14:textId="77777777" w:rsidR="00942D05" w:rsidRPr="001F0E8C" w:rsidRDefault="00942D05" w:rsidP="00651D9D">
      <w:pPr>
        <w:tabs>
          <w:tab w:val="left" w:pos="2160"/>
          <w:tab w:val="left" w:pos="5733"/>
        </w:tabs>
        <w:jc w:val="both"/>
        <w:rPr>
          <w:rFonts w:ascii="Times New Roman" w:hAnsi="Times New Roman"/>
          <w:szCs w:val="24"/>
        </w:rPr>
      </w:pPr>
    </w:p>
    <w:p w14:paraId="0B69C575" w14:textId="77777777" w:rsidR="004C36A6" w:rsidRPr="001F0E8C" w:rsidRDefault="004C36A6" w:rsidP="00651D9D">
      <w:pPr>
        <w:tabs>
          <w:tab w:val="left" w:pos="2160"/>
          <w:tab w:val="left" w:pos="5733"/>
        </w:tabs>
        <w:jc w:val="both"/>
        <w:rPr>
          <w:rFonts w:ascii="Times New Roman" w:hAnsi="Times New Roman"/>
          <w:szCs w:val="24"/>
        </w:rPr>
      </w:pPr>
    </w:p>
    <w:p w14:paraId="7A63BFBB" w14:textId="13BEE36E" w:rsidR="00942D05" w:rsidRPr="00865B7A" w:rsidRDefault="00942D05" w:rsidP="00865B7A">
      <w:pPr>
        <w:tabs>
          <w:tab w:val="left" w:pos="2160"/>
          <w:tab w:val="left" w:pos="5733"/>
        </w:tabs>
        <w:jc w:val="center"/>
        <w:rPr>
          <w:rFonts w:ascii="Times New Roman" w:hAnsi="Times New Roman"/>
          <w:b/>
          <w:szCs w:val="24"/>
          <w:u w:val="single"/>
        </w:rPr>
      </w:pPr>
      <w:r w:rsidRPr="00865B7A">
        <w:rPr>
          <w:rFonts w:ascii="Times New Roman" w:hAnsi="Times New Roman"/>
          <w:b/>
          <w:szCs w:val="24"/>
          <w:u w:val="single"/>
        </w:rPr>
        <w:t>ORDER</w:t>
      </w:r>
    </w:p>
    <w:p w14:paraId="5FBF5F8B" w14:textId="088F5967" w:rsidR="004C36A6" w:rsidRDefault="004C36A6" w:rsidP="004C36A6">
      <w:pPr>
        <w:tabs>
          <w:tab w:val="left" w:pos="2160"/>
        </w:tabs>
        <w:outlineLvl w:val="0"/>
        <w:rPr>
          <w:rFonts w:ascii="Times New Roman" w:hAnsi="Times New Roman"/>
          <w:szCs w:val="24"/>
        </w:rPr>
      </w:pPr>
    </w:p>
    <w:p w14:paraId="7E658634" w14:textId="77777777" w:rsidR="00235437" w:rsidRPr="001F0E8C" w:rsidRDefault="00235437" w:rsidP="004C36A6">
      <w:pPr>
        <w:tabs>
          <w:tab w:val="left" w:pos="2160"/>
        </w:tabs>
        <w:outlineLvl w:val="0"/>
        <w:rPr>
          <w:rFonts w:ascii="Times New Roman" w:hAnsi="Times New Roman"/>
          <w:szCs w:val="24"/>
        </w:rPr>
      </w:pPr>
    </w:p>
    <w:p w14:paraId="0C43EC71" w14:textId="5B0E4B1E" w:rsidR="00214B69" w:rsidRPr="004A7BA7" w:rsidRDefault="00717D9F" w:rsidP="00235437">
      <w:pPr>
        <w:tabs>
          <w:tab w:val="left" w:pos="1440"/>
          <w:tab w:val="left" w:pos="2160"/>
        </w:tabs>
        <w:spacing w:line="360" w:lineRule="auto"/>
        <w:jc w:val="both"/>
        <w:rPr>
          <w:rFonts w:ascii="Times New Roman" w:hAnsi="Times New Roman"/>
          <w:szCs w:val="24"/>
        </w:rPr>
      </w:pPr>
      <w:r>
        <w:rPr>
          <w:rFonts w:ascii="Times New Roman" w:hAnsi="Times New Roman"/>
          <w:szCs w:val="24"/>
        </w:rPr>
        <w:tab/>
      </w:r>
      <w:r w:rsidR="00214B69">
        <w:rPr>
          <w:rFonts w:ascii="Times New Roman" w:hAnsi="Times New Roman"/>
          <w:bCs/>
          <w:szCs w:val="24"/>
        </w:rPr>
        <w:t xml:space="preserve">This Order is issued pursuant to the authority granted to presiding officers by the regulations of the Pennsylvania Public Utility Commission at </w:t>
      </w:r>
      <w:r w:rsidR="00214B69" w:rsidRPr="00214B69">
        <w:rPr>
          <w:rFonts w:ascii="Times New Roman" w:hAnsi="Times New Roman"/>
          <w:bCs/>
          <w:szCs w:val="24"/>
        </w:rPr>
        <w:t>5</w:t>
      </w:r>
      <w:r w:rsidR="00214B69">
        <w:rPr>
          <w:rFonts w:ascii="Times New Roman" w:hAnsi="Times New Roman"/>
          <w:bCs/>
          <w:szCs w:val="24"/>
        </w:rPr>
        <w:t>2 Pa. Code § 5</w:t>
      </w:r>
      <w:r w:rsidR="00214B69" w:rsidRPr="00214B69">
        <w:rPr>
          <w:rFonts w:ascii="Times New Roman" w:hAnsi="Times New Roman"/>
          <w:bCs/>
          <w:szCs w:val="24"/>
        </w:rPr>
        <w:t xml:space="preserve">.483 and </w:t>
      </w:r>
      <w:r w:rsidR="00214B69">
        <w:rPr>
          <w:rFonts w:ascii="Times New Roman" w:hAnsi="Times New Roman"/>
          <w:bCs/>
          <w:szCs w:val="24"/>
        </w:rPr>
        <w:t>52 Pa.</w:t>
      </w:r>
      <w:r w:rsidR="00214B69" w:rsidRPr="00214B69">
        <w:rPr>
          <w:rFonts w:ascii="Times New Roman" w:hAnsi="Times New Roman"/>
          <w:szCs w:val="24"/>
        </w:rPr>
        <w:t xml:space="preserve"> </w:t>
      </w:r>
      <w:r w:rsidR="00214B69">
        <w:rPr>
          <w:rFonts w:ascii="Times New Roman" w:hAnsi="Times New Roman"/>
          <w:szCs w:val="24"/>
        </w:rPr>
        <w:t xml:space="preserve">Code § </w:t>
      </w:r>
      <w:r w:rsidR="00214B69" w:rsidRPr="00214B69">
        <w:rPr>
          <w:rFonts w:ascii="Times New Roman" w:hAnsi="Times New Roman"/>
          <w:bCs/>
          <w:szCs w:val="24"/>
        </w:rPr>
        <w:t>5.102(d)(3)</w:t>
      </w:r>
      <w:r w:rsidR="00214B69">
        <w:rPr>
          <w:rFonts w:ascii="Times New Roman" w:hAnsi="Times New Roman"/>
          <w:bCs/>
          <w:szCs w:val="24"/>
        </w:rPr>
        <w:t xml:space="preserve">.  The Order </w:t>
      </w:r>
      <w:r w:rsidR="004A7BA7">
        <w:rPr>
          <w:rFonts w:ascii="Times New Roman" w:hAnsi="Times New Roman"/>
          <w:bCs/>
          <w:szCs w:val="24"/>
        </w:rPr>
        <w:t>memorializes</w:t>
      </w:r>
      <w:r w:rsidR="00214B69">
        <w:rPr>
          <w:rFonts w:ascii="Times New Roman" w:hAnsi="Times New Roman"/>
          <w:bCs/>
          <w:szCs w:val="24"/>
        </w:rPr>
        <w:t xml:space="preserve"> the denial of an oral Motion to Dismiss the Complaint in this matter and affords additional instruction to the parties.</w:t>
      </w:r>
      <w:r w:rsidR="0002716E" w:rsidRPr="00214B69">
        <w:rPr>
          <w:rFonts w:ascii="Times New Roman" w:hAnsi="Times New Roman"/>
          <w:bCs/>
          <w:szCs w:val="24"/>
        </w:rPr>
        <w:tab/>
      </w:r>
    </w:p>
    <w:p w14:paraId="38279432" w14:textId="77777777" w:rsidR="00214B69" w:rsidRPr="00214B69" w:rsidRDefault="00214B69" w:rsidP="00235437">
      <w:pPr>
        <w:tabs>
          <w:tab w:val="left" w:pos="1440"/>
          <w:tab w:val="left" w:pos="2160"/>
          <w:tab w:val="left" w:pos="2880"/>
        </w:tabs>
        <w:spacing w:line="360" w:lineRule="auto"/>
        <w:jc w:val="both"/>
        <w:rPr>
          <w:rFonts w:ascii="Times New Roman" w:hAnsi="Times New Roman"/>
          <w:bCs/>
          <w:szCs w:val="24"/>
        </w:rPr>
      </w:pPr>
    </w:p>
    <w:p w14:paraId="50A7DE38" w14:textId="5FE3092A" w:rsidR="000B14C4" w:rsidRPr="00857B94" w:rsidRDefault="00214B69" w:rsidP="00235437">
      <w:pPr>
        <w:spacing w:line="360" w:lineRule="auto"/>
        <w:jc w:val="both"/>
        <w:rPr>
          <w:rFonts w:ascii="Times New Roman" w:hAnsi="Times New Roman"/>
          <w:szCs w:val="24"/>
        </w:rPr>
      </w:pPr>
      <w:r>
        <w:rPr>
          <w:rFonts w:ascii="Times New Roman" w:hAnsi="Times New Roman"/>
          <w:szCs w:val="24"/>
        </w:rPr>
        <w:tab/>
      </w:r>
      <w:r>
        <w:rPr>
          <w:rFonts w:ascii="Times New Roman" w:hAnsi="Times New Roman"/>
          <w:szCs w:val="24"/>
        </w:rPr>
        <w:tab/>
      </w:r>
      <w:r w:rsidR="00723099" w:rsidRPr="00857B94">
        <w:rPr>
          <w:rFonts w:ascii="Times New Roman" w:hAnsi="Times New Roman"/>
          <w:szCs w:val="24"/>
        </w:rPr>
        <w:t xml:space="preserve">On </w:t>
      </w:r>
      <w:r w:rsidR="008D77E7">
        <w:rPr>
          <w:rFonts w:ascii="Times New Roman" w:hAnsi="Times New Roman"/>
          <w:szCs w:val="24"/>
        </w:rPr>
        <w:t>February 18, 2020</w:t>
      </w:r>
      <w:r w:rsidR="00BA7349">
        <w:rPr>
          <w:rFonts w:ascii="Times New Roman" w:hAnsi="Times New Roman"/>
          <w:szCs w:val="24"/>
        </w:rPr>
        <w:t xml:space="preserve">, </w:t>
      </w:r>
      <w:proofErr w:type="gramStart"/>
      <w:r w:rsidR="00E732F3" w:rsidRPr="00E732F3">
        <w:rPr>
          <w:rFonts w:ascii="Times New Roman" w:hAnsi="Times New Roman"/>
          <w:szCs w:val="24"/>
        </w:rPr>
        <w:t>Joseph</w:t>
      </w:r>
      <w:proofErr w:type="gramEnd"/>
      <w:r w:rsidR="00E732F3" w:rsidRPr="00E732F3">
        <w:rPr>
          <w:rFonts w:ascii="Times New Roman" w:hAnsi="Times New Roman"/>
          <w:szCs w:val="24"/>
        </w:rPr>
        <w:t xml:space="preserve"> </w:t>
      </w:r>
      <w:r>
        <w:rPr>
          <w:rFonts w:ascii="Times New Roman" w:hAnsi="Times New Roman"/>
          <w:szCs w:val="24"/>
        </w:rPr>
        <w:t>and</w:t>
      </w:r>
      <w:r w:rsidR="00E732F3" w:rsidRPr="00E732F3">
        <w:rPr>
          <w:rFonts w:ascii="Times New Roman" w:hAnsi="Times New Roman"/>
          <w:szCs w:val="24"/>
        </w:rPr>
        <w:t xml:space="preserve"> Patricia </w:t>
      </w:r>
      <w:proofErr w:type="spellStart"/>
      <w:r w:rsidR="00E732F3" w:rsidRPr="00E732F3">
        <w:rPr>
          <w:rFonts w:ascii="Times New Roman" w:hAnsi="Times New Roman"/>
          <w:szCs w:val="24"/>
        </w:rPr>
        <w:t>Gans</w:t>
      </w:r>
      <w:proofErr w:type="spellEnd"/>
      <w:r w:rsidR="004009A4" w:rsidRPr="004009A4">
        <w:rPr>
          <w:rFonts w:ascii="Times New Roman" w:hAnsi="Times New Roman"/>
          <w:szCs w:val="24"/>
        </w:rPr>
        <w:t xml:space="preserve"> </w:t>
      </w:r>
      <w:r w:rsidR="00723099" w:rsidRPr="00857B94">
        <w:rPr>
          <w:rFonts w:ascii="Times New Roman" w:hAnsi="Times New Roman"/>
          <w:szCs w:val="24"/>
        </w:rPr>
        <w:t>(Complainant</w:t>
      </w:r>
      <w:r w:rsidR="00E732F3">
        <w:rPr>
          <w:rFonts w:ascii="Times New Roman" w:hAnsi="Times New Roman"/>
          <w:szCs w:val="24"/>
        </w:rPr>
        <w:t>s</w:t>
      </w:r>
      <w:r w:rsidR="00723099" w:rsidRPr="00857B94">
        <w:rPr>
          <w:rFonts w:ascii="Times New Roman" w:hAnsi="Times New Roman"/>
          <w:szCs w:val="24"/>
        </w:rPr>
        <w:t xml:space="preserve">) filed a </w:t>
      </w:r>
      <w:r w:rsidR="00B5447F">
        <w:rPr>
          <w:rFonts w:ascii="Times New Roman" w:hAnsi="Times New Roman"/>
          <w:szCs w:val="24"/>
        </w:rPr>
        <w:t>Complaint</w:t>
      </w:r>
      <w:r w:rsidR="00723099" w:rsidRPr="00857B94">
        <w:rPr>
          <w:rFonts w:ascii="Times New Roman" w:hAnsi="Times New Roman"/>
          <w:szCs w:val="24"/>
        </w:rPr>
        <w:t xml:space="preserve"> against </w:t>
      </w:r>
      <w:r w:rsidR="00E84F39" w:rsidRPr="00E84F39">
        <w:rPr>
          <w:rFonts w:ascii="Times New Roman" w:hAnsi="Times New Roman"/>
          <w:szCs w:val="24"/>
        </w:rPr>
        <w:t>Frontier Comm</w:t>
      </w:r>
      <w:r w:rsidR="001C5C82">
        <w:rPr>
          <w:rFonts w:ascii="Times New Roman" w:hAnsi="Times New Roman"/>
          <w:szCs w:val="24"/>
        </w:rPr>
        <w:t>unications</w:t>
      </w:r>
      <w:r w:rsidR="00E84F39" w:rsidRPr="00E84F39">
        <w:rPr>
          <w:rFonts w:ascii="Times New Roman" w:hAnsi="Times New Roman"/>
          <w:szCs w:val="24"/>
        </w:rPr>
        <w:t xml:space="preserve"> of PA</w:t>
      </w:r>
      <w:r w:rsidR="00C566CD">
        <w:rPr>
          <w:rFonts w:ascii="Times New Roman" w:hAnsi="Times New Roman"/>
          <w:szCs w:val="24"/>
        </w:rPr>
        <w:t>,</w:t>
      </w:r>
      <w:r w:rsidR="00E84F39" w:rsidRPr="00E84F39">
        <w:rPr>
          <w:rFonts w:ascii="Times New Roman" w:hAnsi="Times New Roman"/>
          <w:szCs w:val="24"/>
        </w:rPr>
        <w:t xml:space="preserve"> Inc</w:t>
      </w:r>
      <w:r w:rsidR="001C5C82">
        <w:rPr>
          <w:rFonts w:ascii="Times New Roman" w:hAnsi="Times New Roman"/>
          <w:szCs w:val="24"/>
        </w:rPr>
        <w:t>.</w:t>
      </w:r>
      <w:r w:rsidR="00723099" w:rsidRPr="00857B94">
        <w:rPr>
          <w:rFonts w:ascii="Times New Roman" w:hAnsi="Times New Roman"/>
          <w:szCs w:val="24"/>
        </w:rPr>
        <w:t xml:space="preserve"> (</w:t>
      </w:r>
      <w:r w:rsidR="0076245C">
        <w:rPr>
          <w:rFonts w:ascii="Times New Roman" w:hAnsi="Times New Roman"/>
          <w:szCs w:val="24"/>
        </w:rPr>
        <w:t xml:space="preserve">Frontier or </w:t>
      </w:r>
      <w:r w:rsidR="00723099" w:rsidRPr="00857B94">
        <w:rPr>
          <w:rFonts w:ascii="Times New Roman" w:hAnsi="Times New Roman"/>
          <w:szCs w:val="24"/>
        </w:rPr>
        <w:t xml:space="preserve">Respondent), at the above-captioned docket number. </w:t>
      </w:r>
      <w:r w:rsidR="00034326">
        <w:rPr>
          <w:rFonts w:ascii="Times New Roman" w:hAnsi="Times New Roman"/>
          <w:szCs w:val="24"/>
        </w:rPr>
        <w:t>Complainants alleged that Frontier had not provided adequate service.  66 Pa. C.S. §1501.</w:t>
      </w:r>
      <w:r w:rsidR="00723099" w:rsidRPr="00857B94">
        <w:rPr>
          <w:rFonts w:ascii="Times New Roman" w:hAnsi="Times New Roman"/>
          <w:szCs w:val="24"/>
        </w:rPr>
        <w:t xml:space="preserve"> On </w:t>
      </w:r>
      <w:r w:rsidR="008D77E7">
        <w:rPr>
          <w:rFonts w:ascii="Times New Roman" w:hAnsi="Times New Roman"/>
          <w:szCs w:val="24"/>
        </w:rPr>
        <w:t xml:space="preserve">March </w:t>
      </w:r>
      <w:r w:rsidR="00332284">
        <w:rPr>
          <w:rFonts w:ascii="Times New Roman" w:hAnsi="Times New Roman"/>
          <w:szCs w:val="24"/>
        </w:rPr>
        <w:t>20</w:t>
      </w:r>
      <w:r w:rsidR="008D77E7">
        <w:rPr>
          <w:rFonts w:ascii="Times New Roman" w:hAnsi="Times New Roman"/>
          <w:szCs w:val="24"/>
        </w:rPr>
        <w:t>, 2020</w:t>
      </w:r>
      <w:r w:rsidR="00723099" w:rsidRPr="00857B94">
        <w:rPr>
          <w:rFonts w:ascii="Times New Roman" w:hAnsi="Times New Roman"/>
          <w:szCs w:val="24"/>
        </w:rPr>
        <w:t xml:space="preserve">, Respondent filed an </w:t>
      </w:r>
      <w:r w:rsidR="00F83823">
        <w:rPr>
          <w:rFonts w:ascii="Times New Roman" w:hAnsi="Times New Roman"/>
          <w:szCs w:val="24"/>
        </w:rPr>
        <w:t>A</w:t>
      </w:r>
      <w:r w:rsidR="000E7CF4">
        <w:rPr>
          <w:rFonts w:ascii="Times New Roman" w:hAnsi="Times New Roman"/>
          <w:szCs w:val="24"/>
        </w:rPr>
        <w:t>nswer</w:t>
      </w:r>
      <w:r w:rsidR="00F83823">
        <w:rPr>
          <w:rFonts w:ascii="Times New Roman" w:hAnsi="Times New Roman"/>
          <w:szCs w:val="24"/>
        </w:rPr>
        <w:t xml:space="preserve"> </w:t>
      </w:r>
      <w:r w:rsidR="00723099" w:rsidRPr="00857B94">
        <w:rPr>
          <w:rFonts w:ascii="Times New Roman" w:hAnsi="Times New Roman"/>
          <w:szCs w:val="24"/>
        </w:rPr>
        <w:t xml:space="preserve">to the </w:t>
      </w:r>
      <w:r w:rsidR="00B5447F">
        <w:rPr>
          <w:rFonts w:ascii="Times New Roman" w:hAnsi="Times New Roman"/>
          <w:szCs w:val="24"/>
        </w:rPr>
        <w:t>Complain</w:t>
      </w:r>
      <w:r w:rsidR="001326DC">
        <w:rPr>
          <w:rFonts w:ascii="Times New Roman" w:hAnsi="Times New Roman"/>
          <w:szCs w:val="24"/>
        </w:rPr>
        <w:t>t</w:t>
      </w:r>
      <w:r w:rsidR="00723099" w:rsidRPr="00857B94">
        <w:rPr>
          <w:rFonts w:ascii="Times New Roman" w:hAnsi="Times New Roman"/>
          <w:szCs w:val="24"/>
        </w:rPr>
        <w:t>.</w:t>
      </w:r>
    </w:p>
    <w:p w14:paraId="5304F138" w14:textId="77777777" w:rsidR="004C36A6" w:rsidRPr="001F0E8C" w:rsidRDefault="004C36A6" w:rsidP="00235437">
      <w:pPr>
        <w:tabs>
          <w:tab w:val="left" w:pos="1440"/>
          <w:tab w:val="left" w:pos="2160"/>
          <w:tab w:val="left" w:pos="2880"/>
        </w:tabs>
        <w:spacing w:line="360" w:lineRule="auto"/>
        <w:jc w:val="both"/>
        <w:rPr>
          <w:rFonts w:ascii="Times New Roman" w:hAnsi="Times New Roman"/>
          <w:szCs w:val="24"/>
        </w:rPr>
      </w:pPr>
    </w:p>
    <w:p w14:paraId="7BBE89D1" w14:textId="63A3A230" w:rsidR="0078615F" w:rsidRDefault="00942D05" w:rsidP="00235437">
      <w:pPr>
        <w:pStyle w:val="BodyText"/>
        <w:spacing w:line="360" w:lineRule="auto"/>
        <w:rPr>
          <w:rFonts w:ascii="Times New Roman" w:hAnsi="Times New Roman"/>
          <w:szCs w:val="24"/>
        </w:rPr>
      </w:pPr>
      <w:r w:rsidRPr="001F0E8C">
        <w:rPr>
          <w:rFonts w:ascii="Times New Roman" w:hAnsi="Times New Roman"/>
          <w:szCs w:val="24"/>
        </w:rPr>
        <w:tab/>
      </w:r>
      <w:r w:rsidR="0076245C">
        <w:rPr>
          <w:rFonts w:ascii="Times New Roman" w:hAnsi="Times New Roman"/>
          <w:szCs w:val="24"/>
        </w:rPr>
        <w:t>On April 16, 2020, this case was referred to the Commission’s Office of Mediation.  A settlement was not reached, and this case was assigned to the undersigned as presiding officer.</w:t>
      </w:r>
    </w:p>
    <w:p w14:paraId="1791F504" w14:textId="55714B4E" w:rsidR="0076245C" w:rsidRDefault="0076245C" w:rsidP="00235437">
      <w:pPr>
        <w:pStyle w:val="BodyText"/>
        <w:spacing w:line="360" w:lineRule="auto"/>
        <w:rPr>
          <w:rFonts w:ascii="Times New Roman" w:hAnsi="Times New Roman"/>
          <w:szCs w:val="24"/>
        </w:rPr>
      </w:pPr>
    </w:p>
    <w:p w14:paraId="3B0F1110" w14:textId="58E69EF7" w:rsidR="00B677BB" w:rsidRDefault="0076245C" w:rsidP="00235437">
      <w:pPr>
        <w:pStyle w:val="BodyText"/>
        <w:tabs>
          <w:tab w:val="clear" w:pos="1440"/>
          <w:tab w:val="clear" w:pos="2160"/>
          <w:tab w:val="clear" w:pos="2880"/>
        </w:tabs>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r>
      <w:r w:rsidR="00D309E5">
        <w:rPr>
          <w:rFonts w:ascii="Times New Roman" w:hAnsi="Times New Roman"/>
          <w:szCs w:val="24"/>
        </w:rPr>
        <w:t>On March 3, 2021, a prehearing conference was convened by telephone.  Complainants were present as was Thomas Niesen, Esquire, counsel for Frontier</w:t>
      </w:r>
      <w:r w:rsidR="00717D9F">
        <w:rPr>
          <w:rFonts w:ascii="Times New Roman" w:hAnsi="Times New Roman"/>
          <w:szCs w:val="24"/>
        </w:rPr>
        <w:t xml:space="preserve">, and two of Frontier’s witnesses.  At the prehearing conference, counsel orally moved to dismiss the Complaint on the basis that the Complaint failed to state </w:t>
      </w:r>
      <w:r w:rsidR="00034326">
        <w:rPr>
          <w:rFonts w:ascii="Times New Roman" w:hAnsi="Times New Roman"/>
          <w:szCs w:val="24"/>
        </w:rPr>
        <w:t xml:space="preserve">with specificity </w:t>
      </w:r>
      <w:r w:rsidR="00717D9F">
        <w:rPr>
          <w:rFonts w:ascii="Times New Roman" w:hAnsi="Times New Roman"/>
          <w:szCs w:val="24"/>
        </w:rPr>
        <w:t>a cause of action upon which relief could be granted</w:t>
      </w:r>
      <w:r w:rsidR="00034326">
        <w:rPr>
          <w:rFonts w:ascii="Times New Roman" w:hAnsi="Times New Roman"/>
          <w:szCs w:val="24"/>
        </w:rPr>
        <w:t xml:space="preserve"> and that Complainants were seeking to expand the scope of their Complaint without prior notice to Frontier.  Counsel</w:t>
      </w:r>
      <w:r w:rsidR="00717D9F">
        <w:rPr>
          <w:rFonts w:ascii="Times New Roman" w:hAnsi="Times New Roman"/>
          <w:szCs w:val="24"/>
        </w:rPr>
        <w:t xml:space="preserve"> subsequently renewed the Motion, objecting to the filing of an amended Complaint by the Complainants.  </w:t>
      </w:r>
      <w:r w:rsidR="00B677BB">
        <w:rPr>
          <w:rFonts w:ascii="Times New Roman" w:hAnsi="Times New Roman"/>
          <w:szCs w:val="24"/>
        </w:rPr>
        <w:t xml:space="preserve">I agree that the Complaint in its present form is deficient, </w:t>
      </w:r>
      <w:r w:rsidR="00B677BB">
        <w:rPr>
          <w:rFonts w:ascii="Times New Roman" w:hAnsi="Times New Roman"/>
          <w:szCs w:val="24"/>
        </w:rPr>
        <w:lastRenderedPageBreak/>
        <w:t xml:space="preserve">and an Amended Complaint stating with specificity all of Complainants’ allegations must be prepared and filed.  The Complaint in its present form does not afford Frontier a meaningful opportunity to respond to Complainants’ allegations stated </w:t>
      </w:r>
      <w:r w:rsidR="00034326">
        <w:rPr>
          <w:rFonts w:ascii="Times New Roman" w:hAnsi="Times New Roman"/>
          <w:szCs w:val="24"/>
        </w:rPr>
        <w:t xml:space="preserve">at the prehearing conference and reflected </w:t>
      </w:r>
      <w:r w:rsidR="00B677BB">
        <w:rPr>
          <w:rFonts w:ascii="Times New Roman" w:hAnsi="Times New Roman"/>
          <w:szCs w:val="24"/>
        </w:rPr>
        <w:t>in other documents.</w:t>
      </w:r>
    </w:p>
    <w:p w14:paraId="5EE1460E" w14:textId="77777777" w:rsidR="00B677BB" w:rsidRDefault="00B677BB" w:rsidP="00235437">
      <w:pPr>
        <w:pStyle w:val="BodyText"/>
        <w:spacing w:line="360" w:lineRule="auto"/>
        <w:rPr>
          <w:rFonts w:ascii="Times New Roman" w:hAnsi="Times New Roman"/>
          <w:szCs w:val="24"/>
        </w:rPr>
      </w:pPr>
    </w:p>
    <w:p w14:paraId="0C1541BB" w14:textId="5100E143" w:rsidR="00034326" w:rsidRDefault="00B677BB" w:rsidP="00235437">
      <w:pPr>
        <w:pStyle w:val="BodyText"/>
        <w:tabs>
          <w:tab w:val="clear" w:pos="1440"/>
          <w:tab w:val="clear" w:pos="2160"/>
          <w:tab w:val="clear" w:pos="2880"/>
        </w:tabs>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r>
      <w:r w:rsidR="00717D9F">
        <w:rPr>
          <w:rFonts w:ascii="Times New Roman" w:hAnsi="Times New Roman"/>
          <w:szCs w:val="24"/>
        </w:rPr>
        <w:t>While I understand that Frontier was prepared to go forward</w:t>
      </w:r>
      <w:r>
        <w:rPr>
          <w:rFonts w:ascii="Times New Roman" w:hAnsi="Times New Roman"/>
          <w:szCs w:val="24"/>
        </w:rPr>
        <w:t xml:space="preserve"> today</w:t>
      </w:r>
      <w:r w:rsidR="00717D9F">
        <w:rPr>
          <w:rFonts w:ascii="Times New Roman" w:hAnsi="Times New Roman"/>
          <w:szCs w:val="24"/>
        </w:rPr>
        <w:t>, without an amended Complaint there would be nothing to go forward with as there would be no case to which Frontier could respond.  There would be only the Motion to Dismiss.</w:t>
      </w:r>
      <w:r w:rsidR="00214B69">
        <w:rPr>
          <w:rFonts w:ascii="Times New Roman" w:hAnsi="Times New Roman"/>
          <w:szCs w:val="24"/>
        </w:rPr>
        <w:t xml:space="preserve">  To the extent that Frontier renewed its Motion and asked that the Complaint dismissed without prejudice thereby allowing Complainants to file a new Complaint, the Motion is still denied for the following reasons.  First, Complainants have, to this point, represented themselves.  </w:t>
      </w:r>
      <w:r>
        <w:rPr>
          <w:rFonts w:ascii="Times New Roman" w:hAnsi="Times New Roman"/>
          <w:szCs w:val="24"/>
        </w:rPr>
        <w:t>It is well established that the Commission is</w:t>
      </w:r>
      <w:r w:rsidRPr="00B677BB">
        <w:rPr>
          <w:rFonts w:ascii="Times New Roman" w:hAnsi="Times New Roman"/>
          <w:szCs w:val="24"/>
        </w:rPr>
        <w:t xml:space="preserve"> hesitant to rule unfavorably against </w:t>
      </w:r>
      <w:r w:rsidRPr="00B677BB">
        <w:rPr>
          <w:rFonts w:ascii="Times New Roman" w:hAnsi="Times New Roman"/>
          <w:bCs/>
          <w:i/>
          <w:szCs w:val="24"/>
        </w:rPr>
        <w:t>pro se</w:t>
      </w:r>
      <w:r w:rsidRPr="00B677BB">
        <w:rPr>
          <w:rFonts w:ascii="Times New Roman" w:hAnsi="Times New Roman"/>
          <w:bCs/>
          <w:szCs w:val="24"/>
        </w:rPr>
        <w:t xml:space="preserve"> litigants</w:t>
      </w:r>
      <w:r w:rsidRPr="00B677BB">
        <w:rPr>
          <w:rFonts w:ascii="Times New Roman" w:hAnsi="Times New Roman"/>
          <w:szCs w:val="24"/>
        </w:rPr>
        <w:t xml:space="preserve"> based on technical grounds. See, e.g., </w:t>
      </w:r>
      <w:proofErr w:type="spellStart"/>
      <w:r w:rsidRPr="00B677BB">
        <w:rPr>
          <w:rFonts w:ascii="Times New Roman" w:hAnsi="Times New Roman"/>
          <w:i/>
          <w:szCs w:val="24"/>
        </w:rPr>
        <w:t>Destefano</w:t>
      </w:r>
      <w:proofErr w:type="spellEnd"/>
      <w:r w:rsidRPr="00B677BB">
        <w:rPr>
          <w:rFonts w:ascii="Times New Roman" w:hAnsi="Times New Roman"/>
          <w:i/>
          <w:szCs w:val="24"/>
        </w:rPr>
        <w:t xml:space="preserve"> v. Peoples Natural Gas Company</w:t>
      </w:r>
      <w:r w:rsidRPr="00B677BB">
        <w:rPr>
          <w:rFonts w:ascii="Times New Roman" w:hAnsi="Times New Roman"/>
          <w:szCs w:val="24"/>
        </w:rPr>
        <w:t xml:space="preserve">, 56 Pa. P.U.C. 489 (1982); </w:t>
      </w:r>
      <w:r w:rsidRPr="00B677BB">
        <w:rPr>
          <w:rFonts w:ascii="Times New Roman" w:hAnsi="Times New Roman"/>
          <w:i/>
          <w:szCs w:val="24"/>
        </w:rPr>
        <w:t xml:space="preserve">Halpern v. The Bell Telephone Company of </w:t>
      </w:r>
      <w:smartTag w:uri="urn:schemas-microsoft-com:office:smarttags" w:element="State">
        <w:smartTag w:uri="urn:schemas-microsoft-com:office:smarttags" w:element="place">
          <w:r w:rsidRPr="00B677BB">
            <w:rPr>
              <w:rFonts w:ascii="Times New Roman" w:hAnsi="Times New Roman"/>
              <w:i/>
              <w:szCs w:val="24"/>
            </w:rPr>
            <w:t>Pennsylvania</w:t>
          </w:r>
        </w:smartTag>
      </w:smartTag>
      <w:r w:rsidRPr="00B677BB">
        <w:rPr>
          <w:rFonts w:ascii="Times New Roman" w:hAnsi="Times New Roman"/>
          <w:szCs w:val="24"/>
        </w:rPr>
        <w:t xml:space="preserve">, Docket No. C-00923950 (October 19, 1992); </w:t>
      </w:r>
      <w:r w:rsidRPr="00B677BB">
        <w:rPr>
          <w:rFonts w:ascii="Times New Roman" w:hAnsi="Times New Roman"/>
          <w:i/>
          <w:szCs w:val="24"/>
        </w:rPr>
        <w:t xml:space="preserve">William </w:t>
      </w:r>
      <w:proofErr w:type="spellStart"/>
      <w:r w:rsidRPr="00B677BB">
        <w:rPr>
          <w:rFonts w:ascii="Times New Roman" w:hAnsi="Times New Roman"/>
          <w:i/>
          <w:szCs w:val="24"/>
        </w:rPr>
        <w:t>Schlinder</w:t>
      </w:r>
      <w:proofErr w:type="spellEnd"/>
      <w:r w:rsidRPr="00B677BB">
        <w:rPr>
          <w:rFonts w:ascii="Times New Roman" w:hAnsi="Times New Roman"/>
          <w:i/>
          <w:szCs w:val="24"/>
        </w:rPr>
        <w:t xml:space="preserve"> v. The Bell Telephone Company of </w:t>
      </w:r>
      <w:smartTag w:uri="urn:schemas-microsoft-com:office:smarttags" w:element="State">
        <w:smartTag w:uri="urn:schemas-microsoft-com:office:smarttags" w:element="place">
          <w:r w:rsidRPr="00B677BB">
            <w:rPr>
              <w:rFonts w:ascii="Times New Roman" w:hAnsi="Times New Roman"/>
              <w:i/>
              <w:szCs w:val="24"/>
            </w:rPr>
            <w:t>Pennsylvania</w:t>
          </w:r>
        </w:smartTag>
      </w:smartTag>
      <w:r w:rsidRPr="00B677BB">
        <w:rPr>
          <w:rFonts w:ascii="Times New Roman" w:hAnsi="Times New Roman"/>
          <w:szCs w:val="24"/>
        </w:rPr>
        <w:t xml:space="preserve">, Docket No. F-00161252 (March 26, 1993).  In </w:t>
      </w:r>
      <w:r>
        <w:rPr>
          <w:rFonts w:ascii="Times New Roman" w:hAnsi="Times New Roman"/>
          <w:szCs w:val="24"/>
        </w:rPr>
        <w:t>the Commission’s</w:t>
      </w:r>
      <w:r w:rsidRPr="00B677BB">
        <w:rPr>
          <w:rFonts w:ascii="Times New Roman" w:hAnsi="Times New Roman"/>
          <w:szCs w:val="24"/>
        </w:rPr>
        <w:t xml:space="preserve"> view, it is in the public interest that all litigants, particularly </w:t>
      </w:r>
      <w:r w:rsidRPr="00B677BB">
        <w:rPr>
          <w:rFonts w:ascii="Times New Roman" w:hAnsi="Times New Roman"/>
          <w:bCs/>
          <w:i/>
          <w:szCs w:val="24"/>
        </w:rPr>
        <w:t>pro se</w:t>
      </w:r>
      <w:r w:rsidRPr="00B677BB">
        <w:rPr>
          <w:rFonts w:ascii="Times New Roman" w:hAnsi="Times New Roman"/>
          <w:bCs/>
          <w:szCs w:val="24"/>
        </w:rPr>
        <w:t xml:space="preserve"> litigants</w:t>
      </w:r>
      <w:r w:rsidRPr="00B677BB">
        <w:rPr>
          <w:rFonts w:ascii="Times New Roman" w:hAnsi="Times New Roman"/>
          <w:b/>
          <w:bCs/>
          <w:szCs w:val="24"/>
        </w:rPr>
        <w:t>,</w:t>
      </w:r>
      <w:r w:rsidRPr="00B677BB">
        <w:rPr>
          <w:rFonts w:ascii="Times New Roman" w:hAnsi="Times New Roman"/>
          <w:szCs w:val="24"/>
        </w:rPr>
        <w:t xml:space="preserve"> be afforded a meaningful opportunity to be heard.  </w:t>
      </w:r>
      <w:r>
        <w:rPr>
          <w:rFonts w:ascii="Times New Roman" w:hAnsi="Times New Roman"/>
          <w:szCs w:val="24"/>
        </w:rPr>
        <w:t>Second, any delay in hearing this case is not the fault of the Complainants but is attributable to logistical challenges posed by the ongoing pandemic.  Third, the case having commenced</w:t>
      </w:r>
      <w:r w:rsidR="00B16688">
        <w:rPr>
          <w:rFonts w:ascii="Times New Roman" w:hAnsi="Times New Roman"/>
          <w:szCs w:val="24"/>
        </w:rPr>
        <w:t xml:space="preserve">, </w:t>
      </w:r>
      <w:r>
        <w:rPr>
          <w:rFonts w:ascii="Times New Roman" w:hAnsi="Times New Roman"/>
          <w:szCs w:val="24"/>
        </w:rPr>
        <w:t>initial pleadings having been filed</w:t>
      </w:r>
      <w:r w:rsidR="00B16688">
        <w:rPr>
          <w:rFonts w:ascii="Times New Roman" w:hAnsi="Times New Roman"/>
          <w:szCs w:val="24"/>
        </w:rPr>
        <w:t>,</w:t>
      </w:r>
      <w:r>
        <w:rPr>
          <w:rFonts w:ascii="Times New Roman" w:hAnsi="Times New Roman"/>
          <w:szCs w:val="24"/>
        </w:rPr>
        <w:t xml:space="preserve"> and a prehearing conference </w:t>
      </w:r>
      <w:r w:rsidR="00B16688">
        <w:rPr>
          <w:rFonts w:ascii="Times New Roman" w:hAnsi="Times New Roman"/>
          <w:szCs w:val="24"/>
        </w:rPr>
        <w:t xml:space="preserve">having now been </w:t>
      </w:r>
      <w:r>
        <w:rPr>
          <w:rFonts w:ascii="Times New Roman" w:hAnsi="Times New Roman"/>
          <w:szCs w:val="24"/>
        </w:rPr>
        <w:t xml:space="preserve">held, there is no efficiency to be gained by requiring the initiation of an entirely new proceeding at a separate docket.  In fact, Complainants stated their wish to retain counsel in order to amend their </w:t>
      </w:r>
      <w:r w:rsidR="00034326">
        <w:rPr>
          <w:rFonts w:ascii="Times New Roman" w:hAnsi="Times New Roman"/>
          <w:szCs w:val="24"/>
        </w:rPr>
        <w:t>present</w:t>
      </w:r>
      <w:r>
        <w:rPr>
          <w:rFonts w:ascii="Times New Roman" w:hAnsi="Times New Roman"/>
          <w:szCs w:val="24"/>
        </w:rPr>
        <w:t xml:space="preserve"> Complaint.</w:t>
      </w:r>
      <w:r w:rsidR="00B16688">
        <w:rPr>
          <w:rFonts w:ascii="Times New Roman" w:hAnsi="Times New Roman"/>
          <w:szCs w:val="24"/>
        </w:rPr>
        <w:t xml:space="preserve">  This is reasonable, and Frontier is not harmed thereby.</w:t>
      </w:r>
    </w:p>
    <w:p w14:paraId="7E707CA8" w14:textId="3C6B2D78" w:rsidR="00034326" w:rsidRDefault="00034326" w:rsidP="00235437">
      <w:pPr>
        <w:pStyle w:val="BodyText"/>
        <w:tabs>
          <w:tab w:val="clear" w:pos="1440"/>
          <w:tab w:val="clear" w:pos="2160"/>
          <w:tab w:val="clear" w:pos="2880"/>
        </w:tabs>
        <w:spacing w:line="360" w:lineRule="auto"/>
        <w:rPr>
          <w:rFonts w:ascii="Times New Roman" w:hAnsi="Times New Roman"/>
          <w:szCs w:val="24"/>
        </w:rPr>
      </w:pPr>
    </w:p>
    <w:p w14:paraId="7F5BC6A7" w14:textId="390926AA" w:rsidR="00034326" w:rsidRPr="00034326" w:rsidRDefault="00034326" w:rsidP="00235437">
      <w:pPr>
        <w:pStyle w:val="BodyText"/>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t xml:space="preserve">I would also note that the authority of the Commission was explained to Complainants at the prehearing conference.  Specifically, </w:t>
      </w:r>
      <w:r w:rsidRPr="00034326">
        <w:rPr>
          <w:rFonts w:ascii="Times New Roman" w:hAnsi="Times New Roman"/>
          <w:szCs w:val="24"/>
        </w:rPr>
        <w:t xml:space="preserve">The Commission, as a creation of the General Assembly, has only the powers and authority granted to it by the General Assembly as contained in the Public Utility Code. Subject matter jurisdiction is a prerequisite to the exercise of power to decide a controversy. </w:t>
      </w:r>
      <w:r w:rsidRPr="00034326">
        <w:rPr>
          <w:rFonts w:ascii="Times New Roman" w:hAnsi="Times New Roman"/>
          <w:i/>
          <w:szCs w:val="24"/>
        </w:rPr>
        <w:t>Hughes v. Pennsylvania State Police</w:t>
      </w:r>
      <w:r w:rsidRPr="00034326">
        <w:rPr>
          <w:rFonts w:ascii="Times New Roman" w:hAnsi="Times New Roman"/>
          <w:szCs w:val="24"/>
        </w:rPr>
        <w:t xml:space="preserve">, 619 A.2d 390 (Pa. Cmwlth. 1992) </w:t>
      </w:r>
      <w:r w:rsidRPr="00034326">
        <w:rPr>
          <w:rFonts w:ascii="Times New Roman" w:hAnsi="Times New Roman"/>
          <w:i/>
          <w:szCs w:val="24"/>
        </w:rPr>
        <w:t>alloc. denied</w:t>
      </w:r>
      <w:r w:rsidRPr="00034326">
        <w:rPr>
          <w:rFonts w:ascii="Times New Roman" w:hAnsi="Times New Roman"/>
          <w:szCs w:val="24"/>
        </w:rPr>
        <w:t>, 637 A.2d 293 (Pa. 1993).</w:t>
      </w:r>
      <w:r>
        <w:rPr>
          <w:rFonts w:ascii="Times New Roman" w:hAnsi="Times New Roman"/>
          <w:szCs w:val="24"/>
        </w:rPr>
        <w:t xml:space="preserve">  Further, i</w:t>
      </w:r>
      <w:r w:rsidRPr="00034326">
        <w:rPr>
          <w:rFonts w:ascii="Times New Roman" w:hAnsi="Times New Roman"/>
          <w:szCs w:val="24"/>
        </w:rPr>
        <w:t xml:space="preserve">t is well established that the Commission does not have the authority to order a public utility to pay monetary </w:t>
      </w:r>
      <w:r w:rsidRPr="00034326">
        <w:rPr>
          <w:rFonts w:ascii="Times New Roman" w:hAnsi="Times New Roman"/>
          <w:bCs/>
          <w:szCs w:val="24"/>
        </w:rPr>
        <w:t>damages.</w:t>
      </w:r>
      <w:r w:rsidRPr="00034326">
        <w:rPr>
          <w:rFonts w:ascii="Times New Roman" w:hAnsi="Times New Roman"/>
          <w:szCs w:val="24"/>
        </w:rPr>
        <w:t xml:space="preserve"> </w:t>
      </w:r>
      <w:r>
        <w:rPr>
          <w:rFonts w:ascii="Times New Roman" w:hAnsi="Times New Roman"/>
          <w:szCs w:val="24"/>
        </w:rPr>
        <w:t xml:space="preserve"> </w:t>
      </w:r>
      <w:r w:rsidRPr="00034326">
        <w:rPr>
          <w:rFonts w:ascii="Times New Roman" w:hAnsi="Times New Roman"/>
          <w:iCs/>
          <w:szCs w:val="24"/>
        </w:rPr>
        <w:t xml:space="preserve">See </w:t>
      </w:r>
      <w:r w:rsidRPr="00034326">
        <w:rPr>
          <w:rFonts w:ascii="Times New Roman" w:hAnsi="Times New Roman"/>
          <w:i/>
          <w:iCs/>
          <w:szCs w:val="24"/>
        </w:rPr>
        <w:t>Byer v. Peoples Natural Gas Co.</w:t>
      </w:r>
      <w:r w:rsidRPr="00034326">
        <w:rPr>
          <w:rFonts w:ascii="Times New Roman" w:hAnsi="Times New Roman"/>
          <w:szCs w:val="24"/>
        </w:rPr>
        <w:t xml:space="preserve">, 380 A.2d 383 (Pa. Super. 1977) (holding that the Commission does not have the </w:t>
      </w:r>
      <w:r w:rsidRPr="00034326">
        <w:rPr>
          <w:rFonts w:ascii="Times New Roman" w:hAnsi="Times New Roman"/>
          <w:szCs w:val="24"/>
        </w:rPr>
        <w:lastRenderedPageBreak/>
        <w:t xml:space="preserve">authority to award </w:t>
      </w:r>
      <w:r w:rsidRPr="00034326">
        <w:rPr>
          <w:rFonts w:ascii="Times New Roman" w:hAnsi="Times New Roman"/>
          <w:bCs/>
          <w:szCs w:val="24"/>
        </w:rPr>
        <w:t>damages)</w:t>
      </w:r>
      <w:r w:rsidRPr="00034326">
        <w:rPr>
          <w:rFonts w:ascii="Times New Roman" w:hAnsi="Times New Roman"/>
          <w:szCs w:val="24"/>
        </w:rPr>
        <w:t xml:space="preserve">; </w:t>
      </w:r>
      <w:r w:rsidRPr="00034326">
        <w:rPr>
          <w:rFonts w:ascii="Times New Roman" w:hAnsi="Times New Roman"/>
          <w:i/>
          <w:iCs/>
          <w:szCs w:val="24"/>
        </w:rPr>
        <w:t>Feingold v. Bell of Pennsylvania</w:t>
      </w:r>
      <w:r w:rsidRPr="00034326">
        <w:rPr>
          <w:rFonts w:ascii="Times New Roman" w:hAnsi="Times New Roman"/>
          <w:szCs w:val="24"/>
        </w:rPr>
        <w:t xml:space="preserve">, 477 Pa. 1, 383 A.2d 791 (1977) (holding that the Commission does not have the authority to award </w:t>
      </w:r>
      <w:r w:rsidRPr="00034326">
        <w:rPr>
          <w:rFonts w:ascii="Times New Roman" w:hAnsi="Times New Roman"/>
          <w:bCs/>
          <w:szCs w:val="24"/>
        </w:rPr>
        <w:t>damages)</w:t>
      </w:r>
      <w:r w:rsidRPr="00034326">
        <w:rPr>
          <w:rFonts w:ascii="Times New Roman" w:hAnsi="Times New Roman"/>
          <w:szCs w:val="24"/>
        </w:rPr>
        <w:t xml:space="preserve">, </w:t>
      </w:r>
      <w:r w:rsidRPr="00034326">
        <w:rPr>
          <w:rFonts w:ascii="Times New Roman" w:hAnsi="Times New Roman"/>
          <w:i/>
          <w:iCs/>
          <w:szCs w:val="24"/>
        </w:rPr>
        <w:t>DeFrancesco v. Western Pennsylvania Water Company</w:t>
      </w:r>
      <w:r w:rsidRPr="00034326">
        <w:rPr>
          <w:rFonts w:ascii="Times New Roman" w:hAnsi="Times New Roman"/>
          <w:szCs w:val="24"/>
        </w:rPr>
        <w:t xml:space="preserve">, 499 Pa. 374, 453 A.2d 595 (1982); </w:t>
      </w:r>
      <w:r w:rsidRPr="00034326">
        <w:rPr>
          <w:rFonts w:ascii="Times New Roman" w:hAnsi="Times New Roman"/>
          <w:i/>
          <w:iCs/>
          <w:szCs w:val="24"/>
        </w:rPr>
        <w:t>Elkin v. Bell of Pa.</w:t>
      </w:r>
      <w:r w:rsidRPr="00034326">
        <w:rPr>
          <w:rFonts w:ascii="Times New Roman" w:hAnsi="Times New Roman"/>
          <w:szCs w:val="24"/>
        </w:rPr>
        <w:t xml:space="preserve">, 491 Pa. 123, 420 A.2d 371 (1980).  While a Commission Administrative Law Judge may impose a civil penalty on a utility if warranted, those funds will go to the state General Fund, not to </w:t>
      </w:r>
      <w:r>
        <w:rPr>
          <w:rFonts w:ascii="Times New Roman" w:hAnsi="Times New Roman"/>
          <w:szCs w:val="24"/>
        </w:rPr>
        <w:t xml:space="preserve">a </w:t>
      </w:r>
      <w:r w:rsidRPr="00034326">
        <w:rPr>
          <w:rFonts w:ascii="Times New Roman" w:hAnsi="Times New Roman"/>
          <w:szCs w:val="24"/>
        </w:rPr>
        <w:t>Complainant.</w:t>
      </w:r>
    </w:p>
    <w:p w14:paraId="1CC7CAF4" w14:textId="7EE10101" w:rsidR="00034326" w:rsidRPr="00034326" w:rsidRDefault="00034326" w:rsidP="00235437">
      <w:pPr>
        <w:pStyle w:val="BodyText"/>
        <w:tabs>
          <w:tab w:val="clear" w:pos="1440"/>
          <w:tab w:val="clear" w:pos="2160"/>
          <w:tab w:val="clear" w:pos="2880"/>
        </w:tabs>
        <w:spacing w:line="360" w:lineRule="auto"/>
        <w:rPr>
          <w:rFonts w:ascii="Times New Roman" w:hAnsi="Times New Roman"/>
          <w:szCs w:val="24"/>
        </w:rPr>
      </w:pPr>
    </w:p>
    <w:p w14:paraId="76BC38EB" w14:textId="797D3DF9" w:rsidR="00034326" w:rsidRDefault="004A7BA7" w:rsidP="00235437">
      <w:pPr>
        <w:pStyle w:val="BodyText"/>
        <w:tabs>
          <w:tab w:val="clear" w:pos="1440"/>
          <w:tab w:val="clear" w:pos="2160"/>
          <w:tab w:val="clear" w:pos="2880"/>
        </w:tabs>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t xml:space="preserve">Complainants </w:t>
      </w:r>
      <w:r w:rsidR="001F4D0A">
        <w:rPr>
          <w:rFonts w:ascii="Times New Roman" w:hAnsi="Times New Roman"/>
          <w:szCs w:val="24"/>
        </w:rPr>
        <w:t xml:space="preserve">orally petitioned </w:t>
      </w:r>
      <w:r>
        <w:rPr>
          <w:rFonts w:ascii="Times New Roman" w:hAnsi="Times New Roman"/>
          <w:szCs w:val="24"/>
        </w:rPr>
        <w:t xml:space="preserve">at hearing to be afforded time in which to retain the services of counsel with a view towards filing an amended Complaint.  That request is reasonable, </w:t>
      </w:r>
      <w:r w:rsidR="001F4D0A">
        <w:rPr>
          <w:rFonts w:ascii="Times New Roman" w:hAnsi="Times New Roman"/>
          <w:szCs w:val="24"/>
        </w:rPr>
        <w:t xml:space="preserve">the objection thereto is overruled, </w:t>
      </w:r>
      <w:r>
        <w:rPr>
          <w:rFonts w:ascii="Times New Roman" w:hAnsi="Times New Roman"/>
          <w:szCs w:val="24"/>
        </w:rPr>
        <w:t xml:space="preserve">and the informal oral petition to do so is granted.  If, </w:t>
      </w:r>
      <w:r w:rsidR="001F4D0A">
        <w:rPr>
          <w:rFonts w:ascii="Times New Roman" w:hAnsi="Times New Roman"/>
          <w:szCs w:val="24"/>
        </w:rPr>
        <w:t xml:space="preserve">however, </w:t>
      </w:r>
      <w:r>
        <w:rPr>
          <w:rFonts w:ascii="Times New Roman" w:hAnsi="Times New Roman"/>
          <w:szCs w:val="24"/>
        </w:rPr>
        <w:t>on the advice of counsel, Complainants decide to withdraw and to refile their Complaint, they are not barred by this Order from doing so within the time allowed.</w:t>
      </w:r>
    </w:p>
    <w:p w14:paraId="33BCACC7" w14:textId="35195CF6" w:rsidR="00034326" w:rsidRDefault="00034326" w:rsidP="00235437">
      <w:pPr>
        <w:pStyle w:val="BodyText"/>
        <w:tabs>
          <w:tab w:val="clear" w:pos="1440"/>
          <w:tab w:val="clear" w:pos="2160"/>
          <w:tab w:val="clear" w:pos="2880"/>
        </w:tabs>
        <w:spacing w:line="360" w:lineRule="auto"/>
        <w:rPr>
          <w:rFonts w:ascii="Times New Roman" w:hAnsi="Times New Roman"/>
          <w:szCs w:val="24"/>
        </w:rPr>
      </w:pPr>
    </w:p>
    <w:p w14:paraId="291017E5" w14:textId="77777777" w:rsidR="00235437" w:rsidRDefault="00235437" w:rsidP="00235437">
      <w:pPr>
        <w:pStyle w:val="BodyText"/>
        <w:tabs>
          <w:tab w:val="clear" w:pos="1440"/>
          <w:tab w:val="clear" w:pos="2160"/>
          <w:tab w:val="clear" w:pos="2880"/>
        </w:tabs>
        <w:spacing w:line="360" w:lineRule="auto"/>
        <w:rPr>
          <w:rFonts w:ascii="Times New Roman" w:hAnsi="Times New Roman"/>
          <w:szCs w:val="24"/>
        </w:rPr>
      </w:pPr>
    </w:p>
    <w:p w14:paraId="05438752" w14:textId="77777777" w:rsidR="00034326" w:rsidRDefault="00034326" w:rsidP="00235437">
      <w:pPr>
        <w:pStyle w:val="BodyText"/>
        <w:tabs>
          <w:tab w:val="clear" w:pos="1440"/>
          <w:tab w:val="clear" w:pos="2160"/>
          <w:tab w:val="clear" w:pos="2880"/>
        </w:tabs>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t>THEREFORE,</w:t>
      </w:r>
    </w:p>
    <w:p w14:paraId="5D383815" w14:textId="77777777" w:rsidR="00034326" w:rsidRDefault="00034326" w:rsidP="00235437">
      <w:pPr>
        <w:pStyle w:val="BodyText"/>
        <w:tabs>
          <w:tab w:val="clear" w:pos="1440"/>
          <w:tab w:val="clear" w:pos="2160"/>
          <w:tab w:val="clear" w:pos="2880"/>
        </w:tabs>
        <w:spacing w:line="360" w:lineRule="auto"/>
        <w:rPr>
          <w:rFonts w:ascii="Times New Roman" w:hAnsi="Times New Roman"/>
          <w:szCs w:val="24"/>
        </w:rPr>
      </w:pPr>
    </w:p>
    <w:p w14:paraId="6E6E4D78" w14:textId="77777777" w:rsidR="00034326" w:rsidRDefault="00034326" w:rsidP="00235437">
      <w:pPr>
        <w:pStyle w:val="BodyText"/>
        <w:tabs>
          <w:tab w:val="clear" w:pos="1440"/>
          <w:tab w:val="clear" w:pos="2160"/>
          <w:tab w:val="clear" w:pos="2880"/>
        </w:tabs>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t>IT IS ORDERED:</w:t>
      </w:r>
    </w:p>
    <w:p w14:paraId="24AF0D08" w14:textId="77777777" w:rsidR="00034326" w:rsidRDefault="00034326" w:rsidP="00235437">
      <w:pPr>
        <w:pStyle w:val="BodyText"/>
        <w:tabs>
          <w:tab w:val="clear" w:pos="1440"/>
          <w:tab w:val="clear" w:pos="2160"/>
          <w:tab w:val="clear" w:pos="2880"/>
        </w:tabs>
        <w:spacing w:line="360" w:lineRule="auto"/>
        <w:rPr>
          <w:rFonts w:ascii="Times New Roman" w:hAnsi="Times New Roman"/>
          <w:szCs w:val="24"/>
        </w:rPr>
      </w:pPr>
    </w:p>
    <w:p w14:paraId="186EE3B5" w14:textId="391C60EB" w:rsidR="00B677BB" w:rsidRDefault="00034326" w:rsidP="00235437">
      <w:pPr>
        <w:pStyle w:val="BodyText"/>
        <w:tabs>
          <w:tab w:val="clear" w:pos="1440"/>
          <w:tab w:val="clear" w:pos="2160"/>
          <w:tab w:val="clear" w:pos="2880"/>
        </w:tabs>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t>1.</w:t>
      </w:r>
      <w:r>
        <w:rPr>
          <w:rFonts w:ascii="Times New Roman" w:hAnsi="Times New Roman"/>
          <w:szCs w:val="24"/>
        </w:rPr>
        <w:tab/>
        <w:t>That the</w:t>
      </w:r>
      <w:r w:rsidR="00F62ED9">
        <w:rPr>
          <w:rFonts w:ascii="Times New Roman" w:hAnsi="Times New Roman"/>
          <w:szCs w:val="24"/>
        </w:rPr>
        <w:t xml:space="preserve">  </w:t>
      </w:r>
      <w:r w:rsidR="004A7BA7">
        <w:rPr>
          <w:rFonts w:ascii="Times New Roman" w:hAnsi="Times New Roman"/>
          <w:szCs w:val="24"/>
        </w:rPr>
        <w:t>Motion to Dismiss the Complaint at this docket made by Frontier is denied.</w:t>
      </w:r>
    </w:p>
    <w:p w14:paraId="10BEEE5E" w14:textId="07CB3B35" w:rsidR="004A7BA7" w:rsidRDefault="004A7BA7" w:rsidP="00235437">
      <w:pPr>
        <w:pStyle w:val="BodyText"/>
        <w:tabs>
          <w:tab w:val="clear" w:pos="1440"/>
          <w:tab w:val="clear" w:pos="2160"/>
          <w:tab w:val="clear" w:pos="2880"/>
        </w:tabs>
        <w:spacing w:line="360" w:lineRule="auto"/>
        <w:rPr>
          <w:rFonts w:ascii="Times New Roman" w:hAnsi="Times New Roman"/>
          <w:szCs w:val="24"/>
        </w:rPr>
      </w:pPr>
    </w:p>
    <w:p w14:paraId="1AAB166E" w14:textId="709A0867" w:rsidR="004A7BA7" w:rsidRDefault="004A7BA7" w:rsidP="00235437">
      <w:pPr>
        <w:pStyle w:val="BodyText"/>
        <w:tabs>
          <w:tab w:val="clear" w:pos="1440"/>
          <w:tab w:val="clear" w:pos="2160"/>
          <w:tab w:val="clear" w:pos="2880"/>
        </w:tabs>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t>2.</w:t>
      </w:r>
      <w:r>
        <w:rPr>
          <w:rFonts w:ascii="Times New Roman" w:hAnsi="Times New Roman"/>
          <w:szCs w:val="24"/>
        </w:rPr>
        <w:tab/>
        <w:t>That Complainant’s informal petition for permission to file an amended Complaint is granted.</w:t>
      </w:r>
    </w:p>
    <w:p w14:paraId="6041560C" w14:textId="458EE34D" w:rsidR="004A7BA7" w:rsidRDefault="004A7BA7" w:rsidP="00235437">
      <w:pPr>
        <w:pStyle w:val="BodyText"/>
        <w:tabs>
          <w:tab w:val="clear" w:pos="1440"/>
          <w:tab w:val="clear" w:pos="2160"/>
          <w:tab w:val="clear" w:pos="2880"/>
        </w:tabs>
        <w:spacing w:line="360" w:lineRule="auto"/>
        <w:rPr>
          <w:rFonts w:ascii="Times New Roman" w:hAnsi="Times New Roman"/>
          <w:szCs w:val="24"/>
        </w:rPr>
      </w:pPr>
    </w:p>
    <w:p w14:paraId="15B2CBC1" w14:textId="2EFF20BE" w:rsidR="004A7BA7" w:rsidRDefault="004A7BA7" w:rsidP="00235437">
      <w:pPr>
        <w:pStyle w:val="BodyText"/>
        <w:tabs>
          <w:tab w:val="clear" w:pos="1440"/>
          <w:tab w:val="clear" w:pos="2160"/>
          <w:tab w:val="clear" w:pos="2880"/>
        </w:tabs>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t>3.</w:t>
      </w:r>
      <w:r>
        <w:rPr>
          <w:rFonts w:ascii="Times New Roman" w:hAnsi="Times New Roman"/>
          <w:szCs w:val="24"/>
        </w:rPr>
        <w:tab/>
        <w:t xml:space="preserve">That the Complainants are afforded sixty (60) days from the date of this Order to </w:t>
      </w:r>
      <w:r w:rsidR="001F4D0A">
        <w:rPr>
          <w:rFonts w:ascii="Times New Roman" w:hAnsi="Times New Roman"/>
          <w:szCs w:val="24"/>
        </w:rPr>
        <w:t xml:space="preserve">seek counsel and to </w:t>
      </w:r>
      <w:r>
        <w:rPr>
          <w:rFonts w:ascii="Times New Roman" w:hAnsi="Times New Roman"/>
          <w:szCs w:val="24"/>
        </w:rPr>
        <w:t>refile an amended Complaint.</w:t>
      </w:r>
    </w:p>
    <w:p w14:paraId="25414382" w14:textId="288C513C" w:rsidR="004A7BA7" w:rsidRDefault="004A7BA7" w:rsidP="00235437">
      <w:pPr>
        <w:pStyle w:val="BodyText"/>
        <w:tabs>
          <w:tab w:val="clear" w:pos="1440"/>
          <w:tab w:val="clear" w:pos="2160"/>
          <w:tab w:val="clear" w:pos="2880"/>
        </w:tabs>
        <w:spacing w:line="360" w:lineRule="auto"/>
        <w:rPr>
          <w:rFonts w:ascii="Times New Roman" w:hAnsi="Times New Roman"/>
          <w:szCs w:val="24"/>
        </w:rPr>
      </w:pPr>
    </w:p>
    <w:p w14:paraId="2A152637" w14:textId="77777777" w:rsidR="00235437" w:rsidRPr="00B677BB" w:rsidRDefault="00235437" w:rsidP="00235437">
      <w:pPr>
        <w:pStyle w:val="BodyText"/>
        <w:tabs>
          <w:tab w:val="clear" w:pos="1440"/>
          <w:tab w:val="clear" w:pos="2160"/>
          <w:tab w:val="clear" w:pos="2880"/>
        </w:tabs>
        <w:spacing w:line="360" w:lineRule="auto"/>
        <w:rPr>
          <w:rFonts w:ascii="Times New Roman" w:hAnsi="Times New Roman"/>
          <w:szCs w:val="24"/>
        </w:rPr>
      </w:pPr>
    </w:p>
    <w:p w14:paraId="511E8C51" w14:textId="77777777" w:rsidR="00717D9F" w:rsidRDefault="00717D9F" w:rsidP="00235437">
      <w:pPr>
        <w:pStyle w:val="BodyText"/>
        <w:tabs>
          <w:tab w:val="clear" w:pos="1440"/>
          <w:tab w:val="clear" w:pos="2160"/>
          <w:tab w:val="clear" w:pos="2880"/>
        </w:tabs>
        <w:spacing w:line="240" w:lineRule="auto"/>
        <w:rPr>
          <w:rFonts w:ascii="Times New Roman" w:hAnsi="Times New Roman"/>
          <w:szCs w:val="24"/>
          <w:u w:val="single"/>
        </w:rPr>
      </w:pPr>
      <w:r>
        <w:rPr>
          <w:rFonts w:ascii="Times New Roman" w:hAnsi="Times New Roman"/>
          <w:szCs w:val="24"/>
        </w:rPr>
        <w:t>Date:</w:t>
      </w:r>
      <w:r>
        <w:rPr>
          <w:rFonts w:ascii="Times New Roman" w:hAnsi="Times New Roman"/>
          <w:szCs w:val="24"/>
        </w:rPr>
        <w:tab/>
      </w:r>
      <w:r w:rsidRPr="00717D9F">
        <w:rPr>
          <w:rFonts w:ascii="Times New Roman" w:hAnsi="Times New Roman"/>
          <w:szCs w:val="24"/>
          <w:u w:val="single"/>
        </w:rPr>
        <w:t>March 3, 2021</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717D9F">
        <w:rPr>
          <w:rFonts w:ascii="Times New Roman" w:hAnsi="Times New Roman"/>
          <w:szCs w:val="24"/>
          <w:u w:val="single"/>
        </w:rPr>
        <w:t>_________/s/_____________________</w:t>
      </w:r>
    </w:p>
    <w:p w14:paraId="17656FC7" w14:textId="1524D83F" w:rsidR="00717D9F" w:rsidRDefault="00717D9F" w:rsidP="00235437">
      <w:pPr>
        <w:pStyle w:val="BodyText"/>
        <w:tabs>
          <w:tab w:val="clear" w:pos="1440"/>
          <w:tab w:val="clear" w:pos="2160"/>
          <w:tab w:val="clear" w:pos="2880"/>
        </w:tabs>
        <w:spacing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235437">
        <w:rPr>
          <w:rFonts w:ascii="Times New Roman" w:hAnsi="Times New Roman"/>
          <w:szCs w:val="24"/>
        </w:rPr>
        <w:t>Dennis J. Buckley</w:t>
      </w:r>
    </w:p>
    <w:p w14:paraId="27FD7207" w14:textId="77777777" w:rsidR="00235437" w:rsidRDefault="00717D9F" w:rsidP="00235437">
      <w:pPr>
        <w:pStyle w:val="BodyText"/>
        <w:tabs>
          <w:tab w:val="clear" w:pos="1440"/>
          <w:tab w:val="clear" w:pos="2160"/>
          <w:tab w:val="clear" w:pos="2880"/>
        </w:tabs>
        <w:spacing w:line="240" w:lineRule="auto"/>
        <w:rPr>
          <w:rFonts w:ascii="Times New Roman" w:hAnsi="Times New Roman"/>
          <w:szCs w:val="24"/>
        </w:rPr>
        <w:sectPr w:rsidR="00235437" w:rsidSect="00235437">
          <w:footerReference w:type="even" r:id="rId7"/>
          <w:footerReference w:type="default" r:id="rId8"/>
          <w:pgSz w:w="12240" w:h="15840" w:code="1"/>
          <w:pgMar w:top="1440" w:right="1440" w:bottom="1440" w:left="1440" w:header="720" w:footer="720" w:gutter="0"/>
          <w:pgNumType w:start="1"/>
          <w:cols w:space="720"/>
          <w:titlePg/>
        </w:sect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Administrative Law Judge</w:t>
      </w:r>
      <w:r>
        <w:rPr>
          <w:rFonts w:ascii="Times New Roman" w:hAnsi="Times New Roman"/>
          <w:szCs w:val="24"/>
        </w:rPr>
        <w:tab/>
      </w:r>
      <w:r>
        <w:rPr>
          <w:rFonts w:ascii="Times New Roman" w:hAnsi="Times New Roman"/>
          <w:szCs w:val="24"/>
        </w:rPr>
        <w:tab/>
      </w:r>
      <w:r>
        <w:rPr>
          <w:rFonts w:ascii="Times New Roman" w:hAnsi="Times New Roman"/>
          <w:szCs w:val="24"/>
        </w:rPr>
        <w:tab/>
      </w:r>
    </w:p>
    <w:p w14:paraId="100B19A3" w14:textId="77777777" w:rsidR="00235437" w:rsidRDefault="00235437" w:rsidP="00235437">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C-2020-3018816 - JOSEPH &amp; PATRICIA GANS v. FRONTIER COMMUNICATIONS OF PENNSYLVANIA, INC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b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Cs/>
        </w:rPr>
        <w:t xml:space="preserve">JOSEPH AND </w:t>
      </w:r>
      <w:r>
        <w:rPr>
          <w:rFonts w:ascii="Microsoft Sans Serif" w:eastAsia="Microsoft Sans Serif" w:hAnsi="Microsoft Sans Serif" w:cs="Microsoft Sans Serif"/>
        </w:rPr>
        <w:t>PATRICIA GANS</w:t>
      </w:r>
      <w:r>
        <w:rPr>
          <w:rFonts w:ascii="Microsoft Sans Serif" w:eastAsia="Microsoft Sans Serif" w:hAnsi="Microsoft Sans Serif" w:cs="Microsoft Sans Serif"/>
        </w:rPr>
        <w:cr/>
        <w:t>139 BLVD RD</w:t>
      </w:r>
      <w:r>
        <w:rPr>
          <w:rFonts w:ascii="Microsoft Sans Serif" w:eastAsia="Microsoft Sans Serif" w:hAnsi="Microsoft Sans Serif" w:cs="Microsoft Sans Serif"/>
        </w:rPr>
        <w:cr/>
        <w:t>BLOOMSBURG PA  17815</w:t>
      </w:r>
      <w:r>
        <w:rPr>
          <w:rFonts w:ascii="Microsoft Sans Serif" w:eastAsia="Microsoft Sans Serif" w:hAnsi="Microsoft Sans Serif" w:cs="Microsoft Sans Serif"/>
        </w:rPr>
        <w:cr/>
      </w:r>
      <w:r w:rsidRPr="00740FCE">
        <w:rPr>
          <w:rFonts w:ascii="Microsoft Sans Serif" w:eastAsia="Microsoft Sans Serif" w:hAnsi="Microsoft Sans Serif" w:cs="Microsoft Sans Serif"/>
          <w:b/>
          <w:bCs/>
        </w:rPr>
        <w:t>570.455.4251</w:t>
      </w:r>
      <w:r>
        <w:rPr>
          <w:rFonts w:ascii="Microsoft Sans Serif" w:eastAsia="Microsoft Sans Serif" w:hAnsi="Microsoft Sans Serif" w:cs="Microsoft Sans Serif"/>
        </w:rPr>
        <w:cr/>
      </w:r>
      <w:hyperlink r:id="rId9" w:history="1">
        <w:r w:rsidRPr="00533237">
          <w:rPr>
            <w:rStyle w:val="Hyperlink"/>
            <w:rFonts w:ascii="Microsoft Sans Serif" w:eastAsia="Microsoft Sans Serif" w:hAnsi="Microsoft Sans Serif" w:cs="Microsoft Sans Serif"/>
          </w:rPr>
          <w:t>patgans@pa.metrocast.net</w:t>
        </w:r>
      </w:hyperlink>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p>
    <w:p w14:paraId="14E34BA6" w14:textId="77777777" w:rsidR="00235437" w:rsidRPr="00740FCE" w:rsidRDefault="00235437" w:rsidP="00235437">
      <w:pPr>
        <w:rPr>
          <w:rFonts w:ascii="Microsoft Sans Serif" w:eastAsia="Microsoft Sans Serif" w:hAnsi="Microsoft Sans Serif" w:cs="Microsoft Sans Serif"/>
        </w:rPr>
      </w:pPr>
      <w:r>
        <w:rPr>
          <w:rFonts w:ascii="Microsoft Sans Serif" w:eastAsia="Microsoft Sans Serif" w:hAnsi="Microsoft Sans Serif" w:cs="Microsoft Sans Serif"/>
        </w:rPr>
        <w:cr/>
        <w:t>THOMAS NIESEN ESQUIRE</w:t>
      </w:r>
      <w:r>
        <w:rPr>
          <w:rFonts w:ascii="Microsoft Sans Serif" w:eastAsia="Microsoft Sans Serif" w:hAnsi="Microsoft Sans Serif" w:cs="Microsoft Sans Serif"/>
        </w:rPr>
        <w:cr/>
        <w:t>THOMAS NIESEN &amp; THOMAS LLC</w:t>
      </w:r>
      <w:r>
        <w:rPr>
          <w:rFonts w:ascii="Microsoft Sans Serif" w:eastAsia="Microsoft Sans Serif" w:hAnsi="Microsoft Sans Serif" w:cs="Microsoft Sans Serif"/>
        </w:rPr>
        <w:cr/>
        <w:t>212 LOCUST STREET STE 302</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740FCE">
        <w:rPr>
          <w:rFonts w:ascii="Microsoft Sans Serif" w:eastAsia="Microsoft Sans Serif" w:hAnsi="Microsoft Sans Serif" w:cs="Microsoft Sans Serif"/>
          <w:b/>
          <w:bCs/>
        </w:rPr>
        <w:t>717.255.7600</w:t>
      </w:r>
      <w:r>
        <w:rPr>
          <w:rFonts w:ascii="Microsoft Sans Serif" w:eastAsia="Microsoft Sans Serif" w:hAnsi="Microsoft Sans Serif" w:cs="Microsoft Sans Serif"/>
          <w:b/>
          <w:bCs/>
        </w:rPr>
        <w:br/>
      </w:r>
      <w:hyperlink r:id="rId10" w:history="1">
        <w:r w:rsidRPr="00533237">
          <w:rPr>
            <w:rStyle w:val="Hyperlink"/>
            <w:rFonts w:ascii="Microsoft Sans Serif" w:eastAsia="Microsoft Sans Serif" w:hAnsi="Microsoft Sans Serif" w:cs="Microsoft Sans Serif"/>
          </w:rPr>
          <w:t>tniesen@tntlawfirm.com</w:t>
        </w:r>
      </w:hyperlink>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p>
    <w:p w14:paraId="470C8AE3" w14:textId="4E838E78" w:rsidR="00717D9F" w:rsidRPr="00717D9F" w:rsidRDefault="00717D9F" w:rsidP="00235437">
      <w:pPr>
        <w:pStyle w:val="BodyText"/>
        <w:tabs>
          <w:tab w:val="clear" w:pos="1440"/>
          <w:tab w:val="clear" w:pos="2160"/>
          <w:tab w:val="clear" w:pos="2880"/>
        </w:tabs>
        <w:spacing w:line="240" w:lineRule="auto"/>
        <w:rPr>
          <w:rFonts w:ascii="Times New Roman" w:hAnsi="Times New Roman"/>
          <w:szCs w:val="24"/>
        </w:rPr>
      </w:pPr>
    </w:p>
    <w:p w14:paraId="57BA1C5F" w14:textId="77777777" w:rsidR="00942D05" w:rsidRPr="001F0E8C" w:rsidRDefault="00942D05" w:rsidP="00235437">
      <w:pPr>
        <w:tabs>
          <w:tab w:val="left" w:pos="1440"/>
          <w:tab w:val="left" w:pos="2160"/>
          <w:tab w:val="left" w:pos="2880"/>
        </w:tabs>
        <w:rPr>
          <w:rFonts w:ascii="Times New Roman" w:hAnsi="Times New Roman"/>
          <w:szCs w:val="24"/>
        </w:rPr>
      </w:pPr>
    </w:p>
    <w:sectPr w:rsidR="00942D05" w:rsidRPr="001F0E8C" w:rsidSect="00235437">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581BD9" w14:textId="77777777" w:rsidR="003D7FA0" w:rsidRDefault="003D7FA0">
      <w:r>
        <w:separator/>
      </w:r>
    </w:p>
  </w:endnote>
  <w:endnote w:type="continuationSeparator" w:id="0">
    <w:p w14:paraId="58F334B5" w14:textId="77777777" w:rsidR="003D7FA0" w:rsidRDefault="003D7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C856E"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2CB7A1DB"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DF838" w14:textId="77777777" w:rsidR="00651D9D" w:rsidRPr="00E23955" w:rsidRDefault="00651D9D" w:rsidP="00E23955">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24A4E2" w14:textId="77777777" w:rsidR="003D7FA0" w:rsidRDefault="003D7FA0">
      <w:r>
        <w:separator/>
      </w:r>
    </w:p>
  </w:footnote>
  <w:footnote w:type="continuationSeparator" w:id="0">
    <w:p w14:paraId="1A3F73D8" w14:textId="77777777" w:rsidR="003D7FA0" w:rsidRDefault="003D7F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8D2"/>
    <w:rsid w:val="00005C60"/>
    <w:rsid w:val="000142FD"/>
    <w:rsid w:val="00023E39"/>
    <w:rsid w:val="00025B03"/>
    <w:rsid w:val="0002716E"/>
    <w:rsid w:val="00027C72"/>
    <w:rsid w:val="00034326"/>
    <w:rsid w:val="000411B3"/>
    <w:rsid w:val="00041D84"/>
    <w:rsid w:val="00044752"/>
    <w:rsid w:val="00057C74"/>
    <w:rsid w:val="00057D23"/>
    <w:rsid w:val="000660AF"/>
    <w:rsid w:val="0007319A"/>
    <w:rsid w:val="000734C5"/>
    <w:rsid w:val="00077BD1"/>
    <w:rsid w:val="00082A27"/>
    <w:rsid w:val="00083E21"/>
    <w:rsid w:val="000845D6"/>
    <w:rsid w:val="00084D64"/>
    <w:rsid w:val="0009525E"/>
    <w:rsid w:val="00097B55"/>
    <w:rsid w:val="000A7592"/>
    <w:rsid w:val="000B14C4"/>
    <w:rsid w:val="000D1760"/>
    <w:rsid w:val="000D5A0A"/>
    <w:rsid w:val="000E0E57"/>
    <w:rsid w:val="000E7CF4"/>
    <w:rsid w:val="000F3A06"/>
    <w:rsid w:val="00102B0E"/>
    <w:rsid w:val="00104EEF"/>
    <w:rsid w:val="0010669B"/>
    <w:rsid w:val="0011563C"/>
    <w:rsid w:val="00117E26"/>
    <w:rsid w:val="001326DC"/>
    <w:rsid w:val="00135717"/>
    <w:rsid w:val="0014080F"/>
    <w:rsid w:val="001517FC"/>
    <w:rsid w:val="0015180B"/>
    <w:rsid w:val="00161C9E"/>
    <w:rsid w:val="0016770A"/>
    <w:rsid w:val="001971CB"/>
    <w:rsid w:val="001A649A"/>
    <w:rsid w:val="001A64DF"/>
    <w:rsid w:val="001B4A93"/>
    <w:rsid w:val="001C2D37"/>
    <w:rsid w:val="001C5C82"/>
    <w:rsid w:val="001C628E"/>
    <w:rsid w:val="001D6FDB"/>
    <w:rsid w:val="001D76B9"/>
    <w:rsid w:val="001E0CB7"/>
    <w:rsid w:val="001F0E8C"/>
    <w:rsid w:val="001F4D0A"/>
    <w:rsid w:val="002101F2"/>
    <w:rsid w:val="00214B69"/>
    <w:rsid w:val="0022653E"/>
    <w:rsid w:val="00235437"/>
    <w:rsid w:val="00240128"/>
    <w:rsid w:val="0024752C"/>
    <w:rsid w:val="00257A01"/>
    <w:rsid w:val="00273D2F"/>
    <w:rsid w:val="0029749A"/>
    <w:rsid w:val="002B0B31"/>
    <w:rsid w:val="002C07D6"/>
    <w:rsid w:val="002F1795"/>
    <w:rsid w:val="002F24BA"/>
    <w:rsid w:val="00300367"/>
    <w:rsid w:val="00307D70"/>
    <w:rsid w:val="00310C4C"/>
    <w:rsid w:val="00314E62"/>
    <w:rsid w:val="00323248"/>
    <w:rsid w:val="0032714E"/>
    <w:rsid w:val="00332284"/>
    <w:rsid w:val="0033413D"/>
    <w:rsid w:val="0034393F"/>
    <w:rsid w:val="0034487B"/>
    <w:rsid w:val="003576D2"/>
    <w:rsid w:val="003653EB"/>
    <w:rsid w:val="00365A67"/>
    <w:rsid w:val="003738B5"/>
    <w:rsid w:val="00373A32"/>
    <w:rsid w:val="00375153"/>
    <w:rsid w:val="00380BAD"/>
    <w:rsid w:val="00382381"/>
    <w:rsid w:val="00382DC6"/>
    <w:rsid w:val="00383620"/>
    <w:rsid w:val="003A323A"/>
    <w:rsid w:val="003A6A91"/>
    <w:rsid w:val="003B4B1E"/>
    <w:rsid w:val="003C25F1"/>
    <w:rsid w:val="003D69BC"/>
    <w:rsid w:val="003D7FA0"/>
    <w:rsid w:val="003E23CF"/>
    <w:rsid w:val="003E297F"/>
    <w:rsid w:val="003F7C3C"/>
    <w:rsid w:val="004009A4"/>
    <w:rsid w:val="004114B4"/>
    <w:rsid w:val="00412A6B"/>
    <w:rsid w:val="004136DE"/>
    <w:rsid w:val="00415535"/>
    <w:rsid w:val="00421100"/>
    <w:rsid w:val="0042562A"/>
    <w:rsid w:val="004345D5"/>
    <w:rsid w:val="004423D3"/>
    <w:rsid w:val="004511BC"/>
    <w:rsid w:val="00454EC0"/>
    <w:rsid w:val="00455E5A"/>
    <w:rsid w:val="00457FC3"/>
    <w:rsid w:val="004708EA"/>
    <w:rsid w:val="004723F0"/>
    <w:rsid w:val="00475C8F"/>
    <w:rsid w:val="00482AEA"/>
    <w:rsid w:val="0049173C"/>
    <w:rsid w:val="00495E91"/>
    <w:rsid w:val="004A6597"/>
    <w:rsid w:val="004A7BA7"/>
    <w:rsid w:val="004B0B5F"/>
    <w:rsid w:val="004B5BE0"/>
    <w:rsid w:val="004C36A6"/>
    <w:rsid w:val="004E65D6"/>
    <w:rsid w:val="005108F0"/>
    <w:rsid w:val="005234F3"/>
    <w:rsid w:val="00525C48"/>
    <w:rsid w:val="00526162"/>
    <w:rsid w:val="005354B0"/>
    <w:rsid w:val="005360D6"/>
    <w:rsid w:val="00557D6B"/>
    <w:rsid w:val="00560ED4"/>
    <w:rsid w:val="00565BC0"/>
    <w:rsid w:val="00574109"/>
    <w:rsid w:val="005750A4"/>
    <w:rsid w:val="00596960"/>
    <w:rsid w:val="005A00E4"/>
    <w:rsid w:val="005A1E84"/>
    <w:rsid w:val="005A32DE"/>
    <w:rsid w:val="005C6965"/>
    <w:rsid w:val="005C6E37"/>
    <w:rsid w:val="005C7AD3"/>
    <w:rsid w:val="005D17EE"/>
    <w:rsid w:val="005D2761"/>
    <w:rsid w:val="005D4F5D"/>
    <w:rsid w:val="005E0060"/>
    <w:rsid w:val="005E6E65"/>
    <w:rsid w:val="00603450"/>
    <w:rsid w:val="006061D1"/>
    <w:rsid w:val="00636B2F"/>
    <w:rsid w:val="006370F0"/>
    <w:rsid w:val="00651D9D"/>
    <w:rsid w:val="00657D1D"/>
    <w:rsid w:val="00660FC4"/>
    <w:rsid w:val="00661BB1"/>
    <w:rsid w:val="00661F83"/>
    <w:rsid w:val="00666950"/>
    <w:rsid w:val="00682941"/>
    <w:rsid w:val="00687DFC"/>
    <w:rsid w:val="00696256"/>
    <w:rsid w:val="006A0950"/>
    <w:rsid w:val="006B2124"/>
    <w:rsid w:val="006C160B"/>
    <w:rsid w:val="006D1B7C"/>
    <w:rsid w:val="006D25C6"/>
    <w:rsid w:val="006E60F5"/>
    <w:rsid w:val="006F0C32"/>
    <w:rsid w:val="006F1802"/>
    <w:rsid w:val="00706483"/>
    <w:rsid w:val="00712F05"/>
    <w:rsid w:val="00717D9F"/>
    <w:rsid w:val="00723099"/>
    <w:rsid w:val="007237D0"/>
    <w:rsid w:val="0074034C"/>
    <w:rsid w:val="00745517"/>
    <w:rsid w:val="00750540"/>
    <w:rsid w:val="0075614E"/>
    <w:rsid w:val="0076245C"/>
    <w:rsid w:val="007648A2"/>
    <w:rsid w:val="00767D53"/>
    <w:rsid w:val="007708F0"/>
    <w:rsid w:val="00774B70"/>
    <w:rsid w:val="00775BE9"/>
    <w:rsid w:val="00776296"/>
    <w:rsid w:val="0078615F"/>
    <w:rsid w:val="007927A3"/>
    <w:rsid w:val="00795A87"/>
    <w:rsid w:val="007D4BE2"/>
    <w:rsid w:val="007E0D77"/>
    <w:rsid w:val="007E1B49"/>
    <w:rsid w:val="007E1D25"/>
    <w:rsid w:val="007E5A67"/>
    <w:rsid w:val="008038BD"/>
    <w:rsid w:val="008143B3"/>
    <w:rsid w:val="00823C6B"/>
    <w:rsid w:val="00834711"/>
    <w:rsid w:val="00843B3C"/>
    <w:rsid w:val="00857410"/>
    <w:rsid w:val="00865B7A"/>
    <w:rsid w:val="008676E2"/>
    <w:rsid w:val="00875379"/>
    <w:rsid w:val="00886791"/>
    <w:rsid w:val="008C4326"/>
    <w:rsid w:val="008D2CC6"/>
    <w:rsid w:val="008D77E7"/>
    <w:rsid w:val="008F18FA"/>
    <w:rsid w:val="008F4797"/>
    <w:rsid w:val="008F5090"/>
    <w:rsid w:val="008F784E"/>
    <w:rsid w:val="009059B6"/>
    <w:rsid w:val="00911643"/>
    <w:rsid w:val="00925340"/>
    <w:rsid w:val="009263A0"/>
    <w:rsid w:val="00936272"/>
    <w:rsid w:val="009365EA"/>
    <w:rsid w:val="00942D05"/>
    <w:rsid w:val="0095255A"/>
    <w:rsid w:val="0096276D"/>
    <w:rsid w:val="009661D9"/>
    <w:rsid w:val="009663E5"/>
    <w:rsid w:val="009755CD"/>
    <w:rsid w:val="00990BD6"/>
    <w:rsid w:val="00994411"/>
    <w:rsid w:val="009B4F20"/>
    <w:rsid w:val="009D069A"/>
    <w:rsid w:val="009D0AD0"/>
    <w:rsid w:val="009D5A74"/>
    <w:rsid w:val="009E449F"/>
    <w:rsid w:val="009F6AA4"/>
    <w:rsid w:val="00A05C1F"/>
    <w:rsid w:val="00A1691F"/>
    <w:rsid w:val="00A21202"/>
    <w:rsid w:val="00A3180A"/>
    <w:rsid w:val="00A43978"/>
    <w:rsid w:val="00A52381"/>
    <w:rsid w:val="00A62840"/>
    <w:rsid w:val="00A63EDC"/>
    <w:rsid w:val="00A708B9"/>
    <w:rsid w:val="00A73789"/>
    <w:rsid w:val="00A81882"/>
    <w:rsid w:val="00A834F1"/>
    <w:rsid w:val="00A85DAE"/>
    <w:rsid w:val="00A9021A"/>
    <w:rsid w:val="00A91EF7"/>
    <w:rsid w:val="00AA2A9F"/>
    <w:rsid w:val="00AA69F2"/>
    <w:rsid w:val="00AB2455"/>
    <w:rsid w:val="00AB5AAB"/>
    <w:rsid w:val="00AC31A7"/>
    <w:rsid w:val="00AC5956"/>
    <w:rsid w:val="00AD2742"/>
    <w:rsid w:val="00AE2A86"/>
    <w:rsid w:val="00AE5CB1"/>
    <w:rsid w:val="00AF3CB3"/>
    <w:rsid w:val="00AF4FEE"/>
    <w:rsid w:val="00AF61C1"/>
    <w:rsid w:val="00B16688"/>
    <w:rsid w:val="00B239F1"/>
    <w:rsid w:val="00B25D2E"/>
    <w:rsid w:val="00B26C9E"/>
    <w:rsid w:val="00B33208"/>
    <w:rsid w:val="00B5447F"/>
    <w:rsid w:val="00B55DE7"/>
    <w:rsid w:val="00B565FA"/>
    <w:rsid w:val="00B56D00"/>
    <w:rsid w:val="00B677BB"/>
    <w:rsid w:val="00B71E03"/>
    <w:rsid w:val="00B82DED"/>
    <w:rsid w:val="00B93AF3"/>
    <w:rsid w:val="00BA7349"/>
    <w:rsid w:val="00C01E9D"/>
    <w:rsid w:val="00C02298"/>
    <w:rsid w:val="00C255D5"/>
    <w:rsid w:val="00C53B9F"/>
    <w:rsid w:val="00C566CD"/>
    <w:rsid w:val="00C6726F"/>
    <w:rsid w:val="00C72B32"/>
    <w:rsid w:val="00C93017"/>
    <w:rsid w:val="00C9639F"/>
    <w:rsid w:val="00C97AF7"/>
    <w:rsid w:val="00CA2AE4"/>
    <w:rsid w:val="00CA359B"/>
    <w:rsid w:val="00CB6B07"/>
    <w:rsid w:val="00CC4B68"/>
    <w:rsid w:val="00CE5A26"/>
    <w:rsid w:val="00CF00B9"/>
    <w:rsid w:val="00CF5BA4"/>
    <w:rsid w:val="00D03EB8"/>
    <w:rsid w:val="00D05A4F"/>
    <w:rsid w:val="00D1657F"/>
    <w:rsid w:val="00D20798"/>
    <w:rsid w:val="00D309E5"/>
    <w:rsid w:val="00D4775E"/>
    <w:rsid w:val="00D55E54"/>
    <w:rsid w:val="00D64C13"/>
    <w:rsid w:val="00D652B0"/>
    <w:rsid w:val="00D663F2"/>
    <w:rsid w:val="00D761E5"/>
    <w:rsid w:val="00D937E9"/>
    <w:rsid w:val="00D961A1"/>
    <w:rsid w:val="00DA093E"/>
    <w:rsid w:val="00DB01D1"/>
    <w:rsid w:val="00DC233C"/>
    <w:rsid w:val="00DE04E8"/>
    <w:rsid w:val="00DF16E1"/>
    <w:rsid w:val="00DF2B00"/>
    <w:rsid w:val="00DF3155"/>
    <w:rsid w:val="00E01AD1"/>
    <w:rsid w:val="00E04150"/>
    <w:rsid w:val="00E1137D"/>
    <w:rsid w:val="00E11D74"/>
    <w:rsid w:val="00E23955"/>
    <w:rsid w:val="00E331D2"/>
    <w:rsid w:val="00E37BA9"/>
    <w:rsid w:val="00E37D46"/>
    <w:rsid w:val="00E564E2"/>
    <w:rsid w:val="00E71C1B"/>
    <w:rsid w:val="00E732F3"/>
    <w:rsid w:val="00E765CB"/>
    <w:rsid w:val="00E84F39"/>
    <w:rsid w:val="00E96FF7"/>
    <w:rsid w:val="00E9731E"/>
    <w:rsid w:val="00EA04E0"/>
    <w:rsid w:val="00EC1D5D"/>
    <w:rsid w:val="00EC6473"/>
    <w:rsid w:val="00EE58C9"/>
    <w:rsid w:val="00EE61AE"/>
    <w:rsid w:val="00F0013B"/>
    <w:rsid w:val="00F0042D"/>
    <w:rsid w:val="00F019E6"/>
    <w:rsid w:val="00F1416F"/>
    <w:rsid w:val="00F1480E"/>
    <w:rsid w:val="00F14CC6"/>
    <w:rsid w:val="00F14F79"/>
    <w:rsid w:val="00F32F47"/>
    <w:rsid w:val="00F62ED9"/>
    <w:rsid w:val="00F72167"/>
    <w:rsid w:val="00F747B8"/>
    <w:rsid w:val="00F83823"/>
    <w:rsid w:val="00F974DF"/>
    <w:rsid w:val="00FA35AF"/>
    <w:rsid w:val="00FA3F91"/>
    <w:rsid w:val="00FA6FD7"/>
    <w:rsid w:val="00FB0D21"/>
    <w:rsid w:val="00FC01AC"/>
    <w:rsid w:val="00FD409C"/>
    <w:rsid w:val="00FD699D"/>
    <w:rsid w:val="00FE2C9A"/>
    <w:rsid w:val="00FF2C19"/>
    <w:rsid w:val="00FF4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4:docId w14:val="0135F431"/>
  <w15:docId w15:val="{4D5DDC52-CA49-4D82-A31A-70C9AC88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97AF7"/>
    <w:pPr>
      <w:framePr w:w="7920" w:h="1980" w:hRule="exact" w:hSpace="180" w:wrap="auto" w:hAnchor="page" w:xAlign="center" w:yAlign="bottom"/>
      <w:ind w:left="2880"/>
    </w:pPr>
    <w:rPr>
      <w:rFonts w:ascii="Times New Roman" w:hAnsi="Times New Roman"/>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DC233C"/>
    <w:rPr>
      <w:rFonts w:ascii="Tahoma" w:hAnsi="Tahoma" w:cs="Tahoma"/>
      <w:sz w:val="16"/>
      <w:szCs w:val="16"/>
    </w:rPr>
  </w:style>
  <w:style w:type="character" w:customStyle="1" w:styleId="BalloonTextChar">
    <w:name w:val="Balloon Text Char"/>
    <w:basedOn w:val="DefaultParagraphFont"/>
    <w:link w:val="BalloonText"/>
    <w:rsid w:val="00DC233C"/>
    <w:rPr>
      <w:rFonts w:ascii="Tahoma" w:hAnsi="Tahoma" w:cs="Tahoma"/>
      <w:spacing w:val="-3"/>
      <w:sz w:val="16"/>
      <w:szCs w:val="16"/>
    </w:rPr>
  </w:style>
  <w:style w:type="paragraph" w:styleId="NoSpacing">
    <w:name w:val="No Spacing"/>
    <w:uiPriority w:val="1"/>
    <w:qFormat/>
    <w:rsid w:val="0003432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656421591">
      <w:bodyDiv w:val="1"/>
      <w:marLeft w:val="0"/>
      <w:marRight w:val="0"/>
      <w:marTop w:val="0"/>
      <w:marBottom w:val="0"/>
      <w:divBdr>
        <w:top w:val="none" w:sz="0" w:space="0" w:color="auto"/>
        <w:left w:val="none" w:sz="0" w:space="0" w:color="auto"/>
        <w:bottom w:val="none" w:sz="0" w:space="0" w:color="auto"/>
        <w:right w:val="none" w:sz="0" w:space="0" w:color="auto"/>
      </w:divBdr>
    </w:div>
    <w:div w:id="673534210">
      <w:bodyDiv w:val="1"/>
      <w:marLeft w:val="0"/>
      <w:marRight w:val="0"/>
      <w:marTop w:val="0"/>
      <w:marBottom w:val="0"/>
      <w:divBdr>
        <w:top w:val="none" w:sz="0" w:space="0" w:color="auto"/>
        <w:left w:val="none" w:sz="0" w:space="0" w:color="auto"/>
        <w:bottom w:val="none" w:sz="0" w:space="0" w:color="auto"/>
        <w:right w:val="none" w:sz="0" w:space="0" w:color="auto"/>
      </w:divBdr>
    </w:div>
    <w:div w:id="889223641">
      <w:bodyDiv w:val="1"/>
      <w:marLeft w:val="0"/>
      <w:marRight w:val="0"/>
      <w:marTop w:val="0"/>
      <w:marBottom w:val="0"/>
      <w:divBdr>
        <w:top w:val="none" w:sz="0" w:space="0" w:color="auto"/>
        <w:left w:val="none" w:sz="0" w:space="0" w:color="auto"/>
        <w:bottom w:val="none" w:sz="0" w:space="0" w:color="auto"/>
        <w:right w:val="none" w:sz="0" w:space="0" w:color="auto"/>
      </w:divBdr>
    </w:div>
    <w:div w:id="1042831028">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tniesen@tntlawfirm.com" TargetMode="External"/><Relationship Id="rId4" Type="http://schemas.openxmlformats.org/officeDocument/2006/relationships/webSettings" Target="webSettings.xml"/><Relationship Id="rId9" Type="http://schemas.openxmlformats.org/officeDocument/2006/relationships/hyperlink" Target="mailto:patgans@pa.metro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A0D1B-B006-41AA-AC35-F632B4841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959</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6246</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Williams, Bobbie Jo</cp:lastModifiedBy>
  <cp:revision>2</cp:revision>
  <cp:lastPrinted>2019-07-26T14:00:00Z</cp:lastPrinted>
  <dcterms:created xsi:type="dcterms:W3CDTF">2021-03-04T12:51:00Z</dcterms:created>
  <dcterms:modified xsi:type="dcterms:W3CDTF">2021-03-04T12:51:00Z</dcterms:modified>
</cp:coreProperties>
</file>