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03F15" w14:textId="5A30EBF8" w:rsidR="00B16454" w:rsidRPr="00B16454" w:rsidRDefault="00B16454" w:rsidP="00B16454">
      <w:pPr>
        <w:spacing w:line="240" w:lineRule="auto"/>
        <w:jc w:val="center"/>
        <w:rPr>
          <w:b/>
          <w:szCs w:val="24"/>
        </w:rPr>
      </w:pPr>
      <w:r w:rsidRPr="00B16454">
        <w:rPr>
          <w:b/>
          <w:szCs w:val="24"/>
        </w:rPr>
        <w:t>BEFORE THE</w:t>
      </w:r>
    </w:p>
    <w:p w14:paraId="1FD0CADE" w14:textId="77777777" w:rsidR="00B16454" w:rsidRPr="00B16454" w:rsidRDefault="00B16454" w:rsidP="00B16454">
      <w:pPr>
        <w:spacing w:line="240" w:lineRule="auto"/>
        <w:jc w:val="center"/>
        <w:rPr>
          <w:b/>
          <w:szCs w:val="24"/>
        </w:rPr>
      </w:pPr>
      <w:r w:rsidRPr="00B16454">
        <w:rPr>
          <w:b/>
          <w:szCs w:val="24"/>
        </w:rPr>
        <w:t>PENNSYLVANIA PUBLIC UTILITY COMMISSION</w:t>
      </w:r>
    </w:p>
    <w:p w14:paraId="28037001" w14:textId="6F7C3A87" w:rsidR="00B16454" w:rsidRDefault="00B16454" w:rsidP="00B16454">
      <w:pPr>
        <w:spacing w:line="240" w:lineRule="auto"/>
        <w:rPr>
          <w:szCs w:val="24"/>
        </w:rPr>
      </w:pPr>
    </w:p>
    <w:p w14:paraId="0BDE490E" w14:textId="048EC9FD" w:rsidR="006745BA" w:rsidRDefault="006745BA" w:rsidP="00B16454">
      <w:pPr>
        <w:spacing w:line="240" w:lineRule="auto"/>
        <w:rPr>
          <w:szCs w:val="24"/>
        </w:rPr>
      </w:pPr>
    </w:p>
    <w:p w14:paraId="74E79EA3" w14:textId="77777777" w:rsidR="00BD5D11" w:rsidRPr="00B16454" w:rsidRDefault="00BD5D11" w:rsidP="00B16454">
      <w:pPr>
        <w:spacing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283"/>
        <w:gridCol w:w="4584"/>
      </w:tblGrid>
      <w:tr w:rsidR="006745BA" w:rsidRPr="00716DC3" w14:paraId="4AC4BCD5" w14:textId="77777777" w:rsidTr="00C42576">
        <w:tc>
          <w:tcPr>
            <w:tcW w:w="4493" w:type="dxa"/>
          </w:tcPr>
          <w:p w14:paraId="70B0F6CA" w14:textId="77777777" w:rsidR="006745BA" w:rsidRPr="00716DC3" w:rsidRDefault="006745BA" w:rsidP="00C42576">
            <w:pPr>
              <w:rPr>
                <w:rFonts w:ascii="Times New Roman" w:hAnsi="Times New Roman" w:cs="Times New Roman"/>
                <w:sz w:val="23"/>
                <w:szCs w:val="23"/>
              </w:rPr>
            </w:pPr>
            <w:proofErr w:type="spellStart"/>
            <w:r w:rsidRPr="00716DC3">
              <w:rPr>
                <w:rFonts w:ascii="Times New Roman" w:hAnsi="Times New Roman" w:cs="Times New Roman"/>
                <w:sz w:val="23"/>
                <w:szCs w:val="23"/>
              </w:rPr>
              <w:t>EnergyMark</w:t>
            </w:r>
            <w:proofErr w:type="spellEnd"/>
            <w:r w:rsidRPr="00716DC3">
              <w:rPr>
                <w:rFonts w:ascii="Times New Roman" w:hAnsi="Times New Roman" w:cs="Times New Roman"/>
                <w:sz w:val="23"/>
                <w:szCs w:val="23"/>
              </w:rPr>
              <w:t xml:space="preserve"> LLC, Vineyard Oil and Gas Company, </w:t>
            </w:r>
            <w:proofErr w:type="spellStart"/>
            <w:r w:rsidRPr="00716DC3">
              <w:rPr>
                <w:rFonts w:ascii="Times New Roman" w:hAnsi="Times New Roman" w:cs="Times New Roman"/>
                <w:sz w:val="23"/>
                <w:szCs w:val="23"/>
              </w:rPr>
              <w:t>Mid American</w:t>
            </w:r>
            <w:proofErr w:type="spellEnd"/>
            <w:r w:rsidRPr="00716DC3">
              <w:rPr>
                <w:rFonts w:ascii="Times New Roman" w:hAnsi="Times New Roman" w:cs="Times New Roman"/>
                <w:sz w:val="23"/>
                <w:szCs w:val="23"/>
              </w:rPr>
              <w:t xml:space="preserve"> Natural Resources LLC, and Total Energy Resources LLC,</w:t>
            </w:r>
          </w:p>
          <w:p w14:paraId="11521BB0" w14:textId="39420151" w:rsidR="006745BA" w:rsidRDefault="006745BA" w:rsidP="00C42576">
            <w:pPr>
              <w:ind w:left="690"/>
              <w:rPr>
                <w:rFonts w:ascii="Times New Roman" w:hAnsi="Times New Roman" w:cs="Times New Roman"/>
                <w:sz w:val="23"/>
                <w:szCs w:val="23"/>
              </w:rPr>
            </w:pPr>
          </w:p>
          <w:p w14:paraId="15FCE2F1" w14:textId="524CC95C" w:rsidR="006745BA" w:rsidRDefault="00F970F3" w:rsidP="00F970F3">
            <w:pPr>
              <w:ind w:left="1425"/>
              <w:rPr>
                <w:rFonts w:ascii="Times New Roman" w:hAnsi="Times New Roman" w:cs="Times New Roman"/>
                <w:sz w:val="23"/>
                <w:szCs w:val="23"/>
              </w:rPr>
            </w:pPr>
            <w:r>
              <w:rPr>
                <w:rFonts w:ascii="Times New Roman" w:hAnsi="Times New Roman" w:cs="Times New Roman"/>
                <w:sz w:val="23"/>
                <w:szCs w:val="23"/>
              </w:rPr>
              <w:t>v.</w:t>
            </w:r>
          </w:p>
          <w:p w14:paraId="66D5BA8B" w14:textId="77777777" w:rsidR="00F970F3" w:rsidRPr="00716DC3" w:rsidRDefault="00F970F3" w:rsidP="00C42576">
            <w:pPr>
              <w:rPr>
                <w:rFonts w:ascii="Times New Roman" w:hAnsi="Times New Roman" w:cs="Times New Roman"/>
                <w:sz w:val="23"/>
                <w:szCs w:val="23"/>
              </w:rPr>
            </w:pPr>
          </w:p>
          <w:p w14:paraId="219AED47" w14:textId="447D2921"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National Fuel Gas Distribution Corporation</w:t>
            </w:r>
          </w:p>
          <w:p w14:paraId="4F8D7956" w14:textId="753A56FB" w:rsidR="006745BA" w:rsidRPr="00716DC3" w:rsidRDefault="006745BA" w:rsidP="00C42576">
            <w:pPr>
              <w:ind w:left="1425"/>
              <w:rPr>
                <w:rFonts w:ascii="Times New Roman" w:hAnsi="Times New Roman" w:cs="Times New Roman"/>
                <w:sz w:val="23"/>
                <w:szCs w:val="23"/>
              </w:rPr>
            </w:pPr>
          </w:p>
        </w:tc>
        <w:tc>
          <w:tcPr>
            <w:tcW w:w="283" w:type="dxa"/>
          </w:tcPr>
          <w:p w14:paraId="0174A918"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7387B0D1"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37973D7C"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401E914B"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6FB8BC84"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1D24FEBA"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2F4CF944" w14:textId="77777777" w:rsidR="006745BA" w:rsidRPr="00716DC3" w:rsidRDefault="006745BA" w:rsidP="00C42576">
            <w:pPr>
              <w:rPr>
                <w:rFonts w:ascii="Times New Roman" w:hAnsi="Times New Roman" w:cs="Times New Roman"/>
                <w:sz w:val="23"/>
                <w:szCs w:val="23"/>
              </w:rPr>
            </w:pPr>
            <w:r w:rsidRPr="00716DC3">
              <w:rPr>
                <w:rFonts w:ascii="Times New Roman" w:hAnsi="Times New Roman" w:cs="Times New Roman"/>
                <w:sz w:val="23"/>
                <w:szCs w:val="23"/>
              </w:rPr>
              <w:t>:</w:t>
            </w:r>
          </w:p>
          <w:p w14:paraId="37037B6C" w14:textId="5A27D0AB" w:rsidR="006745BA" w:rsidRPr="00716DC3" w:rsidRDefault="006745BA" w:rsidP="00C42576">
            <w:pPr>
              <w:rPr>
                <w:rFonts w:ascii="Times New Roman" w:hAnsi="Times New Roman" w:cs="Times New Roman"/>
                <w:sz w:val="23"/>
                <w:szCs w:val="23"/>
              </w:rPr>
            </w:pPr>
          </w:p>
        </w:tc>
        <w:tc>
          <w:tcPr>
            <w:tcW w:w="4584" w:type="dxa"/>
          </w:tcPr>
          <w:p w14:paraId="1BA2B049" w14:textId="77777777" w:rsidR="006745BA" w:rsidRPr="00716DC3" w:rsidRDefault="006745BA" w:rsidP="00C42576">
            <w:pPr>
              <w:rPr>
                <w:rFonts w:ascii="Times New Roman" w:hAnsi="Times New Roman" w:cs="Times New Roman"/>
                <w:sz w:val="23"/>
                <w:szCs w:val="23"/>
              </w:rPr>
            </w:pPr>
          </w:p>
          <w:p w14:paraId="4B519006" w14:textId="77777777" w:rsidR="006745BA" w:rsidRPr="00716DC3" w:rsidRDefault="006745BA" w:rsidP="00C42576">
            <w:pPr>
              <w:rPr>
                <w:rFonts w:ascii="Times New Roman" w:hAnsi="Times New Roman" w:cs="Times New Roman"/>
                <w:sz w:val="23"/>
                <w:szCs w:val="23"/>
              </w:rPr>
            </w:pPr>
          </w:p>
          <w:p w14:paraId="130F162A" w14:textId="77777777" w:rsidR="006745BA" w:rsidRPr="00716DC3" w:rsidRDefault="006745BA" w:rsidP="00C42576">
            <w:pPr>
              <w:rPr>
                <w:rFonts w:ascii="Times New Roman" w:hAnsi="Times New Roman" w:cs="Times New Roman"/>
                <w:sz w:val="23"/>
                <w:szCs w:val="23"/>
              </w:rPr>
            </w:pPr>
          </w:p>
          <w:p w14:paraId="44D216E2" w14:textId="4FDA4B7D" w:rsidR="006745BA" w:rsidRPr="00716DC3" w:rsidRDefault="00BD5D11" w:rsidP="00473486">
            <w:pPr>
              <w:ind w:left="960"/>
              <w:rPr>
                <w:rFonts w:ascii="Times New Roman" w:hAnsi="Times New Roman" w:cs="Times New Roman"/>
                <w:sz w:val="23"/>
                <w:szCs w:val="23"/>
                <w:u w:val="single"/>
              </w:rPr>
            </w:pPr>
            <w:r>
              <w:rPr>
                <w:rFonts w:ascii="Times New Roman" w:hAnsi="Times New Roman" w:cs="Times New Roman"/>
                <w:sz w:val="23"/>
                <w:szCs w:val="23"/>
              </w:rPr>
              <w:t xml:space="preserve">            </w:t>
            </w:r>
            <w:r w:rsidR="006745BA" w:rsidRPr="00716DC3">
              <w:rPr>
                <w:rFonts w:ascii="Times New Roman" w:hAnsi="Times New Roman" w:cs="Times New Roman"/>
                <w:sz w:val="23"/>
                <w:szCs w:val="23"/>
              </w:rPr>
              <w:t>C-2020-3019621</w:t>
            </w:r>
          </w:p>
        </w:tc>
      </w:tr>
      <w:tr w:rsidR="00473486" w:rsidRPr="00716DC3" w14:paraId="61D8CA7B" w14:textId="77777777" w:rsidTr="00C42576">
        <w:tc>
          <w:tcPr>
            <w:tcW w:w="4493" w:type="dxa"/>
          </w:tcPr>
          <w:p w14:paraId="076EFB80" w14:textId="77777777" w:rsidR="00473486" w:rsidRPr="00716DC3" w:rsidRDefault="00473486" w:rsidP="00C42576">
            <w:pPr>
              <w:rPr>
                <w:sz w:val="23"/>
                <w:szCs w:val="23"/>
              </w:rPr>
            </w:pPr>
          </w:p>
        </w:tc>
        <w:tc>
          <w:tcPr>
            <w:tcW w:w="283" w:type="dxa"/>
          </w:tcPr>
          <w:p w14:paraId="47B3025D" w14:textId="77777777" w:rsidR="00473486" w:rsidRPr="00716DC3" w:rsidRDefault="00473486" w:rsidP="00C42576">
            <w:pPr>
              <w:rPr>
                <w:sz w:val="23"/>
                <w:szCs w:val="23"/>
              </w:rPr>
            </w:pPr>
          </w:p>
        </w:tc>
        <w:tc>
          <w:tcPr>
            <w:tcW w:w="4584" w:type="dxa"/>
          </w:tcPr>
          <w:p w14:paraId="396E91B6" w14:textId="77777777" w:rsidR="00473486" w:rsidRPr="00716DC3" w:rsidRDefault="00473486" w:rsidP="00C42576">
            <w:pPr>
              <w:rPr>
                <w:sz w:val="23"/>
                <w:szCs w:val="23"/>
              </w:rPr>
            </w:pPr>
          </w:p>
        </w:tc>
      </w:tr>
    </w:tbl>
    <w:p w14:paraId="782646EF" w14:textId="69A542E0" w:rsidR="006745BA" w:rsidRDefault="006745BA" w:rsidP="00B16454">
      <w:pPr>
        <w:spacing w:line="240" w:lineRule="auto"/>
        <w:jc w:val="center"/>
        <w:rPr>
          <w:b/>
          <w:bCs/>
          <w:szCs w:val="24"/>
          <w:u w:val="single"/>
        </w:rPr>
      </w:pPr>
    </w:p>
    <w:p w14:paraId="2DC809D5" w14:textId="386471EE" w:rsidR="006745BA" w:rsidRPr="00B925D0" w:rsidRDefault="00304F4C" w:rsidP="006745BA">
      <w:pPr>
        <w:spacing w:line="240" w:lineRule="auto"/>
        <w:jc w:val="center"/>
        <w:rPr>
          <w:b/>
          <w:bCs/>
          <w:caps/>
          <w:szCs w:val="24"/>
          <w:u w:val="single"/>
        </w:rPr>
      </w:pPr>
      <w:r>
        <w:rPr>
          <w:b/>
          <w:bCs/>
          <w:szCs w:val="24"/>
          <w:u w:val="single"/>
        </w:rPr>
        <w:t xml:space="preserve">ORDER </w:t>
      </w:r>
      <w:r w:rsidR="00F6025E">
        <w:rPr>
          <w:b/>
          <w:bCs/>
          <w:szCs w:val="24"/>
          <w:u w:val="single"/>
        </w:rPr>
        <w:t xml:space="preserve">DENYING THE MOTION TO </w:t>
      </w:r>
      <w:r w:rsidR="00005506">
        <w:rPr>
          <w:b/>
          <w:bCs/>
          <w:szCs w:val="24"/>
          <w:u w:val="single"/>
        </w:rPr>
        <w:t xml:space="preserve">DISMISS OBJECTIONS AND </w:t>
      </w:r>
      <w:r w:rsidR="00F6025E">
        <w:rPr>
          <w:b/>
          <w:bCs/>
          <w:szCs w:val="24"/>
          <w:u w:val="single"/>
        </w:rPr>
        <w:t>COMPEL</w:t>
      </w:r>
      <w:r w:rsidR="00005506">
        <w:rPr>
          <w:b/>
          <w:bCs/>
          <w:szCs w:val="24"/>
          <w:u w:val="single"/>
        </w:rPr>
        <w:t xml:space="preserve"> RESPONSES</w:t>
      </w:r>
      <w:r w:rsidR="00F6025E">
        <w:rPr>
          <w:b/>
          <w:bCs/>
          <w:szCs w:val="24"/>
          <w:u w:val="single"/>
        </w:rPr>
        <w:t xml:space="preserve"> </w:t>
      </w:r>
      <w:r w:rsidR="003962B0">
        <w:rPr>
          <w:b/>
          <w:bCs/>
          <w:szCs w:val="24"/>
          <w:u w:val="single"/>
        </w:rPr>
        <w:t>SUBMITTED BY</w:t>
      </w:r>
      <w:r w:rsidR="00F6025E">
        <w:rPr>
          <w:b/>
          <w:bCs/>
          <w:szCs w:val="24"/>
          <w:u w:val="single"/>
        </w:rPr>
        <w:t xml:space="preserve"> THE JOINT COMPLAINANTS</w:t>
      </w:r>
      <w:r w:rsidR="00B925D0">
        <w:rPr>
          <w:b/>
          <w:bCs/>
          <w:szCs w:val="24"/>
          <w:u w:val="single"/>
        </w:rPr>
        <w:t xml:space="preserve">, </w:t>
      </w:r>
      <w:r w:rsidR="00B925D0" w:rsidRPr="00B925D0">
        <w:rPr>
          <w:b/>
          <w:bCs/>
          <w:caps/>
          <w:szCs w:val="24"/>
          <w:u w:val="single"/>
        </w:rPr>
        <w:t>EnergyMark LLC, Vineyard Oil and Gas Company, Mid American Natural Resources LLC, and Total Energy Resources LLC</w:t>
      </w:r>
    </w:p>
    <w:p w14:paraId="12557127" w14:textId="59FF1A23" w:rsidR="00F970F3" w:rsidRDefault="00F970F3" w:rsidP="006745BA">
      <w:pPr>
        <w:spacing w:line="240" w:lineRule="auto"/>
        <w:jc w:val="center"/>
        <w:rPr>
          <w:b/>
          <w:bCs/>
          <w:szCs w:val="24"/>
          <w:u w:val="single"/>
        </w:rPr>
      </w:pPr>
    </w:p>
    <w:p w14:paraId="4208CD38" w14:textId="77777777" w:rsidR="003962B0" w:rsidRDefault="003962B0" w:rsidP="00AB122C">
      <w:pPr>
        <w:spacing w:line="360" w:lineRule="auto"/>
        <w:jc w:val="left"/>
        <w:rPr>
          <w:szCs w:val="24"/>
        </w:rPr>
      </w:pPr>
    </w:p>
    <w:p w14:paraId="612983FA" w14:textId="5A642104" w:rsidR="003962B0" w:rsidRDefault="003962B0" w:rsidP="00AB122C">
      <w:pPr>
        <w:spacing w:line="360" w:lineRule="auto"/>
        <w:jc w:val="left"/>
        <w:rPr>
          <w:szCs w:val="24"/>
        </w:rPr>
      </w:pPr>
      <w:r>
        <w:rPr>
          <w:szCs w:val="24"/>
        </w:rPr>
        <w:tab/>
      </w:r>
      <w:r>
        <w:rPr>
          <w:szCs w:val="24"/>
        </w:rPr>
        <w:tab/>
      </w:r>
      <w:r w:rsidR="00A5213B" w:rsidRPr="00A5213B">
        <w:rPr>
          <w:szCs w:val="24"/>
        </w:rPr>
        <w:t xml:space="preserve">In accordance with the provisions of 52 Pa. Code §§ 5.483 and 5.342(g)(2), this Order denies the Motion to </w:t>
      </w:r>
      <w:r w:rsidR="00005506">
        <w:rPr>
          <w:szCs w:val="24"/>
        </w:rPr>
        <w:t xml:space="preserve">Dismiss Objections and </w:t>
      </w:r>
      <w:r w:rsidR="00A5213B" w:rsidRPr="00A5213B">
        <w:rPr>
          <w:szCs w:val="24"/>
        </w:rPr>
        <w:t xml:space="preserve">Compel </w:t>
      </w:r>
      <w:r w:rsidR="00005506">
        <w:rPr>
          <w:szCs w:val="24"/>
        </w:rPr>
        <w:t xml:space="preserve">Responses (the Motion to Compel) </w:t>
      </w:r>
      <w:r w:rsidR="00A5213B" w:rsidRPr="00A5213B">
        <w:rPr>
          <w:szCs w:val="24"/>
        </w:rPr>
        <w:t xml:space="preserve">filed by </w:t>
      </w:r>
      <w:r w:rsidR="0090710F">
        <w:rPr>
          <w:szCs w:val="24"/>
        </w:rPr>
        <w:t xml:space="preserve">the Joint Complainants in this proceeding </w:t>
      </w:r>
      <w:r w:rsidR="00A5213B" w:rsidRPr="00A5213B">
        <w:rPr>
          <w:szCs w:val="24"/>
        </w:rPr>
        <w:t xml:space="preserve">seeking an Order to require </w:t>
      </w:r>
      <w:r w:rsidR="0090710F">
        <w:rPr>
          <w:szCs w:val="24"/>
        </w:rPr>
        <w:t xml:space="preserve">National Fuel Gas </w:t>
      </w:r>
      <w:r w:rsidR="001B204D">
        <w:rPr>
          <w:szCs w:val="24"/>
        </w:rPr>
        <w:t>Distribution Corporation</w:t>
      </w:r>
      <w:r w:rsidR="00A5213B" w:rsidRPr="00A5213B">
        <w:rPr>
          <w:szCs w:val="24"/>
        </w:rPr>
        <w:t xml:space="preserve">, to </w:t>
      </w:r>
      <w:r w:rsidR="001E68FA">
        <w:rPr>
          <w:szCs w:val="24"/>
        </w:rPr>
        <w:t>answer</w:t>
      </w:r>
      <w:r w:rsidR="00A5213B" w:rsidRPr="00A5213B">
        <w:rPr>
          <w:szCs w:val="24"/>
        </w:rPr>
        <w:t xml:space="preserve"> </w:t>
      </w:r>
      <w:r w:rsidR="001B204D">
        <w:rPr>
          <w:szCs w:val="24"/>
        </w:rPr>
        <w:t xml:space="preserve">Joint Complainants’ </w:t>
      </w:r>
      <w:r w:rsidR="00A5213B" w:rsidRPr="00A5213B">
        <w:rPr>
          <w:szCs w:val="24"/>
        </w:rPr>
        <w:t>Interrogatories Set III No</w:t>
      </w:r>
      <w:r w:rsidR="00CA213B">
        <w:rPr>
          <w:szCs w:val="24"/>
        </w:rPr>
        <w:t>. 1.</w:t>
      </w:r>
      <w:r w:rsidR="00A5213B" w:rsidRPr="00A5213B">
        <w:rPr>
          <w:szCs w:val="24"/>
        </w:rPr>
        <w:t xml:space="preserve">  </w:t>
      </w:r>
    </w:p>
    <w:p w14:paraId="3ED7EBA3" w14:textId="7C779F3B" w:rsidR="00165F61" w:rsidRDefault="00165F61" w:rsidP="00AB122C">
      <w:pPr>
        <w:spacing w:line="360" w:lineRule="auto"/>
        <w:jc w:val="left"/>
        <w:rPr>
          <w:szCs w:val="24"/>
        </w:rPr>
      </w:pPr>
    </w:p>
    <w:p w14:paraId="1424A488" w14:textId="769ABC8E" w:rsidR="00165F61" w:rsidRPr="00165F61" w:rsidRDefault="00165F61" w:rsidP="00AB122C">
      <w:pPr>
        <w:spacing w:line="360" w:lineRule="auto"/>
        <w:jc w:val="left"/>
        <w:rPr>
          <w:b/>
          <w:bCs/>
          <w:szCs w:val="24"/>
        </w:rPr>
      </w:pPr>
      <w:r w:rsidRPr="00165F61">
        <w:rPr>
          <w:b/>
          <w:bCs/>
          <w:szCs w:val="24"/>
        </w:rPr>
        <w:t>Procedural History</w:t>
      </w:r>
    </w:p>
    <w:p w14:paraId="24566522" w14:textId="77777777" w:rsidR="003962B0" w:rsidRDefault="003962B0" w:rsidP="00AB122C">
      <w:pPr>
        <w:spacing w:line="360" w:lineRule="auto"/>
        <w:jc w:val="left"/>
        <w:rPr>
          <w:szCs w:val="24"/>
        </w:rPr>
      </w:pPr>
    </w:p>
    <w:p w14:paraId="2A9A89CE" w14:textId="735BE151" w:rsidR="00473486" w:rsidRDefault="000B1A54" w:rsidP="00AB122C">
      <w:pPr>
        <w:spacing w:line="360" w:lineRule="auto"/>
        <w:jc w:val="left"/>
        <w:rPr>
          <w:szCs w:val="24"/>
        </w:rPr>
      </w:pPr>
      <w:r>
        <w:rPr>
          <w:szCs w:val="24"/>
        </w:rPr>
        <w:tab/>
      </w:r>
      <w:r>
        <w:rPr>
          <w:szCs w:val="24"/>
        </w:rPr>
        <w:tab/>
      </w:r>
      <w:r w:rsidR="00AB122C" w:rsidRPr="00AB122C">
        <w:rPr>
          <w:szCs w:val="24"/>
        </w:rPr>
        <w:t>On August 29, 2019, the Pennsylvania Public Utility Commission (</w:t>
      </w:r>
      <w:r w:rsidR="00AB122C">
        <w:rPr>
          <w:szCs w:val="24"/>
        </w:rPr>
        <w:t>Commission</w:t>
      </w:r>
      <w:r w:rsidR="00AB122C" w:rsidRPr="00AB122C">
        <w:rPr>
          <w:szCs w:val="24"/>
        </w:rPr>
        <w:t>) issued an Order approving National Fuel Gas Distribution Corporation’s (</w:t>
      </w:r>
      <w:r w:rsidR="00AB122C">
        <w:rPr>
          <w:szCs w:val="24"/>
        </w:rPr>
        <w:t>NFGD or Company</w:t>
      </w:r>
      <w:r w:rsidR="00AB122C" w:rsidRPr="00AB122C">
        <w:rPr>
          <w:szCs w:val="24"/>
        </w:rPr>
        <w:t>) Supplement No. 207 to Tariff Gas – PA PUC No 9.1</w:t>
      </w:r>
      <w:r w:rsidR="00AB122C">
        <w:rPr>
          <w:szCs w:val="24"/>
        </w:rPr>
        <w:t>.</w:t>
      </w:r>
      <w:r w:rsidR="00AB122C" w:rsidRPr="00AB122C">
        <w:rPr>
          <w:szCs w:val="24"/>
        </w:rPr>
        <w:t xml:space="preserve"> </w:t>
      </w:r>
      <w:r w:rsidR="00AB122C">
        <w:rPr>
          <w:szCs w:val="24"/>
        </w:rPr>
        <w:t xml:space="preserve"> </w:t>
      </w:r>
      <w:r w:rsidR="00AB122C" w:rsidRPr="00AB122C">
        <w:rPr>
          <w:szCs w:val="24"/>
        </w:rPr>
        <w:t>The</w:t>
      </w:r>
      <w:r w:rsidR="00AB122C">
        <w:rPr>
          <w:szCs w:val="24"/>
        </w:rPr>
        <w:t xml:space="preserve"> Commission</w:t>
      </w:r>
      <w:r w:rsidR="00AB122C" w:rsidRPr="00AB122C">
        <w:rPr>
          <w:szCs w:val="24"/>
        </w:rPr>
        <w:t xml:space="preserve"> approved </w:t>
      </w:r>
      <w:r w:rsidR="00AB122C">
        <w:rPr>
          <w:szCs w:val="24"/>
        </w:rPr>
        <w:t>the Company’s</w:t>
      </w:r>
      <w:r w:rsidR="00AB122C" w:rsidRPr="00AB122C">
        <w:rPr>
          <w:szCs w:val="24"/>
        </w:rPr>
        <w:t xml:space="preserve"> proposed Rule 33 of Tariff Gas – Pa. P.U.C. No. 9, which requires that parties that access customer information through the Company’s business systems sign a Data Security Agreement (DSA) and maintain cyber-security insurance in an amount no less than $5,000,000 per incident. </w:t>
      </w:r>
      <w:r w:rsidR="00AB122C">
        <w:rPr>
          <w:szCs w:val="24"/>
        </w:rPr>
        <w:t xml:space="preserve"> </w:t>
      </w:r>
      <w:r w:rsidR="00AB122C" w:rsidRPr="00AB122C">
        <w:rPr>
          <w:szCs w:val="24"/>
        </w:rPr>
        <w:t xml:space="preserve">On March 27, 2020, </w:t>
      </w:r>
      <w:r w:rsidR="00AB122C">
        <w:rPr>
          <w:szCs w:val="24"/>
        </w:rPr>
        <w:t>NFGD</w:t>
      </w:r>
      <w:r w:rsidR="00AB122C" w:rsidRPr="00AB122C">
        <w:rPr>
          <w:szCs w:val="24"/>
        </w:rPr>
        <w:t xml:space="preserve"> posted to its website and e-mailed </w:t>
      </w:r>
      <w:r w:rsidR="00AB122C">
        <w:rPr>
          <w:szCs w:val="24"/>
        </w:rPr>
        <w:t>Natural Gas Suppliers (</w:t>
      </w:r>
      <w:r w:rsidR="00AB122C" w:rsidRPr="00AB122C">
        <w:rPr>
          <w:szCs w:val="24"/>
        </w:rPr>
        <w:t>NGS</w:t>
      </w:r>
      <w:r w:rsidR="00AB122C">
        <w:rPr>
          <w:szCs w:val="24"/>
        </w:rPr>
        <w:t>)</w:t>
      </w:r>
      <w:r w:rsidR="00AB122C" w:rsidRPr="00AB122C">
        <w:rPr>
          <w:szCs w:val="24"/>
        </w:rPr>
        <w:t xml:space="preserve"> operating in its Pennsylvania service territory a notification that the Pennsylvania DSA deadline was extended to April 30, 2010, due to the COVID-19 pandemic. </w:t>
      </w:r>
      <w:r w:rsidR="00AB122C">
        <w:rPr>
          <w:szCs w:val="24"/>
        </w:rPr>
        <w:t xml:space="preserve"> NFGD</w:t>
      </w:r>
      <w:r w:rsidR="00AB122C" w:rsidRPr="00AB122C">
        <w:rPr>
          <w:szCs w:val="24"/>
        </w:rPr>
        <w:t xml:space="preserve"> further extended the deadline until May 31, 2020.</w:t>
      </w:r>
    </w:p>
    <w:p w14:paraId="29F44E4C" w14:textId="1C6C81EB" w:rsidR="00AB122C" w:rsidRDefault="00AB122C" w:rsidP="00AB122C">
      <w:pPr>
        <w:spacing w:line="360" w:lineRule="auto"/>
        <w:jc w:val="left"/>
        <w:rPr>
          <w:szCs w:val="24"/>
        </w:rPr>
      </w:pPr>
    </w:p>
    <w:p w14:paraId="09C0D2B7" w14:textId="1366E5CE" w:rsidR="00AB122C" w:rsidRDefault="00AB122C" w:rsidP="00AB122C">
      <w:pPr>
        <w:spacing w:line="360" w:lineRule="auto"/>
        <w:jc w:val="left"/>
      </w:pPr>
      <w:r>
        <w:tab/>
      </w:r>
      <w:r>
        <w:tab/>
        <w:t xml:space="preserve">NFGD maintains that the requirements in the DSA are necessary to decrease the risk of disclosure of confidential and personal customer information due to a cyber-attack on customers, NGSs, and electronic data interchange service providers and other parties who access </w:t>
      </w:r>
      <w:r w:rsidR="00EA133D">
        <w:t xml:space="preserve">NGDS’ </w:t>
      </w:r>
      <w:r>
        <w:t>utility business systems.</w:t>
      </w:r>
    </w:p>
    <w:p w14:paraId="47A6A49C" w14:textId="5F05E0DE" w:rsidR="00AB122C" w:rsidRDefault="00AB122C" w:rsidP="00AB122C">
      <w:pPr>
        <w:spacing w:line="360" w:lineRule="auto"/>
        <w:jc w:val="left"/>
      </w:pPr>
    </w:p>
    <w:p w14:paraId="3CB624F0" w14:textId="77777777" w:rsidR="00473486" w:rsidRDefault="00473486" w:rsidP="006745BA">
      <w:pPr>
        <w:spacing w:line="240" w:lineRule="auto"/>
        <w:jc w:val="center"/>
        <w:rPr>
          <w:b/>
          <w:bCs/>
          <w:szCs w:val="24"/>
          <w:u w:val="single"/>
        </w:rPr>
      </w:pPr>
    </w:p>
    <w:p w14:paraId="1AE380B9" w14:textId="295472D3" w:rsidR="0017232E" w:rsidRDefault="00F970F3" w:rsidP="00FB224C">
      <w:pPr>
        <w:spacing w:line="360" w:lineRule="auto"/>
        <w:ind w:firstLine="720"/>
        <w:jc w:val="left"/>
        <w:rPr>
          <w:szCs w:val="24"/>
        </w:rPr>
      </w:pPr>
      <w:r>
        <w:rPr>
          <w:szCs w:val="24"/>
        </w:rPr>
        <w:tab/>
      </w:r>
      <w:r w:rsidRPr="00B16454">
        <w:rPr>
          <w:szCs w:val="24"/>
        </w:rPr>
        <w:t xml:space="preserve">On </w:t>
      </w:r>
      <w:r>
        <w:rPr>
          <w:szCs w:val="24"/>
        </w:rPr>
        <w:t>April 27, 2020</w:t>
      </w:r>
      <w:r w:rsidRPr="00B16454">
        <w:rPr>
          <w:szCs w:val="24"/>
        </w:rPr>
        <w:t xml:space="preserve">, </w:t>
      </w:r>
      <w:bookmarkStart w:id="0" w:name="_Hlk66264277"/>
      <w:proofErr w:type="spellStart"/>
      <w:r w:rsidRPr="00F970F3">
        <w:rPr>
          <w:szCs w:val="24"/>
        </w:rPr>
        <w:t>EnergyMark</w:t>
      </w:r>
      <w:proofErr w:type="spellEnd"/>
      <w:r w:rsidRPr="00F970F3">
        <w:rPr>
          <w:szCs w:val="24"/>
        </w:rPr>
        <w:t xml:space="preserve"> LLC, Vineyard Oil and Gas Company, </w:t>
      </w:r>
      <w:proofErr w:type="spellStart"/>
      <w:r w:rsidRPr="00F970F3">
        <w:rPr>
          <w:szCs w:val="24"/>
        </w:rPr>
        <w:t>Mid American</w:t>
      </w:r>
      <w:proofErr w:type="spellEnd"/>
      <w:r w:rsidRPr="00F970F3">
        <w:rPr>
          <w:szCs w:val="24"/>
        </w:rPr>
        <w:t xml:space="preserve"> Natural Resources LLC, and Total Energy Resources LLC</w:t>
      </w:r>
      <w:bookmarkEnd w:id="0"/>
      <w:r w:rsidRPr="00F970F3">
        <w:rPr>
          <w:szCs w:val="24"/>
        </w:rPr>
        <w:t>, (Complainants</w:t>
      </w:r>
      <w:r w:rsidR="00EA133D">
        <w:rPr>
          <w:szCs w:val="24"/>
        </w:rPr>
        <w:t xml:space="preserve"> or Joint Complainants</w:t>
      </w:r>
      <w:r w:rsidRPr="00F970F3">
        <w:rPr>
          <w:szCs w:val="24"/>
        </w:rPr>
        <w:t xml:space="preserve">) </w:t>
      </w:r>
      <w:r w:rsidRPr="00B16454">
        <w:rPr>
          <w:szCs w:val="24"/>
        </w:rPr>
        <w:t xml:space="preserve">filed </w:t>
      </w:r>
      <w:r>
        <w:rPr>
          <w:szCs w:val="24"/>
        </w:rPr>
        <w:t>a formal C</w:t>
      </w:r>
      <w:r w:rsidRPr="00B16454">
        <w:rPr>
          <w:szCs w:val="24"/>
        </w:rPr>
        <w:t xml:space="preserve">omplaint against </w:t>
      </w:r>
      <w:r w:rsidRPr="00F970F3">
        <w:rPr>
          <w:szCs w:val="24"/>
        </w:rPr>
        <w:t xml:space="preserve">NFGD </w:t>
      </w:r>
      <w:r>
        <w:rPr>
          <w:szCs w:val="24"/>
        </w:rPr>
        <w:t xml:space="preserve">with respect to requirements that NFGD has included in </w:t>
      </w:r>
      <w:r w:rsidR="00EA133D">
        <w:rPr>
          <w:szCs w:val="24"/>
        </w:rPr>
        <w:t>its</w:t>
      </w:r>
      <w:r>
        <w:rPr>
          <w:szCs w:val="24"/>
        </w:rPr>
        <w:t xml:space="preserve"> tariff, which requirements Complainants allege contain unreasonable provisions regarding data security by requiring competitive suppliers to maintain cybersecurity insurance under their </w:t>
      </w:r>
      <w:r w:rsidR="00EA133D">
        <w:rPr>
          <w:szCs w:val="24"/>
        </w:rPr>
        <w:t>DSA</w:t>
      </w:r>
      <w:r>
        <w:rPr>
          <w:szCs w:val="24"/>
        </w:rPr>
        <w:t xml:space="preserve">. Specifically, Complainants allege that a requirement of a $5 million per incident insurance coverage is prohibitively expensive when compared to the Complainants’ operations and functions as an anti-competitive barrier to providing service. </w:t>
      </w:r>
    </w:p>
    <w:p w14:paraId="0F535554" w14:textId="77777777" w:rsidR="0017232E" w:rsidRDefault="0017232E" w:rsidP="00FB224C">
      <w:pPr>
        <w:spacing w:line="360" w:lineRule="auto"/>
        <w:ind w:firstLine="720"/>
        <w:jc w:val="left"/>
        <w:rPr>
          <w:szCs w:val="24"/>
        </w:rPr>
      </w:pPr>
    </w:p>
    <w:p w14:paraId="64E4652E" w14:textId="5F296B40" w:rsidR="00DC3FBB" w:rsidRDefault="0017232E" w:rsidP="00FB224C">
      <w:pPr>
        <w:spacing w:line="360" w:lineRule="auto"/>
        <w:ind w:firstLine="720"/>
        <w:jc w:val="left"/>
        <w:rPr>
          <w:szCs w:val="24"/>
        </w:rPr>
      </w:pPr>
      <w:r>
        <w:rPr>
          <w:szCs w:val="24"/>
        </w:rPr>
        <w:tab/>
        <w:t xml:space="preserve">On January 19, 2021, a telephonic prehearing conference was held which was attended by </w:t>
      </w:r>
      <w:r w:rsidR="003F2F7B">
        <w:rPr>
          <w:szCs w:val="24"/>
        </w:rPr>
        <w:t xml:space="preserve">all parties.  </w:t>
      </w:r>
      <w:r w:rsidR="00F777F4">
        <w:rPr>
          <w:szCs w:val="24"/>
        </w:rPr>
        <w:t xml:space="preserve">The Petition to Intervene </w:t>
      </w:r>
      <w:r w:rsidR="00C54E7D">
        <w:rPr>
          <w:szCs w:val="24"/>
        </w:rPr>
        <w:t xml:space="preserve">filed by the Pennsylvania Independent Oil &amp; Gas Association (PIOGA) was granted without opposition.  </w:t>
      </w:r>
      <w:r w:rsidR="00DC3FBB">
        <w:rPr>
          <w:szCs w:val="24"/>
        </w:rPr>
        <w:t>A litigation schedule was agreed to by the parties:</w:t>
      </w:r>
    </w:p>
    <w:p w14:paraId="53047208" w14:textId="77777777" w:rsidR="00DC3FBB" w:rsidRDefault="00DC3FBB" w:rsidP="00FB224C">
      <w:pPr>
        <w:spacing w:line="360" w:lineRule="auto"/>
        <w:ind w:firstLine="720"/>
        <w:jc w:val="left"/>
        <w:rPr>
          <w:szCs w:val="24"/>
        </w:rPr>
      </w:pPr>
    </w:p>
    <w:p w14:paraId="5B0C02AA" w14:textId="77777777" w:rsidR="00DC3FBB" w:rsidRPr="00DC3FBB" w:rsidRDefault="00DC3FBB" w:rsidP="00FB224C">
      <w:pPr>
        <w:spacing w:line="360" w:lineRule="auto"/>
        <w:ind w:firstLine="1440"/>
        <w:jc w:val="left"/>
        <w:rPr>
          <w:szCs w:val="24"/>
        </w:rPr>
      </w:pPr>
      <w:r w:rsidRPr="00DC3FBB">
        <w:rPr>
          <w:szCs w:val="24"/>
        </w:rPr>
        <w:t xml:space="preserve">Direct Testimony March 5, 2021 </w:t>
      </w:r>
    </w:p>
    <w:p w14:paraId="76CF2AF7" w14:textId="77777777" w:rsidR="00DC3FBB" w:rsidRPr="00DC3FBB" w:rsidRDefault="00DC3FBB" w:rsidP="00FB224C">
      <w:pPr>
        <w:spacing w:line="360" w:lineRule="auto"/>
        <w:ind w:firstLine="1440"/>
        <w:jc w:val="left"/>
        <w:rPr>
          <w:szCs w:val="24"/>
        </w:rPr>
      </w:pPr>
      <w:r w:rsidRPr="00DC3FBB">
        <w:rPr>
          <w:szCs w:val="24"/>
        </w:rPr>
        <w:t xml:space="preserve">Rebuttal Testimony March 25, 2021 </w:t>
      </w:r>
    </w:p>
    <w:p w14:paraId="04B04590" w14:textId="77777777" w:rsidR="00DC3FBB" w:rsidRPr="00DC3FBB" w:rsidRDefault="00DC3FBB" w:rsidP="00FB224C">
      <w:pPr>
        <w:spacing w:line="360" w:lineRule="auto"/>
        <w:ind w:firstLine="1440"/>
        <w:jc w:val="left"/>
        <w:rPr>
          <w:szCs w:val="24"/>
        </w:rPr>
      </w:pPr>
      <w:r w:rsidRPr="00DC3FBB">
        <w:rPr>
          <w:szCs w:val="24"/>
        </w:rPr>
        <w:t xml:space="preserve">Surrebuttal Testimony April 16, 2021 </w:t>
      </w:r>
    </w:p>
    <w:p w14:paraId="7969544A" w14:textId="77777777" w:rsidR="00DC3FBB" w:rsidRPr="00DC3FBB" w:rsidRDefault="00DC3FBB" w:rsidP="00FB224C">
      <w:pPr>
        <w:spacing w:line="360" w:lineRule="auto"/>
        <w:ind w:firstLine="1440"/>
        <w:jc w:val="left"/>
        <w:rPr>
          <w:szCs w:val="24"/>
        </w:rPr>
      </w:pPr>
      <w:r w:rsidRPr="00DC3FBB">
        <w:rPr>
          <w:szCs w:val="24"/>
        </w:rPr>
        <w:t xml:space="preserve">Rejoinder Outlines April 26, 2021 </w:t>
      </w:r>
    </w:p>
    <w:p w14:paraId="58D396D0" w14:textId="77777777" w:rsidR="00DC3FBB" w:rsidRPr="00DC3FBB" w:rsidRDefault="00DC3FBB" w:rsidP="00FB224C">
      <w:pPr>
        <w:spacing w:line="360" w:lineRule="auto"/>
        <w:ind w:firstLine="1440"/>
        <w:jc w:val="left"/>
        <w:rPr>
          <w:szCs w:val="24"/>
        </w:rPr>
      </w:pPr>
      <w:r w:rsidRPr="00DC3FBB">
        <w:rPr>
          <w:szCs w:val="24"/>
        </w:rPr>
        <w:t xml:space="preserve">Evidentiary Hearings April 29, 2021 </w:t>
      </w:r>
    </w:p>
    <w:p w14:paraId="484D942F" w14:textId="77777777" w:rsidR="00DC3FBB" w:rsidRPr="00DC3FBB" w:rsidRDefault="00DC3FBB" w:rsidP="00FB224C">
      <w:pPr>
        <w:spacing w:line="360" w:lineRule="auto"/>
        <w:ind w:firstLine="1440"/>
        <w:jc w:val="left"/>
        <w:rPr>
          <w:szCs w:val="24"/>
        </w:rPr>
      </w:pPr>
      <w:r w:rsidRPr="00DC3FBB">
        <w:rPr>
          <w:szCs w:val="24"/>
        </w:rPr>
        <w:t xml:space="preserve">Main Briefs June 2, 2021 </w:t>
      </w:r>
    </w:p>
    <w:p w14:paraId="128E2D11" w14:textId="633ABB1E" w:rsidR="00DC3FBB" w:rsidRDefault="00DC3FBB" w:rsidP="00FB224C">
      <w:pPr>
        <w:spacing w:line="360" w:lineRule="auto"/>
        <w:ind w:firstLine="1440"/>
        <w:jc w:val="left"/>
        <w:rPr>
          <w:szCs w:val="24"/>
        </w:rPr>
      </w:pPr>
      <w:r w:rsidRPr="00DC3FBB">
        <w:rPr>
          <w:szCs w:val="24"/>
        </w:rPr>
        <w:t>Reply Briefs June 23, 2021</w:t>
      </w:r>
    </w:p>
    <w:p w14:paraId="59498CD2" w14:textId="77777777" w:rsidR="005A2B43" w:rsidRDefault="005A2B43" w:rsidP="00FB224C">
      <w:pPr>
        <w:spacing w:line="360" w:lineRule="auto"/>
        <w:ind w:firstLine="720"/>
        <w:jc w:val="left"/>
        <w:rPr>
          <w:szCs w:val="24"/>
        </w:rPr>
      </w:pPr>
    </w:p>
    <w:p w14:paraId="72574719" w14:textId="6E844A9A" w:rsidR="00F970F3" w:rsidRDefault="0013261A" w:rsidP="00FB224C">
      <w:pPr>
        <w:spacing w:line="360" w:lineRule="auto"/>
        <w:ind w:firstLine="720"/>
        <w:jc w:val="left"/>
        <w:rPr>
          <w:szCs w:val="24"/>
        </w:rPr>
      </w:pPr>
      <w:r>
        <w:rPr>
          <w:szCs w:val="24"/>
        </w:rPr>
        <w:tab/>
      </w:r>
      <w:r w:rsidR="00612E9E">
        <w:rPr>
          <w:szCs w:val="24"/>
        </w:rPr>
        <w:t>The parties also agreed to minor modifications of the Commission’s discovery rules.</w:t>
      </w:r>
    </w:p>
    <w:p w14:paraId="7F6B4E9F" w14:textId="52B414E9" w:rsidR="00490F5E" w:rsidRDefault="00490F5E" w:rsidP="00FB224C">
      <w:pPr>
        <w:spacing w:line="360" w:lineRule="auto"/>
        <w:ind w:firstLine="720"/>
        <w:jc w:val="left"/>
        <w:rPr>
          <w:szCs w:val="24"/>
        </w:rPr>
      </w:pPr>
    </w:p>
    <w:p w14:paraId="6192FEE4" w14:textId="642EE057" w:rsidR="00490F5E" w:rsidRDefault="0013261A" w:rsidP="00FB224C">
      <w:pPr>
        <w:spacing w:line="360" w:lineRule="auto"/>
        <w:ind w:firstLine="720"/>
        <w:jc w:val="left"/>
        <w:rPr>
          <w:szCs w:val="24"/>
        </w:rPr>
      </w:pPr>
      <w:r>
        <w:rPr>
          <w:szCs w:val="24"/>
        </w:rPr>
        <w:tab/>
      </w:r>
      <w:proofErr w:type="gramStart"/>
      <w:r w:rsidR="00490F5E">
        <w:rPr>
          <w:szCs w:val="24"/>
        </w:rPr>
        <w:t>Also</w:t>
      </w:r>
      <w:proofErr w:type="gramEnd"/>
      <w:r w:rsidR="00490F5E">
        <w:rPr>
          <w:szCs w:val="24"/>
        </w:rPr>
        <w:t xml:space="preserve"> on January 19, 2021, a Protective Order was approved</w:t>
      </w:r>
      <w:r w:rsidR="005A2B43">
        <w:rPr>
          <w:szCs w:val="24"/>
        </w:rPr>
        <w:t xml:space="preserve"> and filed.</w:t>
      </w:r>
    </w:p>
    <w:p w14:paraId="278FC7E0" w14:textId="77777777" w:rsidR="005A2B43" w:rsidRDefault="005A2B43" w:rsidP="00FB224C">
      <w:pPr>
        <w:spacing w:line="360" w:lineRule="auto"/>
        <w:ind w:firstLine="720"/>
        <w:jc w:val="left"/>
        <w:rPr>
          <w:b/>
          <w:bCs/>
          <w:szCs w:val="24"/>
          <w:u w:val="single"/>
        </w:rPr>
      </w:pPr>
    </w:p>
    <w:p w14:paraId="57F231A2" w14:textId="30167265" w:rsidR="003A6289" w:rsidRDefault="00AA0733" w:rsidP="00FB224C">
      <w:pPr>
        <w:spacing w:line="360" w:lineRule="auto"/>
        <w:jc w:val="left"/>
        <w:rPr>
          <w:szCs w:val="24"/>
        </w:rPr>
      </w:pPr>
      <w:r>
        <w:rPr>
          <w:szCs w:val="24"/>
        </w:rPr>
        <w:tab/>
      </w:r>
      <w:r>
        <w:rPr>
          <w:szCs w:val="24"/>
        </w:rPr>
        <w:tab/>
      </w:r>
      <w:r w:rsidRPr="00AA0733">
        <w:rPr>
          <w:szCs w:val="24"/>
        </w:rPr>
        <w:t>On February 18, 2021, consistent with the modifications to the Commission’s discovery r</w:t>
      </w:r>
      <w:r w:rsidR="00EA133D">
        <w:rPr>
          <w:szCs w:val="24"/>
        </w:rPr>
        <w:t>ules previously</w:t>
      </w:r>
      <w:r w:rsidRPr="00AA0733">
        <w:rPr>
          <w:szCs w:val="24"/>
        </w:rPr>
        <w:t xml:space="preserve"> agreed upon by the parties to this proceeding, counsel for </w:t>
      </w:r>
      <w:r w:rsidR="00FB224C">
        <w:rPr>
          <w:szCs w:val="24"/>
        </w:rPr>
        <w:t>NFGD</w:t>
      </w:r>
      <w:r w:rsidRPr="00AA0733">
        <w:rPr>
          <w:szCs w:val="24"/>
        </w:rPr>
        <w:t xml:space="preserve"> called counsel for </w:t>
      </w:r>
      <w:r w:rsidR="00FB224C">
        <w:rPr>
          <w:szCs w:val="24"/>
        </w:rPr>
        <w:t xml:space="preserve">Complainants </w:t>
      </w:r>
      <w:r w:rsidR="00EA133D">
        <w:rPr>
          <w:szCs w:val="24"/>
        </w:rPr>
        <w:t xml:space="preserve">and </w:t>
      </w:r>
      <w:r w:rsidRPr="00AA0733">
        <w:rPr>
          <w:szCs w:val="24"/>
        </w:rPr>
        <w:t xml:space="preserve">orally objected to </w:t>
      </w:r>
      <w:r w:rsidR="002D0684">
        <w:rPr>
          <w:szCs w:val="24"/>
        </w:rPr>
        <w:t xml:space="preserve">Complainants’ </w:t>
      </w:r>
      <w:r w:rsidR="003F0677" w:rsidRPr="00B16454">
        <w:rPr>
          <w:szCs w:val="24"/>
        </w:rPr>
        <w:t>Set I</w:t>
      </w:r>
      <w:r w:rsidR="00AF228B">
        <w:rPr>
          <w:szCs w:val="24"/>
        </w:rPr>
        <w:t>II</w:t>
      </w:r>
      <w:r w:rsidR="003F0677" w:rsidRPr="00B16454">
        <w:rPr>
          <w:szCs w:val="24"/>
        </w:rPr>
        <w:t>, No.</w:t>
      </w:r>
      <w:r w:rsidR="00AF228B">
        <w:rPr>
          <w:szCs w:val="24"/>
        </w:rPr>
        <w:t xml:space="preserve"> </w:t>
      </w:r>
      <w:r w:rsidR="003F0677" w:rsidRPr="00B16454">
        <w:rPr>
          <w:szCs w:val="24"/>
        </w:rPr>
        <w:t>1</w:t>
      </w:r>
      <w:r w:rsidR="00AF228B">
        <w:rPr>
          <w:szCs w:val="24"/>
        </w:rPr>
        <w:t xml:space="preserve">, arguing that the request is irrelevant, not reasonably calculated to lead to the discovery of admissible evidence, and </w:t>
      </w:r>
      <w:r w:rsidR="006E2838">
        <w:rPr>
          <w:szCs w:val="24"/>
        </w:rPr>
        <w:t xml:space="preserve">is </w:t>
      </w:r>
      <w:r w:rsidR="00AF228B">
        <w:rPr>
          <w:szCs w:val="24"/>
        </w:rPr>
        <w:t>outside the scope of the proceeding</w:t>
      </w:r>
      <w:r w:rsidR="00BD266D">
        <w:rPr>
          <w:szCs w:val="24"/>
        </w:rPr>
        <w:t>.</w:t>
      </w:r>
      <w:bookmarkStart w:id="1" w:name="IGS-Direct-Shipley_Objection.pdf"/>
      <w:bookmarkEnd w:id="1"/>
    </w:p>
    <w:p w14:paraId="682BE944" w14:textId="77777777" w:rsidR="003A6289" w:rsidRDefault="003A6289" w:rsidP="00FB224C">
      <w:pPr>
        <w:pStyle w:val="ListParagraph"/>
        <w:spacing w:line="360" w:lineRule="auto"/>
        <w:ind w:left="0"/>
        <w:jc w:val="left"/>
        <w:rPr>
          <w:szCs w:val="24"/>
        </w:rPr>
      </w:pPr>
    </w:p>
    <w:p w14:paraId="296BC180" w14:textId="5A160393" w:rsidR="009E69B7" w:rsidRDefault="003A6289" w:rsidP="00FB224C">
      <w:pPr>
        <w:pStyle w:val="ListParagraph"/>
        <w:spacing w:line="360" w:lineRule="auto"/>
        <w:ind w:left="0"/>
        <w:jc w:val="left"/>
        <w:rPr>
          <w:szCs w:val="24"/>
        </w:rPr>
      </w:pPr>
      <w:r>
        <w:rPr>
          <w:szCs w:val="24"/>
        </w:rPr>
        <w:tab/>
      </w:r>
      <w:r>
        <w:rPr>
          <w:szCs w:val="24"/>
        </w:rPr>
        <w:tab/>
      </w:r>
      <w:r w:rsidR="00B549D1">
        <w:rPr>
          <w:szCs w:val="24"/>
        </w:rPr>
        <w:t xml:space="preserve">On February </w:t>
      </w:r>
      <w:r w:rsidR="00E700DE">
        <w:rPr>
          <w:szCs w:val="24"/>
        </w:rPr>
        <w:t xml:space="preserve">25, 2021, </w:t>
      </w:r>
      <w:r w:rsidR="00FC2176">
        <w:rPr>
          <w:szCs w:val="24"/>
        </w:rPr>
        <w:t xml:space="preserve">Complainants’ </w:t>
      </w:r>
      <w:r w:rsidR="00E700DE">
        <w:rPr>
          <w:szCs w:val="24"/>
        </w:rPr>
        <w:t xml:space="preserve">filed the present Motion to </w:t>
      </w:r>
      <w:r w:rsidR="00FB224C">
        <w:rPr>
          <w:szCs w:val="24"/>
        </w:rPr>
        <w:t xml:space="preserve">Dismiss Objections and to </w:t>
      </w:r>
      <w:r w:rsidR="00E700DE">
        <w:rPr>
          <w:szCs w:val="24"/>
        </w:rPr>
        <w:t>Compel</w:t>
      </w:r>
      <w:r w:rsidR="00FB224C">
        <w:rPr>
          <w:szCs w:val="24"/>
        </w:rPr>
        <w:t xml:space="preserve"> Answers to Interrogatory Set III, No. 1</w:t>
      </w:r>
      <w:r w:rsidR="009E69B7">
        <w:rPr>
          <w:szCs w:val="24"/>
        </w:rPr>
        <w:t>.</w:t>
      </w:r>
    </w:p>
    <w:p w14:paraId="19940189" w14:textId="5E0BA428" w:rsidR="000B6033" w:rsidRDefault="000B6033" w:rsidP="00FB224C">
      <w:pPr>
        <w:pStyle w:val="ListParagraph"/>
        <w:spacing w:line="360" w:lineRule="auto"/>
        <w:ind w:left="0"/>
        <w:jc w:val="left"/>
        <w:rPr>
          <w:szCs w:val="24"/>
        </w:rPr>
      </w:pPr>
    </w:p>
    <w:p w14:paraId="7FA585FE" w14:textId="001860B6" w:rsidR="000B6033" w:rsidRDefault="000B6033" w:rsidP="00FB224C">
      <w:pPr>
        <w:pStyle w:val="ListParagraph"/>
        <w:spacing w:line="360" w:lineRule="auto"/>
        <w:ind w:left="0"/>
        <w:jc w:val="left"/>
        <w:rPr>
          <w:szCs w:val="24"/>
        </w:rPr>
      </w:pPr>
      <w:r>
        <w:rPr>
          <w:szCs w:val="24"/>
        </w:rPr>
        <w:tab/>
      </w:r>
      <w:r>
        <w:rPr>
          <w:szCs w:val="24"/>
        </w:rPr>
        <w:tab/>
        <w:t>On March 1, 2021, NFGD filed an Answer to the Motion to Compel asking that the Motion be denied.</w:t>
      </w:r>
    </w:p>
    <w:p w14:paraId="4788DD59" w14:textId="77777777" w:rsidR="009E69B7" w:rsidRDefault="009E69B7" w:rsidP="00FB224C">
      <w:pPr>
        <w:pStyle w:val="ListParagraph"/>
        <w:spacing w:line="360" w:lineRule="auto"/>
        <w:ind w:left="0"/>
        <w:jc w:val="left"/>
        <w:rPr>
          <w:szCs w:val="24"/>
        </w:rPr>
      </w:pPr>
    </w:p>
    <w:p w14:paraId="704C9388" w14:textId="7EF418F7" w:rsidR="009E69B7" w:rsidRPr="002C2B74" w:rsidRDefault="009E69B7" w:rsidP="00FB224C">
      <w:pPr>
        <w:pStyle w:val="ListParagraph"/>
        <w:spacing w:line="360" w:lineRule="auto"/>
        <w:ind w:left="0"/>
        <w:jc w:val="left"/>
        <w:rPr>
          <w:b/>
          <w:bCs/>
          <w:szCs w:val="24"/>
        </w:rPr>
      </w:pPr>
      <w:r w:rsidRPr="002C2B74">
        <w:rPr>
          <w:b/>
          <w:bCs/>
          <w:szCs w:val="24"/>
        </w:rPr>
        <w:t>Position</w:t>
      </w:r>
      <w:r w:rsidR="00FB224C">
        <w:rPr>
          <w:b/>
          <w:bCs/>
          <w:szCs w:val="24"/>
        </w:rPr>
        <w:t>s</w:t>
      </w:r>
      <w:r w:rsidRPr="002C2B74">
        <w:rPr>
          <w:b/>
          <w:bCs/>
          <w:szCs w:val="24"/>
        </w:rPr>
        <w:t xml:space="preserve"> of the Parties</w:t>
      </w:r>
    </w:p>
    <w:p w14:paraId="4AE0EAF9" w14:textId="77777777" w:rsidR="009E69B7" w:rsidRDefault="009E69B7" w:rsidP="00FB224C">
      <w:pPr>
        <w:pStyle w:val="ListParagraph"/>
        <w:spacing w:line="360" w:lineRule="auto"/>
        <w:ind w:left="0"/>
        <w:jc w:val="left"/>
        <w:rPr>
          <w:szCs w:val="24"/>
        </w:rPr>
      </w:pPr>
    </w:p>
    <w:p w14:paraId="5C5EBCE6" w14:textId="6759F2BA" w:rsidR="00A87888" w:rsidRDefault="00187EA7" w:rsidP="00FB224C">
      <w:pPr>
        <w:pStyle w:val="ListParagraph"/>
        <w:spacing w:line="360" w:lineRule="auto"/>
        <w:ind w:left="0"/>
        <w:jc w:val="left"/>
        <w:rPr>
          <w:szCs w:val="24"/>
        </w:rPr>
      </w:pPr>
      <w:r>
        <w:rPr>
          <w:szCs w:val="24"/>
        </w:rPr>
        <w:tab/>
      </w:r>
      <w:r>
        <w:rPr>
          <w:szCs w:val="24"/>
        </w:rPr>
        <w:tab/>
      </w:r>
      <w:r w:rsidR="00A87888" w:rsidRPr="00B16454">
        <w:rPr>
          <w:szCs w:val="24"/>
        </w:rPr>
        <w:t>Complainants</w:t>
      </w:r>
      <w:r w:rsidR="00994D5C">
        <w:rPr>
          <w:szCs w:val="24"/>
        </w:rPr>
        <w:t xml:space="preserve"> </w:t>
      </w:r>
      <w:r w:rsidR="00A87888">
        <w:rPr>
          <w:szCs w:val="24"/>
        </w:rPr>
        <w:t xml:space="preserve">Interrogatory requested: </w:t>
      </w:r>
    </w:p>
    <w:p w14:paraId="3981B692" w14:textId="77777777" w:rsidR="00A87888" w:rsidRDefault="00A87888" w:rsidP="00FB224C">
      <w:pPr>
        <w:spacing w:line="360" w:lineRule="auto"/>
        <w:ind w:firstLine="720"/>
        <w:jc w:val="left"/>
        <w:rPr>
          <w:szCs w:val="24"/>
        </w:rPr>
      </w:pPr>
    </w:p>
    <w:p w14:paraId="4045D1E9" w14:textId="77777777" w:rsidR="00A87888" w:rsidRPr="006A78C3" w:rsidRDefault="00A87888" w:rsidP="00FB224C">
      <w:pPr>
        <w:spacing w:line="240" w:lineRule="auto"/>
        <w:ind w:left="1440" w:right="1440"/>
        <w:jc w:val="left"/>
        <w:rPr>
          <w:szCs w:val="24"/>
        </w:rPr>
      </w:pPr>
      <w:r w:rsidRPr="006A78C3">
        <w:rPr>
          <w:szCs w:val="24"/>
        </w:rPr>
        <w:t>With regard to NFGD’s response to NGS parties Set II, No. 10, wherein NFGD states that to date it has not sought rate recovery for the costs of its $20 million cyber security insurance policy; explain the accounting for the expense of the policy; that is, in what account in its books did NFGD record the expense, and will it be necessary to transfer that balance to a different account in order to seek recovery from customers in a future rate case?</w:t>
      </w:r>
    </w:p>
    <w:p w14:paraId="017B2FE4" w14:textId="00C1B2C6" w:rsidR="00A87888" w:rsidRDefault="00A87888" w:rsidP="00FB224C">
      <w:pPr>
        <w:pStyle w:val="ListParagraph"/>
        <w:spacing w:line="360" w:lineRule="auto"/>
        <w:ind w:left="0"/>
        <w:jc w:val="left"/>
        <w:rPr>
          <w:szCs w:val="24"/>
        </w:rPr>
      </w:pPr>
    </w:p>
    <w:p w14:paraId="714FA936" w14:textId="6EECD45A" w:rsidR="00074A2C" w:rsidRDefault="00074A2C" w:rsidP="00074A2C">
      <w:pPr>
        <w:pStyle w:val="ListParagraph"/>
        <w:spacing w:line="360" w:lineRule="auto"/>
        <w:ind w:left="0"/>
        <w:jc w:val="left"/>
        <w:rPr>
          <w:szCs w:val="24"/>
        </w:rPr>
      </w:pPr>
      <w:r>
        <w:rPr>
          <w:szCs w:val="24"/>
        </w:rPr>
        <w:tab/>
      </w:r>
      <w:r>
        <w:rPr>
          <w:szCs w:val="24"/>
        </w:rPr>
        <w:tab/>
        <w:t>Complainants contend that Interrogatory Set III, No. 1 is relevant, reasonably calculated to lead to the discovery of admissible evidence, is and wholly within the scope of this proceeding.  Complainants, through their Interrogatory, seek to understand how NFGD will pass the costs of its own cybersecurity insurance policy onto rate payers, which pass-through Complainant’s argue is relevant to the anti-competitive allegations in their Complaint.  Complainants’ Motion at 3, ¶ 7.</w:t>
      </w:r>
    </w:p>
    <w:p w14:paraId="03138A7B" w14:textId="7FDA17F6" w:rsidR="00E222D8" w:rsidRDefault="00E222D8" w:rsidP="00FB224C">
      <w:pPr>
        <w:pStyle w:val="ListParagraph"/>
        <w:ind w:left="0"/>
        <w:jc w:val="left"/>
        <w:rPr>
          <w:szCs w:val="24"/>
        </w:rPr>
      </w:pPr>
      <w:r>
        <w:rPr>
          <w:szCs w:val="24"/>
        </w:rPr>
        <w:lastRenderedPageBreak/>
        <w:tab/>
      </w:r>
      <w:r>
        <w:rPr>
          <w:szCs w:val="24"/>
        </w:rPr>
        <w:tab/>
      </w:r>
      <w:r w:rsidR="000B6033">
        <w:rPr>
          <w:szCs w:val="24"/>
        </w:rPr>
        <w:t>In its Answer</w:t>
      </w:r>
      <w:r w:rsidR="00055184">
        <w:rPr>
          <w:szCs w:val="24"/>
        </w:rPr>
        <w:t>, NFGD argues that</w:t>
      </w:r>
      <w:r w:rsidR="00D51E70">
        <w:rPr>
          <w:szCs w:val="24"/>
        </w:rPr>
        <w:t>:</w:t>
      </w:r>
    </w:p>
    <w:p w14:paraId="2A39E91D" w14:textId="650835F7" w:rsidR="00D51E70" w:rsidRDefault="002E00A1" w:rsidP="00FB224C">
      <w:pPr>
        <w:pStyle w:val="ListParagraph"/>
        <w:spacing w:line="240" w:lineRule="auto"/>
        <w:ind w:left="1440" w:right="720"/>
        <w:jc w:val="left"/>
        <w:rPr>
          <w:szCs w:val="24"/>
        </w:rPr>
      </w:pPr>
      <w:r>
        <w:rPr>
          <w:szCs w:val="24"/>
        </w:rPr>
        <w:t>[T]</w:t>
      </w:r>
      <w:r w:rsidR="00D51E70" w:rsidRPr="00D51E70">
        <w:rPr>
          <w:szCs w:val="24"/>
        </w:rPr>
        <w:t>he Complaint raised specific allegations regarding the requirement that natural gas suppliers affirm they carry cybersecurity insurance with minimum coverage of $5 million per incident, consistent with Distribution’s Commission-approved tariff and DSA approved by the Commission’s Order National Fuel Gas Distribution Corporation, Supplement No. 207 Tariff Gas Pa. P.U.C. No. 9, Docket No. R-2019-3010744 (Order entered Aug. 29, 2019).  In this regard, the subject matter of the Complaint and the information sought by Set III, No. 1 is apples to oranges.  The Joint Complainants’ attempt to expand the subject matter of the allegations raised in their Complaint to attempt to discover information that is wholly irrelevant to and outside the scope of the allegations they raised should be rejected.</w:t>
      </w:r>
    </w:p>
    <w:p w14:paraId="2AF301F5" w14:textId="33C51FC0" w:rsidR="00F03C9C" w:rsidRDefault="00F03C9C" w:rsidP="00FB224C">
      <w:pPr>
        <w:pStyle w:val="ListParagraph"/>
        <w:ind w:left="0"/>
        <w:jc w:val="left"/>
        <w:rPr>
          <w:szCs w:val="24"/>
        </w:rPr>
      </w:pPr>
    </w:p>
    <w:p w14:paraId="2C5FE703" w14:textId="7FE9288B" w:rsidR="002E00A1" w:rsidRDefault="002E00A1" w:rsidP="00FB224C">
      <w:pPr>
        <w:pStyle w:val="ListParagraph"/>
        <w:ind w:left="0"/>
        <w:jc w:val="left"/>
        <w:rPr>
          <w:szCs w:val="24"/>
        </w:rPr>
      </w:pPr>
      <w:r>
        <w:rPr>
          <w:szCs w:val="24"/>
        </w:rPr>
        <w:t>Answer of NFGD at 6, ¶10.</w:t>
      </w:r>
    </w:p>
    <w:p w14:paraId="67BBC9DF" w14:textId="7753AA6C" w:rsidR="002C2B74" w:rsidRDefault="002C2B74" w:rsidP="00FB224C">
      <w:pPr>
        <w:pStyle w:val="ListParagraph"/>
        <w:ind w:left="0"/>
        <w:jc w:val="left"/>
        <w:rPr>
          <w:szCs w:val="24"/>
        </w:rPr>
      </w:pPr>
    </w:p>
    <w:p w14:paraId="5FBDEC7D" w14:textId="3BE34ADC" w:rsidR="00404FB7" w:rsidRPr="00404FB7" w:rsidRDefault="00404FB7" w:rsidP="00FB224C">
      <w:pPr>
        <w:pStyle w:val="ListParagraph"/>
        <w:ind w:left="0"/>
        <w:jc w:val="left"/>
        <w:rPr>
          <w:b/>
          <w:bCs/>
          <w:szCs w:val="24"/>
        </w:rPr>
      </w:pPr>
      <w:r w:rsidRPr="00404FB7">
        <w:rPr>
          <w:b/>
          <w:bCs/>
          <w:szCs w:val="24"/>
        </w:rPr>
        <w:t>Disposition</w:t>
      </w:r>
    </w:p>
    <w:p w14:paraId="62D44D76" w14:textId="2CE63787" w:rsidR="00B05E28" w:rsidRPr="00B16454" w:rsidRDefault="00404FB7" w:rsidP="00FB224C">
      <w:pPr>
        <w:pStyle w:val="ListParagraph"/>
        <w:ind w:left="0"/>
        <w:jc w:val="left"/>
        <w:rPr>
          <w:szCs w:val="24"/>
        </w:rPr>
      </w:pPr>
      <w:r>
        <w:rPr>
          <w:szCs w:val="24"/>
        </w:rPr>
        <w:tab/>
      </w:r>
      <w:r>
        <w:rPr>
          <w:szCs w:val="24"/>
        </w:rPr>
        <w:tab/>
      </w:r>
      <w:r w:rsidR="002E00A1">
        <w:rPr>
          <w:szCs w:val="24"/>
        </w:rPr>
        <w:t>Under</w:t>
      </w:r>
      <w:r w:rsidR="00B05E28">
        <w:rPr>
          <w:szCs w:val="24"/>
        </w:rPr>
        <w:t xml:space="preserve"> the</w:t>
      </w:r>
      <w:r w:rsidR="00B05E28" w:rsidRPr="00B16454">
        <w:rPr>
          <w:szCs w:val="24"/>
        </w:rPr>
        <w:t xml:space="preserve"> Commission’s Regulations, 52 Pa. Code § 5.321, the scope of discovery is broad:</w:t>
      </w:r>
    </w:p>
    <w:p w14:paraId="05ACA095" w14:textId="50D6CCCE" w:rsidR="00B05E28" w:rsidRPr="0061231C" w:rsidRDefault="00B05E28" w:rsidP="00FB224C">
      <w:pPr>
        <w:pStyle w:val="ListParagraph"/>
        <w:spacing w:line="240" w:lineRule="auto"/>
        <w:ind w:left="1440" w:right="720"/>
        <w:jc w:val="left"/>
        <w:rPr>
          <w:szCs w:val="24"/>
          <w:shd w:val="clear" w:color="auto" w:fill="FFFFFF"/>
        </w:rPr>
      </w:pPr>
      <w:r w:rsidRPr="00B16454">
        <w:rPr>
          <w:szCs w:val="24"/>
          <w:shd w:val="clear" w:color="auto" w:fill="FFFFFF"/>
        </w:rPr>
        <w:t>(c)  </w:t>
      </w:r>
      <w:r w:rsidRPr="00B16454">
        <w:rPr>
          <w:i/>
          <w:iCs/>
          <w:szCs w:val="24"/>
          <w:shd w:val="clear" w:color="auto" w:fill="FFFFFF"/>
        </w:rPr>
        <w:t>Scope</w:t>
      </w:r>
      <w:r w:rsidRPr="00B16454">
        <w:rPr>
          <w:szCs w:val="24"/>
          <w:shd w:val="clear" w:color="auto" w:fill="FFFFFF"/>
        </w:rPr>
        <w:t xml:space="preserve">.  Subject to this subchapter, </w:t>
      </w:r>
      <w:r w:rsidRPr="0061231C">
        <w:rPr>
          <w:szCs w:val="24"/>
          <w:shd w:val="clear" w:color="auto" w:fill="FFFFFF"/>
        </w:rPr>
        <w:t>a party may obtain discovery regarding any matter, not privileged, which is relevant to the subject matter involved in the pending action, whether it relates to the claim or defense of the party seeking discovery or to the claim or defense of another party</w:t>
      </w:r>
      <w:r w:rsidRPr="00B16454">
        <w:rPr>
          <w:szCs w:val="24"/>
          <w:shd w:val="clear" w:color="auto" w:fill="FFFFFF"/>
        </w:rPr>
        <w:t xml:space="preserve">, including the existence, description, nature, content, custody, condition and location of any books, documents, or other tangible things and the identity and location of persons having knowledge of a discoverable matter. </w:t>
      </w:r>
      <w:r w:rsidRPr="0061231C">
        <w:rPr>
          <w:szCs w:val="24"/>
          <w:shd w:val="clear" w:color="auto" w:fill="FFFFFF"/>
        </w:rPr>
        <w:t xml:space="preserve">It is not ground for objection that the information sought will be inadmissible at hearing if the information sought appears reasonably calculated to lead to the discovery of admissible evidence.  </w:t>
      </w:r>
    </w:p>
    <w:p w14:paraId="5B7BD4E6" w14:textId="77777777" w:rsidR="00B05E28" w:rsidRDefault="00B05E28" w:rsidP="00FB224C">
      <w:pPr>
        <w:pStyle w:val="ListParagraph"/>
        <w:spacing w:line="240" w:lineRule="auto"/>
        <w:ind w:right="720"/>
        <w:jc w:val="left"/>
        <w:rPr>
          <w:szCs w:val="24"/>
          <w:shd w:val="clear" w:color="auto" w:fill="FFFFFF"/>
        </w:rPr>
      </w:pPr>
    </w:p>
    <w:p w14:paraId="672ADF8A" w14:textId="155F7FC0" w:rsidR="00847EAA" w:rsidRDefault="00B05E28" w:rsidP="00FB224C">
      <w:pPr>
        <w:spacing w:line="240" w:lineRule="auto"/>
        <w:ind w:right="720"/>
        <w:jc w:val="left"/>
        <w:rPr>
          <w:szCs w:val="24"/>
          <w:shd w:val="clear" w:color="auto" w:fill="FFFFFF"/>
        </w:rPr>
      </w:pPr>
      <w:r>
        <w:rPr>
          <w:szCs w:val="24"/>
          <w:shd w:val="clear" w:color="auto" w:fill="FFFFFF"/>
        </w:rPr>
        <w:t>52 Pa. Code § 5.321</w:t>
      </w:r>
      <w:r w:rsidR="0027545B">
        <w:rPr>
          <w:szCs w:val="24"/>
          <w:shd w:val="clear" w:color="auto" w:fill="FFFFFF"/>
        </w:rPr>
        <w:t>.</w:t>
      </w:r>
    </w:p>
    <w:p w14:paraId="0BB4A0BA" w14:textId="2B86A6FC" w:rsidR="00AA0733" w:rsidRDefault="00AA0733" w:rsidP="00FB224C">
      <w:pPr>
        <w:spacing w:line="360" w:lineRule="auto"/>
        <w:ind w:right="720"/>
        <w:jc w:val="left"/>
        <w:rPr>
          <w:szCs w:val="24"/>
          <w:shd w:val="clear" w:color="auto" w:fill="FFFFFF"/>
        </w:rPr>
      </w:pPr>
    </w:p>
    <w:p w14:paraId="37AEDD2A" w14:textId="51704155" w:rsidR="00AA0733" w:rsidRDefault="00AA0733" w:rsidP="00FB224C">
      <w:pPr>
        <w:spacing w:line="360" w:lineRule="auto"/>
        <w:jc w:val="left"/>
        <w:rPr>
          <w:szCs w:val="24"/>
        </w:rPr>
      </w:pPr>
      <w:r>
        <w:rPr>
          <w:szCs w:val="24"/>
        </w:rPr>
        <w:tab/>
      </w:r>
      <w:r>
        <w:rPr>
          <w:szCs w:val="24"/>
        </w:rPr>
        <w:tab/>
        <w:t>While the Commission allows parties wide latitude in discovery matters,</w:t>
      </w:r>
      <w:r w:rsidRPr="009C7349">
        <w:rPr>
          <w:szCs w:val="24"/>
        </w:rPr>
        <w:t xml:space="preserve"> the implication of</w:t>
      </w:r>
      <w:r>
        <w:t xml:space="preserve">  </w:t>
      </w:r>
      <w:r w:rsidRPr="009C7349">
        <w:rPr>
          <w:szCs w:val="24"/>
        </w:rPr>
        <w:t>52 Pa. Code § 5.361</w:t>
      </w:r>
      <w:r>
        <w:rPr>
          <w:szCs w:val="24"/>
        </w:rPr>
        <w:t xml:space="preserve"> is that there is a rule of, “reasonableness” as well as relevancy that guides us.  In deciding a Motion to Compel, this means that the Presiding Officer must consider the law and weigh the arguments of the parties as shaped around </w:t>
      </w:r>
      <w:r w:rsidRPr="00AB7034">
        <w:rPr>
          <w:szCs w:val="24"/>
        </w:rPr>
        <w:t xml:space="preserve">52 Pa. Code </w:t>
      </w:r>
    </w:p>
    <w:p w14:paraId="4A67531F" w14:textId="77777777" w:rsidR="00AA0733" w:rsidRDefault="00AA0733" w:rsidP="00FB224C">
      <w:pPr>
        <w:spacing w:line="360" w:lineRule="auto"/>
        <w:jc w:val="left"/>
        <w:rPr>
          <w:szCs w:val="24"/>
        </w:rPr>
      </w:pPr>
      <w:r w:rsidRPr="00AB7034">
        <w:rPr>
          <w:szCs w:val="24"/>
        </w:rPr>
        <w:t>§ 5.361</w:t>
      </w:r>
      <w:r>
        <w:rPr>
          <w:szCs w:val="24"/>
        </w:rPr>
        <w:t xml:space="preserve">.  </w:t>
      </w:r>
    </w:p>
    <w:p w14:paraId="596D34D7" w14:textId="6303E0D3" w:rsidR="00AA0733" w:rsidRDefault="00786921" w:rsidP="00FB224C">
      <w:pPr>
        <w:spacing w:line="360" w:lineRule="auto"/>
        <w:ind w:right="720"/>
        <w:jc w:val="left"/>
        <w:rPr>
          <w:szCs w:val="24"/>
        </w:rPr>
      </w:pPr>
      <w:r>
        <w:rPr>
          <w:szCs w:val="24"/>
          <w:shd w:val="clear" w:color="auto" w:fill="FFFFFF"/>
        </w:rPr>
        <w:lastRenderedPageBreak/>
        <w:tab/>
      </w:r>
      <w:r>
        <w:rPr>
          <w:szCs w:val="24"/>
          <w:shd w:val="clear" w:color="auto" w:fill="FFFFFF"/>
        </w:rPr>
        <w:tab/>
        <w:t>Complainants contend that the disputed I</w:t>
      </w:r>
      <w:r w:rsidR="000B5EC8">
        <w:rPr>
          <w:szCs w:val="24"/>
        </w:rPr>
        <w:t xml:space="preserve">nterrogatory seeks </w:t>
      </w:r>
      <w:r w:rsidR="00F233EC">
        <w:rPr>
          <w:szCs w:val="24"/>
        </w:rPr>
        <w:t xml:space="preserve">an </w:t>
      </w:r>
      <w:proofErr w:type="gramStart"/>
      <w:r w:rsidR="00F233EC">
        <w:rPr>
          <w:szCs w:val="24"/>
        </w:rPr>
        <w:t xml:space="preserve">explanation </w:t>
      </w:r>
      <w:r w:rsidR="00C2353F">
        <w:rPr>
          <w:szCs w:val="24"/>
        </w:rPr>
        <w:t xml:space="preserve"> of</w:t>
      </w:r>
      <w:proofErr w:type="gramEnd"/>
      <w:r w:rsidR="000B5EC8">
        <w:rPr>
          <w:szCs w:val="24"/>
        </w:rPr>
        <w:t xml:space="preserve"> how NFGD is currently accounting for the expense of </w:t>
      </w:r>
      <w:r w:rsidR="00861ABD">
        <w:rPr>
          <w:szCs w:val="24"/>
        </w:rPr>
        <w:t>its</w:t>
      </w:r>
      <w:r w:rsidR="000B5EC8">
        <w:rPr>
          <w:szCs w:val="24"/>
        </w:rPr>
        <w:t xml:space="preserve"> own $20 million cyber </w:t>
      </w:r>
      <w:r w:rsidR="00E252AC">
        <w:rPr>
          <w:szCs w:val="24"/>
        </w:rPr>
        <w:t>security</w:t>
      </w:r>
      <w:r w:rsidR="000B5EC8">
        <w:rPr>
          <w:szCs w:val="24"/>
        </w:rPr>
        <w:t xml:space="preserve"> insurance policy.</w:t>
      </w:r>
      <w:r w:rsidR="00385109">
        <w:rPr>
          <w:szCs w:val="24"/>
        </w:rPr>
        <w:t xml:space="preserve"> </w:t>
      </w:r>
      <w:r w:rsidR="000B5EC8">
        <w:rPr>
          <w:szCs w:val="24"/>
        </w:rPr>
        <w:t xml:space="preserve"> </w:t>
      </w:r>
      <w:r w:rsidR="00C2353F">
        <w:rPr>
          <w:szCs w:val="24"/>
        </w:rPr>
        <w:t xml:space="preserve">But </w:t>
      </w:r>
      <w:r w:rsidR="00D60E5D">
        <w:rPr>
          <w:szCs w:val="24"/>
        </w:rPr>
        <w:t xml:space="preserve">Complainants </w:t>
      </w:r>
      <w:r w:rsidR="00C2353F">
        <w:rPr>
          <w:szCs w:val="24"/>
        </w:rPr>
        <w:t xml:space="preserve">then </w:t>
      </w:r>
      <w:r w:rsidR="00D60E5D">
        <w:rPr>
          <w:szCs w:val="24"/>
        </w:rPr>
        <w:t xml:space="preserve">concede that NFGD has not sought </w:t>
      </w:r>
      <w:r w:rsidR="00E252AC">
        <w:rPr>
          <w:szCs w:val="24"/>
        </w:rPr>
        <w:t>recovery of the costs of its cyber security insurance policy in a rate case</w:t>
      </w:r>
      <w:r w:rsidR="00706F05">
        <w:rPr>
          <w:szCs w:val="24"/>
        </w:rPr>
        <w:t xml:space="preserve"> to date</w:t>
      </w:r>
      <w:r w:rsidR="00C24F1F">
        <w:rPr>
          <w:szCs w:val="24"/>
        </w:rPr>
        <w:t>.</w:t>
      </w:r>
      <w:r w:rsidR="003D5F85">
        <w:rPr>
          <w:szCs w:val="24"/>
        </w:rPr>
        <w:t xml:space="preserve">  However, Complainants argue that </w:t>
      </w:r>
      <w:r w:rsidR="00E252AC">
        <w:rPr>
          <w:szCs w:val="24"/>
        </w:rPr>
        <w:t xml:space="preserve">how NFGD is accounting for </w:t>
      </w:r>
      <w:r w:rsidR="00AD2164">
        <w:rPr>
          <w:szCs w:val="24"/>
        </w:rPr>
        <w:t>its cyber security insurance</w:t>
      </w:r>
      <w:r w:rsidR="00E252AC">
        <w:rPr>
          <w:szCs w:val="24"/>
        </w:rPr>
        <w:t xml:space="preserve"> expense and how it intends to apply it to customers </w:t>
      </w:r>
      <w:r w:rsidR="00E252AC" w:rsidRPr="00C131C2">
        <w:rPr>
          <w:i/>
          <w:iCs/>
          <w:szCs w:val="24"/>
        </w:rPr>
        <w:t>in a future rate case</w:t>
      </w:r>
      <w:r w:rsidR="00E252AC">
        <w:rPr>
          <w:szCs w:val="24"/>
        </w:rPr>
        <w:t xml:space="preserve"> is critical</w:t>
      </w:r>
      <w:r w:rsidR="00706F05">
        <w:rPr>
          <w:szCs w:val="24"/>
        </w:rPr>
        <w:t xml:space="preserve"> to both the competitive market and the competitive safeguards which promote competitive supplier access and </w:t>
      </w:r>
      <w:r w:rsidR="00C131C2">
        <w:rPr>
          <w:szCs w:val="24"/>
        </w:rPr>
        <w:t xml:space="preserve">thus are </w:t>
      </w:r>
      <w:r w:rsidR="00706F05">
        <w:rPr>
          <w:szCs w:val="24"/>
        </w:rPr>
        <w:t xml:space="preserve">wholly within the scope of this proceeding. </w:t>
      </w:r>
      <w:r w:rsidR="00297346">
        <w:rPr>
          <w:szCs w:val="24"/>
        </w:rPr>
        <w:t xml:space="preserve">Complainant’s Motion at </w:t>
      </w:r>
      <w:r w:rsidR="000B6033">
        <w:rPr>
          <w:szCs w:val="24"/>
        </w:rPr>
        <w:t>3</w:t>
      </w:r>
      <w:r w:rsidR="00297346">
        <w:rPr>
          <w:szCs w:val="24"/>
        </w:rPr>
        <w:t xml:space="preserve">, </w:t>
      </w:r>
      <w:r w:rsidR="000B6033">
        <w:rPr>
          <w:szCs w:val="24"/>
        </w:rPr>
        <w:t xml:space="preserve">¶ 7. </w:t>
      </w:r>
      <w:r w:rsidR="00297346">
        <w:rPr>
          <w:szCs w:val="24"/>
        </w:rPr>
        <w:t>(emphasis added)</w:t>
      </w:r>
      <w:r w:rsidR="00385109">
        <w:rPr>
          <w:szCs w:val="24"/>
        </w:rPr>
        <w:t xml:space="preserve">.  Complainants go on to </w:t>
      </w:r>
      <w:r w:rsidR="000323E9">
        <w:rPr>
          <w:szCs w:val="24"/>
        </w:rPr>
        <w:t xml:space="preserve">list the potential consequences of what may occur </w:t>
      </w:r>
      <w:r w:rsidR="00242D37">
        <w:rPr>
          <w:szCs w:val="24"/>
        </w:rPr>
        <w:t>as a result of</w:t>
      </w:r>
      <w:r w:rsidR="000323E9">
        <w:rPr>
          <w:szCs w:val="24"/>
        </w:rPr>
        <w:t xml:space="preserve"> that future rate case.  This is why NFGD </w:t>
      </w:r>
      <w:r w:rsidR="000D6CE7">
        <w:rPr>
          <w:szCs w:val="24"/>
        </w:rPr>
        <w:t xml:space="preserve">argues that the Interrogatory is both speculative and irrelevant.  </w:t>
      </w:r>
    </w:p>
    <w:p w14:paraId="4E96C6CF" w14:textId="77777777" w:rsidR="00AA0733" w:rsidRDefault="00AA0733" w:rsidP="00FB224C">
      <w:pPr>
        <w:spacing w:line="360" w:lineRule="auto"/>
        <w:ind w:right="720"/>
        <w:jc w:val="left"/>
        <w:rPr>
          <w:szCs w:val="24"/>
        </w:rPr>
      </w:pPr>
    </w:p>
    <w:p w14:paraId="33E1767B" w14:textId="5A4B318C" w:rsidR="00C131C2" w:rsidRDefault="00AA0733" w:rsidP="00FB224C">
      <w:pPr>
        <w:spacing w:line="360" w:lineRule="auto"/>
        <w:ind w:right="720"/>
        <w:jc w:val="left"/>
        <w:rPr>
          <w:szCs w:val="24"/>
        </w:rPr>
      </w:pPr>
      <w:r>
        <w:rPr>
          <w:szCs w:val="24"/>
        </w:rPr>
        <w:tab/>
      </w:r>
      <w:r>
        <w:rPr>
          <w:szCs w:val="24"/>
        </w:rPr>
        <w:tab/>
      </w:r>
      <w:r w:rsidR="000D6CE7">
        <w:rPr>
          <w:szCs w:val="24"/>
        </w:rPr>
        <w:t>I agree with NFGD</w:t>
      </w:r>
      <w:r w:rsidR="00FB224C">
        <w:rPr>
          <w:szCs w:val="24"/>
        </w:rPr>
        <w:t xml:space="preserve"> that the Interrogatory is speculative and irrelevant.</w:t>
      </w:r>
      <w:r w:rsidR="008D3828">
        <w:rPr>
          <w:szCs w:val="24"/>
        </w:rPr>
        <w:t xml:space="preserve">  </w:t>
      </w:r>
      <w:r w:rsidR="00761C33">
        <w:rPr>
          <w:szCs w:val="24"/>
        </w:rPr>
        <w:t xml:space="preserve">The </w:t>
      </w:r>
      <w:r w:rsidR="00761C33" w:rsidRPr="00761C33">
        <w:rPr>
          <w:i/>
          <w:iCs/>
          <w:szCs w:val="24"/>
        </w:rPr>
        <w:t>p</w:t>
      </w:r>
      <w:r w:rsidR="00A05D52" w:rsidRPr="00761C33">
        <w:rPr>
          <w:i/>
          <w:iCs/>
          <w:szCs w:val="24"/>
        </w:rPr>
        <w:t>otential</w:t>
      </w:r>
      <w:r w:rsidR="00A05D52">
        <w:rPr>
          <w:szCs w:val="24"/>
        </w:rPr>
        <w:t xml:space="preserve"> impact </w:t>
      </w:r>
      <w:r w:rsidR="00F2512F">
        <w:rPr>
          <w:szCs w:val="24"/>
        </w:rPr>
        <w:t xml:space="preserve">of the resolution of a </w:t>
      </w:r>
      <w:r w:rsidR="00F2512F" w:rsidRPr="00761C33">
        <w:rPr>
          <w:i/>
          <w:iCs/>
          <w:szCs w:val="24"/>
        </w:rPr>
        <w:t>possible</w:t>
      </w:r>
      <w:r w:rsidR="00F2512F">
        <w:rPr>
          <w:szCs w:val="24"/>
        </w:rPr>
        <w:t xml:space="preserve"> issue </w:t>
      </w:r>
      <w:r w:rsidR="00F2512F" w:rsidRPr="00694833">
        <w:rPr>
          <w:i/>
          <w:iCs/>
          <w:szCs w:val="24"/>
        </w:rPr>
        <w:t>in a future rate case</w:t>
      </w:r>
      <w:r w:rsidR="00CA1D9C">
        <w:rPr>
          <w:szCs w:val="24"/>
        </w:rPr>
        <w:t xml:space="preserve"> is not relevant to an allegation of anti-competitive behavior</w:t>
      </w:r>
      <w:r w:rsidR="00694833">
        <w:rPr>
          <w:szCs w:val="24"/>
        </w:rPr>
        <w:t xml:space="preserve"> on the part of NFGD</w:t>
      </w:r>
      <w:r w:rsidR="00043F70">
        <w:rPr>
          <w:szCs w:val="24"/>
        </w:rPr>
        <w:t>, today.</w:t>
      </w:r>
      <w:r>
        <w:rPr>
          <w:szCs w:val="24"/>
        </w:rPr>
        <w:t xml:space="preserve">  While Complainants’ issue might be the basis for a hypothetical argument </w:t>
      </w:r>
      <w:r w:rsidR="00FB224C">
        <w:rPr>
          <w:szCs w:val="24"/>
        </w:rPr>
        <w:t xml:space="preserve">in a future rate case, </w:t>
      </w:r>
      <w:r>
        <w:rPr>
          <w:szCs w:val="24"/>
        </w:rPr>
        <w:t>it is not relevant</w:t>
      </w:r>
      <w:r w:rsidR="00FB224C">
        <w:rPr>
          <w:szCs w:val="24"/>
        </w:rPr>
        <w:t xml:space="preserve"> to the </w:t>
      </w:r>
      <w:r w:rsidR="000B6033">
        <w:rPr>
          <w:szCs w:val="24"/>
        </w:rPr>
        <w:t>issue</w:t>
      </w:r>
      <w:r w:rsidR="00FB224C">
        <w:rPr>
          <w:szCs w:val="24"/>
        </w:rPr>
        <w:t xml:space="preserve"> at hand</w:t>
      </w:r>
      <w:r w:rsidR="000B6033">
        <w:rPr>
          <w:szCs w:val="24"/>
        </w:rPr>
        <w:t xml:space="preserve">; that is, that NFGD </w:t>
      </w:r>
      <w:r w:rsidR="000B6033" w:rsidRPr="000B6033">
        <w:rPr>
          <w:i/>
          <w:iCs/>
          <w:szCs w:val="24"/>
        </w:rPr>
        <w:t>is</w:t>
      </w:r>
      <w:r w:rsidR="000B6033">
        <w:rPr>
          <w:szCs w:val="24"/>
        </w:rPr>
        <w:t xml:space="preserve"> engaging in anti-competitive behavior</w:t>
      </w:r>
      <w:r w:rsidR="00FB224C">
        <w:rPr>
          <w:szCs w:val="24"/>
        </w:rPr>
        <w:t>.</w:t>
      </w:r>
      <w:r w:rsidR="000B6033">
        <w:rPr>
          <w:szCs w:val="24"/>
        </w:rPr>
        <w:t xml:space="preserve">  Likewise, this is not the proceeding in which a re-litigation of issues decided in 2019 by the Commission</w:t>
      </w:r>
      <w:r w:rsidR="00517EDA">
        <w:rPr>
          <w:szCs w:val="24"/>
        </w:rPr>
        <w:t xml:space="preserve"> may occur.</w:t>
      </w:r>
    </w:p>
    <w:p w14:paraId="11B89D0E" w14:textId="726DE9B7" w:rsidR="00517EDA" w:rsidRDefault="00517EDA" w:rsidP="00FB224C">
      <w:pPr>
        <w:spacing w:line="360" w:lineRule="auto"/>
        <w:ind w:right="720"/>
        <w:jc w:val="left"/>
        <w:rPr>
          <w:szCs w:val="24"/>
        </w:rPr>
      </w:pPr>
    </w:p>
    <w:p w14:paraId="7DAC0431" w14:textId="16462AC4" w:rsidR="00517EDA" w:rsidRDefault="00517EDA" w:rsidP="00FB224C">
      <w:pPr>
        <w:spacing w:line="360" w:lineRule="auto"/>
        <w:ind w:right="720"/>
        <w:jc w:val="left"/>
        <w:rPr>
          <w:szCs w:val="24"/>
        </w:rPr>
      </w:pPr>
      <w:r>
        <w:rPr>
          <w:szCs w:val="24"/>
        </w:rPr>
        <w:tab/>
      </w:r>
      <w:r>
        <w:rPr>
          <w:szCs w:val="24"/>
        </w:rPr>
        <w:tab/>
        <w:t>Finally, I would note that it appears that NFGD did, in fact, provide an Answer to the Interrogatory so far as NFGD was able to do so</w:t>
      </w:r>
      <w:r w:rsidR="00005506">
        <w:rPr>
          <w:szCs w:val="24"/>
        </w:rPr>
        <w:t>, stating</w:t>
      </w:r>
      <w:r>
        <w:rPr>
          <w:szCs w:val="24"/>
        </w:rPr>
        <w:t>:</w:t>
      </w:r>
    </w:p>
    <w:p w14:paraId="25B98F8D" w14:textId="5AC4D1D0" w:rsidR="00517EDA" w:rsidRDefault="00517EDA" w:rsidP="00FB224C">
      <w:pPr>
        <w:spacing w:line="360" w:lineRule="auto"/>
        <w:ind w:right="720"/>
        <w:jc w:val="left"/>
        <w:rPr>
          <w:szCs w:val="24"/>
        </w:rPr>
      </w:pPr>
    </w:p>
    <w:p w14:paraId="4BB1FE3D" w14:textId="379D2EDE" w:rsidR="00517EDA" w:rsidRDefault="00517EDA" w:rsidP="00517EDA">
      <w:pPr>
        <w:spacing w:line="240" w:lineRule="auto"/>
        <w:ind w:left="1440" w:right="1440"/>
        <w:jc w:val="left"/>
        <w:rPr>
          <w:szCs w:val="24"/>
        </w:rPr>
      </w:pPr>
      <w:r w:rsidRPr="00517EDA">
        <w:rPr>
          <w:szCs w:val="24"/>
        </w:rPr>
        <w:t>Distribution has not yet sought recovery of the costs of its cybersecurity insurance policy from customers and has not yet determined how it will seek recovery in the future.  The accounting information for the costs of Distribution’s cybersecurity insurance policy are irrelevant when the Company does not know how or when it might seek recovery.  In this regard, NFG NGSs Set III, Question 1 not only seeks irrelevant information, but information that, based on the Company’s prior response, would be speculative at this time.</w:t>
      </w:r>
    </w:p>
    <w:p w14:paraId="241BD982" w14:textId="5B74286A" w:rsidR="00517EDA" w:rsidRDefault="00517EDA" w:rsidP="00517EDA">
      <w:pPr>
        <w:spacing w:line="240" w:lineRule="auto"/>
        <w:ind w:left="1440" w:right="1440"/>
        <w:jc w:val="left"/>
        <w:rPr>
          <w:szCs w:val="24"/>
        </w:rPr>
      </w:pPr>
    </w:p>
    <w:p w14:paraId="123F62B2" w14:textId="1BAE0000" w:rsidR="00517EDA" w:rsidRDefault="00005506" w:rsidP="00517EDA">
      <w:pPr>
        <w:spacing w:line="240" w:lineRule="auto"/>
        <w:ind w:right="1440"/>
        <w:jc w:val="left"/>
        <w:rPr>
          <w:szCs w:val="24"/>
        </w:rPr>
      </w:pPr>
      <w:r>
        <w:rPr>
          <w:szCs w:val="24"/>
        </w:rPr>
        <w:t>NFGD Answer at 3.</w:t>
      </w:r>
    </w:p>
    <w:p w14:paraId="540137F9" w14:textId="5A6D8F46" w:rsidR="00C131C2" w:rsidRDefault="00005506" w:rsidP="00C7507B">
      <w:pPr>
        <w:spacing w:line="360" w:lineRule="auto"/>
        <w:ind w:right="720"/>
        <w:rPr>
          <w:szCs w:val="24"/>
        </w:rPr>
      </w:pPr>
      <w:r>
        <w:rPr>
          <w:szCs w:val="24"/>
        </w:rPr>
        <w:t>.</w:t>
      </w:r>
    </w:p>
    <w:p w14:paraId="381E65D8" w14:textId="3C28B5C2" w:rsidR="00005506" w:rsidRDefault="00005506" w:rsidP="00C7507B">
      <w:pPr>
        <w:spacing w:line="360" w:lineRule="auto"/>
        <w:ind w:right="720"/>
        <w:rPr>
          <w:szCs w:val="24"/>
        </w:rPr>
      </w:pPr>
      <w:r>
        <w:rPr>
          <w:szCs w:val="24"/>
        </w:rPr>
        <w:lastRenderedPageBreak/>
        <w:tab/>
      </w:r>
      <w:r>
        <w:rPr>
          <w:szCs w:val="24"/>
        </w:rPr>
        <w:tab/>
        <w:t xml:space="preserve">For the reasons stated above, </w:t>
      </w:r>
      <w:r w:rsidR="00D0054A" w:rsidRPr="00D0054A">
        <w:rPr>
          <w:szCs w:val="24"/>
        </w:rPr>
        <w:t xml:space="preserve">the Motion to Dismiss Objections and Compel Answers filed by </w:t>
      </w:r>
      <w:r w:rsidR="00C14DB2">
        <w:rPr>
          <w:szCs w:val="24"/>
        </w:rPr>
        <w:t xml:space="preserve">the Joint Complainants </w:t>
      </w:r>
      <w:r w:rsidR="00D0054A" w:rsidRPr="00D0054A">
        <w:rPr>
          <w:szCs w:val="24"/>
        </w:rPr>
        <w:t>is denied.</w:t>
      </w:r>
    </w:p>
    <w:p w14:paraId="12296D1A" w14:textId="77777777" w:rsidR="00517EDA" w:rsidRDefault="00517EDA" w:rsidP="00C7507B">
      <w:pPr>
        <w:spacing w:line="360" w:lineRule="auto"/>
        <w:ind w:right="720"/>
        <w:rPr>
          <w:szCs w:val="24"/>
        </w:rPr>
      </w:pPr>
    </w:p>
    <w:p w14:paraId="50203028" w14:textId="77777777" w:rsidR="00AB0552" w:rsidRPr="0062132C" w:rsidRDefault="00AB0552" w:rsidP="00AB0552">
      <w:pPr>
        <w:spacing w:line="360" w:lineRule="auto"/>
        <w:jc w:val="center"/>
        <w:rPr>
          <w:b/>
          <w:szCs w:val="24"/>
        </w:rPr>
      </w:pPr>
      <w:r w:rsidRPr="0062132C">
        <w:rPr>
          <w:b/>
          <w:szCs w:val="24"/>
          <w:u w:val="single"/>
        </w:rPr>
        <w:t>ORDER</w:t>
      </w:r>
    </w:p>
    <w:p w14:paraId="7DE445E5" w14:textId="7B82E6A6" w:rsidR="00AB0552" w:rsidRDefault="00AB0552" w:rsidP="00AB0552">
      <w:pPr>
        <w:rPr>
          <w:szCs w:val="24"/>
        </w:rPr>
      </w:pPr>
    </w:p>
    <w:p w14:paraId="67D76CDB" w14:textId="77777777" w:rsidR="00BD5D11" w:rsidRPr="0062132C" w:rsidRDefault="00BD5D11" w:rsidP="00AB0552">
      <w:pPr>
        <w:rPr>
          <w:szCs w:val="24"/>
        </w:rPr>
      </w:pPr>
    </w:p>
    <w:p w14:paraId="395A5A74" w14:textId="492FBA29" w:rsidR="00AB0552" w:rsidRDefault="00AB0552" w:rsidP="00AB0552">
      <w:pPr>
        <w:spacing w:line="360" w:lineRule="auto"/>
        <w:rPr>
          <w:szCs w:val="24"/>
        </w:rPr>
      </w:pPr>
      <w:r w:rsidRPr="0062132C">
        <w:rPr>
          <w:szCs w:val="24"/>
        </w:rPr>
        <w:tab/>
      </w:r>
      <w:r w:rsidRPr="0062132C">
        <w:rPr>
          <w:szCs w:val="24"/>
        </w:rPr>
        <w:tab/>
        <w:t>THEREFORE,</w:t>
      </w:r>
    </w:p>
    <w:p w14:paraId="47059C59" w14:textId="77777777" w:rsidR="000B6033" w:rsidRPr="0062132C" w:rsidRDefault="000B6033" w:rsidP="00AB0552">
      <w:pPr>
        <w:spacing w:line="360" w:lineRule="auto"/>
        <w:rPr>
          <w:szCs w:val="24"/>
        </w:rPr>
      </w:pPr>
    </w:p>
    <w:p w14:paraId="51A666A2" w14:textId="77777777" w:rsidR="00AB0552" w:rsidRPr="0062132C" w:rsidRDefault="00AB0552" w:rsidP="00AB0552">
      <w:pPr>
        <w:spacing w:line="360" w:lineRule="auto"/>
        <w:rPr>
          <w:szCs w:val="24"/>
        </w:rPr>
      </w:pPr>
      <w:r w:rsidRPr="0062132C">
        <w:rPr>
          <w:szCs w:val="24"/>
        </w:rPr>
        <w:tab/>
      </w:r>
      <w:r w:rsidRPr="0062132C">
        <w:rPr>
          <w:szCs w:val="24"/>
        </w:rPr>
        <w:tab/>
        <w:t>IT IS ORDERED:</w:t>
      </w:r>
    </w:p>
    <w:p w14:paraId="77BC43F8" w14:textId="77777777" w:rsidR="00AB0552" w:rsidRPr="0062132C" w:rsidRDefault="00AB0552" w:rsidP="00AB0552">
      <w:pPr>
        <w:spacing w:line="360" w:lineRule="auto"/>
        <w:rPr>
          <w:szCs w:val="24"/>
        </w:rPr>
      </w:pPr>
    </w:p>
    <w:p w14:paraId="683A5BF1" w14:textId="77252912" w:rsidR="00AB0552" w:rsidRDefault="00AB0552" w:rsidP="00AB0552">
      <w:pPr>
        <w:spacing w:line="360" w:lineRule="auto"/>
        <w:rPr>
          <w:szCs w:val="24"/>
        </w:rPr>
      </w:pPr>
      <w:r w:rsidRPr="0062132C">
        <w:rPr>
          <w:szCs w:val="24"/>
        </w:rPr>
        <w:tab/>
      </w:r>
      <w:r w:rsidRPr="0062132C">
        <w:rPr>
          <w:szCs w:val="24"/>
        </w:rPr>
        <w:tab/>
        <w:t>1.</w:t>
      </w:r>
      <w:r w:rsidRPr="0062132C">
        <w:rPr>
          <w:szCs w:val="24"/>
        </w:rPr>
        <w:tab/>
        <w:t xml:space="preserve">That </w:t>
      </w:r>
      <w:r>
        <w:rPr>
          <w:szCs w:val="24"/>
        </w:rPr>
        <w:t xml:space="preserve">the Motion to </w:t>
      </w:r>
      <w:r w:rsidR="00D06AF0">
        <w:rPr>
          <w:szCs w:val="24"/>
        </w:rPr>
        <w:t xml:space="preserve">Dismiss Objections and </w:t>
      </w:r>
      <w:r>
        <w:rPr>
          <w:szCs w:val="24"/>
        </w:rPr>
        <w:t>Compel</w:t>
      </w:r>
      <w:r w:rsidR="00D06AF0">
        <w:rPr>
          <w:szCs w:val="24"/>
        </w:rPr>
        <w:t xml:space="preserve"> Answers</w:t>
      </w:r>
      <w:r>
        <w:rPr>
          <w:szCs w:val="24"/>
        </w:rPr>
        <w:t xml:space="preserve"> filed by </w:t>
      </w:r>
      <w:proofErr w:type="spellStart"/>
      <w:r w:rsidR="00FF58A4" w:rsidRPr="00FF58A4">
        <w:rPr>
          <w:szCs w:val="24"/>
        </w:rPr>
        <w:t>EnergyMark</w:t>
      </w:r>
      <w:proofErr w:type="spellEnd"/>
      <w:r w:rsidR="00FF58A4" w:rsidRPr="00FF58A4">
        <w:rPr>
          <w:szCs w:val="24"/>
        </w:rPr>
        <w:t xml:space="preserve"> LLC, Vineyard Oil and Gas Company, </w:t>
      </w:r>
      <w:proofErr w:type="spellStart"/>
      <w:r w:rsidR="00FF58A4" w:rsidRPr="00FF58A4">
        <w:rPr>
          <w:szCs w:val="24"/>
        </w:rPr>
        <w:t>Mid American</w:t>
      </w:r>
      <w:proofErr w:type="spellEnd"/>
      <w:r w:rsidR="00FF58A4" w:rsidRPr="00FF58A4">
        <w:rPr>
          <w:szCs w:val="24"/>
        </w:rPr>
        <w:t xml:space="preserve"> Natural Resources LLC, and Total Energy Resources LLC </w:t>
      </w:r>
      <w:r>
        <w:rPr>
          <w:szCs w:val="24"/>
        </w:rPr>
        <w:t xml:space="preserve">at Docket No. </w:t>
      </w:r>
      <w:r w:rsidR="00225247">
        <w:rPr>
          <w:szCs w:val="24"/>
        </w:rPr>
        <w:t>C-2020-3019621</w:t>
      </w:r>
      <w:r>
        <w:rPr>
          <w:szCs w:val="24"/>
        </w:rPr>
        <w:t xml:space="preserve"> is denied.</w:t>
      </w:r>
    </w:p>
    <w:p w14:paraId="21E62663" w14:textId="77777777" w:rsidR="00AB0552" w:rsidRDefault="00AB0552" w:rsidP="00AB0552">
      <w:pPr>
        <w:spacing w:line="360" w:lineRule="auto"/>
        <w:rPr>
          <w:szCs w:val="24"/>
        </w:rPr>
      </w:pPr>
    </w:p>
    <w:p w14:paraId="155B64C8" w14:textId="77777777" w:rsidR="00AB0552" w:rsidRDefault="00AB0552" w:rsidP="00AB0552">
      <w:pPr>
        <w:spacing w:line="360" w:lineRule="auto"/>
        <w:rPr>
          <w:szCs w:val="24"/>
        </w:rPr>
      </w:pPr>
      <w:r>
        <w:rPr>
          <w:szCs w:val="24"/>
        </w:rPr>
        <w:tab/>
      </w:r>
      <w:r>
        <w:rPr>
          <w:szCs w:val="24"/>
        </w:rPr>
        <w:tab/>
      </w:r>
    </w:p>
    <w:p w14:paraId="6E3604B3" w14:textId="3185C7A3" w:rsidR="00AB0552" w:rsidRPr="00BD5D11" w:rsidRDefault="00AB0552" w:rsidP="00AB0552">
      <w:pPr>
        <w:widowControl w:val="0"/>
        <w:spacing w:line="240" w:lineRule="auto"/>
        <w:rPr>
          <w:szCs w:val="24"/>
          <w:u w:val="single"/>
        </w:rPr>
      </w:pPr>
      <w:r w:rsidRPr="00C81100">
        <w:rPr>
          <w:szCs w:val="24"/>
        </w:rPr>
        <w:t>Date:</w:t>
      </w:r>
      <w:r>
        <w:rPr>
          <w:szCs w:val="24"/>
        </w:rPr>
        <w:tab/>
      </w:r>
      <w:r>
        <w:rPr>
          <w:szCs w:val="24"/>
          <w:u w:val="single"/>
        </w:rPr>
        <w:t xml:space="preserve">March 10, </w:t>
      </w:r>
      <w:r w:rsidR="00FF58A4">
        <w:rPr>
          <w:szCs w:val="24"/>
          <w:u w:val="single"/>
        </w:rPr>
        <w:t>2021</w:t>
      </w:r>
      <w:r w:rsidRPr="00C81100">
        <w:rPr>
          <w:szCs w:val="24"/>
        </w:rPr>
        <w:tab/>
      </w:r>
      <w:r w:rsidRPr="00C81100">
        <w:rPr>
          <w:szCs w:val="24"/>
        </w:rPr>
        <w:tab/>
      </w:r>
      <w:r w:rsidRPr="00C81100">
        <w:rPr>
          <w:szCs w:val="24"/>
        </w:rPr>
        <w:tab/>
      </w:r>
      <w:r>
        <w:rPr>
          <w:szCs w:val="24"/>
        </w:rPr>
        <w:tab/>
      </w:r>
      <w:r w:rsidR="00BD5D11">
        <w:rPr>
          <w:szCs w:val="24"/>
        </w:rPr>
        <w:tab/>
      </w:r>
      <w:r w:rsidR="00BD5D11">
        <w:rPr>
          <w:szCs w:val="24"/>
          <w:u w:val="single"/>
        </w:rPr>
        <w:tab/>
      </w:r>
      <w:r w:rsidR="00BD5D11">
        <w:rPr>
          <w:szCs w:val="24"/>
          <w:u w:val="single"/>
        </w:rPr>
        <w:tab/>
        <w:t>/s/</w:t>
      </w:r>
      <w:r w:rsidR="00BD5D11">
        <w:rPr>
          <w:szCs w:val="24"/>
          <w:u w:val="single"/>
        </w:rPr>
        <w:tab/>
      </w:r>
      <w:r w:rsidR="00BD5D11">
        <w:rPr>
          <w:szCs w:val="24"/>
          <w:u w:val="single"/>
        </w:rPr>
        <w:tab/>
      </w:r>
    </w:p>
    <w:p w14:paraId="295F4223" w14:textId="74489772" w:rsidR="00AB0552" w:rsidRPr="00C81100" w:rsidRDefault="00AB0552" w:rsidP="00AB0552">
      <w:pPr>
        <w:widowControl w:val="0"/>
        <w:spacing w:line="240" w:lineRule="auto"/>
        <w:rPr>
          <w:szCs w:val="24"/>
        </w:rPr>
      </w:pPr>
      <w:r w:rsidRPr="00C81100">
        <w:rPr>
          <w:szCs w:val="24"/>
        </w:rPr>
        <w:tab/>
      </w:r>
      <w:r w:rsidRPr="00C81100">
        <w:rPr>
          <w:szCs w:val="24"/>
        </w:rPr>
        <w:tab/>
      </w:r>
      <w:r w:rsidRPr="00C81100">
        <w:rPr>
          <w:szCs w:val="24"/>
        </w:rPr>
        <w:tab/>
      </w:r>
      <w:r w:rsidRPr="00C81100">
        <w:rPr>
          <w:szCs w:val="24"/>
        </w:rPr>
        <w:tab/>
      </w:r>
      <w:r w:rsidRPr="00C81100">
        <w:rPr>
          <w:szCs w:val="24"/>
        </w:rPr>
        <w:tab/>
      </w:r>
      <w:r w:rsidRPr="00C81100">
        <w:rPr>
          <w:szCs w:val="24"/>
        </w:rPr>
        <w:tab/>
      </w:r>
      <w:r>
        <w:rPr>
          <w:szCs w:val="24"/>
        </w:rPr>
        <w:tab/>
      </w:r>
      <w:r w:rsidR="00BD5D11">
        <w:rPr>
          <w:szCs w:val="24"/>
        </w:rPr>
        <w:tab/>
      </w:r>
      <w:r w:rsidRPr="00C81100">
        <w:rPr>
          <w:szCs w:val="24"/>
        </w:rPr>
        <w:t>Dennis J. Buckley</w:t>
      </w:r>
    </w:p>
    <w:p w14:paraId="0F46718A" w14:textId="77777777" w:rsidR="00BD5D11" w:rsidRDefault="00AB0552" w:rsidP="00D06AF0">
      <w:pPr>
        <w:widowControl w:val="0"/>
        <w:spacing w:line="240" w:lineRule="auto"/>
        <w:rPr>
          <w:szCs w:val="24"/>
        </w:rPr>
        <w:sectPr w:rsidR="00BD5D11" w:rsidSect="00AB4AD6">
          <w:footerReference w:type="default" r:id="rId11"/>
          <w:pgSz w:w="12240" w:h="15840"/>
          <w:pgMar w:top="1440" w:right="1440" w:bottom="1440" w:left="1440" w:header="720" w:footer="720" w:gutter="0"/>
          <w:cols w:space="720"/>
          <w:titlePg/>
          <w:docGrid w:linePitch="360"/>
        </w:sectPr>
      </w:pPr>
      <w:r w:rsidRPr="00C81100">
        <w:rPr>
          <w:szCs w:val="24"/>
        </w:rPr>
        <w:tab/>
      </w:r>
      <w:r w:rsidRPr="00C81100">
        <w:rPr>
          <w:szCs w:val="24"/>
        </w:rPr>
        <w:tab/>
      </w:r>
      <w:r w:rsidRPr="00C81100">
        <w:rPr>
          <w:szCs w:val="24"/>
        </w:rPr>
        <w:tab/>
      </w:r>
      <w:r w:rsidRPr="00C81100">
        <w:rPr>
          <w:szCs w:val="24"/>
        </w:rPr>
        <w:tab/>
      </w:r>
      <w:r w:rsidRPr="00C81100">
        <w:rPr>
          <w:szCs w:val="24"/>
        </w:rPr>
        <w:tab/>
      </w:r>
      <w:r w:rsidRPr="00C81100">
        <w:rPr>
          <w:szCs w:val="24"/>
        </w:rPr>
        <w:tab/>
      </w:r>
      <w:r>
        <w:rPr>
          <w:szCs w:val="24"/>
        </w:rPr>
        <w:tab/>
      </w:r>
      <w:r w:rsidR="00BD5D11">
        <w:rPr>
          <w:szCs w:val="24"/>
        </w:rPr>
        <w:tab/>
      </w:r>
      <w:r w:rsidRPr="00C81100">
        <w:rPr>
          <w:szCs w:val="24"/>
        </w:rPr>
        <w:t>Administrative Law Judge</w:t>
      </w:r>
    </w:p>
    <w:p w14:paraId="61F0F5F2" w14:textId="77777777" w:rsidR="00BD5D11" w:rsidRDefault="00BD5D11" w:rsidP="00BD5D11">
      <w:pPr>
        <w:spacing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C-2020-3019621 - ENERGYMARK LLC, VINYARD OIL AND GAS COMPANY, MID AMERICAN NATURAL RESOURCES LLC AND TOTAL ENERGY RESOURCES LLC v. NATIONAL FUEL GAS DISTRIBUTION COMPANY</w:t>
      </w:r>
      <w:r>
        <w:rPr>
          <w:rFonts w:ascii="Microsoft Sans Serif" w:eastAsia="Microsoft Sans Serif" w:hAnsi="Microsoft Sans Serif" w:cs="Microsoft Sans Serif"/>
          <w:b/>
          <w:u w:val="single"/>
        </w:rPr>
        <w:cr/>
      </w:r>
    </w:p>
    <w:p w14:paraId="74183AEC" w14:textId="77777777" w:rsidR="00BD5D11" w:rsidRDefault="00BD5D11" w:rsidP="00BD5D11">
      <w:pPr>
        <w:spacing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Revised 1.20.21</w:t>
      </w:r>
    </w:p>
    <w:p w14:paraId="60997328" w14:textId="77777777" w:rsidR="00BD5D11" w:rsidRDefault="00BD5D11" w:rsidP="00BD5D11">
      <w:pPr>
        <w:spacing w:line="240" w:lineRule="auto"/>
        <w:rPr>
          <w:rFonts w:ascii="Microsoft Sans Serif" w:eastAsia="Microsoft Sans Serif" w:hAnsi="Microsoft Sans Serif" w:cs="Microsoft Sans Serif"/>
          <w:b/>
          <w:u w:val="single"/>
        </w:rPr>
      </w:pPr>
    </w:p>
    <w:p w14:paraId="79E3B672" w14:textId="53A20115" w:rsidR="00BD5D11" w:rsidRDefault="00BD5D11" w:rsidP="00BD5D11">
      <w:pPr>
        <w:spacing w:line="240" w:lineRule="auto"/>
        <w:jc w:val="left"/>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TODD</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S STEWART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NORTH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br/>
      </w:r>
      <w:r w:rsidRPr="00106311">
        <w:rPr>
          <w:rFonts w:ascii="Microsoft Sans Serif" w:eastAsia="Microsoft Sans Serif" w:hAnsi="Microsoft Sans Serif" w:cs="Microsoft Sans Serif"/>
          <w:b/>
          <w:bCs/>
        </w:rPr>
        <w:t>717.236.1300</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t>tsstewart@hmslegal.com</w:t>
      </w:r>
      <w:r>
        <w:rPr>
          <w:rFonts w:ascii="Microsoft Sans Serif" w:eastAsia="Microsoft Sans Serif" w:hAnsi="Microsoft Sans Serif" w:cs="Microsoft Sans Serif"/>
        </w:rPr>
        <w:br/>
        <w:t>brbeard@hmslegal.com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t>ANTHONY D KANAGY ESQUIRE</w:t>
      </w:r>
      <w:r>
        <w:rPr>
          <w:rFonts w:ascii="Microsoft Sans Serif" w:eastAsia="Microsoft Sans Serif" w:hAnsi="Microsoft Sans Serif" w:cs="Microsoft Sans Serif"/>
        </w:rPr>
        <w:br/>
        <w:t>GARRETT P LENT ESQUIRE</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06311">
        <w:rPr>
          <w:rFonts w:ascii="Microsoft Sans Serif" w:eastAsia="Microsoft Sans Serif" w:hAnsi="Microsoft Sans Serif" w:cs="Microsoft Sans Serif"/>
          <w:b/>
          <w:bCs/>
        </w:rPr>
        <w:t>717.612.6034</w:t>
      </w:r>
      <w:r>
        <w:rPr>
          <w:rFonts w:ascii="Microsoft Sans Serif" w:eastAsia="Microsoft Sans Serif" w:hAnsi="Microsoft Sans Serif" w:cs="Microsoft Sans Serif"/>
        </w:rPr>
        <w:br/>
      </w:r>
      <w:bookmarkStart w:id="2" w:name="_Hlk62023672"/>
      <w:r>
        <w:rPr>
          <w:rFonts w:ascii="Microsoft Sans Serif" w:eastAsia="Microsoft Sans Serif" w:hAnsi="Microsoft Sans Serif" w:cs="Microsoft Sans Serif"/>
        </w:rPr>
        <w:t>Accepts eService</w:t>
      </w:r>
      <w:bookmarkEnd w:id="2"/>
      <w:r>
        <w:rPr>
          <w:rFonts w:ascii="Microsoft Sans Serif" w:eastAsia="Microsoft Sans Serif" w:hAnsi="Microsoft Sans Serif" w:cs="Microsoft Sans Serif"/>
        </w:rPr>
        <w:cr/>
        <w:t>akanagy@postschell.com</w:t>
      </w:r>
      <w:r>
        <w:rPr>
          <w:rFonts w:ascii="Microsoft Sans Serif" w:eastAsia="Microsoft Sans Serif" w:hAnsi="Microsoft Sans Serif" w:cs="Microsoft Sans Serif"/>
        </w:rPr>
        <w:cr/>
        <w:t>glent@postschell.com</w:t>
      </w:r>
      <w:r>
        <w:rPr>
          <w:rFonts w:ascii="Microsoft Sans Serif" w:eastAsia="Microsoft Sans Serif" w:hAnsi="Microsoft Sans Serif" w:cs="Microsoft Sans Serif"/>
        </w:rPr>
        <w:cr/>
      </w:r>
    </w:p>
    <w:p w14:paraId="2FDB295A" w14:textId="77777777" w:rsidR="00BD5D11" w:rsidRDefault="00BD5D11" w:rsidP="00BD5D11">
      <w:pPr>
        <w:spacing w:line="240" w:lineRule="auto"/>
        <w:rPr>
          <w:rFonts w:ascii="Microsoft Sans Serif" w:eastAsia="Microsoft Sans Serif" w:hAnsi="Microsoft Sans Serif" w:cs="Microsoft Sans Serif"/>
        </w:rPr>
      </w:pPr>
    </w:p>
    <w:p w14:paraId="05CE37F1" w14:textId="77777777" w:rsidR="00BD5D11" w:rsidRDefault="00BD5D11" w:rsidP="00BD5D11">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KEVIN J MOODY ESQUIRE</w:t>
      </w:r>
      <w:r>
        <w:rPr>
          <w:rFonts w:ascii="Microsoft Sans Serif" w:eastAsia="Microsoft Sans Serif" w:hAnsi="Microsoft Sans Serif" w:cs="Microsoft Sans Serif"/>
        </w:rPr>
        <w:cr/>
        <w:t>PENNSYLVANIA INDEPENDENT OIL AND GAS ASSOCIATION (PIOGA)</w:t>
      </w:r>
      <w:r>
        <w:rPr>
          <w:rFonts w:ascii="Microsoft Sans Serif" w:eastAsia="Microsoft Sans Serif" w:hAnsi="Microsoft Sans Serif" w:cs="Microsoft Sans Serif"/>
        </w:rPr>
        <w:cr/>
        <w:t>212 LOCUST STREET</w:t>
      </w:r>
      <w:r>
        <w:rPr>
          <w:rFonts w:ascii="Microsoft Sans Serif" w:eastAsia="Microsoft Sans Serif" w:hAnsi="Microsoft Sans Serif" w:cs="Microsoft Sans Serif"/>
        </w:rPr>
        <w:cr/>
        <w:t>SUITE 300</w:t>
      </w:r>
      <w:r>
        <w:rPr>
          <w:rFonts w:ascii="Microsoft Sans Serif" w:eastAsia="Microsoft Sans Serif" w:hAnsi="Microsoft Sans Serif" w:cs="Microsoft Sans Serif"/>
        </w:rPr>
        <w:cr/>
        <w:t>HARRISBURG PA  17101-1510</w:t>
      </w:r>
      <w:r>
        <w:rPr>
          <w:rFonts w:ascii="Microsoft Sans Serif" w:eastAsia="Microsoft Sans Serif" w:hAnsi="Microsoft Sans Serif" w:cs="Microsoft Sans Serif"/>
        </w:rPr>
        <w:cr/>
      </w:r>
      <w:r w:rsidRPr="00B004C9">
        <w:rPr>
          <w:rFonts w:ascii="Microsoft Sans Serif" w:eastAsia="Microsoft Sans Serif" w:hAnsi="Microsoft Sans Serif" w:cs="Microsoft Sans Serif"/>
          <w:b/>
          <w:bCs/>
        </w:rPr>
        <w:t>717.234.8525</w:t>
      </w:r>
      <w:r w:rsidRPr="00B004C9">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5344CEA6" w14:textId="77777777" w:rsidR="00BD5D11" w:rsidRPr="00B004C9" w:rsidRDefault="00BD5D11" w:rsidP="00BD5D11">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kevin@pioga.org</w:t>
      </w:r>
      <w:r>
        <w:rPr>
          <w:rFonts w:ascii="Microsoft Sans Serif" w:eastAsia="Microsoft Sans Serif" w:hAnsi="Microsoft Sans Serif" w:cs="Microsoft Sans Serif"/>
        </w:rPr>
        <w:cr/>
      </w:r>
    </w:p>
    <w:p w14:paraId="11B895B1" w14:textId="77777777" w:rsidR="00BD5D11" w:rsidRDefault="00BD5D11" w:rsidP="00BD5D11"/>
    <w:p w14:paraId="668056C0" w14:textId="0BCB3F42" w:rsidR="00AB4AD6" w:rsidRDefault="00AB4AD6" w:rsidP="00D06AF0">
      <w:pPr>
        <w:widowControl w:val="0"/>
        <w:spacing w:line="240" w:lineRule="auto"/>
        <w:rPr>
          <w:szCs w:val="24"/>
        </w:rPr>
      </w:pPr>
    </w:p>
    <w:sectPr w:rsidR="00AB4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1E09B" w14:textId="77777777" w:rsidR="00C7222E" w:rsidRDefault="00C7222E" w:rsidP="00B16454">
      <w:pPr>
        <w:spacing w:line="240" w:lineRule="auto"/>
      </w:pPr>
      <w:r>
        <w:separator/>
      </w:r>
    </w:p>
  </w:endnote>
  <w:endnote w:type="continuationSeparator" w:id="0">
    <w:p w14:paraId="2302B0DB" w14:textId="77777777" w:rsidR="00C7222E" w:rsidRDefault="00C7222E" w:rsidP="00B16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242464"/>
      <w:docPartObj>
        <w:docPartGallery w:val="Page Numbers (Bottom of Page)"/>
        <w:docPartUnique/>
      </w:docPartObj>
    </w:sdtPr>
    <w:sdtEndPr>
      <w:rPr>
        <w:noProof/>
      </w:rPr>
    </w:sdtEndPr>
    <w:sdtContent>
      <w:p w14:paraId="0ED94327" w14:textId="12F6F74B" w:rsidR="00B16454" w:rsidRDefault="00B16454" w:rsidP="00730FAA">
        <w:pPr>
          <w:pStyle w:val="Footer"/>
          <w:jc w:val="center"/>
        </w:pPr>
        <w:r w:rsidRPr="00BD5D11">
          <w:rPr>
            <w:sz w:val="20"/>
            <w:szCs w:val="20"/>
          </w:rPr>
          <w:fldChar w:fldCharType="begin"/>
        </w:r>
        <w:r w:rsidRPr="00BD5D11">
          <w:rPr>
            <w:sz w:val="20"/>
            <w:szCs w:val="20"/>
          </w:rPr>
          <w:instrText xml:space="preserve"> PAGE   \* MERGEFORMAT </w:instrText>
        </w:r>
        <w:r w:rsidRPr="00BD5D11">
          <w:rPr>
            <w:sz w:val="20"/>
            <w:szCs w:val="20"/>
          </w:rPr>
          <w:fldChar w:fldCharType="separate"/>
        </w:r>
        <w:r w:rsidRPr="00BD5D11">
          <w:rPr>
            <w:noProof/>
            <w:sz w:val="20"/>
            <w:szCs w:val="20"/>
          </w:rPr>
          <w:t>2</w:t>
        </w:r>
        <w:r w:rsidRPr="00BD5D1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A9F3" w14:textId="77777777" w:rsidR="00C7222E" w:rsidRDefault="00C7222E" w:rsidP="00B16454">
      <w:pPr>
        <w:spacing w:line="240" w:lineRule="auto"/>
      </w:pPr>
      <w:r>
        <w:separator/>
      </w:r>
    </w:p>
  </w:footnote>
  <w:footnote w:type="continuationSeparator" w:id="0">
    <w:p w14:paraId="14589343" w14:textId="77777777" w:rsidR="00C7222E" w:rsidRDefault="00C7222E" w:rsidP="00B164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3943"/>
    <w:multiLevelType w:val="hybridMultilevel"/>
    <w:tmpl w:val="8006D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43869"/>
    <w:multiLevelType w:val="hybridMultilevel"/>
    <w:tmpl w:val="85A0AA1A"/>
    <w:lvl w:ilvl="0" w:tplc="ADCC05AA">
      <w:start w:val="1"/>
      <w:numFmt w:val="decimal"/>
      <w:lvlText w:val="%1."/>
      <w:lvlJc w:val="left"/>
      <w:pPr>
        <w:ind w:left="720" w:hanging="360"/>
      </w:pPr>
      <w:rPr>
        <w:rFonts w:hint="default"/>
        <w:color w:val="383838"/>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34392"/>
    <w:multiLevelType w:val="hybridMultilevel"/>
    <w:tmpl w:val="88325F48"/>
    <w:lvl w:ilvl="0" w:tplc="CA3CDD1C">
      <w:start w:val="8"/>
      <w:numFmt w:val="decimal"/>
      <w:lvlText w:val="%1."/>
      <w:lvlJc w:val="left"/>
      <w:pPr>
        <w:ind w:left="720" w:hanging="360"/>
      </w:pPr>
      <w:rPr>
        <w:rFonts w:hint="default"/>
        <w:color w:val="auto"/>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A3219"/>
    <w:multiLevelType w:val="hybridMultilevel"/>
    <w:tmpl w:val="78A026D2"/>
    <w:lvl w:ilvl="0" w:tplc="CB3E9E9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47AD7"/>
    <w:multiLevelType w:val="hybridMultilevel"/>
    <w:tmpl w:val="AE02F926"/>
    <w:lvl w:ilvl="0" w:tplc="2E78FDBC">
      <w:start w:val="7"/>
      <w:numFmt w:val="decimal"/>
      <w:lvlText w:val="%1."/>
      <w:lvlJc w:val="left"/>
      <w:pPr>
        <w:ind w:left="720" w:hanging="360"/>
      </w:pPr>
      <w:rPr>
        <w:rFonts w:hint="default"/>
        <w:color w:val="383838"/>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D62C5"/>
    <w:multiLevelType w:val="hybridMultilevel"/>
    <w:tmpl w:val="BDB0B0F2"/>
    <w:lvl w:ilvl="0" w:tplc="6292D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D4"/>
    <w:rsid w:val="00005506"/>
    <w:rsid w:val="000323E9"/>
    <w:rsid w:val="00043F70"/>
    <w:rsid w:val="00055184"/>
    <w:rsid w:val="00071D15"/>
    <w:rsid w:val="00074A2C"/>
    <w:rsid w:val="00076416"/>
    <w:rsid w:val="00092B2A"/>
    <w:rsid w:val="000A00D4"/>
    <w:rsid w:val="000B1A54"/>
    <w:rsid w:val="000B5EC8"/>
    <w:rsid w:val="000B6033"/>
    <w:rsid w:val="000C162B"/>
    <w:rsid w:val="000C16F6"/>
    <w:rsid w:val="000D6CE7"/>
    <w:rsid w:val="000E3095"/>
    <w:rsid w:val="000E496A"/>
    <w:rsid w:val="00126793"/>
    <w:rsid w:val="0013261A"/>
    <w:rsid w:val="001357DD"/>
    <w:rsid w:val="001412D0"/>
    <w:rsid w:val="00143342"/>
    <w:rsid w:val="00164C4D"/>
    <w:rsid w:val="00165627"/>
    <w:rsid w:val="00165F61"/>
    <w:rsid w:val="0017232E"/>
    <w:rsid w:val="0017744A"/>
    <w:rsid w:val="00184952"/>
    <w:rsid w:val="00187EA7"/>
    <w:rsid w:val="001B204D"/>
    <w:rsid w:val="001C537B"/>
    <w:rsid w:val="001E68FA"/>
    <w:rsid w:val="002010A1"/>
    <w:rsid w:val="00217DD3"/>
    <w:rsid w:val="00225247"/>
    <w:rsid w:val="00242C64"/>
    <w:rsid w:val="00242D37"/>
    <w:rsid w:val="00243526"/>
    <w:rsid w:val="002608CF"/>
    <w:rsid w:val="00266F7D"/>
    <w:rsid w:val="0027545B"/>
    <w:rsid w:val="00297346"/>
    <w:rsid w:val="002A1263"/>
    <w:rsid w:val="002C2B74"/>
    <w:rsid w:val="002D0684"/>
    <w:rsid w:val="002D7ED6"/>
    <w:rsid w:val="002E00A1"/>
    <w:rsid w:val="00302156"/>
    <w:rsid w:val="00302300"/>
    <w:rsid w:val="00304F4C"/>
    <w:rsid w:val="00305B4A"/>
    <w:rsid w:val="00313244"/>
    <w:rsid w:val="003474A7"/>
    <w:rsid w:val="0034781F"/>
    <w:rsid w:val="00350D68"/>
    <w:rsid w:val="00366C77"/>
    <w:rsid w:val="00385109"/>
    <w:rsid w:val="003962B0"/>
    <w:rsid w:val="003A0BFB"/>
    <w:rsid w:val="003A6289"/>
    <w:rsid w:val="003C0E3B"/>
    <w:rsid w:val="003D5F85"/>
    <w:rsid w:val="003D6573"/>
    <w:rsid w:val="003E6A0C"/>
    <w:rsid w:val="003E71D0"/>
    <w:rsid w:val="003F0677"/>
    <w:rsid w:val="003F2F7B"/>
    <w:rsid w:val="00401CDF"/>
    <w:rsid w:val="00403866"/>
    <w:rsid w:val="00404FB7"/>
    <w:rsid w:val="004057B0"/>
    <w:rsid w:val="00435D89"/>
    <w:rsid w:val="00440C29"/>
    <w:rsid w:val="00446124"/>
    <w:rsid w:val="00473486"/>
    <w:rsid w:val="00490F5E"/>
    <w:rsid w:val="004B274A"/>
    <w:rsid w:val="004D1D90"/>
    <w:rsid w:val="004D5A53"/>
    <w:rsid w:val="004E3A50"/>
    <w:rsid w:val="00516B10"/>
    <w:rsid w:val="00517EDA"/>
    <w:rsid w:val="005242AA"/>
    <w:rsid w:val="00537544"/>
    <w:rsid w:val="00582D74"/>
    <w:rsid w:val="005A2B43"/>
    <w:rsid w:val="005A5047"/>
    <w:rsid w:val="005B0C83"/>
    <w:rsid w:val="00604D7B"/>
    <w:rsid w:val="0061231C"/>
    <w:rsid w:val="00612834"/>
    <w:rsid w:val="00612E9E"/>
    <w:rsid w:val="00644186"/>
    <w:rsid w:val="006745BA"/>
    <w:rsid w:val="006855D2"/>
    <w:rsid w:val="00694833"/>
    <w:rsid w:val="006A78C3"/>
    <w:rsid w:val="006E2838"/>
    <w:rsid w:val="00706F05"/>
    <w:rsid w:val="00713462"/>
    <w:rsid w:val="00730FAA"/>
    <w:rsid w:val="00751744"/>
    <w:rsid w:val="00761C33"/>
    <w:rsid w:val="0078044B"/>
    <w:rsid w:val="00786921"/>
    <w:rsid w:val="00793D58"/>
    <w:rsid w:val="007A041D"/>
    <w:rsid w:val="007B10F9"/>
    <w:rsid w:val="007F7E41"/>
    <w:rsid w:val="00811024"/>
    <w:rsid w:val="0081664F"/>
    <w:rsid w:val="00847EAA"/>
    <w:rsid w:val="00861ABD"/>
    <w:rsid w:val="008628C1"/>
    <w:rsid w:val="00863AD1"/>
    <w:rsid w:val="00880816"/>
    <w:rsid w:val="00893DE8"/>
    <w:rsid w:val="008A78B4"/>
    <w:rsid w:val="008B323E"/>
    <w:rsid w:val="008D3828"/>
    <w:rsid w:val="008F17B4"/>
    <w:rsid w:val="008F5097"/>
    <w:rsid w:val="008F7EE4"/>
    <w:rsid w:val="0090710F"/>
    <w:rsid w:val="00911262"/>
    <w:rsid w:val="009354CB"/>
    <w:rsid w:val="00944371"/>
    <w:rsid w:val="00950F00"/>
    <w:rsid w:val="00953407"/>
    <w:rsid w:val="009815FB"/>
    <w:rsid w:val="00994D5C"/>
    <w:rsid w:val="009E69B7"/>
    <w:rsid w:val="009F63E6"/>
    <w:rsid w:val="00A05D52"/>
    <w:rsid w:val="00A303FA"/>
    <w:rsid w:val="00A37FCD"/>
    <w:rsid w:val="00A5213B"/>
    <w:rsid w:val="00A87888"/>
    <w:rsid w:val="00AA0733"/>
    <w:rsid w:val="00AA459A"/>
    <w:rsid w:val="00AB0552"/>
    <w:rsid w:val="00AB122C"/>
    <w:rsid w:val="00AB4AD6"/>
    <w:rsid w:val="00AC38D5"/>
    <w:rsid w:val="00AD2164"/>
    <w:rsid w:val="00AF228B"/>
    <w:rsid w:val="00B027E2"/>
    <w:rsid w:val="00B05E28"/>
    <w:rsid w:val="00B16454"/>
    <w:rsid w:val="00B30E6E"/>
    <w:rsid w:val="00B45E15"/>
    <w:rsid w:val="00B5272B"/>
    <w:rsid w:val="00B549D1"/>
    <w:rsid w:val="00B61ACC"/>
    <w:rsid w:val="00B65352"/>
    <w:rsid w:val="00B8433F"/>
    <w:rsid w:val="00B925D0"/>
    <w:rsid w:val="00BB09B4"/>
    <w:rsid w:val="00BB6994"/>
    <w:rsid w:val="00BD266D"/>
    <w:rsid w:val="00BD3E7F"/>
    <w:rsid w:val="00BD3EC5"/>
    <w:rsid w:val="00BD564A"/>
    <w:rsid w:val="00BD5D11"/>
    <w:rsid w:val="00BE0EDB"/>
    <w:rsid w:val="00BE49F1"/>
    <w:rsid w:val="00BF0A80"/>
    <w:rsid w:val="00C02EBF"/>
    <w:rsid w:val="00C131C2"/>
    <w:rsid w:val="00C13F42"/>
    <w:rsid w:val="00C14DB2"/>
    <w:rsid w:val="00C2353F"/>
    <w:rsid w:val="00C24F1F"/>
    <w:rsid w:val="00C32A71"/>
    <w:rsid w:val="00C407B9"/>
    <w:rsid w:val="00C54E7D"/>
    <w:rsid w:val="00C67F83"/>
    <w:rsid w:val="00C7222E"/>
    <w:rsid w:val="00C7507B"/>
    <w:rsid w:val="00CA1D9C"/>
    <w:rsid w:val="00CA213B"/>
    <w:rsid w:val="00CA5199"/>
    <w:rsid w:val="00D0054A"/>
    <w:rsid w:val="00D0464B"/>
    <w:rsid w:val="00D06AF0"/>
    <w:rsid w:val="00D438BC"/>
    <w:rsid w:val="00D4408C"/>
    <w:rsid w:val="00D51E70"/>
    <w:rsid w:val="00D60E5D"/>
    <w:rsid w:val="00D60FA8"/>
    <w:rsid w:val="00D65264"/>
    <w:rsid w:val="00D6667A"/>
    <w:rsid w:val="00DC3FBB"/>
    <w:rsid w:val="00E076D7"/>
    <w:rsid w:val="00E222D8"/>
    <w:rsid w:val="00E252AC"/>
    <w:rsid w:val="00E276E4"/>
    <w:rsid w:val="00E57F69"/>
    <w:rsid w:val="00E700DE"/>
    <w:rsid w:val="00E867F0"/>
    <w:rsid w:val="00E87376"/>
    <w:rsid w:val="00EA133D"/>
    <w:rsid w:val="00ED0E37"/>
    <w:rsid w:val="00ED1785"/>
    <w:rsid w:val="00ED6487"/>
    <w:rsid w:val="00F03C9C"/>
    <w:rsid w:val="00F14FE2"/>
    <w:rsid w:val="00F233EC"/>
    <w:rsid w:val="00F2426D"/>
    <w:rsid w:val="00F2512F"/>
    <w:rsid w:val="00F33B4D"/>
    <w:rsid w:val="00F518A4"/>
    <w:rsid w:val="00F6025E"/>
    <w:rsid w:val="00F777F4"/>
    <w:rsid w:val="00F8615B"/>
    <w:rsid w:val="00F970F3"/>
    <w:rsid w:val="00FB1495"/>
    <w:rsid w:val="00FB224C"/>
    <w:rsid w:val="00FB3FD8"/>
    <w:rsid w:val="00FC2176"/>
    <w:rsid w:val="00FF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899"/>
  <w15:chartTrackingRefBased/>
  <w15:docId w15:val="{26E14726-AEA3-4B16-B619-16D012D2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076416"/>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076416"/>
    <w:pPr>
      <w:spacing w:line="240" w:lineRule="auto"/>
      <w:jc w:val="left"/>
    </w:pPr>
    <w:rPr>
      <w:rFonts w:cs="Calibri"/>
      <w:szCs w:val="20"/>
    </w:rPr>
  </w:style>
  <w:style w:type="character" w:customStyle="1" w:styleId="FootnoteTextChar">
    <w:name w:val="Footnote Text Char"/>
    <w:basedOn w:val="DefaultParagraphFont"/>
    <w:link w:val="FootnoteText"/>
    <w:uiPriority w:val="99"/>
    <w:semiHidden/>
    <w:rsid w:val="00076416"/>
    <w:rPr>
      <w:rFonts w:cs="Calibri"/>
      <w:szCs w:val="20"/>
    </w:rPr>
  </w:style>
  <w:style w:type="paragraph" w:styleId="ListParagraph">
    <w:name w:val="List Paragraph"/>
    <w:basedOn w:val="Normal"/>
    <w:uiPriority w:val="34"/>
    <w:qFormat/>
    <w:rsid w:val="00BB6994"/>
    <w:pPr>
      <w:ind w:left="720"/>
      <w:contextualSpacing/>
    </w:pPr>
  </w:style>
  <w:style w:type="paragraph" w:styleId="BodyText">
    <w:name w:val="Body Text"/>
    <w:basedOn w:val="Normal"/>
    <w:link w:val="BodyTextChar"/>
    <w:uiPriority w:val="1"/>
    <w:qFormat/>
    <w:rsid w:val="003F0677"/>
    <w:pPr>
      <w:autoSpaceDE w:val="0"/>
      <w:autoSpaceDN w:val="0"/>
      <w:adjustRightInd w:val="0"/>
      <w:spacing w:line="240" w:lineRule="auto"/>
      <w:ind w:left="31"/>
      <w:jc w:val="left"/>
    </w:pPr>
    <w:rPr>
      <w:sz w:val="22"/>
    </w:rPr>
  </w:style>
  <w:style w:type="character" w:customStyle="1" w:styleId="BodyTextChar">
    <w:name w:val="Body Text Char"/>
    <w:basedOn w:val="DefaultParagraphFont"/>
    <w:link w:val="BodyText"/>
    <w:uiPriority w:val="1"/>
    <w:rsid w:val="003F0677"/>
    <w:rPr>
      <w:sz w:val="22"/>
    </w:rPr>
  </w:style>
  <w:style w:type="paragraph" w:styleId="NormalWeb">
    <w:name w:val="Normal (Web)"/>
    <w:basedOn w:val="Normal"/>
    <w:uiPriority w:val="99"/>
    <w:semiHidden/>
    <w:unhideWhenUsed/>
    <w:rsid w:val="008F5097"/>
    <w:pPr>
      <w:spacing w:before="100" w:beforeAutospacing="1" w:after="100" w:afterAutospacing="1" w:line="240" w:lineRule="auto"/>
      <w:jc w:val="left"/>
    </w:pPr>
    <w:rPr>
      <w:rFonts w:eastAsia="Times New Roman"/>
      <w:szCs w:val="24"/>
    </w:rPr>
  </w:style>
  <w:style w:type="table" w:styleId="TableGrid">
    <w:name w:val="Table Grid"/>
    <w:basedOn w:val="TableNormal"/>
    <w:uiPriority w:val="39"/>
    <w:rsid w:val="00B16454"/>
    <w:pPr>
      <w:spacing w:line="240" w:lineRule="auto"/>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6454"/>
    <w:pPr>
      <w:tabs>
        <w:tab w:val="center" w:pos="4680"/>
        <w:tab w:val="right" w:pos="9360"/>
      </w:tabs>
      <w:spacing w:line="240" w:lineRule="auto"/>
    </w:pPr>
  </w:style>
  <w:style w:type="character" w:customStyle="1" w:styleId="FooterChar">
    <w:name w:val="Footer Char"/>
    <w:basedOn w:val="DefaultParagraphFont"/>
    <w:link w:val="Footer"/>
    <w:uiPriority w:val="99"/>
    <w:rsid w:val="00B16454"/>
  </w:style>
  <w:style w:type="character" w:styleId="Hyperlink">
    <w:name w:val="Hyperlink"/>
    <w:basedOn w:val="DefaultParagraphFont"/>
    <w:uiPriority w:val="99"/>
    <w:unhideWhenUsed/>
    <w:rsid w:val="00B16454"/>
    <w:rPr>
      <w:color w:val="0563C1" w:themeColor="hyperlink"/>
      <w:u w:val="single"/>
    </w:rPr>
  </w:style>
  <w:style w:type="paragraph" w:styleId="Header">
    <w:name w:val="header"/>
    <w:basedOn w:val="Normal"/>
    <w:link w:val="HeaderChar"/>
    <w:uiPriority w:val="99"/>
    <w:unhideWhenUsed/>
    <w:rsid w:val="00B16454"/>
    <w:pPr>
      <w:tabs>
        <w:tab w:val="center" w:pos="4680"/>
        <w:tab w:val="right" w:pos="9360"/>
      </w:tabs>
      <w:spacing w:line="240" w:lineRule="auto"/>
    </w:pPr>
  </w:style>
  <w:style w:type="character" w:customStyle="1" w:styleId="HeaderChar">
    <w:name w:val="Header Char"/>
    <w:basedOn w:val="DefaultParagraphFont"/>
    <w:link w:val="Header"/>
    <w:uiPriority w:val="99"/>
    <w:rsid w:val="00B16454"/>
  </w:style>
  <w:style w:type="character" w:styleId="UnresolvedMention">
    <w:name w:val="Unresolved Mention"/>
    <w:basedOn w:val="DefaultParagraphFont"/>
    <w:uiPriority w:val="99"/>
    <w:semiHidden/>
    <w:unhideWhenUsed/>
    <w:rsid w:val="0034781F"/>
    <w:rPr>
      <w:color w:val="605E5C"/>
      <w:shd w:val="clear" w:color="auto" w:fill="E1DFDD"/>
    </w:rPr>
  </w:style>
  <w:style w:type="paragraph" w:styleId="NoSpacing">
    <w:name w:val="No Spacing"/>
    <w:uiPriority w:val="1"/>
    <w:qFormat/>
    <w:rsid w:val="00440C29"/>
    <w:pPr>
      <w:autoSpaceDE w:val="0"/>
      <w:autoSpaceDN w:val="0"/>
      <w:spacing w:line="240" w:lineRule="auto"/>
      <w:jc w:val="left"/>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1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61CD2551D284AA9CAE109B6538C31" ma:contentTypeVersion="13" ma:contentTypeDescription="Create a new document." ma:contentTypeScope="" ma:versionID="f5301b264b2fc840d92230d6ce075766">
  <xsd:schema xmlns:xsd="http://www.w3.org/2001/XMLSchema" xmlns:xs="http://www.w3.org/2001/XMLSchema" xmlns:p="http://schemas.microsoft.com/office/2006/metadata/properties" xmlns:ns3="d038c5d7-5d3c-4a19-b50f-747234bb8a34" xmlns:ns4="4b5c4fa1-3360-41ba-8974-ea5280620182" targetNamespace="http://schemas.microsoft.com/office/2006/metadata/properties" ma:root="true" ma:fieldsID="d680561fb8e688161fc1ebf2f1482b8f" ns3:_="" ns4:_="">
    <xsd:import namespace="d038c5d7-5d3c-4a19-b50f-747234bb8a34"/>
    <xsd:import namespace="4b5c4fa1-3360-41ba-8974-ea52806201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5d7-5d3c-4a19-b50f-747234bb8a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c4fa1-3360-41ba-8974-ea52806201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F5D3A-8734-4578-BE66-79CBDEC11196}">
  <ds:schemaRefs>
    <ds:schemaRef ds:uri="http://schemas.microsoft.com/sharepoint/v3/contenttype/forms"/>
  </ds:schemaRefs>
</ds:datastoreItem>
</file>

<file path=customXml/itemProps2.xml><?xml version="1.0" encoding="utf-8"?>
<ds:datastoreItem xmlns:ds="http://schemas.openxmlformats.org/officeDocument/2006/customXml" ds:itemID="{A342D6F8-5DA2-412A-BAB0-BFAEC3E0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5d7-5d3c-4a19-b50f-747234bb8a34"/>
    <ds:schemaRef ds:uri="4b5c4fa1-3360-41ba-8974-ea5280620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84B17-0F19-4775-AE7C-74E481CBE08A}">
  <ds:schemaRefs>
    <ds:schemaRef ds:uri="http://schemas.openxmlformats.org/officeDocument/2006/bibliography"/>
  </ds:schemaRefs>
</ds:datastoreItem>
</file>

<file path=customXml/itemProps4.xml><?xml version="1.0" encoding="utf-8"?>
<ds:datastoreItem xmlns:ds="http://schemas.openxmlformats.org/officeDocument/2006/customXml" ds:itemID="{DBD140CB-1565-49D9-9D44-7EEFBD3733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 Stewart</dc:creator>
  <cp:keywords/>
  <dc:description/>
  <cp:lastModifiedBy>Williams, Bobbie Jo</cp:lastModifiedBy>
  <cp:revision>2</cp:revision>
  <cp:lastPrinted>2021-02-24T20:05:00Z</cp:lastPrinted>
  <dcterms:created xsi:type="dcterms:W3CDTF">2021-03-10T17:38:00Z</dcterms:created>
  <dcterms:modified xsi:type="dcterms:W3CDTF">2021-03-10T17:38:00Z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0x010100A8F61CD2551D284AA9CAE109B6538C31</vt:lpwstr>
  </property>
</Properties>
</file>