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783556" w14:paraId="3815D836" w14:textId="77777777" w:rsidTr="00281696">
        <w:trPr>
          <w:cantSplit/>
          <w:trHeight w:val="1260"/>
        </w:trPr>
        <w:tc>
          <w:tcPr>
            <w:tcW w:w="2340" w:type="dxa"/>
          </w:tcPr>
          <w:p w14:paraId="1972B772" w14:textId="3A478DEB" w:rsidR="00783556" w:rsidRDefault="00783556" w:rsidP="0028169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C6713E2" wp14:editId="444C3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60F44B15" w14:textId="77777777" w:rsidR="00783556" w:rsidRDefault="00783556" w:rsidP="002816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F14716" w14:textId="77777777" w:rsidR="00783556" w:rsidRPr="00CB4FD1" w:rsidRDefault="00783556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140E465" w14:textId="77777777" w:rsidR="00783556" w:rsidRPr="00CB4FD1" w:rsidRDefault="00783556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186C284" w14:textId="77777777" w:rsidR="00783556" w:rsidRPr="00CB4FD1" w:rsidRDefault="00783556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9E13B43" w14:textId="77777777" w:rsidR="00783556" w:rsidRPr="00CB4FD1" w:rsidRDefault="00783556" w:rsidP="0028169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0AB562D" w14:textId="77777777" w:rsidR="00783556" w:rsidRDefault="00783556" w:rsidP="00281696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11B66CE9" w:rsidR="008F7FD2" w:rsidRDefault="00092513" w:rsidP="006A4CA4">
      <w:pPr>
        <w:jc w:val="center"/>
      </w:pPr>
      <w:r>
        <w:t>March 17,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42648E3B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RICHARD G WEBSTER JR</w:t>
      </w:r>
    </w:p>
    <w:p w14:paraId="26B14926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A4FF6DD" w14:textId="103E23E3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 xml:space="preserve">PECO </w:t>
      </w:r>
      <w:r w:rsidR="00596C10">
        <w:rPr>
          <w:rFonts w:ascii="Arial" w:hAnsi="Arial" w:cs="Arial"/>
          <w:b/>
          <w:sz w:val="24"/>
          <w:szCs w:val="24"/>
        </w:rPr>
        <w:t>ENERGY COMPANY</w:t>
      </w:r>
    </w:p>
    <w:p w14:paraId="68BE8819" w14:textId="0CFC0206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2301 MARKET ST S1</w:t>
      </w:r>
      <w:r w:rsidR="00147585">
        <w:rPr>
          <w:rFonts w:ascii="Arial" w:hAnsi="Arial" w:cs="Arial"/>
          <w:b/>
          <w:sz w:val="24"/>
          <w:szCs w:val="24"/>
        </w:rPr>
        <w:t>5</w:t>
      </w:r>
    </w:p>
    <w:p w14:paraId="7078252F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1047084E" w14:textId="1EFD6FF5" w:rsidR="00BB7E8F" w:rsidRPr="00BB7E8F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B7E8F">
        <w:rPr>
          <w:rFonts w:ascii="Arial" w:hAnsi="Arial" w:cs="Arial"/>
          <w:b/>
          <w:sz w:val="24"/>
          <w:szCs w:val="24"/>
        </w:rPr>
        <w:t>PECO Energy Company</w:t>
      </w:r>
      <w:r w:rsidR="00596C10">
        <w:rPr>
          <w:rFonts w:ascii="Arial" w:hAnsi="Arial" w:cs="Arial"/>
          <w:b/>
          <w:sz w:val="24"/>
          <w:szCs w:val="24"/>
        </w:rPr>
        <w:t xml:space="preserve"> – </w:t>
      </w:r>
      <w:r w:rsidR="00BB7E8F">
        <w:rPr>
          <w:rFonts w:ascii="Arial" w:hAnsi="Arial" w:cs="Arial"/>
          <w:b/>
          <w:sz w:val="24"/>
          <w:szCs w:val="24"/>
        </w:rPr>
        <w:t>Electric</w:t>
      </w:r>
    </w:p>
    <w:p w14:paraId="515D0043" w14:textId="4E6EEB55" w:rsidR="0067519A" w:rsidRPr="004B6C39" w:rsidRDefault="00BB7E8F" w:rsidP="00BB7E8F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405C2BB6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BB7E8F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BB7E8F">
        <w:rPr>
          <w:rFonts w:ascii="Arial" w:hAnsi="Arial" w:cs="Arial"/>
          <w:b/>
          <w:sz w:val="24"/>
          <w:szCs w:val="24"/>
        </w:rPr>
        <w:t xml:space="preserve">December 31, </w:t>
      </w:r>
      <w:proofErr w:type="gramStart"/>
      <w:r w:rsidR="00BB7E8F">
        <w:rPr>
          <w:rFonts w:ascii="Arial" w:hAnsi="Arial" w:cs="Arial"/>
          <w:b/>
          <w:sz w:val="24"/>
          <w:szCs w:val="24"/>
        </w:rPr>
        <w:t>20</w:t>
      </w:r>
      <w:r w:rsidR="00783556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F411987" w14:textId="5811ABF9" w:rsidR="0067519A" w:rsidRDefault="00BB0058" w:rsidP="00BB0058">
      <w:pPr>
        <w:ind w:firstLine="720"/>
        <w:rPr>
          <w:rFonts w:ascii="Arial" w:hAnsi="Arial" w:cs="Arial"/>
          <w:b/>
          <w:sz w:val="24"/>
          <w:szCs w:val="24"/>
        </w:rPr>
      </w:pPr>
      <w:r w:rsidRPr="00BB0058">
        <w:rPr>
          <w:rFonts w:ascii="Arial" w:hAnsi="Arial" w:cs="Arial"/>
          <w:b/>
          <w:sz w:val="24"/>
          <w:szCs w:val="24"/>
        </w:rPr>
        <w:t>M-2021-3023806</w:t>
      </w:r>
    </w:p>
    <w:p w14:paraId="38FF43C1" w14:textId="77777777" w:rsidR="00BB0058" w:rsidRPr="0067519A" w:rsidRDefault="00BB0058" w:rsidP="00BB0058">
      <w:pPr>
        <w:ind w:firstLine="720"/>
        <w:rPr>
          <w:rFonts w:ascii="Arial" w:hAnsi="Arial" w:cs="Arial"/>
          <w:b/>
          <w:sz w:val="24"/>
          <w:szCs w:val="24"/>
        </w:rPr>
      </w:pPr>
    </w:p>
    <w:p w14:paraId="2F7D4C0D" w14:textId="388F3CD3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62F05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57A4D9A5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875DA3">
        <w:rPr>
          <w:rFonts w:ascii="Arial" w:hAnsi="Arial" w:cs="Arial"/>
          <w:spacing w:val="-2"/>
          <w:sz w:val="24"/>
          <w:szCs w:val="24"/>
        </w:rPr>
        <w:t>PECO Energy Company</w:t>
      </w:r>
      <w:r w:rsidR="00147585">
        <w:rPr>
          <w:rFonts w:ascii="Arial" w:hAnsi="Arial" w:cs="Arial"/>
          <w:spacing w:val="-2"/>
          <w:sz w:val="24"/>
          <w:szCs w:val="24"/>
        </w:rPr>
        <w:t>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0D00A7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0D00A7">
        <w:rPr>
          <w:rFonts w:ascii="Arial" w:hAnsi="Arial" w:cs="Arial"/>
          <w:sz w:val="24"/>
          <w:szCs w:val="24"/>
        </w:rPr>
        <w:t>(</w:t>
      </w:r>
      <w:r w:rsidR="000D00A7">
        <w:rPr>
          <w:rFonts w:ascii="Arial" w:hAnsi="Arial" w:cs="Arial"/>
          <w:sz w:val="24"/>
          <w:szCs w:val="24"/>
        </w:rPr>
        <w:t>DSIC</w:t>
      </w:r>
      <w:r w:rsidRPr="000D00A7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BB7E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BB7E8F">
        <w:rPr>
          <w:rFonts w:ascii="Arial" w:hAnsi="Arial" w:cs="Arial"/>
          <w:sz w:val="24"/>
          <w:szCs w:val="24"/>
        </w:rPr>
        <w:t>December 31, 20</w:t>
      </w:r>
      <w:r w:rsidR="00783556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084A9745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D00A7">
        <w:rPr>
          <w:rFonts w:ascii="Arial" w:hAnsi="Arial" w:cs="Arial"/>
          <w:sz w:val="24"/>
          <w:szCs w:val="24"/>
        </w:rPr>
        <w:t>DSIC</w:t>
      </w:r>
      <w:r w:rsidR="00EA26CF" w:rsidRPr="000D00A7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47585">
        <w:rPr>
          <w:rFonts w:ascii="Arial" w:hAnsi="Arial" w:cs="Arial"/>
          <w:spacing w:val="-2"/>
          <w:sz w:val="24"/>
          <w:szCs w:val="24"/>
        </w:rPr>
        <w:t>January 22, 2021 and revised on January 26, 2021,</w:t>
      </w:r>
      <w:r w:rsidR="003235CD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2DD2FF9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D00A7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643E7870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BB0058" w:rsidRPr="00BB0058">
        <w:rPr>
          <w:rFonts w:ascii="Arial" w:hAnsi="Arial" w:cs="Arial"/>
          <w:sz w:val="24"/>
          <w:szCs w:val="24"/>
        </w:rPr>
        <w:t>M-2021-3023806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26687B4" w:rsidR="00CD5063" w:rsidRPr="00CD5063" w:rsidRDefault="0009251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1CFE5F09" wp14:editId="143FFDF9">
            <wp:simplePos x="0" y="0"/>
            <wp:positionH relativeFrom="column">
              <wp:posOffset>2962275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DF78B4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35B9C27A" w:rsidR="00CD5063" w:rsidRPr="00CD5063" w:rsidRDefault="00092513" w:rsidP="00092513">
      <w:pPr>
        <w:tabs>
          <w:tab w:val="left" w:pos="5835"/>
          <w:tab w:val="left" w:pos="670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564DE694" w:rsidR="00CD5063" w:rsidRPr="00CD5063" w:rsidRDefault="003B5B71" w:rsidP="003B5B71">
      <w:pPr>
        <w:tabs>
          <w:tab w:val="left" w:pos="600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2371B893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Dan</w:t>
      </w:r>
      <w:r w:rsidR="00783556">
        <w:rPr>
          <w:rFonts w:ascii="Arial" w:hAnsi="Arial" w:cs="Arial"/>
          <w:sz w:val="24"/>
          <w:szCs w:val="24"/>
        </w:rPr>
        <w:t>ielle</w:t>
      </w:r>
      <w:r w:rsidR="004902A1">
        <w:rPr>
          <w:rFonts w:ascii="Arial" w:hAnsi="Arial" w:cs="Arial"/>
          <w:sz w:val="24"/>
          <w:szCs w:val="24"/>
        </w:rPr>
        <w:t xml:space="preserve"> </w:t>
      </w:r>
      <w:r w:rsidR="00783556">
        <w:rPr>
          <w:rFonts w:ascii="Arial" w:hAnsi="Arial" w:cs="Arial"/>
          <w:sz w:val="24"/>
          <w:szCs w:val="24"/>
        </w:rPr>
        <w:t>M</w:t>
      </w:r>
      <w:r w:rsidR="004902A1">
        <w:rPr>
          <w:rFonts w:ascii="Arial" w:hAnsi="Arial" w:cs="Arial"/>
          <w:sz w:val="24"/>
          <w:szCs w:val="24"/>
        </w:rPr>
        <w:t xml:space="preserve">. </w:t>
      </w:r>
      <w:r w:rsidR="00783556">
        <w:rPr>
          <w:rFonts w:ascii="Arial" w:hAnsi="Arial" w:cs="Arial"/>
          <w:sz w:val="24"/>
          <w:szCs w:val="24"/>
        </w:rPr>
        <w:t>Gumby</w:t>
      </w:r>
    </w:p>
    <w:p w14:paraId="77708E97" w14:textId="18B26425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783556">
        <w:rPr>
          <w:rFonts w:ascii="Arial" w:hAnsi="Arial" w:cs="Arial"/>
          <w:sz w:val="24"/>
          <w:szCs w:val="24"/>
        </w:rPr>
        <w:t>05-0624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92513"/>
    <w:rsid w:val="000B1A3A"/>
    <w:rsid w:val="000D00A7"/>
    <w:rsid w:val="000E2A2C"/>
    <w:rsid w:val="000F3885"/>
    <w:rsid w:val="001475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235CD"/>
    <w:rsid w:val="00334352"/>
    <w:rsid w:val="0038192B"/>
    <w:rsid w:val="003B5B71"/>
    <w:rsid w:val="00462CCA"/>
    <w:rsid w:val="004678A8"/>
    <w:rsid w:val="004902A1"/>
    <w:rsid w:val="004B6C39"/>
    <w:rsid w:val="0051362E"/>
    <w:rsid w:val="00596C10"/>
    <w:rsid w:val="00600A1E"/>
    <w:rsid w:val="0067519A"/>
    <w:rsid w:val="00681A5F"/>
    <w:rsid w:val="00693012"/>
    <w:rsid w:val="006A4CA4"/>
    <w:rsid w:val="00742334"/>
    <w:rsid w:val="00783556"/>
    <w:rsid w:val="00805353"/>
    <w:rsid w:val="00875DA3"/>
    <w:rsid w:val="0089188B"/>
    <w:rsid w:val="008935A5"/>
    <w:rsid w:val="008F62B1"/>
    <w:rsid w:val="008F7FD2"/>
    <w:rsid w:val="00A46FF8"/>
    <w:rsid w:val="00A62F05"/>
    <w:rsid w:val="00A76B9C"/>
    <w:rsid w:val="00AB731C"/>
    <w:rsid w:val="00B3496B"/>
    <w:rsid w:val="00B67377"/>
    <w:rsid w:val="00BB0058"/>
    <w:rsid w:val="00BB7E8F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CD9E-D02F-4BAA-B5CF-0E88ED8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dcterms:created xsi:type="dcterms:W3CDTF">2021-03-09T13:49:00Z</dcterms:created>
  <dcterms:modified xsi:type="dcterms:W3CDTF">2021-03-17T12:30:00Z</dcterms:modified>
</cp:coreProperties>
</file>