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C1FD9" w14:textId="77777777" w:rsidR="00225D49" w:rsidRPr="00F41401" w:rsidRDefault="00225D49" w:rsidP="00225D49">
      <w:pPr>
        <w:suppressAutoHyphens/>
        <w:spacing w:line="240" w:lineRule="auto"/>
        <w:ind w:firstLine="0"/>
        <w:jc w:val="center"/>
        <w:rPr>
          <w:b/>
          <w:sz w:val="26"/>
          <w:szCs w:val="26"/>
        </w:rPr>
      </w:pPr>
      <w:r w:rsidRPr="00F41401">
        <w:rPr>
          <w:b/>
          <w:sz w:val="26"/>
          <w:szCs w:val="26"/>
        </w:rPr>
        <w:t>PENNSYLVANIA</w:t>
      </w:r>
    </w:p>
    <w:p w14:paraId="5B8EC9FB" w14:textId="77777777" w:rsidR="00225D49" w:rsidRPr="00F41401" w:rsidRDefault="00225D49" w:rsidP="00225D49">
      <w:pPr>
        <w:suppressAutoHyphens/>
        <w:spacing w:line="240" w:lineRule="auto"/>
        <w:ind w:firstLine="0"/>
        <w:jc w:val="center"/>
        <w:rPr>
          <w:sz w:val="26"/>
          <w:szCs w:val="26"/>
        </w:rPr>
      </w:pPr>
      <w:r w:rsidRPr="00F41401">
        <w:rPr>
          <w:b/>
          <w:sz w:val="26"/>
          <w:szCs w:val="26"/>
        </w:rPr>
        <w:t>PUBLIC UTILITY COMMISSION</w:t>
      </w:r>
    </w:p>
    <w:p w14:paraId="0FE78FA8" w14:textId="34AF9196" w:rsidR="00225D49" w:rsidRPr="00F41401" w:rsidRDefault="00225D49" w:rsidP="00225D49">
      <w:pPr>
        <w:suppressAutoHyphens/>
        <w:spacing w:line="240" w:lineRule="auto"/>
        <w:ind w:firstLine="0"/>
        <w:jc w:val="center"/>
        <w:rPr>
          <w:b/>
          <w:sz w:val="26"/>
          <w:szCs w:val="26"/>
        </w:rPr>
      </w:pPr>
      <w:r w:rsidRPr="00F41401">
        <w:rPr>
          <w:b/>
          <w:sz w:val="26"/>
          <w:szCs w:val="26"/>
        </w:rPr>
        <w:t>Harrisburg, PA 171</w:t>
      </w:r>
      <w:r w:rsidR="00F34483">
        <w:rPr>
          <w:b/>
          <w:sz w:val="26"/>
          <w:szCs w:val="26"/>
        </w:rPr>
        <w:t>20</w:t>
      </w:r>
    </w:p>
    <w:p w14:paraId="3BAFBAF0" w14:textId="20DFC00E" w:rsidR="00225D49" w:rsidRDefault="00225D49" w:rsidP="00225D49">
      <w:pPr>
        <w:suppressAutoHyphens/>
        <w:spacing w:line="240" w:lineRule="auto"/>
        <w:ind w:firstLine="0"/>
        <w:rPr>
          <w:sz w:val="26"/>
          <w:szCs w:val="26"/>
        </w:rPr>
      </w:pPr>
    </w:p>
    <w:p w14:paraId="42D7ACA2" w14:textId="77777777" w:rsidR="002B72DD" w:rsidRPr="00F41401" w:rsidRDefault="002B72DD" w:rsidP="00225D49">
      <w:pPr>
        <w:suppressAutoHyphens/>
        <w:spacing w:line="240" w:lineRule="auto"/>
        <w:ind w:firstLine="0"/>
        <w:rPr>
          <w:sz w:val="26"/>
          <w:szCs w:val="26"/>
        </w:rPr>
      </w:pPr>
    </w:p>
    <w:p w14:paraId="5FA36CD7" w14:textId="4E70FA23" w:rsidR="00225D49" w:rsidRPr="00F41401" w:rsidRDefault="00225D49" w:rsidP="00225D49">
      <w:pPr>
        <w:suppressAutoHyphens/>
        <w:spacing w:line="240" w:lineRule="auto"/>
        <w:ind w:firstLine="0"/>
        <w:jc w:val="right"/>
        <w:rPr>
          <w:sz w:val="26"/>
          <w:szCs w:val="26"/>
        </w:rPr>
      </w:pPr>
      <w:r w:rsidRPr="00F41401">
        <w:rPr>
          <w:sz w:val="26"/>
          <w:szCs w:val="26"/>
        </w:rPr>
        <w:t>Public Meeting held</w:t>
      </w:r>
      <w:r>
        <w:rPr>
          <w:sz w:val="26"/>
          <w:szCs w:val="26"/>
        </w:rPr>
        <w:t xml:space="preserve"> </w:t>
      </w:r>
      <w:r w:rsidR="00EC793A">
        <w:rPr>
          <w:sz w:val="26"/>
          <w:szCs w:val="26"/>
        </w:rPr>
        <w:t>March 11</w:t>
      </w:r>
      <w:r w:rsidR="000C2E6C">
        <w:rPr>
          <w:sz w:val="26"/>
          <w:szCs w:val="26"/>
        </w:rPr>
        <w:t>, 2021</w:t>
      </w:r>
    </w:p>
    <w:p w14:paraId="1B936447" w14:textId="77777777" w:rsidR="00225D49" w:rsidRPr="00F41401" w:rsidRDefault="00225D49" w:rsidP="00225D49">
      <w:pPr>
        <w:suppressAutoHyphens/>
        <w:spacing w:line="240" w:lineRule="auto"/>
        <w:ind w:firstLine="0"/>
        <w:jc w:val="right"/>
        <w:rPr>
          <w:sz w:val="26"/>
          <w:szCs w:val="26"/>
        </w:rPr>
      </w:pPr>
    </w:p>
    <w:p w14:paraId="007AA80D" w14:textId="77777777" w:rsidR="00225D49" w:rsidRPr="00F41401" w:rsidRDefault="00225D49" w:rsidP="00225D49">
      <w:pPr>
        <w:suppressAutoHyphens/>
        <w:spacing w:line="240" w:lineRule="auto"/>
        <w:ind w:firstLine="0"/>
        <w:jc w:val="right"/>
        <w:rPr>
          <w:sz w:val="26"/>
          <w:szCs w:val="26"/>
        </w:rPr>
      </w:pPr>
    </w:p>
    <w:p w14:paraId="623E2DC0" w14:textId="77777777" w:rsidR="00225D49" w:rsidRPr="00F41401" w:rsidRDefault="00225D49" w:rsidP="00225D49">
      <w:pPr>
        <w:suppressAutoHyphens/>
        <w:spacing w:line="240" w:lineRule="auto"/>
        <w:ind w:firstLine="0"/>
        <w:rPr>
          <w:sz w:val="26"/>
          <w:szCs w:val="26"/>
        </w:rPr>
      </w:pPr>
      <w:r w:rsidRPr="00F41401">
        <w:rPr>
          <w:sz w:val="26"/>
          <w:szCs w:val="26"/>
        </w:rPr>
        <w:t>Commissioners Present:</w:t>
      </w:r>
    </w:p>
    <w:p w14:paraId="066E0EC6" w14:textId="77777777" w:rsidR="00225D49" w:rsidRPr="00F41401" w:rsidRDefault="00225D49" w:rsidP="00225D49">
      <w:pPr>
        <w:suppressAutoHyphens/>
        <w:spacing w:line="240" w:lineRule="auto"/>
        <w:ind w:firstLine="0"/>
        <w:rPr>
          <w:sz w:val="26"/>
          <w:szCs w:val="26"/>
        </w:rPr>
      </w:pPr>
    </w:p>
    <w:p w14:paraId="3C508C9A" w14:textId="6D82D951" w:rsidR="00AC77EB" w:rsidRPr="00620F36" w:rsidRDefault="0036050A" w:rsidP="00AC77EB">
      <w:pPr>
        <w:tabs>
          <w:tab w:val="left" w:pos="705"/>
        </w:tabs>
        <w:spacing w:line="240" w:lineRule="auto"/>
        <w:ind w:firstLine="0"/>
        <w:contextualSpacing/>
        <w:rPr>
          <w:sz w:val="26"/>
          <w:szCs w:val="26"/>
        </w:rPr>
      </w:pPr>
      <w:r>
        <w:rPr>
          <w:sz w:val="26"/>
          <w:szCs w:val="26"/>
        </w:rPr>
        <w:tab/>
      </w:r>
      <w:r w:rsidR="00AC77EB" w:rsidRPr="00620F36">
        <w:rPr>
          <w:sz w:val="26"/>
          <w:szCs w:val="26"/>
        </w:rPr>
        <w:t>Gladys Brown Dutrieuille, Chairman</w:t>
      </w:r>
    </w:p>
    <w:p w14:paraId="792EBFF7" w14:textId="77777777" w:rsidR="00AC77EB" w:rsidRPr="00620F36" w:rsidRDefault="00AC77EB" w:rsidP="00AC77EB">
      <w:pPr>
        <w:tabs>
          <w:tab w:val="left" w:pos="705"/>
        </w:tabs>
        <w:spacing w:line="240" w:lineRule="auto"/>
        <w:ind w:firstLine="0"/>
        <w:contextualSpacing/>
        <w:rPr>
          <w:sz w:val="26"/>
          <w:szCs w:val="26"/>
        </w:rPr>
      </w:pPr>
      <w:r>
        <w:rPr>
          <w:sz w:val="26"/>
          <w:szCs w:val="26"/>
        </w:rPr>
        <w:tab/>
      </w:r>
      <w:r w:rsidRPr="00620F36">
        <w:rPr>
          <w:sz w:val="26"/>
          <w:szCs w:val="26"/>
        </w:rPr>
        <w:t>David W. Sweet, Vice Chairman</w:t>
      </w:r>
    </w:p>
    <w:p w14:paraId="118766A3" w14:textId="77777777" w:rsidR="00AC77EB" w:rsidRPr="00665B4A" w:rsidRDefault="00AC77EB" w:rsidP="00AC77EB">
      <w:pPr>
        <w:tabs>
          <w:tab w:val="left" w:pos="705"/>
        </w:tabs>
        <w:spacing w:line="240" w:lineRule="auto"/>
        <w:ind w:firstLine="0"/>
        <w:contextualSpacing/>
        <w:rPr>
          <w:sz w:val="26"/>
          <w:szCs w:val="26"/>
        </w:rPr>
      </w:pPr>
      <w:r>
        <w:rPr>
          <w:sz w:val="26"/>
          <w:szCs w:val="26"/>
        </w:rPr>
        <w:tab/>
      </w:r>
      <w:r w:rsidRPr="00620F36">
        <w:rPr>
          <w:sz w:val="26"/>
          <w:szCs w:val="26"/>
        </w:rPr>
        <w:t>John F. Coleman, Jr.</w:t>
      </w:r>
    </w:p>
    <w:p w14:paraId="1799591B" w14:textId="12793117" w:rsidR="00225D49" w:rsidRPr="00F41401" w:rsidRDefault="00AC77EB" w:rsidP="0036050A">
      <w:pPr>
        <w:spacing w:line="240" w:lineRule="auto"/>
        <w:ind w:firstLine="720"/>
        <w:rPr>
          <w:sz w:val="26"/>
          <w:szCs w:val="26"/>
        </w:rPr>
      </w:pPr>
      <w:r w:rsidRPr="00795483">
        <w:rPr>
          <w:sz w:val="26"/>
          <w:szCs w:val="26"/>
        </w:rPr>
        <w:t>Ralph V. Yanora</w:t>
      </w:r>
    </w:p>
    <w:p w14:paraId="70FC2CB5" w14:textId="77777777" w:rsidR="00225D49" w:rsidRPr="00F41401" w:rsidRDefault="00225D49" w:rsidP="00225D49">
      <w:pPr>
        <w:suppressAutoHyphens/>
        <w:spacing w:line="240" w:lineRule="auto"/>
        <w:ind w:firstLine="0"/>
        <w:rPr>
          <w:sz w:val="26"/>
          <w:szCs w:val="26"/>
        </w:rPr>
      </w:pPr>
    </w:p>
    <w:p w14:paraId="154C1C09" w14:textId="4ABCA860" w:rsidR="00225D49" w:rsidRDefault="00225D49" w:rsidP="00225D49">
      <w:pPr>
        <w:suppressAutoHyphens/>
        <w:spacing w:line="240" w:lineRule="auto"/>
        <w:ind w:firstLine="0"/>
        <w:rPr>
          <w:sz w:val="26"/>
          <w:szCs w:val="26"/>
        </w:rPr>
      </w:pPr>
    </w:p>
    <w:p w14:paraId="42943E6C" w14:textId="77777777" w:rsidR="00AA490D" w:rsidRPr="00F41401" w:rsidRDefault="00AA490D" w:rsidP="00225D49">
      <w:pPr>
        <w:suppressAutoHyphens/>
        <w:spacing w:line="240" w:lineRule="auto"/>
        <w:ind w:firstLine="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0"/>
      </w:tblGrid>
      <w:tr w:rsidR="00225D49" w:rsidRPr="00F41401" w14:paraId="40BC7F97" w14:textId="77777777" w:rsidTr="0094267D">
        <w:tc>
          <w:tcPr>
            <w:tcW w:w="4680" w:type="dxa"/>
          </w:tcPr>
          <w:p w14:paraId="23DC378C" w14:textId="77777777" w:rsidR="00225D49" w:rsidRPr="00F41401" w:rsidRDefault="00225D49" w:rsidP="00225D49">
            <w:pPr>
              <w:spacing w:line="240" w:lineRule="auto"/>
              <w:ind w:firstLine="0"/>
              <w:rPr>
                <w:sz w:val="26"/>
                <w:szCs w:val="26"/>
              </w:rPr>
            </w:pPr>
            <w:r w:rsidRPr="00F41401">
              <w:rPr>
                <w:bCs/>
                <w:spacing w:val="-1"/>
                <w:sz w:val="26"/>
                <w:szCs w:val="26"/>
              </w:rPr>
              <w:t>Investigation Instituted per Section 529</w:t>
            </w:r>
            <w:r w:rsidRPr="00F41401">
              <w:rPr>
                <w:bCs/>
                <w:spacing w:val="-2"/>
                <w:sz w:val="26"/>
                <w:szCs w:val="26"/>
              </w:rPr>
              <w:t xml:space="preserve"> Into Whether the Commission Shall </w:t>
            </w:r>
            <w:r w:rsidRPr="00F41401">
              <w:rPr>
                <w:bCs/>
                <w:sz w:val="26"/>
                <w:szCs w:val="26"/>
              </w:rPr>
              <w:t>Order a Capable Public Utility to Acquire Delaware Sewer Company</w:t>
            </w:r>
          </w:p>
        </w:tc>
        <w:tc>
          <w:tcPr>
            <w:tcW w:w="4670" w:type="dxa"/>
          </w:tcPr>
          <w:p w14:paraId="524BCB21" w14:textId="77777777" w:rsidR="00225D49" w:rsidRPr="00F41401" w:rsidRDefault="00225D49" w:rsidP="00225D49">
            <w:pPr>
              <w:spacing w:line="240" w:lineRule="auto"/>
              <w:ind w:firstLine="0"/>
              <w:jc w:val="right"/>
              <w:rPr>
                <w:sz w:val="26"/>
                <w:szCs w:val="26"/>
              </w:rPr>
            </w:pPr>
            <w:r w:rsidRPr="00F41401">
              <w:rPr>
                <w:bCs/>
                <w:sz w:val="26"/>
                <w:szCs w:val="26"/>
              </w:rPr>
              <w:t>I-2016-2526085</w:t>
            </w:r>
          </w:p>
        </w:tc>
      </w:tr>
    </w:tbl>
    <w:p w14:paraId="54569353" w14:textId="2EFABDC7" w:rsidR="00225D49" w:rsidRDefault="00225D49" w:rsidP="00225D49">
      <w:pPr>
        <w:spacing w:line="240" w:lineRule="auto"/>
        <w:ind w:firstLine="0"/>
        <w:rPr>
          <w:b/>
          <w:sz w:val="26"/>
          <w:szCs w:val="26"/>
        </w:rPr>
      </w:pPr>
    </w:p>
    <w:p w14:paraId="644F4086" w14:textId="77777777" w:rsidR="002B72DD" w:rsidRDefault="002B72DD" w:rsidP="00225D49">
      <w:pPr>
        <w:spacing w:line="240" w:lineRule="auto"/>
        <w:ind w:firstLine="0"/>
        <w:rPr>
          <w:b/>
          <w:sz w:val="26"/>
          <w:szCs w:val="26"/>
        </w:rPr>
      </w:pPr>
    </w:p>
    <w:p w14:paraId="66D5BE67" w14:textId="77777777" w:rsidR="003D0C79" w:rsidRPr="00F41401" w:rsidRDefault="003D0C79" w:rsidP="00225D49">
      <w:pPr>
        <w:spacing w:line="240" w:lineRule="auto"/>
        <w:ind w:firstLine="0"/>
        <w:rPr>
          <w:b/>
          <w:sz w:val="26"/>
          <w:szCs w:val="26"/>
        </w:rPr>
      </w:pPr>
    </w:p>
    <w:p w14:paraId="185EC094" w14:textId="180D67C4" w:rsidR="00225D49" w:rsidRDefault="00225D49" w:rsidP="00225D49">
      <w:pPr>
        <w:spacing w:line="240" w:lineRule="auto"/>
        <w:ind w:firstLine="0"/>
        <w:jc w:val="center"/>
        <w:rPr>
          <w:b/>
          <w:sz w:val="26"/>
          <w:szCs w:val="26"/>
        </w:rPr>
      </w:pPr>
      <w:r w:rsidRPr="00F41401">
        <w:rPr>
          <w:b/>
          <w:sz w:val="26"/>
          <w:szCs w:val="26"/>
        </w:rPr>
        <w:t>OPINION AND ORDER</w:t>
      </w:r>
    </w:p>
    <w:p w14:paraId="68209B18" w14:textId="535EC6CB" w:rsidR="009846B4" w:rsidRDefault="009846B4" w:rsidP="00D06F59">
      <w:pPr>
        <w:spacing w:line="240" w:lineRule="auto"/>
        <w:ind w:firstLine="0"/>
        <w:jc w:val="center"/>
        <w:rPr>
          <w:b/>
          <w:sz w:val="26"/>
          <w:szCs w:val="26"/>
        </w:rPr>
      </w:pPr>
      <w:r>
        <w:rPr>
          <w:b/>
          <w:sz w:val="26"/>
          <w:szCs w:val="26"/>
        </w:rPr>
        <w:t>(Non-Proprietary)</w:t>
      </w:r>
    </w:p>
    <w:p w14:paraId="75FD4411" w14:textId="102936B7" w:rsidR="00D06F59" w:rsidRDefault="00D06F59" w:rsidP="00D06F59">
      <w:pPr>
        <w:spacing w:line="240" w:lineRule="auto"/>
        <w:ind w:firstLine="0"/>
        <w:rPr>
          <w:b/>
          <w:sz w:val="26"/>
          <w:szCs w:val="26"/>
        </w:rPr>
      </w:pPr>
    </w:p>
    <w:p w14:paraId="1824CBBF" w14:textId="28799133" w:rsidR="00D06F59" w:rsidRDefault="00D06F59" w:rsidP="00D06F59">
      <w:pPr>
        <w:spacing w:line="240" w:lineRule="auto"/>
        <w:ind w:firstLine="0"/>
        <w:rPr>
          <w:b/>
          <w:sz w:val="26"/>
          <w:szCs w:val="26"/>
        </w:rPr>
      </w:pPr>
    </w:p>
    <w:p w14:paraId="5AC41231" w14:textId="77777777" w:rsidR="002B72DD" w:rsidRDefault="002B72DD" w:rsidP="00D06F59">
      <w:pPr>
        <w:spacing w:line="240" w:lineRule="auto"/>
        <w:ind w:firstLine="0"/>
        <w:rPr>
          <w:b/>
          <w:sz w:val="26"/>
          <w:szCs w:val="26"/>
        </w:rPr>
      </w:pPr>
    </w:p>
    <w:p w14:paraId="41A84ABD" w14:textId="77777777" w:rsidR="00225D49" w:rsidRPr="00F41401" w:rsidRDefault="00225D49" w:rsidP="00225D49">
      <w:pPr>
        <w:suppressAutoHyphens/>
        <w:ind w:firstLine="0"/>
        <w:rPr>
          <w:b/>
          <w:sz w:val="26"/>
          <w:szCs w:val="26"/>
        </w:rPr>
      </w:pPr>
      <w:r w:rsidRPr="00F41401">
        <w:rPr>
          <w:b/>
          <w:sz w:val="26"/>
          <w:szCs w:val="26"/>
        </w:rPr>
        <w:t>BY THE COMMISSION:</w:t>
      </w:r>
    </w:p>
    <w:p w14:paraId="7047FCD0" w14:textId="77777777" w:rsidR="00225D49" w:rsidRPr="00F41401" w:rsidRDefault="00225D49" w:rsidP="00225D49">
      <w:pPr>
        <w:suppressAutoHyphens/>
        <w:ind w:firstLine="0"/>
        <w:rPr>
          <w:b/>
          <w:sz w:val="26"/>
          <w:szCs w:val="26"/>
        </w:rPr>
      </w:pPr>
    </w:p>
    <w:p w14:paraId="547CBEB6" w14:textId="5673C0DC" w:rsidR="002878F3" w:rsidRDefault="00225D49" w:rsidP="007B233F">
      <w:pPr>
        <w:autoSpaceDE w:val="0"/>
        <w:autoSpaceDN w:val="0"/>
        <w:adjustRightInd w:val="0"/>
        <w:rPr>
          <w:sz w:val="26"/>
          <w:szCs w:val="26"/>
        </w:rPr>
      </w:pPr>
      <w:r w:rsidRPr="00212FFC">
        <w:rPr>
          <w:sz w:val="26"/>
          <w:szCs w:val="26"/>
        </w:rPr>
        <w:t>Before the Pennsylvania Public Utility Commission (Commission) for consideration and disposition</w:t>
      </w:r>
      <w:r w:rsidR="00212FFC" w:rsidRPr="00212FFC">
        <w:rPr>
          <w:sz w:val="26"/>
          <w:szCs w:val="26"/>
        </w:rPr>
        <w:t xml:space="preserve"> is </w:t>
      </w:r>
      <w:r w:rsidR="00212FFC">
        <w:rPr>
          <w:sz w:val="26"/>
          <w:szCs w:val="26"/>
        </w:rPr>
        <w:t>the</w:t>
      </w:r>
      <w:r w:rsidR="00212FFC" w:rsidRPr="00212FFC">
        <w:rPr>
          <w:sz w:val="26"/>
          <w:szCs w:val="26"/>
        </w:rPr>
        <w:t xml:space="preserve"> </w:t>
      </w:r>
      <w:r w:rsidR="00212FFC">
        <w:rPr>
          <w:sz w:val="26"/>
          <w:szCs w:val="26"/>
        </w:rPr>
        <w:t>“</w:t>
      </w:r>
      <w:r w:rsidR="00212FFC" w:rsidRPr="00212FFC">
        <w:rPr>
          <w:rFonts w:eastAsiaTheme="minorHAnsi"/>
          <w:sz w:val="26"/>
          <w:szCs w:val="26"/>
        </w:rPr>
        <w:t>Petition of</w:t>
      </w:r>
      <w:r w:rsidR="00212FFC">
        <w:rPr>
          <w:rFonts w:eastAsiaTheme="minorHAnsi"/>
          <w:sz w:val="26"/>
          <w:szCs w:val="26"/>
        </w:rPr>
        <w:t xml:space="preserve"> </w:t>
      </w:r>
      <w:r w:rsidR="00212FFC" w:rsidRPr="00212FFC">
        <w:rPr>
          <w:rFonts w:eastAsiaTheme="minorHAnsi"/>
          <w:sz w:val="26"/>
          <w:szCs w:val="26"/>
        </w:rPr>
        <w:t>Delaware Sewer Company to Close Transaction by March 1, 2021</w:t>
      </w:r>
      <w:r w:rsidR="00212FFC">
        <w:rPr>
          <w:rFonts w:eastAsiaTheme="minorHAnsi"/>
          <w:sz w:val="26"/>
          <w:szCs w:val="26"/>
        </w:rPr>
        <w:t>”</w:t>
      </w:r>
      <w:r w:rsidR="00212FFC" w:rsidRPr="00212FFC">
        <w:rPr>
          <w:rFonts w:eastAsiaTheme="minorHAnsi"/>
          <w:sz w:val="26"/>
          <w:szCs w:val="26"/>
        </w:rPr>
        <w:t xml:space="preserve"> (Petition), </w:t>
      </w:r>
      <w:r w:rsidR="00212FFC">
        <w:rPr>
          <w:rFonts w:eastAsiaTheme="minorHAnsi"/>
          <w:sz w:val="26"/>
          <w:szCs w:val="26"/>
        </w:rPr>
        <w:t xml:space="preserve">filed </w:t>
      </w:r>
      <w:r w:rsidR="00212FFC" w:rsidRPr="00212FFC">
        <w:rPr>
          <w:rFonts w:eastAsiaTheme="minorHAnsi"/>
          <w:sz w:val="26"/>
          <w:szCs w:val="26"/>
        </w:rPr>
        <w:t>on January 21, 2021</w:t>
      </w:r>
      <w:r w:rsidR="00212FFC">
        <w:rPr>
          <w:rFonts w:eastAsiaTheme="minorHAnsi"/>
          <w:sz w:val="26"/>
          <w:szCs w:val="26"/>
        </w:rPr>
        <w:t xml:space="preserve">, by </w:t>
      </w:r>
      <w:r w:rsidR="00212FFC" w:rsidRPr="00212FFC">
        <w:rPr>
          <w:rFonts w:eastAsiaTheme="minorHAnsi"/>
          <w:sz w:val="26"/>
          <w:szCs w:val="26"/>
        </w:rPr>
        <w:t>Delaware</w:t>
      </w:r>
      <w:r w:rsidR="00763757">
        <w:rPr>
          <w:rFonts w:eastAsiaTheme="minorHAnsi"/>
          <w:sz w:val="26"/>
          <w:szCs w:val="26"/>
        </w:rPr>
        <w:t xml:space="preserve"> </w:t>
      </w:r>
      <w:r w:rsidR="00212FFC" w:rsidRPr="00212FFC">
        <w:rPr>
          <w:rFonts w:eastAsiaTheme="minorHAnsi"/>
          <w:sz w:val="26"/>
          <w:szCs w:val="26"/>
        </w:rPr>
        <w:t>Sewer Company (DSC)</w:t>
      </w:r>
      <w:r w:rsidR="00946CFA">
        <w:rPr>
          <w:rFonts w:eastAsiaTheme="minorHAnsi"/>
          <w:sz w:val="26"/>
          <w:szCs w:val="26"/>
        </w:rPr>
        <w:t>,</w:t>
      </w:r>
      <w:r w:rsidR="00763757">
        <w:rPr>
          <w:rFonts w:eastAsiaTheme="minorHAnsi"/>
          <w:sz w:val="26"/>
          <w:szCs w:val="26"/>
        </w:rPr>
        <w:t xml:space="preserve"> referenced to the above-</w:t>
      </w:r>
      <w:r w:rsidR="00505CE5">
        <w:rPr>
          <w:rFonts w:eastAsiaTheme="minorHAnsi"/>
          <w:sz w:val="26"/>
          <w:szCs w:val="26"/>
        </w:rPr>
        <w:t>captioned</w:t>
      </w:r>
      <w:r w:rsidR="00763757">
        <w:rPr>
          <w:rFonts w:eastAsiaTheme="minorHAnsi"/>
          <w:sz w:val="26"/>
          <w:szCs w:val="26"/>
        </w:rPr>
        <w:t xml:space="preserve"> proceeding</w:t>
      </w:r>
      <w:r w:rsidR="001B1001" w:rsidRPr="00212FFC">
        <w:rPr>
          <w:sz w:val="26"/>
          <w:szCs w:val="26"/>
        </w:rPr>
        <w:t>.</w:t>
      </w:r>
      <w:r w:rsidR="007B233F">
        <w:rPr>
          <w:sz w:val="26"/>
          <w:szCs w:val="26"/>
        </w:rPr>
        <w:t xml:space="preserve">  </w:t>
      </w:r>
      <w:r w:rsidR="00C1563F">
        <w:rPr>
          <w:sz w:val="26"/>
          <w:szCs w:val="26"/>
        </w:rPr>
        <w:t xml:space="preserve">The </w:t>
      </w:r>
      <w:r w:rsidR="00162BB7">
        <w:rPr>
          <w:sz w:val="26"/>
          <w:szCs w:val="26"/>
        </w:rPr>
        <w:t>“</w:t>
      </w:r>
      <w:r w:rsidR="00C1563F">
        <w:rPr>
          <w:sz w:val="26"/>
          <w:szCs w:val="26"/>
        </w:rPr>
        <w:t>Transaction</w:t>
      </w:r>
      <w:r w:rsidR="00162BB7">
        <w:rPr>
          <w:sz w:val="26"/>
          <w:szCs w:val="26"/>
        </w:rPr>
        <w:t>”</w:t>
      </w:r>
      <w:r w:rsidR="00C1563F">
        <w:rPr>
          <w:sz w:val="26"/>
          <w:szCs w:val="26"/>
        </w:rPr>
        <w:t xml:space="preserve"> in this matter is the acquisition of DSC by Pennsylvania American Water Company</w:t>
      </w:r>
      <w:r w:rsidR="009E5542">
        <w:rPr>
          <w:sz w:val="26"/>
          <w:szCs w:val="26"/>
        </w:rPr>
        <w:t xml:space="preserve"> </w:t>
      </w:r>
      <w:r w:rsidR="00162BB7">
        <w:rPr>
          <w:sz w:val="26"/>
          <w:szCs w:val="26"/>
        </w:rPr>
        <w:t>(PAWC, wast</w:t>
      </w:r>
      <w:r w:rsidR="006007C5">
        <w:rPr>
          <w:sz w:val="26"/>
          <w:szCs w:val="26"/>
        </w:rPr>
        <w:t>ewater division</w:t>
      </w:r>
      <w:r w:rsidR="00162BB7">
        <w:rPr>
          <w:sz w:val="26"/>
          <w:szCs w:val="26"/>
        </w:rPr>
        <w:t xml:space="preserve">, </w:t>
      </w:r>
      <w:r w:rsidR="00162BB7">
        <w:rPr>
          <w:i/>
          <w:iCs/>
          <w:sz w:val="26"/>
          <w:szCs w:val="26"/>
        </w:rPr>
        <w:t>infra</w:t>
      </w:r>
      <w:r w:rsidR="006007C5">
        <w:rPr>
          <w:sz w:val="26"/>
          <w:szCs w:val="26"/>
        </w:rPr>
        <w:t>)</w:t>
      </w:r>
      <w:r w:rsidR="00162BB7">
        <w:rPr>
          <w:sz w:val="26"/>
          <w:szCs w:val="26"/>
        </w:rPr>
        <w:t xml:space="preserve"> </w:t>
      </w:r>
      <w:r w:rsidR="009E5542">
        <w:rPr>
          <w:sz w:val="26"/>
          <w:szCs w:val="26"/>
        </w:rPr>
        <w:t>(Transaction).</w:t>
      </w:r>
    </w:p>
    <w:p w14:paraId="171CEA74" w14:textId="4B5B3510" w:rsidR="00E86D3B" w:rsidRDefault="00E86D3B" w:rsidP="007B233F">
      <w:pPr>
        <w:autoSpaceDE w:val="0"/>
        <w:autoSpaceDN w:val="0"/>
        <w:adjustRightInd w:val="0"/>
        <w:rPr>
          <w:sz w:val="26"/>
          <w:szCs w:val="26"/>
        </w:rPr>
      </w:pPr>
    </w:p>
    <w:p w14:paraId="3FC44CF6" w14:textId="2F7F6254" w:rsidR="00E86D3B" w:rsidRPr="00E86D3B" w:rsidRDefault="00E86D3B" w:rsidP="00E86D3B">
      <w:pPr>
        <w:autoSpaceDE w:val="0"/>
        <w:autoSpaceDN w:val="0"/>
        <w:adjustRightInd w:val="0"/>
        <w:rPr>
          <w:sz w:val="26"/>
          <w:szCs w:val="26"/>
        </w:rPr>
      </w:pPr>
      <w:r w:rsidRPr="00E86D3B">
        <w:rPr>
          <w:sz w:val="26"/>
          <w:szCs w:val="26"/>
        </w:rPr>
        <w:lastRenderedPageBreak/>
        <w:t xml:space="preserve">For the reasons set forth in this Opinion and Order, we shall treat the Petition as a petition to enforce the Commission’s </w:t>
      </w:r>
      <w:r w:rsidRPr="00E86D3B">
        <w:rPr>
          <w:i/>
          <w:iCs/>
          <w:sz w:val="26"/>
          <w:szCs w:val="26"/>
        </w:rPr>
        <w:t>Final Order</w:t>
      </w:r>
      <w:r w:rsidRPr="00E86D3B">
        <w:rPr>
          <w:sz w:val="26"/>
          <w:szCs w:val="26"/>
        </w:rPr>
        <w:t xml:space="preserve">, </w:t>
      </w:r>
      <w:r w:rsidRPr="00E86D3B">
        <w:rPr>
          <w:i/>
          <w:iCs/>
          <w:sz w:val="26"/>
          <w:szCs w:val="26"/>
        </w:rPr>
        <w:t>infra</w:t>
      </w:r>
      <w:r w:rsidRPr="00E86D3B">
        <w:rPr>
          <w:sz w:val="26"/>
          <w:szCs w:val="26"/>
        </w:rPr>
        <w:t xml:space="preserve">, approving the acquisition of DSC by PAWC, by imposing a deadline for closing the </w:t>
      </w:r>
      <w:r w:rsidR="009E5542">
        <w:rPr>
          <w:sz w:val="26"/>
          <w:szCs w:val="26"/>
        </w:rPr>
        <w:t>T</w:t>
      </w:r>
      <w:r w:rsidRPr="00E86D3B">
        <w:rPr>
          <w:sz w:val="26"/>
          <w:szCs w:val="26"/>
        </w:rPr>
        <w:t xml:space="preserve">ransaction that was not provided for in the </w:t>
      </w:r>
      <w:r w:rsidRPr="00E86D3B">
        <w:rPr>
          <w:i/>
          <w:iCs/>
          <w:sz w:val="26"/>
          <w:szCs w:val="26"/>
        </w:rPr>
        <w:t>Final Order</w:t>
      </w:r>
      <w:r w:rsidRPr="00E86D3B">
        <w:rPr>
          <w:sz w:val="26"/>
          <w:szCs w:val="26"/>
        </w:rPr>
        <w:t xml:space="preserve">.  We shall deny the Petition, consistent with the discussion in this Opinion and Order.  </w:t>
      </w:r>
      <w:r w:rsidR="00B12C0F">
        <w:rPr>
          <w:sz w:val="26"/>
          <w:szCs w:val="26"/>
        </w:rPr>
        <w:t>W</w:t>
      </w:r>
      <w:r w:rsidRPr="00E86D3B">
        <w:rPr>
          <w:sz w:val="26"/>
          <w:szCs w:val="26"/>
        </w:rPr>
        <w:t>e shall further direct that PAWC file an update on the status and progress of this Section 529 proceeding, 66 Pa. C.S. § 529, no later than three months after the date of the Opinion and Order regarding this matter.  We, additionally, direct that the Commission’s Bureau of Technical Utility Services (</w:t>
      </w:r>
      <w:r w:rsidR="00D66C87">
        <w:rPr>
          <w:sz w:val="26"/>
          <w:szCs w:val="26"/>
        </w:rPr>
        <w:t>TUS</w:t>
      </w:r>
      <w:r w:rsidRPr="00E86D3B">
        <w:rPr>
          <w:sz w:val="26"/>
          <w:szCs w:val="26"/>
        </w:rPr>
        <w:t>) evaluate the PAWC status update and prepare a recommendation for the Commission, if appropriate.</w:t>
      </w:r>
    </w:p>
    <w:p w14:paraId="050F8740" w14:textId="77777777" w:rsidR="00E86D3B" w:rsidRDefault="00E86D3B" w:rsidP="007B233F">
      <w:pPr>
        <w:autoSpaceDE w:val="0"/>
        <w:autoSpaceDN w:val="0"/>
        <w:adjustRightInd w:val="0"/>
        <w:rPr>
          <w:sz w:val="26"/>
          <w:szCs w:val="26"/>
        </w:rPr>
      </w:pPr>
    </w:p>
    <w:p w14:paraId="1F5F051E" w14:textId="0BD1E4CB" w:rsidR="002878F3" w:rsidRDefault="00B56CBA" w:rsidP="00143357">
      <w:pPr>
        <w:autoSpaceDE w:val="0"/>
        <w:autoSpaceDN w:val="0"/>
        <w:adjustRightInd w:val="0"/>
        <w:ind w:firstLine="0"/>
        <w:jc w:val="center"/>
        <w:rPr>
          <w:b/>
          <w:bCs/>
          <w:sz w:val="26"/>
          <w:szCs w:val="26"/>
        </w:rPr>
      </w:pPr>
      <w:r w:rsidRPr="00143357">
        <w:rPr>
          <w:b/>
          <w:bCs/>
          <w:sz w:val="26"/>
          <w:szCs w:val="26"/>
        </w:rPr>
        <w:t>History of the Proceeding</w:t>
      </w:r>
    </w:p>
    <w:p w14:paraId="0E42E9DC" w14:textId="219D59BE" w:rsidR="00B56CBA" w:rsidRDefault="00B56CBA" w:rsidP="007C5066">
      <w:pPr>
        <w:autoSpaceDE w:val="0"/>
        <w:autoSpaceDN w:val="0"/>
        <w:adjustRightInd w:val="0"/>
        <w:rPr>
          <w:b/>
          <w:bCs/>
          <w:sz w:val="26"/>
          <w:szCs w:val="26"/>
        </w:rPr>
      </w:pPr>
    </w:p>
    <w:p w14:paraId="2C888998" w14:textId="5A38DE9A" w:rsidR="007C5066" w:rsidRDefault="007C5066" w:rsidP="007C5066">
      <w:pPr>
        <w:autoSpaceDE w:val="0"/>
        <w:autoSpaceDN w:val="0"/>
        <w:adjustRightInd w:val="0"/>
        <w:rPr>
          <w:sz w:val="26"/>
          <w:szCs w:val="26"/>
        </w:rPr>
      </w:pPr>
      <w:r w:rsidRPr="00143357">
        <w:rPr>
          <w:sz w:val="26"/>
          <w:szCs w:val="26"/>
        </w:rPr>
        <w:t>On March 1, 2021</w:t>
      </w:r>
      <w:r>
        <w:rPr>
          <w:sz w:val="26"/>
          <w:szCs w:val="26"/>
        </w:rPr>
        <w:t xml:space="preserve">, </w:t>
      </w:r>
      <w:r w:rsidR="001366D5">
        <w:rPr>
          <w:sz w:val="26"/>
          <w:szCs w:val="26"/>
        </w:rPr>
        <w:t xml:space="preserve">DSC filed the </w:t>
      </w:r>
      <w:r w:rsidR="00162BB7">
        <w:rPr>
          <w:sz w:val="26"/>
          <w:szCs w:val="26"/>
        </w:rPr>
        <w:t xml:space="preserve">instant </w:t>
      </w:r>
      <w:r w:rsidR="001366D5">
        <w:rPr>
          <w:sz w:val="26"/>
          <w:szCs w:val="26"/>
        </w:rPr>
        <w:t xml:space="preserve">Petition </w:t>
      </w:r>
      <w:r w:rsidR="009952FA">
        <w:rPr>
          <w:sz w:val="26"/>
          <w:szCs w:val="26"/>
        </w:rPr>
        <w:t xml:space="preserve">asking for enforcement of the Commission’s </w:t>
      </w:r>
      <w:r w:rsidR="00AF2996">
        <w:rPr>
          <w:sz w:val="26"/>
          <w:szCs w:val="26"/>
        </w:rPr>
        <w:t>Final Opinion and Order entered June 13, 2019</w:t>
      </w:r>
      <w:r w:rsidR="00CB36F6">
        <w:rPr>
          <w:sz w:val="26"/>
          <w:szCs w:val="26"/>
        </w:rPr>
        <w:t xml:space="preserve"> (</w:t>
      </w:r>
      <w:r w:rsidR="00CB36F6">
        <w:rPr>
          <w:i/>
          <w:iCs/>
          <w:sz w:val="26"/>
          <w:szCs w:val="26"/>
        </w:rPr>
        <w:t>Final Order</w:t>
      </w:r>
      <w:r w:rsidR="00CB36F6">
        <w:rPr>
          <w:sz w:val="26"/>
          <w:szCs w:val="26"/>
        </w:rPr>
        <w:t xml:space="preserve">), </w:t>
      </w:r>
      <w:r w:rsidR="009952FA">
        <w:rPr>
          <w:sz w:val="26"/>
          <w:szCs w:val="26"/>
        </w:rPr>
        <w:t>Order</w:t>
      </w:r>
      <w:r w:rsidR="00CB36F6">
        <w:rPr>
          <w:sz w:val="26"/>
          <w:szCs w:val="26"/>
        </w:rPr>
        <w:t xml:space="preserve"> on Reconsideration entered March 26, 2020 </w:t>
      </w:r>
      <w:r w:rsidR="00BB5264">
        <w:rPr>
          <w:sz w:val="26"/>
          <w:szCs w:val="26"/>
        </w:rPr>
        <w:t>(</w:t>
      </w:r>
      <w:r w:rsidR="00090469" w:rsidRPr="00143357">
        <w:rPr>
          <w:i/>
          <w:iCs/>
          <w:sz w:val="26"/>
          <w:szCs w:val="26"/>
        </w:rPr>
        <w:t>Reconsideration</w:t>
      </w:r>
      <w:r w:rsidR="00090469">
        <w:rPr>
          <w:sz w:val="26"/>
          <w:szCs w:val="26"/>
        </w:rPr>
        <w:t xml:space="preserve"> </w:t>
      </w:r>
      <w:r w:rsidR="00BB5264" w:rsidRPr="00143357">
        <w:rPr>
          <w:i/>
          <w:iCs/>
          <w:sz w:val="26"/>
          <w:szCs w:val="26"/>
        </w:rPr>
        <w:t>Order</w:t>
      </w:r>
      <w:r w:rsidR="00BB5264">
        <w:rPr>
          <w:sz w:val="26"/>
          <w:szCs w:val="26"/>
        </w:rPr>
        <w:t>)</w:t>
      </w:r>
      <w:r w:rsidR="009952FA">
        <w:rPr>
          <w:sz w:val="26"/>
          <w:szCs w:val="26"/>
        </w:rPr>
        <w:t xml:space="preserve"> approving the acquisition of DSC </w:t>
      </w:r>
      <w:r w:rsidR="00162BB7">
        <w:rPr>
          <w:sz w:val="26"/>
          <w:szCs w:val="26"/>
        </w:rPr>
        <w:t xml:space="preserve">pursuant to the procedures of Section 529 of the Code, </w:t>
      </w:r>
      <w:r w:rsidR="00162BB7" w:rsidRPr="00E86D3B">
        <w:rPr>
          <w:sz w:val="26"/>
          <w:szCs w:val="26"/>
        </w:rPr>
        <w:t>66 Pa. C.S. § 529</w:t>
      </w:r>
      <w:r w:rsidR="00162BB7">
        <w:rPr>
          <w:sz w:val="26"/>
          <w:szCs w:val="26"/>
        </w:rPr>
        <w:t xml:space="preserve">, </w:t>
      </w:r>
      <w:r w:rsidR="009952FA">
        <w:rPr>
          <w:sz w:val="26"/>
          <w:szCs w:val="26"/>
        </w:rPr>
        <w:t xml:space="preserve">by imposing a deadline for closing the </w:t>
      </w:r>
      <w:r w:rsidR="006007C5">
        <w:rPr>
          <w:sz w:val="26"/>
          <w:szCs w:val="26"/>
        </w:rPr>
        <w:t>T</w:t>
      </w:r>
      <w:r w:rsidR="009952FA">
        <w:rPr>
          <w:sz w:val="26"/>
          <w:szCs w:val="26"/>
        </w:rPr>
        <w:t>ransaction that was not provided for in th</w:t>
      </w:r>
      <w:r w:rsidR="007F613E">
        <w:rPr>
          <w:sz w:val="26"/>
          <w:szCs w:val="26"/>
        </w:rPr>
        <w:t xml:space="preserve">at </w:t>
      </w:r>
      <w:r w:rsidR="00D8414D">
        <w:rPr>
          <w:i/>
          <w:iCs/>
          <w:sz w:val="26"/>
          <w:szCs w:val="26"/>
        </w:rPr>
        <w:t>Final</w:t>
      </w:r>
      <w:r w:rsidR="00090469" w:rsidRPr="00143357">
        <w:rPr>
          <w:i/>
          <w:iCs/>
          <w:sz w:val="26"/>
          <w:szCs w:val="26"/>
        </w:rPr>
        <w:t xml:space="preserve"> </w:t>
      </w:r>
      <w:r w:rsidR="007F613E" w:rsidRPr="00143357">
        <w:rPr>
          <w:i/>
          <w:iCs/>
          <w:sz w:val="26"/>
          <w:szCs w:val="26"/>
        </w:rPr>
        <w:t>Order</w:t>
      </w:r>
      <w:r w:rsidR="007F613E">
        <w:rPr>
          <w:sz w:val="26"/>
          <w:szCs w:val="26"/>
        </w:rPr>
        <w:t xml:space="preserve">.  </w:t>
      </w:r>
    </w:p>
    <w:p w14:paraId="0EB69EDE" w14:textId="77777777" w:rsidR="007F613E" w:rsidRPr="007C5066" w:rsidRDefault="007F613E" w:rsidP="007C5066">
      <w:pPr>
        <w:autoSpaceDE w:val="0"/>
        <w:autoSpaceDN w:val="0"/>
        <w:adjustRightInd w:val="0"/>
        <w:rPr>
          <w:sz w:val="26"/>
          <w:szCs w:val="26"/>
        </w:rPr>
      </w:pPr>
    </w:p>
    <w:p w14:paraId="6DDD1B02" w14:textId="6BD188BE" w:rsidR="00342469" w:rsidRDefault="007B233F" w:rsidP="005B2927">
      <w:pPr>
        <w:autoSpaceDE w:val="0"/>
        <w:autoSpaceDN w:val="0"/>
        <w:adjustRightInd w:val="0"/>
        <w:rPr>
          <w:rFonts w:eastAsiaTheme="minorHAnsi"/>
          <w:sz w:val="26"/>
          <w:szCs w:val="26"/>
        </w:rPr>
      </w:pPr>
      <w:r>
        <w:rPr>
          <w:rFonts w:eastAsiaTheme="minorHAnsi"/>
          <w:sz w:val="26"/>
          <w:szCs w:val="26"/>
        </w:rPr>
        <w:t xml:space="preserve">On February 1, 2021, </w:t>
      </w:r>
      <w:r w:rsidRPr="006D04F4">
        <w:rPr>
          <w:rFonts w:eastAsiaTheme="minorHAnsi"/>
          <w:sz w:val="26"/>
          <w:szCs w:val="26"/>
        </w:rPr>
        <w:t>PAWC</w:t>
      </w:r>
      <w:r>
        <w:rPr>
          <w:rFonts w:eastAsiaTheme="minorHAnsi"/>
          <w:sz w:val="26"/>
          <w:szCs w:val="26"/>
        </w:rPr>
        <w:t xml:space="preserve"> filed an Answer and New Matter (endorsed with a Notice to Plead) to the Petition.</w:t>
      </w:r>
      <w:r w:rsidRPr="006D04F4">
        <w:rPr>
          <w:rFonts w:eastAsiaTheme="minorHAnsi"/>
          <w:sz w:val="26"/>
          <w:szCs w:val="26"/>
        </w:rPr>
        <w:t xml:space="preserve"> </w:t>
      </w:r>
      <w:r>
        <w:rPr>
          <w:rFonts w:eastAsiaTheme="minorHAnsi"/>
          <w:sz w:val="26"/>
          <w:szCs w:val="26"/>
        </w:rPr>
        <w:t xml:space="preserve"> In its Answer, </w:t>
      </w:r>
      <w:r w:rsidRPr="006D04F4">
        <w:rPr>
          <w:rFonts w:eastAsiaTheme="minorHAnsi"/>
          <w:sz w:val="26"/>
          <w:szCs w:val="26"/>
        </w:rPr>
        <w:t>PAWC</w:t>
      </w:r>
      <w:r>
        <w:rPr>
          <w:rFonts w:eastAsiaTheme="minorHAnsi"/>
          <w:sz w:val="26"/>
          <w:szCs w:val="26"/>
        </w:rPr>
        <w:t xml:space="preserve"> requests</w:t>
      </w:r>
      <w:r w:rsidRPr="006D04F4">
        <w:rPr>
          <w:rFonts w:eastAsiaTheme="minorHAnsi"/>
          <w:sz w:val="26"/>
          <w:szCs w:val="26"/>
        </w:rPr>
        <w:t xml:space="preserve"> that the </w:t>
      </w:r>
      <w:r>
        <w:rPr>
          <w:rFonts w:eastAsiaTheme="minorHAnsi"/>
          <w:sz w:val="26"/>
          <w:szCs w:val="26"/>
        </w:rPr>
        <w:t>Commission:</w:t>
      </w:r>
      <w:r w:rsidRPr="006D04F4">
        <w:rPr>
          <w:rFonts w:eastAsiaTheme="minorHAnsi"/>
          <w:sz w:val="26"/>
          <w:szCs w:val="26"/>
        </w:rPr>
        <w:t xml:space="preserve"> (1) summarily deny the Petition</w:t>
      </w:r>
      <w:r>
        <w:rPr>
          <w:rFonts w:eastAsiaTheme="minorHAnsi"/>
          <w:sz w:val="26"/>
          <w:szCs w:val="26"/>
        </w:rPr>
        <w:t>;</w:t>
      </w:r>
      <w:r w:rsidRPr="006D04F4">
        <w:rPr>
          <w:rFonts w:eastAsiaTheme="minorHAnsi"/>
          <w:sz w:val="26"/>
          <w:szCs w:val="26"/>
        </w:rPr>
        <w:t xml:space="preserve"> and (2)</w:t>
      </w:r>
      <w:r w:rsidR="002B72DD">
        <w:rPr>
          <w:rFonts w:eastAsiaTheme="minorHAnsi"/>
          <w:sz w:val="26"/>
          <w:szCs w:val="26"/>
        </w:rPr>
        <w:t> </w:t>
      </w:r>
      <w:r w:rsidRPr="006D04F4">
        <w:rPr>
          <w:rFonts w:eastAsiaTheme="minorHAnsi"/>
          <w:sz w:val="26"/>
          <w:szCs w:val="26"/>
        </w:rPr>
        <w:t>require</w:t>
      </w:r>
      <w:r>
        <w:rPr>
          <w:rFonts w:eastAsiaTheme="minorHAnsi"/>
          <w:sz w:val="26"/>
          <w:szCs w:val="26"/>
        </w:rPr>
        <w:t xml:space="preserve"> </w:t>
      </w:r>
      <w:r w:rsidRPr="006D04F4">
        <w:rPr>
          <w:rFonts w:eastAsiaTheme="minorHAnsi"/>
          <w:sz w:val="26"/>
          <w:szCs w:val="26"/>
        </w:rPr>
        <w:t>DSC to file for Commission approval of an affiliated interest arrangement with Forest City</w:t>
      </w:r>
      <w:r>
        <w:rPr>
          <w:rFonts w:eastAsiaTheme="minorHAnsi"/>
          <w:sz w:val="26"/>
          <w:szCs w:val="26"/>
        </w:rPr>
        <w:t xml:space="preserve"> </w:t>
      </w:r>
      <w:r w:rsidRPr="006D04F4">
        <w:rPr>
          <w:rFonts w:eastAsiaTheme="minorHAnsi"/>
          <w:sz w:val="26"/>
          <w:szCs w:val="26"/>
        </w:rPr>
        <w:t>Partnership,</w:t>
      </w:r>
      <w:r w:rsidR="005E79E4">
        <w:rPr>
          <w:rFonts w:eastAsiaTheme="minorHAnsi"/>
          <w:sz w:val="26"/>
          <w:szCs w:val="26"/>
        </w:rPr>
        <w:t> </w:t>
      </w:r>
      <w:r w:rsidRPr="006D04F4">
        <w:rPr>
          <w:rFonts w:eastAsiaTheme="minorHAnsi"/>
          <w:sz w:val="26"/>
          <w:szCs w:val="26"/>
        </w:rPr>
        <w:t>LLC (F</w:t>
      </w:r>
      <w:r w:rsidR="00583FFE">
        <w:rPr>
          <w:rFonts w:eastAsiaTheme="minorHAnsi"/>
          <w:sz w:val="26"/>
          <w:szCs w:val="26"/>
        </w:rPr>
        <w:t xml:space="preserve">orest </w:t>
      </w:r>
      <w:r w:rsidRPr="006D04F4">
        <w:rPr>
          <w:rFonts w:eastAsiaTheme="minorHAnsi"/>
          <w:sz w:val="26"/>
          <w:szCs w:val="26"/>
        </w:rPr>
        <w:t>C</w:t>
      </w:r>
      <w:r w:rsidR="00583FFE">
        <w:rPr>
          <w:rFonts w:eastAsiaTheme="minorHAnsi"/>
          <w:sz w:val="26"/>
          <w:szCs w:val="26"/>
        </w:rPr>
        <w:t>ity</w:t>
      </w:r>
      <w:r w:rsidR="004E254E">
        <w:rPr>
          <w:rFonts w:eastAsiaTheme="minorHAnsi"/>
          <w:sz w:val="26"/>
          <w:szCs w:val="26"/>
        </w:rPr>
        <w:t xml:space="preserve"> or FCP</w:t>
      </w:r>
      <w:r w:rsidRPr="006D04F4">
        <w:rPr>
          <w:rFonts w:eastAsiaTheme="minorHAnsi"/>
          <w:sz w:val="26"/>
          <w:szCs w:val="26"/>
        </w:rPr>
        <w:t xml:space="preserve">), Linde NGS, Inc. (Linde), and </w:t>
      </w:r>
      <w:r w:rsidR="00236254">
        <w:rPr>
          <w:rFonts w:eastAsiaTheme="minorHAnsi"/>
          <w:sz w:val="26"/>
          <w:szCs w:val="26"/>
        </w:rPr>
        <w:t>“</w:t>
      </w:r>
      <w:r w:rsidRPr="006D04F4">
        <w:rPr>
          <w:rFonts w:eastAsiaTheme="minorHAnsi"/>
          <w:sz w:val="26"/>
          <w:szCs w:val="26"/>
        </w:rPr>
        <w:t>any other relevant</w:t>
      </w:r>
      <w:r w:rsidR="005E79E4">
        <w:rPr>
          <w:rFonts w:eastAsiaTheme="minorHAnsi"/>
          <w:sz w:val="26"/>
          <w:szCs w:val="26"/>
        </w:rPr>
        <w:t> </w:t>
      </w:r>
      <w:r w:rsidRPr="00EF3E73">
        <w:rPr>
          <w:rFonts w:eastAsiaTheme="minorHAnsi"/>
          <w:sz w:val="26"/>
          <w:szCs w:val="26"/>
        </w:rPr>
        <w:t>affiliates</w:t>
      </w:r>
      <w:r w:rsidR="00236254" w:rsidRPr="00EF3E73">
        <w:rPr>
          <w:rFonts w:eastAsiaTheme="minorHAnsi"/>
          <w:sz w:val="26"/>
          <w:szCs w:val="26"/>
        </w:rPr>
        <w:t>”</w:t>
      </w:r>
      <w:r w:rsidRPr="00EF3E73">
        <w:rPr>
          <w:rFonts w:eastAsiaTheme="minorHAnsi"/>
          <w:sz w:val="26"/>
          <w:szCs w:val="26"/>
        </w:rPr>
        <w:t xml:space="preserve"> pursuant to 66 Pa. C.S. §§ 2101, 2102.  </w:t>
      </w:r>
      <w:r w:rsidRPr="00EF3E73">
        <w:rPr>
          <w:rFonts w:eastAsiaTheme="minorHAnsi"/>
          <w:i/>
          <w:iCs/>
          <w:sz w:val="26"/>
          <w:szCs w:val="26"/>
        </w:rPr>
        <w:t xml:space="preserve">See </w:t>
      </w:r>
      <w:r w:rsidRPr="00EF3E73">
        <w:rPr>
          <w:rFonts w:eastAsiaTheme="minorHAnsi"/>
          <w:sz w:val="26"/>
          <w:szCs w:val="26"/>
        </w:rPr>
        <w:t>Answer at 1.</w:t>
      </w:r>
      <w:r w:rsidR="007511C7" w:rsidRPr="00EF3E73">
        <w:rPr>
          <w:rFonts w:eastAsiaTheme="minorHAnsi"/>
          <w:sz w:val="26"/>
          <w:szCs w:val="26"/>
        </w:rPr>
        <w:t xml:space="preserve">  </w:t>
      </w:r>
    </w:p>
    <w:p w14:paraId="07E5841D" w14:textId="77777777" w:rsidR="00342469" w:rsidRDefault="00342469" w:rsidP="005B2927">
      <w:pPr>
        <w:autoSpaceDE w:val="0"/>
        <w:autoSpaceDN w:val="0"/>
        <w:adjustRightInd w:val="0"/>
        <w:rPr>
          <w:rFonts w:eastAsiaTheme="minorHAnsi"/>
          <w:sz w:val="26"/>
          <w:szCs w:val="26"/>
        </w:rPr>
      </w:pPr>
    </w:p>
    <w:p w14:paraId="5599B669" w14:textId="78CF02A4" w:rsidR="007F740D" w:rsidRDefault="007511C7" w:rsidP="005B2927">
      <w:pPr>
        <w:autoSpaceDE w:val="0"/>
        <w:autoSpaceDN w:val="0"/>
        <w:adjustRightInd w:val="0"/>
        <w:rPr>
          <w:sz w:val="26"/>
          <w:szCs w:val="26"/>
        </w:rPr>
      </w:pPr>
      <w:r w:rsidRPr="00EF3E73">
        <w:rPr>
          <w:rFonts w:eastAsiaTheme="minorHAnsi"/>
          <w:sz w:val="26"/>
          <w:szCs w:val="26"/>
        </w:rPr>
        <w:t>In New Matter, PAWC argu</w:t>
      </w:r>
      <w:r w:rsidR="007134B1" w:rsidRPr="00EF3E73">
        <w:rPr>
          <w:rFonts w:eastAsiaTheme="minorHAnsi"/>
          <w:sz w:val="26"/>
          <w:szCs w:val="26"/>
        </w:rPr>
        <w:t>es</w:t>
      </w:r>
      <w:r w:rsidR="00194E7D">
        <w:rPr>
          <w:rFonts w:eastAsiaTheme="minorHAnsi"/>
          <w:sz w:val="26"/>
          <w:szCs w:val="26"/>
        </w:rPr>
        <w:t xml:space="preserve">, </w:t>
      </w:r>
      <w:r w:rsidR="00194E7D">
        <w:rPr>
          <w:rFonts w:eastAsiaTheme="minorHAnsi"/>
          <w:i/>
          <w:iCs/>
          <w:sz w:val="26"/>
          <w:szCs w:val="26"/>
        </w:rPr>
        <w:t>inter alia</w:t>
      </w:r>
      <w:r w:rsidR="00194E7D">
        <w:rPr>
          <w:rFonts w:eastAsiaTheme="minorHAnsi"/>
          <w:sz w:val="26"/>
          <w:szCs w:val="26"/>
        </w:rPr>
        <w:t>,</w:t>
      </w:r>
      <w:r w:rsidR="007134B1" w:rsidRPr="00EF3E73">
        <w:rPr>
          <w:rFonts w:eastAsiaTheme="minorHAnsi"/>
          <w:sz w:val="26"/>
          <w:szCs w:val="26"/>
        </w:rPr>
        <w:t xml:space="preserve"> that the Commission should direct DSC to </w:t>
      </w:r>
      <w:r w:rsidR="00DD4DFC">
        <w:rPr>
          <w:rFonts w:eastAsiaTheme="minorHAnsi"/>
          <w:sz w:val="26"/>
          <w:szCs w:val="26"/>
        </w:rPr>
        <w:t>make an</w:t>
      </w:r>
      <w:r w:rsidR="007134B1" w:rsidRPr="00EF3E73">
        <w:rPr>
          <w:rFonts w:eastAsiaTheme="minorHAnsi"/>
          <w:sz w:val="26"/>
          <w:szCs w:val="26"/>
        </w:rPr>
        <w:t xml:space="preserve"> affiliated interest</w:t>
      </w:r>
      <w:r w:rsidR="005105C7">
        <w:rPr>
          <w:rFonts w:eastAsiaTheme="minorHAnsi"/>
          <w:sz w:val="26"/>
          <w:szCs w:val="26"/>
        </w:rPr>
        <w:t xml:space="preserve"> </w:t>
      </w:r>
      <w:r w:rsidR="00DD4DFC">
        <w:rPr>
          <w:rFonts w:eastAsiaTheme="minorHAnsi"/>
          <w:sz w:val="26"/>
          <w:szCs w:val="26"/>
        </w:rPr>
        <w:t xml:space="preserve">filing </w:t>
      </w:r>
      <w:r w:rsidR="00B61000">
        <w:rPr>
          <w:rFonts w:eastAsiaTheme="minorHAnsi"/>
          <w:sz w:val="26"/>
          <w:szCs w:val="26"/>
        </w:rPr>
        <w:t xml:space="preserve">to </w:t>
      </w:r>
      <w:r w:rsidR="00040363">
        <w:rPr>
          <w:rFonts w:eastAsiaTheme="minorHAnsi"/>
          <w:sz w:val="26"/>
          <w:szCs w:val="26"/>
        </w:rPr>
        <w:t>review and approve</w:t>
      </w:r>
      <w:r w:rsidR="00B61000">
        <w:rPr>
          <w:rFonts w:eastAsiaTheme="minorHAnsi"/>
          <w:sz w:val="26"/>
          <w:szCs w:val="26"/>
        </w:rPr>
        <w:t xml:space="preserve"> an affiliated interest </w:t>
      </w:r>
      <w:r w:rsidR="00B61000">
        <w:rPr>
          <w:rFonts w:eastAsiaTheme="minorHAnsi"/>
          <w:sz w:val="26"/>
          <w:szCs w:val="26"/>
        </w:rPr>
        <w:lastRenderedPageBreak/>
        <w:t>arrangement under which</w:t>
      </w:r>
      <w:r w:rsidR="00DD4DFC">
        <w:rPr>
          <w:rFonts w:eastAsiaTheme="minorHAnsi"/>
          <w:sz w:val="26"/>
          <w:szCs w:val="26"/>
        </w:rPr>
        <w:t>,</w:t>
      </w:r>
      <w:r w:rsidR="00D855F0">
        <w:rPr>
          <w:rFonts w:eastAsiaTheme="minorHAnsi"/>
          <w:sz w:val="26"/>
          <w:szCs w:val="26"/>
        </w:rPr>
        <w:t xml:space="preserve"> </w:t>
      </w:r>
      <w:r w:rsidR="00DD4DFC">
        <w:rPr>
          <w:rFonts w:eastAsiaTheme="minorHAnsi"/>
          <w:sz w:val="26"/>
          <w:szCs w:val="26"/>
        </w:rPr>
        <w:t>o</w:t>
      </w:r>
      <w:r w:rsidR="004401F7" w:rsidRPr="004401F7">
        <w:rPr>
          <w:sz w:val="26"/>
          <w:szCs w:val="26"/>
        </w:rPr>
        <w:t xml:space="preserve">n information and belief, </w:t>
      </w:r>
      <w:r w:rsidR="00011CA9">
        <w:rPr>
          <w:sz w:val="26"/>
          <w:szCs w:val="26"/>
        </w:rPr>
        <w:t>DS</w:t>
      </w:r>
      <w:r w:rsidR="00EF09B0">
        <w:rPr>
          <w:sz w:val="26"/>
          <w:szCs w:val="26"/>
        </w:rPr>
        <w:t>C</w:t>
      </w:r>
      <w:r w:rsidR="00011CA9">
        <w:rPr>
          <w:sz w:val="26"/>
          <w:szCs w:val="26"/>
        </w:rPr>
        <w:t xml:space="preserve"> and certain affiliated entities are</w:t>
      </w:r>
      <w:r w:rsidR="004401F7" w:rsidRPr="004401F7">
        <w:rPr>
          <w:sz w:val="26"/>
          <w:szCs w:val="26"/>
        </w:rPr>
        <w:t xml:space="preserve"> involved </w:t>
      </w:r>
      <w:r w:rsidR="00C61E62">
        <w:rPr>
          <w:sz w:val="26"/>
          <w:szCs w:val="26"/>
        </w:rPr>
        <w:t xml:space="preserve">in </w:t>
      </w:r>
      <w:r w:rsidR="004401F7" w:rsidRPr="004401F7">
        <w:rPr>
          <w:sz w:val="26"/>
          <w:szCs w:val="26"/>
        </w:rPr>
        <w:t>a single common scheme in which</w:t>
      </w:r>
      <w:r w:rsidR="00040363">
        <w:rPr>
          <w:sz w:val="26"/>
          <w:szCs w:val="26"/>
        </w:rPr>
        <w:t>:</w:t>
      </w:r>
      <w:r w:rsidR="00D336F0">
        <w:rPr>
          <w:sz w:val="26"/>
          <w:szCs w:val="26"/>
        </w:rPr>
        <w:t xml:space="preserve"> </w:t>
      </w:r>
      <w:r w:rsidR="004401F7" w:rsidRPr="004401F7">
        <w:rPr>
          <w:sz w:val="26"/>
          <w:szCs w:val="26"/>
        </w:rPr>
        <w:t>(1) DSC would sell its wastewater system</w:t>
      </w:r>
      <w:r w:rsidR="00F30F94">
        <w:rPr>
          <w:sz w:val="26"/>
          <w:szCs w:val="26"/>
        </w:rPr>
        <w:t>;</w:t>
      </w:r>
      <w:r w:rsidR="004401F7" w:rsidRPr="004401F7">
        <w:rPr>
          <w:sz w:val="26"/>
          <w:szCs w:val="26"/>
        </w:rPr>
        <w:t xml:space="preserve"> (2) </w:t>
      </w:r>
      <w:r w:rsidR="00BA03E2">
        <w:rPr>
          <w:sz w:val="26"/>
          <w:szCs w:val="26"/>
        </w:rPr>
        <w:t xml:space="preserve">DSC’s </w:t>
      </w:r>
      <w:r w:rsidR="004401F7" w:rsidRPr="004401F7">
        <w:rPr>
          <w:sz w:val="26"/>
          <w:szCs w:val="26"/>
        </w:rPr>
        <w:t xml:space="preserve">affiliate </w:t>
      </w:r>
      <w:r w:rsidR="00F30F94">
        <w:rPr>
          <w:sz w:val="26"/>
          <w:szCs w:val="26"/>
        </w:rPr>
        <w:t>w</w:t>
      </w:r>
      <w:r w:rsidR="004401F7" w:rsidRPr="004401F7">
        <w:rPr>
          <w:sz w:val="26"/>
          <w:szCs w:val="26"/>
        </w:rPr>
        <w:t>ould sell its real estate (to be used to provide wastewater service to DSC</w:t>
      </w:r>
      <w:r w:rsidR="00F30F94">
        <w:rPr>
          <w:sz w:val="26"/>
          <w:szCs w:val="26"/>
        </w:rPr>
        <w:t>’</w:t>
      </w:r>
      <w:r w:rsidR="004401F7" w:rsidRPr="004401F7">
        <w:rPr>
          <w:sz w:val="26"/>
          <w:szCs w:val="26"/>
        </w:rPr>
        <w:t xml:space="preserve">s present and future customers); but </w:t>
      </w:r>
      <w:r w:rsidR="003411B4">
        <w:rPr>
          <w:sz w:val="26"/>
          <w:szCs w:val="26"/>
        </w:rPr>
        <w:t>(</w:t>
      </w:r>
      <w:r w:rsidR="004401F7" w:rsidRPr="004401F7">
        <w:rPr>
          <w:sz w:val="26"/>
          <w:szCs w:val="26"/>
        </w:rPr>
        <w:t xml:space="preserve">3) </w:t>
      </w:r>
      <w:r w:rsidR="0095521B">
        <w:rPr>
          <w:sz w:val="26"/>
          <w:szCs w:val="26"/>
        </w:rPr>
        <w:t xml:space="preserve">the affiliated entity </w:t>
      </w:r>
      <w:r w:rsidR="004401F7" w:rsidRPr="004401F7">
        <w:rPr>
          <w:sz w:val="26"/>
          <w:szCs w:val="26"/>
        </w:rPr>
        <w:t xml:space="preserve">would retain </w:t>
      </w:r>
      <w:r w:rsidR="00BA03E2">
        <w:rPr>
          <w:sz w:val="26"/>
          <w:szCs w:val="26"/>
        </w:rPr>
        <w:t xml:space="preserve">certain </w:t>
      </w:r>
      <w:r w:rsidR="004401F7" w:rsidRPr="004401F7">
        <w:rPr>
          <w:sz w:val="26"/>
          <w:szCs w:val="26"/>
        </w:rPr>
        <w:t xml:space="preserve">mineral rights in the </w:t>
      </w:r>
      <w:r w:rsidR="00463ABD">
        <w:rPr>
          <w:sz w:val="26"/>
          <w:szCs w:val="26"/>
        </w:rPr>
        <w:t>real estate to be transferred and</w:t>
      </w:r>
      <w:r w:rsidR="004401F7" w:rsidRPr="004401F7">
        <w:rPr>
          <w:sz w:val="26"/>
          <w:szCs w:val="26"/>
        </w:rPr>
        <w:t xml:space="preserve"> convey those </w:t>
      </w:r>
      <w:r w:rsidR="00463ABD">
        <w:rPr>
          <w:sz w:val="26"/>
          <w:szCs w:val="26"/>
        </w:rPr>
        <w:t xml:space="preserve">mineral </w:t>
      </w:r>
      <w:r w:rsidR="004401F7" w:rsidRPr="004401F7">
        <w:rPr>
          <w:sz w:val="26"/>
          <w:szCs w:val="26"/>
        </w:rPr>
        <w:t xml:space="preserve">rights to yet another affiliate, </w:t>
      </w:r>
      <w:r w:rsidR="00463ABD">
        <w:rPr>
          <w:sz w:val="26"/>
          <w:szCs w:val="26"/>
        </w:rPr>
        <w:t xml:space="preserve">for </w:t>
      </w:r>
      <w:r w:rsidR="007F740D">
        <w:rPr>
          <w:sz w:val="26"/>
          <w:szCs w:val="26"/>
        </w:rPr>
        <w:t xml:space="preserve">minimal compensation.  Answer at </w:t>
      </w:r>
      <w:r w:rsidR="000006B9">
        <w:rPr>
          <w:sz w:val="26"/>
          <w:szCs w:val="26"/>
        </w:rPr>
        <w:t>19</w:t>
      </w:r>
      <w:r w:rsidR="006A633B">
        <w:rPr>
          <w:sz w:val="26"/>
          <w:szCs w:val="26"/>
        </w:rPr>
        <w:t>-20.</w:t>
      </w:r>
      <w:r w:rsidR="0085546B">
        <w:rPr>
          <w:sz w:val="26"/>
          <w:szCs w:val="26"/>
        </w:rPr>
        <w:t xml:space="preserve">  </w:t>
      </w:r>
      <w:r w:rsidR="00853592">
        <w:rPr>
          <w:sz w:val="26"/>
          <w:szCs w:val="26"/>
        </w:rPr>
        <w:t xml:space="preserve">The mineral rights are alleged to be potentially lucrative as they </w:t>
      </w:r>
      <w:r w:rsidR="004A797D">
        <w:rPr>
          <w:sz w:val="26"/>
          <w:szCs w:val="26"/>
        </w:rPr>
        <w:t>involve</w:t>
      </w:r>
      <w:r w:rsidR="005B2927" w:rsidRPr="005B2927">
        <w:rPr>
          <w:sz w:val="26"/>
          <w:szCs w:val="26"/>
        </w:rPr>
        <w:t xml:space="preserve"> the right to use the surface of the land</w:t>
      </w:r>
      <w:r w:rsidR="005B2927">
        <w:rPr>
          <w:sz w:val="26"/>
          <w:szCs w:val="26"/>
        </w:rPr>
        <w:t xml:space="preserve"> </w:t>
      </w:r>
      <w:r w:rsidR="005B2927" w:rsidRPr="005B2927">
        <w:rPr>
          <w:sz w:val="26"/>
          <w:szCs w:val="26"/>
        </w:rPr>
        <w:t>for Marcellus Shale operations.</w:t>
      </w:r>
      <w:r w:rsidR="004A797D">
        <w:rPr>
          <w:sz w:val="26"/>
          <w:szCs w:val="26"/>
        </w:rPr>
        <w:t xml:space="preserve">  Answer at 6.</w:t>
      </w:r>
      <w:r w:rsidR="005B2927" w:rsidRPr="005B2927">
        <w:rPr>
          <w:sz w:val="26"/>
          <w:szCs w:val="26"/>
        </w:rPr>
        <w:t xml:space="preserve"> </w:t>
      </w:r>
      <w:r w:rsidR="00853592" w:rsidRPr="005B2927">
        <w:rPr>
          <w:sz w:val="26"/>
          <w:szCs w:val="26"/>
        </w:rPr>
        <w:t xml:space="preserve"> </w:t>
      </w:r>
    </w:p>
    <w:p w14:paraId="6A1F4EB1" w14:textId="4E1AD84E" w:rsidR="006A4572" w:rsidRDefault="006A4572" w:rsidP="005B2927">
      <w:pPr>
        <w:autoSpaceDE w:val="0"/>
        <w:autoSpaceDN w:val="0"/>
        <w:adjustRightInd w:val="0"/>
        <w:rPr>
          <w:sz w:val="26"/>
          <w:szCs w:val="26"/>
        </w:rPr>
      </w:pPr>
    </w:p>
    <w:p w14:paraId="76E919C6" w14:textId="1863B161" w:rsidR="006A4572" w:rsidRDefault="005E7945" w:rsidP="005B2927">
      <w:pPr>
        <w:autoSpaceDE w:val="0"/>
        <w:autoSpaceDN w:val="0"/>
        <w:adjustRightInd w:val="0"/>
        <w:rPr>
          <w:sz w:val="26"/>
          <w:szCs w:val="26"/>
        </w:rPr>
      </w:pPr>
      <w:r>
        <w:rPr>
          <w:sz w:val="26"/>
          <w:szCs w:val="26"/>
        </w:rPr>
        <w:t>O</w:t>
      </w:r>
      <w:r w:rsidR="00C2047B" w:rsidRPr="00632541">
        <w:rPr>
          <w:sz w:val="26"/>
          <w:szCs w:val="26"/>
        </w:rPr>
        <w:t xml:space="preserve">n </w:t>
      </w:r>
      <w:r>
        <w:rPr>
          <w:sz w:val="26"/>
          <w:szCs w:val="26"/>
        </w:rPr>
        <w:t xml:space="preserve">or about </w:t>
      </w:r>
      <w:r w:rsidR="00C2047B" w:rsidRPr="00632541">
        <w:rPr>
          <w:sz w:val="26"/>
          <w:szCs w:val="26"/>
        </w:rPr>
        <w:t xml:space="preserve">February 1, 2021, the </w:t>
      </w:r>
      <w:r w:rsidR="00632541">
        <w:rPr>
          <w:sz w:val="26"/>
          <w:szCs w:val="26"/>
        </w:rPr>
        <w:t xml:space="preserve">Commission’s </w:t>
      </w:r>
      <w:r w:rsidR="00632541" w:rsidRPr="00632541">
        <w:rPr>
          <w:sz w:val="26"/>
          <w:szCs w:val="26"/>
        </w:rPr>
        <w:t>Bureau of Investigation and Enforcement (I&amp;E</w:t>
      </w:r>
      <w:r w:rsidR="00632541">
        <w:rPr>
          <w:sz w:val="26"/>
          <w:szCs w:val="26"/>
        </w:rPr>
        <w:t xml:space="preserve">), the </w:t>
      </w:r>
      <w:r w:rsidR="00C2047B" w:rsidRPr="00632541">
        <w:rPr>
          <w:sz w:val="26"/>
          <w:szCs w:val="26"/>
        </w:rPr>
        <w:t>Office of Consumer Advocate (OCA)</w:t>
      </w:r>
      <w:r w:rsidR="00632541">
        <w:rPr>
          <w:sz w:val="26"/>
          <w:szCs w:val="26"/>
        </w:rPr>
        <w:t>,</w:t>
      </w:r>
      <w:r w:rsidR="00C2047B" w:rsidRPr="00632541">
        <w:rPr>
          <w:sz w:val="26"/>
          <w:szCs w:val="26"/>
        </w:rPr>
        <w:t xml:space="preserve"> and Aqua Pennsylvania </w:t>
      </w:r>
      <w:r w:rsidR="0017679D" w:rsidRPr="00632541">
        <w:rPr>
          <w:sz w:val="26"/>
          <w:szCs w:val="26"/>
        </w:rPr>
        <w:t>Wastewater, Inc.</w:t>
      </w:r>
      <w:r w:rsidR="00C2047B" w:rsidRPr="00632541">
        <w:rPr>
          <w:sz w:val="26"/>
          <w:szCs w:val="26"/>
        </w:rPr>
        <w:t xml:space="preserve"> (</w:t>
      </w:r>
      <w:r w:rsidR="0017679D" w:rsidRPr="00632541">
        <w:rPr>
          <w:sz w:val="26"/>
          <w:szCs w:val="26"/>
        </w:rPr>
        <w:t xml:space="preserve">Aqua) </w:t>
      </w:r>
      <w:r w:rsidR="00EE63A4">
        <w:rPr>
          <w:sz w:val="26"/>
          <w:szCs w:val="26"/>
        </w:rPr>
        <w:t xml:space="preserve">sent letters to the Commission Secretary which </w:t>
      </w:r>
      <w:r w:rsidR="0017679D" w:rsidRPr="00632541">
        <w:rPr>
          <w:sz w:val="26"/>
          <w:szCs w:val="26"/>
        </w:rPr>
        <w:t xml:space="preserve">advised that they </w:t>
      </w:r>
      <w:r w:rsidR="008749BB" w:rsidRPr="00632541">
        <w:rPr>
          <w:sz w:val="26"/>
          <w:szCs w:val="26"/>
        </w:rPr>
        <w:t>did not intend to file an Answer to the Petition.</w:t>
      </w:r>
    </w:p>
    <w:p w14:paraId="43988D89" w14:textId="4E7A9C8E" w:rsidR="001540CC" w:rsidRDefault="001540CC" w:rsidP="005B2927">
      <w:pPr>
        <w:autoSpaceDE w:val="0"/>
        <w:autoSpaceDN w:val="0"/>
        <w:adjustRightInd w:val="0"/>
        <w:rPr>
          <w:sz w:val="26"/>
          <w:szCs w:val="26"/>
        </w:rPr>
      </w:pPr>
    </w:p>
    <w:p w14:paraId="50D4E0FB" w14:textId="110EE73E" w:rsidR="001540CC" w:rsidRPr="00632541" w:rsidRDefault="001540CC" w:rsidP="005B2927">
      <w:pPr>
        <w:autoSpaceDE w:val="0"/>
        <w:autoSpaceDN w:val="0"/>
        <w:adjustRightInd w:val="0"/>
        <w:rPr>
          <w:sz w:val="26"/>
          <w:szCs w:val="26"/>
        </w:rPr>
      </w:pPr>
      <w:r>
        <w:rPr>
          <w:sz w:val="26"/>
          <w:szCs w:val="26"/>
        </w:rPr>
        <w:t>On February 1</w:t>
      </w:r>
      <w:r w:rsidR="00260759">
        <w:rPr>
          <w:sz w:val="26"/>
          <w:szCs w:val="26"/>
        </w:rPr>
        <w:t>7</w:t>
      </w:r>
      <w:r>
        <w:rPr>
          <w:sz w:val="26"/>
          <w:szCs w:val="26"/>
        </w:rPr>
        <w:t>, 2021, the Commission received the Reply of Delaware Sewer Company to New Matter</w:t>
      </w:r>
      <w:r w:rsidR="00E639A5">
        <w:rPr>
          <w:sz w:val="26"/>
          <w:szCs w:val="26"/>
        </w:rPr>
        <w:t>.</w:t>
      </w:r>
      <w:r>
        <w:rPr>
          <w:sz w:val="26"/>
          <w:szCs w:val="26"/>
        </w:rPr>
        <w:t xml:space="preserve"> </w:t>
      </w:r>
      <w:r w:rsidR="001A74DD">
        <w:rPr>
          <w:sz w:val="26"/>
          <w:szCs w:val="26"/>
        </w:rPr>
        <w:t xml:space="preserve"> </w:t>
      </w:r>
      <w:r>
        <w:rPr>
          <w:sz w:val="26"/>
          <w:szCs w:val="26"/>
        </w:rPr>
        <w:t>(DSC Reply</w:t>
      </w:r>
      <w:r w:rsidR="00836E9D">
        <w:rPr>
          <w:sz w:val="26"/>
          <w:szCs w:val="26"/>
        </w:rPr>
        <w:t xml:space="preserve"> to New Matter</w:t>
      </w:r>
      <w:r>
        <w:rPr>
          <w:sz w:val="26"/>
          <w:szCs w:val="26"/>
        </w:rPr>
        <w:t xml:space="preserve">).    </w:t>
      </w:r>
    </w:p>
    <w:p w14:paraId="2A9C7050" w14:textId="483434DB" w:rsidR="002C2A1D" w:rsidRPr="00714FE3" w:rsidRDefault="002C2A1D" w:rsidP="00714FE3">
      <w:pPr>
        <w:autoSpaceDE w:val="0"/>
        <w:autoSpaceDN w:val="0"/>
        <w:adjustRightInd w:val="0"/>
        <w:rPr>
          <w:sz w:val="26"/>
          <w:szCs w:val="26"/>
        </w:rPr>
      </w:pPr>
    </w:p>
    <w:p w14:paraId="23747197" w14:textId="33473312" w:rsidR="00721C74" w:rsidRPr="00721C74" w:rsidRDefault="00721C74" w:rsidP="00721C74">
      <w:pPr>
        <w:autoSpaceDE w:val="0"/>
        <w:autoSpaceDN w:val="0"/>
        <w:adjustRightInd w:val="0"/>
        <w:ind w:firstLine="0"/>
        <w:jc w:val="center"/>
        <w:rPr>
          <w:b/>
          <w:bCs/>
          <w:sz w:val="26"/>
          <w:szCs w:val="26"/>
        </w:rPr>
      </w:pPr>
      <w:r w:rsidRPr="00721C74">
        <w:rPr>
          <w:b/>
          <w:bCs/>
          <w:sz w:val="26"/>
          <w:szCs w:val="26"/>
        </w:rPr>
        <w:t>Background</w:t>
      </w:r>
    </w:p>
    <w:p w14:paraId="52606A21" w14:textId="77777777" w:rsidR="00721C74" w:rsidRDefault="00721C74" w:rsidP="00763757">
      <w:pPr>
        <w:autoSpaceDE w:val="0"/>
        <w:autoSpaceDN w:val="0"/>
        <w:adjustRightInd w:val="0"/>
        <w:rPr>
          <w:sz w:val="26"/>
          <w:szCs w:val="26"/>
        </w:rPr>
      </w:pPr>
    </w:p>
    <w:p w14:paraId="33E850F6" w14:textId="77C421A4" w:rsidR="00517A96" w:rsidRPr="00E26084" w:rsidRDefault="009C3C86" w:rsidP="00517A96">
      <w:pPr>
        <w:kinsoku w:val="0"/>
        <w:overflowPunct w:val="0"/>
        <w:ind w:right="216"/>
        <w:textAlignment w:val="baseline"/>
        <w:rPr>
          <w:sz w:val="26"/>
          <w:szCs w:val="26"/>
        </w:rPr>
      </w:pPr>
      <w:r>
        <w:rPr>
          <w:sz w:val="26"/>
          <w:szCs w:val="26"/>
        </w:rPr>
        <w:t>Th</w:t>
      </w:r>
      <w:r w:rsidR="00B908C7">
        <w:rPr>
          <w:sz w:val="26"/>
          <w:szCs w:val="26"/>
        </w:rPr>
        <w:t>is</w:t>
      </w:r>
      <w:r>
        <w:rPr>
          <w:sz w:val="26"/>
          <w:szCs w:val="26"/>
        </w:rPr>
        <w:t xml:space="preserve"> proceeding is a</w:t>
      </w:r>
      <w:r>
        <w:rPr>
          <w:rFonts w:eastAsiaTheme="minorHAnsi"/>
          <w:sz w:val="26"/>
          <w:szCs w:val="26"/>
        </w:rPr>
        <w:t>n</w:t>
      </w:r>
      <w:r w:rsidRPr="00F41401">
        <w:rPr>
          <w:rFonts w:eastAsiaTheme="minorHAnsi"/>
          <w:sz w:val="26"/>
          <w:szCs w:val="26"/>
        </w:rPr>
        <w:t xml:space="preserve"> </w:t>
      </w:r>
      <w:r w:rsidRPr="00F41401">
        <w:rPr>
          <w:sz w:val="26"/>
          <w:szCs w:val="26"/>
        </w:rPr>
        <w:t>investigation instituted per Section 529 of the Public Utility Code (Code), 66 Pa. C.S. § 529</w:t>
      </w:r>
      <w:r w:rsidR="008E7342" w:rsidRPr="008E7342">
        <w:rPr>
          <w:sz w:val="26"/>
          <w:szCs w:val="26"/>
        </w:rPr>
        <w:t xml:space="preserve"> </w:t>
      </w:r>
      <w:r w:rsidR="008E7342">
        <w:rPr>
          <w:sz w:val="26"/>
          <w:szCs w:val="26"/>
        </w:rPr>
        <w:t>(</w:t>
      </w:r>
      <w:r w:rsidR="008E7342" w:rsidRPr="0096027D">
        <w:rPr>
          <w:sz w:val="26"/>
          <w:szCs w:val="26"/>
        </w:rPr>
        <w:t>Power of commission to order acquisition of small water and sewer utilities)</w:t>
      </w:r>
      <w:r w:rsidRPr="00F41401">
        <w:rPr>
          <w:sz w:val="26"/>
          <w:szCs w:val="26"/>
        </w:rPr>
        <w:t xml:space="preserve">, into whether the Commission should order a capable public utility to acquire </w:t>
      </w:r>
      <w:r>
        <w:rPr>
          <w:sz w:val="26"/>
          <w:szCs w:val="26"/>
        </w:rPr>
        <w:t>DSC.</w:t>
      </w:r>
      <w:r w:rsidR="00E61C9C">
        <w:rPr>
          <w:sz w:val="26"/>
          <w:szCs w:val="26"/>
        </w:rPr>
        <w:t xml:space="preserve"> </w:t>
      </w:r>
      <w:r w:rsidR="00517A96">
        <w:rPr>
          <w:sz w:val="26"/>
          <w:szCs w:val="26"/>
        </w:rPr>
        <w:t xml:space="preserve"> </w:t>
      </w:r>
      <w:r w:rsidR="00517A96" w:rsidRPr="00E26084">
        <w:rPr>
          <w:sz w:val="26"/>
          <w:szCs w:val="26"/>
        </w:rPr>
        <w:t xml:space="preserve">By way of background, </w:t>
      </w:r>
      <w:r w:rsidR="0057307E">
        <w:rPr>
          <w:sz w:val="26"/>
          <w:szCs w:val="26"/>
        </w:rPr>
        <w:t xml:space="preserve">we provide the following: </w:t>
      </w:r>
    </w:p>
    <w:p w14:paraId="45E0AD02" w14:textId="77777777" w:rsidR="00D07057" w:rsidRDefault="00D07057" w:rsidP="00056423">
      <w:pPr>
        <w:rPr>
          <w:sz w:val="26"/>
          <w:szCs w:val="26"/>
        </w:rPr>
      </w:pPr>
    </w:p>
    <w:p w14:paraId="575A0064" w14:textId="726A341F" w:rsidR="00D07057" w:rsidRDefault="00D07057" w:rsidP="00D07057">
      <w:pPr>
        <w:rPr>
          <w:sz w:val="26"/>
          <w:szCs w:val="26"/>
        </w:rPr>
      </w:pPr>
      <w:r w:rsidRPr="00BB5111">
        <w:rPr>
          <w:sz w:val="26"/>
          <w:szCs w:val="26"/>
        </w:rPr>
        <w:t>DSC is a regulated public utility corporation duly organized and existing under the laws of the Commonwealth of Pennsylvania.  DSC is engaged in the business of collecting, treating</w:t>
      </w:r>
      <w:r w:rsidR="001A74DD">
        <w:rPr>
          <w:sz w:val="26"/>
          <w:szCs w:val="26"/>
        </w:rPr>
        <w:t>,</w:t>
      </w:r>
      <w:r w:rsidRPr="00BB5111">
        <w:rPr>
          <w:sz w:val="26"/>
          <w:szCs w:val="26"/>
        </w:rPr>
        <w:t xml:space="preserve"> and disposing of wastewater for the public pursuant to a certificate of public convenience issued by the Commission at Docket No. A-230051</w:t>
      </w:r>
      <w:r w:rsidR="00E94AE4">
        <w:rPr>
          <w:sz w:val="26"/>
          <w:szCs w:val="26"/>
        </w:rPr>
        <w:t xml:space="preserve"> (Certificate)</w:t>
      </w:r>
      <w:r w:rsidRPr="00BB5111">
        <w:rPr>
          <w:sz w:val="26"/>
          <w:szCs w:val="26"/>
        </w:rPr>
        <w:t xml:space="preserve">, </w:t>
      </w:r>
      <w:r w:rsidRPr="00BB5111">
        <w:rPr>
          <w:sz w:val="26"/>
          <w:szCs w:val="26"/>
        </w:rPr>
        <w:lastRenderedPageBreak/>
        <w:t>on or about October 4, 1996.</w:t>
      </w:r>
      <w:r>
        <w:rPr>
          <w:sz w:val="26"/>
          <w:szCs w:val="26"/>
        </w:rPr>
        <w:t xml:space="preserve">  </w:t>
      </w:r>
      <w:r>
        <w:rPr>
          <w:i/>
          <w:iCs/>
          <w:sz w:val="26"/>
          <w:szCs w:val="26"/>
        </w:rPr>
        <w:t xml:space="preserve">See </w:t>
      </w:r>
      <w:r>
        <w:rPr>
          <w:sz w:val="26"/>
          <w:szCs w:val="26"/>
        </w:rPr>
        <w:t xml:space="preserve">Recommended Decision (R.D.) issued </w:t>
      </w:r>
      <w:r w:rsidR="003C7C69">
        <w:rPr>
          <w:sz w:val="26"/>
          <w:szCs w:val="26"/>
        </w:rPr>
        <w:t xml:space="preserve">March 20, 2019, Docket No. </w:t>
      </w:r>
      <w:r w:rsidR="003C7C69" w:rsidRPr="00F41401">
        <w:rPr>
          <w:bCs/>
          <w:sz w:val="26"/>
          <w:szCs w:val="26"/>
        </w:rPr>
        <w:t>I-2016-2526085</w:t>
      </w:r>
      <w:r w:rsidR="003C7C69">
        <w:rPr>
          <w:bCs/>
          <w:sz w:val="26"/>
          <w:szCs w:val="26"/>
        </w:rPr>
        <w:t>;</w:t>
      </w:r>
      <w:r w:rsidR="003C7C69">
        <w:rPr>
          <w:sz w:val="26"/>
          <w:szCs w:val="26"/>
        </w:rPr>
        <w:t xml:space="preserve"> </w:t>
      </w:r>
      <w:r w:rsidRPr="00BB5111">
        <w:rPr>
          <w:sz w:val="26"/>
          <w:szCs w:val="26"/>
        </w:rPr>
        <w:t xml:space="preserve">R.D. Finding of Fact No. 1.  </w:t>
      </w:r>
    </w:p>
    <w:p w14:paraId="272F88ED" w14:textId="77777777" w:rsidR="005A0D3D" w:rsidRDefault="005A0D3D" w:rsidP="00D07057">
      <w:pPr>
        <w:rPr>
          <w:sz w:val="26"/>
          <w:szCs w:val="26"/>
        </w:rPr>
      </w:pPr>
    </w:p>
    <w:p w14:paraId="3BE177F6" w14:textId="3220DA1D" w:rsidR="00EE63A4" w:rsidRPr="005D2C01" w:rsidRDefault="00EE63A4" w:rsidP="00EE63A4">
      <w:pPr>
        <w:rPr>
          <w:sz w:val="26"/>
          <w:szCs w:val="26"/>
        </w:rPr>
      </w:pPr>
      <w:r w:rsidRPr="005D2C01">
        <w:rPr>
          <w:sz w:val="26"/>
          <w:szCs w:val="26"/>
        </w:rPr>
        <w:t>DSC’s Certificate authorizes it to serve Sections</w:t>
      </w:r>
      <w:r w:rsidR="00D6147A">
        <w:rPr>
          <w:sz w:val="26"/>
          <w:szCs w:val="26"/>
        </w:rPr>
        <w:t> </w:t>
      </w:r>
      <w:r w:rsidRPr="005D2C01">
        <w:rPr>
          <w:sz w:val="26"/>
          <w:szCs w:val="26"/>
        </w:rPr>
        <w:t>19</w:t>
      </w:r>
      <w:r w:rsidR="00D6147A">
        <w:rPr>
          <w:sz w:val="26"/>
          <w:szCs w:val="26"/>
        </w:rPr>
        <w:noBreakHyphen/>
      </w:r>
      <w:r w:rsidRPr="005D2C01">
        <w:rPr>
          <w:sz w:val="26"/>
          <w:szCs w:val="26"/>
        </w:rPr>
        <w:t xml:space="preserve">22 of the Wild Acres Development in Delaware Township, Pike County, Pennsylvania. </w:t>
      </w:r>
      <w:r>
        <w:rPr>
          <w:sz w:val="26"/>
          <w:szCs w:val="26"/>
        </w:rPr>
        <w:t xml:space="preserve"> </w:t>
      </w:r>
      <w:r w:rsidRPr="005D2C01">
        <w:rPr>
          <w:sz w:val="26"/>
          <w:szCs w:val="26"/>
        </w:rPr>
        <w:t>The DSC wastewater system currently provides wastewater service to 39</w:t>
      </w:r>
      <w:r w:rsidR="00D6147A">
        <w:rPr>
          <w:sz w:val="26"/>
          <w:szCs w:val="26"/>
        </w:rPr>
        <w:t> </w:t>
      </w:r>
      <w:r w:rsidRPr="005D2C01">
        <w:rPr>
          <w:sz w:val="26"/>
          <w:szCs w:val="26"/>
        </w:rPr>
        <w:t>homes in Sections 19-22.  R.D. at 11</w:t>
      </w:r>
      <w:r w:rsidR="008A16F6">
        <w:rPr>
          <w:sz w:val="26"/>
          <w:szCs w:val="26"/>
        </w:rPr>
        <w:t xml:space="preserve">; Petition at </w:t>
      </w:r>
      <w:r w:rsidR="00D6147A">
        <w:rPr>
          <w:sz w:val="26"/>
          <w:szCs w:val="26"/>
        </w:rPr>
        <w:t>¶</w:t>
      </w:r>
      <w:r w:rsidR="008A16F6">
        <w:rPr>
          <w:sz w:val="26"/>
          <w:szCs w:val="26"/>
        </w:rPr>
        <w:t xml:space="preserve"> 1</w:t>
      </w:r>
      <w:r w:rsidRPr="005D2C01">
        <w:rPr>
          <w:sz w:val="26"/>
          <w:szCs w:val="26"/>
        </w:rPr>
        <w:t xml:space="preserve">.  The remaining portions of the development have on-lot septic systems.  </w:t>
      </w:r>
      <w:r w:rsidR="00BF064B">
        <w:rPr>
          <w:sz w:val="26"/>
          <w:szCs w:val="26"/>
        </w:rPr>
        <w:t>R.D. at 11</w:t>
      </w:r>
      <w:r w:rsidRPr="005D2C01">
        <w:rPr>
          <w:sz w:val="26"/>
          <w:szCs w:val="26"/>
        </w:rPr>
        <w:t xml:space="preserve">, citing PAWC Statement </w:t>
      </w:r>
      <w:r>
        <w:rPr>
          <w:sz w:val="26"/>
          <w:szCs w:val="26"/>
        </w:rPr>
        <w:t xml:space="preserve">(Stmt.) </w:t>
      </w:r>
      <w:r w:rsidRPr="005D2C01">
        <w:rPr>
          <w:sz w:val="26"/>
          <w:szCs w:val="26"/>
        </w:rPr>
        <w:t>No.</w:t>
      </w:r>
      <w:r w:rsidR="00D6147A">
        <w:rPr>
          <w:sz w:val="26"/>
          <w:szCs w:val="26"/>
        </w:rPr>
        <w:t> </w:t>
      </w:r>
      <w:r w:rsidRPr="005D2C01">
        <w:rPr>
          <w:sz w:val="26"/>
          <w:szCs w:val="26"/>
        </w:rPr>
        <w:t xml:space="preserve">1, 12 p. 3.  There are currently 372 lots within Sections 19-22 and, after subtracting utility lots, open space, unbuildable </w:t>
      </w:r>
      <w:proofErr w:type="gramStart"/>
      <w:r w:rsidRPr="005D2C01">
        <w:rPr>
          <w:sz w:val="26"/>
          <w:szCs w:val="26"/>
        </w:rPr>
        <w:t>lots</w:t>
      </w:r>
      <w:proofErr w:type="gramEnd"/>
      <w:r w:rsidRPr="005D2C01">
        <w:rPr>
          <w:sz w:val="26"/>
          <w:szCs w:val="26"/>
        </w:rPr>
        <w:t xml:space="preserve"> and combined lots, the ultimate build-out is estimated to be, approximately, 306 lots.  </w:t>
      </w:r>
      <w:r w:rsidRPr="005D2C01">
        <w:rPr>
          <w:i/>
          <w:iCs/>
          <w:sz w:val="26"/>
          <w:szCs w:val="26"/>
        </w:rPr>
        <w:t>Id</w:t>
      </w:r>
      <w:r w:rsidRPr="005D2C01">
        <w:rPr>
          <w:sz w:val="26"/>
          <w:szCs w:val="26"/>
        </w:rPr>
        <w:t>., citing PAWC Stmt. No. 1, pp. 3-4.</w:t>
      </w:r>
    </w:p>
    <w:p w14:paraId="53C3DF2C" w14:textId="77777777" w:rsidR="00EE63A4" w:rsidRPr="005D2C01" w:rsidRDefault="00EE63A4" w:rsidP="00EE63A4">
      <w:pPr>
        <w:rPr>
          <w:sz w:val="26"/>
          <w:szCs w:val="26"/>
        </w:rPr>
      </w:pPr>
    </w:p>
    <w:p w14:paraId="35F73C02" w14:textId="2AD95EED" w:rsidR="004E3E5F" w:rsidRPr="009B7223" w:rsidRDefault="00EE63A4" w:rsidP="00EE63A4">
      <w:pPr>
        <w:rPr>
          <w:sz w:val="26"/>
          <w:szCs w:val="26"/>
        </w:rPr>
      </w:pPr>
      <w:r w:rsidRPr="005D2C01">
        <w:rPr>
          <w:sz w:val="26"/>
          <w:szCs w:val="26"/>
        </w:rPr>
        <w:t>The DSC system is in poor condition and is not operating as designed.  The system is presently being operated as a septic tank system.  Wastewater from the collection system flows into</w:t>
      </w:r>
      <w:r w:rsidR="004E3E5F">
        <w:rPr>
          <w:sz w:val="26"/>
          <w:szCs w:val="26"/>
        </w:rPr>
        <w:t xml:space="preserve"> DSC</w:t>
      </w:r>
      <w:r w:rsidR="008A16F6">
        <w:rPr>
          <w:sz w:val="26"/>
          <w:szCs w:val="26"/>
        </w:rPr>
        <w:t>’s</w:t>
      </w:r>
      <w:r w:rsidRPr="005D2C01">
        <w:rPr>
          <w:sz w:val="26"/>
          <w:szCs w:val="26"/>
        </w:rPr>
        <w:t xml:space="preserve"> wastewater treatment plant and effluent from the plant flows to a pumping station that pumps the effluent through a force main to a subsurface disposal system.  The original design and intent of the plant was for effluent to discharge to Sand Spring Run.  However, the Pennsylvania Environmental Hearing Board revoked a National Pollutant Discharge Elimination System (NPDES) permit</w:t>
      </w:r>
      <w:r>
        <w:rPr>
          <w:sz w:val="26"/>
          <w:szCs w:val="26"/>
        </w:rPr>
        <w:t xml:space="preserve"> held by DSC</w:t>
      </w:r>
      <w:r w:rsidRPr="005D2C01">
        <w:rPr>
          <w:sz w:val="26"/>
          <w:szCs w:val="26"/>
        </w:rPr>
        <w:t xml:space="preserve">.  </w:t>
      </w:r>
      <w:r w:rsidR="009B7223">
        <w:rPr>
          <w:i/>
          <w:iCs/>
          <w:sz w:val="26"/>
          <w:szCs w:val="26"/>
        </w:rPr>
        <w:t xml:space="preserve">See </w:t>
      </w:r>
      <w:r w:rsidR="009B7223">
        <w:rPr>
          <w:sz w:val="26"/>
          <w:szCs w:val="26"/>
        </w:rPr>
        <w:t>R.D. at 12.</w:t>
      </w:r>
    </w:p>
    <w:p w14:paraId="0CDD9784" w14:textId="77777777" w:rsidR="004E3E5F" w:rsidRDefault="004E3E5F" w:rsidP="00EE63A4">
      <w:pPr>
        <w:rPr>
          <w:sz w:val="26"/>
          <w:szCs w:val="26"/>
        </w:rPr>
      </w:pPr>
    </w:p>
    <w:p w14:paraId="1C558DC7" w14:textId="47D137BB" w:rsidR="00EE63A4" w:rsidRPr="005D2C01" w:rsidRDefault="00EE63A4" w:rsidP="00EE63A4">
      <w:pPr>
        <w:rPr>
          <w:sz w:val="26"/>
          <w:szCs w:val="26"/>
        </w:rPr>
      </w:pPr>
      <w:proofErr w:type="gramStart"/>
      <w:r w:rsidRPr="005D2C01">
        <w:rPr>
          <w:sz w:val="26"/>
          <w:szCs w:val="26"/>
        </w:rPr>
        <w:t>In order to</w:t>
      </w:r>
      <w:proofErr w:type="gramEnd"/>
      <w:r w:rsidRPr="005D2C01">
        <w:rPr>
          <w:sz w:val="26"/>
          <w:szCs w:val="26"/>
        </w:rPr>
        <w:t xml:space="preserve"> serve residential dwellings that were already connected to the DSC </w:t>
      </w:r>
      <w:r w:rsidR="00FB5FBC">
        <w:rPr>
          <w:sz w:val="26"/>
          <w:szCs w:val="26"/>
        </w:rPr>
        <w:t xml:space="preserve">wastewater </w:t>
      </w:r>
      <w:r w:rsidRPr="005D2C01">
        <w:rPr>
          <w:sz w:val="26"/>
          <w:szCs w:val="26"/>
        </w:rPr>
        <w:t xml:space="preserve">system, an elevated sand mound disposal system was constructed to receive the treated effluent from the plant for disposal and the stream discharge was terminated.  However, the elevated sand mound system is not fenced, has little to no vegetation cover, and has been prone to soil erosion and large deep ruts caused by off-road vehicles.  Further, the sand mound distribution piping is exposed and broken in several locations, so that the discharge from the pump station is not being conveyed to the sand mound but rather ponding on the surface at several areas around the sand mounds.  </w:t>
      </w:r>
      <w:r w:rsidRPr="005D2C01">
        <w:rPr>
          <w:i/>
          <w:iCs/>
          <w:sz w:val="26"/>
          <w:szCs w:val="26"/>
        </w:rPr>
        <w:t xml:space="preserve">See </w:t>
      </w:r>
      <w:r w:rsidRPr="005D2C01">
        <w:rPr>
          <w:sz w:val="26"/>
          <w:szCs w:val="26"/>
        </w:rPr>
        <w:t xml:space="preserve">R.D. Finding of Fact Nos. 10-13; R.D. at 11-12. </w:t>
      </w:r>
    </w:p>
    <w:p w14:paraId="03EB7356" w14:textId="0FACD062" w:rsidR="00D07057" w:rsidRPr="001B20A0" w:rsidRDefault="00D07057" w:rsidP="003C7C69">
      <w:pPr>
        <w:rPr>
          <w:sz w:val="26"/>
          <w:szCs w:val="26"/>
        </w:rPr>
      </w:pPr>
    </w:p>
    <w:p w14:paraId="0C85518B" w14:textId="257029C7" w:rsidR="001B20A0" w:rsidRDefault="001B20A0" w:rsidP="001B20A0">
      <w:pPr>
        <w:rPr>
          <w:sz w:val="26"/>
          <w:szCs w:val="26"/>
        </w:rPr>
      </w:pPr>
      <w:r w:rsidRPr="001B20A0">
        <w:rPr>
          <w:sz w:val="26"/>
          <w:szCs w:val="26"/>
        </w:rPr>
        <w:t xml:space="preserve">Finally, Delaware Township, which has the responsibility for sewage planning and enforcement </w:t>
      </w:r>
      <w:r>
        <w:rPr>
          <w:sz w:val="26"/>
          <w:szCs w:val="26"/>
        </w:rPr>
        <w:t>under an</w:t>
      </w:r>
      <w:r w:rsidRPr="001B20A0">
        <w:rPr>
          <w:sz w:val="26"/>
          <w:szCs w:val="26"/>
        </w:rPr>
        <w:t xml:space="preserve"> Act 537 plan</w:t>
      </w:r>
      <w:r w:rsidR="003478FC">
        <w:rPr>
          <w:rStyle w:val="FootnoteReference"/>
          <w:sz w:val="26"/>
          <w:szCs w:val="26"/>
        </w:rPr>
        <w:footnoteReference w:id="2"/>
      </w:r>
      <w:r>
        <w:rPr>
          <w:sz w:val="26"/>
          <w:szCs w:val="26"/>
        </w:rPr>
        <w:t>,</w:t>
      </w:r>
      <w:r w:rsidRPr="001B20A0">
        <w:rPr>
          <w:sz w:val="26"/>
          <w:szCs w:val="26"/>
        </w:rPr>
        <w:t xml:space="preserve"> imposed a moratorium on DSC</w:t>
      </w:r>
      <w:r>
        <w:rPr>
          <w:sz w:val="26"/>
          <w:szCs w:val="26"/>
        </w:rPr>
        <w:t xml:space="preserve"> and</w:t>
      </w:r>
      <w:r w:rsidRPr="001B20A0">
        <w:rPr>
          <w:sz w:val="26"/>
          <w:szCs w:val="26"/>
        </w:rPr>
        <w:t xml:space="preserve"> revoked planning approval for Sections 19</w:t>
      </w:r>
      <w:r>
        <w:rPr>
          <w:sz w:val="26"/>
          <w:szCs w:val="26"/>
        </w:rPr>
        <w:t>-</w:t>
      </w:r>
      <w:r w:rsidRPr="001B20A0">
        <w:rPr>
          <w:sz w:val="26"/>
          <w:szCs w:val="26"/>
        </w:rPr>
        <w:t xml:space="preserve">22 of the Development, </w:t>
      </w:r>
      <w:r>
        <w:rPr>
          <w:sz w:val="26"/>
          <w:szCs w:val="26"/>
        </w:rPr>
        <w:t xml:space="preserve">thereby </w:t>
      </w:r>
      <w:r w:rsidRPr="001B20A0">
        <w:rPr>
          <w:sz w:val="26"/>
          <w:szCs w:val="26"/>
        </w:rPr>
        <w:t xml:space="preserve">halting new construction. </w:t>
      </w:r>
      <w:r>
        <w:rPr>
          <w:sz w:val="26"/>
          <w:szCs w:val="26"/>
        </w:rPr>
        <w:t xml:space="preserve"> R.D. at 1</w:t>
      </w:r>
      <w:r w:rsidR="00562492">
        <w:rPr>
          <w:sz w:val="26"/>
          <w:szCs w:val="26"/>
        </w:rPr>
        <w:t>3</w:t>
      </w:r>
      <w:r>
        <w:rPr>
          <w:sz w:val="26"/>
          <w:szCs w:val="26"/>
        </w:rPr>
        <w:t xml:space="preserve">, citing </w:t>
      </w:r>
      <w:r w:rsidRPr="001B20A0">
        <w:rPr>
          <w:sz w:val="26"/>
          <w:szCs w:val="26"/>
        </w:rPr>
        <w:t>PAWC Stmt. No. 1, p. 6.</w:t>
      </w:r>
    </w:p>
    <w:p w14:paraId="0BD986C2" w14:textId="77777777" w:rsidR="001B20A0" w:rsidRPr="001B20A0" w:rsidRDefault="001B20A0" w:rsidP="001B20A0">
      <w:pPr>
        <w:rPr>
          <w:sz w:val="26"/>
          <w:szCs w:val="26"/>
        </w:rPr>
      </w:pPr>
    </w:p>
    <w:p w14:paraId="0ED63676" w14:textId="77777777" w:rsidR="004D78B4" w:rsidRDefault="00030C45" w:rsidP="00143357">
      <w:pPr>
        <w:rPr>
          <w:sz w:val="26"/>
          <w:szCs w:val="26"/>
        </w:rPr>
      </w:pPr>
      <w:r>
        <w:rPr>
          <w:sz w:val="26"/>
          <w:szCs w:val="26"/>
        </w:rPr>
        <w:t>Based on the foregoing, DSC is a troubled sewer company</w:t>
      </w:r>
      <w:r w:rsidR="001B20A0">
        <w:rPr>
          <w:sz w:val="26"/>
          <w:szCs w:val="26"/>
        </w:rPr>
        <w:t xml:space="preserve">, and a “small” sewer company </w:t>
      </w:r>
      <w:r w:rsidR="00684BE7">
        <w:rPr>
          <w:sz w:val="26"/>
          <w:szCs w:val="26"/>
        </w:rPr>
        <w:t xml:space="preserve">under </w:t>
      </w:r>
      <w:r>
        <w:rPr>
          <w:sz w:val="26"/>
          <w:szCs w:val="26"/>
        </w:rPr>
        <w:t>Section 529</w:t>
      </w:r>
      <w:r w:rsidR="00636A7C">
        <w:rPr>
          <w:sz w:val="26"/>
          <w:szCs w:val="26"/>
        </w:rPr>
        <w:t>(m)</w:t>
      </w:r>
      <w:r>
        <w:rPr>
          <w:sz w:val="26"/>
          <w:szCs w:val="26"/>
        </w:rPr>
        <w:t xml:space="preserve"> of the Code</w:t>
      </w:r>
      <w:r w:rsidR="004D78B4">
        <w:rPr>
          <w:sz w:val="26"/>
          <w:szCs w:val="26"/>
        </w:rPr>
        <w:t xml:space="preserve">.  </w:t>
      </w:r>
      <w:r w:rsidR="004D78B4">
        <w:rPr>
          <w:i/>
          <w:iCs/>
          <w:sz w:val="26"/>
          <w:szCs w:val="26"/>
        </w:rPr>
        <w:t xml:space="preserve">See </w:t>
      </w:r>
      <w:r w:rsidR="004D78B4">
        <w:rPr>
          <w:sz w:val="26"/>
          <w:szCs w:val="26"/>
        </w:rPr>
        <w:t>R.D. at 25.</w:t>
      </w:r>
    </w:p>
    <w:p w14:paraId="2B09C68C" w14:textId="77777777" w:rsidR="00030C45" w:rsidRDefault="00030C45" w:rsidP="00E44072">
      <w:pPr>
        <w:spacing w:line="240" w:lineRule="auto"/>
        <w:rPr>
          <w:sz w:val="26"/>
          <w:szCs w:val="26"/>
        </w:rPr>
      </w:pPr>
    </w:p>
    <w:p w14:paraId="6BCD69E5" w14:textId="1490BCD0" w:rsidR="00BE3B94" w:rsidRDefault="00E61C9C" w:rsidP="00E44072">
      <w:pPr>
        <w:rPr>
          <w:bCs/>
          <w:sz w:val="26"/>
          <w:szCs w:val="26"/>
        </w:rPr>
      </w:pPr>
      <w:r>
        <w:rPr>
          <w:bCs/>
          <w:sz w:val="26"/>
          <w:szCs w:val="26"/>
        </w:rPr>
        <w:t>Th</w:t>
      </w:r>
      <w:r w:rsidR="001241C5">
        <w:rPr>
          <w:bCs/>
          <w:sz w:val="26"/>
          <w:szCs w:val="26"/>
        </w:rPr>
        <w:t>e</w:t>
      </w:r>
      <w:r>
        <w:rPr>
          <w:bCs/>
          <w:sz w:val="26"/>
          <w:szCs w:val="26"/>
        </w:rPr>
        <w:t xml:space="preserve"> proceeding </w:t>
      </w:r>
      <w:r w:rsidR="001241C5">
        <w:rPr>
          <w:bCs/>
          <w:sz w:val="26"/>
          <w:szCs w:val="26"/>
        </w:rPr>
        <w:t xml:space="preserve">at Docket No. </w:t>
      </w:r>
      <w:r w:rsidR="001241C5" w:rsidRPr="00F41401">
        <w:rPr>
          <w:bCs/>
          <w:sz w:val="26"/>
          <w:szCs w:val="26"/>
        </w:rPr>
        <w:t>I-2016-2526085</w:t>
      </w:r>
      <w:r w:rsidR="001241C5">
        <w:rPr>
          <w:bCs/>
          <w:sz w:val="26"/>
          <w:szCs w:val="26"/>
        </w:rPr>
        <w:t xml:space="preserve"> </w:t>
      </w:r>
      <w:r>
        <w:rPr>
          <w:bCs/>
          <w:sz w:val="26"/>
          <w:szCs w:val="26"/>
        </w:rPr>
        <w:t xml:space="preserve">commenced </w:t>
      </w:r>
      <w:r w:rsidR="00D07057">
        <w:rPr>
          <w:bCs/>
          <w:sz w:val="26"/>
          <w:szCs w:val="26"/>
        </w:rPr>
        <w:t>on</w:t>
      </w:r>
      <w:r w:rsidR="002B72DD">
        <w:rPr>
          <w:bCs/>
          <w:sz w:val="26"/>
          <w:szCs w:val="26"/>
        </w:rPr>
        <w:t xml:space="preserve"> F</w:t>
      </w:r>
      <w:r w:rsidR="00D07057">
        <w:rPr>
          <w:bCs/>
          <w:sz w:val="26"/>
          <w:szCs w:val="26"/>
        </w:rPr>
        <w:t>ebruary</w:t>
      </w:r>
      <w:r w:rsidR="001736CC">
        <w:rPr>
          <w:bCs/>
          <w:sz w:val="26"/>
          <w:szCs w:val="26"/>
        </w:rPr>
        <w:t> </w:t>
      </w:r>
      <w:r w:rsidR="00D07057">
        <w:rPr>
          <w:bCs/>
          <w:sz w:val="26"/>
          <w:szCs w:val="26"/>
        </w:rPr>
        <w:t>6,</w:t>
      </w:r>
      <w:r w:rsidR="001736CC">
        <w:rPr>
          <w:bCs/>
          <w:sz w:val="26"/>
          <w:szCs w:val="26"/>
        </w:rPr>
        <w:t> </w:t>
      </w:r>
      <w:r w:rsidR="00D07057">
        <w:rPr>
          <w:bCs/>
          <w:sz w:val="26"/>
          <w:szCs w:val="26"/>
        </w:rPr>
        <w:t xml:space="preserve">2014, </w:t>
      </w:r>
      <w:r>
        <w:rPr>
          <w:bCs/>
          <w:sz w:val="26"/>
          <w:szCs w:val="26"/>
        </w:rPr>
        <w:t>with DSC filing a petition seeking an investigation pursuant to Section</w:t>
      </w:r>
      <w:r w:rsidR="00E44072">
        <w:rPr>
          <w:bCs/>
          <w:sz w:val="26"/>
          <w:szCs w:val="26"/>
        </w:rPr>
        <w:t> </w:t>
      </w:r>
      <w:r>
        <w:rPr>
          <w:bCs/>
          <w:sz w:val="26"/>
          <w:szCs w:val="26"/>
        </w:rPr>
        <w:t>529 of the Code</w:t>
      </w:r>
      <w:r w:rsidR="00D07057">
        <w:rPr>
          <w:bCs/>
          <w:sz w:val="26"/>
          <w:szCs w:val="26"/>
        </w:rPr>
        <w:t xml:space="preserve"> with the objective of requiring a capable</w:t>
      </w:r>
      <w:r w:rsidR="007B0BD7">
        <w:rPr>
          <w:bCs/>
          <w:sz w:val="26"/>
          <w:szCs w:val="26"/>
        </w:rPr>
        <w:t xml:space="preserve"> public</w:t>
      </w:r>
      <w:r w:rsidR="00D07057">
        <w:rPr>
          <w:bCs/>
          <w:sz w:val="26"/>
          <w:szCs w:val="26"/>
        </w:rPr>
        <w:t xml:space="preserve"> utility to acquire the DSC wastewater system</w:t>
      </w:r>
      <w:r>
        <w:rPr>
          <w:bCs/>
          <w:sz w:val="26"/>
          <w:szCs w:val="26"/>
        </w:rPr>
        <w:t>.</w:t>
      </w:r>
      <w:r w:rsidR="00D07057">
        <w:rPr>
          <w:bCs/>
          <w:sz w:val="26"/>
          <w:szCs w:val="26"/>
        </w:rPr>
        <w:t xml:space="preserve">  Petition at </w:t>
      </w:r>
      <w:r w:rsidR="00E44072">
        <w:rPr>
          <w:bCs/>
          <w:sz w:val="26"/>
          <w:szCs w:val="26"/>
        </w:rPr>
        <w:t>¶</w:t>
      </w:r>
      <w:r w:rsidR="00D07057">
        <w:rPr>
          <w:bCs/>
          <w:sz w:val="26"/>
          <w:szCs w:val="26"/>
        </w:rPr>
        <w:t xml:space="preserve"> 3.</w:t>
      </w:r>
      <w:r w:rsidR="008A16F6">
        <w:rPr>
          <w:bCs/>
          <w:sz w:val="26"/>
          <w:szCs w:val="26"/>
        </w:rPr>
        <w:t xml:space="preserve">  By Order entered January 28, 2016</w:t>
      </w:r>
      <w:r w:rsidR="00755849">
        <w:rPr>
          <w:bCs/>
          <w:sz w:val="26"/>
          <w:szCs w:val="26"/>
        </w:rPr>
        <w:t xml:space="preserve"> </w:t>
      </w:r>
      <w:r w:rsidR="00755849" w:rsidRPr="009B6F31">
        <w:rPr>
          <w:bCs/>
          <w:i/>
          <w:iCs/>
          <w:sz w:val="26"/>
          <w:szCs w:val="26"/>
        </w:rPr>
        <w:t>(</w:t>
      </w:r>
      <w:r w:rsidR="00755849" w:rsidRPr="00E612DB">
        <w:rPr>
          <w:i/>
          <w:iCs/>
          <w:sz w:val="26"/>
          <w:szCs w:val="26"/>
        </w:rPr>
        <w:t>January 28</w:t>
      </w:r>
      <w:r w:rsidR="00755849" w:rsidRPr="00E612DB">
        <w:rPr>
          <w:i/>
          <w:iCs/>
          <w:sz w:val="26"/>
          <w:szCs w:val="26"/>
          <w:vertAlign w:val="superscript"/>
        </w:rPr>
        <w:t>th</w:t>
      </w:r>
      <w:r w:rsidR="00755849" w:rsidRPr="00E612DB">
        <w:rPr>
          <w:i/>
          <w:iCs/>
          <w:sz w:val="26"/>
          <w:szCs w:val="26"/>
        </w:rPr>
        <w:t xml:space="preserve"> Order</w:t>
      </w:r>
      <w:r w:rsidR="00755849">
        <w:rPr>
          <w:i/>
          <w:iCs/>
          <w:sz w:val="26"/>
          <w:szCs w:val="26"/>
        </w:rPr>
        <w:t>)</w:t>
      </w:r>
      <w:r w:rsidR="008A16F6">
        <w:rPr>
          <w:bCs/>
          <w:sz w:val="26"/>
          <w:szCs w:val="26"/>
        </w:rPr>
        <w:t>,</w:t>
      </w:r>
      <w:r w:rsidR="00BE3B94">
        <w:rPr>
          <w:rStyle w:val="FootnoteReference"/>
          <w:bCs/>
          <w:sz w:val="26"/>
          <w:szCs w:val="26"/>
        </w:rPr>
        <w:footnoteReference w:id="3"/>
      </w:r>
      <w:r w:rsidR="00BE3B94">
        <w:rPr>
          <w:bCs/>
          <w:sz w:val="26"/>
          <w:szCs w:val="26"/>
        </w:rPr>
        <w:t xml:space="preserve"> </w:t>
      </w:r>
      <w:r w:rsidR="008A16F6">
        <w:rPr>
          <w:bCs/>
          <w:sz w:val="26"/>
          <w:szCs w:val="26"/>
        </w:rPr>
        <w:t>the Commission instituted an investigation pursuant to Section</w:t>
      </w:r>
      <w:r w:rsidR="001A74DD">
        <w:rPr>
          <w:bCs/>
          <w:sz w:val="26"/>
          <w:szCs w:val="26"/>
        </w:rPr>
        <w:t> </w:t>
      </w:r>
      <w:r w:rsidR="008A16F6">
        <w:rPr>
          <w:bCs/>
          <w:sz w:val="26"/>
          <w:szCs w:val="26"/>
        </w:rPr>
        <w:t xml:space="preserve">529.  Petition at </w:t>
      </w:r>
      <w:r w:rsidR="00E44072">
        <w:rPr>
          <w:bCs/>
          <w:sz w:val="26"/>
          <w:szCs w:val="26"/>
        </w:rPr>
        <w:t>¶</w:t>
      </w:r>
      <w:r w:rsidR="008A16F6">
        <w:rPr>
          <w:bCs/>
          <w:sz w:val="26"/>
          <w:szCs w:val="26"/>
        </w:rPr>
        <w:t xml:space="preserve"> 2.  </w:t>
      </w:r>
    </w:p>
    <w:p w14:paraId="21FC7F94" w14:textId="77777777" w:rsidR="00BE3B94" w:rsidRPr="00BE3B94" w:rsidRDefault="00BE3B94" w:rsidP="001241C5">
      <w:pPr>
        <w:ind w:firstLine="0"/>
        <w:rPr>
          <w:bCs/>
          <w:sz w:val="26"/>
          <w:szCs w:val="26"/>
        </w:rPr>
      </w:pPr>
    </w:p>
    <w:p w14:paraId="5B3F6860" w14:textId="38DAD4EF" w:rsidR="00ED6525" w:rsidRPr="00BB5111" w:rsidRDefault="00ED6525" w:rsidP="00ED6525">
      <w:pPr>
        <w:rPr>
          <w:sz w:val="26"/>
          <w:szCs w:val="26"/>
        </w:rPr>
      </w:pPr>
      <w:r w:rsidRPr="00BB5111">
        <w:rPr>
          <w:sz w:val="26"/>
          <w:szCs w:val="26"/>
        </w:rPr>
        <w:t>PAWC is a regulated public utility corporation duly organized and existing under the laws of the Commonwealth of Pennsylvania that is engaged in the business of collecting, treating, storing, supplying, distributing and selling water to the public, and collecting, treating, transporting and disposing of wastewater for the public.  Water and wastewater service is furnished by PAWC to the public in a service territory encompassing more than 400 communities across Pennsylvania, with a combined population of over 2,300,000.  R.D. Finding of Fact No. 2.</w:t>
      </w:r>
      <w:r>
        <w:rPr>
          <w:sz w:val="26"/>
          <w:szCs w:val="26"/>
        </w:rPr>
        <w:t xml:space="preserve">  PAWC is a capable </w:t>
      </w:r>
      <w:r w:rsidR="007B0BD7">
        <w:rPr>
          <w:sz w:val="26"/>
          <w:szCs w:val="26"/>
        </w:rPr>
        <w:t xml:space="preserve">public </w:t>
      </w:r>
      <w:r>
        <w:rPr>
          <w:sz w:val="26"/>
          <w:szCs w:val="26"/>
        </w:rPr>
        <w:t>utility pursuant to Section 529</w:t>
      </w:r>
      <w:r w:rsidR="00636A7C">
        <w:rPr>
          <w:sz w:val="26"/>
          <w:szCs w:val="26"/>
        </w:rPr>
        <w:t>(a)</w:t>
      </w:r>
      <w:r w:rsidR="00D336F0">
        <w:rPr>
          <w:sz w:val="26"/>
          <w:szCs w:val="26"/>
        </w:rPr>
        <w:t xml:space="preserve"> </w:t>
      </w:r>
      <w:r w:rsidR="00C23E88">
        <w:rPr>
          <w:sz w:val="26"/>
          <w:szCs w:val="26"/>
        </w:rPr>
        <w:t xml:space="preserve">and </w:t>
      </w:r>
      <w:r w:rsidR="00636A7C">
        <w:rPr>
          <w:sz w:val="26"/>
          <w:szCs w:val="26"/>
        </w:rPr>
        <w:t>(m)</w:t>
      </w:r>
      <w:r>
        <w:rPr>
          <w:sz w:val="26"/>
          <w:szCs w:val="26"/>
        </w:rPr>
        <w:t xml:space="preserve"> of the Code.</w:t>
      </w:r>
      <w:r w:rsidR="003E7E0C">
        <w:rPr>
          <w:sz w:val="26"/>
          <w:szCs w:val="26"/>
        </w:rPr>
        <w:t xml:space="preserve">  </w:t>
      </w:r>
    </w:p>
    <w:p w14:paraId="55B9E8BC" w14:textId="52D99D40" w:rsidR="00ED6525" w:rsidRDefault="00ED6525" w:rsidP="00432C58">
      <w:pPr>
        <w:rPr>
          <w:sz w:val="26"/>
          <w:szCs w:val="26"/>
        </w:rPr>
      </w:pPr>
    </w:p>
    <w:p w14:paraId="1150B95C" w14:textId="7AC8E722" w:rsidR="00070BEF" w:rsidRPr="00BB5111" w:rsidRDefault="00432C58" w:rsidP="00070BEF">
      <w:pPr>
        <w:rPr>
          <w:sz w:val="26"/>
          <w:szCs w:val="26"/>
        </w:rPr>
      </w:pPr>
      <w:r w:rsidRPr="00E612DB">
        <w:rPr>
          <w:sz w:val="26"/>
          <w:szCs w:val="26"/>
        </w:rPr>
        <w:t>By Secretarial Letter dated June 7, 2017, PAWC was notified that</w:t>
      </w:r>
      <w:r w:rsidR="00610264">
        <w:rPr>
          <w:sz w:val="26"/>
          <w:szCs w:val="26"/>
        </w:rPr>
        <w:t xml:space="preserve"> the Commission’s</w:t>
      </w:r>
      <w:r w:rsidRPr="00E612DB">
        <w:rPr>
          <w:sz w:val="26"/>
          <w:szCs w:val="26"/>
        </w:rPr>
        <w:t xml:space="preserve"> I&amp;E had</w:t>
      </w:r>
      <w:r>
        <w:rPr>
          <w:sz w:val="26"/>
          <w:szCs w:val="26"/>
        </w:rPr>
        <w:t xml:space="preserve"> </w:t>
      </w:r>
      <w:r w:rsidRPr="00A04C1C">
        <w:rPr>
          <w:sz w:val="26"/>
          <w:szCs w:val="26"/>
        </w:rPr>
        <w:t>identified it as a proximate public utility providing the same type of service as DSC</w:t>
      </w:r>
      <w:r w:rsidRPr="00E35D87">
        <w:rPr>
          <w:sz w:val="26"/>
          <w:szCs w:val="26"/>
        </w:rPr>
        <w:t xml:space="preserve"> pursuant to Section 529(h) of the Code</w:t>
      </w:r>
      <w:r w:rsidRPr="00E612DB">
        <w:rPr>
          <w:sz w:val="26"/>
          <w:szCs w:val="26"/>
        </w:rPr>
        <w:t xml:space="preserve">.  The Secretarial Letter established a deadline for filing a petition to intervene or other responsive pleading to which PAWC responded.  </w:t>
      </w:r>
      <w:r w:rsidRPr="00E612DB">
        <w:rPr>
          <w:i/>
          <w:iCs/>
          <w:sz w:val="26"/>
          <w:szCs w:val="26"/>
        </w:rPr>
        <w:t xml:space="preserve">See </w:t>
      </w:r>
      <w:r w:rsidRPr="00E612DB">
        <w:rPr>
          <w:sz w:val="26"/>
          <w:szCs w:val="26"/>
        </w:rPr>
        <w:t xml:space="preserve">Joint Petition, </w:t>
      </w:r>
      <w:r w:rsidRPr="00E612DB">
        <w:rPr>
          <w:i/>
          <w:iCs/>
          <w:sz w:val="26"/>
          <w:szCs w:val="26"/>
        </w:rPr>
        <w:t>infra</w:t>
      </w:r>
      <w:r w:rsidRPr="00E612DB">
        <w:rPr>
          <w:sz w:val="26"/>
          <w:szCs w:val="26"/>
        </w:rPr>
        <w:t xml:space="preserve">, at </w:t>
      </w:r>
      <w:r>
        <w:rPr>
          <w:sz w:val="26"/>
          <w:szCs w:val="26"/>
        </w:rPr>
        <w:t>¶</w:t>
      </w:r>
      <w:r w:rsidRPr="00E612DB">
        <w:rPr>
          <w:sz w:val="26"/>
          <w:szCs w:val="26"/>
        </w:rPr>
        <w:t xml:space="preserve"> 3. </w:t>
      </w:r>
      <w:r w:rsidR="00070BEF">
        <w:rPr>
          <w:sz w:val="26"/>
          <w:szCs w:val="26"/>
        </w:rPr>
        <w:t xml:space="preserve"> P</w:t>
      </w:r>
      <w:r w:rsidR="00070BEF" w:rsidRPr="006E1D55">
        <w:rPr>
          <w:sz w:val="26"/>
          <w:szCs w:val="26"/>
        </w:rPr>
        <w:t xml:space="preserve">AWC </w:t>
      </w:r>
      <w:r w:rsidR="00070BEF">
        <w:rPr>
          <w:sz w:val="26"/>
          <w:szCs w:val="26"/>
        </w:rPr>
        <w:t xml:space="preserve">intervened in the investigation and fully participated in the proceedings.  </w:t>
      </w:r>
    </w:p>
    <w:p w14:paraId="2EAE37DA" w14:textId="77777777" w:rsidR="00432C58" w:rsidRDefault="00432C58" w:rsidP="00432C58">
      <w:pPr>
        <w:rPr>
          <w:sz w:val="26"/>
          <w:szCs w:val="26"/>
        </w:rPr>
      </w:pPr>
    </w:p>
    <w:p w14:paraId="269353BD" w14:textId="4A97DEC7" w:rsidR="00390AD6" w:rsidRDefault="00056423" w:rsidP="00056423">
      <w:pPr>
        <w:rPr>
          <w:sz w:val="26"/>
          <w:szCs w:val="26"/>
        </w:rPr>
      </w:pPr>
      <w:r>
        <w:rPr>
          <w:sz w:val="26"/>
          <w:szCs w:val="26"/>
        </w:rPr>
        <w:t xml:space="preserve">The matter was </w:t>
      </w:r>
      <w:r w:rsidR="00E61C9C">
        <w:rPr>
          <w:sz w:val="26"/>
          <w:szCs w:val="26"/>
        </w:rPr>
        <w:t xml:space="preserve">assigned to the Office of Administrative Law Judge (OALJ) for proceedings consistent with Section 529 and Commission Regulations, </w:t>
      </w:r>
      <w:r w:rsidR="0037533D">
        <w:rPr>
          <w:sz w:val="26"/>
          <w:szCs w:val="26"/>
        </w:rPr>
        <w:t>and</w:t>
      </w:r>
      <w:r w:rsidR="00E61C9C">
        <w:rPr>
          <w:sz w:val="26"/>
          <w:szCs w:val="26"/>
        </w:rPr>
        <w:t xml:space="preserve"> the issuance of a Recommended Decision.  </w:t>
      </w:r>
      <w:r w:rsidR="00D07057">
        <w:rPr>
          <w:sz w:val="26"/>
          <w:szCs w:val="26"/>
        </w:rPr>
        <w:t xml:space="preserve">PAWC, I&amp;E, the OCA, and Aqua, were participants </w:t>
      </w:r>
      <w:r w:rsidR="00142EAA">
        <w:rPr>
          <w:sz w:val="26"/>
          <w:szCs w:val="26"/>
        </w:rPr>
        <w:t xml:space="preserve">in </w:t>
      </w:r>
      <w:r w:rsidR="00BB4043">
        <w:rPr>
          <w:sz w:val="26"/>
          <w:szCs w:val="26"/>
        </w:rPr>
        <w:t>the investigation</w:t>
      </w:r>
      <w:r w:rsidR="00D07057">
        <w:rPr>
          <w:sz w:val="26"/>
          <w:szCs w:val="26"/>
        </w:rPr>
        <w:t xml:space="preserve">.  </w:t>
      </w:r>
    </w:p>
    <w:p w14:paraId="1C407263" w14:textId="77777777" w:rsidR="00390AD6" w:rsidRDefault="00390AD6" w:rsidP="00056423">
      <w:pPr>
        <w:rPr>
          <w:sz w:val="26"/>
          <w:szCs w:val="26"/>
        </w:rPr>
      </w:pPr>
    </w:p>
    <w:p w14:paraId="5AC82CF0" w14:textId="4903B7D4" w:rsidR="00F03B0E" w:rsidRDefault="007E1446" w:rsidP="00F03B0E">
      <w:pPr>
        <w:rPr>
          <w:sz w:val="26"/>
          <w:szCs w:val="26"/>
        </w:rPr>
      </w:pPr>
      <w:r>
        <w:rPr>
          <w:sz w:val="26"/>
          <w:szCs w:val="26"/>
        </w:rPr>
        <w:t>After contested proceedings, presided over by Administrative Law Judge (ALJ) Steven K. Haas, the Parties agreed to a comprehensive Settlement to resolve all outstanding</w:t>
      </w:r>
      <w:r w:rsidR="004E30E2">
        <w:rPr>
          <w:sz w:val="26"/>
          <w:szCs w:val="26"/>
        </w:rPr>
        <w:t xml:space="preserve"> issues.</w:t>
      </w:r>
      <w:r>
        <w:rPr>
          <w:sz w:val="26"/>
          <w:szCs w:val="26"/>
        </w:rPr>
        <w:t xml:space="preserve"> </w:t>
      </w:r>
      <w:r w:rsidR="004E30E2">
        <w:rPr>
          <w:sz w:val="26"/>
          <w:szCs w:val="26"/>
        </w:rPr>
        <w:t xml:space="preserve"> </w:t>
      </w:r>
      <w:r w:rsidR="002032C8">
        <w:rPr>
          <w:sz w:val="26"/>
          <w:szCs w:val="26"/>
        </w:rPr>
        <w:t>A</w:t>
      </w:r>
      <w:r w:rsidR="00390AD6" w:rsidRPr="00E612DB">
        <w:rPr>
          <w:sz w:val="26"/>
          <w:szCs w:val="26"/>
        </w:rPr>
        <w:t xml:space="preserve"> R</w:t>
      </w:r>
      <w:r w:rsidR="007C15F9">
        <w:rPr>
          <w:sz w:val="26"/>
          <w:szCs w:val="26"/>
        </w:rPr>
        <w:t>ecommended</w:t>
      </w:r>
      <w:r w:rsidR="007A2961">
        <w:rPr>
          <w:sz w:val="26"/>
          <w:szCs w:val="26"/>
        </w:rPr>
        <w:t xml:space="preserve"> </w:t>
      </w:r>
      <w:r w:rsidR="00390AD6" w:rsidRPr="00E612DB">
        <w:rPr>
          <w:sz w:val="26"/>
          <w:szCs w:val="26"/>
        </w:rPr>
        <w:t>D</w:t>
      </w:r>
      <w:r w:rsidR="007C15F9">
        <w:rPr>
          <w:sz w:val="26"/>
          <w:szCs w:val="26"/>
        </w:rPr>
        <w:t>ecision</w:t>
      </w:r>
      <w:r w:rsidR="005F6529">
        <w:rPr>
          <w:sz w:val="26"/>
          <w:szCs w:val="26"/>
        </w:rPr>
        <w:t xml:space="preserve"> (R.D.)</w:t>
      </w:r>
      <w:r w:rsidR="007A2961">
        <w:rPr>
          <w:sz w:val="26"/>
          <w:szCs w:val="26"/>
        </w:rPr>
        <w:t>,</w:t>
      </w:r>
      <w:r w:rsidR="00390AD6" w:rsidRPr="00E612DB">
        <w:rPr>
          <w:sz w:val="26"/>
          <w:szCs w:val="26"/>
        </w:rPr>
        <w:t xml:space="preserve"> recommending approval of the Joint Petition for Settlement was issued March 20, 2019.</w:t>
      </w:r>
      <w:r w:rsidR="00140240">
        <w:rPr>
          <w:sz w:val="26"/>
          <w:szCs w:val="26"/>
        </w:rPr>
        <w:t xml:space="preserve">  Pursuant to the Settlement, the Parties agreed that </w:t>
      </w:r>
      <w:r w:rsidR="00140240" w:rsidRPr="00BB5111">
        <w:rPr>
          <w:sz w:val="26"/>
          <w:szCs w:val="26"/>
        </w:rPr>
        <w:t>DSC met the six criteria of the law identified in Section 529(a)(1)-(6)</w:t>
      </w:r>
      <w:r w:rsidR="00140240">
        <w:rPr>
          <w:sz w:val="26"/>
          <w:szCs w:val="26"/>
        </w:rPr>
        <w:t xml:space="preserve"> of the Code</w:t>
      </w:r>
      <w:r w:rsidR="00140240" w:rsidRPr="00BB5111">
        <w:rPr>
          <w:sz w:val="26"/>
          <w:szCs w:val="26"/>
        </w:rPr>
        <w:t xml:space="preserve"> for acquisition by PAWC.</w:t>
      </w:r>
      <w:r w:rsidR="00140240">
        <w:rPr>
          <w:sz w:val="26"/>
          <w:szCs w:val="26"/>
        </w:rPr>
        <w:t xml:space="preserve">  66 Pa. C.S. § 529(a)(1)-(6).</w:t>
      </w:r>
      <w:r w:rsidR="00140240" w:rsidRPr="00BB5111">
        <w:rPr>
          <w:sz w:val="26"/>
          <w:szCs w:val="26"/>
        </w:rPr>
        <w:t xml:space="preserve">  The Parties to the Settlement established that DSC was not </w:t>
      </w:r>
      <w:r w:rsidR="00140240">
        <w:rPr>
          <w:sz w:val="26"/>
          <w:szCs w:val="26"/>
        </w:rPr>
        <w:t>fi</w:t>
      </w:r>
      <w:r w:rsidR="00140240" w:rsidRPr="00BB5111">
        <w:rPr>
          <w:sz w:val="26"/>
          <w:szCs w:val="26"/>
        </w:rPr>
        <w:t>nancially viable.</w:t>
      </w:r>
      <w:r w:rsidR="00584355">
        <w:rPr>
          <w:sz w:val="26"/>
          <w:szCs w:val="26"/>
        </w:rPr>
        <w:t xml:space="preserve">  </w:t>
      </w:r>
      <w:r w:rsidR="00F03B0E">
        <w:rPr>
          <w:sz w:val="26"/>
          <w:szCs w:val="26"/>
        </w:rPr>
        <w:t>The essential terms of the resolution of the proceeding as contained in the Settlement are summarized, below:</w:t>
      </w:r>
    </w:p>
    <w:p w14:paraId="371435ED" w14:textId="77777777" w:rsidR="00140240" w:rsidRDefault="00140240" w:rsidP="00140240">
      <w:pPr>
        <w:spacing w:line="240" w:lineRule="auto"/>
        <w:ind w:left="1440" w:right="1440"/>
        <w:rPr>
          <w:sz w:val="26"/>
          <w:szCs w:val="26"/>
        </w:rPr>
      </w:pPr>
      <w:r>
        <w:rPr>
          <w:sz w:val="26"/>
          <w:szCs w:val="26"/>
        </w:rPr>
        <w:t>a.</w:t>
      </w:r>
      <w:r>
        <w:rPr>
          <w:sz w:val="26"/>
          <w:szCs w:val="26"/>
        </w:rPr>
        <w:tab/>
        <w:t>The Transaction</w:t>
      </w:r>
      <w:r>
        <w:rPr>
          <w:sz w:val="26"/>
          <w:szCs w:val="26"/>
        </w:rPr>
        <w:tab/>
      </w:r>
    </w:p>
    <w:p w14:paraId="1D659F3D" w14:textId="77777777" w:rsidR="00140240" w:rsidRDefault="00140240" w:rsidP="00140240">
      <w:pPr>
        <w:spacing w:line="240" w:lineRule="auto"/>
        <w:ind w:left="1440" w:right="1440"/>
        <w:rPr>
          <w:sz w:val="26"/>
          <w:szCs w:val="26"/>
        </w:rPr>
      </w:pPr>
    </w:p>
    <w:p w14:paraId="5E9AAE57" w14:textId="77777777" w:rsidR="00140240" w:rsidRDefault="00140240" w:rsidP="00140240">
      <w:pPr>
        <w:spacing w:line="240" w:lineRule="auto"/>
        <w:ind w:left="1440" w:right="1440" w:firstLine="0"/>
        <w:rPr>
          <w:sz w:val="26"/>
          <w:szCs w:val="26"/>
        </w:rPr>
      </w:pPr>
      <w:r w:rsidRPr="008439A4">
        <w:rPr>
          <w:sz w:val="26"/>
          <w:szCs w:val="26"/>
        </w:rPr>
        <w:t>Under the settlement, PAWC will purchase, pursuant to an Asset Purchase Agreement (APA), substantially all of the wastewater system assets of DSC for a purchase price of $61,700.00.</w:t>
      </w:r>
      <w:r w:rsidRPr="00F4004A">
        <w:rPr>
          <w:sz w:val="26"/>
          <w:szCs w:val="26"/>
          <w:vertAlign w:val="superscript"/>
        </w:rPr>
        <w:t>5</w:t>
      </w:r>
      <w:r w:rsidRPr="008439A4">
        <w:rPr>
          <w:sz w:val="26"/>
          <w:szCs w:val="26"/>
        </w:rPr>
        <w:t xml:space="preserve"> </w:t>
      </w:r>
      <w:r>
        <w:rPr>
          <w:sz w:val="26"/>
          <w:szCs w:val="26"/>
        </w:rPr>
        <w:t xml:space="preserve"> </w:t>
      </w:r>
      <w:r w:rsidRPr="008439A4">
        <w:rPr>
          <w:sz w:val="26"/>
          <w:szCs w:val="26"/>
        </w:rPr>
        <w:t xml:space="preserve">In addition, PAWC has executed a Land Transfer Agreement (LTA) with Forest City Partnership (Forest City) for the purchase of approximately 140 acres of land that will ultimately be used and useful in the provision of wastewater service to the public throughout the entirety of DSC’s existing certificated service territory. The LTA provides for a purchase price of $420,000.00. </w:t>
      </w:r>
      <w:r>
        <w:rPr>
          <w:sz w:val="26"/>
          <w:szCs w:val="26"/>
        </w:rPr>
        <w:t xml:space="preserve"> </w:t>
      </w:r>
      <w:r w:rsidRPr="008439A4">
        <w:rPr>
          <w:sz w:val="26"/>
          <w:szCs w:val="26"/>
        </w:rPr>
        <w:t>As part of the purchases under the APA and the LTA, the Joint Petitioners request Commission determinations that (1) the purchase prices are reasonable, and (2) because PAWC’s acquisition of DSC is the result of a Section 529 investigation, a depreciated original cost study is not required for the assets acquired from DCS and Forest City, because the purchase prices are reasonable.</w:t>
      </w:r>
    </w:p>
    <w:p w14:paraId="6F1F2EDF" w14:textId="77777777" w:rsidR="00140240" w:rsidRPr="006152BC" w:rsidRDefault="00140240" w:rsidP="00140240">
      <w:pPr>
        <w:spacing w:line="240" w:lineRule="auto"/>
        <w:ind w:left="1440" w:right="1440" w:firstLine="0"/>
        <w:rPr>
          <w:sz w:val="26"/>
          <w:szCs w:val="26"/>
        </w:rPr>
      </w:pPr>
    </w:p>
    <w:p w14:paraId="1A56171A" w14:textId="77777777" w:rsidR="00140240" w:rsidRPr="006152BC" w:rsidRDefault="00140240" w:rsidP="00140240">
      <w:pPr>
        <w:spacing w:line="240" w:lineRule="auto"/>
        <w:ind w:left="1440" w:right="1440" w:firstLine="720"/>
        <w:rPr>
          <w:sz w:val="26"/>
          <w:szCs w:val="26"/>
        </w:rPr>
      </w:pPr>
      <w:r>
        <w:rPr>
          <w:sz w:val="26"/>
          <w:szCs w:val="26"/>
        </w:rPr>
        <w:t xml:space="preserve">5. </w:t>
      </w:r>
      <w:r>
        <w:rPr>
          <w:sz w:val="26"/>
          <w:szCs w:val="26"/>
        </w:rPr>
        <w:tab/>
      </w:r>
      <w:r w:rsidRPr="006152BC">
        <w:rPr>
          <w:sz w:val="26"/>
          <w:szCs w:val="26"/>
        </w:rPr>
        <w:t>Assets that are excluded from the transaction are identified on pp. 2-3 of the APA (Appendix A to the Joint Petition).</w:t>
      </w:r>
    </w:p>
    <w:p w14:paraId="186E0A53" w14:textId="77777777" w:rsidR="00E346C9" w:rsidRDefault="00E346C9" w:rsidP="00077083">
      <w:pPr>
        <w:ind w:firstLine="0"/>
        <w:rPr>
          <w:sz w:val="26"/>
          <w:szCs w:val="26"/>
        </w:rPr>
      </w:pPr>
    </w:p>
    <w:p w14:paraId="34B90A54" w14:textId="094ADF88" w:rsidR="004E30E2" w:rsidRDefault="00140240" w:rsidP="00077083">
      <w:pPr>
        <w:ind w:firstLine="0"/>
        <w:rPr>
          <w:sz w:val="26"/>
          <w:szCs w:val="26"/>
        </w:rPr>
      </w:pPr>
      <w:r>
        <w:rPr>
          <w:sz w:val="26"/>
          <w:szCs w:val="26"/>
        </w:rPr>
        <w:t xml:space="preserve">R.D. at 24. </w:t>
      </w:r>
    </w:p>
    <w:p w14:paraId="3CC1662D" w14:textId="77777777" w:rsidR="00355488" w:rsidRDefault="00355488" w:rsidP="00077083">
      <w:pPr>
        <w:ind w:firstLine="0"/>
        <w:rPr>
          <w:sz w:val="26"/>
          <w:szCs w:val="26"/>
        </w:rPr>
      </w:pPr>
    </w:p>
    <w:p w14:paraId="17546B09" w14:textId="6DF6220F" w:rsidR="00FC5EAE" w:rsidRDefault="00390AD6" w:rsidP="00FC5EAE">
      <w:pPr>
        <w:rPr>
          <w:sz w:val="26"/>
          <w:szCs w:val="26"/>
        </w:rPr>
      </w:pPr>
      <w:r w:rsidRPr="00E612DB">
        <w:rPr>
          <w:sz w:val="26"/>
          <w:szCs w:val="26"/>
        </w:rPr>
        <w:t>A Tentative Opinion and Order (</w:t>
      </w:r>
      <w:r w:rsidRPr="00A04C1C">
        <w:rPr>
          <w:i/>
          <w:iCs/>
          <w:sz w:val="26"/>
          <w:szCs w:val="26"/>
        </w:rPr>
        <w:t>Tentative Order</w:t>
      </w:r>
      <w:r w:rsidRPr="00E35D87">
        <w:rPr>
          <w:sz w:val="26"/>
          <w:szCs w:val="26"/>
        </w:rPr>
        <w:t>)</w:t>
      </w:r>
      <w:r w:rsidRPr="00E35D87">
        <w:rPr>
          <w:i/>
          <w:iCs/>
          <w:sz w:val="26"/>
          <w:szCs w:val="26"/>
        </w:rPr>
        <w:t xml:space="preserve"> </w:t>
      </w:r>
      <w:r w:rsidRPr="00E35D87">
        <w:rPr>
          <w:sz w:val="26"/>
          <w:szCs w:val="26"/>
        </w:rPr>
        <w:t>was entered April</w:t>
      </w:r>
      <w:r w:rsidR="00F40DC7">
        <w:rPr>
          <w:sz w:val="26"/>
          <w:szCs w:val="26"/>
        </w:rPr>
        <w:t> </w:t>
      </w:r>
      <w:r w:rsidRPr="00E35D87">
        <w:rPr>
          <w:sz w:val="26"/>
          <w:szCs w:val="26"/>
        </w:rPr>
        <w:t>29,</w:t>
      </w:r>
      <w:r w:rsidR="00F40DC7">
        <w:rPr>
          <w:sz w:val="26"/>
          <w:szCs w:val="26"/>
        </w:rPr>
        <w:t> </w:t>
      </w:r>
      <w:r w:rsidRPr="00E35D87">
        <w:rPr>
          <w:sz w:val="26"/>
          <w:szCs w:val="26"/>
        </w:rPr>
        <w:t>2019.  In the</w:t>
      </w:r>
      <w:r w:rsidRPr="00E612DB">
        <w:rPr>
          <w:rFonts w:eastAsiaTheme="minorHAnsi"/>
          <w:sz w:val="26"/>
          <w:szCs w:val="26"/>
        </w:rPr>
        <w:t xml:space="preserve"> </w:t>
      </w:r>
      <w:r w:rsidRPr="00E612DB">
        <w:rPr>
          <w:i/>
          <w:iCs/>
          <w:sz w:val="26"/>
          <w:szCs w:val="26"/>
        </w:rPr>
        <w:t>Tentative Order</w:t>
      </w:r>
      <w:r w:rsidRPr="00E612DB">
        <w:rPr>
          <w:rFonts w:eastAsiaTheme="minorHAnsi"/>
          <w:sz w:val="26"/>
          <w:szCs w:val="26"/>
        </w:rPr>
        <w:t xml:space="preserve">, the Commission modified the proposed Settlement </w:t>
      </w:r>
      <w:r w:rsidR="0046152B" w:rsidRPr="00E612DB">
        <w:rPr>
          <w:rFonts w:eastAsiaTheme="minorHAnsi"/>
          <w:sz w:val="26"/>
          <w:szCs w:val="26"/>
        </w:rPr>
        <w:t xml:space="preserve">and provided opportunity for comment </w:t>
      </w:r>
      <w:r w:rsidR="0046152B">
        <w:rPr>
          <w:rFonts w:eastAsiaTheme="minorHAnsi"/>
          <w:sz w:val="26"/>
          <w:szCs w:val="26"/>
        </w:rPr>
        <w:t>re</w:t>
      </w:r>
      <w:r w:rsidR="00AF4690">
        <w:rPr>
          <w:rFonts w:eastAsiaTheme="minorHAnsi"/>
          <w:sz w:val="26"/>
          <w:szCs w:val="26"/>
        </w:rPr>
        <w:t>garding</w:t>
      </w:r>
      <w:r w:rsidRPr="00E612DB">
        <w:rPr>
          <w:rFonts w:eastAsiaTheme="minorHAnsi"/>
          <w:sz w:val="26"/>
          <w:szCs w:val="26"/>
        </w:rPr>
        <w:t xml:space="preserve"> two areas not material to the dispute raised by the DSC Petition now under consideration.  </w:t>
      </w:r>
      <w:r w:rsidRPr="00E612DB">
        <w:rPr>
          <w:rFonts w:eastAsiaTheme="minorHAnsi"/>
          <w:i/>
          <w:iCs/>
          <w:sz w:val="26"/>
          <w:szCs w:val="26"/>
        </w:rPr>
        <w:t xml:space="preserve">See </w:t>
      </w:r>
      <w:r w:rsidRPr="00E612DB">
        <w:rPr>
          <w:rFonts w:eastAsiaTheme="minorHAnsi"/>
          <w:sz w:val="26"/>
          <w:szCs w:val="26"/>
        </w:rPr>
        <w:t xml:space="preserve">Answer, n. 2.  Comments to the </w:t>
      </w:r>
      <w:r w:rsidRPr="00E612DB">
        <w:rPr>
          <w:i/>
          <w:iCs/>
          <w:sz w:val="26"/>
          <w:szCs w:val="26"/>
        </w:rPr>
        <w:t>Tentative Order</w:t>
      </w:r>
      <w:r w:rsidRPr="00E612DB">
        <w:rPr>
          <w:rFonts w:eastAsiaTheme="minorHAnsi"/>
          <w:sz w:val="26"/>
          <w:szCs w:val="26"/>
        </w:rPr>
        <w:t xml:space="preserve"> were received.  </w:t>
      </w:r>
      <w:r w:rsidR="00FC5EAE">
        <w:rPr>
          <w:sz w:val="26"/>
          <w:szCs w:val="26"/>
        </w:rPr>
        <w:t>The matter was ultimately resolved through a Final Opinion and Order of the Commission entered June 13, 2019 (</w:t>
      </w:r>
      <w:r w:rsidR="00FC5EAE">
        <w:rPr>
          <w:i/>
          <w:iCs/>
          <w:sz w:val="26"/>
          <w:szCs w:val="26"/>
        </w:rPr>
        <w:t>Final Order</w:t>
      </w:r>
      <w:r w:rsidR="00FC5EAE">
        <w:rPr>
          <w:sz w:val="26"/>
          <w:szCs w:val="26"/>
        </w:rPr>
        <w:t xml:space="preserve">), wherein the Commission approved a </w:t>
      </w:r>
      <w:r w:rsidR="00FC5EAE" w:rsidRPr="00761FF6">
        <w:rPr>
          <w:sz w:val="26"/>
          <w:szCs w:val="26"/>
        </w:rPr>
        <w:t>Joint Petition for Approval of Settlement of All Issues by P</w:t>
      </w:r>
      <w:r w:rsidR="00FC5EAE">
        <w:rPr>
          <w:sz w:val="26"/>
          <w:szCs w:val="26"/>
        </w:rPr>
        <w:t xml:space="preserve">AWC, </w:t>
      </w:r>
      <w:r w:rsidR="00FC5EAE" w:rsidRPr="00761FF6">
        <w:rPr>
          <w:sz w:val="26"/>
          <w:szCs w:val="26"/>
        </w:rPr>
        <w:t xml:space="preserve">DSC, OCA, and </w:t>
      </w:r>
      <w:r w:rsidR="00FC5EAE">
        <w:rPr>
          <w:sz w:val="26"/>
          <w:szCs w:val="26"/>
        </w:rPr>
        <w:t>I&amp;E (Settlement or Joint Petition)</w:t>
      </w:r>
      <w:r w:rsidR="00FC5EAE" w:rsidRPr="00761FF6">
        <w:rPr>
          <w:sz w:val="26"/>
          <w:szCs w:val="26"/>
        </w:rPr>
        <w:t>.</w:t>
      </w:r>
    </w:p>
    <w:p w14:paraId="71268013" w14:textId="77777777" w:rsidR="00FC5EAE" w:rsidRDefault="00FC5EAE" w:rsidP="00FC5EAE">
      <w:pPr>
        <w:rPr>
          <w:sz w:val="26"/>
          <w:szCs w:val="26"/>
        </w:rPr>
      </w:pPr>
    </w:p>
    <w:p w14:paraId="5EC537E1" w14:textId="5ACEAEF8" w:rsidR="00611CCC" w:rsidRPr="00BB5111" w:rsidRDefault="00390AD6" w:rsidP="003C7C69">
      <w:pPr>
        <w:rPr>
          <w:sz w:val="26"/>
          <w:szCs w:val="26"/>
        </w:rPr>
      </w:pPr>
      <w:r w:rsidRPr="00E612DB">
        <w:rPr>
          <w:sz w:val="26"/>
          <w:szCs w:val="26"/>
        </w:rPr>
        <w:t xml:space="preserve">On March 26, 2020, an </w:t>
      </w:r>
      <w:r w:rsidR="00355488">
        <w:rPr>
          <w:sz w:val="26"/>
          <w:szCs w:val="26"/>
        </w:rPr>
        <w:t>O</w:t>
      </w:r>
      <w:r w:rsidRPr="00E612DB">
        <w:rPr>
          <w:sz w:val="26"/>
          <w:szCs w:val="26"/>
        </w:rPr>
        <w:t>rder on Reconsideration was entered (</w:t>
      </w:r>
      <w:r w:rsidRPr="00E612DB">
        <w:rPr>
          <w:i/>
          <w:iCs/>
          <w:sz w:val="26"/>
          <w:szCs w:val="26"/>
        </w:rPr>
        <w:t>Reconsideration Order</w:t>
      </w:r>
      <w:r w:rsidRPr="00E612DB">
        <w:rPr>
          <w:sz w:val="26"/>
          <w:szCs w:val="26"/>
        </w:rPr>
        <w:t xml:space="preserve">) (tolling Order entered July 11, 2019).  The </w:t>
      </w:r>
      <w:r w:rsidRPr="00E612DB">
        <w:rPr>
          <w:i/>
          <w:iCs/>
          <w:sz w:val="26"/>
          <w:szCs w:val="26"/>
        </w:rPr>
        <w:t xml:space="preserve">Reconsideration Order </w:t>
      </w:r>
      <w:r w:rsidRPr="00E612DB">
        <w:rPr>
          <w:sz w:val="26"/>
          <w:szCs w:val="26"/>
        </w:rPr>
        <w:t>addressed issues raised by the OCA which issues are not germane to the Petition under consideration in this Order.</w:t>
      </w:r>
    </w:p>
    <w:p w14:paraId="225E7D12" w14:textId="50884CBA" w:rsidR="00BF2097" w:rsidRDefault="00BF2097" w:rsidP="00FB6224">
      <w:pPr>
        <w:ind w:firstLine="0"/>
        <w:rPr>
          <w:sz w:val="26"/>
          <w:szCs w:val="26"/>
        </w:rPr>
      </w:pPr>
    </w:p>
    <w:p w14:paraId="160CD155" w14:textId="3FC7AAA2" w:rsidR="00837AE1" w:rsidRDefault="00837AE1" w:rsidP="00837AE1">
      <w:pPr>
        <w:rPr>
          <w:sz w:val="26"/>
          <w:szCs w:val="26"/>
        </w:rPr>
      </w:pPr>
      <w:r>
        <w:rPr>
          <w:sz w:val="26"/>
          <w:szCs w:val="26"/>
        </w:rPr>
        <w:t xml:space="preserve">As noted, under the Transaction and Settlement, in pertinent part, </w:t>
      </w:r>
      <w:r w:rsidRPr="003D113F">
        <w:rPr>
          <w:sz w:val="26"/>
          <w:szCs w:val="26"/>
        </w:rPr>
        <w:t xml:space="preserve">PAWC agreed to acquire substantially all of DSC’s wastewater system </w:t>
      </w:r>
      <w:r>
        <w:rPr>
          <w:sz w:val="26"/>
          <w:szCs w:val="26"/>
        </w:rPr>
        <w:t>assets</w:t>
      </w:r>
      <w:r>
        <w:rPr>
          <w:rStyle w:val="FootnoteReference"/>
          <w:sz w:val="26"/>
          <w:szCs w:val="26"/>
        </w:rPr>
        <w:footnoteReference w:id="4"/>
      </w:r>
      <w:r>
        <w:rPr>
          <w:sz w:val="26"/>
          <w:szCs w:val="26"/>
        </w:rPr>
        <w:t>,</w:t>
      </w:r>
      <w:r w:rsidRPr="003D113F">
        <w:rPr>
          <w:sz w:val="26"/>
          <w:szCs w:val="26"/>
        </w:rPr>
        <w:t xml:space="preserve"> together with</w:t>
      </w:r>
      <w:r>
        <w:rPr>
          <w:sz w:val="26"/>
          <w:szCs w:val="26"/>
        </w:rPr>
        <w:t>,</w:t>
      </w:r>
      <w:r w:rsidRPr="003D113F">
        <w:rPr>
          <w:sz w:val="26"/>
          <w:szCs w:val="26"/>
        </w:rPr>
        <w:t xml:space="preserve"> approximately</w:t>
      </w:r>
      <w:r>
        <w:rPr>
          <w:sz w:val="26"/>
          <w:szCs w:val="26"/>
        </w:rPr>
        <w:t>,</w:t>
      </w:r>
      <w:r w:rsidRPr="003D113F">
        <w:rPr>
          <w:sz w:val="26"/>
          <w:szCs w:val="26"/>
        </w:rPr>
        <w:t xml:space="preserve"> 140 acres of land</w:t>
      </w:r>
      <w:r>
        <w:rPr>
          <w:rStyle w:val="FootnoteReference"/>
          <w:sz w:val="26"/>
          <w:szCs w:val="26"/>
        </w:rPr>
        <w:footnoteReference w:id="5"/>
      </w:r>
      <w:r w:rsidRPr="003D113F">
        <w:rPr>
          <w:sz w:val="26"/>
          <w:szCs w:val="26"/>
        </w:rPr>
        <w:t xml:space="preserve"> owned by</w:t>
      </w:r>
      <w:r>
        <w:rPr>
          <w:sz w:val="26"/>
          <w:szCs w:val="26"/>
        </w:rPr>
        <w:t xml:space="preserve"> </w:t>
      </w:r>
      <w:r w:rsidR="00647513">
        <w:rPr>
          <w:sz w:val="26"/>
          <w:szCs w:val="26"/>
        </w:rPr>
        <w:t xml:space="preserve">Forest City, </w:t>
      </w:r>
      <w:r>
        <w:rPr>
          <w:sz w:val="26"/>
          <w:szCs w:val="26"/>
        </w:rPr>
        <w:t>an affiliate of DSC,</w:t>
      </w:r>
      <w:r w:rsidR="00A21211">
        <w:rPr>
          <w:sz w:val="26"/>
          <w:szCs w:val="26"/>
        </w:rPr>
        <w:t xml:space="preserve"> (Property)</w:t>
      </w:r>
      <w:r w:rsidRPr="003D113F">
        <w:rPr>
          <w:sz w:val="26"/>
          <w:szCs w:val="26"/>
        </w:rPr>
        <w:t xml:space="preserve"> that will be used </w:t>
      </w:r>
      <w:r w:rsidR="00294604">
        <w:rPr>
          <w:sz w:val="26"/>
          <w:szCs w:val="26"/>
        </w:rPr>
        <w:t>to provide service to the existing 39 homes in the Wild Acres Development in Delaware Township, Pike Count</w:t>
      </w:r>
      <w:r w:rsidR="00051E8A">
        <w:rPr>
          <w:sz w:val="26"/>
          <w:szCs w:val="26"/>
        </w:rPr>
        <w:t>y,</w:t>
      </w:r>
      <w:r w:rsidR="00294604">
        <w:rPr>
          <w:sz w:val="26"/>
          <w:szCs w:val="26"/>
        </w:rPr>
        <w:t xml:space="preserve"> as well as to the remaining build-out of the 306 lots.  </w:t>
      </w:r>
      <w:r w:rsidR="003A6B52">
        <w:rPr>
          <w:sz w:val="26"/>
          <w:szCs w:val="26"/>
        </w:rPr>
        <w:t xml:space="preserve">An executed Land Transfer Agreement between FCP and PAWC was attached to the Settlement, which was subsequently approved by the Commission. </w:t>
      </w:r>
    </w:p>
    <w:p w14:paraId="04C77064" w14:textId="77777777" w:rsidR="00837AE1" w:rsidRDefault="00837AE1" w:rsidP="00837AE1">
      <w:pPr>
        <w:ind w:firstLine="0"/>
        <w:rPr>
          <w:sz w:val="26"/>
          <w:szCs w:val="26"/>
        </w:rPr>
      </w:pPr>
    </w:p>
    <w:p w14:paraId="722F5CE1" w14:textId="77777777" w:rsidR="00837AE1" w:rsidRDefault="00837AE1" w:rsidP="00837AE1">
      <w:pPr>
        <w:rPr>
          <w:sz w:val="26"/>
          <w:szCs w:val="26"/>
        </w:rPr>
      </w:pPr>
      <w:r>
        <w:rPr>
          <w:sz w:val="26"/>
          <w:szCs w:val="26"/>
        </w:rPr>
        <w:t xml:space="preserve">PAWC </w:t>
      </w:r>
      <w:r w:rsidRPr="006E1D55">
        <w:rPr>
          <w:sz w:val="26"/>
          <w:szCs w:val="26"/>
        </w:rPr>
        <w:t>required the purchase of</w:t>
      </w:r>
      <w:r>
        <w:rPr>
          <w:sz w:val="26"/>
          <w:szCs w:val="26"/>
        </w:rPr>
        <w:t xml:space="preserve"> the Property (</w:t>
      </w:r>
      <w:r w:rsidRPr="006E1D55">
        <w:rPr>
          <w:sz w:val="26"/>
          <w:szCs w:val="26"/>
        </w:rPr>
        <w:t xml:space="preserve">140 acres of land owned by </w:t>
      </w:r>
      <w:r>
        <w:rPr>
          <w:sz w:val="26"/>
          <w:szCs w:val="26"/>
        </w:rPr>
        <w:t>Forest City) as part of the Transaction and Settlement,</w:t>
      </w:r>
      <w:r w:rsidRPr="006E1D55">
        <w:rPr>
          <w:sz w:val="26"/>
          <w:szCs w:val="26"/>
        </w:rPr>
        <w:t xml:space="preserve"> </w:t>
      </w:r>
      <w:proofErr w:type="gramStart"/>
      <w:r w:rsidRPr="006E1D55">
        <w:rPr>
          <w:sz w:val="26"/>
          <w:szCs w:val="26"/>
        </w:rPr>
        <w:t>in order to</w:t>
      </w:r>
      <w:proofErr w:type="gramEnd"/>
      <w:r w:rsidRPr="006E1D55">
        <w:rPr>
          <w:sz w:val="26"/>
          <w:szCs w:val="26"/>
        </w:rPr>
        <w:t xml:space="preserve"> provide </w:t>
      </w:r>
      <w:r>
        <w:rPr>
          <w:sz w:val="26"/>
          <w:szCs w:val="26"/>
        </w:rPr>
        <w:t>w</w:t>
      </w:r>
      <w:r w:rsidRPr="006E1D55">
        <w:rPr>
          <w:sz w:val="26"/>
          <w:szCs w:val="26"/>
        </w:rPr>
        <w:t xml:space="preserve">astewater to the entirety of DSC’s service territory.  </w:t>
      </w:r>
      <w:r w:rsidRPr="006E1D55">
        <w:rPr>
          <w:i/>
          <w:iCs/>
          <w:sz w:val="26"/>
          <w:szCs w:val="26"/>
        </w:rPr>
        <w:t xml:space="preserve">See </w:t>
      </w:r>
      <w:r w:rsidRPr="006E1D55">
        <w:rPr>
          <w:sz w:val="26"/>
          <w:szCs w:val="26"/>
        </w:rPr>
        <w:t>R.D. Finding of Fact No. 33</w:t>
      </w:r>
      <w:r>
        <w:rPr>
          <w:sz w:val="26"/>
          <w:szCs w:val="26"/>
        </w:rPr>
        <w:t>.  The acquisition of the Property was an integral part of the Settlement.  As found by ALJ Haas:</w:t>
      </w:r>
    </w:p>
    <w:p w14:paraId="1E0B188E" w14:textId="77777777" w:rsidR="00837AE1" w:rsidRDefault="00837AE1" w:rsidP="00837AE1">
      <w:pPr>
        <w:spacing w:line="240" w:lineRule="auto"/>
        <w:rPr>
          <w:sz w:val="26"/>
          <w:szCs w:val="26"/>
        </w:rPr>
      </w:pPr>
    </w:p>
    <w:p w14:paraId="2AB9B9F5" w14:textId="77777777" w:rsidR="00837AE1" w:rsidRPr="00267115" w:rsidRDefault="00837AE1" w:rsidP="00837AE1">
      <w:pPr>
        <w:spacing w:line="240" w:lineRule="auto"/>
        <w:ind w:left="1440" w:right="1440" w:firstLine="0"/>
        <w:rPr>
          <w:sz w:val="26"/>
          <w:szCs w:val="26"/>
        </w:rPr>
      </w:pPr>
      <w:r w:rsidRPr="00267115">
        <w:rPr>
          <w:sz w:val="26"/>
          <w:szCs w:val="26"/>
        </w:rPr>
        <w:t>No party disputes that the purchase by PAWC of the 140 acres of land from Forest City is a necessary component of the overall transaction that will allow PAWC to construct and install the necessary facilities to serve DSC’s service territory both now and in the future.  Neither does any party dispute the $420,000.00 purchase price as unreasonable or excessive. The parties have agreed upon this particular transaction, including the purchase price, as a necessary and acceptable component of the overall settlement in this proceeding.  I&amp;E stated, “[t]</w:t>
      </w:r>
      <w:proofErr w:type="gramStart"/>
      <w:r w:rsidRPr="00267115">
        <w:rPr>
          <w:sz w:val="26"/>
          <w:szCs w:val="26"/>
        </w:rPr>
        <w:t>he</w:t>
      </w:r>
      <w:proofErr w:type="gramEnd"/>
      <w:r w:rsidRPr="00267115">
        <w:rPr>
          <w:sz w:val="26"/>
          <w:szCs w:val="26"/>
        </w:rPr>
        <w:t xml:space="preserve"> acquisition of the land presently owned by Forest City is essential to achieving public sewer service to the maximum number homes.  The ultimate buildout of the subdivision is estimated to be 306 homes.” (I&amp;E Stmt. in Support, p. 8).</w:t>
      </w:r>
    </w:p>
    <w:p w14:paraId="6B4872F8" w14:textId="77777777" w:rsidR="00D50DDB" w:rsidRDefault="00D50DDB" w:rsidP="00837AE1">
      <w:pPr>
        <w:ind w:firstLine="0"/>
        <w:rPr>
          <w:sz w:val="26"/>
          <w:szCs w:val="26"/>
        </w:rPr>
      </w:pPr>
    </w:p>
    <w:p w14:paraId="05130262" w14:textId="37665144" w:rsidR="00837AE1" w:rsidRPr="00A177B6" w:rsidRDefault="00837AE1" w:rsidP="00837AE1">
      <w:pPr>
        <w:ind w:firstLine="0"/>
        <w:rPr>
          <w:sz w:val="26"/>
          <w:szCs w:val="26"/>
        </w:rPr>
      </w:pPr>
      <w:r w:rsidRPr="00A177B6">
        <w:rPr>
          <w:sz w:val="26"/>
          <w:szCs w:val="26"/>
        </w:rPr>
        <w:t>R.D. at 26</w:t>
      </w:r>
      <w:r>
        <w:rPr>
          <w:sz w:val="26"/>
          <w:szCs w:val="26"/>
        </w:rPr>
        <w:t>.</w:t>
      </w:r>
      <w:r w:rsidRPr="00A177B6">
        <w:rPr>
          <w:sz w:val="26"/>
          <w:szCs w:val="26"/>
        </w:rPr>
        <w:t xml:space="preserve"> </w:t>
      </w:r>
    </w:p>
    <w:p w14:paraId="454F0D91" w14:textId="77777777" w:rsidR="00837AE1" w:rsidRDefault="00837AE1" w:rsidP="00837AE1">
      <w:pPr>
        <w:rPr>
          <w:sz w:val="26"/>
          <w:szCs w:val="26"/>
        </w:rPr>
      </w:pPr>
      <w:r>
        <w:rPr>
          <w:sz w:val="26"/>
          <w:szCs w:val="26"/>
        </w:rPr>
        <w:t xml:space="preserve"> </w:t>
      </w:r>
    </w:p>
    <w:p w14:paraId="04C854B6" w14:textId="6BCFCCBC" w:rsidR="00837AE1" w:rsidRDefault="00C02D0C" w:rsidP="00837AE1">
      <w:pPr>
        <w:rPr>
          <w:sz w:val="26"/>
          <w:szCs w:val="26"/>
        </w:rPr>
      </w:pPr>
      <w:r>
        <w:rPr>
          <w:sz w:val="26"/>
          <w:szCs w:val="26"/>
        </w:rPr>
        <w:t>As noted, t</w:t>
      </w:r>
      <w:r w:rsidR="00837AE1">
        <w:rPr>
          <w:sz w:val="26"/>
          <w:szCs w:val="26"/>
        </w:rPr>
        <w:t xml:space="preserve">he </w:t>
      </w:r>
      <w:r w:rsidR="00837AE1" w:rsidRPr="00143357">
        <w:rPr>
          <w:i/>
          <w:iCs/>
          <w:sz w:val="26"/>
          <w:szCs w:val="26"/>
        </w:rPr>
        <w:t>Final Order</w:t>
      </w:r>
      <w:r w:rsidR="00837AE1">
        <w:rPr>
          <w:sz w:val="26"/>
          <w:szCs w:val="26"/>
        </w:rPr>
        <w:t xml:space="preserve"> was entered in this matter on June 13, 2019.  The Ordering Paragraphs of the </w:t>
      </w:r>
      <w:r w:rsidR="00837AE1">
        <w:rPr>
          <w:i/>
          <w:iCs/>
          <w:sz w:val="26"/>
          <w:szCs w:val="26"/>
        </w:rPr>
        <w:t xml:space="preserve">Final Order </w:t>
      </w:r>
      <w:r w:rsidR="00837AE1">
        <w:rPr>
          <w:sz w:val="26"/>
          <w:szCs w:val="26"/>
        </w:rPr>
        <w:t>are detailed and set forth the mutual obligations, stipulations, and agreements among the Parties to the Settlement.  We reprint, in pertinent part, the Ordering Paragraphs:</w:t>
      </w:r>
    </w:p>
    <w:p w14:paraId="14668636" w14:textId="77777777" w:rsidR="00837AE1" w:rsidRDefault="00837AE1" w:rsidP="00837AE1">
      <w:pPr>
        <w:spacing w:line="240" w:lineRule="auto"/>
        <w:rPr>
          <w:sz w:val="26"/>
          <w:szCs w:val="26"/>
        </w:rPr>
      </w:pPr>
    </w:p>
    <w:p w14:paraId="3C379305" w14:textId="77777777" w:rsidR="00837AE1" w:rsidRPr="002214F6" w:rsidRDefault="00837AE1" w:rsidP="00837AE1">
      <w:pPr>
        <w:tabs>
          <w:tab w:val="left" w:pos="-720"/>
          <w:tab w:val="left" w:pos="1440"/>
        </w:tabs>
        <w:suppressAutoHyphens/>
        <w:ind w:left="1620" w:right="1440" w:firstLine="0"/>
        <w:jc w:val="center"/>
        <w:rPr>
          <w:sz w:val="26"/>
          <w:szCs w:val="26"/>
        </w:rPr>
      </w:pPr>
      <w:r>
        <w:rPr>
          <w:sz w:val="26"/>
          <w:szCs w:val="26"/>
        </w:rPr>
        <w:t xml:space="preserve">*         *          * </w:t>
      </w:r>
    </w:p>
    <w:p w14:paraId="3B0FF2A5" w14:textId="77777777" w:rsidR="00837AE1" w:rsidRPr="004C6A2A" w:rsidRDefault="00837AE1" w:rsidP="00837AE1">
      <w:pPr>
        <w:pStyle w:val="ListParagraph"/>
        <w:numPr>
          <w:ilvl w:val="0"/>
          <w:numId w:val="3"/>
        </w:numPr>
        <w:tabs>
          <w:tab w:val="left" w:pos="-720"/>
        </w:tabs>
        <w:suppressAutoHyphens/>
        <w:spacing w:line="240" w:lineRule="auto"/>
        <w:ind w:left="720" w:right="720" w:firstLine="720"/>
        <w:rPr>
          <w:sz w:val="26"/>
          <w:szCs w:val="26"/>
        </w:rPr>
      </w:pPr>
      <w:r w:rsidRPr="004C6A2A">
        <w:rPr>
          <w:sz w:val="26"/>
          <w:szCs w:val="26"/>
        </w:rPr>
        <w:t xml:space="preserve">That, if no Party withdraws from the Settlement pursuant to Ordering Paragraph No. 3, this Opinion and Order shall be </w:t>
      </w:r>
      <w:r>
        <w:rPr>
          <w:sz w:val="26"/>
          <w:szCs w:val="26"/>
        </w:rPr>
        <w:t xml:space="preserve">[sic] </w:t>
      </w:r>
      <w:r w:rsidRPr="004C6A2A">
        <w:rPr>
          <w:sz w:val="26"/>
          <w:szCs w:val="26"/>
        </w:rPr>
        <w:t>become final without further action of the Commission, and it is further ordered that:</w:t>
      </w:r>
    </w:p>
    <w:p w14:paraId="6DDC76E2" w14:textId="77777777" w:rsidR="00837AE1" w:rsidRDefault="00837AE1" w:rsidP="00837AE1">
      <w:pPr>
        <w:spacing w:line="240" w:lineRule="auto"/>
        <w:rPr>
          <w:sz w:val="26"/>
          <w:szCs w:val="26"/>
        </w:rPr>
      </w:pPr>
    </w:p>
    <w:p w14:paraId="3DC9BF3A" w14:textId="77777777" w:rsidR="00837AE1" w:rsidRPr="00F41401" w:rsidRDefault="00837AE1" w:rsidP="00837AE1">
      <w:pPr>
        <w:spacing w:line="240" w:lineRule="auto"/>
        <w:ind w:left="2880" w:right="1440" w:hanging="720"/>
        <w:rPr>
          <w:sz w:val="26"/>
          <w:szCs w:val="26"/>
        </w:rPr>
      </w:pPr>
      <w:r>
        <w:rPr>
          <w:sz w:val="26"/>
          <w:szCs w:val="26"/>
        </w:rPr>
        <w:t>a.</w:t>
      </w:r>
      <w:r>
        <w:rPr>
          <w:sz w:val="26"/>
          <w:szCs w:val="26"/>
        </w:rPr>
        <w:tab/>
      </w:r>
      <w:r w:rsidRPr="00F41401">
        <w:rPr>
          <w:sz w:val="26"/>
          <w:szCs w:val="26"/>
        </w:rPr>
        <w:t xml:space="preserve">That the Joint Petition for Approval of Settlement of All Issues by Pennsylvania-American Water Company, Delaware Sewer Company, the Office of Consumer Advocate, and the Pennsylvania Public Utility Commission’s Bureau of Investigation and Enforcement, filed on October 12, 2018, at Docket Number I-2016-2526085, </w:t>
      </w:r>
      <w:r>
        <w:rPr>
          <w:sz w:val="26"/>
          <w:szCs w:val="26"/>
        </w:rPr>
        <w:t xml:space="preserve">is hereby </w:t>
      </w:r>
      <w:r w:rsidRPr="00F41401">
        <w:rPr>
          <w:sz w:val="26"/>
          <w:szCs w:val="26"/>
        </w:rPr>
        <w:t>approved, as modified</w:t>
      </w:r>
      <w:r>
        <w:rPr>
          <w:sz w:val="26"/>
          <w:szCs w:val="26"/>
        </w:rPr>
        <w:t xml:space="preserve"> herein</w:t>
      </w:r>
      <w:r w:rsidRPr="00F41401">
        <w:rPr>
          <w:sz w:val="26"/>
          <w:szCs w:val="26"/>
        </w:rPr>
        <w:t>.</w:t>
      </w:r>
    </w:p>
    <w:p w14:paraId="7FB9E91C" w14:textId="77777777" w:rsidR="00837AE1" w:rsidRPr="00F41401" w:rsidRDefault="00837AE1" w:rsidP="00837AE1">
      <w:pPr>
        <w:spacing w:line="240" w:lineRule="auto"/>
        <w:ind w:left="2160" w:right="1440" w:hanging="720"/>
        <w:rPr>
          <w:sz w:val="26"/>
          <w:szCs w:val="26"/>
        </w:rPr>
      </w:pPr>
    </w:p>
    <w:p w14:paraId="1A30DD99" w14:textId="77777777" w:rsidR="00837AE1" w:rsidRPr="00F41401" w:rsidRDefault="00837AE1" w:rsidP="00837AE1">
      <w:pPr>
        <w:spacing w:line="240" w:lineRule="auto"/>
        <w:ind w:left="2880" w:right="1440" w:hanging="720"/>
        <w:rPr>
          <w:sz w:val="26"/>
          <w:szCs w:val="26"/>
        </w:rPr>
      </w:pPr>
      <w:r>
        <w:rPr>
          <w:sz w:val="26"/>
          <w:szCs w:val="26"/>
        </w:rPr>
        <w:t>b.</w:t>
      </w:r>
      <w:r>
        <w:rPr>
          <w:sz w:val="26"/>
          <w:szCs w:val="26"/>
        </w:rPr>
        <w:tab/>
      </w:r>
      <w:r w:rsidRPr="00F41401">
        <w:rPr>
          <w:sz w:val="26"/>
          <w:szCs w:val="26"/>
        </w:rPr>
        <w:t xml:space="preserve">That, consistent with 66 Pa. C.S. § 529(d), and subject to the condition set forth in Ordering Paragraph No. </w:t>
      </w:r>
      <w:r>
        <w:rPr>
          <w:sz w:val="26"/>
          <w:szCs w:val="26"/>
        </w:rPr>
        <w:t xml:space="preserve">4.d., </w:t>
      </w:r>
      <w:r w:rsidRPr="00F41401">
        <w:rPr>
          <w:sz w:val="26"/>
          <w:szCs w:val="26"/>
        </w:rPr>
        <w:t>below</w:t>
      </w:r>
      <w:r>
        <w:rPr>
          <w:sz w:val="26"/>
          <w:szCs w:val="26"/>
        </w:rPr>
        <w:t>,</w:t>
      </w:r>
      <w:r w:rsidRPr="0040788D">
        <w:rPr>
          <w:sz w:val="26"/>
          <w:szCs w:val="26"/>
        </w:rPr>
        <w:t xml:space="preserve"> </w:t>
      </w:r>
      <w:r>
        <w:rPr>
          <w:sz w:val="26"/>
          <w:szCs w:val="26"/>
        </w:rPr>
        <w:t>a c</w:t>
      </w:r>
      <w:r w:rsidRPr="00533F55">
        <w:rPr>
          <w:sz w:val="26"/>
          <w:szCs w:val="26"/>
        </w:rPr>
        <w:t xml:space="preserve">ertificate of </w:t>
      </w:r>
      <w:r>
        <w:rPr>
          <w:sz w:val="26"/>
          <w:szCs w:val="26"/>
        </w:rPr>
        <w:t>p</w:t>
      </w:r>
      <w:r w:rsidRPr="00533F55">
        <w:rPr>
          <w:sz w:val="26"/>
          <w:szCs w:val="26"/>
        </w:rPr>
        <w:t xml:space="preserve">ublic </w:t>
      </w:r>
      <w:r>
        <w:rPr>
          <w:sz w:val="26"/>
          <w:szCs w:val="26"/>
        </w:rPr>
        <w:t>c</w:t>
      </w:r>
      <w:r w:rsidRPr="00533F55">
        <w:rPr>
          <w:sz w:val="26"/>
          <w:szCs w:val="26"/>
        </w:rPr>
        <w:t>onvenience shall be issued</w:t>
      </w:r>
      <w:r w:rsidRPr="007B1607">
        <w:rPr>
          <w:sz w:val="26"/>
          <w:szCs w:val="26"/>
        </w:rPr>
        <w:t xml:space="preserve"> </w:t>
      </w:r>
      <w:r>
        <w:rPr>
          <w:sz w:val="26"/>
          <w:szCs w:val="26"/>
        </w:rPr>
        <w:t>p</w:t>
      </w:r>
      <w:r w:rsidRPr="00533F55">
        <w:rPr>
          <w:sz w:val="26"/>
          <w:szCs w:val="26"/>
        </w:rPr>
        <w:t>ursuant to Section 1102(a)(3) of the Public Utility Code, 66 Pa. C.S. §</w:t>
      </w:r>
      <w:r>
        <w:rPr>
          <w:sz w:val="26"/>
          <w:szCs w:val="26"/>
        </w:rPr>
        <w:t> </w:t>
      </w:r>
      <w:r w:rsidRPr="00533F55">
        <w:rPr>
          <w:sz w:val="26"/>
          <w:szCs w:val="26"/>
        </w:rPr>
        <w:t>1102(a)(3)</w:t>
      </w:r>
      <w:r>
        <w:rPr>
          <w:sz w:val="26"/>
          <w:szCs w:val="26"/>
        </w:rPr>
        <w:t>:</w:t>
      </w:r>
    </w:p>
    <w:p w14:paraId="5FB1E4F6" w14:textId="77777777" w:rsidR="00837AE1" w:rsidRPr="00F41401" w:rsidRDefault="00837AE1" w:rsidP="00837AE1">
      <w:pPr>
        <w:spacing w:line="240" w:lineRule="auto"/>
        <w:ind w:left="1440" w:right="1440" w:firstLine="0"/>
        <w:rPr>
          <w:sz w:val="26"/>
          <w:szCs w:val="26"/>
        </w:rPr>
      </w:pPr>
    </w:p>
    <w:p w14:paraId="46A99BEA" w14:textId="77777777" w:rsidR="00837AE1" w:rsidRPr="008F2FDB" w:rsidRDefault="00837AE1" w:rsidP="00837AE1">
      <w:pPr>
        <w:pStyle w:val="ListParagraph"/>
        <w:numPr>
          <w:ilvl w:val="0"/>
          <w:numId w:val="4"/>
        </w:numPr>
        <w:spacing w:line="240" w:lineRule="auto"/>
        <w:ind w:left="3600" w:right="1440"/>
        <w:rPr>
          <w:sz w:val="26"/>
          <w:szCs w:val="26"/>
        </w:rPr>
      </w:pPr>
      <w:bookmarkStart w:id="0" w:name="_Hlk11146020"/>
      <w:r>
        <w:rPr>
          <w:sz w:val="26"/>
          <w:szCs w:val="26"/>
        </w:rPr>
        <w:t>E</w:t>
      </w:r>
      <w:r w:rsidRPr="00533F55">
        <w:rPr>
          <w:sz w:val="26"/>
          <w:szCs w:val="26"/>
        </w:rPr>
        <w:t xml:space="preserve">videncing Commission approval </w:t>
      </w:r>
      <w:bookmarkEnd w:id="0"/>
      <w:r w:rsidRPr="00533F55">
        <w:rPr>
          <w:sz w:val="26"/>
          <w:szCs w:val="26"/>
        </w:rPr>
        <w:t xml:space="preserve">of </w:t>
      </w:r>
      <w:bookmarkStart w:id="1" w:name="_Hlk529272006"/>
      <w:r w:rsidRPr="00533F55">
        <w:rPr>
          <w:sz w:val="26"/>
          <w:szCs w:val="26"/>
        </w:rPr>
        <w:t xml:space="preserve">Pennsylvania-American Water Company – Wastewater </w:t>
      </w:r>
      <w:r>
        <w:rPr>
          <w:sz w:val="26"/>
          <w:szCs w:val="26"/>
        </w:rPr>
        <w:t>Operations</w:t>
      </w:r>
      <w:bookmarkEnd w:id="1"/>
      <w:r>
        <w:rPr>
          <w:sz w:val="26"/>
          <w:szCs w:val="26"/>
        </w:rPr>
        <w:t>’</w:t>
      </w:r>
      <w:r w:rsidRPr="00533F55">
        <w:rPr>
          <w:sz w:val="26"/>
          <w:szCs w:val="26"/>
        </w:rPr>
        <w:t xml:space="preserve"> acquisition of </w:t>
      </w:r>
      <w:r>
        <w:rPr>
          <w:sz w:val="26"/>
          <w:szCs w:val="26"/>
        </w:rPr>
        <w:t xml:space="preserve">substantially all of </w:t>
      </w:r>
      <w:r w:rsidRPr="00533F55">
        <w:rPr>
          <w:sz w:val="26"/>
          <w:szCs w:val="26"/>
        </w:rPr>
        <w:t xml:space="preserve">the wastewater system assets </w:t>
      </w:r>
      <w:r>
        <w:rPr>
          <w:sz w:val="26"/>
          <w:szCs w:val="26"/>
        </w:rPr>
        <w:t>of</w:t>
      </w:r>
      <w:r w:rsidRPr="00533F55">
        <w:rPr>
          <w:sz w:val="26"/>
          <w:szCs w:val="26"/>
        </w:rPr>
        <w:t xml:space="preserve"> </w:t>
      </w:r>
      <w:r>
        <w:rPr>
          <w:sz w:val="26"/>
          <w:szCs w:val="26"/>
        </w:rPr>
        <w:t>Delaware Sewer Company</w:t>
      </w:r>
      <w:r w:rsidRPr="003C2063">
        <w:rPr>
          <w:sz w:val="26"/>
          <w:szCs w:val="26"/>
        </w:rPr>
        <w:t xml:space="preserve"> </w:t>
      </w:r>
      <w:r w:rsidRPr="00D6220D">
        <w:rPr>
          <w:sz w:val="26"/>
          <w:szCs w:val="26"/>
        </w:rPr>
        <w:t>pursuant to the Asset Purchase Agreement dated August 31, 2018, between Delaware Sewer Company and Pennsylvania American Water Company – Wastewater Operations (Joint Petition, Appendix</w:t>
      </w:r>
      <w:r>
        <w:t> </w:t>
      </w:r>
      <w:r w:rsidRPr="00D6220D">
        <w:rPr>
          <w:sz w:val="26"/>
          <w:szCs w:val="26"/>
        </w:rPr>
        <w:t>A)</w:t>
      </w:r>
      <w:r>
        <w:rPr>
          <w:sz w:val="26"/>
          <w:szCs w:val="26"/>
        </w:rPr>
        <w:t xml:space="preserve">; </w:t>
      </w:r>
      <w:r w:rsidRPr="008F2FDB">
        <w:rPr>
          <w:sz w:val="26"/>
          <w:szCs w:val="26"/>
        </w:rPr>
        <w:t xml:space="preserve"> </w:t>
      </w:r>
    </w:p>
    <w:p w14:paraId="73CF4515" w14:textId="77777777" w:rsidR="00837AE1" w:rsidRDefault="00837AE1" w:rsidP="00837AE1">
      <w:pPr>
        <w:spacing w:line="240" w:lineRule="auto"/>
        <w:ind w:left="3600" w:right="1440" w:hanging="720"/>
        <w:rPr>
          <w:sz w:val="26"/>
          <w:szCs w:val="26"/>
        </w:rPr>
      </w:pPr>
    </w:p>
    <w:p w14:paraId="719A381A" w14:textId="77777777" w:rsidR="00837AE1" w:rsidRDefault="00837AE1" w:rsidP="00837AE1">
      <w:pPr>
        <w:pStyle w:val="ListParagraph"/>
        <w:numPr>
          <w:ilvl w:val="0"/>
          <w:numId w:val="4"/>
        </w:numPr>
        <w:spacing w:line="240" w:lineRule="auto"/>
        <w:ind w:left="3600" w:right="1440"/>
        <w:contextualSpacing w:val="0"/>
        <w:rPr>
          <w:sz w:val="26"/>
          <w:szCs w:val="26"/>
        </w:rPr>
      </w:pPr>
      <w:r>
        <w:rPr>
          <w:sz w:val="26"/>
          <w:szCs w:val="26"/>
        </w:rPr>
        <w:t>E</w:t>
      </w:r>
      <w:r w:rsidRPr="00533F55">
        <w:rPr>
          <w:sz w:val="26"/>
          <w:szCs w:val="26"/>
        </w:rPr>
        <w:t xml:space="preserve">videncing Commission approval </w:t>
      </w:r>
      <w:r>
        <w:rPr>
          <w:sz w:val="26"/>
          <w:szCs w:val="26"/>
        </w:rPr>
        <w:t xml:space="preserve">of </w:t>
      </w:r>
      <w:r w:rsidRPr="00F41401">
        <w:rPr>
          <w:sz w:val="26"/>
          <w:szCs w:val="26"/>
        </w:rPr>
        <w:t>Delaware Sewer Company’s sale of substantially all its wastewater system assets to Pennsylvania</w:t>
      </w:r>
      <w:r>
        <w:rPr>
          <w:sz w:val="26"/>
          <w:szCs w:val="26"/>
        </w:rPr>
        <w:t>-</w:t>
      </w:r>
      <w:r w:rsidRPr="00F41401">
        <w:rPr>
          <w:sz w:val="26"/>
          <w:szCs w:val="26"/>
        </w:rPr>
        <w:t>American Water Company – Wastewater Operations</w:t>
      </w:r>
      <w:r>
        <w:rPr>
          <w:sz w:val="26"/>
          <w:szCs w:val="26"/>
        </w:rPr>
        <w:t xml:space="preserve">; and </w:t>
      </w:r>
    </w:p>
    <w:p w14:paraId="446738DA" w14:textId="77777777" w:rsidR="00837AE1" w:rsidRPr="008F2FDB" w:rsidRDefault="00837AE1" w:rsidP="00837AE1">
      <w:pPr>
        <w:pStyle w:val="ListParagraph"/>
        <w:spacing w:line="240" w:lineRule="auto"/>
        <w:ind w:left="3600" w:right="1440" w:hanging="720"/>
        <w:rPr>
          <w:sz w:val="26"/>
          <w:szCs w:val="26"/>
        </w:rPr>
      </w:pPr>
    </w:p>
    <w:p w14:paraId="46FCE354" w14:textId="77777777" w:rsidR="00837AE1" w:rsidRPr="00F41401" w:rsidRDefault="00837AE1" w:rsidP="00837AE1">
      <w:pPr>
        <w:pStyle w:val="ListParagraph"/>
        <w:numPr>
          <w:ilvl w:val="0"/>
          <w:numId w:val="4"/>
        </w:numPr>
        <w:spacing w:line="240" w:lineRule="auto"/>
        <w:ind w:left="3600" w:right="1440"/>
        <w:contextualSpacing w:val="0"/>
        <w:rPr>
          <w:sz w:val="26"/>
          <w:szCs w:val="26"/>
        </w:rPr>
      </w:pPr>
      <w:r>
        <w:rPr>
          <w:sz w:val="26"/>
          <w:szCs w:val="26"/>
        </w:rPr>
        <w:t>E</w:t>
      </w:r>
      <w:r w:rsidRPr="008F2FDB">
        <w:rPr>
          <w:sz w:val="26"/>
          <w:szCs w:val="26"/>
        </w:rPr>
        <w:t>videncing Commission approval of Pennsylvania-American Water Company – Wastewater Operations’ acquisition of approximately 140 acres of land, to be used and useful in the provision of wastewater service to the public in the entirety of Delaware Sewer Company’s existing certificated service territory from Forest City Partnership, LLC, pursuant to the Land Transfer Agreement dated August 31, 2018, between Pennsylvania-American Water Company and Forest City (Joint Petition, Appendix B);</w:t>
      </w:r>
    </w:p>
    <w:p w14:paraId="6EA9E913" w14:textId="77777777" w:rsidR="00837AE1" w:rsidRDefault="00837AE1" w:rsidP="00837AE1">
      <w:pPr>
        <w:ind w:firstLine="0"/>
        <w:rPr>
          <w:sz w:val="26"/>
          <w:szCs w:val="26"/>
        </w:rPr>
      </w:pPr>
    </w:p>
    <w:p w14:paraId="075F7CC2" w14:textId="77777777" w:rsidR="00837AE1" w:rsidRDefault="00837AE1" w:rsidP="00837AE1">
      <w:pPr>
        <w:tabs>
          <w:tab w:val="left" w:pos="-720"/>
          <w:tab w:val="left" w:pos="1440"/>
        </w:tabs>
        <w:suppressAutoHyphens/>
        <w:ind w:left="1620" w:right="1440" w:firstLine="0"/>
        <w:jc w:val="center"/>
        <w:rPr>
          <w:sz w:val="26"/>
          <w:szCs w:val="26"/>
        </w:rPr>
      </w:pPr>
      <w:r>
        <w:rPr>
          <w:sz w:val="26"/>
          <w:szCs w:val="26"/>
        </w:rPr>
        <w:t xml:space="preserve">*         *          * </w:t>
      </w:r>
    </w:p>
    <w:p w14:paraId="7541E5E1" w14:textId="77777777" w:rsidR="00837AE1" w:rsidRPr="004C6A2A" w:rsidRDefault="00837AE1" w:rsidP="00837AE1">
      <w:pPr>
        <w:pStyle w:val="ListParagraph"/>
        <w:numPr>
          <w:ilvl w:val="0"/>
          <w:numId w:val="2"/>
        </w:numPr>
        <w:spacing w:line="240" w:lineRule="auto"/>
        <w:ind w:left="720" w:right="720" w:firstLine="720"/>
        <w:rPr>
          <w:sz w:val="26"/>
          <w:szCs w:val="26"/>
        </w:rPr>
      </w:pPr>
      <w:r w:rsidRPr="004C6A2A">
        <w:rPr>
          <w:sz w:val="26"/>
          <w:szCs w:val="26"/>
        </w:rPr>
        <w:t>That if Pennsylvania-American Water Company – Wastewater Operations determines that the transaction will not occur, they will promptly file notice of such determination with the Commission.</w:t>
      </w:r>
    </w:p>
    <w:p w14:paraId="7C1CECE9" w14:textId="77777777" w:rsidR="00837AE1" w:rsidRDefault="00837AE1" w:rsidP="00837AE1">
      <w:pPr>
        <w:spacing w:line="240" w:lineRule="auto"/>
        <w:ind w:left="720" w:right="720" w:firstLine="720"/>
        <w:rPr>
          <w:sz w:val="26"/>
          <w:szCs w:val="26"/>
        </w:rPr>
      </w:pPr>
    </w:p>
    <w:p w14:paraId="7CB9905D" w14:textId="77777777" w:rsidR="00837AE1" w:rsidRDefault="00837AE1" w:rsidP="00837AE1">
      <w:pPr>
        <w:pStyle w:val="ListParagraph"/>
        <w:numPr>
          <w:ilvl w:val="0"/>
          <w:numId w:val="2"/>
        </w:numPr>
        <w:spacing w:line="240" w:lineRule="auto"/>
        <w:ind w:left="720" w:right="720" w:firstLine="720"/>
        <w:rPr>
          <w:sz w:val="26"/>
          <w:szCs w:val="26"/>
        </w:rPr>
      </w:pPr>
      <w:r w:rsidRPr="004C6A2A">
        <w:rPr>
          <w:sz w:val="26"/>
          <w:szCs w:val="26"/>
        </w:rPr>
        <w:t>That if the Commission receives a notice pursuant to Ordering Paragraph No. 5, this matter shall be assigned to the Office of Administrative Law Judge for such further action as may be warranted.</w:t>
      </w:r>
    </w:p>
    <w:p w14:paraId="18EDB2EB" w14:textId="77777777" w:rsidR="00D50DDB" w:rsidRDefault="00D50DDB" w:rsidP="00837AE1">
      <w:pPr>
        <w:ind w:firstLine="0"/>
        <w:rPr>
          <w:i/>
          <w:iCs/>
          <w:sz w:val="26"/>
          <w:szCs w:val="26"/>
        </w:rPr>
      </w:pPr>
    </w:p>
    <w:p w14:paraId="522C8B00" w14:textId="35A51399" w:rsidR="00837AE1" w:rsidRDefault="00837AE1" w:rsidP="00837AE1">
      <w:pPr>
        <w:ind w:firstLine="0"/>
        <w:rPr>
          <w:sz w:val="26"/>
          <w:szCs w:val="26"/>
        </w:rPr>
      </w:pPr>
      <w:r>
        <w:rPr>
          <w:i/>
          <w:iCs/>
          <w:sz w:val="26"/>
          <w:szCs w:val="26"/>
        </w:rPr>
        <w:t>See Final Order</w:t>
      </w:r>
      <w:r>
        <w:rPr>
          <w:sz w:val="26"/>
          <w:szCs w:val="26"/>
        </w:rPr>
        <w:t xml:space="preserve"> at 11-16.</w:t>
      </w:r>
    </w:p>
    <w:p w14:paraId="67D492AB" w14:textId="77777777" w:rsidR="00002B82" w:rsidRDefault="00002B82" w:rsidP="00624661">
      <w:pPr>
        <w:ind w:firstLine="0"/>
        <w:rPr>
          <w:sz w:val="26"/>
          <w:szCs w:val="26"/>
        </w:rPr>
      </w:pPr>
    </w:p>
    <w:p w14:paraId="4F0EC02B" w14:textId="77777777" w:rsidR="003E7E0C" w:rsidRPr="003E7E0C" w:rsidRDefault="003E7E0C" w:rsidP="003E7E0C">
      <w:pPr>
        <w:ind w:firstLine="0"/>
        <w:jc w:val="center"/>
        <w:rPr>
          <w:b/>
          <w:bCs/>
          <w:sz w:val="26"/>
          <w:szCs w:val="26"/>
        </w:rPr>
      </w:pPr>
      <w:r w:rsidRPr="003E7E0C">
        <w:rPr>
          <w:b/>
          <w:bCs/>
          <w:sz w:val="26"/>
          <w:szCs w:val="26"/>
        </w:rPr>
        <w:t>Discussion</w:t>
      </w:r>
    </w:p>
    <w:p w14:paraId="03EF1368" w14:textId="16100D6D" w:rsidR="003E7E0C" w:rsidRDefault="003E7E0C" w:rsidP="003E7E0C">
      <w:pPr>
        <w:rPr>
          <w:sz w:val="26"/>
          <w:szCs w:val="26"/>
        </w:rPr>
      </w:pPr>
    </w:p>
    <w:p w14:paraId="309B7880" w14:textId="3DF191B4" w:rsidR="005909DE" w:rsidRPr="005909DE" w:rsidRDefault="005909DE" w:rsidP="005909DE">
      <w:pPr>
        <w:ind w:firstLine="0"/>
        <w:rPr>
          <w:sz w:val="26"/>
          <w:szCs w:val="26"/>
        </w:rPr>
      </w:pPr>
      <w:r w:rsidRPr="005909DE">
        <w:rPr>
          <w:b/>
          <w:bCs/>
          <w:sz w:val="26"/>
          <w:szCs w:val="26"/>
        </w:rPr>
        <w:t>A</w:t>
      </w:r>
      <w:r>
        <w:rPr>
          <w:sz w:val="26"/>
          <w:szCs w:val="26"/>
        </w:rPr>
        <w:t>.</w:t>
      </w:r>
      <w:r>
        <w:rPr>
          <w:sz w:val="26"/>
          <w:szCs w:val="26"/>
        </w:rPr>
        <w:tab/>
      </w:r>
      <w:r w:rsidRPr="008E7342">
        <w:rPr>
          <w:b/>
          <w:bCs/>
          <w:sz w:val="26"/>
          <w:szCs w:val="26"/>
        </w:rPr>
        <w:t>The DSC Petition</w:t>
      </w:r>
    </w:p>
    <w:p w14:paraId="321E4F57" w14:textId="4FD691CC" w:rsidR="005A3B62" w:rsidRDefault="005A3B62" w:rsidP="005909DE">
      <w:pPr>
        <w:rPr>
          <w:sz w:val="26"/>
          <w:szCs w:val="26"/>
        </w:rPr>
      </w:pPr>
    </w:p>
    <w:p w14:paraId="36633129" w14:textId="5C91D6E1" w:rsidR="005A3B62" w:rsidRPr="003E7E0C" w:rsidRDefault="00D60A66" w:rsidP="005A3B62">
      <w:pPr>
        <w:autoSpaceDE w:val="0"/>
        <w:autoSpaceDN w:val="0"/>
        <w:adjustRightInd w:val="0"/>
        <w:rPr>
          <w:sz w:val="26"/>
          <w:szCs w:val="26"/>
        </w:rPr>
      </w:pPr>
      <w:r>
        <w:rPr>
          <w:sz w:val="26"/>
          <w:szCs w:val="26"/>
        </w:rPr>
        <w:t xml:space="preserve">Pursuant to the </w:t>
      </w:r>
      <w:r w:rsidR="005A3B62">
        <w:rPr>
          <w:sz w:val="26"/>
          <w:szCs w:val="26"/>
        </w:rPr>
        <w:t>S</w:t>
      </w:r>
      <w:r w:rsidR="005A3B62" w:rsidRPr="003E7E0C">
        <w:rPr>
          <w:sz w:val="26"/>
          <w:szCs w:val="26"/>
        </w:rPr>
        <w:t>ettlement, there are</w:t>
      </w:r>
      <w:r w:rsidR="004B049C">
        <w:rPr>
          <w:sz w:val="26"/>
          <w:szCs w:val="26"/>
        </w:rPr>
        <w:t>,</w:t>
      </w:r>
      <w:r w:rsidR="005A3B62" w:rsidRPr="003E7E0C">
        <w:rPr>
          <w:sz w:val="26"/>
          <w:szCs w:val="26"/>
        </w:rPr>
        <w:t xml:space="preserve"> </w:t>
      </w:r>
      <w:r w:rsidR="004B049C">
        <w:rPr>
          <w:sz w:val="26"/>
          <w:szCs w:val="26"/>
        </w:rPr>
        <w:t>primar</w:t>
      </w:r>
      <w:r w:rsidR="006D0BB9">
        <w:rPr>
          <w:sz w:val="26"/>
          <w:szCs w:val="26"/>
        </w:rPr>
        <w:t>il</w:t>
      </w:r>
      <w:r w:rsidR="004B049C">
        <w:rPr>
          <w:sz w:val="26"/>
          <w:szCs w:val="26"/>
        </w:rPr>
        <w:t xml:space="preserve">y, </w:t>
      </w:r>
      <w:r w:rsidR="005A3B62" w:rsidRPr="003E7E0C">
        <w:rPr>
          <w:sz w:val="26"/>
          <w:szCs w:val="26"/>
        </w:rPr>
        <w:t>two operative agreements</w:t>
      </w:r>
      <w:r w:rsidR="005A3B62">
        <w:rPr>
          <w:sz w:val="26"/>
          <w:szCs w:val="26"/>
        </w:rPr>
        <w:t xml:space="preserve"> between PAWC and DSC</w:t>
      </w:r>
      <w:r w:rsidR="004B049C">
        <w:rPr>
          <w:sz w:val="26"/>
          <w:szCs w:val="26"/>
        </w:rPr>
        <w:t xml:space="preserve"> that </w:t>
      </w:r>
      <w:r w:rsidR="00226D11">
        <w:rPr>
          <w:sz w:val="26"/>
          <w:szCs w:val="26"/>
        </w:rPr>
        <w:t xml:space="preserve">comprise </w:t>
      </w:r>
      <w:r w:rsidR="004B049C">
        <w:rPr>
          <w:sz w:val="26"/>
          <w:szCs w:val="26"/>
        </w:rPr>
        <w:t>the Transaction</w:t>
      </w:r>
      <w:r w:rsidR="005A3B62" w:rsidRPr="003E7E0C">
        <w:rPr>
          <w:sz w:val="26"/>
          <w:szCs w:val="26"/>
        </w:rPr>
        <w:t xml:space="preserve">: </w:t>
      </w:r>
      <w:r w:rsidR="001A109A">
        <w:rPr>
          <w:sz w:val="26"/>
          <w:szCs w:val="26"/>
        </w:rPr>
        <w:t>(</w:t>
      </w:r>
      <w:r w:rsidR="005A3B62" w:rsidRPr="003E7E0C">
        <w:rPr>
          <w:sz w:val="26"/>
          <w:szCs w:val="26"/>
        </w:rPr>
        <w:t xml:space="preserve">1) an Asset Purchase Agreement (APA), whereby PAWC has agreed to purchase substantially all of the wastewater system assets of DSC for a purchase price of $61,700.00; and </w:t>
      </w:r>
      <w:r w:rsidR="001A109A">
        <w:rPr>
          <w:sz w:val="26"/>
          <w:szCs w:val="26"/>
        </w:rPr>
        <w:t>(</w:t>
      </w:r>
      <w:r w:rsidR="005A3B62" w:rsidRPr="003E7E0C">
        <w:rPr>
          <w:sz w:val="26"/>
          <w:szCs w:val="26"/>
        </w:rPr>
        <w:t>2) the Land Transfer Agreement (LTA), which pertains to the Property</w:t>
      </w:r>
      <w:r w:rsidR="004B049C">
        <w:rPr>
          <w:sz w:val="26"/>
          <w:szCs w:val="26"/>
        </w:rPr>
        <w:t xml:space="preserve"> to be purchased at the agreed-upon price of $420,000.</w:t>
      </w:r>
      <w:r w:rsidR="00607BC1">
        <w:rPr>
          <w:sz w:val="26"/>
          <w:szCs w:val="26"/>
        </w:rPr>
        <w:t xml:space="preserve">  </w:t>
      </w:r>
      <w:r w:rsidR="00791B93">
        <w:rPr>
          <w:i/>
          <w:iCs/>
          <w:sz w:val="26"/>
          <w:szCs w:val="26"/>
        </w:rPr>
        <w:t xml:space="preserve">See </w:t>
      </w:r>
      <w:r w:rsidR="00791B93">
        <w:rPr>
          <w:sz w:val="26"/>
          <w:szCs w:val="26"/>
        </w:rPr>
        <w:t>Petition at</w:t>
      </w:r>
      <w:r w:rsidR="0003398D">
        <w:rPr>
          <w:sz w:val="26"/>
          <w:szCs w:val="26"/>
        </w:rPr>
        <w:t xml:space="preserve"> ¶</w:t>
      </w:r>
      <w:r w:rsidR="00791B93">
        <w:rPr>
          <w:sz w:val="26"/>
          <w:szCs w:val="26"/>
        </w:rPr>
        <w:t xml:space="preserve"> 5</w:t>
      </w:r>
      <w:r w:rsidR="00E90672">
        <w:rPr>
          <w:sz w:val="26"/>
          <w:szCs w:val="26"/>
        </w:rPr>
        <w:t>; R.D. at 24</w:t>
      </w:r>
      <w:r w:rsidR="00791B93">
        <w:rPr>
          <w:sz w:val="26"/>
          <w:szCs w:val="26"/>
        </w:rPr>
        <w:t>.</w:t>
      </w:r>
      <w:r w:rsidR="00BD6545">
        <w:rPr>
          <w:rStyle w:val="FootnoteReference"/>
          <w:sz w:val="26"/>
          <w:szCs w:val="26"/>
        </w:rPr>
        <w:footnoteReference w:id="6"/>
      </w:r>
      <w:r w:rsidR="005A3B62">
        <w:rPr>
          <w:sz w:val="26"/>
          <w:szCs w:val="26"/>
        </w:rPr>
        <w:t xml:space="preserve">  The Parties agree that the Property will be used and useful in the provision of public </w:t>
      </w:r>
      <w:r w:rsidR="00E90672">
        <w:rPr>
          <w:sz w:val="26"/>
          <w:szCs w:val="26"/>
        </w:rPr>
        <w:t xml:space="preserve">utility </w:t>
      </w:r>
      <w:r w:rsidR="005A3B62">
        <w:rPr>
          <w:sz w:val="26"/>
          <w:szCs w:val="26"/>
        </w:rPr>
        <w:t>wastewater service to the service territory of DSC.</w:t>
      </w:r>
      <w:r w:rsidR="005A3B62" w:rsidRPr="003E7E0C">
        <w:rPr>
          <w:sz w:val="26"/>
          <w:szCs w:val="26"/>
        </w:rPr>
        <w:t xml:space="preserve">  </w:t>
      </w:r>
    </w:p>
    <w:p w14:paraId="4C3CDDA0" w14:textId="42AA4429" w:rsidR="005909DE" w:rsidRDefault="005909DE" w:rsidP="005909DE">
      <w:pPr>
        <w:rPr>
          <w:sz w:val="26"/>
          <w:szCs w:val="26"/>
        </w:rPr>
      </w:pPr>
    </w:p>
    <w:p w14:paraId="560F2AF9" w14:textId="0EB267AD" w:rsidR="005909DE" w:rsidRDefault="005909DE" w:rsidP="005909DE">
      <w:pPr>
        <w:rPr>
          <w:sz w:val="26"/>
          <w:szCs w:val="26"/>
        </w:rPr>
      </w:pPr>
      <w:r>
        <w:rPr>
          <w:sz w:val="26"/>
          <w:szCs w:val="26"/>
        </w:rPr>
        <w:t xml:space="preserve">DSC asserts that, upon executing the LTA on August 31, 2018, PAWC had actual knowledge that its affiliate, Forest City, had conveyed mineral rights associated with the </w:t>
      </w:r>
      <w:r w:rsidR="009B0950">
        <w:rPr>
          <w:sz w:val="26"/>
          <w:szCs w:val="26"/>
        </w:rPr>
        <w:t>Property</w:t>
      </w:r>
      <w:r>
        <w:rPr>
          <w:sz w:val="26"/>
          <w:szCs w:val="26"/>
        </w:rPr>
        <w:t xml:space="preserve"> to Linde, an affiliate of DSC who was not a participant in the proceedings.  Petition at </w:t>
      </w:r>
      <w:r w:rsidR="008E33F5">
        <w:rPr>
          <w:sz w:val="26"/>
          <w:szCs w:val="26"/>
        </w:rPr>
        <w:t>¶</w:t>
      </w:r>
      <w:r>
        <w:rPr>
          <w:sz w:val="26"/>
          <w:szCs w:val="26"/>
        </w:rPr>
        <w:t xml:space="preserve"> 8.  </w:t>
      </w:r>
      <w:r w:rsidR="001C1A6D">
        <w:rPr>
          <w:sz w:val="26"/>
          <w:szCs w:val="26"/>
        </w:rPr>
        <w:t>On</w:t>
      </w:r>
      <w:r>
        <w:rPr>
          <w:sz w:val="26"/>
          <w:szCs w:val="26"/>
        </w:rPr>
        <w:t xml:space="preserve"> recording the Form of Land Indenture transfer a</w:t>
      </w:r>
      <w:r w:rsidR="001C1A6D">
        <w:rPr>
          <w:sz w:val="26"/>
          <w:szCs w:val="26"/>
        </w:rPr>
        <w:t>s evidence</w:t>
      </w:r>
      <w:r w:rsidR="00A946DF">
        <w:rPr>
          <w:sz w:val="26"/>
          <w:szCs w:val="26"/>
        </w:rPr>
        <w:t>d</w:t>
      </w:r>
      <w:r w:rsidR="001C1A6D">
        <w:rPr>
          <w:sz w:val="26"/>
          <w:szCs w:val="26"/>
        </w:rPr>
        <w:t xml:space="preserve"> by</w:t>
      </w:r>
      <w:r>
        <w:rPr>
          <w:sz w:val="26"/>
          <w:szCs w:val="26"/>
        </w:rPr>
        <w:t xml:space="preserve"> deed, recorded June 8, 2018, in Pike County, said transfer became a matter of record.  </w:t>
      </w:r>
      <w:r>
        <w:rPr>
          <w:i/>
          <w:iCs/>
          <w:sz w:val="26"/>
          <w:szCs w:val="26"/>
        </w:rPr>
        <w:t>Id</w:t>
      </w:r>
      <w:r>
        <w:rPr>
          <w:sz w:val="26"/>
          <w:szCs w:val="26"/>
        </w:rPr>
        <w:t xml:space="preserve">. </w:t>
      </w:r>
    </w:p>
    <w:p w14:paraId="0CCCFF5D" w14:textId="7DB6D745" w:rsidR="005909DE" w:rsidRDefault="0094267D" w:rsidP="005909DE">
      <w:pPr>
        <w:rPr>
          <w:sz w:val="26"/>
          <w:szCs w:val="26"/>
        </w:rPr>
      </w:pPr>
      <w:r>
        <w:rPr>
          <w:sz w:val="26"/>
          <w:szCs w:val="26"/>
        </w:rPr>
        <w:t>Based on the foregoing, DSC argu</w:t>
      </w:r>
      <w:r w:rsidR="00755907">
        <w:rPr>
          <w:sz w:val="26"/>
          <w:szCs w:val="26"/>
        </w:rPr>
        <w:t xml:space="preserve">es, </w:t>
      </w:r>
      <w:r w:rsidR="00755907">
        <w:rPr>
          <w:i/>
          <w:iCs/>
          <w:sz w:val="26"/>
          <w:szCs w:val="26"/>
        </w:rPr>
        <w:t>inter alia</w:t>
      </w:r>
      <w:r>
        <w:rPr>
          <w:sz w:val="26"/>
          <w:szCs w:val="26"/>
        </w:rPr>
        <w:t xml:space="preserve">: </w:t>
      </w:r>
      <w:r w:rsidR="00EB0A30">
        <w:rPr>
          <w:sz w:val="26"/>
          <w:szCs w:val="26"/>
        </w:rPr>
        <w:t xml:space="preserve"> </w:t>
      </w:r>
      <w:r w:rsidR="009C1959">
        <w:rPr>
          <w:sz w:val="26"/>
          <w:szCs w:val="26"/>
        </w:rPr>
        <w:t>(1)</w:t>
      </w:r>
      <w:r>
        <w:rPr>
          <w:sz w:val="26"/>
          <w:szCs w:val="26"/>
        </w:rPr>
        <w:t xml:space="preserve"> DSC is ready, willing, and able, to close the Transaction and, through its affiliate, Forest City, provide a signed deed for the 140 acres Property using the Form of Land Indenture </w:t>
      </w:r>
      <w:r w:rsidR="007F0116">
        <w:rPr>
          <w:sz w:val="26"/>
          <w:szCs w:val="26"/>
        </w:rPr>
        <w:t xml:space="preserve">attached to the LTA </w:t>
      </w:r>
      <w:r>
        <w:rPr>
          <w:sz w:val="26"/>
          <w:szCs w:val="26"/>
        </w:rPr>
        <w:t xml:space="preserve">identified </w:t>
      </w:r>
      <w:r w:rsidR="001C1A6D">
        <w:rPr>
          <w:sz w:val="26"/>
          <w:szCs w:val="26"/>
        </w:rPr>
        <w:t>as</w:t>
      </w:r>
      <w:r>
        <w:rPr>
          <w:sz w:val="26"/>
          <w:szCs w:val="26"/>
        </w:rPr>
        <w:t xml:space="preserve"> Appendix “B” to the Joint Petition; </w:t>
      </w:r>
      <w:r w:rsidR="009C1959">
        <w:rPr>
          <w:sz w:val="26"/>
          <w:szCs w:val="26"/>
        </w:rPr>
        <w:t xml:space="preserve">(2) </w:t>
      </w:r>
      <w:r>
        <w:rPr>
          <w:sz w:val="26"/>
          <w:szCs w:val="26"/>
        </w:rPr>
        <w:t xml:space="preserve">the Form of Land Indenture was, as noted, attached as </w:t>
      </w:r>
      <w:r w:rsidR="007F0116">
        <w:rPr>
          <w:sz w:val="26"/>
          <w:szCs w:val="26"/>
        </w:rPr>
        <w:t>an appendix</w:t>
      </w:r>
      <w:r>
        <w:rPr>
          <w:sz w:val="26"/>
          <w:szCs w:val="26"/>
        </w:rPr>
        <w:t xml:space="preserve"> </w:t>
      </w:r>
      <w:r w:rsidR="007F0116">
        <w:rPr>
          <w:sz w:val="26"/>
          <w:szCs w:val="26"/>
        </w:rPr>
        <w:t>to the LTA which was a part of</w:t>
      </w:r>
      <w:r>
        <w:rPr>
          <w:sz w:val="26"/>
          <w:szCs w:val="26"/>
        </w:rPr>
        <w:t xml:space="preserve"> the Joint Petition </w:t>
      </w:r>
      <w:r w:rsidR="007F0116">
        <w:rPr>
          <w:sz w:val="26"/>
          <w:szCs w:val="26"/>
        </w:rPr>
        <w:t xml:space="preserve">(Appendix “B” to Joint Petition) </w:t>
      </w:r>
      <w:r>
        <w:rPr>
          <w:sz w:val="26"/>
          <w:szCs w:val="26"/>
        </w:rPr>
        <w:t xml:space="preserve">and </w:t>
      </w:r>
      <w:r w:rsidR="007F0116">
        <w:rPr>
          <w:sz w:val="26"/>
          <w:szCs w:val="26"/>
        </w:rPr>
        <w:t>the LTA and Indenture are</w:t>
      </w:r>
      <w:r>
        <w:rPr>
          <w:sz w:val="26"/>
          <w:szCs w:val="26"/>
        </w:rPr>
        <w:t xml:space="preserve"> the document</w:t>
      </w:r>
      <w:r w:rsidR="007F0116">
        <w:rPr>
          <w:sz w:val="26"/>
          <w:szCs w:val="26"/>
        </w:rPr>
        <w:t>s</w:t>
      </w:r>
      <w:r>
        <w:rPr>
          <w:sz w:val="26"/>
          <w:szCs w:val="26"/>
        </w:rPr>
        <w:t xml:space="preserve"> referenced and approved by the Commission in the </w:t>
      </w:r>
      <w:r w:rsidR="00952772">
        <w:rPr>
          <w:i/>
          <w:iCs/>
          <w:sz w:val="26"/>
          <w:szCs w:val="26"/>
        </w:rPr>
        <w:t xml:space="preserve">Tentative Order </w:t>
      </w:r>
      <w:r w:rsidR="00952772">
        <w:rPr>
          <w:sz w:val="26"/>
          <w:szCs w:val="26"/>
        </w:rPr>
        <w:t xml:space="preserve">and </w:t>
      </w:r>
      <w:r>
        <w:rPr>
          <w:i/>
          <w:iCs/>
          <w:sz w:val="26"/>
          <w:szCs w:val="26"/>
        </w:rPr>
        <w:t>Final Order</w:t>
      </w:r>
      <w:r w:rsidR="00952772">
        <w:rPr>
          <w:i/>
          <w:iCs/>
          <w:sz w:val="26"/>
          <w:szCs w:val="26"/>
        </w:rPr>
        <w:t xml:space="preserve"> </w:t>
      </w:r>
      <w:r w:rsidR="00952772">
        <w:rPr>
          <w:sz w:val="26"/>
          <w:szCs w:val="26"/>
        </w:rPr>
        <w:t>entered in these proceedings</w:t>
      </w:r>
      <w:r>
        <w:rPr>
          <w:sz w:val="26"/>
          <w:szCs w:val="26"/>
        </w:rPr>
        <w:t xml:space="preserve">; and </w:t>
      </w:r>
      <w:r w:rsidR="009C1959">
        <w:rPr>
          <w:sz w:val="26"/>
          <w:szCs w:val="26"/>
        </w:rPr>
        <w:t>(3)</w:t>
      </w:r>
      <w:r>
        <w:rPr>
          <w:sz w:val="26"/>
          <w:szCs w:val="26"/>
        </w:rPr>
        <w:t xml:space="preserve"> the Commission has issued a directive to PAWC to</w:t>
      </w:r>
      <w:r w:rsidR="00952772">
        <w:rPr>
          <w:sz w:val="26"/>
          <w:szCs w:val="26"/>
        </w:rPr>
        <w:t xml:space="preserve"> purchase the</w:t>
      </w:r>
      <w:r w:rsidR="007F0116">
        <w:rPr>
          <w:sz w:val="26"/>
          <w:szCs w:val="26"/>
        </w:rPr>
        <w:t xml:space="preserve"> </w:t>
      </w:r>
      <w:r w:rsidR="00952772">
        <w:rPr>
          <w:sz w:val="26"/>
          <w:szCs w:val="26"/>
        </w:rPr>
        <w:t>140 acres Property from its affiliate, Forest City, pursuant to the LTA dated August 31, 2018</w:t>
      </w:r>
      <w:r w:rsidR="007573D3">
        <w:rPr>
          <w:sz w:val="26"/>
          <w:szCs w:val="26"/>
        </w:rPr>
        <w:t>.  T</w:t>
      </w:r>
      <w:r w:rsidR="00952772">
        <w:rPr>
          <w:sz w:val="26"/>
          <w:szCs w:val="26"/>
        </w:rPr>
        <w:t xml:space="preserve">his directive has not been stayed or challenged and should be acceptable as </w:t>
      </w:r>
      <w:r w:rsidR="006A1FF4">
        <w:rPr>
          <w:sz w:val="26"/>
          <w:szCs w:val="26"/>
        </w:rPr>
        <w:t>filed</w:t>
      </w:r>
      <w:r w:rsidR="00952772">
        <w:rPr>
          <w:sz w:val="26"/>
          <w:szCs w:val="26"/>
        </w:rPr>
        <w:t xml:space="preserve">.  Petition at </w:t>
      </w:r>
      <w:r w:rsidR="008E33F5">
        <w:rPr>
          <w:sz w:val="26"/>
          <w:szCs w:val="26"/>
        </w:rPr>
        <w:t>¶</w:t>
      </w:r>
      <w:r w:rsidR="00952772">
        <w:rPr>
          <w:sz w:val="26"/>
          <w:szCs w:val="26"/>
        </w:rPr>
        <w:t xml:space="preserve">10 (page 5); </w:t>
      </w:r>
      <w:r w:rsidR="008E33F5">
        <w:rPr>
          <w:sz w:val="26"/>
          <w:szCs w:val="26"/>
        </w:rPr>
        <w:t>¶</w:t>
      </w:r>
      <w:r w:rsidR="00952772">
        <w:rPr>
          <w:sz w:val="26"/>
          <w:szCs w:val="26"/>
        </w:rPr>
        <w:t>14.</w:t>
      </w:r>
    </w:p>
    <w:p w14:paraId="2F6D5A58" w14:textId="03C60981" w:rsidR="005909DE" w:rsidRDefault="005909DE" w:rsidP="005909DE">
      <w:pPr>
        <w:rPr>
          <w:sz w:val="26"/>
          <w:szCs w:val="26"/>
        </w:rPr>
      </w:pPr>
    </w:p>
    <w:p w14:paraId="5570BB61" w14:textId="0D595E5D" w:rsidR="00627473" w:rsidRDefault="006A1FF4" w:rsidP="005909DE">
      <w:pPr>
        <w:rPr>
          <w:sz w:val="26"/>
          <w:szCs w:val="26"/>
        </w:rPr>
      </w:pPr>
      <w:r>
        <w:rPr>
          <w:sz w:val="26"/>
          <w:szCs w:val="26"/>
        </w:rPr>
        <w:t>In its Petition, DSC explains that a</w:t>
      </w:r>
      <w:r w:rsidR="00952772">
        <w:rPr>
          <w:sz w:val="26"/>
          <w:szCs w:val="26"/>
        </w:rPr>
        <w:t xml:space="preserve"> dispute arises </w:t>
      </w:r>
      <w:r w:rsidR="001C1A6D">
        <w:rPr>
          <w:sz w:val="26"/>
          <w:szCs w:val="26"/>
        </w:rPr>
        <w:t>between DSC and PAWC</w:t>
      </w:r>
      <w:r>
        <w:rPr>
          <w:sz w:val="26"/>
          <w:szCs w:val="26"/>
        </w:rPr>
        <w:t xml:space="preserve"> that has resulted in the failure of PAWC to close the Transaction.  PAWC has not proceeded to closing</w:t>
      </w:r>
      <w:r w:rsidR="001C1A6D">
        <w:rPr>
          <w:sz w:val="26"/>
          <w:szCs w:val="26"/>
        </w:rPr>
        <w:t xml:space="preserve"> </w:t>
      </w:r>
      <w:r w:rsidR="00952772">
        <w:rPr>
          <w:sz w:val="26"/>
          <w:szCs w:val="26"/>
        </w:rPr>
        <w:t xml:space="preserve">based on the position of PAWC </w:t>
      </w:r>
      <w:r>
        <w:rPr>
          <w:sz w:val="26"/>
          <w:szCs w:val="26"/>
        </w:rPr>
        <w:t>and PAWC’s</w:t>
      </w:r>
      <w:r w:rsidR="001C1A6D">
        <w:rPr>
          <w:sz w:val="26"/>
          <w:szCs w:val="26"/>
        </w:rPr>
        <w:t xml:space="preserve"> </w:t>
      </w:r>
      <w:r w:rsidR="00787BCC">
        <w:rPr>
          <w:sz w:val="26"/>
          <w:szCs w:val="26"/>
        </w:rPr>
        <w:t>insistence</w:t>
      </w:r>
      <w:r w:rsidR="000D0143">
        <w:rPr>
          <w:sz w:val="26"/>
          <w:szCs w:val="26"/>
        </w:rPr>
        <w:t>,</w:t>
      </w:r>
      <w:r w:rsidR="00787BCC">
        <w:rPr>
          <w:sz w:val="26"/>
          <w:szCs w:val="26"/>
        </w:rPr>
        <w:t xml:space="preserve"> that Linde, as the “Mineral Holder” </w:t>
      </w:r>
      <w:r>
        <w:rPr>
          <w:sz w:val="26"/>
          <w:szCs w:val="26"/>
        </w:rPr>
        <w:t xml:space="preserve">of rights </w:t>
      </w:r>
      <w:r w:rsidR="00E8206D">
        <w:rPr>
          <w:sz w:val="26"/>
          <w:szCs w:val="26"/>
        </w:rPr>
        <w:t xml:space="preserve">concerning </w:t>
      </w:r>
      <w:r w:rsidR="00787BCC">
        <w:rPr>
          <w:sz w:val="26"/>
          <w:szCs w:val="26"/>
        </w:rPr>
        <w:t>the Property</w:t>
      </w:r>
      <w:r w:rsidR="001C1A6D">
        <w:rPr>
          <w:sz w:val="26"/>
          <w:szCs w:val="26"/>
        </w:rPr>
        <w:t>,</w:t>
      </w:r>
      <w:r w:rsidR="00787BCC">
        <w:rPr>
          <w:sz w:val="26"/>
          <w:szCs w:val="26"/>
        </w:rPr>
        <w:t xml:space="preserve"> enter into a Surface Use Agreement</w:t>
      </w:r>
      <w:r w:rsidR="001C1A6D">
        <w:rPr>
          <w:sz w:val="26"/>
          <w:szCs w:val="26"/>
        </w:rPr>
        <w:t xml:space="preserve"> with PAWC</w:t>
      </w:r>
      <w:r w:rsidR="00787BCC">
        <w:rPr>
          <w:sz w:val="26"/>
          <w:szCs w:val="26"/>
        </w:rPr>
        <w:t xml:space="preserve">.  Petition at ⁋14.  </w:t>
      </w:r>
      <w:r w:rsidR="00627473">
        <w:rPr>
          <w:sz w:val="26"/>
          <w:szCs w:val="26"/>
        </w:rPr>
        <w:t>A form of the proposed, Surface Use Agreement is attached to the DSC Petition.</w:t>
      </w:r>
    </w:p>
    <w:p w14:paraId="435347B8" w14:textId="6CF339B4" w:rsidR="001C1A6D" w:rsidRDefault="001C1A6D" w:rsidP="005909DE">
      <w:pPr>
        <w:rPr>
          <w:sz w:val="26"/>
          <w:szCs w:val="26"/>
        </w:rPr>
      </w:pPr>
    </w:p>
    <w:p w14:paraId="0C5823CD" w14:textId="14CC24C0" w:rsidR="00AE1F22" w:rsidRDefault="001C1A6D" w:rsidP="005909DE">
      <w:pPr>
        <w:rPr>
          <w:sz w:val="26"/>
          <w:szCs w:val="26"/>
        </w:rPr>
      </w:pPr>
      <w:r>
        <w:rPr>
          <w:sz w:val="26"/>
          <w:szCs w:val="26"/>
        </w:rPr>
        <w:t xml:space="preserve">DSC objects to the </w:t>
      </w:r>
      <w:r w:rsidR="00513528">
        <w:rPr>
          <w:sz w:val="26"/>
          <w:szCs w:val="26"/>
        </w:rPr>
        <w:t xml:space="preserve">imposition of the Surface Use Agreement by PAWC as a condition precedent to closing.  DSC states that the Surface Use Agreement was not what was negotiated among the </w:t>
      </w:r>
      <w:r w:rsidR="000D0143">
        <w:rPr>
          <w:sz w:val="26"/>
          <w:szCs w:val="26"/>
        </w:rPr>
        <w:t>P</w:t>
      </w:r>
      <w:r w:rsidR="00513528">
        <w:rPr>
          <w:sz w:val="26"/>
          <w:szCs w:val="26"/>
        </w:rPr>
        <w:t>arties as part of the Settlement, is beyond what was negotiated and approved by the Commission</w:t>
      </w:r>
      <w:r w:rsidR="000D0143">
        <w:rPr>
          <w:sz w:val="26"/>
          <w:szCs w:val="26"/>
        </w:rPr>
        <w:t xml:space="preserve"> in the orders </w:t>
      </w:r>
      <w:r w:rsidR="007573D3">
        <w:rPr>
          <w:sz w:val="26"/>
          <w:szCs w:val="26"/>
        </w:rPr>
        <w:t xml:space="preserve">entered in </w:t>
      </w:r>
      <w:r w:rsidR="000D0143">
        <w:rPr>
          <w:sz w:val="26"/>
          <w:szCs w:val="26"/>
        </w:rPr>
        <w:t>the proceeding</w:t>
      </w:r>
      <w:r w:rsidR="00513528">
        <w:rPr>
          <w:sz w:val="26"/>
          <w:szCs w:val="26"/>
        </w:rPr>
        <w:t xml:space="preserve">, </w:t>
      </w:r>
      <w:r w:rsidR="007E57BC">
        <w:rPr>
          <w:sz w:val="26"/>
          <w:szCs w:val="26"/>
        </w:rPr>
        <w:t xml:space="preserve">and </w:t>
      </w:r>
      <w:r w:rsidR="00AE1F22">
        <w:rPr>
          <w:sz w:val="26"/>
          <w:szCs w:val="26"/>
        </w:rPr>
        <w:t>i</w:t>
      </w:r>
      <w:r w:rsidR="00513528">
        <w:rPr>
          <w:sz w:val="26"/>
          <w:szCs w:val="26"/>
        </w:rPr>
        <w:t>s</w:t>
      </w:r>
      <w:r w:rsidR="00AE1F22">
        <w:rPr>
          <w:sz w:val="26"/>
          <w:szCs w:val="26"/>
        </w:rPr>
        <w:t xml:space="preserve"> a document</w:t>
      </w:r>
      <w:r w:rsidR="00513528">
        <w:rPr>
          <w:sz w:val="26"/>
          <w:szCs w:val="26"/>
        </w:rPr>
        <w:t xml:space="preserve"> unilaterally drafted by PAWC in October, 2020, </w:t>
      </w:r>
      <w:r w:rsidR="007E57BC">
        <w:rPr>
          <w:sz w:val="26"/>
          <w:szCs w:val="26"/>
        </w:rPr>
        <w:t xml:space="preserve">without any discussion with Linde.  Petition at ⁋11.  DSC adds that the proposed Surface Use Agreement is not a </w:t>
      </w:r>
      <w:r w:rsidR="000D0143">
        <w:rPr>
          <w:sz w:val="26"/>
          <w:szCs w:val="26"/>
        </w:rPr>
        <w:t>“</w:t>
      </w:r>
      <w:r w:rsidR="007E57BC">
        <w:rPr>
          <w:sz w:val="26"/>
          <w:szCs w:val="26"/>
        </w:rPr>
        <w:t>normal</w:t>
      </w:r>
      <w:r w:rsidR="000D0143">
        <w:rPr>
          <w:sz w:val="26"/>
          <w:szCs w:val="26"/>
        </w:rPr>
        <w:t>”</w:t>
      </w:r>
      <w:r w:rsidR="007E57BC">
        <w:rPr>
          <w:sz w:val="26"/>
          <w:szCs w:val="26"/>
        </w:rPr>
        <w:t xml:space="preserve"> closing document confirming the terms of the Land Use Agreement</w:t>
      </w:r>
      <w:r w:rsidR="00AE1F22">
        <w:rPr>
          <w:sz w:val="26"/>
          <w:szCs w:val="26"/>
        </w:rPr>
        <w:t xml:space="preserve">.  Petition at </w:t>
      </w:r>
      <w:r w:rsidR="008E33F5">
        <w:rPr>
          <w:sz w:val="26"/>
          <w:szCs w:val="26"/>
        </w:rPr>
        <w:t>¶ </w:t>
      </w:r>
      <w:r w:rsidR="00AE1F22">
        <w:rPr>
          <w:sz w:val="26"/>
          <w:szCs w:val="26"/>
        </w:rPr>
        <w:t xml:space="preserve">12. </w:t>
      </w:r>
    </w:p>
    <w:p w14:paraId="4A9624F3" w14:textId="77777777" w:rsidR="00AE1F22" w:rsidRDefault="00AE1F22" w:rsidP="005909DE">
      <w:pPr>
        <w:rPr>
          <w:sz w:val="26"/>
          <w:szCs w:val="26"/>
        </w:rPr>
      </w:pPr>
    </w:p>
    <w:p w14:paraId="62AEB65E" w14:textId="02C87B83" w:rsidR="005533E9" w:rsidRDefault="00AE1F22" w:rsidP="00BD5C9E">
      <w:pPr>
        <w:rPr>
          <w:sz w:val="26"/>
          <w:szCs w:val="26"/>
        </w:rPr>
      </w:pPr>
      <w:r>
        <w:rPr>
          <w:sz w:val="26"/>
          <w:szCs w:val="26"/>
        </w:rPr>
        <w:t xml:space="preserve">In conclusion, DSC </w:t>
      </w:r>
      <w:r w:rsidR="00BD5C9E">
        <w:rPr>
          <w:sz w:val="26"/>
          <w:szCs w:val="26"/>
        </w:rPr>
        <w:t>avers that the Surface Use Agreement is not a document that PAWC had any reasonable expectation would be signed and recorded</w:t>
      </w:r>
      <w:r w:rsidR="00EB09CC">
        <w:rPr>
          <w:sz w:val="26"/>
          <w:szCs w:val="26"/>
        </w:rPr>
        <w:t xml:space="preserve"> as part of the Transaction</w:t>
      </w:r>
      <w:r w:rsidR="00BD5C9E">
        <w:rPr>
          <w:sz w:val="26"/>
          <w:szCs w:val="26"/>
        </w:rPr>
        <w:t xml:space="preserve">. </w:t>
      </w:r>
      <w:r w:rsidR="00EB09CC">
        <w:rPr>
          <w:sz w:val="26"/>
          <w:szCs w:val="26"/>
        </w:rPr>
        <w:t xml:space="preserve"> </w:t>
      </w:r>
      <w:r w:rsidR="00BD5C9E">
        <w:rPr>
          <w:sz w:val="26"/>
          <w:szCs w:val="26"/>
        </w:rPr>
        <w:t xml:space="preserve">Petition at </w:t>
      </w:r>
      <w:r w:rsidR="0079641F">
        <w:rPr>
          <w:sz w:val="26"/>
          <w:szCs w:val="26"/>
        </w:rPr>
        <w:t xml:space="preserve">¶ </w:t>
      </w:r>
      <w:r w:rsidR="00BD5C9E">
        <w:rPr>
          <w:sz w:val="26"/>
          <w:szCs w:val="26"/>
        </w:rPr>
        <w:t xml:space="preserve">13.  Contrary to the position of PAWC, DSC asserts that the reasonable expectation </w:t>
      </w:r>
      <w:r w:rsidR="005533E9">
        <w:rPr>
          <w:sz w:val="26"/>
          <w:szCs w:val="26"/>
        </w:rPr>
        <w:t xml:space="preserve">of the Parties </w:t>
      </w:r>
      <w:r w:rsidR="00BD5C9E">
        <w:rPr>
          <w:sz w:val="26"/>
          <w:szCs w:val="26"/>
        </w:rPr>
        <w:t xml:space="preserve">was that </w:t>
      </w:r>
      <w:r w:rsidR="005533E9">
        <w:rPr>
          <w:sz w:val="26"/>
          <w:szCs w:val="26"/>
        </w:rPr>
        <w:t xml:space="preserve">the </w:t>
      </w:r>
      <w:r w:rsidR="00BD5C9E">
        <w:rPr>
          <w:sz w:val="26"/>
          <w:szCs w:val="26"/>
        </w:rPr>
        <w:t>closing of the Transaction would proceed according to the ex</w:t>
      </w:r>
      <w:r w:rsidR="005533E9">
        <w:rPr>
          <w:sz w:val="26"/>
          <w:szCs w:val="26"/>
        </w:rPr>
        <w:t>e</w:t>
      </w:r>
      <w:r w:rsidR="00BD5C9E">
        <w:rPr>
          <w:sz w:val="26"/>
          <w:szCs w:val="26"/>
        </w:rPr>
        <w:t>cute</w:t>
      </w:r>
      <w:r w:rsidR="005533E9">
        <w:rPr>
          <w:sz w:val="26"/>
          <w:szCs w:val="26"/>
        </w:rPr>
        <w:t>d</w:t>
      </w:r>
      <w:r w:rsidR="00BD5C9E">
        <w:rPr>
          <w:sz w:val="26"/>
          <w:szCs w:val="26"/>
        </w:rPr>
        <w:t xml:space="preserve"> LTA and Indenture</w:t>
      </w:r>
      <w:r w:rsidR="005533E9">
        <w:rPr>
          <w:sz w:val="26"/>
          <w:szCs w:val="26"/>
        </w:rPr>
        <w:t xml:space="preserve"> - </w:t>
      </w:r>
      <w:r w:rsidR="00BD5C9E">
        <w:rPr>
          <w:sz w:val="26"/>
          <w:szCs w:val="26"/>
        </w:rPr>
        <w:t xml:space="preserve">documents that were part of the </w:t>
      </w:r>
      <w:r w:rsidR="00BD5C9E">
        <w:rPr>
          <w:i/>
          <w:iCs/>
          <w:sz w:val="26"/>
          <w:szCs w:val="26"/>
        </w:rPr>
        <w:t>Se</w:t>
      </w:r>
      <w:r w:rsidR="005533E9">
        <w:rPr>
          <w:i/>
          <w:iCs/>
          <w:sz w:val="26"/>
          <w:szCs w:val="26"/>
        </w:rPr>
        <w:t>ttlement</w:t>
      </w:r>
      <w:r w:rsidR="00BD5C9E">
        <w:rPr>
          <w:i/>
          <w:iCs/>
          <w:sz w:val="26"/>
          <w:szCs w:val="26"/>
        </w:rPr>
        <w:t xml:space="preserve"> of All Issues </w:t>
      </w:r>
      <w:r w:rsidR="00BD5C9E" w:rsidRPr="00BD5C9E">
        <w:rPr>
          <w:sz w:val="26"/>
          <w:szCs w:val="26"/>
        </w:rPr>
        <w:t>approved by the Commission in the</w:t>
      </w:r>
      <w:r w:rsidR="00BD5C9E">
        <w:rPr>
          <w:i/>
          <w:iCs/>
          <w:sz w:val="26"/>
          <w:szCs w:val="26"/>
        </w:rPr>
        <w:t xml:space="preserve"> </w:t>
      </w:r>
      <w:r w:rsidR="00BD5C9E" w:rsidRPr="00BD5C9E">
        <w:rPr>
          <w:i/>
          <w:iCs/>
          <w:sz w:val="26"/>
          <w:szCs w:val="26"/>
        </w:rPr>
        <w:t>Tentat</w:t>
      </w:r>
      <w:r w:rsidR="00BD5C9E">
        <w:rPr>
          <w:i/>
          <w:iCs/>
          <w:sz w:val="26"/>
          <w:szCs w:val="26"/>
        </w:rPr>
        <w:t>i</w:t>
      </w:r>
      <w:r w:rsidR="00BD5C9E" w:rsidRPr="00BD5C9E">
        <w:rPr>
          <w:i/>
          <w:iCs/>
          <w:sz w:val="26"/>
          <w:szCs w:val="26"/>
        </w:rPr>
        <w:t>ve Order</w:t>
      </w:r>
      <w:r w:rsidR="00BD5C9E">
        <w:rPr>
          <w:i/>
          <w:iCs/>
          <w:sz w:val="26"/>
          <w:szCs w:val="26"/>
        </w:rPr>
        <w:t xml:space="preserve"> </w:t>
      </w:r>
      <w:r w:rsidR="00BD5C9E" w:rsidRPr="00BD5C9E">
        <w:rPr>
          <w:sz w:val="26"/>
          <w:szCs w:val="26"/>
        </w:rPr>
        <w:t xml:space="preserve">and </w:t>
      </w:r>
      <w:r w:rsidR="00BD5C9E">
        <w:rPr>
          <w:i/>
          <w:iCs/>
          <w:sz w:val="26"/>
          <w:szCs w:val="26"/>
        </w:rPr>
        <w:t xml:space="preserve">Final Order </w:t>
      </w:r>
      <w:r w:rsidR="00BD5C9E" w:rsidRPr="00BD5C9E">
        <w:rPr>
          <w:sz w:val="26"/>
          <w:szCs w:val="26"/>
        </w:rPr>
        <w:t>in th</w:t>
      </w:r>
      <w:r w:rsidR="00BD5C9E">
        <w:rPr>
          <w:sz w:val="26"/>
          <w:szCs w:val="26"/>
        </w:rPr>
        <w:t>e</w:t>
      </w:r>
      <w:r w:rsidR="00BD5C9E" w:rsidRPr="00BD5C9E">
        <w:rPr>
          <w:sz w:val="26"/>
          <w:szCs w:val="26"/>
        </w:rPr>
        <w:t xml:space="preserve"> proceedings</w:t>
      </w:r>
      <w:r w:rsidR="00BD5C9E">
        <w:rPr>
          <w:i/>
          <w:iCs/>
          <w:sz w:val="26"/>
          <w:szCs w:val="26"/>
        </w:rPr>
        <w:t>.  Id</w:t>
      </w:r>
      <w:r w:rsidR="00BD5C9E">
        <w:rPr>
          <w:sz w:val="26"/>
          <w:szCs w:val="26"/>
        </w:rPr>
        <w:t xml:space="preserve">. </w:t>
      </w:r>
    </w:p>
    <w:p w14:paraId="0249EE15" w14:textId="738743BB" w:rsidR="00BD5C9E" w:rsidRDefault="00BD5C9E" w:rsidP="00BD5C9E">
      <w:pPr>
        <w:rPr>
          <w:sz w:val="26"/>
          <w:szCs w:val="26"/>
        </w:rPr>
      </w:pPr>
      <w:r>
        <w:rPr>
          <w:sz w:val="26"/>
          <w:szCs w:val="26"/>
        </w:rPr>
        <w:t xml:space="preserve"> </w:t>
      </w:r>
    </w:p>
    <w:p w14:paraId="1775272A" w14:textId="587AD845" w:rsidR="00CE399E" w:rsidRDefault="005533E9" w:rsidP="00C77B8A">
      <w:pPr>
        <w:rPr>
          <w:sz w:val="26"/>
          <w:szCs w:val="26"/>
        </w:rPr>
      </w:pPr>
      <w:r>
        <w:rPr>
          <w:sz w:val="26"/>
          <w:szCs w:val="26"/>
        </w:rPr>
        <w:t xml:space="preserve">For relief, </w:t>
      </w:r>
      <w:r w:rsidR="00BD5C9E">
        <w:rPr>
          <w:sz w:val="26"/>
          <w:szCs w:val="26"/>
        </w:rPr>
        <w:t>DSC requests that PAWC be directed to proceed with closing by</w:t>
      </w:r>
      <w:r>
        <w:rPr>
          <w:sz w:val="26"/>
          <w:szCs w:val="26"/>
        </w:rPr>
        <w:t xml:space="preserve"> a date certain</w:t>
      </w:r>
      <w:r w:rsidR="00C44E5D">
        <w:rPr>
          <w:sz w:val="26"/>
          <w:szCs w:val="26"/>
        </w:rPr>
        <w:t xml:space="preserve"> of</w:t>
      </w:r>
      <w:r w:rsidR="00BD5C9E">
        <w:rPr>
          <w:sz w:val="26"/>
          <w:szCs w:val="26"/>
        </w:rPr>
        <w:t xml:space="preserve"> March 1, 2021</w:t>
      </w:r>
      <w:r w:rsidR="00C44E5D">
        <w:rPr>
          <w:sz w:val="26"/>
          <w:szCs w:val="26"/>
        </w:rPr>
        <w:t xml:space="preserve"> but does not </w:t>
      </w:r>
      <w:r>
        <w:rPr>
          <w:sz w:val="26"/>
          <w:szCs w:val="26"/>
        </w:rPr>
        <w:t xml:space="preserve">offer </w:t>
      </w:r>
      <w:r w:rsidR="00BD5C9E">
        <w:rPr>
          <w:sz w:val="26"/>
          <w:szCs w:val="26"/>
        </w:rPr>
        <w:t xml:space="preserve">any explanation for </w:t>
      </w:r>
      <w:r w:rsidR="00C44E5D">
        <w:rPr>
          <w:sz w:val="26"/>
          <w:szCs w:val="26"/>
        </w:rPr>
        <w:t xml:space="preserve">that </w:t>
      </w:r>
      <w:r w:rsidR="00407AA6">
        <w:rPr>
          <w:sz w:val="26"/>
          <w:szCs w:val="26"/>
        </w:rPr>
        <w:t xml:space="preserve">date </w:t>
      </w:r>
      <w:r w:rsidR="00CE399E">
        <w:rPr>
          <w:sz w:val="26"/>
          <w:szCs w:val="26"/>
        </w:rPr>
        <w:t>in the Petition.</w:t>
      </w:r>
    </w:p>
    <w:p w14:paraId="465E84E4" w14:textId="77777777" w:rsidR="00CE399E" w:rsidRDefault="00CE399E" w:rsidP="005909DE">
      <w:pPr>
        <w:rPr>
          <w:sz w:val="26"/>
          <w:szCs w:val="26"/>
        </w:rPr>
      </w:pPr>
    </w:p>
    <w:p w14:paraId="49F9A2C1" w14:textId="14B666AC" w:rsidR="001C1A6D" w:rsidRDefault="00CE399E" w:rsidP="00CE399E">
      <w:pPr>
        <w:ind w:firstLine="0"/>
        <w:rPr>
          <w:b/>
          <w:bCs/>
          <w:sz w:val="26"/>
          <w:szCs w:val="26"/>
        </w:rPr>
      </w:pPr>
      <w:r w:rsidRPr="00CE399E">
        <w:rPr>
          <w:b/>
          <w:bCs/>
          <w:sz w:val="26"/>
          <w:szCs w:val="26"/>
        </w:rPr>
        <w:t>B</w:t>
      </w:r>
      <w:r>
        <w:rPr>
          <w:b/>
          <w:bCs/>
          <w:sz w:val="26"/>
          <w:szCs w:val="26"/>
        </w:rPr>
        <w:t>.</w:t>
      </w:r>
      <w:r w:rsidRPr="00CE399E">
        <w:rPr>
          <w:b/>
          <w:bCs/>
          <w:sz w:val="26"/>
          <w:szCs w:val="26"/>
        </w:rPr>
        <w:tab/>
        <w:t>PAWC Answer and New Matter</w:t>
      </w:r>
      <w:r w:rsidR="00555E25" w:rsidRPr="00B33966">
        <w:rPr>
          <w:rStyle w:val="FootnoteReference"/>
          <w:sz w:val="26"/>
          <w:szCs w:val="26"/>
        </w:rPr>
        <w:footnoteReference w:id="7"/>
      </w:r>
    </w:p>
    <w:p w14:paraId="25642175" w14:textId="77777777" w:rsidR="000E57DD" w:rsidRPr="00CE399E" w:rsidRDefault="000E57DD" w:rsidP="00CE399E">
      <w:pPr>
        <w:ind w:firstLine="0"/>
        <w:rPr>
          <w:b/>
          <w:bCs/>
          <w:sz w:val="26"/>
          <w:szCs w:val="26"/>
        </w:rPr>
      </w:pPr>
    </w:p>
    <w:p w14:paraId="54D2C1CA" w14:textId="1ADFA9EE" w:rsidR="001917E1" w:rsidRDefault="00C0091A" w:rsidP="00925E69">
      <w:pPr>
        <w:rPr>
          <w:sz w:val="26"/>
          <w:szCs w:val="26"/>
        </w:rPr>
      </w:pPr>
      <w:r w:rsidRPr="00925E69">
        <w:rPr>
          <w:sz w:val="26"/>
          <w:szCs w:val="26"/>
        </w:rPr>
        <w:t xml:space="preserve">In its Answer, PAWC opposes </w:t>
      </w:r>
      <w:r w:rsidR="00925E69" w:rsidRPr="00925E69">
        <w:rPr>
          <w:sz w:val="26"/>
          <w:szCs w:val="26"/>
        </w:rPr>
        <w:t xml:space="preserve">the Petition on the basis, </w:t>
      </w:r>
      <w:r w:rsidR="00925E69" w:rsidRPr="00925E69">
        <w:rPr>
          <w:i/>
          <w:iCs/>
          <w:sz w:val="26"/>
          <w:szCs w:val="26"/>
        </w:rPr>
        <w:t>inter alia</w:t>
      </w:r>
      <w:r w:rsidR="00925E69" w:rsidRPr="00925E69">
        <w:rPr>
          <w:sz w:val="26"/>
          <w:szCs w:val="26"/>
        </w:rPr>
        <w:t>, that DSC seeks to amend a final Commission Order by requiring the closing of the Transaction by a date certain without, allegedly, a change in facts.  Answer at 4.</w:t>
      </w:r>
      <w:r w:rsidR="00925E69">
        <w:rPr>
          <w:sz w:val="26"/>
          <w:szCs w:val="26"/>
        </w:rPr>
        <w:t xml:space="preserve">  PAWC cites </w:t>
      </w:r>
      <w:hyperlink r:id="rId8" w:anchor="co_pp_sp_930_558" w:history="1">
        <w:proofErr w:type="spellStart"/>
        <w:r w:rsidR="00A34A18" w:rsidRPr="008E23F9">
          <w:rPr>
            <w:rStyle w:val="Hyperlink"/>
            <w:i/>
            <w:iCs/>
            <w:color w:val="auto"/>
            <w:sz w:val="26"/>
            <w:szCs w:val="26"/>
            <w:u w:val="none"/>
          </w:rPr>
          <w:t>Duick</w:t>
        </w:r>
        <w:proofErr w:type="spellEnd"/>
        <w:r w:rsidR="00A34A18" w:rsidRPr="008E23F9">
          <w:rPr>
            <w:rStyle w:val="Hyperlink"/>
            <w:i/>
            <w:iCs/>
            <w:color w:val="auto"/>
            <w:sz w:val="26"/>
            <w:szCs w:val="26"/>
            <w:u w:val="none"/>
          </w:rPr>
          <w:t xml:space="preserve"> v. P</w:t>
        </w:r>
        <w:r w:rsidR="00A34A18">
          <w:rPr>
            <w:rStyle w:val="Hyperlink"/>
            <w:i/>
            <w:iCs/>
            <w:color w:val="auto"/>
            <w:sz w:val="26"/>
            <w:szCs w:val="26"/>
            <w:u w:val="none"/>
          </w:rPr>
          <w:t>a.</w:t>
        </w:r>
        <w:r w:rsidR="00A34A18" w:rsidRPr="008E23F9">
          <w:rPr>
            <w:rStyle w:val="Hyperlink"/>
            <w:i/>
            <w:iCs/>
            <w:color w:val="auto"/>
            <w:sz w:val="26"/>
            <w:szCs w:val="26"/>
            <w:u w:val="none"/>
          </w:rPr>
          <w:t xml:space="preserve"> Gas &amp; Water Co</w:t>
        </w:r>
        <w:r w:rsidR="00A34A18" w:rsidRPr="008E23F9">
          <w:rPr>
            <w:rStyle w:val="Hyperlink"/>
            <w:color w:val="auto"/>
            <w:sz w:val="26"/>
            <w:szCs w:val="26"/>
            <w:u w:val="none"/>
          </w:rPr>
          <w:t>., 56 Pa</w:t>
        </w:r>
        <w:r w:rsidR="00CC5CE1">
          <w:rPr>
            <w:rStyle w:val="Hyperlink"/>
            <w:color w:val="auto"/>
            <w:sz w:val="26"/>
            <w:szCs w:val="26"/>
            <w:u w:val="none"/>
          </w:rPr>
          <w:t>.</w:t>
        </w:r>
        <w:r w:rsidR="00A34A18" w:rsidRPr="008E23F9">
          <w:rPr>
            <w:rStyle w:val="Hyperlink"/>
            <w:color w:val="auto"/>
            <w:sz w:val="26"/>
            <w:szCs w:val="26"/>
            <w:u w:val="none"/>
          </w:rPr>
          <w:t xml:space="preserve"> PUC 553, 558</w:t>
        </w:r>
        <w:r w:rsidR="00CC5CE1">
          <w:rPr>
            <w:rStyle w:val="Hyperlink"/>
            <w:color w:val="auto"/>
            <w:sz w:val="26"/>
            <w:szCs w:val="26"/>
            <w:u w:val="none"/>
          </w:rPr>
          <w:t>-</w:t>
        </w:r>
        <w:r w:rsidR="00A34A18" w:rsidRPr="008E23F9">
          <w:rPr>
            <w:rStyle w:val="Hyperlink"/>
            <w:color w:val="auto"/>
            <w:sz w:val="26"/>
            <w:szCs w:val="26"/>
            <w:u w:val="none"/>
          </w:rPr>
          <w:t>559</w:t>
        </w:r>
        <w:r w:rsidR="00CC5CE1">
          <w:rPr>
            <w:rStyle w:val="Hyperlink"/>
            <w:color w:val="auto"/>
            <w:sz w:val="26"/>
            <w:szCs w:val="26"/>
            <w:u w:val="none"/>
          </w:rPr>
          <w:t xml:space="preserve"> (1983);</w:t>
        </w:r>
        <w:r w:rsidR="00A34A18" w:rsidRPr="008E23F9">
          <w:rPr>
            <w:rStyle w:val="Hyperlink"/>
            <w:color w:val="auto"/>
            <w:sz w:val="26"/>
            <w:szCs w:val="26"/>
            <w:u w:val="none"/>
          </w:rPr>
          <w:t xml:space="preserve"> 51 PUR4th 284, 288</w:t>
        </w:r>
        <w:r w:rsidR="00CC5CE1">
          <w:rPr>
            <w:rStyle w:val="Hyperlink"/>
            <w:color w:val="auto"/>
            <w:sz w:val="26"/>
            <w:szCs w:val="26"/>
            <w:u w:val="none"/>
          </w:rPr>
          <w:t>-</w:t>
        </w:r>
        <w:r w:rsidR="00A34A18" w:rsidRPr="008E23F9">
          <w:rPr>
            <w:rStyle w:val="Hyperlink"/>
            <w:color w:val="auto"/>
            <w:sz w:val="26"/>
            <w:szCs w:val="26"/>
            <w:u w:val="none"/>
          </w:rPr>
          <w:t>289 (1983)</w:t>
        </w:r>
      </w:hyperlink>
      <w:r w:rsidR="00A34A18">
        <w:rPr>
          <w:sz w:val="26"/>
          <w:szCs w:val="26"/>
        </w:rPr>
        <w:t xml:space="preserve"> </w:t>
      </w:r>
      <w:r w:rsidR="001917E1">
        <w:rPr>
          <w:sz w:val="26"/>
          <w:szCs w:val="26"/>
        </w:rPr>
        <w:t>(</w:t>
      </w:r>
      <w:proofErr w:type="spellStart"/>
      <w:r w:rsidR="001917E1">
        <w:rPr>
          <w:i/>
          <w:iCs/>
          <w:sz w:val="26"/>
          <w:szCs w:val="26"/>
        </w:rPr>
        <w:t>Duick</w:t>
      </w:r>
      <w:proofErr w:type="spellEnd"/>
      <w:r w:rsidR="001917E1">
        <w:rPr>
          <w:sz w:val="26"/>
          <w:szCs w:val="26"/>
        </w:rPr>
        <w:t xml:space="preserve">) and posits that the Petition does not meet the well-established standards of the holding in </w:t>
      </w:r>
      <w:proofErr w:type="spellStart"/>
      <w:r w:rsidR="001917E1">
        <w:rPr>
          <w:i/>
          <w:iCs/>
          <w:sz w:val="26"/>
          <w:szCs w:val="26"/>
        </w:rPr>
        <w:t>Duick</w:t>
      </w:r>
      <w:proofErr w:type="spellEnd"/>
      <w:r w:rsidR="001917E1">
        <w:rPr>
          <w:sz w:val="26"/>
          <w:szCs w:val="26"/>
        </w:rPr>
        <w:t xml:space="preserve">.  Answer at 3-5, citing also, </w:t>
      </w:r>
      <w:r w:rsidR="001917E1" w:rsidRPr="001917E1">
        <w:rPr>
          <w:i/>
          <w:iCs/>
          <w:sz w:val="26"/>
          <w:szCs w:val="26"/>
        </w:rPr>
        <w:t>Application of Susquehanna Valley Limousine, Inc.</w:t>
      </w:r>
      <w:r w:rsidR="001917E1" w:rsidRPr="001917E1">
        <w:rPr>
          <w:sz w:val="26"/>
          <w:szCs w:val="26"/>
        </w:rPr>
        <w:t>, Docket Nos. A-2013-2395502 and A-00110765 (Order entered November 13, 2014</w:t>
      </w:r>
      <w:r w:rsidR="001917E1">
        <w:rPr>
          <w:sz w:val="26"/>
          <w:szCs w:val="26"/>
        </w:rPr>
        <w:t>).</w:t>
      </w:r>
      <w:r w:rsidR="001917E1" w:rsidRPr="001917E1">
        <w:rPr>
          <w:sz w:val="26"/>
          <w:szCs w:val="26"/>
        </w:rPr>
        <w:t xml:space="preserve"> </w:t>
      </w:r>
      <w:r w:rsidR="00925E69" w:rsidRPr="001917E1">
        <w:rPr>
          <w:sz w:val="26"/>
          <w:szCs w:val="26"/>
        </w:rPr>
        <w:t xml:space="preserve"> </w:t>
      </w:r>
    </w:p>
    <w:p w14:paraId="70963109" w14:textId="77777777" w:rsidR="00925E69" w:rsidRDefault="00925E69" w:rsidP="002A273E">
      <w:pPr>
        <w:ind w:firstLine="0"/>
        <w:rPr>
          <w:sz w:val="26"/>
          <w:szCs w:val="26"/>
        </w:rPr>
      </w:pPr>
    </w:p>
    <w:p w14:paraId="05F0A6A1" w14:textId="5D855068" w:rsidR="003C31B8" w:rsidRDefault="002A273E" w:rsidP="003C31B8">
      <w:pPr>
        <w:rPr>
          <w:sz w:val="26"/>
          <w:szCs w:val="26"/>
        </w:rPr>
      </w:pPr>
      <w:r>
        <w:rPr>
          <w:sz w:val="26"/>
          <w:szCs w:val="26"/>
        </w:rPr>
        <w:t xml:space="preserve">Based on the foregoing, </w:t>
      </w:r>
      <w:r w:rsidR="003C31B8">
        <w:rPr>
          <w:sz w:val="26"/>
          <w:szCs w:val="26"/>
        </w:rPr>
        <w:t>PAWC acknowledges that t</w:t>
      </w:r>
      <w:r w:rsidR="003C31B8" w:rsidRPr="00A07F8F">
        <w:rPr>
          <w:sz w:val="26"/>
          <w:szCs w:val="26"/>
        </w:rPr>
        <w:t xml:space="preserve">here is </w:t>
      </w:r>
      <w:r w:rsidR="003C31B8">
        <w:rPr>
          <w:sz w:val="26"/>
          <w:szCs w:val="26"/>
        </w:rPr>
        <w:t>a</w:t>
      </w:r>
      <w:r w:rsidR="003C31B8" w:rsidRPr="00A07F8F">
        <w:rPr>
          <w:sz w:val="26"/>
          <w:szCs w:val="26"/>
        </w:rPr>
        <w:t xml:space="preserve"> dispute between </w:t>
      </w:r>
      <w:r w:rsidR="003C31B8">
        <w:rPr>
          <w:sz w:val="26"/>
          <w:szCs w:val="26"/>
        </w:rPr>
        <w:t>DSC and PAWC</w:t>
      </w:r>
      <w:r w:rsidR="003C31B8" w:rsidRPr="00A07F8F">
        <w:rPr>
          <w:sz w:val="26"/>
          <w:szCs w:val="26"/>
        </w:rPr>
        <w:t xml:space="preserve"> regarding the necessity for the Surface Use Agreement</w:t>
      </w:r>
      <w:r w:rsidR="003C31B8">
        <w:rPr>
          <w:sz w:val="26"/>
          <w:szCs w:val="26"/>
        </w:rPr>
        <w:t xml:space="preserve">.  </w:t>
      </w:r>
      <w:proofErr w:type="gramStart"/>
      <w:r>
        <w:rPr>
          <w:sz w:val="26"/>
          <w:szCs w:val="26"/>
        </w:rPr>
        <w:t>In light</w:t>
      </w:r>
      <w:r w:rsidR="003C31B8">
        <w:rPr>
          <w:sz w:val="26"/>
          <w:szCs w:val="26"/>
        </w:rPr>
        <w:t xml:space="preserve"> o</w:t>
      </w:r>
      <w:r>
        <w:rPr>
          <w:sz w:val="26"/>
          <w:szCs w:val="26"/>
        </w:rPr>
        <w:t>f</w:t>
      </w:r>
      <w:proofErr w:type="gramEnd"/>
      <w:r w:rsidR="003C31B8">
        <w:rPr>
          <w:sz w:val="26"/>
          <w:szCs w:val="26"/>
        </w:rPr>
        <w:t xml:space="preserve"> this factual dispute, PAWC </w:t>
      </w:r>
      <w:r w:rsidR="005720DA">
        <w:rPr>
          <w:sz w:val="26"/>
          <w:szCs w:val="26"/>
        </w:rPr>
        <w:t>agrees</w:t>
      </w:r>
      <w:r w:rsidR="003C31B8">
        <w:rPr>
          <w:sz w:val="26"/>
          <w:szCs w:val="26"/>
        </w:rPr>
        <w:t xml:space="preserve"> that</w:t>
      </w:r>
      <w:r w:rsidR="003C31B8" w:rsidRPr="00A07F8F">
        <w:rPr>
          <w:sz w:val="26"/>
          <w:szCs w:val="26"/>
        </w:rPr>
        <w:t xml:space="preserve"> a remand and evidentiary hearings would be appropriate.</w:t>
      </w:r>
      <w:r w:rsidR="003C31B8">
        <w:rPr>
          <w:sz w:val="26"/>
          <w:szCs w:val="26"/>
        </w:rPr>
        <w:t xml:space="preserve">  Answer at 8.  </w:t>
      </w:r>
      <w:r w:rsidR="003C31B8" w:rsidRPr="00A07F8F">
        <w:rPr>
          <w:sz w:val="26"/>
          <w:szCs w:val="26"/>
        </w:rPr>
        <w:t xml:space="preserve">However, </w:t>
      </w:r>
      <w:r w:rsidR="003C31B8">
        <w:rPr>
          <w:sz w:val="26"/>
          <w:szCs w:val="26"/>
        </w:rPr>
        <w:t>PAWC takes the position that should the Commission</w:t>
      </w:r>
      <w:r w:rsidR="003C31B8" w:rsidRPr="00A07F8F">
        <w:rPr>
          <w:sz w:val="26"/>
          <w:szCs w:val="26"/>
        </w:rPr>
        <w:t xml:space="preserve"> </w:t>
      </w:r>
      <w:r w:rsidR="00443E5C">
        <w:rPr>
          <w:sz w:val="26"/>
          <w:szCs w:val="26"/>
        </w:rPr>
        <w:t>direct</w:t>
      </w:r>
      <w:r w:rsidR="003C31B8">
        <w:rPr>
          <w:sz w:val="26"/>
          <w:szCs w:val="26"/>
        </w:rPr>
        <w:t xml:space="preserve"> proceedings on remand, </w:t>
      </w:r>
      <w:r w:rsidR="003C31B8" w:rsidRPr="00A07F8F">
        <w:rPr>
          <w:sz w:val="26"/>
          <w:szCs w:val="26"/>
        </w:rPr>
        <w:t xml:space="preserve">DSC </w:t>
      </w:r>
      <w:r w:rsidR="003C31B8">
        <w:rPr>
          <w:sz w:val="26"/>
          <w:szCs w:val="26"/>
        </w:rPr>
        <w:t xml:space="preserve">should be required </w:t>
      </w:r>
      <w:r w:rsidR="003C31B8" w:rsidRPr="00A07F8F">
        <w:rPr>
          <w:sz w:val="26"/>
          <w:szCs w:val="26"/>
        </w:rPr>
        <w:t>to make an affiliated interest arrangement filing for an examination of DSC</w:t>
      </w:r>
      <w:r w:rsidR="003C31B8">
        <w:rPr>
          <w:sz w:val="26"/>
          <w:szCs w:val="26"/>
        </w:rPr>
        <w:t>’</w:t>
      </w:r>
      <w:r w:rsidR="003C31B8" w:rsidRPr="00A07F8F">
        <w:rPr>
          <w:sz w:val="26"/>
          <w:szCs w:val="26"/>
        </w:rPr>
        <w:t>s affiliated interest arrangements with F</w:t>
      </w:r>
      <w:r w:rsidR="005720DA">
        <w:rPr>
          <w:sz w:val="26"/>
          <w:szCs w:val="26"/>
        </w:rPr>
        <w:t>orest City</w:t>
      </w:r>
      <w:r w:rsidR="003C31B8" w:rsidRPr="00A07F8F">
        <w:rPr>
          <w:sz w:val="26"/>
          <w:szCs w:val="26"/>
        </w:rPr>
        <w:t xml:space="preserve">, Linde, and other relevant affiliates which </w:t>
      </w:r>
      <w:r w:rsidR="003C31B8">
        <w:rPr>
          <w:sz w:val="26"/>
          <w:szCs w:val="26"/>
        </w:rPr>
        <w:t>“</w:t>
      </w:r>
      <w:r w:rsidR="003C31B8" w:rsidRPr="00A07F8F">
        <w:rPr>
          <w:sz w:val="26"/>
          <w:szCs w:val="26"/>
        </w:rPr>
        <w:t>threaten to undermine the Settlement.</w:t>
      </w:r>
      <w:r w:rsidR="003C31B8">
        <w:rPr>
          <w:sz w:val="26"/>
          <w:szCs w:val="26"/>
        </w:rPr>
        <w:t>”</w:t>
      </w:r>
      <w:r w:rsidR="003C31B8" w:rsidRPr="00A07F8F">
        <w:rPr>
          <w:sz w:val="26"/>
          <w:szCs w:val="26"/>
        </w:rPr>
        <w:t xml:space="preserve">  </w:t>
      </w:r>
      <w:r w:rsidR="003C31B8">
        <w:rPr>
          <w:i/>
          <w:iCs/>
          <w:sz w:val="26"/>
          <w:szCs w:val="26"/>
        </w:rPr>
        <w:t>Id</w:t>
      </w:r>
      <w:r w:rsidR="003C31B8" w:rsidRPr="00A07F8F">
        <w:rPr>
          <w:sz w:val="26"/>
          <w:szCs w:val="26"/>
        </w:rPr>
        <w:t>.</w:t>
      </w:r>
    </w:p>
    <w:p w14:paraId="1408BD17" w14:textId="77777777" w:rsidR="006D415D" w:rsidRDefault="006D415D" w:rsidP="003C31B8">
      <w:pPr>
        <w:rPr>
          <w:sz w:val="26"/>
          <w:szCs w:val="26"/>
        </w:rPr>
      </w:pPr>
    </w:p>
    <w:p w14:paraId="1BEF2338" w14:textId="3E797377" w:rsidR="003C31B8" w:rsidRDefault="003C31B8" w:rsidP="003C31B8">
      <w:pPr>
        <w:rPr>
          <w:sz w:val="26"/>
          <w:szCs w:val="26"/>
        </w:rPr>
      </w:pPr>
      <w:r>
        <w:rPr>
          <w:sz w:val="26"/>
          <w:szCs w:val="26"/>
        </w:rPr>
        <w:t>In the alternative, PAWC answers that</w:t>
      </w:r>
      <w:r w:rsidRPr="000737D7">
        <w:rPr>
          <w:sz w:val="26"/>
          <w:szCs w:val="26"/>
        </w:rPr>
        <w:t xml:space="preserve">, </w:t>
      </w:r>
      <w:proofErr w:type="gramStart"/>
      <w:r w:rsidRPr="000737D7">
        <w:rPr>
          <w:sz w:val="26"/>
          <w:szCs w:val="26"/>
        </w:rPr>
        <w:t>in the event that</w:t>
      </w:r>
      <w:proofErr w:type="gramEnd"/>
      <w:r w:rsidRPr="000737D7">
        <w:rPr>
          <w:sz w:val="26"/>
          <w:szCs w:val="26"/>
        </w:rPr>
        <w:t xml:space="preserve"> the Commission decides to grant the Petition</w:t>
      </w:r>
      <w:r>
        <w:rPr>
          <w:sz w:val="26"/>
          <w:szCs w:val="26"/>
        </w:rPr>
        <w:t>,</w:t>
      </w:r>
      <w:r w:rsidRPr="000737D7">
        <w:rPr>
          <w:sz w:val="26"/>
          <w:szCs w:val="26"/>
        </w:rPr>
        <w:t xml:space="preserve"> </w:t>
      </w:r>
      <w:r>
        <w:rPr>
          <w:sz w:val="26"/>
          <w:szCs w:val="26"/>
        </w:rPr>
        <w:t>that it do</w:t>
      </w:r>
      <w:r w:rsidRPr="000737D7">
        <w:rPr>
          <w:sz w:val="26"/>
          <w:szCs w:val="26"/>
        </w:rPr>
        <w:t xml:space="preserve"> so in a Tentative Order. </w:t>
      </w:r>
      <w:r>
        <w:rPr>
          <w:sz w:val="26"/>
          <w:szCs w:val="26"/>
        </w:rPr>
        <w:t xml:space="preserve"> This request is based on the observation that the </w:t>
      </w:r>
      <w:r w:rsidRPr="000737D7">
        <w:rPr>
          <w:sz w:val="26"/>
          <w:szCs w:val="26"/>
        </w:rPr>
        <w:t xml:space="preserve">decision would amend a prior Order and the Settlement it approved. </w:t>
      </w:r>
      <w:r w:rsidR="002A273E">
        <w:rPr>
          <w:sz w:val="26"/>
          <w:szCs w:val="26"/>
        </w:rPr>
        <w:t xml:space="preserve"> </w:t>
      </w:r>
      <w:r>
        <w:rPr>
          <w:sz w:val="26"/>
          <w:szCs w:val="26"/>
        </w:rPr>
        <w:t>Parties had the o</w:t>
      </w:r>
      <w:r w:rsidRPr="000737D7">
        <w:rPr>
          <w:sz w:val="26"/>
          <w:szCs w:val="26"/>
        </w:rPr>
        <w:t xml:space="preserve">pportunity to withdraw from the Settlement if it was modified by the Commission. </w:t>
      </w:r>
      <w:r>
        <w:rPr>
          <w:sz w:val="26"/>
          <w:szCs w:val="26"/>
        </w:rPr>
        <w:t xml:space="preserve"> Therefore, i</w:t>
      </w:r>
      <w:r w:rsidRPr="000737D7">
        <w:rPr>
          <w:sz w:val="26"/>
          <w:szCs w:val="26"/>
        </w:rPr>
        <w:t xml:space="preserve">f the Commission modifies the Settlement, </w:t>
      </w:r>
      <w:r w:rsidR="002A273E">
        <w:rPr>
          <w:sz w:val="26"/>
          <w:szCs w:val="26"/>
        </w:rPr>
        <w:t xml:space="preserve">PAWC argues that, </w:t>
      </w:r>
      <w:r w:rsidRPr="000737D7">
        <w:rPr>
          <w:sz w:val="26"/>
          <w:szCs w:val="26"/>
        </w:rPr>
        <w:t xml:space="preserve">by requiring closing on the Transaction by a date certain, the Commission must give the </w:t>
      </w:r>
      <w:r w:rsidR="00060B08">
        <w:rPr>
          <w:sz w:val="26"/>
          <w:szCs w:val="26"/>
        </w:rPr>
        <w:t>P</w:t>
      </w:r>
      <w:r w:rsidRPr="000737D7">
        <w:rPr>
          <w:sz w:val="26"/>
          <w:szCs w:val="26"/>
        </w:rPr>
        <w:t>arties an opportunity to withdraw from the Settlemen</w:t>
      </w:r>
      <w:r>
        <w:rPr>
          <w:sz w:val="26"/>
          <w:szCs w:val="26"/>
        </w:rPr>
        <w:t>t.  Answer at 8.</w:t>
      </w:r>
    </w:p>
    <w:p w14:paraId="6678CE27" w14:textId="77777777" w:rsidR="002A273E" w:rsidRDefault="002A273E" w:rsidP="003C31B8">
      <w:pPr>
        <w:rPr>
          <w:sz w:val="26"/>
          <w:szCs w:val="26"/>
        </w:rPr>
      </w:pPr>
    </w:p>
    <w:p w14:paraId="336E6468" w14:textId="482082C1" w:rsidR="003942D0" w:rsidRDefault="00C11623" w:rsidP="0079641F">
      <w:pPr>
        <w:autoSpaceDE w:val="0"/>
        <w:autoSpaceDN w:val="0"/>
        <w:adjustRightInd w:val="0"/>
        <w:rPr>
          <w:sz w:val="26"/>
          <w:szCs w:val="26"/>
        </w:rPr>
      </w:pPr>
      <w:r>
        <w:rPr>
          <w:sz w:val="26"/>
          <w:szCs w:val="26"/>
        </w:rPr>
        <w:t xml:space="preserve">The crux of PAWC’s position </w:t>
      </w:r>
      <w:r w:rsidR="00443E5C">
        <w:rPr>
          <w:sz w:val="26"/>
          <w:szCs w:val="26"/>
        </w:rPr>
        <w:t xml:space="preserve">in opposition to the DSC Petition </w:t>
      </w:r>
      <w:r>
        <w:rPr>
          <w:sz w:val="26"/>
          <w:szCs w:val="26"/>
        </w:rPr>
        <w:t xml:space="preserve">is set forth at Paragraph </w:t>
      </w:r>
      <w:r w:rsidR="00443E5C">
        <w:rPr>
          <w:sz w:val="26"/>
          <w:szCs w:val="26"/>
        </w:rPr>
        <w:t xml:space="preserve">No. </w:t>
      </w:r>
      <w:r>
        <w:rPr>
          <w:sz w:val="26"/>
          <w:szCs w:val="26"/>
        </w:rPr>
        <w:t xml:space="preserve">9 of its Answer. </w:t>
      </w:r>
      <w:r w:rsidR="005720DA">
        <w:rPr>
          <w:sz w:val="26"/>
          <w:szCs w:val="26"/>
        </w:rPr>
        <w:t xml:space="preserve"> In further support of its position, </w:t>
      </w:r>
      <w:r w:rsidR="003942D0">
        <w:rPr>
          <w:sz w:val="26"/>
          <w:szCs w:val="26"/>
        </w:rPr>
        <w:t xml:space="preserve">PAWC </w:t>
      </w:r>
      <w:r w:rsidR="005720DA">
        <w:rPr>
          <w:sz w:val="26"/>
          <w:szCs w:val="26"/>
        </w:rPr>
        <w:t xml:space="preserve">also </w:t>
      </w:r>
      <w:r w:rsidR="003942D0">
        <w:rPr>
          <w:sz w:val="26"/>
          <w:szCs w:val="26"/>
        </w:rPr>
        <w:t xml:space="preserve">cites to Sections </w:t>
      </w:r>
      <w:r w:rsidR="003942D0" w:rsidRPr="00AE6BFD">
        <w:rPr>
          <w:sz w:val="26"/>
          <w:szCs w:val="26"/>
        </w:rPr>
        <w:t>6.3 and 6.4 of the APA</w:t>
      </w:r>
      <w:r w:rsidR="003942D0">
        <w:rPr>
          <w:sz w:val="26"/>
          <w:szCs w:val="26"/>
        </w:rPr>
        <w:t>, which</w:t>
      </w:r>
      <w:r w:rsidR="003942D0" w:rsidRPr="00AE6BFD">
        <w:rPr>
          <w:sz w:val="26"/>
          <w:szCs w:val="26"/>
        </w:rPr>
        <w:t xml:space="preserve"> require DSC to cooperate with PAWC to cause to be taken any actions reasonably requested by the other party to make effective the transactions contemplated in the APA.</w:t>
      </w:r>
      <w:r w:rsidR="003942D0">
        <w:rPr>
          <w:sz w:val="26"/>
          <w:szCs w:val="26"/>
        </w:rPr>
        <w:t xml:space="preserve">  Answer at 15.</w:t>
      </w:r>
    </w:p>
    <w:p w14:paraId="5CCEA5B5" w14:textId="7EB80A95" w:rsidR="00496052" w:rsidRDefault="00496052" w:rsidP="0079641F">
      <w:pPr>
        <w:ind w:firstLine="0"/>
        <w:rPr>
          <w:sz w:val="26"/>
          <w:szCs w:val="26"/>
        </w:rPr>
      </w:pPr>
    </w:p>
    <w:p w14:paraId="026D3F18" w14:textId="77777777" w:rsidR="003910C0" w:rsidRDefault="0022486F" w:rsidP="0079641F">
      <w:pPr>
        <w:rPr>
          <w:sz w:val="26"/>
          <w:szCs w:val="26"/>
        </w:rPr>
      </w:pPr>
      <w:r>
        <w:rPr>
          <w:sz w:val="26"/>
          <w:szCs w:val="26"/>
        </w:rPr>
        <w:t>In New Matter, PAW</w:t>
      </w:r>
      <w:r w:rsidR="00335CB5">
        <w:rPr>
          <w:sz w:val="26"/>
          <w:szCs w:val="26"/>
        </w:rPr>
        <w:t>C</w:t>
      </w:r>
      <w:r>
        <w:rPr>
          <w:sz w:val="26"/>
          <w:szCs w:val="26"/>
        </w:rPr>
        <w:t xml:space="preserve"> </w:t>
      </w:r>
      <w:r w:rsidR="00335CB5">
        <w:rPr>
          <w:sz w:val="26"/>
          <w:szCs w:val="26"/>
        </w:rPr>
        <w:t>exp</w:t>
      </w:r>
      <w:r>
        <w:rPr>
          <w:sz w:val="26"/>
          <w:szCs w:val="26"/>
        </w:rPr>
        <w:t>lains that DSC should be directed to make an affiliated interest filing with the Commission.</w:t>
      </w:r>
      <w:r w:rsidR="00335CB5">
        <w:rPr>
          <w:sz w:val="26"/>
          <w:szCs w:val="26"/>
        </w:rPr>
        <w:t xml:space="preserve">  PAWC relies upon Section 2101 and 2102 of the Code, 66 Pa. C.S. §</w:t>
      </w:r>
      <w:r w:rsidR="008E6211">
        <w:rPr>
          <w:sz w:val="26"/>
          <w:szCs w:val="26"/>
        </w:rPr>
        <w:t>§</w:t>
      </w:r>
      <w:r w:rsidR="00335CB5">
        <w:rPr>
          <w:sz w:val="26"/>
          <w:szCs w:val="26"/>
        </w:rPr>
        <w:t xml:space="preserve"> 2101; 2102, to argue that the Linde-Forest City deed, (Indenture) is part of an affiliated interest arrangement that has not been submitted to the Commission for </w:t>
      </w:r>
      <w:r w:rsidR="003910C0">
        <w:rPr>
          <w:sz w:val="26"/>
          <w:szCs w:val="26"/>
        </w:rPr>
        <w:t xml:space="preserve">review and </w:t>
      </w:r>
      <w:r w:rsidR="00335CB5">
        <w:rPr>
          <w:sz w:val="26"/>
          <w:szCs w:val="26"/>
        </w:rPr>
        <w:t xml:space="preserve">approval as consistent with the public interest.  Answer at 19. </w:t>
      </w:r>
    </w:p>
    <w:p w14:paraId="6B07690B" w14:textId="77777777" w:rsidR="003910C0" w:rsidRDefault="003910C0" w:rsidP="00DB61FB">
      <w:pPr>
        <w:rPr>
          <w:sz w:val="26"/>
          <w:szCs w:val="26"/>
        </w:rPr>
      </w:pPr>
    </w:p>
    <w:p w14:paraId="09D67DCD" w14:textId="51745BAB" w:rsidR="00335CB5" w:rsidRDefault="003910C0" w:rsidP="00DB61FB">
      <w:pPr>
        <w:rPr>
          <w:sz w:val="26"/>
          <w:szCs w:val="26"/>
        </w:rPr>
      </w:pPr>
      <w:r>
        <w:rPr>
          <w:sz w:val="26"/>
          <w:szCs w:val="26"/>
        </w:rPr>
        <w:t>PAWC raises the issues associated with the ‘Forest City-Line’ deed as a circumstance important to the public interest “outside” of the conditions of its acquisition of the DSC system:</w:t>
      </w:r>
      <w:r w:rsidR="00335CB5">
        <w:rPr>
          <w:sz w:val="26"/>
          <w:szCs w:val="26"/>
        </w:rPr>
        <w:t xml:space="preserve"> </w:t>
      </w:r>
    </w:p>
    <w:p w14:paraId="757B03AA" w14:textId="244753ED" w:rsidR="00496052" w:rsidRPr="00335CB5" w:rsidRDefault="00335CB5" w:rsidP="00335CB5">
      <w:pPr>
        <w:spacing w:line="240" w:lineRule="auto"/>
        <w:ind w:left="1440" w:right="1440" w:firstLine="0"/>
        <w:rPr>
          <w:sz w:val="26"/>
          <w:szCs w:val="26"/>
        </w:rPr>
      </w:pPr>
      <w:r w:rsidRPr="00335CB5">
        <w:rPr>
          <w:sz w:val="26"/>
          <w:szCs w:val="26"/>
        </w:rPr>
        <w:t xml:space="preserve">23. </w:t>
      </w:r>
      <w:r w:rsidR="008E6211">
        <w:rPr>
          <w:sz w:val="26"/>
          <w:szCs w:val="26"/>
        </w:rPr>
        <w:tab/>
      </w:r>
      <w:r w:rsidRPr="00335CB5">
        <w:rPr>
          <w:sz w:val="26"/>
          <w:szCs w:val="26"/>
        </w:rPr>
        <w:t xml:space="preserve">If the Transaction does not close, </w:t>
      </w:r>
      <w:r w:rsidRPr="008E6211">
        <w:rPr>
          <w:sz w:val="26"/>
          <w:szCs w:val="26"/>
          <w:u w:val="single"/>
        </w:rPr>
        <w:t>the FCP-Linde Deed will potentially impact DS</w:t>
      </w:r>
      <w:r w:rsidR="008E6211">
        <w:rPr>
          <w:sz w:val="26"/>
          <w:szCs w:val="26"/>
          <w:u w:val="single"/>
        </w:rPr>
        <w:t>C’</w:t>
      </w:r>
      <w:r w:rsidRPr="008E6211">
        <w:rPr>
          <w:sz w:val="26"/>
          <w:szCs w:val="26"/>
          <w:u w:val="single"/>
        </w:rPr>
        <w:t>s service to its customers by restricting the use of land upon which DSC may need to install a treatment system in order to provide safe, adequate, and reliable wastewater service to its customers</w:t>
      </w:r>
      <w:r w:rsidRPr="00335CB5">
        <w:rPr>
          <w:sz w:val="26"/>
          <w:szCs w:val="26"/>
        </w:rPr>
        <w:t xml:space="preserve">. </w:t>
      </w:r>
      <w:r w:rsidR="008E6211">
        <w:rPr>
          <w:sz w:val="26"/>
          <w:szCs w:val="26"/>
        </w:rPr>
        <w:t xml:space="preserve"> </w:t>
      </w:r>
      <w:r w:rsidRPr="00335CB5">
        <w:rPr>
          <w:sz w:val="26"/>
          <w:szCs w:val="26"/>
        </w:rPr>
        <w:t xml:space="preserve">As such, Commission review and approval of DSC's affiliated interest arrangement with FCP, Linde, and potentially other affiliates is also important to the public interest outside the context of a PAWC acquisition of the DSC system.   </w:t>
      </w:r>
    </w:p>
    <w:p w14:paraId="7AA03718" w14:textId="6F6E811D" w:rsidR="00496052" w:rsidRDefault="00496052" w:rsidP="00624661">
      <w:pPr>
        <w:ind w:firstLine="0"/>
        <w:rPr>
          <w:sz w:val="26"/>
          <w:szCs w:val="26"/>
        </w:rPr>
      </w:pPr>
    </w:p>
    <w:p w14:paraId="231101DC" w14:textId="4CBB547A" w:rsidR="00CB1CB4" w:rsidRDefault="00335CB5" w:rsidP="009566C4">
      <w:pPr>
        <w:ind w:firstLine="0"/>
        <w:rPr>
          <w:sz w:val="26"/>
          <w:szCs w:val="26"/>
        </w:rPr>
      </w:pPr>
      <w:r>
        <w:rPr>
          <w:sz w:val="26"/>
          <w:szCs w:val="26"/>
        </w:rPr>
        <w:t xml:space="preserve">PAWC Answer (New Matter) </w:t>
      </w:r>
      <w:r w:rsidR="0083677B">
        <w:rPr>
          <w:sz w:val="26"/>
          <w:szCs w:val="26"/>
        </w:rPr>
        <w:t>¶</w:t>
      </w:r>
      <w:r>
        <w:rPr>
          <w:sz w:val="26"/>
          <w:szCs w:val="26"/>
        </w:rPr>
        <w:t xml:space="preserve"> 23</w:t>
      </w:r>
      <w:r w:rsidR="00FA12FA">
        <w:rPr>
          <w:sz w:val="26"/>
          <w:szCs w:val="26"/>
        </w:rPr>
        <w:t>; (emphasis supplied)</w:t>
      </w:r>
      <w:r>
        <w:rPr>
          <w:sz w:val="26"/>
          <w:szCs w:val="26"/>
        </w:rPr>
        <w:t>.</w:t>
      </w:r>
    </w:p>
    <w:p w14:paraId="31A0905B" w14:textId="77CECBB2" w:rsidR="009566C4" w:rsidRDefault="009566C4" w:rsidP="009566C4">
      <w:pPr>
        <w:ind w:firstLine="0"/>
        <w:rPr>
          <w:sz w:val="26"/>
          <w:szCs w:val="26"/>
        </w:rPr>
      </w:pPr>
    </w:p>
    <w:p w14:paraId="269ABC43" w14:textId="0D2D0CEB" w:rsidR="00496052" w:rsidRDefault="009566C4" w:rsidP="00D816A8">
      <w:pPr>
        <w:rPr>
          <w:sz w:val="26"/>
          <w:szCs w:val="26"/>
        </w:rPr>
      </w:pPr>
      <w:r>
        <w:rPr>
          <w:sz w:val="26"/>
          <w:szCs w:val="26"/>
        </w:rPr>
        <w:t xml:space="preserve">PAWC, in addition to </w:t>
      </w:r>
      <w:r w:rsidR="00D816A8">
        <w:rPr>
          <w:sz w:val="26"/>
          <w:szCs w:val="26"/>
        </w:rPr>
        <w:t>the</w:t>
      </w:r>
      <w:r>
        <w:rPr>
          <w:sz w:val="26"/>
          <w:szCs w:val="26"/>
        </w:rPr>
        <w:t xml:space="preserve"> arguments</w:t>
      </w:r>
      <w:r w:rsidR="00D816A8">
        <w:rPr>
          <w:sz w:val="26"/>
          <w:szCs w:val="26"/>
        </w:rPr>
        <w:t xml:space="preserve"> summarized in this Opinion and Order</w:t>
      </w:r>
      <w:r>
        <w:rPr>
          <w:sz w:val="26"/>
          <w:szCs w:val="26"/>
        </w:rPr>
        <w:t>, relies on the language in the Forest City</w:t>
      </w:r>
      <w:r w:rsidR="00FA12FA">
        <w:rPr>
          <w:sz w:val="26"/>
          <w:szCs w:val="26"/>
        </w:rPr>
        <w:t>-</w:t>
      </w:r>
      <w:r>
        <w:rPr>
          <w:sz w:val="26"/>
          <w:szCs w:val="26"/>
        </w:rPr>
        <w:t>Linde deed to state that t</w:t>
      </w:r>
      <w:r w:rsidR="00D816A8">
        <w:rPr>
          <w:sz w:val="26"/>
          <w:szCs w:val="26"/>
        </w:rPr>
        <w:t>he attachment of this deed</w:t>
      </w:r>
      <w:r>
        <w:rPr>
          <w:sz w:val="26"/>
          <w:szCs w:val="26"/>
        </w:rPr>
        <w:t xml:space="preserve"> evidences its good faith in arguing that there is a discrepancy between the </w:t>
      </w:r>
      <w:r w:rsidR="00D816A8">
        <w:rPr>
          <w:sz w:val="26"/>
          <w:szCs w:val="26"/>
        </w:rPr>
        <w:t xml:space="preserve">Forest City – Linde </w:t>
      </w:r>
      <w:r>
        <w:rPr>
          <w:sz w:val="26"/>
          <w:szCs w:val="26"/>
        </w:rPr>
        <w:t>deed and the “Provided However” clause</w:t>
      </w:r>
      <w:r w:rsidR="00D816A8">
        <w:rPr>
          <w:sz w:val="26"/>
          <w:szCs w:val="26"/>
        </w:rPr>
        <w:t xml:space="preserve"> language</w:t>
      </w:r>
      <w:r>
        <w:rPr>
          <w:sz w:val="26"/>
          <w:szCs w:val="26"/>
        </w:rPr>
        <w:t xml:space="preserve"> included in the Indenture attached to the LTA, </w:t>
      </w:r>
      <w:r w:rsidR="00D816A8">
        <w:rPr>
          <w:sz w:val="26"/>
          <w:szCs w:val="26"/>
        </w:rPr>
        <w:t xml:space="preserve">which was approved by the Commission in its </w:t>
      </w:r>
      <w:r w:rsidR="00D816A8" w:rsidRPr="00D816A8">
        <w:rPr>
          <w:i/>
          <w:iCs/>
          <w:sz w:val="26"/>
          <w:szCs w:val="26"/>
        </w:rPr>
        <w:t>Final Order</w:t>
      </w:r>
      <w:r>
        <w:rPr>
          <w:sz w:val="26"/>
          <w:szCs w:val="26"/>
        </w:rPr>
        <w:t>.</w:t>
      </w:r>
      <w:r w:rsidR="00D816A8">
        <w:rPr>
          <w:sz w:val="26"/>
          <w:szCs w:val="26"/>
        </w:rPr>
        <w:t xml:space="preserve"> </w:t>
      </w:r>
    </w:p>
    <w:p w14:paraId="0A1D795C" w14:textId="77777777" w:rsidR="00F466B3" w:rsidRPr="008E6211" w:rsidRDefault="00F466B3" w:rsidP="00D816A8">
      <w:pPr>
        <w:rPr>
          <w:sz w:val="26"/>
          <w:szCs w:val="26"/>
        </w:rPr>
      </w:pPr>
    </w:p>
    <w:p w14:paraId="38BE350B" w14:textId="241A1AA7" w:rsidR="008E6211" w:rsidRDefault="008E6211" w:rsidP="0083677B">
      <w:pPr>
        <w:rPr>
          <w:sz w:val="26"/>
          <w:szCs w:val="26"/>
        </w:rPr>
      </w:pPr>
      <w:r w:rsidRPr="008E6211">
        <w:rPr>
          <w:sz w:val="26"/>
          <w:szCs w:val="26"/>
        </w:rPr>
        <w:t>In conclusion, in New Matter, PAWC urges this Commission to require DSC to make an affiliated interest filing, “. . . in order to gather information about the affiliated interest arrangement with non -regulated affiliates for purposes of other potential legal actions” – even if the Commission does not have jurisdiction over the affiliated entities.</w:t>
      </w:r>
      <w:r w:rsidR="003910C0">
        <w:rPr>
          <w:sz w:val="26"/>
          <w:szCs w:val="26"/>
        </w:rPr>
        <w:t xml:space="preserve"> </w:t>
      </w:r>
      <w:r w:rsidR="0043105F">
        <w:rPr>
          <w:sz w:val="26"/>
          <w:szCs w:val="26"/>
        </w:rPr>
        <w:t xml:space="preserve"> </w:t>
      </w:r>
      <w:r w:rsidR="0043105F">
        <w:rPr>
          <w:i/>
          <w:iCs/>
          <w:sz w:val="26"/>
          <w:szCs w:val="26"/>
        </w:rPr>
        <w:t xml:space="preserve">See </w:t>
      </w:r>
      <w:r w:rsidR="0043105F">
        <w:rPr>
          <w:sz w:val="26"/>
          <w:szCs w:val="26"/>
        </w:rPr>
        <w:t>Answer at 20-21.</w:t>
      </w:r>
      <w:r w:rsidR="005762BF">
        <w:rPr>
          <w:rStyle w:val="FootnoteReference"/>
          <w:sz w:val="26"/>
          <w:szCs w:val="26"/>
        </w:rPr>
        <w:footnoteReference w:id="8"/>
      </w:r>
      <w:r w:rsidR="005762BF">
        <w:rPr>
          <w:sz w:val="26"/>
          <w:szCs w:val="26"/>
        </w:rPr>
        <w:t xml:space="preserve"> </w:t>
      </w:r>
      <w:r w:rsidR="003910C0">
        <w:rPr>
          <w:sz w:val="26"/>
          <w:szCs w:val="26"/>
        </w:rPr>
        <w:t xml:space="preserve"> </w:t>
      </w:r>
    </w:p>
    <w:p w14:paraId="019F2A61" w14:textId="46B1E5FE" w:rsidR="001B4AE4" w:rsidRDefault="001B4AE4" w:rsidP="0083677B">
      <w:pPr>
        <w:ind w:firstLine="0"/>
        <w:rPr>
          <w:b/>
          <w:bCs/>
          <w:sz w:val="26"/>
          <w:szCs w:val="26"/>
        </w:rPr>
      </w:pPr>
    </w:p>
    <w:p w14:paraId="1AEC7B4E" w14:textId="56CBBEC8" w:rsidR="001B4AE4" w:rsidRDefault="001B4AE4" w:rsidP="0083677B">
      <w:pPr>
        <w:ind w:firstLine="0"/>
        <w:rPr>
          <w:b/>
          <w:bCs/>
          <w:sz w:val="26"/>
          <w:szCs w:val="26"/>
        </w:rPr>
      </w:pPr>
      <w:r>
        <w:rPr>
          <w:b/>
          <w:bCs/>
          <w:sz w:val="26"/>
          <w:szCs w:val="26"/>
        </w:rPr>
        <w:t>C.</w:t>
      </w:r>
      <w:r w:rsidRPr="00CE399E">
        <w:rPr>
          <w:b/>
          <w:bCs/>
          <w:sz w:val="26"/>
          <w:szCs w:val="26"/>
        </w:rPr>
        <w:tab/>
      </w:r>
      <w:r>
        <w:rPr>
          <w:b/>
          <w:bCs/>
          <w:sz w:val="26"/>
          <w:szCs w:val="26"/>
        </w:rPr>
        <w:t>DSC Reply</w:t>
      </w:r>
      <w:r w:rsidR="00A26423">
        <w:rPr>
          <w:b/>
          <w:bCs/>
          <w:sz w:val="26"/>
          <w:szCs w:val="26"/>
        </w:rPr>
        <w:t xml:space="preserve"> to PAWC New Matter</w:t>
      </w:r>
    </w:p>
    <w:p w14:paraId="368CF61A" w14:textId="77777777" w:rsidR="001B4AE4" w:rsidRDefault="001B4AE4" w:rsidP="0083677B">
      <w:pPr>
        <w:rPr>
          <w:sz w:val="26"/>
          <w:szCs w:val="26"/>
        </w:rPr>
      </w:pPr>
    </w:p>
    <w:p w14:paraId="50749AB4" w14:textId="2143D357" w:rsidR="00630DD1" w:rsidRDefault="001B4AE4" w:rsidP="0083677B">
      <w:pPr>
        <w:rPr>
          <w:sz w:val="26"/>
          <w:szCs w:val="26"/>
        </w:rPr>
      </w:pPr>
      <w:r w:rsidRPr="00630DD1">
        <w:rPr>
          <w:sz w:val="26"/>
          <w:szCs w:val="26"/>
        </w:rPr>
        <w:t xml:space="preserve">In the DSC Reply to New Matter, </w:t>
      </w:r>
      <w:r w:rsidR="00630DD1" w:rsidRPr="00630DD1">
        <w:rPr>
          <w:sz w:val="26"/>
          <w:szCs w:val="26"/>
        </w:rPr>
        <w:t xml:space="preserve">DSC explains that PAWC does not cite to any Commission Regulation as authority for the arguments it presents that DSC should be required to make an affiliated interest filing regarding arrangements with affiliate entities.  </w:t>
      </w:r>
      <w:r w:rsidR="00630DD1">
        <w:rPr>
          <w:sz w:val="26"/>
          <w:szCs w:val="26"/>
        </w:rPr>
        <w:t xml:space="preserve">Rather, </w:t>
      </w:r>
      <w:r w:rsidR="00D91F98">
        <w:rPr>
          <w:sz w:val="26"/>
          <w:szCs w:val="26"/>
        </w:rPr>
        <w:t>DSC contends</w:t>
      </w:r>
      <w:r w:rsidR="00630DD1">
        <w:rPr>
          <w:sz w:val="26"/>
          <w:szCs w:val="26"/>
        </w:rPr>
        <w:t xml:space="preserve"> “</w:t>
      </w:r>
      <w:r w:rsidR="00630DD1" w:rsidRPr="00630DD1">
        <w:rPr>
          <w:sz w:val="26"/>
          <w:szCs w:val="26"/>
        </w:rPr>
        <w:t>New Matter</w:t>
      </w:r>
      <w:r w:rsidR="00630DD1">
        <w:rPr>
          <w:sz w:val="26"/>
          <w:szCs w:val="26"/>
        </w:rPr>
        <w:t>”</w:t>
      </w:r>
      <w:r w:rsidR="00630DD1" w:rsidRPr="00630DD1">
        <w:rPr>
          <w:sz w:val="26"/>
          <w:szCs w:val="26"/>
        </w:rPr>
        <w:t xml:space="preserve"> is a pleading opportunity available in response to a complaint allowing a respondent to plead an affirmative defense to the complaint or a material fact which is not a denial of complaint averments.</w:t>
      </w:r>
      <w:r w:rsidR="00630DD1">
        <w:rPr>
          <w:sz w:val="26"/>
          <w:szCs w:val="26"/>
        </w:rPr>
        <w:t xml:space="preserve">  DSC Reply to New Matter at 1, n. 1.  </w:t>
      </w:r>
      <w:r w:rsidR="00885C37">
        <w:rPr>
          <w:sz w:val="26"/>
          <w:szCs w:val="26"/>
        </w:rPr>
        <w:t xml:space="preserve">Accordingly, </w:t>
      </w:r>
      <w:r w:rsidR="00630DD1" w:rsidRPr="00630DD1">
        <w:rPr>
          <w:sz w:val="26"/>
          <w:szCs w:val="26"/>
        </w:rPr>
        <w:t>DSC submits that PAWC</w:t>
      </w:r>
      <w:r w:rsidR="00630DD1">
        <w:rPr>
          <w:sz w:val="26"/>
          <w:szCs w:val="26"/>
        </w:rPr>
        <w:t>’</w:t>
      </w:r>
      <w:r w:rsidR="00630DD1" w:rsidRPr="00630DD1">
        <w:rPr>
          <w:sz w:val="26"/>
          <w:szCs w:val="26"/>
        </w:rPr>
        <w:t xml:space="preserve">s New Matter should be summarily dismissed. </w:t>
      </w:r>
      <w:r w:rsidR="00630DD1">
        <w:rPr>
          <w:sz w:val="26"/>
          <w:szCs w:val="26"/>
        </w:rPr>
        <w:t xml:space="preserve"> DSC Reply to New Matter at 1.</w:t>
      </w:r>
    </w:p>
    <w:p w14:paraId="0C73F3B3" w14:textId="77777777" w:rsidR="00630DD1" w:rsidRDefault="00630DD1" w:rsidP="00630DD1">
      <w:pPr>
        <w:rPr>
          <w:sz w:val="26"/>
          <w:szCs w:val="26"/>
        </w:rPr>
      </w:pPr>
    </w:p>
    <w:p w14:paraId="7136B8C4" w14:textId="48991437" w:rsidR="00630DD1" w:rsidRPr="00445537" w:rsidRDefault="00630DD1" w:rsidP="00630DD1">
      <w:pPr>
        <w:rPr>
          <w:sz w:val="26"/>
          <w:szCs w:val="26"/>
        </w:rPr>
      </w:pPr>
      <w:r w:rsidRPr="00445537">
        <w:rPr>
          <w:sz w:val="26"/>
          <w:szCs w:val="26"/>
        </w:rPr>
        <w:t>DSC, however, states that it desires to move the Transaction to closing and, consequently, submits its Reply.</w:t>
      </w:r>
    </w:p>
    <w:p w14:paraId="33A94DE3" w14:textId="011DBF68" w:rsidR="00630DD1" w:rsidRPr="00445537" w:rsidRDefault="00630DD1" w:rsidP="00630DD1">
      <w:pPr>
        <w:rPr>
          <w:sz w:val="26"/>
          <w:szCs w:val="26"/>
        </w:rPr>
      </w:pPr>
    </w:p>
    <w:p w14:paraId="217BD765" w14:textId="4F0B6A86" w:rsidR="00445537" w:rsidRDefault="00445537" w:rsidP="00445537">
      <w:pPr>
        <w:rPr>
          <w:sz w:val="26"/>
          <w:szCs w:val="26"/>
        </w:rPr>
      </w:pPr>
      <w:r w:rsidRPr="00445537">
        <w:rPr>
          <w:sz w:val="26"/>
          <w:szCs w:val="26"/>
        </w:rPr>
        <w:t xml:space="preserve">In the hope of producing a successful resolution of the Surface Use Agreement, which is the sole impediment to closing, DSC is willing to address the alleged, discrepancy in the Indenture language as raised by PAWC and PAWC’s concerns with the surface use of the </w:t>
      </w:r>
      <w:r w:rsidR="00BE79A8">
        <w:rPr>
          <w:sz w:val="26"/>
          <w:szCs w:val="26"/>
        </w:rPr>
        <w:t>Property</w:t>
      </w:r>
      <w:r w:rsidRPr="00445537">
        <w:rPr>
          <w:sz w:val="26"/>
          <w:szCs w:val="26"/>
        </w:rPr>
        <w:t xml:space="preserve">.  DSC Reply to New Matter at ⁋ 7.  DSC proposes the following edits to Paragraph 2.a of the PAWC proposed Surface Use Agreement and DSC will agree to produce the executed Surface Use Agreement at closing: </w:t>
      </w:r>
    </w:p>
    <w:p w14:paraId="1C2A06C5" w14:textId="77777777" w:rsidR="00AD10B0" w:rsidRPr="00445537" w:rsidRDefault="00AD10B0" w:rsidP="0079641F">
      <w:pPr>
        <w:spacing w:line="240" w:lineRule="auto"/>
        <w:rPr>
          <w:sz w:val="26"/>
          <w:szCs w:val="26"/>
        </w:rPr>
      </w:pPr>
    </w:p>
    <w:p w14:paraId="27030686" w14:textId="1F0EC80C" w:rsidR="00445537" w:rsidRDefault="00445537" w:rsidP="0083677B">
      <w:pPr>
        <w:spacing w:line="240" w:lineRule="auto"/>
        <w:ind w:left="2520" w:hanging="1080"/>
        <w:rPr>
          <w:sz w:val="26"/>
          <w:szCs w:val="26"/>
        </w:rPr>
      </w:pPr>
      <w:r w:rsidRPr="00445537">
        <w:rPr>
          <w:sz w:val="26"/>
          <w:szCs w:val="26"/>
        </w:rPr>
        <w:t>4th Line - Add after written consent of PAWC, “which shall not be unreasonably withheld, delayed or conditioned.”</w:t>
      </w:r>
    </w:p>
    <w:p w14:paraId="151D3BC5" w14:textId="77777777" w:rsidR="0083677B" w:rsidRPr="00445537" w:rsidRDefault="0083677B" w:rsidP="0083677B">
      <w:pPr>
        <w:spacing w:line="240" w:lineRule="auto"/>
        <w:ind w:left="2520" w:hanging="1080"/>
        <w:rPr>
          <w:sz w:val="26"/>
          <w:szCs w:val="26"/>
        </w:rPr>
      </w:pPr>
    </w:p>
    <w:p w14:paraId="3A1E0B70" w14:textId="7BC7B617" w:rsidR="00445537" w:rsidRPr="00445537" w:rsidRDefault="00445537" w:rsidP="0083677B">
      <w:pPr>
        <w:spacing w:line="240" w:lineRule="auto"/>
        <w:ind w:left="2610" w:hanging="1170"/>
        <w:rPr>
          <w:sz w:val="26"/>
          <w:szCs w:val="26"/>
        </w:rPr>
      </w:pPr>
      <w:r w:rsidRPr="00445537">
        <w:rPr>
          <w:sz w:val="26"/>
          <w:szCs w:val="26"/>
        </w:rPr>
        <w:t xml:space="preserve">7th Line - Add after PAWC, “which shall not be unreasonably withheld, delayed or conditioned.” </w:t>
      </w:r>
    </w:p>
    <w:p w14:paraId="2DA9897A" w14:textId="77777777" w:rsidR="00445537" w:rsidRPr="00445537" w:rsidRDefault="00445537" w:rsidP="0083677B">
      <w:pPr>
        <w:spacing w:line="480" w:lineRule="auto"/>
        <w:rPr>
          <w:sz w:val="26"/>
          <w:szCs w:val="26"/>
        </w:rPr>
      </w:pPr>
    </w:p>
    <w:p w14:paraId="15F1FC99" w14:textId="13094A24" w:rsidR="00604909" w:rsidRPr="00D115C6" w:rsidRDefault="00445537" w:rsidP="00D115C6">
      <w:pPr>
        <w:rPr>
          <w:sz w:val="26"/>
          <w:szCs w:val="26"/>
        </w:rPr>
      </w:pPr>
      <w:r w:rsidRPr="00445537">
        <w:rPr>
          <w:sz w:val="26"/>
          <w:szCs w:val="26"/>
        </w:rPr>
        <w:t xml:space="preserve">DSC has attached PAWC’s proposed Surface Use Agreement with the </w:t>
      </w:r>
      <w:r w:rsidR="00C57AFA">
        <w:rPr>
          <w:sz w:val="26"/>
          <w:szCs w:val="26"/>
        </w:rPr>
        <w:t xml:space="preserve">DSC’s proposed </w:t>
      </w:r>
      <w:r w:rsidRPr="00445537">
        <w:rPr>
          <w:sz w:val="26"/>
          <w:szCs w:val="26"/>
        </w:rPr>
        <w:t>edits in a “redlined” version attached as Appendix A to its Reply.</w:t>
      </w:r>
    </w:p>
    <w:p w14:paraId="1F8E24A5" w14:textId="77777777" w:rsidR="00B120C9" w:rsidRDefault="00B120C9" w:rsidP="00B86EBE">
      <w:pPr>
        <w:ind w:firstLine="0"/>
        <w:rPr>
          <w:b/>
          <w:bCs/>
          <w:sz w:val="26"/>
          <w:szCs w:val="26"/>
        </w:rPr>
      </w:pPr>
    </w:p>
    <w:p w14:paraId="4CA365BD" w14:textId="56193188" w:rsidR="00B86EBE" w:rsidRPr="00B86EBE" w:rsidRDefault="001B4AE4" w:rsidP="0083677B">
      <w:pPr>
        <w:keepNext/>
        <w:ind w:firstLine="0"/>
        <w:rPr>
          <w:b/>
          <w:bCs/>
          <w:sz w:val="26"/>
          <w:szCs w:val="26"/>
        </w:rPr>
      </w:pPr>
      <w:r>
        <w:rPr>
          <w:b/>
          <w:bCs/>
          <w:sz w:val="26"/>
          <w:szCs w:val="26"/>
        </w:rPr>
        <w:t>D</w:t>
      </w:r>
      <w:r w:rsidR="00B86EBE">
        <w:rPr>
          <w:b/>
          <w:bCs/>
          <w:sz w:val="26"/>
          <w:szCs w:val="26"/>
        </w:rPr>
        <w:t>.</w:t>
      </w:r>
      <w:r w:rsidR="00B86EBE">
        <w:rPr>
          <w:b/>
          <w:bCs/>
          <w:sz w:val="26"/>
          <w:szCs w:val="26"/>
        </w:rPr>
        <w:tab/>
      </w:r>
      <w:r w:rsidR="00B86EBE" w:rsidRPr="00B86EBE">
        <w:rPr>
          <w:b/>
          <w:bCs/>
          <w:sz w:val="26"/>
          <w:szCs w:val="26"/>
        </w:rPr>
        <w:t>Legal Standards</w:t>
      </w:r>
    </w:p>
    <w:p w14:paraId="592689BE" w14:textId="77777777" w:rsidR="00A46912" w:rsidRDefault="00A46912" w:rsidP="0083677B">
      <w:pPr>
        <w:keepNext/>
        <w:ind w:firstLine="720"/>
        <w:rPr>
          <w:b/>
          <w:bCs/>
          <w:sz w:val="26"/>
          <w:szCs w:val="26"/>
        </w:rPr>
      </w:pPr>
    </w:p>
    <w:p w14:paraId="3E5E6A56" w14:textId="0F452D82" w:rsidR="00B86EBE" w:rsidRPr="0083677B" w:rsidRDefault="0099614D" w:rsidP="0083677B">
      <w:pPr>
        <w:pStyle w:val="ListParagraph"/>
        <w:keepNext/>
        <w:numPr>
          <w:ilvl w:val="0"/>
          <w:numId w:val="10"/>
        </w:numPr>
        <w:ind w:left="1440" w:hanging="720"/>
        <w:rPr>
          <w:b/>
          <w:bCs/>
          <w:sz w:val="26"/>
          <w:szCs w:val="26"/>
        </w:rPr>
      </w:pPr>
      <w:r w:rsidRPr="0083677B">
        <w:rPr>
          <w:b/>
          <w:bCs/>
          <w:sz w:val="26"/>
          <w:szCs w:val="26"/>
        </w:rPr>
        <w:t>Petition Seeking Rescission and Amendment of a Final Order</w:t>
      </w:r>
    </w:p>
    <w:p w14:paraId="456163D8" w14:textId="77777777" w:rsidR="00A46912" w:rsidRDefault="00A46912" w:rsidP="0083677B">
      <w:pPr>
        <w:keepNext/>
        <w:rPr>
          <w:sz w:val="26"/>
          <w:szCs w:val="26"/>
        </w:rPr>
      </w:pPr>
    </w:p>
    <w:p w14:paraId="00CBF612" w14:textId="1F1A233B" w:rsidR="00706224" w:rsidRDefault="00706224" w:rsidP="003E7E0C">
      <w:pPr>
        <w:rPr>
          <w:sz w:val="26"/>
          <w:szCs w:val="26"/>
        </w:rPr>
      </w:pPr>
      <w:r>
        <w:rPr>
          <w:sz w:val="26"/>
          <w:szCs w:val="26"/>
        </w:rPr>
        <w:t>DSC has filed its Petition pursuant to 52 Pa. Code §</w:t>
      </w:r>
      <w:r w:rsidR="00F74938">
        <w:rPr>
          <w:sz w:val="26"/>
          <w:szCs w:val="26"/>
        </w:rPr>
        <w:t xml:space="preserve"> </w:t>
      </w:r>
      <w:r>
        <w:rPr>
          <w:sz w:val="26"/>
          <w:szCs w:val="26"/>
        </w:rPr>
        <w:t xml:space="preserve">5.572, pertaining to the filing of petitions for relief following a final Commission order.  </w:t>
      </w:r>
    </w:p>
    <w:p w14:paraId="25561376" w14:textId="77777777" w:rsidR="00624661" w:rsidRDefault="00624661" w:rsidP="00624661">
      <w:pPr>
        <w:pStyle w:val="Heading2"/>
        <w:spacing w:before="0" w:beforeAutospacing="0" w:after="0" w:afterAutospacing="0" w:line="360" w:lineRule="auto"/>
        <w:ind w:firstLine="1440"/>
        <w:rPr>
          <w:b w:val="0"/>
          <w:bCs w:val="0"/>
          <w:sz w:val="26"/>
          <w:szCs w:val="26"/>
        </w:rPr>
      </w:pPr>
    </w:p>
    <w:p w14:paraId="53E1A756" w14:textId="3CC2F426" w:rsidR="0099614D" w:rsidRPr="003E7E0C" w:rsidRDefault="00A46912" w:rsidP="00A46912">
      <w:pPr>
        <w:rPr>
          <w:sz w:val="26"/>
          <w:szCs w:val="26"/>
        </w:rPr>
      </w:pPr>
      <w:r>
        <w:rPr>
          <w:sz w:val="26"/>
          <w:szCs w:val="26"/>
        </w:rPr>
        <w:t xml:space="preserve">The Code </w:t>
      </w:r>
      <w:r w:rsidR="0099614D" w:rsidRPr="003E7E0C">
        <w:rPr>
          <w:sz w:val="26"/>
          <w:szCs w:val="26"/>
        </w:rPr>
        <w:t xml:space="preserve">establishes a party’s right to seek relief following the issuance of the Commission’s final decision.  </w:t>
      </w:r>
      <w:r w:rsidR="0099614D" w:rsidRPr="003E7E0C">
        <w:rPr>
          <w:i/>
          <w:sz w:val="26"/>
          <w:szCs w:val="26"/>
        </w:rPr>
        <w:t>See</w:t>
      </w:r>
      <w:r w:rsidR="0099614D">
        <w:rPr>
          <w:i/>
          <w:sz w:val="26"/>
          <w:szCs w:val="26"/>
        </w:rPr>
        <w:t xml:space="preserve"> </w:t>
      </w:r>
      <w:r w:rsidR="0099614D">
        <w:rPr>
          <w:iCs/>
          <w:sz w:val="26"/>
          <w:szCs w:val="26"/>
        </w:rPr>
        <w:t>Section 703(f)-(g)</w:t>
      </w:r>
      <w:r>
        <w:rPr>
          <w:iCs/>
          <w:sz w:val="26"/>
          <w:szCs w:val="26"/>
        </w:rPr>
        <w:t xml:space="preserve">, </w:t>
      </w:r>
      <w:r>
        <w:rPr>
          <w:sz w:val="26"/>
          <w:szCs w:val="26"/>
        </w:rPr>
        <w:t>66 Pa. C.S. §</w:t>
      </w:r>
      <w:r w:rsidR="00D93981">
        <w:rPr>
          <w:sz w:val="26"/>
          <w:szCs w:val="26"/>
        </w:rPr>
        <w:t>§</w:t>
      </w:r>
      <w:r>
        <w:rPr>
          <w:sz w:val="26"/>
          <w:szCs w:val="26"/>
        </w:rPr>
        <w:t xml:space="preserve"> 703(f)</w:t>
      </w:r>
      <w:r w:rsidR="00FF38F5">
        <w:rPr>
          <w:sz w:val="26"/>
          <w:szCs w:val="26"/>
        </w:rPr>
        <w:t>-</w:t>
      </w:r>
      <w:r>
        <w:rPr>
          <w:sz w:val="26"/>
          <w:szCs w:val="26"/>
        </w:rPr>
        <w:t>(g),</w:t>
      </w:r>
      <w:r w:rsidR="0099614D">
        <w:rPr>
          <w:iCs/>
          <w:sz w:val="26"/>
          <w:szCs w:val="26"/>
        </w:rPr>
        <w:t xml:space="preserve"> </w:t>
      </w:r>
      <w:r w:rsidR="0099614D" w:rsidRPr="003E7E0C">
        <w:rPr>
          <w:sz w:val="26"/>
          <w:szCs w:val="26"/>
        </w:rPr>
        <w:t xml:space="preserve">relating to rehearing, rescission, clarification and amendment of orders, and other relief.  Requests for relief in the nature of reconsideration, rehearing and/or rescission or amendment, must be consistent with Section 5.572 of our Regulations, </w:t>
      </w:r>
      <w:hyperlink r:id="rId9" w:history="1">
        <w:r w:rsidR="0099614D" w:rsidRPr="003E7E0C">
          <w:rPr>
            <w:sz w:val="26"/>
            <w:szCs w:val="26"/>
          </w:rPr>
          <w:t>52 Pa. Code § 5.572</w:t>
        </w:r>
      </w:hyperlink>
      <w:r w:rsidR="0099614D" w:rsidRPr="003E7E0C">
        <w:rPr>
          <w:sz w:val="26"/>
          <w:szCs w:val="26"/>
        </w:rPr>
        <w:t>, addressing petitions for relief following the issuance of a final decision.  52</w:t>
      </w:r>
      <w:r w:rsidR="00FF38F5">
        <w:rPr>
          <w:sz w:val="26"/>
          <w:szCs w:val="26"/>
        </w:rPr>
        <w:t> </w:t>
      </w:r>
      <w:r w:rsidR="0099614D" w:rsidRPr="003E7E0C">
        <w:rPr>
          <w:sz w:val="26"/>
          <w:szCs w:val="26"/>
        </w:rPr>
        <w:t>Pa.</w:t>
      </w:r>
      <w:r w:rsidR="00FF38F5">
        <w:rPr>
          <w:sz w:val="26"/>
          <w:szCs w:val="26"/>
        </w:rPr>
        <w:t> </w:t>
      </w:r>
      <w:r w:rsidR="0099614D" w:rsidRPr="003E7E0C">
        <w:rPr>
          <w:sz w:val="26"/>
          <w:szCs w:val="26"/>
        </w:rPr>
        <w:t>Code § 5.572.</w:t>
      </w:r>
    </w:p>
    <w:p w14:paraId="12DD7246" w14:textId="77777777" w:rsidR="0099614D" w:rsidRPr="003E7E0C" w:rsidRDefault="0099614D" w:rsidP="0099614D">
      <w:pPr>
        <w:rPr>
          <w:rFonts w:eastAsia="Calibri"/>
          <w:sz w:val="26"/>
          <w:szCs w:val="26"/>
        </w:rPr>
      </w:pPr>
    </w:p>
    <w:p w14:paraId="5475ADB6" w14:textId="2A93CDD2" w:rsidR="0099614D" w:rsidRPr="003E7E0C" w:rsidRDefault="0099614D" w:rsidP="0099614D">
      <w:pPr>
        <w:rPr>
          <w:rFonts w:eastAsia="Calibri"/>
          <w:sz w:val="26"/>
          <w:szCs w:val="26"/>
        </w:rPr>
      </w:pPr>
      <w:r w:rsidRPr="003E7E0C">
        <w:rPr>
          <w:rFonts w:eastAsia="Calibri"/>
          <w:sz w:val="26"/>
          <w:szCs w:val="26"/>
        </w:rPr>
        <w:t>In exercising our authority to amend or rescind an order pursuant to Section</w:t>
      </w:r>
      <w:r w:rsidR="0083677B">
        <w:rPr>
          <w:rFonts w:eastAsia="Calibri"/>
          <w:sz w:val="26"/>
          <w:szCs w:val="26"/>
        </w:rPr>
        <w:t> </w:t>
      </w:r>
      <w:r w:rsidRPr="003E7E0C">
        <w:rPr>
          <w:rFonts w:eastAsia="Calibri"/>
          <w:sz w:val="26"/>
          <w:szCs w:val="26"/>
        </w:rPr>
        <w:t xml:space="preserve">703(g) of the Code, the Supreme Court of Pennsylvania has stated: “Because such relief may result in disturbance of final orders, it must be granted judiciously and only under appropriate circumstances.”  </w:t>
      </w:r>
      <w:r w:rsidRPr="003E7E0C">
        <w:rPr>
          <w:rFonts w:eastAsia="Calibri"/>
          <w:i/>
          <w:iCs/>
          <w:sz w:val="26"/>
          <w:szCs w:val="26"/>
        </w:rPr>
        <w:t>See</w:t>
      </w:r>
      <w:r w:rsidRPr="003E7E0C">
        <w:rPr>
          <w:rFonts w:eastAsia="Calibri"/>
          <w:sz w:val="26"/>
          <w:szCs w:val="26"/>
        </w:rPr>
        <w:t xml:space="preserve"> </w:t>
      </w:r>
      <w:r w:rsidRPr="003E7E0C">
        <w:rPr>
          <w:rFonts w:eastAsia="Calibri"/>
          <w:i/>
          <w:iCs/>
          <w:sz w:val="26"/>
          <w:szCs w:val="26"/>
        </w:rPr>
        <w:t>City of Pittsburgh v. Pennsylvania Department of Transportation</w:t>
      </w:r>
      <w:r w:rsidRPr="003E7E0C">
        <w:rPr>
          <w:rFonts w:eastAsia="Calibri"/>
          <w:sz w:val="26"/>
          <w:szCs w:val="26"/>
        </w:rPr>
        <w:t xml:space="preserve">, 416 A.2d 461 (Pa. 1980), </w:t>
      </w:r>
      <w:r w:rsidRPr="003E7E0C">
        <w:rPr>
          <w:rFonts w:eastAsia="Calibri"/>
          <w:i/>
          <w:iCs/>
          <w:sz w:val="26"/>
          <w:szCs w:val="26"/>
        </w:rPr>
        <w:t>see also, ARIPPA v. Pa. PUC</w:t>
      </w:r>
      <w:r w:rsidRPr="003E7E0C">
        <w:rPr>
          <w:rFonts w:eastAsia="Calibri"/>
          <w:sz w:val="26"/>
          <w:szCs w:val="26"/>
        </w:rPr>
        <w:t>,</w:t>
      </w:r>
      <w:r w:rsidRPr="003E7E0C">
        <w:rPr>
          <w:rFonts w:eastAsia="Calibri"/>
          <w:i/>
          <w:iCs/>
          <w:sz w:val="26"/>
          <w:szCs w:val="26"/>
        </w:rPr>
        <w:t xml:space="preserve"> </w:t>
      </w:r>
      <w:r w:rsidRPr="003E7E0C">
        <w:rPr>
          <w:rFonts w:eastAsia="Calibri"/>
          <w:sz w:val="26"/>
          <w:szCs w:val="26"/>
        </w:rPr>
        <w:t>792 A. 2d 636 (2002).</w:t>
      </w:r>
    </w:p>
    <w:p w14:paraId="4196077E" w14:textId="77777777" w:rsidR="0099614D" w:rsidRPr="003E7E0C" w:rsidRDefault="0099614D" w:rsidP="0099614D">
      <w:pPr>
        <w:rPr>
          <w:rFonts w:eastAsia="Calibri"/>
          <w:sz w:val="26"/>
          <w:szCs w:val="26"/>
        </w:rPr>
      </w:pPr>
    </w:p>
    <w:p w14:paraId="0B9E9499" w14:textId="4B2147FF" w:rsidR="00F66566" w:rsidRDefault="0099614D" w:rsidP="00547763">
      <w:pPr>
        <w:rPr>
          <w:rFonts w:eastAsia="Calibri"/>
          <w:sz w:val="26"/>
          <w:szCs w:val="26"/>
        </w:rPr>
      </w:pPr>
      <w:r w:rsidRPr="003E7E0C">
        <w:rPr>
          <w:rFonts w:eastAsia="Calibri"/>
          <w:sz w:val="26"/>
          <w:szCs w:val="26"/>
        </w:rPr>
        <w:t>While a petition under Section 703(g) may “properly raise any matter designed to convince the commission that it should exercise its discretion . . . to rescind or amend a prior order in whole or in part,” at the same time “[p]</w:t>
      </w:r>
      <w:proofErr w:type="spellStart"/>
      <w:r w:rsidRPr="003E7E0C">
        <w:rPr>
          <w:rFonts w:eastAsia="Calibri"/>
          <w:sz w:val="26"/>
          <w:szCs w:val="26"/>
        </w:rPr>
        <w:t>arties</w:t>
      </w:r>
      <w:proofErr w:type="spellEnd"/>
      <w:r w:rsidRPr="003E7E0C">
        <w:rPr>
          <w:rFonts w:eastAsia="Calibri"/>
          <w:sz w:val="26"/>
          <w:szCs w:val="26"/>
        </w:rPr>
        <w:t xml:space="preserve"> . . . cannot be permitted by a second motion to review and reconsider, to raise the same questions which were specifically considered and decided against them.”  </w:t>
      </w:r>
      <w:proofErr w:type="spellStart"/>
      <w:r w:rsidRPr="003E7E0C">
        <w:rPr>
          <w:rFonts w:eastAsia="Calibri"/>
          <w:i/>
          <w:iCs/>
          <w:sz w:val="26"/>
          <w:szCs w:val="26"/>
        </w:rPr>
        <w:t>Duick</w:t>
      </w:r>
      <w:proofErr w:type="spellEnd"/>
      <w:r w:rsidRPr="003E7E0C">
        <w:rPr>
          <w:rFonts w:eastAsia="Calibri"/>
          <w:i/>
          <w:iCs/>
          <w:sz w:val="26"/>
          <w:szCs w:val="26"/>
        </w:rPr>
        <w:t xml:space="preserve"> </w:t>
      </w:r>
      <w:r w:rsidRPr="003E7E0C">
        <w:rPr>
          <w:rFonts w:eastAsia="Calibri"/>
          <w:sz w:val="26"/>
          <w:szCs w:val="26"/>
        </w:rPr>
        <w:t xml:space="preserve">(quoting </w:t>
      </w:r>
      <w:r w:rsidRPr="003E7E0C">
        <w:rPr>
          <w:rFonts w:eastAsia="Calibri"/>
          <w:i/>
          <w:sz w:val="26"/>
          <w:szCs w:val="26"/>
        </w:rPr>
        <w:t>Pennsylvania Railroad Co. v. Pennsylvania Public</w:t>
      </w:r>
      <w:r w:rsidRPr="003E7E0C">
        <w:rPr>
          <w:rFonts w:eastAsia="Calibri"/>
          <w:sz w:val="26"/>
          <w:szCs w:val="26"/>
        </w:rPr>
        <w:t xml:space="preserve"> </w:t>
      </w:r>
      <w:r w:rsidRPr="003E7E0C">
        <w:rPr>
          <w:rFonts w:eastAsia="Calibri"/>
          <w:i/>
          <w:sz w:val="26"/>
          <w:szCs w:val="26"/>
        </w:rPr>
        <w:t>Service Commission</w:t>
      </w:r>
      <w:r w:rsidRPr="003E7E0C">
        <w:rPr>
          <w:rFonts w:eastAsia="Calibri"/>
          <w:sz w:val="26"/>
          <w:szCs w:val="26"/>
        </w:rPr>
        <w:t>, 179 A. 850, 854 (Pa.</w:t>
      </w:r>
      <w:r w:rsidR="009C012E">
        <w:rPr>
          <w:rFonts w:eastAsia="Calibri"/>
          <w:sz w:val="26"/>
          <w:szCs w:val="26"/>
        </w:rPr>
        <w:t> </w:t>
      </w:r>
      <w:r w:rsidRPr="003E7E0C">
        <w:rPr>
          <w:rFonts w:eastAsia="Calibri"/>
          <w:sz w:val="26"/>
          <w:szCs w:val="26"/>
        </w:rPr>
        <w:t>Super.</w:t>
      </w:r>
      <w:r w:rsidR="009C012E">
        <w:rPr>
          <w:rFonts w:eastAsia="Calibri"/>
          <w:sz w:val="26"/>
          <w:szCs w:val="26"/>
        </w:rPr>
        <w:t> </w:t>
      </w:r>
      <w:r w:rsidRPr="003E7E0C">
        <w:rPr>
          <w:rFonts w:eastAsia="Calibri"/>
          <w:sz w:val="26"/>
          <w:szCs w:val="26"/>
        </w:rPr>
        <w:t xml:space="preserve">1935)).  </w:t>
      </w:r>
    </w:p>
    <w:p w14:paraId="765E47B8" w14:textId="6DE5F0B0" w:rsidR="0099614D" w:rsidRPr="00547763" w:rsidRDefault="0099614D" w:rsidP="00547763">
      <w:pPr>
        <w:rPr>
          <w:rFonts w:eastAsia="Calibri"/>
          <w:sz w:val="26"/>
          <w:szCs w:val="26"/>
        </w:rPr>
      </w:pPr>
      <w:r w:rsidRPr="003E7E0C">
        <w:rPr>
          <w:rFonts w:eastAsia="Calibri"/>
          <w:sz w:val="26"/>
          <w:szCs w:val="26"/>
        </w:rPr>
        <w:t xml:space="preserve">As </w:t>
      </w:r>
      <w:r w:rsidR="00F66566">
        <w:rPr>
          <w:rFonts w:eastAsia="Calibri"/>
          <w:sz w:val="26"/>
          <w:szCs w:val="26"/>
        </w:rPr>
        <w:t xml:space="preserve">we have </w:t>
      </w:r>
      <w:r w:rsidR="00547763">
        <w:rPr>
          <w:rFonts w:eastAsia="Calibri"/>
          <w:sz w:val="26"/>
          <w:szCs w:val="26"/>
        </w:rPr>
        <w:t>held</w:t>
      </w:r>
      <w:r w:rsidRPr="003E7E0C">
        <w:rPr>
          <w:rFonts w:eastAsia="Calibri"/>
          <w:sz w:val="26"/>
          <w:szCs w:val="26"/>
        </w:rPr>
        <w:t xml:space="preserve"> in </w:t>
      </w:r>
      <w:proofErr w:type="spellStart"/>
      <w:r w:rsidRPr="003E7E0C">
        <w:rPr>
          <w:rFonts w:eastAsia="Calibri"/>
          <w:i/>
          <w:iCs/>
          <w:sz w:val="26"/>
          <w:szCs w:val="26"/>
        </w:rPr>
        <w:t>Duick</w:t>
      </w:r>
      <w:proofErr w:type="spellEnd"/>
      <w:r w:rsidR="00547763">
        <w:rPr>
          <w:rFonts w:eastAsia="Calibri"/>
          <w:sz w:val="26"/>
          <w:szCs w:val="26"/>
        </w:rPr>
        <w:t>, wh</w:t>
      </w:r>
      <w:r w:rsidRPr="003E7E0C">
        <w:rPr>
          <w:rFonts w:eastAsia="Calibri"/>
          <w:sz w:val="26"/>
          <w:szCs w:val="26"/>
        </w:rPr>
        <w:t xml:space="preserve">at we expect to see raised in such petitions </w:t>
      </w:r>
      <w:r w:rsidRPr="003E7E0C">
        <w:rPr>
          <w:rFonts w:eastAsia="Calibri"/>
          <w:i/>
          <w:iCs/>
          <w:sz w:val="26"/>
          <w:szCs w:val="26"/>
        </w:rPr>
        <w:t>are new and novel arguments, not previously heard, or considerations which appear to have been overlooked or not addressed by the commission</w:t>
      </w:r>
      <w:r w:rsidRPr="003E7E0C">
        <w:rPr>
          <w:rFonts w:eastAsia="Calibri"/>
          <w:sz w:val="26"/>
          <w:szCs w:val="26"/>
        </w:rPr>
        <w:t>.  Absent such matters being presented, we consider it unlikely that a party will succeed in persuading us that our initial decision on a matter or issue was either unwise or in error.</w:t>
      </w:r>
      <w:r w:rsidR="00547763">
        <w:rPr>
          <w:rFonts w:eastAsia="Calibri"/>
          <w:sz w:val="26"/>
          <w:szCs w:val="26"/>
        </w:rPr>
        <w:t xml:space="preserve">  </w:t>
      </w:r>
      <w:r w:rsidR="00547763">
        <w:rPr>
          <w:rFonts w:eastAsia="Calibri"/>
          <w:i/>
          <w:iCs/>
          <w:sz w:val="26"/>
          <w:szCs w:val="26"/>
        </w:rPr>
        <w:t xml:space="preserve">See </w:t>
      </w:r>
      <w:proofErr w:type="spellStart"/>
      <w:r w:rsidR="00547763">
        <w:rPr>
          <w:rFonts w:eastAsia="Calibri"/>
          <w:i/>
          <w:iCs/>
          <w:sz w:val="26"/>
          <w:szCs w:val="26"/>
        </w:rPr>
        <w:t>Duick</w:t>
      </w:r>
      <w:proofErr w:type="spellEnd"/>
      <w:r w:rsidR="00547763">
        <w:rPr>
          <w:rFonts w:eastAsia="Calibri"/>
          <w:sz w:val="26"/>
          <w:szCs w:val="26"/>
        </w:rPr>
        <w:t>.</w:t>
      </w:r>
    </w:p>
    <w:p w14:paraId="7B418C98" w14:textId="77777777" w:rsidR="002E71D1" w:rsidRPr="008E6211" w:rsidRDefault="002E71D1" w:rsidP="00547763">
      <w:pPr>
        <w:ind w:firstLine="0"/>
        <w:rPr>
          <w:sz w:val="26"/>
          <w:szCs w:val="26"/>
        </w:rPr>
      </w:pPr>
    </w:p>
    <w:p w14:paraId="699233CD" w14:textId="1CAF4DE7" w:rsidR="00547763" w:rsidRPr="00B86EBE" w:rsidRDefault="00B120C9" w:rsidP="00143357">
      <w:pPr>
        <w:keepNext/>
        <w:keepLines/>
        <w:ind w:firstLine="0"/>
        <w:rPr>
          <w:b/>
          <w:bCs/>
          <w:sz w:val="26"/>
          <w:szCs w:val="26"/>
        </w:rPr>
      </w:pPr>
      <w:r>
        <w:rPr>
          <w:b/>
          <w:bCs/>
          <w:sz w:val="26"/>
          <w:szCs w:val="26"/>
        </w:rPr>
        <w:t>E</w:t>
      </w:r>
      <w:r w:rsidR="00547763">
        <w:rPr>
          <w:b/>
          <w:bCs/>
          <w:sz w:val="26"/>
          <w:szCs w:val="26"/>
        </w:rPr>
        <w:t>.</w:t>
      </w:r>
      <w:r w:rsidR="00547763">
        <w:rPr>
          <w:b/>
          <w:bCs/>
          <w:sz w:val="26"/>
          <w:szCs w:val="26"/>
        </w:rPr>
        <w:tab/>
        <w:t>Disposition</w:t>
      </w:r>
    </w:p>
    <w:p w14:paraId="28DA3E67" w14:textId="0B18DC60" w:rsidR="00547763" w:rsidRDefault="00547763" w:rsidP="00143357">
      <w:pPr>
        <w:keepNext/>
        <w:keepLines/>
        <w:ind w:firstLine="720"/>
        <w:rPr>
          <w:b/>
          <w:bCs/>
          <w:sz w:val="26"/>
          <w:szCs w:val="26"/>
        </w:rPr>
      </w:pPr>
    </w:p>
    <w:p w14:paraId="53CB0A84" w14:textId="5D9D9C13" w:rsidR="009E131D" w:rsidRPr="00A52641" w:rsidRDefault="009E131D" w:rsidP="00143357">
      <w:pPr>
        <w:keepNext/>
        <w:keepLines/>
        <w:rPr>
          <w:rFonts w:eastAsia="Calibri"/>
          <w:sz w:val="26"/>
          <w:szCs w:val="26"/>
        </w:rPr>
      </w:pPr>
      <w:r w:rsidRPr="00A52641">
        <w:rPr>
          <w:rFonts w:eastAsia="Calibri"/>
          <w:sz w:val="26"/>
          <w:szCs w:val="26"/>
        </w:rPr>
        <w:t xml:space="preserve">As a prefatory matter, we advise the Parties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10" w:history="1">
        <w:r w:rsidRPr="00A52641">
          <w:rPr>
            <w:rFonts w:eastAsia="Calibri"/>
            <w:i/>
            <w:iCs/>
            <w:sz w:val="26"/>
            <w:szCs w:val="26"/>
          </w:rPr>
          <w:t>Consolidated Rail Corporation v. Pa.</w:t>
        </w:r>
        <w:r w:rsidR="00A61988">
          <w:rPr>
            <w:rFonts w:eastAsia="Calibri"/>
            <w:i/>
            <w:iCs/>
            <w:sz w:val="26"/>
            <w:szCs w:val="26"/>
          </w:rPr>
          <w:t> </w:t>
        </w:r>
        <w:r w:rsidRPr="00A52641">
          <w:rPr>
            <w:rFonts w:eastAsia="Calibri"/>
            <w:i/>
            <w:iCs/>
            <w:sz w:val="26"/>
            <w:szCs w:val="26"/>
          </w:rPr>
          <w:t>PUC</w:t>
        </w:r>
        <w:r w:rsidRPr="00A61988">
          <w:rPr>
            <w:rFonts w:eastAsia="Calibri"/>
            <w:sz w:val="26"/>
            <w:szCs w:val="26"/>
          </w:rPr>
          <w:t>,</w:t>
        </w:r>
        <w:r w:rsidRPr="00A52641">
          <w:rPr>
            <w:rFonts w:eastAsia="Calibri"/>
            <w:i/>
            <w:iCs/>
            <w:sz w:val="26"/>
            <w:szCs w:val="26"/>
          </w:rPr>
          <w:t xml:space="preserve"> </w:t>
        </w:r>
        <w:r w:rsidRPr="00A52641">
          <w:rPr>
            <w:rFonts w:eastAsia="Calibri"/>
            <w:sz w:val="26"/>
            <w:szCs w:val="26"/>
          </w:rPr>
          <w:t>625 A.2d 741 (Pa. Cmwlth. 1993);</w:t>
        </w:r>
      </w:hyperlink>
      <w:r w:rsidRPr="00A52641">
        <w:rPr>
          <w:rFonts w:eastAsia="Calibri"/>
          <w:sz w:val="26"/>
          <w:szCs w:val="26"/>
        </w:rPr>
        <w:t xml:space="preserve"> </w:t>
      </w:r>
      <w:r w:rsidRPr="00A52641">
        <w:rPr>
          <w:rFonts w:eastAsia="Calibri"/>
          <w:i/>
          <w:sz w:val="26"/>
          <w:szCs w:val="26"/>
        </w:rPr>
        <w:t xml:space="preserve">also </w:t>
      </w:r>
      <w:r w:rsidRPr="00A52641">
        <w:rPr>
          <w:rFonts w:eastAsia="Calibri"/>
          <w:i/>
          <w:iCs/>
          <w:sz w:val="26"/>
          <w:szCs w:val="26"/>
        </w:rPr>
        <w:t xml:space="preserve">see, generally, </w:t>
      </w:r>
      <w:hyperlink r:id="rId11" w:history="1">
        <w:r w:rsidRPr="00A52641">
          <w:rPr>
            <w:rFonts w:eastAsia="Calibri"/>
            <w:i/>
            <w:iCs/>
            <w:sz w:val="26"/>
            <w:szCs w:val="26"/>
          </w:rPr>
          <w:t>University of Pennsylvania v. Pa. PUC</w:t>
        </w:r>
        <w:r w:rsidRPr="00A52641">
          <w:rPr>
            <w:rFonts w:eastAsia="Calibri"/>
            <w:sz w:val="26"/>
            <w:szCs w:val="26"/>
          </w:rPr>
          <w:t>, 485 A.2d 1217 (Pa. Cmwlth. 1984).</w:t>
        </w:r>
      </w:hyperlink>
    </w:p>
    <w:p w14:paraId="5CECFFA9" w14:textId="77777777" w:rsidR="009E131D" w:rsidRDefault="009E131D" w:rsidP="003A504E">
      <w:pPr>
        <w:ind w:firstLine="0"/>
        <w:rPr>
          <w:b/>
          <w:bCs/>
          <w:sz w:val="26"/>
          <w:szCs w:val="26"/>
        </w:rPr>
      </w:pPr>
    </w:p>
    <w:p w14:paraId="5798C3B8" w14:textId="7254C098" w:rsidR="00547763" w:rsidRPr="007562B4" w:rsidRDefault="00547763" w:rsidP="007562B4">
      <w:pPr>
        <w:pStyle w:val="ListParagraph"/>
        <w:numPr>
          <w:ilvl w:val="0"/>
          <w:numId w:val="11"/>
        </w:numPr>
        <w:ind w:left="1440" w:hanging="720"/>
        <w:rPr>
          <w:b/>
          <w:bCs/>
          <w:sz w:val="26"/>
          <w:szCs w:val="26"/>
        </w:rPr>
      </w:pPr>
      <w:r w:rsidRPr="007562B4">
        <w:rPr>
          <w:b/>
          <w:bCs/>
          <w:sz w:val="26"/>
          <w:szCs w:val="26"/>
        </w:rPr>
        <w:t xml:space="preserve">Rescission and Amendment of </w:t>
      </w:r>
      <w:r w:rsidR="00975D04" w:rsidRPr="007562B4">
        <w:rPr>
          <w:b/>
          <w:bCs/>
          <w:sz w:val="26"/>
          <w:szCs w:val="26"/>
        </w:rPr>
        <w:t xml:space="preserve">the </w:t>
      </w:r>
      <w:r w:rsidRPr="007562B4">
        <w:rPr>
          <w:b/>
          <w:bCs/>
          <w:i/>
          <w:iCs/>
          <w:sz w:val="26"/>
          <w:szCs w:val="26"/>
        </w:rPr>
        <w:t>Final Order</w:t>
      </w:r>
    </w:p>
    <w:p w14:paraId="466C8A13" w14:textId="77777777" w:rsidR="007D18C7" w:rsidRDefault="007D18C7" w:rsidP="002E71D1">
      <w:pPr>
        <w:rPr>
          <w:sz w:val="26"/>
          <w:szCs w:val="26"/>
        </w:rPr>
      </w:pPr>
    </w:p>
    <w:p w14:paraId="228CF382" w14:textId="52BE00CD" w:rsidR="00A021F9" w:rsidRDefault="007D18C7" w:rsidP="002E71D1">
      <w:pPr>
        <w:rPr>
          <w:sz w:val="26"/>
          <w:szCs w:val="26"/>
        </w:rPr>
      </w:pPr>
      <w:r>
        <w:rPr>
          <w:sz w:val="26"/>
          <w:szCs w:val="26"/>
        </w:rPr>
        <w:t xml:space="preserve">We shall deny the </w:t>
      </w:r>
      <w:r w:rsidR="00280326">
        <w:rPr>
          <w:sz w:val="26"/>
          <w:szCs w:val="26"/>
        </w:rPr>
        <w:t xml:space="preserve">DSC </w:t>
      </w:r>
      <w:r>
        <w:rPr>
          <w:sz w:val="26"/>
          <w:szCs w:val="26"/>
        </w:rPr>
        <w:t>Petition to the degree it requests a directive that the Transaction</w:t>
      </w:r>
      <w:r w:rsidR="00235928">
        <w:rPr>
          <w:sz w:val="26"/>
          <w:szCs w:val="26"/>
        </w:rPr>
        <w:t xml:space="preserve"> as part of the</w:t>
      </w:r>
      <w:r>
        <w:rPr>
          <w:sz w:val="26"/>
          <w:szCs w:val="26"/>
        </w:rPr>
        <w:t xml:space="preserve"> </w:t>
      </w:r>
      <w:r w:rsidR="00235928">
        <w:rPr>
          <w:sz w:val="26"/>
          <w:szCs w:val="26"/>
        </w:rPr>
        <w:t xml:space="preserve">Settlement, </w:t>
      </w:r>
      <w:r>
        <w:rPr>
          <w:sz w:val="26"/>
          <w:szCs w:val="26"/>
        </w:rPr>
        <w:t xml:space="preserve">be closed by a date certain.  The Petition does not meet the standards of </w:t>
      </w:r>
      <w:proofErr w:type="spellStart"/>
      <w:r>
        <w:rPr>
          <w:i/>
          <w:iCs/>
          <w:sz w:val="26"/>
          <w:szCs w:val="26"/>
        </w:rPr>
        <w:t>Duick</w:t>
      </w:r>
      <w:proofErr w:type="spellEnd"/>
      <w:r>
        <w:rPr>
          <w:i/>
          <w:iCs/>
          <w:sz w:val="26"/>
          <w:szCs w:val="26"/>
        </w:rPr>
        <w:t xml:space="preserve"> </w:t>
      </w:r>
      <w:r>
        <w:rPr>
          <w:sz w:val="26"/>
          <w:szCs w:val="26"/>
        </w:rPr>
        <w:t xml:space="preserve">in this regard. </w:t>
      </w:r>
    </w:p>
    <w:p w14:paraId="3D6B4364" w14:textId="77777777" w:rsidR="007C56F1" w:rsidRDefault="007C56F1" w:rsidP="007C56F1">
      <w:pPr>
        <w:kinsoku w:val="0"/>
        <w:overflowPunct w:val="0"/>
        <w:textAlignment w:val="baseline"/>
        <w:rPr>
          <w:sz w:val="26"/>
          <w:szCs w:val="26"/>
        </w:rPr>
      </w:pPr>
    </w:p>
    <w:p w14:paraId="6EF42FA8" w14:textId="145555D6" w:rsidR="00B96C27" w:rsidRDefault="007C56F1" w:rsidP="007C56F1">
      <w:pPr>
        <w:kinsoku w:val="0"/>
        <w:overflowPunct w:val="0"/>
        <w:textAlignment w:val="baseline"/>
        <w:rPr>
          <w:sz w:val="26"/>
          <w:szCs w:val="26"/>
        </w:rPr>
      </w:pPr>
      <w:r w:rsidRPr="00847928">
        <w:rPr>
          <w:sz w:val="26"/>
          <w:szCs w:val="26"/>
        </w:rPr>
        <w:t xml:space="preserve">PAWC is correct </w:t>
      </w:r>
      <w:r>
        <w:rPr>
          <w:sz w:val="26"/>
          <w:szCs w:val="26"/>
        </w:rPr>
        <w:t xml:space="preserve">in noting </w:t>
      </w:r>
      <w:r w:rsidRPr="00847928">
        <w:rPr>
          <w:sz w:val="26"/>
          <w:szCs w:val="26"/>
        </w:rPr>
        <w:t xml:space="preserve">that there was no closing date in the </w:t>
      </w:r>
      <w:r w:rsidRPr="00847928">
        <w:rPr>
          <w:i/>
          <w:iCs/>
          <w:sz w:val="26"/>
          <w:szCs w:val="26"/>
        </w:rPr>
        <w:t>Final Order</w:t>
      </w:r>
      <w:r w:rsidRPr="00847928">
        <w:rPr>
          <w:sz w:val="26"/>
          <w:szCs w:val="26"/>
        </w:rPr>
        <w:t xml:space="preserve">.  The imposition of </w:t>
      </w:r>
      <w:r w:rsidR="00F27A12">
        <w:rPr>
          <w:sz w:val="26"/>
          <w:szCs w:val="26"/>
        </w:rPr>
        <w:t xml:space="preserve">a directive to close the Transaction by a specific date, </w:t>
      </w:r>
      <w:r w:rsidRPr="00847928">
        <w:rPr>
          <w:sz w:val="26"/>
          <w:szCs w:val="26"/>
        </w:rPr>
        <w:t>at this time</w:t>
      </w:r>
      <w:r w:rsidR="00061F21">
        <w:rPr>
          <w:sz w:val="26"/>
          <w:szCs w:val="26"/>
        </w:rPr>
        <w:t>,</w:t>
      </w:r>
      <w:r w:rsidRPr="00847928">
        <w:rPr>
          <w:sz w:val="26"/>
          <w:szCs w:val="26"/>
        </w:rPr>
        <w:t xml:space="preserve"> would constitute a material change in the approved Settlement Agreement</w:t>
      </w:r>
      <w:r w:rsidR="00061F21">
        <w:rPr>
          <w:sz w:val="26"/>
          <w:szCs w:val="26"/>
        </w:rPr>
        <w:t>.  The Settlement Agreement</w:t>
      </w:r>
      <w:r w:rsidRPr="00847928">
        <w:rPr>
          <w:sz w:val="26"/>
          <w:szCs w:val="26"/>
        </w:rPr>
        <w:t xml:space="preserve"> provides</w:t>
      </w:r>
      <w:r w:rsidR="00061F21">
        <w:rPr>
          <w:sz w:val="26"/>
          <w:szCs w:val="26"/>
        </w:rPr>
        <w:t xml:space="preserve">, </w:t>
      </w:r>
      <w:r w:rsidR="00061F21">
        <w:rPr>
          <w:i/>
          <w:iCs/>
          <w:sz w:val="26"/>
          <w:szCs w:val="26"/>
        </w:rPr>
        <w:t>inter alia</w:t>
      </w:r>
      <w:r w:rsidR="009F2F9E">
        <w:rPr>
          <w:sz w:val="26"/>
          <w:szCs w:val="26"/>
        </w:rPr>
        <w:t>,</w:t>
      </w:r>
      <w:r w:rsidRPr="00847928">
        <w:rPr>
          <w:sz w:val="26"/>
          <w:szCs w:val="26"/>
        </w:rPr>
        <w:t xml:space="preserve"> that closing will commence within thirty days of completion of a specific list included in that Agreement.  Whether or not that list has been fulfilled is not in the factual record.</w:t>
      </w:r>
    </w:p>
    <w:p w14:paraId="3E3C4AE0" w14:textId="68D92F30" w:rsidR="002B5421" w:rsidRDefault="002B5421" w:rsidP="007C56F1">
      <w:pPr>
        <w:kinsoku w:val="0"/>
        <w:overflowPunct w:val="0"/>
        <w:textAlignment w:val="baseline"/>
        <w:rPr>
          <w:sz w:val="26"/>
          <w:szCs w:val="26"/>
        </w:rPr>
      </w:pPr>
      <w:r>
        <w:rPr>
          <w:sz w:val="26"/>
          <w:szCs w:val="26"/>
        </w:rPr>
        <w:t xml:space="preserve">  </w:t>
      </w:r>
    </w:p>
    <w:p w14:paraId="3CE4DA32" w14:textId="35C55319" w:rsidR="007C56F1" w:rsidRDefault="002B5421" w:rsidP="007C56F1">
      <w:pPr>
        <w:kinsoku w:val="0"/>
        <w:overflowPunct w:val="0"/>
        <w:textAlignment w:val="baseline"/>
        <w:rPr>
          <w:sz w:val="26"/>
          <w:szCs w:val="26"/>
        </w:rPr>
      </w:pPr>
      <w:r>
        <w:rPr>
          <w:sz w:val="26"/>
          <w:szCs w:val="26"/>
        </w:rPr>
        <w:t xml:space="preserve">Also, </w:t>
      </w:r>
      <w:r w:rsidR="003B5356">
        <w:rPr>
          <w:sz w:val="26"/>
          <w:szCs w:val="26"/>
        </w:rPr>
        <w:t xml:space="preserve">we note that </w:t>
      </w:r>
      <w:r>
        <w:rPr>
          <w:sz w:val="26"/>
          <w:szCs w:val="26"/>
        </w:rPr>
        <w:t>DSC does not offer any</w:t>
      </w:r>
      <w:r w:rsidR="00B8513C">
        <w:rPr>
          <w:sz w:val="26"/>
          <w:szCs w:val="26"/>
        </w:rPr>
        <w:t xml:space="preserve"> </w:t>
      </w:r>
      <w:r w:rsidR="00C81824">
        <w:rPr>
          <w:sz w:val="26"/>
          <w:szCs w:val="26"/>
        </w:rPr>
        <w:t xml:space="preserve">support for its request that the Transaction be closed by </w:t>
      </w:r>
      <w:r w:rsidR="00577724">
        <w:rPr>
          <w:sz w:val="26"/>
          <w:szCs w:val="26"/>
        </w:rPr>
        <w:t>the</w:t>
      </w:r>
      <w:r w:rsidR="00C81824">
        <w:rPr>
          <w:sz w:val="26"/>
          <w:szCs w:val="26"/>
        </w:rPr>
        <w:t xml:space="preserve"> date certain</w:t>
      </w:r>
      <w:r w:rsidR="00577724">
        <w:rPr>
          <w:sz w:val="26"/>
          <w:szCs w:val="26"/>
        </w:rPr>
        <w:t xml:space="preserve"> cited in its Petition</w:t>
      </w:r>
      <w:r w:rsidR="00C81824">
        <w:rPr>
          <w:sz w:val="26"/>
          <w:szCs w:val="26"/>
        </w:rPr>
        <w:t>.</w:t>
      </w:r>
      <w:r w:rsidR="007C56F1" w:rsidRPr="00847928">
        <w:rPr>
          <w:sz w:val="26"/>
          <w:szCs w:val="26"/>
        </w:rPr>
        <w:t xml:space="preserve">  Therefore, the Commission cannot grant the </w:t>
      </w:r>
      <w:r w:rsidR="00B8513C">
        <w:rPr>
          <w:sz w:val="26"/>
          <w:szCs w:val="26"/>
        </w:rPr>
        <w:t>e</w:t>
      </w:r>
      <w:r w:rsidR="007C56F1" w:rsidRPr="00847928">
        <w:rPr>
          <w:sz w:val="26"/>
          <w:szCs w:val="26"/>
        </w:rPr>
        <w:t>nforcement action as requested by DSC.</w:t>
      </w:r>
    </w:p>
    <w:p w14:paraId="25CED8F9" w14:textId="77777777" w:rsidR="002D5C69" w:rsidRDefault="002D5C69" w:rsidP="002D5C69">
      <w:pPr>
        <w:kinsoku w:val="0"/>
        <w:overflowPunct w:val="0"/>
        <w:textAlignment w:val="baseline"/>
        <w:rPr>
          <w:color w:val="000000" w:themeColor="text1"/>
          <w:sz w:val="26"/>
          <w:szCs w:val="26"/>
        </w:rPr>
      </w:pPr>
    </w:p>
    <w:p w14:paraId="654FBF87" w14:textId="005FA6DF" w:rsidR="00847986" w:rsidRPr="00DB1C9E" w:rsidRDefault="00C81824" w:rsidP="00847986">
      <w:pPr>
        <w:kinsoku w:val="0"/>
        <w:overflowPunct w:val="0"/>
        <w:textAlignment w:val="baseline"/>
        <w:rPr>
          <w:color w:val="000000" w:themeColor="text1"/>
          <w:spacing w:val="-1"/>
          <w:sz w:val="26"/>
          <w:szCs w:val="26"/>
        </w:rPr>
      </w:pPr>
      <w:r>
        <w:rPr>
          <w:color w:val="000000" w:themeColor="text1"/>
          <w:spacing w:val="-1"/>
          <w:sz w:val="26"/>
          <w:szCs w:val="26"/>
        </w:rPr>
        <w:t>W</w:t>
      </w:r>
      <w:r w:rsidR="00847986" w:rsidRPr="00DB1C9E">
        <w:rPr>
          <w:color w:val="000000" w:themeColor="text1"/>
          <w:spacing w:val="-1"/>
          <w:sz w:val="26"/>
          <w:szCs w:val="26"/>
        </w:rPr>
        <w:t>e are not inclined to disrupt the Settlement Agreement at this time.</w:t>
      </w:r>
      <w:r w:rsidR="00847986">
        <w:rPr>
          <w:color w:val="000000" w:themeColor="text1"/>
          <w:spacing w:val="-1"/>
          <w:sz w:val="26"/>
          <w:szCs w:val="26"/>
        </w:rPr>
        <w:t xml:space="preserve"> </w:t>
      </w:r>
      <w:r w:rsidR="00847986" w:rsidRPr="00DB1C9E">
        <w:rPr>
          <w:color w:val="000000" w:themeColor="text1"/>
          <w:spacing w:val="-1"/>
          <w:sz w:val="26"/>
          <w:szCs w:val="26"/>
        </w:rPr>
        <w:t xml:space="preserve"> </w:t>
      </w:r>
      <w:r w:rsidR="00847986">
        <w:rPr>
          <w:color w:val="000000" w:themeColor="text1"/>
          <w:spacing w:val="-1"/>
          <w:sz w:val="26"/>
          <w:szCs w:val="26"/>
        </w:rPr>
        <w:t>We n</w:t>
      </w:r>
      <w:r w:rsidR="00847986" w:rsidRPr="00DB1C9E">
        <w:rPr>
          <w:color w:val="000000" w:themeColor="text1"/>
          <w:spacing w:val="-1"/>
          <w:sz w:val="26"/>
          <w:szCs w:val="26"/>
        </w:rPr>
        <w:t xml:space="preserve">ote that in Ordering Paragraph </w:t>
      </w:r>
      <w:r w:rsidR="00847986">
        <w:rPr>
          <w:color w:val="000000" w:themeColor="text1"/>
          <w:spacing w:val="-1"/>
          <w:sz w:val="26"/>
          <w:szCs w:val="26"/>
        </w:rPr>
        <w:t xml:space="preserve">No. </w:t>
      </w:r>
      <w:r w:rsidR="00847986" w:rsidRPr="00DB1C9E">
        <w:rPr>
          <w:color w:val="000000" w:themeColor="text1"/>
          <w:spacing w:val="-1"/>
          <w:sz w:val="26"/>
          <w:szCs w:val="26"/>
        </w:rPr>
        <w:t xml:space="preserve">5 of the </w:t>
      </w:r>
      <w:r w:rsidR="00191F51">
        <w:rPr>
          <w:color w:val="000000" w:themeColor="text1"/>
          <w:spacing w:val="-1"/>
          <w:sz w:val="26"/>
          <w:szCs w:val="26"/>
        </w:rPr>
        <w:t xml:space="preserve">Commission’s </w:t>
      </w:r>
      <w:r w:rsidR="00847986" w:rsidRPr="00DB1C9E">
        <w:rPr>
          <w:i/>
          <w:iCs/>
          <w:color w:val="000000" w:themeColor="text1"/>
          <w:spacing w:val="-1"/>
          <w:sz w:val="26"/>
          <w:szCs w:val="26"/>
        </w:rPr>
        <w:t>Final Order</w:t>
      </w:r>
      <w:r w:rsidR="00847986" w:rsidRPr="00DB1C9E">
        <w:rPr>
          <w:color w:val="000000" w:themeColor="text1"/>
          <w:spacing w:val="-1"/>
          <w:sz w:val="26"/>
          <w:szCs w:val="26"/>
        </w:rPr>
        <w:t xml:space="preserve"> </w:t>
      </w:r>
      <w:r w:rsidR="00552F77">
        <w:rPr>
          <w:color w:val="000000" w:themeColor="text1"/>
          <w:spacing w:val="-1"/>
          <w:sz w:val="26"/>
          <w:szCs w:val="26"/>
        </w:rPr>
        <w:t>issued on June</w:t>
      </w:r>
      <w:r w:rsidR="007562B4">
        <w:rPr>
          <w:color w:val="000000" w:themeColor="text1"/>
          <w:spacing w:val="-1"/>
          <w:sz w:val="26"/>
          <w:szCs w:val="26"/>
        </w:rPr>
        <w:t> </w:t>
      </w:r>
      <w:r w:rsidR="00552F77">
        <w:rPr>
          <w:color w:val="000000" w:themeColor="text1"/>
          <w:spacing w:val="-1"/>
          <w:sz w:val="26"/>
          <w:szCs w:val="26"/>
        </w:rPr>
        <w:t xml:space="preserve">13, 2019 </w:t>
      </w:r>
      <w:r w:rsidR="00847986" w:rsidRPr="00DB1C9E">
        <w:rPr>
          <w:color w:val="000000" w:themeColor="text1"/>
          <w:spacing w:val="-1"/>
          <w:sz w:val="26"/>
          <w:szCs w:val="26"/>
        </w:rPr>
        <w:t xml:space="preserve">in this matter, PAWC was directed to promptly file notice if it determines that the transaction will not occur. </w:t>
      </w:r>
      <w:r w:rsidR="00847986">
        <w:rPr>
          <w:color w:val="000000" w:themeColor="text1"/>
          <w:spacing w:val="-1"/>
          <w:sz w:val="26"/>
          <w:szCs w:val="26"/>
        </w:rPr>
        <w:t xml:space="preserve"> </w:t>
      </w:r>
      <w:r w:rsidR="00847986" w:rsidRPr="00DB1C9E">
        <w:rPr>
          <w:color w:val="000000" w:themeColor="text1"/>
          <w:spacing w:val="-1"/>
          <w:sz w:val="26"/>
          <w:szCs w:val="26"/>
        </w:rPr>
        <w:t xml:space="preserve">Similarly, Ordering Paragraph </w:t>
      </w:r>
      <w:r w:rsidR="00847986">
        <w:rPr>
          <w:color w:val="000000" w:themeColor="text1"/>
          <w:spacing w:val="-1"/>
          <w:sz w:val="26"/>
          <w:szCs w:val="26"/>
        </w:rPr>
        <w:t xml:space="preserve">No. </w:t>
      </w:r>
      <w:r w:rsidR="00847986" w:rsidRPr="00DB1C9E">
        <w:rPr>
          <w:color w:val="000000" w:themeColor="text1"/>
          <w:spacing w:val="-1"/>
          <w:sz w:val="26"/>
          <w:szCs w:val="26"/>
        </w:rPr>
        <w:t xml:space="preserve">9 effectively provides that DSC will remain a regulated public utility subject to Commission jurisdiction and the Code until PAWC files notice that the transaction has closed. </w:t>
      </w:r>
      <w:r w:rsidR="00847986">
        <w:rPr>
          <w:color w:val="000000" w:themeColor="text1"/>
          <w:spacing w:val="-1"/>
          <w:sz w:val="26"/>
          <w:szCs w:val="26"/>
        </w:rPr>
        <w:t xml:space="preserve"> </w:t>
      </w:r>
      <w:r w:rsidR="00847986" w:rsidRPr="00DB1C9E">
        <w:rPr>
          <w:color w:val="000000" w:themeColor="text1"/>
          <w:spacing w:val="-1"/>
          <w:sz w:val="26"/>
          <w:szCs w:val="26"/>
        </w:rPr>
        <w:t>Because PAWC has not filed this notice, DSC continues to retain its responsibilities as a public utility.</w:t>
      </w:r>
    </w:p>
    <w:p w14:paraId="3F737FC0" w14:textId="77777777" w:rsidR="00847986" w:rsidRDefault="00847986" w:rsidP="00847986">
      <w:pPr>
        <w:kinsoku w:val="0"/>
        <w:overflowPunct w:val="0"/>
        <w:textAlignment w:val="baseline"/>
        <w:rPr>
          <w:color w:val="000000" w:themeColor="text1"/>
          <w:sz w:val="26"/>
          <w:szCs w:val="26"/>
        </w:rPr>
      </w:pPr>
    </w:p>
    <w:p w14:paraId="4CF8BD32" w14:textId="68CDC46B" w:rsidR="00847986" w:rsidRDefault="00847986" w:rsidP="00847986">
      <w:pPr>
        <w:kinsoku w:val="0"/>
        <w:overflowPunct w:val="0"/>
        <w:textAlignment w:val="baseline"/>
        <w:rPr>
          <w:color w:val="000000" w:themeColor="text1"/>
          <w:sz w:val="26"/>
          <w:szCs w:val="26"/>
        </w:rPr>
      </w:pPr>
      <w:r w:rsidRPr="00DB1C9E">
        <w:rPr>
          <w:color w:val="000000" w:themeColor="text1"/>
          <w:sz w:val="26"/>
          <w:szCs w:val="26"/>
        </w:rPr>
        <w:t xml:space="preserve">The Commission’s main concern </w:t>
      </w:r>
      <w:r w:rsidR="00FB1167">
        <w:rPr>
          <w:color w:val="000000" w:themeColor="text1"/>
          <w:sz w:val="26"/>
          <w:szCs w:val="26"/>
        </w:rPr>
        <w:t xml:space="preserve">in this proceeding </w:t>
      </w:r>
      <w:r w:rsidRPr="00DB1C9E">
        <w:rPr>
          <w:color w:val="000000" w:themeColor="text1"/>
          <w:sz w:val="26"/>
          <w:szCs w:val="26"/>
        </w:rPr>
        <w:t xml:space="preserve">is that the 39 customers of DSC receive safe, </w:t>
      </w:r>
      <w:proofErr w:type="gramStart"/>
      <w:r w:rsidRPr="00DB1C9E">
        <w:rPr>
          <w:color w:val="000000" w:themeColor="text1"/>
          <w:sz w:val="26"/>
          <w:szCs w:val="26"/>
        </w:rPr>
        <w:t>adequate</w:t>
      </w:r>
      <w:proofErr w:type="gramEnd"/>
      <w:r w:rsidRPr="00DB1C9E">
        <w:rPr>
          <w:color w:val="000000" w:themeColor="text1"/>
          <w:sz w:val="26"/>
          <w:szCs w:val="26"/>
        </w:rPr>
        <w:t xml:space="preserve"> and reasonable service as soon as possible.</w:t>
      </w:r>
      <w:r w:rsidR="00141FDE">
        <w:rPr>
          <w:color w:val="000000" w:themeColor="text1"/>
          <w:sz w:val="26"/>
          <w:szCs w:val="26"/>
        </w:rPr>
        <w:t xml:space="preserve">  </w:t>
      </w:r>
      <w:r w:rsidRPr="00DB1C9E">
        <w:rPr>
          <w:color w:val="000000" w:themeColor="text1"/>
          <w:sz w:val="26"/>
          <w:szCs w:val="26"/>
        </w:rPr>
        <w:t xml:space="preserve">The present </w:t>
      </w:r>
      <w:r w:rsidR="006C62DD">
        <w:rPr>
          <w:color w:val="000000" w:themeColor="text1"/>
          <w:sz w:val="26"/>
          <w:szCs w:val="26"/>
        </w:rPr>
        <w:t xml:space="preserve">DSC </w:t>
      </w:r>
      <w:r w:rsidRPr="00DB1C9E">
        <w:rPr>
          <w:color w:val="000000" w:themeColor="text1"/>
          <w:sz w:val="26"/>
          <w:szCs w:val="26"/>
        </w:rPr>
        <w:t>system</w:t>
      </w:r>
      <w:r w:rsidR="006C62DD">
        <w:rPr>
          <w:color w:val="000000" w:themeColor="text1"/>
          <w:sz w:val="26"/>
          <w:szCs w:val="26"/>
        </w:rPr>
        <w:t>, as noted,</w:t>
      </w:r>
      <w:r w:rsidRPr="00DB1C9E">
        <w:rPr>
          <w:color w:val="000000" w:themeColor="text1"/>
          <w:sz w:val="26"/>
          <w:szCs w:val="26"/>
        </w:rPr>
        <w:t xml:space="preserve"> includes cracked and broken pipes leading to puddles of effluent on an unprotected sand mound which, due to its lack of fencing, hosts recreational all-terrain vehicles instead of providing a sound, environmentally safe disposal of wastewater. </w:t>
      </w:r>
      <w:r>
        <w:rPr>
          <w:color w:val="000000" w:themeColor="text1"/>
          <w:sz w:val="26"/>
          <w:szCs w:val="26"/>
        </w:rPr>
        <w:t xml:space="preserve"> </w:t>
      </w:r>
      <w:r w:rsidRPr="00DB1C9E">
        <w:rPr>
          <w:color w:val="000000" w:themeColor="text1"/>
          <w:sz w:val="26"/>
          <w:szCs w:val="26"/>
        </w:rPr>
        <w:t>Until th</w:t>
      </w:r>
      <w:r w:rsidR="006C62DD">
        <w:rPr>
          <w:color w:val="000000" w:themeColor="text1"/>
          <w:sz w:val="26"/>
          <w:szCs w:val="26"/>
        </w:rPr>
        <w:t>e</w:t>
      </w:r>
      <w:r w:rsidRPr="00DB1C9E">
        <w:rPr>
          <w:color w:val="000000" w:themeColor="text1"/>
          <w:sz w:val="26"/>
          <w:szCs w:val="26"/>
        </w:rPr>
        <w:t xml:space="preserve"> </w:t>
      </w:r>
      <w:r w:rsidR="006C62DD">
        <w:rPr>
          <w:color w:val="000000" w:themeColor="text1"/>
          <w:sz w:val="26"/>
          <w:szCs w:val="26"/>
        </w:rPr>
        <w:t>T</w:t>
      </w:r>
      <w:r w:rsidRPr="00DB1C9E">
        <w:rPr>
          <w:color w:val="000000" w:themeColor="text1"/>
          <w:sz w:val="26"/>
          <w:szCs w:val="26"/>
        </w:rPr>
        <w:t xml:space="preserve">ransaction is completed, those customers </w:t>
      </w:r>
      <w:r w:rsidR="00415287">
        <w:rPr>
          <w:color w:val="000000" w:themeColor="text1"/>
          <w:sz w:val="26"/>
          <w:szCs w:val="26"/>
        </w:rPr>
        <w:t xml:space="preserve">of DSC </w:t>
      </w:r>
      <w:r w:rsidRPr="00DB1C9E">
        <w:rPr>
          <w:color w:val="000000" w:themeColor="text1"/>
          <w:sz w:val="26"/>
          <w:szCs w:val="26"/>
        </w:rPr>
        <w:t xml:space="preserve">are not receiving the safe, </w:t>
      </w:r>
      <w:proofErr w:type="gramStart"/>
      <w:r w:rsidRPr="00DB1C9E">
        <w:rPr>
          <w:color w:val="000000" w:themeColor="text1"/>
          <w:sz w:val="26"/>
          <w:szCs w:val="26"/>
        </w:rPr>
        <w:t>adequate</w:t>
      </w:r>
      <w:proofErr w:type="gramEnd"/>
      <w:r w:rsidRPr="00DB1C9E">
        <w:rPr>
          <w:color w:val="000000" w:themeColor="text1"/>
          <w:sz w:val="26"/>
          <w:szCs w:val="26"/>
        </w:rPr>
        <w:t xml:space="preserve"> and reasonable service that all Pennsylvania citizens should be able to expect from a public utility.</w:t>
      </w:r>
      <w:r w:rsidR="00415287">
        <w:rPr>
          <w:color w:val="000000" w:themeColor="text1"/>
          <w:sz w:val="26"/>
          <w:szCs w:val="26"/>
        </w:rPr>
        <w:t xml:space="preserve">  </w:t>
      </w:r>
      <w:r w:rsidR="00415287">
        <w:rPr>
          <w:sz w:val="26"/>
          <w:szCs w:val="26"/>
        </w:rPr>
        <w:t>66 Pa. C.S. § 1501.</w:t>
      </w:r>
      <w:r w:rsidR="00415287" w:rsidRPr="00DB1C9E">
        <w:rPr>
          <w:color w:val="000000" w:themeColor="text1"/>
          <w:sz w:val="26"/>
          <w:szCs w:val="26"/>
        </w:rPr>
        <w:t xml:space="preserve"> </w:t>
      </w:r>
      <w:r w:rsidR="00415287">
        <w:rPr>
          <w:color w:val="000000" w:themeColor="text1"/>
          <w:sz w:val="26"/>
          <w:szCs w:val="26"/>
        </w:rPr>
        <w:t xml:space="preserve"> </w:t>
      </w:r>
      <w:r>
        <w:rPr>
          <w:color w:val="000000" w:themeColor="text1"/>
          <w:sz w:val="26"/>
          <w:szCs w:val="26"/>
        </w:rPr>
        <w:t xml:space="preserve">  </w:t>
      </w:r>
      <w:r>
        <w:rPr>
          <w:i/>
          <w:iCs/>
          <w:color w:val="000000" w:themeColor="text1"/>
          <w:sz w:val="26"/>
          <w:szCs w:val="26"/>
        </w:rPr>
        <w:t xml:space="preserve">  </w:t>
      </w:r>
    </w:p>
    <w:p w14:paraId="5FB9B110" w14:textId="77777777" w:rsidR="00141FDE" w:rsidRPr="00141FDE" w:rsidRDefault="00141FDE" w:rsidP="00847986">
      <w:pPr>
        <w:kinsoku w:val="0"/>
        <w:overflowPunct w:val="0"/>
        <w:textAlignment w:val="baseline"/>
        <w:rPr>
          <w:color w:val="000000" w:themeColor="text1"/>
          <w:sz w:val="26"/>
          <w:szCs w:val="26"/>
        </w:rPr>
      </w:pPr>
    </w:p>
    <w:p w14:paraId="028DDDE8" w14:textId="145B43D9" w:rsidR="002D5C69" w:rsidRPr="00DB1C9E" w:rsidRDefault="009E6665" w:rsidP="002D5C69">
      <w:pPr>
        <w:kinsoku w:val="0"/>
        <w:overflowPunct w:val="0"/>
        <w:textAlignment w:val="baseline"/>
        <w:rPr>
          <w:color w:val="000000" w:themeColor="text1"/>
          <w:sz w:val="26"/>
          <w:szCs w:val="26"/>
        </w:rPr>
      </w:pPr>
      <w:r>
        <w:rPr>
          <w:color w:val="000000" w:themeColor="text1"/>
          <w:sz w:val="26"/>
          <w:szCs w:val="26"/>
        </w:rPr>
        <w:t>D</w:t>
      </w:r>
      <w:r w:rsidR="002D5C69" w:rsidRPr="00DB1C9E">
        <w:rPr>
          <w:color w:val="000000" w:themeColor="text1"/>
          <w:sz w:val="26"/>
          <w:szCs w:val="26"/>
        </w:rPr>
        <w:t>ue to the environmental concerns raised by the condition of the D</w:t>
      </w:r>
      <w:r w:rsidR="002D5C69">
        <w:rPr>
          <w:color w:val="000000" w:themeColor="text1"/>
          <w:sz w:val="26"/>
          <w:szCs w:val="26"/>
        </w:rPr>
        <w:t>SC</w:t>
      </w:r>
      <w:r>
        <w:rPr>
          <w:color w:val="000000" w:themeColor="text1"/>
          <w:sz w:val="26"/>
          <w:szCs w:val="26"/>
        </w:rPr>
        <w:t xml:space="preserve"> system</w:t>
      </w:r>
      <w:r w:rsidR="002D5C69" w:rsidRPr="00DB1C9E">
        <w:rPr>
          <w:color w:val="000000" w:themeColor="text1"/>
          <w:sz w:val="26"/>
          <w:szCs w:val="26"/>
        </w:rPr>
        <w:t xml:space="preserve">, the remaining lots in the </w:t>
      </w:r>
      <w:r>
        <w:rPr>
          <w:color w:val="000000" w:themeColor="text1"/>
          <w:sz w:val="26"/>
          <w:szCs w:val="26"/>
        </w:rPr>
        <w:t>Wild Acres D</w:t>
      </w:r>
      <w:r w:rsidR="002D5C69" w:rsidRPr="00DB1C9E">
        <w:rPr>
          <w:color w:val="000000" w:themeColor="text1"/>
          <w:sz w:val="26"/>
          <w:szCs w:val="26"/>
        </w:rPr>
        <w:t xml:space="preserve">evelopment may not be </w:t>
      </w:r>
      <w:r>
        <w:rPr>
          <w:color w:val="000000" w:themeColor="text1"/>
          <w:sz w:val="26"/>
          <w:szCs w:val="26"/>
        </w:rPr>
        <w:t xml:space="preserve">properly </w:t>
      </w:r>
      <w:r w:rsidR="002D5C69" w:rsidRPr="00DB1C9E">
        <w:rPr>
          <w:color w:val="000000" w:themeColor="text1"/>
          <w:sz w:val="26"/>
          <w:szCs w:val="26"/>
        </w:rPr>
        <w:t xml:space="preserve">developed until this system is transferred into PAWC’s </w:t>
      </w:r>
      <w:r w:rsidR="00CF79E7">
        <w:rPr>
          <w:color w:val="000000" w:themeColor="text1"/>
          <w:sz w:val="26"/>
          <w:szCs w:val="26"/>
        </w:rPr>
        <w:t>h</w:t>
      </w:r>
      <w:r w:rsidR="002D5C69" w:rsidRPr="00DB1C9E">
        <w:rPr>
          <w:color w:val="000000" w:themeColor="text1"/>
          <w:sz w:val="26"/>
          <w:szCs w:val="26"/>
        </w:rPr>
        <w:t xml:space="preserve">ands, </w:t>
      </w:r>
      <w:r w:rsidR="00CF79E7">
        <w:rPr>
          <w:color w:val="000000" w:themeColor="text1"/>
          <w:sz w:val="26"/>
          <w:szCs w:val="26"/>
        </w:rPr>
        <w:t xml:space="preserve">as a capable public utility, </w:t>
      </w:r>
      <w:r w:rsidR="002D5C69" w:rsidRPr="00DB1C9E">
        <w:rPr>
          <w:color w:val="000000" w:themeColor="text1"/>
          <w:sz w:val="26"/>
          <w:szCs w:val="26"/>
        </w:rPr>
        <w:t>repaired and running.</w:t>
      </w:r>
    </w:p>
    <w:p w14:paraId="0C85C2C6" w14:textId="77777777" w:rsidR="002D5C69" w:rsidRDefault="002D5C69" w:rsidP="00662EDF">
      <w:pPr>
        <w:kinsoku w:val="0"/>
        <w:overflowPunct w:val="0"/>
        <w:textAlignment w:val="baseline"/>
        <w:rPr>
          <w:color w:val="000000" w:themeColor="text1"/>
          <w:spacing w:val="-1"/>
          <w:sz w:val="26"/>
          <w:szCs w:val="26"/>
        </w:rPr>
      </w:pPr>
    </w:p>
    <w:p w14:paraId="14B285C3" w14:textId="1B17AC98" w:rsidR="00A26423" w:rsidRDefault="00CF79E7" w:rsidP="00662EDF">
      <w:pPr>
        <w:kinsoku w:val="0"/>
        <w:overflowPunct w:val="0"/>
        <w:textAlignment w:val="baseline"/>
        <w:rPr>
          <w:color w:val="000000" w:themeColor="text1"/>
          <w:spacing w:val="-1"/>
          <w:sz w:val="26"/>
          <w:szCs w:val="26"/>
        </w:rPr>
      </w:pPr>
      <w:r>
        <w:rPr>
          <w:color w:val="000000" w:themeColor="text1"/>
          <w:spacing w:val="-1"/>
          <w:sz w:val="26"/>
          <w:szCs w:val="26"/>
        </w:rPr>
        <w:t>Based on the foregoing, and t</w:t>
      </w:r>
      <w:r w:rsidR="00662EDF" w:rsidRPr="00DB1C9E">
        <w:rPr>
          <w:color w:val="000000" w:themeColor="text1"/>
          <w:spacing w:val="-1"/>
          <w:sz w:val="26"/>
          <w:szCs w:val="26"/>
        </w:rPr>
        <w:t xml:space="preserve">o give the </w:t>
      </w:r>
      <w:r w:rsidR="00662EDF">
        <w:rPr>
          <w:color w:val="000000" w:themeColor="text1"/>
          <w:spacing w:val="-1"/>
          <w:sz w:val="26"/>
          <w:szCs w:val="26"/>
        </w:rPr>
        <w:t>P</w:t>
      </w:r>
      <w:r w:rsidR="00662EDF" w:rsidRPr="00DB1C9E">
        <w:rPr>
          <w:color w:val="000000" w:themeColor="text1"/>
          <w:spacing w:val="-1"/>
          <w:sz w:val="26"/>
          <w:szCs w:val="26"/>
        </w:rPr>
        <w:t xml:space="preserve">arties an opportunity to address this issue, </w:t>
      </w:r>
      <w:r w:rsidR="00662EDF">
        <w:rPr>
          <w:color w:val="000000" w:themeColor="text1"/>
          <w:spacing w:val="-1"/>
          <w:sz w:val="26"/>
          <w:szCs w:val="26"/>
        </w:rPr>
        <w:t>the Commission will</w:t>
      </w:r>
      <w:r w:rsidR="00662EDF" w:rsidRPr="00DB1C9E">
        <w:rPr>
          <w:color w:val="000000" w:themeColor="text1"/>
          <w:spacing w:val="-1"/>
          <w:sz w:val="26"/>
          <w:szCs w:val="26"/>
        </w:rPr>
        <w:t xml:space="preserve"> require the </w:t>
      </w:r>
      <w:r w:rsidR="00662EDF">
        <w:rPr>
          <w:color w:val="000000" w:themeColor="text1"/>
          <w:spacing w:val="-1"/>
          <w:sz w:val="26"/>
          <w:szCs w:val="26"/>
        </w:rPr>
        <w:t>P</w:t>
      </w:r>
      <w:r w:rsidR="00662EDF" w:rsidRPr="00DB1C9E">
        <w:rPr>
          <w:color w:val="000000" w:themeColor="text1"/>
          <w:spacing w:val="-1"/>
          <w:sz w:val="26"/>
          <w:szCs w:val="26"/>
        </w:rPr>
        <w:t>arties to provide an update on their progress no later than three months from the entry date of th</w:t>
      </w:r>
      <w:r w:rsidR="00662EDF">
        <w:rPr>
          <w:color w:val="000000" w:themeColor="text1"/>
          <w:spacing w:val="-1"/>
          <w:sz w:val="26"/>
          <w:szCs w:val="26"/>
        </w:rPr>
        <w:t>is</w:t>
      </w:r>
      <w:r w:rsidR="00662EDF" w:rsidRPr="00DB1C9E">
        <w:rPr>
          <w:color w:val="000000" w:themeColor="text1"/>
          <w:spacing w:val="-1"/>
          <w:sz w:val="26"/>
          <w:szCs w:val="26"/>
        </w:rPr>
        <w:t xml:space="preserve"> Order. </w:t>
      </w:r>
      <w:r w:rsidR="00662EDF">
        <w:rPr>
          <w:color w:val="000000" w:themeColor="text1"/>
          <w:spacing w:val="-1"/>
          <w:sz w:val="26"/>
          <w:szCs w:val="26"/>
        </w:rPr>
        <w:t xml:space="preserve"> </w:t>
      </w:r>
      <w:r w:rsidR="00662EDF" w:rsidRPr="00DB1C9E">
        <w:rPr>
          <w:color w:val="000000" w:themeColor="text1"/>
          <w:spacing w:val="-1"/>
          <w:sz w:val="26"/>
          <w:szCs w:val="26"/>
        </w:rPr>
        <w:t xml:space="preserve">At that time, if no progress had been made, the matter will be reevaluated by the Commission’s </w:t>
      </w:r>
      <w:r w:rsidR="00662EDF">
        <w:rPr>
          <w:color w:val="000000" w:themeColor="text1"/>
          <w:spacing w:val="-1"/>
          <w:sz w:val="26"/>
          <w:szCs w:val="26"/>
        </w:rPr>
        <w:t>Bureau of</w:t>
      </w:r>
      <w:r>
        <w:rPr>
          <w:color w:val="000000" w:themeColor="text1"/>
          <w:spacing w:val="-1"/>
          <w:sz w:val="26"/>
          <w:szCs w:val="26"/>
        </w:rPr>
        <w:t xml:space="preserve"> </w:t>
      </w:r>
      <w:r w:rsidR="00662EDF">
        <w:rPr>
          <w:color w:val="000000" w:themeColor="text1"/>
          <w:spacing w:val="-1"/>
          <w:sz w:val="26"/>
          <w:szCs w:val="26"/>
        </w:rPr>
        <w:t>TUS</w:t>
      </w:r>
      <w:r w:rsidR="00662EDF" w:rsidRPr="00DB1C9E">
        <w:rPr>
          <w:color w:val="000000" w:themeColor="text1"/>
          <w:spacing w:val="-1"/>
          <w:sz w:val="26"/>
          <w:szCs w:val="26"/>
        </w:rPr>
        <w:t xml:space="preserve">, which will make a </w:t>
      </w:r>
      <w:r w:rsidR="00A86657">
        <w:rPr>
          <w:color w:val="000000" w:themeColor="text1"/>
          <w:spacing w:val="-1"/>
          <w:sz w:val="26"/>
          <w:szCs w:val="26"/>
        </w:rPr>
        <w:t xml:space="preserve">report </w:t>
      </w:r>
      <w:r w:rsidR="00662EDF" w:rsidRPr="00DB1C9E">
        <w:rPr>
          <w:color w:val="000000" w:themeColor="text1"/>
          <w:spacing w:val="-1"/>
          <w:sz w:val="26"/>
          <w:szCs w:val="26"/>
        </w:rPr>
        <w:t xml:space="preserve">that will include a </w:t>
      </w:r>
      <w:r w:rsidR="00662EDF">
        <w:rPr>
          <w:color w:val="000000" w:themeColor="text1"/>
          <w:spacing w:val="-1"/>
          <w:sz w:val="26"/>
          <w:szCs w:val="26"/>
        </w:rPr>
        <w:t xml:space="preserve">recommendation </w:t>
      </w:r>
      <w:r w:rsidR="00A86657">
        <w:rPr>
          <w:color w:val="000000" w:themeColor="text1"/>
          <w:spacing w:val="-1"/>
          <w:sz w:val="26"/>
          <w:szCs w:val="26"/>
        </w:rPr>
        <w:t>as to</w:t>
      </w:r>
      <w:r w:rsidR="00662EDF">
        <w:rPr>
          <w:color w:val="000000" w:themeColor="text1"/>
          <w:spacing w:val="-1"/>
          <w:sz w:val="26"/>
          <w:szCs w:val="26"/>
        </w:rPr>
        <w:t xml:space="preserve"> whether </w:t>
      </w:r>
      <w:r w:rsidR="00662EDF" w:rsidRPr="00DB1C9E">
        <w:rPr>
          <w:color w:val="000000" w:themeColor="text1"/>
          <w:spacing w:val="-1"/>
          <w:sz w:val="26"/>
          <w:szCs w:val="26"/>
        </w:rPr>
        <w:t xml:space="preserve">closer scrutiny of the DSC affiliates </w:t>
      </w:r>
      <w:r w:rsidR="00662EDF">
        <w:rPr>
          <w:color w:val="000000" w:themeColor="text1"/>
          <w:spacing w:val="-1"/>
          <w:sz w:val="26"/>
          <w:szCs w:val="26"/>
        </w:rPr>
        <w:t xml:space="preserve">should be made </w:t>
      </w:r>
      <w:r w:rsidR="00662EDF" w:rsidRPr="00DB1C9E">
        <w:rPr>
          <w:color w:val="000000" w:themeColor="text1"/>
          <w:spacing w:val="-1"/>
          <w:sz w:val="26"/>
          <w:szCs w:val="26"/>
        </w:rPr>
        <w:t xml:space="preserve">and a </w:t>
      </w:r>
      <w:r w:rsidR="00662EDF">
        <w:rPr>
          <w:color w:val="000000" w:themeColor="text1"/>
          <w:spacing w:val="-1"/>
          <w:sz w:val="26"/>
          <w:szCs w:val="26"/>
        </w:rPr>
        <w:t>recommendation as to</w:t>
      </w:r>
      <w:r w:rsidR="00662EDF" w:rsidRPr="00DB1C9E">
        <w:rPr>
          <w:color w:val="000000" w:themeColor="text1"/>
          <w:spacing w:val="-1"/>
          <w:sz w:val="26"/>
          <w:szCs w:val="26"/>
        </w:rPr>
        <w:t xml:space="preserve"> whether to return the matter to the Office of Administrative Law Judge for an independent determination of the future of the </w:t>
      </w:r>
      <w:r w:rsidR="00A86657">
        <w:rPr>
          <w:color w:val="000000" w:themeColor="text1"/>
          <w:spacing w:val="-1"/>
          <w:sz w:val="26"/>
          <w:szCs w:val="26"/>
        </w:rPr>
        <w:t xml:space="preserve">unresolved </w:t>
      </w:r>
      <w:r w:rsidR="00662EDF" w:rsidRPr="00DB1C9E">
        <w:rPr>
          <w:color w:val="000000" w:themeColor="text1"/>
          <w:spacing w:val="-1"/>
          <w:sz w:val="26"/>
          <w:szCs w:val="26"/>
        </w:rPr>
        <w:t xml:space="preserve">issues. </w:t>
      </w:r>
      <w:r w:rsidR="00662EDF">
        <w:rPr>
          <w:color w:val="000000" w:themeColor="text1"/>
          <w:spacing w:val="-1"/>
          <w:sz w:val="26"/>
          <w:szCs w:val="26"/>
        </w:rPr>
        <w:t xml:space="preserve"> </w:t>
      </w:r>
    </w:p>
    <w:p w14:paraId="0AAA084F" w14:textId="77777777" w:rsidR="00847986" w:rsidRPr="00662EDF" w:rsidRDefault="00847986" w:rsidP="00662EDF">
      <w:pPr>
        <w:kinsoku w:val="0"/>
        <w:overflowPunct w:val="0"/>
        <w:textAlignment w:val="baseline"/>
        <w:rPr>
          <w:color w:val="000000" w:themeColor="text1"/>
          <w:spacing w:val="-1"/>
          <w:sz w:val="26"/>
          <w:szCs w:val="26"/>
        </w:rPr>
      </w:pPr>
    </w:p>
    <w:p w14:paraId="3A86A9CD" w14:textId="77777777" w:rsidR="00AD7693" w:rsidRPr="00977270" w:rsidRDefault="00AD7693" w:rsidP="00AD7693">
      <w:pPr>
        <w:ind w:firstLine="0"/>
        <w:jc w:val="center"/>
        <w:rPr>
          <w:b/>
          <w:sz w:val="26"/>
          <w:szCs w:val="26"/>
        </w:rPr>
      </w:pPr>
      <w:r w:rsidRPr="00977270">
        <w:rPr>
          <w:b/>
          <w:sz w:val="26"/>
          <w:szCs w:val="26"/>
        </w:rPr>
        <w:t>Conclusion</w:t>
      </w:r>
    </w:p>
    <w:p w14:paraId="5B2CF80F" w14:textId="77777777" w:rsidR="00AD7693" w:rsidRDefault="00AD7693" w:rsidP="00AD7693">
      <w:pPr>
        <w:ind w:firstLine="0"/>
        <w:rPr>
          <w:sz w:val="26"/>
          <w:szCs w:val="26"/>
        </w:rPr>
      </w:pPr>
    </w:p>
    <w:p w14:paraId="3AF36E69" w14:textId="125F09C8" w:rsidR="00A26423" w:rsidRDefault="00AD7693" w:rsidP="00A26423">
      <w:pPr>
        <w:rPr>
          <w:rFonts w:eastAsiaTheme="minorHAnsi"/>
          <w:sz w:val="26"/>
          <w:szCs w:val="26"/>
        </w:rPr>
      </w:pPr>
      <w:r>
        <w:rPr>
          <w:sz w:val="26"/>
          <w:szCs w:val="26"/>
        </w:rPr>
        <w:t xml:space="preserve">Based on our review, we will deny the </w:t>
      </w:r>
      <w:r w:rsidRPr="00212FFC">
        <w:rPr>
          <w:rFonts w:eastAsiaTheme="minorHAnsi"/>
          <w:sz w:val="26"/>
          <w:szCs w:val="26"/>
        </w:rPr>
        <w:t>Petition of</w:t>
      </w:r>
      <w:r>
        <w:rPr>
          <w:rFonts w:eastAsiaTheme="minorHAnsi"/>
          <w:sz w:val="26"/>
          <w:szCs w:val="26"/>
        </w:rPr>
        <w:t xml:space="preserve"> </w:t>
      </w:r>
      <w:r w:rsidRPr="00212FFC">
        <w:rPr>
          <w:rFonts w:eastAsiaTheme="minorHAnsi"/>
          <w:sz w:val="26"/>
          <w:szCs w:val="26"/>
        </w:rPr>
        <w:t>Delaware Sewer Company to Close Transaction by March 1, 2021</w:t>
      </w:r>
      <w:r>
        <w:rPr>
          <w:rFonts w:eastAsiaTheme="minorHAnsi"/>
          <w:sz w:val="26"/>
          <w:szCs w:val="26"/>
        </w:rPr>
        <w:t xml:space="preserve">, to the extent the Petition requests rescission and/or amendment of the </w:t>
      </w:r>
      <w:r w:rsidRPr="00B2332F">
        <w:rPr>
          <w:rFonts w:eastAsiaTheme="minorHAnsi"/>
          <w:i/>
          <w:iCs/>
          <w:sz w:val="26"/>
          <w:szCs w:val="26"/>
        </w:rPr>
        <w:t>Final Order</w:t>
      </w:r>
      <w:r>
        <w:rPr>
          <w:rFonts w:eastAsiaTheme="minorHAnsi"/>
          <w:sz w:val="26"/>
          <w:szCs w:val="26"/>
        </w:rPr>
        <w:t xml:space="preserve"> to require the closing of the Transaction approved therein by a date certain, March 1, 2021.  </w:t>
      </w:r>
      <w:r w:rsidR="00A26423">
        <w:rPr>
          <w:rFonts w:eastAsiaTheme="minorHAnsi"/>
          <w:sz w:val="26"/>
          <w:szCs w:val="26"/>
        </w:rPr>
        <w:t xml:space="preserve">  </w:t>
      </w:r>
    </w:p>
    <w:p w14:paraId="65DD608D" w14:textId="5FC51A74" w:rsidR="00A26423" w:rsidRDefault="00A26423" w:rsidP="00A26423">
      <w:pPr>
        <w:rPr>
          <w:sz w:val="26"/>
          <w:szCs w:val="26"/>
        </w:rPr>
      </w:pPr>
    </w:p>
    <w:p w14:paraId="67354870" w14:textId="38C535B0" w:rsidR="00AD7693" w:rsidRPr="001979E2" w:rsidRDefault="00C9494D" w:rsidP="001979E2">
      <w:pPr>
        <w:kinsoku w:val="0"/>
        <w:overflowPunct w:val="0"/>
        <w:textAlignment w:val="baseline"/>
        <w:rPr>
          <w:color w:val="000000" w:themeColor="text1"/>
          <w:spacing w:val="-1"/>
          <w:sz w:val="26"/>
          <w:szCs w:val="26"/>
        </w:rPr>
      </w:pPr>
      <w:r>
        <w:rPr>
          <w:color w:val="000000" w:themeColor="text1"/>
          <w:spacing w:val="-1"/>
          <w:sz w:val="26"/>
          <w:szCs w:val="26"/>
        </w:rPr>
        <w:t>We shall re</w:t>
      </w:r>
      <w:r w:rsidR="00AF7137" w:rsidRPr="00DB1C9E">
        <w:rPr>
          <w:color w:val="000000" w:themeColor="text1"/>
          <w:spacing w:val="-1"/>
          <w:sz w:val="26"/>
          <w:szCs w:val="26"/>
        </w:rPr>
        <w:t xml:space="preserve">quire </w:t>
      </w:r>
      <w:r>
        <w:rPr>
          <w:color w:val="000000" w:themeColor="text1"/>
          <w:spacing w:val="-1"/>
          <w:sz w:val="26"/>
          <w:szCs w:val="26"/>
        </w:rPr>
        <w:t xml:space="preserve">that </w:t>
      </w:r>
      <w:r w:rsidR="00AF7137" w:rsidRPr="00DB1C9E">
        <w:rPr>
          <w:color w:val="000000" w:themeColor="text1"/>
          <w:spacing w:val="-1"/>
          <w:sz w:val="26"/>
          <w:szCs w:val="26"/>
        </w:rPr>
        <w:t xml:space="preserve">the </w:t>
      </w:r>
      <w:r w:rsidR="00AF7137">
        <w:rPr>
          <w:color w:val="000000" w:themeColor="text1"/>
          <w:spacing w:val="-1"/>
          <w:sz w:val="26"/>
          <w:szCs w:val="26"/>
        </w:rPr>
        <w:t>P</w:t>
      </w:r>
      <w:r w:rsidR="00AF7137" w:rsidRPr="00DB1C9E">
        <w:rPr>
          <w:color w:val="000000" w:themeColor="text1"/>
          <w:spacing w:val="-1"/>
          <w:sz w:val="26"/>
          <w:szCs w:val="26"/>
        </w:rPr>
        <w:t xml:space="preserve">arties provide a </w:t>
      </w:r>
      <w:r>
        <w:rPr>
          <w:color w:val="000000" w:themeColor="text1"/>
          <w:spacing w:val="-1"/>
          <w:sz w:val="26"/>
          <w:szCs w:val="26"/>
        </w:rPr>
        <w:t xml:space="preserve">status </w:t>
      </w:r>
      <w:r w:rsidR="00AF7137" w:rsidRPr="00DB1C9E">
        <w:rPr>
          <w:color w:val="000000" w:themeColor="text1"/>
          <w:spacing w:val="-1"/>
          <w:sz w:val="26"/>
          <w:szCs w:val="26"/>
        </w:rPr>
        <w:t>update on their progress</w:t>
      </w:r>
      <w:r>
        <w:rPr>
          <w:color w:val="000000" w:themeColor="text1"/>
          <w:spacing w:val="-1"/>
          <w:sz w:val="26"/>
          <w:szCs w:val="26"/>
        </w:rPr>
        <w:t xml:space="preserve"> to close the Transaction</w:t>
      </w:r>
      <w:r w:rsidR="00840988">
        <w:rPr>
          <w:color w:val="000000" w:themeColor="text1"/>
          <w:spacing w:val="-1"/>
          <w:sz w:val="26"/>
          <w:szCs w:val="26"/>
        </w:rPr>
        <w:t xml:space="preserve"> approved in the </w:t>
      </w:r>
      <w:r w:rsidR="00840988">
        <w:rPr>
          <w:i/>
          <w:iCs/>
          <w:color w:val="000000" w:themeColor="text1"/>
          <w:spacing w:val="-1"/>
          <w:sz w:val="26"/>
          <w:szCs w:val="26"/>
        </w:rPr>
        <w:t>Final Order</w:t>
      </w:r>
      <w:r w:rsidR="00C31A07">
        <w:rPr>
          <w:color w:val="000000" w:themeColor="text1"/>
          <w:spacing w:val="-1"/>
          <w:sz w:val="26"/>
          <w:szCs w:val="26"/>
        </w:rPr>
        <w:t xml:space="preserve">, </w:t>
      </w:r>
      <w:r w:rsidR="00C31A07">
        <w:rPr>
          <w:i/>
          <w:iCs/>
          <w:color w:val="000000" w:themeColor="text1"/>
          <w:spacing w:val="-1"/>
          <w:sz w:val="26"/>
          <w:szCs w:val="26"/>
        </w:rPr>
        <w:t>et al</w:t>
      </w:r>
      <w:r w:rsidR="008D484B">
        <w:rPr>
          <w:color w:val="000000" w:themeColor="text1"/>
          <w:spacing w:val="-1"/>
          <w:sz w:val="26"/>
          <w:szCs w:val="26"/>
        </w:rPr>
        <w:t>,</w:t>
      </w:r>
      <w:r w:rsidR="00AF7137" w:rsidRPr="00DB1C9E">
        <w:rPr>
          <w:color w:val="000000" w:themeColor="text1"/>
          <w:spacing w:val="-1"/>
          <w:sz w:val="26"/>
          <w:szCs w:val="26"/>
        </w:rPr>
        <w:t xml:space="preserve"> no later than three months from the entry date of th</w:t>
      </w:r>
      <w:r w:rsidR="00AF7137">
        <w:rPr>
          <w:color w:val="000000" w:themeColor="text1"/>
          <w:spacing w:val="-1"/>
          <w:sz w:val="26"/>
          <w:szCs w:val="26"/>
        </w:rPr>
        <w:t>is</w:t>
      </w:r>
      <w:r w:rsidR="00AF7137" w:rsidRPr="00DB1C9E">
        <w:rPr>
          <w:color w:val="000000" w:themeColor="text1"/>
          <w:spacing w:val="-1"/>
          <w:sz w:val="26"/>
          <w:szCs w:val="26"/>
        </w:rPr>
        <w:t xml:space="preserve"> Order.</w:t>
      </w:r>
      <w:r w:rsidR="00840988">
        <w:rPr>
          <w:color w:val="000000" w:themeColor="text1"/>
          <w:spacing w:val="-1"/>
          <w:sz w:val="26"/>
          <w:szCs w:val="26"/>
        </w:rPr>
        <w:t xml:space="preserve">  A copy of the status update shall be served on the Commission’s Bureau of TUS</w:t>
      </w:r>
      <w:r w:rsidR="00BC2AE8">
        <w:rPr>
          <w:color w:val="000000" w:themeColor="text1"/>
          <w:spacing w:val="-1"/>
          <w:sz w:val="26"/>
          <w:szCs w:val="26"/>
        </w:rPr>
        <w:t>, which shall</w:t>
      </w:r>
      <w:r w:rsidR="00AF7137" w:rsidRPr="00DB1C9E">
        <w:rPr>
          <w:color w:val="000000" w:themeColor="text1"/>
          <w:spacing w:val="-1"/>
          <w:sz w:val="26"/>
          <w:szCs w:val="26"/>
        </w:rPr>
        <w:t xml:space="preserve"> evaluate </w:t>
      </w:r>
      <w:r w:rsidR="00BC2AE8">
        <w:rPr>
          <w:color w:val="000000" w:themeColor="text1"/>
          <w:spacing w:val="-1"/>
          <w:sz w:val="26"/>
          <w:szCs w:val="26"/>
        </w:rPr>
        <w:t>and</w:t>
      </w:r>
      <w:r w:rsidR="00AF7137" w:rsidRPr="00DB1C9E">
        <w:rPr>
          <w:color w:val="000000" w:themeColor="text1"/>
          <w:spacing w:val="-1"/>
          <w:sz w:val="26"/>
          <w:szCs w:val="26"/>
        </w:rPr>
        <w:t xml:space="preserve"> make a </w:t>
      </w:r>
      <w:r w:rsidR="00AF7137">
        <w:rPr>
          <w:color w:val="000000" w:themeColor="text1"/>
          <w:spacing w:val="-1"/>
          <w:sz w:val="26"/>
          <w:szCs w:val="26"/>
        </w:rPr>
        <w:t xml:space="preserve">report </w:t>
      </w:r>
      <w:r w:rsidR="00AF7137" w:rsidRPr="00DB1C9E">
        <w:rPr>
          <w:color w:val="000000" w:themeColor="text1"/>
          <w:spacing w:val="-1"/>
          <w:sz w:val="26"/>
          <w:szCs w:val="26"/>
        </w:rPr>
        <w:t xml:space="preserve">that will include a </w:t>
      </w:r>
      <w:r w:rsidR="00AF7137">
        <w:rPr>
          <w:color w:val="000000" w:themeColor="text1"/>
          <w:spacing w:val="-1"/>
          <w:sz w:val="26"/>
          <w:szCs w:val="26"/>
        </w:rPr>
        <w:t xml:space="preserve">recommendation </w:t>
      </w:r>
      <w:r w:rsidR="001979E2">
        <w:rPr>
          <w:color w:val="000000" w:themeColor="text1"/>
          <w:spacing w:val="-1"/>
          <w:sz w:val="26"/>
          <w:szCs w:val="26"/>
        </w:rPr>
        <w:t>for the Commission’s review and consideration</w:t>
      </w:r>
      <w:r w:rsidR="00AD7693">
        <w:rPr>
          <w:sz w:val="26"/>
          <w:szCs w:val="26"/>
        </w:rPr>
        <w:t xml:space="preserve">; </w:t>
      </w:r>
      <w:r w:rsidR="00AD7693">
        <w:rPr>
          <w:b/>
          <w:sz w:val="26"/>
        </w:rPr>
        <w:t>THEREFORE,</w:t>
      </w:r>
    </w:p>
    <w:p w14:paraId="0228ED99" w14:textId="77777777" w:rsidR="00AD7693" w:rsidRPr="002964AE" w:rsidRDefault="00AD7693" w:rsidP="00AD7693">
      <w:pPr>
        <w:rPr>
          <w:sz w:val="26"/>
          <w:szCs w:val="26"/>
        </w:rPr>
      </w:pPr>
    </w:p>
    <w:p w14:paraId="772FB230" w14:textId="77777777" w:rsidR="00AD7693" w:rsidRPr="00F41401" w:rsidRDefault="00AD7693" w:rsidP="00AD7693">
      <w:pPr>
        <w:keepNext/>
        <w:keepLines/>
        <w:suppressAutoHyphens/>
        <w:ind w:firstLine="0"/>
        <w:rPr>
          <w:sz w:val="26"/>
          <w:szCs w:val="26"/>
        </w:rPr>
      </w:pPr>
      <w:r w:rsidRPr="00F41401">
        <w:rPr>
          <w:b/>
          <w:sz w:val="26"/>
          <w:szCs w:val="26"/>
        </w:rPr>
        <w:tab/>
      </w:r>
      <w:r>
        <w:rPr>
          <w:b/>
          <w:sz w:val="26"/>
          <w:szCs w:val="26"/>
        </w:rPr>
        <w:tab/>
      </w:r>
      <w:r w:rsidRPr="00F41401">
        <w:rPr>
          <w:b/>
          <w:sz w:val="26"/>
          <w:szCs w:val="26"/>
        </w:rPr>
        <w:t>IT IS ORDERED:</w:t>
      </w:r>
    </w:p>
    <w:p w14:paraId="7BD3D0B3" w14:textId="77777777" w:rsidR="00AD7693" w:rsidRPr="00F41401" w:rsidRDefault="00AD7693" w:rsidP="00AD7693">
      <w:pPr>
        <w:keepNext/>
        <w:keepLines/>
        <w:rPr>
          <w:b/>
          <w:sz w:val="26"/>
          <w:szCs w:val="26"/>
        </w:rPr>
      </w:pPr>
    </w:p>
    <w:p w14:paraId="64DE04B6" w14:textId="5706417B" w:rsidR="00EC2C21" w:rsidRDefault="00EC2C21" w:rsidP="00EC2C21">
      <w:pPr>
        <w:widowControl w:val="0"/>
        <w:numPr>
          <w:ilvl w:val="0"/>
          <w:numId w:val="5"/>
        </w:numPr>
        <w:kinsoku w:val="0"/>
        <w:overflowPunct w:val="0"/>
        <w:ind w:left="0" w:firstLine="1440"/>
        <w:textAlignment w:val="baseline"/>
        <w:rPr>
          <w:sz w:val="26"/>
          <w:szCs w:val="26"/>
        </w:rPr>
      </w:pPr>
      <w:r w:rsidRPr="00CC59F0">
        <w:rPr>
          <w:sz w:val="26"/>
          <w:szCs w:val="26"/>
        </w:rPr>
        <w:t>That the Petition of the Delaware Sewer Company to Order Pennsylvania-American Water Company to Close the Transaction by March 1, 2021 is denied.</w:t>
      </w:r>
    </w:p>
    <w:p w14:paraId="260AF689" w14:textId="77777777" w:rsidR="001D1E58" w:rsidRPr="00CC59F0" w:rsidRDefault="001D1E58" w:rsidP="00143357">
      <w:pPr>
        <w:widowControl w:val="0"/>
        <w:kinsoku w:val="0"/>
        <w:overflowPunct w:val="0"/>
        <w:ind w:left="1620" w:firstLine="0"/>
        <w:textAlignment w:val="baseline"/>
        <w:rPr>
          <w:sz w:val="26"/>
          <w:szCs w:val="26"/>
        </w:rPr>
      </w:pPr>
    </w:p>
    <w:p w14:paraId="3467A258" w14:textId="3DDE6E53" w:rsidR="00EC2C21" w:rsidRDefault="00EC2C21" w:rsidP="00EC2C21">
      <w:pPr>
        <w:widowControl w:val="0"/>
        <w:numPr>
          <w:ilvl w:val="0"/>
          <w:numId w:val="5"/>
        </w:numPr>
        <w:kinsoku w:val="0"/>
        <w:overflowPunct w:val="0"/>
        <w:ind w:left="0" w:firstLine="1440"/>
        <w:textAlignment w:val="baseline"/>
        <w:rPr>
          <w:sz w:val="26"/>
          <w:szCs w:val="26"/>
        </w:rPr>
      </w:pPr>
      <w:r w:rsidRPr="00CC59F0">
        <w:rPr>
          <w:sz w:val="26"/>
          <w:szCs w:val="26"/>
        </w:rPr>
        <w:t xml:space="preserve">That Pennsylvania-American Water Company shall file an update on the status and progress of this case no later than three months after the </w:t>
      </w:r>
      <w:r w:rsidR="00D279E4">
        <w:rPr>
          <w:sz w:val="26"/>
          <w:szCs w:val="26"/>
        </w:rPr>
        <w:t xml:space="preserve">entry </w:t>
      </w:r>
      <w:r w:rsidRPr="00CC59F0">
        <w:rPr>
          <w:sz w:val="26"/>
          <w:szCs w:val="26"/>
        </w:rPr>
        <w:t>date of th</w:t>
      </w:r>
      <w:r w:rsidR="00D279E4">
        <w:rPr>
          <w:sz w:val="26"/>
          <w:szCs w:val="26"/>
        </w:rPr>
        <w:t>is</w:t>
      </w:r>
      <w:r w:rsidRPr="00CC59F0">
        <w:rPr>
          <w:sz w:val="26"/>
          <w:szCs w:val="26"/>
        </w:rPr>
        <w:t xml:space="preserve"> </w:t>
      </w:r>
      <w:r>
        <w:rPr>
          <w:sz w:val="26"/>
          <w:szCs w:val="26"/>
        </w:rPr>
        <w:t>Opinion and</w:t>
      </w:r>
      <w:r w:rsidRPr="00CC59F0">
        <w:rPr>
          <w:sz w:val="26"/>
          <w:szCs w:val="26"/>
        </w:rPr>
        <w:t xml:space="preserve"> Order.</w:t>
      </w:r>
    </w:p>
    <w:p w14:paraId="54FE043E" w14:textId="552B158D" w:rsidR="00EC2C21" w:rsidRPr="00531250" w:rsidRDefault="00EC2C21" w:rsidP="00EC2C21">
      <w:pPr>
        <w:widowControl w:val="0"/>
        <w:kinsoku w:val="0"/>
        <w:overflowPunct w:val="0"/>
        <w:ind w:firstLine="0"/>
        <w:textAlignment w:val="baseline"/>
        <w:rPr>
          <w:sz w:val="26"/>
          <w:szCs w:val="26"/>
        </w:rPr>
      </w:pPr>
      <w:r>
        <w:rPr>
          <w:sz w:val="26"/>
          <w:szCs w:val="26"/>
        </w:rPr>
        <w:tab/>
      </w:r>
      <w:r>
        <w:rPr>
          <w:sz w:val="26"/>
          <w:szCs w:val="26"/>
        </w:rPr>
        <w:tab/>
        <w:t>3.</w:t>
      </w:r>
      <w:r>
        <w:rPr>
          <w:sz w:val="26"/>
          <w:szCs w:val="26"/>
        </w:rPr>
        <w:tab/>
      </w:r>
      <w:r w:rsidRPr="00CC59F0">
        <w:rPr>
          <w:sz w:val="26"/>
          <w:szCs w:val="26"/>
        </w:rPr>
        <w:t xml:space="preserve">That </w:t>
      </w:r>
      <w:r>
        <w:rPr>
          <w:sz w:val="26"/>
          <w:szCs w:val="26"/>
        </w:rPr>
        <w:t>a copy of the status update report as directed by this Opinion and Order shall be served upon the</w:t>
      </w:r>
      <w:r w:rsidRPr="00CC59F0">
        <w:rPr>
          <w:sz w:val="26"/>
          <w:szCs w:val="26"/>
        </w:rPr>
        <w:t xml:space="preserve"> Commission’s Bureau of Technical Utility Services</w:t>
      </w:r>
      <w:r>
        <w:rPr>
          <w:sz w:val="26"/>
          <w:szCs w:val="26"/>
        </w:rPr>
        <w:t xml:space="preserve"> and t</w:t>
      </w:r>
      <w:r w:rsidRPr="00C05AF2">
        <w:rPr>
          <w:sz w:val="26"/>
          <w:szCs w:val="26"/>
        </w:rPr>
        <w:t>hat the Commission’s Bureau of Technical Utility Services shall evaluate the status update and prepare a report and recommendation for the Commission’s review and consideration, if appropriate</w:t>
      </w:r>
      <w:r w:rsidR="00D279E4">
        <w:rPr>
          <w:sz w:val="26"/>
          <w:szCs w:val="26"/>
        </w:rPr>
        <w:t xml:space="preserve">, consistent with this Opinion and Order. </w:t>
      </w:r>
    </w:p>
    <w:p w14:paraId="3211027A" w14:textId="377D7A27" w:rsidR="00535693" w:rsidRPr="003A504E" w:rsidRDefault="00535693" w:rsidP="001D327F">
      <w:pPr>
        <w:keepNext/>
        <w:keepLines/>
        <w:ind w:left="1440" w:firstLine="0"/>
        <w:rPr>
          <w:sz w:val="26"/>
          <w:szCs w:val="26"/>
        </w:rPr>
      </w:pPr>
    </w:p>
    <w:p w14:paraId="13339B50" w14:textId="63C407C0" w:rsidR="00AD7693" w:rsidRPr="00F41401" w:rsidRDefault="00BE3A43">
      <w:pPr>
        <w:keepNext/>
        <w:keepLines/>
        <w:suppressAutoHyphens/>
        <w:spacing w:line="240" w:lineRule="auto"/>
        <w:ind w:firstLine="0"/>
        <w:rPr>
          <w:b/>
          <w:sz w:val="26"/>
          <w:szCs w:val="26"/>
        </w:rPr>
      </w:pPr>
      <w:r>
        <w:rPr>
          <w:noProof/>
        </w:rPr>
        <w:drawing>
          <wp:anchor distT="0" distB="0" distL="114300" distR="114300" simplePos="0" relativeHeight="251659264" behindDoc="1" locked="0" layoutInCell="1" allowOverlap="1" wp14:anchorId="012A76D7" wp14:editId="23A49327">
            <wp:simplePos x="0" y="0"/>
            <wp:positionH relativeFrom="column">
              <wp:posOffset>3267075</wp:posOffset>
            </wp:positionH>
            <wp:positionV relativeFrom="paragraph">
              <wp:posOffset>105410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D7693" w:rsidRPr="00F41401">
        <w:rPr>
          <w:sz w:val="26"/>
          <w:szCs w:val="26"/>
        </w:rPr>
        <w:tab/>
      </w:r>
      <w:r w:rsidR="00AD7693" w:rsidRPr="00F41401">
        <w:rPr>
          <w:sz w:val="26"/>
          <w:szCs w:val="26"/>
        </w:rPr>
        <w:tab/>
      </w:r>
      <w:r w:rsidR="00AD7693" w:rsidRPr="00F41401">
        <w:rPr>
          <w:sz w:val="26"/>
          <w:szCs w:val="26"/>
        </w:rPr>
        <w:tab/>
      </w:r>
      <w:r w:rsidR="00AD7693" w:rsidRPr="00F41401">
        <w:rPr>
          <w:sz w:val="26"/>
          <w:szCs w:val="26"/>
        </w:rPr>
        <w:tab/>
      </w:r>
      <w:r w:rsidR="00AD7693" w:rsidRPr="00F41401">
        <w:rPr>
          <w:sz w:val="26"/>
          <w:szCs w:val="26"/>
        </w:rPr>
        <w:tab/>
      </w:r>
      <w:r w:rsidR="00AD7693" w:rsidRPr="00F41401">
        <w:rPr>
          <w:sz w:val="26"/>
          <w:szCs w:val="26"/>
        </w:rPr>
        <w:tab/>
      </w:r>
      <w:r w:rsidR="00AD7693" w:rsidRPr="00F41401">
        <w:rPr>
          <w:sz w:val="26"/>
          <w:szCs w:val="26"/>
        </w:rPr>
        <w:tab/>
      </w:r>
      <w:r w:rsidR="00AD7693" w:rsidRPr="00F41401">
        <w:rPr>
          <w:b/>
          <w:sz w:val="26"/>
          <w:szCs w:val="26"/>
        </w:rPr>
        <w:t>BY THE COMMISSION,</w:t>
      </w:r>
    </w:p>
    <w:p w14:paraId="3DDA0C80" w14:textId="77777777" w:rsidR="00AD7693" w:rsidRPr="00F41401" w:rsidRDefault="00AD7693">
      <w:pPr>
        <w:keepNext/>
        <w:keepLines/>
        <w:suppressAutoHyphens/>
        <w:spacing w:line="240" w:lineRule="auto"/>
        <w:ind w:firstLine="0"/>
        <w:rPr>
          <w:b/>
          <w:sz w:val="26"/>
          <w:szCs w:val="26"/>
        </w:rPr>
      </w:pPr>
    </w:p>
    <w:p w14:paraId="711E6C6E" w14:textId="77777777" w:rsidR="00AD7693" w:rsidRPr="00F41401" w:rsidRDefault="00AD7693" w:rsidP="00F5719A">
      <w:pPr>
        <w:keepNext/>
        <w:keepLines/>
        <w:suppressAutoHyphens/>
        <w:spacing w:line="240" w:lineRule="auto"/>
        <w:ind w:firstLine="0"/>
        <w:rPr>
          <w:b/>
          <w:sz w:val="26"/>
          <w:szCs w:val="26"/>
        </w:rPr>
      </w:pPr>
    </w:p>
    <w:p w14:paraId="3732A150" w14:textId="77777777" w:rsidR="00AD7693" w:rsidRPr="00F41401" w:rsidRDefault="00AD7693" w:rsidP="00F5719A">
      <w:pPr>
        <w:keepNext/>
        <w:keepLines/>
        <w:suppressAutoHyphens/>
        <w:spacing w:line="240" w:lineRule="auto"/>
        <w:ind w:firstLine="0"/>
        <w:rPr>
          <w:b/>
          <w:sz w:val="26"/>
          <w:szCs w:val="26"/>
        </w:rPr>
      </w:pPr>
    </w:p>
    <w:p w14:paraId="2C633C87" w14:textId="77777777" w:rsidR="00AD7693" w:rsidRPr="00F41401" w:rsidRDefault="00AD7693" w:rsidP="00F5719A">
      <w:pPr>
        <w:keepNext/>
        <w:keepLines/>
        <w:suppressAutoHyphens/>
        <w:spacing w:line="240" w:lineRule="auto"/>
        <w:ind w:firstLine="0"/>
        <w:rPr>
          <w:b/>
          <w:sz w:val="26"/>
          <w:szCs w:val="26"/>
        </w:rPr>
      </w:pPr>
    </w:p>
    <w:p w14:paraId="7615BEF0" w14:textId="77777777" w:rsidR="00AD7693" w:rsidRPr="00F41401" w:rsidRDefault="00AD7693" w:rsidP="00F5719A">
      <w:pPr>
        <w:keepNext/>
        <w:keepLines/>
        <w:suppressAutoHyphens/>
        <w:spacing w:line="240" w:lineRule="auto"/>
        <w:ind w:firstLine="0"/>
        <w:rPr>
          <w:sz w:val="26"/>
          <w:szCs w:val="26"/>
        </w:rPr>
      </w:pP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t>Rosemary Chiavetta</w:t>
      </w:r>
    </w:p>
    <w:p w14:paraId="3B4AEA5C" w14:textId="77777777" w:rsidR="00AD7693" w:rsidRPr="00F41401" w:rsidRDefault="00AD7693" w:rsidP="00F5719A">
      <w:pPr>
        <w:keepNext/>
        <w:keepLines/>
        <w:suppressAutoHyphens/>
        <w:spacing w:line="240" w:lineRule="auto"/>
        <w:ind w:firstLine="0"/>
        <w:rPr>
          <w:sz w:val="26"/>
          <w:szCs w:val="26"/>
        </w:rPr>
      </w:pP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r>
      <w:r w:rsidRPr="00F41401">
        <w:rPr>
          <w:sz w:val="26"/>
          <w:szCs w:val="26"/>
        </w:rPr>
        <w:tab/>
        <w:t>Secretary</w:t>
      </w:r>
    </w:p>
    <w:p w14:paraId="440D97EC" w14:textId="77777777" w:rsidR="00AD7693" w:rsidRPr="00F41401" w:rsidRDefault="00AD7693" w:rsidP="00F5719A">
      <w:pPr>
        <w:keepNext/>
        <w:keepLines/>
        <w:suppressAutoHyphens/>
        <w:spacing w:line="240" w:lineRule="auto"/>
        <w:ind w:firstLine="0"/>
        <w:rPr>
          <w:sz w:val="26"/>
          <w:szCs w:val="26"/>
        </w:rPr>
      </w:pPr>
    </w:p>
    <w:p w14:paraId="588A2408" w14:textId="77777777" w:rsidR="00AD7693" w:rsidRPr="00F41401" w:rsidRDefault="00AD7693" w:rsidP="00F5719A">
      <w:pPr>
        <w:keepNext/>
        <w:keepLines/>
        <w:spacing w:line="240" w:lineRule="auto"/>
        <w:ind w:firstLine="0"/>
        <w:rPr>
          <w:sz w:val="26"/>
          <w:szCs w:val="26"/>
        </w:rPr>
      </w:pPr>
      <w:r w:rsidRPr="00F41401">
        <w:rPr>
          <w:sz w:val="26"/>
          <w:szCs w:val="26"/>
        </w:rPr>
        <w:t>(SEAL)</w:t>
      </w:r>
    </w:p>
    <w:p w14:paraId="469524F1" w14:textId="77777777" w:rsidR="00AD7693" w:rsidRPr="00F41401" w:rsidRDefault="00AD7693" w:rsidP="00F5719A">
      <w:pPr>
        <w:keepNext/>
        <w:keepLines/>
        <w:spacing w:line="240" w:lineRule="auto"/>
        <w:ind w:firstLine="0"/>
        <w:rPr>
          <w:sz w:val="26"/>
          <w:szCs w:val="26"/>
        </w:rPr>
      </w:pPr>
    </w:p>
    <w:p w14:paraId="62B709D1" w14:textId="35C99EAF" w:rsidR="00AD7693" w:rsidRPr="00F41401" w:rsidRDefault="00AD7693" w:rsidP="00F5719A">
      <w:pPr>
        <w:keepNext/>
        <w:keepLines/>
        <w:spacing w:line="240" w:lineRule="auto"/>
        <w:ind w:firstLine="0"/>
        <w:rPr>
          <w:sz w:val="26"/>
          <w:szCs w:val="26"/>
        </w:rPr>
      </w:pPr>
      <w:r w:rsidRPr="00F41401">
        <w:rPr>
          <w:sz w:val="26"/>
          <w:szCs w:val="26"/>
        </w:rPr>
        <w:t xml:space="preserve">ORDER ADOPTED:  </w:t>
      </w:r>
      <w:r w:rsidR="00535693">
        <w:rPr>
          <w:sz w:val="26"/>
          <w:szCs w:val="26"/>
        </w:rPr>
        <w:t>March 11,</w:t>
      </w:r>
      <w:r>
        <w:rPr>
          <w:sz w:val="26"/>
          <w:szCs w:val="26"/>
        </w:rPr>
        <w:t xml:space="preserve"> 2021</w:t>
      </w:r>
    </w:p>
    <w:p w14:paraId="23006FB8" w14:textId="77777777" w:rsidR="00AD7693" w:rsidRPr="00F41401" w:rsidRDefault="00AD7693" w:rsidP="00F5719A">
      <w:pPr>
        <w:keepNext/>
        <w:keepLines/>
        <w:spacing w:line="240" w:lineRule="auto"/>
        <w:ind w:firstLine="0"/>
        <w:rPr>
          <w:sz w:val="26"/>
          <w:szCs w:val="26"/>
        </w:rPr>
      </w:pPr>
    </w:p>
    <w:p w14:paraId="2264B64B" w14:textId="455437F8" w:rsidR="002B5F6B" w:rsidRDefault="00AD7693" w:rsidP="00F5719A">
      <w:pPr>
        <w:keepNext/>
        <w:keepLines/>
        <w:spacing w:line="240" w:lineRule="auto"/>
        <w:ind w:firstLine="0"/>
        <w:rPr>
          <w:sz w:val="26"/>
          <w:szCs w:val="26"/>
        </w:rPr>
      </w:pPr>
      <w:r w:rsidRPr="00F41401">
        <w:rPr>
          <w:sz w:val="26"/>
          <w:szCs w:val="26"/>
        </w:rPr>
        <w:t xml:space="preserve">ORDER ENTERED: </w:t>
      </w:r>
      <w:r>
        <w:rPr>
          <w:sz w:val="26"/>
          <w:szCs w:val="26"/>
        </w:rPr>
        <w:t xml:space="preserve"> </w:t>
      </w:r>
      <w:r w:rsidR="00BE3A43">
        <w:rPr>
          <w:sz w:val="26"/>
          <w:szCs w:val="26"/>
        </w:rPr>
        <w:t>March 19, 2021</w:t>
      </w:r>
    </w:p>
    <w:sectPr w:rsidR="002B5F6B" w:rsidSect="002B72DD">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5F638" w14:textId="77777777" w:rsidR="00200323" w:rsidRDefault="00200323" w:rsidP="001B1001">
      <w:pPr>
        <w:spacing w:line="240" w:lineRule="auto"/>
      </w:pPr>
      <w:r>
        <w:separator/>
      </w:r>
    </w:p>
  </w:endnote>
  <w:endnote w:type="continuationSeparator" w:id="0">
    <w:p w14:paraId="576053FB" w14:textId="77777777" w:rsidR="00200323" w:rsidRDefault="00200323" w:rsidP="001B1001">
      <w:pPr>
        <w:spacing w:line="240" w:lineRule="auto"/>
      </w:pPr>
      <w:r>
        <w:continuationSeparator/>
      </w:r>
    </w:p>
  </w:endnote>
  <w:endnote w:type="continuationNotice" w:id="1">
    <w:p w14:paraId="1FE0D340" w14:textId="77777777" w:rsidR="00200323" w:rsidRDefault="002003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061636"/>
      <w:docPartObj>
        <w:docPartGallery w:val="Page Numbers (Bottom of Page)"/>
        <w:docPartUnique/>
      </w:docPartObj>
    </w:sdtPr>
    <w:sdtEndPr>
      <w:rPr>
        <w:noProof/>
        <w:sz w:val="26"/>
        <w:szCs w:val="26"/>
      </w:rPr>
    </w:sdtEndPr>
    <w:sdtContent>
      <w:p w14:paraId="5C4E95AA" w14:textId="5B00902D" w:rsidR="008540DE" w:rsidRPr="002B72DD" w:rsidRDefault="008540DE" w:rsidP="00F40DC7">
        <w:pPr>
          <w:pStyle w:val="Footer"/>
          <w:tabs>
            <w:tab w:val="clear" w:pos="4680"/>
          </w:tabs>
          <w:ind w:firstLine="0"/>
          <w:jc w:val="center"/>
          <w:rPr>
            <w:sz w:val="26"/>
            <w:szCs w:val="26"/>
          </w:rPr>
        </w:pPr>
        <w:r w:rsidRPr="002B72DD">
          <w:rPr>
            <w:sz w:val="26"/>
            <w:szCs w:val="26"/>
          </w:rPr>
          <w:fldChar w:fldCharType="begin"/>
        </w:r>
        <w:r w:rsidRPr="002B72DD">
          <w:rPr>
            <w:sz w:val="26"/>
            <w:szCs w:val="26"/>
          </w:rPr>
          <w:instrText xml:space="preserve"> PAGE   \* MERGEFORMAT </w:instrText>
        </w:r>
        <w:r w:rsidRPr="002B72DD">
          <w:rPr>
            <w:sz w:val="26"/>
            <w:szCs w:val="26"/>
          </w:rPr>
          <w:fldChar w:fldCharType="separate"/>
        </w:r>
        <w:r w:rsidRPr="002B72DD">
          <w:rPr>
            <w:noProof/>
            <w:sz w:val="26"/>
            <w:szCs w:val="26"/>
          </w:rPr>
          <w:t>2</w:t>
        </w:r>
        <w:r w:rsidRPr="002B72DD">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878D2" w14:textId="77777777" w:rsidR="00200323" w:rsidRDefault="00200323" w:rsidP="002B72DD">
      <w:pPr>
        <w:spacing w:line="240" w:lineRule="auto"/>
        <w:ind w:firstLine="0"/>
      </w:pPr>
      <w:r>
        <w:separator/>
      </w:r>
    </w:p>
  </w:footnote>
  <w:footnote w:type="continuationSeparator" w:id="0">
    <w:p w14:paraId="3859EF88" w14:textId="77777777" w:rsidR="00200323" w:rsidRDefault="00200323" w:rsidP="001B1001">
      <w:pPr>
        <w:spacing w:line="240" w:lineRule="auto"/>
      </w:pPr>
      <w:r>
        <w:continuationSeparator/>
      </w:r>
    </w:p>
  </w:footnote>
  <w:footnote w:type="continuationNotice" w:id="1">
    <w:p w14:paraId="58D8059F" w14:textId="77777777" w:rsidR="00200323" w:rsidRDefault="00200323">
      <w:pPr>
        <w:spacing w:line="240" w:lineRule="auto"/>
      </w:pPr>
    </w:p>
  </w:footnote>
  <w:footnote w:id="2">
    <w:p w14:paraId="5AFF7721" w14:textId="2979FF46" w:rsidR="008540DE" w:rsidRPr="001736CC" w:rsidRDefault="008540DE" w:rsidP="00C46CC8">
      <w:pPr>
        <w:spacing w:after="120" w:line="240" w:lineRule="auto"/>
        <w:ind w:firstLine="720"/>
        <w:rPr>
          <w:sz w:val="26"/>
        </w:rPr>
      </w:pPr>
      <w:r w:rsidRPr="00C77B8A">
        <w:rPr>
          <w:rStyle w:val="FootnoteReference"/>
          <w:sz w:val="26"/>
        </w:rPr>
        <w:footnoteRef/>
      </w:r>
      <w:r w:rsidRPr="00C77B8A">
        <w:rPr>
          <w:sz w:val="26"/>
        </w:rPr>
        <w:t xml:space="preserve"> </w:t>
      </w:r>
      <w:r w:rsidRPr="0048585A">
        <w:rPr>
          <w:sz w:val="26"/>
          <w:szCs w:val="26"/>
        </w:rPr>
        <w:tab/>
        <w:t xml:space="preserve">On January 24, 1966, the Pennsylvania Sewage Facilities Act (Act 537, as amended) was enacted to correct existing sewage disposal problems and prevent future problems. </w:t>
      </w:r>
      <w:r w:rsidRPr="00E612DB">
        <w:rPr>
          <w:sz w:val="26"/>
          <w:szCs w:val="26"/>
        </w:rPr>
        <w:t xml:space="preserve"> </w:t>
      </w:r>
      <w:r w:rsidRPr="004514A5">
        <w:rPr>
          <w:sz w:val="26"/>
          <w:szCs w:val="26"/>
        </w:rPr>
        <w:t xml:space="preserve">To meet this objective, the Act requires proper planning in all types of sewage disposal situations. </w:t>
      </w:r>
      <w:r w:rsidRPr="00A04C1C">
        <w:rPr>
          <w:sz w:val="26"/>
          <w:szCs w:val="26"/>
        </w:rPr>
        <w:t xml:space="preserve"> </w:t>
      </w:r>
      <w:r w:rsidRPr="00E35D87">
        <w:rPr>
          <w:sz w:val="26"/>
          <w:szCs w:val="26"/>
        </w:rPr>
        <w:t>Local municipalities are largely responsible for administering the Act</w:t>
      </w:r>
      <w:r w:rsidR="00E44072">
        <w:rPr>
          <w:sz w:val="26"/>
          <w:szCs w:val="26"/>
        </w:rPr>
        <w:t> </w:t>
      </w:r>
      <w:r w:rsidRPr="00E35D87">
        <w:rPr>
          <w:sz w:val="26"/>
          <w:szCs w:val="26"/>
        </w:rPr>
        <w:t xml:space="preserve">537 sewage facilities program.  </w:t>
      </w:r>
      <w:r w:rsidRPr="0048585A">
        <w:rPr>
          <w:i/>
          <w:iCs/>
          <w:sz w:val="26"/>
          <w:szCs w:val="26"/>
        </w:rPr>
        <w:t xml:space="preserve">See </w:t>
      </w:r>
      <w:r w:rsidRPr="0048585A">
        <w:rPr>
          <w:sz w:val="26"/>
          <w:szCs w:val="26"/>
        </w:rPr>
        <w:t>Recommended Decision issued July 10, 2015, Docket No. P-2014-2404341, Administrative Law Judge Ember S. Jandebeur, at 3, n.1.</w:t>
      </w:r>
    </w:p>
  </w:footnote>
  <w:footnote w:id="3">
    <w:p w14:paraId="031458CB" w14:textId="43D5E73A" w:rsidR="008540DE" w:rsidRPr="00E612DB" w:rsidRDefault="008540DE" w:rsidP="001A74DD">
      <w:pPr>
        <w:spacing w:line="240" w:lineRule="auto"/>
        <w:ind w:firstLine="720"/>
        <w:rPr>
          <w:sz w:val="26"/>
          <w:szCs w:val="26"/>
        </w:rPr>
      </w:pPr>
      <w:r w:rsidRPr="00C77B8A">
        <w:rPr>
          <w:rStyle w:val="FootnoteReference"/>
          <w:sz w:val="26"/>
        </w:rPr>
        <w:footnoteRef/>
      </w:r>
      <w:r w:rsidRPr="00C77B8A">
        <w:rPr>
          <w:sz w:val="26"/>
        </w:rPr>
        <w:t xml:space="preserve"> </w:t>
      </w:r>
      <w:r w:rsidRPr="00E612DB">
        <w:rPr>
          <w:sz w:val="26"/>
          <w:szCs w:val="26"/>
        </w:rPr>
        <w:tab/>
        <w:t xml:space="preserve">The Commission Order entered January 28, 2016, in </w:t>
      </w:r>
      <w:r w:rsidRPr="00E612DB">
        <w:rPr>
          <w:i/>
          <w:iCs/>
          <w:sz w:val="26"/>
          <w:szCs w:val="26"/>
        </w:rPr>
        <w:t xml:space="preserve">Petition of Delaware Sewer Company for the Opening of an Investigation into Whether the Public Utility Commission Should Order a Capable Public Utility to Acquire the </w:t>
      </w:r>
      <w:r w:rsidRPr="00A04C1C">
        <w:rPr>
          <w:i/>
          <w:iCs/>
          <w:sz w:val="26"/>
          <w:szCs w:val="26"/>
        </w:rPr>
        <w:t>Company Pursuant to 66 Pa. C.S. § 529</w:t>
      </w:r>
      <w:r w:rsidRPr="00E612DB">
        <w:rPr>
          <w:sz w:val="26"/>
          <w:szCs w:val="26"/>
        </w:rPr>
        <w:t>, Docket No. P-2014-2404341 (Order entered January 28, 2016)</w:t>
      </w:r>
      <w:r w:rsidRPr="00E612DB">
        <w:rPr>
          <w:bCs/>
          <w:i/>
          <w:iCs/>
          <w:sz w:val="26"/>
          <w:szCs w:val="26"/>
        </w:rPr>
        <w:t xml:space="preserve"> (January 28</w:t>
      </w:r>
      <w:r w:rsidRPr="00E612DB">
        <w:rPr>
          <w:bCs/>
          <w:i/>
          <w:iCs/>
          <w:sz w:val="26"/>
          <w:szCs w:val="26"/>
          <w:vertAlign w:val="superscript"/>
        </w:rPr>
        <w:t>th</w:t>
      </w:r>
      <w:r w:rsidRPr="00E612DB">
        <w:rPr>
          <w:bCs/>
          <w:i/>
          <w:iCs/>
          <w:sz w:val="26"/>
          <w:szCs w:val="26"/>
        </w:rPr>
        <w:t xml:space="preserve"> Order</w:t>
      </w:r>
      <w:r w:rsidRPr="00C77B8A">
        <w:rPr>
          <w:i/>
          <w:sz w:val="26"/>
        </w:rPr>
        <w:t>)</w:t>
      </w:r>
      <w:r w:rsidRPr="00E612DB">
        <w:rPr>
          <w:sz w:val="26"/>
          <w:szCs w:val="26"/>
        </w:rPr>
        <w:t>; 2016 WL 406563 (</w:t>
      </w:r>
      <w:proofErr w:type="spellStart"/>
      <w:r w:rsidRPr="00E612DB">
        <w:rPr>
          <w:sz w:val="26"/>
          <w:szCs w:val="26"/>
        </w:rPr>
        <w:t>Pa.P.U.C</w:t>
      </w:r>
      <w:proofErr w:type="spellEnd"/>
      <w:r w:rsidRPr="00E612DB">
        <w:rPr>
          <w:sz w:val="26"/>
          <w:szCs w:val="26"/>
        </w:rPr>
        <w:t xml:space="preserve">.), involved the same parties and similar issues, but was addressed to the receipt of a Recommended Decision as to whether a separate investigation under Section 529 should be initiated based on evidence of DSC’s status as a troubled, small sewer company.  </w:t>
      </w:r>
      <w:r w:rsidRPr="00E612DB">
        <w:rPr>
          <w:i/>
          <w:iCs/>
          <w:sz w:val="26"/>
          <w:szCs w:val="26"/>
        </w:rPr>
        <w:t>See January 28</w:t>
      </w:r>
      <w:r w:rsidRPr="00E612DB">
        <w:rPr>
          <w:i/>
          <w:iCs/>
          <w:sz w:val="26"/>
          <w:szCs w:val="26"/>
          <w:vertAlign w:val="superscript"/>
        </w:rPr>
        <w:t>th</w:t>
      </w:r>
      <w:r w:rsidRPr="00E612DB">
        <w:rPr>
          <w:i/>
          <w:iCs/>
          <w:sz w:val="26"/>
          <w:szCs w:val="26"/>
        </w:rPr>
        <w:t xml:space="preserve"> Order </w:t>
      </w:r>
      <w:r w:rsidRPr="00E612DB">
        <w:rPr>
          <w:sz w:val="26"/>
          <w:szCs w:val="26"/>
        </w:rPr>
        <w:t xml:space="preserve">at 25, n. 6; Ordering Paragraph 4.    </w:t>
      </w:r>
    </w:p>
  </w:footnote>
  <w:footnote w:id="4">
    <w:p w14:paraId="11DD52D9" w14:textId="77777777" w:rsidR="00837AE1" w:rsidRPr="00A62055" w:rsidRDefault="00837AE1" w:rsidP="00837AE1">
      <w:pPr>
        <w:spacing w:after="120" w:line="240" w:lineRule="auto"/>
        <w:ind w:firstLine="720"/>
        <w:rPr>
          <w:sz w:val="26"/>
          <w:szCs w:val="26"/>
        </w:rPr>
      </w:pPr>
      <w:r w:rsidRPr="00C77B8A">
        <w:rPr>
          <w:rStyle w:val="FootnoteReference"/>
          <w:sz w:val="26"/>
        </w:rPr>
        <w:footnoteRef/>
      </w:r>
      <w:r w:rsidRPr="00C77B8A">
        <w:rPr>
          <w:sz w:val="26"/>
        </w:rPr>
        <w:t xml:space="preserve"> </w:t>
      </w:r>
      <w:r w:rsidRPr="00A62055">
        <w:rPr>
          <w:sz w:val="26"/>
          <w:szCs w:val="26"/>
        </w:rPr>
        <w:tab/>
        <w:t>Section 529</w:t>
      </w:r>
      <w:r w:rsidRPr="00DF5ECC">
        <w:rPr>
          <w:sz w:val="26"/>
          <w:szCs w:val="26"/>
        </w:rPr>
        <w:t>(e) of the Code</w:t>
      </w:r>
      <w:r w:rsidRPr="004514A5">
        <w:rPr>
          <w:sz w:val="26"/>
          <w:szCs w:val="26"/>
        </w:rPr>
        <w:t xml:space="preserve"> provides that, if the Commission orders a capable public utility to acquire a small water or wastewater system and the parties are unable to agree on a negotiated purchase price that the Commission finds reasonable, the purchase price will be determined b</w:t>
      </w:r>
      <w:r w:rsidRPr="00A04C1C">
        <w:rPr>
          <w:sz w:val="26"/>
          <w:szCs w:val="26"/>
        </w:rPr>
        <w:t>y following the procedure prescribed for exercising the power of eminent domain.</w:t>
      </w:r>
      <w:r w:rsidRPr="00E35D87">
        <w:rPr>
          <w:sz w:val="26"/>
          <w:szCs w:val="26"/>
        </w:rPr>
        <w:t xml:space="preserve">  R.D. at 25, n. 6; 66 Pa. C.S. § 529(e).  ALJ Haas found, and so recommended,</w:t>
      </w:r>
      <w:r w:rsidRPr="00A62055">
        <w:rPr>
          <w:sz w:val="26"/>
          <w:szCs w:val="26"/>
        </w:rPr>
        <w:t xml:space="preserve"> that the record evidence supported the conclusion that the $61,700.00 purchase price was fair, reasonable and, therefore, in the public interest.</w:t>
      </w:r>
      <w:r>
        <w:rPr>
          <w:sz w:val="26"/>
          <w:szCs w:val="26"/>
        </w:rPr>
        <w:t xml:space="preserve">  Concomitantly, the Parties to the Settlement agreed that the purchase price of $420,000 for the 140 acres was fair, reasonable, and, therefore, in the public interest.</w:t>
      </w:r>
    </w:p>
  </w:footnote>
  <w:footnote w:id="5">
    <w:p w14:paraId="72C00C1F" w14:textId="77777777" w:rsidR="00837AE1" w:rsidRPr="00A04C1C" w:rsidRDefault="00837AE1" w:rsidP="00837AE1">
      <w:pPr>
        <w:spacing w:line="240" w:lineRule="auto"/>
        <w:ind w:firstLine="720"/>
        <w:rPr>
          <w:sz w:val="26"/>
          <w:szCs w:val="26"/>
        </w:rPr>
      </w:pPr>
      <w:r w:rsidRPr="00C77B8A">
        <w:rPr>
          <w:rStyle w:val="FootnoteReference"/>
          <w:sz w:val="26"/>
        </w:rPr>
        <w:footnoteRef/>
      </w:r>
      <w:r w:rsidRPr="00C77B8A">
        <w:rPr>
          <w:sz w:val="26"/>
        </w:rPr>
        <w:t xml:space="preserve"> </w:t>
      </w:r>
      <w:r w:rsidRPr="00C77B8A">
        <w:rPr>
          <w:sz w:val="26"/>
        </w:rPr>
        <w:tab/>
      </w:r>
      <w:r w:rsidRPr="00A62055">
        <w:rPr>
          <w:sz w:val="26"/>
          <w:szCs w:val="26"/>
        </w:rPr>
        <w:t xml:space="preserve">A purchase price of $420,000 for 149 acres was cited in the R.D.  </w:t>
      </w:r>
      <w:r w:rsidRPr="00DF5ECC">
        <w:rPr>
          <w:i/>
          <w:iCs/>
          <w:sz w:val="26"/>
          <w:szCs w:val="26"/>
        </w:rPr>
        <w:t xml:space="preserve">See </w:t>
      </w:r>
      <w:r w:rsidRPr="004514A5">
        <w:rPr>
          <w:sz w:val="26"/>
          <w:szCs w:val="26"/>
        </w:rPr>
        <w:t>R.D.</w:t>
      </w:r>
      <w:r>
        <w:rPr>
          <w:sz w:val="26"/>
          <w:szCs w:val="26"/>
        </w:rPr>
        <w:t> </w:t>
      </w:r>
      <w:r w:rsidRPr="00F641AB">
        <w:rPr>
          <w:sz w:val="26"/>
          <w:szCs w:val="26"/>
        </w:rPr>
        <w:t>Finding of Fact No. 33, referencing Land Transfer Agreement, Exhibit A p. 1</w:t>
      </w:r>
      <w:r>
        <w:rPr>
          <w:sz w:val="26"/>
          <w:szCs w:val="26"/>
        </w:rPr>
        <w:t>.</w:t>
      </w:r>
    </w:p>
  </w:footnote>
  <w:footnote w:id="6">
    <w:p w14:paraId="5167930E" w14:textId="3BB43981" w:rsidR="00BD6545" w:rsidRPr="00BD6545" w:rsidRDefault="00BD6545" w:rsidP="00F40DC7">
      <w:pPr>
        <w:autoSpaceDE w:val="0"/>
        <w:autoSpaceDN w:val="0"/>
        <w:adjustRightInd w:val="0"/>
        <w:spacing w:line="240" w:lineRule="auto"/>
        <w:ind w:firstLine="720"/>
        <w:rPr>
          <w:sz w:val="26"/>
          <w:szCs w:val="26"/>
        </w:rPr>
      </w:pPr>
      <w:r>
        <w:rPr>
          <w:rStyle w:val="FootnoteReference"/>
        </w:rPr>
        <w:footnoteRef/>
      </w:r>
      <w:r>
        <w:t xml:space="preserve"> </w:t>
      </w:r>
      <w:r>
        <w:rPr>
          <w:sz w:val="26"/>
          <w:szCs w:val="26"/>
        </w:rPr>
        <w:tab/>
      </w:r>
      <w:r w:rsidRPr="003E7E0C">
        <w:rPr>
          <w:sz w:val="26"/>
          <w:szCs w:val="26"/>
        </w:rPr>
        <w:t xml:space="preserve">The LTA, in turn, </w:t>
      </w:r>
      <w:r>
        <w:rPr>
          <w:sz w:val="26"/>
          <w:szCs w:val="26"/>
        </w:rPr>
        <w:t>contained a</w:t>
      </w:r>
      <w:r w:rsidRPr="003E7E0C">
        <w:rPr>
          <w:sz w:val="26"/>
          <w:szCs w:val="26"/>
        </w:rPr>
        <w:t xml:space="preserve"> provision which is identified as </w:t>
      </w:r>
      <w:r>
        <w:rPr>
          <w:sz w:val="26"/>
          <w:szCs w:val="26"/>
        </w:rPr>
        <w:t>“</w:t>
      </w:r>
      <w:r w:rsidRPr="003E7E0C">
        <w:rPr>
          <w:sz w:val="26"/>
          <w:szCs w:val="26"/>
        </w:rPr>
        <w:t>Form of Land Indenture</w:t>
      </w:r>
      <w:r>
        <w:rPr>
          <w:sz w:val="26"/>
          <w:szCs w:val="26"/>
        </w:rPr>
        <w:t>”</w:t>
      </w:r>
      <w:r w:rsidRPr="003E7E0C">
        <w:rPr>
          <w:sz w:val="26"/>
          <w:szCs w:val="26"/>
        </w:rPr>
        <w:t xml:space="preserve"> (Indenture).</w:t>
      </w:r>
      <w:r>
        <w:rPr>
          <w:sz w:val="26"/>
          <w:szCs w:val="26"/>
        </w:rPr>
        <w:t xml:space="preserve">  </w:t>
      </w:r>
      <w:r>
        <w:rPr>
          <w:i/>
          <w:iCs/>
          <w:sz w:val="26"/>
          <w:szCs w:val="26"/>
        </w:rPr>
        <w:t>See</w:t>
      </w:r>
      <w:r>
        <w:rPr>
          <w:sz w:val="26"/>
          <w:szCs w:val="26"/>
        </w:rPr>
        <w:t xml:space="preserve"> Petition at ¶ 6.</w:t>
      </w:r>
      <w:r w:rsidRPr="003E7E0C">
        <w:rPr>
          <w:sz w:val="26"/>
          <w:szCs w:val="26"/>
        </w:rPr>
        <w:t xml:space="preserve">  Under this Indenture, DSC maintains that, as a matter of record, and imputed knowledge, PAWC should have been aware that the Property was subject to a recorded deed conveying mineral rights to </w:t>
      </w:r>
      <w:r>
        <w:rPr>
          <w:sz w:val="26"/>
          <w:szCs w:val="26"/>
        </w:rPr>
        <w:t>its</w:t>
      </w:r>
      <w:r w:rsidRPr="003E7E0C">
        <w:rPr>
          <w:sz w:val="26"/>
          <w:szCs w:val="26"/>
        </w:rPr>
        <w:t xml:space="preserve"> affiliate, Linde.</w:t>
      </w:r>
      <w:r>
        <w:rPr>
          <w:sz w:val="26"/>
          <w:szCs w:val="26"/>
        </w:rPr>
        <w:t xml:space="preserve">  Petition at ¶ 8.</w:t>
      </w:r>
    </w:p>
  </w:footnote>
  <w:footnote w:id="7">
    <w:p w14:paraId="422990C3" w14:textId="012BB489" w:rsidR="008540DE" w:rsidRPr="004E6D1B" w:rsidRDefault="008540DE" w:rsidP="00555E25">
      <w:pPr>
        <w:pStyle w:val="FootnoteText"/>
        <w:ind w:firstLine="720"/>
        <w:rPr>
          <w:sz w:val="26"/>
          <w:szCs w:val="26"/>
        </w:rPr>
      </w:pPr>
      <w:r w:rsidRPr="00C77B8A">
        <w:rPr>
          <w:rStyle w:val="FootnoteReference"/>
          <w:sz w:val="26"/>
        </w:rPr>
        <w:footnoteRef/>
      </w:r>
      <w:r w:rsidRPr="00C77B8A">
        <w:rPr>
          <w:sz w:val="26"/>
        </w:rPr>
        <w:t xml:space="preserve"> </w:t>
      </w:r>
      <w:r w:rsidRPr="004D6A41">
        <w:rPr>
          <w:sz w:val="26"/>
          <w:szCs w:val="26"/>
        </w:rPr>
        <w:tab/>
        <w:t>Unless specifically noted, page references to “Answer” will include the “New Matter” portions of the PAWC response.</w:t>
      </w:r>
    </w:p>
  </w:footnote>
  <w:footnote w:id="8">
    <w:p w14:paraId="5F028531" w14:textId="77777777" w:rsidR="008540DE" w:rsidRPr="00A04C1C" w:rsidRDefault="008540DE" w:rsidP="005762BF">
      <w:pPr>
        <w:pStyle w:val="FootnoteText"/>
        <w:ind w:firstLine="720"/>
        <w:rPr>
          <w:sz w:val="26"/>
          <w:szCs w:val="26"/>
        </w:rPr>
      </w:pPr>
      <w:r w:rsidRPr="00C77B8A">
        <w:rPr>
          <w:rStyle w:val="FootnoteReference"/>
          <w:sz w:val="26"/>
        </w:rPr>
        <w:footnoteRef/>
      </w:r>
      <w:r w:rsidRPr="00C77B8A">
        <w:rPr>
          <w:sz w:val="26"/>
        </w:rPr>
        <w:t xml:space="preserve"> </w:t>
      </w:r>
      <w:r w:rsidRPr="004E6D1B">
        <w:rPr>
          <w:sz w:val="26"/>
          <w:szCs w:val="26"/>
        </w:rPr>
        <w:tab/>
        <w:t xml:space="preserve">On review of the Forest City – Linde deed attached to its Answer, it is noted that a Scott F. Linde is identified as “Manager” of Forest City in the transfer to Linde NGS, LLC.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70CC5"/>
    <w:multiLevelType w:val="singleLevel"/>
    <w:tmpl w:val="7BCDB0A6"/>
    <w:lvl w:ilvl="0">
      <w:start w:val="1"/>
      <w:numFmt w:val="decimal"/>
      <w:lvlText w:val="%1."/>
      <w:lvlJc w:val="left"/>
      <w:pPr>
        <w:tabs>
          <w:tab w:val="num" w:pos="792"/>
        </w:tabs>
        <w:ind w:left="792" w:hanging="360"/>
      </w:pPr>
      <w:rPr>
        <w:snapToGrid/>
        <w:sz w:val="24"/>
        <w:szCs w:val="24"/>
      </w:rPr>
    </w:lvl>
  </w:abstractNum>
  <w:abstractNum w:abstractNumId="1" w15:restartNumberingAfterBreak="0">
    <w:nsid w:val="386D5ABC"/>
    <w:multiLevelType w:val="hybridMultilevel"/>
    <w:tmpl w:val="4856999A"/>
    <w:lvl w:ilvl="0" w:tplc="EDC43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6A4957"/>
    <w:multiLevelType w:val="hybridMultilevel"/>
    <w:tmpl w:val="C4989A80"/>
    <w:lvl w:ilvl="0" w:tplc="8686374C">
      <w:start w:val="4"/>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3E22547B"/>
    <w:multiLevelType w:val="hybridMultilevel"/>
    <w:tmpl w:val="106EAA04"/>
    <w:lvl w:ilvl="0" w:tplc="BE288F5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1563E0F"/>
    <w:multiLevelType w:val="hybridMultilevel"/>
    <w:tmpl w:val="265AAF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0B122B"/>
    <w:multiLevelType w:val="hybridMultilevel"/>
    <w:tmpl w:val="C8F61812"/>
    <w:lvl w:ilvl="0" w:tplc="096CC3CC">
      <w:start w:val="1"/>
      <w:numFmt w:val="decimal"/>
      <w:lvlText w:val="%1."/>
      <w:lvlJc w:val="left"/>
      <w:pPr>
        <w:ind w:left="198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F29F2"/>
    <w:multiLevelType w:val="hybridMultilevel"/>
    <w:tmpl w:val="E078FED8"/>
    <w:lvl w:ilvl="0" w:tplc="6394B330">
      <w:start w:val="5"/>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5B64567F"/>
    <w:multiLevelType w:val="hybridMultilevel"/>
    <w:tmpl w:val="B5CCCF16"/>
    <w:lvl w:ilvl="0" w:tplc="D572EE0A">
      <w:start w:val="1"/>
      <w:numFmt w:val="decimal"/>
      <w:lvlText w:val="(%1)"/>
      <w:lvlJc w:val="left"/>
      <w:pPr>
        <w:ind w:left="6840" w:hanging="72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8" w15:restartNumberingAfterBreak="0">
    <w:nsid w:val="6BEE6190"/>
    <w:multiLevelType w:val="hybridMultilevel"/>
    <w:tmpl w:val="7804C0A2"/>
    <w:lvl w:ilvl="0" w:tplc="7DD60B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56022F"/>
    <w:multiLevelType w:val="hybridMultilevel"/>
    <w:tmpl w:val="C8F61812"/>
    <w:lvl w:ilvl="0" w:tplc="096CC3CC">
      <w:start w:val="1"/>
      <w:numFmt w:val="decimal"/>
      <w:lvlText w:val="%1."/>
      <w:lvlJc w:val="left"/>
      <w:pPr>
        <w:ind w:left="198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7"/>
  </w:num>
  <w:num w:numId="5">
    <w:abstractNumId w:val="5"/>
  </w:num>
  <w:num w:numId="6">
    <w:abstractNumId w:val="4"/>
  </w:num>
  <w:num w:numId="7">
    <w:abstractNumId w:val="3"/>
  </w:num>
  <w:num w:numId="8">
    <w:abstractNumId w:val="0"/>
  </w:num>
  <w:num w:numId="9">
    <w:abstractNumId w:val="0"/>
    <w:lvlOverride w:ilvl="0">
      <w:lvl w:ilvl="0">
        <w:numFmt w:val="decimal"/>
        <w:lvlText w:val="%1."/>
        <w:lvlJc w:val="left"/>
        <w:pPr>
          <w:tabs>
            <w:tab w:val="num" w:pos="792"/>
          </w:tabs>
          <w:ind w:left="792" w:hanging="360"/>
        </w:pPr>
        <w:rPr>
          <w:snapToGrid/>
          <w:sz w:val="24"/>
          <w:szCs w:val="24"/>
        </w:rPr>
      </w:lvl>
    </w:lvlOverride>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49"/>
    <w:rsid w:val="000006B9"/>
    <w:rsid w:val="00002B82"/>
    <w:rsid w:val="000032C2"/>
    <w:rsid w:val="00011B40"/>
    <w:rsid w:val="00011CA9"/>
    <w:rsid w:val="00013BAD"/>
    <w:rsid w:val="000140CF"/>
    <w:rsid w:val="00014D30"/>
    <w:rsid w:val="000154DE"/>
    <w:rsid w:val="0003076F"/>
    <w:rsid w:val="00030C45"/>
    <w:rsid w:val="000313CD"/>
    <w:rsid w:val="0003398D"/>
    <w:rsid w:val="000351C1"/>
    <w:rsid w:val="00040363"/>
    <w:rsid w:val="00050AAB"/>
    <w:rsid w:val="00051E8A"/>
    <w:rsid w:val="00052F7D"/>
    <w:rsid w:val="00055176"/>
    <w:rsid w:val="00056423"/>
    <w:rsid w:val="00060B08"/>
    <w:rsid w:val="00061073"/>
    <w:rsid w:val="00061267"/>
    <w:rsid w:val="00061F21"/>
    <w:rsid w:val="00064FC2"/>
    <w:rsid w:val="0006506D"/>
    <w:rsid w:val="0007049E"/>
    <w:rsid w:val="00070BEF"/>
    <w:rsid w:val="00071578"/>
    <w:rsid w:val="00073EB4"/>
    <w:rsid w:val="00074AEA"/>
    <w:rsid w:val="00077083"/>
    <w:rsid w:val="00082578"/>
    <w:rsid w:val="00082FC0"/>
    <w:rsid w:val="000844F1"/>
    <w:rsid w:val="00084911"/>
    <w:rsid w:val="00086C54"/>
    <w:rsid w:val="00086D1E"/>
    <w:rsid w:val="00090469"/>
    <w:rsid w:val="0009118E"/>
    <w:rsid w:val="00097077"/>
    <w:rsid w:val="000A1C15"/>
    <w:rsid w:val="000A5AE5"/>
    <w:rsid w:val="000A6D91"/>
    <w:rsid w:val="000C2E6C"/>
    <w:rsid w:val="000C498C"/>
    <w:rsid w:val="000C6E26"/>
    <w:rsid w:val="000D0143"/>
    <w:rsid w:val="000D04D3"/>
    <w:rsid w:val="000D2058"/>
    <w:rsid w:val="000D5068"/>
    <w:rsid w:val="000D75ED"/>
    <w:rsid w:val="000E0A63"/>
    <w:rsid w:val="000E3B45"/>
    <w:rsid w:val="000E4769"/>
    <w:rsid w:val="000E57DD"/>
    <w:rsid w:val="000F787C"/>
    <w:rsid w:val="00104028"/>
    <w:rsid w:val="0010470C"/>
    <w:rsid w:val="00110169"/>
    <w:rsid w:val="0011037A"/>
    <w:rsid w:val="00114EA9"/>
    <w:rsid w:val="001241C5"/>
    <w:rsid w:val="001274D3"/>
    <w:rsid w:val="00131672"/>
    <w:rsid w:val="0013504E"/>
    <w:rsid w:val="001366D5"/>
    <w:rsid w:val="00140240"/>
    <w:rsid w:val="00141FDE"/>
    <w:rsid w:val="00142EAA"/>
    <w:rsid w:val="00142ECF"/>
    <w:rsid w:val="00143357"/>
    <w:rsid w:val="00144289"/>
    <w:rsid w:val="0014555D"/>
    <w:rsid w:val="001540CC"/>
    <w:rsid w:val="00162BB7"/>
    <w:rsid w:val="001733B9"/>
    <w:rsid w:val="001736CC"/>
    <w:rsid w:val="0017679D"/>
    <w:rsid w:val="00177BD7"/>
    <w:rsid w:val="0018197C"/>
    <w:rsid w:val="001917E1"/>
    <w:rsid w:val="00191F51"/>
    <w:rsid w:val="00194E7D"/>
    <w:rsid w:val="00195316"/>
    <w:rsid w:val="001954A4"/>
    <w:rsid w:val="001964D1"/>
    <w:rsid w:val="00196DE2"/>
    <w:rsid w:val="001979E2"/>
    <w:rsid w:val="001A0B3A"/>
    <w:rsid w:val="001A109A"/>
    <w:rsid w:val="001A4E9E"/>
    <w:rsid w:val="001A62A1"/>
    <w:rsid w:val="001A66C1"/>
    <w:rsid w:val="001A74DD"/>
    <w:rsid w:val="001B1001"/>
    <w:rsid w:val="001B20A0"/>
    <w:rsid w:val="001B27E4"/>
    <w:rsid w:val="001B2F62"/>
    <w:rsid w:val="001B3B10"/>
    <w:rsid w:val="001B4AE4"/>
    <w:rsid w:val="001C1A6D"/>
    <w:rsid w:val="001C42A8"/>
    <w:rsid w:val="001C4BBC"/>
    <w:rsid w:val="001D1A67"/>
    <w:rsid w:val="001D1E58"/>
    <w:rsid w:val="001D327F"/>
    <w:rsid w:val="001E5212"/>
    <w:rsid w:val="001F2FFA"/>
    <w:rsid w:val="001F6079"/>
    <w:rsid w:val="001F7950"/>
    <w:rsid w:val="00200323"/>
    <w:rsid w:val="0020233A"/>
    <w:rsid w:val="002032C8"/>
    <w:rsid w:val="002109F1"/>
    <w:rsid w:val="00212FFC"/>
    <w:rsid w:val="002140A0"/>
    <w:rsid w:val="002162B2"/>
    <w:rsid w:val="002230EE"/>
    <w:rsid w:val="0022486F"/>
    <w:rsid w:val="00224E1F"/>
    <w:rsid w:val="00225D49"/>
    <w:rsid w:val="00226D11"/>
    <w:rsid w:val="00231D89"/>
    <w:rsid w:val="00235928"/>
    <w:rsid w:val="00235F0B"/>
    <w:rsid w:val="00236254"/>
    <w:rsid w:val="00240A8B"/>
    <w:rsid w:val="00250441"/>
    <w:rsid w:val="00250CF0"/>
    <w:rsid w:val="00260759"/>
    <w:rsid w:val="0026386E"/>
    <w:rsid w:val="00264F49"/>
    <w:rsid w:val="00267115"/>
    <w:rsid w:val="00274B8D"/>
    <w:rsid w:val="00274F71"/>
    <w:rsid w:val="00280326"/>
    <w:rsid w:val="002827B2"/>
    <w:rsid w:val="0028460A"/>
    <w:rsid w:val="00284CE3"/>
    <w:rsid w:val="00285560"/>
    <w:rsid w:val="002864AD"/>
    <w:rsid w:val="002878F3"/>
    <w:rsid w:val="00294604"/>
    <w:rsid w:val="002A1FE8"/>
    <w:rsid w:val="002A273E"/>
    <w:rsid w:val="002A2CCA"/>
    <w:rsid w:val="002A4F45"/>
    <w:rsid w:val="002A5D79"/>
    <w:rsid w:val="002B5421"/>
    <w:rsid w:val="002B5F6B"/>
    <w:rsid w:val="002B72DD"/>
    <w:rsid w:val="002C0D84"/>
    <w:rsid w:val="002C2A1D"/>
    <w:rsid w:val="002C6010"/>
    <w:rsid w:val="002D5C69"/>
    <w:rsid w:val="002E11BD"/>
    <w:rsid w:val="002E71D1"/>
    <w:rsid w:val="002F3C54"/>
    <w:rsid w:val="00306290"/>
    <w:rsid w:val="00311AF4"/>
    <w:rsid w:val="0032039B"/>
    <w:rsid w:val="00321045"/>
    <w:rsid w:val="003237E3"/>
    <w:rsid w:val="00323CDA"/>
    <w:rsid w:val="00326177"/>
    <w:rsid w:val="00335CB5"/>
    <w:rsid w:val="0033630C"/>
    <w:rsid w:val="00340C31"/>
    <w:rsid w:val="003411B4"/>
    <w:rsid w:val="00342469"/>
    <w:rsid w:val="00343981"/>
    <w:rsid w:val="00346FB2"/>
    <w:rsid w:val="003478FC"/>
    <w:rsid w:val="00355488"/>
    <w:rsid w:val="003559F1"/>
    <w:rsid w:val="0036050A"/>
    <w:rsid w:val="0036382B"/>
    <w:rsid w:val="0037533D"/>
    <w:rsid w:val="00375D15"/>
    <w:rsid w:val="00382630"/>
    <w:rsid w:val="003867E5"/>
    <w:rsid w:val="0038783E"/>
    <w:rsid w:val="003902F3"/>
    <w:rsid w:val="00390AD6"/>
    <w:rsid w:val="003910C0"/>
    <w:rsid w:val="003942D0"/>
    <w:rsid w:val="003A4D1A"/>
    <w:rsid w:val="003A504E"/>
    <w:rsid w:val="003A6B52"/>
    <w:rsid w:val="003B5356"/>
    <w:rsid w:val="003C0F15"/>
    <w:rsid w:val="003C31B8"/>
    <w:rsid w:val="003C7C69"/>
    <w:rsid w:val="003D0C79"/>
    <w:rsid w:val="003D3E36"/>
    <w:rsid w:val="003D5754"/>
    <w:rsid w:val="003E44F2"/>
    <w:rsid w:val="003E7E0C"/>
    <w:rsid w:val="004052BC"/>
    <w:rsid w:val="004079C4"/>
    <w:rsid w:val="00407AA6"/>
    <w:rsid w:val="00410233"/>
    <w:rsid w:val="00415287"/>
    <w:rsid w:val="004170CA"/>
    <w:rsid w:val="00430CC9"/>
    <w:rsid w:val="0043105F"/>
    <w:rsid w:val="00432C58"/>
    <w:rsid w:val="0043318E"/>
    <w:rsid w:val="004401F7"/>
    <w:rsid w:val="004407A4"/>
    <w:rsid w:val="00443E5C"/>
    <w:rsid w:val="00445537"/>
    <w:rsid w:val="004514A5"/>
    <w:rsid w:val="004527A1"/>
    <w:rsid w:val="00454B0F"/>
    <w:rsid w:val="00454CC6"/>
    <w:rsid w:val="00455C52"/>
    <w:rsid w:val="004600C3"/>
    <w:rsid w:val="0046152B"/>
    <w:rsid w:val="00462C21"/>
    <w:rsid w:val="00463ABD"/>
    <w:rsid w:val="004662DB"/>
    <w:rsid w:val="00472243"/>
    <w:rsid w:val="00476F52"/>
    <w:rsid w:val="004854FC"/>
    <w:rsid w:val="0048585A"/>
    <w:rsid w:val="00486173"/>
    <w:rsid w:val="00496052"/>
    <w:rsid w:val="004A797D"/>
    <w:rsid w:val="004B049C"/>
    <w:rsid w:val="004C1D75"/>
    <w:rsid w:val="004C6A2A"/>
    <w:rsid w:val="004D40ED"/>
    <w:rsid w:val="004D45CD"/>
    <w:rsid w:val="004D6A41"/>
    <w:rsid w:val="004D7772"/>
    <w:rsid w:val="004D78B4"/>
    <w:rsid w:val="004E254E"/>
    <w:rsid w:val="004E279B"/>
    <w:rsid w:val="004E30E2"/>
    <w:rsid w:val="004E330C"/>
    <w:rsid w:val="004E3E5F"/>
    <w:rsid w:val="004E6786"/>
    <w:rsid w:val="004E6D1B"/>
    <w:rsid w:val="004E742E"/>
    <w:rsid w:val="004F6456"/>
    <w:rsid w:val="00505B04"/>
    <w:rsid w:val="00505CE5"/>
    <w:rsid w:val="005105C7"/>
    <w:rsid w:val="00511A73"/>
    <w:rsid w:val="00513528"/>
    <w:rsid w:val="00513CC5"/>
    <w:rsid w:val="00517A96"/>
    <w:rsid w:val="00521B91"/>
    <w:rsid w:val="00535693"/>
    <w:rsid w:val="005358A8"/>
    <w:rsid w:val="00535A6E"/>
    <w:rsid w:val="00541980"/>
    <w:rsid w:val="0054397A"/>
    <w:rsid w:val="00547763"/>
    <w:rsid w:val="00552F77"/>
    <w:rsid w:val="005533E9"/>
    <w:rsid w:val="00555E25"/>
    <w:rsid w:val="00556643"/>
    <w:rsid w:val="00560D09"/>
    <w:rsid w:val="00562492"/>
    <w:rsid w:val="00565A44"/>
    <w:rsid w:val="0057178C"/>
    <w:rsid w:val="005720DA"/>
    <w:rsid w:val="0057307E"/>
    <w:rsid w:val="005762BF"/>
    <w:rsid w:val="00577724"/>
    <w:rsid w:val="00582838"/>
    <w:rsid w:val="005837EE"/>
    <w:rsid w:val="00583FFE"/>
    <w:rsid w:val="00584355"/>
    <w:rsid w:val="00587691"/>
    <w:rsid w:val="005909DE"/>
    <w:rsid w:val="00593C67"/>
    <w:rsid w:val="0059553E"/>
    <w:rsid w:val="005A0D3D"/>
    <w:rsid w:val="005A3B62"/>
    <w:rsid w:val="005B06CF"/>
    <w:rsid w:val="005B1874"/>
    <w:rsid w:val="005B2927"/>
    <w:rsid w:val="005B5A91"/>
    <w:rsid w:val="005C3475"/>
    <w:rsid w:val="005C4A67"/>
    <w:rsid w:val="005E1DA1"/>
    <w:rsid w:val="005E7945"/>
    <w:rsid w:val="005E79E4"/>
    <w:rsid w:val="005F6529"/>
    <w:rsid w:val="006007C5"/>
    <w:rsid w:val="00602D7B"/>
    <w:rsid w:val="006037FB"/>
    <w:rsid w:val="00604909"/>
    <w:rsid w:val="00605A21"/>
    <w:rsid w:val="00607A88"/>
    <w:rsid w:val="00607BC1"/>
    <w:rsid w:val="00610264"/>
    <w:rsid w:val="00610DEE"/>
    <w:rsid w:val="00611CCC"/>
    <w:rsid w:val="006152BC"/>
    <w:rsid w:val="00624661"/>
    <w:rsid w:val="006259B7"/>
    <w:rsid w:val="00626293"/>
    <w:rsid w:val="00627473"/>
    <w:rsid w:val="00630DD1"/>
    <w:rsid w:val="00632541"/>
    <w:rsid w:val="00636A7C"/>
    <w:rsid w:val="006435D1"/>
    <w:rsid w:val="00647513"/>
    <w:rsid w:val="0065050A"/>
    <w:rsid w:val="0065419E"/>
    <w:rsid w:val="00660AC6"/>
    <w:rsid w:val="0066279F"/>
    <w:rsid w:val="00662EDF"/>
    <w:rsid w:val="00667932"/>
    <w:rsid w:val="00671BAA"/>
    <w:rsid w:val="00683072"/>
    <w:rsid w:val="00684BE7"/>
    <w:rsid w:val="00685544"/>
    <w:rsid w:val="0069032B"/>
    <w:rsid w:val="006A01CC"/>
    <w:rsid w:val="006A1FF4"/>
    <w:rsid w:val="006A4572"/>
    <w:rsid w:val="006A5EA0"/>
    <w:rsid w:val="006A633B"/>
    <w:rsid w:val="006B4FEC"/>
    <w:rsid w:val="006C2981"/>
    <w:rsid w:val="006C31F8"/>
    <w:rsid w:val="006C47CA"/>
    <w:rsid w:val="006C62DD"/>
    <w:rsid w:val="006D04F4"/>
    <w:rsid w:val="006D0BB9"/>
    <w:rsid w:val="006D2DAA"/>
    <w:rsid w:val="006D415D"/>
    <w:rsid w:val="006D7719"/>
    <w:rsid w:val="006F124F"/>
    <w:rsid w:val="006F2B80"/>
    <w:rsid w:val="006F5089"/>
    <w:rsid w:val="00702020"/>
    <w:rsid w:val="00706224"/>
    <w:rsid w:val="00712AB6"/>
    <w:rsid w:val="007134B1"/>
    <w:rsid w:val="00714FE3"/>
    <w:rsid w:val="00721C74"/>
    <w:rsid w:val="007245B8"/>
    <w:rsid w:val="0072496D"/>
    <w:rsid w:val="00724C13"/>
    <w:rsid w:val="007258C9"/>
    <w:rsid w:val="007271F6"/>
    <w:rsid w:val="00730D44"/>
    <w:rsid w:val="00740729"/>
    <w:rsid w:val="00742386"/>
    <w:rsid w:val="007432BC"/>
    <w:rsid w:val="00746306"/>
    <w:rsid w:val="007511C7"/>
    <w:rsid w:val="00751200"/>
    <w:rsid w:val="00751FA3"/>
    <w:rsid w:val="00755450"/>
    <w:rsid w:val="00755849"/>
    <w:rsid w:val="00755907"/>
    <w:rsid w:val="007562B4"/>
    <w:rsid w:val="00756900"/>
    <w:rsid w:val="007573D3"/>
    <w:rsid w:val="00760685"/>
    <w:rsid w:val="0076127D"/>
    <w:rsid w:val="00763757"/>
    <w:rsid w:val="00764BF3"/>
    <w:rsid w:val="0076744A"/>
    <w:rsid w:val="00774199"/>
    <w:rsid w:val="00775B7F"/>
    <w:rsid w:val="007768D7"/>
    <w:rsid w:val="0078453D"/>
    <w:rsid w:val="007849C4"/>
    <w:rsid w:val="00786E1F"/>
    <w:rsid w:val="00787BCC"/>
    <w:rsid w:val="00791B93"/>
    <w:rsid w:val="007939BE"/>
    <w:rsid w:val="00793F69"/>
    <w:rsid w:val="0079518E"/>
    <w:rsid w:val="0079641F"/>
    <w:rsid w:val="007A088D"/>
    <w:rsid w:val="007A2961"/>
    <w:rsid w:val="007A2CE6"/>
    <w:rsid w:val="007A43CA"/>
    <w:rsid w:val="007A5D52"/>
    <w:rsid w:val="007B0BD7"/>
    <w:rsid w:val="007B233F"/>
    <w:rsid w:val="007C057A"/>
    <w:rsid w:val="007C15F9"/>
    <w:rsid w:val="007C5066"/>
    <w:rsid w:val="007C56F1"/>
    <w:rsid w:val="007D0178"/>
    <w:rsid w:val="007D04CE"/>
    <w:rsid w:val="007D18C7"/>
    <w:rsid w:val="007D28E4"/>
    <w:rsid w:val="007D2AE8"/>
    <w:rsid w:val="007D5280"/>
    <w:rsid w:val="007D64A9"/>
    <w:rsid w:val="007E1446"/>
    <w:rsid w:val="007E57BC"/>
    <w:rsid w:val="007F0116"/>
    <w:rsid w:val="007F613E"/>
    <w:rsid w:val="007F6387"/>
    <w:rsid w:val="007F740D"/>
    <w:rsid w:val="007F7DBD"/>
    <w:rsid w:val="00802720"/>
    <w:rsid w:val="0080327F"/>
    <w:rsid w:val="0080571B"/>
    <w:rsid w:val="0080582A"/>
    <w:rsid w:val="0081038C"/>
    <w:rsid w:val="0081368F"/>
    <w:rsid w:val="00817A8E"/>
    <w:rsid w:val="008212C1"/>
    <w:rsid w:val="00822CC8"/>
    <w:rsid w:val="00832A64"/>
    <w:rsid w:val="00832B7C"/>
    <w:rsid w:val="0083677B"/>
    <w:rsid w:val="00836E9D"/>
    <w:rsid w:val="00837AE1"/>
    <w:rsid w:val="00840988"/>
    <w:rsid w:val="0084128B"/>
    <w:rsid w:val="00847986"/>
    <w:rsid w:val="008519B3"/>
    <w:rsid w:val="00853592"/>
    <w:rsid w:val="008540DE"/>
    <w:rsid w:val="0085546B"/>
    <w:rsid w:val="00857E21"/>
    <w:rsid w:val="00863A3F"/>
    <w:rsid w:val="008749BB"/>
    <w:rsid w:val="00874DCD"/>
    <w:rsid w:val="008769AC"/>
    <w:rsid w:val="00876CC9"/>
    <w:rsid w:val="00884A20"/>
    <w:rsid w:val="00885C37"/>
    <w:rsid w:val="008957E4"/>
    <w:rsid w:val="008A16F6"/>
    <w:rsid w:val="008A2E71"/>
    <w:rsid w:val="008A3C35"/>
    <w:rsid w:val="008A77B3"/>
    <w:rsid w:val="008B197C"/>
    <w:rsid w:val="008B43A3"/>
    <w:rsid w:val="008B45B4"/>
    <w:rsid w:val="008B770E"/>
    <w:rsid w:val="008D484B"/>
    <w:rsid w:val="008E33F5"/>
    <w:rsid w:val="008E6211"/>
    <w:rsid w:val="008E6927"/>
    <w:rsid w:val="008E7342"/>
    <w:rsid w:val="008F2A31"/>
    <w:rsid w:val="008F67C3"/>
    <w:rsid w:val="0090115C"/>
    <w:rsid w:val="00906CBE"/>
    <w:rsid w:val="00913351"/>
    <w:rsid w:val="009165CA"/>
    <w:rsid w:val="00917174"/>
    <w:rsid w:val="009175AA"/>
    <w:rsid w:val="00923DF7"/>
    <w:rsid w:val="00925E69"/>
    <w:rsid w:val="009307F8"/>
    <w:rsid w:val="00934CAC"/>
    <w:rsid w:val="009375C2"/>
    <w:rsid w:val="0094267D"/>
    <w:rsid w:val="009447A9"/>
    <w:rsid w:val="00946CFA"/>
    <w:rsid w:val="009471F0"/>
    <w:rsid w:val="00952772"/>
    <w:rsid w:val="00952C60"/>
    <w:rsid w:val="0095521B"/>
    <w:rsid w:val="009566C4"/>
    <w:rsid w:val="00961B99"/>
    <w:rsid w:val="00961F33"/>
    <w:rsid w:val="00963300"/>
    <w:rsid w:val="00965D13"/>
    <w:rsid w:val="00966E72"/>
    <w:rsid w:val="00975D04"/>
    <w:rsid w:val="00981C61"/>
    <w:rsid w:val="00983ECB"/>
    <w:rsid w:val="009846B4"/>
    <w:rsid w:val="00990120"/>
    <w:rsid w:val="009952FA"/>
    <w:rsid w:val="0099614D"/>
    <w:rsid w:val="009A51DF"/>
    <w:rsid w:val="009B0950"/>
    <w:rsid w:val="009B0F99"/>
    <w:rsid w:val="009B7223"/>
    <w:rsid w:val="009C012E"/>
    <w:rsid w:val="009C1959"/>
    <w:rsid w:val="009C1A9A"/>
    <w:rsid w:val="009C3C86"/>
    <w:rsid w:val="009C4C23"/>
    <w:rsid w:val="009C6FFB"/>
    <w:rsid w:val="009C73D4"/>
    <w:rsid w:val="009E131D"/>
    <w:rsid w:val="009E5542"/>
    <w:rsid w:val="009E6665"/>
    <w:rsid w:val="009F0200"/>
    <w:rsid w:val="009F2F9E"/>
    <w:rsid w:val="009F31AE"/>
    <w:rsid w:val="009F5616"/>
    <w:rsid w:val="00A000D0"/>
    <w:rsid w:val="00A021F9"/>
    <w:rsid w:val="00A025A2"/>
    <w:rsid w:val="00A04C1C"/>
    <w:rsid w:val="00A0682F"/>
    <w:rsid w:val="00A06FED"/>
    <w:rsid w:val="00A11BF8"/>
    <w:rsid w:val="00A174EA"/>
    <w:rsid w:val="00A20DA9"/>
    <w:rsid w:val="00A210F1"/>
    <w:rsid w:val="00A21211"/>
    <w:rsid w:val="00A26423"/>
    <w:rsid w:val="00A304A4"/>
    <w:rsid w:val="00A33A02"/>
    <w:rsid w:val="00A34A18"/>
    <w:rsid w:val="00A34F3F"/>
    <w:rsid w:val="00A4452F"/>
    <w:rsid w:val="00A46912"/>
    <w:rsid w:val="00A469FB"/>
    <w:rsid w:val="00A52641"/>
    <w:rsid w:val="00A53918"/>
    <w:rsid w:val="00A604BC"/>
    <w:rsid w:val="00A61988"/>
    <w:rsid w:val="00A61FAC"/>
    <w:rsid w:val="00A62055"/>
    <w:rsid w:val="00A7202C"/>
    <w:rsid w:val="00A75117"/>
    <w:rsid w:val="00A80FCF"/>
    <w:rsid w:val="00A85247"/>
    <w:rsid w:val="00A8643B"/>
    <w:rsid w:val="00A86657"/>
    <w:rsid w:val="00A87687"/>
    <w:rsid w:val="00A924BC"/>
    <w:rsid w:val="00A92660"/>
    <w:rsid w:val="00A937C3"/>
    <w:rsid w:val="00A946DF"/>
    <w:rsid w:val="00A94737"/>
    <w:rsid w:val="00A95AF3"/>
    <w:rsid w:val="00AA1BCD"/>
    <w:rsid w:val="00AA2776"/>
    <w:rsid w:val="00AA490D"/>
    <w:rsid w:val="00AB5C75"/>
    <w:rsid w:val="00AB624E"/>
    <w:rsid w:val="00AC13B3"/>
    <w:rsid w:val="00AC29CB"/>
    <w:rsid w:val="00AC6095"/>
    <w:rsid w:val="00AC77EB"/>
    <w:rsid w:val="00AD10B0"/>
    <w:rsid w:val="00AD361B"/>
    <w:rsid w:val="00AD372A"/>
    <w:rsid w:val="00AD7693"/>
    <w:rsid w:val="00AE0BFE"/>
    <w:rsid w:val="00AE1278"/>
    <w:rsid w:val="00AE12C0"/>
    <w:rsid w:val="00AE16FD"/>
    <w:rsid w:val="00AE1F22"/>
    <w:rsid w:val="00AE5FDE"/>
    <w:rsid w:val="00AF2996"/>
    <w:rsid w:val="00AF4690"/>
    <w:rsid w:val="00AF534A"/>
    <w:rsid w:val="00AF7137"/>
    <w:rsid w:val="00B120C9"/>
    <w:rsid w:val="00B12C0F"/>
    <w:rsid w:val="00B12CFE"/>
    <w:rsid w:val="00B212D6"/>
    <w:rsid w:val="00B27B8F"/>
    <w:rsid w:val="00B319A5"/>
    <w:rsid w:val="00B33966"/>
    <w:rsid w:val="00B40DE9"/>
    <w:rsid w:val="00B40E23"/>
    <w:rsid w:val="00B41A26"/>
    <w:rsid w:val="00B42367"/>
    <w:rsid w:val="00B45F0C"/>
    <w:rsid w:val="00B51872"/>
    <w:rsid w:val="00B56CBA"/>
    <w:rsid w:val="00B6079C"/>
    <w:rsid w:val="00B61000"/>
    <w:rsid w:val="00B6322A"/>
    <w:rsid w:val="00B8513C"/>
    <w:rsid w:val="00B861CF"/>
    <w:rsid w:val="00B86514"/>
    <w:rsid w:val="00B86EBE"/>
    <w:rsid w:val="00B908C7"/>
    <w:rsid w:val="00B95382"/>
    <w:rsid w:val="00B95669"/>
    <w:rsid w:val="00B96C27"/>
    <w:rsid w:val="00BA03E2"/>
    <w:rsid w:val="00BA716C"/>
    <w:rsid w:val="00BA7F81"/>
    <w:rsid w:val="00BB02AC"/>
    <w:rsid w:val="00BB0B11"/>
    <w:rsid w:val="00BB4043"/>
    <w:rsid w:val="00BB4840"/>
    <w:rsid w:val="00BB5111"/>
    <w:rsid w:val="00BB5245"/>
    <w:rsid w:val="00BB5264"/>
    <w:rsid w:val="00BB7461"/>
    <w:rsid w:val="00BC218B"/>
    <w:rsid w:val="00BC2AE8"/>
    <w:rsid w:val="00BD3B3D"/>
    <w:rsid w:val="00BD560B"/>
    <w:rsid w:val="00BD5C9E"/>
    <w:rsid w:val="00BD6545"/>
    <w:rsid w:val="00BD66AD"/>
    <w:rsid w:val="00BE2E05"/>
    <w:rsid w:val="00BE3A43"/>
    <w:rsid w:val="00BE3B94"/>
    <w:rsid w:val="00BE46E6"/>
    <w:rsid w:val="00BE50DA"/>
    <w:rsid w:val="00BE5757"/>
    <w:rsid w:val="00BE79A8"/>
    <w:rsid w:val="00BF064B"/>
    <w:rsid w:val="00BF15A1"/>
    <w:rsid w:val="00BF2097"/>
    <w:rsid w:val="00BF71CD"/>
    <w:rsid w:val="00C008F5"/>
    <w:rsid w:val="00C0091A"/>
    <w:rsid w:val="00C02D0C"/>
    <w:rsid w:val="00C11623"/>
    <w:rsid w:val="00C1563F"/>
    <w:rsid w:val="00C201A4"/>
    <w:rsid w:val="00C2047B"/>
    <w:rsid w:val="00C22744"/>
    <w:rsid w:val="00C23E88"/>
    <w:rsid w:val="00C275F2"/>
    <w:rsid w:val="00C31A07"/>
    <w:rsid w:val="00C31EFF"/>
    <w:rsid w:val="00C34A81"/>
    <w:rsid w:val="00C3654A"/>
    <w:rsid w:val="00C37506"/>
    <w:rsid w:val="00C42BE0"/>
    <w:rsid w:val="00C44E5D"/>
    <w:rsid w:val="00C46CC8"/>
    <w:rsid w:val="00C57AFA"/>
    <w:rsid w:val="00C61E62"/>
    <w:rsid w:val="00C64629"/>
    <w:rsid w:val="00C66012"/>
    <w:rsid w:val="00C668B4"/>
    <w:rsid w:val="00C77B8A"/>
    <w:rsid w:val="00C80472"/>
    <w:rsid w:val="00C81824"/>
    <w:rsid w:val="00C835D8"/>
    <w:rsid w:val="00C907D8"/>
    <w:rsid w:val="00C9494D"/>
    <w:rsid w:val="00C95566"/>
    <w:rsid w:val="00CA082F"/>
    <w:rsid w:val="00CA3BC0"/>
    <w:rsid w:val="00CB1CB4"/>
    <w:rsid w:val="00CB2255"/>
    <w:rsid w:val="00CB2F31"/>
    <w:rsid w:val="00CB36F6"/>
    <w:rsid w:val="00CB4237"/>
    <w:rsid w:val="00CB5133"/>
    <w:rsid w:val="00CC5CE1"/>
    <w:rsid w:val="00CD3C55"/>
    <w:rsid w:val="00CE35E4"/>
    <w:rsid w:val="00CE399E"/>
    <w:rsid w:val="00CE5529"/>
    <w:rsid w:val="00CE5E8F"/>
    <w:rsid w:val="00CE68EC"/>
    <w:rsid w:val="00CF3DB9"/>
    <w:rsid w:val="00CF737C"/>
    <w:rsid w:val="00CF79E7"/>
    <w:rsid w:val="00D02803"/>
    <w:rsid w:val="00D0469F"/>
    <w:rsid w:val="00D06F59"/>
    <w:rsid w:val="00D07057"/>
    <w:rsid w:val="00D115C6"/>
    <w:rsid w:val="00D24BBF"/>
    <w:rsid w:val="00D24F14"/>
    <w:rsid w:val="00D279E4"/>
    <w:rsid w:val="00D3368F"/>
    <w:rsid w:val="00D336F0"/>
    <w:rsid w:val="00D36131"/>
    <w:rsid w:val="00D42600"/>
    <w:rsid w:val="00D456F7"/>
    <w:rsid w:val="00D50DDB"/>
    <w:rsid w:val="00D546B9"/>
    <w:rsid w:val="00D56727"/>
    <w:rsid w:val="00D60A66"/>
    <w:rsid w:val="00D6147A"/>
    <w:rsid w:val="00D65FA3"/>
    <w:rsid w:val="00D66C87"/>
    <w:rsid w:val="00D70522"/>
    <w:rsid w:val="00D70CAF"/>
    <w:rsid w:val="00D7359E"/>
    <w:rsid w:val="00D7516D"/>
    <w:rsid w:val="00D81019"/>
    <w:rsid w:val="00D816A8"/>
    <w:rsid w:val="00D8414D"/>
    <w:rsid w:val="00D855F0"/>
    <w:rsid w:val="00D87312"/>
    <w:rsid w:val="00D87F22"/>
    <w:rsid w:val="00D90D8B"/>
    <w:rsid w:val="00D914E0"/>
    <w:rsid w:val="00D91F98"/>
    <w:rsid w:val="00D92661"/>
    <w:rsid w:val="00D93981"/>
    <w:rsid w:val="00D95387"/>
    <w:rsid w:val="00DA162C"/>
    <w:rsid w:val="00DA2E2A"/>
    <w:rsid w:val="00DA3609"/>
    <w:rsid w:val="00DB0DB8"/>
    <w:rsid w:val="00DB61FB"/>
    <w:rsid w:val="00DB6B0D"/>
    <w:rsid w:val="00DB7FAB"/>
    <w:rsid w:val="00DC4B69"/>
    <w:rsid w:val="00DC7B78"/>
    <w:rsid w:val="00DD0AEE"/>
    <w:rsid w:val="00DD4DFC"/>
    <w:rsid w:val="00DD5665"/>
    <w:rsid w:val="00DE3299"/>
    <w:rsid w:val="00DE4046"/>
    <w:rsid w:val="00DE7044"/>
    <w:rsid w:val="00DF005A"/>
    <w:rsid w:val="00DF26B3"/>
    <w:rsid w:val="00DF2DEE"/>
    <w:rsid w:val="00DF5ECC"/>
    <w:rsid w:val="00DF6E2A"/>
    <w:rsid w:val="00E012FA"/>
    <w:rsid w:val="00E11190"/>
    <w:rsid w:val="00E20EBF"/>
    <w:rsid w:val="00E30A26"/>
    <w:rsid w:val="00E30D84"/>
    <w:rsid w:val="00E346C9"/>
    <w:rsid w:val="00E34F71"/>
    <w:rsid w:val="00E35D87"/>
    <w:rsid w:val="00E3737C"/>
    <w:rsid w:val="00E44072"/>
    <w:rsid w:val="00E45578"/>
    <w:rsid w:val="00E4568E"/>
    <w:rsid w:val="00E46978"/>
    <w:rsid w:val="00E5112E"/>
    <w:rsid w:val="00E51B85"/>
    <w:rsid w:val="00E55E7C"/>
    <w:rsid w:val="00E612DB"/>
    <w:rsid w:val="00E61B1D"/>
    <w:rsid w:val="00E61C9C"/>
    <w:rsid w:val="00E639A5"/>
    <w:rsid w:val="00E6634C"/>
    <w:rsid w:val="00E74793"/>
    <w:rsid w:val="00E74A72"/>
    <w:rsid w:val="00E77083"/>
    <w:rsid w:val="00E8206D"/>
    <w:rsid w:val="00E86D3B"/>
    <w:rsid w:val="00E90672"/>
    <w:rsid w:val="00E94AE4"/>
    <w:rsid w:val="00EA74E0"/>
    <w:rsid w:val="00EB09CC"/>
    <w:rsid w:val="00EB0A30"/>
    <w:rsid w:val="00EB1CD0"/>
    <w:rsid w:val="00EB2587"/>
    <w:rsid w:val="00EB42F1"/>
    <w:rsid w:val="00EB4367"/>
    <w:rsid w:val="00EC2C21"/>
    <w:rsid w:val="00EC3E26"/>
    <w:rsid w:val="00EC793A"/>
    <w:rsid w:val="00ED6525"/>
    <w:rsid w:val="00EE63A4"/>
    <w:rsid w:val="00EF039C"/>
    <w:rsid w:val="00EF09B0"/>
    <w:rsid w:val="00EF3E73"/>
    <w:rsid w:val="00EF48AD"/>
    <w:rsid w:val="00EF77B2"/>
    <w:rsid w:val="00F00A8B"/>
    <w:rsid w:val="00F03B0E"/>
    <w:rsid w:val="00F0585E"/>
    <w:rsid w:val="00F10E49"/>
    <w:rsid w:val="00F117F0"/>
    <w:rsid w:val="00F12303"/>
    <w:rsid w:val="00F13FC6"/>
    <w:rsid w:val="00F225A9"/>
    <w:rsid w:val="00F24C35"/>
    <w:rsid w:val="00F27A12"/>
    <w:rsid w:val="00F30F94"/>
    <w:rsid w:val="00F34483"/>
    <w:rsid w:val="00F36910"/>
    <w:rsid w:val="00F4004A"/>
    <w:rsid w:val="00F40DC7"/>
    <w:rsid w:val="00F44391"/>
    <w:rsid w:val="00F466B3"/>
    <w:rsid w:val="00F5207B"/>
    <w:rsid w:val="00F5719A"/>
    <w:rsid w:val="00F57A8B"/>
    <w:rsid w:val="00F641AB"/>
    <w:rsid w:val="00F65F20"/>
    <w:rsid w:val="00F66566"/>
    <w:rsid w:val="00F668CC"/>
    <w:rsid w:val="00F70592"/>
    <w:rsid w:val="00F71EF8"/>
    <w:rsid w:val="00F72ED1"/>
    <w:rsid w:val="00F745AD"/>
    <w:rsid w:val="00F74938"/>
    <w:rsid w:val="00F8075B"/>
    <w:rsid w:val="00F82FCF"/>
    <w:rsid w:val="00F84EE7"/>
    <w:rsid w:val="00F86C97"/>
    <w:rsid w:val="00F94C23"/>
    <w:rsid w:val="00F96ACB"/>
    <w:rsid w:val="00FA12FA"/>
    <w:rsid w:val="00FA5B4C"/>
    <w:rsid w:val="00FB1167"/>
    <w:rsid w:val="00FB3424"/>
    <w:rsid w:val="00FB4295"/>
    <w:rsid w:val="00FB5FBC"/>
    <w:rsid w:val="00FB6224"/>
    <w:rsid w:val="00FC254F"/>
    <w:rsid w:val="00FC5EAE"/>
    <w:rsid w:val="00FC6609"/>
    <w:rsid w:val="00FD0154"/>
    <w:rsid w:val="00FD726B"/>
    <w:rsid w:val="00FE3EF8"/>
    <w:rsid w:val="00FF0572"/>
    <w:rsid w:val="00FF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5407"/>
  <w15:chartTrackingRefBased/>
  <w15:docId w15:val="{1121E81C-A408-4512-9C9A-66DA0E3C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D49"/>
    <w:pPr>
      <w:spacing w:after="0" w:line="360" w:lineRule="auto"/>
      <w:ind w:firstLine="1440"/>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5050A"/>
    <w:pPr>
      <w:spacing w:before="100" w:beforeAutospacing="1" w:after="100" w:afterAutospacing="1" w:line="240" w:lineRule="auto"/>
      <w:ind w:firstLine="0"/>
      <w:outlineLvl w:val="1"/>
    </w:pPr>
    <w:rPr>
      <w:b/>
      <w:bCs/>
      <w:sz w:val="36"/>
      <w:szCs w:val="36"/>
    </w:rPr>
  </w:style>
  <w:style w:type="paragraph" w:styleId="Heading4">
    <w:name w:val="heading 4"/>
    <w:basedOn w:val="Normal"/>
    <w:next w:val="Normal"/>
    <w:link w:val="Heading4Char"/>
    <w:uiPriority w:val="9"/>
    <w:semiHidden/>
    <w:unhideWhenUsed/>
    <w:qFormat/>
    <w:rsid w:val="0065050A"/>
    <w:pPr>
      <w:keepNext/>
      <w:keepLines/>
      <w:spacing w:before="40" w:line="259" w:lineRule="auto"/>
      <w:ind w:firstLine="0"/>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5D49"/>
    <w:pPr>
      <w:spacing w:after="0" w:line="240" w:lineRule="auto"/>
    </w:pPr>
    <w:rPr>
      <w:rFonts w:ascii="Times New Roman" w:hAnsi="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LTS FOOTNOTE,Footnote Text 2,Footnote text,FOOTNOTE,fn Char Char,fn Char,Car,Footnote Text Char2,Footnote Text Char1 Char,Footnote Text Char Char Char,Footnote Text Char2 Char Char Char,Footnote Text Char Char1 Char Char Char"/>
    <w:basedOn w:val="Normal"/>
    <w:link w:val="FootnoteTextChar"/>
    <w:uiPriority w:val="99"/>
    <w:unhideWhenUsed/>
    <w:qFormat/>
    <w:rsid w:val="001B1001"/>
    <w:pPr>
      <w:spacing w:line="240" w:lineRule="auto"/>
    </w:pPr>
    <w:rPr>
      <w:sz w:val="20"/>
      <w:szCs w:val="20"/>
    </w:rPr>
  </w:style>
  <w:style w:type="character" w:customStyle="1" w:styleId="FootnoteTextChar">
    <w:name w:val="Footnote Text Char"/>
    <w:aliases w:val="fn Char1,ALTS FOOTNOTE Char,Footnote Text 2 Char,Footnote text Char,FOOTNOTE Char,fn Char Char Char,fn Char Char1,Car Char,Footnote Text Char2 Char,Footnote Text Char1 Char Char,Footnote Text Char Char Char Char"/>
    <w:basedOn w:val="DefaultParagraphFont"/>
    <w:link w:val="FootnoteText"/>
    <w:uiPriority w:val="99"/>
    <w:rsid w:val="001B1001"/>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uiPriority w:val="99"/>
    <w:unhideWhenUsed/>
    <w:rsid w:val="001B1001"/>
    <w:rPr>
      <w:vertAlign w:val="superscript"/>
    </w:rPr>
  </w:style>
  <w:style w:type="paragraph" w:styleId="Header">
    <w:name w:val="header"/>
    <w:basedOn w:val="Normal"/>
    <w:link w:val="HeaderChar"/>
    <w:uiPriority w:val="99"/>
    <w:unhideWhenUsed/>
    <w:rsid w:val="00DE3299"/>
    <w:pPr>
      <w:tabs>
        <w:tab w:val="center" w:pos="4680"/>
        <w:tab w:val="right" w:pos="9360"/>
      </w:tabs>
      <w:spacing w:line="240" w:lineRule="auto"/>
    </w:pPr>
  </w:style>
  <w:style w:type="character" w:customStyle="1" w:styleId="HeaderChar">
    <w:name w:val="Header Char"/>
    <w:basedOn w:val="DefaultParagraphFont"/>
    <w:link w:val="Header"/>
    <w:uiPriority w:val="99"/>
    <w:rsid w:val="00DE32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299"/>
    <w:pPr>
      <w:tabs>
        <w:tab w:val="center" w:pos="4680"/>
        <w:tab w:val="right" w:pos="9360"/>
      </w:tabs>
      <w:spacing w:line="240" w:lineRule="auto"/>
    </w:pPr>
  </w:style>
  <w:style w:type="character" w:customStyle="1" w:styleId="FooterChar">
    <w:name w:val="Footer Char"/>
    <w:basedOn w:val="DefaultParagraphFont"/>
    <w:link w:val="Footer"/>
    <w:uiPriority w:val="99"/>
    <w:rsid w:val="00DE3299"/>
    <w:rPr>
      <w:rFonts w:ascii="Times New Roman" w:eastAsia="Times New Roman" w:hAnsi="Times New Roman" w:cs="Times New Roman"/>
      <w:sz w:val="24"/>
      <w:szCs w:val="24"/>
    </w:rPr>
  </w:style>
  <w:style w:type="paragraph" w:styleId="ListParagraph">
    <w:name w:val="List Paragraph"/>
    <w:basedOn w:val="Normal"/>
    <w:uiPriority w:val="34"/>
    <w:qFormat/>
    <w:rsid w:val="004C6A2A"/>
    <w:pPr>
      <w:ind w:left="720"/>
      <w:contextualSpacing/>
    </w:pPr>
  </w:style>
  <w:style w:type="character" w:customStyle="1" w:styleId="Heading2Char">
    <w:name w:val="Heading 2 Char"/>
    <w:basedOn w:val="DefaultParagraphFont"/>
    <w:link w:val="Heading2"/>
    <w:uiPriority w:val="9"/>
    <w:rsid w:val="0065050A"/>
    <w:rPr>
      <w:rFonts w:ascii="Times New Roman" w:eastAsia="Times New Roman" w:hAnsi="Times New Roman" w:cs="Times New Roman"/>
      <w:b/>
      <w:bCs/>
      <w:sz w:val="36"/>
      <w:szCs w:val="36"/>
    </w:rPr>
  </w:style>
  <w:style w:type="character" w:styleId="Emphasis">
    <w:name w:val="Emphasis"/>
    <w:basedOn w:val="DefaultParagraphFont"/>
    <w:uiPriority w:val="20"/>
    <w:qFormat/>
    <w:rsid w:val="0065050A"/>
    <w:rPr>
      <w:i/>
      <w:iCs/>
    </w:rPr>
  </w:style>
  <w:style w:type="character" w:customStyle="1" w:styleId="Heading4Char">
    <w:name w:val="Heading 4 Char"/>
    <w:basedOn w:val="DefaultParagraphFont"/>
    <w:link w:val="Heading4"/>
    <w:uiPriority w:val="9"/>
    <w:semiHidden/>
    <w:rsid w:val="0065050A"/>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65050A"/>
    <w:pPr>
      <w:spacing w:before="100" w:beforeAutospacing="1" w:after="100" w:afterAutospacing="1" w:line="240" w:lineRule="auto"/>
      <w:ind w:firstLine="0"/>
    </w:pPr>
  </w:style>
  <w:style w:type="character" w:styleId="Hyperlink">
    <w:name w:val="Hyperlink"/>
    <w:basedOn w:val="DefaultParagraphFont"/>
    <w:uiPriority w:val="99"/>
    <w:semiHidden/>
    <w:unhideWhenUsed/>
    <w:rsid w:val="0065050A"/>
    <w:rPr>
      <w:color w:val="0000FF"/>
      <w:u w:val="single"/>
    </w:rPr>
  </w:style>
  <w:style w:type="character" w:customStyle="1" w:styleId="cosearchterm">
    <w:name w:val="co_searchterm"/>
    <w:basedOn w:val="DefaultParagraphFont"/>
    <w:rsid w:val="0065050A"/>
  </w:style>
  <w:style w:type="character" w:customStyle="1" w:styleId="costarpage">
    <w:name w:val="co_starpage"/>
    <w:basedOn w:val="DefaultParagraphFont"/>
    <w:rsid w:val="0065050A"/>
  </w:style>
  <w:style w:type="character" w:styleId="CommentReference">
    <w:name w:val="annotation reference"/>
    <w:basedOn w:val="DefaultParagraphFont"/>
    <w:uiPriority w:val="99"/>
    <w:semiHidden/>
    <w:unhideWhenUsed/>
    <w:rsid w:val="00C64629"/>
    <w:rPr>
      <w:sz w:val="16"/>
      <w:szCs w:val="16"/>
    </w:rPr>
  </w:style>
  <w:style w:type="paragraph" w:styleId="CommentText">
    <w:name w:val="annotation text"/>
    <w:basedOn w:val="Normal"/>
    <w:link w:val="CommentTextChar"/>
    <w:uiPriority w:val="99"/>
    <w:semiHidden/>
    <w:unhideWhenUsed/>
    <w:rsid w:val="00C64629"/>
    <w:pPr>
      <w:spacing w:line="240" w:lineRule="auto"/>
    </w:pPr>
    <w:rPr>
      <w:sz w:val="20"/>
      <w:szCs w:val="20"/>
    </w:rPr>
  </w:style>
  <w:style w:type="character" w:customStyle="1" w:styleId="CommentTextChar">
    <w:name w:val="Comment Text Char"/>
    <w:basedOn w:val="DefaultParagraphFont"/>
    <w:link w:val="CommentText"/>
    <w:uiPriority w:val="99"/>
    <w:semiHidden/>
    <w:rsid w:val="00C646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4629"/>
    <w:rPr>
      <w:b/>
      <w:bCs/>
    </w:rPr>
  </w:style>
  <w:style w:type="character" w:customStyle="1" w:styleId="CommentSubjectChar">
    <w:name w:val="Comment Subject Char"/>
    <w:basedOn w:val="CommentTextChar"/>
    <w:link w:val="CommentSubject"/>
    <w:uiPriority w:val="99"/>
    <w:semiHidden/>
    <w:rsid w:val="00C6462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36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6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7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82500004&amp;pubNum=930&amp;originatingDoc=Id62828e308e011e4a795ac035416da91&amp;refType=RP&amp;fi=co_pp_sp_930_558&amp;originationContext=document&amp;transitionType=DocumentItem&amp;contextData=(sc.Sear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openxmlformats.org/officeDocument/2006/relationships/settings" Target="settings.xml"/><Relationship Id="rId9" Type="http://schemas.openxmlformats.org/officeDocument/2006/relationships/hyperlink" Target="http://www.lexis.com/research/buttonTFLink?_m=d97d976809c17dbc8b706cf0d3fb11c9&amp;_xfercite=%3ccite%20cc%3d%22USA%22%3e%3c%21%5bCDATA%5b2013%20Pa.%20PUC%20LEXIS%20365%5d%5d%3e%3c%2fcite%3e&amp;_butType=4&amp;_butStat=0&amp;_butNum=5&amp;_butInline=1&amp;_butinfo=52%20PA%20CODE%205.572&amp;_fmtstr=FULL&amp;docnum=13&amp;_startdoc=11&amp;wchp=dGLzVzk-zSkAb&amp;_md5=e5937121213b252361c14a5e6af79c6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7D487-0341-4322-8D67-AD0559CB4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5113</Words>
  <Characters>29149</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Public Utility Commission</Company>
  <LinksUpToDate>false</LinksUpToDate>
  <CharactersWithSpaces>34194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Phonse</dc:creator>
  <cp:keywords/>
  <dc:description/>
  <cp:lastModifiedBy>Wagner, Nathan R</cp:lastModifiedBy>
  <cp:revision>2</cp:revision>
  <dcterms:created xsi:type="dcterms:W3CDTF">2021-03-19T19:20:00Z</dcterms:created>
  <dcterms:modified xsi:type="dcterms:W3CDTF">2021-03-19T19:20:00Z</dcterms:modified>
</cp:coreProperties>
</file>