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D6AB" w14:textId="755B8F11" w:rsidR="00F44833" w:rsidRDefault="004C5CDF"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Pr>
          <w:rFonts w:ascii="Times New Roman" w:eastAsia="Times New Roman" w:hAnsi="Times New Roman" w:cs="Times New Roman"/>
          <w:b/>
          <w:spacing w:val="-3"/>
          <w:sz w:val="26"/>
          <w:szCs w:val="26"/>
        </w:rPr>
        <w:t>PENNSYLVANIA</w:t>
      </w:r>
    </w:p>
    <w:p w14:paraId="327B5196" w14:textId="37507C8B" w:rsidR="00F44833" w:rsidRPr="003F7EE6" w:rsidRDefault="004C5CDF"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Pr>
          <w:rFonts w:ascii="Times New Roman" w:eastAsia="Times New Roman" w:hAnsi="Times New Roman" w:cs="Times New Roman"/>
          <w:b/>
          <w:spacing w:val="-3"/>
          <w:sz w:val="26"/>
          <w:szCs w:val="26"/>
        </w:rPr>
        <w:t>PUBLIC UTILITY COMMISSION</w:t>
      </w:r>
    </w:p>
    <w:p w14:paraId="3FF5BDE3" w14:textId="1A5738A2" w:rsidR="00F44833" w:rsidRPr="003F7EE6" w:rsidRDefault="00F44833" w:rsidP="004C5CDF">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 xml:space="preserve">Harrisburg, PA </w:t>
      </w:r>
      <w:r w:rsidR="00225835">
        <w:rPr>
          <w:rFonts w:ascii="Times New Roman" w:eastAsia="Times New Roman" w:hAnsi="Times New Roman" w:cs="Times New Roman"/>
          <w:b/>
          <w:spacing w:val="-3"/>
          <w:sz w:val="26"/>
          <w:szCs w:val="26"/>
        </w:rPr>
        <w:t xml:space="preserve"> </w:t>
      </w:r>
      <w:r w:rsidR="00384E59">
        <w:rPr>
          <w:rFonts w:ascii="Times New Roman" w:eastAsia="Times New Roman" w:hAnsi="Times New Roman" w:cs="Times New Roman"/>
          <w:b/>
          <w:spacing w:val="-3"/>
          <w:sz w:val="26"/>
          <w:szCs w:val="26"/>
        </w:rPr>
        <w:t>17120</w:t>
      </w:r>
    </w:p>
    <w:p w14:paraId="51827180" w14:textId="1F52198D"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2BAB0546" w14:textId="77777777" w:rsidR="00384E59" w:rsidRPr="003F7EE6" w:rsidRDefault="00384E59"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144912A5" w14:textId="4C9888AC" w:rsidR="00F44833" w:rsidRPr="003F7EE6" w:rsidRDefault="00F44833" w:rsidP="00060D64">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1165E7">
        <w:rPr>
          <w:rFonts w:ascii="Times New Roman" w:eastAsia="Times New Roman" w:hAnsi="Times New Roman" w:cs="Times New Roman"/>
          <w:sz w:val="26"/>
          <w:szCs w:val="26"/>
        </w:rPr>
        <w:t xml:space="preserve">March </w:t>
      </w:r>
      <w:r w:rsidR="00914AB5">
        <w:rPr>
          <w:rFonts w:ascii="Times New Roman" w:eastAsia="Times New Roman" w:hAnsi="Times New Roman" w:cs="Times New Roman"/>
          <w:sz w:val="26"/>
          <w:szCs w:val="26"/>
        </w:rPr>
        <w:t>25</w:t>
      </w:r>
      <w:r w:rsidR="001165E7">
        <w:rPr>
          <w:rFonts w:ascii="Times New Roman" w:eastAsia="Times New Roman" w:hAnsi="Times New Roman" w:cs="Times New Roman"/>
          <w:sz w:val="26"/>
          <w:szCs w:val="26"/>
        </w:rPr>
        <w:t>, 2021</w:t>
      </w:r>
    </w:p>
    <w:p w14:paraId="525D00E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4F9A51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840570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27567271"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576DB8DD" w14:textId="77777777" w:rsidR="006A0373" w:rsidRPr="00A05F29" w:rsidRDefault="00F44833" w:rsidP="006A037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6A0373" w:rsidRPr="00A05F29">
        <w:rPr>
          <w:rFonts w:ascii="Times New Roman" w:eastAsia="Times New Roman" w:hAnsi="Times New Roman" w:cs="Times New Roman"/>
          <w:sz w:val="26"/>
          <w:szCs w:val="26"/>
        </w:rPr>
        <w:t>Gladys Brown Dutrieuille, Chairman</w:t>
      </w:r>
    </w:p>
    <w:p w14:paraId="2759D90B"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David W. Sweet, Vice Chairman</w:t>
      </w:r>
    </w:p>
    <w:p w14:paraId="3CE83DE8"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John F. Coleman, Jr.</w:t>
      </w:r>
    </w:p>
    <w:p w14:paraId="349BCEFD" w14:textId="77777777" w:rsidR="006A0373" w:rsidRPr="00A05F29" w:rsidRDefault="006A0373" w:rsidP="006A0373">
      <w:pPr>
        <w:tabs>
          <w:tab w:val="left" w:pos="705"/>
        </w:tabs>
        <w:spacing w:after="0" w:line="240" w:lineRule="auto"/>
        <w:ind w:firstLine="720"/>
        <w:rPr>
          <w:rFonts w:ascii="Times New Roman" w:eastAsia="Times New Roman" w:hAnsi="Times New Roman" w:cs="Times New Roman"/>
          <w:sz w:val="26"/>
          <w:szCs w:val="26"/>
        </w:rPr>
      </w:pPr>
      <w:r w:rsidRPr="00A05F29">
        <w:rPr>
          <w:rFonts w:ascii="Times New Roman" w:eastAsia="Times New Roman" w:hAnsi="Times New Roman" w:cs="Times New Roman"/>
          <w:sz w:val="26"/>
          <w:szCs w:val="26"/>
        </w:rPr>
        <w:t>Ralph V. Yanora</w:t>
      </w:r>
    </w:p>
    <w:p w14:paraId="674E1C4C" w14:textId="53F7ADC0" w:rsidR="00D662B2" w:rsidRDefault="00D662B2" w:rsidP="00F44833">
      <w:pPr>
        <w:tabs>
          <w:tab w:val="left" w:pos="-720"/>
        </w:tabs>
        <w:suppressAutoHyphens/>
        <w:spacing w:after="0" w:line="240" w:lineRule="auto"/>
        <w:rPr>
          <w:rFonts w:ascii="Times New Roman" w:eastAsia="Times New Roman" w:hAnsi="Times New Roman" w:cs="Times New Roman"/>
          <w:sz w:val="26"/>
          <w:szCs w:val="26"/>
        </w:rPr>
      </w:pPr>
    </w:p>
    <w:p w14:paraId="3AA07E81" w14:textId="77777777" w:rsidR="000C58A3" w:rsidRPr="003F7EE6" w:rsidRDefault="000C58A3" w:rsidP="00F44833">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tbl>
      <w:tblPr>
        <w:tblW w:w="9828" w:type="dxa"/>
        <w:tblLayout w:type="fixed"/>
        <w:tblLook w:val="0000" w:firstRow="0" w:lastRow="0" w:firstColumn="0" w:lastColumn="0" w:noHBand="0" w:noVBand="0"/>
      </w:tblPr>
      <w:tblGrid>
        <w:gridCol w:w="5238"/>
        <w:gridCol w:w="1080"/>
        <w:gridCol w:w="3510"/>
      </w:tblGrid>
      <w:tr w:rsidR="00F44833" w:rsidRPr="003F7EE6" w14:paraId="0D66FEAB" w14:textId="77777777" w:rsidTr="00E509B9">
        <w:tc>
          <w:tcPr>
            <w:tcW w:w="5238" w:type="dxa"/>
          </w:tcPr>
          <w:p w14:paraId="3A3E2BD3"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7E241145" w14:textId="77777777"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48B7792E"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41B0AFF4" w14:textId="671154B9" w:rsidR="00F44833" w:rsidRPr="003F7EE6" w:rsidRDefault="00F44833" w:rsidP="00D662B2">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t>v.</w:t>
            </w:r>
          </w:p>
          <w:p w14:paraId="325B001A" w14:textId="77777777" w:rsidR="00F44833" w:rsidRPr="003F7EE6" w:rsidRDefault="00F44833" w:rsidP="00D662B2">
            <w:pPr>
              <w:spacing w:after="0" w:line="240" w:lineRule="auto"/>
              <w:rPr>
                <w:rFonts w:ascii="Times New Roman" w:eastAsia="Times New Roman" w:hAnsi="Times New Roman" w:cs="Times New Roman"/>
                <w:sz w:val="26"/>
                <w:szCs w:val="26"/>
              </w:rPr>
            </w:pPr>
          </w:p>
          <w:p w14:paraId="681FC4D4" w14:textId="60FA2215" w:rsidR="00F44833" w:rsidRPr="003F7EE6" w:rsidRDefault="00EB7817" w:rsidP="00D662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Reliant Energy Northeast LLC d/b/a Reliant Energy</w:t>
            </w:r>
            <w:r w:rsidR="00E965AE">
              <w:rPr>
                <w:rFonts w:ascii="Times New Roman" w:eastAsia="Times New Roman" w:hAnsi="Times New Roman" w:cs="Times New Roman"/>
                <w:sz w:val="26"/>
                <w:szCs w:val="26"/>
              </w:rPr>
              <w:t xml:space="preserve">, NRG Business Solutions, Reliant-NRG, NRG Residential Solutions, NRG Retail </w:t>
            </w:r>
            <w:r w:rsidR="00E201ED">
              <w:rPr>
                <w:rFonts w:ascii="Times New Roman" w:eastAsia="Times New Roman" w:hAnsi="Times New Roman" w:cs="Times New Roman"/>
                <w:sz w:val="26"/>
                <w:szCs w:val="26"/>
              </w:rPr>
              <w:t>Solutions</w:t>
            </w:r>
            <w:r w:rsidR="00E965AE">
              <w:rPr>
                <w:rFonts w:ascii="Times New Roman" w:eastAsia="Times New Roman" w:hAnsi="Times New Roman" w:cs="Times New Roman"/>
                <w:sz w:val="26"/>
                <w:szCs w:val="26"/>
              </w:rPr>
              <w:t xml:space="preserve">, </w:t>
            </w:r>
            <w:r w:rsidR="00E201ED">
              <w:rPr>
                <w:rFonts w:ascii="Times New Roman" w:eastAsia="Times New Roman" w:hAnsi="Times New Roman" w:cs="Times New Roman"/>
                <w:sz w:val="26"/>
                <w:szCs w:val="26"/>
              </w:rPr>
              <w:t>NRG Home and NRG Business</w:t>
            </w:r>
          </w:p>
          <w:p w14:paraId="25CEDBA0" w14:textId="77777777" w:rsidR="00F44833" w:rsidRPr="003F7EE6" w:rsidRDefault="00F44833" w:rsidP="00D662B2">
            <w:pPr>
              <w:spacing w:after="0" w:line="240" w:lineRule="auto"/>
              <w:rPr>
                <w:rFonts w:ascii="Times New Roman" w:eastAsia="Times New Roman" w:hAnsi="Times New Roman" w:cs="Times New Roman"/>
                <w:sz w:val="26"/>
                <w:szCs w:val="26"/>
              </w:rPr>
            </w:pPr>
          </w:p>
        </w:tc>
        <w:tc>
          <w:tcPr>
            <w:tcW w:w="1080" w:type="dxa"/>
          </w:tcPr>
          <w:p w14:paraId="0BCC3E1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35772F08" w14:textId="021E9C1B" w:rsidR="00F44833" w:rsidRPr="003F7EE6"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M-20</w:t>
            </w:r>
            <w:r w:rsidR="006A0373">
              <w:rPr>
                <w:rFonts w:ascii="Times New Roman" w:eastAsia="Times New Roman" w:hAnsi="Times New Roman" w:cs="Times New Roman"/>
                <w:sz w:val="26"/>
                <w:szCs w:val="26"/>
              </w:rPr>
              <w:t>20-</w:t>
            </w:r>
            <w:r w:rsidR="00EB7817">
              <w:rPr>
                <w:rFonts w:ascii="Times New Roman" w:eastAsia="Times New Roman" w:hAnsi="Times New Roman" w:cs="Times New Roman"/>
                <w:sz w:val="26"/>
                <w:szCs w:val="26"/>
              </w:rPr>
              <w:t>3006647</w:t>
            </w:r>
          </w:p>
          <w:p w14:paraId="3854199A" w14:textId="77777777" w:rsidR="00F44833" w:rsidRPr="003F7EE6" w:rsidRDefault="00F44833" w:rsidP="00D662B2">
            <w:pPr>
              <w:suppressAutoHyphens/>
              <w:spacing w:after="0" w:line="240" w:lineRule="auto"/>
              <w:rPr>
                <w:rFonts w:ascii="Times New Roman" w:eastAsia="Times New Roman" w:hAnsi="Times New Roman" w:cs="Times New Roman"/>
                <w:sz w:val="26"/>
                <w:szCs w:val="26"/>
              </w:rPr>
            </w:pPr>
          </w:p>
        </w:tc>
      </w:tr>
    </w:tbl>
    <w:p w14:paraId="434491CE"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p>
    <w:p w14:paraId="389A61B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15A3166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2C9E2E81"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4B6AC53B"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5A1D5561" w14:textId="73303428" w:rsidR="00F44833" w:rsidRDefault="00F44833" w:rsidP="0090623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1B2B83">
        <w:rPr>
          <w:rFonts w:ascii="Times New Roman" w:eastAsia="Times New Roman" w:hAnsi="Times New Roman" w:cs="Times New Roman"/>
          <w:sz w:val="26"/>
          <w:szCs w:val="26"/>
        </w:rPr>
        <w:t xml:space="preserve">Settlement </w:t>
      </w:r>
      <w:r w:rsidR="00C70D07">
        <w:rPr>
          <w:rFonts w:ascii="Times New Roman" w:eastAsia="Times New Roman" w:hAnsi="Times New Roman" w:cs="Times New Roman"/>
          <w:sz w:val="26"/>
          <w:szCs w:val="26"/>
        </w:rPr>
        <w:t xml:space="preserve">Agreement </w:t>
      </w:r>
      <w:r w:rsidR="001B2B83" w:rsidRPr="003F7EE6">
        <w:rPr>
          <w:rFonts w:ascii="Times New Roman" w:eastAsia="Times New Roman" w:hAnsi="Times New Roman" w:cs="Times New Roman"/>
          <w:sz w:val="26"/>
          <w:szCs w:val="26"/>
        </w:rPr>
        <w:t>(Settlement</w:t>
      </w:r>
      <w:r w:rsidR="001B2B83">
        <w:rPr>
          <w:rFonts w:ascii="Times New Roman" w:eastAsia="Times New Roman" w:hAnsi="Times New Roman" w:cs="Times New Roman"/>
          <w:sz w:val="26"/>
          <w:szCs w:val="26"/>
        </w:rPr>
        <w:t xml:space="preserve"> Agreement or Settlement</w:t>
      </w:r>
      <w:r w:rsidR="001B2B83" w:rsidRPr="003F7EE6">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filed on </w:t>
      </w:r>
      <w:r w:rsidR="00E201ED">
        <w:rPr>
          <w:rFonts w:ascii="Times New Roman" w:eastAsia="Times New Roman" w:hAnsi="Times New Roman" w:cs="Times New Roman"/>
          <w:sz w:val="26"/>
          <w:szCs w:val="26"/>
        </w:rPr>
        <w:t>September 29</w:t>
      </w:r>
      <w:r w:rsidR="006A0373">
        <w:rPr>
          <w:rFonts w:ascii="Times New Roman" w:eastAsia="Times New Roman" w:hAnsi="Times New Roman" w:cs="Times New Roman"/>
          <w:sz w:val="26"/>
          <w:szCs w:val="26"/>
        </w:rPr>
        <w:t>, 2020</w:t>
      </w:r>
      <w:r w:rsidRPr="003F7EE6">
        <w:rPr>
          <w:rFonts w:ascii="Times New Roman" w:eastAsia="Times New Roman" w:hAnsi="Times New Roman" w:cs="Times New Roman"/>
          <w:sz w:val="26"/>
          <w:szCs w:val="26"/>
        </w:rPr>
        <w:t xml:space="preserve">, by the Commission’s Bureau of Investigation and Enforcement (I&amp;E) and </w:t>
      </w:r>
      <w:r w:rsidR="00F906C6">
        <w:rPr>
          <w:rFonts w:ascii="Times New Roman" w:eastAsia="Times New Roman" w:hAnsi="Times New Roman" w:cs="Times New Roman"/>
          <w:sz w:val="26"/>
          <w:szCs w:val="26"/>
        </w:rPr>
        <w:t xml:space="preserve">Reliant Energy Northeast LLC d/b/a Reliant Energy, NRG Business Solutions, Reliant-NRG, NRG Residential Solutions, NRG Retail </w:t>
      </w:r>
      <w:r w:rsidR="00F906C6">
        <w:rPr>
          <w:rFonts w:ascii="Times New Roman" w:eastAsia="Times New Roman" w:hAnsi="Times New Roman" w:cs="Times New Roman"/>
          <w:sz w:val="26"/>
          <w:szCs w:val="26"/>
        </w:rPr>
        <w:lastRenderedPageBreak/>
        <w:t xml:space="preserve">Solutions, NRG Home and NRG Business </w:t>
      </w:r>
      <w:r w:rsidRPr="003F7EE6">
        <w:rPr>
          <w:rFonts w:ascii="Times New Roman" w:eastAsia="Times New Roman" w:hAnsi="Times New Roman" w:cs="Times New Roman"/>
          <w:sz w:val="26"/>
          <w:szCs w:val="26"/>
        </w:rPr>
        <w:t>(</w:t>
      </w:r>
      <w:r w:rsidR="00DC42F7">
        <w:rPr>
          <w:rFonts w:ascii="Times New Roman" w:eastAsia="Times New Roman" w:hAnsi="Times New Roman" w:cs="Times New Roman"/>
          <w:sz w:val="26"/>
          <w:szCs w:val="26"/>
        </w:rPr>
        <w:t>NRG Home</w:t>
      </w:r>
      <w:r w:rsidR="00FC0802">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or Company)</w:t>
      </w:r>
      <w:r w:rsidR="00486D78">
        <w:rPr>
          <w:rStyle w:val="FootnoteReference"/>
          <w:rFonts w:ascii="Times New Roman" w:eastAsia="Times New Roman" w:hAnsi="Times New Roman" w:cs="Times New Roman"/>
          <w:sz w:val="26"/>
          <w:szCs w:val="26"/>
        </w:rPr>
        <w:footnoteReference w:id="1"/>
      </w:r>
      <w:r w:rsidRPr="003F7EE6">
        <w:rPr>
          <w:rFonts w:ascii="Times New Roman" w:eastAsia="Times New Roman" w:hAnsi="Times New Roman" w:cs="Times New Roman"/>
          <w:sz w:val="26"/>
          <w:szCs w:val="26"/>
        </w:rPr>
        <w:t xml:space="preserve"> (collectively, </w:t>
      </w:r>
      <w:r w:rsidR="00DD62AF">
        <w:rPr>
          <w:rFonts w:ascii="Times New Roman" w:eastAsia="Times New Roman" w:hAnsi="Times New Roman" w:cs="Times New Roman"/>
          <w:sz w:val="26"/>
          <w:szCs w:val="26"/>
        </w:rPr>
        <w:t>the Parties), with respect to</w:t>
      </w:r>
      <w:r w:rsidRPr="003F7EE6">
        <w:rPr>
          <w:rFonts w:ascii="Times New Roman" w:eastAsia="Times New Roman" w:hAnsi="Times New Roman" w:cs="Times New Roman"/>
          <w:sz w:val="26"/>
          <w:szCs w:val="26"/>
        </w:rPr>
        <w:t xml:space="preserve"> </w:t>
      </w:r>
      <w:r w:rsidR="0002071A">
        <w:rPr>
          <w:rFonts w:ascii="Times New Roman" w:eastAsia="Times New Roman" w:hAnsi="Times New Roman" w:cs="Times New Roman"/>
          <w:sz w:val="26"/>
          <w:szCs w:val="26"/>
        </w:rPr>
        <w:t xml:space="preserve">an </w:t>
      </w:r>
      <w:r w:rsidR="003919F5">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nformal </w:t>
      </w:r>
      <w:r w:rsidR="007A7797">
        <w:rPr>
          <w:rFonts w:ascii="Times New Roman" w:eastAsia="Times New Roman" w:hAnsi="Times New Roman" w:cs="Times New Roman"/>
          <w:sz w:val="26"/>
          <w:szCs w:val="26"/>
        </w:rPr>
        <w:t>i</w:t>
      </w:r>
      <w:r w:rsidRPr="003F7EE6">
        <w:rPr>
          <w:rFonts w:ascii="Times New Roman" w:eastAsia="Times New Roman" w:hAnsi="Times New Roman" w:cs="Times New Roman"/>
          <w:sz w:val="26"/>
          <w:szCs w:val="26"/>
        </w:rPr>
        <w:t xml:space="preserve">nvestigation conducted by I&amp;E.  </w:t>
      </w:r>
      <w:r w:rsidR="006A328C">
        <w:rPr>
          <w:rFonts w:ascii="Times New Roman" w:eastAsia="Times New Roman" w:hAnsi="Times New Roman" w:cs="Times New Roman"/>
          <w:sz w:val="26"/>
          <w:szCs w:val="26"/>
        </w:rPr>
        <w:t xml:space="preserve">Both Parties submitted Statements in Support of the Settlement.  </w:t>
      </w:r>
      <w:r w:rsidR="00D662B2">
        <w:rPr>
          <w:rFonts w:ascii="Times New Roman" w:eastAsia="Times New Roman" w:hAnsi="Times New Roman" w:cs="Times New Roman"/>
          <w:sz w:val="26"/>
          <w:szCs w:val="26"/>
        </w:rPr>
        <w:t>The Parties</w:t>
      </w:r>
      <w:r w:rsidRPr="003F7EE6">
        <w:rPr>
          <w:rFonts w:ascii="Times New Roman" w:eastAsia="Times New Roman" w:hAnsi="Times New Roman" w:cs="Times New Roman"/>
          <w:sz w:val="26"/>
          <w:szCs w:val="26"/>
        </w:rPr>
        <w:t xml:space="preserve"> submit that the proposed Settlement is in the public interest and is consistent with the Commission’s Policy Statement at </w:t>
      </w:r>
      <w:bookmarkStart w:id="0" w:name="_Hlk65139537"/>
      <w:r w:rsidRPr="003F7EE6">
        <w:rPr>
          <w:rFonts w:ascii="Times New Roman" w:eastAsia="Times New Roman" w:hAnsi="Times New Roman" w:cs="Times New Roman"/>
          <w:sz w:val="26"/>
          <w:szCs w:val="26"/>
        </w:rPr>
        <w:t>52 Pa. Code §</w:t>
      </w:r>
      <w:r w:rsidR="00060D64">
        <w:rPr>
          <w:rFonts w:ascii="Times New Roman" w:eastAsia="Times New Roman" w:hAnsi="Times New Roman" w:cs="Times New Roman"/>
          <w:sz w:val="26"/>
          <w:szCs w:val="26"/>
        </w:rPr>
        <w:t> </w:t>
      </w:r>
      <w:r w:rsidRPr="003F7EE6">
        <w:rPr>
          <w:rFonts w:ascii="Times New Roman" w:eastAsia="Times New Roman" w:hAnsi="Times New Roman" w:cs="Times New Roman"/>
          <w:sz w:val="26"/>
          <w:szCs w:val="26"/>
        </w:rPr>
        <w:t xml:space="preserve">69.1201, </w:t>
      </w:r>
      <w:r w:rsidRPr="003F7EE6">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Pr>
          <w:rFonts w:ascii="Times New Roman" w:eastAsia="Times New Roman" w:hAnsi="Times New Roman" w:cs="Times New Roman"/>
          <w:sz w:val="26"/>
          <w:szCs w:val="26"/>
        </w:rPr>
        <w:t xml:space="preserve">. </w:t>
      </w:r>
      <w:bookmarkEnd w:id="0"/>
      <w:r w:rsidR="00DD62AF">
        <w:rPr>
          <w:rFonts w:ascii="Times New Roman" w:eastAsia="Times New Roman" w:hAnsi="Times New Roman" w:cs="Times New Roman"/>
          <w:sz w:val="26"/>
          <w:szCs w:val="26"/>
        </w:rPr>
        <w:t xml:space="preserve"> </w:t>
      </w:r>
      <w:r w:rsidR="00A53B32">
        <w:rPr>
          <w:rFonts w:ascii="Times New Roman" w:eastAsia="Times New Roman" w:hAnsi="Times New Roman" w:cs="Times New Roman"/>
          <w:sz w:val="26"/>
          <w:szCs w:val="26"/>
        </w:rPr>
        <w:t>Settlement</w:t>
      </w:r>
      <w:r w:rsidR="00DD62AF">
        <w:rPr>
          <w:rFonts w:ascii="Times New Roman" w:eastAsia="Times New Roman" w:hAnsi="Times New Roman" w:cs="Times New Roman"/>
          <w:sz w:val="26"/>
          <w:szCs w:val="26"/>
        </w:rPr>
        <w:t xml:space="preserve"> at </w:t>
      </w:r>
      <w:r w:rsidR="00F132A5">
        <w:rPr>
          <w:rFonts w:ascii="Times New Roman" w:eastAsia="Times New Roman" w:hAnsi="Times New Roman" w:cs="Times New Roman"/>
          <w:sz w:val="26"/>
          <w:szCs w:val="26"/>
        </w:rPr>
        <w:t>12-</w:t>
      </w:r>
      <w:r w:rsidR="00581592">
        <w:rPr>
          <w:rFonts w:ascii="Times New Roman" w:eastAsia="Times New Roman" w:hAnsi="Times New Roman" w:cs="Times New Roman"/>
          <w:sz w:val="26"/>
          <w:szCs w:val="26"/>
        </w:rPr>
        <w:t>13</w:t>
      </w:r>
      <w:r w:rsidRPr="003F7EE6">
        <w:rPr>
          <w:rFonts w:ascii="Times New Roman" w:eastAsia="Times New Roman" w:hAnsi="Times New Roman" w:cs="Times New Roman"/>
          <w:sz w:val="26"/>
          <w:szCs w:val="26"/>
        </w:rPr>
        <w:t xml:space="preserve">.  </w:t>
      </w:r>
      <w:r w:rsidR="006D0671">
        <w:rPr>
          <w:rFonts w:ascii="Times New Roman" w:eastAsia="Times New Roman" w:hAnsi="Times New Roman" w:cs="Times New Roman"/>
          <w:sz w:val="26"/>
          <w:szCs w:val="26"/>
        </w:rPr>
        <w:t xml:space="preserve">For the reasons set forth herein, </w:t>
      </w:r>
      <w:r w:rsidR="006F0AA6">
        <w:rPr>
          <w:rFonts w:ascii="Times New Roman" w:eastAsia="Times New Roman" w:hAnsi="Times New Roman" w:cs="Times New Roman"/>
          <w:sz w:val="26"/>
          <w:szCs w:val="26"/>
        </w:rPr>
        <w:t>w</w:t>
      </w:r>
      <w:r w:rsidRPr="003F7EE6">
        <w:rPr>
          <w:rFonts w:ascii="Times New Roman" w:eastAsia="Times New Roman" w:hAnsi="Times New Roman" w:cs="Times New Roman"/>
          <w:sz w:val="26"/>
          <w:szCs w:val="26"/>
        </w:rPr>
        <w:t xml:space="preserve">e </w:t>
      </w:r>
      <w:r w:rsidR="006F0AA6">
        <w:rPr>
          <w:rFonts w:ascii="Times New Roman" w:eastAsia="Times New Roman" w:hAnsi="Times New Roman" w:cs="Times New Roman"/>
          <w:sz w:val="26"/>
          <w:szCs w:val="26"/>
        </w:rPr>
        <w:t xml:space="preserve">shall approve the proposed </w:t>
      </w:r>
      <w:r w:rsidRPr="003F7EE6">
        <w:rPr>
          <w:rFonts w:ascii="Times New Roman" w:eastAsia="Times New Roman" w:hAnsi="Times New Roman" w:cs="Times New Roman"/>
          <w:sz w:val="26"/>
          <w:szCs w:val="26"/>
        </w:rPr>
        <w:t>Settlement</w:t>
      </w:r>
      <w:r w:rsidR="006F0AA6">
        <w:rPr>
          <w:rFonts w:ascii="Times New Roman" w:eastAsia="Times New Roman" w:hAnsi="Times New Roman" w:cs="Times New Roman"/>
          <w:sz w:val="26"/>
          <w:szCs w:val="26"/>
        </w:rPr>
        <w:t xml:space="preserve">, consistent with this Opinion and Order.  </w:t>
      </w:r>
    </w:p>
    <w:p w14:paraId="32614820" w14:textId="77777777" w:rsidR="00A53B32" w:rsidRPr="003F7EE6" w:rsidRDefault="00A53B32" w:rsidP="0090623F">
      <w:pPr>
        <w:tabs>
          <w:tab w:val="left" w:pos="-720"/>
        </w:tabs>
        <w:suppressAutoHyphens/>
        <w:spacing w:after="0" w:line="360" w:lineRule="auto"/>
        <w:rPr>
          <w:rFonts w:ascii="Times New Roman" w:eastAsia="Times New Roman" w:hAnsi="Times New Roman" w:cs="Times New Roman"/>
          <w:sz w:val="26"/>
          <w:szCs w:val="26"/>
        </w:rPr>
      </w:pPr>
    </w:p>
    <w:p w14:paraId="5918BDF4" w14:textId="77777777" w:rsidR="00F44833" w:rsidRPr="003F7EE6" w:rsidRDefault="00A30ECF" w:rsidP="0090623F">
      <w:pPr>
        <w:tabs>
          <w:tab w:val="left" w:pos="-720"/>
        </w:tabs>
        <w:suppressAutoHyphens/>
        <w:spacing w:after="0" w:line="36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History of the </w:t>
      </w:r>
      <w:r w:rsidR="0076203D">
        <w:rPr>
          <w:rFonts w:ascii="Times New Roman" w:eastAsia="Times New Roman" w:hAnsi="Times New Roman" w:cs="Times New Roman"/>
          <w:b/>
          <w:sz w:val="26"/>
          <w:szCs w:val="26"/>
        </w:rPr>
        <w:t>Proceeding</w:t>
      </w:r>
    </w:p>
    <w:p w14:paraId="253C1AAD" w14:textId="77777777" w:rsidR="00F44833" w:rsidRPr="003F7EE6" w:rsidRDefault="00F44833" w:rsidP="0090623F">
      <w:pPr>
        <w:tabs>
          <w:tab w:val="center" w:pos="0"/>
        </w:tabs>
        <w:suppressAutoHyphens/>
        <w:spacing w:after="0" w:line="360" w:lineRule="auto"/>
        <w:rPr>
          <w:rFonts w:ascii="Times New Roman" w:eastAsia="Times New Roman" w:hAnsi="Times New Roman" w:cs="Times New Roman"/>
          <w:sz w:val="26"/>
          <w:szCs w:val="26"/>
        </w:rPr>
      </w:pPr>
    </w:p>
    <w:p w14:paraId="3FB67E33" w14:textId="1B680168" w:rsidR="006D71EF" w:rsidRDefault="00FC773F" w:rsidP="0090623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6D71EF">
        <w:rPr>
          <w:rFonts w:ascii="Times New Roman" w:eastAsia="Times New Roman" w:hAnsi="Times New Roman" w:cs="Times New Roman"/>
          <w:sz w:val="26"/>
          <w:szCs w:val="26"/>
        </w:rPr>
        <w:t>This matter concerns alleged unauthorized changes to customer</w:t>
      </w:r>
      <w:r w:rsidR="00F35907">
        <w:rPr>
          <w:rFonts w:ascii="Times New Roman" w:eastAsia="Times New Roman" w:hAnsi="Times New Roman" w:cs="Times New Roman"/>
          <w:sz w:val="26"/>
          <w:szCs w:val="26"/>
        </w:rPr>
        <w:t>s</w:t>
      </w:r>
      <w:r w:rsidR="006D71EF">
        <w:rPr>
          <w:rFonts w:ascii="Times New Roman" w:eastAsia="Times New Roman" w:hAnsi="Times New Roman" w:cs="Times New Roman"/>
          <w:sz w:val="26"/>
          <w:szCs w:val="26"/>
        </w:rPr>
        <w:t xml:space="preserve">’ electric generation supply service.  Between April and September 2018, the Commission’s Bureau of Consumer Services (BCS) received informal complaints from residential consumers alleging that NRG Home enrolled their electricity accounts to receive the Company’s electric generation supply without authorization.  Settlement at 1-2, 4.  </w:t>
      </w:r>
    </w:p>
    <w:p w14:paraId="57142E09"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3C37025C" w14:textId="1EEC3D69"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determined that these allegations warranted a further investigation to examine whether the actions of NRG Home violated Commission Regulations.  Many of the unauthorized switching allegations stemmed from NRG Home’s marketing activities at public retail locations, such as big box stores, where NRG </w:t>
      </w:r>
      <w:r w:rsidR="00B05425">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agents were utilizing the eligible customer list (ECL) to obtain the information of prospective customers.  Settlement at 4.</w:t>
      </w:r>
    </w:p>
    <w:p w14:paraId="25625D43"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49A0A503" w14:textId="77777777" w:rsidR="006D71EF" w:rsidRDefault="006D71EF" w:rsidP="0090623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instituted an informal investigation of NRG Home based on the information referred to I&amp;E by BCS.  Thereafter, the Parties entered into negotiations and </w:t>
      </w:r>
      <w:r>
        <w:rPr>
          <w:rFonts w:ascii="Times New Roman" w:eastAsia="Times New Roman" w:hAnsi="Times New Roman" w:cs="Times New Roman"/>
          <w:sz w:val="26"/>
          <w:szCs w:val="26"/>
        </w:rPr>
        <w:lastRenderedPageBreak/>
        <w:t>agreed to resolve the matter in accordance with the Commission’s policy to promote settlements at 52 Pa. Code § 5.231.  Settlement at 4.  The Parties filed the instant Settlement on September 29, 2020.</w:t>
      </w:r>
    </w:p>
    <w:p w14:paraId="32E73D7B" w14:textId="77777777" w:rsidR="006D71EF" w:rsidRDefault="006D71EF" w:rsidP="0090623F">
      <w:pPr>
        <w:tabs>
          <w:tab w:val="center" w:pos="0"/>
        </w:tabs>
        <w:suppressAutoHyphens/>
        <w:spacing w:after="0" w:line="360" w:lineRule="auto"/>
        <w:rPr>
          <w:rFonts w:ascii="Times New Roman" w:eastAsia="Times New Roman" w:hAnsi="Times New Roman" w:cs="Times New Roman"/>
          <w:sz w:val="26"/>
          <w:szCs w:val="26"/>
        </w:rPr>
      </w:pPr>
    </w:p>
    <w:p w14:paraId="6C2E65E8" w14:textId="77777777" w:rsidR="006D71EF" w:rsidRPr="00026DFB" w:rsidRDefault="006D71EF" w:rsidP="0090623F">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14:paraId="4B086766" w14:textId="77777777" w:rsidR="006D71EF" w:rsidRDefault="006D71EF" w:rsidP="0090623F">
      <w:pPr>
        <w:keepNext/>
        <w:tabs>
          <w:tab w:val="center" w:pos="0"/>
        </w:tabs>
        <w:suppressAutoHyphens/>
        <w:spacing w:after="0" w:line="360" w:lineRule="auto"/>
        <w:rPr>
          <w:rFonts w:ascii="Times New Roman" w:eastAsia="Times New Roman" w:hAnsi="Times New Roman" w:cs="Times New Roman"/>
          <w:sz w:val="26"/>
          <w:szCs w:val="26"/>
        </w:rPr>
      </w:pPr>
    </w:p>
    <w:p w14:paraId="1C73801C" w14:textId="40C05CD9" w:rsidR="006D71EF" w:rsidRDefault="006D71EF" w:rsidP="0090623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BCS received approximately 6 informal complaints submitted by residential customers alleging that their electricity accounts had been switched to receive electric generation service supplied by NRG Home without their authorization.  </w:t>
      </w:r>
      <w:r w:rsidR="005453B6">
        <w:rPr>
          <w:rFonts w:ascii="Times New Roman" w:eastAsia="Times New Roman" w:hAnsi="Times New Roman" w:cs="Times New Roman"/>
          <w:sz w:val="26"/>
          <w:szCs w:val="26"/>
        </w:rPr>
        <w:t xml:space="preserve">A review by </w:t>
      </w:r>
      <w:r>
        <w:rPr>
          <w:rFonts w:ascii="Times New Roman" w:eastAsia="Times New Roman" w:hAnsi="Times New Roman" w:cs="Times New Roman"/>
          <w:sz w:val="26"/>
          <w:szCs w:val="26"/>
        </w:rPr>
        <w:t>BCS of the informal complaints determined that the alleged unauthorized enro</w:t>
      </w:r>
      <w:r w:rsidR="005453B6">
        <w:rPr>
          <w:rFonts w:ascii="Times New Roman" w:eastAsia="Times New Roman" w:hAnsi="Times New Roman" w:cs="Times New Roman"/>
          <w:sz w:val="26"/>
          <w:szCs w:val="26"/>
        </w:rPr>
        <w:t>l</w:t>
      </w:r>
      <w:r>
        <w:rPr>
          <w:rFonts w:ascii="Times New Roman" w:eastAsia="Times New Roman" w:hAnsi="Times New Roman" w:cs="Times New Roman"/>
          <w:sz w:val="26"/>
          <w:szCs w:val="26"/>
        </w:rPr>
        <w:t xml:space="preserve">lments were set up by agents who used the ECL at public retail locations, such as big box stores.  BCS became concerned that NRG </w:t>
      </w:r>
      <w:r w:rsidR="00B05425">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 xml:space="preserve">agents were improperly using the ECL, which contains customer information, to switch customers to NRG Home without the customers’ consent. </w:t>
      </w:r>
      <w:r w:rsidR="004C4C09">
        <w:rPr>
          <w:rFonts w:ascii="Times New Roman" w:eastAsia="Times New Roman" w:hAnsi="Times New Roman" w:cs="Times New Roman"/>
          <w:sz w:val="26"/>
          <w:szCs w:val="26"/>
        </w:rPr>
        <w:t xml:space="preserve"> Therefore, </w:t>
      </w:r>
      <w:r>
        <w:rPr>
          <w:rFonts w:ascii="Times New Roman" w:eastAsia="Times New Roman" w:hAnsi="Times New Roman" w:cs="Times New Roman"/>
          <w:sz w:val="26"/>
          <w:szCs w:val="26"/>
        </w:rPr>
        <w:t>BCS referred the matter to I&amp;E.  Settlement at 4, 5.</w:t>
      </w:r>
    </w:p>
    <w:p w14:paraId="160673A9"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108FEACC" w14:textId="2EB6B984"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August 14, 2018, NRG Home met with the Commission’s Office of Competitive Market Oversight (OCMO) and self-reported that in some situations NRG Home agents improperly used the ECL to enroll customers with NRG</w:t>
      </w:r>
      <w:r w:rsidR="00F35907">
        <w:rPr>
          <w:rFonts w:ascii="Times New Roman" w:eastAsia="Times New Roman" w:hAnsi="Times New Roman" w:cs="Times New Roman"/>
          <w:sz w:val="26"/>
          <w:szCs w:val="26"/>
        </w:rPr>
        <w:t xml:space="preserve"> Home</w:t>
      </w:r>
      <w:r>
        <w:rPr>
          <w:rFonts w:ascii="Times New Roman" w:eastAsia="Times New Roman" w:hAnsi="Times New Roman" w:cs="Times New Roman"/>
          <w:sz w:val="26"/>
          <w:szCs w:val="26"/>
        </w:rPr>
        <w:t xml:space="preserve">’s electric generation supply service without authorization.  NRG Home explained that it contracted with </w:t>
      </w:r>
      <w:r w:rsidR="00225835">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third-party staffing partners and directly employed a small in-house team of sales agents to conduct in-person sales at retail events across Pennsylvania in 2018.  NRG Home </w:t>
      </w:r>
      <w:r w:rsidR="00674BB9">
        <w:rPr>
          <w:rFonts w:ascii="Times New Roman" w:eastAsia="Times New Roman" w:hAnsi="Times New Roman" w:cs="Times New Roman"/>
          <w:sz w:val="26"/>
          <w:szCs w:val="26"/>
        </w:rPr>
        <w:t>indicat</w:t>
      </w:r>
      <w:r>
        <w:rPr>
          <w:rFonts w:ascii="Times New Roman" w:eastAsia="Times New Roman" w:hAnsi="Times New Roman" w:cs="Times New Roman"/>
          <w:sz w:val="26"/>
          <w:szCs w:val="26"/>
        </w:rPr>
        <w:t xml:space="preserve">ed that it </w:t>
      </w:r>
      <w:r w:rsidR="00674BB9">
        <w:rPr>
          <w:rFonts w:ascii="Times New Roman" w:eastAsia="Times New Roman" w:hAnsi="Times New Roman" w:cs="Times New Roman"/>
          <w:sz w:val="26"/>
          <w:szCs w:val="26"/>
        </w:rPr>
        <w:t xml:space="preserve">had </w:t>
      </w:r>
      <w:r>
        <w:rPr>
          <w:rFonts w:ascii="Times New Roman" w:eastAsia="Times New Roman" w:hAnsi="Times New Roman" w:cs="Times New Roman"/>
          <w:sz w:val="26"/>
          <w:szCs w:val="26"/>
        </w:rPr>
        <w:t xml:space="preserve">terminated all agents involved in this scheme and that the Company took corrective actions to prevent misuse of the ECL from occurring in the future.  Settlement at 5, n. 2. </w:t>
      </w:r>
    </w:p>
    <w:p w14:paraId="7C2F43C3" w14:textId="77777777" w:rsidR="006D71EF" w:rsidRDefault="006D71EF" w:rsidP="006D71EF">
      <w:pPr>
        <w:tabs>
          <w:tab w:val="center" w:pos="0"/>
        </w:tabs>
        <w:suppressAutoHyphens/>
        <w:spacing w:after="0" w:line="360" w:lineRule="auto"/>
        <w:rPr>
          <w:rFonts w:ascii="Times New Roman" w:eastAsia="Times New Roman" w:hAnsi="Times New Roman" w:cs="Times New Roman"/>
          <w:sz w:val="26"/>
          <w:szCs w:val="26"/>
        </w:rPr>
      </w:pPr>
    </w:p>
    <w:p w14:paraId="3C477DC3" w14:textId="15AC7846" w:rsidR="006D71EF" w:rsidRDefault="006D71EF"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By letter dated September 26, 2019, I&amp;E notified NRG Home that it had initiated an informal investigation of the Company</w:t>
      </w:r>
      <w:r w:rsidR="004103B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consistent with Sections 331(a) and 506 of the Code, 66 Pa. C.S. §§ 331(a) and 506, and Section 3.113 of the Commission’s </w:t>
      </w:r>
      <w:r w:rsidR="002D15AB">
        <w:rPr>
          <w:rFonts w:ascii="Times New Roman" w:eastAsia="Times New Roman" w:hAnsi="Times New Roman" w:cs="Times New Roman"/>
          <w:sz w:val="26"/>
          <w:szCs w:val="26"/>
        </w:rPr>
        <w:t>R</w:t>
      </w:r>
      <w:r>
        <w:rPr>
          <w:rFonts w:ascii="Times New Roman" w:eastAsia="Times New Roman" w:hAnsi="Times New Roman" w:cs="Times New Roman"/>
          <w:sz w:val="26"/>
          <w:szCs w:val="26"/>
        </w:rPr>
        <w:t xml:space="preserve">egulations, 52 Pa. Code § 3.113.  Settlement at 5.  </w:t>
      </w:r>
    </w:p>
    <w:p w14:paraId="6CDD09B7" w14:textId="32F7B7C6" w:rsidR="005D406F" w:rsidRDefault="00EB74D3"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I&amp;E served NRG Home with </w:t>
      </w:r>
      <w:r w:rsidR="0022583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sets of data requests on September</w:t>
      </w:r>
      <w:r w:rsidR="009135A1">
        <w:rPr>
          <w:rFonts w:ascii="Times New Roman" w:eastAsia="Times New Roman" w:hAnsi="Times New Roman" w:cs="Times New Roman"/>
          <w:sz w:val="26"/>
          <w:szCs w:val="26"/>
        </w:rPr>
        <w:t> </w:t>
      </w:r>
      <w:r>
        <w:rPr>
          <w:rFonts w:ascii="Times New Roman" w:eastAsia="Times New Roman" w:hAnsi="Times New Roman" w:cs="Times New Roman"/>
          <w:sz w:val="26"/>
          <w:szCs w:val="26"/>
        </w:rPr>
        <w:t>26,</w:t>
      </w:r>
      <w:r w:rsidR="009135A1">
        <w:rPr>
          <w:rFonts w:ascii="Times New Roman" w:eastAsia="Times New Roman" w:hAnsi="Times New Roman" w:cs="Times New Roman"/>
          <w:sz w:val="26"/>
          <w:szCs w:val="26"/>
        </w:rPr>
        <w:t> </w:t>
      </w:r>
      <w:r>
        <w:rPr>
          <w:rFonts w:ascii="Times New Roman" w:eastAsia="Times New Roman" w:hAnsi="Times New Roman" w:cs="Times New Roman"/>
          <w:sz w:val="26"/>
          <w:szCs w:val="26"/>
        </w:rPr>
        <w:t>20</w:t>
      </w:r>
      <w:r w:rsidR="003D7918">
        <w:rPr>
          <w:rFonts w:ascii="Times New Roman" w:eastAsia="Times New Roman" w:hAnsi="Times New Roman" w:cs="Times New Roman"/>
          <w:sz w:val="26"/>
          <w:szCs w:val="26"/>
        </w:rPr>
        <w:t>19 and May 6, 2020</w:t>
      </w:r>
      <w:r w:rsidR="00674BB9">
        <w:rPr>
          <w:rFonts w:ascii="Times New Roman" w:eastAsia="Times New Roman" w:hAnsi="Times New Roman" w:cs="Times New Roman"/>
          <w:sz w:val="26"/>
          <w:szCs w:val="26"/>
        </w:rPr>
        <w:t>, respectively</w:t>
      </w:r>
      <w:r w:rsidR="003D7918">
        <w:rPr>
          <w:rFonts w:ascii="Times New Roman" w:eastAsia="Times New Roman" w:hAnsi="Times New Roman" w:cs="Times New Roman"/>
          <w:sz w:val="26"/>
          <w:szCs w:val="26"/>
        </w:rPr>
        <w:t xml:space="preserve">.  NRG Home </w:t>
      </w:r>
      <w:r w:rsidR="00423B5B">
        <w:rPr>
          <w:rFonts w:ascii="Times New Roman" w:eastAsia="Times New Roman" w:hAnsi="Times New Roman" w:cs="Times New Roman"/>
          <w:sz w:val="26"/>
          <w:szCs w:val="26"/>
        </w:rPr>
        <w:t>provided timely responses to the data requests.  Settlement at 6.</w:t>
      </w:r>
    </w:p>
    <w:p w14:paraId="307ECF0B" w14:textId="77777777" w:rsidR="0022438F" w:rsidRDefault="0022438F" w:rsidP="006D71EF">
      <w:pPr>
        <w:tabs>
          <w:tab w:val="center" w:pos="0"/>
        </w:tabs>
        <w:suppressAutoHyphens/>
        <w:spacing w:after="0" w:line="360" w:lineRule="auto"/>
        <w:ind w:firstLine="1440"/>
        <w:rPr>
          <w:rFonts w:ascii="Times New Roman" w:eastAsia="Times New Roman" w:hAnsi="Times New Roman" w:cs="Times New Roman"/>
          <w:sz w:val="26"/>
          <w:szCs w:val="26"/>
        </w:rPr>
      </w:pPr>
    </w:p>
    <w:p w14:paraId="6F8C381A" w14:textId="60CE2DB4" w:rsidR="00996E96" w:rsidRDefault="00E52E86" w:rsidP="00996E96">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found that between January 1, 2018 and December 31, 2018, NRG Home</w:t>
      </w:r>
      <w:r w:rsidR="0022438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or </w:t>
      </w:r>
      <w:r w:rsidR="0022438F">
        <w:rPr>
          <w:rFonts w:ascii="Times New Roman" w:eastAsia="Times New Roman" w:hAnsi="Times New Roman" w:cs="Times New Roman"/>
          <w:sz w:val="26"/>
          <w:szCs w:val="26"/>
        </w:rPr>
        <w:t xml:space="preserve">its </w:t>
      </w:r>
      <w:r>
        <w:rPr>
          <w:rFonts w:ascii="Times New Roman" w:eastAsia="Times New Roman" w:hAnsi="Times New Roman" w:cs="Times New Roman"/>
          <w:sz w:val="26"/>
          <w:szCs w:val="26"/>
        </w:rPr>
        <w:t>agents acting on behalf of NRG Home</w:t>
      </w:r>
      <w:r w:rsidR="0022438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enrolled 168 </w:t>
      </w:r>
      <w:r w:rsidR="0035603E">
        <w:rPr>
          <w:rFonts w:ascii="Times New Roman" w:eastAsia="Times New Roman" w:hAnsi="Times New Roman" w:cs="Times New Roman"/>
          <w:sz w:val="26"/>
          <w:szCs w:val="26"/>
        </w:rPr>
        <w:t>residential</w:t>
      </w:r>
      <w:r>
        <w:rPr>
          <w:rFonts w:ascii="Times New Roman" w:eastAsia="Times New Roman" w:hAnsi="Times New Roman" w:cs="Times New Roman"/>
          <w:sz w:val="26"/>
          <w:szCs w:val="26"/>
        </w:rPr>
        <w:t xml:space="preserve"> or small business customers to receive electric generation supply provided by the </w:t>
      </w:r>
      <w:r w:rsidR="00305E22">
        <w:rPr>
          <w:rFonts w:ascii="Times New Roman" w:eastAsia="Times New Roman" w:hAnsi="Times New Roman" w:cs="Times New Roman"/>
          <w:sz w:val="26"/>
          <w:szCs w:val="26"/>
        </w:rPr>
        <w:t xml:space="preserve">Company </w:t>
      </w:r>
      <w:r w:rsidR="0035603E">
        <w:rPr>
          <w:rFonts w:ascii="Times New Roman" w:eastAsia="Times New Roman" w:hAnsi="Times New Roman" w:cs="Times New Roman"/>
          <w:sz w:val="26"/>
          <w:szCs w:val="26"/>
        </w:rPr>
        <w:t>without</w:t>
      </w:r>
      <w:r w:rsidR="00305E22">
        <w:rPr>
          <w:rFonts w:ascii="Times New Roman" w:eastAsia="Times New Roman" w:hAnsi="Times New Roman" w:cs="Times New Roman"/>
          <w:sz w:val="26"/>
          <w:szCs w:val="26"/>
        </w:rPr>
        <w:t xml:space="preserve"> the customers’ </w:t>
      </w:r>
      <w:r w:rsidR="0035603E">
        <w:rPr>
          <w:rFonts w:ascii="Times New Roman" w:eastAsia="Times New Roman" w:hAnsi="Times New Roman" w:cs="Times New Roman"/>
          <w:sz w:val="26"/>
          <w:szCs w:val="26"/>
        </w:rPr>
        <w:t>authorization</w:t>
      </w:r>
      <w:r w:rsidR="00305E22">
        <w:rPr>
          <w:rFonts w:ascii="Times New Roman" w:eastAsia="Times New Roman" w:hAnsi="Times New Roman" w:cs="Times New Roman"/>
          <w:sz w:val="26"/>
          <w:szCs w:val="26"/>
        </w:rPr>
        <w:t>, wi</w:t>
      </w:r>
      <w:r w:rsidR="0035603E">
        <w:rPr>
          <w:rFonts w:ascii="Times New Roman" w:eastAsia="Times New Roman" w:hAnsi="Times New Roman" w:cs="Times New Roman"/>
          <w:sz w:val="26"/>
          <w:szCs w:val="26"/>
        </w:rPr>
        <w:t>t</w:t>
      </w:r>
      <w:r w:rsidR="00305E22">
        <w:rPr>
          <w:rFonts w:ascii="Times New Roman" w:eastAsia="Times New Roman" w:hAnsi="Times New Roman" w:cs="Times New Roman"/>
          <w:sz w:val="26"/>
          <w:szCs w:val="26"/>
        </w:rPr>
        <w:t xml:space="preserve">h such enrollments originating from NRG </w:t>
      </w:r>
      <w:r w:rsidR="0035603E">
        <w:rPr>
          <w:rFonts w:ascii="Times New Roman" w:eastAsia="Times New Roman" w:hAnsi="Times New Roman" w:cs="Times New Roman"/>
          <w:sz w:val="26"/>
          <w:szCs w:val="26"/>
        </w:rPr>
        <w:t>Home’s</w:t>
      </w:r>
      <w:r w:rsidR="00305E22">
        <w:rPr>
          <w:rFonts w:ascii="Times New Roman" w:eastAsia="Times New Roman" w:hAnsi="Times New Roman" w:cs="Times New Roman"/>
          <w:sz w:val="26"/>
          <w:szCs w:val="26"/>
        </w:rPr>
        <w:t xml:space="preserve"> in-person retail and event solic</w:t>
      </w:r>
      <w:r w:rsidR="0035603E">
        <w:rPr>
          <w:rFonts w:ascii="Times New Roman" w:eastAsia="Times New Roman" w:hAnsi="Times New Roman" w:cs="Times New Roman"/>
          <w:sz w:val="26"/>
          <w:szCs w:val="26"/>
        </w:rPr>
        <w:t>it</w:t>
      </w:r>
      <w:r w:rsidR="00305E22">
        <w:rPr>
          <w:rFonts w:ascii="Times New Roman" w:eastAsia="Times New Roman" w:hAnsi="Times New Roman" w:cs="Times New Roman"/>
          <w:sz w:val="26"/>
          <w:szCs w:val="26"/>
        </w:rPr>
        <w:t>ation</w:t>
      </w:r>
      <w:r w:rsidR="0035603E">
        <w:rPr>
          <w:rFonts w:ascii="Times New Roman" w:eastAsia="Times New Roman" w:hAnsi="Times New Roman" w:cs="Times New Roman"/>
          <w:sz w:val="26"/>
          <w:szCs w:val="26"/>
        </w:rPr>
        <w:t xml:space="preserve">s. </w:t>
      </w:r>
      <w:r w:rsidR="00996E96">
        <w:rPr>
          <w:rFonts w:ascii="Times New Roman" w:eastAsia="Times New Roman" w:hAnsi="Times New Roman" w:cs="Times New Roman"/>
          <w:sz w:val="26"/>
          <w:szCs w:val="26"/>
        </w:rPr>
        <w:t xml:space="preserve"> I&amp;E </w:t>
      </w:r>
      <w:r w:rsidR="00046DCD">
        <w:rPr>
          <w:rFonts w:ascii="Times New Roman" w:eastAsia="Times New Roman" w:hAnsi="Times New Roman" w:cs="Times New Roman"/>
          <w:sz w:val="26"/>
          <w:szCs w:val="26"/>
        </w:rPr>
        <w:t>determined</w:t>
      </w:r>
      <w:r w:rsidR="00996E96">
        <w:rPr>
          <w:rFonts w:ascii="Times New Roman" w:eastAsia="Times New Roman" w:hAnsi="Times New Roman" w:cs="Times New Roman"/>
          <w:sz w:val="26"/>
          <w:szCs w:val="26"/>
        </w:rPr>
        <w:t xml:space="preserve"> that there were an additional 28 accounts that were in the process of being switched, but NRG Home terminated the switch before the accounts actually received service from NRG Home.  Settlement at </w:t>
      </w:r>
      <w:r w:rsidR="00580550">
        <w:rPr>
          <w:rFonts w:ascii="Times New Roman" w:eastAsia="Times New Roman" w:hAnsi="Times New Roman" w:cs="Times New Roman"/>
          <w:sz w:val="26"/>
          <w:szCs w:val="26"/>
        </w:rPr>
        <w:t>6-</w:t>
      </w:r>
      <w:r w:rsidR="00996E96">
        <w:rPr>
          <w:rFonts w:ascii="Times New Roman" w:eastAsia="Times New Roman" w:hAnsi="Times New Roman" w:cs="Times New Roman"/>
          <w:sz w:val="26"/>
          <w:szCs w:val="26"/>
        </w:rPr>
        <w:t>7.</w:t>
      </w:r>
    </w:p>
    <w:p w14:paraId="4D6F7FC7" w14:textId="77777777" w:rsidR="00530610" w:rsidRDefault="00530610" w:rsidP="00996E96">
      <w:pPr>
        <w:tabs>
          <w:tab w:val="center" w:pos="0"/>
        </w:tabs>
        <w:suppressAutoHyphens/>
        <w:spacing w:after="0" w:line="360" w:lineRule="auto"/>
        <w:ind w:firstLine="1440"/>
        <w:rPr>
          <w:rFonts w:ascii="Times New Roman" w:eastAsia="Times New Roman" w:hAnsi="Times New Roman" w:cs="Times New Roman"/>
          <w:sz w:val="26"/>
          <w:szCs w:val="26"/>
        </w:rPr>
      </w:pPr>
    </w:p>
    <w:p w14:paraId="0292659B" w14:textId="579D9537" w:rsidR="00423B5B" w:rsidRDefault="009E0D34"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provided that a</w:t>
      </w:r>
      <w:r w:rsidR="00BE76DB">
        <w:rPr>
          <w:rFonts w:ascii="Times New Roman" w:eastAsia="Times New Roman" w:hAnsi="Times New Roman" w:cs="Times New Roman"/>
          <w:sz w:val="26"/>
          <w:szCs w:val="26"/>
        </w:rPr>
        <w:t>s a</w:t>
      </w:r>
      <w:r>
        <w:rPr>
          <w:rFonts w:ascii="Times New Roman" w:eastAsia="Times New Roman" w:hAnsi="Times New Roman" w:cs="Times New Roman"/>
          <w:sz w:val="26"/>
          <w:szCs w:val="26"/>
        </w:rPr>
        <w:t xml:space="preserve"> supplier</w:t>
      </w:r>
      <w:r w:rsidR="00BE76DB">
        <w:rPr>
          <w:rFonts w:ascii="Times New Roman" w:eastAsia="Times New Roman" w:hAnsi="Times New Roman" w:cs="Times New Roman"/>
          <w:sz w:val="26"/>
          <w:szCs w:val="26"/>
        </w:rPr>
        <w:t>, NRG Home</w:t>
      </w:r>
      <w:r>
        <w:rPr>
          <w:rFonts w:ascii="Times New Roman" w:eastAsia="Times New Roman" w:hAnsi="Times New Roman" w:cs="Times New Roman"/>
          <w:sz w:val="26"/>
          <w:szCs w:val="26"/>
        </w:rPr>
        <w:t xml:space="preserve"> is responsible for fraudulent, deceptive</w:t>
      </w:r>
      <w:r w:rsidR="0022583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or other unlawful marketing acts performed by its agent</w:t>
      </w:r>
      <w:r w:rsidR="001A2DB5">
        <w:rPr>
          <w:rFonts w:ascii="Times New Roman" w:eastAsia="Times New Roman" w:hAnsi="Times New Roman" w:cs="Times New Roman"/>
          <w:sz w:val="26"/>
          <w:szCs w:val="26"/>
        </w:rPr>
        <w:t>s</w:t>
      </w:r>
      <w:r>
        <w:rPr>
          <w:rFonts w:ascii="Times New Roman" w:eastAsia="Times New Roman" w:hAnsi="Times New Roman" w:cs="Times New Roman"/>
          <w:sz w:val="26"/>
          <w:szCs w:val="26"/>
        </w:rPr>
        <w:t>.  Settlement at 6</w:t>
      </w:r>
      <w:r w:rsidR="00BE76DB">
        <w:rPr>
          <w:rFonts w:ascii="Times New Roman" w:eastAsia="Times New Roman" w:hAnsi="Times New Roman" w:cs="Times New Roman"/>
          <w:sz w:val="26"/>
          <w:szCs w:val="26"/>
        </w:rPr>
        <w:t>, n.</w:t>
      </w:r>
      <w:r w:rsidR="00433793">
        <w:rPr>
          <w:rFonts w:ascii="Times New Roman" w:eastAsia="Times New Roman" w:hAnsi="Times New Roman" w:cs="Times New Roman"/>
          <w:sz w:val="26"/>
          <w:szCs w:val="26"/>
        </w:rPr>
        <w:t xml:space="preserve"> </w:t>
      </w:r>
      <w:r w:rsidR="008D0EEF">
        <w:rPr>
          <w:rFonts w:ascii="Times New Roman" w:eastAsia="Times New Roman" w:hAnsi="Times New Roman" w:cs="Times New Roman"/>
          <w:sz w:val="26"/>
          <w:szCs w:val="26"/>
        </w:rPr>
        <w:t>3</w:t>
      </w:r>
      <w:r w:rsidR="00BE76DB">
        <w:rPr>
          <w:rFonts w:ascii="Times New Roman" w:eastAsia="Times New Roman" w:hAnsi="Times New Roman" w:cs="Times New Roman"/>
          <w:sz w:val="26"/>
          <w:szCs w:val="26"/>
        </w:rPr>
        <w:t xml:space="preserve"> (citing 52 Pa. Code § 54.43(f) and 52 Pa. Code § 111.3). </w:t>
      </w:r>
      <w:r w:rsidR="000D4552">
        <w:rPr>
          <w:rFonts w:ascii="Times New Roman" w:eastAsia="Times New Roman" w:hAnsi="Times New Roman" w:cs="Times New Roman"/>
          <w:sz w:val="26"/>
          <w:szCs w:val="26"/>
        </w:rPr>
        <w:t xml:space="preserve">  </w:t>
      </w:r>
    </w:p>
    <w:p w14:paraId="2ABD46DA" w14:textId="3A53E699" w:rsidR="002C02C9" w:rsidRDefault="002C02C9" w:rsidP="006D71EF">
      <w:pPr>
        <w:tabs>
          <w:tab w:val="center" w:pos="0"/>
        </w:tabs>
        <w:suppressAutoHyphens/>
        <w:spacing w:after="0" w:line="360" w:lineRule="auto"/>
        <w:ind w:firstLine="1440"/>
        <w:rPr>
          <w:rFonts w:ascii="Times New Roman" w:eastAsia="Times New Roman" w:hAnsi="Times New Roman" w:cs="Times New Roman"/>
          <w:sz w:val="26"/>
          <w:szCs w:val="26"/>
        </w:rPr>
      </w:pPr>
    </w:p>
    <w:p w14:paraId="0D94CE35" w14:textId="7A8EBB89" w:rsidR="000D4552" w:rsidRDefault="00BE76DB" w:rsidP="006D71EF">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DC0DDF">
        <w:rPr>
          <w:rFonts w:ascii="Times New Roman" w:eastAsia="Times New Roman" w:hAnsi="Times New Roman" w:cs="Times New Roman"/>
          <w:sz w:val="26"/>
          <w:szCs w:val="26"/>
        </w:rPr>
        <w:t xml:space="preserve">he alleged unauthorized enrollments </w:t>
      </w:r>
      <w:r>
        <w:rPr>
          <w:rFonts w:ascii="Times New Roman" w:eastAsia="Times New Roman" w:hAnsi="Times New Roman" w:cs="Times New Roman"/>
          <w:sz w:val="26"/>
          <w:szCs w:val="26"/>
        </w:rPr>
        <w:t xml:space="preserve">are categorized </w:t>
      </w:r>
      <w:r w:rsidR="00DC0DDF">
        <w:rPr>
          <w:rFonts w:ascii="Times New Roman" w:eastAsia="Times New Roman" w:hAnsi="Times New Roman" w:cs="Times New Roman"/>
          <w:sz w:val="26"/>
          <w:szCs w:val="26"/>
        </w:rPr>
        <w:t>as follows:</w:t>
      </w:r>
    </w:p>
    <w:p w14:paraId="50BD61D7" w14:textId="77777777" w:rsidR="00E52B1F" w:rsidRDefault="00E52B1F" w:rsidP="00D83C57">
      <w:pPr>
        <w:tabs>
          <w:tab w:val="center" w:pos="0"/>
        </w:tabs>
        <w:suppressAutoHyphens/>
        <w:spacing w:after="0" w:line="240" w:lineRule="auto"/>
        <w:ind w:firstLine="1440"/>
        <w:rPr>
          <w:rFonts w:ascii="Times New Roman" w:eastAsia="Times New Roman" w:hAnsi="Times New Roman" w:cs="Times New Roman"/>
          <w:sz w:val="26"/>
          <w:szCs w:val="26"/>
        </w:rPr>
      </w:pPr>
    </w:p>
    <w:tbl>
      <w:tblPr>
        <w:tblStyle w:val="GridTable1Light-Accent5"/>
        <w:tblW w:w="0" w:type="auto"/>
        <w:tblLook w:val="04A0" w:firstRow="1" w:lastRow="0" w:firstColumn="1" w:lastColumn="0" w:noHBand="0" w:noVBand="1"/>
      </w:tblPr>
      <w:tblGrid>
        <w:gridCol w:w="2640"/>
        <w:gridCol w:w="5569"/>
        <w:gridCol w:w="1141"/>
      </w:tblGrid>
      <w:tr w:rsidR="00EC2547" w14:paraId="04E4BA72" w14:textId="77777777" w:rsidTr="00D7155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71D77644" w14:textId="7D1AB103" w:rsidR="00263AE5" w:rsidRDefault="00B243A1" w:rsidP="00300007">
            <w:pPr>
              <w:tabs>
                <w:tab w:val="center" w:pos="0"/>
              </w:tabs>
              <w:suppressAutoHyphens/>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Enrollment Type</w:t>
            </w:r>
          </w:p>
        </w:tc>
        <w:tc>
          <w:tcPr>
            <w:tcW w:w="0" w:type="auto"/>
          </w:tcPr>
          <w:p w14:paraId="71E10B28" w14:textId="4C1E0546" w:rsidR="00263AE5" w:rsidRDefault="00B243A1" w:rsidP="0030000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Description</w:t>
            </w:r>
          </w:p>
        </w:tc>
        <w:tc>
          <w:tcPr>
            <w:tcW w:w="0" w:type="auto"/>
          </w:tcPr>
          <w:p w14:paraId="6175F27E" w14:textId="2D694B1F" w:rsidR="00263AE5" w:rsidRDefault="00B243A1" w:rsidP="00300007">
            <w:pPr>
              <w:tabs>
                <w:tab w:val="center" w:pos="0"/>
              </w:tabs>
              <w:suppressAutoHyphens/>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Number</w:t>
            </w:r>
          </w:p>
        </w:tc>
      </w:tr>
      <w:tr w:rsidR="00EC2547" w14:paraId="0A6B8F75"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5D165C1" w14:textId="283C8A61" w:rsidR="00263AE5" w:rsidRDefault="00B243A1"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Disputed Enrollments</w:t>
            </w:r>
          </w:p>
        </w:tc>
        <w:tc>
          <w:tcPr>
            <w:tcW w:w="0" w:type="auto"/>
          </w:tcPr>
          <w:p w14:paraId="5D397BBF" w14:textId="477DCFB7" w:rsidR="00263AE5" w:rsidRDefault="00B243A1" w:rsidP="008D0EEF">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Customer alleges that he</w:t>
            </w:r>
            <w:r w:rsidR="005944CF">
              <w:rPr>
                <w:rFonts w:ascii="Times New Roman" w:eastAsia="Times New Roman" w:hAnsi="Times New Roman" w:cs="Times New Roman"/>
                <w:sz w:val="26"/>
                <w:szCs w:val="26"/>
              </w:rPr>
              <w:t xml:space="preserve"> or she did not enroll with an NRG Home agent, never spoke to an NRG Home agent, or did not sign an enrollment tablet.</w:t>
            </w:r>
          </w:p>
        </w:tc>
        <w:tc>
          <w:tcPr>
            <w:tcW w:w="0" w:type="auto"/>
          </w:tcPr>
          <w:p w14:paraId="014D380A" w14:textId="383CA04A" w:rsidR="00263AE5" w:rsidRDefault="0094727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p>
        </w:tc>
      </w:tr>
      <w:tr w:rsidR="00EC2547" w14:paraId="1843DE1D"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B6B3B58" w14:textId="195FDE1A" w:rsidR="00263AE5" w:rsidRDefault="0094727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Unauthorized Enrollments</w:t>
            </w:r>
          </w:p>
        </w:tc>
        <w:tc>
          <w:tcPr>
            <w:tcW w:w="0" w:type="auto"/>
          </w:tcPr>
          <w:p w14:paraId="3BD07B05" w14:textId="4104E24B" w:rsidR="00263AE5" w:rsidRDefault="00947277" w:rsidP="008D0EEF">
            <w:pPr>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Enrollments </w:t>
            </w:r>
            <w:r w:rsidR="00E7435B">
              <w:rPr>
                <w:rFonts w:ascii="Times New Roman" w:eastAsia="Times New Roman" w:hAnsi="Times New Roman" w:cs="Times New Roman"/>
                <w:sz w:val="26"/>
                <w:szCs w:val="26"/>
              </w:rPr>
              <w:t xml:space="preserve">were </w:t>
            </w:r>
            <w:r>
              <w:rPr>
                <w:rFonts w:ascii="Times New Roman" w:eastAsia="Times New Roman" w:hAnsi="Times New Roman" w:cs="Times New Roman"/>
                <w:sz w:val="26"/>
                <w:szCs w:val="26"/>
              </w:rPr>
              <w:t>completed by someone other than the account holder who lives at the same address, was known to the account holder, and attested that they were authorized to make changes on the account, when they in fact</w:t>
            </w:r>
            <w:r w:rsidR="00BD0621">
              <w:rPr>
                <w:rFonts w:ascii="Times New Roman" w:eastAsia="Times New Roman" w:hAnsi="Times New Roman" w:cs="Times New Roman"/>
                <w:sz w:val="26"/>
                <w:szCs w:val="26"/>
              </w:rPr>
              <w:t xml:space="preserve"> lacked such authorization.</w:t>
            </w:r>
          </w:p>
        </w:tc>
        <w:tc>
          <w:tcPr>
            <w:tcW w:w="0" w:type="auto"/>
          </w:tcPr>
          <w:p w14:paraId="480C3B18" w14:textId="3F30CB96" w:rsidR="00263AE5" w:rsidRDefault="00BD0621"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r>
      <w:tr w:rsidR="001D59AA" w14:paraId="0BD801BA"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123E8C60" w14:textId="3F916E15" w:rsidR="00BD0621" w:rsidRDefault="00BD0621" w:rsidP="00514428">
            <w:pPr>
              <w:keepLines/>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Enrollment Processing Errors</w:t>
            </w:r>
          </w:p>
        </w:tc>
        <w:tc>
          <w:tcPr>
            <w:tcW w:w="0" w:type="auto"/>
          </w:tcPr>
          <w:p w14:paraId="049BF0DB" w14:textId="7116FDC1" w:rsidR="00BD0621" w:rsidRDefault="00BD0621" w:rsidP="00514428">
            <w:pPr>
              <w:keepLines/>
              <w:tabs>
                <w:tab w:val="center" w:pos="0"/>
              </w:tabs>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NRG Home agents inadvertently selected the incorrect customer account </w:t>
            </w:r>
            <w:r w:rsidR="007F17BC">
              <w:rPr>
                <w:rFonts w:ascii="Times New Roman" w:eastAsia="Times New Roman" w:hAnsi="Times New Roman" w:cs="Times New Roman"/>
                <w:sz w:val="26"/>
                <w:szCs w:val="26"/>
              </w:rPr>
              <w:t>or where the agent failed to advise the customer that he</w:t>
            </w:r>
            <w:r w:rsidR="00E7435B">
              <w:rPr>
                <w:rFonts w:ascii="Times New Roman" w:eastAsia="Times New Roman" w:hAnsi="Times New Roman" w:cs="Times New Roman"/>
                <w:sz w:val="26"/>
                <w:szCs w:val="26"/>
              </w:rPr>
              <w:t xml:space="preserve"> or she was switching suppliers until after the enrollment was signed.</w:t>
            </w:r>
          </w:p>
        </w:tc>
        <w:tc>
          <w:tcPr>
            <w:tcW w:w="0" w:type="auto"/>
          </w:tcPr>
          <w:p w14:paraId="6D73BAF4" w14:textId="39CC8F31" w:rsidR="00BD0621" w:rsidRDefault="00E7435B" w:rsidP="00514428">
            <w:pPr>
              <w:keepLines/>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83</w:t>
            </w:r>
          </w:p>
        </w:tc>
      </w:tr>
      <w:tr w:rsidR="00E7435B" w14:paraId="69311E13"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71994F39" w14:textId="57C6E888" w:rsidR="00E7435B" w:rsidRDefault="00E7435B"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r w:rsidR="00EC2547">
              <w:rPr>
                <w:rFonts w:ascii="Times New Roman" w:eastAsia="Times New Roman" w:hAnsi="Times New Roman" w:cs="Times New Roman"/>
                <w:sz w:val="26"/>
                <w:szCs w:val="26"/>
              </w:rPr>
              <w:t xml:space="preserve"> </w:t>
            </w:r>
            <w:r w:rsidR="00046DCD">
              <w:rPr>
                <w:rFonts w:ascii="Times New Roman" w:eastAsia="Times New Roman" w:hAnsi="Times New Roman" w:cs="Times New Roman"/>
                <w:sz w:val="26"/>
                <w:szCs w:val="26"/>
              </w:rPr>
              <w:t xml:space="preserve">Accounts </w:t>
            </w:r>
            <w:r w:rsidR="00EC2547">
              <w:rPr>
                <w:rFonts w:ascii="Times New Roman" w:eastAsia="Times New Roman" w:hAnsi="Times New Roman" w:cs="Times New Roman"/>
                <w:sz w:val="26"/>
                <w:szCs w:val="26"/>
              </w:rPr>
              <w:t>Identified by NRG Home</w:t>
            </w:r>
          </w:p>
        </w:tc>
        <w:tc>
          <w:tcPr>
            <w:tcW w:w="0" w:type="auto"/>
          </w:tcPr>
          <w:p w14:paraId="21811F7E" w14:textId="77777777" w:rsidR="00E7435B" w:rsidRDefault="00E7435B"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71A1D9E5" w14:textId="0FA94ED7" w:rsidR="00E7435B" w:rsidRDefault="005011D3"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168</w:t>
            </w:r>
          </w:p>
        </w:tc>
      </w:tr>
      <w:tr w:rsidR="00EC2547" w14:paraId="1AC156BF"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5291ED41" w14:textId="73B0D946" w:rsidR="00EC2547" w:rsidRDefault="00EC254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 Accounts Identified by I&amp;E in Process to be Switched</w:t>
            </w:r>
          </w:p>
        </w:tc>
        <w:tc>
          <w:tcPr>
            <w:tcW w:w="0" w:type="auto"/>
          </w:tcPr>
          <w:p w14:paraId="4347A7B0" w14:textId="77777777"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2EF8D2F2" w14:textId="5A561680"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p>
        </w:tc>
      </w:tr>
      <w:tr w:rsidR="00EC2547" w14:paraId="58EB146D" w14:textId="77777777" w:rsidTr="001D59AA">
        <w:tc>
          <w:tcPr>
            <w:cnfStyle w:val="001000000000" w:firstRow="0" w:lastRow="0" w:firstColumn="1" w:lastColumn="0" w:oddVBand="0" w:evenVBand="0" w:oddHBand="0" w:evenHBand="0" w:firstRowFirstColumn="0" w:firstRowLastColumn="0" w:lastRowFirstColumn="0" w:lastRowLastColumn="0"/>
            <w:tcW w:w="0" w:type="auto"/>
          </w:tcPr>
          <w:p w14:paraId="14117F6A" w14:textId="7E6DA15D" w:rsidR="00EC2547" w:rsidRDefault="00EC2547" w:rsidP="008D0EEF">
            <w:pPr>
              <w:tabs>
                <w:tab w:val="center" w:pos="0"/>
              </w:tabs>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Total </w:t>
            </w:r>
            <w:r w:rsidR="00B70441">
              <w:rPr>
                <w:rFonts w:ascii="Times New Roman" w:eastAsia="Times New Roman" w:hAnsi="Times New Roman" w:cs="Times New Roman"/>
                <w:sz w:val="26"/>
                <w:szCs w:val="26"/>
              </w:rPr>
              <w:t xml:space="preserve">Accounts Switched or in </w:t>
            </w:r>
            <w:r w:rsidR="00ED1318">
              <w:rPr>
                <w:rFonts w:ascii="Times New Roman" w:eastAsia="Times New Roman" w:hAnsi="Times New Roman" w:cs="Times New Roman"/>
                <w:sz w:val="26"/>
                <w:szCs w:val="26"/>
              </w:rPr>
              <w:t>P</w:t>
            </w:r>
            <w:r w:rsidR="00B70441">
              <w:rPr>
                <w:rFonts w:ascii="Times New Roman" w:eastAsia="Times New Roman" w:hAnsi="Times New Roman" w:cs="Times New Roman"/>
                <w:sz w:val="26"/>
                <w:szCs w:val="26"/>
              </w:rPr>
              <w:t>rocess</w:t>
            </w:r>
            <w:r w:rsidR="00ED1318">
              <w:rPr>
                <w:rFonts w:ascii="Times New Roman" w:eastAsia="Times New Roman" w:hAnsi="Times New Roman" w:cs="Times New Roman"/>
                <w:sz w:val="26"/>
                <w:szCs w:val="26"/>
              </w:rPr>
              <w:t xml:space="preserve"> to be Switched</w:t>
            </w:r>
          </w:p>
        </w:tc>
        <w:tc>
          <w:tcPr>
            <w:tcW w:w="0" w:type="auto"/>
          </w:tcPr>
          <w:p w14:paraId="7E51C9B0" w14:textId="77777777" w:rsidR="00EC2547" w:rsidRDefault="00EC2547"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tcPr>
          <w:p w14:paraId="22B37062" w14:textId="73473834" w:rsidR="00EC2547" w:rsidRDefault="00B70441" w:rsidP="006D71EF">
            <w:pPr>
              <w:tabs>
                <w:tab w:val="center" w:pos="0"/>
              </w:tabs>
              <w:suppressAutoHyphen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196</w:t>
            </w:r>
          </w:p>
        </w:tc>
      </w:tr>
    </w:tbl>
    <w:p w14:paraId="0CEF444A" w14:textId="77777777" w:rsidR="00DC0DDF" w:rsidRDefault="00DC0DDF" w:rsidP="00514428">
      <w:pPr>
        <w:tabs>
          <w:tab w:val="center" w:pos="0"/>
        </w:tabs>
        <w:suppressAutoHyphens/>
        <w:spacing w:after="0" w:line="360" w:lineRule="auto"/>
        <w:ind w:firstLine="1440"/>
        <w:rPr>
          <w:rFonts w:ascii="Times New Roman" w:eastAsia="Times New Roman" w:hAnsi="Times New Roman" w:cs="Times New Roman"/>
          <w:sz w:val="26"/>
          <w:szCs w:val="26"/>
        </w:rPr>
      </w:pPr>
    </w:p>
    <w:p w14:paraId="6D743FB7" w14:textId="43FC530E" w:rsidR="000B12D6" w:rsidRDefault="001211E1" w:rsidP="007A1753">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Settlement at 6-7.</w:t>
      </w:r>
    </w:p>
    <w:p w14:paraId="1053505A" w14:textId="673E475D" w:rsidR="00AD71A7" w:rsidRDefault="00AD71A7" w:rsidP="002B5ADA">
      <w:pPr>
        <w:tabs>
          <w:tab w:val="center" w:pos="0"/>
        </w:tabs>
        <w:suppressAutoHyphens/>
        <w:spacing w:after="0" w:line="360" w:lineRule="auto"/>
        <w:rPr>
          <w:rFonts w:ascii="Times New Roman" w:eastAsia="Times New Roman" w:hAnsi="Times New Roman" w:cs="Times New Roman"/>
          <w:sz w:val="26"/>
          <w:szCs w:val="26"/>
        </w:rPr>
      </w:pPr>
    </w:p>
    <w:p w14:paraId="40627BF7" w14:textId="7BAE3182" w:rsidR="00D24B2A" w:rsidRDefault="00FE425D" w:rsidP="002B5ADA">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determined that the Company </w:t>
      </w:r>
      <w:r w:rsidR="00DE004C">
        <w:rPr>
          <w:rFonts w:ascii="Times New Roman" w:eastAsia="Times New Roman" w:hAnsi="Times New Roman" w:cs="Times New Roman"/>
          <w:sz w:val="26"/>
          <w:szCs w:val="26"/>
        </w:rPr>
        <w:t>instituted</w:t>
      </w:r>
      <w:r w:rsidR="00705064">
        <w:rPr>
          <w:rFonts w:ascii="Times New Roman" w:eastAsia="Times New Roman" w:hAnsi="Times New Roman" w:cs="Times New Roman"/>
          <w:sz w:val="26"/>
          <w:szCs w:val="26"/>
        </w:rPr>
        <w:t xml:space="preserve"> </w:t>
      </w:r>
      <w:r w:rsidR="007B5074">
        <w:rPr>
          <w:rFonts w:ascii="Times New Roman" w:eastAsia="Times New Roman" w:hAnsi="Times New Roman" w:cs="Times New Roman"/>
          <w:sz w:val="26"/>
          <w:szCs w:val="26"/>
        </w:rPr>
        <w:t>several</w:t>
      </w:r>
      <w:r w:rsidR="00705064">
        <w:rPr>
          <w:rFonts w:ascii="Times New Roman" w:eastAsia="Times New Roman" w:hAnsi="Times New Roman" w:cs="Times New Roman"/>
          <w:sz w:val="26"/>
          <w:szCs w:val="26"/>
        </w:rPr>
        <w:t xml:space="preserve"> corrective measures designed to prevent similar occurrences in the future.  NRG Home eliminated the ability for sales agents to scroll through the ECL to locate a certain customer.  </w:t>
      </w:r>
      <w:r w:rsidR="00584774">
        <w:rPr>
          <w:rFonts w:ascii="Times New Roman" w:eastAsia="Times New Roman" w:hAnsi="Times New Roman" w:cs="Times New Roman"/>
          <w:sz w:val="26"/>
          <w:szCs w:val="26"/>
        </w:rPr>
        <w:t xml:space="preserve">Agents can now only search for a specific name and the information </w:t>
      </w:r>
      <w:r w:rsidR="00A3251D">
        <w:rPr>
          <w:rFonts w:ascii="Times New Roman" w:eastAsia="Times New Roman" w:hAnsi="Times New Roman" w:cs="Times New Roman"/>
          <w:sz w:val="26"/>
          <w:szCs w:val="26"/>
        </w:rPr>
        <w:t xml:space="preserve">populates </w:t>
      </w:r>
      <w:r w:rsidR="00A70E96">
        <w:rPr>
          <w:rFonts w:ascii="Times New Roman" w:eastAsia="Times New Roman" w:hAnsi="Times New Roman" w:cs="Times New Roman"/>
          <w:sz w:val="26"/>
          <w:szCs w:val="26"/>
        </w:rPr>
        <w:t xml:space="preserve">only </w:t>
      </w:r>
      <w:r w:rsidR="00A3251D">
        <w:rPr>
          <w:rFonts w:ascii="Times New Roman" w:eastAsia="Times New Roman" w:hAnsi="Times New Roman" w:cs="Times New Roman"/>
          <w:sz w:val="26"/>
          <w:szCs w:val="26"/>
        </w:rPr>
        <w:t xml:space="preserve">if a match is located.  </w:t>
      </w:r>
      <w:r w:rsidR="00D24B2A">
        <w:rPr>
          <w:rFonts w:ascii="Times New Roman" w:eastAsia="Times New Roman" w:hAnsi="Times New Roman" w:cs="Times New Roman"/>
          <w:sz w:val="26"/>
          <w:szCs w:val="26"/>
        </w:rPr>
        <w:t xml:space="preserve">NRG Home </w:t>
      </w:r>
      <w:r w:rsidR="00047710">
        <w:rPr>
          <w:rFonts w:ascii="Times New Roman" w:eastAsia="Times New Roman" w:hAnsi="Times New Roman" w:cs="Times New Roman"/>
          <w:sz w:val="26"/>
          <w:szCs w:val="26"/>
        </w:rPr>
        <w:t xml:space="preserve">also </w:t>
      </w:r>
      <w:r w:rsidR="00D24B2A">
        <w:rPr>
          <w:rFonts w:ascii="Times New Roman" w:eastAsia="Times New Roman" w:hAnsi="Times New Roman" w:cs="Times New Roman"/>
          <w:sz w:val="26"/>
          <w:szCs w:val="26"/>
        </w:rPr>
        <w:t xml:space="preserve">has since deployed a technology solution to authenticate customers’ </w:t>
      </w:r>
      <w:r w:rsidR="00DE004C">
        <w:rPr>
          <w:rFonts w:ascii="Times New Roman" w:eastAsia="Times New Roman" w:hAnsi="Times New Roman" w:cs="Times New Roman"/>
          <w:sz w:val="26"/>
          <w:szCs w:val="26"/>
        </w:rPr>
        <w:t>identities</w:t>
      </w:r>
      <w:r w:rsidR="00D24B2A">
        <w:rPr>
          <w:rFonts w:ascii="Times New Roman" w:eastAsia="Times New Roman" w:hAnsi="Times New Roman" w:cs="Times New Roman"/>
          <w:sz w:val="26"/>
          <w:szCs w:val="26"/>
        </w:rPr>
        <w:t xml:space="preserve">, thereby narrowing the ECL search results.  Finally, NRG Home </w:t>
      </w:r>
      <w:r w:rsidR="00DE004C">
        <w:rPr>
          <w:rFonts w:ascii="Times New Roman" w:eastAsia="Times New Roman" w:hAnsi="Times New Roman" w:cs="Times New Roman"/>
          <w:sz w:val="26"/>
          <w:szCs w:val="26"/>
        </w:rPr>
        <w:t>tightened</w:t>
      </w:r>
      <w:r w:rsidR="00D24B2A">
        <w:rPr>
          <w:rFonts w:ascii="Times New Roman" w:eastAsia="Times New Roman" w:hAnsi="Times New Roman" w:cs="Times New Roman"/>
          <w:sz w:val="26"/>
          <w:szCs w:val="26"/>
        </w:rPr>
        <w:t xml:space="preserve"> its discipline policy for agents found to have committed ECL errors. </w:t>
      </w:r>
      <w:r w:rsidR="00337AE9">
        <w:rPr>
          <w:rFonts w:ascii="Times New Roman" w:eastAsia="Times New Roman" w:hAnsi="Times New Roman" w:cs="Times New Roman"/>
          <w:sz w:val="26"/>
          <w:szCs w:val="26"/>
        </w:rPr>
        <w:t xml:space="preserve"> Settlement at 7.</w:t>
      </w:r>
      <w:r w:rsidR="00D24B2A">
        <w:rPr>
          <w:rFonts w:ascii="Times New Roman" w:eastAsia="Times New Roman" w:hAnsi="Times New Roman" w:cs="Times New Roman"/>
          <w:sz w:val="26"/>
          <w:szCs w:val="26"/>
        </w:rPr>
        <w:t xml:space="preserve"> </w:t>
      </w:r>
    </w:p>
    <w:p w14:paraId="3FB5CB01" w14:textId="77777777" w:rsidR="00D24B2A" w:rsidRDefault="00D24B2A" w:rsidP="002B5ADA">
      <w:pPr>
        <w:tabs>
          <w:tab w:val="center" w:pos="0"/>
        </w:tabs>
        <w:suppressAutoHyphens/>
        <w:spacing w:after="0" w:line="360" w:lineRule="auto"/>
        <w:rPr>
          <w:rFonts w:ascii="Times New Roman" w:eastAsia="Times New Roman" w:hAnsi="Times New Roman" w:cs="Times New Roman"/>
          <w:sz w:val="26"/>
          <w:szCs w:val="26"/>
        </w:rPr>
      </w:pPr>
    </w:p>
    <w:p w14:paraId="3ADDB2CF" w14:textId="65D8AD3D" w:rsidR="00F44833" w:rsidRDefault="000B12D6"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The proposed Settlement</w:t>
      </w:r>
      <w:r w:rsidR="003A0416">
        <w:rPr>
          <w:rFonts w:ascii="Times New Roman" w:eastAsia="Times New Roman" w:hAnsi="Times New Roman" w:cs="Times New Roman"/>
          <w:sz w:val="26"/>
          <w:szCs w:val="26"/>
        </w:rPr>
        <w:t xml:space="preserve"> was </w:t>
      </w:r>
      <w:r w:rsidR="00F44833" w:rsidRPr="003F7EE6">
        <w:rPr>
          <w:rFonts w:ascii="Times New Roman" w:eastAsia="Times New Roman" w:hAnsi="Times New Roman" w:cs="Times New Roman"/>
          <w:sz w:val="26"/>
          <w:szCs w:val="26"/>
        </w:rPr>
        <w:t xml:space="preserve">filed by the Parties </w:t>
      </w:r>
      <w:r w:rsidR="00562FEA" w:rsidRPr="003F7EE6">
        <w:rPr>
          <w:rFonts w:ascii="Times New Roman" w:eastAsia="Times New Roman" w:hAnsi="Times New Roman" w:cs="Times New Roman"/>
          <w:sz w:val="26"/>
          <w:szCs w:val="26"/>
        </w:rPr>
        <w:t>to</w:t>
      </w:r>
      <w:r w:rsidR="00F44833" w:rsidRPr="003F7EE6">
        <w:rPr>
          <w:rFonts w:ascii="Times New Roman" w:eastAsia="Times New Roman" w:hAnsi="Times New Roman" w:cs="Times New Roman"/>
          <w:sz w:val="26"/>
          <w:szCs w:val="26"/>
        </w:rPr>
        <w:t xml:space="preserve"> resolve </w:t>
      </w:r>
      <w:r w:rsidR="00A830B1">
        <w:rPr>
          <w:rFonts w:ascii="Times New Roman" w:eastAsia="Times New Roman" w:hAnsi="Times New Roman" w:cs="Times New Roman"/>
          <w:sz w:val="26"/>
          <w:szCs w:val="26"/>
        </w:rPr>
        <w:t xml:space="preserve">I&amp;E’s </w:t>
      </w:r>
      <w:r w:rsidR="00F44833" w:rsidRPr="003F7EE6">
        <w:rPr>
          <w:rFonts w:ascii="Times New Roman" w:eastAsia="Times New Roman" w:hAnsi="Times New Roman" w:cs="Times New Roman"/>
          <w:sz w:val="26"/>
          <w:szCs w:val="26"/>
        </w:rPr>
        <w:t xml:space="preserve">allegations </w:t>
      </w:r>
      <w:r w:rsidR="000B12CD">
        <w:rPr>
          <w:rFonts w:ascii="Times New Roman" w:eastAsia="Times New Roman" w:hAnsi="Times New Roman" w:cs="Times New Roman"/>
          <w:sz w:val="26"/>
          <w:szCs w:val="26"/>
        </w:rPr>
        <w:t xml:space="preserve">that </w:t>
      </w:r>
      <w:r w:rsidR="000F4CEE">
        <w:rPr>
          <w:rFonts w:ascii="Times New Roman" w:eastAsia="Times New Roman" w:hAnsi="Times New Roman" w:cs="Times New Roman"/>
          <w:sz w:val="26"/>
          <w:szCs w:val="26"/>
        </w:rPr>
        <w:t xml:space="preserve">NRG Home or its agents </w:t>
      </w:r>
      <w:r w:rsidR="00B23E17">
        <w:rPr>
          <w:rFonts w:ascii="Times New Roman" w:eastAsia="Times New Roman" w:hAnsi="Times New Roman" w:cs="Times New Roman"/>
          <w:sz w:val="26"/>
          <w:szCs w:val="26"/>
        </w:rPr>
        <w:t xml:space="preserve">made unauthorized electric generation supplier changes to customers’ accounts.  </w:t>
      </w:r>
      <w:r w:rsidR="006E07A3">
        <w:rPr>
          <w:rFonts w:ascii="Times New Roman" w:eastAsia="Times New Roman" w:hAnsi="Times New Roman" w:cs="Times New Roman"/>
          <w:sz w:val="26"/>
          <w:szCs w:val="26"/>
        </w:rPr>
        <w:t xml:space="preserve">The Parties </w:t>
      </w:r>
      <w:r w:rsidR="006E07A3" w:rsidRPr="003F7EE6">
        <w:rPr>
          <w:rFonts w:ascii="Times New Roman" w:eastAsia="Times New Roman" w:hAnsi="Times New Roman" w:cs="Times New Roman"/>
          <w:sz w:val="26"/>
          <w:szCs w:val="26"/>
        </w:rPr>
        <w:t>urge the Commission to approve the Settlement as being in the p</w:t>
      </w:r>
      <w:r w:rsidR="006E07A3">
        <w:rPr>
          <w:rFonts w:ascii="Times New Roman" w:eastAsia="Times New Roman" w:hAnsi="Times New Roman" w:cs="Times New Roman"/>
          <w:sz w:val="26"/>
          <w:szCs w:val="26"/>
        </w:rPr>
        <w:t xml:space="preserve">ublic interest.  </w:t>
      </w:r>
      <w:r w:rsidR="005500AC" w:rsidRPr="005500AC">
        <w:rPr>
          <w:rFonts w:ascii="Times New Roman" w:eastAsia="Times New Roman" w:hAnsi="Times New Roman" w:cs="Times New Roman"/>
          <w:sz w:val="26"/>
          <w:szCs w:val="26"/>
        </w:rPr>
        <w:t>Settlement</w:t>
      </w:r>
      <w:r w:rsidR="00E2771E">
        <w:rPr>
          <w:rFonts w:ascii="Times New Roman" w:eastAsia="Times New Roman" w:hAnsi="Times New Roman" w:cs="Times New Roman"/>
          <w:sz w:val="26"/>
          <w:szCs w:val="26"/>
        </w:rPr>
        <w:t xml:space="preserve"> at 1</w:t>
      </w:r>
      <w:r w:rsidR="00E23721">
        <w:rPr>
          <w:rFonts w:ascii="Times New Roman" w:eastAsia="Times New Roman" w:hAnsi="Times New Roman" w:cs="Times New Roman"/>
          <w:sz w:val="26"/>
          <w:szCs w:val="26"/>
        </w:rPr>
        <w:t>3</w:t>
      </w:r>
      <w:r w:rsidR="006E07A3" w:rsidRPr="003F7EE6">
        <w:rPr>
          <w:rFonts w:ascii="Times New Roman" w:eastAsia="Times New Roman" w:hAnsi="Times New Roman" w:cs="Times New Roman"/>
          <w:sz w:val="26"/>
          <w:szCs w:val="26"/>
        </w:rPr>
        <w:t>.</w:t>
      </w:r>
    </w:p>
    <w:p w14:paraId="447AF1D3" w14:textId="3B9BFE60" w:rsidR="00556B8E" w:rsidRDefault="00556B8E" w:rsidP="00E2771E">
      <w:pPr>
        <w:tabs>
          <w:tab w:val="center" w:pos="0"/>
        </w:tabs>
        <w:suppressAutoHyphens/>
        <w:spacing w:after="0" w:line="360" w:lineRule="auto"/>
        <w:rPr>
          <w:rFonts w:ascii="Times New Roman" w:eastAsia="Times New Roman" w:hAnsi="Times New Roman" w:cs="Times New Roman"/>
          <w:sz w:val="26"/>
          <w:szCs w:val="26"/>
        </w:rPr>
      </w:pPr>
    </w:p>
    <w:p w14:paraId="6A7A70BB" w14:textId="0AC86B97" w:rsidR="00556B8E" w:rsidRPr="003F7EE6" w:rsidRDefault="00556B8E" w:rsidP="00E2771E">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By Order entered January 14, 2021, (</w:t>
      </w:r>
      <w:r w:rsidRPr="00556B8E">
        <w:rPr>
          <w:rFonts w:ascii="Times New Roman" w:eastAsia="Times New Roman" w:hAnsi="Times New Roman" w:cs="Times New Roman"/>
          <w:i/>
          <w:iCs/>
          <w:sz w:val="26"/>
          <w:szCs w:val="26"/>
        </w:rPr>
        <w:t>January 2021 Order</w:t>
      </w:r>
      <w:r>
        <w:rPr>
          <w:rFonts w:ascii="Times New Roman" w:eastAsia="Times New Roman" w:hAnsi="Times New Roman" w:cs="Times New Roman"/>
          <w:sz w:val="26"/>
          <w:szCs w:val="26"/>
        </w:rPr>
        <w:t xml:space="preserve">), the Commission provided interested parties with the opportunity to file comments.  In order to be considered timely, comments were due within twenty days of the date of entry of the January </w:t>
      </w:r>
      <w:r w:rsidRPr="00556B8E">
        <w:rPr>
          <w:rFonts w:ascii="Times New Roman" w:eastAsia="Times New Roman" w:hAnsi="Times New Roman" w:cs="Times New Roman"/>
          <w:i/>
          <w:iCs/>
          <w:sz w:val="26"/>
          <w:szCs w:val="26"/>
        </w:rPr>
        <w:t>2021 Order</w:t>
      </w:r>
      <w:r>
        <w:rPr>
          <w:rFonts w:ascii="Times New Roman" w:eastAsia="Times New Roman" w:hAnsi="Times New Roman" w:cs="Times New Roman"/>
          <w:sz w:val="26"/>
          <w:szCs w:val="26"/>
        </w:rPr>
        <w:t xml:space="preserve">.  No comments were filed.  </w:t>
      </w:r>
    </w:p>
    <w:p w14:paraId="66218BA9" w14:textId="77777777" w:rsidR="00F44833" w:rsidRPr="003F7EE6" w:rsidRDefault="00F44833" w:rsidP="00F44833">
      <w:pPr>
        <w:tabs>
          <w:tab w:val="center" w:pos="0"/>
        </w:tabs>
        <w:suppressAutoHyphens/>
        <w:spacing w:after="0" w:line="360" w:lineRule="auto"/>
        <w:ind w:firstLine="1440"/>
        <w:rPr>
          <w:rFonts w:ascii="Times New Roman" w:eastAsia="Times New Roman" w:hAnsi="Times New Roman" w:cs="Times New Roman"/>
          <w:sz w:val="26"/>
          <w:szCs w:val="26"/>
        </w:rPr>
      </w:pPr>
    </w:p>
    <w:p w14:paraId="2FF7B1C8"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Terms of the Settlement</w:t>
      </w:r>
    </w:p>
    <w:p w14:paraId="4C6C01E6" w14:textId="77777777" w:rsidR="00F44833" w:rsidRPr="003F7EE6" w:rsidRDefault="00F44833" w:rsidP="00F44833">
      <w:pPr>
        <w:keepNext/>
        <w:tabs>
          <w:tab w:val="center" w:pos="0"/>
        </w:tabs>
        <w:suppressAutoHyphens/>
        <w:spacing w:after="0" w:line="360" w:lineRule="auto"/>
        <w:jc w:val="center"/>
        <w:rPr>
          <w:rFonts w:ascii="Times New Roman" w:eastAsia="Times New Roman" w:hAnsi="Times New Roman" w:cs="Times New Roman"/>
          <w:sz w:val="26"/>
          <w:szCs w:val="26"/>
        </w:rPr>
      </w:pPr>
    </w:p>
    <w:p w14:paraId="3DDA15A4" w14:textId="3695D287" w:rsidR="008E1F3A" w:rsidRDefault="00F44833" w:rsidP="00E62727">
      <w:pPr>
        <w:tabs>
          <w:tab w:val="center" w:pos="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Pursuant to the proposed Settlement, </w:t>
      </w:r>
      <w:r w:rsidR="001B516C">
        <w:rPr>
          <w:rFonts w:ascii="Times New Roman" w:eastAsia="Times New Roman" w:hAnsi="Times New Roman" w:cs="Times New Roman"/>
          <w:sz w:val="26"/>
          <w:szCs w:val="26"/>
        </w:rPr>
        <w:t>NRG Home</w:t>
      </w:r>
      <w:r w:rsidRPr="003F7EE6">
        <w:rPr>
          <w:rFonts w:ascii="Times New Roman" w:eastAsia="Times New Roman" w:hAnsi="Times New Roman" w:cs="Times New Roman"/>
          <w:sz w:val="26"/>
          <w:szCs w:val="26"/>
        </w:rPr>
        <w:t xml:space="preserve"> will pay a civil penalty of </w:t>
      </w:r>
      <w:r w:rsidR="00F4744A">
        <w:rPr>
          <w:rFonts w:ascii="Times New Roman" w:eastAsia="Times New Roman" w:hAnsi="Times New Roman" w:cs="Times New Roman"/>
          <w:sz w:val="26"/>
          <w:szCs w:val="26"/>
        </w:rPr>
        <w:t>One Hundred Seventy-Five Thousand Dollars (</w:t>
      </w:r>
      <w:r w:rsidRPr="003F7EE6">
        <w:rPr>
          <w:rFonts w:ascii="Times New Roman" w:eastAsia="Times New Roman" w:hAnsi="Times New Roman" w:cs="Times New Roman"/>
          <w:sz w:val="26"/>
          <w:szCs w:val="26"/>
        </w:rPr>
        <w:t>$</w:t>
      </w:r>
      <w:r w:rsidR="001B516C">
        <w:rPr>
          <w:rFonts w:ascii="Times New Roman" w:eastAsia="Times New Roman" w:hAnsi="Times New Roman" w:cs="Times New Roman"/>
          <w:sz w:val="26"/>
          <w:szCs w:val="26"/>
        </w:rPr>
        <w:t>1</w:t>
      </w:r>
      <w:r w:rsidR="00EF2D48">
        <w:rPr>
          <w:rFonts w:ascii="Times New Roman" w:eastAsia="Times New Roman" w:hAnsi="Times New Roman" w:cs="Times New Roman"/>
          <w:sz w:val="26"/>
          <w:szCs w:val="26"/>
        </w:rPr>
        <w:t>75</w:t>
      </w:r>
      <w:r w:rsidR="001B516C">
        <w:rPr>
          <w:rFonts w:ascii="Times New Roman" w:eastAsia="Times New Roman" w:hAnsi="Times New Roman" w:cs="Times New Roman"/>
          <w:sz w:val="26"/>
          <w:szCs w:val="26"/>
        </w:rPr>
        <w:t>,00</w:t>
      </w:r>
      <w:r w:rsidR="00EF2D48">
        <w:rPr>
          <w:rFonts w:ascii="Times New Roman" w:eastAsia="Times New Roman" w:hAnsi="Times New Roman" w:cs="Times New Roman"/>
          <w:sz w:val="26"/>
          <w:szCs w:val="26"/>
        </w:rPr>
        <w:t>0</w:t>
      </w:r>
      <w:r w:rsidR="00C558D8">
        <w:rPr>
          <w:rFonts w:ascii="Times New Roman" w:eastAsia="Times New Roman" w:hAnsi="Times New Roman" w:cs="Times New Roman"/>
          <w:sz w:val="26"/>
          <w:szCs w:val="26"/>
        </w:rPr>
        <w:t>)</w:t>
      </w:r>
      <w:r w:rsidRPr="003F7EE6">
        <w:rPr>
          <w:rFonts w:ascii="Times New Roman" w:eastAsia="Times New Roman" w:hAnsi="Times New Roman" w:cs="Times New Roman"/>
          <w:sz w:val="26"/>
          <w:szCs w:val="26"/>
        </w:rPr>
        <w:t xml:space="preserve">.  </w:t>
      </w:r>
      <w:r w:rsidR="00C558D8">
        <w:rPr>
          <w:rFonts w:ascii="Times New Roman" w:eastAsia="Times New Roman" w:hAnsi="Times New Roman" w:cs="Times New Roman"/>
          <w:sz w:val="26"/>
          <w:szCs w:val="26"/>
        </w:rPr>
        <w:t>The penalty include</w:t>
      </w:r>
      <w:r w:rsidR="00AE4A88">
        <w:rPr>
          <w:rFonts w:ascii="Times New Roman" w:eastAsia="Times New Roman" w:hAnsi="Times New Roman" w:cs="Times New Roman"/>
          <w:sz w:val="26"/>
          <w:szCs w:val="26"/>
        </w:rPr>
        <w:t xml:space="preserve">s: </w:t>
      </w:r>
      <w:r w:rsidR="00225835">
        <w:rPr>
          <w:rFonts w:ascii="Times New Roman" w:eastAsia="Times New Roman" w:hAnsi="Times New Roman" w:cs="Times New Roman"/>
          <w:sz w:val="26"/>
          <w:szCs w:val="26"/>
        </w:rPr>
        <w:t xml:space="preserve"> </w:t>
      </w:r>
      <w:r w:rsidR="00AE4A88">
        <w:rPr>
          <w:rFonts w:ascii="Times New Roman" w:eastAsia="Times New Roman" w:hAnsi="Times New Roman" w:cs="Times New Roman"/>
          <w:sz w:val="26"/>
          <w:szCs w:val="26"/>
        </w:rPr>
        <w:t xml:space="preserve">One Hundred Sixty-Eight </w:t>
      </w:r>
      <w:r w:rsidR="008E1F3A">
        <w:rPr>
          <w:rFonts w:ascii="Times New Roman" w:eastAsia="Times New Roman" w:hAnsi="Times New Roman" w:cs="Times New Roman"/>
          <w:sz w:val="26"/>
          <w:szCs w:val="26"/>
        </w:rPr>
        <w:t>Thousand</w:t>
      </w:r>
      <w:r w:rsidR="00AE4A88">
        <w:rPr>
          <w:rFonts w:ascii="Times New Roman" w:eastAsia="Times New Roman" w:hAnsi="Times New Roman" w:cs="Times New Roman"/>
          <w:sz w:val="26"/>
          <w:szCs w:val="26"/>
        </w:rPr>
        <w:t xml:space="preserve"> Dollars ($168,00</w:t>
      </w:r>
      <w:r w:rsidR="00DB324E">
        <w:rPr>
          <w:rFonts w:ascii="Times New Roman" w:eastAsia="Times New Roman" w:hAnsi="Times New Roman" w:cs="Times New Roman"/>
          <w:sz w:val="26"/>
          <w:szCs w:val="26"/>
        </w:rPr>
        <w:t>0</w:t>
      </w:r>
      <w:r w:rsidR="00AE4A88">
        <w:rPr>
          <w:rFonts w:ascii="Times New Roman" w:eastAsia="Times New Roman" w:hAnsi="Times New Roman" w:cs="Times New Roman"/>
          <w:sz w:val="26"/>
          <w:szCs w:val="26"/>
        </w:rPr>
        <w:t>)</w:t>
      </w:r>
      <w:r w:rsidR="005C45E7">
        <w:rPr>
          <w:rFonts w:ascii="Times New Roman" w:eastAsia="Times New Roman" w:hAnsi="Times New Roman" w:cs="Times New Roman"/>
          <w:sz w:val="26"/>
          <w:szCs w:val="26"/>
        </w:rPr>
        <w:t xml:space="preserve"> </w:t>
      </w:r>
      <w:r w:rsidR="002D0A56">
        <w:rPr>
          <w:rFonts w:ascii="Times New Roman" w:eastAsia="Times New Roman" w:hAnsi="Times New Roman" w:cs="Times New Roman"/>
          <w:sz w:val="26"/>
          <w:szCs w:val="26"/>
        </w:rPr>
        <w:t>or $</w:t>
      </w:r>
      <w:r w:rsidR="00046DCD">
        <w:rPr>
          <w:rFonts w:ascii="Times New Roman" w:eastAsia="Times New Roman" w:hAnsi="Times New Roman" w:cs="Times New Roman"/>
          <w:sz w:val="26"/>
          <w:szCs w:val="26"/>
        </w:rPr>
        <w:t>1,000</w:t>
      </w:r>
      <w:r w:rsidR="00AE4A88">
        <w:rPr>
          <w:rFonts w:ascii="Times New Roman" w:eastAsia="Times New Roman" w:hAnsi="Times New Roman" w:cs="Times New Roman"/>
          <w:sz w:val="26"/>
          <w:szCs w:val="26"/>
        </w:rPr>
        <w:t xml:space="preserve"> </w:t>
      </w:r>
      <w:r w:rsidR="008E1F3A">
        <w:rPr>
          <w:rFonts w:ascii="Times New Roman" w:eastAsia="Times New Roman" w:hAnsi="Times New Roman" w:cs="Times New Roman"/>
          <w:sz w:val="26"/>
          <w:szCs w:val="26"/>
        </w:rPr>
        <w:t xml:space="preserve">for </w:t>
      </w:r>
      <w:r w:rsidR="00046DCD">
        <w:rPr>
          <w:rFonts w:ascii="Times New Roman" w:eastAsia="Times New Roman" w:hAnsi="Times New Roman" w:cs="Times New Roman"/>
          <w:sz w:val="26"/>
          <w:szCs w:val="26"/>
        </w:rPr>
        <w:t xml:space="preserve">each of </w:t>
      </w:r>
      <w:r w:rsidR="008E1F3A">
        <w:rPr>
          <w:rFonts w:ascii="Times New Roman" w:eastAsia="Times New Roman" w:hAnsi="Times New Roman" w:cs="Times New Roman"/>
          <w:sz w:val="26"/>
          <w:szCs w:val="26"/>
        </w:rPr>
        <w:t xml:space="preserve">the 168 customer accounts that were switched to and received electric </w:t>
      </w:r>
      <w:r w:rsidR="00AD1AA1">
        <w:rPr>
          <w:rFonts w:ascii="Times New Roman" w:eastAsia="Times New Roman" w:hAnsi="Times New Roman" w:cs="Times New Roman"/>
          <w:sz w:val="26"/>
          <w:szCs w:val="26"/>
        </w:rPr>
        <w:t>generation</w:t>
      </w:r>
      <w:r w:rsidR="008E1F3A">
        <w:rPr>
          <w:rFonts w:ascii="Times New Roman" w:eastAsia="Times New Roman" w:hAnsi="Times New Roman" w:cs="Times New Roman"/>
          <w:sz w:val="26"/>
          <w:szCs w:val="26"/>
        </w:rPr>
        <w:t xml:space="preserve"> supply from NRG Home, and Seven Thousand Dollars ($7,000)</w:t>
      </w:r>
      <w:r w:rsidR="001A2520">
        <w:rPr>
          <w:rFonts w:ascii="Times New Roman" w:eastAsia="Times New Roman" w:hAnsi="Times New Roman" w:cs="Times New Roman"/>
          <w:sz w:val="26"/>
          <w:szCs w:val="26"/>
        </w:rPr>
        <w:t>,</w:t>
      </w:r>
      <w:r w:rsidR="008E1F3A">
        <w:rPr>
          <w:rFonts w:ascii="Times New Roman" w:eastAsia="Times New Roman" w:hAnsi="Times New Roman" w:cs="Times New Roman"/>
          <w:sz w:val="26"/>
          <w:szCs w:val="26"/>
        </w:rPr>
        <w:t xml:space="preserve"> </w:t>
      </w:r>
      <w:r w:rsidR="006658AF">
        <w:rPr>
          <w:rFonts w:ascii="Times New Roman" w:eastAsia="Times New Roman" w:hAnsi="Times New Roman" w:cs="Times New Roman"/>
          <w:sz w:val="26"/>
          <w:szCs w:val="26"/>
        </w:rPr>
        <w:t>or</w:t>
      </w:r>
      <w:r w:rsidR="001A2520">
        <w:rPr>
          <w:rFonts w:ascii="Times New Roman" w:eastAsia="Times New Roman" w:hAnsi="Times New Roman" w:cs="Times New Roman"/>
          <w:sz w:val="26"/>
          <w:szCs w:val="26"/>
        </w:rPr>
        <w:t xml:space="preserve"> $250 for each of the </w:t>
      </w:r>
      <w:r w:rsidR="00F7548B">
        <w:rPr>
          <w:rFonts w:ascii="Times New Roman" w:eastAsia="Times New Roman" w:hAnsi="Times New Roman" w:cs="Times New Roman"/>
          <w:sz w:val="26"/>
          <w:szCs w:val="26"/>
        </w:rPr>
        <w:t xml:space="preserve">28 customer accounts where the process of switching had been initiated but not completed.  </w:t>
      </w:r>
      <w:r w:rsidR="00E10DD1">
        <w:rPr>
          <w:rFonts w:ascii="Times New Roman" w:eastAsia="Times New Roman" w:hAnsi="Times New Roman" w:cs="Times New Roman"/>
          <w:sz w:val="26"/>
          <w:szCs w:val="26"/>
        </w:rPr>
        <w:t xml:space="preserve">The civil penalty shall not be tax deductible pursuant to Section 162(f) of the Internal Revenue Code, 26 U.S.C.S. § </w:t>
      </w:r>
      <w:r w:rsidR="003B5039">
        <w:rPr>
          <w:rFonts w:ascii="Times New Roman" w:eastAsia="Times New Roman" w:hAnsi="Times New Roman" w:cs="Times New Roman"/>
          <w:sz w:val="26"/>
          <w:szCs w:val="26"/>
        </w:rPr>
        <w:t xml:space="preserve">162(f). </w:t>
      </w:r>
      <w:r w:rsidR="00702670">
        <w:rPr>
          <w:rFonts w:ascii="Times New Roman" w:eastAsia="Times New Roman" w:hAnsi="Times New Roman" w:cs="Times New Roman"/>
          <w:sz w:val="26"/>
          <w:szCs w:val="26"/>
        </w:rPr>
        <w:t>Settlement at 10-11.</w:t>
      </w:r>
      <w:r w:rsidR="003B5039">
        <w:rPr>
          <w:rFonts w:ascii="Times New Roman" w:eastAsia="Times New Roman" w:hAnsi="Times New Roman" w:cs="Times New Roman"/>
          <w:sz w:val="26"/>
          <w:szCs w:val="26"/>
        </w:rPr>
        <w:t xml:space="preserve"> </w:t>
      </w:r>
    </w:p>
    <w:p w14:paraId="09E1070E" w14:textId="18D84FC6" w:rsidR="003B5039" w:rsidRDefault="003B5039" w:rsidP="00E62727">
      <w:pPr>
        <w:tabs>
          <w:tab w:val="center" w:pos="0"/>
        </w:tabs>
        <w:suppressAutoHyphens/>
        <w:spacing w:after="0" w:line="360" w:lineRule="auto"/>
        <w:rPr>
          <w:rFonts w:ascii="Times New Roman" w:eastAsia="Times New Roman" w:hAnsi="Times New Roman" w:cs="Times New Roman"/>
          <w:sz w:val="26"/>
          <w:szCs w:val="26"/>
        </w:rPr>
      </w:pPr>
    </w:p>
    <w:p w14:paraId="3D790E6F" w14:textId="02DA0CAB" w:rsidR="003B5039" w:rsidRDefault="003B5039"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addition, NRG Home will provide </w:t>
      </w:r>
      <w:r w:rsidR="00300236">
        <w:rPr>
          <w:rFonts w:ascii="Times New Roman" w:eastAsia="Times New Roman" w:hAnsi="Times New Roman" w:cs="Times New Roman"/>
          <w:sz w:val="26"/>
          <w:szCs w:val="26"/>
        </w:rPr>
        <w:t xml:space="preserve">to each of the customers, who had one or more of the </w:t>
      </w:r>
      <w:r w:rsidR="00F51D04">
        <w:rPr>
          <w:rFonts w:ascii="Times New Roman" w:eastAsia="Times New Roman" w:hAnsi="Times New Roman" w:cs="Times New Roman"/>
          <w:sz w:val="26"/>
          <w:szCs w:val="26"/>
        </w:rPr>
        <w:t xml:space="preserve">168 accounts switched to NRG Home, a refund for the entire electric generation supply portion on the customer’s bill for the first 2 billing periods that the customers were switched to NRG Home, pursuant to 52 Pa. Code § </w:t>
      </w:r>
      <w:r w:rsidR="005E4CBE">
        <w:rPr>
          <w:rFonts w:ascii="Times New Roman" w:eastAsia="Times New Roman" w:hAnsi="Times New Roman" w:cs="Times New Roman"/>
          <w:sz w:val="26"/>
          <w:szCs w:val="26"/>
        </w:rPr>
        <w:t xml:space="preserve">57.177(b).  NRG Home will refund any cancellation fee or early termination fee incurred by </w:t>
      </w:r>
      <w:r w:rsidR="00CE06F4">
        <w:rPr>
          <w:rFonts w:ascii="Times New Roman" w:eastAsia="Times New Roman" w:hAnsi="Times New Roman" w:cs="Times New Roman"/>
          <w:sz w:val="26"/>
          <w:szCs w:val="26"/>
        </w:rPr>
        <w:t xml:space="preserve">any of the aforementioned customers from another </w:t>
      </w:r>
      <w:r w:rsidR="002C0EE4">
        <w:rPr>
          <w:rFonts w:ascii="Times New Roman" w:eastAsia="Times New Roman" w:hAnsi="Times New Roman" w:cs="Times New Roman"/>
          <w:sz w:val="26"/>
          <w:szCs w:val="26"/>
        </w:rPr>
        <w:t>electric generation supplier (</w:t>
      </w:r>
      <w:r w:rsidR="00CE06F4">
        <w:rPr>
          <w:rFonts w:ascii="Times New Roman" w:eastAsia="Times New Roman" w:hAnsi="Times New Roman" w:cs="Times New Roman"/>
          <w:sz w:val="26"/>
          <w:szCs w:val="26"/>
        </w:rPr>
        <w:t>EGS</w:t>
      </w:r>
      <w:r w:rsidR="002C0EE4">
        <w:rPr>
          <w:rFonts w:ascii="Times New Roman" w:eastAsia="Times New Roman" w:hAnsi="Times New Roman" w:cs="Times New Roman"/>
          <w:sz w:val="26"/>
          <w:szCs w:val="26"/>
        </w:rPr>
        <w:t>)</w:t>
      </w:r>
      <w:r w:rsidR="00CE06F4">
        <w:rPr>
          <w:rFonts w:ascii="Times New Roman" w:eastAsia="Times New Roman" w:hAnsi="Times New Roman" w:cs="Times New Roman"/>
          <w:sz w:val="26"/>
          <w:szCs w:val="26"/>
        </w:rPr>
        <w:t xml:space="preserve"> as a result of the unauthorized switch to NRG Home, pursuant to 52 Pa. Code § </w:t>
      </w:r>
      <w:r w:rsidR="00095552">
        <w:rPr>
          <w:rFonts w:ascii="Times New Roman" w:eastAsia="Times New Roman" w:hAnsi="Times New Roman" w:cs="Times New Roman"/>
          <w:sz w:val="26"/>
          <w:szCs w:val="26"/>
        </w:rPr>
        <w:t xml:space="preserve">57.177(c), provided that the customer supplies documentation of incurring the fee.  </w:t>
      </w:r>
      <w:r w:rsidR="00EC4098">
        <w:rPr>
          <w:rFonts w:ascii="Times New Roman" w:eastAsia="Times New Roman" w:hAnsi="Times New Roman" w:cs="Times New Roman"/>
          <w:sz w:val="26"/>
          <w:szCs w:val="26"/>
        </w:rPr>
        <w:t xml:space="preserve">Settlement at </w:t>
      </w:r>
      <w:r w:rsidR="00702670">
        <w:rPr>
          <w:rFonts w:ascii="Times New Roman" w:eastAsia="Times New Roman" w:hAnsi="Times New Roman" w:cs="Times New Roman"/>
          <w:sz w:val="26"/>
          <w:szCs w:val="26"/>
        </w:rPr>
        <w:t>11.</w:t>
      </w:r>
    </w:p>
    <w:p w14:paraId="4ADB985F" w14:textId="657151DF" w:rsidR="00095552" w:rsidRDefault="00095552" w:rsidP="00E62727">
      <w:pPr>
        <w:tabs>
          <w:tab w:val="center" w:pos="0"/>
        </w:tabs>
        <w:suppressAutoHyphens/>
        <w:spacing w:after="0" w:line="360" w:lineRule="auto"/>
        <w:rPr>
          <w:rFonts w:ascii="Times New Roman" w:eastAsia="Times New Roman" w:hAnsi="Times New Roman" w:cs="Times New Roman"/>
          <w:sz w:val="26"/>
          <w:szCs w:val="26"/>
        </w:rPr>
      </w:pPr>
    </w:p>
    <w:p w14:paraId="475EBE4A" w14:textId="7C68815D" w:rsidR="00095552" w:rsidRDefault="00350B95"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NRG </w:t>
      </w:r>
      <w:r w:rsidR="00F35907">
        <w:rPr>
          <w:rFonts w:ascii="Times New Roman" w:eastAsia="Times New Roman" w:hAnsi="Times New Roman" w:cs="Times New Roman"/>
          <w:sz w:val="26"/>
          <w:szCs w:val="26"/>
        </w:rPr>
        <w:t xml:space="preserve">Home </w:t>
      </w:r>
      <w:r>
        <w:rPr>
          <w:rFonts w:ascii="Times New Roman" w:eastAsia="Times New Roman" w:hAnsi="Times New Roman" w:cs="Times New Roman"/>
          <w:sz w:val="26"/>
          <w:szCs w:val="26"/>
        </w:rPr>
        <w:t xml:space="preserve">will continue its </w:t>
      </w:r>
      <w:r w:rsidR="00702670">
        <w:rPr>
          <w:rFonts w:ascii="Times New Roman" w:eastAsia="Times New Roman" w:hAnsi="Times New Roman" w:cs="Times New Roman"/>
          <w:sz w:val="26"/>
          <w:szCs w:val="26"/>
        </w:rPr>
        <w:t>current</w:t>
      </w:r>
      <w:r>
        <w:rPr>
          <w:rFonts w:ascii="Times New Roman" w:eastAsia="Times New Roman" w:hAnsi="Times New Roman" w:cs="Times New Roman"/>
          <w:sz w:val="26"/>
          <w:szCs w:val="26"/>
        </w:rPr>
        <w:t xml:space="preserve"> level of quality assurance monitoring efforts for </w:t>
      </w:r>
      <w:r w:rsidR="006A74C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year, which include</w:t>
      </w:r>
      <w:r w:rsidR="006A0452">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random in-person visits to retail </w:t>
      </w:r>
      <w:r w:rsidR="00026C60">
        <w:rPr>
          <w:rFonts w:ascii="Times New Roman" w:eastAsia="Times New Roman" w:hAnsi="Times New Roman" w:cs="Times New Roman"/>
          <w:sz w:val="26"/>
          <w:szCs w:val="26"/>
        </w:rPr>
        <w:t xml:space="preserve">and </w:t>
      </w:r>
      <w:r w:rsidR="00702670">
        <w:rPr>
          <w:rFonts w:ascii="Times New Roman" w:eastAsia="Times New Roman" w:hAnsi="Times New Roman" w:cs="Times New Roman"/>
          <w:sz w:val="26"/>
          <w:szCs w:val="26"/>
        </w:rPr>
        <w:t>event</w:t>
      </w:r>
      <w:r w:rsidR="00026C60">
        <w:rPr>
          <w:rFonts w:ascii="Times New Roman" w:eastAsia="Times New Roman" w:hAnsi="Times New Roman" w:cs="Times New Roman"/>
          <w:sz w:val="26"/>
          <w:szCs w:val="26"/>
        </w:rPr>
        <w:t xml:space="preserve"> sales location</w:t>
      </w:r>
      <w:r w:rsidR="00046DCD">
        <w:rPr>
          <w:rFonts w:ascii="Times New Roman" w:eastAsia="Times New Roman" w:hAnsi="Times New Roman" w:cs="Times New Roman"/>
          <w:sz w:val="26"/>
          <w:szCs w:val="26"/>
        </w:rPr>
        <w:t>s</w:t>
      </w:r>
      <w:r w:rsidR="00026C60">
        <w:rPr>
          <w:rFonts w:ascii="Times New Roman" w:eastAsia="Times New Roman" w:hAnsi="Times New Roman" w:cs="Times New Roman"/>
          <w:sz w:val="26"/>
          <w:szCs w:val="26"/>
        </w:rPr>
        <w:t xml:space="preserve"> by NRG Home </w:t>
      </w:r>
      <w:r w:rsidR="00702670">
        <w:rPr>
          <w:rFonts w:ascii="Times New Roman" w:eastAsia="Times New Roman" w:hAnsi="Times New Roman" w:cs="Times New Roman"/>
          <w:sz w:val="26"/>
          <w:szCs w:val="26"/>
        </w:rPr>
        <w:t>employees</w:t>
      </w:r>
      <w:r w:rsidR="00026C60">
        <w:rPr>
          <w:rFonts w:ascii="Times New Roman" w:eastAsia="Times New Roman" w:hAnsi="Times New Roman" w:cs="Times New Roman"/>
          <w:sz w:val="26"/>
          <w:szCs w:val="26"/>
        </w:rPr>
        <w:t xml:space="preserve">.  </w:t>
      </w:r>
      <w:r w:rsidR="005268A9">
        <w:rPr>
          <w:rFonts w:ascii="Times New Roman" w:eastAsia="Times New Roman" w:hAnsi="Times New Roman" w:cs="Times New Roman"/>
          <w:sz w:val="26"/>
          <w:szCs w:val="26"/>
        </w:rPr>
        <w:t xml:space="preserve">NRG </w:t>
      </w:r>
      <w:r w:rsidR="00F35907">
        <w:rPr>
          <w:rFonts w:ascii="Times New Roman" w:eastAsia="Times New Roman" w:hAnsi="Times New Roman" w:cs="Times New Roman"/>
          <w:sz w:val="26"/>
          <w:szCs w:val="26"/>
        </w:rPr>
        <w:t xml:space="preserve">Home </w:t>
      </w:r>
      <w:r w:rsidR="005268A9">
        <w:rPr>
          <w:rFonts w:ascii="Times New Roman" w:eastAsia="Times New Roman" w:hAnsi="Times New Roman" w:cs="Times New Roman"/>
          <w:sz w:val="26"/>
          <w:szCs w:val="26"/>
        </w:rPr>
        <w:t xml:space="preserve">will </w:t>
      </w:r>
      <w:r w:rsidR="004911F1">
        <w:rPr>
          <w:rFonts w:ascii="Times New Roman" w:eastAsia="Times New Roman" w:hAnsi="Times New Roman" w:cs="Times New Roman"/>
          <w:sz w:val="26"/>
          <w:szCs w:val="26"/>
        </w:rPr>
        <w:t xml:space="preserve">provide monthly reports to I&amp;E </w:t>
      </w:r>
      <w:r w:rsidR="009D4BB5">
        <w:rPr>
          <w:rFonts w:ascii="Times New Roman" w:eastAsia="Times New Roman" w:hAnsi="Times New Roman" w:cs="Times New Roman"/>
          <w:sz w:val="26"/>
          <w:szCs w:val="26"/>
        </w:rPr>
        <w:t xml:space="preserve">for a period of </w:t>
      </w:r>
      <w:r w:rsidR="006A74CA">
        <w:rPr>
          <w:rFonts w:ascii="Times New Roman" w:eastAsia="Times New Roman" w:hAnsi="Times New Roman" w:cs="Times New Roman"/>
          <w:sz w:val="26"/>
          <w:szCs w:val="26"/>
        </w:rPr>
        <w:t>1</w:t>
      </w:r>
      <w:r w:rsidR="009D4BB5">
        <w:rPr>
          <w:rFonts w:ascii="Times New Roman" w:eastAsia="Times New Roman" w:hAnsi="Times New Roman" w:cs="Times New Roman"/>
          <w:sz w:val="26"/>
          <w:szCs w:val="26"/>
        </w:rPr>
        <w:t xml:space="preserve"> year detailing </w:t>
      </w:r>
      <w:r w:rsidR="00702670">
        <w:rPr>
          <w:rFonts w:ascii="Times New Roman" w:eastAsia="Times New Roman" w:hAnsi="Times New Roman" w:cs="Times New Roman"/>
          <w:sz w:val="26"/>
          <w:szCs w:val="26"/>
        </w:rPr>
        <w:t>complaints</w:t>
      </w:r>
      <w:r w:rsidR="00EC4098">
        <w:rPr>
          <w:rFonts w:ascii="Times New Roman" w:eastAsia="Times New Roman" w:hAnsi="Times New Roman" w:cs="Times New Roman"/>
          <w:sz w:val="26"/>
          <w:szCs w:val="26"/>
        </w:rPr>
        <w:t xml:space="preserve"> </w:t>
      </w:r>
      <w:r w:rsidR="00AF445C">
        <w:rPr>
          <w:rFonts w:ascii="Times New Roman" w:eastAsia="Times New Roman" w:hAnsi="Times New Roman" w:cs="Times New Roman"/>
          <w:sz w:val="26"/>
          <w:szCs w:val="26"/>
        </w:rPr>
        <w:t xml:space="preserve">from Pennsylvania consumers reported to BCS </w:t>
      </w:r>
      <w:r w:rsidR="00AF445C">
        <w:rPr>
          <w:rFonts w:ascii="Times New Roman" w:eastAsia="Times New Roman" w:hAnsi="Times New Roman" w:cs="Times New Roman"/>
          <w:sz w:val="26"/>
          <w:szCs w:val="26"/>
        </w:rPr>
        <w:lastRenderedPageBreak/>
        <w:t xml:space="preserve">and other agencies </w:t>
      </w:r>
      <w:r w:rsidR="00E17771">
        <w:rPr>
          <w:rFonts w:ascii="Times New Roman" w:eastAsia="Times New Roman" w:hAnsi="Times New Roman" w:cs="Times New Roman"/>
          <w:sz w:val="26"/>
          <w:szCs w:val="26"/>
        </w:rPr>
        <w:t xml:space="preserve">related to </w:t>
      </w:r>
      <w:r w:rsidR="00702670">
        <w:rPr>
          <w:rFonts w:ascii="Times New Roman" w:eastAsia="Times New Roman" w:hAnsi="Times New Roman" w:cs="Times New Roman"/>
          <w:sz w:val="26"/>
          <w:szCs w:val="26"/>
        </w:rPr>
        <w:t>allegations</w:t>
      </w:r>
      <w:r w:rsidR="00E17771">
        <w:rPr>
          <w:rFonts w:ascii="Times New Roman" w:eastAsia="Times New Roman" w:hAnsi="Times New Roman" w:cs="Times New Roman"/>
          <w:sz w:val="26"/>
          <w:szCs w:val="26"/>
        </w:rPr>
        <w:t xml:space="preserve"> of unauthorized switching </w:t>
      </w:r>
      <w:r w:rsidR="00EC4098">
        <w:rPr>
          <w:rFonts w:ascii="Times New Roman" w:eastAsia="Times New Roman" w:hAnsi="Times New Roman" w:cs="Times New Roman"/>
          <w:sz w:val="26"/>
          <w:szCs w:val="26"/>
        </w:rPr>
        <w:t xml:space="preserve">by NRG Home.  Settlement at 12.  </w:t>
      </w:r>
    </w:p>
    <w:p w14:paraId="5037D408" w14:textId="77777777" w:rsidR="00F3313F" w:rsidRDefault="00F3313F" w:rsidP="00E62727">
      <w:pPr>
        <w:tabs>
          <w:tab w:val="center" w:pos="0"/>
        </w:tabs>
        <w:suppressAutoHyphens/>
        <w:spacing w:after="0" w:line="360" w:lineRule="auto"/>
        <w:rPr>
          <w:rFonts w:ascii="Times New Roman" w:eastAsia="Times New Roman" w:hAnsi="Times New Roman" w:cs="Times New Roman"/>
          <w:sz w:val="26"/>
          <w:szCs w:val="26"/>
        </w:rPr>
      </w:pPr>
    </w:p>
    <w:p w14:paraId="79A82F2D" w14:textId="77EDCC14" w:rsidR="00F87AAF" w:rsidRDefault="00F87AAF" w:rsidP="00E6272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NRG Home will retain customer signatures placed on enrollment table</w:t>
      </w:r>
      <w:r w:rsidR="00B6456A">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s used at retail and event locations for </w:t>
      </w:r>
      <w:r w:rsidR="006A74C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year</w:t>
      </w:r>
      <w:r w:rsidR="00335F40">
        <w:rPr>
          <w:rFonts w:ascii="Times New Roman" w:eastAsia="Times New Roman" w:hAnsi="Times New Roman" w:cs="Times New Roman"/>
          <w:sz w:val="26"/>
          <w:szCs w:val="26"/>
        </w:rPr>
        <w:t xml:space="preserve"> and will provide such records to BC</w:t>
      </w:r>
      <w:r w:rsidR="00B6456A">
        <w:rPr>
          <w:rFonts w:ascii="Times New Roman" w:eastAsia="Times New Roman" w:hAnsi="Times New Roman" w:cs="Times New Roman"/>
          <w:sz w:val="26"/>
          <w:szCs w:val="26"/>
        </w:rPr>
        <w:t>S</w:t>
      </w:r>
      <w:r w:rsidR="00335F40">
        <w:rPr>
          <w:rFonts w:ascii="Times New Roman" w:eastAsia="Times New Roman" w:hAnsi="Times New Roman" w:cs="Times New Roman"/>
          <w:sz w:val="26"/>
          <w:szCs w:val="26"/>
        </w:rPr>
        <w:t xml:space="preserve"> and I&amp;E upon request.  </w:t>
      </w:r>
      <w:r w:rsidR="00221006">
        <w:rPr>
          <w:rFonts w:ascii="Times New Roman" w:eastAsia="Times New Roman" w:hAnsi="Times New Roman" w:cs="Times New Roman"/>
          <w:sz w:val="26"/>
          <w:szCs w:val="26"/>
        </w:rPr>
        <w:t xml:space="preserve">NRG Home will retain any audio </w:t>
      </w:r>
      <w:r w:rsidR="000529AD">
        <w:rPr>
          <w:rFonts w:ascii="Times New Roman" w:eastAsia="Times New Roman" w:hAnsi="Times New Roman" w:cs="Times New Roman"/>
          <w:sz w:val="26"/>
          <w:szCs w:val="26"/>
        </w:rPr>
        <w:t>recordings</w:t>
      </w:r>
      <w:r w:rsidR="00221006">
        <w:rPr>
          <w:rFonts w:ascii="Times New Roman" w:eastAsia="Times New Roman" w:hAnsi="Times New Roman" w:cs="Times New Roman"/>
          <w:sz w:val="26"/>
          <w:szCs w:val="26"/>
        </w:rPr>
        <w:t xml:space="preserve"> of </w:t>
      </w:r>
      <w:r w:rsidR="000529AD">
        <w:rPr>
          <w:rFonts w:ascii="Times New Roman" w:eastAsia="Times New Roman" w:hAnsi="Times New Roman" w:cs="Times New Roman"/>
          <w:sz w:val="26"/>
          <w:szCs w:val="26"/>
        </w:rPr>
        <w:t>verifications</w:t>
      </w:r>
      <w:r w:rsidR="00221006">
        <w:rPr>
          <w:rFonts w:ascii="Times New Roman" w:eastAsia="Times New Roman" w:hAnsi="Times New Roman" w:cs="Times New Roman"/>
          <w:sz w:val="26"/>
          <w:szCs w:val="26"/>
        </w:rPr>
        <w:t xml:space="preserve"> taken at </w:t>
      </w:r>
      <w:r w:rsidR="000529AD">
        <w:rPr>
          <w:rFonts w:ascii="Times New Roman" w:eastAsia="Times New Roman" w:hAnsi="Times New Roman" w:cs="Times New Roman"/>
          <w:sz w:val="26"/>
          <w:szCs w:val="26"/>
        </w:rPr>
        <w:t>retail</w:t>
      </w:r>
      <w:r w:rsidR="00221006">
        <w:rPr>
          <w:rFonts w:ascii="Times New Roman" w:eastAsia="Times New Roman" w:hAnsi="Times New Roman" w:cs="Times New Roman"/>
          <w:sz w:val="26"/>
          <w:szCs w:val="26"/>
        </w:rPr>
        <w:t xml:space="preserve"> and event locations for </w:t>
      </w:r>
      <w:r w:rsidR="006A74CA">
        <w:rPr>
          <w:rFonts w:ascii="Times New Roman" w:eastAsia="Times New Roman" w:hAnsi="Times New Roman" w:cs="Times New Roman"/>
          <w:sz w:val="26"/>
          <w:szCs w:val="26"/>
        </w:rPr>
        <w:t>1</w:t>
      </w:r>
      <w:r w:rsidR="00221006">
        <w:rPr>
          <w:rFonts w:ascii="Times New Roman" w:eastAsia="Times New Roman" w:hAnsi="Times New Roman" w:cs="Times New Roman"/>
          <w:sz w:val="26"/>
          <w:szCs w:val="26"/>
        </w:rPr>
        <w:t xml:space="preserve"> year </w:t>
      </w:r>
      <w:r w:rsidR="000529AD">
        <w:rPr>
          <w:rFonts w:ascii="Times New Roman" w:eastAsia="Times New Roman" w:hAnsi="Times New Roman" w:cs="Times New Roman"/>
          <w:sz w:val="26"/>
          <w:szCs w:val="26"/>
        </w:rPr>
        <w:t xml:space="preserve">if alternative forms of verification, </w:t>
      </w:r>
      <w:r w:rsidR="00B6456A" w:rsidRPr="00B6456A">
        <w:rPr>
          <w:rFonts w:ascii="Times New Roman" w:eastAsia="Times New Roman" w:hAnsi="Times New Roman" w:cs="Times New Roman"/>
          <w:i/>
          <w:iCs/>
          <w:sz w:val="26"/>
          <w:szCs w:val="26"/>
        </w:rPr>
        <w:t>i.e.,</w:t>
      </w:r>
      <w:r w:rsidR="000529AD">
        <w:rPr>
          <w:rFonts w:ascii="Times New Roman" w:eastAsia="Times New Roman" w:hAnsi="Times New Roman" w:cs="Times New Roman"/>
          <w:sz w:val="26"/>
          <w:szCs w:val="26"/>
        </w:rPr>
        <w:t xml:space="preserve"> electronic customer signatures are not utilized.  </w:t>
      </w:r>
      <w:r w:rsidR="000529AD" w:rsidRPr="000529AD">
        <w:rPr>
          <w:rFonts w:ascii="Times New Roman" w:eastAsia="Times New Roman" w:hAnsi="Times New Roman" w:cs="Times New Roman"/>
          <w:i/>
          <w:iCs/>
          <w:sz w:val="26"/>
          <w:szCs w:val="26"/>
        </w:rPr>
        <w:t>Id.</w:t>
      </w:r>
      <w:r w:rsidR="000529AD">
        <w:rPr>
          <w:rFonts w:ascii="Times New Roman" w:eastAsia="Times New Roman" w:hAnsi="Times New Roman" w:cs="Times New Roman"/>
          <w:sz w:val="26"/>
          <w:szCs w:val="26"/>
        </w:rPr>
        <w:t xml:space="preserve"> </w:t>
      </w:r>
    </w:p>
    <w:p w14:paraId="7E15A7C6" w14:textId="77777777" w:rsidR="00D53853" w:rsidRDefault="00D53853" w:rsidP="00E62727">
      <w:pPr>
        <w:tabs>
          <w:tab w:val="center" w:pos="0"/>
        </w:tabs>
        <w:suppressAutoHyphens/>
        <w:spacing w:after="0" w:line="360" w:lineRule="auto"/>
        <w:rPr>
          <w:rFonts w:ascii="Times New Roman" w:eastAsia="Times New Roman" w:hAnsi="Times New Roman" w:cs="Times New Roman"/>
          <w:sz w:val="26"/>
          <w:szCs w:val="26"/>
        </w:rPr>
      </w:pPr>
    </w:p>
    <w:p w14:paraId="4523737A" w14:textId="3BDC5BBE" w:rsidR="00F44833" w:rsidRDefault="00D53853" w:rsidP="002E3FD9">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44833" w:rsidRPr="003F7EE6">
        <w:rPr>
          <w:rFonts w:ascii="Times New Roman" w:eastAsia="Times New Roman" w:hAnsi="Times New Roman" w:cs="Times New Roman"/>
          <w:sz w:val="26"/>
          <w:szCs w:val="26"/>
        </w:rPr>
        <w:t>In re</w:t>
      </w:r>
      <w:r w:rsidR="00046DCD">
        <w:rPr>
          <w:rFonts w:ascii="Times New Roman" w:eastAsia="Times New Roman" w:hAnsi="Times New Roman" w:cs="Times New Roman"/>
          <w:sz w:val="26"/>
          <w:szCs w:val="26"/>
        </w:rPr>
        <w:t>cognition of these remedies agreed to by NRG Home</w:t>
      </w:r>
      <w:r w:rsidR="00F44833" w:rsidRPr="003F7EE6">
        <w:rPr>
          <w:rFonts w:ascii="Times New Roman" w:eastAsia="Times New Roman" w:hAnsi="Times New Roman" w:cs="Times New Roman"/>
          <w:sz w:val="26"/>
          <w:szCs w:val="26"/>
        </w:rPr>
        <w:t>, I&amp;E agrees to for</w:t>
      </w:r>
      <w:r w:rsidR="009B273A">
        <w:rPr>
          <w:rFonts w:ascii="Times New Roman" w:eastAsia="Times New Roman" w:hAnsi="Times New Roman" w:cs="Times New Roman"/>
          <w:sz w:val="26"/>
          <w:szCs w:val="26"/>
        </w:rPr>
        <w:t>go the inst</w:t>
      </w:r>
      <w:r w:rsidR="0066740B">
        <w:rPr>
          <w:rFonts w:ascii="Times New Roman" w:eastAsia="Times New Roman" w:hAnsi="Times New Roman" w:cs="Times New Roman"/>
          <w:sz w:val="26"/>
          <w:szCs w:val="26"/>
        </w:rPr>
        <w:t>itution of any formal complaint against NRG Home at the Commission with respect to allegations of unauthorized enrollments comm</w:t>
      </w:r>
      <w:r w:rsidR="00570550">
        <w:rPr>
          <w:rFonts w:ascii="Times New Roman" w:eastAsia="Times New Roman" w:hAnsi="Times New Roman" w:cs="Times New Roman"/>
          <w:sz w:val="26"/>
          <w:szCs w:val="26"/>
        </w:rPr>
        <w:t>itted</w:t>
      </w:r>
      <w:r w:rsidR="0066740B">
        <w:rPr>
          <w:rFonts w:ascii="Times New Roman" w:eastAsia="Times New Roman" w:hAnsi="Times New Roman" w:cs="Times New Roman"/>
          <w:sz w:val="26"/>
          <w:szCs w:val="26"/>
        </w:rPr>
        <w:t xml:space="preserve"> by NRG Home agents at in-person retail locations during the time period in question.  Settlement at 13.  </w:t>
      </w:r>
    </w:p>
    <w:p w14:paraId="5D1C79B0" w14:textId="77777777" w:rsidR="0030119F" w:rsidRPr="0076372B" w:rsidRDefault="0030119F" w:rsidP="002E3FD9">
      <w:pPr>
        <w:tabs>
          <w:tab w:val="center" w:pos="0"/>
        </w:tabs>
        <w:suppressAutoHyphens/>
        <w:spacing w:after="0" w:line="360" w:lineRule="auto"/>
        <w:rPr>
          <w:rFonts w:ascii="Times New Roman" w:eastAsia="Times New Roman" w:hAnsi="Times New Roman" w:cs="Times New Roman"/>
          <w:sz w:val="26"/>
          <w:szCs w:val="26"/>
        </w:rPr>
      </w:pPr>
    </w:p>
    <w:p w14:paraId="54DA4AB2" w14:textId="25B80E4C" w:rsidR="00F44833" w:rsidRPr="0076372B" w:rsidRDefault="00F44833" w:rsidP="00F44833">
      <w:pPr>
        <w:tabs>
          <w:tab w:val="center" w:pos="720"/>
        </w:tabs>
        <w:suppressAutoHyphens/>
        <w:spacing w:after="0" w:line="360" w:lineRule="auto"/>
        <w:rPr>
          <w:rFonts w:ascii="Times New Roman" w:eastAsia="Times New Roman" w:hAnsi="Times New Roman" w:cs="Times New Roman"/>
          <w:iCs/>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001D21A5" w:rsidRPr="001D21A5">
        <w:rPr>
          <w:rFonts w:ascii="Times New Roman" w:eastAsia="Times New Roman" w:hAnsi="Times New Roman" w:cs="Times New Roman"/>
          <w:i/>
          <w:iCs/>
          <w:sz w:val="26"/>
          <w:szCs w:val="26"/>
        </w:rPr>
        <w:t>Id.</w:t>
      </w:r>
      <w:r w:rsidR="001D21A5">
        <w:rPr>
          <w:rFonts w:ascii="Times New Roman" w:eastAsia="Times New Roman" w:hAnsi="Times New Roman" w:cs="Times New Roman"/>
          <w:sz w:val="26"/>
          <w:szCs w:val="26"/>
        </w:rPr>
        <w:t xml:space="preserve"> </w:t>
      </w:r>
      <w:r w:rsidR="008B0C79">
        <w:rPr>
          <w:rFonts w:ascii="Times New Roman" w:eastAsia="Times New Roman" w:hAnsi="Times New Roman" w:cs="Times New Roman"/>
          <w:sz w:val="26"/>
          <w:szCs w:val="26"/>
        </w:rPr>
        <w:t xml:space="preserve">at </w:t>
      </w:r>
      <w:r w:rsidR="00F81F74">
        <w:rPr>
          <w:rFonts w:ascii="Times New Roman" w:eastAsia="Times New Roman" w:hAnsi="Times New Roman" w:cs="Times New Roman"/>
          <w:sz w:val="26"/>
          <w:szCs w:val="26"/>
        </w:rPr>
        <w:t>14.</w:t>
      </w:r>
    </w:p>
    <w:p w14:paraId="55707DEE" w14:textId="77777777" w:rsidR="00F44833" w:rsidRPr="003F7EE6" w:rsidRDefault="00F44833" w:rsidP="00F44833">
      <w:pPr>
        <w:tabs>
          <w:tab w:val="center" w:pos="720"/>
        </w:tabs>
        <w:suppressAutoHyphens/>
        <w:spacing w:after="0" w:line="360" w:lineRule="auto"/>
        <w:rPr>
          <w:rFonts w:ascii="Times New Roman" w:eastAsia="Times New Roman" w:hAnsi="Times New Roman" w:cs="Times New Roman"/>
          <w:sz w:val="26"/>
          <w:szCs w:val="26"/>
        </w:rPr>
      </w:pPr>
    </w:p>
    <w:p w14:paraId="579C098C" w14:textId="77777777" w:rsidR="00F44833" w:rsidRPr="003F7EE6" w:rsidRDefault="00F44833" w:rsidP="00F3313F">
      <w:pPr>
        <w:keepNext/>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182723E4" w14:textId="77777777" w:rsidR="00F44833" w:rsidRPr="003F7EE6" w:rsidRDefault="00F44833" w:rsidP="00F44833">
      <w:pPr>
        <w:keepNext/>
        <w:tabs>
          <w:tab w:val="center" w:pos="720"/>
        </w:tabs>
        <w:suppressAutoHyphens/>
        <w:spacing w:after="0" w:line="360" w:lineRule="auto"/>
        <w:rPr>
          <w:rFonts w:ascii="Times New Roman" w:eastAsia="Times New Roman" w:hAnsi="Times New Roman" w:cs="Times New Roman"/>
          <w:sz w:val="26"/>
          <w:szCs w:val="26"/>
        </w:rPr>
      </w:pPr>
    </w:p>
    <w:p w14:paraId="26E03E35" w14:textId="59D7D923" w:rsidR="00461FFE" w:rsidRPr="00461FFE" w:rsidRDefault="00F44833" w:rsidP="00461FFE">
      <w:pPr>
        <w:tabs>
          <w:tab w:val="center"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461FFE" w:rsidRPr="00461FFE">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00461FFE" w:rsidRPr="00461FFE">
        <w:rPr>
          <w:rFonts w:ascii="Times New Roman" w:eastAsia="Times New Roman" w:hAnsi="Times New Roman" w:cs="Times New Roman"/>
          <w:i/>
          <w:sz w:val="26"/>
          <w:szCs w:val="26"/>
        </w:rPr>
        <w:t>Consolidated Rail Corp. v. Pa. PUC</w:t>
      </w:r>
      <w:r w:rsidR="00461FFE" w:rsidRPr="00461FFE">
        <w:rPr>
          <w:rFonts w:ascii="Times New Roman" w:eastAsia="Times New Roman" w:hAnsi="Times New Roman" w:cs="Times New Roman"/>
          <w:sz w:val="26"/>
          <w:szCs w:val="26"/>
        </w:rPr>
        <w:t>, 625</w:t>
      </w:r>
      <w:r w:rsidR="00F3313F">
        <w:rPr>
          <w:rFonts w:ascii="Times New Roman" w:eastAsia="Times New Roman" w:hAnsi="Times New Roman" w:cs="Times New Roman"/>
          <w:sz w:val="26"/>
          <w:szCs w:val="26"/>
        </w:rPr>
        <w:t> </w:t>
      </w:r>
      <w:r w:rsidR="00461FFE" w:rsidRPr="00461FFE">
        <w:rPr>
          <w:rFonts w:ascii="Times New Roman" w:eastAsia="Times New Roman" w:hAnsi="Times New Roman" w:cs="Times New Roman"/>
          <w:sz w:val="26"/>
          <w:szCs w:val="26"/>
        </w:rPr>
        <w:t xml:space="preserve">A.2d 741 (Pa. Cmwlth. 1993); </w:t>
      </w:r>
      <w:r w:rsidR="00461FFE" w:rsidRPr="00461FFE">
        <w:rPr>
          <w:rFonts w:ascii="Times New Roman" w:eastAsia="Times New Roman" w:hAnsi="Times New Roman" w:cs="Times New Roman"/>
          <w:i/>
          <w:sz w:val="26"/>
          <w:szCs w:val="26"/>
        </w:rPr>
        <w:t>also see, generally</w:t>
      </w:r>
      <w:r w:rsidR="00461FFE" w:rsidRPr="00461FFE">
        <w:rPr>
          <w:rFonts w:ascii="Times New Roman" w:eastAsia="Times New Roman" w:hAnsi="Times New Roman" w:cs="Times New Roman"/>
          <w:sz w:val="26"/>
          <w:szCs w:val="26"/>
        </w:rPr>
        <w:t xml:space="preserve">, </w:t>
      </w:r>
      <w:r w:rsidR="00461FFE" w:rsidRPr="00461FFE">
        <w:rPr>
          <w:rFonts w:ascii="Times New Roman" w:eastAsia="Times New Roman" w:hAnsi="Times New Roman" w:cs="Times New Roman"/>
          <w:i/>
          <w:sz w:val="26"/>
          <w:szCs w:val="26"/>
        </w:rPr>
        <w:t>University of Pennsylvania v. Pa.</w:t>
      </w:r>
      <w:r w:rsidR="00F3313F">
        <w:rPr>
          <w:rFonts w:ascii="Times New Roman" w:eastAsia="Times New Roman" w:hAnsi="Times New Roman" w:cs="Times New Roman"/>
          <w:i/>
          <w:sz w:val="26"/>
          <w:szCs w:val="26"/>
        </w:rPr>
        <w:t> </w:t>
      </w:r>
      <w:r w:rsidR="00461FFE" w:rsidRPr="00461FFE">
        <w:rPr>
          <w:rFonts w:ascii="Times New Roman" w:eastAsia="Times New Roman" w:hAnsi="Times New Roman" w:cs="Times New Roman"/>
          <w:i/>
          <w:sz w:val="26"/>
          <w:szCs w:val="26"/>
        </w:rPr>
        <w:t>PUC</w:t>
      </w:r>
      <w:r w:rsidR="00461FFE" w:rsidRPr="00461FFE">
        <w:rPr>
          <w:rFonts w:ascii="Times New Roman" w:eastAsia="Times New Roman" w:hAnsi="Times New Roman" w:cs="Times New Roman"/>
          <w:sz w:val="26"/>
          <w:szCs w:val="26"/>
        </w:rPr>
        <w:t>, 485 A.2d 1217 (Pa. Cmwlth. 1984).</w:t>
      </w:r>
    </w:p>
    <w:p w14:paraId="03BF4628" w14:textId="77777777" w:rsidR="00461FFE" w:rsidRPr="00461FFE" w:rsidRDefault="00461FFE" w:rsidP="00461FFE">
      <w:pPr>
        <w:tabs>
          <w:tab w:val="center" w:pos="720"/>
        </w:tabs>
        <w:suppressAutoHyphens/>
        <w:spacing w:after="0" w:line="360" w:lineRule="auto"/>
        <w:rPr>
          <w:rFonts w:ascii="Times New Roman" w:eastAsia="Times New Roman" w:hAnsi="Times New Roman" w:cs="Times New Roman"/>
          <w:sz w:val="26"/>
          <w:szCs w:val="26"/>
          <w:lang w:bidi="hi-IN"/>
        </w:rPr>
      </w:pPr>
    </w:p>
    <w:p w14:paraId="5BF32A45"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lastRenderedPageBreak/>
        <w:t xml:space="preserve">Pursuant to our Regulations at 52 Pa. Code § 5.231, it is the Commission’s policy to promote settlements.  The Commission must review proposed settlements to determine whether the terms are in the public interest.  </w:t>
      </w:r>
      <w:r w:rsidRPr="00461FFE">
        <w:rPr>
          <w:rFonts w:ascii="Times New Roman" w:eastAsia="Times New Roman" w:hAnsi="Times New Roman" w:cs="Times New Roman"/>
          <w:i/>
          <w:sz w:val="26"/>
          <w:szCs w:val="26"/>
        </w:rPr>
        <w:t>Pa. PUC v. Philadelphia Gas Works</w:t>
      </w:r>
      <w:r w:rsidRPr="00461FFE">
        <w:rPr>
          <w:rFonts w:ascii="Times New Roman" w:eastAsia="Times New Roman" w:hAnsi="Times New Roman" w:cs="Times New Roman"/>
          <w:sz w:val="26"/>
          <w:szCs w:val="26"/>
        </w:rPr>
        <w:t>, Docket No. M-00031768 (Order entered January 7, 2004).  After a review of the terms of the Settlement, we find that it is in the public interest.</w:t>
      </w:r>
    </w:p>
    <w:p w14:paraId="1AA98CAF"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p>
    <w:p w14:paraId="7586D376" w14:textId="78BB1CD0" w:rsid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t xml:space="preserve">The Commission has promulgated a Policy Statement at 52 Pa. Code § 69.1201 that sets forth </w:t>
      </w:r>
      <w:r w:rsidR="006A74CA">
        <w:rPr>
          <w:rFonts w:ascii="Times New Roman" w:eastAsia="Times New Roman" w:hAnsi="Times New Roman" w:cs="Times New Roman"/>
          <w:sz w:val="26"/>
          <w:szCs w:val="26"/>
        </w:rPr>
        <w:t>10</w:t>
      </w:r>
      <w:r w:rsidRPr="00461FFE">
        <w:rPr>
          <w:rFonts w:ascii="Times New Roman" w:eastAsia="Times New Roman" w:hAnsi="Times New Roman" w:cs="Times New Roman"/>
          <w:sz w:val="26"/>
          <w:szCs w:val="26"/>
        </w:rPr>
        <w:t xml:space="preserve">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14:paraId="2F564C0F" w14:textId="1CB0A4CE" w:rsidR="00EF4F9A" w:rsidRDefault="00EF4F9A" w:rsidP="00461FFE">
      <w:pPr>
        <w:spacing w:after="0" w:line="360" w:lineRule="auto"/>
        <w:ind w:firstLine="1440"/>
        <w:rPr>
          <w:rFonts w:ascii="Times New Roman" w:eastAsia="Times New Roman" w:hAnsi="Times New Roman" w:cs="Times New Roman"/>
          <w:sz w:val="26"/>
          <w:szCs w:val="26"/>
        </w:rPr>
      </w:pPr>
    </w:p>
    <w:p w14:paraId="3E85E8F9" w14:textId="77777777" w:rsidR="00F52795" w:rsidRDefault="00EF4F9A" w:rsidP="008F2C97">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first factor considers whether the conduct at issue was of a serious nature, such as willful fraud or misrepresentation, or if the conduct was less egregious, such as an administrative or technical error.  Conduct of a more serious nature may warrant a higher penalty.  52 Pa. Code § 69.1201(c)(1).  </w:t>
      </w:r>
      <w:r w:rsidR="004F3182">
        <w:rPr>
          <w:rFonts w:ascii="Times New Roman" w:eastAsia="Times New Roman" w:hAnsi="Times New Roman" w:cs="Times New Roman"/>
          <w:sz w:val="26"/>
          <w:szCs w:val="26"/>
        </w:rPr>
        <w:t>T</w:t>
      </w:r>
      <w:r w:rsidRPr="00F43602">
        <w:rPr>
          <w:rFonts w:ascii="Times New Roman" w:eastAsia="Times New Roman" w:hAnsi="Times New Roman" w:cs="Times New Roman"/>
          <w:sz w:val="26"/>
          <w:szCs w:val="26"/>
        </w:rPr>
        <w:t xml:space="preserve">he </w:t>
      </w:r>
      <w:r w:rsidR="00176C93">
        <w:rPr>
          <w:rFonts w:ascii="Times New Roman" w:eastAsia="Times New Roman" w:hAnsi="Times New Roman" w:cs="Times New Roman"/>
          <w:sz w:val="26"/>
          <w:szCs w:val="26"/>
        </w:rPr>
        <w:t xml:space="preserve">alleged </w:t>
      </w:r>
      <w:r w:rsidRPr="00F43602">
        <w:rPr>
          <w:rFonts w:ascii="Times New Roman" w:eastAsia="Times New Roman" w:hAnsi="Times New Roman" w:cs="Times New Roman"/>
          <w:sz w:val="26"/>
          <w:szCs w:val="26"/>
        </w:rPr>
        <w:t xml:space="preserve">conduct in this matter involves unauthorized switching performed by NRG Home agents at retail and event locations where the ECL was accessible to the agents.  Some instances of the unauthorized switching were inadvertent, such as selecting the incorrect customer from the ECL.  Other unauthorized switching instances involved a scheme conducted by NRG Home agents to improperly use the information contained in the ECL to enroll customers with NRG’s electric generation supply service without authorization.  </w:t>
      </w:r>
      <w:r w:rsidR="004F3182">
        <w:rPr>
          <w:rFonts w:ascii="Times New Roman" w:eastAsia="Times New Roman" w:hAnsi="Times New Roman" w:cs="Times New Roman"/>
          <w:sz w:val="26"/>
          <w:szCs w:val="26"/>
        </w:rPr>
        <w:t>T</w:t>
      </w:r>
      <w:r w:rsidRPr="00F43602">
        <w:rPr>
          <w:rFonts w:ascii="Times New Roman" w:eastAsia="Times New Roman" w:hAnsi="Times New Roman" w:cs="Times New Roman"/>
          <w:sz w:val="26"/>
          <w:szCs w:val="26"/>
        </w:rPr>
        <w:t xml:space="preserve">he violations averred in </w:t>
      </w:r>
      <w:r w:rsidR="004F3182">
        <w:rPr>
          <w:rFonts w:ascii="Times New Roman" w:eastAsia="Times New Roman" w:hAnsi="Times New Roman" w:cs="Times New Roman"/>
          <w:sz w:val="26"/>
          <w:szCs w:val="26"/>
        </w:rPr>
        <w:t>this</w:t>
      </w:r>
      <w:r w:rsidRPr="00F43602">
        <w:rPr>
          <w:rFonts w:ascii="Times New Roman" w:eastAsia="Times New Roman" w:hAnsi="Times New Roman" w:cs="Times New Roman"/>
          <w:sz w:val="26"/>
          <w:szCs w:val="26"/>
        </w:rPr>
        <w:t xml:space="preserve"> investigation are of a serious nature in that they involve changing a customer’s electric generation supplier without consent.  Consequently, the seriousness of these violations was considered in arriving at the </w:t>
      </w:r>
      <w:r w:rsidR="00046DCD">
        <w:rPr>
          <w:rFonts w:ascii="Times New Roman" w:eastAsia="Times New Roman" w:hAnsi="Times New Roman" w:cs="Times New Roman"/>
          <w:sz w:val="26"/>
          <w:szCs w:val="26"/>
        </w:rPr>
        <w:t xml:space="preserve">proposed </w:t>
      </w:r>
      <w:r w:rsidRPr="00F43602">
        <w:rPr>
          <w:rFonts w:ascii="Times New Roman" w:eastAsia="Times New Roman" w:hAnsi="Times New Roman" w:cs="Times New Roman"/>
          <w:sz w:val="26"/>
          <w:szCs w:val="26"/>
        </w:rPr>
        <w:t>civil penalty in the Settlement.</w:t>
      </w:r>
    </w:p>
    <w:p w14:paraId="3A40379A" w14:textId="74E98AFC" w:rsidR="002270FF" w:rsidRPr="00F43602" w:rsidRDefault="00545966" w:rsidP="008F2C97">
      <w:pPr>
        <w:tabs>
          <w:tab w:val="num" w:pos="1440"/>
        </w:tab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C80A318" w14:textId="6D4F2E1E" w:rsidR="00EF4F9A" w:rsidRDefault="00EF4F9A">
      <w:pPr>
        <w:tabs>
          <w:tab w:val="num" w:pos="1440"/>
        </w:tabs>
        <w:spacing w:after="0" w:line="360" w:lineRule="auto"/>
        <w:ind w:firstLine="1440"/>
        <w:rPr>
          <w:rFonts w:ascii="Times New Roman" w:eastAsia="Times New Roman" w:hAnsi="Times New Roman" w:cs="Times New Roman"/>
          <w:color w:val="000000"/>
          <w:sz w:val="26"/>
          <w:szCs w:val="26"/>
        </w:rPr>
      </w:pPr>
      <w:r w:rsidRPr="00F43602">
        <w:rPr>
          <w:rFonts w:ascii="Times New Roman" w:eastAsia="Times New Roman" w:hAnsi="Times New Roman" w:cs="Times New Roman"/>
          <w:sz w:val="26"/>
          <w:szCs w:val="26"/>
        </w:rPr>
        <w:lastRenderedPageBreak/>
        <w:t xml:space="preserve">The second factor considered is whether the resulting consequences of NRG Home’s alleged conduct were of a serious nature.  When consequences of a serious nature are involved, such as personal injury or property damage, the consequences may warrant a higher penalty.  52 Pa. Code § 69.1201(c)(2).  </w:t>
      </w:r>
      <w:r w:rsidR="0009206A">
        <w:rPr>
          <w:rFonts w:ascii="Times New Roman" w:eastAsia="Times New Roman" w:hAnsi="Times New Roman" w:cs="Times New Roman"/>
          <w:sz w:val="26"/>
          <w:szCs w:val="26"/>
        </w:rPr>
        <w:t>There is no indication that</w:t>
      </w:r>
      <w:r w:rsidRPr="00F43602">
        <w:rPr>
          <w:rFonts w:ascii="Times New Roman" w:eastAsia="Times New Roman" w:hAnsi="Times New Roman" w:cs="Times New Roman"/>
          <w:sz w:val="26"/>
          <w:szCs w:val="26"/>
        </w:rPr>
        <w:t xml:space="preserve"> personal injury or property damage occurred as a result of the alleged violations.  Nevertheless, the consequences of the alleged violations may have resulted in customers, who received electric generation supplied by NRG Home, being charged a more expensive rate than the local electric distribution company’s price-to-compare (PTC) or the rate of another generation supplier.  </w:t>
      </w:r>
      <w:r w:rsidRPr="00F43602">
        <w:rPr>
          <w:rFonts w:ascii="Times New Roman" w:eastAsia="Times New Roman" w:hAnsi="Times New Roman" w:cs="Times New Roman"/>
          <w:color w:val="000000"/>
          <w:sz w:val="26"/>
          <w:szCs w:val="26"/>
        </w:rPr>
        <w:t xml:space="preserve">Accordingly, </w:t>
      </w:r>
      <w:r w:rsidR="00892300">
        <w:rPr>
          <w:rFonts w:ascii="Times New Roman" w:eastAsia="Times New Roman" w:hAnsi="Times New Roman" w:cs="Times New Roman"/>
          <w:color w:val="000000"/>
          <w:sz w:val="26"/>
          <w:szCs w:val="26"/>
        </w:rPr>
        <w:t>s</w:t>
      </w:r>
      <w:r w:rsidRPr="00F43602">
        <w:rPr>
          <w:rFonts w:ascii="Times New Roman" w:eastAsia="Times New Roman" w:hAnsi="Times New Roman" w:cs="Times New Roman"/>
          <w:color w:val="000000"/>
          <w:sz w:val="26"/>
          <w:szCs w:val="26"/>
        </w:rPr>
        <w:t>ome customers may have experienced financial consequences as a result of the actions of NRG Home agents and such consequences should be deemed serious</w:t>
      </w:r>
      <w:r w:rsidR="00515B1F">
        <w:rPr>
          <w:rFonts w:ascii="Times New Roman" w:eastAsia="Times New Roman" w:hAnsi="Times New Roman" w:cs="Times New Roman"/>
          <w:color w:val="000000"/>
          <w:sz w:val="26"/>
          <w:szCs w:val="26"/>
        </w:rPr>
        <w:t>.</w:t>
      </w:r>
    </w:p>
    <w:p w14:paraId="77AE39A9" w14:textId="77777777" w:rsidR="00F52795" w:rsidRDefault="00F52795">
      <w:pPr>
        <w:tabs>
          <w:tab w:val="num" w:pos="1440"/>
        </w:tabs>
        <w:spacing w:after="0" w:line="360" w:lineRule="auto"/>
        <w:ind w:firstLine="1440"/>
        <w:rPr>
          <w:rFonts w:ascii="Times New Roman" w:eastAsia="Times New Roman" w:hAnsi="Times New Roman" w:cs="Times New Roman"/>
          <w:color w:val="000000"/>
          <w:sz w:val="26"/>
          <w:szCs w:val="26"/>
        </w:rPr>
      </w:pPr>
    </w:p>
    <w:p w14:paraId="6DFDD17E" w14:textId="64E784ED" w:rsidR="00EF4F9A"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F43602">
        <w:rPr>
          <w:rFonts w:ascii="Times New Roman" w:eastAsia="Times New Roman" w:hAnsi="Times New Roman" w:cs="Times New Roman"/>
          <w:i/>
          <w:sz w:val="26"/>
          <w:szCs w:val="26"/>
        </w:rPr>
        <w:t>Id.</w:t>
      </w:r>
      <w:r w:rsidRPr="00F43602">
        <w:rPr>
          <w:rFonts w:ascii="Times New Roman" w:eastAsia="Times New Roman" w:hAnsi="Times New Roman" w:cs="Times New Roman"/>
          <w:sz w:val="26"/>
          <w:szCs w:val="26"/>
        </w:rPr>
        <w:t xml:space="preserve">  Whether NRG Home’s alleged conduct was intentional or negligent does not apply </w:t>
      </w:r>
      <w:r w:rsidR="00046DCD">
        <w:rPr>
          <w:rFonts w:ascii="Times New Roman" w:eastAsia="Times New Roman" w:hAnsi="Times New Roman" w:cs="Times New Roman"/>
          <w:sz w:val="26"/>
          <w:szCs w:val="26"/>
        </w:rPr>
        <w:t>because</w:t>
      </w:r>
      <w:r w:rsidRPr="00F43602">
        <w:rPr>
          <w:rFonts w:ascii="Times New Roman" w:eastAsia="Times New Roman" w:hAnsi="Times New Roman" w:cs="Times New Roman"/>
          <w:sz w:val="26"/>
          <w:szCs w:val="26"/>
        </w:rPr>
        <w:t xml:space="preserve"> this matter is being resolved via settlement of the Parties</w:t>
      </w:r>
      <w:r w:rsidR="006D5E0D">
        <w:rPr>
          <w:rFonts w:ascii="Times New Roman" w:eastAsia="Times New Roman" w:hAnsi="Times New Roman" w:cs="Times New Roman"/>
          <w:sz w:val="26"/>
          <w:szCs w:val="26"/>
        </w:rPr>
        <w:t>.</w:t>
      </w:r>
      <w:r w:rsidR="0039124D">
        <w:rPr>
          <w:rFonts w:ascii="Times New Roman" w:eastAsia="Times New Roman" w:hAnsi="Times New Roman" w:cs="Times New Roman"/>
          <w:sz w:val="26"/>
          <w:szCs w:val="26"/>
        </w:rPr>
        <w:t xml:space="preserve"> </w:t>
      </w:r>
    </w:p>
    <w:p w14:paraId="50209AEA" w14:textId="77777777" w:rsidR="00892300" w:rsidRPr="00F43602" w:rsidRDefault="00892300" w:rsidP="00022139">
      <w:pPr>
        <w:tabs>
          <w:tab w:val="num" w:pos="1440"/>
        </w:tabs>
        <w:spacing w:after="0" w:line="360" w:lineRule="auto"/>
        <w:ind w:firstLine="1440"/>
        <w:rPr>
          <w:rFonts w:ascii="Times New Roman" w:eastAsia="Times New Roman" w:hAnsi="Times New Roman" w:cs="Times New Roman"/>
          <w:sz w:val="26"/>
          <w:szCs w:val="26"/>
        </w:rPr>
      </w:pPr>
    </w:p>
    <w:p w14:paraId="3D5ABFB1" w14:textId="20D1D5F0" w:rsidR="00EF4F9A" w:rsidRDefault="00EF4F9A">
      <w:pPr>
        <w:spacing w:after="0" w:line="360" w:lineRule="auto"/>
        <w:ind w:firstLine="1440"/>
        <w:rPr>
          <w:rFonts w:ascii="Times New Roman" w:eastAsia="Times New Roman" w:hAnsi="Times New Roman" w:cs="Times New Roman"/>
          <w:sz w:val="26"/>
          <w:szCs w:val="26"/>
        </w:rPr>
      </w:pPr>
      <w:r w:rsidRPr="00F43602">
        <w:rPr>
          <w:rFonts w:ascii="Times New Roman" w:eastAsia="Calibri" w:hAnsi="Times New Roman" w:cs="Times New Roman"/>
          <w:sz w:val="26"/>
          <w:szCs w:val="26"/>
        </w:rPr>
        <w:t>The fourth factor to be considered is whether the Company has made efforts to change its practices and procedures to prevent similar conduct in the future</w:t>
      </w:r>
      <w:r w:rsidR="005723CB">
        <w:rPr>
          <w:rFonts w:ascii="Times New Roman" w:eastAsia="Calibri" w:hAnsi="Times New Roman" w:cs="Times New Roman"/>
          <w:sz w:val="26"/>
          <w:szCs w:val="26"/>
        </w:rPr>
        <w:t xml:space="preserve">.  </w:t>
      </w:r>
      <w:r w:rsidRPr="00F43602">
        <w:rPr>
          <w:rFonts w:ascii="Times New Roman" w:eastAsia="Calibri" w:hAnsi="Times New Roman" w:cs="Times New Roman"/>
          <w:sz w:val="26"/>
          <w:szCs w:val="26"/>
        </w:rPr>
        <w:t>52</w:t>
      </w:r>
      <w:r w:rsidR="00F3313F">
        <w:rPr>
          <w:rFonts w:ascii="Times New Roman" w:eastAsia="Calibri" w:hAnsi="Times New Roman" w:cs="Times New Roman"/>
          <w:sz w:val="26"/>
          <w:szCs w:val="26"/>
        </w:rPr>
        <w:t> </w:t>
      </w:r>
      <w:r w:rsidRPr="00F43602">
        <w:rPr>
          <w:rFonts w:ascii="Times New Roman" w:eastAsia="Calibri" w:hAnsi="Times New Roman" w:cs="Times New Roman"/>
          <w:sz w:val="26"/>
          <w:szCs w:val="26"/>
        </w:rPr>
        <w:t xml:space="preserve">Pa. </w:t>
      </w:r>
      <w:r w:rsidR="00416DD2" w:rsidRPr="00F43602">
        <w:rPr>
          <w:rFonts w:ascii="Times New Roman" w:eastAsia="Calibri" w:hAnsi="Times New Roman" w:cs="Times New Roman"/>
          <w:sz w:val="26"/>
          <w:szCs w:val="26"/>
        </w:rPr>
        <w:t>Code §</w:t>
      </w:r>
      <w:r w:rsidRPr="00F43602">
        <w:rPr>
          <w:rFonts w:ascii="Times New Roman" w:eastAsia="Calibri" w:hAnsi="Times New Roman" w:cs="Times New Roman"/>
          <w:sz w:val="26"/>
          <w:szCs w:val="26"/>
        </w:rPr>
        <w:t xml:space="preserve"> 69.1201(c)(4).  NRG Home has extensive practices and procedures in place to vet potential new vendors, train agents and conduct quality assurance.  NRG Home has agreed to continue its current level of quality assurance monitoring efforts for </w:t>
      </w:r>
      <w:r w:rsidR="006A74CA">
        <w:rPr>
          <w:rFonts w:ascii="Times New Roman" w:eastAsia="Calibri" w:hAnsi="Times New Roman" w:cs="Times New Roman"/>
          <w:sz w:val="26"/>
          <w:szCs w:val="26"/>
        </w:rPr>
        <w:t>1</w:t>
      </w:r>
      <w:r w:rsidRPr="00F43602">
        <w:rPr>
          <w:rFonts w:ascii="Times New Roman" w:eastAsia="Calibri" w:hAnsi="Times New Roman" w:cs="Times New Roman"/>
          <w:sz w:val="26"/>
          <w:szCs w:val="26"/>
        </w:rPr>
        <w:t xml:space="preserve"> year, which includes random in-person visits to retail and event sales locations by NRG Home employees.  Furthermore, NRG Home has </w:t>
      </w:r>
      <w:r w:rsidRPr="00F43602">
        <w:rPr>
          <w:rFonts w:ascii="Times New Roman" w:eastAsia="Times New Roman" w:hAnsi="Times New Roman" w:cs="Times New Roman"/>
          <w:sz w:val="26"/>
          <w:szCs w:val="26"/>
        </w:rPr>
        <w:t xml:space="preserve">eliminated the ability for sales agents to scroll through the ECL to locate a certain customer.  The tool now only permits searching for a specific name and populates information if a match is located.  </w:t>
      </w:r>
    </w:p>
    <w:p w14:paraId="405C2C66" w14:textId="77777777" w:rsidR="00E552EF" w:rsidRPr="00F43602" w:rsidRDefault="00E552EF" w:rsidP="00022139">
      <w:pPr>
        <w:spacing w:after="0" w:line="360" w:lineRule="auto"/>
        <w:ind w:firstLine="1440"/>
        <w:rPr>
          <w:rFonts w:ascii="Times New Roman" w:eastAsia="Calibri" w:hAnsi="Times New Roman" w:cs="Times New Roman"/>
          <w:sz w:val="26"/>
          <w:szCs w:val="26"/>
        </w:rPr>
      </w:pPr>
    </w:p>
    <w:p w14:paraId="5D78B8F3" w14:textId="5B830812" w:rsidR="00EF4F9A"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lastRenderedPageBreak/>
        <w:t>NRG Home has also agreed to provide I&amp;E with a monthly report by the 30</w:t>
      </w:r>
      <w:r w:rsidRPr="00F43602">
        <w:rPr>
          <w:rFonts w:ascii="Times New Roman" w:eastAsia="Times New Roman" w:hAnsi="Times New Roman" w:cs="Times New Roman"/>
          <w:sz w:val="26"/>
          <w:szCs w:val="26"/>
          <w:vertAlign w:val="superscript"/>
        </w:rPr>
        <w:t>th</w:t>
      </w:r>
      <w:r w:rsidRPr="00F43602">
        <w:rPr>
          <w:rFonts w:ascii="Times New Roman" w:eastAsia="Times New Roman" w:hAnsi="Times New Roman" w:cs="Times New Roman"/>
          <w:sz w:val="26"/>
          <w:szCs w:val="26"/>
        </w:rPr>
        <w:t xml:space="preserve"> of each month, for a period of </w:t>
      </w:r>
      <w:r w:rsidR="006A74CA">
        <w:rPr>
          <w:rFonts w:ascii="Times New Roman" w:eastAsia="Times New Roman" w:hAnsi="Times New Roman" w:cs="Times New Roman"/>
          <w:sz w:val="26"/>
          <w:szCs w:val="26"/>
        </w:rPr>
        <w:t>1</w:t>
      </w:r>
      <w:r w:rsidRPr="00F43602">
        <w:rPr>
          <w:rFonts w:ascii="Times New Roman" w:eastAsia="Times New Roman" w:hAnsi="Times New Roman" w:cs="Times New Roman"/>
          <w:sz w:val="26"/>
          <w:szCs w:val="26"/>
        </w:rPr>
        <w:t xml:space="preserve"> year, detailing complaints from Pennsylvania consumers that were received by the Company from BCS, the Pennsylvania Attorney General’s Office, the Better Business Bureau and/or complaints directed to the Company related to allegations of unauthorized switching that originated from in-person retail and event solicitations.  Thus, heightened scrutiny will continue to be placed on NRG Home’s sales activities at retail and event locations.  </w:t>
      </w:r>
      <w:r w:rsidR="00E84209">
        <w:rPr>
          <w:rFonts w:ascii="Times New Roman" w:eastAsia="Times New Roman" w:hAnsi="Times New Roman" w:cs="Times New Roman"/>
          <w:sz w:val="26"/>
          <w:szCs w:val="26"/>
        </w:rPr>
        <w:t xml:space="preserve">Accordingly, we determine that the fourth factor has been satisfied through </w:t>
      </w:r>
      <w:r w:rsidR="001A2520">
        <w:rPr>
          <w:rFonts w:ascii="Times New Roman" w:eastAsia="Times New Roman" w:hAnsi="Times New Roman" w:cs="Times New Roman"/>
          <w:sz w:val="26"/>
          <w:szCs w:val="26"/>
        </w:rPr>
        <w:t>NRG Home’s actions in response to the complaints and as agreed in the Settlement.</w:t>
      </w:r>
    </w:p>
    <w:p w14:paraId="0B39BE43" w14:textId="77777777" w:rsidR="00E552EF" w:rsidRPr="00F43602" w:rsidRDefault="00E552EF" w:rsidP="00022139">
      <w:pPr>
        <w:tabs>
          <w:tab w:val="num" w:pos="1440"/>
        </w:tabs>
        <w:spacing w:after="0" w:line="360" w:lineRule="auto"/>
        <w:ind w:firstLine="1440"/>
        <w:rPr>
          <w:rFonts w:ascii="Times New Roman" w:eastAsia="Times New Roman" w:hAnsi="Times New Roman" w:cs="Times New Roman"/>
          <w:sz w:val="26"/>
          <w:szCs w:val="26"/>
        </w:rPr>
      </w:pPr>
    </w:p>
    <w:p w14:paraId="65A168AA" w14:textId="35DE921C" w:rsidR="00217863" w:rsidRDefault="00EF4F9A" w:rsidP="00022139">
      <w:pPr>
        <w:spacing w:after="0" w:line="360" w:lineRule="auto"/>
        <w:ind w:firstLine="1440"/>
        <w:rPr>
          <w:rFonts w:ascii="Times New Roman" w:eastAsia="Calibri" w:hAnsi="Times New Roman" w:cs="Times New Roman"/>
          <w:sz w:val="26"/>
          <w:szCs w:val="26"/>
          <w:lang w:eastAsia="x-none"/>
        </w:rPr>
      </w:pPr>
      <w:r w:rsidRPr="00F43602">
        <w:rPr>
          <w:rFonts w:ascii="Times New Roman" w:eastAsia="Calibri" w:hAnsi="Times New Roman" w:cs="Times New Roman"/>
          <w:sz w:val="26"/>
          <w:szCs w:val="26"/>
          <w:lang w:val="x-none" w:eastAsia="x-none"/>
        </w:rPr>
        <w:t xml:space="preserve">The fifth factor to be considered relates to the number of customers affected by the Company's actions and the duration of </w:t>
      </w:r>
      <w:r w:rsidRPr="00F43602">
        <w:rPr>
          <w:rFonts w:ascii="Times New Roman" w:eastAsia="Calibri" w:hAnsi="Times New Roman" w:cs="Times New Roman"/>
          <w:sz w:val="26"/>
          <w:szCs w:val="26"/>
          <w:lang w:eastAsia="x-none"/>
        </w:rPr>
        <w:t>the</w:t>
      </w:r>
      <w:r w:rsidRPr="00F43602">
        <w:rPr>
          <w:rFonts w:ascii="Times New Roman" w:eastAsia="Calibri" w:hAnsi="Times New Roman" w:cs="Times New Roman"/>
          <w:sz w:val="26"/>
          <w:szCs w:val="26"/>
          <w:lang w:val="x-none" w:eastAsia="x-none"/>
        </w:rPr>
        <w:t xml:space="preserve"> violations.  52 Pa. Code §</w:t>
      </w:r>
      <w:r w:rsidR="00FC6AC8">
        <w:rPr>
          <w:rFonts w:ascii="Times New Roman" w:eastAsia="Calibri" w:hAnsi="Times New Roman" w:cs="Times New Roman"/>
          <w:sz w:val="26"/>
          <w:szCs w:val="26"/>
          <w:lang w:eastAsia="x-none"/>
        </w:rPr>
        <w:t> </w:t>
      </w:r>
      <w:r w:rsidRPr="00F43602">
        <w:rPr>
          <w:rFonts w:ascii="Times New Roman" w:eastAsia="Calibri" w:hAnsi="Times New Roman" w:cs="Times New Roman"/>
          <w:sz w:val="26"/>
          <w:szCs w:val="26"/>
          <w:lang w:val="x-none" w:eastAsia="x-none"/>
        </w:rPr>
        <w:t xml:space="preserve">69.1201(c)(5).  </w:t>
      </w:r>
      <w:r w:rsidRPr="00F43602">
        <w:rPr>
          <w:rFonts w:ascii="Times New Roman" w:eastAsia="Calibri" w:hAnsi="Times New Roman" w:cs="Times New Roman"/>
          <w:sz w:val="26"/>
          <w:szCs w:val="26"/>
          <w:lang w:eastAsia="x-none"/>
        </w:rPr>
        <w:t xml:space="preserve">I&amp;E’s investigation revealed that 168 customer accounts were switched to receive electric generation service provided by NRG Home without the customers’ authorization.  </w:t>
      </w:r>
      <w:r w:rsidR="00E84209">
        <w:rPr>
          <w:rFonts w:ascii="Times New Roman" w:eastAsia="Calibri" w:hAnsi="Times New Roman" w:cs="Times New Roman"/>
          <w:sz w:val="26"/>
          <w:szCs w:val="26"/>
          <w:lang w:eastAsia="x-none"/>
        </w:rPr>
        <w:t>I&amp;E also determined that a</w:t>
      </w:r>
      <w:r w:rsidRPr="00F43602">
        <w:rPr>
          <w:rFonts w:ascii="Times New Roman" w:eastAsia="Calibri" w:hAnsi="Times New Roman" w:cs="Times New Roman"/>
          <w:sz w:val="26"/>
          <w:szCs w:val="26"/>
          <w:lang w:eastAsia="x-none"/>
        </w:rPr>
        <w:t xml:space="preserve">n additional 28 customer accounts were in the process of being switched to NRG Home before the Company terminated the transactions.  The incidents of unauthorized enrollments originating from NRG Home sales activities at retail and event locations occurred during the 2018 calendar year.  </w:t>
      </w:r>
      <w:r w:rsidR="00E84209">
        <w:rPr>
          <w:rFonts w:ascii="Times New Roman" w:eastAsia="Calibri" w:hAnsi="Times New Roman" w:cs="Times New Roman"/>
          <w:sz w:val="26"/>
          <w:szCs w:val="26"/>
          <w:lang w:eastAsia="x-none"/>
        </w:rPr>
        <w:t>This is a significant number of customers impacted in a single calendar year.  We note that s</w:t>
      </w:r>
      <w:r w:rsidRPr="00F43602">
        <w:rPr>
          <w:rFonts w:ascii="Times New Roman" w:eastAsia="Calibri" w:hAnsi="Times New Roman" w:cs="Times New Roman"/>
          <w:sz w:val="26"/>
          <w:szCs w:val="26"/>
          <w:lang w:eastAsia="x-none"/>
        </w:rPr>
        <w:t>ome customers detected the unauthorized enrollment, promptly contacted NRG Home to complain and were served by NRG Home for less than a billing cycle</w:t>
      </w:r>
      <w:r w:rsidR="00E84209">
        <w:rPr>
          <w:rFonts w:ascii="Times New Roman" w:eastAsia="Calibri" w:hAnsi="Times New Roman" w:cs="Times New Roman"/>
          <w:sz w:val="26"/>
          <w:szCs w:val="26"/>
          <w:lang w:eastAsia="x-none"/>
        </w:rPr>
        <w:t>, but o</w:t>
      </w:r>
      <w:r w:rsidRPr="00F43602">
        <w:rPr>
          <w:rFonts w:ascii="Times New Roman" w:eastAsia="Calibri" w:hAnsi="Times New Roman" w:cs="Times New Roman"/>
          <w:sz w:val="26"/>
          <w:szCs w:val="26"/>
          <w:lang w:eastAsia="x-none"/>
        </w:rPr>
        <w:t xml:space="preserve">ther customers received electric generation supply provided by NRG Home for </w:t>
      </w:r>
      <w:r w:rsidR="00E84209">
        <w:rPr>
          <w:rFonts w:ascii="Times New Roman" w:eastAsia="Calibri" w:hAnsi="Times New Roman" w:cs="Times New Roman"/>
          <w:sz w:val="26"/>
          <w:szCs w:val="26"/>
          <w:lang w:eastAsia="x-none"/>
        </w:rPr>
        <w:t>several</w:t>
      </w:r>
      <w:r w:rsidRPr="00F43602">
        <w:rPr>
          <w:rFonts w:ascii="Times New Roman" w:eastAsia="Calibri" w:hAnsi="Times New Roman" w:cs="Times New Roman"/>
          <w:sz w:val="26"/>
          <w:szCs w:val="26"/>
          <w:lang w:eastAsia="x-none"/>
        </w:rPr>
        <w:t xml:space="preserve"> months prior to being switched back to default service or another EGS.</w:t>
      </w:r>
      <w:r w:rsidR="00E84209">
        <w:rPr>
          <w:rFonts w:ascii="Times New Roman" w:eastAsia="Calibri" w:hAnsi="Times New Roman" w:cs="Times New Roman"/>
          <w:sz w:val="26"/>
          <w:szCs w:val="26"/>
          <w:lang w:eastAsia="x-none"/>
        </w:rPr>
        <w:t xml:space="preserve">  We thus determine that this factor weighs in favor of a higher penalty.</w:t>
      </w:r>
      <w:r w:rsidRPr="00F43602">
        <w:rPr>
          <w:rFonts w:ascii="Times New Roman" w:eastAsia="Calibri" w:hAnsi="Times New Roman" w:cs="Times New Roman"/>
          <w:sz w:val="26"/>
          <w:szCs w:val="26"/>
          <w:lang w:eastAsia="x-none"/>
        </w:rPr>
        <w:t xml:space="preserve">  </w:t>
      </w:r>
    </w:p>
    <w:p w14:paraId="7B5C1F56" w14:textId="43BB93A0" w:rsidR="00EF4F9A" w:rsidRPr="00F43602" w:rsidRDefault="00EF4F9A" w:rsidP="00022139">
      <w:pPr>
        <w:spacing w:after="0" w:line="360" w:lineRule="auto"/>
        <w:ind w:firstLine="1440"/>
        <w:rPr>
          <w:rFonts w:ascii="Times New Roman" w:eastAsia="Calibri" w:hAnsi="Times New Roman" w:cs="Times New Roman"/>
          <w:sz w:val="26"/>
          <w:szCs w:val="26"/>
          <w:lang w:eastAsia="x-none"/>
        </w:rPr>
      </w:pPr>
    </w:p>
    <w:p w14:paraId="182B1703" w14:textId="7664D806" w:rsidR="00EF4F9A" w:rsidRDefault="00EF4F9A">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sixth factor to be considered relates to the compliance history of NRG Home.  52 Pa. Code § 69.1201(c)(6).  An isolated incident from an otherwise compliant company may result in a lower penalty, whereas frequent, recurrent violations by a company may result in a higher penalty.  </w:t>
      </w:r>
      <w:r w:rsidRPr="00F43602">
        <w:rPr>
          <w:rFonts w:ascii="Times New Roman" w:eastAsia="Times New Roman" w:hAnsi="Times New Roman" w:cs="Times New Roman"/>
          <w:i/>
          <w:sz w:val="26"/>
          <w:szCs w:val="26"/>
        </w:rPr>
        <w:t>Id.</w:t>
      </w:r>
      <w:r w:rsidRPr="00F43602">
        <w:rPr>
          <w:rFonts w:ascii="Times New Roman" w:eastAsia="Times New Roman" w:hAnsi="Times New Roman" w:cs="Times New Roman"/>
          <w:sz w:val="26"/>
          <w:szCs w:val="26"/>
        </w:rPr>
        <w:t xml:space="preserve">  Numerous formal complaints have been </w:t>
      </w:r>
      <w:r w:rsidRPr="00F43602">
        <w:rPr>
          <w:rFonts w:ascii="Times New Roman" w:eastAsia="Times New Roman" w:hAnsi="Times New Roman" w:cs="Times New Roman"/>
          <w:sz w:val="26"/>
          <w:szCs w:val="26"/>
        </w:rPr>
        <w:lastRenderedPageBreak/>
        <w:t>filed by consumers against NRG Home, all of which resulted in the filing of Certificates of Satisfaction pursuant to 52 Pa. Code § 5.24.</w:t>
      </w:r>
      <w:r w:rsidRPr="00F43602">
        <w:rPr>
          <w:rFonts w:ascii="Times New Roman" w:eastAsia="Times New Roman" w:hAnsi="Times New Roman" w:cs="Times New Roman"/>
          <w:sz w:val="26"/>
          <w:szCs w:val="26"/>
          <w:vertAlign w:val="superscript"/>
        </w:rPr>
        <w:footnoteReference w:id="2"/>
      </w:r>
      <w:r w:rsidRPr="00F43602">
        <w:rPr>
          <w:rFonts w:ascii="Times New Roman" w:eastAsia="Times New Roman" w:hAnsi="Times New Roman" w:cs="Times New Roman"/>
          <w:sz w:val="26"/>
          <w:szCs w:val="26"/>
        </w:rPr>
        <w:t xml:space="preserve">  Accordingly, no formal complaints have been sustained against the Company.  Additionally, the instant matter is the first case involving an I&amp;E enforcement action brought against NRG Home and is the first instance in which NRG Home would pay a civil penalty imposed by the Commission.</w:t>
      </w:r>
      <w:r w:rsidR="00E84209">
        <w:rPr>
          <w:rFonts w:ascii="Times New Roman" w:eastAsia="Times New Roman" w:hAnsi="Times New Roman" w:cs="Times New Roman"/>
          <w:sz w:val="26"/>
          <w:szCs w:val="26"/>
        </w:rPr>
        <w:t xml:space="preserve">  On balance, we consider NRG Home’s compliance history does not support a heavy penalty.  </w:t>
      </w:r>
    </w:p>
    <w:p w14:paraId="798AA4EB" w14:textId="77777777" w:rsidR="004F4BAD" w:rsidRPr="00F43602" w:rsidRDefault="004F4BAD" w:rsidP="00022139">
      <w:pPr>
        <w:tabs>
          <w:tab w:val="num" w:pos="1440"/>
        </w:tabs>
        <w:spacing w:after="0" w:line="360" w:lineRule="auto"/>
        <w:ind w:firstLine="1440"/>
        <w:rPr>
          <w:rFonts w:ascii="Times New Roman" w:eastAsia="Times New Roman" w:hAnsi="Times New Roman" w:cs="Times New Roman"/>
          <w:sz w:val="26"/>
          <w:szCs w:val="26"/>
        </w:rPr>
      </w:pPr>
    </w:p>
    <w:p w14:paraId="481E8FCD" w14:textId="70308C40" w:rsidR="00EF4F9A" w:rsidRDefault="00EF4F9A">
      <w:pPr>
        <w:spacing w:after="0" w:line="360" w:lineRule="auto"/>
        <w:ind w:firstLine="1440"/>
        <w:rPr>
          <w:rFonts w:ascii="Times New Roman" w:eastAsia="Calibri" w:hAnsi="Times New Roman" w:cs="Times New Roman"/>
          <w:sz w:val="26"/>
          <w:szCs w:val="26"/>
          <w:lang w:eastAsia="x-none"/>
        </w:rPr>
      </w:pPr>
      <w:r w:rsidRPr="00F43602">
        <w:rPr>
          <w:rFonts w:ascii="Times New Roman" w:eastAsia="Calibri" w:hAnsi="Times New Roman" w:cs="Times New Roman"/>
          <w:sz w:val="26"/>
          <w:szCs w:val="26"/>
          <w:lang w:val="x-none" w:eastAsia="x-none"/>
        </w:rPr>
        <w:t xml:space="preserve">The seventh factor to be considered relates to whether the </w:t>
      </w:r>
      <w:r w:rsidRPr="00F43602">
        <w:rPr>
          <w:rFonts w:ascii="Times New Roman" w:eastAsia="Calibri" w:hAnsi="Times New Roman" w:cs="Times New Roman"/>
          <w:sz w:val="26"/>
          <w:szCs w:val="26"/>
          <w:lang w:eastAsia="x-none"/>
        </w:rPr>
        <w:t>Company</w:t>
      </w:r>
      <w:r w:rsidRPr="00F43602">
        <w:rPr>
          <w:rFonts w:ascii="Times New Roman" w:eastAsia="Calibri" w:hAnsi="Times New Roman" w:cs="Times New Roman"/>
          <w:sz w:val="26"/>
          <w:szCs w:val="26"/>
          <w:lang w:val="x-none" w:eastAsia="x-none"/>
        </w:rPr>
        <w:t xml:space="preserve"> cooperated with the Commission's investigation.</w:t>
      </w:r>
      <w:r w:rsidRPr="00F43602">
        <w:rPr>
          <w:rFonts w:ascii="Times New Roman" w:eastAsia="Calibri" w:hAnsi="Times New Roman" w:cs="Times New Roman"/>
          <w:sz w:val="26"/>
          <w:szCs w:val="26"/>
          <w:lang w:eastAsia="x-none"/>
        </w:rPr>
        <w:t xml:space="preserve">  </w:t>
      </w:r>
      <w:r w:rsidRPr="00F43602">
        <w:rPr>
          <w:rFonts w:ascii="Times New Roman" w:eastAsia="Calibri" w:hAnsi="Times New Roman" w:cs="Times New Roman"/>
          <w:sz w:val="26"/>
          <w:szCs w:val="26"/>
          <w:lang w:val="x-none" w:eastAsia="x-none"/>
        </w:rPr>
        <w:t>52 Pa. Code § 69.1201(c)(7).</w:t>
      </w:r>
      <w:r w:rsidRPr="00F43602">
        <w:rPr>
          <w:rFonts w:ascii="Times New Roman" w:eastAsia="Calibri" w:hAnsi="Times New Roman" w:cs="Times New Roman"/>
          <w:sz w:val="26"/>
          <w:szCs w:val="26"/>
          <w:lang w:eastAsia="x-none"/>
        </w:rPr>
        <w:t xml:space="preserve">  I&amp;E submits that NRG Home cooperated in the investigation in this matter, including cooperating in both informal discovery as well as settlement discussions.  Furthermore, the Company self-reported the slamming incidents to OCMO in August 2018.</w:t>
      </w:r>
      <w:r w:rsidR="00E84209">
        <w:rPr>
          <w:rFonts w:ascii="Times New Roman" w:eastAsia="Calibri" w:hAnsi="Times New Roman" w:cs="Times New Roman"/>
          <w:sz w:val="26"/>
          <w:szCs w:val="26"/>
          <w:lang w:eastAsia="x-none"/>
        </w:rPr>
        <w:t xml:space="preserve">  These factors weigh in favor of a reduced penalty </w:t>
      </w:r>
      <w:r w:rsidR="00F52795">
        <w:rPr>
          <w:rFonts w:ascii="Times New Roman" w:eastAsia="Calibri" w:hAnsi="Times New Roman" w:cs="Times New Roman"/>
          <w:sz w:val="26"/>
          <w:szCs w:val="26"/>
          <w:lang w:eastAsia="x-none"/>
        </w:rPr>
        <w:t>amount.</w:t>
      </w:r>
    </w:p>
    <w:p w14:paraId="1CEDC685" w14:textId="77777777" w:rsidR="00C2281A" w:rsidRPr="00F43602" w:rsidRDefault="00C2281A" w:rsidP="00022139">
      <w:pPr>
        <w:spacing w:after="0" w:line="360" w:lineRule="auto"/>
        <w:ind w:firstLine="1440"/>
        <w:rPr>
          <w:rFonts w:ascii="Times New Roman" w:eastAsia="Calibri" w:hAnsi="Times New Roman" w:cs="Times New Roman"/>
          <w:sz w:val="26"/>
          <w:szCs w:val="26"/>
          <w:lang w:eastAsia="x-none"/>
        </w:rPr>
      </w:pPr>
    </w:p>
    <w:p w14:paraId="577F90C6" w14:textId="13FEEA4D" w:rsidR="00EF4F9A" w:rsidRDefault="00EF4F9A">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eighth factor to be considered is the appropriate settlement amount necessary to deter future violations.  52 Pa. Code § 69.1201(c)(8).  I&amp;E submits that a civil penalty amount of $175,000, which is not tax deductible, in combination with the issuance of customer refunds is substantial and sufficient to deter NRG Home from committing future violations.  </w:t>
      </w:r>
    </w:p>
    <w:p w14:paraId="4A48AABA" w14:textId="77777777" w:rsidR="00C2281A" w:rsidRPr="00F43602" w:rsidRDefault="00C2281A" w:rsidP="00022139">
      <w:pPr>
        <w:tabs>
          <w:tab w:val="num" w:pos="1440"/>
        </w:tabs>
        <w:spacing w:after="0" w:line="360" w:lineRule="auto"/>
        <w:ind w:firstLine="1440"/>
        <w:rPr>
          <w:rFonts w:ascii="Times New Roman" w:eastAsia="Times New Roman" w:hAnsi="Times New Roman" w:cs="Times New Roman"/>
          <w:sz w:val="26"/>
          <w:szCs w:val="26"/>
          <w:highlight w:val="yellow"/>
        </w:rPr>
      </w:pPr>
    </w:p>
    <w:p w14:paraId="6D664970" w14:textId="6B772FA5" w:rsidR="004141BD"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The ninth factor to be considered relates to past Commission decisions in similar situations.  52 Pa. Code § 69.1201(c)(9).  The Settlement Agreement between I&amp;E and NRG Home provides a civil penalty of $1,000 for each of the 168 customer accounts that were physically switched to and received electric generation supply service from NRG Home.  This per</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 xml:space="preserve">account civil penalty is identical to the $1,000 per account penalty imposed by the Commission in previous slamming matters where a customer’s </w:t>
      </w:r>
      <w:r w:rsidRPr="00F43602">
        <w:rPr>
          <w:rFonts w:ascii="Times New Roman" w:eastAsia="Times New Roman" w:hAnsi="Times New Roman" w:cs="Times New Roman"/>
          <w:sz w:val="26"/>
          <w:szCs w:val="26"/>
        </w:rPr>
        <w:lastRenderedPageBreak/>
        <w:t xml:space="preserve">account was switched and received electric generation supply service from a company without the customer’s authorization.  </w:t>
      </w:r>
      <w:r w:rsidRPr="00F43602">
        <w:rPr>
          <w:rFonts w:ascii="Times New Roman" w:eastAsia="Times New Roman" w:hAnsi="Times New Roman" w:cs="Times New Roman"/>
          <w:i/>
          <w:sz w:val="26"/>
          <w:szCs w:val="26"/>
        </w:rPr>
        <w:t>See Pa. Pub. Util. Comm’n, Law Bureau Prosecutory Staff v. MXenergy Electric, Inc.</w:t>
      </w:r>
      <w:r w:rsidRPr="00F43602">
        <w:rPr>
          <w:rFonts w:ascii="Times New Roman" w:eastAsia="Times New Roman" w:hAnsi="Times New Roman" w:cs="Times New Roman"/>
          <w:sz w:val="26"/>
          <w:szCs w:val="26"/>
        </w:rPr>
        <w:t xml:space="preserve">, Docket No. M-2012-2201861 (Order entered August 29, 2013); and </w:t>
      </w:r>
      <w:r w:rsidRPr="00F43602">
        <w:rPr>
          <w:rFonts w:ascii="Times New Roman" w:eastAsia="Times New Roman" w:hAnsi="Times New Roman" w:cs="Times New Roman"/>
          <w:i/>
          <w:sz w:val="26"/>
          <w:szCs w:val="26"/>
        </w:rPr>
        <w:t>Pa. Pub. Util. Comm’n, Bureau of Investigation and Enforcement v. Energy Services Providers, Inc. d/b/a Pa. Gas &amp; Electric and U.S. Gas &amp; Electric, Inc. d/b/a Pa. Gas &amp; Electric</w:t>
      </w:r>
      <w:r w:rsidRPr="00F43602">
        <w:rPr>
          <w:rFonts w:ascii="Times New Roman" w:eastAsia="Times New Roman" w:hAnsi="Times New Roman" w:cs="Times New Roman"/>
          <w:sz w:val="26"/>
          <w:szCs w:val="26"/>
        </w:rPr>
        <w:t xml:space="preserve">, Docket No. M-2013-2325122 (Order entered October 2, 2014) (hereinafter referred to as the </w:t>
      </w:r>
      <w:r w:rsidRPr="00F43602">
        <w:rPr>
          <w:rFonts w:ascii="Times New Roman" w:eastAsia="Times New Roman" w:hAnsi="Times New Roman" w:cs="Times New Roman"/>
          <w:i/>
          <w:sz w:val="26"/>
          <w:szCs w:val="26"/>
        </w:rPr>
        <w:t>PaG&amp;E Order</w:t>
      </w:r>
      <w:r w:rsidRPr="00F43602">
        <w:rPr>
          <w:rFonts w:ascii="Times New Roman" w:eastAsia="Times New Roman" w:hAnsi="Times New Roman" w:cs="Times New Roman"/>
          <w:sz w:val="26"/>
          <w:szCs w:val="26"/>
        </w:rPr>
        <w:t>).</w:t>
      </w:r>
      <w:r w:rsidR="00C4461A">
        <w:rPr>
          <w:rFonts w:ascii="Times New Roman" w:eastAsia="Times New Roman" w:hAnsi="Times New Roman" w:cs="Times New Roman"/>
          <w:sz w:val="26"/>
          <w:szCs w:val="26"/>
        </w:rPr>
        <w:t xml:space="preserve"> </w:t>
      </w:r>
    </w:p>
    <w:p w14:paraId="13D96363" w14:textId="77777777" w:rsidR="004141BD" w:rsidRDefault="004141BD" w:rsidP="00022139">
      <w:pPr>
        <w:tabs>
          <w:tab w:val="num" w:pos="1440"/>
        </w:tabs>
        <w:spacing w:after="0" w:line="360" w:lineRule="auto"/>
        <w:ind w:firstLine="1440"/>
        <w:rPr>
          <w:rFonts w:ascii="Times New Roman" w:eastAsia="Times New Roman" w:hAnsi="Times New Roman" w:cs="Times New Roman"/>
          <w:sz w:val="26"/>
          <w:szCs w:val="26"/>
        </w:rPr>
      </w:pPr>
    </w:p>
    <w:p w14:paraId="1D2591F6" w14:textId="583ED405" w:rsidR="00EF4F9A"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The Settlement also provides for a $250 per</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account penalty for the 28 customers whose accounts were in the process of being switched to NRG Home.  This per</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account civil penalty is similar to the $200 per</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 xml:space="preserve">account penalty imposed by the Commission in the </w:t>
      </w:r>
      <w:r w:rsidRPr="00F43602">
        <w:rPr>
          <w:rFonts w:ascii="Times New Roman" w:eastAsia="Times New Roman" w:hAnsi="Times New Roman" w:cs="Times New Roman"/>
          <w:i/>
          <w:sz w:val="26"/>
          <w:szCs w:val="26"/>
        </w:rPr>
        <w:t>PaG&amp;E Order</w:t>
      </w:r>
      <w:r w:rsidRPr="00F43602">
        <w:rPr>
          <w:rFonts w:ascii="Times New Roman" w:eastAsia="Times New Roman" w:hAnsi="Times New Roman" w:cs="Times New Roman"/>
          <w:sz w:val="26"/>
          <w:szCs w:val="26"/>
        </w:rPr>
        <w:t xml:space="preserve"> where the switching process had been initiated but not completed. </w:t>
      </w:r>
    </w:p>
    <w:p w14:paraId="49BF0403" w14:textId="15C676C7" w:rsidR="000D6B6B" w:rsidRDefault="000D6B6B" w:rsidP="00022139">
      <w:pPr>
        <w:tabs>
          <w:tab w:val="num" w:pos="1440"/>
        </w:tabs>
        <w:spacing w:after="0" w:line="360" w:lineRule="auto"/>
        <w:ind w:firstLine="1440"/>
        <w:rPr>
          <w:rFonts w:ascii="Times New Roman" w:eastAsia="Times New Roman" w:hAnsi="Times New Roman" w:cs="Times New Roman"/>
          <w:sz w:val="26"/>
          <w:szCs w:val="26"/>
        </w:rPr>
      </w:pPr>
    </w:p>
    <w:p w14:paraId="735676B3" w14:textId="77777777" w:rsidR="004141BD" w:rsidRDefault="004141BD" w:rsidP="004141BD">
      <w:pPr>
        <w:tabs>
          <w:tab w:val="num" w:pos="1440"/>
        </w:tab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NRG noted that the civil penalties are consistent with prior Commission decisions and are appropriate.  Settlement Appendix C, NRG Statement in Support at 12.</w:t>
      </w:r>
    </w:p>
    <w:p w14:paraId="79C77167" w14:textId="77777777" w:rsidR="004141BD" w:rsidRPr="00F43602" w:rsidRDefault="004141BD" w:rsidP="00022139">
      <w:pPr>
        <w:tabs>
          <w:tab w:val="num" w:pos="1440"/>
        </w:tabs>
        <w:spacing w:after="0" w:line="360" w:lineRule="auto"/>
        <w:ind w:firstLine="1440"/>
        <w:rPr>
          <w:rFonts w:ascii="Times New Roman" w:eastAsia="Times New Roman" w:hAnsi="Times New Roman" w:cs="Times New Roman"/>
          <w:sz w:val="26"/>
          <w:szCs w:val="26"/>
        </w:rPr>
      </w:pPr>
    </w:p>
    <w:p w14:paraId="455D4530" w14:textId="67B54985" w:rsidR="00EF4F9A" w:rsidRDefault="00EF4F9A" w:rsidP="00022139">
      <w:pPr>
        <w:tabs>
          <w:tab w:val="num" w:pos="1440"/>
        </w:tabs>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I&amp;E submits that the instant Settlement should be viewed on its own merits as there are no past Commission decisions that are directly responsive to an identical situation concerning unauthorized switching at retail and event locations.  However, in looking at the relevant factors that are comparable to other matters involving allegations of unauthorized </w:t>
      </w:r>
      <w:r w:rsidR="002D0D2D" w:rsidRPr="00F43602">
        <w:rPr>
          <w:rFonts w:ascii="Times New Roman" w:eastAsia="Times New Roman" w:hAnsi="Times New Roman" w:cs="Times New Roman"/>
          <w:sz w:val="26"/>
          <w:szCs w:val="26"/>
        </w:rPr>
        <w:t>switching and</w:t>
      </w:r>
      <w:r w:rsidRPr="00F43602">
        <w:rPr>
          <w:rFonts w:ascii="Times New Roman" w:eastAsia="Times New Roman" w:hAnsi="Times New Roman" w:cs="Times New Roman"/>
          <w:sz w:val="26"/>
          <w:szCs w:val="26"/>
        </w:rPr>
        <w:t xml:space="preserve"> comparing the allegations to the relief provided in the Settlement - specifically, a civil penalty and customer refunds </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 xml:space="preserve"> </w:t>
      </w:r>
      <w:r w:rsidR="001A2520">
        <w:rPr>
          <w:rFonts w:ascii="Times New Roman" w:eastAsia="Times New Roman" w:hAnsi="Times New Roman" w:cs="Times New Roman"/>
          <w:sz w:val="26"/>
          <w:szCs w:val="26"/>
        </w:rPr>
        <w:t xml:space="preserve">we find that </w:t>
      </w:r>
      <w:r w:rsidRPr="00F43602">
        <w:rPr>
          <w:rFonts w:ascii="Times New Roman" w:eastAsia="Times New Roman" w:hAnsi="Times New Roman" w:cs="Times New Roman"/>
          <w:sz w:val="26"/>
          <w:szCs w:val="26"/>
        </w:rPr>
        <w:t xml:space="preserve">this Settlement is consistent with past Commission </w:t>
      </w:r>
      <w:r w:rsidR="001A2520">
        <w:rPr>
          <w:rFonts w:ascii="Times New Roman" w:eastAsia="Times New Roman" w:hAnsi="Times New Roman" w:cs="Times New Roman"/>
          <w:sz w:val="26"/>
          <w:szCs w:val="26"/>
        </w:rPr>
        <w:t>decisions</w:t>
      </w:r>
      <w:r w:rsidRPr="00F43602">
        <w:rPr>
          <w:rFonts w:ascii="Times New Roman" w:eastAsia="Times New Roman" w:hAnsi="Times New Roman" w:cs="Times New Roman"/>
          <w:sz w:val="26"/>
          <w:szCs w:val="26"/>
        </w:rPr>
        <w:t xml:space="preserve"> and presents a fair and reasonable outcome. </w:t>
      </w:r>
    </w:p>
    <w:p w14:paraId="37D2BF07" w14:textId="77777777" w:rsidR="002D0D2D" w:rsidRPr="00F43602" w:rsidRDefault="002D0D2D" w:rsidP="00022139">
      <w:pPr>
        <w:tabs>
          <w:tab w:val="num" w:pos="1440"/>
        </w:tabs>
        <w:spacing w:after="0" w:line="360" w:lineRule="auto"/>
        <w:ind w:firstLine="1440"/>
        <w:rPr>
          <w:rFonts w:ascii="Times New Roman" w:eastAsia="Times New Roman" w:hAnsi="Times New Roman" w:cs="Times New Roman"/>
          <w:sz w:val="26"/>
          <w:szCs w:val="26"/>
        </w:rPr>
      </w:pPr>
    </w:p>
    <w:p w14:paraId="4F98C6B3" w14:textId="2226A5F0" w:rsidR="004141BD" w:rsidRDefault="00EF4F9A" w:rsidP="00022139">
      <w:pPr>
        <w:spacing w:after="0" w:line="360" w:lineRule="auto"/>
        <w:ind w:firstLine="1440"/>
        <w:rPr>
          <w:rFonts w:ascii="Times New Roman" w:eastAsia="Times New Roman" w:hAnsi="Times New Roman" w:cs="Times New Roman"/>
          <w:sz w:val="26"/>
          <w:szCs w:val="26"/>
        </w:rPr>
      </w:pPr>
      <w:r w:rsidRPr="00F43602">
        <w:rPr>
          <w:rFonts w:ascii="Times New Roman" w:eastAsia="Times New Roman" w:hAnsi="Times New Roman" w:cs="Times New Roman"/>
          <w:sz w:val="26"/>
          <w:szCs w:val="26"/>
        </w:rPr>
        <w:t xml:space="preserve">The tenth factor considers “other relevant factors.”  52 Pa. Code § 69.1201(c)(10).  I&amp;E submits that an additional relevant factor – whether the case was settled or litigated – is of pivotal importance to this Settlement.  A settlement avoids the </w:t>
      </w:r>
      <w:r w:rsidRPr="00F43602">
        <w:rPr>
          <w:rFonts w:ascii="Times New Roman" w:eastAsia="Times New Roman" w:hAnsi="Times New Roman" w:cs="Times New Roman"/>
          <w:sz w:val="26"/>
          <w:szCs w:val="26"/>
        </w:rPr>
        <w:lastRenderedPageBreak/>
        <w:t>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w:t>
      </w:r>
      <w:r w:rsidR="001A2520">
        <w:rPr>
          <w:rFonts w:ascii="Times New Roman" w:eastAsia="Times New Roman" w:hAnsi="Times New Roman" w:cs="Times New Roman"/>
          <w:sz w:val="26"/>
          <w:szCs w:val="26"/>
        </w:rPr>
        <w:t>-</w:t>
      </w:r>
      <w:r w:rsidRPr="00F43602">
        <w:rPr>
          <w:rFonts w:ascii="Times New Roman" w:eastAsia="Times New Roman" w:hAnsi="Times New Roman" w:cs="Times New Roman"/>
          <w:sz w:val="26"/>
          <w:szCs w:val="26"/>
        </w:rPr>
        <w:t xml:space="preserve">upon remedial actions. </w:t>
      </w:r>
    </w:p>
    <w:p w14:paraId="72761030" w14:textId="77777777" w:rsidR="00553D29" w:rsidRDefault="00553D29" w:rsidP="00022139">
      <w:pPr>
        <w:spacing w:after="0" w:line="360" w:lineRule="auto"/>
        <w:ind w:firstLine="1440"/>
        <w:rPr>
          <w:rFonts w:ascii="Times New Roman" w:eastAsia="Times New Roman" w:hAnsi="Times New Roman" w:cs="Times New Roman"/>
          <w:sz w:val="26"/>
          <w:szCs w:val="26"/>
        </w:rPr>
      </w:pPr>
    </w:p>
    <w:p w14:paraId="26340C78" w14:textId="050A2D3C" w:rsidR="00EF4F9A" w:rsidRDefault="001A2520" w:rsidP="0002213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We determine that other relevant factors weigh in favor of approval of the Settlement here proposed.</w:t>
      </w:r>
    </w:p>
    <w:p w14:paraId="6971212C" w14:textId="77777777" w:rsidR="002D0D2D" w:rsidRPr="00F43602" w:rsidRDefault="002D0D2D" w:rsidP="00022139">
      <w:pPr>
        <w:spacing w:after="0" w:line="360" w:lineRule="auto"/>
        <w:ind w:firstLine="1440"/>
        <w:rPr>
          <w:rFonts w:ascii="Times New Roman" w:eastAsia="Times New Roman" w:hAnsi="Times New Roman" w:cs="Times New Roman"/>
          <w:sz w:val="26"/>
          <w:szCs w:val="26"/>
        </w:rPr>
      </w:pPr>
    </w:p>
    <w:p w14:paraId="1A13D557" w14:textId="77777777" w:rsidR="00461FFE" w:rsidRPr="00461FFE" w:rsidRDefault="00461FFE" w:rsidP="00461FFE">
      <w:pPr>
        <w:spacing w:after="0" w:line="360" w:lineRule="auto"/>
        <w:ind w:firstLine="1440"/>
        <w:rPr>
          <w:rFonts w:ascii="Times New Roman" w:eastAsia="Times New Roman" w:hAnsi="Times New Roman" w:cs="Times New Roman"/>
          <w:sz w:val="26"/>
          <w:szCs w:val="26"/>
        </w:rPr>
      </w:pPr>
      <w:r w:rsidRPr="00461FFE">
        <w:rPr>
          <w:rFonts w:ascii="Times New Roman" w:eastAsia="Times New Roman" w:hAnsi="Times New Roman" w:cs="Times New Roman"/>
          <w:sz w:val="26"/>
          <w:szCs w:val="26"/>
        </w:rPr>
        <w:t>For the reasons set forth above, after reviewing the terms of the Settlement, we find that approval of the Settlement is in the public interest and is consistent with the terms of our Policy Statement and our past decisions.</w:t>
      </w:r>
    </w:p>
    <w:p w14:paraId="1ADC49C0" w14:textId="77777777" w:rsidR="00113B15" w:rsidRPr="003F7EE6" w:rsidRDefault="00113B15" w:rsidP="00F44833">
      <w:pPr>
        <w:tabs>
          <w:tab w:val="center" w:pos="720"/>
        </w:tabs>
        <w:suppressAutoHyphens/>
        <w:spacing w:after="0" w:line="360" w:lineRule="auto"/>
        <w:rPr>
          <w:rFonts w:ascii="Times New Roman" w:eastAsia="Times New Roman" w:hAnsi="Times New Roman" w:cs="Times New Roman"/>
          <w:sz w:val="26"/>
          <w:szCs w:val="26"/>
        </w:rPr>
      </w:pPr>
    </w:p>
    <w:p w14:paraId="2E182FAD" w14:textId="77777777" w:rsidR="00F44833" w:rsidRPr="003F7EE6" w:rsidRDefault="00F44833" w:rsidP="00F44833">
      <w:pPr>
        <w:keepNext/>
        <w:spacing w:after="0" w:line="360" w:lineRule="auto"/>
        <w:ind w:left="720" w:hanging="720"/>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Conclusion</w:t>
      </w:r>
    </w:p>
    <w:p w14:paraId="70E9B904" w14:textId="77777777" w:rsidR="00F44833" w:rsidRPr="003F7EE6" w:rsidRDefault="00F44833" w:rsidP="00F44833">
      <w:pPr>
        <w:keepNext/>
        <w:spacing w:after="0" w:line="360" w:lineRule="auto"/>
        <w:rPr>
          <w:rFonts w:ascii="Times New Roman" w:eastAsia="Times New Roman" w:hAnsi="Times New Roman" w:cs="Times New Roman"/>
          <w:sz w:val="26"/>
          <w:szCs w:val="26"/>
        </w:rPr>
      </w:pPr>
    </w:p>
    <w:p w14:paraId="0CD87A0C" w14:textId="4E354F44" w:rsidR="004D0CD3" w:rsidRDefault="004D0CD3" w:rsidP="004D0CD3">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It is the Commission’s policy to promote settlements.  52 Pa. Code § 5.231.  The Parties herein have provided the Commission with sufficient information upon which to thoroughly consider the terms of the proposed Settlement.  Based on our review of the record in this case</w:t>
      </w:r>
      <w:r w:rsidR="001A2520">
        <w:rPr>
          <w:rFonts w:ascii="Times New Roman" w:eastAsia="Times New Roman" w:hAnsi="Times New Roman" w:cs="Times New Roman"/>
          <w:sz w:val="26"/>
          <w:szCs w:val="26"/>
        </w:rPr>
        <w:t xml:space="preserve"> and the Commission’s </w:t>
      </w:r>
      <w:r w:rsidR="00D90DFB">
        <w:rPr>
          <w:rFonts w:ascii="Times New Roman" w:eastAsia="Times New Roman" w:hAnsi="Times New Roman" w:cs="Times New Roman"/>
          <w:sz w:val="26"/>
          <w:szCs w:val="26"/>
        </w:rPr>
        <w:t>R</w:t>
      </w:r>
      <w:r w:rsidR="001A2520">
        <w:rPr>
          <w:rFonts w:ascii="Times New Roman" w:eastAsia="Times New Roman" w:hAnsi="Times New Roman" w:cs="Times New Roman"/>
          <w:sz w:val="26"/>
          <w:szCs w:val="26"/>
        </w:rPr>
        <w:t>egulations and policy statements</w:t>
      </w:r>
      <w:r w:rsidRPr="007B421B">
        <w:rPr>
          <w:rFonts w:ascii="Times New Roman" w:eastAsia="Times New Roman" w:hAnsi="Times New Roman" w:cs="Times New Roman"/>
          <w:sz w:val="26"/>
          <w:szCs w:val="26"/>
        </w:rPr>
        <w:t xml:space="preserve">, we find that the proposed </w:t>
      </w:r>
      <w:r w:rsidR="00F778EA" w:rsidRPr="007B421B">
        <w:rPr>
          <w:rFonts w:ascii="Times New Roman" w:eastAsia="Times New Roman" w:hAnsi="Times New Roman" w:cs="Times New Roman"/>
          <w:sz w:val="26"/>
          <w:szCs w:val="26"/>
        </w:rPr>
        <w:t xml:space="preserve">Settlement </w:t>
      </w:r>
      <w:r w:rsidR="00F778EA">
        <w:rPr>
          <w:rFonts w:ascii="Times New Roman" w:eastAsia="Times New Roman" w:hAnsi="Times New Roman" w:cs="Times New Roman"/>
          <w:sz w:val="26"/>
          <w:szCs w:val="26"/>
        </w:rPr>
        <w:t>between</w:t>
      </w:r>
      <w:r w:rsidRPr="007B421B">
        <w:rPr>
          <w:rFonts w:ascii="Times New Roman" w:eastAsia="Times New Roman" w:hAnsi="Times New Roman" w:cs="Times New Roman"/>
          <w:sz w:val="26"/>
          <w:szCs w:val="26"/>
        </w:rPr>
        <w:t xml:space="preserve"> I&amp;E and </w:t>
      </w:r>
      <w:r w:rsidR="001A2520">
        <w:rPr>
          <w:rFonts w:ascii="Times New Roman" w:eastAsia="Times New Roman" w:hAnsi="Times New Roman" w:cs="Times New Roman"/>
          <w:sz w:val="26"/>
          <w:szCs w:val="26"/>
        </w:rPr>
        <w:t>NRG Home</w:t>
      </w:r>
      <w:r w:rsidRPr="007B421B">
        <w:rPr>
          <w:rFonts w:ascii="Times New Roman" w:eastAsia="Times New Roman" w:hAnsi="Times New Roman" w:cs="Times New Roman"/>
          <w:sz w:val="26"/>
          <w:szCs w:val="26"/>
        </w:rPr>
        <w:t xml:space="preserve"> is in the public interest and merits approval.  We will therefore 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14:paraId="53C605D4" w14:textId="77777777" w:rsidR="001A2520" w:rsidRPr="007B421B" w:rsidRDefault="001A2520" w:rsidP="004D0CD3">
      <w:pPr>
        <w:spacing w:after="0" w:line="360" w:lineRule="auto"/>
        <w:ind w:firstLine="1440"/>
        <w:rPr>
          <w:rFonts w:ascii="Times New Roman" w:eastAsia="Times New Roman" w:hAnsi="Times New Roman" w:cs="Times New Roman"/>
          <w:sz w:val="26"/>
          <w:szCs w:val="26"/>
        </w:rPr>
      </w:pPr>
    </w:p>
    <w:p w14:paraId="4AED235F" w14:textId="77777777" w:rsidR="00F44833" w:rsidRPr="00F3313F" w:rsidRDefault="00F44833" w:rsidP="00F3313F">
      <w:pPr>
        <w:keepNext/>
        <w:keepLines/>
        <w:spacing w:after="0" w:line="360" w:lineRule="auto"/>
        <w:rPr>
          <w:rFonts w:ascii="Times New Roman" w:eastAsia="Times New Roman" w:hAnsi="Times New Roman" w:cs="Times New Roman"/>
          <w:b/>
          <w:sz w:val="26"/>
          <w:szCs w:val="26"/>
        </w:rPr>
      </w:pPr>
      <w:r w:rsidRPr="003F7EE6">
        <w:rPr>
          <w:rFonts w:ascii="Times New Roman" w:eastAsia="Times New Roman" w:hAnsi="Times New Roman" w:cs="Times New Roman"/>
          <w:sz w:val="26"/>
          <w:szCs w:val="26"/>
        </w:rPr>
        <w:lastRenderedPageBreak/>
        <w:tab/>
      </w:r>
      <w:r w:rsidRPr="003F7EE6">
        <w:rPr>
          <w:rFonts w:ascii="Times New Roman" w:eastAsia="Times New Roman" w:hAnsi="Times New Roman" w:cs="Times New Roman"/>
          <w:sz w:val="26"/>
          <w:szCs w:val="26"/>
        </w:rPr>
        <w:tab/>
      </w:r>
      <w:r w:rsidRPr="00F3313F">
        <w:rPr>
          <w:rFonts w:ascii="Times New Roman" w:eastAsia="Times New Roman" w:hAnsi="Times New Roman" w:cs="Times New Roman"/>
          <w:b/>
          <w:sz w:val="26"/>
          <w:szCs w:val="26"/>
        </w:rPr>
        <w:t>IT IS ORDERED:</w:t>
      </w:r>
    </w:p>
    <w:p w14:paraId="0672DE4A" w14:textId="77777777" w:rsidR="00F44833" w:rsidRPr="00F3313F" w:rsidRDefault="00F44833" w:rsidP="00F3313F">
      <w:pPr>
        <w:keepNext/>
        <w:keepLines/>
        <w:spacing w:after="0" w:line="360" w:lineRule="auto"/>
        <w:rPr>
          <w:rFonts w:ascii="Times New Roman" w:eastAsia="Times New Roman" w:hAnsi="Times New Roman" w:cs="Times New Roman"/>
          <w:sz w:val="26"/>
          <w:szCs w:val="26"/>
        </w:rPr>
      </w:pPr>
    </w:p>
    <w:p w14:paraId="2352009F" w14:textId="34127B90" w:rsidR="00587CF5" w:rsidRPr="00F3313F" w:rsidRDefault="00587CF5" w:rsidP="00EE52F5">
      <w:pPr>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That the Joint Settlement Petition filed on September 29, 2020 between the Commission’s Bureau of Investigation and Enforcement and Reliant Energy Northeast, LLC d/b/a Reliant Energy, NRG Business Solutions, Reliant-NRG, NRG Residential Solutions, NRG Retail Solutions, NRG Home and NRG Business (hereinafter referred to as “NRG Home”) is approved in its entirety without modification.</w:t>
      </w:r>
    </w:p>
    <w:p w14:paraId="3E4F8A0F" w14:textId="77777777" w:rsidR="005156A1" w:rsidRPr="00F3313F" w:rsidRDefault="005156A1" w:rsidP="00EE52F5">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36CFAE46" w14:textId="7D58A1EC" w:rsidR="00EA2166" w:rsidRPr="00F3313F" w:rsidRDefault="00587CF5" w:rsidP="00EE52F5">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That, in accordance with Section 3301 of the Public Utility Code, 66 </w:t>
      </w:r>
      <w:proofErr w:type="spellStart"/>
      <w:r w:rsidRPr="00F3313F">
        <w:rPr>
          <w:rFonts w:ascii="Times New Roman" w:eastAsia="Times New Roman" w:hAnsi="Times New Roman" w:cs="Times New Roman"/>
          <w:sz w:val="26"/>
          <w:szCs w:val="26"/>
        </w:rPr>
        <w:t>Pa.C.S</w:t>
      </w:r>
      <w:proofErr w:type="spellEnd"/>
      <w:r w:rsidRPr="00F3313F">
        <w:rPr>
          <w:rFonts w:ascii="Times New Roman" w:eastAsia="Times New Roman" w:hAnsi="Times New Roman" w:cs="Times New Roman"/>
          <w:sz w:val="26"/>
          <w:szCs w:val="26"/>
        </w:rPr>
        <w:t>. § 3301, within thirty (30) days of the date this Order becomes final, NRG Home shall pay a civil penalty of One Hundred Seventy-Five Thousand Dollars ($175,000).  Said payment shall be made by certified check or money order payable to “Commonwealth of Pennsylvania” and shall be sent to:</w:t>
      </w:r>
    </w:p>
    <w:p w14:paraId="35605646" w14:textId="77777777" w:rsidR="006838B1" w:rsidRPr="00F3313F" w:rsidRDefault="006838B1" w:rsidP="00EE52F5">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p>
    <w:p w14:paraId="711D086C" w14:textId="4BCDE894" w:rsidR="003B74A8" w:rsidRPr="00F3313F" w:rsidRDefault="0007751D" w:rsidP="00EE52F5">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Rosemary Chiavetta, </w:t>
      </w:r>
      <w:r w:rsidR="003B74A8" w:rsidRPr="00F3313F">
        <w:rPr>
          <w:rFonts w:ascii="Times New Roman" w:eastAsia="Times New Roman" w:hAnsi="Times New Roman" w:cs="Times New Roman"/>
          <w:sz w:val="26"/>
          <w:szCs w:val="26"/>
        </w:rPr>
        <w:t>Secretary</w:t>
      </w:r>
    </w:p>
    <w:p w14:paraId="01D9078E" w14:textId="77777777" w:rsidR="003B74A8" w:rsidRPr="00F3313F" w:rsidRDefault="003B74A8" w:rsidP="00EE52F5">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Pennsylvania Public Utility Commission</w:t>
      </w:r>
    </w:p>
    <w:p w14:paraId="7E0390D9" w14:textId="77777777" w:rsidR="003B74A8" w:rsidRPr="00F3313F" w:rsidRDefault="003B74A8" w:rsidP="00EE52F5">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Commonwealth Keystone Building</w:t>
      </w:r>
    </w:p>
    <w:p w14:paraId="69D8D2DD" w14:textId="0E1146D8" w:rsidR="003B74A8" w:rsidRPr="00F3313F" w:rsidRDefault="003B74A8" w:rsidP="00EE52F5">
      <w:pPr>
        <w:widowControl w:val="0"/>
        <w:autoSpaceDE w:val="0"/>
        <w:autoSpaceDN w:val="0"/>
        <w:adjustRightInd w:val="0"/>
        <w:spacing w:after="0" w:line="240" w:lineRule="auto"/>
        <w:ind w:left="720" w:firstLine="72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400 North Street</w:t>
      </w:r>
    </w:p>
    <w:p w14:paraId="3E1E46C5" w14:textId="7666E1C9" w:rsidR="003B74A8" w:rsidRDefault="003B74A8" w:rsidP="00EE52F5">
      <w:pPr>
        <w:spacing w:line="240" w:lineRule="auto"/>
        <w:ind w:left="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Harrisburg, PA</w:t>
      </w:r>
      <w:r w:rsidR="0007751D" w:rsidRPr="00F3313F">
        <w:rPr>
          <w:rFonts w:ascii="Times New Roman" w:eastAsia="Times New Roman" w:hAnsi="Times New Roman" w:cs="Times New Roman"/>
          <w:sz w:val="26"/>
          <w:szCs w:val="26"/>
        </w:rPr>
        <w:t xml:space="preserve"> </w:t>
      </w:r>
      <w:r w:rsidRPr="00F3313F">
        <w:rPr>
          <w:rFonts w:ascii="Times New Roman" w:eastAsia="Times New Roman" w:hAnsi="Times New Roman" w:cs="Times New Roman"/>
          <w:sz w:val="26"/>
          <w:szCs w:val="26"/>
        </w:rPr>
        <w:t xml:space="preserve"> 17120</w:t>
      </w:r>
    </w:p>
    <w:p w14:paraId="63F0C632" w14:textId="77777777" w:rsidR="00EE52F5" w:rsidRDefault="00EE52F5" w:rsidP="00EE52F5">
      <w:pPr>
        <w:spacing w:line="240" w:lineRule="auto"/>
        <w:ind w:left="1440"/>
        <w:rPr>
          <w:rFonts w:ascii="Times New Roman" w:eastAsia="Times New Roman" w:hAnsi="Times New Roman" w:cs="Times New Roman"/>
          <w:sz w:val="26"/>
          <w:szCs w:val="26"/>
        </w:rPr>
      </w:pPr>
    </w:p>
    <w:p w14:paraId="30BDE05B" w14:textId="10954E7B" w:rsidR="00587CF5" w:rsidRPr="00F3313F" w:rsidRDefault="00587CF5" w:rsidP="00EE52F5">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Within thirty (30) days of the date this </w:t>
      </w:r>
      <w:r w:rsidR="00C45730" w:rsidRPr="00F3313F">
        <w:rPr>
          <w:rFonts w:ascii="Times New Roman" w:eastAsia="Times New Roman" w:hAnsi="Times New Roman" w:cs="Times New Roman"/>
          <w:sz w:val="26"/>
          <w:szCs w:val="26"/>
        </w:rPr>
        <w:t xml:space="preserve">Opinion and </w:t>
      </w:r>
      <w:r w:rsidRPr="00F3313F">
        <w:rPr>
          <w:rFonts w:ascii="Times New Roman" w:eastAsia="Times New Roman" w:hAnsi="Times New Roman" w:cs="Times New Roman"/>
          <w:sz w:val="26"/>
          <w:szCs w:val="26"/>
        </w:rPr>
        <w:t>Order becomes final, NRG Home shall provide to each of the customers who had one or more of the 168 accounts physically switched to receive its service, a refund for the entire electric generation supply portion on the customers’ bills for the first two (2) billing periods that the customers were switched, pursuant to 52 Pa. Code § 57.177(b).  Following payment of the refunds, NRG Home shall file with the Commission a verification acknowledging that all refund payments have been disbursed.</w:t>
      </w:r>
    </w:p>
    <w:p w14:paraId="451BA009" w14:textId="77777777" w:rsidR="005156A1" w:rsidRPr="00F3313F" w:rsidRDefault="005156A1" w:rsidP="00EE52F5">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7F54DADF" w14:textId="41772594" w:rsidR="00587CF5" w:rsidRPr="00F3313F" w:rsidRDefault="00587CF5" w:rsidP="00EE52F5">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NRG Home shall refund any cancellation fee or early termination fee charged by another electric generation supplier and incurred by a customer impacted </w:t>
      </w:r>
      <w:r w:rsidRPr="00F3313F">
        <w:rPr>
          <w:rFonts w:ascii="Times New Roman" w:eastAsia="Times New Roman" w:hAnsi="Times New Roman" w:cs="Times New Roman"/>
          <w:sz w:val="26"/>
          <w:szCs w:val="26"/>
        </w:rPr>
        <w:lastRenderedPageBreak/>
        <w:t>by the unauthorized switching that is the subject of this proceeding, pursuant to 52 Pa. Code 57.177(c), if the customer supplies documentation of incurring the fee.</w:t>
      </w:r>
    </w:p>
    <w:p w14:paraId="12E9759C" w14:textId="77777777" w:rsidR="00A05986" w:rsidRPr="00F3313F" w:rsidRDefault="00A05986" w:rsidP="00EE52F5">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3BE5CAC3" w14:textId="6FC02CD0" w:rsidR="006838B1" w:rsidRPr="00F3313F" w:rsidRDefault="00587CF5" w:rsidP="00EE52F5">
      <w:pPr>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Upon entry of this </w:t>
      </w:r>
      <w:r w:rsidR="003156BD" w:rsidRPr="00F3313F">
        <w:rPr>
          <w:rFonts w:ascii="Times New Roman" w:eastAsia="Times New Roman" w:hAnsi="Times New Roman" w:cs="Times New Roman"/>
          <w:sz w:val="26"/>
          <w:szCs w:val="26"/>
        </w:rPr>
        <w:t xml:space="preserve">Opinion and </w:t>
      </w:r>
      <w:r w:rsidRPr="00F3313F">
        <w:rPr>
          <w:rFonts w:ascii="Times New Roman" w:eastAsia="Times New Roman" w:hAnsi="Times New Roman" w:cs="Times New Roman"/>
          <w:sz w:val="26"/>
          <w:szCs w:val="26"/>
        </w:rPr>
        <w:t>Order, NRG Home shall provide the Bureau of Investigation and Enforcement with a monthly report by the 30</w:t>
      </w:r>
      <w:r w:rsidRPr="00F3313F">
        <w:rPr>
          <w:rFonts w:ascii="Times New Roman" w:eastAsia="Times New Roman" w:hAnsi="Times New Roman" w:cs="Times New Roman"/>
          <w:sz w:val="26"/>
          <w:szCs w:val="26"/>
          <w:vertAlign w:val="superscript"/>
        </w:rPr>
        <w:t>th</w:t>
      </w:r>
      <w:r w:rsidRPr="00F3313F">
        <w:rPr>
          <w:rFonts w:ascii="Times New Roman" w:eastAsia="Times New Roman" w:hAnsi="Times New Roman" w:cs="Times New Roman"/>
          <w:sz w:val="26"/>
          <w:szCs w:val="26"/>
        </w:rPr>
        <w:t xml:space="preserve"> of each month, for a period of one year, detailing complaints from Pennsylvania consumers that were received by the Company from </w:t>
      </w:r>
      <w:r w:rsidR="00E94EC4" w:rsidRPr="00F3313F">
        <w:rPr>
          <w:rFonts w:ascii="Times New Roman" w:eastAsia="Times New Roman" w:hAnsi="Times New Roman" w:cs="Times New Roman"/>
          <w:sz w:val="26"/>
          <w:szCs w:val="26"/>
        </w:rPr>
        <w:t xml:space="preserve">the </w:t>
      </w:r>
      <w:r w:rsidR="00AF17A5" w:rsidRPr="00F3313F">
        <w:rPr>
          <w:rFonts w:ascii="Times New Roman" w:eastAsia="Times New Roman" w:hAnsi="Times New Roman" w:cs="Times New Roman"/>
          <w:sz w:val="26"/>
          <w:szCs w:val="26"/>
        </w:rPr>
        <w:t xml:space="preserve">Commission’s </w:t>
      </w:r>
      <w:r w:rsidRPr="00F3313F">
        <w:rPr>
          <w:rFonts w:ascii="Times New Roman" w:eastAsia="Times New Roman" w:hAnsi="Times New Roman" w:cs="Times New Roman"/>
          <w:sz w:val="26"/>
          <w:szCs w:val="26"/>
        </w:rPr>
        <w:t>B</w:t>
      </w:r>
      <w:r w:rsidR="00E94EC4" w:rsidRPr="00F3313F">
        <w:rPr>
          <w:rFonts w:ascii="Times New Roman" w:eastAsia="Times New Roman" w:hAnsi="Times New Roman" w:cs="Times New Roman"/>
          <w:sz w:val="26"/>
          <w:szCs w:val="26"/>
        </w:rPr>
        <w:t xml:space="preserve">ureau of </w:t>
      </w:r>
      <w:r w:rsidRPr="00F3313F">
        <w:rPr>
          <w:rFonts w:ascii="Times New Roman" w:eastAsia="Times New Roman" w:hAnsi="Times New Roman" w:cs="Times New Roman"/>
          <w:sz w:val="26"/>
          <w:szCs w:val="26"/>
        </w:rPr>
        <w:t>C</w:t>
      </w:r>
      <w:r w:rsidR="00E94EC4" w:rsidRPr="00F3313F">
        <w:rPr>
          <w:rFonts w:ascii="Times New Roman" w:eastAsia="Times New Roman" w:hAnsi="Times New Roman" w:cs="Times New Roman"/>
          <w:sz w:val="26"/>
          <w:szCs w:val="26"/>
        </w:rPr>
        <w:t xml:space="preserve">onsumer </w:t>
      </w:r>
      <w:r w:rsidRPr="00F3313F">
        <w:rPr>
          <w:rFonts w:ascii="Times New Roman" w:eastAsia="Times New Roman" w:hAnsi="Times New Roman" w:cs="Times New Roman"/>
          <w:sz w:val="26"/>
          <w:szCs w:val="26"/>
        </w:rPr>
        <w:t>S</w:t>
      </w:r>
      <w:r w:rsidR="00E94EC4" w:rsidRPr="00F3313F">
        <w:rPr>
          <w:rFonts w:ascii="Times New Roman" w:eastAsia="Times New Roman" w:hAnsi="Times New Roman" w:cs="Times New Roman"/>
          <w:sz w:val="26"/>
          <w:szCs w:val="26"/>
        </w:rPr>
        <w:t>er</w:t>
      </w:r>
      <w:r w:rsidR="00AF17A5" w:rsidRPr="00F3313F">
        <w:rPr>
          <w:rFonts w:ascii="Times New Roman" w:eastAsia="Times New Roman" w:hAnsi="Times New Roman" w:cs="Times New Roman"/>
          <w:sz w:val="26"/>
          <w:szCs w:val="26"/>
        </w:rPr>
        <w:t>vices</w:t>
      </w:r>
      <w:r w:rsidRPr="00F3313F">
        <w:rPr>
          <w:rFonts w:ascii="Times New Roman" w:eastAsia="Times New Roman" w:hAnsi="Times New Roman" w:cs="Times New Roman"/>
          <w:sz w:val="26"/>
          <w:szCs w:val="26"/>
        </w:rPr>
        <w:t xml:space="preserve">, the Pennsylvania Attorney General’s Office, the Better Business Bureau and/or complaints directed to the Company related to allegations of unauthorized switching that originated from in-person retail and event solicitations.  </w:t>
      </w:r>
    </w:p>
    <w:p w14:paraId="76EB8A81" w14:textId="77777777" w:rsidR="000016E7" w:rsidRPr="00F3313F" w:rsidRDefault="000016E7" w:rsidP="00EE52F5">
      <w:pPr>
        <w:widowControl w:val="0"/>
        <w:autoSpaceDE w:val="0"/>
        <w:autoSpaceDN w:val="0"/>
        <w:adjustRightInd w:val="0"/>
        <w:spacing w:after="0" w:line="360" w:lineRule="auto"/>
        <w:ind w:left="1440"/>
        <w:rPr>
          <w:rFonts w:ascii="Times New Roman" w:eastAsia="Times New Roman" w:hAnsi="Times New Roman" w:cs="Times New Roman"/>
          <w:sz w:val="26"/>
          <w:szCs w:val="26"/>
        </w:rPr>
      </w:pPr>
    </w:p>
    <w:p w14:paraId="22B8A07D" w14:textId="3A840CCB" w:rsidR="00587CF5" w:rsidRPr="00F3313F" w:rsidRDefault="00587CF5" w:rsidP="00EE52F5">
      <w:pPr>
        <w:widowControl w:val="0"/>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A copy of this Opinion and Order shall be served upon the Financial and Assessment Chief, Bureau of Administration.</w:t>
      </w:r>
      <w:bookmarkStart w:id="1" w:name="_DV_M95"/>
      <w:bookmarkStart w:id="2" w:name="_DV_M139"/>
      <w:bookmarkStart w:id="3" w:name="_DV_M145"/>
      <w:bookmarkEnd w:id="1"/>
      <w:bookmarkEnd w:id="2"/>
      <w:bookmarkEnd w:id="3"/>
    </w:p>
    <w:p w14:paraId="04E2FB2B" w14:textId="77777777" w:rsidR="00A05986" w:rsidRPr="00F3313F" w:rsidRDefault="00A05986" w:rsidP="00EE52F5">
      <w:pPr>
        <w:widowControl w:val="0"/>
        <w:autoSpaceDE w:val="0"/>
        <w:autoSpaceDN w:val="0"/>
        <w:adjustRightInd w:val="0"/>
        <w:spacing w:after="0" w:line="360" w:lineRule="auto"/>
        <w:ind w:firstLine="1440"/>
        <w:rPr>
          <w:rFonts w:ascii="Times New Roman" w:eastAsia="Times New Roman" w:hAnsi="Times New Roman" w:cs="Times New Roman"/>
          <w:sz w:val="26"/>
          <w:szCs w:val="26"/>
        </w:rPr>
      </w:pPr>
    </w:p>
    <w:p w14:paraId="1FF1A691" w14:textId="0AF99F11" w:rsidR="00587CF5" w:rsidRPr="00F3313F" w:rsidRDefault="00587CF5" w:rsidP="00EE52F5">
      <w:pPr>
        <w:numPr>
          <w:ilvl w:val="0"/>
          <w:numId w:val="1"/>
        </w:numPr>
        <w:autoSpaceDE w:val="0"/>
        <w:autoSpaceDN w:val="0"/>
        <w:adjustRightInd w:val="0"/>
        <w:spacing w:after="0" w:line="360" w:lineRule="auto"/>
        <w:ind w:left="0" w:firstLine="14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That the above-captioned matter shall be marked closed upon </w:t>
      </w:r>
      <w:r w:rsidR="00DC521A" w:rsidRPr="00F3313F">
        <w:rPr>
          <w:rFonts w:ascii="Times New Roman" w:eastAsia="Times New Roman" w:hAnsi="Times New Roman" w:cs="Times New Roman"/>
          <w:sz w:val="26"/>
          <w:szCs w:val="26"/>
        </w:rPr>
        <w:t xml:space="preserve">NRG Home’s compliance with the directives in this Opinion and Order including the </w:t>
      </w:r>
      <w:r w:rsidRPr="00F3313F">
        <w:rPr>
          <w:rFonts w:ascii="Times New Roman" w:eastAsia="Times New Roman" w:hAnsi="Times New Roman" w:cs="Times New Roman"/>
          <w:sz w:val="26"/>
          <w:szCs w:val="26"/>
        </w:rPr>
        <w:t>receipt of the civil penalty and verification indicating that all customer refunds</w:t>
      </w:r>
      <w:r w:rsidR="00ED7981" w:rsidRPr="00F3313F">
        <w:rPr>
          <w:rFonts w:ascii="Times New Roman" w:eastAsia="Times New Roman" w:hAnsi="Times New Roman" w:cs="Times New Roman"/>
          <w:sz w:val="26"/>
          <w:szCs w:val="26"/>
        </w:rPr>
        <w:t xml:space="preserve"> </w:t>
      </w:r>
      <w:r w:rsidRPr="00F3313F">
        <w:rPr>
          <w:rFonts w:ascii="Times New Roman" w:eastAsia="Times New Roman" w:hAnsi="Times New Roman" w:cs="Times New Roman"/>
          <w:sz w:val="26"/>
          <w:szCs w:val="26"/>
        </w:rPr>
        <w:t>have been disbursed.</w:t>
      </w:r>
    </w:p>
    <w:p w14:paraId="0F618D5F" w14:textId="4E31FAC7" w:rsidR="00F44833" w:rsidRPr="00F3313F" w:rsidRDefault="00F44833" w:rsidP="00EE52F5">
      <w:pPr>
        <w:spacing w:after="0" w:line="360" w:lineRule="auto"/>
        <w:rPr>
          <w:rFonts w:ascii="Times New Roman" w:hAnsi="Times New Roman" w:cs="Times New Roman"/>
          <w:color w:val="000000"/>
          <w:sz w:val="26"/>
          <w:szCs w:val="26"/>
        </w:rPr>
      </w:pPr>
    </w:p>
    <w:p w14:paraId="41960785" w14:textId="3E592BCE" w:rsidR="00F44833" w:rsidRPr="00F3313F" w:rsidRDefault="00477BD5" w:rsidP="00EE52F5">
      <w:pPr>
        <w:spacing w:after="0" w:line="360" w:lineRule="auto"/>
        <w:ind w:left="5040"/>
        <w:rPr>
          <w:rFonts w:ascii="Times New Roman" w:eastAsia="Times New Roman" w:hAnsi="Times New Roman" w:cs="Times New Roman"/>
          <w:b/>
          <w:sz w:val="26"/>
          <w:szCs w:val="26"/>
        </w:rPr>
      </w:pPr>
      <w:r w:rsidRPr="009F01BA">
        <w:rPr>
          <w:b/>
          <w:noProof/>
          <w:sz w:val="20"/>
          <w:szCs w:val="20"/>
        </w:rPr>
        <w:drawing>
          <wp:anchor distT="0" distB="0" distL="114300" distR="114300" simplePos="0" relativeHeight="251659264" behindDoc="1" locked="0" layoutInCell="1" allowOverlap="1" wp14:anchorId="7B7EFAFC" wp14:editId="68FCAFBB">
            <wp:simplePos x="0" y="0"/>
            <wp:positionH relativeFrom="column">
              <wp:posOffset>2981325</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44833" w:rsidRPr="00F3313F">
        <w:rPr>
          <w:rFonts w:ascii="Times New Roman" w:eastAsia="Times New Roman" w:hAnsi="Times New Roman" w:cs="Times New Roman"/>
          <w:b/>
          <w:sz w:val="26"/>
          <w:szCs w:val="26"/>
        </w:rPr>
        <w:t>BY THE COMMISSION,</w:t>
      </w:r>
    </w:p>
    <w:p w14:paraId="33AB46CB" w14:textId="2EDBB91C" w:rsidR="00F44833" w:rsidRPr="00F3313F" w:rsidRDefault="00F44833" w:rsidP="00EE52F5">
      <w:pPr>
        <w:spacing w:after="0" w:line="240" w:lineRule="auto"/>
        <w:ind w:left="5040"/>
        <w:rPr>
          <w:rFonts w:ascii="Times New Roman" w:eastAsia="Times New Roman" w:hAnsi="Times New Roman" w:cs="Times New Roman"/>
          <w:sz w:val="26"/>
          <w:szCs w:val="26"/>
        </w:rPr>
      </w:pPr>
    </w:p>
    <w:p w14:paraId="0D56F4A3" w14:textId="2AE64331" w:rsidR="005A530B" w:rsidRPr="00F3313F" w:rsidRDefault="005A530B" w:rsidP="00EE52F5">
      <w:pPr>
        <w:spacing w:after="0" w:line="240" w:lineRule="auto"/>
        <w:ind w:left="5040"/>
        <w:rPr>
          <w:rFonts w:ascii="Times New Roman" w:eastAsia="Times New Roman" w:hAnsi="Times New Roman" w:cs="Times New Roman"/>
          <w:sz w:val="26"/>
          <w:szCs w:val="26"/>
        </w:rPr>
      </w:pPr>
    </w:p>
    <w:p w14:paraId="4CC7AC8B" w14:textId="77777777" w:rsidR="00F44833" w:rsidRPr="00F3313F" w:rsidRDefault="00F44833" w:rsidP="00EE52F5">
      <w:pPr>
        <w:spacing w:after="0" w:line="240" w:lineRule="auto"/>
        <w:ind w:left="5040"/>
        <w:rPr>
          <w:rFonts w:ascii="Times New Roman" w:eastAsia="Times New Roman" w:hAnsi="Times New Roman" w:cs="Times New Roman"/>
          <w:sz w:val="26"/>
          <w:szCs w:val="26"/>
        </w:rPr>
      </w:pPr>
    </w:p>
    <w:p w14:paraId="7B4569EC" w14:textId="487EE1F6" w:rsidR="00F44833" w:rsidRPr="00F3313F" w:rsidRDefault="00F44833" w:rsidP="00EE52F5">
      <w:pPr>
        <w:spacing w:after="0" w:line="240" w:lineRule="auto"/>
        <w:ind w:left="50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Rosemary Chiavetta</w:t>
      </w:r>
    </w:p>
    <w:p w14:paraId="30FD7A79" w14:textId="46AF6F90" w:rsidR="00F44833" w:rsidRPr="00F3313F" w:rsidRDefault="00F44833" w:rsidP="00EE52F5">
      <w:pPr>
        <w:spacing w:after="0" w:line="240" w:lineRule="auto"/>
        <w:ind w:left="5040"/>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Secretary</w:t>
      </w:r>
    </w:p>
    <w:p w14:paraId="075031A0" w14:textId="77777777" w:rsidR="00F44833" w:rsidRPr="00F3313F" w:rsidRDefault="00F44833" w:rsidP="00EE52F5">
      <w:pPr>
        <w:tabs>
          <w:tab w:val="left" w:pos="-720"/>
        </w:tabs>
        <w:suppressAutoHyphens/>
        <w:spacing w:after="0" w:line="240" w:lineRule="auto"/>
        <w:rPr>
          <w:rFonts w:ascii="Times New Roman" w:eastAsia="Times New Roman" w:hAnsi="Times New Roman" w:cs="Times New Roman"/>
          <w:sz w:val="26"/>
          <w:szCs w:val="26"/>
        </w:rPr>
      </w:pPr>
    </w:p>
    <w:p w14:paraId="2A8C8D69" w14:textId="77777777" w:rsidR="009B7DAA" w:rsidRPr="00F3313F" w:rsidRDefault="009B7DAA" w:rsidP="00EE52F5">
      <w:pPr>
        <w:tabs>
          <w:tab w:val="left" w:pos="-720"/>
        </w:tabs>
        <w:suppressAutoHyphens/>
        <w:spacing w:after="0" w:line="240" w:lineRule="auto"/>
        <w:rPr>
          <w:rFonts w:ascii="Times New Roman" w:eastAsia="Times New Roman" w:hAnsi="Times New Roman" w:cs="Times New Roman"/>
          <w:sz w:val="26"/>
          <w:szCs w:val="26"/>
        </w:rPr>
      </w:pPr>
    </w:p>
    <w:p w14:paraId="6D19B727" w14:textId="77777777" w:rsidR="00F44833" w:rsidRPr="00F3313F" w:rsidRDefault="00F44833" w:rsidP="00EE52F5">
      <w:pPr>
        <w:tabs>
          <w:tab w:val="left" w:pos="-720"/>
        </w:tabs>
        <w:suppressAutoHyphens/>
        <w:spacing w:after="0" w:line="240" w:lineRule="auto"/>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(SEAL)</w:t>
      </w:r>
    </w:p>
    <w:p w14:paraId="0E945459" w14:textId="77777777" w:rsidR="00F44833" w:rsidRPr="00F3313F" w:rsidRDefault="00F44833" w:rsidP="00EE52F5">
      <w:pPr>
        <w:tabs>
          <w:tab w:val="left" w:pos="-720"/>
        </w:tabs>
        <w:suppressAutoHyphens/>
        <w:spacing w:after="0" w:line="240" w:lineRule="auto"/>
        <w:rPr>
          <w:rFonts w:ascii="Times New Roman" w:eastAsia="Times New Roman" w:hAnsi="Times New Roman" w:cs="Times New Roman"/>
          <w:sz w:val="26"/>
          <w:szCs w:val="26"/>
        </w:rPr>
      </w:pPr>
    </w:p>
    <w:p w14:paraId="6B749380" w14:textId="6A706542" w:rsidR="00F44833" w:rsidRPr="00F3313F" w:rsidRDefault="0092538B" w:rsidP="00EE52F5">
      <w:pPr>
        <w:tabs>
          <w:tab w:val="left" w:pos="-720"/>
        </w:tabs>
        <w:suppressAutoHyphens/>
        <w:spacing w:after="0" w:line="240" w:lineRule="auto"/>
        <w:rPr>
          <w:rFonts w:ascii="Times New Roman" w:eastAsia="Times New Roman" w:hAnsi="Times New Roman" w:cs="Times New Roman"/>
          <w:sz w:val="26"/>
          <w:szCs w:val="26"/>
        </w:rPr>
      </w:pPr>
      <w:r w:rsidRPr="00F3313F">
        <w:rPr>
          <w:rFonts w:ascii="Times New Roman" w:eastAsia="Times New Roman" w:hAnsi="Times New Roman" w:cs="Times New Roman"/>
          <w:sz w:val="26"/>
          <w:szCs w:val="26"/>
        </w:rPr>
        <w:t xml:space="preserve">ORDER ADOPTED:  </w:t>
      </w:r>
      <w:r w:rsidR="001165E7" w:rsidRPr="00F3313F">
        <w:rPr>
          <w:rFonts w:ascii="Times New Roman" w:eastAsia="Times New Roman" w:hAnsi="Times New Roman" w:cs="Times New Roman"/>
          <w:sz w:val="26"/>
          <w:szCs w:val="26"/>
        </w:rPr>
        <w:t xml:space="preserve">March </w:t>
      </w:r>
      <w:r w:rsidR="00171C27" w:rsidRPr="00F3313F">
        <w:rPr>
          <w:rFonts w:ascii="Times New Roman" w:eastAsia="Times New Roman" w:hAnsi="Times New Roman" w:cs="Times New Roman"/>
          <w:sz w:val="26"/>
          <w:szCs w:val="26"/>
        </w:rPr>
        <w:t>25</w:t>
      </w:r>
      <w:r w:rsidR="00CB6C24" w:rsidRPr="00F3313F">
        <w:rPr>
          <w:rFonts w:ascii="Times New Roman" w:eastAsia="Times New Roman" w:hAnsi="Times New Roman" w:cs="Times New Roman"/>
          <w:sz w:val="26"/>
          <w:szCs w:val="26"/>
        </w:rPr>
        <w:t>, 2021</w:t>
      </w:r>
    </w:p>
    <w:p w14:paraId="724B860A" w14:textId="77777777" w:rsidR="00984785" w:rsidRPr="00F3313F" w:rsidRDefault="00984785" w:rsidP="00EE52F5">
      <w:pPr>
        <w:spacing w:after="0" w:line="360" w:lineRule="auto"/>
        <w:rPr>
          <w:rFonts w:ascii="Times New Roman" w:eastAsia="Times New Roman" w:hAnsi="Times New Roman" w:cs="Times New Roman"/>
          <w:sz w:val="26"/>
          <w:szCs w:val="26"/>
        </w:rPr>
      </w:pPr>
    </w:p>
    <w:p w14:paraId="104B4EFA" w14:textId="72CAFC72" w:rsidR="00D86FA4" w:rsidRPr="00F3313F" w:rsidRDefault="00F44833" w:rsidP="00EE52F5">
      <w:pPr>
        <w:spacing w:after="0" w:line="360" w:lineRule="auto"/>
        <w:rPr>
          <w:rFonts w:ascii="Times New Roman" w:eastAsia="Times New Roman" w:hAnsi="Times New Roman" w:cs="Times New Roman"/>
          <w:b/>
          <w:sz w:val="26"/>
          <w:szCs w:val="26"/>
        </w:rPr>
      </w:pPr>
      <w:r w:rsidRPr="00F3313F">
        <w:rPr>
          <w:rFonts w:ascii="Times New Roman" w:eastAsia="Times New Roman" w:hAnsi="Times New Roman" w:cs="Times New Roman"/>
          <w:sz w:val="26"/>
          <w:szCs w:val="26"/>
        </w:rPr>
        <w:t>ORDER ENTERED:</w:t>
      </w:r>
      <w:r w:rsidR="0092538B" w:rsidRPr="00F3313F">
        <w:rPr>
          <w:rFonts w:ascii="Times New Roman" w:eastAsia="Times New Roman" w:hAnsi="Times New Roman" w:cs="Times New Roman"/>
          <w:sz w:val="26"/>
          <w:szCs w:val="26"/>
        </w:rPr>
        <w:t xml:space="preserve"> </w:t>
      </w:r>
      <w:r w:rsidR="005925FC" w:rsidRPr="00F3313F">
        <w:rPr>
          <w:rFonts w:ascii="Times New Roman" w:eastAsia="Times New Roman" w:hAnsi="Times New Roman" w:cs="Times New Roman"/>
          <w:sz w:val="26"/>
          <w:szCs w:val="26"/>
        </w:rPr>
        <w:t xml:space="preserve"> </w:t>
      </w:r>
      <w:r w:rsidR="00477BD5">
        <w:rPr>
          <w:rFonts w:ascii="Times New Roman" w:eastAsia="Times New Roman" w:hAnsi="Times New Roman" w:cs="Times New Roman"/>
          <w:sz w:val="26"/>
          <w:szCs w:val="26"/>
        </w:rPr>
        <w:t>March 25, 2021</w:t>
      </w:r>
    </w:p>
    <w:sectPr w:rsidR="00D86FA4" w:rsidRPr="00F3313F" w:rsidSect="001165E7">
      <w:footerReference w:type="defaul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6897" w14:textId="77777777" w:rsidR="00456893" w:rsidRDefault="00456893" w:rsidP="00F44833">
      <w:pPr>
        <w:spacing w:after="0" w:line="240" w:lineRule="auto"/>
      </w:pPr>
      <w:r>
        <w:separator/>
      </w:r>
    </w:p>
  </w:endnote>
  <w:endnote w:type="continuationSeparator" w:id="0">
    <w:p w14:paraId="7801E354" w14:textId="77777777" w:rsidR="00456893" w:rsidRDefault="00456893"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71675"/>
      <w:docPartObj>
        <w:docPartGallery w:val="Page Numbers (Bottom of Page)"/>
        <w:docPartUnique/>
      </w:docPartObj>
    </w:sdtPr>
    <w:sdtEndPr>
      <w:rPr>
        <w:rFonts w:ascii="Times New Roman" w:hAnsi="Times New Roman" w:cs="Times New Roman"/>
        <w:noProof/>
        <w:sz w:val="26"/>
        <w:szCs w:val="26"/>
      </w:rPr>
    </w:sdtEndPr>
    <w:sdtContent>
      <w:p w14:paraId="062EEF16" w14:textId="43FC0C2B" w:rsidR="00416EDB" w:rsidRPr="0090623F" w:rsidRDefault="004A6BBE" w:rsidP="0090623F">
        <w:pPr>
          <w:pStyle w:val="Footer"/>
          <w:jc w:val="center"/>
          <w:rPr>
            <w:rFonts w:ascii="Times New Roman" w:hAnsi="Times New Roman" w:cs="Times New Roman"/>
            <w:sz w:val="26"/>
            <w:szCs w:val="26"/>
          </w:rPr>
        </w:pPr>
        <w:r w:rsidRPr="0090623F">
          <w:rPr>
            <w:rFonts w:ascii="Times New Roman" w:hAnsi="Times New Roman" w:cs="Times New Roman"/>
            <w:sz w:val="26"/>
            <w:szCs w:val="26"/>
          </w:rPr>
          <w:fldChar w:fldCharType="begin"/>
        </w:r>
        <w:r w:rsidRPr="0090623F">
          <w:rPr>
            <w:rFonts w:ascii="Times New Roman" w:hAnsi="Times New Roman" w:cs="Times New Roman"/>
            <w:sz w:val="26"/>
            <w:szCs w:val="26"/>
          </w:rPr>
          <w:instrText xml:space="preserve"> PAGE   \* MERGEFORMAT </w:instrText>
        </w:r>
        <w:r w:rsidRPr="0090623F">
          <w:rPr>
            <w:rFonts w:ascii="Times New Roman" w:hAnsi="Times New Roman" w:cs="Times New Roman"/>
            <w:sz w:val="26"/>
            <w:szCs w:val="26"/>
          </w:rPr>
          <w:fldChar w:fldCharType="separate"/>
        </w:r>
        <w:r w:rsidRPr="0090623F">
          <w:rPr>
            <w:rFonts w:ascii="Times New Roman" w:hAnsi="Times New Roman" w:cs="Times New Roman"/>
            <w:noProof/>
            <w:sz w:val="26"/>
            <w:szCs w:val="26"/>
          </w:rPr>
          <w:t>2</w:t>
        </w:r>
        <w:r w:rsidRPr="0090623F">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F58B" w14:textId="77777777" w:rsidR="00D403B0" w:rsidRPr="00F60EC1" w:rsidRDefault="00D403B0" w:rsidP="00564AAB">
    <w:pPr>
      <w:pStyle w:val="CommentText"/>
      <w:tabs>
        <w:tab w:val="center" w:pos="468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F528" w14:textId="77777777" w:rsidR="00456893" w:rsidRDefault="00456893" w:rsidP="00F44833">
      <w:pPr>
        <w:spacing w:after="0" w:line="240" w:lineRule="auto"/>
      </w:pPr>
      <w:r>
        <w:separator/>
      </w:r>
    </w:p>
  </w:footnote>
  <w:footnote w:type="continuationSeparator" w:id="0">
    <w:p w14:paraId="28DC50E9" w14:textId="77777777" w:rsidR="00456893" w:rsidRDefault="00456893" w:rsidP="00F44833">
      <w:pPr>
        <w:spacing w:after="0" w:line="240" w:lineRule="auto"/>
      </w:pPr>
      <w:r>
        <w:continuationSeparator/>
      </w:r>
    </w:p>
  </w:footnote>
  <w:footnote w:id="1">
    <w:p w14:paraId="1B4DD39A" w14:textId="5FA03397" w:rsidR="00486D78" w:rsidRPr="00F52795" w:rsidRDefault="00486D78" w:rsidP="00F52795">
      <w:pPr>
        <w:pStyle w:val="FootnoteText"/>
        <w:ind w:firstLine="720"/>
        <w:rPr>
          <w:rFonts w:ascii="Times New Roman" w:hAnsi="Times New Roman" w:cs="Times New Roman"/>
          <w:sz w:val="26"/>
          <w:szCs w:val="26"/>
        </w:rPr>
      </w:pPr>
      <w:r w:rsidRPr="00F52795">
        <w:rPr>
          <w:rStyle w:val="FootnoteReference"/>
          <w:rFonts w:ascii="Times New Roman" w:hAnsi="Times New Roman" w:cs="Times New Roman"/>
          <w:sz w:val="26"/>
          <w:szCs w:val="26"/>
        </w:rPr>
        <w:footnoteRef/>
      </w:r>
      <w:r w:rsidRPr="00F52795">
        <w:rPr>
          <w:rFonts w:ascii="Times New Roman" w:hAnsi="Times New Roman" w:cs="Times New Roman"/>
          <w:sz w:val="26"/>
          <w:szCs w:val="26"/>
        </w:rPr>
        <w:t xml:space="preserve"> </w:t>
      </w:r>
      <w:r w:rsidRPr="00F52795">
        <w:rPr>
          <w:rFonts w:ascii="Times New Roman" w:hAnsi="Times New Roman" w:cs="Times New Roman"/>
          <w:sz w:val="26"/>
          <w:szCs w:val="26"/>
        </w:rPr>
        <w:tab/>
        <w:t xml:space="preserve">The Commission </w:t>
      </w:r>
      <w:r w:rsidR="00972F71" w:rsidRPr="00F52795">
        <w:rPr>
          <w:rFonts w:ascii="Times New Roman" w:hAnsi="Times New Roman" w:cs="Times New Roman"/>
          <w:sz w:val="26"/>
          <w:szCs w:val="26"/>
        </w:rPr>
        <w:t xml:space="preserve">granted </w:t>
      </w:r>
      <w:r w:rsidRPr="00F52795">
        <w:rPr>
          <w:rFonts w:ascii="Times New Roman" w:hAnsi="Times New Roman" w:cs="Times New Roman"/>
          <w:sz w:val="26"/>
          <w:szCs w:val="26"/>
        </w:rPr>
        <w:t xml:space="preserve">NRG Home </w:t>
      </w:r>
      <w:r w:rsidR="00972F71" w:rsidRPr="00F52795">
        <w:rPr>
          <w:rFonts w:ascii="Times New Roman" w:hAnsi="Times New Roman" w:cs="Times New Roman"/>
          <w:sz w:val="26"/>
          <w:szCs w:val="26"/>
        </w:rPr>
        <w:t xml:space="preserve">approval to operate as </w:t>
      </w:r>
      <w:r w:rsidRPr="00F52795">
        <w:rPr>
          <w:rFonts w:ascii="Times New Roman" w:hAnsi="Times New Roman" w:cs="Times New Roman"/>
          <w:sz w:val="26"/>
          <w:szCs w:val="26"/>
        </w:rPr>
        <w:t>a licensed electric generation supplier</w:t>
      </w:r>
      <w:r w:rsidR="00972F71" w:rsidRPr="00F52795">
        <w:rPr>
          <w:rFonts w:ascii="Times New Roman" w:hAnsi="Times New Roman" w:cs="Times New Roman"/>
          <w:sz w:val="26"/>
          <w:szCs w:val="26"/>
        </w:rPr>
        <w:t xml:space="preserve"> on May 19</w:t>
      </w:r>
      <w:r w:rsidR="00783A68">
        <w:rPr>
          <w:rFonts w:ascii="Times New Roman" w:hAnsi="Times New Roman" w:cs="Times New Roman"/>
          <w:sz w:val="26"/>
          <w:szCs w:val="26"/>
        </w:rPr>
        <w:t>,</w:t>
      </w:r>
      <w:r w:rsidR="00972F71" w:rsidRPr="00F52795">
        <w:rPr>
          <w:rFonts w:ascii="Times New Roman" w:hAnsi="Times New Roman" w:cs="Times New Roman"/>
          <w:sz w:val="26"/>
          <w:szCs w:val="26"/>
        </w:rPr>
        <w:t xml:space="preserve"> 2011 at Docket No. A-2010-2192350. </w:t>
      </w:r>
      <w:r w:rsidR="005B1637" w:rsidRPr="00F52795">
        <w:rPr>
          <w:rFonts w:ascii="Times New Roman" w:hAnsi="Times New Roman" w:cs="Times New Roman"/>
          <w:sz w:val="26"/>
          <w:szCs w:val="26"/>
        </w:rPr>
        <w:t xml:space="preserve"> Settlement at 3, para. 7.  </w:t>
      </w:r>
    </w:p>
  </w:footnote>
  <w:footnote w:id="2">
    <w:p w14:paraId="35CF1CC1" w14:textId="2CB1501A" w:rsidR="00EF4F9A" w:rsidRPr="00F52795" w:rsidRDefault="00E84209" w:rsidP="00F52795">
      <w:pPr>
        <w:pStyle w:val="FootnoteText"/>
        <w:tabs>
          <w:tab w:val="left" w:pos="0"/>
        </w:tabs>
        <w:rPr>
          <w:rFonts w:ascii="Times New Roman" w:hAnsi="Times New Roman" w:cs="Times New Roman"/>
          <w:sz w:val="26"/>
          <w:szCs w:val="26"/>
        </w:rPr>
      </w:pPr>
      <w:r>
        <w:rPr>
          <w:rFonts w:ascii="Times New Roman" w:hAnsi="Times New Roman" w:cs="Times New Roman"/>
          <w:sz w:val="24"/>
          <w:szCs w:val="24"/>
        </w:rPr>
        <w:tab/>
      </w:r>
      <w:r w:rsidR="00EF4F9A" w:rsidRPr="00F52795">
        <w:rPr>
          <w:rStyle w:val="FootnoteReference"/>
          <w:rFonts w:ascii="Times New Roman" w:hAnsi="Times New Roman" w:cs="Times New Roman"/>
          <w:sz w:val="26"/>
          <w:szCs w:val="26"/>
        </w:rPr>
        <w:footnoteRef/>
      </w:r>
      <w:r w:rsidR="00EF4F9A" w:rsidRPr="00F52795">
        <w:rPr>
          <w:rFonts w:ascii="Times New Roman" w:hAnsi="Times New Roman" w:cs="Times New Roman"/>
          <w:sz w:val="26"/>
          <w:szCs w:val="26"/>
        </w:rPr>
        <w:t xml:space="preserve"> </w:t>
      </w:r>
      <w:r w:rsidR="00EF4F9A" w:rsidRPr="00F52795">
        <w:rPr>
          <w:rFonts w:ascii="Times New Roman" w:hAnsi="Times New Roman" w:cs="Times New Roman"/>
          <w:sz w:val="26"/>
          <w:szCs w:val="26"/>
        </w:rPr>
        <w:tab/>
        <w:t>One consumer complaint proceeding is pending</w:t>
      </w:r>
      <w:r w:rsidRPr="00F52795">
        <w:rPr>
          <w:rFonts w:ascii="Times New Roman" w:hAnsi="Times New Roman" w:cs="Times New Roman"/>
          <w:sz w:val="26"/>
          <w:szCs w:val="26"/>
        </w:rPr>
        <w:t xml:space="preserve"> before the Commission</w:t>
      </w:r>
      <w:r w:rsidR="00EF4F9A" w:rsidRPr="00F52795">
        <w:rPr>
          <w:rFonts w:ascii="Times New Roman" w:hAnsi="Times New Roman" w:cs="Times New Roman"/>
          <w:sz w:val="26"/>
          <w:szCs w:val="26"/>
        </w:rPr>
        <w:t xml:space="preserve">.  </w:t>
      </w:r>
      <w:r w:rsidR="00EF4F9A" w:rsidRPr="00F52795">
        <w:rPr>
          <w:rFonts w:ascii="Times New Roman" w:hAnsi="Times New Roman" w:cs="Times New Roman"/>
          <w:i/>
          <w:iCs/>
          <w:sz w:val="26"/>
          <w:szCs w:val="26"/>
        </w:rPr>
        <w:t>See Christina Knotts v. Reliant Energy Northeast LLC t/a NRG Residential Solutions</w:t>
      </w:r>
      <w:r w:rsidR="00EF4F9A" w:rsidRPr="00F52795">
        <w:rPr>
          <w:rFonts w:ascii="Times New Roman" w:hAnsi="Times New Roman" w:cs="Times New Roman"/>
          <w:sz w:val="26"/>
          <w:szCs w:val="26"/>
        </w:rPr>
        <w:t>, Docket No. F-2020-3020303.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7"/>
    <w:multiLevelType w:val="hybridMultilevel"/>
    <w:tmpl w:val="6DFA7BDC"/>
    <w:lvl w:ilvl="0" w:tplc="3FBC883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762B"/>
    <w:multiLevelType w:val="hybridMultilevel"/>
    <w:tmpl w:val="697C390A"/>
    <w:lvl w:ilvl="0" w:tplc="A5AA07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80FFF"/>
    <w:multiLevelType w:val="hybridMultilevel"/>
    <w:tmpl w:val="968C241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A35"/>
    <w:multiLevelType w:val="hybridMultilevel"/>
    <w:tmpl w:val="B6A8F952"/>
    <w:lvl w:ilvl="0" w:tplc="544098B4">
      <w:start w:val="40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63496"/>
    <w:multiLevelType w:val="hybridMultilevel"/>
    <w:tmpl w:val="1E9A4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D7156"/>
    <w:multiLevelType w:val="hybridMultilevel"/>
    <w:tmpl w:val="525882BA"/>
    <w:lvl w:ilvl="0" w:tplc="86A287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D35254"/>
    <w:multiLevelType w:val="hybridMultilevel"/>
    <w:tmpl w:val="3A44B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A067FF"/>
    <w:multiLevelType w:val="hybridMultilevel"/>
    <w:tmpl w:val="CBF0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E674F"/>
    <w:multiLevelType w:val="hybridMultilevel"/>
    <w:tmpl w:val="AEAEC89C"/>
    <w:lvl w:ilvl="0" w:tplc="CD720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27543"/>
    <w:multiLevelType w:val="hybridMultilevel"/>
    <w:tmpl w:val="2FDC96AC"/>
    <w:lvl w:ilvl="0" w:tplc="0D362C4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7817EE"/>
    <w:multiLevelType w:val="hybridMultilevel"/>
    <w:tmpl w:val="EC425E7A"/>
    <w:lvl w:ilvl="0" w:tplc="EBA6F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F22E85"/>
    <w:multiLevelType w:val="hybridMultilevel"/>
    <w:tmpl w:val="9EEE9AB4"/>
    <w:lvl w:ilvl="0" w:tplc="18E0AD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
  </w:num>
  <w:num w:numId="5">
    <w:abstractNumId w:val="8"/>
  </w:num>
  <w:num w:numId="6">
    <w:abstractNumId w:val="10"/>
  </w:num>
  <w:num w:numId="7">
    <w:abstractNumId w:val="9"/>
  </w:num>
  <w:num w:numId="8">
    <w:abstractNumId w:val="1"/>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3"/>
    <w:rsid w:val="000016E7"/>
    <w:rsid w:val="00004D0E"/>
    <w:rsid w:val="00010129"/>
    <w:rsid w:val="000162A3"/>
    <w:rsid w:val="0002071A"/>
    <w:rsid w:val="00022139"/>
    <w:rsid w:val="00026C60"/>
    <w:rsid w:val="00026DFB"/>
    <w:rsid w:val="0003493F"/>
    <w:rsid w:val="00036DF0"/>
    <w:rsid w:val="000460AD"/>
    <w:rsid w:val="00046DCD"/>
    <w:rsid w:val="00047710"/>
    <w:rsid w:val="00050C2B"/>
    <w:rsid w:val="000518DA"/>
    <w:rsid w:val="000529AD"/>
    <w:rsid w:val="0005441E"/>
    <w:rsid w:val="0005787B"/>
    <w:rsid w:val="00060D64"/>
    <w:rsid w:val="000618DE"/>
    <w:rsid w:val="00066E0A"/>
    <w:rsid w:val="00070942"/>
    <w:rsid w:val="00072EB3"/>
    <w:rsid w:val="000747C7"/>
    <w:rsid w:val="0007751D"/>
    <w:rsid w:val="00083168"/>
    <w:rsid w:val="00085649"/>
    <w:rsid w:val="0009206A"/>
    <w:rsid w:val="00092902"/>
    <w:rsid w:val="00093521"/>
    <w:rsid w:val="00095552"/>
    <w:rsid w:val="00096721"/>
    <w:rsid w:val="00097E1B"/>
    <w:rsid w:val="00097F92"/>
    <w:rsid w:val="000A1056"/>
    <w:rsid w:val="000A38C4"/>
    <w:rsid w:val="000B12CD"/>
    <w:rsid w:val="000B12D6"/>
    <w:rsid w:val="000B6FB1"/>
    <w:rsid w:val="000C58A3"/>
    <w:rsid w:val="000D3751"/>
    <w:rsid w:val="000D4552"/>
    <w:rsid w:val="000D6B6B"/>
    <w:rsid w:val="000E06BE"/>
    <w:rsid w:val="000E1629"/>
    <w:rsid w:val="000E7DCB"/>
    <w:rsid w:val="000F431F"/>
    <w:rsid w:val="000F4CEE"/>
    <w:rsid w:val="000F57C3"/>
    <w:rsid w:val="000F5FD3"/>
    <w:rsid w:val="00100BB0"/>
    <w:rsid w:val="001135AF"/>
    <w:rsid w:val="00113B15"/>
    <w:rsid w:val="00114759"/>
    <w:rsid w:val="001158E4"/>
    <w:rsid w:val="001165E7"/>
    <w:rsid w:val="00117DE8"/>
    <w:rsid w:val="00120DF6"/>
    <w:rsid w:val="001211E1"/>
    <w:rsid w:val="00123F36"/>
    <w:rsid w:val="00132D49"/>
    <w:rsid w:val="00136D30"/>
    <w:rsid w:val="00150F2C"/>
    <w:rsid w:val="00164743"/>
    <w:rsid w:val="001668F5"/>
    <w:rsid w:val="00166A7D"/>
    <w:rsid w:val="0017126E"/>
    <w:rsid w:val="0017188E"/>
    <w:rsid w:val="00171C27"/>
    <w:rsid w:val="00176C93"/>
    <w:rsid w:val="00177AAF"/>
    <w:rsid w:val="00183096"/>
    <w:rsid w:val="001A2520"/>
    <w:rsid w:val="001A2DB5"/>
    <w:rsid w:val="001B2B83"/>
    <w:rsid w:val="001B2F2B"/>
    <w:rsid w:val="001B516C"/>
    <w:rsid w:val="001B7F9A"/>
    <w:rsid w:val="001C2E2F"/>
    <w:rsid w:val="001D21A5"/>
    <w:rsid w:val="001D4687"/>
    <w:rsid w:val="001D59AA"/>
    <w:rsid w:val="001E018B"/>
    <w:rsid w:val="001E736F"/>
    <w:rsid w:val="0021289D"/>
    <w:rsid w:val="00213B86"/>
    <w:rsid w:val="00217863"/>
    <w:rsid w:val="00217F32"/>
    <w:rsid w:val="00220BEC"/>
    <w:rsid w:val="00221006"/>
    <w:rsid w:val="0022438F"/>
    <w:rsid w:val="00225835"/>
    <w:rsid w:val="00225A89"/>
    <w:rsid w:val="002270FF"/>
    <w:rsid w:val="002325D2"/>
    <w:rsid w:val="00234989"/>
    <w:rsid w:val="00237B07"/>
    <w:rsid w:val="00250DF7"/>
    <w:rsid w:val="002556F8"/>
    <w:rsid w:val="002571C4"/>
    <w:rsid w:val="00257C69"/>
    <w:rsid w:val="00263A3B"/>
    <w:rsid w:val="00263AE5"/>
    <w:rsid w:val="00274EFD"/>
    <w:rsid w:val="00280341"/>
    <w:rsid w:val="00285DA6"/>
    <w:rsid w:val="00293480"/>
    <w:rsid w:val="002A70C8"/>
    <w:rsid w:val="002B5ADA"/>
    <w:rsid w:val="002B76FD"/>
    <w:rsid w:val="002C02C9"/>
    <w:rsid w:val="002C091F"/>
    <w:rsid w:val="002C0EE4"/>
    <w:rsid w:val="002C66A7"/>
    <w:rsid w:val="002D0A56"/>
    <w:rsid w:val="002D0A6C"/>
    <w:rsid w:val="002D0D2D"/>
    <w:rsid w:val="002D15AB"/>
    <w:rsid w:val="002E1DB5"/>
    <w:rsid w:val="002E3DC4"/>
    <w:rsid w:val="002E3FD9"/>
    <w:rsid w:val="002E68A7"/>
    <w:rsid w:val="002E7157"/>
    <w:rsid w:val="002F3C14"/>
    <w:rsid w:val="00300007"/>
    <w:rsid w:val="00300236"/>
    <w:rsid w:val="0030119F"/>
    <w:rsid w:val="00305E22"/>
    <w:rsid w:val="0030728F"/>
    <w:rsid w:val="0031070B"/>
    <w:rsid w:val="003156BD"/>
    <w:rsid w:val="0032127D"/>
    <w:rsid w:val="003240C5"/>
    <w:rsid w:val="003275FD"/>
    <w:rsid w:val="00335F40"/>
    <w:rsid w:val="00337AE9"/>
    <w:rsid w:val="003410E6"/>
    <w:rsid w:val="00343F8A"/>
    <w:rsid w:val="00350B95"/>
    <w:rsid w:val="00351CB9"/>
    <w:rsid w:val="00353609"/>
    <w:rsid w:val="00353EEF"/>
    <w:rsid w:val="003547DC"/>
    <w:rsid w:val="0035603E"/>
    <w:rsid w:val="003712B4"/>
    <w:rsid w:val="0037560D"/>
    <w:rsid w:val="00382C0B"/>
    <w:rsid w:val="00384C8C"/>
    <w:rsid w:val="00384E59"/>
    <w:rsid w:val="00391093"/>
    <w:rsid w:val="0039124D"/>
    <w:rsid w:val="003919F5"/>
    <w:rsid w:val="00393726"/>
    <w:rsid w:val="00395683"/>
    <w:rsid w:val="00395EF4"/>
    <w:rsid w:val="003A0187"/>
    <w:rsid w:val="003A0416"/>
    <w:rsid w:val="003B1203"/>
    <w:rsid w:val="003B1A2C"/>
    <w:rsid w:val="003B5039"/>
    <w:rsid w:val="003B5FBA"/>
    <w:rsid w:val="003B74A8"/>
    <w:rsid w:val="003B7A7D"/>
    <w:rsid w:val="003D7918"/>
    <w:rsid w:val="003F1077"/>
    <w:rsid w:val="003F683A"/>
    <w:rsid w:val="003F69C1"/>
    <w:rsid w:val="004103BA"/>
    <w:rsid w:val="004141BD"/>
    <w:rsid w:val="00414D40"/>
    <w:rsid w:val="00416DD2"/>
    <w:rsid w:val="00416EDB"/>
    <w:rsid w:val="00421D3D"/>
    <w:rsid w:val="00423B5B"/>
    <w:rsid w:val="00424FBA"/>
    <w:rsid w:val="00431C5E"/>
    <w:rsid w:val="00431E4E"/>
    <w:rsid w:val="00432F9F"/>
    <w:rsid w:val="004334B2"/>
    <w:rsid w:val="00433793"/>
    <w:rsid w:val="004337E6"/>
    <w:rsid w:val="0043552E"/>
    <w:rsid w:val="00442940"/>
    <w:rsid w:val="00450889"/>
    <w:rsid w:val="00456893"/>
    <w:rsid w:val="00461FFE"/>
    <w:rsid w:val="004676AB"/>
    <w:rsid w:val="004740D1"/>
    <w:rsid w:val="00477BD5"/>
    <w:rsid w:val="00481559"/>
    <w:rsid w:val="004817BA"/>
    <w:rsid w:val="0048435B"/>
    <w:rsid w:val="00486D78"/>
    <w:rsid w:val="004911F1"/>
    <w:rsid w:val="0049260A"/>
    <w:rsid w:val="004928D5"/>
    <w:rsid w:val="00493BFF"/>
    <w:rsid w:val="00494814"/>
    <w:rsid w:val="004A6BBE"/>
    <w:rsid w:val="004B568F"/>
    <w:rsid w:val="004C02E6"/>
    <w:rsid w:val="004C2370"/>
    <w:rsid w:val="004C2755"/>
    <w:rsid w:val="004C4C09"/>
    <w:rsid w:val="004C5CDF"/>
    <w:rsid w:val="004D0CD3"/>
    <w:rsid w:val="004D5491"/>
    <w:rsid w:val="004E488E"/>
    <w:rsid w:val="004E6E4A"/>
    <w:rsid w:val="004F3182"/>
    <w:rsid w:val="004F4BAD"/>
    <w:rsid w:val="004F4E97"/>
    <w:rsid w:val="004F6476"/>
    <w:rsid w:val="005011D3"/>
    <w:rsid w:val="00514428"/>
    <w:rsid w:val="005156A1"/>
    <w:rsid w:val="00515B1F"/>
    <w:rsid w:val="005268A9"/>
    <w:rsid w:val="005303B8"/>
    <w:rsid w:val="00530610"/>
    <w:rsid w:val="005315BE"/>
    <w:rsid w:val="005325EE"/>
    <w:rsid w:val="00533C13"/>
    <w:rsid w:val="0053699E"/>
    <w:rsid w:val="005433F7"/>
    <w:rsid w:val="005453B6"/>
    <w:rsid w:val="00545966"/>
    <w:rsid w:val="0054780C"/>
    <w:rsid w:val="005500AC"/>
    <w:rsid w:val="005501A8"/>
    <w:rsid w:val="00553556"/>
    <w:rsid w:val="00553D29"/>
    <w:rsid w:val="005568A1"/>
    <w:rsid w:val="005569AE"/>
    <w:rsid w:val="00556B8E"/>
    <w:rsid w:val="00556CA2"/>
    <w:rsid w:val="00562FEA"/>
    <w:rsid w:val="00564AAB"/>
    <w:rsid w:val="00570550"/>
    <w:rsid w:val="00570B5D"/>
    <w:rsid w:val="005723CB"/>
    <w:rsid w:val="00576BA0"/>
    <w:rsid w:val="005770E0"/>
    <w:rsid w:val="00580550"/>
    <w:rsid w:val="00581592"/>
    <w:rsid w:val="005835D9"/>
    <w:rsid w:val="00584774"/>
    <w:rsid w:val="00587CF5"/>
    <w:rsid w:val="005925FC"/>
    <w:rsid w:val="005944CF"/>
    <w:rsid w:val="0059789A"/>
    <w:rsid w:val="005A2DCD"/>
    <w:rsid w:val="005A31E2"/>
    <w:rsid w:val="005A36A1"/>
    <w:rsid w:val="005A530B"/>
    <w:rsid w:val="005B1637"/>
    <w:rsid w:val="005B737E"/>
    <w:rsid w:val="005C0FF7"/>
    <w:rsid w:val="005C2BBF"/>
    <w:rsid w:val="005C45E7"/>
    <w:rsid w:val="005D406F"/>
    <w:rsid w:val="005D69EB"/>
    <w:rsid w:val="005E00EA"/>
    <w:rsid w:val="005E1591"/>
    <w:rsid w:val="005E4CBE"/>
    <w:rsid w:val="005F3AE6"/>
    <w:rsid w:val="005F6584"/>
    <w:rsid w:val="0060384A"/>
    <w:rsid w:val="006069CC"/>
    <w:rsid w:val="00615966"/>
    <w:rsid w:val="006227AB"/>
    <w:rsid w:val="00633DBC"/>
    <w:rsid w:val="0063690C"/>
    <w:rsid w:val="00637421"/>
    <w:rsid w:val="00640538"/>
    <w:rsid w:val="00640D13"/>
    <w:rsid w:val="00640E8D"/>
    <w:rsid w:val="00641793"/>
    <w:rsid w:val="00641D9F"/>
    <w:rsid w:val="00653EF5"/>
    <w:rsid w:val="006542D4"/>
    <w:rsid w:val="0065459D"/>
    <w:rsid w:val="0065749E"/>
    <w:rsid w:val="006658AF"/>
    <w:rsid w:val="0066740B"/>
    <w:rsid w:val="00674BB9"/>
    <w:rsid w:val="00677E39"/>
    <w:rsid w:val="006804F3"/>
    <w:rsid w:val="00682A5A"/>
    <w:rsid w:val="006838B1"/>
    <w:rsid w:val="00697E31"/>
    <w:rsid w:val="006A029E"/>
    <w:rsid w:val="006A0373"/>
    <w:rsid w:val="006A0452"/>
    <w:rsid w:val="006A328C"/>
    <w:rsid w:val="006A4528"/>
    <w:rsid w:val="006A74CA"/>
    <w:rsid w:val="006B27C5"/>
    <w:rsid w:val="006B537D"/>
    <w:rsid w:val="006B5462"/>
    <w:rsid w:val="006B6011"/>
    <w:rsid w:val="006C0634"/>
    <w:rsid w:val="006D0671"/>
    <w:rsid w:val="006D5E0D"/>
    <w:rsid w:val="006D70F0"/>
    <w:rsid w:val="006D71EF"/>
    <w:rsid w:val="006E07A3"/>
    <w:rsid w:val="006E3317"/>
    <w:rsid w:val="006E55CC"/>
    <w:rsid w:val="006E6176"/>
    <w:rsid w:val="006F0AA6"/>
    <w:rsid w:val="006F13AD"/>
    <w:rsid w:val="00702670"/>
    <w:rsid w:val="00705064"/>
    <w:rsid w:val="0070558C"/>
    <w:rsid w:val="00716F39"/>
    <w:rsid w:val="00721F70"/>
    <w:rsid w:val="00727538"/>
    <w:rsid w:val="00734F80"/>
    <w:rsid w:val="0073537F"/>
    <w:rsid w:val="007411D2"/>
    <w:rsid w:val="00752ACF"/>
    <w:rsid w:val="0076203D"/>
    <w:rsid w:val="00762BDE"/>
    <w:rsid w:val="0076372B"/>
    <w:rsid w:val="00764B6A"/>
    <w:rsid w:val="00770409"/>
    <w:rsid w:val="00777725"/>
    <w:rsid w:val="00781F7E"/>
    <w:rsid w:val="007837C8"/>
    <w:rsid w:val="00783A68"/>
    <w:rsid w:val="007863FB"/>
    <w:rsid w:val="00792739"/>
    <w:rsid w:val="007A1753"/>
    <w:rsid w:val="007A3DFA"/>
    <w:rsid w:val="007A747D"/>
    <w:rsid w:val="007A76EB"/>
    <w:rsid w:val="007A7797"/>
    <w:rsid w:val="007B1EDF"/>
    <w:rsid w:val="007B5074"/>
    <w:rsid w:val="007B5831"/>
    <w:rsid w:val="007C1050"/>
    <w:rsid w:val="007C2A2F"/>
    <w:rsid w:val="007D1788"/>
    <w:rsid w:val="007D7245"/>
    <w:rsid w:val="007E3E00"/>
    <w:rsid w:val="007E4101"/>
    <w:rsid w:val="007E42DC"/>
    <w:rsid w:val="007E5F1C"/>
    <w:rsid w:val="007F0F77"/>
    <w:rsid w:val="007F17BC"/>
    <w:rsid w:val="007F2C07"/>
    <w:rsid w:val="007F7F24"/>
    <w:rsid w:val="00802268"/>
    <w:rsid w:val="00814A67"/>
    <w:rsid w:val="00815A8C"/>
    <w:rsid w:val="00821C4A"/>
    <w:rsid w:val="00831EB3"/>
    <w:rsid w:val="00832871"/>
    <w:rsid w:val="00832B0F"/>
    <w:rsid w:val="00851BF8"/>
    <w:rsid w:val="00860A43"/>
    <w:rsid w:val="00860F3C"/>
    <w:rsid w:val="00861585"/>
    <w:rsid w:val="00863031"/>
    <w:rsid w:val="00863323"/>
    <w:rsid w:val="00863B03"/>
    <w:rsid w:val="00866103"/>
    <w:rsid w:val="00870462"/>
    <w:rsid w:val="00892300"/>
    <w:rsid w:val="00895BF7"/>
    <w:rsid w:val="008B0C79"/>
    <w:rsid w:val="008B20DC"/>
    <w:rsid w:val="008B3D73"/>
    <w:rsid w:val="008C2B2E"/>
    <w:rsid w:val="008C3120"/>
    <w:rsid w:val="008D08B4"/>
    <w:rsid w:val="008D0EEF"/>
    <w:rsid w:val="008D4C27"/>
    <w:rsid w:val="008D7AB8"/>
    <w:rsid w:val="008E1F3A"/>
    <w:rsid w:val="008F2C2A"/>
    <w:rsid w:val="008F2C97"/>
    <w:rsid w:val="008F3A8D"/>
    <w:rsid w:val="00901230"/>
    <w:rsid w:val="0090176F"/>
    <w:rsid w:val="00904B50"/>
    <w:rsid w:val="0090623F"/>
    <w:rsid w:val="009068D9"/>
    <w:rsid w:val="009135A1"/>
    <w:rsid w:val="0091374D"/>
    <w:rsid w:val="00914AB5"/>
    <w:rsid w:val="00917171"/>
    <w:rsid w:val="009221FD"/>
    <w:rsid w:val="009231D7"/>
    <w:rsid w:val="0092538B"/>
    <w:rsid w:val="009265D6"/>
    <w:rsid w:val="00936061"/>
    <w:rsid w:val="00936209"/>
    <w:rsid w:val="00940122"/>
    <w:rsid w:val="009417DE"/>
    <w:rsid w:val="00943725"/>
    <w:rsid w:val="0094645F"/>
    <w:rsid w:val="00947277"/>
    <w:rsid w:val="00947476"/>
    <w:rsid w:val="00953514"/>
    <w:rsid w:val="00955DEA"/>
    <w:rsid w:val="00970A0C"/>
    <w:rsid w:val="00971344"/>
    <w:rsid w:val="00972F71"/>
    <w:rsid w:val="00974910"/>
    <w:rsid w:val="00975062"/>
    <w:rsid w:val="00980BE6"/>
    <w:rsid w:val="0098108D"/>
    <w:rsid w:val="00984785"/>
    <w:rsid w:val="00991E39"/>
    <w:rsid w:val="00992442"/>
    <w:rsid w:val="00993390"/>
    <w:rsid w:val="00994537"/>
    <w:rsid w:val="00996E96"/>
    <w:rsid w:val="009A0884"/>
    <w:rsid w:val="009A4BF0"/>
    <w:rsid w:val="009A606F"/>
    <w:rsid w:val="009A74A7"/>
    <w:rsid w:val="009B0C49"/>
    <w:rsid w:val="009B15F9"/>
    <w:rsid w:val="009B273A"/>
    <w:rsid w:val="009B54E6"/>
    <w:rsid w:val="009B7DAA"/>
    <w:rsid w:val="009B7E11"/>
    <w:rsid w:val="009C12EF"/>
    <w:rsid w:val="009C428B"/>
    <w:rsid w:val="009C4B40"/>
    <w:rsid w:val="009C64F0"/>
    <w:rsid w:val="009D4BB5"/>
    <w:rsid w:val="009E0D34"/>
    <w:rsid w:val="009E2B12"/>
    <w:rsid w:val="009E6332"/>
    <w:rsid w:val="009E7AC0"/>
    <w:rsid w:val="00A036F0"/>
    <w:rsid w:val="00A0413C"/>
    <w:rsid w:val="00A05986"/>
    <w:rsid w:val="00A05CF0"/>
    <w:rsid w:val="00A112FE"/>
    <w:rsid w:val="00A22521"/>
    <w:rsid w:val="00A245AE"/>
    <w:rsid w:val="00A2476F"/>
    <w:rsid w:val="00A30ECF"/>
    <w:rsid w:val="00A3251D"/>
    <w:rsid w:val="00A4432D"/>
    <w:rsid w:val="00A53B32"/>
    <w:rsid w:val="00A60F33"/>
    <w:rsid w:val="00A61E56"/>
    <w:rsid w:val="00A70E96"/>
    <w:rsid w:val="00A830B1"/>
    <w:rsid w:val="00A86A92"/>
    <w:rsid w:val="00A91A7B"/>
    <w:rsid w:val="00AA623F"/>
    <w:rsid w:val="00AA717A"/>
    <w:rsid w:val="00AB3E5B"/>
    <w:rsid w:val="00AC4357"/>
    <w:rsid w:val="00AD1AA1"/>
    <w:rsid w:val="00AD71A7"/>
    <w:rsid w:val="00AD7F94"/>
    <w:rsid w:val="00AE2509"/>
    <w:rsid w:val="00AE4A88"/>
    <w:rsid w:val="00AF087E"/>
    <w:rsid w:val="00AF0B18"/>
    <w:rsid w:val="00AF17A5"/>
    <w:rsid w:val="00AF3939"/>
    <w:rsid w:val="00AF445C"/>
    <w:rsid w:val="00AF547E"/>
    <w:rsid w:val="00AF6242"/>
    <w:rsid w:val="00B02BF3"/>
    <w:rsid w:val="00B05425"/>
    <w:rsid w:val="00B07F7F"/>
    <w:rsid w:val="00B21F72"/>
    <w:rsid w:val="00B23E17"/>
    <w:rsid w:val="00B243A1"/>
    <w:rsid w:val="00B25360"/>
    <w:rsid w:val="00B40E0E"/>
    <w:rsid w:val="00B467BB"/>
    <w:rsid w:val="00B5340F"/>
    <w:rsid w:val="00B53FBB"/>
    <w:rsid w:val="00B6456A"/>
    <w:rsid w:val="00B663D8"/>
    <w:rsid w:val="00B70441"/>
    <w:rsid w:val="00B708FD"/>
    <w:rsid w:val="00B713E3"/>
    <w:rsid w:val="00B815F4"/>
    <w:rsid w:val="00B8214E"/>
    <w:rsid w:val="00B849C3"/>
    <w:rsid w:val="00B85CE0"/>
    <w:rsid w:val="00B9753F"/>
    <w:rsid w:val="00BA1547"/>
    <w:rsid w:val="00BB1AB9"/>
    <w:rsid w:val="00BB508E"/>
    <w:rsid w:val="00BC2211"/>
    <w:rsid w:val="00BD0621"/>
    <w:rsid w:val="00BD0634"/>
    <w:rsid w:val="00BD2331"/>
    <w:rsid w:val="00BD63D4"/>
    <w:rsid w:val="00BD66E3"/>
    <w:rsid w:val="00BD779B"/>
    <w:rsid w:val="00BE620D"/>
    <w:rsid w:val="00BE76DB"/>
    <w:rsid w:val="00BF60BA"/>
    <w:rsid w:val="00C030C4"/>
    <w:rsid w:val="00C14A2C"/>
    <w:rsid w:val="00C1588F"/>
    <w:rsid w:val="00C15C41"/>
    <w:rsid w:val="00C200F0"/>
    <w:rsid w:val="00C214FC"/>
    <w:rsid w:val="00C220F1"/>
    <w:rsid w:val="00C2281A"/>
    <w:rsid w:val="00C244C7"/>
    <w:rsid w:val="00C30FD3"/>
    <w:rsid w:val="00C32CC8"/>
    <w:rsid w:val="00C33750"/>
    <w:rsid w:val="00C40237"/>
    <w:rsid w:val="00C4461A"/>
    <w:rsid w:val="00C45730"/>
    <w:rsid w:val="00C45F3B"/>
    <w:rsid w:val="00C558D8"/>
    <w:rsid w:val="00C575A6"/>
    <w:rsid w:val="00C61760"/>
    <w:rsid w:val="00C6740F"/>
    <w:rsid w:val="00C67FE4"/>
    <w:rsid w:val="00C70D07"/>
    <w:rsid w:val="00C77EE0"/>
    <w:rsid w:val="00C808EC"/>
    <w:rsid w:val="00C8159D"/>
    <w:rsid w:val="00CA1BC1"/>
    <w:rsid w:val="00CA7E79"/>
    <w:rsid w:val="00CB0102"/>
    <w:rsid w:val="00CB2DBF"/>
    <w:rsid w:val="00CB6C24"/>
    <w:rsid w:val="00CC3F15"/>
    <w:rsid w:val="00CC53E8"/>
    <w:rsid w:val="00CD2320"/>
    <w:rsid w:val="00CD2970"/>
    <w:rsid w:val="00CD4672"/>
    <w:rsid w:val="00CE06F4"/>
    <w:rsid w:val="00CE59B1"/>
    <w:rsid w:val="00CF1965"/>
    <w:rsid w:val="00CF5279"/>
    <w:rsid w:val="00CF6B5D"/>
    <w:rsid w:val="00D06A31"/>
    <w:rsid w:val="00D104DF"/>
    <w:rsid w:val="00D11243"/>
    <w:rsid w:val="00D11D66"/>
    <w:rsid w:val="00D120CF"/>
    <w:rsid w:val="00D24B2A"/>
    <w:rsid w:val="00D26E87"/>
    <w:rsid w:val="00D2798D"/>
    <w:rsid w:val="00D31505"/>
    <w:rsid w:val="00D31E0C"/>
    <w:rsid w:val="00D36807"/>
    <w:rsid w:val="00D36857"/>
    <w:rsid w:val="00D403B0"/>
    <w:rsid w:val="00D53853"/>
    <w:rsid w:val="00D54C0C"/>
    <w:rsid w:val="00D55728"/>
    <w:rsid w:val="00D559F9"/>
    <w:rsid w:val="00D662B2"/>
    <w:rsid w:val="00D706FB"/>
    <w:rsid w:val="00D71559"/>
    <w:rsid w:val="00D71C96"/>
    <w:rsid w:val="00D73F19"/>
    <w:rsid w:val="00D766ED"/>
    <w:rsid w:val="00D80B94"/>
    <w:rsid w:val="00D80EB7"/>
    <w:rsid w:val="00D834AF"/>
    <w:rsid w:val="00D83C57"/>
    <w:rsid w:val="00D86FA4"/>
    <w:rsid w:val="00D90DFB"/>
    <w:rsid w:val="00D924B5"/>
    <w:rsid w:val="00D969EF"/>
    <w:rsid w:val="00DA1AC1"/>
    <w:rsid w:val="00DA1F51"/>
    <w:rsid w:val="00DA4D46"/>
    <w:rsid w:val="00DA4D7D"/>
    <w:rsid w:val="00DA7BC9"/>
    <w:rsid w:val="00DB31CE"/>
    <w:rsid w:val="00DB324E"/>
    <w:rsid w:val="00DB6E08"/>
    <w:rsid w:val="00DC0DDF"/>
    <w:rsid w:val="00DC1007"/>
    <w:rsid w:val="00DC42F7"/>
    <w:rsid w:val="00DC521A"/>
    <w:rsid w:val="00DC5A5F"/>
    <w:rsid w:val="00DC665E"/>
    <w:rsid w:val="00DD4331"/>
    <w:rsid w:val="00DD4C6A"/>
    <w:rsid w:val="00DD62AF"/>
    <w:rsid w:val="00DD6D5B"/>
    <w:rsid w:val="00DE004C"/>
    <w:rsid w:val="00DE33EE"/>
    <w:rsid w:val="00DE56F7"/>
    <w:rsid w:val="00DE677B"/>
    <w:rsid w:val="00DF48D9"/>
    <w:rsid w:val="00E00D9F"/>
    <w:rsid w:val="00E10DD1"/>
    <w:rsid w:val="00E17771"/>
    <w:rsid w:val="00E1786B"/>
    <w:rsid w:val="00E201ED"/>
    <w:rsid w:val="00E21236"/>
    <w:rsid w:val="00E23721"/>
    <w:rsid w:val="00E269C8"/>
    <w:rsid w:val="00E26E53"/>
    <w:rsid w:val="00E2771E"/>
    <w:rsid w:val="00E27B4B"/>
    <w:rsid w:val="00E3104F"/>
    <w:rsid w:val="00E31C1F"/>
    <w:rsid w:val="00E37CF7"/>
    <w:rsid w:val="00E4395E"/>
    <w:rsid w:val="00E4438E"/>
    <w:rsid w:val="00E509B9"/>
    <w:rsid w:val="00E521F2"/>
    <w:rsid w:val="00E52B1F"/>
    <w:rsid w:val="00E52E86"/>
    <w:rsid w:val="00E552EF"/>
    <w:rsid w:val="00E561D0"/>
    <w:rsid w:val="00E62727"/>
    <w:rsid w:val="00E730EB"/>
    <w:rsid w:val="00E7435B"/>
    <w:rsid w:val="00E84209"/>
    <w:rsid w:val="00E933E8"/>
    <w:rsid w:val="00E9377E"/>
    <w:rsid w:val="00E94EC4"/>
    <w:rsid w:val="00E95552"/>
    <w:rsid w:val="00E965AE"/>
    <w:rsid w:val="00EA03BD"/>
    <w:rsid w:val="00EA110B"/>
    <w:rsid w:val="00EA2132"/>
    <w:rsid w:val="00EA2166"/>
    <w:rsid w:val="00EB27F0"/>
    <w:rsid w:val="00EB4706"/>
    <w:rsid w:val="00EB5AC8"/>
    <w:rsid w:val="00EB74D3"/>
    <w:rsid w:val="00EB7817"/>
    <w:rsid w:val="00EC2547"/>
    <w:rsid w:val="00EC4098"/>
    <w:rsid w:val="00ED1318"/>
    <w:rsid w:val="00ED1CE6"/>
    <w:rsid w:val="00ED2472"/>
    <w:rsid w:val="00ED657C"/>
    <w:rsid w:val="00ED7981"/>
    <w:rsid w:val="00EE52F5"/>
    <w:rsid w:val="00EF0825"/>
    <w:rsid w:val="00EF085C"/>
    <w:rsid w:val="00EF2D48"/>
    <w:rsid w:val="00EF4651"/>
    <w:rsid w:val="00EF4F9A"/>
    <w:rsid w:val="00F0064F"/>
    <w:rsid w:val="00F019AE"/>
    <w:rsid w:val="00F01F68"/>
    <w:rsid w:val="00F115AE"/>
    <w:rsid w:val="00F11EE5"/>
    <w:rsid w:val="00F1278B"/>
    <w:rsid w:val="00F132A5"/>
    <w:rsid w:val="00F17584"/>
    <w:rsid w:val="00F17A9A"/>
    <w:rsid w:val="00F20DB9"/>
    <w:rsid w:val="00F2342F"/>
    <w:rsid w:val="00F25260"/>
    <w:rsid w:val="00F3313F"/>
    <w:rsid w:val="00F3491B"/>
    <w:rsid w:val="00F35907"/>
    <w:rsid w:val="00F40C64"/>
    <w:rsid w:val="00F44833"/>
    <w:rsid w:val="00F4744A"/>
    <w:rsid w:val="00F51D04"/>
    <w:rsid w:val="00F52795"/>
    <w:rsid w:val="00F5569E"/>
    <w:rsid w:val="00F55AE0"/>
    <w:rsid w:val="00F57DC4"/>
    <w:rsid w:val="00F65119"/>
    <w:rsid w:val="00F66C25"/>
    <w:rsid w:val="00F7018B"/>
    <w:rsid w:val="00F7498C"/>
    <w:rsid w:val="00F7548B"/>
    <w:rsid w:val="00F77210"/>
    <w:rsid w:val="00F778EA"/>
    <w:rsid w:val="00F8089F"/>
    <w:rsid w:val="00F80CA7"/>
    <w:rsid w:val="00F81F74"/>
    <w:rsid w:val="00F82325"/>
    <w:rsid w:val="00F82BA6"/>
    <w:rsid w:val="00F83F8E"/>
    <w:rsid w:val="00F8641C"/>
    <w:rsid w:val="00F87AAF"/>
    <w:rsid w:val="00F906C6"/>
    <w:rsid w:val="00FC0802"/>
    <w:rsid w:val="00FC143A"/>
    <w:rsid w:val="00FC3B9A"/>
    <w:rsid w:val="00FC6396"/>
    <w:rsid w:val="00FC67A1"/>
    <w:rsid w:val="00FC6AC8"/>
    <w:rsid w:val="00FC773F"/>
    <w:rsid w:val="00FD2835"/>
    <w:rsid w:val="00FD28E5"/>
    <w:rsid w:val="00FD64EC"/>
    <w:rsid w:val="00FE0A2D"/>
    <w:rsid w:val="00FE33BD"/>
    <w:rsid w:val="00FE425D"/>
    <w:rsid w:val="00FE515C"/>
    <w:rsid w:val="00FE6D29"/>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4BF0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FOOTNOTE"/>
    <w:basedOn w:val="Normal"/>
    <w:link w:val="FootnoteTextChar"/>
    <w:uiPriority w:val="99"/>
    <w:unhideWhenUsed/>
    <w:qFormat/>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character" w:styleId="Hyperlink">
    <w:name w:val="Hyperlink"/>
    <w:basedOn w:val="DefaultParagraphFont"/>
    <w:uiPriority w:val="99"/>
    <w:semiHidden/>
    <w:unhideWhenUsed/>
    <w:rsid w:val="00DD6D5B"/>
    <w:rPr>
      <w:color w:val="0563C1"/>
      <w:u w:val="single"/>
    </w:rPr>
  </w:style>
  <w:style w:type="table" w:customStyle="1" w:styleId="TableGrid1">
    <w:name w:val="Table Grid1"/>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D59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1D59A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0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765E-6446-48E5-841B-4A92E0F5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7760A-ABEB-4024-96E6-357C0B8D9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E346B-BE32-461C-8E11-59160FE933B3}">
  <ds:schemaRefs>
    <ds:schemaRef ds:uri="http://schemas.microsoft.com/sharepoint/v3/contenttype/forms"/>
  </ds:schemaRefs>
</ds:datastoreItem>
</file>

<file path=customXml/itemProps4.xml><?xml version="1.0" encoding="utf-8"?>
<ds:datastoreItem xmlns:ds="http://schemas.openxmlformats.org/officeDocument/2006/customXml" ds:itemID="{E81FFB2D-EE56-4C92-B2C0-A18E1055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Sheffer, Ryan</cp:lastModifiedBy>
  <cp:revision>13</cp:revision>
  <cp:lastPrinted>2018-03-01T14:44:00Z</cp:lastPrinted>
  <dcterms:created xsi:type="dcterms:W3CDTF">2021-03-15T11:58:00Z</dcterms:created>
  <dcterms:modified xsi:type="dcterms:W3CDTF">2021-03-25T14:49:00Z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